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FF4DE" w14:textId="77777777" w:rsidR="00040C3A" w:rsidRPr="007B7EAB" w:rsidRDefault="007C7B72" w:rsidP="004862FA">
      <w:pPr>
        <w:jc w:val="center"/>
        <w:rPr>
          <w:rFonts w:asciiTheme="majorHAnsi" w:hAnsiTheme="majorHAnsi" w:cs="Univers"/>
          <w:b/>
          <w:bCs/>
          <w:sz w:val="22"/>
          <w:szCs w:val="22"/>
          <w:lang w:val="es-ES_tradnl"/>
        </w:rPr>
      </w:pPr>
      <w:r w:rsidRPr="007B7EA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FA44ADD" wp14:editId="6CD8CE95">
                <wp:simplePos x="0" y="0"/>
                <wp:positionH relativeFrom="column">
                  <wp:posOffset>-423081</wp:posOffset>
                </wp:positionH>
                <wp:positionV relativeFrom="paragraph">
                  <wp:posOffset>-368490</wp:posOffset>
                </wp:positionV>
                <wp:extent cx="1409700" cy="8911989"/>
                <wp:effectExtent l="0" t="0" r="0" b="3810"/>
                <wp:wrapNone/>
                <wp:docPr id="1" name="Rectangle 1"/>
                <wp:cNvGraphicFramePr/>
                <a:graphic xmlns:a="http://schemas.openxmlformats.org/drawingml/2006/main">
                  <a:graphicData uri="http://schemas.microsoft.com/office/word/2010/wordprocessingShape">
                    <wps:wsp>
                      <wps:cNvSpPr/>
                      <wps:spPr>
                        <a:xfrm>
                          <a:off x="0" y="0"/>
                          <a:ext cx="1409700" cy="8911989"/>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C203B" id="Rectangle 1" o:spid="_x0000_s1026" style="position:absolute;margin-left:-33.3pt;margin-top:-29pt;width:111pt;height:701.7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" fillcolor="#ffc000" stroked="f" strokeweight="2pt"/>
            </w:pict>
          </mc:Fallback>
        </mc:AlternateContent>
      </w:r>
      <w:r w:rsidR="003237F0" w:rsidRPr="007B7EA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47A2336" wp14:editId="6CA5BCD6">
                <wp:simplePos x="0" y="0"/>
                <wp:positionH relativeFrom="column">
                  <wp:posOffset>1143001</wp:posOffset>
                </wp:positionH>
                <wp:positionV relativeFrom="paragraph">
                  <wp:posOffset>-371475</wp:posOffset>
                </wp:positionV>
                <wp:extent cx="4552950" cy="9144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5529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7CD208" w14:textId="77777777" w:rsidR="00BA51DA" w:rsidRDefault="00BA51DA">
                            <w:r>
                              <w:rPr>
                                <w:noProof/>
                              </w:rPr>
                              <w:drawing>
                                <wp:inline distT="0" distB="0" distL="0" distR="0" wp14:anchorId="7565278F" wp14:editId="44AB7EA1">
                                  <wp:extent cx="2523497" cy="485775"/>
                                  <wp:effectExtent l="0" t="0" r="0" b="0"/>
                                  <wp:docPr id="16" name="Picture 16" descr="C:\Users\mfontana\Documents\Eva Fontana\GRAFICA CIDH\cartas\logos\cidh-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fontana\Documents\Eva Fontana\GRAFICA CIDH\cartas\logos\cidh-p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777" cy="493914"/>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A2336" id="_x0000_t202" coordsize="21600,21600" o:spt="202" path="m,l,21600r21600,l21600,xe">
                <v:stroke joinstyle="miter"/>
                <v:path gradientshapeok="t" o:connecttype="rect"/>
              </v:shapetype>
              <v:shape id="Text Box 11" o:spid="_x0000_s1026" type="#_x0000_t202" style="position:absolute;left:0;text-align:left;margin-left:90pt;margin-top:-29.25pt;width:358.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" filled="f" stroked="f" strokeweight=".5pt">
                <v:textbox>
                  <w:txbxContent>
                    <w:p w14:paraId="547CD208" w14:textId="77777777" w:rsidR="00BA51DA" w:rsidRDefault="00BA51DA">
                      <w:r>
                        <w:rPr>
                          <w:noProof/>
                        </w:rPr>
                        <w:drawing>
                          <wp:inline distT="0" distB="0" distL="0" distR="0" wp14:anchorId="7565278F" wp14:editId="44AB7EA1">
                            <wp:extent cx="2523497" cy="485775"/>
                            <wp:effectExtent l="0" t="0" r="0" b="0"/>
                            <wp:docPr id="16" name="Picture 16" descr="C:\Users\mfontana\Documents\Eva Fontana\GRAFICA CIDH\cartas\logos\cidh-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fontana\Documents\Eva Fontana\GRAFICA CIDH\cartas\logos\cidh-p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777" cy="493914"/>
                                    </a:xfrm>
                                    <a:prstGeom prst="rect">
                                      <a:avLst/>
                                    </a:prstGeom>
                                    <a:noFill/>
                                    <a:ln>
                                      <a:noFill/>
                                    </a:ln>
                                  </pic:spPr>
                                </pic:pic>
                              </a:graphicData>
                            </a:graphic>
                          </wp:inline>
                        </w:drawing>
                      </w:r>
                      <w:r>
                        <w:t xml:space="preserve">                                                                                       </w:t>
                      </w:r>
                    </w:p>
                  </w:txbxContent>
                </v:textbox>
              </v:shape>
            </w:pict>
          </mc:Fallback>
        </mc:AlternateContent>
      </w:r>
      <w:r w:rsidR="00590B11">
        <w:rPr>
          <w:rFonts w:asciiTheme="majorHAnsi" w:hAnsiTheme="majorHAnsi" w:cs="Univers"/>
          <w:b/>
          <w:bCs/>
          <w:sz w:val="22"/>
          <w:szCs w:val="22"/>
          <w:lang w:val="es-ES_tradnl"/>
        </w:rPr>
        <w:t>o</w:t>
      </w:r>
    </w:p>
    <w:p w14:paraId="7401D8E3" w14:textId="77777777" w:rsidR="00040C3A" w:rsidRPr="007B7EAB" w:rsidRDefault="00040C3A" w:rsidP="004862FA">
      <w:pPr>
        <w:tabs>
          <w:tab w:val="center" w:pos="5400"/>
        </w:tabs>
        <w:suppressAutoHyphens/>
        <w:jc w:val="center"/>
        <w:rPr>
          <w:rFonts w:asciiTheme="majorHAnsi" w:hAnsiTheme="majorHAnsi"/>
          <w:sz w:val="22"/>
          <w:szCs w:val="22"/>
          <w:lang w:val="es-ES"/>
        </w:rPr>
      </w:pPr>
    </w:p>
    <w:p w14:paraId="05EA806B" w14:textId="77777777" w:rsidR="00040C3A" w:rsidRPr="007B7EAB" w:rsidRDefault="00040C3A" w:rsidP="004862FA">
      <w:pPr>
        <w:tabs>
          <w:tab w:val="center" w:pos="5400"/>
        </w:tabs>
        <w:suppressAutoHyphens/>
        <w:jc w:val="center"/>
        <w:rPr>
          <w:rFonts w:asciiTheme="majorHAnsi" w:hAnsiTheme="majorHAnsi"/>
          <w:sz w:val="22"/>
          <w:szCs w:val="22"/>
          <w:lang w:val="es-ES"/>
        </w:rPr>
      </w:pPr>
    </w:p>
    <w:p w14:paraId="104D3768" w14:textId="77777777" w:rsidR="005128E4" w:rsidRPr="007B7EAB" w:rsidRDefault="005128E4" w:rsidP="004862FA">
      <w:pPr>
        <w:tabs>
          <w:tab w:val="center" w:pos="5400"/>
        </w:tabs>
        <w:suppressAutoHyphens/>
        <w:jc w:val="center"/>
        <w:rPr>
          <w:rFonts w:asciiTheme="majorHAnsi" w:hAnsiTheme="majorHAnsi"/>
          <w:sz w:val="22"/>
          <w:szCs w:val="22"/>
          <w:lang w:val="es-ES_tradnl"/>
        </w:rPr>
      </w:pPr>
    </w:p>
    <w:p w14:paraId="7D533C89" w14:textId="77777777" w:rsidR="005128E4" w:rsidRPr="007B7EAB" w:rsidRDefault="005128E4" w:rsidP="004862FA">
      <w:pPr>
        <w:tabs>
          <w:tab w:val="center" w:pos="5400"/>
        </w:tabs>
        <w:suppressAutoHyphens/>
        <w:jc w:val="center"/>
        <w:rPr>
          <w:rFonts w:asciiTheme="majorHAnsi" w:hAnsiTheme="majorHAnsi"/>
          <w:sz w:val="22"/>
          <w:szCs w:val="22"/>
          <w:lang w:val="es-ES_tradnl"/>
        </w:rPr>
      </w:pPr>
    </w:p>
    <w:p w14:paraId="7D4656F7" w14:textId="77777777" w:rsidR="005128E4" w:rsidRPr="007B7EAB" w:rsidRDefault="005128E4" w:rsidP="004862FA">
      <w:pPr>
        <w:tabs>
          <w:tab w:val="center" w:pos="5400"/>
        </w:tabs>
        <w:suppressAutoHyphens/>
        <w:jc w:val="center"/>
        <w:rPr>
          <w:rFonts w:asciiTheme="majorHAnsi" w:hAnsiTheme="majorHAnsi"/>
          <w:sz w:val="22"/>
          <w:szCs w:val="22"/>
          <w:lang w:val="es-ES_tradnl"/>
        </w:rPr>
      </w:pPr>
    </w:p>
    <w:p w14:paraId="0E834409" w14:textId="77777777" w:rsidR="00040C3A" w:rsidRPr="007B7EAB" w:rsidRDefault="00040C3A" w:rsidP="004862FA">
      <w:pPr>
        <w:tabs>
          <w:tab w:val="center" w:pos="5400"/>
        </w:tabs>
        <w:suppressAutoHyphens/>
        <w:jc w:val="center"/>
        <w:rPr>
          <w:rFonts w:asciiTheme="majorHAnsi" w:hAnsiTheme="majorHAnsi"/>
          <w:sz w:val="22"/>
          <w:szCs w:val="22"/>
          <w:lang w:val="es-ES_tradnl"/>
        </w:rPr>
      </w:pPr>
    </w:p>
    <w:p w14:paraId="5CD5BBF3" w14:textId="77777777" w:rsidR="00040C3A" w:rsidRPr="007B7EAB" w:rsidRDefault="00040C3A" w:rsidP="004862FA">
      <w:pPr>
        <w:tabs>
          <w:tab w:val="center" w:pos="5400"/>
        </w:tabs>
        <w:suppressAutoHyphens/>
        <w:jc w:val="center"/>
        <w:rPr>
          <w:rFonts w:asciiTheme="majorHAnsi" w:hAnsiTheme="majorHAnsi"/>
          <w:sz w:val="22"/>
          <w:szCs w:val="22"/>
          <w:lang w:val="es-ES_tradnl"/>
        </w:rPr>
      </w:pPr>
    </w:p>
    <w:p w14:paraId="0E983957" w14:textId="77777777" w:rsidR="005B52B0" w:rsidRPr="007B7EAB" w:rsidRDefault="005B52B0" w:rsidP="004862FA">
      <w:pPr>
        <w:tabs>
          <w:tab w:val="center" w:pos="5400"/>
        </w:tabs>
        <w:suppressAutoHyphens/>
        <w:jc w:val="center"/>
        <w:rPr>
          <w:rFonts w:asciiTheme="majorHAnsi" w:hAnsiTheme="majorHAnsi"/>
          <w:sz w:val="22"/>
          <w:szCs w:val="22"/>
          <w:lang w:val="es-ES_tradnl"/>
        </w:rPr>
      </w:pPr>
    </w:p>
    <w:p w14:paraId="00DC6CD7" w14:textId="77777777" w:rsidR="005B52B0" w:rsidRPr="007B7EAB" w:rsidRDefault="005B52B0" w:rsidP="004862FA">
      <w:pPr>
        <w:tabs>
          <w:tab w:val="center" w:pos="5400"/>
        </w:tabs>
        <w:suppressAutoHyphens/>
        <w:jc w:val="center"/>
        <w:rPr>
          <w:rFonts w:asciiTheme="majorHAnsi" w:hAnsiTheme="majorHAnsi"/>
          <w:sz w:val="22"/>
          <w:szCs w:val="22"/>
          <w:lang w:val="es-ES_tradnl"/>
        </w:rPr>
      </w:pPr>
    </w:p>
    <w:p w14:paraId="23482A5B" w14:textId="77777777" w:rsidR="005B52B0" w:rsidRPr="007B7EAB" w:rsidRDefault="005B52B0" w:rsidP="004862FA">
      <w:pPr>
        <w:tabs>
          <w:tab w:val="center" w:pos="5400"/>
        </w:tabs>
        <w:suppressAutoHyphens/>
        <w:jc w:val="center"/>
        <w:rPr>
          <w:rFonts w:asciiTheme="majorHAnsi" w:hAnsiTheme="majorHAnsi"/>
          <w:sz w:val="22"/>
          <w:szCs w:val="22"/>
          <w:lang w:val="es-ES_tradnl"/>
        </w:rPr>
      </w:pPr>
    </w:p>
    <w:p w14:paraId="228DAC05" w14:textId="77777777" w:rsidR="00040C3A" w:rsidRPr="007B7EAB" w:rsidRDefault="00040C3A" w:rsidP="004862FA">
      <w:pPr>
        <w:tabs>
          <w:tab w:val="center" w:pos="5400"/>
        </w:tabs>
        <w:suppressAutoHyphens/>
        <w:jc w:val="center"/>
        <w:rPr>
          <w:rFonts w:asciiTheme="majorHAnsi" w:hAnsiTheme="majorHAnsi"/>
          <w:sz w:val="22"/>
          <w:szCs w:val="22"/>
          <w:lang w:val="es-ES_tradnl"/>
        </w:rPr>
      </w:pPr>
    </w:p>
    <w:p w14:paraId="300CFB52" w14:textId="77777777" w:rsidR="00040C3A" w:rsidRPr="007B7EAB" w:rsidRDefault="00040C3A" w:rsidP="004862FA">
      <w:pPr>
        <w:tabs>
          <w:tab w:val="center" w:pos="5400"/>
        </w:tabs>
        <w:suppressAutoHyphens/>
        <w:jc w:val="center"/>
        <w:rPr>
          <w:rFonts w:asciiTheme="majorHAnsi" w:hAnsiTheme="majorHAnsi"/>
          <w:sz w:val="22"/>
          <w:szCs w:val="22"/>
          <w:lang w:val="es-ES_tradnl"/>
        </w:rPr>
      </w:pPr>
    </w:p>
    <w:p w14:paraId="7D123D28" w14:textId="77777777" w:rsidR="00040C3A" w:rsidRPr="007B7EAB" w:rsidRDefault="00040C3A" w:rsidP="004862FA">
      <w:pPr>
        <w:tabs>
          <w:tab w:val="center" w:pos="5400"/>
        </w:tabs>
        <w:suppressAutoHyphens/>
        <w:jc w:val="center"/>
        <w:rPr>
          <w:rFonts w:asciiTheme="majorHAnsi" w:hAnsiTheme="majorHAnsi"/>
          <w:sz w:val="22"/>
          <w:szCs w:val="22"/>
          <w:lang w:val="es-ES_tradnl"/>
        </w:rPr>
      </w:pPr>
    </w:p>
    <w:p w14:paraId="3FC13136" w14:textId="77777777" w:rsidR="00040C3A" w:rsidRPr="007B7EAB" w:rsidRDefault="00E533FF" w:rsidP="004862FA">
      <w:pPr>
        <w:tabs>
          <w:tab w:val="center" w:pos="5400"/>
        </w:tabs>
        <w:suppressAutoHyphens/>
        <w:jc w:val="center"/>
        <w:rPr>
          <w:rFonts w:asciiTheme="majorHAnsi" w:hAnsiTheme="majorHAnsi"/>
          <w:sz w:val="22"/>
          <w:szCs w:val="22"/>
          <w:lang w:val="es-ES_tradnl"/>
        </w:rPr>
      </w:pPr>
      <w:r w:rsidRPr="007B7EA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D4A3F00" wp14:editId="145FB426">
                <wp:simplePos x="0" y="0"/>
                <wp:positionH relativeFrom="column">
                  <wp:posOffset>1228724</wp:posOffset>
                </wp:positionH>
                <wp:positionV relativeFrom="paragraph">
                  <wp:posOffset>79375</wp:posOffset>
                </wp:positionV>
                <wp:extent cx="51339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51339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0518D1" w14:textId="6EDDD1F6" w:rsidR="00BA51DA" w:rsidRPr="00A529BC" w:rsidRDefault="00BA51DA" w:rsidP="00DA1159">
                            <w:pPr>
                              <w:spacing w:line="276" w:lineRule="auto"/>
                              <w:rPr>
                                <w:rFonts w:asciiTheme="majorHAnsi" w:hAnsiTheme="majorHAnsi" w:cs="Arial"/>
                                <w:b/>
                                <w:bCs/>
                                <w:color w:val="0D0D0D" w:themeColor="text1" w:themeTint="F2"/>
                                <w:sz w:val="36"/>
                                <w:szCs w:val="22"/>
                                <w:lang w:val="pt-BR"/>
                              </w:rPr>
                            </w:pPr>
                            <w:r w:rsidRPr="00A529BC">
                              <w:rPr>
                                <w:rFonts w:asciiTheme="majorHAnsi" w:hAnsiTheme="majorHAnsi" w:cs="Arial"/>
                                <w:b/>
                                <w:bCs/>
                                <w:color w:val="0D0D0D" w:themeColor="text1" w:themeTint="F2"/>
                                <w:sz w:val="36"/>
                                <w:szCs w:val="22"/>
                                <w:lang w:val="pt-BR"/>
                              </w:rPr>
                              <w:t xml:space="preserve">RELATÓRIO </w:t>
                            </w:r>
                            <w:r w:rsidRPr="00A529BC">
                              <w:rPr>
                                <w:rFonts w:asciiTheme="majorHAnsi" w:hAnsiTheme="majorHAnsi" w:cs="Arial"/>
                                <w:b/>
                                <w:bCs/>
                                <w:color w:val="0D0D0D" w:themeColor="text1" w:themeTint="F2"/>
                                <w:sz w:val="36"/>
                                <w:szCs w:val="40"/>
                                <w:lang w:val="pt-BR"/>
                              </w:rPr>
                              <w:t>No.</w:t>
                            </w:r>
                            <w:r w:rsidRPr="00A529BC">
                              <w:rPr>
                                <w:rFonts w:asciiTheme="majorHAnsi" w:hAnsiTheme="majorHAnsi" w:cs="Arial"/>
                                <w:b/>
                                <w:bCs/>
                                <w:color w:val="0D0D0D" w:themeColor="text1" w:themeTint="F2"/>
                                <w:sz w:val="36"/>
                                <w:szCs w:val="22"/>
                                <w:lang w:val="pt-BR"/>
                              </w:rPr>
                              <w:t xml:space="preserve"> </w:t>
                            </w:r>
                            <w:r>
                              <w:rPr>
                                <w:rFonts w:asciiTheme="majorHAnsi" w:hAnsiTheme="majorHAnsi" w:cs="Arial"/>
                                <w:b/>
                                <w:bCs/>
                                <w:color w:val="0D0D0D" w:themeColor="text1" w:themeTint="F2"/>
                                <w:sz w:val="36"/>
                                <w:szCs w:val="22"/>
                                <w:lang w:val="pt-BR"/>
                              </w:rPr>
                              <w:t>144</w:t>
                            </w:r>
                            <w:r w:rsidRPr="00A529BC">
                              <w:rPr>
                                <w:rFonts w:asciiTheme="majorHAnsi" w:hAnsiTheme="majorHAnsi" w:cs="Arial"/>
                                <w:b/>
                                <w:bCs/>
                                <w:color w:val="0D0D0D" w:themeColor="text1" w:themeTint="F2"/>
                                <w:sz w:val="36"/>
                                <w:szCs w:val="22"/>
                                <w:lang w:val="pt-BR"/>
                              </w:rPr>
                              <w:t>/19</w:t>
                            </w:r>
                          </w:p>
                          <w:p w14:paraId="0895D109" w14:textId="77777777" w:rsidR="00BA51DA" w:rsidRPr="00DA1159" w:rsidRDefault="00BA51DA" w:rsidP="00DA1159">
                            <w:pPr>
                              <w:spacing w:line="276" w:lineRule="auto"/>
                              <w:rPr>
                                <w:rFonts w:asciiTheme="majorHAnsi" w:hAnsiTheme="majorHAnsi" w:cs="Arial"/>
                                <w:b/>
                                <w:color w:val="0D0D0D" w:themeColor="text1" w:themeTint="F2"/>
                                <w:sz w:val="36"/>
                                <w:szCs w:val="22"/>
                                <w:lang w:val="pt-BR"/>
                              </w:rPr>
                            </w:pPr>
                            <w:r w:rsidRPr="00DA1159">
                              <w:rPr>
                                <w:rFonts w:asciiTheme="majorHAnsi" w:hAnsiTheme="majorHAnsi" w:cs="Arial"/>
                                <w:b/>
                                <w:color w:val="0D0D0D" w:themeColor="text1" w:themeTint="F2"/>
                                <w:sz w:val="36"/>
                                <w:szCs w:val="22"/>
                                <w:lang w:val="pt-BR"/>
                              </w:rPr>
                              <w:t>CASO 12.</w:t>
                            </w:r>
                            <w:r>
                              <w:rPr>
                                <w:rFonts w:asciiTheme="majorHAnsi" w:hAnsiTheme="majorHAnsi" w:cs="Arial"/>
                                <w:b/>
                                <w:color w:val="0D0D0D" w:themeColor="text1" w:themeTint="F2"/>
                                <w:sz w:val="36"/>
                                <w:szCs w:val="22"/>
                                <w:lang w:val="pt-BR"/>
                              </w:rPr>
                              <w:t>675</w:t>
                            </w:r>
                          </w:p>
                          <w:p w14:paraId="76810834" w14:textId="77777777" w:rsidR="00BA51DA" w:rsidRPr="00412D8D" w:rsidRDefault="00BA51DA" w:rsidP="00801F3C">
                            <w:pPr>
                              <w:spacing w:line="276" w:lineRule="auto"/>
                              <w:rPr>
                                <w:rFonts w:asciiTheme="majorHAnsi" w:hAnsiTheme="majorHAnsi" w:cs="Arial"/>
                                <w:bCs/>
                                <w:color w:val="0D0D0D" w:themeColor="text1" w:themeTint="F2"/>
                                <w:szCs w:val="40"/>
                                <w:lang w:val="pt-BR"/>
                              </w:rPr>
                            </w:pPr>
                            <w:r w:rsidRPr="00412D8D">
                              <w:rPr>
                                <w:rFonts w:asciiTheme="majorHAnsi" w:hAnsiTheme="majorHAnsi" w:cs="Arial"/>
                                <w:bCs/>
                                <w:color w:val="0D0D0D" w:themeColor="text1" w:themeTint="F2"/>
                                <w:szCs w:val="40"/>
                                <w:lang w:val="pt-BR"/>
                              </w:rPr>
                              <w:t xml:space="preserve">MÉRITO </w:t>
                            </w:r>
                          </w:p>
                          <w:p w14:paraId="4F24AD19" w14:textId="77777777" w:rsidR="00BA51DA" w:rsidRPr="00412D8D" w:rsidRDefault="00BA51DA" w:rsidP="00412D8D">
                            <w:pPr>
                              <w:spacing w:line="276" w:lineRule="auto"/>
                              <w:rPr>
                                <w:rFonts w:asciiTheme="majorHAnsi" w:hAnsiTheme="majorHAnsi" w:cs="Arial"/>
                                <w:bCs/>
                                <w:color w:val="0D0D0D" w:themeColor="text1" w:themeTint="F2"/>
                                <w:szCs w:val="40"/>
                                <w:lang w:val="pt-BR"/>
                              </w:rPr>
                            </w:pPr>
                          </w:p>
                          <w:p w14:paraId="4D117BD0" w14:textId="77777777" w:rsidR="00BA51DA" w:rsidRPr="005650A6" w:rsidRDefault="00BA51DA" w:rsidP="00801F3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Batang" w:hAnsi="Cambria" w:cs="Arial"/>
                                <w:bdr w:val="none" w:sz="0" w:space="0" w:color="auto"/>
                                <w:lang w:val="pt-BR"/>
                              </w:rPr>
                            </w:pPr>
                            <w:r>
                              <w:rPr>
                                <w:rFonts w:ascii="Cambria" w:eastAsia="Batang" w:hAnsi="Cambria" w:cs="Arial"/>
                                <w:bdr w:val="none" w:sz="0" w:space="0" w:color="auto"/>
                                <w:lang w:val="pt-BR"/>
                              </w:rPr>
                              <w:t>GABRIEL SALES PIMENTA</w:t>
                            </w:r>
                          </w:p>
                          <w:p w14:paraId="32C7AB56" w14:textId="77777777" w:rsidR="00BA51DA" w:rsidRPr="00801F3C" w:rsidRDefault="00BA51DA" w:rsidP="00412D8D">
                            <w:pPr>
                              <w:spacing w:line="276" w:lineRule="auto"/>
                              <w:rPr>
                                <w:rFonts w:asciiTheme="majorHAnsi" w:hAnsiTheme="majorHAnsi" w:cs="Arial"/>
                                <w:bCs/>
                                <w:color w:val="0D0D0D" w:themeColor="text1" w:themeTint="F2"/>
                                <w:lang w:val="pt-BR"/>
                              </w:rPr>
                            </w:pPr>
                          </w:p>
                          <w:p w14:paraId="3104D4BD" w14:textId="77777777" w:rsidR="00BA51DA" w:rsidRPr="00412D8D" w:rsidRDefault="00BA51DA" w:rsidP="00412D8D">
                            <w:pPr>
                              <w:spacing w:line="276" w:lineRule="auto"/>
                              <w:rPr>
                                <w:rFonts w:asciiTheme="majorHAnsi" w:hAnsiTheme="majorHAnsi"/>
                                <w:color w:val="0D0D0D" w:themeColor="text1" w:themeTint="F2"/>
                                <w:sz w:val="18"/>
                                <w:lang w:val="pt-BR"/>
                              </w:rPr>
                            </w:pPr>
                            <w:r>
                              <w:rPr>
                                <w:rFonts w:asciiTheme="majorHAnsi" w:hAnsiTheme="majorHAnsi" w:cs="Arial"/>
                                <w:bCs/>
                                <w:color w:val="0D0D0D" w:themeColor="text1" w:themeTint="F2"/>
                                <w:szCs w:val="40"/>
                                <w:lang w:val="pt-BR"/>
                              </w:rPr>
                              <w:t xml:space="preserve">BRASIL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A3F00" id="Text Box 5" o:spid="_x0000_s1027" type="#_x0000_t202" style="position:absolute;left:0;text-align:left;margin-left:96.75pt;margin-top:6.25pt;width:404.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" filled="f" stroked="f" strokeweight=".5pt">
                <v:textbox>
                  <w:txbxContent>
                    <w:p w14:paraId="320518D1" w14:textId="6EDDD1F6" w:rsidR="00BA51DA" w:rsidRPr="00A529BC" w:rsidRDefault="00BA51DA" w:rsidP="00DA1159">
                      <w:pPr>
                        <w:spacing w:line="276" w:lineRule="auto"/>
                        <w:rPr>
                          <w:rFonts w:asciiTheme="majorHAnsi" w:hAnsiTheme="majorHAnsi" w:cs="Arial"/>
                          <w:b/>
                          <w:bCs/>
                          <w:color w:val="0D0D0D" w:themeColor="text1" w:themeTint="F2"/>
                          <w:sz w:val="36"/>
                          <w:szCs w:val="22"/>
                          <w:lang w:val="pt-BR"/>
                        </w:rPr>
                      </w:pPr>
                      <w:r w:rsidRPr="00A529BC">
                        <w:rPr>
                          <w:rFonts w:asciiTheme="majorHAnsi" w:hAnsiTheme="majorHAnsi" w:cs="Arial"/>
                          <w:b/>
                          <w:bCs/>
                          <w:color w:val="0D0D0D" w:themeColor="text1" w:themeTint="F2"/>
                          <w:sz w:val="36"/>
                          <w:szCs w:val="22"/>
                          <w:lang w:val="pt-BR"/>
                        </w:rPr>
                        <w:t xml:space="preserve">RELATÓRIO </w:t>
                      </w:r>
                      <w:r w:rsidRPr="00A529BC">
                        <w:rPr>
                          <w:rFonts w:asciiTheme="majorHAnsi" w:hAnsiTheme="majorHAnsi" w:cs="Arial"/>
                          <w:b/>
                          <w:bCs/>
                          <w:color w:val="0D0D0D" w:themeColor="text1" w:themeTint="F2"/>
                          <w:sz w:val="36"/>
                          <w:szCs w:val="40"/>
                          <w:lang w:val="pt-BR"/>
                        </w:rPr>
                        <w:t>No.</w:t>
                      </w:r>
                      <w:r w:rsidRPr="00A529BC">
                        <w:rPr>
                          <w:rFonts w:asciiTheme="majorHAnsi" w:hAnsiTheme="majorHAnsi" w:cs="Arial"/>
                          <w:b/>
                          <w:bCs/>
                          <w:color w:val="0D0D0D" w:themeColor="text1" w:themeTint="F2"/>
                          <w:sz w:val="36"/>
                          <w:szCs w:val="22"/>
                          <w:lang w:val="pt-BR"/>
                        </w:rPr>
                        <w:t xml:space="preserve"> </w:t>
                      </w:r>
                      <w:r>
                        <w:rPr>
                          <w:rFonts w:asciiTheme="majorHAnsi" w:hAnsiTheme="majorHAnsi" w:cs="Arial"/>
                          <w:b/>
                          <w:bCs/>
                          <w:color w:val="0D0D0D" w:themeColor="text1" w:themeTint="F2"/>
                          <w:sz w:val="36"/>
                          <w:szCs w:val="22"/>
                          <w:lang w:val="pt-BR"/>
                        </w:rPr>
                        <w:t>144</w:t>
                      </w:r>
                      <w:r w:rsidRPr="00A529BC">
                        <w:rPr>
                          <w:rFonts w:asciiTheme="majorHAnsi" w:hAnsiTheme="majorHAnsi" w:cs="Arial"/>
                          <w:b/>
                          <w:bCs/>
                          <w:color w:val="0D0D0D" w:themeColor="text1" w:themeTint="F2"/>
                          <w:sz w:val="36"/>
                          <w:szCs w:val="22"/>
                          <w:lang w:val="pt-BR"/>
                        </w:rPr>
                        <w:t>/19</w:t>
                      </w:r>
                    </w:p>
                    <w:p w14:paraId="0895D109" w14:textId="77777777" w:rsidR="00BA51DA" w:rsidRPr="00DA1159" w:rsidRDefault="00BA51DA" w:rsidP="00DA1159">
                      <w:pPr>
                        <w:spacing w:line="276" w:lineRule="auto"/>
                        <w:rPr>
                          <w:rFonts w:asciiTheme="majorHAnsi" w:hAnsiTheme="majorHAnsi" w:cs="Arial"/>
                          <w:b/>
                          <w:color w:val="0D0D0D" w:themeColor="text1" w:themeTint="F2"/>
                          <w:sz w:val="36"/>
                          <w:szCs w:val="22"/>
                          <w:lang w:val="pt-BR"/>
                        </w:rPr>
                      </w:pPr>
                      <w:r w:rsidRPr="00DA1159">
                        <w:rPr>
                          <w:rFonts w:asciiTheme="majorHAnsi" w:hAnsiTheme="majorHAnsi" w:cs="Arial"/>
                          <w:b/>
                          <w:color w:val="0D0D0D" w:themeColor="text1" w:themeTint="F2"/>
                          <w:sz w:val="36"/>
                          <w:szCs w:val="22"/>
                          <w:lang w:val="pt-BR"/>
                        </w:rPr>
                        <w:t>CASO 12.</w:t>
                      </w:r>
                      <w:r>
                        <w:rPr>
                          <w:rFonts w:asciiTheme="majorHAnsi" w:hAnsiTheme="majorHAnsi" w:cs="Arial"/>
                          <w:b/>
                          <w:color w:val="0D0D0D" w:themeColor="text1" w:themeTint="F2"/>
                          <w:sz w:val="36"/>
                          <w:szCs w:val="22"/>
                          <w:lang w:val="pt-BR"/>
                        </w:rPr>
                        <w:t>675</w:t>
                      </w:r>
                    </w:p>
                    <w:p w14:paraId="76810834" w14:textId="77777777" w:rsidR="00BA51DA" w:rsidRPr="00412D8D" w:rsidRDefault="00BA51DA" w:rsidP="00801F3C">
                      <w:pPr>
                        <w:spacing w:line="276" w:lineRule="auto"/>
                        <w:rPr>
                          <w:rFonts w:asciiTheme="majorHAnsi" w:hAnsiTheme="majorHAnsi" w:cs="Arial"/>
                          <w:bCs/>
                          <w:color w:val="0D0D0D" w:themeColor="text1" w:themeTint="F2"/>
                          <w:szCs w:val="40"/>
                          <w:lang w:val="pt-BR"/>
                        </w:rPr>
                      </w:pPr>
                      <w:r w:rsidRPr="00412D8D">
                        <w:rPr>
                          <w:rFonts w:asciiTheme="majorHAnsi" w:hAnsiTheme="majorHAnsi" w:cs="Arial"/>
                          <w:bCs/>
                          <w:color w:val="0D0D0D" w:themeColor="text1" w:themeTint="F2"/>
                          <w:szCs w:val="40"/>
                          <w:lang w:val="pt-BR"/>
                        </w:rPr>
                        <w:t xml:space="preserve">MÉRITO </w:t>
                      </w:r>
                    </w:p>
                    <w:p w14:paraId="4F24AD19" w14:textId="77777777" w:rsidR="00BA51DA" w:rsidRPr="00412D8D" w:rsidRDefault="00BA51DA" w:rsidP="00412D8D">
                      <w:pPr>
                        <w:spacing w:line="276" w:lineRule="auto"/>
                        <w:rPr>
                          <w:rFonts w:asciiTheme="majorHAnsi" w:hAnsiTheme="majorHAnsi" w:cs="Arial"/>
                          <w:bCs/>
                          <w:color w:val="0D0D0D" w:themeColor="text1" w:themeTint="F2"/>
                          <w:szCs w:val="40"/>
                          <w:lang w:val="pt-BR"/>
                        </w:rPr>
                      </w:pPr>
                    </w:p>
                    <w:p w14:paraId="4D117BD0" w14:textId="77777777" w:rsidR="00BA51DA" w:rsidRPr="005650A6" w:rsidRDefault="00BA51DA" w:rsidP="00801F3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Batang" w:hAnsi="Cambria" w:cs="Arial"/>
                          <w:bdr w:val="none" w:sz="0" w:space="0" w:color="auto"/>
                          <w:lang w:val="pt-BR"/>
                        </w:rPr>
                      </w:pPr>
                      <w:r>
                        <w:rPr>
                          <w:rFonts w:ascii="Cambria" w:eastAsia="Batang" w:hAnsi="Cambria" w:cs="Arial"/>
                          <w:bdr w:val="none" w:sz="0" w:space="0" w:color="auto"/>
                          <w:lang w:val="pt-BR"/>
                        </w:rPr>
                        <w:t>GABRIEL SALES PIMENTA</w:t>
                      </w:r>
                    </w:p>
                    <w:p w14:paraId="32C7AB56" w14:textId="77777777" w:rsidR="00BA51DA" w:rsidRPr="00801F3C" w:rsidRDefault="00BA51DA" w:rsidP="00412D8D">
                      <w:pPr>
                        <w:spacing w:line="276" w:lineRule="auto"/>
                        <w:rPr>
                          <w:rFonts w:asciiTheme="majorHAnsi" w:hAnsiTheme="majorHAnsi" w:cs="Arial"/>
                          <w:bCs/>
                          <w:color w:val="0D0D0D" w:themeColor="text1" w:themeTint="F2"/>
                          <w:lang w:val="pt-BR"/>
                        </w:rPr>
                      </w:pPr>
                    </w:p>
                    <w:p w14:paraId="3104D4BD" w14:textId="77777777" w:rsidR="00BA51DA" w:rsidRPr="00412D8D" w:rsidRDefault="00BA51DA" w:rsidP="00412D8D">
                      <w:pPr>
                        <w:spacing w:line="276" w:lineRule="auto"/>
                        <w:rPr>
                          <w:rFonts w:asciiTheme="majorHAnsi" w:hAnsiTheme="majorHAnsi"/>
                          <w:color w:val="0D0D0D" w:themeColor="text1" w:themeTint="F2"/>
                          <w:sz w:val="18"/>
                          <w:lang w:val="pt-BR"/>
                        </w:rPr>
                      </w:pPr>
                      <w:r>
                        <w:rPr>
                          <w:rFonts w:asciiTheme="majorHAnsi" w:hAnsiTheme="majorHAnsi" w:cs="Arial"/>
                          <w:bCs/>
                          <w:color w:val="0D0D0D" w:themeColor="text1" w:themeTint="F2"/>
                          <w:szCs w:val="40"/>
                          <w:lang w:val="pt-BR"/>
                        </w:rPr>
                        <w:t xml:space="preserve">BRASIL </w:t>
                      </w:r>
                    </w:p>
                  </w:txbxContent>
                </v:textbox>
              </v:shape>
            </w:pict>
          </mc:Fallback>
        </mc:AlternateContent>
      </w:r>
      <w:r w:rsidR="004B7EB6" w:rsidRPr="007B7EA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68EE4C8" wp14:editId="22EB915E">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D75114" w14:textId="5CAF934C" w:rsidR="00BA51DA" w:rsidRPr="00187186" w:rsidRDefault="00BA51DA" w:rsidP="00DA1159">
                            <w:pPr>
                              <w:jc w:val="right"/>
                              <w:rPr>
                                <w:rFonts w:ascii="Cambria" w:hAnsi="Cambria"/>
                                <w:sz w:val="20"/>
                                <w:lang w:val="pt-BR"/>
                              </w:rPr>
                            </w:pPr>
                            <w:r w:rsidRPr="00187186">
                              <w:rPr>
                                <w:rFonts w:asciiTheme="minorHAnsi" w:hAnsiTheme="minorHAnsi"/>
                                <w:sz w:val="20"/>
                                <w:lang w:val="pt-BR"/>
                              </w:rPr>
                              <w:t>O</w:t>
                            </w:r>
                            <w:r w:rsidRPr="00187186">
                              <w:rPr>
                                <w:rFonts w:ascii="Cambria" w:hAnsi="Cambria"/>
                                <w:sz w:val="20"/>
                                <w:lang w:val="pt-BR"/>
                              </w:rPr>
                              <w:t>EA/Ser.L/V/II.</w:t>
                            </w:r>
                            <w:r>
                              <w:rPr>
                                <w:rFonts w:ascii="Cambria" w:hAnsi="Cambria"/>
                                <w:sz w:val="20"/>
                                <w:lang w:val="pt-BR"/>
                              </w:rPr>
                              <w:t>173</w:t>
                            </w:r>
                          </w:p>
                          <w:p w14:paraId="354E3C24" w14:textId="5E006365" w:rsidR="00BA51DA" w:rsidRPr="00187186" w:rsidRDefault="00BA51DA" w:rsidP="00DA1159">
                            <w:pPr>
                              <w:jc w:val="right"/>
                              <w:rPr>
                                <w:rFonts w:ascii="Cambria" w:hAnsi="Cambria"/>
                                <w:sz w:val="20"/>
                                <w:lang w:val="pt-BR"/>
                              </w:rPr>
                            </w:pPr>
                            <w:r w:rsidRPr="00187186">
                              <w:rPr>
                                <w:rFonts w:ascii="Cambria" w:hAnsi="Cambria"/>
                                <w:sz w:val="20"/>
                                <w:lang w:val="pt-BR"/>
                              </w:rPr>
                              <w:t xml:space="preserve">Doc. </w:t>
                            </w:r>
                            <w:r>
                              <w:rPr>
                                <w:rFonts w:ascii="Cambria" w:hAnsi="Cambria"/>
                                <w:sz w:val="20"/>
                                <w:lang w:val="pt-BR"/>
                              </w:rPr>
                              <w:t>159</w:t>
                            </w:r>
                          </w:p>
                          <w:p w14:paraId="1565FCAF" w14:textId="362CD122" w:rsidR="00BA51DA" w:rsidRPr="00187186" w:rsidRDefault="00BA51DA" w:rsidP="00DA1159">
                            <w:pPr>
                              <w:jc w:val="right"/>
                              <w:rPr>
                                <w:rFonts w:ascii="Cambria" w:hAnsi="Cambria"/>
                                <w:sz w:val="20"/>
                                <w:lang w:val="pt-BR"/>
                              </w:rPr>
                            </w:pPr>
                            <w:r>
                              <w:rPr>
                                <w:rFonts w:ascii="Cambria" w:hAnsi="Cambria"/>
                                <w:sz w:val="20"/>
                                <w:lang w:val="pt-BR"/>
                              </w:rPr>
                              <w:t>28</w:t>
                            </w:r>
                            <w:r w:rsidRPr="00187186">
                              <w:rPr>
                                <w:rFonts w:ascii="Cambria" w:hAnsi="Cambria"/>
                                <w:sz w:val="20"/>
                                <w:lang w:val="pt-BR"/>
                              </w:rPr>
                              <w:t xml:space="preserve"> </w:t>
                            </w:r>
                            <w:r>
                              <w:rPr>
                                <w:rFonts w:ascii="Cambria" w:hAnsi="Cambria"/>
                                <w:sz w:val="20"/>
                                <w:lang w:val="pt-BR"/>
                              </w:rPr>
                              <w:t xml:space="preserve">setembro </w:t>
                            </w:r>
                            <w:r w:rsidRPr="00187186">
                              <w:rPr>
                                <w:rFonts w:ascii="Cambria" w:hAnsi="Cambria"/>
                                <w:sz w:val="20"/>
                                <w:lang w:val="pt-BR"/>
                              </w:rPr>
                              <w:t>2019</w:t>
                            </w:r>
                          </w:p>
                          <w:p w14:paraId="049B839E" w14:textId="77777777" w:rsidR="00BA51DA" w:rsidRPr="00187186" w:rsidRDefault="00BA51DA" w:rsidP="00DA1159">
                            <w:pPr>
                              <w:jc w:val="right"/>
                              <w:rPr>
                                <w:rFonts w:ascii="Cambria" w:hAnsi="Cambria"/>
                                <w:sz w:val="20"/>
                                <w:lang w:val="pt-BR"/>
                              </w:rPr>
                            </w:pPr>
                            <w:r w:rsidRPr="00187186">
                              <w:rPr>
                                <w:rFonts w:ascii="Cambria" w:hAnsi="Cambria"/>
                                <w:sz w:val="20"/>
                                <w:lang w:val="pt-BR"/>
                              </w:rPr>
                              <w:t>Original: Português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EE4C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ED75114" w14:textId="5CAF934C" w:rsidR="00BA51DA" w:rsidRPr="00187186" w:rsidRDefault="00BA51DA" w:rsidP="00DA1159">
                      <w:pPr>
                        <w:jc w:val="right"/>
                        <w:rPr>
                          <w:rFonts w:ascii="Cambria" w:hAnsi="Cambria"/>
                          <w:sz w:val="20"/>
                          <w:lang w:val="pt-BR"/>
                        </w:rPr>
                      </w:pPr>
                      <w:r w:rsidRPr="00187186">
                        <w:rPr>
                          <w:rFonts w:asciiTheme="minorHAnsi" w:hAnsiTheme="minorHAnsi"/>
                          <w:sz w:val="20"/>
                          <w:lang w:val="pt-BR"/>
                        </w:rPr>
                        <w:t>O</w:t>
                      </w:r>
                      <w:r w:rsidRPr="00187186">
                        <w:rPr>
                          <w:rFonts w:ascii="Cambria" w:hAnsi="Cambria"/>
                          <w:sz w:val="20"/>
                          <w:lang w:val="pt-BR"/>
                        </w:rPr>
                        <w:t>EA/Ser.L/V/II.</w:t>
                      </w:r>
                      <w:r>
                        <w:rPr>
                          <w:rFonts w:ascii="Cambria" w:hAnsi="Cambria"/>
                          <w:sz w:val="20"/>
                          <w:lang w:val="pt-BR"/>
                        </w:rPr>
                        <w:t>173</w:t>
                      </w:r>
                    </w:p>
                    <w:p w14:paraId="354E3C24" w14:textId="5E006365" w:rsidR="00BA51DA" w:rsidRPr="00187186" w:rsidRDefault="00BA51DA" w:rsidP="00DA1159">
                      <w:pPr>
                        <w:jc w:val="right"/>
                        <w:rPr>
                          <w:rFonts w:ascii="Cambria" w:hAnsi="Cambria"/>
                          <w:sz w:val="20"/>
                          <w:lang w:val="pt-BR"/>
                        </w:rPr>
                      </w:pPr>
                      <w:r w:rsidRPr="00187186">
                        <w:rPr>
                          <w:rFonts w:ascii="Cambria" w:hAnsi="Cambria"/>
                          <w:sz w:val="20"/>
                          <w:lang w:val="pt-BR"/>
                        </w:rPr>
                        <w:t xml:space="preserve">Doc. </w:t>
                      </w:r>
                      <w:r>
                        <w:rPr>
                          <w:rFonts w:ascii="Cambria" w:hAnsi="Cambria"/>
                          <w:sz w:val="20"/>
                          <w:lang w:val="pt-BR"/>
                        </w:rPr>
                        <w:t>159</w:t>
                      </w:r>
                    </w:p>
                    <w:p w14:paraId="1565FCAF" w14:textId="362CD122" w:rsidR="00BA51DA" w:rsidRPr="00187186" w:rsidRDefault="00BA51DA" w:rsidP="00DA1159">
                      <w:pPr>
                        <w:jc w:val="right"/>
                        <w:rPr>
                          <w:rFonts w:ascii="Cambria" w:hAnsi="Cambria"/>
                          <w:sz w:val="20"/>
                          <w:lang w:val="pt-BR"/>
                        </w:rPr>
                      </w:pPr>
                      <w:r>
                        <w:rPr>
                          <w:rFonts w:ascii="Cambria" w:hAnsi="Cambria"/>
                          <w:sz w:val="20"/>
                          <w:lang w:val="pt-BR"/>
                        </w:rPr>
                        <w:t>28</w:t>
                      </w:r>
                      <w:r w:rsidRPr="00187186">
                        <w:rPr>
                          <w:rFonts w:ascii="Cambria" w:hAnsi="Cambria"/>
                          <w:sz w:val="20"/>
                          <w:lang w:val="pt-BR"/>
                        </w:rPr>
                        <w:t xml:space="preserve"> </w:t>
                      </w:r>
                      <w:r>
                        <w:rPr>
                          <w:rFonts w:ascii="Cambria" w:hAnsi="Cambria"/>
                          <w:sz w:val="20"/>
                          <w:lang w:val="pt-BR"/>
                        </w:rPr>
                        <w:t xml:space="preserve">setembro </w:t>
                      </w:r>
                      <w:r w:rsidRPr="00187186">
                        <w:rPr>
                          <w:rFonts w:ascii="Cambria" w:hAnsi="Cambria"/>
                          <w:sz w:val="20"/>
                          <w:lang w:val="pt-BR"/>
                        </w:rPr>
                        <w:t>2019</w:t>
                      </w:r>
                    </w:p>
                    <w:p w14:paraId="049B839E" w14:textId="77777777" w:rsidR="00BA51DA" w:rsidRPr="00187186" w:rsidRDefault="00BA51DA" w:rsidP="00DA1159">
                      <w:pPr>
                        <w:jc w:val="right"/>
                        <w:rPr>
                          <w:rFonts w:ascii="Cambria" w:hAnsi="Cambria"/>
                          <w:sz w:val="20"/>
                          <w:lang w:val="pt-BR"/>
                        </w:rPr>
                      </w:pPr>
                      <w:r w:rsidRPr="00187186">
                        <w:rPr>
                          <w:rFonts w:ascii="Cambria" w:hAnsi="Cambria"/>
                          <w:sz w:val="20"/>
                          <w:lang w:val="pt-BR"/>
                        </w:rPr>
                        <w:t>Original: Português</w:t>
                      </w:r>
                    </w:p>
                  </w:txbxContent>
                </v:textbox>
              </v:shape>
            </w:pict>
          </mc:Fallback>
        </mc:AlternateContent>
      </w:r>
    </w:p>
    <w:p w14:paraId="7189C8A5" w14:textId="77777777" w:rsidR="00040C3A" w:rsidRPr="007B7EAB" w:rsidRDefault="00040C3A" w:rsidP="004862FA">
      <w:pPr>
        <w:tabs>
          <w:tab w:val="center" w:pos="5400"/>
        </w:tabs>
        <w:suppressAutoHyphens/>
        <w:jc w:val="center"/>
        <w:rPr>
          <w:rFonts w:asciiTheme="majorHAnsi" w:hAnsiTheme="majorHAnsi"/>
          <w:sz w:val="22"/>
          <w:szCs w:val="22"/>
          <w:lang w:val="es-ES_tradnl"/>
        </w:rPr>
      </w:pPr>
    </w:p>
    <w:p w14:paraId="4DE34E96" w14:textId="77777777" w:rsidR="00040C3A" w:rsidRPr="007B7EAB" w:rsidRDefault="00040C3A" w:rsidP="004862FA">
      <w:pPr>
        <w:tabs>
          <w:tab w:val="center" w:pos="5400"/>
        </w:tabs>
        <w:suppressAutoHyphens/>
        <w:jc w:val="center"/>
        <w:rPr>
          <w:rFonts w:asciiTheme="majorHAnsi" w:hAnsiTheme="majorHAnsi" w:cs="Arial"/>
          <w:sz w:val="22"/>
          <w:szCs w:val="22"/>
          <w:lang w:val="es-ES_tradnl"/>
        </w:rPr>
      </w:pPr>
    </w:p>
    <w:p w14:paraId="244AB905" w14:textId="77777777" w:rsidR="00040C3A" w:rsidRPr="007B7EAB" w:rsidRDefault="00040C3A" w:rsidP="004862FA">
      <w:pPr>
        <w:tabs>
          <w:tab w:val="center" w:pos="5400"/>
        </w:tabs>
        <w:suppressAutoHyphens/>
        <w:jc w:val="center"/>
        <w:rPr>
          <w:rFonts w:asciiTheme="majorHAnsi" w:hAnsiTheme="majorHAnsi"/>
          <w:sz w:val="22"/>
          <w:szCs w:val="22"/>
          <w:lang w:val="es-ES_tradnl"/>
        </w:rPr>
      </w:pPr>
    </w:p>
    <w:p w14:paraId="61A8B733" w14:textId="77777777" w:rsidR="00040C3A" w:rsidRPr="007B7EAB" w:rsidRDefault="00040C3A" w:rsidP="004862FA">
      <w:pPr>
        <w:tabs>
          <w:tab w:val="center" w:pos="5400"/>
        </w:tabs>
        <w:suppressAutoHyphens/>
        <w:jc w:val="center"/>
        <w:rPr>
          <w:rFonts w:asciiTheme="majorHAnsi" w:hAnsiTheme="majorHAnsi"/>
          <w:sz w:val="22"/>
          <w:szCs w:val="22"/>
          <w:lang w:val="es-ES_tradnl"/>
        </w:rPr>
      </w:pPr>
    </w:p>
    <w:p w14:paraId="20891D2F" w14:textId="77777777" w:rsidR="00040C3A" w:rsidRPr="007B7EAB" w:rsidRDefault="00040C3A" w:rsidP="004862FA">
      <w:pPr>
        <w:tabs>
          <w:tab w:val="center" w:pos="5400"/>
        </w:tabs>
        <w:suppressAutoHyphens/>
        <w:jc w:val="center"/>
        <w:rPr>
          <w:rFonts w:asciiTheme="majorHAnsi" w:hAnsiTheme="majorHAnsi"/>
          <w:sz w:val="22"/>
          <w:szCs w:val="22"/>
          <w:lang w:val="es-ES_tradnl"/>
        </w:rPr>
      </w:pPr>
    </w:p>
    <w:p w14:paraId="47315F01" w14:textId="77777777" w:rsidR="00040C3A" w:rsidRPr="007B7EAB" w:rsidRDefault="00040C3A" w:rsidP="004862FA">
      <w:pPr>
        <w:tabs>
          <w:tab w:val="center" w:pos="5400"/>
        </w:tabs>
        <w:suppressAutoHyphens/>
        <w:jc w:val="center"/>
        <w:rPr>
          <w:rFonts w:asciiTheme="majorHAnsi" w:hAnsiTheme="majorHAnsi"/>
          <w:sz w:val="22"/>
          <w:szCs w:val="22"/>
          <w:lang w:val="es-ES_tradnl"/>
        </w:rPr>
      </w:pPr>
    </w:p>
    <w:p w14:paraId="4C16756A" w14:textId="77777777" w:rsidR="005128E4" w:rsidRPr="007B7EAB" w:rsidRDefault="005128E4" w:rsidP="004862FA">
      <w:pPr>
        <w:tabs>
          <w:tab w:val="center" w:pos="5400"/>
        </w:tabs>
        <w:suppressAutoHyphens/>
        <w:jc w:val="center"/>
        <w:rPr>
          <w:rFonts w:asciiTheme="majorHAnsi" w:hAnsiTheme="majorHAnsi"/>
          <w:sz w:val="22"/>
          <w:szCs w:val="22"/>
          <w:lang w:val="es-ES_tradnl"/>
        </w:rPr>
      </w:pPr>
    </w:p>
    <w:p w14:paraId="14A34B5D" w14:textId="77777777" w:rsidR="00040C3A" w:rsidRPr="007B7EAB" w:rsidRDefault="00040C3A" w:rsidP="004862FA">
      <w:pPr>
        <w:tabs>
          <w:tab w:val="center" w:pos="5400"/>
        </w:tabs>
        <w:suppressAutoHyphens/>
        <w:jc w:val="center"/>
        <w:rPr>
          <w:rFonts w:asciiTheme="majorHAnsi" w:hAnsiTheme="majorHAnsi"/>
          <w:sz w:val="22"/>
          <w:szCs w:val="22"/>
          <w:lang w:val="es-ES_tradnl"/>
        </w:rPr>
      </w:pPr>
    </w:p>
    <w:p w14:paraId="578ED8D2" w14:textId="77777777" w:rsidR="005128E4" w:rsidRPr="007B7EAB" w:rsidRDefault="005128E4" w:rsidP="004862FA">
      <w:pPr>
        <w:tabs>
          <w:tab w:val="center" w:pos="5400"/>
        </w:tabs>
        <w:suppressAutoHyphens/>
        <w:jc w:val="center"/>
        <w:rPr>
          <w:rFonts w:asciiTheme="majorHAnsi" w:hAnsiTheme="majorHAnsi"/>
          <w:sz w:val="22"/>
          <w:szCs w:val="22"/>
          <w:lang w:val="es-ES_tradnl"/>
        </w:rPr>
      </w:pPr>
    </w:p>
    <w:p w14:paraId="1E20C64F" w14:textId="77777777" w:rsidR="005128E4" w:rsidRPr="007B7EAB" w:rsidRDefault="005128E4" w:rsidP="004862FA">
      <w:pPr>
        <w:tabs>
          <w:tab w:val="center" w:pos="5400"/>
        </w:tabs>
        <w:suppressAutoHyphens/>
        <w:jc w:val="center"/>
        <w:rPr>
          <w:rFonts w:asciiTheme="majorHAnsi" w:hAnsiTheme="majorHAnsi"/>
          <w:sz w:val="22"/>
          <w:szCs w:val="22"/>
          <w:lang w:val="es-ES_tradnl"/>
        </w:rPr>
      </w:pPr>
    </w:p>
    <w:p w14:paraId="6A648C41" w14:textId="77777777" w:rsidR="005128E4" w:rsidRPr="007B7EAB" w:rsidRDefault="005128E4" w:rsidP="004862FA">
      <w:pPr>
        <w:tabs>
          <w:tab w:val="center" w:pos="5400"/>
        </w:tabs>
        <w:suppressAutoHyphens/>
        <w:jc w:val="center"/>
        <w:rPr>
          <w:rFonts w:asciiTheme="majorHAnsi" w:hAnsiTheme="majorHAnsi"/>
          <w:sz w:val="22"/>
          <w:szCs w:val="22"/>
          <w:lang w:val="es-ES_tradnl"/>
        </w:rPr>
      </w:pPr>
    </w:p>
    <w:p w14:paraId="2E65855D" w14:textId="77777777" w:rsidR="00040C3A" w:rsidRPr="007B7EAB" w:rsidRDefault="00040C3A" w:rsidP="004862FA">
      <w:pPr>
        <w:tabs>
          <w:tab w:val="center" w:pos="5400"/>
        </w:tabs>
        <w:suppressAutoHyphens/>
        <w:jc w:val="center"/>
        <w:rPr>
          <w:rFonts w:asciiTheme="majorHAnsi" w:hAnsiTheme="majorHAnsi"/>
          <w:sz w:val="22"/>
          <w:szCs w:val="22"/>
          <w:lang w:val="es-ES_tradnl"/>
        </w:rPr>
      </w:pPr>
    </w:p>
    <w:p w14:paraId="07B9FBE8" w14:textId="77777777" w:rsidR="00040C3A" w:rsidRPr="007B7EAB" w:rsidRDefault="00040C3A" w:rsidP="004862FA">
      <w:pPr>
        <w:tabs>
          <w:tab w:val="center" w:pos="5400"/>
        </w:tabs>
        <w:suppressAutoHyphens/>
        <w:jc w:val="center"/>
        <w:rPr>
          <w:rFonts w:asciiTheme="majorHAnsi" w:hAnsiTheme="majorHAnsi"/>
          <w:sz w:val="22"/>
          <w:szCs w:val="22"/>
          <w:lang w:val="es-ES_tradnl"/>
        </w:rPr>
      </w:pPr>
    </w:p>
    <w:p w14:paraId="0501B2D3" w14:textId="77777777" w:rsidR="002C1641" w:rsidRPr="007B7EAB" w:rsidRDefault="002C1641" w:rsidP="004862FA">
      <w:pPr>
        <w:tabs>
          <w:tab w:val="center" w:pos="5400"/>
        </w:tabs>
        <w:suppressAutoHyphens/>
        <w:jc w:val="center"/>
        <w:rPr>
          <w:rFonts w:asciiTheme="majorHAnsi" w:hAnsiTheme="majorHAnsi"/>
          <w:sz w:val="18"/>
          <w:szCs w:val="22"/>
          <w:lang w:val="es-ES_tradnl"/>
        </w:rPr>
      </w:pPr>
    </w:p>
    <w:p w14:paraId="2D35FD54" w14:textId="77777777" w:rsidR="002C1641" w:rsidRPr="007B7EAB" w:rsidRDefault="002C1641" w:rsidP="004862FA">
      <w:pPr>
        <w:tabs>
          <w:tab w:val="center" w:pos="5400"/>
        </w:tabs>
        <w:suppressAutoHyphens/>
        <w:jc w:val="center"/>
        <w:rPr>
          <w:rFonts w:asciiTheme="majorHAnsi" w:hAnsiTheme="majorHAnsi"/>
          <w:sz w:val="18"/>
          <w:szCs w:val="22"/>
          <w:lang w:val="es-ES_tradnl"/>
        </w:rPr>
      </w:pPr>
    </w:p>
    <w:p w14:paraId="0B444D98" w14:textId="77777777" w:rsidR="002C1641" w:rsidRPr="007B7EAB" w:rsidRDefault="002C1641" w:rsidP="004862FA">
      <w:pPr>
        <w:tabs>
          <w:tab w:val="center" w:pos="5400"/>
        </w:tabs>
        <w:suppressAutoHyphens/>
        <w:jc w:val="center"/>
        <w:rPr>
          <w:rFonts w:asciiTheme="majorHAnsi" w:hAnsiTheme="majorHAnsi"/>
          <w:sz w:val="18"/>
          <w:szCs w:val="22"/>
          <w:lang w:val="es-ES_tradnl"/>
        </w:rPr>
      </w:pPr>
    </w:p>
    <w:p w14:paraId="56617E09" w14:textId="77777777" w:rsidR="002C1641" w:rsidRPr="007B7EAB" w:rsidRDefault="002C1641" w:rsidP="004862FA">
      <w:pPr>
        <w:tabs>
          <w:tab w:val="center" w:pos="5400"/>
        </w:tabs>
        <w:suppressAutoHyphens/>
        <w:jc w:val="center"/>
        <w:rPr>
          <w:rFonts w:asciiTheme="majorHAnsi" w:hAnsiTheme="majorHAnsi"/>
          <w:sz w:val="18"/>
          <w:szCs w:val="22"/>
          <w:lang w:val="es-ES_tradnl"/>
        </w:rPr>
      </w:pPr>
    </w:p>
    <w:p w14:paraId="752CF37C" w14:textId="77777777" w:rsidR="002C1641" w:rsidRPr="007B7EAB" w:rsidRDefault="002C1641" w:rsidP="004862FA">
      <w:pPr>
        <w:tabs>
          <w:tab w:val="center" w:pos="5400"/>
        </w:tabs>
        <w:suppressAutoHyphens/>
        <w:jc w:val="center"/>
        <w:rPr>
          <w:rFonts w:asciiTheme="majorHAnsi" w:hAnsiTheme="majorHAnsi"/>
          <w:sz w:val="18"/>
          <w:szCs w:val="22"/>
          <w:lang w:val="es-ES_tradnl"/>
        </w:rPr>
      </w:pPr>
    </w:p>
    <w:p w14:paraId="5885E28B" w14:textId="77777777" w:rsidR="002C1641" w:rsidRPr="007B7EAB" w:rsidRDefault="002C1641" w:rsidP="004862FA">
      <w:pPr>
        <w:tabs>
          <w:tab w:val="center" w:pos="5400"/>
        </w:tabs>
        <w:suppressAutoHyphens/>
        <w:jc w:val="center"/>
        <w:rPr>
          <w:rFonts w:asciiTheme="majorHAnsi" w:hAnsiTheme="majorHAnsi"/>
          <w:sz w:val="18"/>
          <w:szCs w:val="22"/>
          <w:lang w:val="es-ES_tradnl"/>
        </w:rPr>
      </w:pPr>
    </w:p>
    <w:p w14:paraId="2350CA23" w14:textId="77777777" w:rsidR="002C1641" w:rsidRPr="007B7EAB" w:rsidRDefault="002C1641" w:rsidP="004862FA">
      <w:pPr>
        <w:tabs>
          <w:tab w:val="center" w:pos="5400"/>
        </w:tabs>
        <w:suppressAutoHyphens/>
        <w:jc w:val="center"/>
        <w:rPr>
          <w:rFonts w:asciiTheme="majorHAnsi" w:hAnsiTheme="majorHAnsi"/>
          <w:sz w:val="18"/>
          <w:szCs w:val="22"/>
          <w:lang w:val="es-ES_tradnl"/>
        </w:rPr>
      </w:pPr>
    </w:p>
    <w:p w14:paraId="6D6759CF" w14:textId="77777777" w:rsidR="002C1641" w:rsidRPr="007B7EAB" w:rsidRDefault="002C1641" w:rsidP="004862FA">
      <w:pPr>
        <w:tabs>
          <w:tab w:val="center" w:pos="5400"/>
        </w:tabs>
        <w:suppressAutoHyphens/>
        <w:jc w:val="center"/>
        <w:rPr>
          <w:rFonts w:asciiTheme="majorHAnsi" w:hAnsiTheme="majorHAnsi"/>
          <w:sz w:val="18"/>
          <w:szCs w:val="22"/>
          <w:lang w:val="es-ES_tradnl"/>
        </w:rPr>
      </w:pPr>
    </w:p>
    <w:p w14:paraId="30ED43C6" w14:textId="77777777" w:rsidR="002C1641" w:rsidRPr="007B7EAB" w:rsidRDefault="002C1641" w:rsidP="004862FA">
      <w:pPr>
        <w:tabs>
          <w:tab w:val="center" w:pos="5400"/>
        </w:tabs>
        <w:suppressAutoHyphens/>
        <w:jc w:val="center"/>
        <w:rPr>
          <w:rFonts w:asciiTheme="majorHAnsi" w:hAnsiTheme="majorHAnsi"/>
          <w:sz w:val="18"/>
          <w:szCs w:val="22"/>
          <w:lang w:val="es-ES_tradnl"/>
        </w:rPr>
      </w:pPr>
    </w:p>
    <w:p w14:paraId="194DDA39" w14:textId="77777777" w:rsidR="002C1641" w:rsidRPr="007B7EAB" w:rsidRDefault="002C1641" w:rsidP="004862FA">
      <w:pPr>
        <w:tabs>
          <w:tab w:val="center" w:pos="5400"/>
        </w:tabs>
        <w:suppressAutoHyphens/>
        <w:jc w:val="center"/>
        <w:rPr>
          <w:rFonts w:asciiTheme="majorHAnsi" w:hAnsiTheme="majorHAnsi"/>
          <w:sz w:val="18"/>
          <w:szCs w:val="22"/>
          <w:lang w:val="es-ES_tradnl"/>
        </w:rPr>
      </w:pPr>
    </w:p>
    <w:p w14:paraId="5AB987A2" w14:textId="77777777" w:rsidR="002C1641" w:rsidRPr="007B7EAB" w:rsidRDefault="002C1641" w:rsidP="004862FA">
      <w:pPr>
        <w:tabs>
          <w:tab w:val="center" w:pos="5400"/>
        </w:tabs>
        <w:suppressAutoHyphens/>
        <w:jc w:val="center"/>
        <w:rPr>
          <w:rFonts w:asciiTheme="majorHAnsi" w:hAnsiTheme="majorHAnsi"/>
          <w:sz w:val="18"/>
          <w:szCs w:val="22"/>
          <w:lang w:val="es-ES_tradnl"/>
        </w:rPr>
      </w:pPr>
    </w:p>
    <w:p w14:paraId="1A954445" w14:textId="77777777" w:rsidR="002C1641" w:rsidRPr="007B7EAB" w:rsidRDefault="007B7EAB" w:rsidP="004862FA">
      <w:pPr>
        <w:tabs>
          <w:tab w:val="center" w:pos="5400"/>
        </w:tabs>
        <w:suppressAutoHyphens/>
        <w:jc w:val="center"/>
        <w:rPr>
          <w:rFonts w:asciiTheme="majorHAnsi" w:hAnsiTheme="majorHAnsi"/>
          <w:sz w:val="18"/>
          <w:szCs w:val="22"/>
          <w:lang w:val="es-ES_tradnl"/>
        </w:rPr>
      </w:pPr>
      <w:r w:rsidRPr="007B7EA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2348C47" wp14:editId="74F6646B">
                <wp:simplePos x="0" y="0"/>
                <wp:positionH relativeFrom="column">
                  <wp:posOffset>1209675</wp:posOffset>
                </wp:positionH>
                <wp:positionV relativeFrom="paragraph">
                  <wp:posOffset>128905</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C083AB" w14:textId="25D6D84F" w:rsidR="00BA51DA" w:rsidRPr="00623ED1" w:rsidRDefault="00BA51DA" w:rsidP="00DA1159">
                            <w:pPr>
                              <w:tabs>
                                <w:tab w:val="center" w:pos="5400"/>
                              </w:tabs>
                              <w:suppressAutoHyphens/>
                              <w:spacing w:before="60"/>
                              <w:rPr>
                                <w:rFonts w:ascii="Cambria" w:hAnsi="Cambria"/>
                                <w:color w:val="0D0D0D"/>
                                <w:sz w:val="18"/>
                                <w:szCs w:val="20"/>
                                <w:lang w:val="pt-BR"/>
                              </w:rPr>
                            </w:pPr>
                            <w:r w:rsidRPr="00623ED1">
                              <w:rPr>
                                <w:rFonts w:ascii="Cambria" w:hAnsi="Cambria"/>
                                <w:color w:val="0D0D0D"/>
                                <w:sz w:val="18"/>
                                <w:szCs w:val="20"/>
                                <w:lang w:val="pt-BR"/>
                              </w:rPr>
                              <w:t xml:space="preserve">Aprovado pela Comissão em sua sessão No. </w:t>
                            </w:r>
                            <w:r>
                              <w:rPr>
                                <w:rFonts w:ascii="Cambria" w:hAnsi="Cambria"/>
                                <w:color w:val="0D0D0D"/>
                                <w:sz w:val="18"/>
                                <w:szCs w:val="20"/>
                                <w:lang w:val="pt-BR"/>
                              </w:rPr>
                              <w:t>2155</w:t>
                            </w:r>
                            <w:r w:rsidRPr="00623ED1">
                              <w:rPr>
                                <w:rFonts w:ascii="Cambria" w:hAnsi="Cambria"/>
                                <w:color w:val="0D0D0D"/>
                                <w:sz w:val="18"/>
                                <w:szCs w:val="20"/>
                                <w:lang w:val="pt-BR"/>
                              </w:rPr>
                              <w:t xml:space="preserve"> celebrada em </w:t>
                            </w:r>
                            <w:r>
                              <w:rPr>
                                <w:rFonts w:ascii="Cambria" w:hAnsi="Cambria"/>
                                <w:color w:val="0D0D0D"/>
                                <w:sz w:val="18"/>
                                <w:szCs w:val="20"/>
                                <w:lang w:val="pt-BR"/>
                              </w:rPr>
                              <w:t>28 de setembro</w:t>
                            </w:r>
                            <w:r w:rsidRPr="00623ED1">
                              <w:rPr>
                                <w:rFonts w:ascii="Cambria" w:hAnsi="Cambria"/>
                                <w:color w:val="0D0D0D"/>
                                <w:sz w:val="18"/>
                                <w:szCs w:val="20"/>
                                <w:lang w:val="pt-BR"/>
                              </w:rPr>
                              <w:t xml:space="preserve"> de 2019</w:t>
                            </w:r>
                            <w:r w:rsidRPr="00623ED1">
                              <w:rPr>
                                <w:rFonts w:ascii="Cambria" w:hAnsi="Cambria"/>
                                <w:color w:val="0D0D0D"/>
                                <w:sz w:val="18"/>
                                <w:szCs w:val="20"/>
                                <w:lang w:val="pt-BR"/>
                              </w:rPr>
                              <w:br/>
                            </w:r>
                            <w:r>
                              <w:rPr>
                                <w:rFonts w:ascii="Cambria" w:hAnsi="Cambria"/>
                                <w:color w:val="0D0D0D"/>
                                <w:sz w:val="18"/>
                                <w:szCs w:val="20"/>
                                <w:lang w:val="pt-BR"/>
                              </w:rPr>
                              <w:t>173 Período de S</w:t>
                            </w:r>
                            <w:r w:rsidRPr="00623ED1">
                              <w:rPr>
                                <w:rFonts w:ascii="Cambria" w:hAnsi="Cambria"/>
                                <w:color w:val="0D0D0D"/>
                                <w:sz w:val="18"/>
                                <w:szCs w:val="20"/>
                                <w:lang w:val="pt-BR"/>
                              </w:rPr>
                              <w:t>ess</w:t>
                            </w:r>
                            <w:r>
                              <w:rPr>
                                <w:rFonts w:ascii="Cambria" w:hAnsi="Cambria"/>
                                <w:color w:val="0D0D0D"/>
                                <w:sz w:val="18"/>
                                <w:szCs w:val="20"/>
                                <w:lang w:val="pt-BR"/>
                              </w:rPr>
                              <w:t>ões</w:t>
                            </w:r>
                          </w:p>
                          <w:p w14:paraId="1687ED72" w14:textId="77777777" w:rsidR="00BA51DA" w:rsidRPr="00623ED1" w:rsidRDefault="00BA51DA" w:rsidP="0085594B">
                            <w:pPr>
                              <w:tabs>
                                <w:tab w:val="center" w:pos="5400"/>
                              </w:tabs>
                              <w:suppressAutoHyphens/>
                              <w:spacing w:before="60"/>
                              <w:rPr>
                                <w:rFonts w:asciiTheme="majorHAnsi" w:hAnsiTheme="majorHAnsi"/>
                                <w:color w:val="0D0D0D" w:themeColor="text1" w:themeTint="F2"/>
                                <w:sz w:val="18"/>
                                <w:szCs w:val="20"/>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48C47" id="Text Box 7" o:spid="_x0000_s1029" type="#_x0000_t202" style="position:absolute;left:0;text-align:left;margin-left:95.25pt;margin-top:10.15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" filled="f" stroked="f" strokeweight=".5pt">
                <v:textbox>
                  <w:txbxContent>
                    <w:p w14:paraId="0AC083AB" w14:textId="25D6D84F" w:rsidR="00BA51DA" w:rsidRPr="00623ED1" w:rsidRDefault="00BA51DA" w:rsidP="00DA1159">
                      <w:pPr>
                        <w:tabs>
                          <w:tab w:val="center" w:pos="5400"/>
                        </w:tabs>
                        <w:suppressAutoHyphens/>
                        <w:spacing w:before="60"/>
                        <w:rPr>
                          <w:rFonts w:ascii="Cambria" w:hAnsi="Cambria"/>
                          <w:color w:val="0D0D0D"/>
                          <w:sz w:val="18"/>
                          <w:szCs w:val="20"/>
                          <w:lang w:val="pt-BR"/>
                        </w:rPr>
                      </w:pPr>
                      <w:r w:rsidRPr="00623ED1">
                        <w:rPr>
                          <w:rFonts w:ascii="Cambria" w:hAnsi="Cambria"/>
                          <w:color w:val="0D0D0D"/>
                          <w:sz w:val="18"/>
                          <w:szCs w:val="20"/>
                          <w:lang w:val="pt-BR"/>
                        </w:rPr>
                        <w:t xml:space="preserve">Aprovado pela Comissão em sua sessão No. </w:t>
                      </w:r>
                      <w:r>
                        <w:rPr>
                          <w:rFonts w:ascii="Cambria" w:hAnsi="Cambria"/>
                          <w:color w:val="0D0D0D"/>
                          <w:sz w:val="18"/>
                          <w:szCs w:val="20"/>
                          <w:lang w:val="pt-BR"/>
                        </w:rPr>
                        <w:t>2155</w:t>
                      </w:r>
                      <w:r w:rsidRPr="00623ED1">
                        <w:rPr>
                          <w:rFonts w:ascii="Cambria" w:hAnsi="Cambria"/>
                          <w:color w:val="0D0D0D"/>
                          <w:sz w:val="18"/>
                          <w:szCs w:val="20"/>
                          <w:lang w:val="pt-BR"/>
                        </w:rPr>
                        <w:t xml:space="preserve"> celebrada em </w:t>
                      </w:r>
                      <w:r>
                        <w:rPr>
                          <w:rFonts w:ascii="Cambria" w:hAnsi="Cambria"/>
                          <w:color w:val="0D0D0D"/>
                          <w:sz w:val="18"/>
                          <w:szCs w:val="20"/>
                          <w:lang w:val="pt-BR"/>
                        </w:rPr>
                        <w:t>28 de setembro</w:t>
                      </w:r>
                      <w:r w:rsidRPr="00623ED1">
                        <w:rPr>
                          <w:rFonts w:ascii="Cambria" w:hAnsi="Cambria"/>
                          <w:color w:val="0D0D0D"/>
                          <w:sz w:val="18"/>
                          <w:szCs w:val="20"/>
                          <w:lang w:val="pt-BR"/>
                        </w:rPr>
                        <w:t xml:space="preserve"> de 2019</w:t>
                      </w:r>
                      <w:r w:rsidRPr="00623ED1">
                        <w:rPr>
                          <w:rFonts w:ascii="Cambria" w:hAnsi="Cambria"/>
                          <w:color w:val="0D0D0D"/>
                          <w:sz w:val="18"/>
                          <w:szCs w:val="20"/>
                          <w:lang w:val="pt-BR"/>
                        </w:rPr>
                        <w:br/>
                      </w:r>
                      <w:r>
                        <w:rPr>
                          <w:rFonts w:ascii="Cambria" w:hAnsi="Cambria"/>
                          <w:color w:val="0D0D0D"/>
                          <w:sz w:val="18"/>
                          <w:szCs w:val="20"/>
                          <w:lang w:val="pt-BR"/>
                        </w:rPr>
                        <w:t>173 Período de S</w:t>
                      </w:r>
                      <w:r w:rsidRPr="00623ED1">
                        <w:rPr>
                          <w:rFonts w:ascii="Cambria" w:hAnsi="Cambria"/>
                          <w:color w:val="0D0D0D"/>
                          <w:sz w:val="18"/>
                          <w:szCs w:val="20"/>
                          <w:lang w:val="pt-BR"/>
                        </w:rPr>
                        <w:t>ess</w:t>
                      </w:r>
                      <w:r>
                        <w:rPr>
                          <w:rFonts w:ascii="Cambria" w:hAnsi="Cambria"/>
                          <w:color w:val="0D0D0D"/>
                          <w:sz w:val="18"/>
                          <w:szCs w:val="20"/>
                          <w:lang w:val="pt-BR"/>
                        </w:rPr>
                        <w:t>ões</w:t>
                      </w:r>
                    </w:p>
                    <w:p w14:paraId="1687ED72" w14:textId="77777777" w:rsidR="00BA51DA" w:rsidRPr="00623ED1" w:rsidRDefault="00BA51DA" w:rsidP="0085594B">
                      <w:pPr>
                        <w:tabs>
                          <w:tab w:val="center" w:pos="5400"/>
                        </w:tabs>
                        <w:suppressAutoHyphens/>
                        <w:spacing w:before="60"/>
                        <w:rPr>
                          <w:rFonts w:asciiTheme="majorHAnsi" w:hAnsiTheme="majorHAnsi"/>
                          <w:color w:val="0D0D0D" w:themeColor="text1" w:themeTint="F2"/>
                          <w:sz w:val="18"/>
                          <w:szCs w:val="20"/>
                          <w:lang w:val="pt-BR"/>
                        </w:rPr>
                      </w:pPr>
                    </w:p>
                  </w:txbxContent>
                </v:textbox>
              </v:shape>
            </w:pict>
          </mc:Fallback>
        </mc:AlternateContent>
      </w:r>
    </w:p>
    <w:p w14:paraId="6B68CC8D" w14:textId="77777777" w:rsidR="002C1641" w:rsidRPr="007B7EAB" w:rsidRDefault="002C1641" w:rsidP="004862FA">
      <w:pPr>
        <w:tabs>
          <w:tab w:val="center" w:pos="5400"/>
        </w:tabs>
        <w:suppressAutoHyphens/>
        <w:jc w:val="center"/>
        <w:rPr>
          <w:rFonts w:asciiTheme="majorHAnsi" w:hAnsiTheme="majorHAnsi"/>
          <w:sz w:val="18"/>
          <w:szCs w:val="22"/>
          <w:lang w:val="es-ES_tradnl"/>
        </w:rPr>
      </w:pPr>
    </w:p>
    <w:p w14:paraId="2E7C33FC" w14:textId="77777777" w:rsidR="002C1641" w:rsidRPr="007B7EAB" w:rsidRDefault="002C1641" w:rsidP="004862FA">
      <w:pPr>
        <w:tabs>
          <w:tab w:val="center" w:pos="5400"/>
        </w:tabs>
        <w:suppressAutoHyphens/>
        <w:jc w:val="center"/>
        <w:rPr>
          <w:rFonts w:asciiTheme="majorHAnsi" w:hAnsiTheme="majorHAnsi"/>
          <w:sz w:val="18"/>
          <w:szCs w:val="22"/>
          <w:lang w:val="es-ES_tradnl"/>
        </w:rPr>
      </w:pPr>
    </w:p>
    <w:p w14:paraId="6DE320A3" w14:textId="77777777" w:rsidR="002C1641" w:rsidRPr="007B7EAB" w:rsidRDefault="002C1641" w:rsidP="004862FA">
      <w:pPr>
        <w:tabs>
          <w:tab w:val="center" w:pos="5400"/>
        </w:tabs>
        <w:suppressAutoHyphens/>
        <w:jc w:val="center"/>
        <w:rPr>
          <w:rFonts w:asciiTheme="majorHAnsi" w:hAnsiTheme="majorHAnsi"/>
          <w:sz w:val="18"/>
          <w:szCs w:val="22"/>
          <w:lang w:val="es-ES_tradnl"/>
        </w:rPr>
      </w:pPr>
    </w:p>
    <w:p w14:paraId="3D68021A" w14:textId="77777777" w:rsidR="002C1641" w:rsidRPr="007B7EAB" w:rsidRDefault="002C1641" w:rsidP="004862FA">
      <w:pPr>
        <w:tabs>
          <w:tab w:val="center" w:pos="5400"/>
        </w:tabs>
        <w:suppressAutoHyphens/>
        <w:jc w:val="center"/>
        <w:rPr>
          <w:rFonts w:asciiTheme="majorHAnsi" w:hAnsiTheme="majorHAnsi"/>
          <w:sz w:val="18"/>
          <w:szCs w:val="22"/>
          <w:lang w:val="es-ES_tradnl"/>
        </w:rPr>
      </w:pPr>
    </w:p>
    <w:p w14:paraId="5A258712" w14:textId="77777777" w:rsidR="002C1641" w:rsidRPr="007B7EAB" w:rsidRDefault="002C1641" w:rsidP="004862FA">
      <w:pPr>
        <w:tabs>
          <w:tab w:val="center" w:pos="5400"/>
        </w:tabs>
        <w:suppressAutoHyphens/>
        <w:jc w:val="center"/>
        <w:rPr>
          <w:rFonts w:asciiTheme="majorHAnsi" w:hAnsiTheme="majorHAnsi"/>
          <w:sz w:val="18"/>
          <w:szCs w:val="22"/>
          <w:lang w:val="es-ES_tradnl"/>
        </w:rPr>
      </w:pPr>
    </w:p>
    <w:p w14:paraId="6CBB9F65" w14:textId="77777777" w:rsidR="002C1641" w:rsidRPr="007B7EAB" w:rsidRDefault="007B7EAB" w:rsidP="004862FA">
      <w:pPr>
        <w:tabs>
          <w:tab w:val="center" w:pos="5400"/>
        </w:tabs>
        <w:suppressAutoHyphens/>
        <w:jc w:val="center"/>
        <w:rPr>
          <w:rFonts w:asciiTheme="majorHAnsi" w:hAnsiTheme="majorHAnsi"/>
          <w:sz w:val="18"/>
          <w:szCs w:val="22"/>
          <w:lang w:val="es-ES_tradnl"/>
        </w:rPr>
      </w:pPr>
      <w:r w:rsidRPr="007B7EAB">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2B775AE7" wp14:editId="1CE7177A">
                <wp:simplePos x="0" y="0"/>
                <wp:positionH relativeFrom="column">
                  <wp:posOffset>1209675</wp:posOffset>
                </wp:positionH>
                <wp:positionV relativeFrom="paragraph">
                  <wp:posOffset>53975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596BD9" w14:textId="447681E3" w:rsidR="00BA51DA" w:rsidRPr="00AE44B6" w:rsidRDefault="00BA51DA" w:rsidP="00DA1159">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Pr>
                                <w:rFonts w:asciiTheme="majorHAnsi" w:hAnsiTheme="majorHAnsi"/>
                                <w:color w:val="595959" w:themeColor="text1" w:themeTint="A6"/>
                                <w:sz w:val="18"/>
                                <w:szCs w:val="18"/>
                                <w:lang w:val="pt-BR"/>
                              </w:rPr>
                              <w:t>159</w:t>
                            </w:r>
                            <w:r w:rsidRPr="001E3936">
                              <w:rPr>
                                <w:rFonts w:asciiTheme="majorHAnsi" w:hAnsiTheme="majorHAnsi"/>
                                <w:color w:val="595959" w:themeColor="text1" w:themeTint="A6"/>
                                <w:sz w:val="18"/>
                                <w:szCs w:val="18"/>
                                <w:lang w:val="pt-BR"/>
                              </w:rPr>
                              <w:t>/19, Caso 12.</w:t>
                            </w:r>
                            <w:r>
                              <w:rPr>
                                <w:rFonts w:asciiTheme="majorHAnsi" w:hAnsiTheme="majorHAnsi"/>
                                <w:color w:val="595959" w:themeColor="text1" w:themeTint="A6"/>
                                <w:sz w:val="18"/>
                                <w:szCs w:val="18"/>
                                <w:lang w:val="pt-BR"/>
                              </w:rPr>
                              <w:t>675</w:t>
                            </w:r>
                            <w:r w:rsidRPr="001E3936">
                              <w:rPr>
                                <w:rFonts w:asciiTheme="majorHAnsi" w:hAnsiTheme="majorHAnsi"/>
                                <w:color w:val="595959" w:themeColor="text1" w:themeTint="A6"/>
                                <w:sz w:val="18"/>
                                <w:szCs w:val="18"/>
                                <w:lang w:val="pt-BR"/>
                              </w:rPr>
                              <w:t xml:space="preserve">. </w:t>
                            </w:r>
                            <w:r w:rsidRPr="00AE44B6">
                              <w:rPr>
                                <w:rFonts w:asciiTheme="majorHAnsi" w:hAnsiTheme="majorHAnsi"/>
                                <w:color w:val="595959" w:themeColor="text1" w:themeTint="A6"/>
                                <w:sz w:val="18"/>
                                <w:szCs w:val="18"/>
                                <w:lang w:val="pt-BR"/>
                              </w:rPr>
                              <w:t xml:space="preserve">Mérito. </w:t>
                            </w:r>
                            <w:r>
                              <w:rPr>
                                <w:rFonts w:asciiTheme="majorHAnsi" w:hAnsiTheme="majorHAnsi"/>
                                <w:color w:val="595959" w:themeColor="text1" w:themeTint="A6"/>
                                <w:sz w:val="18"/>
                                <w:szCs w:val="18"/>
                                <w:lang w:val="pt-BR"/>
                              </w:rPr>
                              <w:t>Gabriel Sales Pimenta</w:t>
                            </w:r>
                            <w:r w:rsidRPr="00AE44B6">
                              <w:rPr>
                                <w:rFonts w:asciiTheme="majorHAnsi" w:hAnsiTheme="majorHAnsi"/>
                                <w:color w:val="595959" w:themeColor="text1" w:themeTint="A6"/>
                                <w:sz w:val="18"/>
                                <w:szCs w:val="18"/>
                                <w:lang w:val="pt-BR"/>
                              </w:rPr>
                              <w:t xml:space="preserve">. Brasil. </w:t>
                            </w:r>
                            <w:r>
                              <w:rPr>
                                <w:rFonts w:asciiTheme="majorHAnsi" w:hAnsiTheme="majorHAnsi"/>
                                <w:color w:val="595959" w:themeColor="text1" w:themeTint="A6"/>
                                <w:sz w:val="18"/>
                                <w:szCs w:val="18"/>
                                <w:lang w:val="pt-BR"/>
                              </w:rPr>
                              <w:t>28 de Setembro</w:t>
                            </w:r>
                            <w:r w:rsidRPr="00AE44B6">
                              <w:rPr>
                                <w:rFonts w:asciiTheme="majorHAnsi" w:hAnsiTheme="majorHAnsi"/>
                                <w:color w:val="595959" w:themeColor="text1" w:themeTint="A6"/>
                                <w:sz w:val="18"/>
                                <w:szCs w:val="18"/>
                                <w:lang w:val="pt-BR"/>
                              </w:rPr>
                              <w:t xml:space="preserve"> de 2019.</w:t>
                            </w:r>
                          </w:p>
                          <w:p w14:paraId="7B8B405D" w14:textId="77777777" w:rsidR="00BA51DA" w:rsidRPr="00801F3C" w:rsidRDefault="00BA51DA" w:rsidP="00801F3C">
                            <w:pPr>
                              <w:spacing w:line="276" w:lineRule="auto"/>
                              <w:rPr>
                                <w:rFonts w:asciiTheme="majorHAnsi" w:hAnsiTheme="majorHAnsi"/>
                                <w:color w:val="595959" w:themeColor="text1" w:themeTint="A6"/>
                                <w:sz w:val="18"/>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75AE7" id="Text Box 14" o:spid="_x0000_s1030" type="#_x0000_t202" style="position:absolute;left:0;text-align:left;margin-left:95.25pt;margin-top:4.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" filled="f" stroked="f" strokeweight=".5pt">
                <v:textbox>
                  <w:txbxContent>
                    <w:p w14:paraId="42596BD9" w14:textId="447681E3" w:rsidR="00BA51DA" w:rsidRPr="00AE44B6" w:rsidRDefault="00BA51DA" w:rsidP="00DA1159">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Pr>
                          <w:rFonts w:asciiTheme="majorHAnsi" w:hAnsiTheme="majorHAnsi"/>
                          <w:color w:val="595959" w:themeColor="text1" w:themeTint="A6"/>
                          <w:sz w:val="18"/>
                          <w:szCs w:val="18"/>
                          <w:lang w:val="pt-BR"/>
                        </w:rPr>
                        <w:t>159</w:t>
                      </w:r>
                      <w:r w:rsidRPr="001E3936">
                        <w:rPr>
                          <w:rFonts w:asciiTheme="majorHAnsi" w:hAnsiTheme="majorHAnsi"/>
                          <w:color w:val="595959" w:themeColor="text1" w:themeTint="A6"/>
                          <w:sz w:val="18"/>
                          <w:szCs w:val="18"/>
                          <w:lang w:val="pt-BR"/>
                        </w:rPr>
                        <w:t>/19, Caso 12.</w:t>
                      </w:r>
                      <w:r>
                        <w:rPr>
                          <w:rFonts w:asciiTheme="majorHAnsi" w:hAnsiTheme="majorHAnsi"/>
                          <w:color w:val="595959" w:themeColor="text1" w:themeTint="A6"/>
                          <w:sz w:val="18"/>
                          <w:szCs w:val="18"/>
                          <w:lang w:val="pt-BR"/>
                        </w:rPr>
                        <w:t>675</w:t>
                      </w:r>
                      <w:r w:rsidRPr="001E3936">
                        <w:rPr>
                          <w:rFonts w:asciiTheme="majorHAnsi" w:hAnsiTheme="majorHAnsi"/>
                          <w:color w:val="595959" w:themeColor="text1" w:themeTint="A6"/>
                          <w:sz w:val="18"/>
                          <w:szCs w:val="18"/>
                          <w:lang w:val="pt-BR"/>
                        </w:rPr>
                        <w:t xml:space="preserve">. </w:t>
                      </w:r>
                      <w:r w:rsidRPr="00AE44B6">
                        <w:rPr>
                          <w:rFonts w:asciiTheme="majorHAnsi" w:hAnsiTheme="majorHAnsi"/>
                          <w:color w:val="595959" w:themeColor="text1" w:themeTint="A6"/>
                          <w:sz w:val="18"/>
                          <w:szCs w:val="18"/>
                          <w:lang w:val="pt-BR"/>
                        </w:rPr>
                        <w:t xml:space="preserve">Mérito. </w:t>
                      </w:r>
                      <w:r>
                        <w:rPr>
                          <w:rFonts w:asciiTheme="majorHAnsi" w:hAnsiTheme="majorHAnsi"/>
                          <w:color w:val="595959" w:themeColor="text1" w:themeTint="A6"/>
                          <w:sz w:val="18"/>
                          <w:szCs w:val="18"/>
                          <w:lang w:val="pt-BR"/>
                        </w:rPr>
                        <w:t>Gabriel Sales Pimenta</w:t>
                      </w:r>
                      <w:r w:rsidRPr="00AE44B6">
                        <w:rPr>
                          <w:rFonts w:asciiTheme="majorHAnsi" w:hAnsiTheme="majorHAnsi"/>
                          <w:color w:val="595959" w:themeColor="text1" w:themeTint="A6"/>
                          <w:sz w:val="18"/>
                          <w:szCs w:val="18"/>
                          <w:lang w:val="pt-BR"/>
                        </w:rPr>
                        <w:t xml:space="preserve">. Brasil. </w:t>
                      </w:r>
                      <w:r>
                        <w:rPr>
                          <w:rFonts w:asciiTheme="majorHAnsi" w:hAnsiTheme="majorHAnsi"/>
                          <w:color w:val="595959" w:themeColor="text1" w:themeTint="A6"/>
                          <w:sz w:val="18"/>
                          <w:szCs w:val="18"/>
                          <w:lang w:val="pt-BR"/>
                        </w:rPr>
                        <w:t>28 de Setembro</w:t>
                      </w:r>
                      <w:r w:rsidRPr="00AE44B6">
                        <w:rPr>
                          <w:rFonts w:asciiTheme="majorHAnsi" w:hAnsiTheme="majorHAnsi"/>
                          <w:color w:val="595959" w:themeColor="text1" w:themeTint="A6"/>
                          <w:sz w:val="18"/>
                          <w:szCs w:val="18"/>
                          <w:lang w:val="pt-BR"/>
                        </w:rPr>
                        <w:t xml:space="preserve"> de 2019.</w:t>
                      </w:r>
                    </w:p>
                    <w:p w14:paraId="7B8B405D" w14:textId="77777777" w:rsidR="00BA51DA" w:rsidRPr="00801F3C" w:rsidRDefault="00BA51DA" w:rsidP="00801F3C">
                      <w:pPr>
                        <w:spacing w:line="276" w:lineRule="auto"/>
                        <w:rPr>
                          <w:rFonts w:asciiTheme="majorHAnsi" w:hAnsiTheme="majorHAnsi"/>
                          <w:color w:val="595959" w:themeColor="text1" w:themeTint="A6"/>
                          <w:sz w:val="18"/>
                          <w:lang w:val="pt-BR"/>
                        </w:rPr>
                      </w:pPr>
                    </w:p>
                  </w:txbxContent>
                </v:textbox>
              </v:shape>
            </w:pict>
          </mc:Fallback>
        </mc:AlternateContent>
      </w:r>
    </w:p>
    <w:p w14:paraId="74DEC812" w14:textId="77777777" w:rsidR="002C1641" w:rsidRPr="007B7EAB" w:rsidRDefault="002C1641" w:rsidP="004862FA">
      <w:pPr>
        <w:tabs>
          <w:tab w:val="center" w:pos="5400"/>
        </w:tabs>
        <w:suppressAutoHyphens/>
        <w:jc w:val="center"/>
        <w:rPr>
          <w:rFonts w:asciiTheme="majorHAnsi" w:hAnsiTheme="majorHAnsi"/>
          <w:sz w:val="18"/>
          <w:szCs w:val="22"/>
          <w:lang w:val="es-ES_tradnl"/>
        </w:rPr>
      </w:pPr>
    </w:p>
    <w:p w14:paraId="21AE4769" w14:textId="77777777" w:rsidR="002C1641" w:rsidRPr="007B7EAB" w:rsidRDefault="002C1641" w:rsidP="004862FA">
      <w:pPr>
        <w:tabs>
          <w:tab w:val="center" w:pos="5400"/>
        </w:tabs>
        <w:suppressAutoHyphens/>
        <w:jc w:val="center"/>
        <w:rPr>
          <w:rFonts w:asciiTheme="majorHAnsi" w:hAnsiTheme="majorHAnsi"/>
          <w:sz w:val="18"/>
          <w:szCs w:val="22"/>
          <w:lang w:val="es-ES_tradnl"/>
        </w:rPr>
      </w:pPr>
    </w:p>
    <w:p w14:paraId="35F65E23" w14:textId="77777777" w:rsidR="002C1641" w:rsidRPr="007B7EAB" w:rsidRDefault="002C1641" w:rsidP="004862FA">
      <w:pPr>
        <w:tabs>
          <w:tab w:val="center" w:pos="5400"/>
        </w:tabs>
        <w:suppressAutoHyphens/>
        <w:jc w:val="center"/>
        <w:rPr>
          <w:rFonts w:asciiTheme="majorHAnsi" w:hAnsiTheme="majorHAnsi"/>
          <w:sz w:val="18"/>
          <w:szCs w:val="22"/>
          <w:lang w:val="es-ES_tradnl"/>
        </w:rPr>
      </w:pPr>
    </w:p>
    <w:p w14:paraId="47863A22" w14:textId="77777777" w:rsidR="007B7EAB" w:rsidRPr="007B7EAB" w:rsidRDefault="007B7EAB" w:rsidP="004862FA">
      <w:pPr>
        <w:tabs>
          <w:tab w:val="center" w:pos="5400"/>
        </w:tabs>
        <w:suppressAutoHyphens/>
        <w:jc w:val="center"/>
        <w:rPr>
          <w:rFonts w:asciiTheme="majorHAnsi" w:hAnsiTheme="majorHAnsi"/>
          <w:sz w:val="18"/>
          <w:szCs w:val="22"/>
          <w:lang w:val="es-ES_tradnl"/>
        </w:rPr>
      </w:pPr>
    </w:p>
    <w:p w14:paraId="037106E4" w14:textId="77777777" w:rsidR="007B7EAB" w:rsidRPr="007B7EAB" w:rsidRDefault="007B7EAB" w:rsidP="004862FA">
      <w:pPr>
        <w:tabs>
          <w:tab w:val="center" w:pos="5400"/>
        </w:tabs>
        <w:suppressAutoHyphens/>
        <w:jc w:val="center"/>
        <w:rPr>
          <w:rFonts w:asciiTheme="majorHAnsi" w:hAnsiTheme="majorHAnsi"/>
          <w:sz w:val="18"/>
          <w:szCs w:val="22"/>
          <w:lang w:val="es-ES_tradnl"/>
        </w:rPr>
      </w:pPr>
    </w:p>
    <w:p w14:paraId="222218D2" w14:textId="77777777" w:rsidR="007C7B72" w:rsidRDefault="007C7B72" w:rsidP="004862FA">
      <w:pPr>
        <w:tabs>
          <w:tab w:val="center" w:pos="5400"/>
        </w:tabs>
        <w:suppressAutoHyphens/>
        <w:jc w:val="center"/>
        <w:rPr>
          <w:rFonts w:asciiTheme="majorHAnsi" w:hAnsiTheme="majorHAnsi"/>
          <w:b/>
          <w:sz w:val="18"/>
          <w:szCs w:val="22"/>
          <w:lang w:val="pt-BR"/>
        </w:rPr>
      </w:pPr>
    </w:p>
    <w:p w14:paraId="111EE86A" w14:textId="77777777" w:rsidR="007C7B72" w:rsidRDefault="007C7B72" w:rsidP="004862FA">
      <w:pPr>
        <w:tabs>
          <w:tab w:val="center" w:pos="5400"/>
        </w:tabs>
        <w:suppressAutoHyphens/>
        <w:jc w:val="center"/>
        <w:rPr>
          <w:rFonts w:asciiTheme="majorHAnsi" w:hAnsiTheme="majorHAnsi"/>
          <w:b/>
          <w:sz w:val="18"/>
          <w:szCs w:val="22"/>
          <w:lang w:val="pt-BR"/>
        </w:rPr>
      </w:pPr>
      <w:r w:rsidRPr="007B7EAB">
        <w:rPr>
          <w:rFonts w:asciiTheme="majorHAnsi" w:hAnsiTheme="majorHAnsi"/>
          <w:noProof/>
          <w:sz w:val="22"/>
          <w:szCs w:val="22"/>
        </w:rPr>
        <mc:AlternateContent>
          <mc:Choice Requires="wps">
            <w:drawing>
              <wp:anchor distT="0" distB="0" distL="114300" distR="114300" simplePos="0" relativeHeight="251679744" behindDoc="0" locked="0" layoutInCell="1" allowOverlap="1" wp14:anchorId="687C68B4" wp14:editId="07C9A2E0">
                <wp:simplePos x="0" y="0"/>
                <wp:positionH relativeFrom="column">
                  <wp:posOffset>-285750</wp:posOffset>
                </wp:positionH>
                <wp:positionV relativeFrom="paragraph">
                  <wp:posOffset>400363</wp:posOffset>
                </wp:positionV>
                <wp:extent cx="1181100" cy="3327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EAD923" w14:textId="77777777" w:rsidR="00BA51DA" w:rsidRPr="00881636" w:rsidRDefault="00BA51DA" w:rsidP="002C1641">
                            <w:pPr>
                              <w:rPr>
                                <w:rFonts w:asciiTheme="minorHAnsi" w:hAnsiTheme="minorHAnsi"/>
                                <w:b/>
                              </w:rPr>
                            </w:pPr>
                            <w:r w:rsidRPr="00881636">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C68B4" id="Text Box 13" o:spid="_x0000_s1031" type="#_x0000_t202" style="position:absolute;left:0;text-align:left;margin-left:-22.5pt;margin-top:31.5pt;width:93pt;height:2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" filled="f" stroked="f" strokeweight=".5pt">
                <v:textbox>
                  <w:txbxContent>
                    <w:p w14:paraId="03EAD923" w14:textId="77777777" w:rsidR="00BA51DA" w:rsidRPr="00881636" w:rsidRDefault="00BA51DA" w:rsidP="002C1641">
                      <w:pPr>
                        <w:rPr>
                          <w:rFonts w:asciiTheme="minorHAnsi" w:hAnsiTheme="minorHAnsi"/>
                          <w:b/>
                        </w:rPr>
                      </w:pPr>
                      <w:r w:rsidRPr="00881636">
                        <w:rPr>
                          <w:rFonts w:asciiTheme="minorHAnsi" w:hAnsiTheme="minorHAnsi"/>
                          <w:b/>
                          <w:lang w:val="pt-BR"/>
                        </w:rPr>
                        <w:t>www.cidh.org</w:t>
                      </w:r>
                    </w:p>
                  </w:txbxContent>
                </v:textbox>
              </v:shape>
            </w:pict>
          </mc:Fallback>
        </mc:AlternateContent>
      </w:r>
      <w:r w:rsidRPr="007B7EAB">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5D7A2AEA" wp14:editId="6705C261">
                <wp:simplePos x="0" y="0"/>
                <wp:positionH relativeFrom="column">
                  <wp:posOffset>1236980</wp:posOffset>
                </wp:positionH>
                <wp:positionV relativeFrom="paragraph">
                  <wp:posOffset>193353</wp:posOffset>
                </wp:positionV>
                <wp:extent cx="2381250" cy="47561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2381250" cy="4756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7CF92F" w14:textId="15939F73" w:rsidR="00BA51DA" w:rsidRDefault="00BA51DA">
                            <w:r>
                              <w:rPr>
                                <w:noProof/>
                              </w:rPr>
                              <w:drawing>
                                <wp:inline distT="0" distB="0" distL="0" distR="0" wp14:anchorId="5B58B819" wp14:editId="37FD83C6">
                                  <wp:extent cx="1381125" cy="377825"/>
                                  <wp:effectExtent l="0" t="0" r="952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A-POR-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1125" cy="3778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A2AEA" id="Text Box 2" o:spid="_x0000_s1032" type="#_x0000_t202" style="position:absolute;left:0;text-align:left;margin-left:97.4pt;margin-top:15.2pt;width:187.5pt;height:37.4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" fillcolor="white [3201]" stroked="f" strokeweight=".5pt">
                <v:textbox>
                  <w:txbxContent>
                    <w:p w14:paraId="797CF92F" w14:textId="15939F73" w:rsidR="00BA51DA" w:rsidRDefault="00BA51DA">
                      <w:r>
                        <w:rPr>
                          <w:noProof/>
                        </w:rPr>
                        <w:drawing>
                          <wp:inline distT="0" distB="0" distL="0" distR="0" wp14:anchorId="5B58B819" wp14:editId="37FD83C6">
                            <wp:extent cx="1381125" cy="377825"/>
                            <wp:effectExtent l="0" t="0" r="952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A-POR-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1125" cy="377825"/>
                                    </a:xfrm>
                                    <a:prstGeom prst="rect">
                                      <a:avLst/>
                                    </a:prstGeom>
                                  </pic:spPr>
                                </pic:pic>
                              </a:graphicData>
                            </a:graphic>
                          </wp:inline>
                        </w:drawing>
                      </w:r>
                    </w:p>
                  </w:txbxContent>
                </v:textbox>
              </v:shape>
            </w:pict>
          </mc:Fallback>
        </mc:AlternateContent>
      </w:r>
    </w:p>
    <w:p w14:paraId="69C6DFDB" w14:textId="77777777" w:rsidR="007C7B72" w:rsidRDefault="007C7B72" w:rsidP="004862FA">
      <w:pPr>
        <w:tabs>
          <w:tab w:val="center" w:pos="5400"/>
        </w:tabs>
        <w:suppressAutoHyphens/>
        <w:rPr>
          <w:rFonts w:asciiTheme="majorHAnsi" w:hAnsiTheme="majorHAnsi"/>
          <w:b/>
          <w:sz w:val="18"/>
          <w:szCs w:val="22"/>
          <w:lang w:val="pt-BR"/>
        </w:rPr>
        <w:sectPr w:rsidR="007C7B72" w:rsidSect="00040C3A">
          <w:headerReference w:type="even" r:id="rId10"/>
          <w:headerReference w:type="default" r:id="rId11"/>
          <w:footerReference w:type="default" r:id="rId12"/>
          <w:headerReference w:type="first" r:id="rId13"/>
          <w:type w:val="oddPage"/>
          <w:pgSz w:w="12240" w:h="15840"/>
          <w:pgMar w:top="1440" w:right="1440" w:bottom="1440" w:left="1440" w:header="720" w:footer="720" w:gutter="0"/>
          <w:pgNumType w:start="1"/>
          <w:cols w:space="720"/>
          <w:titlePg/>
          <w:docGrid w:linePitch="326"/>
        </w:sectPr>
      </w:pPr>
    </w:p>
    <w:p w14:paraId="5DA44697" w14:textId="77777777" w:rsidR="00FB3E2E" w:rsidRPr="00006D9B" w:rsidRDefault="00FB3E2E" w:rsidP="004862FA">
      <w:pPr>
        <w:tabs>
          <w:tab w:val="center" w:pos="5400"/>
        </w:tabs>
        <w:suppressAutoHyphens/>
        <w:spacing w:line="276" w:lineRule="auto"/>
        <w:jc w:val="center"/>
        <w:rPr>
          <w:rFonts w:asciiTheme="majorHAnsi" w:hAnsiTheme="majorHAnsi"/>
          <w:b/>
          <w:szCs w:val="20"/>
          <w:lang w:val="pt-BR"/>
        </w:rPr>
      </w:pPr>
      <w:r w:rsidRPr="00006D9B">
        <w:rPr>
          <w:rFonts w:asciiTheme="majorHAnsi" w:hAnsiTheme="majorHAnsi"/>
          <w:b/>
          <w:szCs w:val="20"/>
          <w:lang w:val="pt-BR"/>
        </w:rPr>
        <w:lastRenderedPageBreak/>
        <w:t>ÍNDICE</w:t>
      </w:r>
    </w:p>
    <w:p w14:paraId="51DD766F" w14:textId="77777777" w:rsidR="004862FA" w:rsidRPr="001C0197" w:rsidRDefault="004862FA" w:rsidP="001C0197">
      <w:pPr>
        <w:tabs>
          <w:tab w:val="left" w:pos="720"/>
          <w:tab w:val="center" w:pos="5400"/>
        </w:tabs>
        <w:suppressAutoHyphens/>
        <w:spacing w:line="276" w:lineRule="auto"/>
        <w:rPr>
          <w:rFonts w:asciiTheme="majorHAnsi" w:hAnsiTheme="majorHAnsi"/>
          <w:sz w:val="20"/>
          <w:szCs w:val="20"/>
          <w:lang w:val="pt-BR"/>
        </w:rPr>
      </w:pPr>
    </w:p>
    <w:p w14:paraId="0833A5DB" w14:textId="56DCE195" w:rsidR="00187186" w:rsidRDefault="00187186" w:rsidP="001C0197">
      <w:pPr>
        <w:keepNext/>
        <w:keepLines/>
        <w:tabs>
          <w:tab w:val="left" w:pos="720"/>
        </w:tabs>
        <w:outlineLvl w:val="0"/>
        <w:rPr>
          <w:rFonts w:asciiTheme="majorHAnsi" w:eastAsia="Batang" w:hAnsiTheme="majorHAnsi" w:cstheme="majorBidi"/>
          <w:b/>
          <w:bCs/>
          <w:sz w:val="20"/>
          <w:szCs w:val="20"/>
          <w:bdr w:val="none" w:sz="0" w:space="0" w:color="auto"/>
          <w:lang w:val="pt-BR" w:eastAsia="es-ES"/>
        </w:rPr>
      </w:pPr>
      <w:bookmarkStart w:id="0" w:name="_Toc7618496"/>
    </w:p>
    <w:p w14:paraId="3DCE2EF0" w14:textId="6C2CB811" w:rsidR="001C0197" w:rsidRPr="001C0197" w:rsidRDefault="001C0197" w:rsidP="001C0197">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r w:rsidRPr="001C0197">
        <w:rPr>
          <w:rFonts w:asciiTheme="majorHAnsi" w:eastAsia="Batang" w:hAnsiTheme="majorHAnsi" w:cstheme="majorBidi"/>
          <w:b/>
          <w:bCs/>
          <w:sz w:val="20"/>
          <w:szCs w:val="20"/>
          <w:bdr w:val="none" w:sz="0" w:space="0" w:color="auto"/>
          <w:lang w:val="pt-BR" w:eastAsia="es-ES"/>
        </w:rPr>
        <w:fldChar w:fldCharType="begin"/>
      </w:r>
      <w:r w:rsidRPr="001C0197">
        <w:rPr>
          <w:rFonts w:asciiTheme="majorHAnsi" w:eastAsia="Batang" w:hAnsiTheme="majorHAnsi" w:cstheme="majorBidi"/>
          <w:b/>
          <w:bCs/>
          <w:sz w:val="20"/>
          <w:szCs w:val="20"/>
          <w:bdr w:val="none" w:sz="0" w:space="0" w:color="auto"/>
          <w:lang w:val="pt-BR" w:eastAsia="es-ES"/>
        </w:rPr>
        <w:instrText xml:space="preserve"> TOC \o "1-3" \h \z \u </w:instrText>
      </w:r>
      <w:r w:rsidRPr="001C0197">
        <w:rPr>
          <w:rFonts w:asciiTheme="majorHAnsi" w:eastAsia="Batang" w:hAnsiTheme="majorHAnsi" w:cstheme="majorBidi"/>
          <w:b/>
          <w:bCs/>
          <w:sz w:val="20"/>
          <w:szCs w:val="20"/>
          <w:bdr w:val="none" w:sz="0" w:space="0" w:color="auto"/>
          <w:lang w:val="pt-BR" w:eastAsia="es-ES"/>
        </w:rPr>
        <w:fldChar w:fldCharType="separate"/>
      </w:r>
      <w:hyperlink w:anchor="_Toc16677861" w:history="1">
        <w:r w:rsidRPr="001C0197">
          <w:rPr>
            <w:rStyle w:val="Hyperlink"/>
            <w:rFonts w:asciiTheme="majorHAnsi" w:hAnsiTheme="majorHAnsi"/>
            <w:noProof/>
            <w:sz w:val="20"/>
            <w:szCs w:val="20"/>
          </w:rPr>
          <w:t>I.</w:t>
        </w:r>
        <w:r w:rsidRPr="001C0197">
          <w:rPr>
            <w:rFonts w:asciiTheme="majorHAnsi" w:eastAsiaTheme="minorEastAsia" w:hAnsiTheme="majorHAnsi" w:cstheme="minorBidi"/>
            <w:noProof/>
            <w:sz w:val="20"/>
            <w:szCs w:val="20"/>
            <w:bdr w:val="none" w:sz="0" w:space="0" w:color="auto"/>
          </w:rPr>
          <w:tab/>
        </w:r>
        <w:r w:rsidRPr="001C0197">
          <w:rPr>
            <w:rStyle w:val="Hyperlink"/>
            <w:rFonts w:asciiTheme="majorHAnsi" w:hAnsiTheme="majorHAnsi"/>
            <w:noProof/>
            <w:sz w:val="20"/>
            <w:szCs w:val="20"/>
          </w:rPr>
          <w:t>INTRODUÇÃO</w:t>
        </w:r>
        <w:r w:rsidRPr="001C0197">
          <w:rPr>
            <w:rFonts w:asciiTheme="majorHAnsi" w:hAnsiTheme="majorHAnsi"/>
            <w:noProof/>
            <w:webHidden/>
            <w:sz w:val="20"/>
            <w:szCs w:val="20"/>
          </w:rPr>
          <w:tab/>
        </w:r>
        <w:r w:rsidRPr="001C0197">
          <w:rPr>
            <w:rFonts w:asciiTheme="majorHAnsi" w:hAnsiTheme="majorHAnsi"/>
            <w:noProof/>
            <w:webHidden/>
            <w:sz w:val="20"/>
            <w:szCs w:val="20"/>
          </w:rPr>
          <w:fldChar w:fldCharType="begin"/>
        </w:r>
        <w:r w:rsidRPr="001C0197">
          <w:rPr>
            <w:rFonts w:asciiTheme="majorHAnsi" w:hAnsiTheme="majorHAnsi"/>
            <w:noProof/>
            <w:webHidden/>
            <w:sz w:val="20"/>
            <w:szCs w:val="20"/>
          </w:rPr>
          <w:instrText xml:space="preserve"> PAGEREF _Toc16677861 \h </w:instrText>
        </w:r>
        <w:r w:rsidRPr="001C0197">
          <w:rPr>
            <w:rFonts w:asciiTheme="majorHAnsi" w:hAnsiTheme="majorHAnsi"/>
            <w:noProof/>
            <w:webHidden/>
            <w:sz w:val="20"/>
            <w:szCs w:val="20"/>
          </w:rPr>
        </w:r>
        <w:r w:rsidRPr="001C0197">
          <w:rPr>
            <w:rFonts w:asciiTheme="majorHAnsi" w:hAnsiTheme="majorHAnsi"/>
            <w:noProof/>
            <w:webHidden/>
            <w:sz w:val="20"/>
            <w:szCs w:val="20"/>
          </w:rPr>
          <w:fldChar w:fldCharType="separate"/>
        </w:r>
        <w:r w:rsidR="003536AD">
          <w:rPr>
            <w:rFonts w:asciiTheme="majorHAnsi" w:hAnsiTheme="majorHAnsi"/>
            <w:noProof/>
            <w:webHidden/>
            <w:sz w:val="20"/>
            <w:szCs w:val="20"/>
          </w:rPr>
          <w:t>1</w:t>
        </w:r>
        <w:r w:rsidRPr="001C0197">
          <w:rPr>
            <w:rFonts w:asciiTheme="majorHAnsi" w:hAnsiTheme="majorHAnsi"/>
            <w:noProof/>
            <w:webHidden/>
            <w:sz w:val="20"/>
            <w:szCs w:val="20"/>
          </w:rPr>
          <w:fldChar w:fldCharType="end"/>
        </w:r>
      </w:hyperlink>
    </w:p>
    <w:p w14:paraId="29EB88AD" w14:textId="521CC486" w:rsidR="001C0197" w:rsidRPr="001C0197" w:rsidRDefault="003536AD" w:rsidP="001C0197">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16677862" w:history="1">
        <w:r w:rsidR="001C0197" w:rsidRPr="001C0197">
          <w:rPr>
            <w:rStyle w:val="Hyperlink"/>
            <w:rFonts w:asciiTheme="majorHAnsi" w:hAnsiTheme="majorHAnsi"/>
            <w:noProof/>
            <w:sz w:val="20"/>
            <w:szCs w:val="20"/>
          </w:rPr>
          <w:t>II.</w:t>
        </w:r>
        <w:r w:rsidR="001C0197" w:rsidRPr="001C0197">
          <w:rPr>
            <w:rFonts w:asciiTheme="majorHAnsi" w:eastAsiaTheme="minorEastAsia" w:hAnsiTheme="majorHAnsi" w:cstheme="minorBidi"/>
            <w:noProof/>
            <w:sz w:val="20"/>
            <w:szCs w:val="20"/>
            <w:bdr w:val="none" w:sz="0" w:space="0" w:color="auto"/>
          </w:rPr>
          <w:tab/>
        </w:r>
        <w:r w:rsidR="001C0197" w:rsidRPr="001C0197">
          <w:rPr>
            <w:rStyle w:val="Hyperlink"/>
            <w:rFonts w:asciiTheme="majorHAnsi" w:hAnsiTheme="majorHAnsi"/>
            <w:noProof/>
            <w:sz w:val="20"/>
            <w:szCs w:val="20"/>
          </w:rPr>
          <w:t>ALEGAÇÕES DAS PARTES</w:t>
        </w:r>
        <w:r w:rsidR="001C0197" w:rsidRPr="001C0197">
          <w:rPr>
            <w:rFonts w:asciiTheme="majorHAnsi" w:hAnsiTheme="majorHAnsi"/>
            <w:noProof/>
            <w:webHidden/>
            <w:sz w:val="20"/>
            <w:szCs w:val="20"/>
          </w:rPr>
          <w:tab/>
        </w:r>
        <w:r w:rsidR="001C0197" w:rsidRPr="001C0197">
          <w:rPr>
            <w:rFonts w:asciiTheme="majorHAnsi" w:hAnsiTheme="majorHAnsi"/>
            <w:noProof/>
            <w:webHidden/>
            <w:sz w:val="20"/>
            <w:szCs w:val="20"/>
          </w:rPr>
          <w:fldChar w:fldCharType="begin"/>
        </w:r>
        <w:r w:rsidR="001C0197" w:rsidRPr="001C0197">
          <w:rPr>
            <w:rFonts w:asciiTheme="majorHAnsi" w:hAnsiTheme="majorHAnsi"/>
            <w:noProof/>
            <w:webHidden/>
            <w:sz w:val="20"/>
            <w:szCs w:val="20"/>
          </w:rPr>
          <w:instrText xml:space="preserve"> PAGEREF _Toc16677862 \h </w:instrText>
        </w:r>
        <w:r w:rsidR="001C0197" w:rsidRPr="001C0197">
          <w:rPr>
            <w:rFonts w:asciiTheme="majorHAnsi" w:hAnsiTheme="majorHAnsi"/>
            <w:noProof/>
            <w:webHidden/>
            <w:sz w:val="20"/>
            <w:szCs w:val="20"/>
          </w:rPr>
        </w:r>
        <w:r w:rsidR="001C0197" w:rsidRPr="001C0197">
          <w:rPr>
            <w:rFonts w:asciiTheme="majorHAnsi" w:hAnsiTheme="majorHAnsi"/>
            <w:noProof/>
            <w:webHidden/>
            <w:sz w:val="20"/>
            <w:szCs w:val="20"/>
          </w:rPr>
          <w:fldChar w:fldCharType="separate"/>
        </w:r>
        <w:r>
          <w:rPr>
            <w:rFonts w:asciiTheme="majorHAnsi" w:hAnsiTheme="majorHAnsi"/>
            <w:noProof/>
            <w:webHidden/>
            <w:sz w:val="20"/>
            <w:szCs w:val="20"/>
          </w:rPr>
          <w:t>1</w:t>
        </w:r>
        <w:r w:rsidR="001C0197" w:rsidRPr="001C0197">
          <w:rPr>
            <w:rFonts w:asciiTheme="majorHAnsi" w:hAnsiTheme="majorHAnsi"/>
            <w:noProof/>
            <w:webHidden/>
            <w:sz w:val="20"/>
            <w:szCs w:val="20"/>
          </w:rPr>
          <w:fldChar w:fldCharType="end"/>
        </w:r>
      </w:hyperlink>
    </w:p>
    <w:p w14:paraId="4BE7265F" w14:textId="4CCEA1CE" w:rsidR="001C0197" w:rsidRPr="001C0197" w:rsidRDefault="003536AD" w:rsidP="001C0197">
      <w:pPr>
        <w:pStyle w:val="TOC2"/>
        <w:tabs>
          <w:tab w:val="left" w:pos="720"/>
        </w:tabs>
        <w:rPr>
          <w:rFonts w:asciiTheme="majorHAnsi" w:eastAsiaTheme="minorEastAsia" w:hAnsiTheme="majorHAnsi" w:cstheme="minorBidi"/>
          <w:noProof/>
          <w:sz w:val="20"/>
          <w:szCs w:val="20"/>
          <w:bdr w:val="none" w:sz="0" w:space="0" w:color="auto"/>
        </w:rPr>
      </w:pPr>
      <w:hyperlink w:anchor="_Toc16677863" w:history="1">
        <w:r w:rsidR="001C0197" w:rsidRPr="001C0197">
          <w:rPr>
            <w:rStyle w:val="Hyperlink"/>
            <w:rFonts w:asciiTheme="majorHAnsi" w:hAnsiTheme="majorHAnsi"/>
            <w:noProof/>
            <w:sz w:val="20"/>
            <w:szCs w:val="20"/>
          </w:rPr>
          <w:t>A.</w:t>
        </w:r>
        <w:r w:rsidR="001C0197" w:rsidRPr="001C0197">
          <w:rPr>
            <w:rFonts w:asciiTheme="majorHAnsi" w:eastAsiaTheme="minorEastAsia" w:hAnsiTheme="majorHAnsi" w:cstheme="minorBidi"/>
            <w:noProof/>
            <w:sz w:val="20"/>
            <w:szCs w:val="20"/>
            <w:bdr w:val="none" w:sz="0" w:space="0" w:color="auto"/>
          </w:rPr>
          <w:tab/>
        </w:r>
        <w:r w:rsidR="001C0197" w:rsidRPr="001C0197">
          <w:rPr>
            <w:rStyle w:val="Hyperlink"/>
            <w:rFonts w:asciiTheme="majorHAnsi" w:hAnsiTheme="majorHAnsi"/>
            <w:noProof/>
            <w:sz w:val="20"/>
            <w:szCs w:val="20"/>
          </w:rPr>
          <w:t>Parte peticionária</w:t>
        </w:r>
        <w:r w:rsidR="001C0197" w:rsidRPr="001C0197">
          <w:rPr>
            <w:rFonts w:asciiTheme="majorHAnsi" w:hAnsiTheme="majorHAnsi"/>
            <w:noProof/>
            <w:webHidden/>
            <w:sz w:val="20"/>
            <w:szCs w:val="20"/>
          </w:rPr>
          <w:tab/>
        </w:r>
        <w:r w:rsidR="001C0197" w:rsidRPr="001C0197">
          <w:rPr>
            <w:rFonts w:asciiTheme="majorHAnsi" w:hAnsiTheme="majorHAnsi"/>
            <w:noProof/>
            <w:webHidden/>
            <w:sz w:val="20"/>
            <w:szCs w:val="20"/>
          </w:rPr>
          <w:fldChar w:fldCharType="begin"/>
        </w:r>
        <w:r w:rsidR="001C0197" w:rsidRPr="001C0197">
          <w:rPr>
            <w:rFonts w:asciiTheme="majorHAnsi" w:hAnsiTheme="majorHAnsi"/>
            <w:noProof/>
            <w:webHidden/>
            <w:sz w:val="20"/>
            <w:szCs w:val="20"/>
          </w:rPr>
          <w:instrText xml:space="preserve"> PAGEREF _Toc16677863 \h </w:instrText>
        </w:r>
        <w:r w:rsidR="001C0197" w:rsidRPr="001C0197">
          <w:rPr>
            <w:rFonts w:asciiTheme="majorHAnsi" w:hAnsiTheme="majorHAnsi"/>
            <w:noProof/>
            <w:webHidden/>
            <w:sz w:val="20"/>
            <w:szCs w:val="20"/>
          </w:rPr>
        </w:r>
        <w:r w:rsidR="001C0197" w:rsidRPr="001C0197">
          <w:rPr>
            <w:rFonts w:asciiTheme="majorHAnsi" w:hAnsiTheme="majorHAnsi"/>
            <w:noProof/>
            <w:webHidden/>
            <w:sz w:val="20"/>
            <w:szCs w:val="20"/>
          </w:rPr>
          <w:fldChar w:fldCharType="separate"/>
        </w:r>
        <w:r>
          <w:rPr>
            <w:rFonts w:asciiTheme="majorHAnsi" w:hAnsiTheme="majorHAnsi"/>
            <w:noProof/>
            <w:webHidden/>
            <w:sz w:val="20"/>
            <w:szCs w:val="20"/>
          </w:rPr>
          <w:t>1</w:t>
        </w:r>
        <w:r w:rsidR="001C0197" w:rsidRPr="001C0197">
          <w:rPr>
            <w:rFonts w:asciiTheme="majorHAnsi" w:hAnsiTheme="majorHAnsi"/>
            <w:noProof/>
            <w:webHidden/>
            <w:sz w:val="20"/>
            <w:szCs w:val="20"/>
          </w:rPr>
          <w:fldChar w:fldCharType="end"/>
        </w:r>
      </w:hyperlink>
    </w:p>
    <w:p w14:paraId="7DB7D5F6" w14:textId="70DF661D" w:rsidR="001C0197" w:rsidRPr="001C0197" w:rsidRDefault="003536AD" w:rsidP="001C0197">
      <w:pPr>
        <w:pStyle w:val="TOC2"/>
        <w:tabs>
          <w:tab w:val="left" w:pos="720"/>
        </w:tabs>
        <w:rPr>
          <w:rFonts w:asciiTheme="majorHAnsi" w:eastAsiaTheme="minorEastAsia" w:hAnsiTheme="majorHAnsi" w:cstheme="minorBidi"/>
          <w:noProof/>
          <w:sz w:val="20"/>
          <w:szCs w:val="20"/>
          <w:bdr w:val="none" w:sz="0" w:space="0" w:color="auto"/>
        </w:rPr>
      </w:pPr>
      <w:hyperlink w:anchor="_Toc16677864" w:history="1">
        <w:r w:rsidR="001C0197" w:rsidRPr="001C0197">
          <w:rPr>
            <w:rStyle w:val="Hyperlink"/>
            <w:rFonts w:asciiTheme="majorHAnsi" w:hAnsiTheme="majorHAnsi"/>
            <w:noProof/>
            <w:sz w:val="20"/>
            <w:szCs w:val="20"/>
          </w:rPr>
          <w:t>B.</w:t>
        </w:r>
        <w:r w:rsidR="001C0197" w:rsidRPr="001C0197">
          <w:rPr>
            <w:rFonts w:asciiTheme="majorHAnsi" w:eastAsiaTheme="minorEastAsia" w:hAnsiTheme="majorHAnsi" w:cstheme="minorBidi"/>
            <w:noProof/>
            <w:sz w:val="20"/>
            <w:szCs w:val="20"/>
            <w:bdr w:val="none" w:sz="0" w:space="0" w:color="auto"/>
          </w:rPr>
          <w:tab/>
        </w:r>
        <w:r w:rsidR="001C0197" w:rsidRPr="001C0197">
          <w:rPr>
            <w:rStyle w:val="Hyperlink"/>
            <w:rFonts w:asciiTheme="majorHAnsi" w:hAnsiTheme="majorHAnsi"/>
            <w:noProof/>
            <w:sz w:val="20"/>
            <w:szCs w:val="20"/>
          </w:rPr>
          <w:t>Alegações do Estado</w:t>
        </w:r>
        <w:r w:rsidR="001C0197" w:rsidRPr="001C0197">
          <w:rPr>
            <w:rFonts w:asciiTheme="majorHAnsi" w:hAnsiTheme="majorHAnsi"/>
            <w:noProof/>
            <w:webHidden/>
            <w:sz w:val="20"/>
            <w:szCs w:val="20"/>
          </w:rPr>
          <w:tab/>
        </w:r>
        <w:r w:rsidR="001C0197" w:rsidRPr="001C0197">
          <w:rPr>
            <w:rFonts w:asciiTheme="majorHAnsi" w:hAnsiTheme="majorHAnsi"/>
            <w:noProof/>
            <w:webHidden/>
            <w:sz w:val="20"/>
            <w:szCs w:val="20"/>
          </w:rPr>
          <w:fldChar w:fldCharType="begin"/>
        </w:r>
        <w:r w:rsidR="001C0197" w:rsidRPr="001C0197">
          <w:rPr>
            <w:rFonts w:asciiTheme="majorHAnsi" w:hAnsiTheme="majorHAnsi"/>
            <w:noProof/>
            <w:webHidden/>
            <w:sz w:val="20"/>
            <w:szCs w:val="20"/>
          </w:rPr>
          <w:instrText xml:space="preserve"> PAGEREF _Toc16677864 \h </w:instrText>
        </w:r>
        <w:r w:rsidR="001C0197" w:rsidRPr="001C0197">
          <w:rPr>
            <w:rFonts w:asciiTheme="majorHAnsi" w:hAnsiTheme="majorHAnsi"/>
            <w:noProof/>
            <w:webHidden/>
            <w:sz w:val="20"/>
            <w:szCs w:val="20"/>
          </w:rPr>
        </w:r>
        <w:r w:rsidR="001C0197" w:rsidRPr="001C0197">
          <w:rPr>
            <w:rFonts w:asciiTheme="majorHAnsi" w:hAnsiTheme="majorHAnsi"/>
            <w:noProof/>
            <w:webHidden/>
            <w:sz w:val="20"/>
            <w:szCs w:val="20"/>
          </w:rPr>
          <w:fldChar w:fldCharType="separate"/>
        </w:r>
        <w:r>
          <w:rPr>
            <w:rFonts w:asciiTheme="majorHAnsi" w:hAnsiTheme="majorHAnsi"/>
            <w:noProof/>
            <w:webHidden/>
            <w:sz w:val="20"/>
            <w:szCs w:val="20"/>
          </w:rPr>
          <w:t>2</w:t>
        </w:r>
        <w:r w:rsidR="001C0197" w:rsidRPr="001C0197">
          <w:rPr>
            <w:rFonts w:asciiTheme="majorHAnsi" w:hAnsiTheme="majorHAnsi"/>
            <w:noProof/>
            <w:webHidden/>
            <w:sz w:val="20"/>
            <w:szCs w:val="20"/>
          </w:rPr>
          <w:fldChar w:fldCharType="end"/>
        </w:r>
      </w:hyperlink>
    </w:p>
    <w:p w14:paraId="10983B33" w14:textId="282A75CA" w:rsidR="001C0197" w:rsidRPr="001C0197" w:rsidRDefault="003536AD" w:rsidP="001C0197">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16677865" w:history="1">
        <w:r w:rsidR="001C0197" w:rsidRPr="001C0197">
          <w:rPr>
            <w:rStyle w:val="Hyperlink"/>
            <w:rFonts w:asciiTheme="majorHAnsi" w:hAnsiTheme="majorHAnsi"/>
            <w:noProof/>
            <w:sz w:val="20"/>
            <w:szCs w:val="20"/>
          </w:rPr>
          <w:t>III.</w:t>
        </w:r>
        <w:r w:rsidR="001C0197" w:rsidRPr="001C0197">
          <w:rPr>
            <w:rFonts w:asciiTheme="majorHAnsi" w:eastAsiaTheme="minorEastAsia" w:hAnsiTheme="majorHAnsi" w:cstheme="minorBidi"/>
            <w:noProof/>
            <w:sz w:val="20"/>
            <w:szCs w:val="20"/>
            <w:bdr w:val="none" w:sz="0" w:space="0" w:color="auto"/>
          </w:rPr>
          <w:tab/>
        </w:r>
        <w:r w:rsidR="001C0197" w:rsidRPr="001C0197">
          <w:rPr>
            <w:rStyle w:val="Hyperlink"/>
            <w:rFonts w:asciiTheme="majorHAnsi" w:hAnsiTheme="majorHAnsi"/>
            <w:noProof/>
            <w:sz w:val="20"/>
            <w:szCs w:val="20"/>
          </w:rPr>
          <w:t>DETERMINAÇÕES DE FATO</w:t>
        </w:r>
        <w:r w:rsidR="001C0197" w:rsidRPr="001C0197">
          <w:rPr>
            <w:rFonts w:asciiTheme="majorHAnsi" w:hAnsiTheme="majorHAnsi"/>
            <w:noProof/>
            <w:webHidden/>
            <w:sz w:val="20"/>
            <w:szCs w:val="20"/>
          </w:rPr>
          <w:tab/>
        </w:r>
        <w:r w:rsidR="001C0197" w:rsidRPr="001C0197">
          <w:rPr>
            <w:rFonts w:asciiTheme="majorHAnsi" w:hAnsiTheme="majorHAnsi"/>
            <w:noProof/>
            <w:webHidden/>
            <w:sz w:val="20"/>
            <w:szCs w:val="20"/>
          </w:rPr>
          <w:fldChar w:fldCharType="begin"/>
        </w:r>
        <w:r w:rsidR="001C0197" w:rsidRPr="001C0197">
          <w:rPr>
            <w:rFonts w:asciiTheme="majorHAnsi" w:hAnsiTheme="majorHAnsi"/>
            <w:noProof/>
            <w:webHidden/>
            <w:sz w:val="20"/>
            <w:szCs w:val="20"/>
          </w:rPr>
          <w:instrText xml:space="preserve"> PAGEREF _Toc16677865 \h </w:instrText>
        </w:r>
        <w:r w:rsidR="001C0197" w:rsidRPr="001C0197">
          <w:rPr>
            <w:rFonts w:asciiTheme="majorHAnsi" w:hAnsiTheme="majorHAnsi"/>
            <w:noProof/>
            <w:webHidden/>
            <w:sz w:val="20"/>
            <w:szCs w:val="20"/>
          </w:rPr>
        </w:r>
        <w:r w:rsidR="001C0197" w:rsidRPr="001C0197">
          <w:rPr>
            <w:rFonts w:asciiTheme="majorHAnsi" w:hAnsiTheme="majorHAnsi"/>
            <w:noProof/>
            <w:webHidden/>
            <w:sz w:val="20"/>
            <w:szCs w:val="20"/>
          </w:rPr>
          <w:fldChar w:fldCharType="separate"/>
        </w:r>
        <w:r>
          <w:rPr>
            <w:rFonts w:asciiTheme="majorHAnsi" w:hAnsiTheme="majorHAnsi"/>
            <w:noProof/>
            <w:webHidden/>
            <w:sz w:val="20"/>
            <w:szCs w:val="20"/>
          </w:rPr>
          <w:t>2</w:t>
        </w:r>
        <w:r w:rsidR="001C0197" w:rsidRPr="001C0197">
          <w:rPr>
            <w:rFonts w:asciiTheme="majorHAnsi" w:hAnsiTheme="majorHAnsi"/>
            <w:noProof/>
            <w:webHidden/>
            <w:sz w:val="20"/>
            <w:szCs w:val="20"/>
          </w:rPr>
          <w:fldChar w:fldCharType="end"/>
        </w:r>
      </w:hyperlink>
    </w:p>
    <w:p w14:paraId="3B23DEAE" w14:textId="0B3631B9" w:rsidR="001C0197" w:rsidRPr="001C0197" w:rsidRDefault="003536AD" w:rsidP="001C0197">
      <w:pPr>
        <w:pStyle w:val="TOC2"/>
        <w:tabs>
          <w:tab w:val="left" w:pos="720"/>
        </w:tabs>
        <w:rPr>
          <w:rFonts w:asciiTheme="majorHAnsi" w:eastAsiaTheme="minorEastAsia" w:hAnsiTheme="majorHAnsi" w:cstheme="minorBidi"/>
          <w:noProof/>
          <w:sz w:val="20"/>
          <w:szCs w:val="20"/>
          <w:bdr w:val="none" w:sz="0" w:space="0" w:color="auto"/>
        </w:rPr>
      </w:pPr>
      <w:hyperlink w:anchor="_Toc16677866" w:history="1">
        <w:r w:rsidR="001C0197" w:rsidRPr="001C0197">
          <w:rPr>
            <w:rStyle w:val="Hyperlink"/>
            <w:rFonts w:asciiTheme="majorHAnsi" w:hAnsiTheme="majorHAnsi"/>
            <w:noProof/>
            <w:sz w:val="20"/>
            <w:szCs w:val="20"/>
          </w:rPr>
          <w:t>A.</w:t>
        </w:r>
        <w:r w:rsidR="001C0197" w:rsidRPr="001C0197">
          <w:rPr>
            <w:rFonts w:asciiTheme="majorHAnsi" w:eastAsiaTheme="minorEastAsia" w:hAnsiTheme="majorHAnsi" w:cstheme="minorBidi"/>
            <w:noProof/>
            <w:sz w:val="20"/>
            <w:szCs w:val="20"/>
            <w:bdr w:val="none" w:sz="0" w:space="0" w:color="auto"/>
          </w:rPr>
          <w:tab/>
        </w:r>
        <w:r w:rsidR="001C0197" w:rsidRPr="001C0197">
          <w:rPr>
            <w:rStyle w:val="Hyperlink"/>
            <w:rFonts w:asciiTheme="majorHAnsi" w:hAnsiTheme="majorHAnsi"/>
            <w:noProof/>
            <w:sz w:val="20"/>
            <w:szCs w:val="20"/>
          </w:rPr>
          <w:t>Informações sobre as supostas vítimas</w:t>
        </w:r>
        <w:r w:rsidR="001C0197" w:rsidRPr="001C0197">
          <w:rPr>
            <w:rFonts w:asciiTheme="majorHAnsi" w:hAnsiTheme="majorHAnsi"/>
            <w:noProof/>
            <w:webHidden/>
            <w:sz w:val="20"/>
            <w:szCs w:val="20"/>
          </w:rPr>
          <w:tab/>
        </w:r>
        <w:r w:rsidR="001C0197" w:rsidRPr="001C0197">
          <w:rPr>
            <w:rFonts w:asciiTheme="majorHAnsi" w:hAnsiTheme="majorHAnsi"/>
            <w:noProof/>
            <w:webHidden/>
            <w:sz w:val="20"/>
            <w:szCs w:val="20"/>
          </w:rPr>
          <w:fldChar w:fldCharType="begin"/>
        </w:r>
        <w:r w:rsidR="001C0197" w:rsidRPr="001C0197">
          <w:rPr>
            <w:rFonts w:asciiTheme="majorHAnsi" w:hAnsiTheme="majorHAnsi"/>
            <w:noProof/>
            <w:webHidden/>
            <w:sz w:val="20"/>
            <w:szCs w:val="20"/>
          </w:rPr>
          <w:instrText xml:space="preserve"> PAGEREF _Toc16677866 \h </w:instrText>
        </w:r>
        <w:r w:rsidR="001C0197" w:rsidRPr="001C0197">
          <w:rPr>
            <w:rFonts w:asciiTheme="majorHAnsi" w:hAnsiTheme="majorHAnsi"/>
            <w:noProof/>
            <w:webHidden/>
            <w:sz w:val="20"/>
            <w:szCs w:val="20"/>
          </w:rPr>
        </w:r>
        <w:r w:rsidR="001C0197" w:rsidRPr="001C0197">
          <w:rPr>
            <w:rFonts w:asciiTheme="majorHAnsi" w:hAnsiTheme="majorHAnsi"/>
            <w:noProof/>
            <w:webHidden/>
            <w:sz w:val="20"/>
            <w:szCs w:val="20"/>
          </w:rPr>
          <w:fldChar w:fldCharType="separate"/>
        </w:r>
        <w:r>
          <w:rPr>
            <w:rFonts w:asciiTheme="majorHAnsi" w:hAnsiTheme="majorHAnsi"/>
            <w:noProof/>
            <w:webHidden/>
            <w:sz w:val="20"/>
            <w:szCs w:val="20"/>
          </w:rPr>
          <w:t>2</w:t>
        </w:r>
        <w:r w:rsidR="001C0197" w:rsidRPr="001C0197">
          <w:rPr>
            <w:rFonts w:asciiTheme="majorHAnsi" w:hAnsiTheme="majorHAnsi"/>
            <w:noProof/>
            <w:webHidden/>
            <w:sz w:val="20"/>
            <w:szCs w:val="20"/>
          </w:rPr>
          <w:fldChar w:fldCharType="end"/>
        </w:r>
      </w:hyperlink>
    </w:p>
    <w:p w14:paraId="6A229A2A" w14:textId="55F41320" w:rsidR="001C0197" w:rsidRPr="001C0197" w:rsidRDefault="003536AD" w:rsidP="001C0197">
      <w:pPr>
        <w:pStyle w:val="TOC2"/>
        <w:tabs>
          <w:tab w:val="left" w:pos="720"/>
        </w:tabs>
        <w:rPr>
          <w:rFonts w:asciiTheme="majorHAnsi" w:eastAsiaTheme="minorEastAsia" w:hAnsiTheme="majorHAnsi" w:cstheme="minorBidi"/>
          <w:noProof/>
          <w:sz w:val="20"/>
          <w:szCs w:val="20"/>
          <w:bdr w:val="none" w:sz="0" w:space="0" w:color="auto"/>
        </w:rPr>
      </w:pPr>
      <w:hyperlink w:anchor="_Toc16677867" w:history="1">
        <w:r w:rsidR="001C0197" w:rsidRPr="001C0197">
          <w:rPr>
            <w:rStyle w:val="Hyperlink"/>
            <w:rFonts w:asciiTheme="majorHAnsi" w:hAnsiTheme="majorHAnsi"/>
            <w:noProof/>
            <w:sz w:val="20"/>
            <w:szCs w:val="20"/>
          </w:rPr>
          <w:t>B.</w:t>
        </w:r>
        <w:r w:rsidR="001C0197" w:rsidRPr="001C0197">
          <w:rPr>
            <w:rFonts w:asciiTheme="majorHAnsi" w:eastAsiaTheme="minorEastAsia" w:hAnsiTheme="majorHAnsi" w:cstheme="minorBidi"/>
            <w:noProof/>
            <w:sz w:val="20"/>
            <w:szCs w:val="20"/>
            <w:bdr w:val="none" w:sz="0" w:space="0" w:color="auto"/>
          </w:rPr>
          <w:tab/>
        </w:r>
        <w:r w:rsidR="001C0197" w:rsidRPr="001C0197">
          <w:rPr>
            <w:rStyle w:val="Hyperlink"/>
            <w:rFonts w:asciiTheme="majorHAnsi" w:hAnsiTheme="majorHAnsi"/>
            <w:noProof/>
            <w:sz w:val="20"/>
            <w:szCs w:val="20"/>
          </w:rPr>
          <w:t>Contexto</w:t>
        </w:r>
        <w:r w:rsidR="001C0197" w:rsidRPr="001C0197">
          <w:rPr>
            <w:rFonts w:asciiTheme="majorHAnsi" w:hAnsiTheme="majorHAnsi"/>
            <w:noProof/>
            <w:webHidden/>
            <w:sz w:val="20"/>
            <w:szCs w:val="20"/>
          </w:rPr>
          <w:tab/>
        </w:r>
        <w:r w:rsidR="001C0197" w:rsidRPr="001C0197">
          <w:rPr>
            <w:rFonts w:asciiTheme="majorHAnsi" w:hAnsiTheme="majorHAnsi"/>
            <w:noProof/>
            <w:webHidden/>
            <w:sz w:val="20"/>
            <w:szCs w:val="20"/>
          </w:rPr>
          <w:fldChar w:fldCharType="begin"/>
        </w:r>
        <w:r w:rsidR="001C0197" w:rsidRPr="001C0197">
          <w:rPr>
            <w:rFonts w:asciiTheme="majorHAnsi" w:hAnsiTheme="majorHAnsi"/>
            <w:noProof/>
            <w:webHidden/>
            <w:sz w:val="20"/>
            <w:szCs w:val="20"/>
          </w:rPr>
          <w:instrText xml:space="preserve"> PAGEREF _Toc16677867 \h </w:instrText>
        </w:r>
        <w:r w:rsidR="001C0197" w:rsidRPr="001C0197">
          <w:rPr>
            <w:rFonts w:asciiTheme="majorHAnsi" w:hAnsiTheme="majorHAnsi"/>
            <w:noProof/>
            <w:webHidden/>
            <w:sz w:val="20"/>
            <w:szCs w:val="20"/>
          </w:rPr>
        </w:r>
        <w:r w:rsidR="001C0197" w:rsidRPr="001C0197">
          <w:rPr>
            <w:rFonts w:asciiTheme="majorHAnsi" w:hAnsiTheme="majorHAnsi"/>
            <w:noProof/>
            <w:webHidden/>
            <w:sz w:val="20"/>
            <w:szCs w:val="20"/>
          </w:rPr>
          <w:fldChar w:fldCharType="separate"/>
        </w:r>
        <w:r>
          <w:rPr>
            <w:rFonts w:asciiTheme="majorHAnsi" w:hAnsiTheme="majorHAnsi"/>
            <w:noProof/>
            <w:webHidden/>
            <w:sz w:val="20"/>
            <w:szCs w:val="20"/>
          </w:rPr>
          <w:t>2</w:t>
        </w:r>
        <w:r w:rsidR="001C0197" w:rsidRPr="001C0197">
          <w:rPr>
            <w:rFonts w:asciiTheme="majorHAnsi" w:hAnsiTheme="majorHAnsi"/>
            <w:noProof/>
            <w:webHidden/>
            <w:sz w:val="20"/>
            <w:szCs w:val="20"/>
          </w:rPr>
          <w:fldChar w:fldCharType="end"/>
        </w:r>
      </w:hyperlink>
    </w:p>
    <w:p w14:paraId="4C813F1C" w14:textId="6E8C5669" w:rsidR="001C0197" w:rsidRPr="001C0197" w:rsidRDefault="003536AD" w:rsidP="001C0197">
      <w:pPr>
        <w:pStyle w:val="TOC2"/>
        <w:tabs>
          <w:tab w:val="left" w:pos="720"/>
        </w:tabs>
        <w:rPr>
          <w:rFonts w:asciiTheme="majorHAnsi" w:eastAsiaTheme="minorEastAsia" w:hAnsiTheme="majorHAnsi" w:cstheme="minorBidi"/>
          <w:noProof/>
          <w:sz w:val="20"/>
          <w:szCs w:val="20"/>
          <w:bdr w:val="none" w:sz="0" w:space="0" w:color="auto"/>
        </w:rPr>
      </w:pPr>
      <w:hyperlink w:anchor="_Toc16677868" w:history="1">
        <w:r w:rsidR="001C0197" w:rsidRPr="001C0197">
          <w:rPr>
            <w:rStyle w:val="Hyperlink"/>
            <w:rFonts w:asciiTheme="majorHAnsi" w:hAnsiTheme="majorHAnsi"/>
            <w:noProof/>
            <w:sz w:val="20"/>
            <w:szCs w:val="20"/>
          </w:rPr>
          <w:t>C.</w:t>
        </w:r>
        <w:r w:rsidR="001C0197" w:rsidRPr="001C0197">
          <w:rPr>
            <w:rFonts w:asciiTheme="majorHAnsi" w:eastAsiaTheme="minorEastAsia" w:hAnsiTheme="majorHAnsi" w:cstheme="minorBidi"/>
            <w:noProof/>
            <w:sz w:val="20"/>
            <w:szCs w:val="20"/>
            <w:bdr w:val="none" w:sz="0" w:space="0" w:color="auto"/>
          </w:rPr>
          <w:tab/>
        </w:r>
        <w:r w:rsidR="001C0197" w:rsidRPr="001C0197">
          <w:rPr>
            <w:rStyle w:val="Hyperlink"/>
            <w:rFonts w:asciiTheme="majorHAnsi" w:hAnsiTheme="majorHAnsi"/>
            <w:noProof/>
            <w:sz w:val="20"/>
            <w:szCs w:val="20"/>
          </w:rPr>
          <w:t>Fatos do presente caso</w:t>
        </w:r>
        <w:r w:rsidR="001C0197" w:rsidRPr="001C0197">
          <w:rPr>
            <w:rFonts w:asciiTheme="majorHAnsi" w:hAnsiTheme="majorHAnsi"/>
            <w:noProof/>
            <w:webHidden/>
            <w:sz w:val="20"/>
            <w:szCs w:val="20"/>
          </w:rPr>
          <w:tab/>
        </w:r>
        <w:r w:rsidR="001C0197" w:rsidRPr="001C0197">
          <w:rPr>
            <w:rFonts w:asciiTheme="majorHAnsi" w:hAnsiTheme="majorHAnsi"/>
            <w:noProof/>
            <w:webHidden/>
            <w:sz w:val="20"/>
            <w:szCs w:val="20"/>
          </w:rPr>
          <w:fldChar w:fldCharType="begin"/>
        </w:r>
        <w:r w:rsidR="001C0197" w:rsidRPr="001C0197">
          <w:rPr>
            <w:rFonts w:asciiTheme="majorHAnsi" w:hAnsiTheme="majorHAnsi"/>
            <w:noProof/>
            <w:webHidden/>
            <w:sz w:val="20"/>
            <w:szCs w:val="20"/>
          </w:rPr>
          <w:instrText xml:space="preserve"> PAGEREF _Toc16677868 \h </w:instrText>
        </w:r>
        <w:r w:rsidR="001C0197" w:rsidRPr="001C0197">
          <w:rPr>
            <w:rFonts w:asciiTheme="majorHAnsi" w:hAnsiTheme="majorHAnsi"/>
            <w:noProof/>
            <w:webHidden/>
            <w:sz w:val="20"/>
            <w:szCs w:val="20"/>
          </w:rPr>
        </w:r>
        <w:r w:rsidR="001C0197" w:rsidRPr="001C0197">
          <w:rPr>
            <w:rFonts w:asciiTheme="majorHAnsi" w:hAnsiTheme="majorHAnsi"/>
            <w:noProof/>
            <w:webHidden/>
            <w:sz w:val="20"/>
            <w:szCs w:val="20"/>
          </w:rPr>
          <w:fldChar w:fldCharType="separate"/>
        </w:r>
        <w:r>
          <w:rPr>
            <w:rFonts w:asciiTheme="majorHAnsi" w:hAnsiTheme="majorHAnsi"/>
            <w:noProof/>
            <w:webHidden/>
            <w:sz w:val="20"/>
            <w:szCs w:val="20"/>
          </w:rPr>
          <w:t>4</w:t>
        </w:r>
        <w:r w:rsidR="001C0197" w:rsidRPr="001C0197">
          <w:rPr>
            <w:rFonts w:asciiTheme="majorHAnsi" w:hAnsiTheme="majorHAnsi"/>
            <w:noProof/>
            <w:webHidden/>
            <w:sz w:val="20"/>
            <w:szCs w:val="20"/>
          </w:rPr>
          <w:fldChar w:fldCharType="end"/>
        </w:r>
      </w:hyperlink>
    </w:p>
    <w:p w14:paraId="155EE6B2" w14:textId="4A53B7C0" w:rsidR="001C0197" w:rsidRPr="001C0197" w:rsidRDefault="003536AD" w:rsidP="001C0197">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16677869" w:history="1">
        <w:r w:rsidR="001C0197" w:rsidRPr="001C0197">
          <w:rPr>
            <w:rStyle w:val="Hyperlink"/>
            <w:rFonts w:asciiTheme="majorHAnsi" w:hAnsiTheme="majorHAnsi"/>
            <w:noProof/>
            <w:sz w:val="20"/>
            <w:szCs w:val="20"/>
          </w:rPr>
          <w:t>1.</w:t>
        </w:r>
        <w:r w:rsidR="001C0197" w:rsidRPr="001C0197">
          <w:rPr>
            <w:rFonts w:asciiTheme="majorHAnsi" w:eastAsiaTheme="minorEastAsia" w:hAnsiTheme="majorHAnsi" w:cstheme="minorBidi"/>
            <w:noProof/>
            <w:sz w:val="20"/>
            <w:szCs w:val="20"/>
            <w:bdr w:val="none" w:sz="0" w:space="0" w:color="auto"/>
          </w:rPr>
          <w:tab/>
        </w:r>
        <w:r w:rsidR="001C0197" w:rsidRPr="001C0197">
          <w:rPr>
            <w:rStyle w:val="Hyperlink"/>
            <w:rFonts w:asciiTheme="majorHAnsi" w:hAnsiTheme="majorHAnsi"/>
            <w:noProof/>
            <w:sz w:val="20"/>
            <w:szCs w:val="20"/>
          </w:rPr>
          <w:t>O despejo dos trabalhadores de Pau Seco e a vitória judicial de Gabriel Pimenta</w:t>
        </w:r>
        <w:r w:rsidR="001C0197" w:rsidRPr="001C0197">
          <w:rPr>
            <w:rFonts w:asciiTheme="majorHAnsi" w:hAnsiTheme="majorHAnsi"/>
            <w:noProof/>
            <w:webHidden/>
            <w:sz w:val="20"/>
            <w:szCs w:val="20"/>
          </w:rPr>
          <w:tab/>
        </w:r>
        <w:r w:rsidR="001C0197" w:rsidRPr="001C0197">
          <w:rPr>
            <w:rFonts w:asciiTheme="majorHAnsi" w:hAnsiTheme="majorHAnsi"/>
            <w:noProof/>
            <w:webHidden/>
            <w:sz w:val="20"/>
            <w:szCs w:val="20"/>
          </w:rPr>
          <w:fldChar w:fldCharType="begin"/>
        </w:r>
        <w:r w:rsidR="001C0197" w:rsidRPr="001C0197">
          <w:rPr>
            <w:rFonts w:asciiTheme="majorHAnsi" w:hAnsiTheme="majorHAnsi"/>
            <w:noProof/>
            <w:webHidden/>
            <w:sz w:val="20"/>
            <w:szCs w:val="20"/>
          </w:rPr>
          <w:instrText xml:space="preserve"> PAGEREF _Toc16677869 \h </w:instrText>
        </w:r>
        <w:r w:rsidR="001C0197" w:rsidRPr="001C0197">
          <w:rPr>
            <w:rFonts w:asciiTheme="majorHAnsi" w:hAnsiTheme="majorHAnsi"/>
            <w:noProof/>
            <w:webHidden/>
            <w:sz w:val="20"/>
            <w:szCs w:val="20"/>
          </w:rPr>
        </w:r>
        <w:r w:rsidR="001C0197" w:rsidRPr="001C0197">
          <w:rPr>
            <w:rFonts w:asciiTheme="majorHAnsi" w:hAnsiTheme="majorHAnsi"/>
            <w:noProof/>
            <w:webHidden/>
            <w:sz w:val="20"/>
            <w:szCs w:val="20"/>
          </w:rPr>
          <w:fldChar w:fldCharType="separate"/>
        </w:r>
        <w:r>
          <w:rPr>
            <w:rFonts w:asciiTheme="majorHAnsi" w:hAnsiTheme="majorHAnsi"/>
            <w:noProof/>
            <w:webHidden/>
            <w:sz w:val="20"/>
            <w:szCs w:val="20"/>
          </w:rPr>
          <w:t>4</w:t>
        </w:r>
        <w:r w:rsidR="001C0197" w:rsidRPr="001C0197">
          <w:rPr>
            <w:rFonts w:asciiTheme="majorHAnsi" w:hAnsiTheme="majorHAnsi"/>
            <w:noProof/>
            <w:webHidden/>
            <w:sz w:val="20"/>
            <w:szCs w:val="20"/>
          </w:rPr>
          <w:fldChar w:fldCharType="end"/>
        </w:r>
      </w:hyperlink>
    </w:p>
    <w:p w14:paraId="74C5061D" w14:textId="5B0DB4E1" w:rsidR="001C0197" w:rsidRPr="001C0197" w:rsidRDefault="003536AD" w:rsidP="001C0197">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16677870" w:history="1">
        <w:r w:rsidR="001C0197" w:rsidRPr="001C0197">
          <w:rPr>
            <w:rStyle w:val="Hyperlink"/>
            <w:rFonts w:asciiTheme="majorHAnsi" w:hAnsiTheme="majorHAnsi"/>
            <w:noProof/>
            <w:sz w:val="20"/>
            <w:szCs w:val="20"/>
          </w:rPr>
          <w:t>2.</w:t>
        </w:r>
        <w:r w:rsidR="001C0197" w:rsidRPr="001C0197">
          <w:rPr>
            <w:rFonts w:asciiTheme="majorHAnsi" w:eastAsiaTheme="minorEastAsia" w:hAnsiTheme="majorHAnsi" w:cstheme="minorBidi"/>
            <w:noProof/>
            <w:sz w:val="20"/>
            <w:szCs w:val="20"/>
            <w:bdr w:val="none" w:sz="0" w:space="0" w:color="auto"/>
          </w:rPr>
          <w:tab/>
        </w:r>
        <w:r w:rsidR="001C0197" w:rsidRPr="001C0197">
          <w:rPr>
            <w:rStyle w:val="Hyperlink"/>
            <w:rFonts w:asciiTheme="majorHAnsi" w:hAnsiTheme="majorHAnsi"/>
            <w:noProof/>
            <w:sz w:val="20"/>
            <w:szCs w:val="20"/>
          </w:rPr>
          <w:t>As ameaças feitas aos trabalhadores e a Gabriel Sales Pimenta</w:t>
        </w:r>
        <w:r w:rsidR="001C0197" w:rsidRPr="001C0197">
          <w:rPr>
            <w:rFonts w:asciiTheme="majorHAnsi" w:hAnsiTheme="majorHAnsi"/>
            <w:noProof/>
            <w:webHidden/>
            <w:sz w:val="20"/>
            <w:szCs w:val="20"/>
          </w:rPr>
          <w:tab/>
        </w:r>
        <w:r w:rsidR="001C0197" w:rsidRPr="001C0197">
          <w:rPr>
            <w:rFonts w:asciiTheme="majorHAnsi" w:hAnsiTheme="majorHAnsi"/>
            <w:noProof/>
            <w:webHidden/>
            <w:sz w:val="20"/>
            <w:szCs w:val="20"/>
          </w:rPr>
          <w:fldChar w:fldCharType="begin"/>
        </w:r>
        <w:r w:rsidR="001C0197" w:rsidRPr="001C0197">
          <w:rPr>
            <w:rFonts w:asciiTheme="majorHAnsi" w:hAnsiTheme="majorHAnsi"/>
            <w:noProof/>
            <w:webHidden/>
            <w:sz w:val="20"/>
            <w:szCs w:val="20"/>
          </w:rPr>
          <w:instrText xml:space="preserve"> PAGEREF _Toc16677870 \h </w:instrText>
        </w:r>
        <w:r w:rsidR="001C0197" w:rsidRPr="001C0197">
          <w:rPr>
            <w:rFonts w:asciiTheme="majorHAnsi" w:hAnsiTheme="majorHAnsi"/>
            <w:noProof/>
            <w:webHidden/>
            <w:sz w:val="20"/>
            <w:szCs w:val="20"/>
          </w:rPr>
        </w:r>
        <w:r w:rsidR="001C0197" w:rsidRPr="001C0197">
          <w:rPr>
            <w:rFonts w:asciiTheme="majorHAnsi" w:hAnsiTheme="majorHAnsi"/>
            <w:noProof/>
            <w:webHidden/>
            <w:sz w:val="20"/>
            <w:szCs w:val="20"/>
          </w:rPr>
          <w:fldChar w:fldCharType="separate"/>
        </w:r>
        <w:r>
          <w:rPr>
            <w:rFonts w:asciiTheme="majorHAnsi" w:hAnsiTheme="majorHAnsi"/>
            <w:noProof/>
            <w:webHidden/>
            <w:sz w:val="20"/>
            <w:szCs w:val="20"/>
          </w:rPr>
          <w:t>5</w:t>
        </w:r>
        <w:r w:rsidR="001C0197" w:rsidRPr="001C0197">
          <w:rPr>
            <w:rFonts w:asciiTheme="majorHAnsi" w:hAnsiTheme="majorHAnsi"/>
            <w:noProof/>
            <w:webHidden/>
            <w:sz w:val="20"/>
            <w:szCs w:val="20"/>
          </w:rPr>
          <w:fldChar w:fldCharType="end"/>
        </w:r>
      </w:hyperlink>
    </w:p>
    <w:p w14:paraId="4588835E" w14:textId="4C2BA115" w:rsidR="001C0197" w:rsidRPr="001C0197" w:rsidRDefault="003536AD" w:rsidP="001C0197">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16677871" w:history="1">
        <w:r w:rsidR="001C0197" w:rsidRPr="001C0197">
          <w:rPr>
            <w:rStyle w:val="Hyperlink"/>
            <w:rFonts w:asciiTheme="majorHAnsi" w:hAnsiTheme="majorHAnsi"/>
            <w:noProof/>
            <w:sz w:val="20"/>
            <w:szCs w:val="20"/>
          </w:rPr>
          <w:t>3.</w:t>
        </w:r>
        <w:r w:rsidR="001C0197" w:rsidRPr="001C0197">
          <w:rPr>
            <w:rFonts w:asciiTheme="majorHAnsi" w:eastAsiaTheme="minorEastAsia" w:hAnsiTheme="majorHAnsi" w:cstheme="minorBidi"/>
            <w:noProof/>
            <w:sz w:val="20"/>
            <w:szCs w:val="20"/>
            <w:bdr w:val="none" w:sz="0" w:space="0" w:color="auto"/>
          </w:rPr>
          <w:tab/>
        </w:r>
        <w:r w:rsidR="001C0197" w:rsidRPr="001C0197">
          <w:rPr>
            <w:rStyle w:val="Hyperlink"/>
            <w:rFonts w:asciiTheme="majorHAnsi" w:hAnsiTheme="majorHAnsi"/>
            <w:noProof/>
            <w:sz w:val="20"/>
            <w:szCs w:val="20"/>
          </w:rPr>
          <w:t>O assassinato de Gabriel Sales Pimenta e o inquérito policial</w:t>
        </w:r>
        <w:r w:rsidR="001C0197" w:rsidRPr="001C0197">
          <w:rPr>
            <w:rFonts w:asciiTheme="majorHAnsi" w:hAnsiTheme="majorHAnsi"/>
            <w:noProof/>
            <w:webHidden/>
            <w:sz w:val="20"/>
            <w:szCs w:val="20"/>
          </w:rPr>
          <w:tab/>
        </w:r>
        <w:r w:rsidR="001C0197" w:rsidRPr="001C0197">
          <w:rPr>
            <w:rFonts w:asciiTheme="majorHAnsi" w:hAnsiTheme="majorHAnsi"/>
            <w:noProof/>
            <w:webHidden/>
            <w:sz w:val="20"/>
            <w:szCs w:val="20"/>
          </w:rPr>
          <w:fldChar w:fldCharType="begin"/>
        </w:r>
        <w:r w:rsidR="001C0197" w:rsidRPr="001C0197">
          <w:rPr>
            <w:rFonts w:asciiTheme="majorHAnsi" w:hAnsiTheme="majorHAnsi"/>
            <w:noProof/>
            <w:webHidden/>
            <w:sz w:val="20"/>
            <w:szCs w:val="20"/>
          </w:rPr>
          <w:instrText xml:space="preserve"> PAGEREF _Toc16677871 \h </w:instrText>
        </w:r>
        <w:r w:rsidR="001C0197" w:rsidRPr="001C0197">
          <w:rPr>
            <w:rFonts w:asciiTheme="majorHAnsi" w:hAnsiTheme="majorHAnsi"/>
            <w:noProof/>
            <w:webHidden/>
            <w:sz w:val="20"/>
            <w:szCs w:val="20"/>
          </w:rPr>
        </w:r>
        <w:r w:rsidR="001C0197" w:rsidRPr="001C0197">
          <w:rPr>
            <w:rFonts w:asciiTheme="majorHAnsi" w:hAnsiTheme="majorHAnsi"/>
            <w:noProof/>
            <w:webHidden/>
            <w:sz w:val="20"/>
            <w:szCs w:val="20"/>
          </w:rPr>
          <w:fldChar w:fldCharType="separate"/>
        </w:r>
        <w:r>
          <w:rPr>
            <w:rFonts w:asciiTheme="majorHAnsi" w:hAnsiTheme="majorHAnsi"/>
            <w:noProof/>
            <w:webHidden/>
            <w:sz w:val="20"/>
            <w:szCs w:val="20"/>
          </w:rPr>
          <w:t>7</w:t>
        </w:r>
        <w:r w:rsidR="001C0197" w:rsidRPr="001C0197">
          <w:rPr>
            <w:rFonts w:asciiTheme="majorHAnsi" w:hAnsiTheme="majorHAnsi"/>
            <w:noProof/>
            <w:webHidden/>
            <w:sz w:val="20"/>
            <w:szCs w:val="20"/>
          </w:rPr>
          <w:fldChar w:fldCharType="end"/>
        </w:r>
      </w:hyperlink>
    </w:p>
    <w:p w14:paraId="2124784E" w14:textId="75EC1679" w:rsidR="001C0197" w:rsidRPr="001C0197" w:rsidRDefault="003536AD" w:rsidP="001C0197">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16677872" w:history="1">
        <w:r w:rsidR="001C0197" w:rsidRPr="001C0197">
          <w:rPr>
            <w:rStyle w:val="Hyperlink"/>
            <w:rFonts w:asciiTheme="majorHAnsi" w:hAnsiTheme="majorHAnsi"/>
            <w:noProof/>
            <w:sz w:val="20"/>
            <w:szCs w:val="20"/>
          </w:rPr>
          <w:t>4.</w:t>
        </w:r>
        <w:r w:rsidR="001C0197" w:rsidRPr="001C0197">
          <w:rPr>
            <w:rFonts w:asciiTheme="majorHAnsi" w:eastAsiaTheme="minorEastAsia" w:hAnsiTheme="majorHAnsi" w:cstheme="minorBidi"/>
            <w:noProof/>
            <w:sz w:val="20"/>
            <w:szCs w:val="20"/>
            <w:bdr w:val="none" w:sz="0" w:space="0" w:color="auto"/>
          </w:rPr>
          <w:tab/>
        </w:r>
        <w:r w:rsidR="001C0197" w:rsidRPr="001C0197">
          <w:rPr>
            <w:rStyle w:val="Hyperlink"/>
            <w:rFonts w:asciiTheme="majorHAnsi" w:hAnsiTheme="majorHAnsi"/>
            <w:noProof/>
            <w:sz w:val="20"/>
            <w:szCs w:val="20"/>
          </w:rPr>
          <w:t>A prisão dos acusados, sua revogação e a reinquirição de uma das testemunhas</w:t>
        </w:r>
        <w:r w:rsidR="001C0197" w:rsidRPr="001C0197">
          <w:rPr>
            <w:rFonts w:asciiTheme="majorHAnsi" w:hAnsiTheme="majorHAnsi"/>
            <w:noProof/>
            <w:webHidden/>
            <w:sz w:val="20"/>
            <w:szCs w:val="20"/>
          </w:rPr>
          <w:tab/>
        </w:r>
        <w:r w:rsidR="001C0197" w:rsidRPr="001C0197">
          <w:rPr>
            <w:rFonts w:asciiTheme="majorHAnsi" w:hAnsiTheme="majorHAnsi"/>
            <w:noProof/>
            <w:webHidden/>
            <w:sz w:val="20"/>
            <w:szCs w:val="20"/>
          </w:rPr>
          <w:fldChar w:fldCharType="begin"/>
        </w:r>
        <w:r w:rsidR="001C0197" w:rsidRPr="001C0197">
          <w:rPr>
            <w:rFonts w:asciiTheme="majorHAnsi" w:hAnsiTheme="majorHAnsi"/>
            <w:noProof/>
            <w:webHidden/>
            <w:sz w:val="20"/>
            <w:szCs w:val="20"/>
          </w:rPr>
          <w:instrText xml:space="preserve"> PAGEREF _Toc16677872 \h </w:instrText>
        </w:r>
        <w:r w:rsidR="001C0197" w:rsidRPr="001C0197">
          <w:rPr>
            <w:rFonts w:asciiTheme="majorHAnsi" w:hAnsiTheme="majorHAnsi"/>
            <w:noProof/>
            <w:webHidden/>
            <w:sz w:val="20"/>
            <w:szCs w:val="20"/>
          </w:rPr>
        </w:r>
        <w:r w:rsidR="001C0197" w:rsidRPr="001C0197">
          <w:rPr>
            <w:rFonts w:asciiTheme="majorHAnsi" w:hAnsiTheme="majorHAnsi"/>
            <w:noProof/>
            <w:webHidden/>
            <w:sz w:val="20"/>
            <w:szCs w:val="20"/>
          </w:rPr>
          <w:fldChar w:fldCharType="separate"/>
        </w:r>
        <w:r>
          <w:rPr>
            <w:rFonts w:asciiTheme="majorHAnsi" w:hAnsiTheme="majorHAnsi"/>
            <w:noProof/>
            <w:webHidden/>
            <w:sz w:val="20"/>
            <w:szCs w:val="20"/>
          </w:rPr>
          <w:t>9</w:t>
        </w:r>
        <w:r w:rsidR="001C0197" w:rsidRPr="001C0197">
          <w:rPr>
            <w:rFonts w:asciiTheme="majorHAnsi" w:hAnsiTheme="majorHAnsi"/>
            <w:noProof/>
            <w:webHidden/>
            <w:sz w:val="20"/>
            <w:szCs w:val="20"/>
          </w:rPr>
          <w:fldChar w:fldCharType="end"/>
        </w:r>
      </w:hyperlink>
    </w:p>
    <w:p w14:paraId="0F2802EF" w14:textId="6190B0A3" w:rsidR="001C0197" w:rsidRPr="001C0197" w:rsidRDefault="003536AD" w:rsidP="001C0197">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16677873" w:history="1">
        <w:r w:rsidR="001C0197" w:rsidRPr="001C0197">
          <w:rPr>
            <w:rStyle w:val="Hyperlink"/>
            <w:rFonts w:asciiTheme="majorHAnsi" w:hAnsiTheme="majorHAnsi"/>
            <w:noProof/>
            <w:sz w:val="20"/>
            <w:szCs w:val="20"/>
          </w:rPr>
          <w:t>5.</w:t>
        </w:r>
        <w:r w:rsidR="001C0197" w:rsidRPr="001C0197">
          <w:rPr>
            <w:rFonts w:asciiTheme="majorHAnsi" w:eastAsiaTheme="minorEastAsia" w:hAnsiTheme="majorHAnsi" w:cstheme="minorBidi"/>
            <w:noProof/>
            <w:sz w:val="20"/>
            <w:szCs w:val="20"/>
            <w:bdr w:val="none" w:sz="0" w:space="0" w:color="auto"/>
          </w:rPr>
          <w:tab/>
        </w:r>
        <w:r w:rsidR="001C0197" w:rsidRPr="001C0197">
          <w:rPr>
            <w:rStyle w:val="Hyperlink"/>
            <w:rFonts w:asciiTheme="majorHAnsi" w:hAnsiTheme="majorHAnsi"/>
            <w:noProof/>
            <w:sz w:val="20"/>
            <w:szCs w:val="20"/>
          </w:rPr>
          <w:t>O processo criminal e seus desdobramentos</w:t>
        </w:r>
        <w:r w:rsidR="001C0197" w:rsidRPr="001C0197">
          <w:rPr>
            <w:rFonts w:asciiTheme="majorHAnsi" w:hAnsiTheme="majorHAnsi"/>
            <w:noProof/>
            <w:webHidden/>
            <w:sz w:val="20"/>
            <w:szCs w:val="20"/>
          </w:rPr>
          <w:tab/>
        </w:r>
        <w:r w:rsidR="001C0197" w:rsidRPr="001C0197">
          <w:rPr>
            <w:rFonts w:asciiTheme="majorHAnsi" w:hAnsiTheme="majorHAnsi"/>
            <w:noProof/>
            <w:webHidden/>
            <w:sz w:val="20"/>
            <w:szCs w:val="20"/>
          </w:rPr>
          <w:fldChar w:fldCharType="begin"/>
        </w:r>
        <w:r w:rsidR="001C0197" w:rsidRPr="001C0197">
          <w:rPr>
            <w:rFonts w:asciiTheme="majorHAnsi" w:hAnsiTheme="majorHAnsi"/>
            <w:noProof/>
            <w:webHidden/>
            <w:sz w:val="20"/>
            <w:szCs w:val="20"/>
          </w:rPr>
          <w:instrText xml:space="preserve"> PAGEREF _Toc16677873 \h </w:instrText>
        </w:r>
        <w:r w:rsidR="001C0197" w:rsidRPr="001C0197">
          <w:rPr>
            <w:rFonts w:asciiTheme="majorHAnsi" w:hAnsiTheme="majorHAnsi"/>
            <w:noProof/>
            <w:webHidden/>
            <w:sz w:val="20"/>
            <w:szCs w:val="20"/>
          </w:rPr>
        </w:r>
        <w:r w:rsidR="001C0197" w:rsidRPr="001C0197">
          <w:rPr>
            <w:rFonts w:asciiTheme="majorHAnsi" w:hAnsiTheme="majorHAnsi"/>
            <w:noProof/>
            <w:webHidden/>
            <w:sz w:val="20"/>
            <w:szCs w:val="20"/>
          </w:rPr>
          <w:fldChar w:fldCharType="separate"/>
        </w:r>
        <w:r>
          <w:rPr>
            <w:rFonts w:asciiTheme="majorHAnsi" w:hAnsiTheme="majorHAnsi"/>
            <w:noProof/>
            <w:webHidden/>
            <w:sz w:val="20"/>
            <w:szCs w:val="20"/>
          </w:rPr>
          <w:t>10</w:t>
        </w:r>
        <w:r w:rsidR="001C0197" w:rsidRPr="001C0197">
          <w:rPr>
            <w:rFonts w:asciiTheme="majorHAnsi" w:hAnsiTheme="majorHAnsi"/>
            <w:noProof/>
            <w:webHidden/>
            <w:sz w:val="20"/>
            <w:szCs w:val="20"/>
          </w:rPr>
          <w:fldChar w:fldCharType="end"/>
        </w:r>
      </w:hyperlink>
    </w:p>
    <w:p w14:paraId="0D053FF4" w14:textId="3E6E5195" w:rsidR="001C0197" w:rsidRPr="001C0197" w:rsidRDefault="003536AD" w:rsidP="001C0197">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16677874" w:history="1">
        <w:r w:rsidR="001C0197" w:rsidRPr="001C0197">
          <w:rPr>
            <w:rStyle w:val="Hyperlink"/>
            <w:rFonts w:asciiTheme="majorHAnsi" w:hAnsiTheme="majorHAnsi"/>
            <w:noProof/>
            <w:sz w:val="20"/>
            <w:szCs w:val="20"/>
          </w:rPr>
          <w:t>6.</w:t>
        </w:r>
        <w:r w:rsidR="001C0197" w:rsidRPr="001C0197">
          <w:rPr>
            <w:rFonts w:asciiTheme="majorHAnsi" w:eastAsiaTheme="minorEastAsia" w:hAnsiTheme="majorHAnsi" w:cstheme="minorBidi"/>
            <w:noProof/>
            <w:sz w:val="20"/>
            <w:szCs w:val="20"/>
            <w:bdr w:val="none" w:sz="0" w:space="0" w:color="auto"/>
          </w:rPr>
          <w:tab/>
        </w:r>
        <w:r w:rsidR="001C0197" w:rsidRPr="001C0197">
          <w:rPr>
            <w:rStyle w:val="Hyperlink"/>
            <w:rFonts w:asciiTheme="majorHAnsi" w:hAnsiTheme="majorHAnsi"/>
            <w:noProof/>
            <w:sz w:val="20"/>
            <w:szCs w:val="20"/>
          </w:rPr>
          <w:t>Medidas adicionais tomadas pelos familiares de Gabriel Sales Pimenta</w:t>
        </w:r>
        <w:r w:rsidR="001C0197" w:rsidRPr="001C0197">
          <w:rPr>
            <w:rFonts w:asciiTheme="majorHAnsi" w:hAnsiTheme="majorHAnsi"/>
            <w:noProof/>
            <w:webHidden/>
            <w:sz w:val="20"/>
            <w:szCs w:val="20"/>
          </w:rPr>
          <w:tab/>
        </w:r>
        <w:r w:rsidR="001C0197" w:rsidRPr="001C0197">
          <w:rPr>
            <w:rFonts w:asciiTheme="majorHAnsi" w:hAnsiTheme="majorHAnsi"/>
            <w:noProof/>
            <w:webHidden/>
            <w:sz w:val="20"/>
            <w:szCs w:val="20"/>
          </w:rPr>
          <w:fldChar w:fldCharType="begin"/>
        </w:r>
        <w:r w:rsidR="001C0197" w:rsidRPr="001C0197">
          <w:rPr>
            <w:rFonts w:asciiTheme="majorHAnsi" w:hAnsiTheme="majorHAnsi"/>
            <w:noProof/>
            <w:webHidden/>
            <w:sz w:val="20"/>
            <w:szCs w:val="20"/>
          </w:rPr>
          <w:instrText xml:space="preserve"> PAGEREF _Toc16677874 \h </w:instrText>
        </w:r>
        <w:r w:rsidR="001C0197" w:rsidRPr="001C0197">
          <w:rPr>
            <w:rFonts w:asciiTheme="majorHAnsi" w:hAnsiTheme="majorHAnsi"/>
            <w:noProof/>
            <w:webHidden/>
            <w:sz w:val="20"/>
            <w:szCs w:val="20"/>
          </w:rPr>
        </w:r>
        <w:r w:rsidR="001C0197" w:rsidRPr="001C0197">
          <w:rPr>
            <w:rFonts w:asciiTheme="majorHAnsi" w:hAnsiTheme="majorHAnsi"/>
            <w:noProof/>
            <w:webHidden/>
            <w:sz w:val="20"/>
            <w:szCs w:val="20"/>
          </w:rPr>
          <w:fldChar w:fldCharType="separate"/>
        </w:r>
        <w:r>
          <w:rPr>
            <w:rFonts w:asciiTheme="majorHAnsi" w:hAnsiTheme="majorHAnsi"/>
            <w:noProof/>
            <w:webHidden/>
            <w:sz w:val="20"/>
            <w:szCs w:val="20"/>
          </w:rPr>
          <w:t>16</w:t>
        </w:r>
        <w:r w:rsidR="001C0197" w:rsidRPr="001C0197">
          <w:rPr>
            <w:rFonts w:asciiTheme="majorHAnsi" w:hAnsiTheme="majorHAnsi"/>
            <w:noProof/>
            <w:webHidden/>
            <w:sz w:val="20"/>
            <w:szCs w:val="20"/>
          </w:rPr>
          <w:fldChar w:fldCharType="end"/>
        </w:r>
      </w:hyperlink>
    </w:p>
    <w:p w14:paraId="1D731ECD" w14:textId="16651E82" w:rsidR="001C0197" w:rsidRPr="001C0197" w:rsidRDefault="003536AD" w:rsidP="001C0197">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16677875" w:history="1">
        <w:r w:rsidR="001C0197" w:rsidRPr="001C0197">
          <w:rPr>
            <w:rStyle w:val="Hyperlink"/>
            <w:rFonts w:asciiTheme="majorHAnsi" w:hAnsiTheme="majorHAnsi"/>
            <w:noProof/>
            <w:sz w:val="20"/>
            <w:szCs w:val="20"/>
          </w:rPr>
          <w:t>IV.</w:t>
        </w:r>
        <w:r w:rsidR="001C0197" w:rsidRPr="001C0197">
          <w:rPr>
            <w:rFonts w:asciiTheme="majorHAnsi" w:eastAsiaTheme="minorEastAsia" w:hAnsiTheme="majorHAnsi" w:cstheme="minorBidi"/>
            <w:noProof/>
            <w:sz w:val="20"/>
            <w:szCs w:val="20"/>
            <w:bdr w:val="none" w:sz="0" w:space="0" w:color="auto"/>
          </w:rPr>
          <w:tab/>
        </w:r>
        <w:r w:rsidR="001C0197" w:rsidRPr="001C0197">
          <w:rPr>
            <w:rStyle w:val="Hyperlink"/>
            <w:rFonts w:asciiTheme="majorHAnsi" w:hAnsiTheme="majorHAnsi"/>
            <w:noProof/>
            <w:sz w:val="20"/>
            <w:szCs w:val="20"/>
          </w:rPr>
          <w:t>ANÁLISE DE DIREITO</w:t>
        </w:r>
        <w:r w:rsidR="001C0197" w:rsidRPr="001C0197">
          <w:rPr>
            <w:rFonts w:asciiTheme="majorHAnsi" w:hAnsiTheme="majorHAnsi"/>
            <w:noProof/>
            <w:webHidden/>
            <w:sz w:val="20"/>
            <w:szCs w:val="20"/>
          </w:rPr>
          <w:tab/>
        </w:r>
        <w:r w:rsidR="001C0197" w:rsidRPr="001C0197">
          <w:rPr>
            <w:rFonts w:asciiTheme="majorHAnsi" w:hAnsiTheme="majorHAnsi"/>
            <w:noProof/>
            <w:webHidden/>
            <w:sz w:val="20"/>
            <w:szCs w:val="20"/>
          </w:rPr>
          <w:fldChar w:fldCharType="begin"/>
        </w:r>
        <w:r w:rsidR="001C0197" w:rsidRPr="001C0197">
          <w:rPr>
            <w:rFonts w:asciiTheme="majorHAnsi" w:hAnsiTheme="majorHAnsi"/>
            <w:noProof/>
            <w:webHidden/>
            <w:sz w:val="20"/>
            <w:szCs w:val="20"/>
          </w:rPr>
          <w:instrText xml:space="preserve"> PAGEREF _Toc16677875 \h </w:instrText>
        </w:r>
        <w:r w:rsidR="001C0197" w:rsidRPr="001C0197">
          <w:rPr>
            <w:rFonts w:asciiTheme="majorHAnsi" w:hAnsiTheme="majorHAnsi"/>
            <w:noProof/>
            <w:webHidden/>
            <w:sz w:val="20"/>
            <w:szCs w:val="20"/>
          </w:rPr>
        </w:r>
        <w:r w:rsidR="001C0197" w:rsidRPr="001C0197">
          <w:rPr>
            <w:rFonts w:asciiTheme="majorHAnsi" w:hAnsiTheme="majorHAnsi"/>
            <w:noProof/>
            <w:webHidden/>
            <w:sz w:val="20"/>
            <w:szCs w:val="20"/>
          </w:rPr>
          <w:fldChar w:fldCharType="separate"/>
        </w:r>
        <w:r>
          <w:rPr>
            <w:rFonts w:asciiTheme="majorHAnsi" w:hAnsiTheme="majorHAnsi"/>
            <w:noProof/>
            <w:webHidden/>
            <w:sz w:val="20"/>
            <w:szCs w:val="20"/>
          </w:rPr>
          <w:t>17</w:t>
        </w:r>
        <w:r w:rsidR="001C0197" w:rsidRPr="001C0197">
          <w:rPr>
            <w:rFonts w:asciiTheme="majorHAnsi" w:hAnsiTheme="majorHAnsi"/>
            <w:noProof/>
            <w:webHidden/>
            <w:sz w:val="20"/>
            <w:szCs w:val="20"/>
          </w:rPr>
          <w:fldChar w:fldCharType="end"/>
        </w:r>
      </w:hyperlink>
    </w:p>
    <w:p w14:paraId="647169EC" w14:textId="5D02FA5E" w:rsidR="001C0197" w:rsidRPr="001C0197" w:rsidRDefault="003536AD" w:rsidP="001C0197">
      <w:pPr>
        <w:pStyle w:val="TOC2"/>
        <w:tabs>
          <w:tab w:val="left" w:pos="720"/>
        </w:tabs>
        <w:rPr>
          <w:rFonts w:asciiTheme="majorHAnsi" w:eastAsiaTheme="minorEastAsia" w:hAnsiTheme="majorHAnsi" w:cstheme="minorBidi"/>
          <w:noProof/>
          <w:sz w:val="20"/>
          <w:szCs w:val="20"/>
          <w:bdr w:val="none" w:sz="0" w:space="0" w:color="auto"/>
        </w:rPr>
      </w:pPr>
      <w:hyperlink w:anchor="_Toc16677876" w:history="1">
        <w:r w:rsidR="001C0197" w:rsidRPr="001C0197">
          <w:rPr>
            <w:rStyle w:val="Hyperlink"/>
            <w:rFonts w:asciiTheme="majorHAnsi" w:eastAsia="Batang" w:hAnsiTheme="majorHAnsi"/>
            <w:noProof/>
            <w:sz w:val="20"/>
            <w:szCs w:val="20"/>
          </w:rPr>
          <w:t>A.</w:t>
        </w:r>
        <w:r w:rsidR="001C0197" w:rsidRPr="001C0197">
          <w:rPr>
            <w:rFonts w:asciiTheme="majorHAnsi" w:eastAsiaTheme="minorEastAsia" w:hAnsiTheme="majorHAnsi" w:cstheme="minorBidi"/>
            <w:noProof/>
            <w:sz w:val="20"/>
            <w:szCs w:val="20"/>
            <w:bdr w:val="none" w:sz="0" w:space="0" w:color="auto"/>
          </w:rPr>
          <w:tab/>
        </w:r>
        <w:r w:rsidR="001C0197" w:rsidRPr="001C0197">
          <w:rPr>
            <w:rStyle w:val="Hyperlink"/>
            <w:rFonts w:asciiTheme="majorHAnsi" w:eastAsia="Batang" w:hAnsiTheme="majorHAnsi"/>
            <w:noProof/>
            <w:sz w:val="20"/>
            <w:szCs w:val="20"/>
          </w:rPr>
          <w:t>Direito à vida (artigo I da Declaração Americana dos Direitos e Deveres do Homem)</w:t>
        </w:r>
        <w:r w:rsidR="001C0197" w:rsidRPr="001C0197">
          <w:rPr>
            <w:rFonts w:asciiTheme="majorHAnsi" w:hAnsiTheme="majorHAnsi"/>
            <w:noProof/>
            <w:webHidden/>
            <w:sz w:val="20"/>
            <w:szCs w:val="20"/>
          </w:rPr>
          <w:tab/>
        </w:r>
        <w:r w:rsidR="001C0197" w:rsidRPr="001C0197">
          <w:rPr>
            <w:rFonts w:asciiTheme="majorHAnsi" w:hAnsiTheme="majorHAnsi"/>
            <w:noProof/>
            <w:webHidden/>
            <w:sz w:val="20"/>
            <w:szCs w:val="20"/>
          </w:rPr>
          <w:fldChar w:fldCharType="begin"/>
        </w:r>
        <w:r w:rsidR="001C0197" w:rsidRPr="001C0197">
          <w:rPr>
            <w:rFonts w:asciiTheme="majorHAnsi" w:hAnsiTheme="majorHAnsi"/>
            <w:noProof/>
            <w:webHidden/>
            <w:sz w:val="20"/>
            <w:szCs w:val="20"/>
          </w:rPr>
          <w:instrText xml:space="preserve"> PAGEREF _Toc16677876 \h </w:instrText>
        </w:r>
        <w:r w:rsidR="001C0197" w:rsidRPr="001C0197">
          <w:rPr>
            <w:rFonts w:asciiTheme="majorHAnsi" w:hAnsiTheme="majorHAnsi"/>
            <w:noProof/>
            <w:webHidden/>
            <w:sz w:val="20"/>
            <w:szCs w:val="20"/>
          </w:rPr>
        </w:r>
        <w:r w:rsidR="001C0197" w:rsidRPr="001C0197">
          <w:rPr>
            <w:rFonts w:asciiTheme="majorHAnsi" w:hAnsiTheme="majorHAnsi"/>
            <w:noProof/>
            <w:webHidden/>
            <w:sz w:val="20"/>
            <w:szCs w:val="20"/>
          </w:rPr>
          <w:fldChar w:fldCharType="separate"/>
        </w:r>
        <w:r>
          <w:rPr>
            <w:rFonts w:asciiTheme="majorHAnsi" w:hAnsiTheme="majorHAnsi"/>
            <w:noProof/>
            <w:webHidden/>
            <w:sz w:val="20"/>
            <w:szCs w:val="20"/>
          </w:rPr>
          <w:t>17</w:t>
        </w:r>
        <w:r w:rsidR="001C0197" w:rsidRPr="001C0197">
          <w:rPr>
            <w:rFonts w:asciiTheme="majorHAnsi" w:hAnsiTheme="majorHAnsi"/>
            <w:noProof/>
            <w:webHidden/>
            <w:sz w:val="20"/>
            <w:szCs w:val="20"/>
          </w:rPr>
          <w:fldChar w:fldCharType="end"/>
        </w:r>
      </w:hyperlink>
    </w:p>
    <w:p w14:paraId="6DF97F90" w14:textId="37F8638F" w:rsidR="001C0197" w:rsidRPr="001C0197" w:rsidRDefault="003536AD" w:rsidP="001C0197">
      <w:pPr>
        <w:pStyle w:val="TOC2"/>
        <w:tabs>
          <w:tab w:val="left" w:pos="720"/>
        </w:tabs>
        <w:rPr>
          <w:rFonts w:asciiTheme="majorHAnsi" w:eastAsiaTheme="minorEastAsia" w:hAnsiTheme="majorHAnsi" w:cstheme="minorBidi"/>
          <w:noProof/>
          <w:sz w:val="20"/>
          <w:szCs w:val="20"/>
          <w:bdr w:val="none" w:sz="0" w:space="0" w:color="auto"/>
        </w:rPr>
      </w:pPr>
      <w:hyperlink w:anchor="_Toc16677877" w:history="1">
        <w:r w:rsidR="001C0197" w:rsidRPr="001C0197">
          <w:rPr>
            <w:rStyle w:val="Hyperlink"/>
            <w:rFonts w:asciiTheme="majorHAnsi" w:eastAsia="Batang" w:hAnsiTheme="majorHAnsi"/>
            <w:noProof/>
            <w:sz w:val="20"/>
            <w:szCs w:val="20"/>
          </w:rPr>
          <w:t>B.</w:t>
        </w:r>
        <w:r w:rsidR="001C0197" w:rsidRPr="001C0197">
          <w:rPr>
            <w:rFonts w:asciiTheme="majorHAnsi" w:eastAsiaTheme="minorEastAsia" w:hAnsiTheme="majorHAnsi" w:cstheme="minorBidi"/>
            <w:noProof/>
            <w:sz w:val="20"/>
            <w:szCs w:val="20"/>
            <w:bdr w:val="none" w:sz="0" w:space="0" w:color="auto"/>
          </w:rPr>
          <w:tab/>
        </w:r>
        <w:r w:rsidR="001C0197" w:rsidRPr="001C0197">
          <w:rPr>
            <w:rStyle w:val="Hyperlink"/>
            <w:rFonts w:asciiTheme="majorHAnsi" w:hAnsiTheme="majorHAnsi"/>
            <w:noProof/>
            <w:sz w:val="20"/>
            <w:szCs w:val="20"/>
          </w:rPr>
          <w:t>Direito de associação (artigo XXII da Declaração Americana dos Direitos e Deveres do Homem)</w:t>
        </w:r>
        <w:r w:rsidR="001C0197" w:rsidRPr="001C0197">
          <w:rPr>
            <w:rFonts w:asciiTheme="majorHAnsi" w:hAnsiTheme="majorHAnsi"/>
            <w:noProof/>
            <w:webHidden/>
            <w:sz w:val="20"/>
            <w:szCs w:val="20"/>
          </w:rPr>
          <w:tab/>
        </w:r>
        <w:r w:rsidR="001C0197" w:rsidRPr="001C0197">
          <w:rPr>
            <w:rFonts w:asciiTheme="majorHAnsi" w:hAnsiTheme="majorHAnsi"/>
            <w:noProof/>
            <w:webHidden/>
            <w:sz w:val="20"/>
            <w:szCs w:val="20"/>
          </w:rPr>
          <w:fldChar w:fldCharType="begin"/>
        </w:r>
        <w:r w:rsidR="001C0197" w:rsidRPr="001C0197">
          <w:rPr>
            <w:rFonts w:asciiTheme="majorHAnsi" w:hAnsiTheme="majorHAnsi"/>
            <w:noProof/>
            <w:webHidden/>
            <w:sz w:val="20"/>
            <w:szCs w:val="20"/>
          </w:rPr>
          <w:instrText xml:space="preserve"> PAGEREF _Toc16677877 \h </w:instrText>
        </w:r>
        <w:r w:rsidR="001C0197" w:rsidRPr="001C0197">
          <w:rPr>
            <w:rFonts w:asciiTheme="majorHAnsi" w:hAnsiTheme="majorHAnsi"/>
            <w:noProof/>
            <w:webHidden/>
            <w:sz w:val="20"/>
            <w:szCs w:val="20"/>
          </w:rPr>
        </w:r>
        <w:r w:rsidR="001C0197" w:rsidRPr="001C0197">
          <w:rPr>
            <w:rFonts w:asciiTheme="majorHAnsi" w:hAnsiTheme="majorHAnsi"/>
            <w:noProof/>
            <w:webHidden/>
            <w:sz w:val="20"/>
            <w:szCs w:val="20"/>
          </w:rPr>
          <w:fldChar w:fldCharType="separate"/>
        </w:r>
        <w:r>
          <w:rPr>
            <w:rFonts w:asciiTheme="majorHAnsi" w:hAnsiTheme="majorHAnsi"/>
            <w:noProof/>
            <w:webHidden/>
            <w:sz w:val="20"/>
            <w:szCs w:val="20"/>
          </w:rPr>
          <w:t>19</w:t>
        </w:r>
        <w:r w:rsidR="001C0197" w:rsidRPr="001C0197">
          <w:rPr>
            <w:rFonts w:asciiTheme="majorHAnsi" w:hAnsiTheme="majorHAnsi"/>
            <w:noProof/>
            <w:webHidden/>
            <w:sz w:val="20"/>
            <w:szCs w:val="20"/>
          </w:rPr>
          <w:fldChar w:fldCharType="end"/>
        </w:r>
      </w:hyperlink>
    </w:p>
    <w:p w14:paraId="179FA8AF" w14:textId="3CF520AD" w:rsidR="001C0197" w:rsidRPr="001C0197" w:rsidRDefault="003536AD" w:rsidP="001C0197">
      <w:pPr>
        <w:pStyle w:val="TOC2"/>
        <w:tabs>
          <w:tab w:val="left" w:pos="720"/>
        </w:tabs>
        <w:rPr>
          <w:rFonts w:asciiTheme="majorHAnsi" w:eastAsiaTheme="minorEastAsia" w:hAnsiTheme="majorHAnsi" w:cstheme="minorBidi"/>
          <w:noProof/>
          <w:sz w:val="20"/>
          <w:szCs w:val="20"/>
          <w:bdr w:val="none" w:sz="0" w:space="0" w:color="auto"/>
        </w:rPr>
      </w:pPr>
      <w:hyperlink w:anchor="_Toc16677878" w:history="1">
        <w:r w:rsidR="001C0197" w:rsidRPr="001C0197">
          <w:rPr>
            <w:rStyle w:val="Hyperlink"/>
            <w:rFonts w:asciiTheme="majorHAnsi" w:eastAsia="Batang" w:hAnsiTheme="majorHAnsi"/>
            <w:noProof/>
            <w:sz w:val="20"/>
            <w:szCs w:val="20"/>
          </w:rPr>
          <w:t xml:space="preserve">C. </w:t>
        </w:r>
        <w:r w:rsidR="001C0197" w:rsidRPr="001C0197">
          <w:rPr>
            <w:rFonts w:asciiTheme="majorHAnsi" w:eastAsiaTheme="minorEastAsia" w:hAnsiTheme="majorHAnsi" w:cstheme="minorBidi"/>
            <w:noProof/>
            <w:sz w:val="20"/>
            <w:szCs w:val="20"/>
            <w:bdr w:val="none" w:sz="0" w:space="0" w:color="auto"/>
          </w:rPr>
          <w:tab/>
        </w:r>
        <w:r w:rsidR="001C0197" w:rsidRPr="001C0197">
          <w:rPr>
            <w:rStyle w:val="Hyperlink"/>
            <w:rFonts w:asciiTheme="majorHAnsi" w:eastAsia="Batang" w:hAnsiTheme="majorHAnsi"/>
            <w:noProof/>
            <w:sz w:val="20"/>
            <w:szCs w:val="20"/>
          </w:rPr>
          <w:t>Direito à justiça (Artigo XVIII da Declaração Americana) e direito às garantias judiciais e proteção judicial (Artigos 8.1 e 25.1 da Convenção Americana)</w:t>
        </w:r>
        <w:r w:rsidR="001C0197" w:rsidRPr="001C0197">
          <w:rPr>
            <w:rFonts w:asciiTheme="majorHAnsi" w:hAnsiTheme="majorHAnsi"/>
            <w:noProof/>
            <w:webHidden/>
            <w:sz w:val="20"/>
            <w:szCs w:val="20"/>
          </w:rPr>
          <w:tab/>
        </w:r>
        <w:r w:rsidR="001C0197" w:rsidRPr="001C0197">
          <w:rPr>
            <w:rFonts w:asciiTheme="majorHAnsi" w:hAnsiTheme="majorHAnsi"/>
            <w:noProof/>
            <w:webHidden/>
            <w:sz w:val="20"/>
            <w:szCs w:val="20"/>
          </w:rPr>
          <w:fldChar w:fldCharType="begin"/>
        </w:r>
        <w:r w:rsidR="001C0197" w:rsidRPr="001C0197">
          <w:rPr>
            <w:rFonts w:asciiTheme="majorHAnsi" w:hAnsiTheme="majorHAnsi"/>
            <w:noProof/>
            <w:webHidden/>
            <w:sz w:val="20"/>
            <w:szCs w:val="20"/>
          </w:rPr>
          <w:instrText xml:space="preserve"> PAGEREF _Toc16677878 \h </w:instrText>
        </w:r>
        <w:r w:rsidR="001C0197" w:rsidRPr="001C0197">
          <w:rPr>
            <w:rFonts w:asciiTheme="majorHAnsi" w:hAnsiTheme="majorHAnsi"/>
            <w:noProof/>
            <w:webHidden/>
            <w:sz w:val="20"/>
            <w:szCs w:val="20"/>
          </w:rPr>
        </w:r>
        <w:r w:rsidR="001C0197" w:rsidRPr="001C0197">
          <w:rPr>
            <w:rFonts w:asciiTheme="majorHAnsi" w:hAnsiTheme="majorHAnsi"/>
            <w:noProof/>
            <w:webHidden/>
            <w:sz w:val="20"/>
            <w:szCs w:val="20"/>
          </w:rPr>
          <w:fldChar w:fldCharType="separate"/>
        </w:r>
        <w:r>
          <w:rPr>
            <w:rFonts w:asciiTheme="majorHAnsi" w:hAnsiTheme="majorHAnsi"/>
            <w:noProof/>
            <w:webHidden/>
            <w:sz w:val="20"/>
            <w:szCs w:val="20"/>
          </w:rPr>
          <w:t>20</w:t>
        </w:r>
        <w:r w:rsidR="001C0197" w:rsidRPr="001C0197">
          <w:rPr>
            <w:rFonts w:asciiTheme="majorHAnsi" w:hAnsiTheme="majorHAnsi"/>
            <w:noProof/>
            <w:webHidden/>
            <w:sz w:val="20"/>
            <w:szCs w:val="20"/>
          </w:rPr>
          <w:fldChar w:fldCharType="end"/>
        </w:r>
      </w:hyperlink>
    </w:p>
    <w:p w14:paraId="6316EE4E" w14:textId="6EB17FDE" w:rsidR="001C0197" w:rsidRPr="001C0197" w:rsidRDefault="003536AD" w:rsidP="001C0197">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16677879" w:history="1">
        <w:r w:rsidR="001C0197" w:rsidRPr="001C0197">
          <w:rPr>
            <w:rStyle w:val="Hyperlink"/>
            <w:rFonts w:asciiTheme="majorHAnsi" w:eastAsia="Batang" w:hAnsiTheme="majorHAnsi"/>
            <w:noProof/>
            <w:sz w:val="20"/>
            <w:szCs w:val="20"/>
          </w:rPr>
          <w:t>1.</w:t>
        </w:r>
        <w:r w:rsidR="001C0197" w:rsidRPr="001C0197">
          <w:rPr>
            <w:rFonts w:asciiTheme="majorHAnsi" w:eastAsiaTheme="minorEastAsia" w:hAnsiTheme="majorHAnsi" w:cstheme="minorBidi"/>
            <w:noProof/>
            <w:sz w:val="20"/>
            <w:szCs w:val="20"/>
            <w:bdr w:val="none" w:sz="0" w:space="0" w:color="auto"/>
          </w:rPr>
          <w:tab/>
        </w:r>
        <w:r w:rsidR="001C0197" w:rsidRPr="001C0197">
          <w:rPr>
            <w:rStyle w:val="Hyperlink"/>
            <w:rFonts w:asciiTheme="majorHAnsi" w:hAnsiTheme="majorHAnsi"/>
            <w:noProof/>
            <w:sz w:val="20"/>
            <w:szCs w:val="20"/>
          </w:rPr>
          <w:t>Considerações gerais</w:t>
        </w:r>
        <w:r w:rsidR="001C0197" w:rsidRPr="001C0197">
          <w:rPr>
            <w:rFonts w:asciiTheme="majorHAnsi" w:hAnsiTheme="majorHAnsi"/>
            <w:noProof/>
            <w:webHidden/>
            <w:sz w:val="20"/>
            <w:szCs w:val="20"/>
          </w:rPr>
          <w:tab/>
        </w:r>
        <w:r w:rsidR="001C0197" w:rsidRPr="001C0197">
          <w:rPr>
            <w:rFonts w:asciiTheme="majorHAnsi" w:hAnsiTheme="majorHAnsi"/>
            <w:noProof/>
            <w:webHidden/>
            <w:sz w:val="20"/>
            <w:szCs w:val="20"/>
          </w:rPr>
          <w:fldChar w:fldCharType="begin"/>
        </w:r>
        <w:r w:rsidR="001C0197" w:rsidRPr="001C0197">
          <w:rPr>
            <w:rFonts w:asciiTheme="majorHAnsi" w:hAnsiTheme="majorHAnsi"/>
            <w:noProof/>
            <w:webHidden/>
            <w:sz w:val="20"/>
            <w:szCs w:val="20"/>
          </w:rPr>
          <w:instrText xml:space="preserve"> PAGEREF _Toc16677879 \h </w:instrText>
        </w:r>
        <w:r w:rsidR="001C0197" w:rsidRPr="001C0197">
          <w:rPr>
            <w:rFonts w:asciiTheme="majorHAnsi" w:hAnsiTheme="majorHAnsi"/>
            <w:noProof/>
            <w:webHidden/>
            <w:sz w:val="20"/>
            <w:szCs w:val="20"/>
          </w:rPr>
        </w:r>
        <w:r w:rsidR="001C0197" w:rsidRPr="001C0197">
          <w:rPr>
            <w:rFonts w:asciiTheme="majorHAnsi" w:hAnsiTheme="majorHAnsi"/>
            <w:noProof/>
            <w:webHidden/>
            <w:sz w:val="20"/>
            <w:szCs w:val="20"/>
          </w:rPr>
          <w:fldChar w:fldCharType="separate"/>
        </w:r>
        <w:r>
          <w:rPr>
            <w:rFonts w:asciiTheme="majorHAnsi" w:hAnsiTheme="majorHAnsi"/>
            <w:noProof/>
            <w:webHidden/>
            <w:sz w:val="20"/>
            <w:szCs w:val="20"/>
          </w:rPr>
          <w:t>20</w:t>
        </w:r>
        <w:r w:rsidR="001C0197" w:rsidRPr="001C0197">
          <w:rPr>
            <w:rFonts w:asciiTheme="majorHAnsi" w:hAnsiTheme="majorHAnsi"/>
            <w:noProof/>
            <w:webHidden/>
            <w:sz w:val="20"/>
            <w:szCs w:val="20"/>
          </w:rPr>
          <w:fldChar w:fldCharType="end"/>
        </w:r>
      </w:hyperlink>
    </w:p>
    <w:p w14:paraId="01C1110A" w14:textId="099F1CB6" w:rsidR="001C0197" w:rsidRPr="001C0197" w:rsidRDefault="003536AD" w:rsidP="001C0197">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16677880" w:history="1">
        <w:r w:rsidR="001C0197" w:rsidRPr="001C0197">
          <w:rPr>
            <w:rStyle w:val="Hyperlink"/>
            <w:rFonts w:asciiTheme="majorHAnsi" w:eastAsia="Batang" w:hAnsiTheme="majorHAnsi"/>
            <w:noProof/>
            <w:sz w:val="20"/>
            <w:szCs w:val="20"/>
          </w:rPr>
          <w:t>2.</w:t>
        </w:r>
        <w:r w:rsidR="001C0197" w:rsidRPr="001C0197">
          <w:rPr>
            <w:rFonts w:asciiTheme="majorHAnsi" w:eastAsiaTheme="minorEastAsia" w:hAnsiTheme="majorHAnsi" w:cstheme="minorBidi"/>
            <w:noProof/>
            <w:sz w:val="20"/>
            <w:szCs w:val="20"/>
            <w:bdr w:val="none" w:sz="0" w:space="0" w:color="auto"/>
          </w:rPr>
          <w:tab/>
        </w:r>
        <w:r w:rsidR="001C0197" w:rsidRPr="001C0197">
          <w:rPr>
            <w:rStyle w:val="Hyperlink"/>
            <w:rFonts w:asciiTheme="majorHAnsi" w:hAnsiTheme="majorHAnsi"/>
            <w:noProof/>
            <w:sz w:val="20"/>
            <w:szCs w:val="20"/>
          </w:rPr>
          <w:t>Análise do caso</w:t>
        </w:r>
        <w:r w:rsidR="001C0197" w:rsidRPr="001C0197">
          <w:rPr>
            <w:rFonts w:asciiTheme="majorHAnsi" w:hAnsiTheme="majorHAnsi"/>
            <w:noProof/>
            <w:webHidden/>
            <w:sz w:val="20"/>
            <w:szCs w:val="20"/>
          </w:rPr>
          <w:tab/>
        </w:r>
        <w:r w:rsidR="001C0197" w:rsidRPr="001C0197">
          <w:rPr>
            <w:rFonts w:asciiTheme="majorHAnsi" w:hAnsiTheme="majorHAnsi"/>
            <w:noProof/>
            <w:webHidden/>
            <w:sz w:val="20"/>
            <w:szCs w:val="20"/>
          </w:rPr>
          <w:fldChar w:fldCharType="begin"/>
        </w:r>
        <w:r w:rsidR="001C0197" w:rsidRPr="001C0197">
          <w:rPr>
            <w:rFonts w:asciiTheme="majorHAnsi" w:hAnsiTheme="majorHAnsi"/>
            <w:noProof/>
            <w:webHidden/>
            <w:sz w:val="20"/>
            <w:szCs w:val="20"/>
          </w:rPr>
          <w:instrText xml:space="preserve"> PAGEREF _Toc16677880 \h </w:instrText>
        </w:r>
        <w:r w:rsidR="001C0197" w:rsidRPr="001C0197">
          <w:rPr>
            <w:rFonts w:asciiTheme="majorHAnsi" w:hAnsiTheme="majorHAnsi"/>
            <w:noProof/>
            <w:webHidden/>
            <w:sz w:val="20"/>
            <w:szCs w:val="20"/>
          </w:rPr>
        </w:r>
        <w:r w:rsidR="001C0197" w:rsidRPr="001C0197">
          <w:rPr>
            <w:rFonts w:asciiTheme="majorHAnsi" w:hAnsiTheme="majorHAnsi"/>
            <w:noProof/>
            <w:webHidden/>
            <w:sz w:val="20"/>
            <w:szCs w:val="20"/>
          </w:rPr>
          <w:fldChar w:fldCharType="separate"/>
        </w:r>
        <w:r>
          <w:rPr>
            <w:rFonts w:asciiTheme="majorHAnsi" w:hAnsiTheme="majorHAnsi"/>
            <w:noProof/>
            <w:webHidden/>
            <w:sz w:val="20"/>
            <w:szCs w:val="20"/>
          </w:rPr>
          <w:t>22</w:t>
        </w:r>
        <w:r w:rsidR="001C0197" w:rsidRPr="001C0197">
          <w:rPr>
            <w:rFonts w:asciiTheme="majorHAnsi" w:hAnsiTheme="majorHAnsi"/>
            <w:noProof/>
            <w:webHidden/>
            <w:sz w:val="20"/>
            <w:szCs w:val="20"/>
          </w:rPr>
          <w:fldChar w:fldCharType="end"/>
        </w:r>
      </w:hyperlink>
    </w:p>
    <w:p w14:paraId="66B752EB" w14:textId="51352A05" w:rsidR="001C0197" w:rsidRPr="001C0197" w:rsidRDefault="003536AD" w:rsidP="001C0197">
      <w:pPr>
        <w:pStyle w:val="TOC2"/>
        <w:tabs>
          <w:tab w:val="left" w:pos="720"/>
        </w:tabs>
        <w:rPr>
          <w:rFonts w:asciiTheme="majorHAnsi" w:eastAsiaTheme="minorEastAsia" w:hAnsiTheme="majorHAnsi" w:cstheme="minorBidi"/>
          <w:noProof/>
          <w:sz w:val="20"/>
          <w:szCs w:val="20"/>
          <w:bdr w:val="none" w:sz="0" w:space="0" w:color="auto"/>
        </w:rPr>
      </w:pPr>
      <w:hyperlink w:anchor="_Toc16677881" w:history="1">
        <w:r w:rsidR="001C0197" w:rsidRPr="001C0197">
          <w:rPr>
            <w:rStyle w:val="Hyperlink"/>
            <w:rFonts w:asciiTheme="majorHAnsi" w:hAnsiTheme="majorHAnsi"/>
            <w:noProof/>
            <w:sz w:val="20"/>
            <w:szCs w:val="20"/>
          </w:rPr>
          <w:t>D.</w:t>
        </w:r>
        <w:r w:rsidR="001C0197" w:rsidRPr="001C0197">
          <w:rPr>
            <w:rFonts w:asciiTheme="majorHAnsi" w:eastAsiaTheme="minorEastAsia" w:hAnsiTheme="majorHAnsi" w:cstheme="minorBidi"/>
            <w:noProof/>
            <w:sz w:val="20"/>
            <w:szCs w:val="20"/>
            <w:bdr w:val="none" w:sz="0" w:space="0" w:color="auto"/>
          </w:rPr>
          <w:tab/>
        </w:r>
        <w:r w:rsidR="001C0197" w:rsidRPr="001C0197">
          <w:rPr>
            <w:rStyle w:val="Hyperlink"/>
            <w:rFonts w:asciiTheme="majorHAnsi" w:hAnsiTheme="majorHAnsi"/>
            <w:noProof/>
            <w:sz w:val="20"/>
            <w:szCs w:val="20"/>
          </w:rPr>
          <w:t>Direito à integridade pessoal (artigo I da Declaração Americana dos Direitos e Deveres do Homem e artigo 5 da Convenção Americana)</w:t>
        </w:r>
        <w:r w:rsidR="001C0197" w:rsidRPr="001C0197">
          <w:rPr>
            <w:rFonts w:asciiTheme="majorHAnsi" w:hAnsiTheme="majorHAnsi"/>
            <w:noProof/>
            <w:webHidden/>
            <w:sz w:val="20"/>
            <w:szCs w:val="20"/>
          </w:rPr>
          <w:tab/>
        </w:r>
        <w:r w:rsidR="001C0197" w:rsidRPr="001C0197">
          <w:rPr>
            <w:rFonts w:asciiTheme="majorHAnsi" w:hAnsiTheme="majorHAnsi"/>
            <w:noProof/>
            <w:webHidden/>
            <w:sz w:val="20"/>
            <w:szCs w:val="20"/>
          </w:rPr>
          <w:fldChar w:fldCharType="begin"/>
        </w:r>
        <w:r w:rsidR="001C0197" w:rsidRPr="001C0197">
          <w:rPr>
            <w:rFonts w:asciiTheme="majorHAnsi" w:hAnsiTheme="majorHAnsi"/>
            <w:noProof/>
            <w:webHidden/>
            <w:sz w:val="20"/>
            <w:szCs w:val="20"/>
          </w:rPr>
          <w:instrText xml:space="preserve"> PAGEREF _Toc16677881 \h </w:instrText>
        </w:r>
        <w:r w:rsidR="001C0197" w:rsidRPr="001C0197">
          <w:rPr>
            <w:rFonts w:asciiTheme="majorHAnsi" w:hAnsiTheme="majorHAnsi"/>
            <w:noProof/>
            <w:webHidden/>
            <w:sz w:val="20"/>
            <w:szCs w:val="20"/>
          </w:rPr>
        </w:r>
        <w:r w:rsidR="001C0197" w:rsidRPr="001C0197">
          <w:rPr>
            <w:rFonts w:asciiTheme="majorHAnsi" w:hAnsiTheme="majorHAnsi"/>
            <w:noProof/>
            <w:webHidden/>
            <w:sz w:val="20"/>
            <w:szCs w:val="20"/>
          </w:rPr>
          <w:fldChar w:fldCharType="separate"/>
        </w:r>
        <w:r>
          <w:rPr>
            <w:rFonts w:asciiTheme="majorHAnsi" w:hAnsiTheme="majorHAnsi"/>
            <w:noProof/>
            <w:webHidden/>
            <w:sz w:val="20"/>
            <w:szCs w:val="20"/>
          </w:rPr>
          <w:t>25</w:t>
        </w:r>
        <w:r w:rsidR="001C0197" w:rsidRPr="001C0197">
          <w:rPr>
            <w:rFonts w:asciiTheme="majorHAnsi" w:hAnsiTheme="majorHAnsi"/>
            <w:noProof/>
            <w:webHidden/>
            <w:sz w:val="20"/>
            <w:szCs w:val="20"/>
          </w:rPr>
          <w:fldChar w:fldCharType="end"/>
        </w:r>
      </w:hyperlink>
    </w:p>
    <w:p w14:paraId="21F4FA9C" w14:textId="4D19675E" w:rsidR="001C0197" w:rsidRPr="001C0197" w:rsidRDefault="003536AD" w:rsidP="001C0197">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16677882" w:history="1">
        <w:r w:rsidR="001C0197" w:rsidRPr="001C0197">
          <w:rPr>
            <w:rStyle w:val="Hyperlink"/>
            <w:rFonts w:asciiTheme="majorHAnsi" w:hAnsiTheme="majorHAnsi"/>
            <w:noProof/>
            <w:sz w:val="20"/>
            <w:szCs w:val="20"/>
          </w:rPr>
          <w:t>V.</w:t>
        </w:r>
        <w:r w:rsidR="001C0197" w:rsidRPr="001C0197">
          <w:rPr>
            <w:rFonts w:asciiTheme="majorHAnsi" w:eastAsiaTheme="minorEastAsia" w:hAnsiTheme="majorHAnsi" w:cstheme="minorBidi"/>
            <w:noProof/>
            <w:sz w:val="20"/>
            <w:szCs w:val="20"/>
            <w:bdr w:val="none" w:sz="0" w:space="0" w:color="auto"/>
          </w:rPr>
          <w:tab/>
        </w:r>
        <w:r w:rsidR="001C0197" w:rsidRPr="001C0197">
          <w:rPr>
            <w:rStyle w:val="Hyperlink"/>
            <w:rFonts w:asciiTheme="majorHAnsi" w:hAnsiTheme="majorHAnsi"/>
            <w:noProof/>
            <w:sz w:val="20"/>
            <w:szCs w:val="20"/>
          </w:rPr>
          <w:t>CONCLUSÕES E RECOMENDAÇÕES.</w:t>
        </w:r>
        <w:r w:rsidR="001C0197" w:rsidRPr="001C0197">
          <w:rPr>
            <w:rFonts w:asciiTheme="majorHAnsi" w:hAnsiTheme="majorHAnsi"/>
            <w:noProof/>
            <w:webHidden/>
            <w:sz w:val="20"/>
            <w:szCs w:val="20"/>
          </w:rPr>
          <w:tab/>
        </w:r>
        <w:r w:rsidR="001C0197" w:rsidRPr="001C0197">
          <w:rPr>
            <w:rFonts w:asciiTheme="majorHAnsi" w:hAnsiTheme="majorHAnsi"/>
            <w:noProof/>
            <w:webHidden/>
            <w:sz w:val="20"/>
            <w:szCs w:val="20"/>
          </w:rPr>
          <w:fldChar w:fldCharType="begin"/>
        </w:r>
        <w:r w:rsidR="001C0197" w:rsidRPr="001C0197">
          <w:rPr>
            <w:rFonts w:asciiTheme="majorHAnsi" w:hAnsiTheme="majorHAnsi"/>
            <w:noProof/>
            <w:webHidden/>
            <w:sz w:val="20"/>
            <w:szCs w:val="20"/>
          </w:rPr>
          <w:instrText xml:space="preserve"> PAGEREF _Toc16677882 \h </w:instrText>
        </w:r>
        <w:r w:rsidR="001C0197" w:rsidRPr="001C0197">
          <w:rPr>
            <w:rFonts w:asciiTheme="majorHAnsi" w:hAnsiTheme="majorHAnsi"/>
            <w:noProof/>
            <w:webHidden/>
            <w:sz w:val="20"/>
            <w:szCs w:val="20"/>
          </w:rPr>
        </w:r>
        <w:r w:rsidR="001C0197" w:rsidRPr="001C0197">
          <w:rPr>
            <w:rFonts w:asciiTheme="majorHAnsi" w:hAnsiTheme="majorHAnsi"/>
            <w:noProof/>
            <w:webHidden/>
            <w:sz w:val="20"/>
            <w:szCs w:val="20"/>
          </w:rPr>
          <w:fldChar w:fldCharType="separate"/>
        </w:r>
        <w:r>
          <w:rPr>
            <w:rFonts w:asciiTheme="majorHAnsi" w:hAnsiTheme="majorHAnsi"/>
            <w:noProof/>
            <w:webHidden/>
            <w:sz w:val="20"/>
            <w:szCs w:val="20"/>
          </w:rPr>
          <w:t>25</w:t>
        </w:r>
        <w:r w:rsidR="001C0197" w:rsidRPr="001C0197">
          <w:rPr>
            <w:rFonts w:asciiTheme="majorHAnsi" w:hAnsiTheme="majorHAnsi"/>
            <w:noProof/>
            <w:webHidden/>
            <w:sz w:val="20"/>
            <w:szCs w:val="20"/>
          </w:rPr>
          <w:fldChar w:fldCharType="end"/>
        </w:r>
      </w:hyperlink>
    </w:p>
    <w:p w14:paraId="72C6F2AF" w14:textId="77777777" w:rsidR="001C0197" w:rsidRDefault="001C0197" w:rsidP="001C0197">
      <w:pPr>
        <w:keepNext/>
        <w:keepLines/>
        <w:tabs>
          <w:tab w:val="left" w:pos="720"/>
        </w:tabs>
        <w:outlineLvl w:val="0"/>
        <w:rPr>
          <w:rFonts w:asciiTheme="majorHAnsi" w:eastAsia="Batang" w:hAnsiTheme="majorHAnsi" w:cstheme="majorBidi"/>
          <w:b/>
          <w:bCs/>
          <w:sz w:val="20"/>
          <w:szCs w:val="20"/>
          <w:bdr w:val="none" w:sz="0" w:space="0" w:color="auto"/>
          <w:lang w:val="pt-BR" w:eastAsia="es-ES"/>
        </w:rPr>
      </w:pPr>
      <w:r w:rsidRPr="001C0197">
        <w:rPr>
          <w:rFonts w:asciiTheme="majorHAnsi" w:eastAsia="Batang" w:hAnsiTheme="majorHAnsi" w:cstheme="majorBidi"/>
          <w:b/>
          <w:bCs/>
          <w:sz w:val="20"/>
          <w:szCs w:val="20"/>
          <w:bdr w:val="none" w:sz="0" w:space="0" w:color="auto"/>
          <w:lang w:val="pt-BR" w:eastAsia="es-ES"/>
        </w:rPr>
        <w:fldChar w:fldCharType="end"/>
      </w:r>
    </w:p>
    <w:p w14:paraId="55591072" w14:textId="77777777" w:rsidR="001C0197" w:rsidRDefault="001C0197" w:rsidP="001C0197">
      <w:pPr>
        <w:keepNext/>
        <w:keepLines/>
        <w:tabs>
          <w:tab w:val="left" w:pos="720"/>
        </w:tabs>
        <w:outlineLvl w:val="0"/>
        <w:rPr>
          <w:rFonts w:asciiTheme="majorHAnsi" w:eastAsia="Batang" w:hAnsiTheme="majorHAnsi" w:cstheme="majorBidi"/>
          <w:b/>
          <w:bCs/>
          <w:sz w:val="20"/>
          <w:szCs w:val="20"/>
          <w:bdr w:val="none" w:sz="0" w:space="0" w:color="auto"/>
          <w:lang w:val="pt-BR" w:eastAsia="es-ES"/>
        </w:rPr>
      </w:pPr>
    </w:p>
    <w:p w14:paraId="0512D82B" w14:textId="77777777" w:rsidR="001C0197" w:rsidRDefault="001C0197" w:rsidP="001C0197">
      <w:pPr>
        <w:keepNext/>
        <w:keepLines/>
        <w:tabs>
          <w:tab w:val="left" w:pos="720"/>
        </w:tabs>
        <w:outlineLvl w:val="0"/>
        <w:rPr>
          <w:rFonts w:asciiTheme="majorHAnsi" w:eastAsia="Batang" w:hAnsiTheme="majorHAnsi" w:cstheme="majorBidi"/>
          <w:b/>
          <w:bCs/>
          <w:sz w:val="20"/>
          <w:szCs w:val="20"/>
          <w:bdr w:val="none" w:sz="0" w:space="0" w:color="auto"/>
          <w:lang w:val="pt-BR" w:eastAsia="es-ES"/>
        </w:rPr>
      </w:pPr>
    </w:p>
    <w:p w14:paraId="17E941AA" w14:textId="77777777" w:rsidR="001C0197" w:rsidRDefault="001C0197" w:rsidP="001C0197">
      <w:pPr>
        <w:keepNext/>
        <w:keepLines/>
        <w:tabs>
          <w:tab w:val="left" w:pos="720"/>
        </w:tabs>
        <w:outlineLvl w:val="0"/>
        <w:rPr>
          <w:rFonts w:asciiTheme="majorHAnsi" w:eastAsia="Batang" w:hAnsiTheme="majorHAnsi" w:cstheme="majorBidi"/>
          <w:b/>
          <w:bCs/>
          <w:sz w:val="20"/>
          <w:szCs w:val="20"/>
          <w:bdr w:val="none" w:sz="0" w:space="0" w:color="auto"/>
          <w:lang w:val="pt-BR" w:eastAsia="es-ES"/>
        </w:rPr>
        <w:sectPr w:rsidR="001C0197" w:rsidSect="007C7B72">
          <w:pgSz w:w="12240" w:h="15840"/>
          <w:pgMar w:top="1440" w:right="1440" w:bottom="1440" w:left="1440" w:header="720" w:footer="720" w:gutter="0"/>
          <w:pgNumType w:start="1"/>
          <w:cols w:space="720"/>
          <w:docGrid w:linePitch="326"/>
        </w:sectPr>
      </w:pPr>
    </w:p>
    <w:p w14:paraId="684ACABA" w14:textId="51496850" w:rsidR="005650A6" w:rsidRPr="001C0197" w:rsidRDefault="00C97047" w:rsidP="001C0197">
      <w:pPr>
        <w:pStyle w:val="Heading1"/>
      </w:pPr>
      <w:bookmarkStart w:id="1" w:name="_Toc16677774"/>
      <w:bookmarkStart w:id="2" w:name="_Toc16677861"/>
      <w:r w:rsidRPr="001C0197">
        <w:lastRenderedPageBreak/>
        <w:t>INTRODUÇÃO</w:t>
      </w:r>
      <w:bookmarkEnd w:id="0"/>
      <w:bookmarkEnd w:id="1"/>
      <w:bookmarkEnd w:id="2"/>
    </w:p>
    <w:p w14:paraId="18503AF6" w14:textId="77777777" w:rsidR="005650A6" w:rsidRPr="00187186" w:rsidRDefault="005650A6" w:rsidP="001871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cs="Arial"/>
          <w:bCs/>
          <w:sz w:val="20"/>
          <w:szCs w:val="20"/>
          <w:bdr w:val="none" w:sz="0" w:space="0" w:color="auto"/>
          <w:lang w:val="pt-BR"/>
        </w:rPr>
      </w:pPr>
    </w:p>
    <w:p w14:paraId="58F29D5F" w14:textId="1194E81E" w:rsidR="009521B2" w:rsidRPr="00187186" w:rsidRDefault="00B3459B"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suppressAutoHyphens/>
        <w:ind w:left="0" w:firstLine="0"/>
        <w:jc w:val="both"/>
        <w:rPr>
          <w:rFonts w:ascii="Cambria" w:eastAsia="Batang" w:hAnsi="Cambria"/>
          <w:sz w:val="20"/>
          <w:szCs w:val="20"/>
          <w:bdr w:val="none" w:sz="0" w:space="0" w:color="auto"/>
          <w:lang w:val="pt-BR"/>
        </w:rPr>
      </w:pPr>
      <w:r w:rsidRPr="00187186">
        <w:rPr>
          <w:rFonts w:ascii="Cambria" w:eastAsia="Batang" w:hAnsi="Cambria"/>
          <w:sz w:val="20"/>
          <w:szCs w:val="20"/>
          <w:bdr w:val="none" w:sz="0" w:space="0" w:color="auto"/>
          <w:lang w:val="pt-BR"/>
        </w:rPr>
        <w:t xml:space="preserve">Em </w:t>
      </w:r>
      <w:r w:rsidR="00BC664E" w:rsidRPr="00187186">
        <w:rPr>
          <w:rFonts w:ascii="Cambria" w:eastAsia="Batang" w:hAnsi="Cambria"/>
          <w:sz w:val="20"/>
          <w:szCs w:val="20"/>
          <w:bdr w:val="none" w:sz="0" w:space="0" w:color="auto"/>
          <w:lang w:val="pt-BR"/>
        </w:rPr>
        <w:t>9</w:t>
      </w:r>
      <w:r w:rsidRPr="00187186">
        <w:rPr>
          <w:rFonts w:ascii="Cambria" w:eastAsia="Batang" w:hAnsi="Cambria"/>
          <w:sz w:val="20"/>
          <w:szCs w:val="20"/>
          <w:bdr w:val="none" w:sz="0" w:space="0" w:color="auto"/>
          <w:lang w:val="pt-BR"/>
        </w:rPr>
        <w:t xml:space="preserve"> de </w:t>
      </w:r>
      <w:r w:rsidR="009521B2" w:rsidRPr="00187186">
        <w:rPr>
          <w:rFonts w:ascii="Cambria" w:eastAsia="Batang" w:hAnsi="Cambria"/>
          <w:sz w:val="20"/>
          <w:szCs w:val="20"/>
          <w:bdr w:val="none" w:sz="0" w:space="0" w:color="auto"/>
          <w:lang w:val="pt-BR"/>
        </w:rPr>
        <w:t>novembro de 2006</w:t>
      </w:r>
      <w:r w:rsidRPr="00187186">
        <w:rPr>
          <w:rFonts w:ascii="Cambria" w:eastAsia="Batang" w:hAnsi="Cambria"/>
          <w:sz w:val="20"/>
          <w:szCs w:val="20"/>
          <w:bdr w:val="none" w:sz="0" w:space="0" w:color="auto"/>
          <w:lang w:val="pt-BR"/>
        </w:rPr>
        <w:t xml:space="preserve"> a Comissão Interamericana de Direitos Humanos (doravant</w:t>
      </w:r>
      <w:r w:rsidR="009521B2" w:rsidRPr="00187186">
        <w:rPr>
          <w:rFonts w:ascii="Cambria" w:eastAsia="Batang" w:hAnsi="Cambria"/>
          <w:sz w:val="20"/>
          <w:szCs w:val="20"/>
          <w:bdr w:val="none" w:sz="0" w:space="0" w:color="auto"/>
          <w:lang w:val="pt-BR"/>
        </w:rPr>
        <w:t>e “Comissão Interamericana”</w:t>
      </w:r>
      <w:r w:rsidR="004862FA" w:rsidRPr="00187186">
        <w:rPr>
          <w:rFonts w:ascii="Cambria" w:eastAsia="Batang" w:hAnsi="Cambria"/>
          <w:sz w:val="20"/>
          <w:szCs w:val="20"/>
          <w:bdr w:val="none" w:sz="0" w:space="0" w:color="auto"/>
          <w:lang w:val="pt-BR"/>
        </w:rPr>
        <w:t>, “Comissão”</w:t>
      </w:r>
      <w:r w:rsidR="009521B2" w:rsidRPr="00187186">
        <w:rPr>
          <w:rFonts w:ascii="Cambria" w:eastAsia="Batang" w:hAnsi="Cambria"/>
          <w:sz w:val="20"/>
          <w:szCs w:val="20"/>
          <w:bdr w:val="none" w:sz="0" w:space="0" w:color="auto"/>
          <w:lang w:val="pt-BR"/>
        </w:rPr>
        <w:t xml:space="preserve"> ou </w:t>
      </w:r>
      <w:r w:rsidR="004862FA" w:rsidRPr="00187186">
        <w:rPr>
          <w:rFonts w:ascii="Cambria" w:eastAsia="Batang" w:hAnsi="Cambria"/>
          <w:sz w:val="20"/>
          <w:szCs w:val="20"/>
          <w:bdr w:val="none" w:sz="0" w:space="0" w:color="auto"/>
          <w:lang w:val="pt-BR"/>
        </w:rPr>
        <w:t>“</w:t>
      </w:r>
      <w:r w:rsidRPr="00187186">
        <w:rPr>
          <w:rFonts w:ascii="Cambria" w:eastAsia="Batang" w:hAnsi="Cambria"/>
          <w:sz w:val="20"/>
          <w:szCs w:val="20"/>
          <w:bdr w:val="none" w:sz="0" w:space="0" w:color="auto"/>
          <w:lang w:val="pt-BR"/>
        </w:rPr>
        <w:t>CIDH</w:t>
      </w:r>
      <w:r w:rsidR="004862FA" w:rsidRPr="00187186">
        <w:rPr>
          <w:rFonts w:ascii="Cambria" w:eastAsia="Batang" w:hAnsi="Cambria"/>
          <w:sz w:val="20"/>
          <w:szCs w:val="20"/>
          <w:bdr w:val="none" w:sz="0" w:space="0" w:color="auto"/>
          <w:lang w:val="pt-BR"/>
        </w:rPr>
        <w:t>”</w:t>
      </w:r>
      <w:r w:rsidRPr="00187186">
        <w:rPr>
          <w:rFonts w:ascii="Cambria" w:eastAsia="Batang" w:hAnsi="Cambria"/>
          <w:sz w:val="20"/>
          <w:szCs w:val="20"/>
          <w:bdr w:val="none" w:sz="0" w:space="0" w:color="auto"/>
          <w:lang w:val="pt-BR"/>
        </w:rPr>
        <w:t>) recebeu uma petição na qual se alega a responsabilidade internacional da República Federativa do Brasil (“Estado</w:t>
      </w:r>
      <w:r w:rsidR="00187186" w:rsidRPr="00187186">
        <w:rPr>
          <w:rFonts w:ascii="Cambria" w:hAnsi="Cambria"/>
          <w:bCs/>
          <w:sz w:val="20"/>
          <w:szCs w:val="20"/>
          <w:vertAlign w:val="superscript"/>
          <w:lang w:val="pt-BR"/>
        </w:rPr>
        <w:footnoteReference w:id="2"/>
      </w:r>
      <w:r w:rsidRPr="00187186">
        <w:rPr>
          <w:rFonts w:ascii="Cambria" w:eastAsia="Batang" w:hAnsi="Cambria"/>
          <w:sz w:val="20"/>
          <w:szCs w:val="20"/>
          <w:bdr w:val="none" w:sz="0" w:space="0" w:color="auto"/>
          <w:lang w:val="pt-BR"/>
        </w:rPr>
        <w:t>”</w:t>
      </w:r>
      <w:r w:rsidR="004862FA" w:rsidRPr="00187186">
        <w:rPr>
          <w:rFonts w:ascii="Cambria" w:eastAsia="Batang" w:hAnsi="Cambria"/>
          <w:sz w:val="20"/>
          <w:szCs w:val="20"/>
          <w:bdr w:val="none" w:sz="0" w:space="0" w:color="auto"/>
          <w:lang w:val="pt-BR"/>
        </w:rPr>
        <w:t>, “Estado brasile</w:t>
      </w:r>
      <w:r w:rsidR="00FB008E" w:rsidRPr="00187186">
        <w:rPr>
          <w:rFonts w:ascii="Cambria" w:eastAsia="Batang" w:hAnsi="Cambria"/>
          <w:sz w:val="20"/>
          <w:szCs w:val="20"/>
          <w:bdr w:val="none" w:sz="0" w:space="0" w:color="auto"/>
          <w:lang w:val="pt-BR"/>
        </w:rPr>
        <w:t>i</w:t>
      </w:r>
      <w:r w:rsidR="004862FA" w:rsidRPr="00187186">
        <w:rPr>
          <w:rFonts w:ascii="Cambria" w:eastAsia="Batang" w:hAnsi="Cambria"/>
          <w:sz w:val="20"/>
          <w:szCs w:val="20"/>
          <w:bdr w:val="none" w:sz="0" w:space="0" w:color="auto"/>
          <w:lang w:val="pt-BR"/>
        </w:rPr>
        <w:t>ro”</w:t>
      </w:r>
      <w:r w:rsidRPr="00187186">
        <w:rPr>
          <w:rFonts w:ascii="Cambria" w:eastAsia="Batang" w:hAnsi="Cambria"/>
          <w:sz w:val="20"/>
          <w:szCs w:val="20"/>
          <w:bdr w:val="none" w:sz="0" w:space="0" w:color="auto"/>
          <w:lang w:val="pt-BR"/>
        </w:rPr>
        <w:t xml:space="preserve"> ou “Brasil”) </w:t>
      </w:r>
      <w:r w:rsidR="009521B2" w:rsidRPr="00187186">
        <w:rPr>
          <w:rFonts w:ascii="Cambria" w:eastAsia="Batang" w:hAnsi="Cambria"/>
          <w:sz w:val="20"/>
          <w:szCs w:val="20"/>
          <w:bdr w:val="none" w:sz="0" w:space="0" w:color="auto"/>
          <w:lang w:val="pt-BR"/>
        </w:rPr>
        <w:t xml:space="preserve">pelo </w:t>
      </w:r>
      <w:r w:rsidR="009521B2" w:rsidRPr="00187186">
        <w:rPr>
          <w:rFonts w:ascii="Cambria" w:hAnsi="Cambria"/>
          <w:sz w:val="20"/>
          <w:szCs w:val="20"/>
          <w:lang w:val="pt-BR"/>
        </w:rPr>
        <w:t xml:space="preserve">assassinato do defensor de direitos humanos Gabriel Sales Pimenta, bem como pela impunidade que se seguiram aos fatos. Alega-se que tanto os direitos de Gabriel </w:t>
      </w:r>
      <w:r w:rsidR="004862FA" w:rsidRPr="00187186">
        <w:rPr>
          <w:rFonts w:ascii="Cambria" w:hAnsi="Cambria"/>
          <w:sz w:val="20"/>
          <w:szCs w:val="20"/>
          <w:lang w:val="pt-BR"/>
        </w:rPr>
        <w:t xml:space="preserve">Sales Pimenta </w:t>
      </w:r>
      <w:r w:rsidR="009521B2" w:rsidRPr="00187186">
        <w:rPr>
          <w:rFonts w:ascii="Cambria" w:hAnsi="Cambria"/>
          <w:sz w:val="20"/>
          <w:szCs w:val="20"/>
          <w:lang w:val="pt-BR"/>
        </w:rPr>
        <w:t>quanto os de sua família foram violados. A petição foi apresentada pela Comissão Pastoral da Terra (CPT) e pelo Centro pela Justiça e Direito Internacional (CEJIL) (peticionários ou “parte peticionária”).</w:t>
      </w:r>
    </w:p>
    <w:p w14:paraId="6E8C3394" w14:textId="77777777" w:rsidR="00C97047" w:rsidRPr="00187186" w:rsidRDefault="00C97047" w:rsidP="0018718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Batang" w:hAnsi="Cambria"/>
          <w:sz w:val="20"/>
          <w:szCs w:val="20"/>
          <w:bdr w:val="none" w:sz="0" w:space="0" w:color="auto"/>
          <w:lang w:val="pt-BR"/>
        </w:rPr>
      </w:pPr>
    </w:p>
    <w:p w14:paraId="13A3AE74" w14:textId="77777777" w:rsidR="00C97047" w:rsidRPr="00187186" w:rsidRDefault="00C97047"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suppressAutoHyphens/>
        <w:ind w:left="0" w:firstLine="0"/>
        <w:jc w:val="both"/>
        <w:rPr>
          <w:rFonts w:ascii="Cambria" w:eastAsia="Batang" w:hAnsi="Cambria"/>
          <w:sz w:val="20"/>
          <w:szCs w:val="20"/>
          <w:bdr w:val="none" w:sz="0" w:space="0" w:color="auto"/>
          <w:lang w:val="pt-BR"/>
        </w:rPr>
      </w:pPr>
      <w:r w:rsidRPr="00187186">
        <w:rPr>
          <w:rFonts w:ascii="Cambria" w:eastAsia="Batang" w:hAnsi="Cambria"/>
          <w:sz w:val="20"/>
          <w:szCs w:val="20"/>
          <w:bdr w:val="none" w:sz="0" w:space="0" w:color="auto"/>
          <w:lang w:val="pt-BR"/>
        </w:rPr>
        <w:t>A Comissão aprovou o Relatório de Admissibilidade</w:t>
      </w:r>
      <w:r w:rsidR="00150695" w:rsidRPr="00187186">
        <w:rPr>
          <w:rFonts w:ascii="Cambria" w:eastAsia="Batang" w:hAnsi="Cambria"/>
          <w:sz w:val="20"/>
          <w:szCs w:val="20"/>
          <w:bdr w:val="none" w:sz="0" w:space="0" w:color="auto"/>
          <w:lang w:val="pt-BR"/>
        </w:rPr>
        <w:t xml:space="preserve"> </w:t>
      </w:r>
      <w:r w:rsidR="009521B2" w:rsidRPr="00187186">
        <w:rPr>
          <w:rFonts w:ascii="Cambria" w:hAnsi="Cambria"/>
          <w:sz w:val="20"/>
          <w:szCs w:val="20"/>
          <w:lang w:val="pt-BR"/>
        </w:rPr>
        <w:t>No. 73/08 em 17 de outubro de 2008</w:t>
      </w:r>
      <w:r w:rsidR="00E00BF3" w:rsidRPr="00187186">
        <w:rPr>
          <w:rFonts w:ascii="Cambria" w:hAnsi="Cambria"/>
          <w:bCs/>
          <w:sz w:val="20"/>
          <w:szCs w:val="20"/>
          <w:vertAlign w:val="superscript"/>
          <w:lang w:val="pt-BR"/>
        </w:rPr>
        <w:footnoteReference w:id="3"/>
      </w:r>
      <w:r w:rsidRPr="00187186">
        <w:rPr>
          <w:rFonts w:ascii="Cambria" w:eastAsia="Batang" w:hAnsi="Cambria"/>
          <w:sz w:val="20"/>
          <w:szCs w:val="20"/>
          <w:bdr w:val="none" w:sz="0" w:space="0" w:color="auto"/>
          <w:lang w:val="pt-BR"/>
        </w:rPr>
        <w:t xml:space="preserve">. Em </w:t>
      </w:r>
      <w:r w:rsidR="000952EC" w:rsidRPr="00187186">
        <w:rPr>
          <w:rFonts w:ascii="Cambria" w:eastAsia="Batang" w:hAnsi="Cambria"/>
          <w:sz w:val="20"/>
          <w:szCs w:val="20"/>
          <w:bdr w:val="none" w:sz="0" w:space="0" w:color="auto"/>
          <w:lang w:val="pt-BR"/>
        </w:rPr>
        <w:t>15</w:t>
      </w:r>
      <w:r w:rsidR="001B2A74" w:rsidRPr="00187186">
        <w:rPr>
          <w:rFonts w:ascii="Cambria" w:eastAsia="Batang" w:hAnsi="Cambria"/>
          <w:sz w:val="20"/>
          <w:szCs w:val="20"/>
          <w:bdr w:val="none" w:sz="0" w:space="0" w:color="auto"/>
          <w:lang w:val="pt-BR"/>
        </w:rPr>
        <w:t xml:space="preserve"> de </w:t>
      </w:r>
      <w:r w:rsidR="000952EC" w:rsidRPr="00187186">
        <w:rPr>
          <w:rFonts w:ascii="Cambria" w:eastAsia="Batang" w:hAnsi="Cambria"/>
          <w:sz w:val="20"/>
          <w:szCs w:val="20"/>
          <w:bdr w:val="none" w:sz="0" w:space="0" w:color="auto"/>
          <w:lang w:val="pt-BR"/>
        </w:rPr>
        <w:t>dezembro</w:t>
      </w:r>
      <w:r w:rsidR="001B2A74" w:rsidRPr="00187186">
        <w:rPr>
          <w:rFonts w:ascii="Cambria" w:eastAsia="Batang" w:hAnsi="Cambria"/>
          <w:sz w:val="20"/>
          <w:szCs w:val="20"/>
          <w:bdr w:val="none" w:sz="0" w:space="0" w:color="auto"/>
          <w:lang w:val="pt-BR"/>
        </w:rPr>
        <w:t xml:space="preserve"> de 2008</w:t>
      </w:r>
      <w:r w:rsidRPr="00187186">
        <w:rPr>
          <w:rFonts w:ascii="Cambria" w:eastAsia="Batang" w:hAnsi="Cambria"/>
          <w:sz w:val="20"/>
          <w:szCs w:val="20"/>
          <w:bdr w:val="none" w:sz="0" w:space="0" w:color="auto"/>
          <w:lang w:val="pt-BR"/>
        </w:rPr>
        <w:t>, a Comissão notificou as partes sobre esse relatório. As partes contaram com todos os prazos regulamentares para apresentar suas observações adicionais de mérito. Toda a informação recebid</w:t>
      </w:r>
      <w:r w:rsidR="009521B2" w:rsidRPr="00187186">
        <w:rPr>
          <w:rFonts w:ascii="Cambria" w:eastAsia="Batang" w:hAnsi="Cambria"/>
          <w:sz w:val="20"/>
          <w:szCs w:val="20"/>
          <w:bdr w:val="none" w:sz="0" w:space="0" w:color="auto"/>
          <w:lang w:val="pt-BR"/>
        </w:rPr>
        <w:t>a</w:t>
      </w:r>
      <w:r w:rsidRPr="00187186">
        <w:rPr>
          <w:rFonts w:ascii="Cambria" w:eastAsia="Batang" w:hAnsi="Cambria"/>
          <w:sz w:val="20"/>
          <w:szCs w:val="20"/>
          <w:bdr w:val="none" w:sz="0" w:space="0" w:color="auto"/>
          <w:lang w:val="pt-BR"/>
        </w:rPr>
        <w:t xml:space="preserve"> foi devidamente trasladada entre as partes.</w:t>
      </w:r>
    </w:p>
    <w:p w14:paraId="09684B05" w14:textId="77777777" w:rsidR="005650A6" w:rsidRPr="00187186" w:rsidRDefault="005650A6" w:rsidP="0018718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Batang" w:hAnsi="Cambria"/>
          <w:sz w:val="20"/>
          <w:szCs w:val="20"/>
          <w:bdr w:val="none" w:sz="0" w:space="0" w:color="auto"/>
          <w:lang w:val="pt-BR"/>
        </w:rPr>
      </w:pPr>
    </w:p>
    <w:p w14:paraId="0112BF1C" w14:textId="77777777" w:rsidR="00C97047" w:rsidRPr="00187186" w:rsidRDefault="00C97047" w:rsidP="00187186">
      <w:pPr>
        <w:pStyle w:val="Heading1"/>
      </w:pPr>
      <w:bookmarkStart w:id="3" w:name="_Toc7618497"/>
      <w:bookmarkStart w:id="4" w:name="_Toc16677775"/>
      <w:bookmarkStart w:id="5" w:name="_Toc16677862"/>
      <w:r w:rsidRPr="00187186">
        <w:t>ALEGAÇÕES DAS PARTES</w:t>
      </w:r>
      <w:bookmarkEnd w:id="3"/>
      <w:bookmarkEnd w:id="4"/>
      <w:bookmarkEnd w:id="5"/>
    </w:p>
    <w:p w14:paraId="473A42CE" w14:textId="77777777" w:rsidR="004862FA" w:rsidRPr="00187186" w:rsidRDefault="004862FA" w:rsidP="00187186">
      <w:pPr>
        <w:keepNext/>
        <w:keepLines/>
        <w:ind w:left="720"/>
        <w:outlineLvl w:val="0"/>
        <w:rPr>
          <w:rFonts w:ascii="Cambria" w:eastAsia="Batang" w:hAnsi="Cambria" w:cstheme="majorBidi"/>
          <w:b/>
          <w:bCs/>
          <w:sz w:val="20"/>
          <w:szCs w:val="20"/>
          <w:bdr w:val="none" w:sz="0" w:space="0" w:color="auto"/>
          <w:lang w:val="pt-BR" w:eastAsia="es-ES"/>
        </w:rPr>
      </w:pPr>
    </w:p>
    <w:p w14:paraId="2121A411" w14:textId="3A6D7F7D" w:rsidR="005650A6" w:rsidRPr="00187186" w:rsidRDefault="005650A6" w:rsidP="00187186">
      <w:pPr>
        <w:pStyle w:val="Heading2"/>
      </w:pPr>
      <w:bookmarkStart w:id="6" w:name="_Toc506225819"/>
      <w:bookmarkStart w:id="7" w:name="_Toc7618498"/>
      <w:bookmarkStart w:id="8" w:name="_Toc16677776"/>
      <w:bookmarkStart w:id="9" w:name="_Toc16677863"/>
      <w:r w:rsidRPr="00187186">
        <w:t>Parte peticionária</w:t>
      </w:r>
      <w:bookmarkEnd w:id="6"/>
      <w:bookmarkEnd w:id="7"/>
      <w:bookmarkEnd w:id="8"/>
      <w:bookmarkEnd w:id="9"/>
      <w:r w:rsidRPr="00187186">
        <w:t xml:space="preserve"> </w:t>
      </w:r>
    </w:p>
    <w:p w14:paraId="229FED34" w14:textId="77777777" w:rsidR="005650A6" w:rsidRPr="00187186" w:rsidRDefault="005650A6" w:rsidP="001871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cs="Arial"/>
          <w:caps/>
          <w:sz w:val="20"/>
          <w:szCs w:val="20"/>
          <w:bdr w:val="none" w:sz="0" w:space="0" w:color="auto"/>
          <w:lang w:val="pt-BR"/>
        </w:rPr>
      </w:pPr>
    </w:p>
    <w:p w14:paraId="63C737E0" w14:textId="43BF099D" w:rsidR="00D70336" w:rsidRPr="00187186" w:rsidRDefault="00ED3F1B"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suppressAutoHyphens/>
        <w:ind w:left="0" w:firstLine="0"/>
        <w:jc w:val="both"/>
        <w:rPr>
          <w:rFonts w:ascii="Cambria" w:hAnsi="Cambria"/>
          <w:sz w:val="20"/>
          <w:szCs w:val="20"/>
          <w:lang w:val="pt-BR"/>
        </w:rPr>
      </w:pPr>
      <w:r w:rsidRPr="00187186">
        <w:rPr>
          <w:rFonts w:ascii="Cambria" w:eastAsia="Batang" w:hAnsi="Cambria"/>
          <w:sz w:val="20"/>
          <w:szCs w:val="20"/>
          <w:bdr w:val="none" w:sz="0" w:space="0" w:color="auto"/>
          <w:lang w:val="pt-BR"/>
        </w:rPr>
        <w:t xml:space="preserve">A parte peticionária alega que Gabriel Sales Pimenta, </w:t>
      </w:r>
      <w:r w:rsidRPr="00187186">
        <w:rPr>
          <w:rFonts w:ascii="Cambria" w:hAnsi="Cambria"/>
          <w:sz w:val="20"/>
          <w:szCs w:val="20"/>
          <w:lang w:val="pt-BR"/>
        </w:rPr>
        <w:t xml:space="preserve">advogado popular do Sindicato de Trabalhadores </w:t>
      </w:r>
      <w:r w:rsidRPr="00187186">
        <w:rPr>
          <w:rFonts w:ascii="Cambria" w:eastAsia="Batang" w:hAnsi="Cambria"/>
          <w:sz w:val="20"/>
          <w:szCs w:val="20"/>
          <w:bdr w:val="none" w:sz="0" w:space="0" w:color="auto"/>
          <w:lang w:val="pt-BR"/>
        </w:rPr>
        <w:t>Rurais</w:t>
      </w:r>
      <w:r w:rsidRPr="00187186">
        <w:rPr>
          <w:rFonts w:ascii="Cambria" w:hAnsi="Cambria"/>
          <w:sz w:val="20"/>
          <w:szCs w:val="20"/>
          <w:lang w:val="pt-BR"/>
        </w:rPr>
        <w:t xml:space="preserve"> e da Comissão Pastoral da Terra, foi assassinado em virtude de sua diligente atuação em prol destes trabalhadores</w:t>
      </w:r>
      <w:r w:rsidR="00D70336" w:rsidRPr="00187186">
        <w:rPr>
          <w:rFonts w:ascii="Cambria" w:hAnsi="Cambria"/>
          <w:sz w:val="20"/>
          <w:szCs w:val="20"/>
          <w:lang w:val="pt-BR"/>
        </w:rPr>
        <w:t>.</w:t>
      </w:r>
      <w:r w:rsidRPr="00187186">
        <w:rPr>
          <w:rFonts w:ascii="Cambria" w:hAnsi="Cambria"/>
          <w:sz w:val="20"/>
          <w:szCs w:val="20"/>
          <w:lang w:val="pt-BR"/>
        </w:rPr>
        <w:t xml:space="preserve"> </w:t>
      </w:r>
      <w:r w:rsidR="00D70336" w:rsidRPr="00187186">
        <w:rPr>
          <w:rFonts w:ascii="Cambria" w:hAnsi="Cambria"/>
          <w:sz w:val="20"/>
          <w:szCs w:val="20"/>
          <w:lang w:val="pt-BR"/>
        </w:rPr>
        <w:t xml:space="preserve">Em virtude do trabalho de Gabriel como advogado popular, a parte peticionária defende que ele deve ser considerado um defensor dos direitos humanos. </w:t>
      </w:r>
    </w:p>
    <w:p w14:paraId="12E09ED6" w14:textId="77777777" w:rsidR="00D70336" w:rsidRPr="00187186" w:rsidRDefault="00D70336" w:rsidP="001871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pt-BR"/>
        </w:rPr>
      </w:pPr>
    </w:p>
    <w:p w14:paraId="021E1755" w14:textId="6B85CF09" w:rsidR="00D70336" w:rsidRPr="00187186" w:rsidRDefault="00D70336"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suppressAutoHyphens/>
        <w:ind w:left="0" w:firstLine="0"/>
        <w:jc w:val="both"/>
        <w:rPr>
          <w:rFonts w:ascii="Cambria" w:hAnsi="Cambria"/>
          <w:sz w:val="20"/>
          <w:szCs w:val="20"/>
          <w:lang w:val="pt-BR"/>
        </w:rPr>
      </w:pPr>
      <w:r w:rsidRPr="00187186">
        <w:rPr>
          <w:rFonts w:ascii="Cambria" w:hAnsi="Cambria"/>
          <w:sz w:val="20"/>
          <w:szCs w:val="20"/>
          <w:lang w:val="pt-BR"/>
        </w:rPr>
        <w:t xml:space="preserve">A parte peticionária aponta que o assassinato de Gabriel Sales Pimenta não foi adequadamente investigado e </w:t>
      </w:r>
      <w:r w:rsidRPr="00187186">
        <w:rPr>
          <w:rFonts w:ascii="Cambria" w:eastAsia="Batang" w:hAnsi="Cambria"/>
          <w:sz w:val="20"/>
          <w:szCs w:val="20"/>
          <w:bdr w:val="none" w:sz="0" w:space="0" w:color="auto"/>
          <w:lang w:val="pt-BR"/>
        </w:rPr>
        <w:t>punido</w:t>
      </w:r>
      <w:r w:rsidRPr="00187186">
        <w:rPr>
          <w:rFonts w:ascii="Cambria" w:hAnsi="Cambria"/>
          <w:sz w:val="20"/>
          <w:szCs w:val="20"/>
          <w:lang w:val="pt-BR"/>
        </w:rPr>
        <w:t xml:space="preserve">. Neste sentido, aponta a parte peticionária, </w:t>
      </w:r>
      <w:r w:rsidR="00ED3F1B" w:rsidRPr="00187186">
        <w:rPr>
          <w:rFonts w:ascii="Cambria" w:hAnsi="Cambria"/>
          <w:sz w:val="20"/>
          <w:szCs w:val="20"/>
          <w:lang w:val="pt-BR"/>
        </w:rPr>
        <w:t xml:space="preserve">nenhum dos envolvidos em sua morte </w:t>
      </w:r>
      <w:r w:rsidRPr="00187186">
        <w:rPr>
          <w:rFonts w:ascii="Cambria" w:hAnsi="Cambria"/>
          <w:sz w:val="20"/>
          <w:szCs w:val="20"/>
          <w:lang w:val="pt-BR"/>
        </w:rPr>
        <w:t>foi responsabilizado.</w:t>
      </w:r>
      <w:r w:rsidR="00ED3F1B" w:rsidRPr="00187186">
        <w:rPr>
          <w:rFonts w:ascii="Cambria" w:hAnsi="Cambria"/>
          <w:sz w:val="20"/>
          <w:szCs w:val="20"/>
          <w:lang w:val="pt-BR"/>
        </w:rPr>
        <w:t xml:space="preserve"> </w:t>
      </w:r>
    </w:p>
    <w:p w14:paraId="0433FFFA" w14:textId="77777777" w:rsidR="00D70336" w:rsidRPr="00187186" w:rsidRDefault="00D70336" w:rsidP="001871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pt-BR"/>
        </w:rPr>
      </w:pPr>
    </w:p>
    <w:p w14:paraId="6C5BB33D" w14:textId="57B04C2A" w:rsidR="002A2242" w:rsidRPr="00187186" w:rsidRDefault="00ED3F1B"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suppressAutoHyphens/>
        <w:ind w:left="0" w:firstLine="0"/>
        <w:jc w:val="both"/>
        <w:rPr>
          <w:rFonts w:ascii="Cambria" w:hAnsi="Cambria"/>
          <w:sz w:val="20"/>
          <w:szCs w:val="20"/>
          <w:lang w:val="pt-BR"/>
        </w:rPr>
      </w:pPr>
      <w:r w:rsidRPr="00187186">
        <w:rPr>
          <w:rFonts w:ascii="Cambria" w:hAnsi="Cambria"/>
          <w:sz w:val="20"/>
          <w:szCs w:val="20"/>
          <w:lang w:val="pt-BR"/>
        </w:rPr>
        <w:t xml:space="preserve">Segundo a parte peticionária, </w:t>
      </w:r>
      <w:r w:rsidR="00D70336" w:rsidRPr="00187186">
        <w:rPr>
          <w:rFonts w:ascii="Cambria" w:hAnsi="Cambria"/>
          <w:sz w:val="20"/>
          <w:szCs w:val="20"/>
          <w:lang w:val="pt-BR"/>
        </w:rPr>
        <w:t>o assassinato de Gabriel Sales Pimenta</w:t>
      </w:r>
      <w:r w:rsidRPr="00187186">
        <w:rPr>
          <w:rFonts w:ascii="Cambria" w:hAnsi="Cambria"/>
          <w:sz w:val="20"/>
          <w:szCs w:val="20"/>
          <w:lang w:val="pt-BR"/>
        </w:rPr>
        <w:t xml:space="preserve"> se conecta a um padrão sistemático e </w:t>
      </w:r>
      <w:r w:rsidRPr="00187186">
        <w:rPr>
          <w:rFonts w:ascii="Cambria" w:eastAsia="Batang" w:hAnsi="Cambria"/>
          <w:sz w:val="20"/>
          <w:szCs w:val="20"/>
          <w:bdr w:val="none" w:sz="0" w:space="0" w:color="auto"/>
          <w:lang w:val="pt-BR"/>
        </w:rPr>
        <w:t>generalizado</w:t>
      </w:r>
      <w:r w:rsidRPr="00187186">
        <w:rPr>
          <w:rFonts w:ascii="Cambria" w:hAnsi="Cambria"/>
          <w:sz w:val="20"/>
          <w:szCs w:val="20"/>
          <w:lang w:val="pt-BR"/>
        </w:rPr>
        <w:t xml:space="preserve"> de violência contra trabalhadores rurais, lideranças e advogados ligados aos movimentos sociais de luta pela terra, e da impunidade de tais crimes no Brasil.</w:t>
      </w:r>
    </w:p>
    <w:p w14:paraId="30D8B958" w14:textId="77777777" w:rsidR="00D70336" w:rsidRPr="00187186" w:rsidRDefault="00D70336" w:rsidP="00187186">
      <w:pPr>
        <w:pStyle w:val="ListParagraph"/>
        <w:ind w:left="0"/>
        <w:rPr>
          <w:sz w:val="20"/>
          <w:szCs w:val="20"/>
          <w:lang w:val="pt-BR"/>
        </w:rPr>
      </w:pPr>
    </w:p>
    <w:p w14:paraId="0C0E9580" w14:textId="56E370B3" w:rsidR="00D70336" w:rsidRPr="00187186" w:rsidRDefault="00D70336"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suppressAutoHyphens/>
        <w:ind w:left="0" w:firstLine="0"/>
        <w:jc w:val="both"/>
        <w:rPr>
          <w:rFonts w:ascii="Cambria" w:hAnsi="Cambria"/>
          <w:sz w:val="20"/>
          <w:szCs w:val="20"/>
          <w:lang w:val="pt-BR"/>
        </w:rPr>
      </w:pPr>
      <w:r w:rsidRPr="00187186">
        <w:rPr>
          <w:rFonts w:ascii="Cambria" w:hAnsi="Cambria"/>
          <w:sz w:val="20"/>
          <w:szCs w:val="20"/>
          <w:lang w:val="pt-BR"/>
        </w:rPr>
        <w:t xml:space="preserve">Diante disso, a parte peticionária requer que a Comissão reconheça a responsabilidade internacional do Estado por </w:t>
      </w:r>
      <w:r w:rsidRPr="00187186">
        <w:rPr>
          <w:rFonts w:ascii="Cambria" w:eastAsia="Batang" w:hAnsi="Cambria"/>
          <w:sz w:val="20"/>
          <w:szCs w:val="20"/>
          <w:bdr w:val="none" w:sz="0" w:space="0" w:color="auto"/>
          <w:lang w:val="pt-BR"/>
        </w:rPr>
        <w:t>violações</w:t>
      </w:r>
      <w:r w:rsidRPr="00187186">
        <w:rPr>
          <w:rFonts w:ascii="Cambria" w:hAnsi="Cambria"/>
          <w:sz w:val="20"/>
          <w:szCs w:val="20"/>
          <w:lang w:val="pt-BR"/>
        </w:rPr>
        <w:t>: i) ao artigo I da Declaração Americana e aos artigos 4º e 5º da Convenção Americana por não adotar as medidas necessárias para proteger e garantir o direito à vida e à integridade pessoal de Gabriel Pimenta, dado o contexto de violência contra defensores de direitos humanos no Estado do Pará, bem como por não adotar as medidas necessárias de proteção frente às ameaças sofridas por Gabriel em sua particular situação de risco e por não investigar, processar e punir todos os responsáveis pelo seu homicídio; ii) aos artigos XVIII da Declaração Americana e artigos 8º e 25 da Convenção Americana sobre Direitos Humanos, em conexão com o artigo 1(1), por não ter atuado com a devida diligência nem em consonância o direito da vítima e de seus familiares a um recurso efetivo, com as devidas garantias judiciais, para esclarecer a verdade sobre o ocorrido, punir os eventuais responsáveis e reparar os danos sofridos dentro de um prazo razoável; iii) ao artigo I da Declaração Americana e ao artigo 5º da Convenção Americana, em conexão com o artigo 1(1) do mesmo instrumento, pelos danos causados aos familiares de Gabriel Pimenta tendo em vista as ameaças sofridas, a falta de devida diligência na apuração dos fatos e no esclarecimento de toda a verdade sobre o ocorrido e a consequente impunidade dos perpetradores; iv) ao artigo XXII da Declaração Americana, por não haver criado as medidas necessárias para proteger o direito à liberdade de associação de Gabriel.</w:t>
      </w:r>
    </w:p>
    <w:p w14:paraId="14F812B7" w14:textId="77777777" w:rsidR="004862FA" w:rsidRPr="00187186" w:rsidRDefault="004862FA" w:rsidP="00187186">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lang w:val="pt-BR"/>
        </w:rPr>
      </w:pPr>
    </w:p>
    <w:p w14:paraId="0A0771B5" w14:textId="77777777" w:rsidR="00187186" w:rsidRDefault="00187186">
      <w:pPr>
        <w:rPr>
          <w:rFonts w:ascii="Cambria" w:eastAsia="Times New Roman" w:hAnsi="Cambria" w:cs="Arial"/>
          <w:b/>
          <w:bCs/>
          <w:iCs/>
          <w:color w:val="000000"/>
          <w:sz w:val="20"/>
          <w:szCs w:val="20"/>
          <w:u w:color="000000"/>
          <w:bdr w:val="none" w:sz="0" w:space="0" w:color="auto"/>
          <w:lang w:val="pt-BR" w:eastAsia="es-ES"/>
        </w:rPr>
      </w:pPr>
      <w:bookmarkStart w:id="10" w:name="_Toc7618499"/>
      <w:r w:rsidRPr="008C21BD">
        <w:rPr>
          <w:lang w:val="pt-BR"/>
        </w:rPr>
        <w:br w:type="page"/>
      </w:r>
    </w:p>
    <w:p w14:paraId="0BF2AB29" w14:textId="22C210B3" w:rsidR="00DB638A" w:rsidRPr="00187186" w:rsidRDefault="00DB638A" w:rsidP="00187186">
      <w:pPr>
        <w:pStyle w:val="Heading2"/>
      </w:pPr>
      <w:bookmarkStart w:id="11" w:name="_Toc16677777"/>
      <w:bookmarkStart w:id="12" w:name="_Toc16677864"/>
      <w:r w:rsidRPr="00187186">
        <w:lastRenderedPageBreak/>
        <w:t>Alegações do Estado</w:t>
      </w:r>
      <w:bookmarkEnd w:id="10"/>
      <w:bookmarkEnd w:id="11"/>
      <w:bookmarkEnd w:id="12"/>
    </w:p>
    <w:p w14:paraId="779CEB9A" w14:textId="77777777" w:rsidR="00DB638A" w:rsidRPr="00187186" w:rsidRDefault="00DB638A" w:rsidP="00187186">
      <w:pPr>
        <w:pStyle w:val="ListParagraph"/>
        <w:rPr>
          <w:rFonts w:eastAsia="Times New Roman"/>
          <w:color w:val="auto"/>
          <w:sz w:val="20"/>
          <w:szCs w:val="20"/>
          <w:lang w:val="pt-BR"/>
        </w:rPr>
      </w:pPr>
    </w:p>
    <w:p w14:paraId="330DBA87" w14:textId="656BBE8A" w:rsidR="00C25F5A" w:rsidRPr="00187186" w:rsidRDefault="00ED3F1B"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suppressAutoHyphens/>
        <w:ind w:left="0" w:firstLine="0"/>
        <w:jc w:val="both"/>
        <w:rPr>
          <w:rFonts w:ascii="Cambria" w:eastAsia="Times New Roman" w:hAnsi="Cambria"/>
          <w:sz w:val="20"/>
          <w:szCs w:val="20"/>
          <w:lang w:val="pt-BR"/>
        </w:rPr>
      </w:pPr>
      <w:r w:rsidRPr="00187186">
        <w:rPr>
          <w:rFonts w:ascii="Cambria" w:eastAsia="Times New Roman" w:hAnsi="Cambria"/>
          <w:sz w:val="20"/>
          <w:szCs w:val="20"/>
          <w:lang w:val="pt-BR"/>
        </w:rPr>
        <w:t>O Estado argumentou que o caso não deveria ter sido admitido</w:t>
      </w:r>
      <w:r w:rsidR="00C25F5A" w:rsidRPr="00187186">
        <w:rPr>
          <w:rFonts w:ascii="Cambria" w:eastAsia="Times New Roman" w:hAnsi="Cambria"/>
          <w:sz w:val="20"/>
          <w:szCs w:val="20"/>
          <w:lang w:val="pt-BR"/>
        </w:rPr>
        <w:t xml:space="preserve">, em especial porque o sistema de petições individuais não se presta a servir como instância de revisão do mérito das conclusões alcançadas pelas autoridades </w:t>
      </w:r>
      <w:r w:rsidR="00C25F5A" w:rsidRPr="00187186">
        <w:rPr>
          <w:rFonts w:ascii="Cambria" w:hAnsi="Cambria"/>
          <w:sz w:val="20"/>
          <w:szCs w:val="20"/>
          <w:lang w:val="pt-BR"/>
        </w:rPr>
        <w:t>públicas</w:t>
      </w:r>
      <w:r w:rsidR="00C25F5A" w:rsidRPr="00187186">
        <w:rPr>
          <w:rFonts w:ascii="Cambria" w:eastAsia="Times New Roman" w:hAnsi="Cambria"/>
          <w:sz w:val="20"/>
          <w:szCs w:val="20"/>
          <w:lang w:val="pt-BR"/>
        </w:rPr>
        <w:t xml:space="preserve"> nacionais no adequado exercício de suas competências, sob pena de a CIDH extrapolar a sua competência </w:t>
      </w:r>
      <w:r w:rsidR="00C25F5A" w:rsidRPr="00187186">
        <w:rPr>
          <w:rFonts w:ascii="Cambria" w:eastAsia="Times New Roman" w:hAnsi="Cambria"/>
          <w:i/>
          <w:sz w:val="20"/>
          <w:szCs w:val="20"/>
          <w:lang w:val="pt-BR"/>
        </w:rPr>
        <w:t>ratione materiae</w:t>
      </w:r>
      <w:r w:rsidR="00C25F5A" w:rsidRPr="00187186">
        <w:rPr>
          <w:rFonts w:ascii="Cambria" w:eastAsia="Times New Roman" w:hAnsi="Cambria"/>
          <w:sz w:val="20"/>
          <w:szCs w:val="20"/>
          <w:lang w:val="pt-BR"/>
        </w:rPr>
        <w:t xml:space="preserve"> e o seu caráter complementar e subsidiário.</w:t>
      </w:r>
    </w:p>
    <w:p w14:paraId="7179B349" w14:textId="391F2A3B" w:rsidR="00C25F5A" w:rsidRPr="00187186" w:rsidRDefault="00C25F5A" w:rsidP="00187186">
      <w:pPr>
        <w:pStyle w:val="ListParagraph"/>
        <w:ind w:left="0"/>
        <w:jc w:val="both"/>
        <w:rPr>
          <w:rFonts w:eastAsia="Times New Roman"/>
          <w:color w:val="auto"/>
          <w:sz w:val="20"/>
          <w:szCs w:val="20"/>
          <w:lang w:val="pt-BR"/>
        </w:rPr>
      </w:pPr>
    </w:p>
    <w:p w14:paraId="39D77FE8" w14:textId="2F487254" w:rsidR="00FB008E" w:rsidRPr="00187186" w:rsidRDefault="00C25F5A"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suppressAutoHyphens/>
        <w:ind w:left="0" w:firstLine="0"/>
        <w:jc w:val="both"/>
        <w:rPr>
          <w:rFonts w:ascii="Cambria" w:eastAsia="Times New Roman" w:hAnsi="Cambria"/>
          <w:sz w:val="20"/>
          <w:szCs w:val="20"/>
          <w:lang w:val="pt-BR"/>
        </w:rPr>
      </w:pPr>
      <w:r w:rsidRPr="00187186">
        <w:rPr>
          <w:rFonts w:ascii="Cambria" w:eastAsia="Times New Roman" w:hAnsi="Cambria"/>
          <w:sz w:val="20"/>
          <w:szCs w:val="20"/>
          <w:lang w:val="pt-BR"/>
        </w:rPr>
        <w:t xml:space="preserve">Quanto ao mérito, o Estado alega não ter violado, nem por ação, nem por omissão, nenhum dos direitos protegidos pela Declaração Americana e pela Convenção Americana. O Estado sustenta, em resumo, </w:t>
      </w:r>
      <w:r w:rsidR="00ED3F1B" w:rsidRPr="00187186">
        <w:rPr>
          <w:rFonts w:ascii="Cambria" w:eastAsia="Times New Roman" w:hAnsi="Cambria"/>
          <w:sz w:val="20"/>
          <w:szCs w:val="20"/>
          <w:lang w:val="pt-BR"/>
        </w:rPr>
        <w:t xml:space="preserve">que a petição inicial não pode ser provida porque o assassinato de Gabriel Sales Pimenta não foi cometido por </w:t>
      </w:r>
      <w:r w:rsidRPr="00187186">
        <w:rPr>
          <w:rFonts w:ascii="Cambria" w:eastAsia="Times New Roman" w:hAnsi="Cambria"/>
          <w:sz w:val="20"/>
          <w:szCs w:val="20"/>
          <w:lang w:val="pt-BR"/>
        </w:rPr>
        <w:t>agentes estatais</w:t>
      </w:r>
      <w:r w:rsidR="00ED3F1B" w:rsidRPr="00187186">
        <w:rPr>
          <w:rFonts w:ascii="Cambria" w:eastAsia="Times New Roman" w:hAnsi="Cambria"/>
          <w:sz w:val="20"/>
          <w:szCs w:val="20"/>
          <w:lang w:val="pt-BR"/>
        </w:rPr>
        <w:t xml:space="preserve">; </w:t>
      </w:r>
      <w:r w:rsidR="00393FD7" w:rsidRPr="00187186">
        <w:rPr>
          <w:rFonts w:ascii="Cambria" w:eastAsia="Times New Roman" w:hAnsi="Cambria"/>
          <w:sz w:val="20"/>
          <w:szCs w:val="20"/>
          <w:lang w:val="pt-BR"/>
        </w:rPr>
        <w:t xml:space="preserve">não há registro de que Gabriel Sales Pimenta tenha levado tais fatos ao conhecimento do poder público, de modo a possibilitar que o Estado fizesse uso das medidas internas existentes cabíveis para coibir infrações e preservar a vida e a integridade pessoal; os eventos que antecederam a morte, a própria morte e os demais fatos ocorridos até o dia 25 de setembro de 1992 estão fora da competência </w:t>
      </w:r>
      <w:r w:rsidR="00393FD7" w:rsidRPr="00187186">
        <w:rPr>
          <w:rFonts w:ascii="Cambria" w:eastAsia="Times New Roman" w:hAnsi="Cambria"/>
          <w:i/>
          <w:sz w:val="20"/>
          <w:szCs w:val="20"/>
          <w:lang w:val="pt-BR"/>
        </w:rPr>
        <w:t>ratione temporis</w:t>
      </w:r>
      <w:r w:rsidR="00393FD7" w:rsidRPr="00187186">
        <w:rPr>
          <w:rFonts w:ascii="Cambria" w:eastAsia="Times New Roman" w:hAnsi="Cambria"/>
          <w:sz w:val="20"/>
          <w:szCs w:val="20"/>
          <w:lang w:val="pt-BR"/>
        </w:rPr>
        <w:t xml:space="preserve"> da CIDH quanto à Convenção Americana; o senhor Gabriel Sales Pimenta e seus familiares não estiveram na condição de réus (acusados) em processo judicial doméstico, e as supostas omissões ou falhas apontadas não dizem respeito a qualquer processo judicial criminal ou cível doméstico em que tenham eles figurado nesta condição, razões pelas quais não haveria violação ao artigo 8º da Convenção Americana</w:t>
      </w:r>
      <w:r w:rsidR="00FB008E" w:rsidRPr="00187186">
        <w:rPr>
          <w:rFonts w:ascii="Cambria" w:eastAsia="Times New Roman" w:hAnsi="Cambria"/>
          <w:sz w:val="20"/>
          <w:szCs w:val="20"/>
          <w:lang w:val="pt-BR"/>
        </w:rPr>
        <w:t>.</w:t>
      </w:r>
    </w:p>
    <w:p w14:paraId="0956BC3D" w14:textId="77777777" w:rsidR="00FB008E" w:rsidRPr="00187186" w:rsidRDefault="00FB008E" w:rsidP="00187186">
      <w:pPr>
        <w:pStyle w:val="ListParagraph"/>
        <w:ind w:left="0"/>
        <w:jc w:val="both"/>
        <w:rPr>
          <w:rFonts w:eastAsia="Times New Roman"/>
          <w:sz w:val="20"/>
          <w:szCs w:val="20"/>
          <w:lang w:val="pt-BR"/>
        </w:rPr>
      </w:pPr>
    </w:p>
    <w:p w14:paraId="4A97F6BA" w14:textId="235C93A2" w:rsidR="00FB008E" w:rsidRPr="00187186" w:rsidRDefault="00FB008E"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suppressAutoHyphens/>
        <w:ind w:left="0" w:firstLine="0"/>
        <w:jc w:val="both"/>
        <w:rPr>
          <w:rFonts w:ascii="Cambria" w:eastAsia="Times New Roman" w:hAnsi="Cambria"/>
          <w:sz w:val="20"/>
          <w:szCs w:val="20"/>
          <w:lang w:val="pt-BR"/>
        </w:rPr>
      </w:pPr>
      <w:r w:rsidRPr="00187186">
        <w:rPr>
          <w:rFonts w:ascii="Cambria" w:eastAsia="Times New Roman" w:hAnsi="Cambria"/>
          <w:sz w:val="20"/>
          <w:szCs w:val="20"/>
          <w:lang w:val="pt-BR"/>
        </w:rPr>
        <w:t>O Estado também defende que</w:t>
      </w:r>
      <w:r w:rsidR="00ED3F1B" w:rsidRPr="00187186">
        <w:rPr>
          <w:rFonts w:ascii="Cambria" w:eastAsia="Times New Roman" w:hAnsi="Cambria"/>
          <w:sz w:val="20"/>
          <w:szCs w:val="20"/>
          <w:lang w:val="pt-BR"/>
        </w:rPr>
        <w:t xml:space="preserve"> a demora no processo criminal ocorreu por fatores alheios ao controle do Estado</w:t>
      </w:r>
      <w:r w:rsidR="005347A2" w:rsidRPr="00187186">
        <w:rPr>
          <w:rFonts w:ascii="Cambria" w:eastAsia="Times New Roman" w:hAnsi="Cambria"/>
          <w:sz w:val="20"/>
          <w:szCs w:val="20"/>
          <w:lang w:val="pt-BR"/>
        </w:rPr>
        <w:t>, tendo os agentes do Estado brasileiro realizado todos os atos legalmente cabíveis para impulsionar a ação criminal (com a expedição dos mandados de citação e intimação cabíveis e mesmo mandados de prisão preventiva em relação aos acusados foragidos), e a decisão que aplicou a prescrição respeitou os direitos e garantias dos réus, inexistindo, assim, violação ao artigo 25 da Convenção</w:t>
      </w:r>
      <w:r w:rsidRPr="00187186">
        <w:rPr>
          <w:rFonts w:ascii="Cambria" w:eastAsia="Times New Roman" w:hAnsi="Cambria"/>
          <w:sz w:val="20"/>
          <w:szCs w:val="20"/>
          <w:lang w:val="pt-BR"/>
        </w:rPr>
        <w:t>.</w:t>
      </w:r>
    </w:p>
    <w:p w14:paraId="310F8810" w14:textId="77777777" w:rsidR="00FB008E" w:rsidRPr="00187186" w:rsidRDefault="00FB008E" w:rsidP="00187186">
      <w:pPr>
        <w:pStyle w:val="ListParagraph"/>
        <w:ind w:left="0"/>
        <w:jc w:val="both"/>
        <w:rPr>
          <w:rFonts w:eastAsia="Times New Roman"/>
          <w:sz w:val="20"/>
          <w:szCs w:val="20"/>
          <w:lang w:val="pt-BR"/>
        </w:rPr>
      </w:pPr>
    </w:p>
    <w:p w14:paraId="2FEE9119" w14:textId="295C295A" w:rsidR="005347A2" w:rsidRPr="00187186" w:rsidRDefault="00FB008E"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suppressAutoHyphens/>
        <w:ind w:left="0" w:firstLine="0"/>
        <w:jc w:val="both"/>
        <w:rPr>
          <w:rFonts w:ascii="Cambria" w:eastAsia="Times New Roman" w:hAnsi="Cambria"/>
          <w:sz w:val="20"/>
          <w:szCs w:val="20"/>
          <w:lang w:val="pt-BR"/>
        </w:rPr>
      </w:pPr>
      <w:r w:rsidRPr="00187186">
        <w:rPr>
          <w:rFonts w:ascii="Cambria" w:eastAsia="Times New Roman" w:hAnsi="Cambria"/>
          <w:sz w:val="20"/>
          <w:szCs w:val="20"/>
          <w:lang w:val="pt-BR"/>
        </w:rPr>
        <w:t>O Estado sustentou, ademais, que</w:t>
      </w:r>
      <w:r w:rsidR="005347A2" w:rsidRPr="00187186">
        <w:rPr>
          <w:rFonts w:ascii="Cambria" w:eastAsia="Times New Roman" w:hAnsi="Cambria"/>
          <w:sz w:val="20"/>
          <w:szCs w:val="20"/>
          <w:lang w:val="pt-BR"/>
        </w:rPr>
        <w:t xml:space="preserve"> os familiares do senhor Gabriel Sales Pimenta poderiam ter movido ação de reparação civil interna dirigida aos particulares responsáveis pela morte do senhor Gabriel Sales Pimenta independentemente da discussão penal; </w:t>
      </w:r>
      <w:r w:rsidRPr="00187186">
        <w:rPr>
          <w:rFonts w:ascii="Cambria" w:eastAsia="Times New Roman" w:hAnsi="Cambria"/>
          <w:sz w:val="20"/>
          <w:szCs w:val="20"/>
          <w:lang w:val="pt-BR"/>
        </w:rPr>
        <w:t xml:space="preserve">que, </w:t>
      </w:r>
      <w:r w:rsidR="005347A2" w:rsidRPr="00187186">
        <w:rPr>
          <w:rFonts w:ascii="Cambria" w:eastAsia="Times New Roman" w:hAnsi="Cambria"/>
          <w:sz w:val="20"/>
          <w:szCs w:val="20"/>
          <w:lang w:val="pt-BR"/>
        </w:rPr>
        <w:t>como o Estado não teria violado os direitos à vida e à integridade pessoal do senhor Gabriel Sales Pimenta e tampouco os direitos às garantias judiciais e à proteção judicial, seria incabível o pleito reflexo dos peticionários no sentido de que seja reconhecida responsabilidade estatal por violação ao dever de garantir o direito dos familiares à integridade pessoal</w:t>
      </w:r>
      <w:r w:rsidRPr="00187186">
        <w:rPr>
          <w:rFonts w:ascii="Cambria" w:eastAsia="Times New Roman" w:hAnsi="Cambria"/>
          <w:sz w:val="20"/>
          <w:szCs w:val="20"/>
          <w:lang w:val="pt-BR"/>
        </w:rPr>
        <w:t xml:space="preserve">; que, por similar raciocínio, tampouco houve violação do direito de Gabriel Sales Pimenta à liberdade de associação. </w:t>
      </w:r>
      <w:r w:rsidR="002026AC" w:rsidRPr="00187186">
        <w:rPr>
          <w:rFonts w:ascii="Cambria" w:eastAsia="Times New Roman" w:hAnsi="Cambria"/>
          <w:sz w:val="20"/>
          <w:szCs w:val="20"/>
          <w:lang w:val="pt-BR"/>
        </w:rPr>
        <w:t>O Estado discorreu, por fim, sobre as medidas gerais de prevenção que adotou quanto à proteção de defensores de direitos humanos e quanto aos conflitos agrários.</w:t>
      </w:r>
    </w:p>
    <w:p w14:paraId="6C65F8B4" w14:textId="77777777" w:rsidR="004862FA" w:rsidRPr="00187186" w:rsidRDefault="004862FA" w:rsidP="00187186">
      <w:pPr>
        <w:pStyle w:val="ListParagraph"/>
        <w:ind w:left="900"/>
        <w:jc w:val="both"/>
        <w:rPr>
          <w:rFonts w:eastAsia="Times New Roman"/>
          <w:color w:val="auto"/>
          <w:sz w:val="20"/>
          <w:szCs w:val="20"/>
          <w:lang w:val="pt-BR"/>
        </w:rPr>
      </w:pPr>
    </w:p>
    <w:p w14:paraId="1F02F87F" w14:textId="77777777" w:rsidR="005650A6" w:rsidRPr="00187186" w:rsidRDefault="005650A6" w:rsidP="00187186">
      <w:pPr>
        <w:pStyle w:val="Heading1"/>
      </w:pPr>
      <w:bookmarkStart w:id="13" w:name="_Toc506225825"/>
      <w:bookmarkStart w:id="14" w:name="_Toc7618500"/>
      <w:bookmarkStart w:id="15" w:name="_Toc16677778"/>
      <w:bookmarkStart w:id="16" w:name="_Toc16677865"/>
      <w:r w:rsidRPr="00187186">
        <w:t>DETERMINAÇÕES DE FATO</w:t>
      </w:r>
      <w:bookmarkEnd w:id="13"/>
      <w:bookmarkEnd w:id="14"/>
      <w:bookmarkEnd w:id="15"/>
      <w:bookmarkEnd w:id="16"/>
      <w:r w:rsidRPr="00187186">
        <w:t xml:space="preserve"> </w:t>
      </w:r>
    </w:p>
    <w:p w14:paraId="5003D137" w14:textId="77777777" w:rsidR="004862FA" w:rsidRPr="00187186" w:rsidRDefault="004862FA" w:rsidP="00187186">
      <w:pPr>
        <w:keepNext/>
        <w:keepLines/>
        <w:ind w:left="720"/>
        <w:outlineLvl w:val="0"/>
        <w:rPr>
          <w:rFonts w:ascii="Cambria" w:eastAsia="Batang" w:hAnsi="Cambria" w:cstheme="majorBidi"/>
          <w:b/>
          <w:bCs/>
          <w:sz w:val="20"/>
          <w:szCs w:val="20"/>
          <w:bdr w:val="none" w:sz="0" w:space="0" w:color="auto"/>
          <w:lang w:val="pt-BR" w:eastAsia="es-ES"/>
        </w:rPr>
      </w:pPr>
    </w:p>
    <w:p w14:paraId="3D7E03D9" w14:textId="7E1F3DD8" w:rsidR="009521B2" w:rsidRPr="00187186" w:rsidRDefault="00187186" w:rsidP="00187186">
      <w:pPr>
        <w:pStyle w:val="Heading2"/>
        <w:numPr>
          <w:ilvl w:val="0"/>
          <w:numId w:val="0"/>
        </w:numPr>
        <w:ind w:left="360" w:hanging="360"/>
      </w:pPr>
      <w:bookmarkStart w:id="17" w:name="_Toc7618501"/>
      <w:bookmarkStart w:id="18" w:name="_Toc16677779"/>
      <w:bookmarkStart w:id="19" w:name="_Toc16677866"/>
      <w:r>
        <w:t>A.</w:t>
      </w:r>
      <w:r>
        <w:tab/>
      </w:r>
      <w:r w:rsidR="009521B2" w:rsidRPr="00187186">
        <w:t xml:space="preserve">Informações sobre as </w:t>
      </w:r>
      <w:r w:rsidR="00E00BF3" w:rsidRPr="00187186">
        <w:t xml:space="preserve">supostas </w:t>
      </w:r>
      <w:r w:rsidR="009521B2" w:rsidRPr="00187186">
        <w:t>vítimas</w:t>
      </w:r>
      <w:bookmarkEnd w:id="17"/>
      <w:bookmarkEnd w:id="18"/>
      <w:bookmarkEnd w:id="19"/>
    </w:p>
    <w:p w14:paraId="26665FA5" w14:textId="77777777" w:rsidR="009521B2" w:rsidRPr="00187186" w:rsidRDefault="009521B2" w:rsidP="00187186">
      <w:pPr>
        <w:pBdr>
          <w:top w:val="none" w:sz="0" w:space="0" w:color="auto"/>
          <w:left w:val="none" w:sz="0" w:space="0" w:color="auto"/>
          <w:bottom w:val="none" w:sz="0" w:space="0" w:color="auto"/>
          <w:right w:val="none" w:sz="0" w:space="0" w:color="auto"/>
          <w:between w:val="none" w:sz="0" w:space="0" w:color="auto"/>
          <w:bar w:val="none" w:sz="0" w:color="auto"/>
        </w:pBdr>
        <w:ind w:left="180"/>
        <w:jc w:val="both"/>
        <w:rPr>
          <w:rFonts w:ascii="Cambria" w:eastAsia="Batang" w:hAnsi="Cambria"/>
          <w:sz w:val="20"/>
          <w:szCs w:val="20"/>
          <w:bdr w:val="none" w:sz="0" w:space="0" w:color="auto"/>
          <w:lang w:val="pt-BR"/>
        </w:rPr>
      </w:pPr>
    </w:p>
    <w:p w14:paraId="406FFF2E" w14:textId="77777777" w:rsidR="009521B2" w:rsidRPr="00187186" w:rsidRDefault="009521B2"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suppressAutoHyphens/>
        <w:ind w:left="0" w:firstLine="0"/>
        <w:jc w:val="both"/>
        <w:rPr>
          <w:rFonts w:ascii="Cambria" w:eastAsia="Batang" w:hAnsi="Cambria"/>
          <w:sz w:val="20"/>
          <w:szCs w:val="20"/>
          <w:bdr w:val="none" w:sz="0" w:space="0" w:color="auto"/>
          <w:lang w:val="pt-BR"/>
        </w:rPr>
      </w:pPr>
      <w:r w:rsidRPr="00187186">
        <w:rPr>
          <w:rFonts w:ascii="Cambria" w:eastAsia="Batang" w:hAnsi="Cambria"/>
          <w:sz w:val="20"/>
          <w:szCs w:val="20"/>
          <w:bdr w:val="none" w:sz="0" w:space="0" w:color="auto"/>
          <w:lang w:val="pt-BR"/>
        </w:rPr>
        <w:t>No presente caso, além da</w:t>
      </w:r>
      <w:r w:rsidR="00E00BF3" w:rsidRPr="00187186">
        <w:rPr>
          <w:rFonts w:ascii="Cambria" w:eastAsia="Batang" w:hAnsi="Cambria"/>
          <w:sz w:val="20"/>
          <w:szCs w:val="20"/>
          <w:bdr w:val="none" w:sz="0" w:space="0" w:color="auto"/>
          <w:lang w:val="pt-BR"/>
        </w:rPr>
        <w:t xml:space="preserve"> suposta</w:t>
      </w:r>
      <w:r w:rsidRPr="00187186">
        <w:rPr>
          <w:rFonts w:ascii="Cambria" w:eastAsia="Batang" w:hAnsi="Cambria"/>
          <w:sz w:val="20"/>
          <w:szCs w:val="20"/>
          <w:bdr w:val="none" w:sz="0" w:space="0" w:color="auto"/>
          <w:lang w:val="pt-BR"/>
        </w:rPr>
        <w:t xml:space="preserve"> vítima direta Gabriel Sales Pimenta, são identificadas como </w:t>
      </w:r>
      <w:r w:rsidR="00E00BF3" w:rsidRPr="00187186">
        <w:rPr>
          <w:rFonts w:ascii="Cambria" w:eastAsia="Batang" w:hAnsi="Cambria"/>
          <w:sz w:val="20"/>
          <w:szCs w:val="20"/>
          <w:bdr w:val="none" w:sz="0" w:space="0" w:color="auto"/>
          <w:lang w:val="pt-BR"/>
        </w:rPr>
        <w:t xml:space="preserve">supostas </w:t>
      </w:r>
      <w:r w:rsidRPr="00187186">
        <w:rPr>
          <w:rFonts w:ascii="Cambria" w:eastAsia="Batang" w:hAnsi="Cambria"/>
          <w:sz w:val="20"/>
          <w:szCs w:val="20"/>
          <w:bdr w:val="none" w:sz="0" w:space="0" w:color="auto"/>
          <w:lang w:val="pt-BR"/>
        </w:rPr>
        <w:t xml:space="preserve">vítimas indiretas os seus familiares: Geraldo Gomes Pimenta (pai), Maria da Glória Sales Pimenta (mãe), Sérgio Sales </w:t>
      </w:r>
      <w:r w:rsidRPr="00187186">
        <w:rPr>
          <w:rFonts w:ascii="Cambria" w:eastAsia="Times New Roman" w:hAnsi="Cambria"/>
          <w:sz w:val="20"/>
          <w:szCs w:val="20"/>
          <w:lang w:val="pt-BR"/>
        </w:rPr>
        <w:t>Pimenta</w:t>
      </w:r>
      <w:r w:rsidRPr="00187186">
        <w:rPr>
          <w:rFonts w:ascii="Cambria" w:eastAsia="Batang" w:hAnsi="Cambria"/>
          <w:sz w:val="20"/>
          <w:szCs w:val="20"/>
          <w:bdr w:val="none" w:sz="0" w:space="0" w:color="auto"/>
          <w:lang w:val="pt-BR"/>
        </w:rPr>
        <w:t xml:space="preserve"> (irmão mais velho), Marcos Sales Pimenta (irmão), José Sales Pimenta (irmão), Rafael Sales Pimenta (irmão), André Sales Pimenta (irmão) e Daniel Sales Pimenta (irmão mais novo).</w:t>
      </w:r>
    </w:p>
    <w:p w14:paraId="239D5111" w14:textId="77777777" w:rsidR="001F5BB1" w:rsidRPr="00187186" w:rsidRDefault="001F5BB1" w:rsidP="00187186">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eastAsia="Batang" w:hAnsi="Cambria"/>
          <w:sz w:val="20"/>
          <w:szCs w:val="20"/>
          <w:bdr w:val="none" w:sz="0" w:space="0" w:color="auto"/>
          <w:lang w:val="pt-BR"/>
        </w:rPr>
      </w:pPr>
    </w:p>
    <w:p w14:paraId="653BCC58" w14:textId="0FAFF02A" w:rsidR="001E3CAB" w:rsidRPr="00187186" w:rsidRDefault="00187186" w:rsidP="00187186">
      <w:pPr>
        <w:pStyle w:val="Heading2"/>
        <w:numPr>
          <w:ilvl w:val="0"/>
          <w:numId w:val="0"/>
        </w:numPr>
        <w:ind w:left="360" w:hanging="360"/>
      </w:pPr>
      <w:bookmarkStart w:id="20" w:name="_Toc7618502"/>
      <w:bookmarkStart w:id="21" w:name="_Toc16677780"/>
      <w:bookmarkStart w:id="22" w:name="_Toc16677867"/>
      <w:r w:rsidRPr="00187186">
        <w:t>B.</w:t>
      </w:r>
      <w:r w:rsidRPr="00187186">
        <w:tab/>
      </w:r>
      <w:r w:rsidR="00B70E94" w:rsidRPr="00187186">
        <w:t>Contexto</w:t>
      </w:r>
      <w:bookmarkEnd w:id="20"/>
      <w:bookmarkEnd w:id="21"/>
      <w:bookmarkEnd w:id="22"/>
    </w:p>
    <w:p w14:paraId="421B3DA3" w14:textId="77777777" w:rsidR="005355BC" w:rsidRPr="00187186" w:rsidRDefault="005355BC" w:rsidP="00187186">
      <w:pPr>
        <w:pBdr>
          <w:top w:val="none" w:sz="0" w:space="0" w:color="auto"/>
          <w:left w:val="none" w:sz="0" w:space="0" w:color="auto"/>
          <w:bottom w:val="none" w:sz="0" w:space="0" w:color="auto"/>
          <w:right w:val="none" w:sz="0" w:space="0" w:color="auto"/>
          <w:between w:val="none" w:sz="0" w:space="0" w:color="auto"/>
          <w:bar w:val="none" w:sz="0" w:color="auto"/>
        </w:pBdr>
        <w:ind w:left="180"/>
        <w:jc w:val="both"/>
        <w:rPr>
          <w:rFonts w:ascii="Cambria" w:eastAsia="Batang" w:hAnsi="Cambria"/>
          <w:sz w:val="20"/>
          <w:szCs w:val="20"/>
          <w:bdr w:val="none" w:sz="0" w:space="0" w:color="auto"/>
          <w:lang w:val="pt-BR"/>
        </w:rPr>
      </w:pPr>
    </w:p>
    <w:p w14:paraId="2A185EBF" w14:textId="77777777" w:rsidR="003348C9" w:rsidRPr="00187186" w:rsidRDefault="00AF7C4A"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suppressAutoHyphens/>
        <w:ind w:left="0" w:firstLine="0"/>
        <w:jc w:val="both"/>
        <w:rPr>
          <w:rFonts w:ascii="Cambria" w:eastAsia="Batang" w:hAnsi="Cambria"/>
          <w:sz w:val="20"/>
          <w:szCs w:val="20"/>
          <w:bdr w:val="none" w:sz="0" w:space="0" w:color="auto"/>
          <w:lang w:val="pt-BR"/>
        </w:rPr>
      </w:pPr>
      <w:r w:rsidRPr="00187186">
        <w:rPr>
          <w:rFonts w:ascii="Cambria" w:eastAsia="Batang" w:hAnsi="Cambria"/>
          <w:sz w:val="20"/>
          <w:szCs w:val="20"/>
          <w:bdr w:val="none" w:sz="0" w:space="0" w:color="auto"/>
          <w:lang w:val="pt-BR"/>
        </w:rPr>
        <w:t xml:space="preserve">Em seu relatório de 1997 sobre o Brasil, a CIDH salientou que </w:t>
      </w:r>
      <w:r w:rsidR="00567AED" w:rsidRPr="00187186">
        <w:rPr>
          <w:rFonts w:ascii="Cambria" w:eastAsia="Batang" w:hAnsi="Cambria"/>
          <w:sz w:val="20"/>
          <w:szCs w:val="20"/>
          <w:bdr w:val="none" w:sz="0" w:space="0" w:color="auto"/>
          <w:lang w:val="pt-BR"/>
        </w:rPr>
        <w:t>o país em questão “</w:t>
      </w:r>
      <w:r w:rsidRPr="00187186">
        <w:rPr>
          <w:rFonts w:ascii="Cambria" w:eastAsia="Batang" w:hAnsi="Cambria"/>
          <w:sz w:val="20"/>
          <w:szCs w:val="20"/>
          <w:bdr w:val="none" w:sz="0" w:space="0" w:color="auto"/>
          <w:lang w:val="pt-BR"/>
        </w:rPr>
        <w:t xml:space="preserve">possui um território extenso, com grande capacidade produtiva e de assentamento social; contudo, por razões históricas, a distribuição da propriedade das terras é extremadamente desequilibrada, gerando, em conseqüência, </w:t>
      </w:r>
      <w:r w:rsidRPr="00187186">
        <w:rPr>
          <w:rFonts w:ascii="Cambria" w:eastAsia="Times New Roman" w:hAnsi="Cambria"/>
          <w:sz w:val="20"/>
          <w:szCs w:val="20"/>
          <w:lang w:val="pt-BR"/>
        </w:rPr>
        <w:t>condições</w:t>
      </w:r>
      <w:r w:rsidRPr="00187186">
        <w:rPr>
          <w:rFonts w:ascii="Cambria" w:eastAsia="Batang" w:hAnsi="Cambria"/>
          <w:sz w:val="20"/>
          <w:szCs w:val="20"/>
          <w:bdr w:val="none" w:sz="0" w:space="0" w:color="auto"/>
          <w:lang w:val="pt-BR"/>
        </w:rPr>
        <w:t xml:space="preserve"> propícias para enfrentamentos sociais e violações de direitos humanos”. A CIDH salientou também que muitos agricultores e suas famílias sofrem com um acesso precário à terra, com problemas de saúde, trabalho e educação e com confrontos com proprietários e </w:t>
      </w:r>
      <w:r w:rsidR="00567AED" w:rsidRPr="00187186">
        <w:rPr>
          <w:rFonts w:ascii="Cambria" w:eastAsia="Batang" w:hAnsi="Cambria"/>
          <w:sz w:val="20"/>
          <w:szCs w:val="20"/>
          <w:bdr w:val="none" w:sz="0" w:space="0" w:color="auto"/>
          <w:lang w:val="pt-BR"/>
        </w:rPr>
        <w:t>agentes estatais</w:t>
      </w:r>
      <w:r w:rsidR="00567AED" w:rsidRPr="00187186">
        <w:rPr>
          <w:rStyle w:val="FootnoteReference"/>
          <w:rFonts w:ascii="Cambria" w:eastAsia="Batang" w:hAnsi="Cambria"/>
          <w:sz w:val="20"/>
          <w:szCs w:val="20"/>
          <w:bdr w:val="none" w:sz="0" w:space="0" w:color="auto"/>
          <w:lang w:val="pt-BR"/>
        </w:rPr>
        <w:footnoteReference w:id="4"/>
      </w:r>
      <w:r w:rsidRPr="00187186">
        <w:rPr>
          <w:rFonts w:ascii="Cambria" w:eastAsia="Batang" w:hAnsi="Cambria"/>
          <w:sz w:val="20"/>
          <w:szCs w:val="20"/>
          <w:bdr w:val="none" w:sz="0" w:space="0" w:color="auto"/>
          <w:lang w:val="pt-BR"/>
        </w:rPr>
        <w:t>.</w:t>
      </w:r>
    </w:p>
    <w:p w14:paraId="03F798A3" w14:textId="77777777" w:rsidR="003348C9" w:rsidRPr="00187186" w:rsidRDefault="003348C9" w:rsidP="001871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14:paraId="4CA7511F" w14:textId="47EF570F" w:rsidR="00E827C9" w:rsidRPr="00187186" w:rsidRDefault="00E827C9"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pt-BR"/>
        </w:rPr>
      </w:pPr>
      <w:r w:rsidRPr="00187186">
        <w:rPr>
          <w:rFonts w:ascii="Cambria" w:eastAsia="Batang" w:hAnsi="Cambria"/>
          <w:sz w:val="20"/>
          <w:szCs w:val="20"/>
          <w:bdr w:val="none" w:sz="0" w:space="0" w:color="auto"/>
          <w:lang w:val="pt-BR"/>
        </w:rPr>
        <w:t>A</w:t>
      </w:r>
      <w:r w:rsidR="00567AED" w:rsidRPr="00187186">
        <w:rPr>
          <w:rFonts w:ascii="Cambria" w:eastAsia="Batang" w:hAnsi="Cambria"/>
          <w:sz w:val="20"/>
          <w:szCs w:val="20"/>
          <w:bdr w:val="none" w:sz="0" w:space="0" w:color="auto"/>
          <w:lang w:val="pt-BR"/>
        </w:rPr>
        <w:t xml:space="preserve"> CIDH notou, em suas considerações </w:t>
      </w:r>
      <w:r w:rsidR="003348C9" w:rsidRPr="00187186">
        <w:rPr>
          <w:rFonts w:ascii="Cambria" w:eastAsia="Batang" w:hAnsi="Cambria"/>
          <w:sz w:val="20"/>
          <w:szCs w:val="20"/>
          <w:bdr w:val="none" w:sz="0" w:space="0" w:color="auto"/>
          <w:lang w:val="pt-BR"/>
        </w:rPr>
        <w:t>de contexto</w:t>
      </w:r>
      <w:r w:rsidRPr="00187186">
        <w:rPr>
          <w:rFonts w:ascii="Cambria" w:eastAsia="Batang" w:hAnsi="Cambria"/>
          <w:sz w:val="20"/>
          <w:szCs w:val="20"/>
          <w:bdr w:val="none" w:sz="0" w:space="0" w:color="auto"/>
          <w:lang w:val="pt-BR"/>
        </w:rPr>
        <w:t xml:space="preserve"> num outro caso por ela examinado e decidido</w:t>
      </w:r>
      <w:r w:rsidR="003348C9" w:rsidRPr="00187186">
        <w:rPr>
          <w:rFonts w:ascii="Cambria" w:eastAsia="Batang" w:hAnsi="Cambria"/>
          <w:sz w:val="20"/>
          <w:szCs w:val="20"/>
          <w:bdr w:val="none" w:sz="0" w:space="0" w:color="auto"/>
          <w:lang w:val="pt-BR"/>
        </w:rPr>
        <w:t>, que</w:t>
      </w:r>
      <w:r w:rsidRPr="00187186">
        <w:rPr>
          <w:rFonts w:ascii="Cambria" w:eastAsia="Batang" w:hAnsi="Cambria"/>
          <w:sz w:val="20"/>
          <w:szCs w:val="20"/>
          <w:bdr w:val="none" w:sz="0" w:space="0" w:color="auto"/>
          <w:lang w:val="pt-BR"/>
        </w:rPr>
        <w:t>:</w:t>
      </w:r>
      <w:r w:rsidR="003348C9" w:rsidRPr="00187186">
        <w:rPr>
          <w:rFonts w:ascii="Cambria" w:eastAsia="Batang" w:hAnsi="Cambria"/>
          <w:sz w:val="20"/>
          <w:szCs w:val="20"/>
          <w:bdr w:val="none" w:sz="0" w:space="0" w:color="auto"/>
          <w:lang w:val="pt-BR"/>
        </w:rPr>
        <w:t xml:space="preserve"> a violência relacionada a demandas por terra e</w:t>
      </w:r>
      <w:r w:rsidR="00D97C00">
        <w:rPr>
          <w:rFonts w:ascii="Cambria" w:eastAsia="Batang" w:hAnsi="Cambria"/>
          <w:sz w:val="20"/>
          <w:szCs w:val="20"/>
          <w:bdr w:val="none" w:sz="0" w:space="0" w:color="auto"/>
          <w:lang w:val="pt-BR"/>
        </w:rPr>
        <w:t xml:space="preserve"> por</w:t>
      </w:r>
      <w:r w:rsidR="003348C9" w:rsidRPr="00187186">
        <w:rPr>
          <w:rFonts w:ascii="Cambria" w:eastAsia="Batang" w:hAnsi="Cambria"/>
          <w:sz w:val="20"/>
          <w:szCs w:val="20"/>
          <w:bdr w:val="none" w:sz="0" w:space="0" w:color="auto"/>
          <w:lang w:val="pt-BR"/>
        </w:rPr>
        <w:t xml:space="preserve"> reforma agrária no Brasil é sistemática e generalizada; em diferentes estados, há profundas conexões entre poderosos proprietários latifundiários e autoridades locais; esses atores são, por vezes, mandantes de assassinatos e financiadores de desocupações forçadas; não é incomum a constituição de grupos de pistoleiros para atacar e coagir trabalhadores rurais; a violência é particularmente intensa contra os líderes dos movimentos e os defensores dos direitos humanos dos trabalhadores e serve para causar temor generalizado e, assim, desanimar os demais defensores de direitos humanos e atemorizar e silenciar as denúncias e reivindicações; a estreita relação entre os mandantes dos crimes e as estruturas locais de poder tem garantido a impunidade na quase totalidade dos casos de violência rural no Brasil</w:t>
      </w:r>
      <w:r w:rsidR="003348C9" w:rsidRPr="00187186">
        <w:rPr>
          <w:rStyle w:val="FootnoteReference"/>
          <w:rFonts w:ascii="Cambria" w:eastAsia="Batang" w:hAnsi="Cambria"/>
          <w:sz w:val="20"/>
          <w:szCs w:val="20"/>
          <w:bdr w:val="none" w:sz="0" w:space="0" w:color="auto"/>
          <w:lang w:val="pt-BR"/>
        </w:rPr>
        <w:footnoteReference w:id="5"/>
      </w:r>
      <w:r w:rsidR="003348C9" w:rsidRPr="00187186">
        <w:rPr>
          <w:rFonts w:ascii="Cambria" w:eastAsia="Batang" w:hAnsi="Cambria"/>
          <w:sz w:val="20"/>
          <w:szCs w:val="20"/>
          <w:bdr w:val="none" w:sz="0" w:space="0" w:color="auto"/>
          <w:lang w:val="pt-BR"/>
        </w:rPr>
        <w:t>.</w:t>
      </w:r>
      <w:r w:rsidRPr="00187186">
        <w:rPr>
          <w:rFonts w:ascii="Cambria" w:eastAsia="Batang" w:hAnsi="Cambria"/>
          <w:sz w:val="20"/>
          <w:szCs w:val="20"/>
          <w:bdr w:val="none" w:sz="0" w:space="0" w:color="auto"/>
          <w:lang w:val="pt-BR"/>
        </w:rPr>
        <w:t xml:space="preserve"> O problema da impunidade generalizada também foi notado pela Relatora Especial sobre Execuções Extrajudiciais, Sumárias ou Arbitrárias das Nações Unidas. Em seu relatório sobre a visita feita ao Brasil, a Relatora ressaltou </w:t>
      </w:r>
      <w:r w:rsidR="00AF7C4A" w:rsidRPr="00187186">
        <w:rPr>
          <w:rFonts w:ascii="Cambria" w:eastAsia="Batang" w:hAnsi="Cambria"/>
          <w:sz w:val="20"/>
          <w:szCs w:val="20"/>
          <w:bdr w:val="none" w:sz="0" w:space="0" w:color="auto"/>
          <w:lang w:val="pt-BR"/>
        </w:rPr>
        <w:t>que “em alguns casos, os juízes estão sujeitos à pressão de políticos locais ou influentes atores econômicos, tais como os latifundiários”</w:t>
      </w:r>
      <w:r w:rsidRPr="00187186">
        <w:rPr>
          <w:rStyle w:val="FootnoteReference"/>
          <w:rFonts w:ascii="Cambria" w:eastAsia="Batang" w:hAnsi="Cambria"/>
          <w:sz w:val="20"/>
          <w:szCs w:val="20"/>
          <w:bdr w:val="none" w:sz="0" w:space="0" w:color="auto"/>
          <w:lang w:val="pt-BR"/>
        </w:rPr>
        <w:t xml:space="preserve"> </w:t>
      </w:r>
      <w:r w:rsidRPr="00187186">
        <w:rPr>
          <w:rStyle w:val="FootnoteReference"/>
          <w:rFonts w:ascii="Cambria" w:eastAsia="Batang" w:hAnsi="Cambria"/>
          <w:sz w:val="20"/>
          <w:szCs w:val="20"/>
          <w:bdr w:val="none" w:sz="0" w:space="0" w:color="auto"/>
          <w:lang w:val="pt-BR"/>
        </w:rPr>
        <w:footnoteReference w:id="6"/>
      </w:r>
      <w:r w:rsidRPr="00187186">
        <w:rPr>
          <w:rFonts w:ascii="Cambria" w:eastAsia="Batang" w:hAnsi="Cambria"/>
          <w:sz w:val="20"/>
          <w:szCs w:val="20"/>
          <w:bdr w:val="none" w:sz="0" w:space="0" w:color="auto"/>
          <w:lang w:val="pt-BR"/>
        </w:rPr>
        <w:t>.</w:t>
      </w:r>
    </w:p>
    <w:p w14:paraId="49DFFD09" w14:textId="77777777" w:rsidR="00E827C9" w:rsidRPr="00187186" w:rsidRDefault="00E827C9" w:rsidP="001871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14:paraId="30FB15E4" w14:textId="77777777" w:rsidR="00E827C9" w:rsidRPr="00187186" w:rsidRDefault="00AF7C4A"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pt-BR"/>
        </w:rPr>
      </w:pPr>
      <w:r w:rsidRPr="00187186">
        <w:rPr>
          <w:rFonts w:ascii="Cambria" w:eastAsia="Batang" w:hAnsi="Cambria"/>
          <w:sz w:val="20"/>
          <w:szCs w:val="20"/>
          <w:bdr w:val="none" w:sz="0" w:space="0" w:color="auto"/>
          <w:lang w:val="pt-BR"/>
        </w:rPr>
        <w:t>A impunidade foi também denunciada pelo Relator Especial sobre a Independênc</w:t>
      </w:r>
      <w:r w:rsidR="00E827C9" w:rsidRPr="00187186">
        <w:rPr>
          <w:rFonts w:ascii="Cambria" w:eastAsia="Batang" w:hAnsi="Cambria"/>
          <w:sz w:val="20"/>
          <w:szCs w:val="20"/>
          <w:bdr w:val="none" w:sz="0" w:space="0" w:color="auto"/>
          <w:lang w:val="pt-BR"/>
        </w:rPr>
        <w:t>ia dos Magistrados e Advogados, cuja análise conferiu especial atenção ao Estado do Pará. Em suas palavras: “</w:t>
      </w:r>
      <w:r w:rsidRPr="00187186">
        <w:rPr>
          <w:rFonts w:ascii="Cambria" w:eastAsia="Batang" w:hAnsi="Cambria"/>
          <w:sz w:val="20"/>
          <w:szCs w:val="20"/>
          <w:bdr w:val="none" w:sz="0" w:space="0" w:color="auto"/>
          <w:lang w:val="pt-BR"/>
        </w:rPr>
        <w:t>No Estado do Pará a situação é ainda mais grave, com um altíssimo índice de violência e notória impunidade. Nos 1.207 casos de trabalhadores rurais assassinados entre 1985 e março de 2001, somente 85 pessoas envolvidas tiveram sentença definitiva, o que deixa uma média de 95% sem resposta judicial. No sul e no sudeste do Pará, no mesmo período, foram assassinados 340 trabalhadores rurais. Do total desses crimes, somente dois foram julgados de maneira definitiva, ou seja, uma média de 99,4% do total dos assassinatos sem nenhum tipo de resposta judicial, seja de condenação, seja de absolvição, no âmbito penal. A impunidade desses crimes é incontestável</w:t>
      </w:r>
      <w:r w:rsidR="00E827C9" w:rsidRPr="00187186">
        <w:rPr>
          <w:rFonts w:ascii="Cambria" w:eastAsia="Batang" w:hAnsi="Cambria"/>
          <w:sz w:val="20"/>
          <w:szCs w:val="20"/>
          <w:bdr w:val="none" w:sz="0" w:space="0" w:color="auto"/>
          <w:lang w:val="pt-BR"/>
        </w:rPr>
        <w:t>”</w:t>
      </w:r>
      <w:r w:rsidR="00E827C9" w:rsidRPr="00187186">
        <w:rPr>
          <w:rStyle w:val="FootnoteReference"/>
          <w:rFonts w:ascii="Cambria" w:eastAsia="Batang" w:hAnsi="Cambria"/>
          <w:sz w:val="20"/>
          <w:szCs w:val="20"/>
          <w:bdr w:val="none" w:sz="0" w:space="0" w:color="auto"/>
          <w:lang w:val="pt-BR"/>
        </w:rPr>
        <w:footnoteReference w:id="7"/>
      </w:r>
      <w:r w:rsidR="00E827C9" w:rsidRPr="00187186">
        <w:rPr>
          <w:rFonts w:ascii="Cambria" w:eastAsia="Batang" w:hAnsi="Cambria"/>
          <w:sz w:val="20"/>
          <w:szCs w:val="20"/>
          <w:bdr w:val="none" w:sz="0" w:space="0" w:color="auto"/>
          <w:lang w:val="pt-BR"/>
        </w:rPr>
        <w:t>.</w:t>
      </w:r>
    </w:p>
    <w:p w14:paraId="2B839A94" w14:textId="77777777" w:rsidR="00E827C9" w:rsidRPr="00187186" w:rsidRDefault="00E827C9" w:rsidP="00187186">
      <w:pPr>
        <w:pStyle w:val="ListParagraph"/>
        <w:ind w:left="0"/>
        <w:rPr>
          <w:rFonts w:eastAsia="Batang"/>
          <w:sz w:val="20"/>
          <w:szCs w:val="20"/>
          <w:bdr w:val="none" w:sz="0" w:space="0" w:color="auto"/>
          <w:lang w:val="pt-BR"/>
        </w:rPr>
      </w:pPr>
    </w:p>
    <w:p w14:paraId="72CDF5EE" w14:textId="77777777" w:rsidR="00303F09" w:rsidRPr="00187186" w:rsidRDefault="00AF7C4A"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pt-BR"/>
        </w:rPr>
      </w:pPr>
      <w:r w:rsidRPr="00187186">
        <w:rPr>
          <w:rFonts w:ascii="Cambria" w:eastAsia="Batang" w:hAnsi="Cambria"/>
          <w:sz w:val="20"/>
          <w:szCs w:val="20"/>
          <w:bdr w:val="none" w:sz="0" w:space="0" w:color="auto"/>
          <w:lang w:val="pt-BR"/>
        </w:rPr>
        <w:t xml:space="preserve">A Comissão se referiu em várias ocasiões à responsabilidade do Estado brasileiro pela falta de investigação adequada de atos de violência contra trabalhadores rurais e seus defensores. Desse modo, </w:t>
      </w:r>
      <w:r w:rsidR="0000379D" w:rsidRPr="00187186">
        <w:rPr>
          <w:rFonts w:ascii="Cambria" w:eastAsia="Batang" w:hAnsi="Cambria"/>
          <w:sz w:val="20"/>
          <w:szCs w:val="20"/>
          <w:bdr w:val="none" w:sz="0" w:space="0" w:color="auto"/>
          <w:lang w:val="pt-BR"/>
        </w:rPr>
        <w:t>a Comissão condenou o Brasil pela falta de investigação e punição dos responsáveis pela morte de Sebastião Camargo Filho, “trabalhador rural afro-descendente, pai de dois filhos,” assassinado numa desocupação forçada promovida por pistoleiros encapuzados</w:t>
      </w:r>
      <w:r w:rsidR="0000379D" w:rsidRPr="00187186">
        <w:rPr>
          <w:rStyle w:val="FootnoteReference"/>
          <w:rFonts w:ascii="Cambria" w:eastAsia="Batang" w:hAnsi="Cambria"/>
          <w:sz w:val="20"/>
          <w:szCs w:val="20"/>
          <w:bdr w:val="none" w:sz="0" w:space="0" w:color="auto"/>
          <w:lang w:val="pt-BR"/>
        </w:rPr>
        <w:t xml:space="preserve"> </w:t>
      </w:r>
      <w:r w:rsidR="0000379D" w:rsidRPr="00187186">
        <w:rPr>
          <w:rStyle w:val="FootnoteReference"/>
          <w:rFonts w:ascii="Cambria" w:eastAsia="Batang" w:hAnsi="Cambria"/>
          <w:sz w:val="20"/>
          <w:szCs w:val="20"/>
          <w:bdr w:val="none" w:sz="0" w:space="0" w:color="auto"/>
          <w:lang w:val="pt-BR"/>
        </w:rPr>
        <w:footnoteReference w:id="8"/>
      </w:r>
      <w:r w:rsidR="0000379D" w:rsidRPr="00187186">
        <w:rPr>
          <w:rFonts w:ascii="Cambria" w:eastAsia="Batang" w:hAnsi="Cambria"/>
          <w:sz w:val="20"/>
          <w:szCs w:val="20"/>
          <w:bdr w:val="none" w:sz="0" w:space="0" w:color="auto"/>
          <w:lang w:val="pt-BR"/>
        </w:rPr>
        <w:t xml:space="preserve">. </w:t>
      </w:r>
      <w:r w:rsidR="00E827C9" w:rsidRPr="00187186">
        <w:rPr>
          <w:rFonts w:ascii="Cambria" w:eastAsia="Batang" w:hAnsi="Cambria"/>
          <w:sz w:val="20"/>
          <w:szCs w:val="20"/>
          <w:bdr w:val="none" w:sz="0" w:space="0" w:color="auto"/>
          <w:lang w:val="pt-BR"/>
        </w:rPr>
        <w:t>A</w:t>
      </w:r>
      <w:r w:rsidRPr="00187186">
        <w:rPr>
          <w:rFonts w:ascii="Cambria" w:eastAsia="Batang" w:hAnsi="Cambria"/>
          <w:sz w:val="20"/>
          <w:szCs w:val="20"/>
          <w:bdr w:val="none" w:sz="0" w:space="0" w:color="auto"/>
          <w:lang w:val="pt-BR"/>
        </w:rPr>
        <w:t xml:space="preserve">  Comissão também abordou o tema no caso do Massacre de Corumbiara, em que ressaltou que “o objeto deste [caso] transcende ao que se refere às situações preocupantes sobre a distribuição da terra no Brasil em geral, bem como o que diz respeito à situação específica dos trabalhadores e trabalhadoras sem</w:t>
      </w:r>
      <w:r w:rsidR="00E827C9" w:rsidRPr="00187186">
        <w:rPr>
          <w:rFonts w:ascii="Cambria" w:eastAsia="Batang" w:hAnsi="Cambria"/>
          <w:sz w:val="20"/>
          <w:szCs w:val="20"/>
          <w:bdr w:val="none" w:sz="0" w:space="0" w:color="auto"/>
          <w:lang w:val="pt-BR"/>
        </w:rPr>
        <w:t>-</w:t>
      </w:r>
      <w:r w:rsidRPr="00187186">
        <w:rPr>
          <w:rFonts w:ascii="Cambria" w:eastAsia="Batang" w:hAnsi="Cambria"/>
          <w:sz w:val="20"/>
          <w:szCs w:val="20"/>
          <w:bdr w:val="none" w:sz="0" w:space="0" w:color="auto"/>
          <w:lang w:val="pt-BR"/>
        </w:rPr>
        <w:t xml:space="preserve">terra que </w:t>
      </w:r>
      <w:r w:rsidR="0000379D" w:rsidRPr="00187186">
        <w:rPr>
          <w:rFonts w:ascii="Cambria" w:eastAsia="Batang" w:hAnsi="Cambria"/>
          <w:sz w:val="20"/>
          <w:szCs w:val="20"/>
          <w:bdr w:val="none" w:sz="0" w:space="0" w:color="auto"/>
          <w:lang w:val="pt-BR"/>
        </w:rPr>
        <w:t>[ocuparam]</w:t>
      </w:r>
      <w:r w:rsidRPr="00187186">
        <w:rPr>
          <w:rFonts w:ascii="Cambria" w:eastAsia="Batang" w:hAnsi="Cambria"/>
          <w:sz w:val="20"/>
          <w:szCs w:val="20"/>
          <w:bdr w:val="none" w:sz="0" w:space="0" w:color="auto"/>
          <w:lang w:val="pt-BR"/>
        </w:rPr>
        <w:t xml:space="preserve"> com suas famílias a fazenda Santa Elina, em agosto de 1995”</w:t>
      </w:r>
      <w:r w:rsidR="00E827C9" w:rsidRPr="00187186">
        <w:rPr>
          <w:rStyle w:val="FootnoteReference"/>
          <w:rFonts w:ascii="Cambria" w:eastAsia="Batang" w:hAnsi="Cambria"/>
          <w:sz w:val="20"/>
          <w:szCs w:val="20"/>
          <w:bdr w:val="none" w:sz="0" w:space="0" w:color="auto"/>
          <w:lang w:val="pt-BR"/>
        </w:rPr>
        <w:footnoteReference w:id="9"/>
      </w:r>
      <w:r w:rsidRPr="00187186">
        <w:rPr>
          <w:rFonts w:ascii="Cambria" w:eastAsia="Batang" w:hAnsi="Cambria"/>
          <w:sz w:val="20"/>
          <w:szCs w:val="20"/>
          <w:bdr w:val="none" w:sz="0" w:space="0" w:color="auto"/>
          <w:lang w:val="pt-BR"/>
        </w:rPr>
        <w:t>.</w:t>
      </w:r>
      <w:r w:rsidR="0000379D" w:rsidRPr="00187186">
        <w:rPr>
          <w:rFonts w:ascii="Cambria" w:eastAsia="Batang" w:hAnsi="Cambria"/>
          <w:sz w:val="20"/>
          <w:szCs w:val="20"/>
          <w:bdr w:val="none" w:sz="0" w:space="0" w:color="auto"/>
          <w:lang w:val="pt-BR"/>
        </w:rPr>
        <w:t xml:space="preserve"> Ademais, a CIDH constatou responsabilidade internacional do Brasil pela falta de investigação e sanção dos responsáveis pela morte de João Canuto de Oliveira, Presidente da União de Trabalhadores Rurais de Rio Maria, ocorrida em 18 de dezembro de 1985 no Estado do Pará</w:t>
      </w:r>
      <w:r w:rsidR="0000379D" w:rsidRPr="00187186">
        <w:rPr>
          <w:rStyle w:val="FootnoteReference"/>
          <w:rFonts w:ascii="Cambria" w:eastAsia="Batang" w:hAnsi="Cambria"/>
          <w:sz w:val="20"/>
          <w:szCs w:val="20"/>
          <w:bdr w:val="none" w:sz="0" w:space="0" w:color="auto"/>
          <w:lang w:val="pt-BR"/>
        </w:rPr>
        <w:footnoteReference w:id="10"/>
      </w:r>
      <w:r w:rsidR="0000379D" w:rsidRPr="00187186">
        <w:rPr>
          <w:rFonts w:ascii="Cambria" w:eastAsia="Batang" w:hAnsi="Cambria"/>
          <w:sz w:val="20"/>
          <w:szCs w:val="20"/>
          <w:bdr w:val="none" w:sz="0" w:space="0" w:color="auto"/>
          <w:lang w:val="pt-BR"/>
        </w:rPr>
        <w:t>.</w:t>
      </w:r>
    </w:p>
    <w:p w14:paraId="6260A751" w14:textId="77777777" w:rsidR="00303F09" w:rsidRPr="00187186" w:rsidRDefault="00303F09" w:rsidP="00187186">
      <w:pPr>
        <w:pStyle w:val="ListParagraph"/>
        <w:ind w:left="0"/>
        <w:rPr>
          <w:rFonts w:eastAsia="Batang"/>
          <w:sz w:val="20"/>
          <w:szCs w:val="20"/>
          <w:bdr w:val="none" w:sz="0" w:space="0" w:color="auto"/>
          <w:lang w:val="pt-BR"/>
        </w:rPr>
      </w:pPr>
    </w:p>
    <w:p w14:paraId="30FFB202" w14:textId="77777777" w:rsidR="00303F09" w:rsidRPr="00187186" w:rsidRDefault="00303F09"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pt-BR"/>
        </w:rPr>
      </w:pPr>
      <w:r w:rsidRPr="00187186">
        <w:rPr>
          <w:rFonts w:ascii="Cambria" w:eastAsia="Batang" w:hAnsi="Cambria"/>
          <w:sz w:val="20"/>
          <w:szCs w:val="20"/>
          <w:bdr w:val="none" w:sz="0" w:space="0" w:color="auto"/>
          <w:lang w:val="pt-BR"/>
        </w:rPr>
        <w:lastRenderedPageBreak/>
        <w:t xml:space="preserve">A Comissão também toma nota do Relatório de 2013 da Secretaria de Direitos Humanos da Presidência da República intitulado “Camponeses Mortos e Desaparecidos: </w:t>
      </w:r>
      <w:r w:rsidRPr="00187186">
        <w:rPr>
          <w:rFonts w:ascii="Cambria" w:eastAsia="Batang" w:hAnsi="Cambria"/>
          <w:bCs/>
          <w:sz w:val="20"/>
          <w:szCs w:val="20"/>
          <w:bdr w:val="none" w:sz="0" w:space="0" w:color="auto"/>
          <w:lang w:val="pt-BR"/>
        </w:rPr>
        <w:t>Excluídos da Justiça de Transição”. O relatório</w:t>
      </w:r>
      <w:r w:rsidR="00065E05" w:rsidRPr="00187186">
        <w:rPr>
          <w:rFonts w:ascii="Cambria" w:eastAsia="Batang" w:hAnsi="Cambria"/>
          <w:bCs/>
          <w:sz w:val="20"/>
          <w:szCs w:val="20"/>
          <w:bdr w:val="none" w:sz="0" w:space="0" w:color="auto"/>
          <w:lang w:val="pt-BR"/>
        </w:rPr>
        <w:t xml:space="preserve"> menciona, dentre muitos outros casos, o assassinato de Gabriel Sales Pimenta; ao fazê-lo, destaca que Gabriel “estava ameaçado de morte desde dezembro de 1981, quando conseguiu uma liminar de posse em favor de 128 posseiros da Fazenda Pau-Seco” e “foi assassinado no dia 18 de julho de 1982, na porta de sua casa”. O mesmo relatório também</w:t>
      </w:r>
      <w:r w:rsidRPr="00187186">
        <w:rPr>
          <w:rFonts w:ascii="Cambria" w:eastAsia="Batang" w:hAnsi="Cambria"/>
          <w:bCs/>
          <w:sz w:val="20"/>
          <w:szCs w:val="20"/>
          <w:bdr w:val="none" w:sz="0" w:space="0" w:color="auto"/>
          <w:lang w:val="pt-BR"/>
        </w:rPr>
        <w:t xml:space="preserve"> assinala que a amplitude territorial e temporal em que os delitos foram cometidos somente se explica pela participação ou omissão das instituições do Estado</w:t>
      </w:r>
      <w:r w:rsidRPr="00187186">
        <w:rPr>
          <w:rFonts w:ascii="Cambria" w:eastAsia="Batang" w:hAnsi="Cambria"/>
          <w:bCs/>
          <w:sz w:val="20"/>
          <w:szCs w:val="20"/>
          <w:bdr w:val="none" w:sz="0" w:space="0" w:color="auto"/>
          <w:vertAlign w:val="superscript"/>
          <w:lang w:val="pt-BR"/>
        </w:rPr>
        <w:footnoteReference w:id="11"/>
      </w:r>
      <w:r w:rsidRPr="00187186">
        <w:rPr>
          <w:rFonts w:ascii="Cambria" w:eastAsia="Batang" w:hAnsi="Cambria"/>
          <w:bCs/>
          <w:sz w:val="20"/>
          <w:szCs w:val="20"/>
          <w:bdr w:val="none" w:sz="0" w:space="0" w:color="auto"/>
          <w:lang w:val="pt-BR"/>
        </w:rPr>
        <w:t>.</w:t>
      </w:r>
      <w:r w:rsidRPr="00187186">
        <w:rPr>
          <w:rFonts w:ascii="Cambria" w:eastAsia="Batang" w:hAnsi="Cambria"/>
          <w:sz w:val="20"/>
          <w:szCs w:val="20"/>
          <w:bdr w:val="none" w:sz="0" w:space="0" w:color="auto"/>
          <w:lang w:val="pt-BR"/>
        </w:rPr>
        <w:t xml:space="preserve"> </w:t>
      </w:r>
      <w:r w:rsidR="00065E05" w:rsidRPr="00187186">
        <w:rPr>
          <w:rFonts w:ascii="Cambria" w:eastAsia="Batang" w:hAnsi="Cambria"/>
          <w:sz w:val="20"/>
          <w:szCs w:val="20"/>
          <w:bdr w:val="none" w:sz="0" w:space="0" w:color="auto"/>
          <w:lang w:val="pt-BR"/>
        </w:rPr>
        <w:t xml:space="preserve">Ademais, </w:t>
      </w:r>
      <w:r w:rsidR="00065E05" w:rsidRPr="00187186">
        <w:rPr>
          <w:rFonts w:ascii="Cambria" w:eastAsia="Batang" w:hAnsi="Cambria"/>
          <w:bCs/>
          <w:sz w:val="20"/>
          <w:szCs w:val="20"/>
          <w:bdr w:val="none" w:sz="0" w:space="0" w:color="auto"/>
          <w:lang w:val="pt-BR"/>
        </w:rPr>
        <w:t>o</w:t>
      </w:r>
      <w:r w:rsidRPr="00187186">
        <w:rPr>
          <w:rFonts w:ascii="Cambria" w:eastAsia="Batang" w:hAnsi="Cambria"/>
          <w:bCs/>
          <w:sz w:val="20"/>
          <w:szCs w:val="20"/>
          <w:bdr w:val="none" w:sz="0" w:space="0" w:color="auto"/>
          <w:lang w:val="pt-BR"/>
        </w:rPr>
        <w:t xml:space="preserve"> relatório final de 2014 da “</w:t>
      </w:r>
      <w:r w:rsidRPr="00187186">
        <w:rPr>
          <w:rFonts w:ascii="Cambria" w:eastAsia="Batang" w:hAnsi="Cambria"/>
          <w:sz w:val="20"/>
          <w:szCs w:val="20"/>
          <w:bdr w:val="none" w:sz="0" w:space="0" w:color="auto"/>
          <w:lang w:val="pt-BR"/>
        </w:rPr>
        <w:t>Comissão Camponesa da Verdade (CCV)”, órgão formado por diversas organizações cujo trabalho consistia em auxiliar a Comissão Nacional da Verdade</w:t>
      </w:r>
      <w:r w:rsidRPr="00187186">
        <w:rPr>
          <w:rFonts w:ascii="Cambria" w:eastAsia="Batang" w:hAnsi="Cambria"/>
          <w:sz w:val="20"/>
          <w:szCs w:val="20"/>
          <w:bdr w:val="none" w:sz="0" w:space="0" w:color="auto"/>
          <w:vertAlign w:val="superscript"/>
          <w:lang w:val="pt-BR"/>
        </w:rPr>
        <w:footnoteReference w:id="12"/>
      </w:r>
      <w:r w:rsidR="00E77A41" w:rsidRPr="00187186">
        <w:rPr>
          <w:rFonts w:ascii="Cambria" w:eastAsia="Batang" w:hAnsi="Cambria"/>
          <w:sz w:val="20"/>
          <w:szCs w:val="20"/>
          <w:bdr w:val="none" w:sz="0" w:space="0" w:color="auto"/>
          <w:lang w:val="pt-BR"/>
        </w:rPr>
        <w:t>,</w:t>
      </w:r>
      <w:r w:rsidRPr="00187186">
        <w:rPr>
          <w:rFonts w:ascii="Cambria" w:eastAsia="Batang" w:hAnsi="Cambria"/>
          <w:sz w:val="20"/>
          <w:szCs w:val="20"/>
          <w:bdr w:val="none" w:sz="0" w:space="0" w:color="auto"/>
          <w:lang w:val="pt-BR"/>
        </w:rPr>
        <w:t xml:space="preserve"> também documentou o assassinato de Gabriel Sales Pimenta neste contexto de violência</w:t>
      </w:r>
      <w:r w:rsidRPr="00187186">
        <w:rPr>
          <w:rFonts w:ascii="Cambria" w:eastAsia="Batang" w:hAnsi="Cambria"/>
          <w:sz w:val="20"/>
          <w:szCs w:val="20"/>
          <w:bdr w:val="none" w:sz="0" w:space="0" w:color="auto"/>
          <w:vertAlign w:val="superscript"/>
          <w:lang w:val="pt-BR"/>
        </w:rPr>
        <w:footnoteReference w:id="13"/>
      </w:r>
      <w:r w:rsidRPr="00187186">
        <w:rPr>
          <w:rFonts w:ascii="Cambria" w:eastAsia="Batang" w:hAnsi="Cambria"/>
          <w:sz w:val="20"/>
          <w:szCs w:val="20"/>
          <w:bdr w:val="none" w:sz="0" w:space="0" w:color="auto"/>
          <w:lang w:val="pt-BR"/>
        </w:rPr>
        <w:t xml:space="preserve">.  </w:t>
      </w:r>
    </w:p>
    <w:p w14:paraId="5C5CB990" w14:textId="77777777" w:rsidR="001D28DB" w:rsidRPr="00187186" w:rsidRDefault="001D28DB" w:rsidP="00187186">
      <w:pPr>
        <w:pStyle w:val="ListParagraph"/>
        <w:rPr>
          <w:rFonts w:eastAsia="Batang"/>
          <w:sz w:val="20"/>
          <w:szCs w:val="20"/>
          <w:bdr w:val="none" w:sz="0" w:space="0" w:color="auto"/>
          <w:lang w:val="pt-BR"/>
        </w:rPr>
      </w:pPr>
    </w:p>
    <w:p w14:paraId="6C47A40C" w14:textId="77777777" w:rsidR="00B70E94" w:rsidRPr="00187186" w:rsidRDefault="00B70E94" w:rsidP="00187186">
      <w:pPr>
        <w:pStyle w:val="Heading2"/>
      </w:pPr>
      <w:bookmarkStart w:id="23" w:name="_Toc7618503"/>
      <w:bookmarkStart w:id="24" w:name="_Toc16677781"/>
      <w:bookmarkStart w:id="25" w:name="_Toc16677868"/>
      <w:bookmarkStart w:id="26" w:name="_Hlk6301371"/>
      <w:r w:rsidRPr="00187186">
        <w:t xml:space="preserve">Fatos do </w:t>
      </w:r>
      <w:r w:rsidR="00EB21E3" w:rsidRPr="00187186">
        <w:t xml:space="preserve">presente </w:t>
      </w:r>
      <w:r w:rsidRPr="00187186">
        <w:t>caso</w:t>
      </w:r>
      <w:bookmarkEnd w:id="23"/>
      <w:bookmarkEnd w:id="24"/>
      <w:bookmarkEnd w:id="25"/>
    </w:p>
    <w:p w14:paraId="136D5F4A" w14:textId="77777777" w:rsidR="00100198" w:rsidRPr="00187186" w:rsidRDefault="00100198" w:rsidP="00187186">
      <w:pPr>
        <w:ind w:firstLine="709"/>
        <w:rPr>
          <w:rFonts w:ascii="Cambria" w:hAnsi="Cambria"/>
          <w:sz w:val="20"/>
          <w:szCs w:val="20"/>
          <w:lang w:val="pt-BR"/>
        </w:rPr>
      </w:pPr>
    </w:p>
    <w:p w14:paraId="65ED6855" w14:textId="77777777" w:rsidR="00100198" w:rsidRPr="00187186" w:rsidRDefault="00582F2C" w:rsidP="00187186">
      <w:pPr>
        <w:pStyle w:val="Heading3"/>
      </w:pPr>
      <w:bookmarkStart w:id="27" w:name="_Toc7618504"/>
      <w:bookmarkStart w:id="28" w:name="_Toc16677782"/>
      <w:bookmarkStart w:id="29" w:name="_Toc16677869"/>
      <w:r w:rsidRPr="00187186">
        <w:t>O despejo dos trabalhadores de Pau Seco e a vitória judicial de Gabriel Pimenta</w:t>
      </w:r>
      <w:bookmarkEnd w:id="27"/>
      <w:bookmarkEnd w:id="28"/>
      <w:bookmarkEnd w:id="29"/>
    </w:p>
    <w:p w14:paraId="5FC86589" w14:textId="77777777" w:rsidR="00D914B3" w:rsidRPr="00187186" w:rsidRDefault="00D914B3" w:rsidP="00187186">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eastAsia="Batang" w:hAnsi="Cambria"/>
          <w:sz w:val="20"/>
          <w:szCs w:val="20"/>
          <w:bdr w:val="none" w:sz="0" w:space="0" w:color="auto"/>
          <w:lang w:val="pt-BR"/>
        </w:rPr>
      </w:pPr>
    </w:p>
    <w:p w14:paraId="25EC1EC0" w14:textId="77777777" w:rsidR="0069757C" w:rsidRPr="00187186" w:rsidRDefault="0069757C"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pt-BR"/>
        </w:rPr>
      </w:pPr>
      <w:r w:rsidRPr="00187186">
        <w:rPr>
          <w:rFonts w:ascii="Cambria" w:eastAsia="Batang" w:hAnsi="Cambria"/>
          <w:sz w:val="20"/>
          <w:szCs w:val="20"/>
          <w:bdr w:val="none" w:sz="0" w:space="0" w:color="auto"/>
          <w:lang w:val="pt-BR"/>
        </w:rPr>
        <w:t>Pau Seco é uma área localizada em Marabá</w:t>
      </w:r>
      <w:r w:rsidR="00E00BF3" w:rsidRPr="00187186">
        <w:rPr>
          <w:rFonts w:ascii="Cambria" w:eastAsia="Batang" w:hAnsi="Cambria"/>
          <w:sz w:val="20"/>
          <w:szCs w:val="20"/>
          <w:bdr w:val="none" w:sz="0" w:space="0" w:color="auto"/>
          <w:lang w:val="pt-BR"/>
        </w:rPr>
        <w:t xml:space="preserve">, no Estado do Pará. </w:t>
      </w:r>
      <w:r w:rsidR="00F97D34" w:rsidRPr="00187186">
        <w:rPr>
          <w:rFonts w:ascii="Cambria" w:eastAsia="Batang" w:hAnsi="Cambria"/>
          <w:sz w:val="20"/>
          <w:szCs w:val="20"/>
          <w:bdr w:val="none" w:sz="0" w:space="0" w:color="auto"/>
          <w:lang w:val="pt-BR"/>
        </w:rPr>
        <w:t>Embora</w:t>
      </w:r>
      <w:r w:rsidRPr="00187186">
        <w:rPr>
          <w:rFonts w:ascii="Cambria" w:eastAsia="Batang" w:hAnsi="Cambria"/>
          <w:sz w:val="20"/>
          <w:szCs w:val="20"/>
          <w:bdr w:val="none" w:sz="0" w:space="0" w:color="auto"/>
          <w:lang w:val="pt-BR"/>
        </w:rPr>
        <w:t xml:space="preserve"> fosse habitada e trabalhada por trabalhadores rurais posseiros e seus familiares</w:t>
      </w:r>
      <w:r w:rsidRPr="00187186">
        <w:rPr>
          <w:rStyle w:val="FootnoteReference"/>
          <w:rFonts w:ascii="Cambria" w:eastAsia="Batang" w:hAnsi="Cambria"/>
          <w:sz w:val="20"/>
          <w:szCs w:val="20"/>
          <w:bdr w:val="none" w:sz="0" w:space="0" w:color="auto"/>
          <w:lang w:val="pt-BR"/>
        </w:rPr>
        <w:footnoteReference w:id="14"/>
      </w:r>
      <w:r w:rsidRPr="00187186">
        <w:rPr>
          <w:rFonts w:ascii="Cambria" w:eastAsia="Batang" w:hAnsi="Cambria"/>
          <w:sz w:val="20"/>
          <w:szCs w:val="20"/>
          <w:bdr w:val="none" w:sz="0" w:space="0" w:color="auto"/>
          <w:lang w:val="pt-BR"/>
        </w:rPr>
        <w:t>, a área foi reivindicada em 1980 por Manoel Cardoso Neto</w:t>
      </w:r>
      <w:r w:rsidR="00D914B3" w:rsidRPr="00187186">
        <w:rPr>
          <w:rFonts w:ascii="Cambria" w:eastAsia="Batang" w:hAnsi="Cambria"/>
          <w:sz w:val="20"/>
          <w:szCs w:val="20"/>
          <w:bdr w:val="none" w:sz="0" w:space="0" w:color="auto"/>
          <w:lang w:val="pt-BR"/>
        </w:rPr>
        <w:t xml:space="preserve"> (vulgo “Nelito”)</w:t>
      </w:r>
      <w:r w:rsidRPr="00187186">
        <w:rPr>
          <w:rFonts w:ascii="Cambria" w:eastAsia="Batang" w:hAnsi="Cambria"/>
          <w:sz w:val="20"/>
          <w:szCs w:val="20"/>
          <w:bdr w:val="none" w:sz="0" w:space="0" w:color="auto"/>
          <w:lang w:val="pt-BR"/>
        </w:rPr>
        <w:t xml:space="preserve"> e por José Pereira da Nóbrega</w:t>
      </w:r>
      <w:r w:rsidR="00D914B3" w:rsidRPr="00187186">
        <w:rPr>
          <w:rFonts w:ascii="Cambria" w:eastAsia="Batang" w:hAnsi="Cambria"/>
          <w:sz w:val="20"/>
          <w:szCs w:val="20"/>
          <w:bdr w:val="none" w:sz="0" w:space="0" w:color="auto"/>
          <w:lang w:val="pt-BR"/>
        </w:rPr>
        <w:t xml:space="preserve"> (vulgo “Marinheiro”)</w:t>
      </w:r>
      <w:r w:rsidRPr="00187186">
        <w:rPr>
          <w:rFonts w:ascii="Cambria" w:eastAsia="Batang" w:hAnsi="Cambria"/>
          <w:sz w:val="20"/>
          <w:szCs w:val="20"/>
          <w:bdr w:val="none" w:sz="0" w:space="0" w:color="auto"/>
          <w:lang w:val="pt-BR"/>
        </w:rPr>
        <w:t>. Nelito e Marinheiro alegaram que eram proprietários das terras por compra e iniciaram a exploração de madeira, instaurando</w:t>
      </w:r>
      <w:r w:rsidR="00F97D34" w:rsidRPr="00187186">
        <w:rPr>
          <w:rFonts w:ascii="Cambria" w:eastAsia="Batang" w:hAnsi="Cambria"/>
          <w:sz w:val="20"/>
          <w:szCs w:val="20"/>
          <w:bdr w:val="none" w:sz="0" w:space="0" w:color="auto"/>
          <w:lang w:val="pt-BR"/>
        </w:rPr>
        <w:t xml:space="preserve"> assim</w:t>
      </w:r>
      <w:r w:rsidRPr="00187186">
        <w:rPr>
          <w:rFonts w:ascii="Cambria" w:eastAsia="Batang" w:hAnsi="Cambria"/>
          <w:sz w:val="20"/>
          <w:szCs w:val="20"/>
          <w:bdr w:val="none" w:sz="0" w:space="0" w:color="auto"/>
          <w:lang w:val="pt-BR"/>
        </w:rPr>
        <w:t xml:space="preserve"> o conflito com os trabalhadores rurais</w:t>
      </w:r>
      <w:r w:rsidR="00F97D34" w:rsidRPr="00187186">
        <w:rPr>
          <w:rStyle w:val="FootnoteReference"/>
          <w:rFonts w:ascii="Cambria" w:eastAsia="Batang" w:hAnsi="Cambria"/>
          <w:sz w:val="20"/>
          <w:szCs w:val="20"/>
          <w:bdr w:val="none" w:sz="0" w:space="0" w:color="auto"/>
          <w:lang w:val="pt-BR"/>
        </w:rPr>
        <w:footnoteReference w:id="15"/>
      </w:r>
      <w:r w:rsidRPr="00187186">
        <w:rPr>
          <w:rFonts w:ascii="Cambria" w:eastAsia="Batang" w:hAnsi="Cambria"/>
          <w:sz w:val="20"/>
          <w:szCs w:val="20"/>
          <w:bdr w:val="none" w:sz="0" w:space="0" w:color="auto"/>
          <w:lang w:val="pt-BR"/>
        </w:rPr>
        <w:t>.</w:t>
      </w:r>
      <w:r w:rsidR="00F97D34" w:rsidRPr="00187186">
        <w:rPr>
          <w:rFonts w:ascii="Cambria" w:eastAsia="Batang" w:hAnsi="Cambria"/>
          <w:sz w:val="20"/>
          <w:szCs w:val="20"/>
          <w:bdr w:val="none" w:sz="0" w:space="0" w:color="auto"/>
          <w:lang w:val="pt-BR"/>
        </w:rPr>
        <w:t xml:space="preserve"> O conflito foi levado ao Grupo Executivo das Terras do Araguaia-Tocantins (GETAT) (órgão estatal), que teria afirmado que os posseiros poderiam permanecer na área</w:t>
      </w:r>
      <w:r w:rsidR="00F97D34" w:rsidRPr="00187186">
        <w:rPr>
          <w:rStyle w:val="FootnoteReference"/>
          <w:rFonts w:ascii="Cambria" w:eastAsia="Batang" w:hAnsi="Cambria"/>
          <w:sz w:val="20"/>
          <w:szCs w:val="20"/>
          <w:bdr w:val="none" w:sz="0" w:space="0" w:color="auto"/>
          <w:lang w:val="pt-BR"/>
        </w:rPr>
        <w:footnoteReference w:id="16"/>
      </w:r>
      <w:r w:rsidR="00F97D34" w:rsidRPr="00187186">
        <w:rPr>
          <w:rFonts w:ascii="Cambria" w:eastAsia="Batang" w:hAnsi="Cambria"/>
          <w:sz w:val="20"/>
          <w:szCs w:val="20"/>
          <w:bdr w:val="none" w:sz="0" w:space="0" w:color="auto"/>
          <w:lang w:val="pt-BR"/>
        </w:rPr>
        <w:t>.</w:t>
      </w:r>
      <w:r w:rsidR="00FF1100" w:rsidRPr="00187186">
        <w:rPr>
          <w:rFonts w:ascii="Cambria" w:eastAsia="Batang" w:hAnsi="Cambria"/>
          <w:sz w:val="20"/>
          <w:szCs w:val="20"/>
          <w:bdr w:val="none" w:sz="0" w:space="0" w:color="auto"/>
          <w:lang w:val="pt-BR"/>
        </w:rPr>
        <w:t xml:space="preserve"> Insatisfeitos, Nelito e Marinheiro ajuizaram uma ação contra os posseiros. Em outubro de 1981, a Juíza Ruth do Couto Gurjão da Vara Penal de Marabá concedeu uma liminar de reintegração de posse sem ouvir a outra parte, i.e., os trabalhadores rurais. </w:t>
      </w:r>
      <w:r w:rsidRPr="00187186">
        <w:rPr>
          <w:rFonts w:ascii="Cambria" w:eastAsia="Batang" w:hAnsi="Cambria"/>
          <w:sz w:val="20"/>
          <w:szCs w:val="20"/>
          <w:bdr w:val="none" w:sz="0" w:space="0" w:color="auto"/>
          <w:lang w:val="pt-BR"/>
        </w:rPr>
        <w:t xml:space="preserve">A </w:t>
      </w:r>
      <w:r w:rsidR="006F0310" w:rsidRPr="00187186">
        <w:rPr>
          <w:rFonts w:ascii="Cambria" w:eastAsia="Batang" w:hAnsi="Cambria"/>
          <w:sz w:val="20"/>
          <w:szCs w:val="20"/>
          <w:bdr w:val="none" w:sz="0" w:space="0" w:color="auto"/>
          <w:lang w:val="pt-BR"/>
        </w:rPr>
        <w:t xml:space="preserve">decisão </w:t>
      </w:r>
      <w:r w:rsidRPr="00187186">
        <w:rPr>
          <w:rFonts w:ascii="Cambria" w:eastAsia="Batang" w:hAnsi="Cambria"/>
          <w:sz w:val="20"/>
          <w:szCs w:val="20"/>
          <w:bdr w:val="none" w:sz="0" w:space="0" w:color="auto"/>
          <w:lang w:val="pt-BR"/>
        </w:rPr>
        <w:t>ordenou que a Polícia Militar, junto a um Oficial de Justiça, despejasse os posseiros de</w:t>
      </w:r>
      <w:r w:rsidR="006F0310" w:rsidRPr="00187186">
        <w:rPr>
          <w:rFonts w:ascii="Cambria" w:eastAsia="Batang" w:hAnsi="Cambria"/>
          <w:sz w:val="20"/>
          <w:szCs w:val="20"/>
          <w:bdr w:val="none" w:sz="0" w:space="0" w:color="auto"/>
          <w:lang w:val="pt-BR"/>
        </w:rPr>
        <w:t xml:space="preserve"> Pau Seco. No fim de outubro de 1981, as centenas de famílias foram expulsas</w:t>
      </w:r>
      <w:r w:rsidR="006F0310" w:rsidRPr="00187186">
        <w:rPr>
          <w:rStyle w:val="FootnoteReference"/>
          <w:rFonts w:ascii="Cambria" w:eastAsia="Batang" w:hAnsi="Cambria"/>
          <w:sz w:val="20"/>
          <w:szCs w:val="20"/>
          <w:bdr w:val="none" w:sz="0" w:space="0" w:color="auto"/>
          <w:lang w:val="pt-BR"/>
        </w:rPr>
        <w:footnoteReference w:id="17"/>
      </w:r>
      <w:r w:rsidR="006F0310" w:rsidRPr="00187186">
        <w:rPr>
          <w:rFonts w:ascii="Cambria" w:eastAsia="Batang" w:hAnsi="Cambria"/>
          <w:sz w:val="20"/>
          <w:szCs w:val="20"/>
          <w:bdr w:val="none" w:sz="0" w:space="0" w:color="auto"/>
          <w:lang w:val="pt-BR"/>
        </w:rPr>
        <w:t>. Segundo relatos e notícias de jornal da época, casas teriam sido queimadas, um dos posseiros chegou a ser baleado e a filha de outro teria morrido pisoteada</w:t>
      </w:r>
      <w:r w:rsidR="006F0310" w:rsidRPr="00187186">
        <w:rPr>
          <w:rStyle w:val="FootnoteReference"/>
          <w:rFonts w:ascii="Cambria" w:eastAsia="Batang" w:hAnsi="Cambria"/>
          <w:sz w:val="20"/>
          <w:szCs w:val="20"/>
          <w:bdr w:val="none" w:sz="0" w:space="0" w:color="auto"/>
          <w:lang w:val="pt-BR"/>
        </w:rPr>
        <w:footnoteReference w:id="18"/>
      </w:r>
      <w:r w:rsidR="006F0310" w:rsidRPr="00187186">
        <w:rPr>
          <w:rFonts w:ascii="Cambria" w:eastAsia="Batang" w:hAnsi="Cambria"/>
          <w:sz w:val="20"/>
          <w:szCs w:val="20"/>
          <w:bdr w:val="none" w:sz="0" w:space="0" w:color="auto"/>
          <w:lang w:val="pt-BR"/>
        </w:rPr>
        <w:t>.</w:t>
      </w:r>
    </w:p>
    <w:p w14:paraId="6E646764" w14:textId="77777777" w:rsidR="00D914B3" w:rsidRPr="00187186" w:rsidRDefault="00D914B3" w:rsidP="001871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14:paraId="1CDF57A6" w14:textId="77777777" w:rsidR="00D914B3" w:rsidRPr="00187186" w:rsidRDefault="00D914B3"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pt-BR"/>
        </w:rPr>
      </w:pPr>
      <w:r w:rsidRPr="00187186">
        <w:rPr>
          <w:rFonts w:ascii="Cambria" w:eastAsia="Batang" w:hAnsi="Cambria"/>
          <w:sz w:val="20"/>
          <w:szCs w:val="20"/>
          <w:bdr w:val="none" w:sz="0" w:space="0" w:color="auto"/>
          <w:lang w:val="pt-BR"/>
        </w:rPr>
        <w:t xml:space="preserve">Gabriel Sales Pimenta foi um advogado e defensor de direitos humanos. No início de sua carreira, após ser aprovado em segundo lugar num concurso nacional, foi trabalhar em Brasília. Logo depois, deixou o emprego financeiramente estável para trabalhar junto aos movimentos sociais do campo em prol dos direitos dos trabalhadores rurais – primeiramente na cidade de Porto Nacional (estado de Goiás), depois em Conceição do </w:t>
      </w:r>
      <w:r w:rsidRPr="00187186">
        <w:rPr>
          <w:rFonts w:ascii="Cambria" w:eastAsia="Batang" w:hAnsi="Cambria"/>
          <w:sz w:val="20"/>
          <w:szCs w:val="20"/>
          <w:bdr w:val="none" w:sz="0" w:space="0" w:color="auto"/>
          <w:lang w:val="pt-BR"/>
        </w:rPr>
        <w:lastRenderedPageBreak/>
        <w:t>Araguaia (estado do Pará), e finalmente em Marabá (estado do Pará)</w:t>
      </w:r>
      <w:r w:rsidRPr="00187186">
        <w:rPr>
          <w:rStyle w:val="FootnoteReference"/>
          <w:rFonts w:ascii="Cambria" w:eastAsia="Batang" w:hAnsi="Cambria"/>
          <w:sz w:val="20"/>
          <w:szCs w:val="20"/>
          <w:bdr w:val="none" w:sz="0" w:space="0" w:color="auto"/>
          <w:lang w:val="pt-BR"/>
        </w:rPr>
        <w:footnoteReference w:id="19"/>
      </w:r>
      <w:r w:rsidRPr="00187186">
        <w:rPr>
          <w:rFonts w:ascii="Cambria" w:eastAsia="Batang" w:hAnsi="Cambria"/>
          <w:sz w:val="20"/>
          <w:szCs w:val="20"/>
          <w:bdr w:val="none" w:sz="0" w:space="0" w:color="auto"/>
          <w:lang w:val="pt-BR"/>
        </w:rPr>
        <w:t xml:space="preserve">. Enquanto advogado do Sindicato dos Trabalhadores Rurais em Marabá, Gabriel </w:t>
      </w:r>
      <w:r w:rsidR="00215622" w:rsidRPr="00187186">
        <w:rPr>
          <w:rFonts w:ascii="Cambria" w:eastAsia="Batang" w:hAnsi="Cambria"/>
          <w:sz w:val="20"/>
          <w:szCs w:val="20"/>
          <w:bdr w:val="none" w:sz="0" w:space="0" w:color="auto"/>
          <w:lang w:val="pt-BR"/>
        </w:rPr>
        <w:t xml:space="preserve">Sales Pimenta </w:t>
      </w:r>
      <w:r w:rsidRPr="00187186">
        <w:rPr>
          <w:rFonts w:ascii="Cambria" w:eastAsia="Batang" w:hAnsi="Cambria"/>
          <w:sz w:val="20"/>
          <w:szCs w:val="20"/>
          <w:bdr w:val="none" w:sz="0" w:space="0" w:color="auto"/>
          <w:lang w:val="pt-BR"/>
        </w:rPr>
        <w:t>defendeu trabalhadores rurais da região de Pau Seco em litígios contra os fazendeiros Nelito e Marinheiro. Por essa atuação, ficou conhecido como o primeiro advogado na história de Marabá a conseguir cassar uma liminar que havia permitido a expulsão dos posseiros de terra em uma área reivindicada por fazendeiros</w:t>
      </w:r>
      <w:r w:rsidRPr="00187186">
        <w:rPr>
          <w:rStyle w:val="FootnoteReference"/>
          <w:rFonts w:ascii="Cambria" w:eastAsia="Batang" w:hAnsi="Cambria"/>
          <w:sz w:val="20"/>
          <w:szCs w:val="20"/>
          <w:bdr w:val="none" w:sz="0" w:space="0" w:color="auto"/>
          <w:lang w:val="pt-BR"/>
        </w:rPr>
        <w:footnoteReference w:id="20"/>
      </w:r>
      <w:r w:rsidRPr="00187186">
        <w:rPr>
          <w:rFonts w:ascii="Cambria" w:eastAsia="Batang" w:hAnsi="Cambria"/>
          <w:sz w:val="20"/>
          <w:szCs w:val="20"/>
          <w:bdr w:val="none" w:sz="0" w:space="0" w:color="auto"/>
          <w:lang w:val="pt-BR"/>
        </w:rPr>
        <w:t xml:space="preserve">. Isso se deu por meio de um Mandado de Segurança impetrado por Gabriel </w:t>
      </w:r>
      <w:r w:rsidR="004D71B8" w:rsidRPr="00187186">
        <w:rPr>
          <w:rFonts w:ascii="Cambria" w:eastAsia="Batang" w:hAnsi="Cambria"/>
          <w:sz w:val="20"/>
          <w:szCs w:val="20"/>
          <w:bdr w:val="none" w:sz="0" w:space="0" w:color="auto"/>
          <w:lang w:val="pt-BR"/>
        </w:rPr>
        <w:t xml:space="preserve">Sales Pimenta </w:t>
      </w:r>
      <w:r w:rsidRPr="00187186">
        <w:rPr>
          <w:rFonts w:ascii="Cambria" w:eastAsia="Batang" w:hAnsi="Cambria"/>
          <w:sz w:val="20"/>
          <w:szCs w:val="20"/>
          <w:bdr w:val="none" w:sz="0" w:space="0" w:color="auto"/>
          <w:lang w:val="pt-BR"/>
        </w:rPr>
        <w:t>e pelo advogado Benedito Monteiro em prol de José Ribamar Nonato de Sousa, Jovelino Nonato de Paula, Paulo Nonato de Paula e José Francisco dos Santos, perante o Tribunal de Justiça do Pará, no qual foi defendido que a concessão da ordem de despejo sem uma audiência prévia para ouvir os trabalhadores representava um ato ilegal e abusivo</w:t>
      </w:r>
      <w:r w:rsidRPr="00187186">
        <w:rPr>
          <w:rStyle w:val="FootnoteReference"/>
          <w:rFonts w:ascii="Cambria" w:eastAsia="Batang" w:hAnsi="Cambria"/>
          <w:sz w:val="20"/>
          <w:szCs w:val="20"/>
          <w:bdr w:val="none" w:sz="0" w:space="0" w:color="auto"/>
          <w:lang w:val="pt-BR"/>
        </w:rPr>
        <w:footnoteReference w:id="21"/>
      </w:r>
      <w:r w:rsidRPr="00187186">
        <w:rPr>
          <w:rFonts w:ascii="Cambria" w:eastAsia="Batang" w:hAnsi="Cambria"/>
          <w:sz w:val="20"/>
          <w:szCs w:val="20"/>
          <w:bdr w:val="none" w:sz="0" w:space="0" w:color="auto"/>
          <w:lang w:val="pt-BR"/>
        </w:rPr>
        <w:t>.</w:t>
      </w:r>
    </w:p>
    <w:p w14:paraId="3F323992" w14:textId="77777777" w:rsidR="00D914B3" w:rsidRPr="00187186" w:rsidRDefault="00D914B3" w:rsidP="00187186">
      <w:pPr>
        <w:pStyle w:val="ListParagraph"/>
        <w:rPr>
          <w:rFonts w:eastAsia="Batang"/>
          <w:sz w:val="20"/>
          <w:szCs w:val="20"/>
          <w:bdr w:val="none" w:sz="0" w:space="0" w:color="auto"/>
          <w:lang w:val="pt-BR"/>
        </w:rPr>
      </w:pPr>
    </w:p>
    <w:p w14:paraId="04D76DB6" w14:textId="77777777" w:rsidR="00582F2C" w:rsidRPr="00187186" w:rsidRDefault="00582F2C" w:rsidP="00187186">
      <w:pPr>
        <w:pStyle w:val="Heading3"/>
      </w:pPr>
      <w:bookmarkStart w:id="30" w:name="_Toc7618505"/>
      <w:bookmarkStart w:id="31" w:name="_Toc16677783"/>
      <w:bookmarkStart w:id="32" w:name="_Toc16677870"/>
      <w:r w:rsidRPr="00187186">
        <w:t>As ameaças feitas aos trabalhadores e a Gabriel Sales Pimenta</w:t>
      </w:r>
      <w:bookmarkEnd w:id="30"/>
      <w:bookmarkEnd w:id="31"/>
      <w:bookmarkEnd w:id="32"/>
    </w:p>
    <w:p w14:paraId="57988029" w14:textId="77777777" w:rsidR="00582F2C" w:rsidRPr="00187186" w:rsidRDefault="00582F2C" w:rsidP="001871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14:paraId="107982B5" w14:textId="77777777" w:rsidR="00582F2C" w:rsidRPr="00187186" w:rsidRDefault="00582F2C"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pt-BR"/>
        </w:rPr>
      </w:pPr>
      <w:r w:rsidRPr="00187186">
        <w:rPr>
          <w:rFonts w:ascii="Cambria" w:eastAsia="Batang" w:hAnsi="Cambria"/>
          <w:sz w:val="20"/>
          <w:szCs w:val="20"/>
          <w:bdr w:val="none" w:sz="0" w:space="0" w:color="auto"/>
          <w:lang w:val="pt-BR"/>
        </w:rPr>
        <w:t>Em dezembro de 1981, os posseiros retornaram a Pau Seco. Segundo o depoimento de Antonio Francisco da Silva, as ameaças continuaram contra os trabalhadores, e agora também contra Gabriel. Manoel Cardoso Neto e José Pereira da Nóbrega teriam inclusive afirmado que o matariam antes de 4 de agosto de 1982, data em que outra audiência no Tribunal de Justiça sobre a questão da posse de Pau Seco havia sido designada</w:t>
      </w:r>
      <w:r w:rsidRPr="00187186">
        <w:rPr>
          <w:rStyle w:val="FootnoteReference"/>
          <w:rFonts w:ascii="Cambria" w:eastAsia="Batang" w:hAnsi="Cambria"/>
          <w:sz w:val="20"/>
          <w:szCs w:val="20"/>
          <w:bdr w:val="none" w:sz="0" w:space="0" w:color="auto"/>
          <w:lang w:val="pt-BR"/>
        </w:rPr>
        <w:footnoteReference w:id="22"/>
      </w:r>
      <w:r w:rsidRPr="00187186">
        <w:rPr>
          <w:rFonts w:ascii="Cambria" w:eastAsia="Batang" w:hAnsi="Cambria"/>
          <w:sz w:val="20"/>
          <w:szCs w:val="20"/>
          <w:bdr w:val="none" w:sz="0" w:space="0" w:color="auto"/>
          <w:lang w:val="pt-BR"/>
        </w:rPr>
        <w:t>.</w:t>
      </w:r>
      <w:r w:rsidR="00750D8B" w:rsidRPr="00187186">
        <w:rPr>
          <w:rFonts w:ascii="Cambria" w:eastAsia="Batang" w:hAnsi="Cambria"/>
          <w:sz w:val="20"/>
          <w:szCs w:val="20"/>
          <w:bdr w:val="none" w:sz="0" w:space="0" w:color="auto"/>
          <w:lang w:val="pt-BR"/>
        </w:rPr>
        <w:t xml:space="preserve"> </w:t>
      </w:r>
      <w:r w:rsidRPr="00187186">
        <w:rPr>
          <w:rFonts w:ascii="Cambria" w:eastAsia="Batang" w:hAnsi="Cambria"/>
          <w:sz w:val="20"/>
          <w:szCs w:val="20"/>
          <w:bdr w:val="none" w:sz="0" w:space="0" w:color="auto"/>
          <w:lang w:val="pt-BR"/>
        </w:rPr>
        <w:t xml:space="preserve">Outros elementos confluem para o mesmo cenário de constantes ameaças aos trabalhadores e ao seu advogado. </w:t>
      </w:r>
    </w:p>
    <w:p w14:paraId="20981D1E" w14:textId="77777777" w:rsidR="00582F2C" w:rsidRPr="00187186" w:rsidRDefault="00582F2C" w:rsidP="001871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14:paraId="06A1C6B1" w14:textId="77777777" w:rsidR="00324AE8" w:rsidRPr="00187186" w:rsidRDefault="00D914B3"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pt-BR"/>
        </w:rPr>
      </w:pPr>
      <w:bookmarkStart w:id="33" w:name="_Hlk11184543"/>
      <w:r w:rsidRPr="00187186">
        <w:rPr>
          <w:rFonts w:ascii="Cambria" w:eastAsia="Batang" w:hAnsi="Cambria"/>
          <w:sz w:val="20"/>
          <w:szCs w:val="20"/>
          <w:bdr w:val="none" w:sz="0" w:space="0" w:color="auto"/>
          <w:lang w:val="pt-BR"/>
        </w:rPr>
        <w:t>Em novembro de 1981, foi instaurado um inquérito policial para investigar Manoel Cardoso Neto pela tentativa de homicídio do posseiro Francisco Pereira da Silva</w:t>
      </w:r>
      <w:bookmarkEnd w:id="33"/>
      <w:r w:rsidR="00582F2C" w:rsidRPr="00187186">
        <w:rPr>
          <w:rStyle w:val="FootnoteReference"/>
          <w:rFonts w:ascii="Cambria" w:eastAsia="Batang" w:hAnsi="Cambria"/>
          <w:sz w:val="20"/>
          <w:szCs w:val="20"/>
          <w:bdr w:val="none" w:sz="0" w:space="0" w:color="auto"/>
          <w:lang w:val="pt-BR"/>
        </w:rPr>
        <w:footnoteReference w:id="23"/>
      </w:r>
      <w:r w:rsidR="00582F2C" w:rsidRPr="00187186">
        <w:rPr>
          <w:rFonts w:ascii="Cambria" w:eastAsia="Batang" w:hAnsi="Cambria"/>
          <w:sz w:val="20"/>
          <w:szCs w:val="20"/>
          <w:bdr w:val="none" w:sz="0" w:space="0" w:color="auto"/>
          <w:lang w:val="pt-BR"/>
        </w:rPr>
        <w:t xml:space="preserve">. </w:t>
      </w:r>
      <w:r w:rsidRPr="00187186">
        <w:rPr>
          <w:rFonts w:ascii="Cambria" w:eastAsia="Batang" w:hAnsi="Cambria"/>
          <w:sz w:val="20"/>
          <w:szCs w:val="20"/>
          <w:bdr w:val="none" w:sz="0" w:space="0" w:color="auto"/>
          <w:lang w:val="pt-BR"/>
        </w:rPr>
        <w:t>No mesmo ano, a casa de João Lourenço (conhecido como “João Cupu”), então presidente do Sindicato dos Trabalhadores Rurais, teria sido invadida por José Pereira da Nóbrega</w:t>
      </w:r>
      <w:r w:rsidR="00582F2C" w:rsidRPr="00187186">
        <w:rPr>
          <w:rStyle w:val="FootnoteReference"/>
          <w:rFonts w:ascii="Cambria" w:eastAsia="Batang" w:hAnsi="Cambria"/>
          <w:sz w:val="20"/>
          <w:szCs w:val="20"/>
          <w:bdr w:val="none" w:sz="0" w:space="0" w:color="auto"/>
          <w:lang w:val="pt-BR"/>
        </w:rPr>
        <w:footnoteReference w:id="24"/>
      </w:r>
      <w:r w:rsidR="00582F2C" w:rsidRPr="00187186">
        <w:rPr>
          <w:rFonts w:ascii="Cambria" w:eastAsia="Batang" w:hAnsi="Cambria"/>
          <w:sz w:val="20"/>
          <w:szCs w:val="20"/>
          <w:bdr w:val="none" w:sz="0" w:space="0" w:color="auto"/>
          <w:lang w:val="pt-BR"/>
        </w:rPr>
        <w:t xml:space="preserve">. </w:t>
      </w:r>
      <w:bookmarkStart w:id="34" w:name="_Hlk11184561"/>
      <w:r w:rsidR="00582F2C" w:rsidRPr="00187186">
        <w:rPr>
          <w:rFonts w:ascii="Cambria" w:eastAsia="Batang" w:hAnsi="Cambria"/>
          <w:sz w:val="20"/>
          <w:szCs w:val="20"/>
          <w:bdr w:val="none" w:sz="0" w:space="0" w:color="auto"/>
          <w:lang w:val="pt-BR"/>
        </w:rPr>
        <w:t xml:space="preserve">A imprensa também noticiou que João Cupu </w:t>
      </w:r>
      <w:r w:rsidRPr="00187186">
        <w:rPr>
          <w:rFonts w:ascii="Cambria" w:eastAsia="Batang" w:hAnsi="Cambria"/>
          <w:sz w:val="20"/>
          <w:szCs w:val="20"/>
          <w:bdr w:val="none" w:sz="0" w:space="0" w:color="auto"/>
          <w:lang w:val="pt-BR"/>
        </w:rPr>
        <w:t>vinha recebendo ameaças de Manoel Cardoso Neto</w:t>
      </w:r>
      <w:bookmarkEnd w:id="34"/>
      <w:r w:rsidR="00582F2C" w:rsidRPr="00187186">
        <w:rPr>
          <w:rStyle w:val="FootnoteReference"/>
          <w:rFonts w:ascii="Cambria" w:eastAsia="Batang" w:hAnsi="Cambria"/>
          <w:sz w:val="20"/>
          <w:szCs w:val="20"/>
          <w:bdr w:val="none" w:sz="0" w:space="0" w:color="auto"/>
          <w:lang w:val="pt-BR"/>
        </w:rPr>
        <w:footnoteReference w:id="25"/>
      </w:r>
      <w:r w:rsidR="00582F2C" w:rsidRPr="00187186">
        <w:rPr>
          <w:rFonts w:ascii="Cambria" w:eastAsia="Batang" w:hAnsi="Cambria"/>
          <w:sz w:val="20"/>
          <w:szCs w:val="20"/>
          <w:bdr w:val="none" w:sz="0" w:space="0" w:color="auto"/>
          <w:lang w:val="pt-BR"/>
        </w:rPr>
        <w:t>.</w:t>
      </w:r>
      <w:r w:rsidRPr="00187186">
        <w:rPr>
          <w:rFonts w:ascii="Cambria" w:eastAsia="Batang" w:hAnsi="Cambria"/>
          <w:sz w:val="20"/>
          <w:szCs w:val="20"/>
          <w:bdr w:val="none" w:sz="0" w:space="0" w:color="auto"/>
          <w:lang w:val="pt-BR"/>
        </w:rPr>
        <w:t xml:space="preserve"> Em novembro de 1981, João Cupu teria desaparecido da cidade sem que qualquer pessoa soubesse de seu paradeiro</w:t>
      </w:r>
      <w:r w:rsidR="00582F2C" w:rsidRPr="00187186">
        <w:rPr>
          <w:rStyle w:val="FootnoteReference"/>
          <w:rFonts w:ascii="Cambria" w:eastAsia="Batang" w:hAnsi="Cambria"/>
          <w:sz w:val="20"/>
          <w:szCs w:val="20"/>
          <w:bdr w:val="none" w:sz="0" w:space="0" w:color="auto"/>
          <w:lang w:val="pt-BR"/>
        </w:rPr>
        <w:footnoteReference w:id="26"/>
      </w:r>
      <w:r w:rsidR="00582F2C" w:rsidRPr="00187186">
        <w:rPr>
          <w:rFonts w:ascii="Cambria" w:eastAsia="Batang" w:hAnsi="Cambria"/>
          <w:sz w:val="20"/>
          <w:szCs w:val="20"/>
          <w:bdr w:val="none" w:sz="0" w:space="0" w:color="auto"/>
          <w:lang w:val="pt-BR"/>
        </w:rPr>
        <w:t>.</w:t>
      </w:r>
      <w:r w:rsidRPr="00187186">
        <w:rPr>
          <w:rFonts w:ascii="Cambria" w:eastAsia="Batang" w:hAnsi="Cambria"/>
          <w:sz w:val="20"/>
          <w:szCs w:val="20"/>
          <w:bdr w:val="none" w:sz="0" w:space="0" w:color="auto"/>
          <w:lang w:val="pt-BR"/>
        </w:rPr>
        <w:t xml:space="preserve"> O presidente que assumiu o Sindicato dos Trabalhadores Rurais de Marabá logo depois, Antônio Francisco da Silva, também teria recebido ameaças contínuas</w:t>
      </w:r>
      <w:r w:rsidR="00582F2C" w:rsidRPr="00187186">
        <w:rPr>
          <w:rStyle w:val="FootnoteReference"/>
          <w:rFonts w:ascii="Cambria" w:eastAsia="Batang" w:hAnsi="Cambria"/>
          <w:sz w:val="20"/>
          <w:szCs w:val="20"/>
          <w:bdr w:val="none" w:sz="0" w:space="0" w:color="auto"/>
          <w:lang w:val="pt-BR"/>
        </w:rPr>
        <w:footnoteReference w:id="27"/>
      </w:r>
      <w:r w:rsidR="00582F2C" w:rsidRPr="00187186">
        <w:rPr>
          <w:rFonts w:ascii="Cambria" w:eastAsia="Batang" w:hAnsi="Cambria"/>
          <w:sz w:val="20"/>
          <w:szCs w:val="20"/>
          <w:bdr w:val="none" w:sz="0" w:space="0" w:color="auto"/>
          <w:lang w:val="pt-BR"/>
        </w:rPr>
        <w:t>.</w:t>
      </w:r>
      <w:r w:rsidRPr="00187186">
        <w:rPr>
          <w:rFonts w:ascii="Cambria" w:eastAsia="Batang" w:hAnsi="Cambria"/>
          <w:sz w:val="20"/>
          <w:szCs w:val="20"/>
          <w:bdr w:val="none" w:sz="0" w:space="0" w:color="auto"/>
          <w:lang w:val="pt-BR"/>
        </w:rPr>
        <w:t xml:space="preserve"> Ao depor perante autoridades judiciais, </w:t>
      </w:r>
      <w:r w:rsidR="00582F2C" w:rsidRPr="00187186">
        <w:rPr>
          <w:rFonts w:ascii="Cambria" w:eastAsia="Batang" w:hAnsi="Cambria"/>
          <w:sz w:val="20"/>
          <w:szCs w:val="20"/>
          <w:bdr w:val="none" w:sz="0" w:space="0" w:color="auto"/>
          <w:lang w:val="pt-BR"/>
        </w:rPr>
        <w:t xml:space="preserve">Antônio Francisco da Silva </w:t>
      </w:r>
      <w:r w:rsidRPr="00187186">
        <w:rPr>
          <w:rFonts w:ascii="Cambria" w:eastAsia="Batang" w:hAnsi="Cambria"/>
          <w:sz w:val="20"/>
          <w:szCs w:val="20"/>
          <w:bdr w:val="none" w:sz="0" w:space="0" w:color="auto"/>
          <w:lang w:val="pt-BR"/>
        </w:rPr>
        <w:t xml:space="preserve">afirmou que </w:t>
      </w:r>
      <w:r w:rsidR="00582F2C" w:rsidRPr="00187186">
        <w:rPr>
          <w:rFonts w:ascii="Cambria" w:eastAsia="Batang" w:hAnsi="Cambria"/>
          <w:sz w:val="20"/>
          <w:szCs w:val="20"/>
          <w:bdr w:val="none" w:sz="0" w:space="0" w:color="auto"/>
          <w:lang w:val="pt-BR"/>
        </w:rPr>
        <w:t>havia sido</w:t>
      </w:r>
      <w:r w:rsidRPr="00187186">
        <w:rPr>
          <w:rFonts w:ascii="Cambria" w:eastAsia="Batang" w:hAnsi="Cambria"/>
          <w:sz w:val="20"/>
          <w:szCs w:val="20"/>
          <w:bdr w:val="none" w:sz="0" w:space="0" w:color="auto"/>
          <w:lang w:val="pt-BR"/>
        </w:rPr>
        <w:t xml:space="preserve"> expressamente ameaçado de morte por Manoel Cardoso Neto e José Pereira da Nóbrega</w:t>
      </w:r>
      <w:r w:rsidR="00582F2C" w:rsidRPr="00187186">
        <w:rPr>
          <w:rStyle w:val="FootnoteReference"/>
          <w:rFonts w:ascii="Cambria" w:eastAsia="Batang" w:hAnsi="Cambria"/>
          <w:sz w:val="20"/>
          <w:szCs w:val="20"/>
          <w:bdr w:val="none" w:sz="0" w:space="0" w:color="auto"/>
          <w:lang w:val="pt-BR"/>
        </w:rPr>
        <w:footnoteReference w:id="28"/>
      </w:r>
      <w:r w:rsidR="00582F2C" w:rsidRPr="00187186">
        <w:rPr>
          <w:rFonts w:ascii="Cambria" w:eastAsia="Batang" w:hAnsi="Cambria"/>
          <w:sz w:val="20"/>
          <w:szCs w:val="20"/>
          <w:bdr w:val="none" w:sz="0" w:space="0" w:color="auto"/>
          <w:lang w:val="pt-BR"/>
        </w:rPr>
        <w:t>.</w:t>
      </w:r>
      <w:r w:rsidRPr="00187186">
        <w:rPr>
          <w:rFonts w:ascii="Cambria" w:eastAsia="Batang" w:hAnsi="Cambria"/>
          <w:sz w:val="20"/>
          <w:szCs w:val="20"/>
          <w:bdr w:val="none" w:sz="0" w:space="0" w:color="auto"/>
          <w:lang w:val="pt-BR"/>
        </w:rPr>
        <w:t xml:space="preserve"> Além disso, relatou que um trabalhador contratado por ele foi “avisado” por indivíduos armados que ele seria assassinado</w:t>
      </w:r>
      <w:r w:rsidR="00582F2C" w:rsidRPr="00187186">
        <w:rPr>
          <w:rStyle w:val="FootnoteReference"/>
          <w:rFonts w:ascii="Cambria" w:eastAsia="Batang" w:hAnsi="Cambria"/>
          <w:sz w:val="20"/>
          <w:szCs w:val="20"/>
          <w:bdr w:val="none" w:sz="0" w:space="0" w:color="auto"/>
          <w:lang w:val="pt-BR"/>
        </w:rPr>
        <w:footnoteReference w:id="29"/>
      </w:r>
      <w:r w:rsidR="00582F2C" w:rsidRPr="00187186">
        <w:rPr>
          <w:rFonts w:ascii="Cambria" w:eastAsia="Batang" w:hAnsi="Cambria"/>
          <w:sz w:val="20"/>
          <w:szCs w:val="20"/>
          <w:bdr w:val="none" w:sz="0" w:space="0" w:color="auto"/>
          <w:lang w:val="pt-BR"/>
        </w:rPr>
        <w:t>.</w:t>
      </w:r>
      <w:r w:rsidRPr="00187186">
        <w:rPr>
          <w:rFonts w:ascii="Cambria" w:eastAsia="Batang" w:hAnsi="Cambria"/>
          <w:sz w:val="20"/>
          <w:szCs w:val="20"/>
          <w:bdr w:val="none" w:sz="0" w:space="0" w:color="auto"/>
          <w:lang w:val="pt-BR"/>
        </w:rPr>
        <w:t xml:space="preserve"> </w:t>
      </w:r>
      <w:r w:rsidR="00582F2C" w:rsidRPr="00187186">
        <w:rPr>
          <w:rFonts w:ascii="Cambria" w:eastAsia="Batang" w:hAnsi="Cambria"/>
          <w:sz w:val="20"/>
          <w:szCs w:val="20"/>
          <w:bdr w:val="none" w:sz="0" w:space="0" w:color="auto"/>
          <w:lang w:val="pt-BR"/>
        </w:rPr>
        <w:t>Outrossim, n</w:t>
      </w:r>
      <w:r w:rsidRPr="00187186">
        <w:rPr>
          <w:rFonts w:ascii="Cambria" w:eastAsia="Batang" w:hAnsi="Cambria"/>
          <w:sz w:val="20"/>
          <w:szCs w:val="20"/>
          <w:bdr w:val="none" w:sz="0" w:space="0" w:color="auto"/>
          <w:lang w:val="pt-BR"/>
        </w:rPr>
        <w:t>o caminho de sua casa</w:t>
      </w:r>
      <w:r w:rsidR="00582F2C" w:rsidRPr="00187186">
        <w:rPr>
          <w:rFonts w:ascii="Cambria" w:eastAsia="Batang" w:hAnsi="Cambria"/>
          <w:sz w:val="20"/>
          <w:szCs w:val="20"/>
          <w:bdr w:val="none" w:sz="0" w:space="0" w:color="auto"/>
          <w:lang w:val="pt-BR"/>
        </w:rPr>
        <w:t>,</w:t>
      </w:r>
      <w:r w:rsidRPr="00187186">
        <w:rPr>
          <w:rFonts w:ascii="Cambria" w:eastAsia="Batang" w:hAnsi="Cambria"/>
          <w:sz w:val="20"/>
          <w:szCs w:val="20"/>
          <w:bdr w:val="none" w:sz="0" w:space="0" w:color="auto"/>
          <w:lang w:val="pt-BR"/>
        </w:rPr>
        <w:t xml:space="preserve"> Antônio Francisco </w:t>
      </w:r>
      <w:r w:rsidR="00582F2C" w:rsidRPr="00187186">
        <w:rPr>
          <w:rFonts w:ascii="Cambria" w:eastAsia="Batang" w:hAnsi="Cambria"/>
          <w:sz w:val="20"/>
          <w:szCs w:val="20"/>
          <w:bdr w:val="none" w:sz="0" w:space="0" w:color="auto"/>
          <w:lang w:val="pt-BR"/>
        </w:rPr>
        <w:t>teria encontrado</w:t>
      </w:r>
      <w:r w:rsidRPr="00187186">
        <w:rPr>
          <w:rFonts w:ascii="Cambria" w:eastAsia="Batang" w:hAnsi="Cambria"/>
          <w:sz w:val="20"/>
          <w:szCs w:val="20"/>
          <w:bdr w:val="none" w:sz="0" w:space="0" w:color="auto"/>
          <w:lang w:val="pt-BR"/>
        </w:rPr>
        <w:t xml:space="preserve"> uma armadilha semelhante à que teria sido utilizada para matar outro trabalhador de Pau Seco pouco tempo antes</w:t>
      </w:r>
      <w:r w:rsidR="00582F2C" w:rsidRPr="00187186">
        <w:rPr>
          <w:rStyle w:val="FootnoteReference"/>
          <w:rFonts w:ascii="Cambria" w:eastAsia="Batang" w:hAnsi="Cambria"/>
          <w:sz w:val="20"/>
          <w:szCs w:val="20"/>
          <w:bdr w:val="none" w:sz="0" w:space="0" w:color="auto"/>
          <w:lang w:val="pt-BR"/>
        </w:rPr>
        <w:footnoteReference w:id="30"/>
      </w:r>
      <w:r w:rsidRPr="00187186">
        <w:rPr>
          <w:rFonts w:ascii="Cambria" w:eastAsia="Batang" w:hAnsi="Cambria"/>
          <w:sz w:val="20"/>
          <w:szCs w:val="20"/>
          <w:bdr w:val="none" w:sz="0" w:space="0" w:color="auto"/>
          <w:lang w:val="pt-BR"/>
        </w:rPr>
        <w:t xml:space="preserve">. </w:t>
      </w:r>
      <w:r w:rsidR="00582F2C" w:rsidRPr="00187186">
        <w:rPr>
          <w:rFonts w:ascii="Cambria" w:eastAsia="Batang" w:hAnsi="Cambria"/>
          <w:sz w:val="20"/>
          <w:szCs w:val="20"/>
          <w:bdr w:val="none" w:sz="0" w:space="0" w:color="auto"/>
          <w:lang w:val="pt-BR"/>
        </w:rPr>
        <w:t>Ademais</w:t>
      </w:r>
      <w:r w:rsidRPr="00187186">
        <w:rPr>
          <w:rFonts w:ascii="Cambria" w:eastAsia="Batang" w:hAnsi="Cambria"/>
          <w:sz w:val="20"/>
          <w:szCs w:val="20"/>
          <w:bdr w:val="none" w:sz="0" w:space="0" w:color="auto"/>
          <w:lang w:val="pt-BR"/>
        </w:rPr>
        <w:t xml:space="preserve">, </w:t>
      </w:r>
      <w:r w:rsidR="00582F2C" w:rsidRPr="00187186">
        <w:rPr>
          <w:rFonts w:ascii="Cambria" w:eastAsia="Batang" w:hAnsi="Cambria"/>
          <w:sz w:val="20"/>
          <w:szCs w:val="20"/>
          <w:bdr w:val="none" w:sz="0" w:space="0" w:color="auto"/>
          <w:lang w:val="pt-BR"/>
        </w:rPr>
        <w:t>em julho de 1982 (mês em que Gabriel Pimenta seria assassinado), Antônio Francisco da Silva relatou ter encontrado uma ameaça escrita à mão destinada a ele e a “João Grandi”, além de ter sido perseguido por Manoel Cardoso Neto em Marabá</w:t>
      </w:r>
      <w:r w:rsidR="00750D8B" w:rsidRPr="00187186">
        <w:rPr>
          <w:rStyle w:val="FootnoteReference"/>
          <w:rFonts w:ascii="Cambria" w:eastAsia="Batang" w:hAnsi="Cambria"/>
          <w:sz w:val="20"/>
          <w:szCs w:val="20"/>
          <w:bdr w:val="none" w:sz="0" w:space="0" w:color="auto"/>
          <w:lang w:val="pt-BR"/>
        </w:rPr>
        <w:footnoteReference w:id="31"/>
      </w:r>
      <w:r w:rsidR="00750D8B" w:rsidRPr="00187186">
        <w:rPr>
          <w:rFonts w:ascii="Cambria" w:eastAsia="Batang" w:hAnsi="Cambria"/>
          <w:sz w:val="20"/>
          <w:szCs w:val="20"/>
          <w:bdr w:val="none" w:sz="0" w:space="0" w:color="auto"/>
          <w:lang w:val="pt-BR"/>
        </w:rPr>
        <w:t>.</w:t>
      </w:r>
    </w:p>
    <w:p w14:paraId="07503006" w14:textId="77777777" w:rsidR="00324AE8" w:rsidRPr="00187186" w:rsidRDefault="00324AE8" w:rsidP="001871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14:paraId="2A4F00BE" w14:textId="506332F0" w:rsidR="00FA1DE2" w:rsidRPr="00187186" w:rsidRDefault="00D0094F"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pt-BR"/>
        </w:rPr>
      </w:pPr>
      <w:r w:rsidRPr="00187186">
        <w:rPr>
          <w:rFonts w:ascii="Cambria" w:eastAsia="Batang" w:hAnsi="Cambria"/>
          <w:sz w:val="20"/>
          <w:szCs w:val="20"/>
          <w:bdr w:val="none" w:sz="0" w:space="0" w:color="auto"/>
          <w:lang w:val="pt-BR"/>
        </w:rPr>
        <w:t xml:space="preserve">Segundo diferentes depoimentos, Gabriel Sales Pimenta teria recebido diversas ameaças nos meses que precederam o seu assassinato, bem como </w:t>
      </w:r>
      <w:r w:rsidR="00324AE8" w:rsidRPr="00187186">
        <w:rPr>
          <w:rFonts w:ascii="Cambria" w:eastAsia="Batang" w:hAnsi="Cambria"/>
          <w:sz w:val="20"/>
          <w:szCs w:val="20"/>
          <w:bdr w:val="none" w:sz="0" w:space="0" w:color="auto"/>
          <w:lang w:val="pt-BR"/>
        </w:rPr>
        <w:t>Manoel Cardoso Neto teria ameaçado Gabriel Pimenta de morte, inclusive com ameaças expressas de que ele seria morto até o dia 4 de agosto de 1982</w:t>
      </w:r>
      <w:r w:rsidR="00966617" w:rsidRPr="00187186">
        <w:rPr>
          <w:rStyle w:val="FootnoteReference"/>
          <w:rFonts w:ascii="Cambria" w:eastAsia="Batang" w:hAnsi="Cambria"/>
          <w:sz w:val="20"/>
          <w:szCs w:val="20"/>
          <w:bdr w:val="none" w:sz="0" w:space="0" w:color="auto"/>
          <w:lang w:val="pt-BR"/>
        </w:rPr>
        <w:footnoteReference w:id="32"/>
      </w:r>
      <w:r w:rsidR="00324AE8" w:rsidRPr="00187186">
        <w:rPr>
          <w:rFonts w:ascii="Cambria" w:eastAsia="Batang" w:hAnsi="Cambria"/>
          <w:sz w:val="20"/>
          <w:szCs w:val="20"/>
          <w:bdr w:val="none" w:sz="0" w:space="0" w:color="auto"/>
          <w:lang w:val="pt-BR"/>
        </w:rPr>
        <w:t>. Antônio Francisco da Silva e Rizomar Daniel Castro declararam que ouviram que Manoel Cardoso Neto e José Pereira da Nóbrega haviam ameaçado matar Gabriel Sales Pimenta até o dia 4 de agosto de 1982</w:t>
      </w:r>
      <w:r w:rsidR="00966617" w:rsidRPr="00187186">
        <w:rPr>
          <w:rStyle w:val="FootnoteReference"/>
          <w:rFonts w:ascii="Cambria" w:eastAsia="Batang" w:hAnsi="Cambria"/>
          <w:sz w:val="20"/>
          <w:szCs w:val="20"/>
          <w:bdr w:val="none" w:sz="0" w:space="0" w:color="auto"/>
          <w:lang w:val="pt-BR"/>
        </w:rPr>
        <w:footnoteReference w:id="33"/>
      </w:r>
      <w:r w:rsidR="00324AE8" w:rsidRPr="00187186">
        <w:rPr>
          <w:rFonts w:ascii="Cambria" w:eastAsia="Batang" w:hAnsi="Cambria"/>
          <w:sz w:val="20"/>
          <w:szCs w:val="20"/>
          <w:bdr w:val="none" w:sz="0" w:space="0" w:color="auto"/>
          <w:lang w:val="pt-BR"/>
        </w:rPr>
        <w:t>. Antônio Francisco da Silva afirmou que Gabriel</w:t>
      </w:r>
      <w:r w:rsidR="00D924AB" w:rsidRPr="00187186">
        <w:rPr>
          <w:rFonts w:ascii="Cambria" w:eastAsia="Batang" w:hAnsi="Cambria"/>
          <w:sz w:val="20"/>
          <w:szCs w:val="20"/>
          <w:bdr w:val="none" w:sz="0" w:space="0" w:color="auto"/>
          <w:lang w:val="pt-BR"/>
        </w:rPr>
        <w:t xml:space="preserve"> Sales Pimenta</w:t>
      </w:r>
      <w:r w:rsidR="00324AE8" w:rsidRPr="00187186">
        <w:rPr>
          <w:rFonts w:ascii="Cambria" w:eastAsia="Batang" w:hAnsi="Cambria"/>
          <w:sz w:val="20"/>
          <w:szCs w:val="20"/>
          <w:bdr w:val="none" w:sz="0" w:space="0" w:color="auto"/>
          <w:lang w:val="pt-BR"/>
        </w:rPr>
        <w:t>, mesmo ameaçado, não deixaria de representar os trabalhadores rurais posseiros por ser um “advogado da classe”</w:t>
      </w:r>
      <w:r w:rsidR="00324AE8" w:rsidRPr="00187186">
        <w:rPr>
          <w:rStyle w:val="FootnoteReference"/>
          <w:rFonts w:ascii="Cambria" w:eastAsia="Batang" w:hAnsi="Cambria"/>
          <w:sz w:val="20"/>
          <w:szCs w:val="20"/>
          <w:bdr w:val="none" w:sz="0" w:space="0" w:color="auto"/>
          <w:lang w:val="pt-BR"/>
        </w:rPr>
        <w:footnoteReference w:id="34"/>
      </w:r>
      <w:r w:rsidR="00324AE8" w:rsidRPr="00187186">
        <w:rPr>
          <w:rFonts w:ascii="Cambria" w:eastAsia="Batang" w:hAnsi="Cambria"/>
          <w:sz w:val="20"/>
          <w:szCs w:val="20"/>
          <w:bdr w:val="none" w:sz="0" w:space="0" w:color="auto"/>
          <w:lang w:val="pt-BR"/>
        </w:rPr>
        <w:t>. João Martins dos Santos e Juarez Francisco Xavier, residentes de Pau Seco, afirmaram que no fim de junho de 1982, enquanto descarregavam madeira em uma rodovia próxima à região, viram chegar um grupo de pessoas, dentre elas Manoel Cardoso Neto e José Pereira de Nóbrega</w:t>
      </w:r>
      <w:r w:rsidR="00966617" w:rsidRPr="00187186">
        <w:rPr>
          <w:rStyle w:val="FootnoteReference"/>
          <w:rFonts w:ascii="Cambria" w:eastAsia="Batang" w:hAnsi="Cambria"/>
          <w:sz w:val="20"/>
          <w:szCs w:val="20"/>
          <w:bdr w:val="none" w:sz="0" w:space="0" w:color="auto"/>
          <w:lang w:val="pt-BR"/>
        </w:rPr>
        <w:footnoteReference w:id="35"/>
      </w:r>
      <w:r w:rsidR="00324AE8" w:rsidRPr="00187186">
        <w:rPr>
          <w:rFonts w:ascii="Cambria" w:eastAsia="Batang" w:hAnsi="Cambria"/>
          <w:sz w:val="20"/>
          <w:szCs w:val="20"/>
          <w:bdr w:val="none" w:sz="0" w:space="0" w:color="auto"/>
          <w:lang w:val="pt-BR"/>
        </w:rPr>
        <w:t>. Manoel Cardoso Neto teria falado para João Martins que iria apreender a madeira, e logo após teria segurado os braços de Juarez e o jogado em cima de algumas toras. Neste momento, José Pereira da Nóbrega teria ameaçado puxar um revólver, mas não o sacou de sua bolsa; Juarez afirmou ter visto o cabo da arma</w:t>
      </w:r>
      <w:r w:rsidR="00966617" w:rsidRPr="00187186">
        <w:rPr>
          <w:rStyle w:val="FootnoteReference"/>
          <w:rFonts w:ascii="Cambria" w:eastAsia="Batang" w:hAnsi="Cambria"/>
          <w:sz w:val="20"/>
          <w:szCs w:val="20"/>
          <w:bdr w:val="none" w:sz="0" w:space="0" w:color="auto"/>
          <w:lang w:val="pt-BR"/>
        </w:rPr>
        <w:footnoteReference w:id="36"/>
      </w:r>
      <w:r w:rsidR="00324AE8" w:rsidRPr="00187186">
        <w:rPr>
          <w:rFonts w:ascii="Cambria" w:eastAsia="Batang" w:hAnsi="Cambria"/>
          <w:sz w:val="20"/>
          <w:szCs w:val="20"/>
          <w:bdr w:val="none" w:sz="0" w:space="0" w:color="auto"/>
          <w:lang w:val="pt-BR"/>
        </w:rPr>
        <w:t>. Antes de ir embora, Manoel Cardoso Neto teria dito a João Martins que até o dia 4 do mês de agosto, ele não teria mais a “cobertura” de Antônio Francisco da Silva (então Presidente do STR de Marabá</w:t>
      </w:r>
      <w:r w:rsidR="00966617" w:rsidRPr="00187186">
        <w:rPr>
          <w:rStyle w:val="FootnoteReference"/>
          <w:rFonts w:ascii="Cambria" w:eastAsia="Batang" w:hAnsi="Cambria"/>
          <w:sz w:val="20"/>
          <w:szCs w:val="20"/>
          <w:bdr w:val="none" w:sz="0" w:space="0" w:color="auto"/>
          <w:lang w:val="pt-BR"/>
        </w:rPr>
        <w:footnoteReference w:id="37"/>
      </w:r>
      <w:r w:rsidR="00324AE8" w:rsidRPr="00187186">
        <w:rPr>
          <w:rFonts w:ascii="Cambria" w:eastAsia="Batang" w:hAnsi="Cambria"/>
          <w:sz w:val="20"/>
          <w:szCs w:val="20"/>
          <w:bdr w:val="none" w:sz="0" w:space="0" w:color="auto"/>
          <w:lang w:val="pt-BR"/>
        </w:rPr>
        <w:t>) nem de Gabriel Sales Pimenta</w:t>
      </w:r>
      <w:r w:rsidR="00966617" w:rsidRPr="00187186">
        <w:rPr>
          <w:rStyle w:val="FootnoteReference"/>
          <w:rFonts w:ascii="Cambria" w:eastAsia="Batang" w:hAnsi="Cambria"/>
          <w:sz w:val="20"/>
          <w:szCs w:val="20"/>
          <w:bdr w:val="none" w:sz="0" w:space="0" w:color="auto"/>
          <w:lang w:val="pt-BR"/>
        </w:rPr>
        <w:footnoteReference w:id="38"/>
      </w:r>
      <w:r w:rsidR="00324AE8" w:rsidRPr="00187186">
        <w:rPr>
          <w:rFonts w:ascii="Cambria" w:eastAsia="Batang" w:hAnsi="Cambria"/>
          <w:sz w:val="20"/>
          <w:szCs w:val="20"/>
          <w:bdr w:val="none" w:sz="0" w:space="0" w:color="auto"/>
          <w:lang w:val="pt-BR"/>
        </w:rPr>
        <w:t>.  Além disso, Etelvina Honorato de Paulo, residente de Pau Seco, que teria sofrido um atentado que ela atribuiu a pistoleiros contratados por Manoel Cardoso Neto e José Pereira da Nóbrega, também relatou</w:t>
      </w:r>
      <w:r w:rsidR="00E00BF3" w:rsidRPr="00187186">
        <w:rPr>
          <w:rFonts w:ascii="Cambria" w:eastAsia="Batang" w:hAnsi="Cambria"/>
          <w:sz w:val="20"/>
          <w:szCs w:val="20"/>
          <w:bdr w:val="none" w:sz="0" w:space="0" w:color="auto"/>
          <w:lang w:val="pt-BR"/>
        </w:rPr>
        <w:t xml:space="preserve"> </w:t>
      </w:r>
      <w:r w:rsidR="00324AE8" w:rsidRPr="00187186">
        <w:rPr>
          <w:rFonts w:ascii="Cambria" w:eastAsia="Batang" w:hAnsi="Cambria"/>
          <w:sz w:val="20"/>
          <w:szCs w:val="20"/>
          <w:bdr w:val="none" w:sz="0" w:space="0" w:color="auto"/>
          <w:lang w:val="pt-BR"/>
        </w:rPr>
        <w:t>ter visto que os mesmos pistoleiros que a ameaçaram passaram em frente à casa de Gabriel no dia do crime e disseram: “[C]asa do home[m] [é] esta”, antes de prosseguirem para a casa de Manoel Cardoso Neto</w:t>
      </w:r>
      <w:r w:rsidR="00966617" w:rsidRPr="00187186">
        <w:rPr>
          <w:rStyle w:val="FootnoteReference"/>
          <w:rFonts w:ascii="Cambria" w:eastAsia="Batang" w:hAnsi="Cambria"/>
          <w:sz w:val="20"/>
          <w:szCs w:val="20"/>
          <w:bdr w:val="none" w:sz="0" w:space="0" w:color="auto"/>
          <w:lang w:val="pt-BR"/>
        </w:rPr>
        <w:footnoteReference w:id="39"/>
      </w:r>
      <w:r w:rsidR="00324AE8" w:rsidRPr="00187186">
        <w:rPr>
          <w:rFonts w:ascii="Cambria" w:eastAsia="Batang" w:hAnsi="Cambria"/>
          <w:sz w:val="20"/>
          <w:szCs w:val="20"/>
          <w:bdr w:val="none" w:sz="0" w:space="0" w:color="auto"/>
          <w:lang w:val="pt-BR"/>
        </w:rPr>
        <w:t>. Etelvina também informou que um amigo teria visto dois supostos pistoleiros de Manoel Cardoso Neto em um bar conversando e um comentava ao outro que tinha que cumprir o contrato com o patrão para receber quinhentos mil cruzeiros</w:t>
      </w:r>
      <w:r w:rsidR="00966617" w:rsidRPr="00187186">
        <w:rPr>
          <w:rStyle w:val="FootnoteReference"/>
          <w:rFonts w:ascii="Cambria" w:eastAsia="Batang" w:hAnsi="Cambria"/>
          <w:sz w:val="20"/>
          <w:szCs w:val="20"/>
          <w:bdr w:val="none" w:sz="0" w:space="0" w:color="auto"/>
          <w:lang w:val="pt-BR"/>
        </w:rPr>
        <w:footnoteReference w:id="40"/>
      </w:r>
      <w:r w:rsidR="00324AE8" w:rsidRPr="00187186">
        <w:rPr>
          <w:rFonts w:ascii="Cambria" w:eastAsia="Batang" w:hAnsi="Cambria"/>
          <w:sz w:val="20"/>
          <w:szCs w:val="20"/>
          <w:bdr w:val="none" w:sz="0" w:space="0" w:color="auto"/>
          <w:lang w:val="pt-BR"/>
        </w:rPr>
        <w:t xml:space="preserve">.  </w:t>
      </w:r>
      <w:r w:rsidR="003079B9" w:rsidRPr="00187186">
        <w:rPr>
          <w:rFonts w:ascii="Cambria" w:eastAsia="Batang" w:hAnsi="Cambria"/>
          <w:sz w:val="20"/>
          <w:szCs w:val="20"/>
          <w:bdr w:val="none" w:sz="0" w:space="0" w:color="auto"/>
          <w:lang w:val="pt-BR"/>
        </w:rPr>
        <w:t>Edson Rodrigues, amigo de Gabriel, declarou ter visto indivíduos na casa de Manoel Cardoso Neto que pareciam ser pistoleiros. Depois disso, Edson teria retornado a casa; logo em seguida, Gabriel Sales Pimenta chegou montado em uma bicicleta, muito “afobado” e preocupado, pedindo para colocar rápido a bicicleta para dentro da casa, como se estivesse sendo seguido por alguém</w:t>
      </w:r>
      <w:r w:rsidR="00966617" w:rsidRPr="00187186">
        <w:rPr>
          <w:rStyle w:val="FootnoteReference"/>
          <w:rFonts w:ascii="Cambria" w:eastAsia="Batang" w:hAnsi="Cambria"/>
          <w:sz w:val="20"/>
          <w:szCs w:val="20"/>
          <w:bdr w:val="none" w:sz="0" w:space="0" w:color="auto"/>
          <w:lang w:val="pt-BR"/>
        </w:rPr>
        <w:footnoteReference w:id="41"/>
      </w:r>
      <w:r w:rsidR="003079B9" w:rsidRPr="00187186">
        <w:rPr>
          <w:rFonts w:ascii="Cambria" w:eastAsia="Batang" w:hAnsi="Cambria"/>
          <w:sz w:val="20"/>
          <w:szCs w:val="20"/>
          <w:bdr w:val="none" w:sz="0" w:space="0" w:color="auto"/>
          <w:lang w:val="pt-BR"/>
        </w:rPr>
        <w:t xml:space="preserve">. </w:t>
      </w:r>
    </w:p>
    <w:p w14:paraId="33DC3318" w14:textId="77777777" w:rsidR="00FA1DE2" w:rsidRPr="00187186" w:rsidRDefault="00FA1DE2" w:rsidP="00187186">
      <w:pPr>
        <w:pStyle w:val="ListParagraph"/>
        <w:ind w:left="0"/>
        <w:rPr>
          <w:rFonts w:eastAsia="Batang"/>
          <w:sz w:val="20"/>
          <w:szCs w:val="20"/>
          <w:bdr w:val="none" w:sz="0" w:space="0" w:color="auto"/>
          <w:lang w:val="pt-BR"/>
        </w:rPr>
      </w:pPr>
    </w:p>
    <w:p w14:paraId="21A0F0CB" w14:textId="21752794" w:rsidR="00D0094F" w:rsidRPr="00187186" w:rsidRDefault="00FA1DE2"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pt-BR"/>
        </w:rPr>
      </w:pPr>
      <w:r w:rsidRPr="00187186">
        <w:rPr>
          <w:rFonts w:ascii="Cambria" w:eastAsia="Batang" w:hAnsi="Cambria"/>
          <w:sz w:val="20"/>
          <w:szCs w:val="20"/>
          <w:bdr w:val="none" w:sz="0" w:space="0" w:color="auto"/>
          <w:lang w:val="pt-BR"/>
        </w:rPr>
        <w:t xml:space="preserve"> </w:t>
      </w:r>
      <w:r w:rsidR="00324AE8" w:rsidRPr="00187186">
        <w:rPr>
          <w:rFonts w:ascii="Cambria" w:eastAsia="Batang" w:hAnsi="Cambria"/>
          <w:sz w:val="20"/>
          <w:szCs w:val="20"/>
          <w:bdr w:val="none" w:sz="0" w:space="0" w:color="auto"/>
          <w:lang w:val="pt-BR"/>
        </w:rPr>
        <w:t xml:space="preserve">Igualmente segundo depoimentos, Gabriel </w:t>
      </w:r>
      <w:r w:rsidR="00A423D5" w:rsidRPr="00187186">
        <w:rPr>
          <w:rFonts w:ascii="Cambria" w:eastAsia="Batang" w:hAnsi="Cambria"/>
          <w:sz w:val="20"/>
          <w:szCs w:val="20"/>
          <w:bdr w:val="none" w:sz="0" w:space="0" w:color="auto"/>
          <w:lang w:val="pt-BR"/>
        </w:rPr>
        <w:t xml:space="preserve">Sales Pimenta </w:t>
      </w:r>
      <w:r w:rsidR="00324AE8" w:rsidRPr="00187186">
        <w:rPr>
          <w:rFonts w:ascii="Cambria" w:eastAsia="Batang" w:hAnsi="Cambria"/>
          <w:sz w:val="20"/>
          <w:szCs w:val="20"/>
          <w:bdr w:val="none" w:sz="0" w:space="0" w:color="auto"/>
          <w:lang w:val="pt-BR"/>
        </w:rPr>
        <w:t>teria buscado a proteção do Estado. Neste sentido, teria denunciado as ameaças que vinha sofrendo à Secretaria de Segurança Pública em Belém, capital do Estado do Pará; e teria, ademais, ido pessoalmente a Belém em busca de ajuda por três vezes, a última delas no mês de junho de 1982</w:t>
      </w:r>
      <w:r w:rsidR="00324AE8" w:rsidRPr="00187186">
        <w:rPr>
          <w:rStyle w:val="FootnoteReference"/>
          <w:rFonts w:ascii="Cambria" w:eastAsia="Batang" w:hAnsi="Cambria"/>
          <w:sz w:val="20"/>
          <w:szCs w:val="20"/>
          <w:bdr w:val="none" w:sz="0" w:space="0" w:color="auto"/>
          <w:lang w:val="pt-BR"/>
        </w:rPr>
        <w:footnoteReference w:id="42"/>
      </w:r>
      <w:r w:rsidR="00324AE8" w:rsidRPr="00187186">
        <w:rPr>
          <w:rFonts w:ascii="Cambria" w:eastAsia="Batang" w:hAnsi="Cambria"/>
          <w:sz w:val="20"/>
          <w:szCs w:val="20"/>
          <w:bdr w:val="none" w:sz="0" w:space="0" w:color="auto"/>
          <w:lang w:val="pt-BR"/>
        </w:rPr>
        <w:t>.</w:t>
      </w:r>
      <w:r w:rsidR="002C44E5" w:rsidRPr="00187186">
        <w:rPr>
          <w:rFonts w:ascii="Cambria" w:eastAsia="Batang" w:hAnsi="Cambria"/>
          <w:sz w:val="20"/>
          <w:szCs w:val="20"/>
          <w:bdr w:val="none" w:sz="0" w:space="0" w:color="auto"/>
          <w:lang w:val="pt-BR"/>
        </w:rPr>
        <w:t xml:space="preserve"> </w:t>
      </w:r>
      <w:r w:rsidR="002026AC" w:rsidRPr="00187186">
        <w:rPr>
          <w:rFonts w:ascii="Cambria" w:eastAsia="Batang" w:hAnsi="Cambria"/>
          <w:sz w:val="20"/>
          <w:szCs w:val="20"/>
          <w:bdr w:val="none" w:sz="0" w:space="0" w:color="auto"/>
          <w:lang w:val="pt-BR"/>
        </w:rPr>
        <w:t>De sua parte, o Estado alega que não há registro de que Gabriel tenha levado tais fatos ao conhecimento do poder público (e junta aos autos ofício da Secretaria de Estado de Segurança Pública e Defesa Social do Pará, datado de agosto de 2018, dizendo que nenhum registro nesse sentido foi encontrado nos arquivos)</w:t>
      </w:r>
      <w:r w:rsidR="002026AC" w:rsidRPr="00187186">
        <w:rPr>
          <w:rStyle w:val="FootnoteReference"/>
          <w:rFonts w:ascii="Cambria" w:eastAsia="Batang" w:hAnsi="Cambria"/>
          <w:sz w:val="20"/>
          <w:szCs w:val="20"/>
          <w:bdr w:val="none" w:sz="0" w:space="0" w:color="auto"/>
          <w:lang w:val="pt-BR"/>
        </w:rPr>
        <w:t xml:space="preserve"> </w:t>
      </w:r>
      <w:r w:rsidR="002026AC" w:rsidRPr="00187186">
        <w:rPr>
          <w:rStyle w:val="FootnoteReference"/>
          <w:rFonts w:ascii="Cambria" w:eastAsia="Batang" w:hAnsi="Cambria"/>
          <w:sz w:val="20"/>
          <w:szCs w:val="20"/>
          <w:bdr w:val="none" w:sz="0" w:space="0" w:color="auto"/>
          <w:lang w:val="pt-BR"/>
        </w:rPr>
        <w:footnoteReference w:id="43"/>
      </w:r>
      <w:r w:rsidR="002026AC" w:rsidRPr="00187186">
        <w:rPr>
          <w:rFonts w:ascii="Cambria" w:eastAsia="Batang" w:hAnsi="Cambria"/>
          <w:sz w:val="20"/>
          <w:szCs w:val="20"/>
          <w:bdr w:val="none" w:sz="0" w:space="0" w:color="auto"/>
          <w:lang w:val="pt-BR"/>
        </w:rPr>
        <w:t xml:space="preserve">. </w:t>
      </w:r>
      <w:r w:rsidR="00DE7470" w:rsidRPr="00187186">
        <w:rPr>
          <w:rFonts w:ascii="Cambria" w:eastAsia="Batang" w:hAnsi="Cambria"/>
          <w:sz w:val="20"/>
          <w:szCs w:val="20"/>
          <w:bdr w:val="none" w:sz="0" w:space="0" w:color="auto"/>
          <w:lang w:val="pt-BR"/>
        </w:rPr>
        <w:t>D</w:t>
      </w:r>
      <w:r w:rsidR="003079B9" w:rsidRPr="00187186">
        <w:rPr>
          <w:rFonts w:ascii="Cambria" w:eastAsia="Batang" w:hAnsi="Cambria"/>
          <w:sz w:val="20"/>
          <w:szCs w:val="20"/>
          <w:bdr w:val="none" w:sz="0" w:space="0" w:color="auto"/>
          <w:lang w:val="pt-BR"/>
        </w:rPr>
        <w:t>os depoimentos consta também que</w:t>
      </w:r>
      <w:r w:rsidR="00324AE8" w:rsidRPr="00187186">
        <w:rPr>
          <w:rFonts w:ascii="Cambria" w:eastAsia="Batang" w:hAnsi="Cambria"/>
          <w:sz w:val="20"/>
          <w:szCs w:val="20"/>
          <w:bdr w:val="none" w:sz="0" w:space="0" w:color="auto"/>
          <w:lang w:val="pt-BR"/>
        </w:rPr>
        <w:t xml:space="preserve"> “as ameaças contra Gabriel passaram a ser maiores quando ele impetrou Mandado de segurança no Tribunal de Justiça e reverteu a situação da área que estava em conflito”</w:t>
      </w:r>
      <w:r w:rsidR="00966617" w:rsidRPr="00187186">
        <w:rPr>
          <w:rStyle w:val="FootnoteReference"/>
          <w:rFonts w:ascii="Cambria" w:eastAsia="Batang" w:hAnsi="Cambria"/>
          <w:sz w:val="20"/>
          <w:szCs w:val="20"/>
          <w:bdr w:val="none" w:sz="0" w:space="0" w:color="auto"/>
          <w:lang w:val="pt-BR"/>
        </w:rPr>
        <w:footnoteReference w:id="44"/>
      </w:r>
      <w:r w:rsidR="00B45CB3" w:rsidRPr="00187186">
        <w:rPr>
          <w:rFonts w:ascii="Cambria" w:eastAsia="Batang" w:hAnsi="Cambria"/>
          <w:sz w:val="20"/>
          <w:szCs w:val="20"/>
          <w:bdr w:val="none" w:sz="0" w:space="0" w:color="auto"/>
          <w:lang w:val="pt-BR"/>
        </w:rPr>
        <w:t>.</w:t>
      </w:r>
      <w:r w:rsidR="00324AE8" w:rsidRPr="00187186">
        <w:rPr>
          <w:rFonts w:ascii="Cambria" w:eastAsia="Batang" w:hAnsi="Cambria"/>
          <w:sz w:val="20"/>
          <w:szCs w:val="20"/>
          <w:bdr w:val="none" w:sz="0" w:space="0" w:color="auto"/>
          <w:lang w:val="pt-BR"/>
        </w:rPr>
        <w:t xml:space="preserve"> Apesar disso, “Gabriel era muito otimista e (...) nas vezes que foi a Belém em busca de segurança, voltava bastante animado com as promessas de envio de um grupo de policiais para Marabá”</w:t>
      </w:r>
      <w:r w:rsidR="00966617" w:rsidRPr="00187186">
        <w:rPr>
          <w:rStyle w:val="FootnoteReference"/>
          <w:rFonts w:ascii="Cambria" w:eastAsia="Batang" w:hAnsi="Cambria"/>
          <w:sz w:val="20"/>
          <w:szCs w:val="20"/>
          <w:bdr w:val="none" w:sz="0" w:space="0" w:color="auto"/>
          <w:lang w:val="pt-BR"/>
        </w:rPr>
        <w:footnoteReference w:id="45"/>
      </w:r>
      <w:r w:rsidR="00324AE8" w:rsidRPr="00187186">
        <w:rPr>
          <w:rFonts w:ascii="Cambria" w:eastAsia="Batang" w:hAnsi="Cambria"/>
          <w:sz w:val="20"/>
          <w:szCs w:val="20"/>
          <w:bdr w:val="none" w:sz="0" w:space="0" w:color="auto"/>
          <w:lang w:val="pt-BR"/>
        </w:rPr>
        <w:t xml:space="preserve">. No entanto “o </w:t>
      </w:r>
      <w:r w:rsidR="00324AE8" w:rsidRPr="00187186">
        <w:rPr>
          <w:rFonts w:ascii="Cambria" w:eastAsia="Batang" w:hAnsi="Cambria"/>
          <w:sz w:val="20"/>
          <w:szCs w:val="20"/>
          <w:bdr w:val="none" w:sz="0" w:space="0" w:color="auto"/>
          <w:lang w:val="pt-BR"/>
        </w:rPr>
        <w:lastRenderedPageBreak/>
        <w:t>apoio policial só veio após a morte de Gabriel, quando uma equipe de policiais chegou a Marabá o dia seguinte à [sua] morte”</w:t>
      </w:r>
      <w:r w:rsidR="00966617" w:rsidRPr="00187186">
        <w:rPr>
          <w:rStyle w:val="FootnoteReference"/>
          <w:rFonts w:ascii="Cambria" w:eastAsia="Batang" w:hAnsi="Cambria"/>
          <w:sz w:val="20"/>
          <w:szCs w:val="20"/>
          <w:bdr w:val="none" w:sz="0" w:space="0" w:color="auto"/>
          <w:lang w:val="pt-BR"/>
        </w:rPr>
        <w:footnoteReference w:id="46"/>
      </w:r>
      <w:r w:rsidR="005A6087" w:rsidRPr="00187186">
        <w:rPr>
          <w:rFonts w:ascii="Cambria" w:eastAsia="Batang" w:hAnsi="Cambria"/>
          <w:sz w:val="20"/>
          <w:szCs w:val="20"/>
          <w:bdr w:val="none" w:sz="0" w:space="0" w:color="auto"/>
          <w:lang w:val="pt-BR"/>
        </w:rPr>
        <w:t xml:space="preserve">. </w:t>
      </w:r>
    </w:p>
    <w:p w14:paraId="364263C1" w14:textId="77777777" w:rsidR="00966617" w:rsidRPr="00187186" w:rsidRDefault="00966617" w:rsidP="00187186">
      <w:pPr>
        <w:pStyle w:val="ListParagraph"/>
        <w:rPr>
          <w:rFonts w:eastAsia="Batang"/>
          <w:sz w:val="20"/>
          <w:szCs w:val="20"/>
          <w:bdr w:val="none" w:sz="0" w:space="0" w:color="auto"/>
          <w:lang w:val="pt-BR"/>
        </w:rPr>
      </w:pPr>
    </w:p>
    <w:p w14:paraId="2BF9ABF2" w14:textId="77777777" w:rsidR="00966617" w:rsidRPr="00187186" w:rsidRDefault="00966617" w:rsidP="00187186">
      <w:pPr>
        <w:pStyle w:val="Heading3"/>
      </w:pPr>
      <w:bookmarkStart w:id="35" w:name="_Toc7618506"/>
      <w:bookmarkStart w:id="36" w:name="_Toc16677784"/>
      <w:bookmarkStart w:id="37" w:name="_Toc16677871"/>
      <w:r w:rsidRPr="00187186">
        <w:t>O assassinato de Gabriel Sales Pimenta</w:t>
      </w:r>
      <w:r w:rsidR="00C760A2" w:rsidRPr="00187186">
        <w:t xml:space="preserve"> e o inquérito policial</w:t>
      </w:r>
      <w:bookmarkEnd w:id="35"/>
      <w:bookmarkEnd w:id="36"/>
      <w:bookmarkEnd w:id="37"/>
    </w:p>
    <w:p w14:paraId="24462BAC" w14:textId="77777777" w:rsidR="00966617" w:rsidRPr="00187186" w:rsidRDefault="00966617" w:rsidP="00187186">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eastAsia="Batang" w:hAnsi="Cambria"/>
          <w:sz w:val="20"/>
          <w:szCs w:val="20"/>
          <w:bdr w:val="none" w:sz="0" w:space="0" w:color="auto"/>
          <w:lang w:val="pt-BR"/>
        </w:rPr>
      </w:pPr>
    </w:p>
    <w:p w14:paraId="33062746" w14:textId="3D0FFCF6" w:rsidR="00966617" w:rsidRPr="00187186" w:rsidRDefault="002C44E5"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hanging="38"/>
        <w:jc w:val="both"/>
        <w:rPr>
          <w:rFonts w:ascii="Cambria" w:eastAsia="Batang" w:hAnsi="Cambria"/>
          <w:sz w:val="20"/>
          <w:szCs w:val="20"/>
          <w:bdr w:val="none" w:sz="0" w:space="0" w:color="auto"/>
          <w:lang w:val="pt-BR"/>
        </w:rPr>
      </w:pPr>
      <w:r w:rsidRPr="00187186">
        <w:rPr>
          <w:rFonts w:ascii="Cambria" w:eastAsia="Batang" w:hAnsi="Cambria"/>
          <w:sz w:val="20"/>
          <w:szCs w:val="20"/>
          <w:bdr w:val="none" w:sz="0" w:space="0" w:color="auto"/>
          <w:lang w:val="pt-BR"/>
        </w:rPr>
        <w:t xml:space="preserve"> </w:t>
      </w:r>
      <w:r w:rsidR="00FE7F90" w:rsidRPr="00187186">
        <w:rPr>
          <w:rFonts w:ascii="Cambria" w:eastAsia="Batang" w:hAnsi="Cambria"/>
          <w:sz w:val="20"/>
          <w:szCs w:val="20"/>
          <w:bdr w:val="none" w:sz="0" w:space="0" w:color="auto"/>
          <w:lang w:val="pt-BR"/>
        </w:rPr>
        <w:t>Segundo diferentes depoimentos e testemunhos, e</w:t>
      </w:r>
      <w:r w:rsidR="00966617" w:rsidRPr="00187186">
        <w:rPr>
          <w:rFonts w:ascii="Cambria" w:eastAsia="Batang" w:hAnsi="Cambria"/>
          <w:sz w:val="20"/>
          <w:szCs w:val="20"/>
          <w:bdr w:val="none" w:sz="0" w:space="0" w:color="auto"/>
          <w:lang w:val="pt-BR"/>
        </w:rPr>
        <w:t>m</w:t>
      </w:r>
      <w:r w:rsidR="002915CF" w:rsidRPr="00187186">
        <w:rPr>
          <w:rFonts w:ascii="Cambria" w:eastAsia="Batang" w:hAnsi="Cambria"/>
          <w:sz w:val="20"/>
          <w:szCs w:val="20"/>
          <w:bdr w:val="none" w:sz="0" w:space="0" w:color="auto"/>
          <w:lang w:val="pt-BR"/>
        </w:rPr>
        <w:t xml:space="preserve"> 18 de julho de 1982 Gabriel Sales Pimenta </w:t>
      </w:r>
      <w:r w:rsidR="00FE7F90" w:rsidRPr="00187186">
        <w:rPr>
          <w:rFonts w:ascii="Cambria" w:eastAsia="Batang" w:hAnsi="Cambria"/>
          <w:sz w:val="20"/>
          <w:szCs w:val="20"/>
          <w:bdr w:val="none" w:sz="0" w:space="0" w:color="auto"/>
          <w:lang w:val="pt-BR"/>
        </w:rPr>
        <w:t xml:space="preserve">participou </w:t>
      </w:r>
      <w:r w:rsidR="002915CF" w:rsidRPr="00187186">
        <w:rPr>
          <w:rFonts w:ascii="Cambria" w:eastAsia="Batang" w:hAnsi="Cambria"/>
          <w:sz w:val="20"/>
          <w:szCs w:val="20"/>
          <w:bdr w:val="none" w:sz="0" w:space="0" w:color="auto"/>
          <w:lang w:val="pt-BR"/>
        </w:rPr>
        <w:t>da</w:t>
      </w:r>
      <w:r w:rsidR="00966617" w:rsidRPr="00187186">
        <w:rPr>
          <w:rFonts w:ascii="Cambria" w:eastAsia="Batang" w:hAnsi="Cambria"/>
          <w:sz w:val="20"/>
          <w:szCs w:val="20"/>
          <w:bdr w:val="none" w:sz="0" w:space="0" w:color="auto"/>
          <w:lang w:val="pt-BR"/>
        </w:rPr>
        <w:t xml:space="preserve"> Convenção do Partido do Movimento Democrático Brasileiro </w:t>
      </w:r>
      <w:r w:rsidR="002915CF" w:rsidRPr="00187186">
        <w:rPr>
          <w:rFonts w:ascii="Cambria" w:eastAsia="Batang" w:hAnsi="Cambria"/>
          <w:sz w:val="20"/>
          <w:szCs w:val="20"/>
          <w:bdr w:val="none" w:sz="0" w:space="0" w:color="auto"/>
          <w:lang w:val="pt-BR"/>
        </w:rPr>
        <w:t>em Marabá</w:t>
      </w:r>
      <w:r w:rsidR="00966617" w:rsidRPr="00187186">
        <w:rPr>
          <w:rFonts w:ascii="Cambria" w:eastAsia="Batang" w:hAnsi="Cambria"/>
          <w:sz w:val="20"/>
          <w:szCs w:val="20"/>
          <w:bdr w:val="none" w:sz="0" w:space="0" w:color="auto"/>
          <w:lang w:val="pt-BR"/>
        </w:rPr>
        <w:t>. Após o término da Convenção, foi a um bar denominado “Bacaba”</w:t>
      </w:r>
      <w:r w:rsidR="00966617" w:rsidRPr="00187186">
        <w:rPr>
          <w:rStyle w:val="FootnoteReference"/>
          <w:rFonts w:ascii="Cambria" w:eastAsia="Batang" w:hAnsi="Cambria"/>
          <w:sz w:val="20"/>
          <w:szCs w:val="20"/>
          <w:bdr w:val="none" w:sz="0" w:space="0" w:color="auto"/>
          <w:lang w:val="pt-BR"/>
        </w:rPr>
        <w:footnoteReference w:id="47"/>
      </w:r>
      <w:r w:rsidR="00966617" w:rsidRPr="00187186">
        <w:rPr>
          <w:rFonts w:ascii="Cambria" w:eastAsia="Batang" w:hAnsi="Cambria"/>
          <w:sz w:val="20"/>
          <w:szCs w:val="20"/>
          <w:bdr w:val="none" w:sz="0" w:space="0" w:color="auto"/>
          <w:lang w:val="pt-BR"/>
        </w:rPr>
        <w:t xml:space="preserve">. </w:t>
      </w:r>
      <w:r w:rsidR="002915CF" w:rsidRPr="00187186">
        <w:rPr>
          <w:rFonts w:ascii="Cambria" w:eastAsia="Batang" w:hAnsi="Cambria"/>
          <w:sz w:val="20"/>
          <w:szCs w:val="20"/>
          <w:bdr w:val="none" w:sz="0" w:space="0" w:color="auto"/>
          <w:lang w:val="pt-BR"/>
        </w:rPr>
        <w:t>Gabriel e o casal Edson Rodrigues Guimarães e Neuzila Cerqueira Guimarães saíram juntos do bar por volta das 22 horas e 30 minutos</w:t>
      </w:r>
      <w:r w:rsidR="00966617" w:rsidRPr="00187186">
        <w:rPr>
          <w:rFonts w:ascii="Cambria" w:eastAsia="Batang" w:hAnsi="Cambria"/>
          <w:sz w:val="20"/>
          <w:szCs w:val="20"/>
          <w:bdr w:val="none" w:sz="0" w:space="0" w:color="auto"/>
          <w:lang w:val="pt-BR"/>
        </w:rPr>
        <w:t>. Os três caminhavam em direção ao carro de uma outra amiga</w:t>
      </w:r>
      <w:r w:rsidR="00FE7F90" w:rsidRPr="00187186">
        <w:rPr>
          <w:rFonts w:ascii="Cambria" w:eastAsia="Batang" w:hAnsi="Cambria"/>
          <w:sz w:val="20"/>
          <w:szCs w:val="20"/>
          <w:bdr w:val="none" w:sz="0" w:space="0" w:color="auto"/>
          <w:lang w:val="pt-BR"/>
        </w:rPr>
        <w:t>, Rosa Almeida</w:t>
      </w:r>
      <w:r w:rsidR="00966617" w:rsidRPr="00187186">
        <w:rPr>
          <w:rStyle w:val="FootnoteReference"/>
          <w:rFonts w:ascii="Cambria" w:eastAsia="Batang" w:hAnsi="Cambria"/>
          <w:sz w:val="20"/>
          <w:szCs w:val="20"/>
          <w:bdr w:val="none" w:sz="0" w:space="0" w:color="auto"/>
          <w:lang w:val="pt-BR"/>
        </w:rPr>
        <w:footnoteReference w:id="48"/>
      </w:r>
      <w:r w:rsidR="00966617" w:rsidRPr="00187186">
        <w:rPr>
          <w:rFonts w:ascii="Cambria" w:eastAsia="Batang" w:hAnsi="Cambria"/>
          <w:sz w:val="20"/>
          <w:szCs w:val="20"/>
          <w:bdr w:val="none" w:sz="0" w:space="0" w:color="auto"/>
          <w:lang w:val="pt-BR"/>
        </w:rPr>
        <w:t>, quando passaram por um veículo tipo Fusca, de cor bege</w:t>
      </w:r>
      <w:r w:rsidR="002915CF" w:rsidRPr="00187186">
        <w:rPr>
          <w:rStyle w:val="FootnoteReference"/>
          <w:rFonts w:ascii="Cambria" w:eastAsia="Batang" w:hAnsi="Cambria"/>
          <w:sz w:val="20"/>
          <w:szCs w:val="20"/>
          <w:bdr w:val="none" w:sz="0" w:space="0" w:color="auto"/>
          <w:lang w:val="pt-BR"/>
        </w:rPr>
        <w:footnoteReference w:id="49"/>
      </w:r>
      <w:r w:rsidR="00966617" w:rsidRPr="00187186">
        <w:rPr>
          <w:rFonts w:ascii="Cambria" w:eastAsia="Batang" w:hAnsi="Cambria"/>
          <w:sz w:val="20"/>
          <w:szCs w:val="20"/>
          <w:bdr w:val="none" w:sz="0" w:space="0" w:color="auto"/>
          <w:lang w:val="pt-BR"/>
        </w:rPr>
        <w:t>. Edson Rodrigues Guimarães teria então ouvido um indivíduo dizer, “É o alto”</w:t>
      </w:r>
      <w:r w:rsidR="002915CF" w:rsidRPr="00187186">
        <w:rPr>
          <w:rStyle w:val="FootnoteReference"/>
          <w:rFonts w:ascii="Cambria" w:eastAsia="Batang" w:hAnsi="Cambria"/>
          <w:sz w:val="20"/>
          <w:szCs w:val="20"/>
          <w:bdr w:val="none" w:sz="0" w:space="0" w:color="auto"/>
          <w:lang w:val="pt-BR"/>
        </w:rPr>
        <w:footnoteReference w:id="50"/>
      </w:r>
      <w:r w:rsidR="00966617" w:rsidRPr="00187186">
        <w:rPr>
          <w:rFonts w:ascii="Cambria" w:eastAsia="Batang" w:hAnsi="Cambria"/>
          <w:sz w:val="20"/>
          <w:szCs w:val="20"/>
          <w:bdr w:val="none" w:sz="0" w:space="0" w:color="auto"/>
          <w:lang w:val="pt-BR"/>
        </w:rPr>
        <w:t>. Repentinamente, teria surgido um homem de dentro do Fusca que disparou contra Gabriel. Após o segundo tiro, a vítima teria caído ao chão e um terceiro tiro fora disparado quando Gabriel já se encontrava caído. Segundo o casal, ele estava sem vida após o terceiro tiro</w:t>
      </w:r>
      <w:r w:rsidR="002915CF" w:rsidRPr="00187186">
        <w:rPr>
          <w:rStyle w:val="FootnoteReference"/>
          <w:rFonts w:ascii="Cambria" w:eastAsia="Batang" w:hAnsi="Cambria"/>
          <w:sz w:val="20"/>
          <w:szCs w:val="20"/>
          <w:bdr w:val="none" w:sz="0" w:space="0" w:color="auto"/>
          <w:lang w:val="pt-BR"/>
        </w:rPr>
        <w:footnoteReference w:id="51"/>
      </w:r>
      <w:r w:rsidR="00966617" w:rsidRPr="00187186">
        <w:rPr>
          <w:rFonts w:ascii="Cambria" w:eastAsia="Batang" w:hAnsi="Cambria"/>
          <w:sz w:val="20"/>
          <w:szCs w:val="20"/>
          <w:bdr w:val="none" w:sz="0" w:space="0" w:color="auto"/>
          <w:lang w:val="pt-BR"/>
        </w:rPr>
        <w:t>. O autor dos disparos teria fugido no veículo Fusca em alta velocidade</w:t>
      </w:r>
      <w:r w:rsidR="002915CF" w:rsidRPr="00187186">
        <w:rPr>
          <w:rStyle w:val="FootnoteReference"/>
          <w:rFonts w:ascii="Cambria" w:eastAsia="Batang" w:hAnsi="Cambria"/>
          <w:sz w:val="20"/>
          <w:szCs w:val="20"/>
          <w:bdr w:val="none" w:sz="0" w:space="0" w:color="auto"/>
          <w:lang w:val="pt-BR"/>
        </w:rPr>
        <w:footnoteReference w:id="52"/>
      </w:r>
      <w:r w:rsidR="00966617" w:rsidRPr="00187186">
        <w:rPr>
          <w:rFonts w:ascii="Cambria" w:eastAsia="Batang" w:hAnsi="Cambria"/>
          <w:sz w:val="20"/>
          <w:szCs w:val="20"/>
          <w:bdr w:val="none" w:sz="0" w:space="0" w:color="auto"/>
          <w:lang w:val="pt-BR"/>
        </w:rPr>
        <w:t xml:space="preserve">. </w:t>
      </w:r>
    </w:p>
    <w:p w14:paraId="0E1D6E57" w14:textId="77777777" w:rsidR="003079B9" w:rsidRPr="00187186" w:rsidRDefault="00966617" w:rsidP="00187186">
      <w:pPr>
        <w:pBdr>
          <w:top w:val="none" w:sz="0" w:space="0" w:color="auto"/>
          <w:left w:val="none" w:sz="0" w:space="0" w:color="auto"/>
          <w:bottom w:val="none" w:sz="0" w:space="0" w:color="auto"/>
          <w:right w:val="none" w:sz="0" w:space="0" w:color="auto"/>
          <w:between w:val="none" w:sz="0" w:space="0" w:color="auto"/>
          <w:bar w:val="none" w:sz="0" w:color="auto"/>
        </w:pBdr>
        <w:ind w:hanging="38"/>
        <w:jc w:val="both"/>
        <w:rPr>
          <w:rFonts w:ascii="Cambria" w:eastAsia="Batang" w:hAnsi="Cambria"/>
          <w:sz w:val="20"/>
          <w:szCs w:val="20"/>
          <w:bdr w:val="none" w:sz="0" w:space="0" w:color="auto"/>
          <w:lang w:val="pt-BR"/>
        </w:rPr>
      </w:pPr>
      <w:r w:rsidRPr="00187186">
        <w:rPr>
          <w:rFonts w:ascii="Cambria" w:eastAsia="Batang" w:hAnsi="Cambria"/>
          <w:sz w:val="20"/>
          <w:szCs w:val="20"/>
          <w:bdr w:val="none" w:sz="0" w:space="0" w:color="auto"/>
          <w:lang w:val="pt-BR"/>
        </w:rPr>
        <w:t xml:space="preserve">Pessoas que se encontravam próximas ao local do crime </w:t>
      </w:r>
      <w:r w:rsidR="00FE7F90" w:rsidRPr="00187186">
        <w:rPr>
          <w:rFonts w:ascii="Cambria" w:eastAsia="Batang" w:hAnsi="Cambria"/>
          <w:sz w:val="20"/>
          <w:szCs w:val="20"/>
          <w:bdr w:val="none" w:sz="0" w:space="0" w:color="auto"/>
          <w:lang w:val="pt-BR"/>
        </w:rPr>
        <w:t>procuraram</w:t>
      </w:r>
      <w:r w:rsidRPr="00187186">
        <w:rPr>
          <w:rFonts w:ascii="Cambria" w:eastAsia="Batang" w:hAnsi="Cambria"/>
          <w:sz w:val="20"/>
          <w:szCs w:val="20"/>
          <w:bdr w:val="none" w:sz="0" w:space="0" w:color="auto"/>
          <w:lang w:val="pt-BR"/>
        </w:rPr>
        <w:t xml:space="preserve"> socorrer Gabriel, colocando-o em um veículo para levá-lo ao hospital. Na chegada ao hospital, o mesmo Fusca envolvido no assassinato teria então reaparecido, estacionando nas proximidades, e de seu interior teriam saído dois homens para perguntar o que ocorreu</w:t>
      </w:r>
      <w:r w:rsidR="002915CF" w:rsidRPr="00187186">
        <w:rPr>
          <w:rStyle w:val="FootnoteReference"/>
          <w:rFonts w:ascii="Cambria" w:eastAsia="Batang" w:hAnsi="Cambria"/>
          <w:sz w:val="20"/>
          <w:szCs w:val="20"/>
          <w:bdr w:val="none" w:sz="0" w:space="0" w:color="auto"/>
          <w:lang w:val="pt-BR"/>
        </w:rPr>
        <w:footnoteReference w:id="53"/>
      </w:r>
      <w:r w:rsidRPr="00187186">
        <w:rPr>
          <w:rFonts w:ascii="Cambria" w:eastAsia="Batang" w:hAnsi="Cambria"/>
          <w:sz w:val="20"/>
          <w:szCs w:val="20"/>
          <w:bdr w:val="none" w:sz="0" w:space="0" w:color="auto"/>
          <w:lang w:val="pt-BR"/>
        </w:rPr>
        <w:t>. Nessa oportunidade, uma testemunha ocular que presenciou o crime, Luzia Batista da Silva, reconheceu José Pereira de Nóbrega como o motorista do veículo estacionado próximo ao hospital</w:t>
      </w:r>
      <w:r w:rsidR="002915CF" w:rsidRPr="00187186">
        <w:rPr>
          <w:rStyle w:val="FootnoteReference"/>
          <w:rFonts w:ascii="Cambria" w:eastAsia="Batang" w:hAnsi="Cambria"/>
          <w:sz w:val="20"/>
          <w:szCs w:val="20"/>
          <w:bdr w:val="none" w:sz="0" w:space="0" w:color="auto"/>
          <w:lang w:val="pt-BR"/>
        </w:rPr>
        <w:footnoteReference w:id="54"/>
      </w:r>
      <w:r w:rsidR="002915CF" w:rsidRPr="00187186">
        <w:rPr>
          <w:rFonts w:ascii="Cambria" w:eastAsia="Batang" w:hAnsi="Cambria"/>
          <w:sz w:val="20"/>
          <w:szCs w:val="20"/>
          <w:bdr w:val="none" w:sz="0" w:space="0" w:color="auto"/>
          <w:lang w:val="pt-BR"/>
        </w:rPr>
        <w:t>.</w:t>
      </w:r>
    </w:p>
    <w:p w14:paraId="1A1EC524" w14:textId="77777777" w:rsidR="00C760A2" w:rsidRPr="00187186" w:rsidRDefault="00C760A2" w:rsidP="00187186">
      <w:pPr>
        <w:pBdr>
          <w:top w:val="none" w:sz="0" w:space="0" w:color="auto"/>
          <w:left w:val="none" w:sz="0" w:space="0" w:color="auto"/>
          <w:bottom w:val="none" w:sz="0" w:space="0" w:color="auto"/>
          <w:right w:val="none" w:sz="0" w:space="0" w:color="auto"/>
          <w:between w:val="none" w:sz="0" w:space="0" w:color="auto"/>
          <w:bar w:val="none" w:sz="0" w:color="auto"/>
        </w:pBdr>
        <w:ind w:hanging="38"/>
        <w:jc w:val="both"/>
        <w:rPr>
          <w:rFonts w:ascii="Cambria" w:eastAsia="Batang" w:hAnsi="Cambria"/>
          <w:sz w:val="20"/>
          <w:szCs w:val="20"/>
          <w:bdr w:val="none" w:sz="0" w:space="0" w:color="auto"/>
          <w:lang w:val="pt-BR"/>
        </w:rPr>
      </w:pPr>
    </w:p>
    <w:p w14:paraId="297DBF23" w14:textId="7BC8BA0F" w:rsidR="00FE7F90" w:rsidRPr="00187186" w:rsidRDefault="007A05E1"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hanging="38"/>
        <w:jc w:val="both"/>
        <w:rPr>
          <w:rFonts w:ascii="Cambria" w:eastAsia="Batang" w:hAnsi="Cambria"/>
          <w:sz w:val="20"/>
          <w:szCs w:val="20"/>
          <w:bdr w:val="none" w:sz="0" w:space="0" w:color="auto"/>
          <w:lang w:val="pt-BR"/>
        </w:rPr>
      </w:pPr>
      <w:r w:rsidRPr="00187186">
        <w:rPr>
          <w:rFonts w:ascii="Cambria" w:eastAsia="Batang" w:hAnsi="Cambria"/>
          <w:sz w:val="20"/>
          <w:szCs w:val="20"/>
          <w:bdr w:val="none" w:sz="0" w:space="0" w:color="auto"/>
          <w:lang w:val="pt-BR"/>
        </w:rPr>
        <w:t>O inquérito policial foi iniciado logo em seguida, no dia 19 de julho de 1982</w:t>
      </w:r>
      <w:r w:rsidRPr="00187186">
        <w:rPr>
          <w:rStyle w:val="FootnoteReference"/>
          <w:rFonts w:ascii="Cambria" w:eastAsia="Batang" w:hAnsi="Cambria"/>
          <w:sz w:val="20"/>
          <w:szCs w:val="20"/>
          <w:bdr w:val="none" w:sz="0" w:space="0" w:color="auto"/>
          <w:lang w:val="pt-BR"/>
        </w:rPr>
        <w:footnoteReference w:id="55"/>
      </w:r>
      <w:r w:rsidRPr="00187186">
        <w:rPr>
          <w:rFonts w:ascii="Cambria" w:eastAsia="Batang" w:hAnsi="Cambria"/>
          <w:sz w:val="20"/>
          <w:szCs w:val="20"/>
          <w:bdr w:val="none" w:sz="0" w:space="0" w:color="auto"/>
          <w:lang w:val="pt-BR"/>
        </w:rPr>
        <w:t>. Ao longo das investigações, as autoridades policiais realizaram diligências que incluíram a tomada de depoimento de testemunhas</w:t>
      </w:r>
      <w:r w:rsidRPr="00187186">
        <w:rPr>
          <w:rStyle w:val="FootnoteReference"/>
          <w:rFonts w:ascii="Cambria" w:eastAsia="Batang" w:hAnsi="Cambria"/>
          <w:sz w:val="20"/>
          <w:szCs w:val="20"/>
          <w:bdr w:val="none" w:sz="0" w:space="0" w:color="auto"/>
          <w:lang w:val="pt-BR"/>
        </w:rPr>
        <w:footnoteReference w:id="56"/>
      </w:r>
      <w:r w:rsidRPr="00187186">
        <w:rPr>
          <w:rFonts w:ascii="Cambria" w:eastAsia="Batang" w:hAnsi="Cambria"/>
          <w:sz w:val="20"/>
          <w:szCs w:val="20"/>
          <w:bdr w:val="none" w:sz="0" w:space="0" w:color="auto"/>
          <w:lang w:val="pt-BR"/>
        </w:rPr>
        <w:t xml:space="preserve"> e dos suspeitos (Manoel Cardoso Neto, José Pereira da Nóbrega e Crescêncio Oliveir</w:t>
      </w:r>
      <w:r w:rsidR="008C21BD">
        <w:rPr>
          <w:rFonts w:ascii="Cambria" w:eastAsia="Batang" w:hAnsi="Cambria"/>
          <w:sz w:val="20"/>
          <w:szCs w:val="20"/>
          <w:bdr w:val="none" w:sz="0" w:space="0" w:color="auto"/>
          <w:lang w:val="pt-BR"/>
        </w:rPr>
        <w:t>a</w:t>
      </w:r>
      <w:r w:rsidRPr="00187186">
        <w:rPr>
          <w:rFonts w:ascii="Cambria" w:eastAsia="Batang" w:hAnsi="Cambria"/>
          <w:sz w:val="20"/>
          <w:szCs w:val="20"/>
          <w:bdr w:val="none" w:sz="0" w:space="0" w:color="auto"/>
          <w:lang w:val="pt-BR"/>
        </w:rPr>
        <w:t xml:space="preserve"> de Sousa)</w:t>
      </w:r>
      <w:r w:rsidRPr="00187186">
        <w:rPr>
          <w:rStyle w:val="FootnoteReference"/>
          <w:rFonts w:ascii="Cambria" w:eastAsia="Batang" w:hAnsi="Cambria"/>
          <w:sz w:val="20"/>
          <w:szCs w:val="20"/>
          <w:bdr w:val="none" w:sz="0" w:space="0" w:color="auto"/>
          <w:lang w:val="pt-BR"/>
        </w:rPr>
        <w:t xml:space="preserve"> </w:t>
      </w:r>
      <w:r w:rsidRPr="00187186">
        <w:rPr>
          <w:rStyle w:val="FootnoteReference"/>
          <w:rFonts w:ascii="Cambria" w:eastAsia="Batang" w:hAnsi="Cambria"/>
          <w:sz w:val="20"/>
          <w:szCs w:val="20"/>
          <w:bdr w:val="none" w:sz="0" w:space="0" w:color="auto"/>
          <w:lang w:val="pt-BR"/>
        </w:rPr>
        <w:footnoteReference w:id="57"/>
      </w:r>
      <w:r w:rsidRPr="00187186">
        <w:rPr>
          <w:rFonts w:ascii="Cambria" w:eastAsia="Batang" w:hAnsi="Cambria"/>
          <w:sz w:val="20"/>
          <w:szCs w:val="20"/>
          <w:bdr w:val="none" w:sz="0" w:space="0" w:color="auto"/>
          <w:lang w:val="pt-BR"/>
        </w:rPr>
        <w:t>; o exame cadavérico</w:t>
      </w:r>
      <w:r w:rsidRPr="00187186">
        <w:rPr>
          <w:rStyle w:val="FootnoteReference"/>
          <w:rFonts w:ascii="Cambria" w:eastAsia="Batang" w:hAnsi="Cambria"/>
          <w:sz w:val="20"/>
          <w:szCs w:val="20"/>
          <w:bdr w:val="none" w:sz="0" w:space="0" w:color="auto"/>
          <w:lang w:val="pt-BR"/>
        </w:rPr>
        <w:footnoteReference w:id="58"/>
      </w:r>
      <w:r w:rsidRPr="00187186">
        <w:rPr>
          <w:rFonts w:ascii="Cambria" w:eastAsia="Batang" w:hAnsi="Cambria"/>
          <w:sz w:val="20"/>
          <w:szCs w:val="20"/>
          <w:bdr w:val="none" w:sz="0" w:space="0" w:color="auto"/>
          <w:lang w:val="pt-BR"/>
        </w:rPr>
        <w:t>; busca na residência do suspeito Manoel Cardoso Neto</w:t>
      </w:r>
      <w:r w:rsidRPr="00187186">
        <w:rPr>
          <w:rStyle w:val="FootnoteReference"/>
          <w:rFonts w:ascii="Cambria" w:eastAsia="Batang" w:hAnsi="Cambria"/>
          <w:sz w:val="20"/>
          <w:szCs w:val="20"/>
          <w:bdr w:val="none" w:sz="0" w:space="0" w:color="auto"/>
          <w:lang w:val="pt-BR"/>
        </w:rPr>
        <w:footnoteReference w:id="59"/>
      </w:r>
      <w:r w:rsidRPr="00187186">
        <w:rPr>
          <w:rFonts w:ascii="Cambria" w:eastAsia="Batang" w:hAnsi="Cambria"/>
          <w:sz w:val="20"/>
          <w:szCs w:val="20"/>
          <w:bdr w:val="none" w:sz="0" w:space="0" w:color="auto"/>
          <w:lang w:val="pt-BR"/>
        </w:rPr>
        <w:t>; exames balísticos das armas encontradas em posse dos suspeitos Manoel Cardoso Neto e José Pereira da Nóbrega</w:t>
      </w:r>
      <w:r w:rsidRPr="00187186">
        <w:rPr>
          <w:rStyle w:val="FootnoteReference"/>
          <w:rFonts w:ascii="Cambria" w:eastAsia="Batang" w:hAnsi="Cambria"/>
          <w:sz w:val="20"/>
          <w:szCs w:val="20"/>
          <w:bdr w:val="none" w:sz="0" w:space="0" w:color="auto"/>
          <w:lang w:val="pt-BR"/>
        </w:rPr>
        <w:footnoteReference w:id="60"/>
      </w:r>
      <w:r w:rsidRPr="00187186">
        <w:rPr>
          <w:rFonts w:ascii="Cambria" w:eastAsia="Batang" w:hAnsi="Cambria"/>
          <w:sz w:val="20"/>
          <w:szCs w:val="20"/>
          <w:bdr w:val="none" w:sz="0" w:space="0" w:color="auto"/>
          <w:lang w:val="pt-BR"/>
        </w:rPr>
        <w:t>; investigação da compra, por Manoel Cardoso Neto, de um carro semelhante ao utilizado no assassinato</w:t>
      </w:r>
      <w:r w:rsidRPr="00187186">
        <w:rPr>
          <w:rStyle w:val="FootnoteReference"/>
          <w:rFonts w:ascii="Cambria" w:eastAsia="Batang" w:hAnsi="Cambria"/>
          <w:sz w:val="20"/>
          <w:szCs w:val="20"/>
          <w:bdr w:val="none" w:sz="0" w:space="0" w:color="auto"/>
          <w:lang w:val="pt-BR"/>
        </w:rPr>
        <w:footnoteReference w:id="61"/>
      </w:r>
      <w:r w:rsidRPr="00187186">
        <w:rPr>
          <w:rFonts w:ascii="Cambria" w:eastAsia="Batang" w:hAnsi="Cambria"/>
          <w:sz w:val="20"/>
          <w:szCs w:val="20"/>
          <w:bdr w:val="none" w:sz="0" w:space="0" w:color="auto"/>
          <w:lang w:val="pt-BR"/>
        </w:rPr>
        <w:t>;</w:t>
      </w:r>
      <w:r w:rsidR="00CB61CA" w:rsidRPr="00187186">
        <w:rPr>
          <w:rFonts w:ascii="Cambria" w:eastAsia="Batang" w:hAnsi="Cambria"/>
          <w:sz w:val="20"/>
          <w:szCs w:val="20"/>
          <w:bdr w:val="none" w:sz="0" w:space="0" w:color="auto"/>
          <w:lang w:val="pt-BR"/>
        </w:rPr>
        <w:t xml:space="preserve"> </w:t>
      </w:r>
      <w:r w:rsidRPr="00187186">
        <w:rPr>
          <w:rFonts w:ascii="Cambria" w:eastAsia="Batang" w:hAnsi="Cambria"/>
          <w:sz w:val="20"/>
          <w:szCs w:val="20"/>
          <w:bdr w:val="none" w:sz="0" w:space="0" w:color="auto"/>
          <w:lang w:val="pt-BR"/>
        </w:rPr>
        <w:t xml:space="preserve"> parecer técnico de peritos criminal e legista</w:t>
      </w:r>
      <w:r w:rsidRPr="00187186">
        <w:rPr>
          <w:rStyle w:val="FootnoteReference"/>
          <w:rFonts w:ascii="Cambria" w:eastAsia="Batang" w:hAnsi="Cambria"/>
          <w:sz w:val="20"/>
          <w:szCs w:val="20"/>
          <w:bdr w:val="none" w:sz="0" w:space="0" w:color="auto"/>
          <w:lang w:val="pt-BR"/>
        </w:rPr>
        <w:footnoteReference w:id="62"/>
      </w:r>
      <w:r w:rsidRPr="00187186">
        <w:rPr>
          <w:rFonts w:ascii="Cambria" w:eastAsia="Batang" w:hAnsi="Cambria"/>
          <w:sz w:val="20"/>
          <w:szCs w:val="20"/>
          <w:bdr w:val="none" w:sz="0" w:space="0" w:color="auto"/>
          <w:lang w:val="pt-BR"/>
        </w:rPr>
        <w:t>.</w:t>
      </w:r>
      <w:r w:rsidR="006D7CE5" w:rsidRPr="00187186">
        <w:rPr>
          <w:rFonts w:ascii="Cambria" w:eastAsia="Batang" w:hAnsi="Cambria"/>
          <w:sz w:val="20"/>
          <w:szCs w:val="20"/>
          <w:bdr w:val="none" w:sz="0" w:space="0" w:color="auto"/>
          <w:lang w:val="pt-BR"/>
        </w:rPr>
        <w:t xml:space="preserve"> Não foi realizada perícia no local do crime</w:t>
      </w:r>
      <w:r w:rsidR="001B3737" w:rsidRPr="00187186">
        <w:rPr>
          <w:rFonts w:ascii="Cambria" w:eastAsia="Batang" w:hAnsi="Cambria"/>
          <w:sz w:val="20"/>
          <w:szCs w:val="20"/>
          <w:bdr w:val="none" w:sz="0" w:space="0" w:color="auto"/>
          <w:lang w:val="pt-BR"/>
        </w:rPr>
        <w:t>.</w:t>
      </w:r>
      <w:r w:rsidR="006D7CE5" w:rsidRPr="00187186">
        <w:rPr>
          <w:rFonts w:ascii="Cambria" w:eastAsia="Batang" w:hAnsi="Cambria"/>
          <w:sz w:val="20"/>
          <w:szCs w:val="20"/>
          <w:bdr w:val="none" w:sz="0" w:space="0" w:color="auto"/>
          <w:lang w:val="pt-BR"/>
        </w:rPr>
        <w:t xml:space="preserve"> </w:t>
      </w:r>
      <w:r w:rsidR="001B3737" w:rsidRPr="00187186">
        <w:rPr>
          <w:rFonts w:ascii="Cambria" w:eastAsia="Batang" w:hAnsi="Cambria"/>
          <w:sz w:val="20"/>
          <w:szCs w:val="20"/>
          <w:bdr w:val="none" w:sz="0" w:space="0" w:color="auto"/>
          <w:lang w:val="pt-BR"/>
        </w:rPr>
        <w:t>O</w:t>
      </w:r>
      <w:r w:rsidR="006D7CE5" w:rsidRPr="00187186">
        <w:rPr>
          <w:rFonts w:ascii="Cambria" w:eastAsia="Batang" w:hAnsi="Cambria"/>
          <w:sz w:val="20"/>
          <w:szCs w:val="20"/>
          <w:bdr w:val="none" w:sz="0" w:space="0" w:color="auto"/>
          <w:lang w:val="pt-BR"/>
        </w:rPr>
        <w:t xml:space="preserve"> parecer técnico do perito criminal e do perito legista do Estado fez críticas ao exame cadavérico, considerado superficial</w:t>
      </w:r>
      <w:r w:rsidR="006D7CE5" w:rsidRPr="00187186">
        <w:rPr>
          <w:rStyle w:val="FootnoteReference"/>
          <w:rFonts w:ascii="Cambria" w:eastAsia="Batang" w:hAnsi="Cambria"/>
          <w:sz w:val="20"/>
          <w:szCs w:val="20"/>
          <w:bdr w:val="none" w:sz="0" w:space="0" w:color="auto"/>
          <w:lang w:val="pt-BR"/>
        </w:rPr>
        <w:footnoteReference w:id="63"/>
      </w:r>
      <w:r w:rsidR="006D7CE5" w:rsidRPr="00187186">
        <w:rPr>
          <w:rFonts w:ascii="Cambria" w:eastAsia="Batang" w:hAnsi="Cambria"/>
          <w:sz w:val="20"/>
          <w:szCs w:val="20"/>
          <w:bdr w:val="none" w:sz="0" w:space="0" w:color="auto"/>
          <w:lang w:val="pt-BR"/>
        </w:rPr>
        <w:t xml:space="preserve">. Apesar disso, foi possível apontar Manoel </w:t>
      </w:r>
      <w:r w:rsidR="006D7CE5" w:rsidRPr="00187186">
        <w:rPr>
          <w:rFonts w:ascii="Cambria" w:eastAsia="Batang" w:hAnsi="Cambria"/>
          <w:sz w:val="20"/>
          <w:szCs w:val="20"/>
          <w:bdr w:val="none" w:sz="0" w:space="0" w:color="auto"/>
          <w:lang w:val="pt-BR"/>
        </w:rPr>
        <w:lastRenderedPageBreak/>
        <w:t xml:space="preserve">Cardoso Neto e José Pereira de Nóbrega como os autores do assassinato de Gabriel Sales Pimenta a partir de diferentes </w:t>
      </w:r>
      <w:r w:rsidR="00013144" w:rsidRPr="00187186">
        <w:rPr>
          <w:rFonts w:ascii="Cambria" w:eastAsia="Batang" w:hAnsi="Cambria"/>
          <w:sz w:val="20"/>
          <w:szCs w:val="20"/>
          <w:bdr w:val="none" w:sz="0" w:space="0" w:color="auto"/>
          <w:lang w:val="pt-BR"/>
        </w:rPr>
        <w:t>evidências: vários depoimentos de testemunhas indicaram que os acusados haviam explicitamente ameaçado matar Gabriel Pimenta até o dia 4 de agosto de 1982</w:t>
      </w:r>
      <w:r w:rsidR="00013144" w:rsidRPr="00187186">
        <w:rPr>
          <w:rStyle w:val="FootnoteReference"/>
          <w:rFonts w:ascii="Cambria" w:eastAsia="Batang" w:hAnsi="Cambria"/>
          <w:sz w:val="20"/>
          <w:szCs w:val="20"/>
          <w:bdr w:val="none" w:sz="0" w:space="0" w:color="auto"/>
          <w:lang w:val="pt-BR"/>
        </w:rPr>
        <w:footnoteReference w:id="64"/>
      </w:r>
      <w:r w:rsidR="00013144" w:rsidRPr="00187186">
        <w:rPr>
          <w:rFonts w:ascii="Cambria" w:eastAsia="Batang" w:hAnsi="Cambria"/>
          <w:sz w:val="20"/>
          <w:szCs w:val="20"/>
          <w:bdr w:val="none" w:sz="0" w:space="0" w:color="auto"/>
          <w:lang w:val="pt-BR"/>
        </w:rPr>
        <w:t>; Manoel Cardoso Neto comprou um veículo Fusca condizente com o veículo envolvido no assassinato, pouco antes da data do crime</w:t>
      </w:r>
      <w:r w:rsidR="00013144" w:rsidRPr="00187186">
        <w:rPr>
          <w:rStyle w:val="FootnoteReference"/>
          <w:rFonts w:ascii="Cambria" w:eastAsia="Batang" w:hAnsi="Cambria"/>
          <w:sz w:val="20"/>
          <w:szCs w:val="20"/>
          <w:bdr w:val="none" w:sz="0" w:space="0" w:color="auto"/>
          <w:lang w:val="pt-BR"/>
        </w:rPr>
        <w:footnoteReference w:id="65"/>
      </w:r>
      <w:r w:rsidR="00013144" w:rsidRPr="00187186">
        <w:rPr>
          <w:rFonts w:ascii="Cambria" w:eastAsia="Batang" w:hAnsi="Cambria"/>
          <w:sz w:val="20"/>
          <w:szCs w:val="20"/>
          <w:bdr w:val="none" w:sz="0" w:space="0" w:color="auto"/>
          <w:lang w:val="pt-BR"/>
        </w:rPr>
        <w:t>; a testemunha Etelvina Honorato de Paulo reconheceu, como pistoleiros vinculados a Manoel Cardoso Neto, alguns homens que passaram em frente à casa de Gabriel dizendo: “[A] casa do home[m] [é] esta”</w:t>
      </w:r>
      <w:r w:rsidR="00013144" w:rsidRPr="00187186">
        <w:rPr>
          <w:rStyle w:val="FootnoteReference"/>
          <w:rFonts w:ascii="Cambria" w:eastAsia="Batang" w:hAnsi="Cambria"/>
          <w:sz w:val="20"/>
          <w:szCs w:val="20"/>
          <w:bdr w:val="none" w:sz="0" w:space="0" w:color="auto"/>
          <w:lang w:val="pt-BR"/>
        </w:rPr>
        <w:t xml:space="preserve"> </w:t>
      </w:r>
      <w:r w:rsidR="00013144" w:rsidRPr="00187186">
        <w:rPr>
          <w:rStyle w:val="FootnoteReference"/>
          <w:rFonts w:ascii="Cambria" w:eastAsia="Batang" w:hAnsi="Cambria"/>
          <w:sz w:val="20"/>
          <w:szCs w:val="20"/>
          <w:bdr w:val="none" w:sz="0" w:space="0" w:color="auto"/>
          <w:lang w:val="pt-BR"/>
        </w:rPr>
        <w:footnoteReference w:id="66"/>
      </w:r>
      <w:r w:rsidR="00013144" w:rsidRPr="00187186">
        <w:rPr>
          <w:rFonts w:ascii="Cambria" w:eastAsia="Batang" w:hAnsi="Cambria"/>
          <w:sz w:val="20"/>
          <w:szCs w:val="20"/>
          <w:bdr w:val="none" w:sz="0" w:space="0" w:color="auto"/>
          <w:lang w:val="pt-BR"/>
        </w:rPr>
        <w:t>; a testemunha Luzia Batista de Silva identificou José Pereira da Nóbrega como motorista do carro utilizado no assassinato</w:t>
      </w:r>
      <w:r w:rsidR="00013144" w:rsidRPr="00187186">
        <w:rPr>
          <w:rStyle w:val="FootnoteReference"/>
          <w:rFonts w:ascii="Cambria" w:eastAsia="Batang" w:hAnsi="Cambria"/>
          <w:sz w:val="20"/>
          <w:szCs w:val="20"/>
          <w:bdr w:val="none" w:sz="0" w:space="0" w:color="auto"/>
          <w:lang w:val="pt-BR"/>
        </w:rPr>
        <w:footnoteReference w:id="67"/>
      </w:r>
      <w:r w:rsidR="00013144" w:rsidRPr="00187186">
        <w:rPr>
          <w:rFonts w:ascii="Cambria" w:eastAsia="Batang" w:hAnsi="Cambria"/>
          <w:sz w:val="20"/>
          <w:szCs w:val="20"/>
          <w:bdr w:val="none" w:sz="0" w:space="0" w:color="auto"/>
          <w:lang w:val="pt-BR"/>
        </w:rPr>
        <w:t>.</w:t>
      </w:r>
    </w:p>
    <w:p w14:paraId="581A5903" w14:textId="77777777" w:rsidR="00904F48" w:rsidRPr="00187186" w:rsidRDefault="00904F48" w:rsidP="00187186">
      <w:pPr>
        <w:pBdr>
          <w:top w:val="none" w:sz="0" w:space="0" w:color="auto"/>
          <w:left w:val="none" w:sz="0" w:space="0" w:color="auto"/>
          <w:bottom w:val="none" w:sz="0" w:space="0" w:color="auto"/>
          <w:right w:val="none" w:sz="0" w:space="0" w:color="auto"/>
          <w:between w:val="none" w:sz="0" w:space="0" w:color="auto"/>
          <w:bar w:val="none" w:sz="0" w:color="auto"/>
        </w:pBdr>
        <w:ind w:hanging="38"/>
        <w:jc w:val="both"/>
        <w:rPr>
          <w:rFonts w:ascii="Cambria" w:eastAsia="Batang" w:hAnsi="Cambria"/>
          <w:sz w:val="20"/>
          <w:szCs w:val="20"/>
          <w:bdr w:val="none" w:sz="0" w:space="0" w:color="auto"/>
          <w:lang w:val="pt-BR"/>
        </w:rPr>
      </w:pPr>
    </w:p>
    <w:p w14:paraId="05D5A3E2" w14:textId="1CE40E64" w:rsidR="00904F48" w:rsidRPr="00187186" w:rsidRDefault="00904F48" w:rsidP="0018718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hanging="38"/>
        <w:jc w:val="both"/>
        <w:rPr>
          <w:rFonts w:eastAsia="Batang"/>
          <w:sz w:val="20"/>
          <w:szCs w:val="20"/>
          <w:bdr w:val="none" w:sz="0" w:space="0" w:color="auto"/>
          <w:lang w:val="pt-BR"/>
        </w:rPr>
      </w:pPr>
      <w:r w:rsidRPr="00187186">
        <w:rPr>
          <w:rFonts w:eastAsia="Batang"/>
          <w:sz w:val="20"/>
          <w:szCs w:val="20"/>
          <w:bdr w:val="none" w:sz="0" w:space="0" w:color="auto"/>
          <w:lang w:val="pt-BR"/>
        </w:rPr>
        <w:t>Novas evidências apontaram Crescêncio Oliveira de Sou</w:t>
      </w:r>
      <w:r w:rsidR="008C21BD">
        <w:rPr>
          <w:rFonts w:eastAsia="Batang"/>
          <w:sz w:val="20"/>
          <w:szCs w:val="20"/>
          <w:bdr w:val="none" w:sz="0" w:space="0" w:color="auto"/>
          <w:lang w:val="pt-BR"/>
        </w:rPr>
        <w:t>s</w:t>
      </w:r>
      <w:r w:rsidRPr="00187186">
        <w:rPr>
          <w:rFonts w:eastAsia="Batang"/>
          <w:sz w:val="20"/>
          <w:szCs w:val="20"/>
          <w:bdr w:val="none" w:sz="0" w:space="0" w:color="auto"/>
          <w:lang w:val="pt-BR"/>
        </w:rPr>
        <w:t>a, conhecido como pistoleiro de José Pereira da Nóbrega, como o autor dos disparos. Crescêncio tentou mudar sua aparência e fugiu apressadamente após a prisão do seu patrão José Pereira de Nóbrega, ocorrida no dia 20 de julho de 1982. O relatório final do inquérito policial foi então aditado pelo delegado responsável para indiciar Crescêncio. Isso se deu no dia 8 de setembro de 1982</w:t>
      </w:r>
      <w:r w:rsidRPr="00187186">
        <w:rPr>
          <w:rStyle w:val="FootnoteReference"/>
          <w:rFonts w:eastAsia="Batang"/>
          <w:sz w:val="20"/>
          <w:szCs w:val="20"/>
          <w:bdr w:val="none" w:sz="0" w:space="0" w:color="auto"/>
          <w:lang w:val="pt-BR"/>
        </w:rPr>
        <w:footnoteReference w:id="68"/>
      </w:r>
      <w:r w:rsidRPr="00187186">
        <w:rPr>
          <w:rFonts w:eastAsia="Batang"/>
          <w:sz w:val="20"/>
          <w:szCs w:val="20"/>
          <w:bdr w:val="none" w:sz="0" w:space="0" w:color="auto"/>
          <w:lang w:val="pt-BR"/>
        </w:rPr>
        <w:t>. O delegado também inquiriu outro suspeito de ser o autor dos disparos, Antônio Vieira de Araújo, vulgo “Ouriçado”, mas considerou que não havia evidências suficientes para indiciá-lo</w:t>
      </w:r>
      <w:r w:rsidRPr="00187186">
        <w:rPr>
          <w:rStyle w:val="FootnoteReference"/>
          <w:rFonts w:eastAsia="Batang"/>
          <w:sz w:val="20"/>
          <w:szCs w:val="20"/>
          <w:bdr w:val="none" w:sz="0" w:space="0" w:color="auto"/>
          <w:lang w:val="pt-BR"/>
        </w:rPr>
        <w:footnoteReference w:id="69"/>
      </w:r>
      <w:r w:rsidRPr="00187186">
        <w:rPr>
          <w:rFonts w:eastAsia="Batang"/>
          <w:sz w:val="20"/>
          <w:szCs w:val="20"/>
          <w:bdr w:val="none" w:sz="0" w:space="0" w:color="auto"/>
          <w:lang w:val="pt-BR"/>
        </w:rPr>
        <w:t>.</w:t>
      </w:r>
    </w:p>
    <w:p w14:paraId="6FFCB5C5" w14:textId="77777777" w:rsidR="00904F48" w:rsidRPr="00187186" w:rsidRDefault="00904F48" w:rsidP="0018718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hanging="38"/>
        <w:jc w:val="both"/>
        <w:rPr>
          <w:rFonts w:eastAsia="Batang"/>
          <w:sz w:val="20"/>
          <w:szCs w:val="20"/>
          <w:bdr w:val="none" w:sz="0" w:space="0" w:color="auto"/>
          <w:lang w:val="pt-BR"/>
        </w:rPr>
      </w:pPr>
    </w:p>
    <w:p w14:paraId="4CD627E6" w14:textId="296840CF" w:rsidR="008711D3" w:rsidRPr="00187186" w:rsidRDefault="00904F48" w:rsidP="0018718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eastAsia="Batang"/>
          <w:sz w:val="20"/>
          <w:szCs w:val="20"/>
          <w:bdr w:val="none" w:sz="0" w:space="0" w:color="auto"/>
          <w:lang w:val="pt-BR"/>
        </w:rPr>
      </w:pPr>
      <w:r w:rsidRPr="00187186">
        <w:rPr>
          <w:rFonts w:eastAsia="Batang"/>
          <w:sz w:val="20"/>
          <w:szCs w:val="20"/>
          <w:bdr w:val="none" w:sz="0" w:space="0" w:color="auto"/>
          <w:lang w:val="pt-BR"/>
        </w:rPr>
        <w:t>A parte peticionária sustentou que houve fortes indícios de que, após o assassinato de Gabriel, as testemunhas sofreram ameaças e não lhes foi assegurada a devida proteção. Notícias da época informaram que o Delegado responsável pelas investigações “notou nas testemunhas oculares um excesso demasiado acreditando que tenham sido ameaçadas e impelidas para não falar toda a verdade”</w:t>
      </w:r>
      <w:r w:rsidRPr="00187186">
        <w:rPr>
          <w:rStyle w:val="FootnoteReference"/>
          <w:rFonts w:eastAsia="Batang"/>
          <w:sz w:val="20"/>
          <w:szCs w:val="20"/>
          <w:bdr w:val="none" w:sz="0" w:space="0" w:color="auto"/>
          <w:lang w:val="pt-BR"/>
        </w:rPr>
        <w:footnoteReference w:id="70"/>
      </w:r>
      <w:r w:rsidRPr="00187186">
        <w:rPr>
          <w:rFonts w:eastAsia="Batang"/>
          <w:sz w:val="20"/>
          <w:szCs w:val="20"/>
          <w:bdr w:val="none" w:sz="0" w:space="0" w:color="auto"/>
          <w:lang w:val="pt-BR"/>
        </w:rPr>
        <w:t>. Ainda segundo informações da época, o casal Edson Rodrigues Guimarães e Neuzila Guimarães, que acompanhavam Gabriel Sales Pimenta no momento do assassinato, desapareceu por vários dias após o crime por medo de também morrerem, e assim a polícia teve dificuldades em localizá-los</w:t>
      </w:r>
      <w:r w:rsidRPr="00187186">
        <w:rPr>
          <w:rStyle w:val="FootnoteReference"/>
          <w:rFonts w:eastAsia="Batang"/>
          <w:sz w:val="20"/>
          <w:szCs w:val="20"/>
          <w:bdr w:val="none" w:sz="0" w:space="0" w:color="auto"/>
          <w:lang w:val="pt-BR"/>
        </w:rPr>
        <w:footnoteReference w:id="71"/>
      </w:r>
      <w:r w:rsidRPr="00187186">
        <w:rPr>
          <w:rFonts w:eastAsia="Batang"/>
          <w:sz w:val="20"/>
          <w:szCs w:val="20"/>
          <w:bdr w:val="none" w:sz="0" w:space="0" w:color="auto"/>
          <w:lang w:val="pt-BR"/>
        </w:rPr>
        <w:t>. Na fase do inquérito, Rizomar Daniel Castro, amigo de Gabriel, declarou ter ouvido falar que José Pereira da Nóbrega e Manoel Cardoso Neto haviam ameaçado matar o advogado até o dia 4 de agosto de 1982</w:t>
      </w:r>
      <w:r w:rsidRPr="00187186">
        <w:rPr>
          <w:rStyle w:val="FootnoteReference"/>
          <w:rFonts w:eastAsia="Batang"/>
          <w:sz w:val="20"/>
          <w:szCs w:val="20"/>
          <w:bdr w:val="none" w:sz="0" w:space="0" w:color="auto"/>
          <w:lang w:val="pt-BR"/>
        </w:rPr>
        <w:footnoteReference w:id="72"/>
      </w:r>
      <w:r w:rsidRPr="00187186">
        <w:rPr>
          <w:rFonts w:eastAsia="Batang"/>
          <w:sz w:val="20"/>
          <w:szCs w:val="20"/>
          <w:bdr w:val="none" w:sz="0" w:space="0" w:color="auto"/>
          <w:lang w:val="pt-BR"/>
        </w:rPr>
        <w:t>. Também declarou ter visto elementos desconhecidos na casa de Manoel Cardoso Neto no dia do assassinato, que pareciam ser “pistoleiros”</w:t>
      </w:r>
      <w:r w:rsidRPr="00187186">
        <w:rPr>
          <w:rStyle w:val="FootnoteReference"/>
          <w:rFonts w:eastAsia="Batang"/>
          <w:sz w:val="20"/>
          <w:szCs w:val="20"/>
          <w:bdr w:val="none" w:sz="0" w:space="0" w:color="auto"/>
          <w:lang w:val="pt-BR"/>
        </w:rPr>
        <w:t xml:space="preserve"> </w:t>
      </w:r>
      <w:r w:rsidRPr="00187186">
        <w:rPr>
          <w:rStyle w:val="FootnoteReference"/>
          <w:rFonts w:eastAsia="Batang"/>
          <w:sz w:val="20"/>
          <w:szCs w:val="20"/>
          <w:bdr w:val="none" w:sz="0" w:space="0" w:color="auto"/>
          <w:lang w:val="pt-BR"/>
        </w:rPr>
        <w:footnoteReference w:id="73"/>
      </w:r>
      <w:r w:rsidRPr="00187186">
        <w:rPr>
          <w:rFonts w:eastAsia="Batang"/>
          <w:sz w:val="20"/>
          <w:szCs w:val="20"/>
          <w:bdr w:val="none" w:sz="0" w:space="0" w:color="auto"/>
          <w:lang w:val="pt-BR"/>
        </w:rPr>
        <w:t>. Porém, não compareceu à Comarca de Marabá por muito tempo (1989-1991), apesar de ter sido intimado repetidas vezes para testemunhar, e, quando finalmente inquirido, disse não saber de testemunhas que poderiam ter presenciado o assassinato</w:t>
      </w:r>
      <w:r w:rsidRPr="00187186">
        <w:rPr>
          <w:rStyle w:val="FootnoteReference"/>
          <w:rFonts w:eastAsia="Batang"/>
          <w:sz w:val="20"/>
          <w:szCs w:val="20"/>
          <w:bdr w:val="none" w:sz="0" w:space="0" w:color="auto"/>
          <w:lang w:val="pt-BR"/>
        </w:rPr>
        <w:footnoteReference w:id="74"/>
      </w:r>
      <w:r w:rsidRPr="00187186">
        <w:rPr>
          <w:rFonts w:eastAsia="Batang"/>
          <w:sz w:val="20"/>
          <w:szCs w:val="20"/>
          <w:bdr w:val="none" w:sz="0" w:space="0" w:color="auto"/>
          <w:lang w:val="pt-BR"/>
        </w:rPr>
        <w:t>. Luzia Batista da Silva, testemunha ocular do crime, declarou ao Ministério Público em 1983 que havia contado tudo que presenciara a Rizomar</w:t>
      </w:r>
      <w:r w:rsidRPr="00187186">
        <w:rPr>
          <w:rStyle w:val="FootnoteReference"/>
          <w:rFonts w:eastAsia="Batang"/>
          <w:sz w:val="20"/>
          <w:szCs w:val="20"/>
          <w:bdr w:val="none" w:sz="0" w:space="0" w:color="auto"/>
          <w:lang w:val="pt-BR"/>
        </w:rPr>
        <w:footnoteReference w:id="75"/>
      </w:r>
      <w:r w:rsidRPr="00187186">
        <w:rPr>
          <w:rFonts w:eastAsia="Batang"/>
          <w:sz w:val="20"/>
          <w:szCs w:val="20"/>
          <w:bdr w:val="none" w:sz="0" w:space="0" w:color="auto"/>
          <w:lang w:val="pt-BR"/>
        </w:rPr>
        <w:t>. Antônio Francisco da Silva, que também havia sofrido ameaças de morte pelos acusados antes do crime contra Gabriel</w:t>
      </w:r>
      <w:r w:rsidRPr="00187186">
        <w:rPr>
          <w:rStyle w:val="FootnoteReference"/>
          <w:rFonts w:eastAsia="Batang"/>
          <w:sz w:val="20"/>
          <w:szCs w:val="20"/>
          <w:bdr w:val="none" w:sz="0" w:space="0" w:color="auto"/>
          <w:lang w:val="pt-BR"/>
        </w:rPr>
        <w:footnoteReference w:id="76"/>
      </w:r>
      <w:r w:rsidRPr="00187186">
        <w:rPr>
          <w:rFonts w:eastAsia="Batang"/>
          <w:sz w:val="20"/>
          <w:szCs w:val="20"/>
          <w:bdr w:val="none" w:sz="0" w:space="0" w:color="auto"/>
          <w:lang w:val="pt-BR"/>
        </w:rPr>
        <w:t>, não compareceu à primeira sessão do júri marcada para 23 de maio de 2002</w:t>
      </w:r>
      <w:r w:rsidRPr="00187186">
        <w:rPr>
          <w:rStyle w:val="FootnoteReference"/>
          <w:rFonts w:eastAsia="Batang"/>
          <w:sz w:val="20"/>
          <w:szCs w:val="20"/>
          <w:bdr w:val="none" w:sz="0" w:space="0" w:color="auto"/>
          <w:lang w:val="pt-BR"/>
        </w:rPr>
        <w:footnoteReference w:id="77"/>
      </w:r>
      <w:r w:rsidRPr="00187186">
        <w:rPr>
          <w:rFonts w:eastAsia="Batang"/>
          <w:sz w:val="20"/>
          <w:szCs w:val="20"/>
          <w:bdr w:val="none" w:sz="0" w:space="0" w:color="auto"/>
          <w:lang w:val="pt-BR"/>
        </w:rPr>
        <w:t>.</w:t>
      </w:r>
      <w:r w:rsidR="007624DA" w:rsidRPr="00187186">
        <w:rPr>
          <w:rFonts w:eastAsia="Batang"/>
          <w:sz w:val="20"/>
          <w:szCs w:val="20"/>
          <w:bdr w:val="none" w:sz="0" w:space="0" w:color="auto"/>
          <w:lang w:val="pt-BR"/>
        </w:rPr>
        <w:t xml:space="preserve"> Por fim,</w:t>
      </w:r>
      <w:r w:rsidR="00B17667" w:rsidRPr="00187186">
        <w:rPr>
          <w:rFonts w:eastAsia="Batang"/>
          <w:sz w:val="20"/>
          <w:szCs w:val="20"/>
          <w:bdr w:val="none" w:sz="0" w:space="0" w:color="auto"/>
          <w:lang w:val="pt-BR"/>
        </w:rPr>
        <w:t xml:space="preserve"> Luzia</w:t>
      </w:r>
      <w:r w:rsidR="008711D3" w:rsidRPr="00187186">
        <w:rPr>
          <w:rFonts w:eastAsia="Batang"/>
          <w:sz w:val="20"/>
          <w:szCs w:val="20"/>
          <w:bdr w:val="none" w:sz="0" w:space="0" w:color="auto"/>
          <w:lang w:val="pt-BR"/>
        </w:rPr>
        <w:t xml:space="preserve"> Batista da Silva relatou que sentiu medo de contar o </w:t>
      </w:r>
      <w:r w:rsidR="008711D3" w:rsidRPr="00187186">
        <w:rPr>
          <w:rFonts w:eastAsia="Batang"/>
          <w:sz w:val="20"/>
          <w:szCs w:val="20"/>
          <w:bdr w:val="none" w:sz="0" w:space="0" w:color="auto"/>
          <w:lang w:val="pt-BR"/>
        </w:rPr>
        <w:lastRenderedPageBreak/>
        <w:t>que viu logo após o crime</w:t>
      </w:r>
      <w:r w:rsidR="008711D3" w:rsidRPr="00187186">
        <w:rPr>
          <w:rStyle w:val="FootnoteReference"/>
          <w:rFonts w:eastAsia="Batang"/>
          <w:sz w:val="20"/>
          <w:szCs w:val="20"/>
          <w:bdr w:val="none" w:sz="0" w:space="0" w:color="auto"/>
          <w:lang w:val="pt-BR"/>
        </w:rPr>
        <w:footnoteReference w:id="78"/>
      </w:r>
      <w:r w:rsidR="008711D3" w:rsidRPr="00187186">
        <w:rPr>
          <w:rFonts w:eastAsia="Batang"/>
          <w:sz w:val="20"/>
          <w:szCs w:val="20"/>
          <w:bdr w:val="none" w:sz="0" w:space="0" w:color="auto"/>
          <w:lang w:val="pt-BR"/>
        </w:rPr>
        <w:t>.</w:t>
      </w:r>
      <w:r w:rsidR="009151C4" w:rsidRPr="00187186">
        <w:rPr>
          <w:rFonts w:eastAsia="Batang"/>
          <w:sz w:val="20"/>
          <w:szCs w:val="20"/>
          <w:bdr w:val="none" w:sz="0" w:space="0" w:color="auto"/>
          <w:lang w:val="pt-BR"/>
        </w:rPr>
        <w:t xml:space="preserve"> A parte peticionária alegou que Luzia faleceu em 2002, contudo, seu nome teria continuado na lista de testemunhas, </w:t>
      </w:r>
      <w:r w:rsidR="008711D3" w:rsidRPr="00187186">
        <w:rPr>
          <w:rFonts w:eastAsia="Batang"/>
          <w:sz w:val="20"/>
          <w:szCs w:val="20"/>
          <w:bdr w:val="none" w:sz="0" w:space="0" w:color="auto"/>
          <w:lang w:val="pt-BR"/>
        </w:rPr>
        <w:t>inexistindo informações sobre a causa de sua morte ou sobre quaisquer investigações, por parte das autoridades estatais, sobre o que ocorreu com a principal testemunha do caso.</w:t>
      </w:r>
    </w:p>
    <w:p w14:paraId="4EC57A98" w14:textId="77777777" w:rsidR="00D939C0" w:rsidRPr="00187186" w:rsidRDefault="00D939C0" w:rsidP="00187186">
      <w:pPr>
        <w:rPr>
          <w:rFonts w:ascii="Cambria" w:eastAsia="Batang" w:hAnsi="Cambria"/>
          <w:sz w:val="20"/>
          <w:szCs w:val="20"/>
          <w:bdr w:val="none" w:sz="0" w:space="0" w:color="auto"/>
          <w:lang w:val="pt-BR"/>
        </w:rPr>
      </w:pPr>
    </w:p>
    <w:p w14:paraId="08FD0379" w14:textId="77777777" w:rsidR="00D939C0" w:rsidRPr="00187186" w:rsidRDefault="005D2A78" w:rsidP="00187186">
      <w:pPr>
        <w:pStyle w:val="Heading3"/>
      </w:pPr>
      <w:bookmarkStart w:id="38" w:name="_Toc7618507"/>
      <w:bookmarkStart w:id="39" w:name="_Toc16677785"/>
      <w:bookmarkStart w:id="40" w:name="_Toc16677872"/>
      <w:r w:rsidRPr="00187186">
        <w:t>A prisão dos acusados, sua revogação e a reinquirição de uma das testemunhas</w:t>
      </w:r>
      <w:bookmarkEnd w:id="38"/>
      <w:bookmarkEnd w:id="39"/>
      <w:bookmarkEnd w:id="40"/>
    </w:p>
    <w:p w14:paraId="6D7ADBCC" w14:textId="77777777" w:rsidR="00D939C0" w:rsidRPr="00187186" w:rsidRDefault="00D939C0" w:rsidP="0018718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eastAsia="Batang"/>
          <w:sz w:val="20"/>
          <w:szCs w:val="20"/>
          <w:bdr w:val="none" w:sz="0" w:space="0" w:color="auto"/>
          <w:lang w:val="pt-BR"/>
        </w:rPr>
      </w:pPr>
    </w:p>
    <w:p w14:paraId="1D4F0CB5" w14:textId="370D35FD" w:rsidR="00943553" w:rsidRPr="00187186" w:rsidRDefault="00943553"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pt-BR"/>
        </w:rPr>
      </w:pPr>
      <w:r w:rsidRPr="00187186">
        <w:rPr>
          <w:rFonts w:ascii="Cambria" w:eastAsia="Batang" w:hAnsi="Cambria"/>
          <w:sz w:val="20"/>
          <w:szCs w:val="20"/>
          <w:bdr w:val="none" w:sz="0" w:space="0" w:color="auto"/>
          <w:lang w:val="pt-BR"/>
        </w:rPr>
        <w:t>Os acusados Manoel Cardoso Neto e José Pereira de Nóbrega foram detidos no dia 20 de julho de 1982</w:t>
      </w:r>
      <w:r w:rsidR="00A4207F" w:rsidRPr="00187186">
        <w:rPr>
          <w:rStyle w:val="FootnoteReference"/>
          <w:rFonts w:ascii="Cambria" w:eastAsia="Batang" w:hAnsi="Cambria"/>
          <w:sz w:val="20"/>
          <w:szCs w:val="20"/>
          <w:bdr w:val="none" w:sz="0" w:space="0" w:color="auto"/>
          <w:lang w:val="pt-BR"/>
        </w:rPr>
        <w:footnoteReference w:id="79"/>
      </w:r>
      <w:r w:rsidRPr="00187186">
        <w:rPr>
          <w:rFonts w:ascii="Cambria" w:eastAsia="Batang" w:hAnsi="Cambria"/>
          <w:sz w:val="20"/>
          <w:szCs w:val="20"/>
          <w:bdr w:val="none" w:sz="0" w:space="0" w:color="auto"/>
          <w:lang w:val="pt-BR"/>
        </w:rPr>
        <w:t>. Depois de inquiridos</w:t>
      </w:r>
      <w:r w:rsidR="00A4207F" w:rsidRPr="00187186">
        <w:rPr>
          <w:rStyle w:val="FootnoteReference"/>
          <w:rFonts w:ascii="Cambria" w:eastAsia="Batang" w:hAnsi="Cambria"/>
          <w:sz w:val="20"/>
          <w:szCs w:val="20"/>
          <w:bdr w:val="none" w:sz="0" w:space="0" w:color="auto"/>
          <w:lang w:val="pt-BR"/>
        </w:rPr>
        <w:footnoteReference w:id="80"/>
      </w:r>
      <w:r w:rsidRPr="00187186">
        <w:rPr>
          <w:rFonts w:ascii="Cambria" w:eastAsia="Batang" w:hAnsi="Cambria"/>
          <w:sz w:val="20"/>
          <w:szCs w:val="20"/>
          <w:bdr w:val="none" w:sz="0" w:space="0" w:color="auto"/>
          <w:lang w:val="pt-BR"/>
        </w:rPr>
        <w:t>, foram transferidos da Delegacia da Nova Marabá para o quartel da Polícia Militar devido aos protestos públicos do lado de fora da delegacia, e logo depois foram transferidos para Belém</w:t>
      </w:r>
      <w:r w:rsidR="009D61A6" w:rsidRPr="00187186">
        <w:rPr>
          <w:rStyle w:val="FootnoteReference"/>
          <w:rFonts w:ascii="Cambria" w:eastAsia="Batang" w:hAnsi="Cambria"/>
          <w:sz w:val="20"/>
          <w:szCs w:val="20"/>
          <w:bdr w:val="none" w:sz="0" w:space="0" w:color="auto"/>
          <w:lang w:val="pt-BR"/>
        </w:rPr>
        <w:footnoteReference w:id="81"/>
      </w:r>
      <w:r w:rsidRPr="00187186">
        <w:rPr>
          <w:rFonts w:ascii="Cambria" w:eastAsia="Batang" w:hAnsi="Cambria"/>
          <w:sz w:val="20"/>
          <w:szCs w:val="20"/>
          <w:bdr w:val="none" w:sz="0" w:space="0" w:color="auto"/>
          <w:lang w:val="pt-BR"/>
        </w:rPr>
        <w:t>.</w:t>
      </w:r>
      <w:r w:rsidR="00A4207F" w:rsidRPr="00187186">
        <w:rPr>
          <w:rFonts w:ascii="Cambria" w:eastAsia="Batang" w:hAnsi="Cambria"/>
          <w:sz w:val="20"/>
          <w:szCs w:val="20"/>
          <w:bdr w:val="none" w:sz="0" w:space="0" w:color="auto"/>
          <w:lang w:val="pt-BR"/>
        </w:rPr>
        <w:t xml:space="preserve"> </w:t>
      </w:r>
      <w:r w:rsidRPr="00187186">
        <w:rPr>
          <w:rFonts w:ascii="Cambria" w:eastAsia="Batang" w:hAnsi="Cambria"/>
          <w:sz w:val="20"/>
          <w:szCs w:val="20"/>
          <w:bdr w:val="none" w:sz="0" w:space="0" w:color="auto"/>
          <w:lang w:val="pt-BR"/>
        </w:rPr>
        <w:t>Quando ainda se encontravam presos, o Delegado que coordenava a investigação enviou uma Representação para a Vara Criminal de Marabá solicitando a custódia preventiva dos acusados</w:t>
      </w:r>
      <w:r w:rsidR="009D61A6" w:rsidRPr="00187186">
        <w:rPr>
          <w:rStyle w:val="FootnoteReference"/>
          <w:rFonts w:ascii="Cambria" w:eastAsia="Batang" w:hAnsi="Cambria"/>
          <w:sz w:val="20"/>
          <w:szCs w:val="20"/>
          <w:bdr w:val="none" w:sz="0" w:space="0" w:color="auto"/>
          <w:lang w:val="pt-BR"/>
        </w:rPr>
        <w:footnoteReference w:id="82"/>
      </w:r>
      <w:r w:rsidRPr="00187186">
        <w:rPr>
          <w:rFonts w:ascii="Cambria" w:eastAsia="Batang" w:hAnsi="Cambria"/>
          <w:sz w:val="20"/>
          <w:szCs w:val="20"/>
          <w:bdr w:val="none" w:sz="0" w:space="0" w:color="auto"/>
          <w:lang w:val="pt-BR"/>
        </w:rPr>
        <w:t xml:space="preserve"> sob a justificativa de proteção da segurança pessoal dos envolvidos, bem como forma de “salvaguardar a aplicação da Lei Penal e evitar que [os acusados] se afastassem do Distrito de Culpa, dificultando assim a ação da Justiça”</w:t>
      </w:r>
      <w:r w:rsidR="009D61A6" w:rsidRPr="00187186">
        <w:rPr>
          <w:rStyle w:val="FootnoteReference"/>
          <w:rFonts w:ascii="Cambria" w:eastAsia="Batang" w:hAnsi="Cambria"/>
          <w:sz w:val="20"/>
          <w:szCs w:val="20"/>
          <w:bdr w:val="none" w:sz="0" w:space="0" w:color="auto"/>
          <w:lang w:val="pt-BR"/>
        </w:rPr>
        <w:footnoteReference w:id="83"/>
      </w:r>
      <w:r w:rsidR="006F3E18" w:rsidRPr="00187186">
        <w:rPr>
          <w:rFonts w:ascii="Cambria" w:eastAsia="Batang" w:hAnsi="Cambria"/>
          <w:sz w:val="20"/>
          <w:szCs w:val="20"/>
          <w:bdr w:val="none" w:sz="0" w:space="0" w:color="auto"/>
          <w:lang w:val="pt-BR"/>
        </w:rPr>
        <w:t>.</w:t>
      </w:r>
      <w:r w:rsidRPr="00187186">
        <w:rPr>
          <w:rFonts w:ascii="Cambria" w:eastAsia="Batang" w:hAnsi="Cambria"/>
          <w:sz w:val="20"/>
          <w:szCs w:val="20"/>
          <w:bdr w:val="none" w:sz="0" w:space="0" w:color="auto"/>
          <w:lang w:val="pt-BR"/>
        </w:rPr>
        <w:t xml:space="preserve"> O Promotor Público manifestou-se favorável à outorga da prisão preventiva</w:t>
      </w:r>
      <w:r w:rsidR="009D61A6" w:rsidRPr="00187186">
        <w:rPr>
          <w:rStyle w:val="FootnoteReference"/>
          <w:rFonts w:ascii="Cambria" w:eastAsia="Batang" w:hAnsi="Cambria"/>
          <w:sz w:val="20"/>
          <w:szCs w:val="20"/>
          <w:bdr w:val="none" w:sz="0" w:space="0" w:color="auto"/>
          <w:lang w:val="pt-BR"/>
        </w:rPr>
        <w:footnoteReference w:id="84"/>
      </w:r>
      <w:r w:rsidRPr="00187186">
        <w:rPr>
          <w:rFonts w:ascii="Cambria" w:eastAsia="Batang" w:hAnsi="Cambria"/>
          <w:sz w:val="20"/>
          <w:szCs w:val="20"/>
          <w:bdr w:val="none" w:sz="0" w:space="0" w:color="auto"/>
          <w:lang w:val="pt-BR"/>
        </w:rPr>
        <w:t>. Os advogados dos acusados impetraram um habeas corpus no Tribunal de Justiça do Estado do Pará solicitando a soltura dos dois</w:t>
      </w:r>
      <w:r w:rsidR="009D61A6" w:rsidRPr="00187186">
        <w:rPr>
          <w:rStyle w:val="FootnoteReference"/>
          <w:rFonts w:ascii="Cambria" w:eastAsia="Batang" w:hAnsi="Cambria"/>
          <w:sz w:val="20"/>
          <w:szCs w:val="20"/>
          <w:bdr w:val="none" w:sz="0" w:space="0" w:color="auto"/>
          <w:lang w:val="pt-BR"/>
        </w:rPr>
        <w:footnoteReference w:id="85"/>
      </w:r>
      <w:r w:rsidRPr="00187186">
        <w:rPr>
          <w:rFonts w:ascii="Cambria" w:eastAsia="Batang" w:hAnsi="Cambria"/>
          <w:sz w:val="20"/>
          <w:szCs w:val="20"/>
          <w:bdr w:val="none" w:sz="0" w:space="0" w:color="auto"/>
          <w:lang w:val="pt-BR"/>
        </w:rPr>
        <w:t>. Em 28 de julho de 1982, a Juíza Ruth do Couto Gurjão decretou a prisão preventiva de Manoel Cardoso Neto e de José Pereira da Nóbrega</w:t>
      </w:r>
      <w:r w:rsidR="009D61A6" w:rsidRPr="00187186">
        <w:rPr>
          <w:rStyle w:val="FootnoteReference"/>
          <w:rFonts w:ascii="Cambria" w:eastAsia="Batang" w:hAnsi="Cambria"/>
          <w:sz w:val="20"/>
          <w:szCs w:val="20"/>
          <w:bdr w:val="none" w:sz="0" w:space="0" w:color="auto"/>
          <w:lang w:val="pt-BR"/>
        </w:rPr>
        <w:footnoteReference w:id="86"/>
      </w:r>
      <w:r w:rsidRPr="00187186">
        <w:rPr>
          <w:rFonts w:ascii="Cambria" w:eastAsia="Batang" w:hAnsi="Cambria"/>
          <w:sz w:val="20"/>
          <w:szCs w:val="20"/>
          <w:bdr w:val="none" w:sz="0" w:space="0" w:color="auto"/>
          <w:lang w:val="pt-BR"/>
        </w:rPr>
        <w:t>. Três dias depois, em 31 de julho de 1982, antes do julgamento do habeas corpus impetrado em favor dos acusados, a mesma Juíza anulou o despacho e expediu um alvará de soltura</w:t>
      </w:r>
      <w:r w:rsidR="009D61A6" w:rsidRPr="00187186">
        <w:rPr>
          <w:rStyle w:val="FootnoteReference"/>
          <w:rFonts w:ascii="Cambria" w:eastAsia="Batang" w:hAnsi="Cambria"/>
          <w:sz w:val="20"/>
          <w:szCs w:val="20"/>
          <w:bdr w:val="none" w:sz="0" w:space="0" w:color="auto"/>
          <w:lang w:val="pt-BR"/>
        </w:rPr>
        <w:footnoteReference w:id="87"/>
      </w:r>
      <w:r w:rsidRPr="00187186">
        <w:rPr>
          <w:rFonts w:ascii="Cambria" w:eastAsia="Batang" w:hAnsi="Cambria"/>
          <w:sz w:val="20"/>
          <w:szCs w:val="20"/>
          <w:bdr w:val="none" w:sz="0" w:space="0" w:color="auto"/>
          <w:lang w:val="pt-BR"/>
        </w:rPr>
        <w:t xml:space="preserve"> em face do “surgimento de fatos novos”, sem especificar, contudo, quais seriam esses fatos. O então Secretário de Segurança Pública do Estado do Pará, Paulo Sette Câmara, disse em entrevista – publicada anos depois – que havia forte “pressão política” para que o acusado Manoel Cardoso Neto fosse solto</w:t>
      </w:r>
      <w:r w:rsidR="009D61A6" w:rsidRPr="00187186">
        <w:rPr>
          <w:rStyle w:val="FootnoteReference"/>
          <w:rFonts w:ascii="Cambria" w:eastAsia="Batang" w:hAnsi="Cambria"/>
          <w:sz w:val="20"/>
          <w:szCs w:val="20"/>
          <w:bdr w:val="none" w:sz="0" w:space="0" w:color="auto"/>
          <w:lang w:val="pt-BR"/>
        </w:rPr>
        <w:footnoteReference w:id="88"/>
      </w:r>
      <w:r w:rsidR="004F5E58" w:rsidRPr="00187186">
        <w:rPr>
          <w:rFonts w:ascii="Cambria" w:eastAsia="Batang" w:hAnsi="Cambria"/>
          <w:sz w:val="20"/>
          <w:szCs w:val="20"/>
          <w:bdr w:val="none" w:sz="0" w:space="0" w:color="auto"/>
          <w:lang w:val="pt-BR"/>
        </w:rPr>
        <w:t>.</w:t>
      </w:r>
    </w:p>
    <w:p w14:paraId="7CA74F4C" w14:textId="77777777" w:rsidR="00943553" w:rsidRPr="00187186" w:rsidRDefault="00943553" w:rsidP="001871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14:paraId="399A04C1" w14:textId="77777777" w:rsidR="00D939C0" w:rsidRPr="00187186" w:rsidRDefault="00943553"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pt-BR"/>
        </w:rPr>
      </w:pPr>
      <w:r w:rsidRPr="00187186">
        <w:rPr>
          <w:rFonts w:ascii="Cambria" w:eastAsia="Batang" w:hAnsi="Cambria"/>
          <w:sz w:val="20"/>
          <w:szCs w:val="20"/>
          <w:bdr w:val="none" w:sz="0" w:space="0" w:color="auto"/>
          <w:lang w:val="pt-BR"/>
        </w:rPr>
        <w:t>Em 6 de agosto de 1982, o Delegado que coordenava a investigação pediu novamente que fosse decretada com urgência a prisão preventiva dos suspeitos</w:t>
      </w:r>
      <w:r w:rsidR="009D61A6" w:rsidRPr="00187186">
        <w:rPr>
          <w:rStyle w:val="FootnoteReference"/>
          <w:rFonts w:ascii="Cambria" w:eastAsia="Batang" w:hAnsi="Cambria"/>
          <w:sz w:val="20"/>
          <w:szCs w:val="20"/>
          <w:bdr w:val="none" w:sz="0" w:space="0" w:color="auto"/>
          <w:lang w:val="pt-BR"/>
        </w:rPr>
        <w:footnoteReference w:id="89"/>
      </w:r>
      <w:r w:rsidRPr="00187186">
        <w:rPr>
          <w:rFonts w:ascii="Cambria" w:eastAsia="Batang" w:hAnsi="Cambria"/>
          <w:sz w:val="20"/>
          <w:szCs w:val="20"/>
          <w:bdr w:val="none" w:sz="0" w:space="0" w:color="auto"/>
          <w:lang w:val="pt-BR"/>
        </w:rPr>
        <w:t>, como meio de: proteger a integridade física das testemunhas do caso, principalmente de Luzia Batista da Silva (à época, uma adolescente); evitar que os réus destruíssem evidências do crime; prevenir a fuga dos réus</w:t>
      </w:r>
      <w:r w:rsidR="009D61A6" w:rsidRPr="00187186">
        <w:rPr>
          <w:rStyle w:val="FootnoteReference"/>
          <w:rFonts w:ascii="Cambria" w:eastAsia="Batang" w:hAnsi="Cambria"/>
          <w:sz w:val="20"/>
          <w:szCs w:val="20"/>
          <w:bdr w:val="none" w:sz="0" w:space="0" w:color="auto"/>
          <w:lang w:val="pt-BR"/>
        </w:rPr>
        <w:footnoteReference w:id="90"/>
      </w:r>
      <w:r w:rsidRPr="00187186">
        <w:rPr>
          <w:rFonts w:ascii="Cambria" w:eastAsia="Batang" w:hAnsi="Cambria"/>
          <w:sz w:val="20"/>
          <w:szCs w:val="20"/>
          <w:bdr w:val="none" w:sz="0" w:space="0" w:color="auto"/>
          <w:lang w:val="pt-BR"/>
        </w:rPr>
        <w:t>. A prisão preventiva solicitada, contudo, não voltou a ser decretada. Com os acusados já em liberdade, no dia 9 de agosto de 1982, o Tribunal de Justiça do Estado do Pará também emitiu um alvará de soltura em favor dos acusados, como resposta ao habeas corpus anteriormente impetrado por seus advogados</w:t>
      </w:r>
      <w:r w:rsidR="009D61A6" w:rsidRPr="00187186">
        <w:rPr>
          <w:rStyle w:val="FootnoteReference"/>
          <w:rFonts w:ascii="Cambria" w:eastAsia="Batang" w:hAnsi="Cambria"/>
          <w:sz w:val="20"/>
          <w:szCs w:val="20"/>
          <w:bdr w:val="none" w:sz="0" w:space="0" w:color="auto"/>
          <w:lang w:val="pt-BR"/>
        </w:rPr>
        <w:footnoteReference w:id="91"/>
      </w:r>
      <w:r w:rsidRPr="00187186">
        <w:rPr>
          <w:rFonts w:ascii="Cambria" w:eastAsia="Batang" w:hAnsi="Cambria"/>
          <w:sz w:val="20"/>
          <w:szCs w:val="20"/>
          <w:bdr w:val="none" w:sz="0" w:space="0" w:color="auto"/>
          <w:lang w:val="pt-BR"/>
        </w:rPr>
        <w:t>.</w:t>
      </w:r>
    </w:p>
    <w:p w14:paraId="64B53A8D" w14:textId="77777777" w:rsidR="00943553" w:rsidRPr="00187186" w:rsidRDefault="00943553" w:rsidP="00187186">
      <w:pPr>
        <w:pStyle w:val="ListParagraph"/>
        <w:ind w:left="0"/>
        <w:rPr>
          <w:rFonts w:eastAsia="Batang"/>
          <w:sz w:val="20"/>
          <w:szCs w:val="20"/>
          <w:bdr w:val="none" w:sz="0" w:space="0" w:color="auto"/>
          <w:lang w:val="pt-BR"/>
        </w:rPr>
      </w:pPr>
    </w:p>
    <w:p w14:paraId="17941648" w14:textId="10DCED26" w:rsidR="00943553" w:rsidRPr="00187186" w:rsidRDefault="00943553"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pt-BR"/>
        </w:rPr>
      </w:pPr>
      <w:r w:rsidRPr="00187186">
        <w:rPr>
          <w:rFonts w:ascii="Cambria" w:eastAsia="Batang" w:hAnsi="Cambria"/>
          <w:sz w:val="20"/>
          <w:szCs w:val="20"/>
          <w:bdr w:val="none" w:sz="0" w:space="0" w:color="auto"/>
          <w:lang w:val="pt-BR"/>
        </w:rPr>
        <w:lastRenderedPageBreak/>
        <w:t>Após a conclusão do inquérito, o Ministério Público solicitou, em 30 de dezembro de 1982, a reinquirição da testemunha ocular Luzia Batista da Silva</w:t>
      </w:r>
      <w:r w:rsidR="009D61A6" w:rsidRPr="00187186">
        <w:rPr>
          <w:rStyle w:val="FootnoteReference"/>
          <w:rFonts w:ascii="Cambria" w:eastAsia="Batang" w:hAnsi="Cambria"/>
          <w:sz w:val="20"/>
          <w:szCs w:val="20"/>
          <w:bdr w:val="none" w:sz="0" w:space="0" w:color="auto"/>
          <w:lang w:val="pt-BR"/>
        </w:rPr>
        <w:footnoteReference w:id="92"/>
      </w:r>
      <w:r w:rsidRPr="00187186">
        <w:rPr>
          <w:rFonts w:ascii="Cambria" w:eastAsia="Batang" w:hAnsi="Cambria"/>
          <w:sz w:val="20"/>
          <w:szCs w:val="20"/>
          <w:bdr w:val="none" w:sz="0" w:space="0" w:color="auto"/>
          <w:lang w:val="pt-BR"/>
        </w:rPr>
        <w:t>.</w:t>
      </w:r>
      <w:r w:rsidR="00DF02DD" w:rsidRPr="00187186">
        <w:rPr>
          <w:rFonts w:ascii="Cambria" w:eastAsia="Batang" w:hAnsi="Cambria"/>
          <w:sz w:val="20"/>
          <w:szCs w:val="20"/>
          <w:bdr w:val="none" w:sz="0" w:space="0" w:color="auto"/>
          <w:lang w:val="pt-BR"/>
        </w:rPr>
        <w:t xml:space="preserve"> </w:t>
      </w:r>
      <w:r w:rsidRPr="00187186">
        <w:rPr>
          <w:rFonts w:ascii="Cambria" w:eastAsia="Batang" w:hAnsi="Cambria"/>
          <w:sz w:val="20"/>
          <w:szCs w:val="20"/>
          <w:bdr w:val="none" w:sz="0" w:space="0" w:color="auto"/>
          <w:lang w:val="pt-BR"/>
        </w:rPr>
        <w:t>Passados três meses sem que tal diligência fosse cumprida, o Promotor voltou a solicitar a reinquirição da testemunha em 18 de abril de 1983, assim como a reinquirição de Antônio Vieira de Araújo, um dos suspeitos de ser o atirador no caso</w:t>
      </w:r>
      <w:r w:rsidR="009D61A6" w:rsidRPr="00187186">
        <w:rPr>
          <w:rStyle w:val="FootnoteReference"/>
          <w:rFonts w:ascii="Cambria" w:eastAsia="Batang" w:hAnsi="Cambria"/>
          <w:sz w:val="20"/>
          <w:szCs w:val="20"/>
          <w:bdr w:val="none" w:sz="0" w:space="0" w:color="auto"/>
          <w:lang w:val="pt-BR"/>
        </w:rPr>
        <w:footnoteReference w:id="93"/>
      </w:r>
      <w:r w:rsidRPr="00187186">
        <w:rPr>
          <w:rFonts w:ascii="Cambria" w:eastAsia="Batang" w:hAnsi="Cambria"/>
          <w:sz w:val="20"/>
          <w:szCs w:val="20"/>
          <w:bdr w:val="none" w:sz="0" w:space="0" w:color="auto"/>
          <w:lang w:val="pt-BR"/>
        </w:rPr>
        <w:t>. Porém, apenas em 13 de julho de 1983 foi realizada a reinquirição da testemunha Luzia</w:t>
      </w:r>
      <w:r w:rsidR="009D61A6" w:rsidRPr="00187186">
        <w:rPr>
          <w:rStyle w:val="FootnoteReference"/>
          <w:rFonts w:ascii="Cambria" w:eastAsia="Batang" w:hAnsi="Cambria"/>
          <w:sz w:val="20"/>
          <w:szCs w:val="20"/>
          <w:bdr w:val="none" w:sz="0" w:space="0" w:color="auto"/>
          <w:lang w:val="pt-BR"/>
        </w:rPr>
        <w:footnoteReference w:id="94"/>
      </w:r>
      <w:r w:rsidRPr="00187186">
        <w:rPr>
          <w:rFonts w:ascii="Cambria" w:eastAsia="Batang" w:hAnsi="Cambria"/>
          <w:sz w:val="20"/>
          <w:szCs w:val="20"/>
          <w:bdr w:val="none" w:sz="0" w:space="0" w:color="auto"/>
          <w:lang w:val="pt-BR"/>
        </w:rPr>
        <w:t>. Por sua vez, Antônio Vieira de Araújo não pôde ser localizado, pois havia fugido da cadeia pública onde se encontrava</w:t>
      </w:r>
      <w:r w:rsidR="009D61A6" w:rsidRPr="00187186">
        <w:rPr>
          <w:rStyle w:val="FootnoteReference"/>
          <w:rFonts w:ascii="Cambria" w:eastAsia="Batang" w:hAnsi="Cambria"/>
          <w:sz w:val="20"/>
          <w:szCs w:val="20"/>
          <w:bdr w:val="none" w:sz="0" w:space="0" w:color="auto"/>
          <w:lang w:val="pt-BR"/>
        </w:rPr>
        <w:footnoteReference w:id="95"/>
      </w:r>
      <w:r w:rsidRPr="00187186">
        <w:rPr>
          <w:rFonts w:ascii="Cambria" w:eastAsia="Batang" w:hAnsi="Cambria"/>
          <w:sz w:val="20"/>
          <w:szCs w:val="20"/>
          <w:bdr w:val="none" w:sz="0" w:space="0" w:color="auto"/>
          <w:lang w:val="pt-BR"/>
        </w:rPr>
        <w:t>.</w:t>
      </w:r>
    </w:p>
    <w:p w14:paraId="27278094" w14:textId="77777777" w:rsidR="00943553" w:rsidRPr="00187186" w:rsidRDefault="00943553" w:rsidP="00187186">
      <w:pPr>
        <w:rPr>
          <w:rFonts w:ascii="Cambria" w:eastAsia="Batang" w:hAnsi="Cambria"/>
          <w:sz w:val="20"/>
          <w:szCs w:val="20"/>
          <w:bdr w:val="none" w:sz="0" w:space="0" w:color="auto"/>
          <w:lang w:val="pt-BR"/>
        </w:rPr>
      </w:pPr>
    </w:p>
    <w:p w14:paraId="317C7EFD" w14:textId="77777777" w:rsidR="005D2A78" w:rsidRPr="00187186" w:rsidRDefault="005D2A78" w:rsidP="00187186">
      <w:pPr>
        <w:pStyle w:val="Heading3"/>
      </w:pPr>
      <w:bookmarkStart w:id="41" w:name="_Toc7618508"/>
      <w:bookmarkStart w:id="42" w:name="_Toc16677786"/>
      <w:bookmarkStart w:id="43" w:name="_Toc16677873"/>
      <w:r w:rsidRPr="00187186">
        <w:t>O processo criminal e seus desdobramentos</w:t>
      </w:r>
      <w:bookmarkEnd w:id="41"/>
      <w:bookmarkEnd w:id="42"/>
      <w:bookmarkEnd w:id="43"/>
    </w:p>
    <w:p w14:paraId="102085DB" w14:textId="77777777" w:rsidR="005D2A78" w:rsidRPr="00187186" w:rsidRDefault="005D2A78" w:rsidP="00187186">
      <w:pPr>
        <w:pBdr>
          <w:top w:val="none" w:sz="0" w:space="0" w:color="auto"/>
          <w:left w:val="none" w:sz="0" w:space="0" w:color="auto"/>
          <w:bottom w:val="none" w:sz="0" w:space="0" w:color="auto"/>
          <w:right w:val="none" w:sz="0" w:space="0" w:color="auto"/>
          <w:between w:val="none" w:sz="0" w:space="0" w:color="auto"/>
          <w:bar w:val="none" w:sz="0" w:color="auto"/>
        </w:pBdr>
        <w:ind w:left="180"/>
        <w:jc w:val="both"/>
        <w:rPr>
          <w:rFonts w:ascii="Cambria" w:eastAsia="Batang" w:hAnsi="Cambria"/>
          <w:sz w:val="20"/>
          <w:szCs w:val="20"/>
          <w:bdr w:val="none" w:sz="0" w:space="0" w:color="auto"/>
          <w:lang w:val="pt-BR"/>
        </w:rPr>
      </w:pPr>
    </w:p>
    <w:p w14:paraId="4ABBE325" w14:textId="0682942A" w:rsidR="00D939C0" w:rsidRPr="00187186" w:rsidRDefault="00943553"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pt-BR"/>
        </w:rPr>
      </w:pPr>
      <w:r w:rsidRPr="00187186">
        <w:rPr>
          <w:rFonts w:ascii="Cambria" w:eastAsia="Batang" w:hAnsi="Cambria"/>
          <w:sz w:val="20"/>
          <w:szCs w:val="20"/>
          <w:bdr w:val="none" w:sz="0" w:space="0" w:color="auto"/>
          <w:lang w:val="pt-BR"/>
        </w:rPr>
        <w:t>Em 19 de agosto de 1983, após um ano e um mês do assassinato de Gabriel Sales Pimenta e da conclusão do inquérito policial, o Ministério Público ofereceu a denúncia criminal em face de Manoel Cardoso Neto, José Pereira da Nóbrega e Crescêncio Oliveira de Sousa como autores do crime de homicídio qualificado, previsto no artigo 121, § 2º, IV do Código Penal Brasileiro</w:t>
      </w:r>
      <w:r w:rsidR="009D61A6" w:rsidRPr="00187186">
        <w:rPr>
          <w:rStyle w:val="FootnoteReference"/>
          <w:rFonts w:ascii="Cambria" w:eastAsia="Batang" w:hAnsi="Cambria"/>
          <w:sz w:val="20"/>
          <w:szCs w:val="20"/>
          <w:bdr w:val="none" w:sz="0" w:space="0" w:color="auto"/>
          <w:lang w:val="pt-BR"/>
        </w:rPr>
        <w:footnoteReference w:id="96"/>
      </w:r>
      <w:r w:rsidRPr="00187186">
        <w:rPr>
          <w:rFonts w:ascii="Cambria" w:eastAsia="Batang" w:hAnsi="Cambria"/>
          <w:sz w:val="20"/>
          <w:szCs w:val="20"/>
          <w:bdr w:val="none" w:sz="0" w:space="0" w:color="auto"/>
          <w:lang w:val="pt-BR"/>
        </w:rPr>
        <w:t>. A denúncia foi recebida na Vara Criminal de Marabá em 23 de agosto de 1983</w:t>
      </w:r>
      <w:r w:rsidR="009D61A6" w:rsidRPr="00187186">
        <w:rPr>
          <w:rStyle w:val="FootnoteReference"/>
          <w:rFonts w:ascii="Cambria" w:eastAsia="Batang" w:hAnsi="Cambria"/>
          <w:sz w:val="20"/>
          <w:szCs w:val="20"/>
          <w:bdr w:val="none" w:sz="0" w:space="0" w:color="auto"/>
          <w:lang w:val="pt-BR"/>
        </w:rPr>
        <w:footnoteReference w:id="97"/>
      </w:r>
      <w:r w:rsidRPr="00187186">
        <w:rPr>
          <w:rFonts w:ascii="Cambria" w:eastAsia="Batang" w:hAnsi="Cambria"/>
          <w:sz w:val="20"/>
          <w:szCs w:val="20"/>
          <w:bdr w:val="none" w:sz="0" w:space="0" w:color="auto"/>
          <w:lang w:val="pt-BR"/>
        </w:rPr>
        <w:t>.</w:t>
      </w:r>
    </w:p>
    <w:p w14:paraId="2505F250" w14:textId="77777777" w:rsidR="00943553" w:rsidRPr="00187186" w:rsidRDefault="00943553" w:rsidP="001871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14:paraId="702DA1CE" w14:textId="77777777" w:rsidR="00385D23" w:rsidRPr="00187186" w:rsidRDefault="00943553"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pt-BR"/>
        </w:rPr>
      </w:pPr>
      <w:r w:rsidRPr="00187186">
        <w:rPr>
          <w:rFonts w:ascii="Cambria" w:eastAsia="Batang" w:hAnsi="Cambria"/>
          <w:sz w:val="20"/>
          <w:szCs w:val="20"/>
          <w:bdr w:val="none" w:sz="0" w:space="0" w:color="auto"/>
          <w:lang w:val="pt-BR"/>
        </w:rPr>
        <w:t>Após o recebimento da denúncia, foi designado o dia 27 de dezembro de 1983 para a audiência de interrogatório dos acusados</w:t>
      </w:r>
      <w:r w:rsidR="009D61A6" w:rsidRPr="00187186">
        <w:rPr>
          <w:rStyle w:val="FootnoteReference"/>
          <w:rFonts w:ascii="Cambria" w:eastAsia="Batang" w:hAnsi="Cambria"/>
          <w:sz w:val="20"/>
          <w:szCs w:val="20"/>
          <w:bdr w:val="none" w:sz="0" w:space="0" w:color="auto"/>
          <w:lang w:val="pt-BR"/>
        </w:rPr>
        <w:footnoteReference w:id="98"/>
      </w:r>
      <w:r w:rsidRPr="00187186">
        <w:rPr>
          <w:rFonts w:ascii="Cambria" w:eastAsia="Batang" w:hAnsi="Cambria"/>
          <w:sz w:val="20"/>
          <w:szCs w:val="20"/>
          <w:bdr w:val="none" w:sz="0" w:space="0" w:color="auto"/>
          <w:lang w:val="pt-BR"/>
        </w:rPr>
        <w:t>, que não se realizou em razão de Manoel Cardoso Neto e Crescêncio Oliveira da Sousa não terem sido encontrados</w:t>
      </w:r>
      <w:r w:rsidR="009D61A6" w:rsidRPr="00187186">
        <w:rPr>
          <w:rStyle w:val="FootnoteReference"/>
          <w:rFonts w:ascii="Cambria" w:eastAsia="Batang" w:hAnsi="Cambria"/>
          <w:sz w:val="20"/>
          <w:szCs w:val="20"/>
          <w:bdr w:val="none" w:sz="0" w:space="0" w:color="auto"/>
          <w:lang w:val="pt-BR"/>
        </w:rPr>
        <w:footnoteReference w:id="99"/>
      </w:r>
      <w:r w:rsidRPr="00187186">
        <w:rPr>
          <w:rFonts w:ascii="Cambria" w:eastAsia="Batang" w:hAnsi="Cambria"/>
          <w:sz w:val="20"/>
          <w:szCs w:val="20"/>
          <w:bdr w:val="none" w:sz="0" w:space="0" w:color="auto"/>
          <w:lang w:val="pt-BR"/>
        </w:rPr>
        <w:t>. O réu José Pereira da Nóbrega foi devidamente intimado</w:t>
      </w:r>
      <w:r w:rsidR="007B273B" w:rsidRPr="00187186">
        <w:rPr>
          <w:rFonts w:ascii="Cambria" w:eastAsia="Batang" w:hAnsi="Cambria"/>
          <w:sz w:val="20"/>
          <w:szCs w:val="20"/>
          <w:bdr w:val="none" w:sz="0" w:space="0" w:color="auto"/>
          <w:lang w:val="pt-BR"/>
        </w:rPr>
        <w:t xml:space="preserve"> e</w:t>
      </w:r>
      <w:r w:rsidRPr="00187186">
        <w:rPr>
          <w:rFonts w:ascii="Cambria" w:eastAsia="Batang" w:hAnsi="Cambria"/>
          <w:sz w:val="20"/>
          <w:szCs w:val="20"/>
          <w:bdr w:val="none" w:sz="0" w:space="0" w:color="auto"/>
          <w:lang w:val="pt-BR"/>
        </w:rPr>
        <w:t xml:space="preserve"> juíza responsável pelo caso designou uma nova audiência de interrogatório para o dia 27 de abril de 1984</w:t>
      </w:r>
      <w:r w:rsidR="009D61A6" w:rsidRPr="00187186">
        <w:rPr>
          <w:rStyle w:val="FootnoteReference"/>
          <w:rFonts w:ascii="Cambria" w:eastAsia="Batang" w:hAnsi="Cambria"/>
          <w:sz w:val="20"/>
          <w:szCs w:val="20"/>
          <w:bdr w:val="none" w:sz="0" w:space="0" w:color="auto"/>
          <w:lang w:val="pt-BR"/>
        </w:rPr>
        <w:footnoteReference w:id="100"/>
      </w:r>
      <w:r w:rsidRPr="00187186">
        <w:rPr>
          <w:rFonts w:ascii="Cambria" w:eastAsia="Batang" w:hAnsi="Cambria"/>
          <w:sz w:val="20"/>
          <w:szCs w:val="20"/>
          <w:bdr w:val="none" w:sz="0" w:space="0" w:color="auto"/>
          <w:lang w:val="pt-BR"/>
        </w:rPr>
        <w:t xml:space="preserve">. </w:t>
      </w:r>
      <w:r w:rsidR="007B273B" w:rsidRPr="00187186">
        <w:rPr>
          <w:rFonts w:ascii="Cambria" w:eastAsia="Batang" w:hAnsi="Cambria"/>
          <w:sz w:val="20"/>
          <w:szCs w:val="20"/>
          <w:bdr w:val="none" w:sz="0" w:space="0" w:color="auto"/>
          <w:lang w:val="pt-BR"/>
        </w:rPr>
        <w:t xml:space="preserve">Dos três acusados, apenas </w:t>
      </w:r>
      <w:r w:rsidRPr="00187186">
        <w:rPr>
          <w:rFonts w:ascii="Cambria" w:eastAsia="Batang" w:hAnsi="Cambria"/>
          <w:sz w:val="20"/>
          <w:szCs w:val="20"/>
          <w:bdr w:val="none" w:sz="0" w:space="0" w:color="auto"/>
          <w:lang w:val="pt-BR"/>
        </w:rPr>
        <w:t>José Pereira da Nóbrega compareceu</w:t>
      </w:r>
      <w:r w:rsidR="009D61A6" w:rsidRPr="00187186">
        <w:rPr>
          <w:rStyle w:val="FootnoteReference"/>
          <w:rFonts w:ascii="Cambria" w:eastAsia="Batang" w:hAnsi="Cambria"/>
          <w:sz w:val="20"/>
          <w:szCs w:val="20"/>
          <w:bdr w:val="none" w:sz="0" w:space="0" w:color="auto"/>
          <w:lang w:val="pt-BR"/>
        </w:rPr>
        <w:footnoteReference w:id="101"/>
      </w:r>
      <w:r w:rsidR="007B273B" w:rsidRPr="00187186">
        <w:rPr>
          <w:rFonts w:ascii="Cambria" w:eastAsia="Batang" w:hAnsi="Cambria"/>
          <w:sz w:val="20"/>
          <w:szCs w:val="20"/>
          <w:bdr w:val="none" w:sz="0" w:space="0" w:color="auto"/>
          <w:lang w:val="pt-BR"/>
        </w:rPr>
        <w:t>. Apesar disso, a</w:t>
      </w:r>
      <w:r w:rsidRPr="00187186">
        <w:rPr>
          <w:rFonts w:ascii="Cambria" w:eastAsia="Batang" w:hAnsi="Cambria"/>
          <w:sz w:val="20"/>
          <w:szCs w:val="20"/>
          <w:bdr w:val="none" w:sz="0" w:space="0" w:color="auto"/>
          <w:lang w:val="pt-BR"/>
        </w:rPr>
        <w:t xml:space="preserve"> juíza Ruth do Couto Gurjão não decretou sua prisão preventiva. Somente em 20 de junho de 1984, e após a designação de um novo Juiz para presidir o caso, o Juiz Eronides Sousa Primo, é que a prisão preventiva dos acusados foi finalmente decretada</w:t>
      </w:r>
      <w:r w:rsidR="009D61A6" w:rsidRPr="00187186">
        <w:rPr>
          <w:rStyle w:val="FootnoteReference"/>
          <w:rFonts w:ascii="Cambria" w:eastAsia="Batang" w:hAnsi="Cambria"/>
          <w:sz w:val="20"/>
          <w:szCs w:val="20"/>
          <w:bdr w:val="none" w:sz="0" w:space="0" w:color="auto"/>
          <w:lang w:val="pt-BR"/>
        </w:rPr>
        <w:footnoteReference w:id="102"/>
      </w:r>
      <w:r w:rsidRPr="00187186">
        <w:rPr>
          <w:rFonts w:ascii="Cambria" w:eastAsia="Batang" w:hAnsi="Cambria"/>
          <w:sz w:val="20"/>
          <w:szCs w:val="20"/>
          <w:bdr w:val="none" w:sz="0" w:space="0" w:color="auto"/>
          <w:lang w:val="pt-BR"/>
        </w:rPr>
        <w:t>. Em 4 de julho de 1984, Crescêncio Oliveira de Sousa se apresentou às autoridades judiciais</w:t>
      </w:r>
      <w:r w:rsidR="007B273B" w:rsidRPr="00187186">
        <w:rPr>
          <w:rFonts w:ascii="Cambria" w:eastAsia="Batang" w:hAnsi="Cambria"/>
          <w:sz w:val="20"/>
          <w:szCs w:val="20"/>
          <w:bdr w:val="none" w:sz="0" w:space="0" w:color="auto"/>
          <w:lang w:val="pt-BR"/>
        </w:rPr>
        <w:t>,</w:t>
      </w:r>
      <w:r w:rsidRPr="00187186">
        <w:rPr>
          <w:rFonts w:ascii="Cambria" w:eastAsia="Batang" w:hAnsi="Cambria"/>
          <w:sz w:val="20"/>
          <w:szCs w:val="20"/>
          <w:bdr w:val="none" w:sz="0" w:space="0" w:color="auto"/>
          <w:lang w:val="pt-BR"/>
        </w:rPr>
        <w:t xml:space="preserve"> foi interrogado</w:t>
      </w:r>
      <w:r w:rsidR="009D61A6" w:rsidRPr="00187186">
        <w:rPr>
          <w:rStyle w:val="FootnoteReference"/>
          <w:rFonts w:ascii="Cambria" w:eastAsia="Batang" w:hAnsi="Cambria"/>
          <w:sz w:val="20"/>
          <w:szCs w:val="20"/>
          <w:bdr w:val="none" w:sz="0" w:space="0" w:color="auto"/>
          <w:lang w:val="pt-BR"/>
        </w:rPr>
        <w:footnoteReference w:id="103"/>
      </w:r>
      <w:r w:rsidR="007B273B" w:rsidRPr="00187186">
        <w:rPr>
          <w:rFonts w:ascii="Cambria" w:eastAsia="Batang" w:hAnsi="Cambria"/>
          <w:sz w:val="20"/>
          <w:szCs w:val="20"/>
          <w:bdr w:val="none" w:sz="0" w:space="0" w:color="auto"/>
          <w:lang w:val="pt-BR"/>
        </w:rPr>
        <w:t xml:space="preserve"> e </w:t>
      </w:r>
      <w:r w:rsidRPr="00187186">
        <w:rPr>
          <w:rFonts w:ascii="Cambria" w:eastAsia="Batang" w:hAnsi="Cambria"/>
          <w:sz w:val="20"/>
          <w:szCs w:val="20"/>
          <w:bdr w:val="none" w:sz="0" w:space="0" w:color="auto"/>
          <w:lang w:val="pt-BR"/>
        </w:rPr>
        <w:t>negou envolvimento no assassinato, afirmando que morava em Rondon do Pará e que, ao se apresentar em juízo, demonstrava disponibilidade perante a Justiça, não tendo intenção de fugir. Assim, seu Mandado de Prisão foi revogado</w:t>
      </w:r>
      <w:r w:rsidR="009D61A6" w:rsidRPr="00187186">
        <w:rPr>
          <w:rStyle w:val="FootnoteReference"/>
          <w:rFonts w:ascii="Cambria" w:eastAsia="Batang" w:hAnsi="Cambria"/>
          <w:sz w:val="20"/>
          <w:szCs w:val="20"/>
          <w:bdr w:val="none" w:sz="0" w:space="0" w:color="auto"/>
          <w:lang w:val="pt-BR"/>
        </w:rPr>
        <w:footnoteReference w:id="104"/>
      </w:r>
      <w:r w:rsidRPr="00187186">
        <w:rPr>
          <w:rFonts w:ascii="Cambria" w:eastAsia="Batang" w:hAnsi="Cambria"/>
          <w:sz w:val="20"/>
          <w:szCs w:val="20"/>
          <w:bdr w:val="none" w:sz="0" w:space="0" w:color="auto"/>
          <w:lang w:val="pt-BR"/>
        </w:rPr>
        <w:t>.</w:t>
      </w:r>
      <w:r w:rsidR="007B273B" w:rsidRPr="00187186">
        <w:rPr>
          <w:rFonts w:ascii="Cambria" w:eastAsia="Batang" w:hAnsi="Cambria"/>
          <w:sz w:val="20"/>
          <w:szCs w:val="20"/>
          <w:bdr w:val="none" w:sz="0" w:space="0" w:color="auto"/>
          <w:lang w:val="pt-BR"/>
        </w:rPr>
        <w:t xml:space="preserve"> </w:t>
      </w:r>
    </w:p>
    <w:p w14:paraId="21A54543" w14:textId="77777777" w:rsidR="00385D23" w:rsidRPr="00187186" w:rsidRDefault="00385D23" w:rsidP="00187186">
      <w:pPr>
        <w:pStyle w:val="ListParagraph"/>
        <w:ind w:left="0"/>
        <w:rPr>
          <w:rFonts w:eastAsia="Batang"/>
          <w:sz w:val="20"/>
          <w:szCs w:val="20"/>
          <w:bdr w:val="none" w:sz="0" w:space="0" w:color="auto"/>
          <w:lang w:val="pt-BR"/>
        </w:rPr>
      </w:pPr>
    </w:p>
    <w:p w14:paraId="5C5EE4B1" w14:textId="21C56E37" w:rsidR="00943553" w:rsidRPr="00187186" w:rsidRDefault="00943553"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pt-BR"/>
        </w:rPr>
      </w:pPr>
      <w:r w:rsidRPr="00187186">
        <w:rPr>
          <w:rFonts w:ascii="Cambria" w:eastAsia="Batang" w:hAnsi="Cambria"/>
          <w:sz w:val="20"/>
          <w:szCs w:val="20"/>
          <w:bdr w:val="none" w:sz="0" w:space="0" w:color="auto"/>
          <w:lang w:val="pt-BR"/>
        </w:rPr>
        <w:t>Foram designadas seis audiências sucessivas nas quais o réu Manoel Cardoso Neto deixou de comparecer</w:t>
      </w:r>
      <w:r w:rsidR="009D61A6" w:rsidRPr="00187186">
        <w:rPr>
          <w:rStyle w:val="FootnoteReference"/>
          <w:rFonts w:ascii="Cambria" w:eastAsia="Batang" w:hAnsi="Cambria"/>
          <w:sz w:val="20"/>
          <w:szCs w:val="20"/>
          <w:bdr w:val="none" w:sz="0" w:space="0" w:color="auto"/>
          <w:lang w:val="pt-BR"/>
        </w:rPr>
        <w:footnoteReference w:id="105"/>
      </w:r>
      <w:r w:rsidR="007B273B" w:rsidRPr="00187186">
        <w:rPr>
          <w:rFonts w:ascii="Cambria" w:eastAsia="Batang" w:hAnsi="Cambria"/>
          <w:sz w:val="20"/>
          <w:szCs w:val="20"/>
          <w:bdr w:val="none" w:sz="0" w:space="0" w:color="auto"/>
          <w:lang w:val="pt-BR"/>
        </w:rPr>
        <w:t>.</w:t>
      </w:r>
      <w:r w:rsidRPr="00187186">
        <w:rPr>
          <w:rFonts w:ascii="Cambria" w:eastAsia="Batang" w:hAnsi="Cambria"/>
          <w:sz w:val="20"/>
          <w:szCs w:val="20"/>
          <w:bdr w:val="none" w:sz="0" w:space="0" w:color="auto"/>
          <w:lang w:val="pt-BR"/>
        </w:rPr>
        <w:t xml:space="preserve"> </w:t>
      </w:r>
      <w:r w:rsidR="007B273B" w:rsidRPr="00187186">
        <w:rPr>
          <w:rFonts w:ascii="Cambria" w:eastAsia="Batang" w:hAnsi="Cambria"/>
          <w:sz w:val="20"/>
          <w:szCs w:val="20"/>
          <w:bdr w:val="none" w:sz="0" w:space="0" w:color="auto"/>
          <w:lang w:val="pt-BR"/>
        </w:rPr>
        <w:t xml:space="preserve">Não foram encontrados </w:t>
      </w:r>
      <w:r w:rsidRPr="00187186">
        <w:rPr>
          <w:rFonts w:ascii="Cambria" w:eastAsia="Batang" w:hAnsi="Cambria"/>
          <w:sz w:val="20"/>
          <w:szCs w:val="20"/>
          <w:bdr w:val="none" w:sz="0" w:space="0" w:color="auto"/>
          <w:lang w:val="pt-BR"/>
        </w:rPr>
        <w:t>registro</w:t>
      </w:r>
      <w:r w:rsidR="007B273B" w:rsidRPr="00187186">
        <w:rPr>
          <w:rFonts w:ascii="Cambria" w:eastAsia="Batang" w:hAnsi="Cambria"/>
          <w:sz w:val="20"/>
          <w:szCs w:val="20"/>
          <w:bdr w:val="none" w:sz="0" w:space="0" w:color="auto"/>
          <w:lang w:val="pt-BR"/>
        </w:rPr>
        <w:t>s</w:t>
      </w:r>
      <w:r w:rsidRPr="00187186">
        <w:rPr>
          <w:rFonts w:ascii="Cambria" w:eastAsia="Batang" w:hAnsi="Cambria"/>
          <w:sz w:val="20"/>
          <w:szCs w:val="20"/>
          <w:bdr w:val="none" w:sz="0" w:space="0" w:color="auto"/>
          <w:lang w:val="pt-BR"/>
        </w:rPr>
        <w:t xml:space="preserve"> </w:t>
      </w:r>
      <w:r w:rsidR="007B273B" w:rsidRPr="00187186">
        <w:rPr>
          <w:rFonts w:ascii="Cambria" w:eastAsia="Batang" w:hAnsi="Cambria"/>
          <w:sz w:val="20"/>
          <w:szCs w:val="20"/>
          <w:bdr w:val="none" w:sz="0" w:space="0" w:color="auto"/>
          <w:lang w:val="pt-BR"/>
        </w:rPr>
        <w:t>de</w:t>
      </w:r>
      <w:r w:rsidRPr="00187186">
        <w:rPr>
          <w:rFonts w:ascii="Cambria" w:eastAsia="Batang" w:hAnsi="Cambria"/>
          <w:sz w:val="20"/>
          <w:szCs w:val="20"/>
          <w:bdr w:val="none" w:sz="0" w:space="0" w:color="auto"/>
          <w:lang w:val="pt-BR"/>
        </w:rPr>
        <w:t xml:space="preserve"> diligências empreendidas para efetivar sua captura. Durante </w:t>
      </w:r>
      <w:r w:rsidR="007B273B" w:rsidRPr="00187186">
        <w:rPr>
          <w:rFonts w:ascii="Cambria" w:eastAsia="Batang" w:hAnsi="Cambria"/>
          <w:sz w:val="20"/>
          <w:szCs w:val="20"/>
          <w:bdr w:val="none" w:sz="0" w:space="0" w:color="auto"/>
          <w:lang w:val="pt-BR"/>
        </w:rPr>
        <w:t>o</w:t>
      </w:r>
      <w:r w:rsidRPr="00187186">
        <w:rPr>
          <w:rFonts w:ascii="Cambria" w:eastAsia="Batang" w:hAnsi="Cambria"/>
          <w:sz w:val="20"/>
          <w:szCs w:val="20"/>
          <w:bdr w:val="none" w:sz="0" w:space="0" w:color="auto"/>
          <w:lang w:val="pt-BR"/>
        </w:rPr>
        <w:t xml:space="preserve"> período, dois escrivães foram afastados por suspeição: um porque sua filha se casou com José Pereira </w:t>
      </w:r>
      <w:r w:rsidRPr="00187186">
        <w:rPr>
          <w:rFonts w:ascii="Cambria" w:eastAsia="Batang" w:hAnsi="Cambria"/>
          <w:sz w:val="20"/>
          <w:szCs w:val="20"/>
          <w:bdr w:val="none" w:sz="0" w:space="0" w:color="auto"/>
          <w:lang w:val="pt-BR"/>
        </w:rPr>
        <w:lastRenderedPageBreak/>
        <w:t>da Nóbrega</w:t>
      </w:r>
      <w:r w:rsidR="009D61A6" w:rsidRPr="00187186">
        <w:rPr>
          <w:rStyle w:val="FootnoteReference"/>
          <w:rFonts w:ascii="Cambria" w:eastAsia="Batang" w:hAnsi="Cambria"/>
          <w:sz w:val="20"/>
          <w:szCs w:val="20"/>
          <w:bdr w:val="none" w:sz="0" w:space="0" w:color="auto"/>
          <w:lang w:val="pt-BR"/>
        </w:rPr>
        <w:footnoteReference w:id="106"/>
      </w:r>
      <w:r w:rsidRPr="00187186">
        <w:rPr>
          <w:rFonts w:ascii="Cambria" w:eastAsia="Batang" w:hAnsi="Cambria"/>
          <w:sz w:val="20"/>
          <w:szCs w:val="20"/>
          <w:bdr w:val="none" w:sz="0" w:space="0" w:color="auto"/>
          <w:lang w:val="pt-BR"/>
        </w:rPr>
        <w:t>, outro porque era tio da esposa de José Pereira da Nóbrega</w:t>
      </w:r>
      <w:r w:rsidR="009D61A6" w:rsidRPr="00187186">
        <w:rPr>
          <w:rStyle w:val="FootnoteReference"/>
          <w:rFonts w:ascii="Cambria" w:eastAsia="Batang" w:hAnsi="Cambria"/>
          <w:sz w:val="20"/>
          <w:szCs w:val="20"/>
          <w:bdr w:val="none" w:sz="0" w:space="0" w:color="auto"/>
          <w:lang w:val="pt-BR"/>
        </w:rPr>
        <w:footnoteReference w:id="107"/>
      </w:r>
      <w:r w:rsidRPr="00187186">
        <w:rPr>
          <w:rFonts w:ascii="Cambria" w:eastAsia="Batang" w:hAnsi="Cambria"/>
          <w:sz w:val="20"/>
          <w:szCs w:val="20"/>
          <w:bdr w:val="none" w:sz="0" w:space="0" w:color="auto"/>
          <w:lang w:val="pt-BR"/>
        </w:rPr>
        <w:t>. Além disso, um terceiro escrivão foi afastado do quadro de funcionários sem maiores explicações</w:t>
      </w:r>
      <w:r w:rsidR="009D61A6" w:rsidRPr="00187186">
        <w:rPr>
          <w:rStyle w:val="FootnoteReference"/>
          <w:rFonts w:ascii="Cambria" w:eastAsia="Batang" w:hAnsi="Cambria"/>
          <w:sz w:val="20"/>
          <w:szCs w:val="20"/>
          <w:bdr w:val="none" w:sz="0" w:space="0" w:color="auto"/>
          <w:lang w:val="pt-BR"/>
        </w:rPr>
        <w:footnoteReference w:id="108"/>
      </w:r>
      <w:r w:rsidRPr="00187186">
        <w:rPr>
          <w:rFonts w:ascii="Cambria" w:eastAsia="Batang" w:hAnsi="Cambria"/>
          <w:sz w:val="20"/>
          <w:szCs w:val="20"/>
          <w:bdr w:val="none" w:sz="0" w:space="0" w:color="auto"/>
          <w:lang w:val="pt-BR"/>
        </w:rPr>
        <w:t>. Também foi alegada a suspeição de dois tabeliães do cartório: um por ser tio de esposa de José Pereira da Nóbrega, e outra por ser prima da mesma</w:t>
      </w:r>
      <w:r w:rsidR="009D61A6" w:rsidRPr="00187186">
        <w:rPr>
          <w:rStyle w:val="FootnoteReference"/>
          <w:rFonts w:ascii="Cambria" w:eastAsia="Batang" w:hAnsi="Cambria"/>
          <w:sz w:val="20"/>
          <w:szCs w:val="20"/>
          <w:bdr w:val="none" w:sz="0" w:space="0" w:color="auto"/>
          <w:lang w:val="pt-BR"/>
        </w:rPr>
        <w:footnoteReference w:id="109"/>
      </w:r>
      <w:r w:rsidRPr="00187186">
        <w:rPr>
          <w:rFonts w:ascii="Cambria" w:eastAsia="Batang" w:hAnsi="Cambria"/>
          <w:sz w:val="20"/>
          <w:szCs w:val="20"/>
          <w:bdr w:val="none" w:sz="0" w:space="0" w:color="auto"/>
          <w:lang w:val="pt-BR"/>
        </w:rPr>
        <w:t>.</w:t>
      </w:r>
      <w:r w:rsidR="007B273B" w:rsidRPr="00187186">
        <w:rPr>
          <w:rFonts w:ascii="Cambria" w:eastAsia="Batang" w:hAnsi="Cambria"/>
          <w:sz w:val="20"/>
          <w:szCs w:val="20"/>
          <w:bdr w:val="none" w:sz="0" w:space="0" w:color="auto"/>
          <w:lang w:val="pt-BR"/>
        </w:rPr>
        <w:t xml:space="preserve"> E</w:t>
      </w:r>
      <w:r w:rsidRPr="00187186">
        <w:rPr>
          <w:rFonts w:ascii="Cambria" w:eastAsia="Batang" w:hAnsi="Cambria"/>
          <w:sz w:val="20"/>
          <w:szCs w:val="20"/>
          <w:bdr w:val="none" w:sz="0" w:space="0" w:color="auto"/>
          <w:lang w:val="pt-BR"/>
        </w:rPr>
        <w:t>m 19 de novembro de 1987 o advogado de Manoel Cardoso Neto apresentou um requerimento solicitando a revogação da prisão preventiva do acusado, alegando que ele não havia aparecido em juízo espontaneamente por medo de ser preso</w:t>
      </w:r>
      <w:r w:rsidR="007B273B" w:rsidRPr="00187186">
        <w:rPr>
          <w:rFonts w:ascii="Cambria" w:eastAsia="Batang" w:hAnsi="Cambria"/>
          <w:sz w:val="20"/>
          <w:szCs w:val="20"/>
          <w:bdr w:val="none" w:sz="0" w:space="0" w:color="auto"/>
          <w:lang w:val="pt-BR"/>
        </w:rPr>
        <w:t>, que</w:t>
      </w:r>
      <w:r w:rsidRPr="00187186">
        <w:rPr>
          <w:rFonts w:ascii="Cambria" w:eastAsia="Batang" w:hAnsi="Cambria"/>
          <w:sz w:val="20"/>
          <w:szCs w:val="20"/>
          <w:bdr w:val="none" w:sz="0" w:space="0" w:color="auto"/>
          <w:lang w:val="pt-BR"/>
        </w:rPr>
        <w:t xml:space="preserve"> era </w:t>
      </w:r>
      <w:r w:rsidRPr="00187186">
        <w:rPr>
          <w:rFonts w:ascii="Cambria" w:eastAsia="Batang" w:hAnsi="Cambria"/>
          <w:iCs/>
          <w:sz w:val="20"/>
          <w:szCs w:val="20"/>
          <w:bdr w:val="none" w:sz="0" w:space="0" w:color="auto"/>
          <w:lang w:val="pt-BR"/>
        </w:rPr>
        <w:t xml:space="preserve">“um digno fazendeiro” </w:t>
      </w:r>
      <w:r w:rsidRPr="00187186">
        <w:rPr>
          <w:rFonts w:ascii="Cambria" w:eastAsia="Batang" w:hAnsi="Cambria"/>
          <w:sz w:val="20"/>
          <w:szCs w:val="20"/>
          <w:bdr w:val="none" w:sz="0" w:space="0" w:color="auto"/>
          <w:lang w:val="pt-BR"/>
        </w:rPr>
        <w:t xml:space="preserve">e que a acusação estaria com </w:t>
      </w:r>
      <w:r w:rsidRPr="00187186">
        <w:rPr>
          <w:rFonts w:ascii="Cambria" w:eastAsia="Batang" w:hAnsi="Cambria"/>
          <w:iCs/>
          <w:sz w:val="20"/>
          <w:szCs w:val="20"/>
          <w:bdr w:val="none" w:sz="0" w:space="0" w:color="auto"/>
          <w:lang w:val="pt-BR"/>
        </w:rPr>
        <w:t>“intenção premeditada de destruir e liquidar com a moral e honradez de um fazendeiro”</w:t>
      </w:r>
      <w:r w:rsidR="009D61A6" w:rsidRPr="00187186">
        <w:rPr>
          <w:rStyle w:val="FootnoteReference"/>
          <w:rFonts w:ascii="Cambria" w:eastAsia="Batang" w:hAnsi="Cambria"/>
          <w:sz w:val="20"/>
          <w:szCs w:val="20"/>
          <w:bdr w:val="none" w:sz="0" w:space="0" w:color="auto"/>
          <w:lang w:val="pt-BR"/>
        </w:rPr>
        <w:footnoteReference w:id="110"/>
      </w:r>
      <w:r w:rsidR="00385D23" w:rsidRPr="00187186">
        <w:rPr>
          <w:rFonts w:ascii="Cambria" w:eastAsia="Batang" w:hAnsi="Cambria"/>
          <w:sz w:val="20"/>
          <w:szCs w:val="20"/>
          <w:bdr w:val="none" w:sz="0" w:space="0" w:color="auto"/>
          <w:lang w:val="pt-BR"/>
        </w:rPr>
        <w:t xml:space="preserve">. </w:t>
      </w:r>
      <w:r w:rsidRPr="00187186">
        <w:rPr>
          <w:rFonts w:ascii="Cambria" w:eastAsia="Batang" w:hAnsi="Cambria"/>
          <w:sz w:val="20"/>
          <w:szCs w:val="20"/>
          <w:bdr w:val="none" w:sz="0" w:space="0" w:color="auto"/>
          <w:lang w:val="pt-BR"/>
        </w:rPr>
        <w:t>O réu</w:t>
      </w:r>
      <w:r w:rsidR="007B273B" w:rsidRPr="00187186">
        <w:rPr>
          <w:rFonts w:ascii="Cambria" w:eastAsia="Batang" w:hAnsi="Cambria"/>
          <w:sz w:val="20"/>
          <w:szCs w:val="20"/>
          <w:bdr w:val="none" w:sz="0" w:space="0" w:color="auto"/>
          <w:lang w:val="pt-BR"/>
        </w:rPr>
        <w:t>, por sua vez,</w:t>
      </w:r>
      <w:r w:rsidRPr="00187186">
        <w:rPr>
          <w:rFonts w:ascii="Cambria" w:eastAsia="Batang" w:hAnsi="Cambria"/>
          <w:sz w:val="20"/>
          <w:szCs w:val="20"/>
          <w:bdr w:val="none" w:sz="0" w:space="0" w:color="auto"/>
          <w:lang w:val="pt-BR"/>
        </w:rPr>
        <w:t xml:space="preserve"> declarou que não havia comparecido às audiências por falta de recursos</w:t>
      </w:r>
      <w:r w:rsidR="009D61A6" w:rsidRPr="00187186">
        <w:rPr>
          <w:rStyle w:val="FootnoteReference"/>
          <w:rFonts w:ascii="Cambria" w:eastAsia="Batang" w:hAnsi="Cambria"/>
          <w:sz w:val="20"/>
          <w:szCs w:val="20"/>
          <w:bdr w:val="none" w:sz="0" w:space="0" w:color="auto"/>
          <w:lang w:val="pt-BR"/>
        </w:rPr>
        <w:footnoteReference w:id="111"/>
      </w:r>
      <w:r w:rsidRPr="00187186">
        <w:rPr>
          <w:rFonts w:ascii="Cambria" w:eastAsia="Batang" w:hAnsi="Cambria"/>
          <w:sz w:val="20"/>
          <w:szCs w:val="20"/>
          <w:bdr w:val="none" w:sz="0" w:space="0" w:color="auto"/>
          <w:lang w:val="pt-BR"/>
        </w:rPr>
        <w:t>. Foi designada uma nova audiência para 19 de fevereiro de 1988</w:t>
      </w:r>
      <w:r w:rsidR="009D61A6" w:rsidRPr="00187186">
        <w:rPr>
          <w:rStyle w:val="FootnoteReference"/>
          <w:rFonts w:ascii="Cambria" w:eastAsia="Batang" w:hAnsi="Cambria"/>
          <w:sz w:val="20"/>
          <w:szCs w:val="20"/>
          <w:bdr w:val="none" w:sz="0" w:space="0" w:color="auto"/>
          <w:lang w:val="pt-BR"/>
        </w:rPr>
        <w:footnoteReference w:id="112"/>
      </w:r>
      <w:r w:rsidRPr="00187186">
        <w:rPr>
          <w:rFonts w:ascii="Cambria" w:eastAsia="Batang" w:hAnsi="Cambria"/>
          <w:sz w:val="20"/>
          <w:szCs w:val="20"/>
          <w:bdr w:val="none" w:sz="0" w:space="0" w:color="auto"/>
          <w:lang w:val="pt-BR"/>
        </w:rPr>
        <w:t xml:space="preserve"> e enviada uma Carta Precatória para citar Manoel Cardoso Neto na comarca onde ele estaria residindo, em Vitória da Conquista, Bahia</w:t>
      </w:r>
      <w:r w:rsidR="009D61A6" w:rsidRPr="00187186">
        <w:rPr>
          <w:rStyle w:val="FootnoteReference"/>
          <w:rFonts w:ascii="Cambria" w:eastAsia="Batang" w:hAnsi="Cambria"/>
          <w:sz w:val="20"/>
          <w:szCs w:val="20"/>
          <w:bdr w:val="none" w:sz="0" w:space="0" w:color="auto"/>
          <w:lang w:val="pt-BR"/>
        </w:rPr>
        <w:footnoteReference w:id="113"/>
      </w:r>
      <w:r w:rsidRPr="00187186">
        <w:rPr>
          <w:rFonts w:ascii="Cambria" w:eastAsia="Batang" w:hAnsi="Cambria"/>
          <w:sz w:val="20"/>
          <w:szCs w:val="20"/>
          <w:bdr w:val="none" w:sz="0" w:space="0" w:color="auto"/>
          <w:lang w:val="pt-BR"/>
        </w:rPr>
        <w:t>. O juiz da</w:t>
      </w:r>
      <w:r w:rsidR="007B273B" w:rsidRPr="00187186">
        <w:rPr>
          <w:rFonts w:ascii="Cambria" w:eastAsia="Batang" w:hAnsi="Cambria"/>
          <w:sz w:val="20"/>
          <w:szCs w:val="20"/>
          <w:bdr w:val="none" w:sz="0" w:space="0" w:color="auto"/>
          <w:lang w:val="pt-BR"/>
        </w:rPr>
        <w:t>quela c</w:t>
      </w:r>
      <w:r w:rsidRPr="00187186">
        <w:rPr>
          <w:rFonts w:ascii="Cambria" w:eastAsia="Batang" w:hAnsi="Cambria"/>
          <w:sz w:val="20"/>
          <w:szCs w:val="20"/>
          <w:bdr w:val="none" w:sz="0" w:space="0" w:color="auto"/>
          <w:lang w:val="pt-BR"/>
        </w:rPr>
        <w:t xml:space="preserve">omarca protestou que a Carta Precatória </w:t>
      </w:r>
      <w:r w:rsidR="007B273B" w:rsidRPr="00187186">
        <w:rPr>
          <w:rFonts w:ascii="Cambria" w:eastAsia="Batang" w:hAnsi="Cambria"/>
          <w:sz w:val="20"/>
          <w:szCs w:val="20"/>
          <w:bdr w:val="none" w:sz="0" w:space="0" w:color="auto"/>
          <w:lang w:val="pt-BR"/>
        </w:rPr>
        <w:t xml:space="preserve">havia chegado </w:t>
      </w:r>
      <w:r w:rsidRPr="00187186">
        <w:rPr>
          <w:rFonts w:ascii="Cambria" w:eastAsia="Batang" w:hAnsi="Cambria"/>
          <w:sz w:val="20"/>
          <w:szCs w:val="20"/>
          <w:bdr w:val="none" w:sz="0" w:space="0" w:color="auto"/>
          <w:lang w:val="pt-BR"/>
        </w:rPr>
        <w:t>tarde demais</w:t>
      </w:r>
      <w:r w:rsidR="007B273B" w:rsidRPr="00187186">
        <w:rPr>
          <w:rFonts w:ascii="Cambria" w:eastAsia="Batang" w:hAnsi="Cambria"/>
          <w:sz w:val="20"/>
          <w:szCs w:val="20"/>
          <w:bdr w:val="none" w:sz="0" w:space="0" w:color="auto"/>
          <w:lang w:val="pt-BR"/>
        </w:rPr>
        <w:t>,</w:t>
      </w:r>
      <w:r w:rsidRPr="00187186">
        <w:rPr>
          <w:rFonts w:ascii="Cambria" w:eastAsia="Batang" w:hAnsi="Cambria"/>
          <w:sz w:val="20"/>
          <w:szCs w:val="20"/>
          <w:bdr w:val="none" w:sz="0" w:space="0" w:color="auto"/>
          <w:lang w:val="pt-BR"/>
        </w:rPr>
        <w:t xml:space="preserve"> </w:t>
      </w:r>
      <w:r w:rsidR="007B273B" w:rsidRPr="00187186">
        <w:rPr>
          <w:rFonts w:ascii="Cambria" w:eastAsia="Batang" w:hAnsi="Cambria"/>
          <w:sz w:val="20"/>
          <w:szCs w:val="20"/>
          <w:bdr w:val="none" w:sz="0" w:space="0" w:color="auto"/>
          <w:lang w:val="pt-BR"/>
        </w:rPr>
        <w:t>três</w:t>
      </w:r>
      <w:r w:rsidRPr="00187186">
        <w:rPr>
          <w:rFonts w:ascii="Cambria" w:eastAsia="Batang" w:hAnsi="Cambria"/>
          <w:sz w:val="20"/>
          <w:szCs w:val="20"/>
          <w:bdr w:val="none" w:sz="0" w:space="0" w:color="auto"/>
          <w:lang w:val="pt-BR"/>
        </w:rPr>
        <w:t xml:space="preserve"> dias após a data da audiência</w:t>
      </w:r>
      <w:r w:rsidR="009D61A6" w:rsidRPr="00187186">
        <w:rPr>
          <w:rStyle w:val="FootnoteReference"/>
          <w:rFonts w:ascii="Cambria" w:eastAsia="Batang" w:hAnsi="Cambria"/>
          <w:sz w:val="20"/>
          <w:szCs w:val="20"/>
          <w:bdr w:val="none" w:sz="0" w:space="0" w:color="auto"/>
          <w:lang w:val="pt-BR"/>
        </w:rPr>
        <w:footnoteReference w:id="114"/>
      </w:r>
      <w:r w:rsidRPr="00187186">
        <w:rPr>
          <w:rFonts w:ascii="Cambria" w:eastAsia="Batang" w:hAnsi="Cambria"/>
          <w:sz w:val="20"/>
          <w:szCs w:val="20"/>
          <w:bdr w:val="none" w:sz="0" w:space="0" w:color="auto"/>
          <w:lang w:val="pt-BR"/>
        </w:rPr>
        <w:t xml:space="preserve">. </w:t>
      </w:r>
      <w:r w:rsidR="007B273B" w:rsidRPr="00187186">
        <w:rPr>
          <w:rFonts w:ascii="Cambria" w:eastAsia="Batang" w:hAnsi="Cambria"/>
          <w:sz w:val="20"/>
          <w:szCs w:val="20"/>
          <w:bdr w:val="none" w:sz="0" w:space="0" w:color="auto"/>
          <w:lang w:val="pt-BR"/>
        </w:rPr>
        <w:t>E</w:t>
      </w:r>
      <w:r w:rsidRPr="00187186">
        <w:rPr>
          <w:rFonts w:ascii="Cambria" w:eastAsia="Batang" w:hAnsi="Cambria"/>
          <w:sz w:val="20"/>
          <w:szCs w:val="20"/>
          <w:bdr w:val="none" w:sz="0" w:space="0" w:color="auto"/>
          <w:lang w:val="pt-BR"/>
        </w:rPr>
        <w:t xml:space="preserve">m 29 de abril de 1988, quase seis anos após o assassinato de Gabriel Pimenta, foi </w:t>
      </w:r>
      <w:r w:rsidR="007B273B" w:rsidRPr="00187186">
        <w:rPr>
          <w:rFonts w:ascii="Cambria" w:eastAsia="Batang" w:hAnsi="Cambria"/>
          <w:sz w:val="20"/>
          <w:szCs w:val="20"/>
          <w:bdr w:val="none" w:sz="0" w:space="0" w:color="auto"/>
          <w:lang w:val="pt-BR"/>
        </w:rPr>
        <w:t>finalmente</w:t>
      </w:r>
      <w:r w:rsidRPr="00187186">
        <w:rPr>
          <w:rFonts w:ascii="Cambria" w:eastAsia="Batang" w:hAnsi="Cambria"/>
          <w:sz w:val="20"/>
          <w:szCs w:val="20"/>
          <w:bdr w:val="none" w:sz="0" w:space="0" w:color="auto"/>
          <w:lang w:val="pt-BR"/>
        </w:rPr>
        <w:t xml:space="preserve"> realizado o interrogatório do acusado Manoel Cardoso Neto</w:t>
      </w:r>
      <w:r w:rsidR="009D61A6" w:rsidRPr="00187186">
        <w:rPr>
          <w:rStyle w:val="FootnoteReference"/>
          <w:rFonts w:ascii="Cambria" w:eastAsia="Batang" w:hAnsi="Cambria"/>
          <w:sz w:val="20"/>
          <w:szCs w:val="20"/>
          <w:bdr w:val="none" w:sz="0" w:space="0" w:color="auto"/>
          <w:lang w:val="pt-BR"/>
        </w:rPr>
        <w:footnoteReference w:id="115"/>
      </w:r>
      <w:r w:rsidRPr="00187186">
        <w:rPr>
          <w:rFonts w:ascii="Cambria" w:eastAsia="Batang" w:hAnsi="Cambria"/>
          <w:sz w:val="20"/>
          <w:szCs w:val="20"/>
          <w:bdr w:val="none" w:sz="0" w:space="0" w:color="auto"/>
          <w:lang w:val="pt-BR"/>
        </w:rPr>
        <w:t>.</w:t>
      </w:r>
    </w:p>
    <w:p w14:paraId="3F7853D6" w14:textId="77777777" w:rsidR="007B273B" w:rsidRPr="00187186" w:rsidRDefault="007B273B" w:rsidP="001871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14:paraId="0635040D" w14:textId="77777777" w:rsidR="00E06D0E" w:rsidRPr="00187186" w:rsidRDefault="007B273B"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pt-BR"/>
        </w:rPr>
      </w:pPr>
      <w:r w:rsidRPr="00187186">
        <w:rPr>
          <w:rFonts w:ascii="Cambria" w:eastAsia="Batang" w:hAnsi="Cambria"/>
          <w:sz w:val="20"/>
          <w:szCs w:val="20"/>
          <w:bdr w:val="none" w:sz="0" w:space="0" w:color="auto"/>
          <w:lang w:val="pt-BR"/>
        </w:rPr>
        <w:t>As testemunhas de acusação foram inquiridas nas audiências realizadas nos dias 19 de setembro e 4 de outubro de 1988</w:t>
      </w:r>
      <w:r w:rsidR="009D61A6" w:rsidRPr="00187186">
        <w:rPr>
          <w:rStyle w:val="FootnoteReference"/>
          <w:rFonts w:ascii="Cambria" w:eastAsia="Batang" w:hAnsi="Cambria"/>
          <w:sz w:val="20"/>
          <w:szCs w:val="20"/>
          <w:bdr w:val="none" w:sz="0" w:space="0" w:color="auto"/>
          <w:lang w:val="pt-BR"/>
        </w:rPr>
        <w:footnoteReference w:id="116"/>
      </w:r>
      <w:r w:rsidRPr="00187186">
        <w:rPr>
          <w:rFonts w:ascii="Cambria" w:eastAsia="Batang" w:hAnsi="Cambria"/>
          <w:sz w:val="20"/>
          <w:szCs w:val="20"/>
          <w:bdr w:val="none" w:sz="0" w:space="0" w:color="auto"/>
          <w:lang w:val="pt-BR"/>
        </w:rPr>
        <w:t xml:space="preserve">. </w:t>
      </w:r>
      <w:r w:rsidR="00A60109" w:rsidRPr="00187186">
        <w:rPr>
          <w:rFonts w:ascii="Cambria" w:eastAsia="Batang" w:hAnsi="Cambria"/>
          <w:sz w:val="20"/>
          <w:szCs w:val="20"/>
          <w:bdr w:val="none" w:sz="0" w:space="0" w:color="auto"/>
          <w:lang w:val="pt-BR"/>
        </w:rPr>
        <w:t xml:space="preserve">Em pelo menos uma ocasião </w:t>
      </w:r>
      <w:r w:rsidR="00E06D0E" w:rsidRPr="00187186">
        <w:rPr>
          <w:rFonts w:ascii="Cambria" w:eastAsia="Batang" w:hAnsi="Cambria"/>
          <w:sz w:val="20"/>
          <w:szCs w:val="20"/>
          <w:bdr w:val="none" w:sz="0" w:space="0" w:color="auto"/>
          <w:lang w:val="pt-BR"/>
        </w:rPr>
        <w:t>não houve intimação da testemunha respectiva pelo</w:t>
      </w:r>
      <w:r w:rsidRPr="00187186">
        <w:rPr>
          <w:rFonts w:ascii="Cambria" w:eastAsia="Batang" w:hAnsi="Cambria"/>
          <w:sz w:val="20"/>
          <w:szCs w:val="20"/>
          <w:bdr w:val="none" w:sz="0" w:space="0" w:color="auto"/>
          <w:lang w:val="pt-BR"/>
        </w:rPr>
        <w:t xml:space="preserve"> Oficial de Justiça </w:t>
      </w:r>
      <w:r w:rsidR="00E06D0E" w:rsidRPr="00187186">
        <w:rPr>
          <w:rFonts w:ascii="Cambria" w:eastAsia="Batang" w:hAnsi="Cambria"/>
          <w:sz w:val="20"/>
          <w:szCs w:val="20"/>
          <w:bdr w:val="none" w:sz="0" w:space="0" w:color="auto"/>
          <w:lang w:val="pt-BR"/>
        </w:rPr>
        <w:t>sob a alegação de falta de</w:t>
      </w:r>
      <w:r w:rsidRPr="00187186">
        <w:rPr>
          <w:rFonts w:ascii="Cambria" w:eastAsia="Batang" w:hAnsi="Cambria"/>
          <w:sz w:val="20"/>
          <w:szCs w:val="20"/>
          <w:bdr w:val="none" w:sz="0" w:space="0" w:color="auto"/>
          <w:lang w:val="pt-BR"/>
        </w:rPr>
        <w:t xml:space="preserve"> recursos financeiros para o seu transporte</w:t>
      </w:r>
      <w:r w:rsidR="009D61A6" w:rsidRPr="00187186">
        <w:rPr>
          <w:rStyle w:val="FootnoteReference"/>
          <w:rFonts w:ascii="Cambria" w:eastAsia="Batang" w:hAnsi="Cambria"/>
          <w:sz w:val="20"/>
          <w:szCs w:val="20"/>
          <w:bdr w:val="none" w:sz="0" w:space="0" w:color="auto"/>
          <w:lang w:val="pt-BR"/>
        </w:rPr>
        <w:footnoteReference w:id="117"/>
      </w:r>
      <w:r w:rsidRPr="00187186">
        <w:rPr>
          <w:rFonts w:ascii="Cambria" w:eastAsia="Batang" w:hAnsi="Cambria"/>
          <w:sz w:val="20"/>
          <w:szCs w:val="20"/>
          <w:bdr w:val="none" w:sz="0" w:space="0" w:color="auto"/>
          <w:lang w:val="pt-BR"/>
        </w:rPr>
        <w:t xml:space="preserve">. Foram enviadas Cartas Precatórias para as comarcas de Rondon do Pará e Vitória da Conquista para intimar, respectivamente, os acusados Crescêncio Oliveira de Sousa e Manoel Cardoso Neto. </w:t>
      </w:r>
      <w:r w:rsidR="00E06D0E" w:rsidRPr="00187186">
        <w:rPr>
          <w:rFonts w:ascii="Cambria" w:eastAsia="Batang" w:hAnsi="Cambria"/>
          <w:sz w:val="20"/>
          <w:szCs w:val="20"/>
          <w:bdr w:val="none" w:sz="0" w:space="0" w:color="auto"/>
          <w:lang w:val="pt-BR"/>
        </w:rPr>
        <w:t>A</w:t>
      </w:r>
      <w:r w:rsidRPr="00187186">
        <w:rPr>
          <w:rFonts w:ascii="Cambria" w:eastAsia="Batang" w:hAnsi="Cambria"/>
          <w:sz w:val="20"/>
          <w:szCs w:val="20"/>
          <w:bdr w:val="none" w:sz="0" w:space="0" w:color="auto"/>
          <w:lang w:val="pt-BR"/>
        </w:rPr>
        <w:t>s Cartas Precatórias foram devolvidas</w:t>
      </w:r>
      <w:r w:rsidR="00E06D0E" w:rsidRPr="00187186">
        <w:rPr>
          <w:rFonts w:ascii="Cambria" w:eastAsia="Batang" w:hAnsi="Cambria"/>
          <w:sz w:val="20"/>
          <w:szCs w:val="20"/>
          <w:bdr w:val="none" w:sz="0" w:space="0" w:color="auto"/>
          <w:lang w:val="pt-BR"/>
        </w:rPr>
        <w:t xml:space="preserve"> repetidas vezes</w:t>
      </w:r>
      <w:r w:rsidRPr="00187186">
        <w:rPr>
          <w:rFonts w:ascii="Cambria" w:eastAsia="Batang" w:hAnsi="Cambria"/>
          <w:sz w:val="20"/>
          <w:szCs w:val="20"/>
          <w:bdr w:val="none" w:sz="0" w:space="0" w:color="auto"/>
          <w:lang w:val="pt-BR"/>
        </w:rPr>
        <w:t xml:space="preserve"> sem cumprimento</w:t>
      </w:r>
      <w:r w:rsidR="00E06D0E" w:rsidRPr="00187186">
        <w:rPr>
          <w:rFonts w:ascii="Cambria" w:eastAsia="Batang" w:hAnsi="Cambria"/>
          <w:sz w:val="20"/>
          <w:szCs w:val="20"/>
          <w:bdr w:val="none" w:sz="0" w:space="0" w:color="auto"/>
          <w:lang w:val="pt-BR"/>
        </w:rPr>
        <w:t xml:space="preserve"> por terem chegado aos juízos com muito atraso</w:t>
      </w:r>
      <w:r w:rsidR="009D61A6" w:rsidRPr="00187186">
        <w:rPr>
          <w:rStyle w:val="FootnoteReference"/>
          <w:rFonts w:ascii="Cambria" w:eastAsia="Batang" w:hAnsi="Cambria"/>
          <w:sz w:val="20"/>
          <w:szCs w:val="20"/>
          <w:bdr w:val="none" w:sz="0" w:space="0" w:color="auto"/>
          <w:lang w:val="pt-BR"/>
        </w:rPr>
        <w:footnoteReference w:id="118"/>
      </w:r>
      <w:r w:rsidRPr="00187186">
        <w:rPr>
          <w:rFonts w:ascii="Cambria" w:eastAsia="Batang" w:hAnsi="Cambria"/>
          <w:sz w:val="20"/>
          <w:szCs w:val="20"/>
          <w:bdr w:val="none" w:sz="0" w:space="0" w:color="auto"/>
          <w:lang w:val="pt-BR"/>
        </w:rPr>
        <w:t xml:space="preserve">. </w:t>
      </w:r>
      <w:r w:rsidR="00E06D0E" w:rsidRPr="00187186">
        <w:rPr>
          <w:rFonts w:ascii="Cambria" w:eastAsia="Batang" w:hAnsi="Cambria"/>
          <w:sz w:val="20"/>
          <w:szCs w:val="20"/>
          <w:bdr w:val="none" w:sz="0" w:space="0" w:color="auto"/>
          <w:lang w:val="pt-BR"/>
        </w:rPr>
        <w:t>Com isso</w:t>
      </w:r>
      <w:r w:rsidRPr="00187186">
        <w:rPr>
          <w:rFonts w:ascii="Cambria" w:eastAsia="Batang" w:hAnsi="Cambria"/>
          <w:sz w:val="20"/>
          <w:szCs w:val="20"/>
          <w:bdr w:val="none" w:sz="0" w:space="0" w:color="auto"/>
          <w:lang w:val="pt-BR"/>
        </w:rPr>
        <w:t>, os dois acusados não compareceram à audiência de inquirição de testemunhas de 4 de outubro de 1988. O Promotor Público também esteve ausente à audiência</w:t>
      </w:r>
      <w:r w:rsidR="00E06D0E" w:rsidRPr="00187186">
        <w:rPr>
          <w:rFonts w:ascii="Cambria" w:eastAsia="Batang" w:hAnsi="Cambria"/>
          <w:sz w:val="20"/>
          <w:szCs w:val="20"/>
          <w:bdr w:val="none" w:sz="0" w:space="0" w:color="auto"/>
          <w:lang w:val="pt-BR"/>
        </w:rPr>
        <w:t xml:space="preserve">, tendo se justificado </w:t>
      </w:r>
      <w:r w:rsidRPr="00187186">
        <w:rPr>
          <w:rFonts w:ascii="Cambria" w:eastAsia="Batang" w:hAnsi="Cambria"/>
          <w:sz w:val="20"/>
          <w:szCs w:val="20"/>
          <w:bdr w:val="none" w:sz="0" w:space="0" w:color="auto"/>
          <w:lang w:val="pt-BR"/>
        </w:rPr>
        <w:t>um dia após a realização da mesma</w:t>
      </w:r>
      <w:r w:rsidR="009D61A6" w:rsidRPr="00187186">
        <w:rPr>
          <w:rStyle w:val="FootnoteReference"/>
          <w:rFonts w:ascii="Cambria" w:eastAsia="Batang" w:hAnsi="Cambria"/>
          <w:sz w:val="20"/>
          <w:szCs w:val="20"/>
          <w:bdr w:val="none" w:sz="0" w:space="0" w:color="auto"/>
          <w:lang w:val="pt-BR"/>
        </w:rPr>
        <w:footnoteReference w:id="119"/>
      </w:r>
      <w:r w:rsidRPr="00187186">
        <w:rPr>
          <w:rFonts w:ascii="Cambria" w:eastAsia="Batang" w:hAnsi="Cambria"/>
          <w:sz w:val="20"/>
          <w:szCs w:val="20"/>
          <w:bdr w:val="none" w:sz="0" w:space="0" w:color="auto"/>
          <w:lang w:val="pt-BR"/>
        </w:rPr>
        <w:t>.</w:t>
      </w:r>
      <w:r w:rsidR="00E06D0E" w:rsidRPr="00187186">
        <w:rPr>
          <w:rFonts w:ascii="Cambria" w:eastAsia="Batang" w:hAnsi="Cambria"/>
          <w:sz w:val="20"/>
          <w:szCs w:val="20"/>
          <w:bdr w:val="none" w:sz="0" w:space="0" w:color="auto"/>
          <w:lang w:val="pt-BR"/>
        </w:rPr>
        <w:t xml:space="preserve"> </w:t>
      </w:r>
    </w:p>
    <w:p w14:paraId="3AE908E4" w14:textId="77777777" w:rsidR="00E06D0E" w:rsidRPr="00187186" w:rsidRDefault="00E06D0E" w:rsidP="00187186">
      <w:pPr>
        <w:pStyle w:val="ListParagraph"/>
        <w:ind w:left="0"/>
        <w:rPr>
          <w:rFonts w:eastAsia="Batang"/>
          <w:sz w:val="20"/>
          <w:szCs w:val="20"/>
          <w:bdr w:val="none" w:sz="0" w:space="0" w:color="auto"/>
          <w:lang w:val="pt-BR"/>
        </w:rPr>
      </w:pPr>
    </w:p>
    <w:p w14:paraId="1906E613" w14:textId="56ED744B" w:rsidR="00E06D0E" w:rsidRPr="00187186" w:rsidRDefault="007B273B"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pt-BR"/>
        </w:rPr>
      </w:pPr>
      <w:r w:rsidRPr="00187186">
        <w:rPr>
          <w:rFonts w:ascii="Cambria" w:eastAsia="Batang" w:hAnsi="Cambria"/>
          <w:sz w:val="20"/>
          <w:szCs w:val="20"/>
          <w:bdr w:val="none" w:sz="0" w:space="0" w:color="auto"/>
          <w:lang w:val="pt-BR"/>
        </w:rPr>
        <w:t>As testemunhas de defesa foram inquiridas em audiência realizada no dia 24 de fevereiro de 1989</w:t>
      </w:r>
      <w:r w:rsidR="009D61A6" w:rsidRPr="00187186">
        <w:rPr>
          <w:rStyle w:val="FootnoteReference"/>
          <w:rFonts w:ascii="Cambria" w:eastAsia="Batang" w:hAnsi="Cambria"/>
          <w:sz w:val="20"/>
          <w:szCs w:val="20"/>
          <w:bdr w:val="none" w:sz="0" w:space="0" w:color="auto"/>
          <w:lang w:val="pt-BR"/>
        </w:rPr>
        <w:footnoteReference w:id="120"/>
      </w:r>
      <w:r w:rsidRPr="00187186">
        <w:rPr>
          <w:rFonts w:ascii="Cambria" w:eastAsia="Batang" w:hAnsi="Cambria"/>
          <w:sz w:val="20"/>
          <w:szCs w:val="20"/>
          <w:bdr w:val="none" w:sz="0" w:space="0" w:color="auto"/>
          <w:lang w:val="pt-BR"/>
        </w:rPr>
        <w:t>. Novamente, as Cartas Precatórias para intimar os acusados Manoel Cardoso Neto e Crescêncio Oliveira de Sou</w:t>
      </w:r>
      <w:r w:rsidR="008C21BD">
        <w:rPr>
          <w:rFonts w:ascii="Cambria" w:eastAsia="Batang" w:hAnsi="Cambria"/>
          <w:sz w:val="20"/>
          <w:szCs w:val="20"/>
          <w:bdr w:val="none" w:sz="0" w:space="0" w:color="auto"/>
          <w:lang w:val="pt-BR"/>
        </w:rPr>
        <w:t>s</w:t>
      </w:r>
      <w:r w:rsidRPr="00187186">
        <w:rPr>
          <w:rFonts w:ascii="Cambria" w:eastAsia="Batang" w:hAnsi="Cambria"/>
          <w:sz w:val="20"/>
          <w:szCs w:val="20"/>
          <w:bdr w:val="none" w:sz="0" w:space="0" w:color="auto"/>
          <w:lang w:val="pt-BR"/>
        </w:rPr>
        <w:t xml:space="preserve">a chegaram tarde demais para que fossem cumpridas a tempo. </w:t>
      </w:r>
      <w:r w:rsidR="00E06D0E" w:rsidRPr="00187186">
        <w:rPr>
          <w:rFonts w:ascii="Cambria" w:eastAsia="Batang" w:hAnsi="Cambria"/>
          <w:sz w:val="20"/>
          <w:szCs w:val="20"/>
          <w:bdr w:val="none" w:sz="0" w:space="0" w:color="auto"/>
          <w:lang w:val="pt-BR"/>
        </w:rPr>
        <w:t>A</w:t>
      </w:r>
      <w:r w:rsidRPr="00187186">
        <w:rPr>
          <w:rFonts w:ascii="Cambria" w:eastAsia="Batang" w:hAnsi="Cambria"/>
          <w:sz w:val="20"/>
          <w:szCs w:val="20"/>
          <w:bdr w:val="none" w:sz="0" w:space="0" w:color="auto"/>
          <w:lang w:val="pt-BR"/>
        </w:rPr>
        <w:t xml:space="preserve"> Carta Precatória enviada para Vitória da </w:t>
      </w:r>
      <w:r w:rsidRPr="00187186">
        <w:rPr>
          <w:rFonts w:ascii="Cambria" w:eastAsia="Batang" w:hAnsi="Cambria"/>
          <w:sz w:val="20"/>
          <w:szCs w:val="20"/>
          <w:bdr w:val="none" w:sz="0" w:space="0" w:color="auto"/>
          <w:lang w:val="pt-BR"/>
        </w:rPr>
        <w:lastRenderedPageBreak/>
        <w:t xml:space="preserve">Conquista para a intimação de Manoel Cardoso Neto só foi recebida 6 meses </w:t>
      </w:r>
      <w:r w:rsidRPr="00187186">
        <w:rPr>
          <w:rFonts w:ascii="Cambria" w:eastAsia="Batang" w:hAnsi="Cambria"/>
          <w:i/>
          <w:iCs/>
          <w:sz w:val="20"/>
          <w:szCs w:val="20"/>
          <w:bdr w:val="none" w:sz="0" w:space="0" w:color="auto"/>
          <w:lang w:val="pt-BR"/>
        </w:rPr>
        <w:t xml:space="preserve">após </w:t>
      </w:r>
      <w:r w:rsidRPr="00187186">
        <w:rPr>
          <w:rFonts w:ascii="Cambria" w:eastAsia="Batang" w:hAnsi="Cambria"/>
          <w:sz w:val="20"/>
          <w:szCs w:val="20"/>
          <w:bdr w:val="none" w:sz="0" w:space="0" w:color="auto"/>
          <w:lang w:val="pt-BR"/>
        </w:rPr>
        <w:t>a audiência</w:t>
      </w:r>
      <w:r w:rsidR="009D61A6" w:rsidRPr="00187186">
        <w:rPr>
          <w:rStyle w:val="FootnoteReference"/>
          <w:rFonts w:ascii="Cambria" w:eastAsia="Batang" w:hAnsi="Cambria"/>
          <w:sz w:val="20"/>
          <w:szCs w:val="20"/>
          <w:bdr w:val="none" w:sz="0" w:space="0" w:color="auto"/>
          <w:lang w:val="pt-BR"/>
        </w:rPr>
        <w:footnoteReference w:id="121"/>
      </w:r>
      <w:r w:rsidRPr="00187186">
        <w:rPr>
          <w:rFonts w:ascii="Cambria" w:eastAsia="Batang" w:hAnsi="Cambria"/>
          <w:sz w:val="20"/>
          <w:szCs w:val="20"/>
          <w:bdr w:val="none" w:sz="0" w:space="0" w:color="auto"/>
          <w:lang w:val="pt-BR"/>
        </w:rPr>
        <w:t>. Dessa forma, as testemunhas de defesa também foram inquiridas sem a presença dos dois acusados. Novamente, o Promotor Público esteve ausente na audiência</w:t>
      </w:r>
      <w:r w:rsidR="009D61A6" w:rsidRPr="00187186">
        <w:rPr>
          <w:rStyle w:val="FootnoteReference"/>
          <w:rFonts w:ascii="Cambria" w:eastAsia="Batang" w:hAnsi="Cambria"/>
          <w:sz w:val="20"/>
          <w:szCs w:val="20"/>
          <w:bdr w:val="none" w:sz="0" w:space="0" w:color="auto"/>
          <w:lang w:val="pt-BR"/>
        </w:rPr>
        <w:footnoteReference w:id="122"/>
      </w:r>
      <w:r w:rsidRPr="00187186">
        <w:rPr>
          <w:rFonts w:ascii="Cambria" w:eastAsia="Batang" w:hAnsi="Cambria"/>
          <w:sz w:val="20"/>
          <w:szCs w:val="20"/>
          <w:bdr w:val="none" w:sz="0" w:space="0" w:color="auto"/>
          <w:lang w:val="pt-BR"/>
        </w:rPr>
        <w:t xml:space="preserve">. </w:t>
      </w:r>
    </w:p>
    <w:p w14:paraId="38B5392D" w14:textId="77777777" w:rsidR="00E06D0E" w:rsidRPr="00187186" w:rsidRDefault="00E06D0E" w:rsidP="001871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14:paraId="1B5F37C2" w14:textId="77777777" w:rsidR="00E06D0E" w:rsidRPr="00187186" w:rsidRDefault="007B273B"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pt-BR"/>
        </w:rPr>
      </w:pPr>
      <w:r w:rsidRPr="00187186">
        <w:rPr>
          <w:rFonts w:ascii="Cambria" w:eastAsia="Batang" w:hAnsi="Cambria"/>
          <w:sz w:val="20"/>
          <w:szCs w:val="20"/>
          <w:bdr w:val="none" w:sz="0" w:space="0" w:color="auto"/>
          <w:lang w:val="pt-BR"/>
        </w:rPr>
        <w:t>Entre março e outubro de 1989, outras três audiências foram designadas e sucessivamente canceladas: duas a pedido do advogado de José Pereira da Nóbrega</w:t>
      </w:r>
      <w:r w:rsidR="009D61A6" w:rsidRPr="00187186">
        <w:rPr>
          <w:rStyle w:val="FootnoteReference"/>
          <w:rFonts w:ascii="Cambria" w:eastAsia="Batang" w:hAnsi="Cambria"/>
          <w:sz w:val="20"/>
          <w:szCs w:val="20"/>
          <w:bdr w:val="none" w:sz="0" w:space="0" w:color="auto"/>
          <w:lang w:val="pt-BR"/>
        </w:rPr>
        <w:footnoteReference w:id="123"/>
      </w:r>
      <w:r w:rsidRPr="00187186">
        <w:rPr>
          <w:rFonts w:ascii="Cambria" w:eastAsia="Batang" w:hAnsi="Cambria"/>
          <w:sz w:val="20"/>
          <w:szCs w:val="20"/>
          <w:bdr w:val="none" w:sz="0" w:space="0" w:color="auto"/>
          <w:lang w:val="pt-BR"/>
        </w:rPr>
        <w:t xml:space="preserve">, e uma </w:t>
      </w:r>
      <w:r w:rsidR="00E06D0E" w:rsidRPr="00187186">
        <w:rPr>
          <w:rFonts w:ascii="Cambria" w:eastAsia="Batang" w:hAnsi="Cambria"/>
          <w:sz w:val="20"/>
          <w:szCs w:val="20"/>
          <w:bdr w:val="none" w:sz="0" w:space="0" w:color="auto"/>
          <w:lang w:val="pt-BR"/>
        </w:rPr>
        <w:t xml:space="preserve">em função de </w:t>
      </w:r>
      <w:r w:rsidRPr="00187186">
        <w:rPr>
          <w:rFonts w:ascii="Cambria" w:eastAsia="Batang" w:hAnsi="Cambria"/>
          <w:sz w:val="20"/>
          <w:szCs w:val="20"/>
          <w:bdr w:val="none" w:sz="0" w:space="0" w:color="auto"/>
          <w:lang w:val="pt-BR"/>
        </w:rPr>
        <w:t>Rizomar Daniel Castro</w:t>
      </w:r>
      <w:r w:rsidR="00E06D0E" w:rsidRPr="00187186">
        <w:rPr>
          <w:rFonts w:ascii="Cambria" w:eastAsia="Batang" w:hAnsi="Cambria"/>
          <w:sz w:val="20"/>
          <w:szCs w:val="20"/>
          <w:bdr w:val="none" w:sz="0" w:space="0" w:color="auto"/>
          <w:lang w:val="pt-BR"/>
        </w:rPr>
        <w:t>, testemunha de acusação, não ter sido encontrado</w:t>
      </w:r>
      <w:r w:rsidR="009D61A6" w:rsidRPr="00187186">
        <w:rPr>
          <w:rStyle w:val="FootnoteReference"/>
          <w:rFonts w:ascii="Cambria" w:eastAsia="Batang" w:hAnsi="Cambria"/>
          <w:sz w:val="20"/>
          <w:szCs w:val="20"/>
          <w:bdr w:val="none" w:sz="0" w:space="0" w:color="auto"/>
          <w:lang w:val="pt-BR"/>
        </w:rPr>
        <w:footnoteReference w:id="124"/>
      </w:r>
      <w:r w:rsidRPr="00187186">
        <w:rPr>
          <w:rFonts w:ascii="Cambria" w:eastAsia="Batang" w:hAnsi="Cambria"/>
          <w:sz w:val="20"/>
          <w:szCs w:val="20"/>
          <w:bdr w:val="none" w:sz="0" w:space="0" w:color="auto"/>
          <w:lang w:val="pt-BR"/>
        </w:rPr>
        <w:t>. Rizomar só foi localizado e inquirido em 17 de abril de 1991</w:t>
      </w:r>
      <w:r w:rsidR="009D61A6" w:rsidRPr="00187186">
        <w:rPr>
          <w:rStyle w:val="FootnoteReference"/>
          <w:rFonts w:ascii="Cambria" w:eastAsia="Batang" w:hAnsi="Cambria"/>
          <w:sz w:val="20"/>
          <w:szCs w:val="20"/>
          <w:bdr w:val="none" w:sz="0" w:space="0" w:color="auto"/>
          <w:lang w:val="pt-BR"/>
        </w:rPr>
        <w:footnoteReference w:id="125"/>
      </w:r>
      <w:r w:rsidRPr="00187186">
        <w:rPr>
          <w:rFonts w:ascii="Cambria" w:eastAsia="Batang" w:hAnsi="Cambria"/>
          <w:sz w:val="20"/>
          <w:szCs w:val="20"/>
          <w:bdr w:val="none" w:sz="0" w:space="0" w:color="auto"/>
          <w:lang w:val="pt-BR"/>
        </w:rPr>
        <w:t>.</w:t>
      </w:r>
      <w:r w:rsidR="00403C88" w:rsidRPr="00187186">
        <w:rPr>
          <w:rFonts w:ascii="Cambria" w:eastAsia="Batang" w:hAnsi="Cambria"/>
          <w:sz w:val="20"/>
          <w:szCs w:val="20"/>
          <w:bdr w:val="none" w:sz="0" w:space="0" w:color="auto"/>
          <w:lang w:val="pt-BR"/>
        </w:rPr>
        <w:t xml:space="preserve"> Outra dilação também permeou a fase de inquirição das testemunhas: em 17 de janeiro de 1990, há uma nota da Juíza Ezilda das Chagas Pastana informando a juntada de Carta Precatória ao processo</w:t>
      </w:r>
      <w:r w:rsidR="00403C88" w:rsidRPr="00187186">
        <w:rPr>
          <w:rStyle w:val="FootnoteReference"/>
          <w:rFonts w:ascii="Cambria" w:eastAsia="Batang" w:hAnsi="Cambria"/>
          <w:sz w:val="20"/>
          <w:szCs w:val="20"/>
          <w:bdr w:val="none" w:sz="0" w:space="0" w:color="auto"/>
          <w:lang w:val="pt-BR"/>
        </w:rPr>
        <w:footnoteReference w:id="126"/>
      </w:r>
      <w:r w:rsidR="00403C88" w:rsidRPr="00187186">
        <w:rPr>
          <w:rFonts w:ascii="Cambria" w:eastAsia="Batang" w:hAnsi="Cambria"/>
          <w:sz w:val="20"/>
          <w:szCs w:val="20"/>
          <w:bdr w:val="none" w:sz="0" w:space="0" w:color="auto"/>
          <w:lang w:val="pt-BR"/>
        </w:rPr>
        <w:t>, contudo, mais de um ano se passou antes que fosse feito novo registro no processo</w:t>
      </w:r>
      <w:r w:rsidR="00403C88" w:rsidRPr="00187186">
        <w:rPr>
          <w:rStyle w:val="FootnoteReference"/>
          <w:rFonts w:ascii="Cambria" w:eastAsia="Batang" w:hAnsi="Cambria"/>
          <w:sz w:val="20"/>
          <w:szCs w:val="20"/>
          <w:bdr w:val="none" w:sz="0" w:space="0" w:color="auto"/>
          <w:lang w:val="pt-BR"/>
        </w:rPr>
        <w:footnoteReference w:id="127"/>
      </w:r>
      <w:r w:rsidR="00403C88" w:rsidRPr="00187186">
        <w:rPr>
          <w:rFonts w:ascii="Cambria" w:eastAsia="Batang" w:hAnsi="Cambria"/>
          <w:sz w:val="20"/>
          <w:szCs w:val="20"/>
          <w:bdr w:val="none" w:sz="0" w:space="0" w:color="auto"/>
          <w:lang w:val="pt-BR"/>
        </w:rPr>
        <w:t>.</w:t>
      </w:r>
    </w:p>
    <w:p w14:paraId="2EEAE119" w14:textId="77777777" w:rsidR="00E06D0E" w:rsidRPr="00187186" w:rsidRDefault="00E06D0E" w:rsidP="00187186">
      <w:pPr>
        <w:pStyle w:val="ListParagraph"/>
        <w:ind w:left="0"/>
        <w:rPr>
          <w:rFonts w:eastAsia="Batang"/>
          <w:sz w:val="20"/>
          <w:szCs w:val="20"/>
          <w:bdr w:val="none" w:sz="0" w:space="0" w:color="auto"/>
          <w:lang w:val="pt-BR"/>
        </w:rPr>
      </w:pPr>
    </w:p>
    <w:p w14:paraId="03CA4AD6" w14:textId="77777777" w:rsidR="00E06D0E" w:rsidRPr="00187186" w:rsidRDefault="00E06D0E"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pt-BR"/>
        </w:rPr>
      </w:pPr>
      <w:r w:rsidRPr="00187186">
        <w:rPr>
          <w:rFonts w:ascii="Cambria" w:eastAsia="Batang" w:hAnsi="Cambria"/>
          <w:sz w:val="20"/>
          <w:szCs w:val="20"/>
          <w:bdr w:val="none" w:sz="0" w:space="0" w:color="auto"/>
          <w:lang w:val="pt-BR"/>
        </w:rPr>
        <w:t>Em 27 de maio de 1992 iniciou-se o prazo para a apresentação das alegações finais</w:t>
      </w:r>
      <w:r w:rsidR="009D61A6" w:rsidRPr="00187186">
        <w:rPr>
          <w:rStyle w:val="FootnoteReference"/>
          <w:rFonts w:ascii="Cambria" w:eastAsia="Batang" w:hAnsi="Cambria"/>
          <w:sz w:val="20"/>
          <w:szCs w:val="20"/>
          <w:bdr w:val="none" w:sz="0" w:space="0" w:color="auto"/>
          <w:lang w:val="pt-BR"/>
        </w:rPr>
        <w:footnoteReference w:id="128"/>
      </w:r>
      <w:r w:rsidRPr="00187186">
        <w:rPr>
          <w:rFonts w:ascii="Cambria" w:eastAsia="Batang" w:hAnsi="Cambria"/>
          <w:sz w:val="20"/>
          <w:szCs w:val="20"/>
          <w:bdr w:val="none" w:sz="0" w:space="0" w:color="auto"/>
          <w:lang w:val="pt-BR"/>
        </w:rPr>
        <w:t>. Em 8 de junho de 1992 o Ministério Público apresentou suas alegações finais requerendo a impronúncia de Crescêncio Oliveira de Sousa e a pronúncia de Manoel Cardoso Neto e José Pereira da Nóbrega</w:t>
      </w:r>
      <w:r w:rsidR="009D61A6" w:rsidRPr="00187186">
        <w:rPr>
          <w:rStyle w:val="FootnoteReference"/>
          <w:rFonts w:ascii="Cambria" w:eastAsia="Batang" w:hAnsi="Cambria"/>
          <w:sz w:val="20"/>
          <w:szCs w:val="20"/>
          <w:bdr w:val="none" w:sz="0" w:space="0" w:color="auto"/>
          <w:lang w:val="pt-BR"/>
        </w:rPr>
        <w:footnoteReference w:id="129"/>
      </w:r>
      <w:r w:rsidRPr="00187186">
        <w:rPr>
          <w:rFonts w:ascii="Cambria" w:eastAsia="Batang" w:hAnsi="Cambria"/>
          <w:sz w:val="20"/>
          <w:szCs w:val="20"/>
          <w:bdr w:val="none" w:sz="0" w:space="0" w:color="auto"/>
          <w:lang w:val="pt-BR"/>
        </w:rPr>
        <w:t>. Em 3 de dezembro de 1992, a defesa de José Pereira da Nóbrega apresentou alegações finais</w:t>
      </w:r>
      <w:r w:rsidR="009D61A6" w:rsidRPr="00187186">
        <w:rPr>
          <w:rStyle w:val="FootnoteReference"/>
          <w:rFonts w:ascii="Cambria" w:eastAsia="Batang" w:hAnsi="Cambria"/>
          <w:sz w:val="20"/>
          <w:szCs w:val="20"/>
          <w:bdr w:val="none" w:sz="0" w:space="0" w:color="auto"/>
          <w:lang w:val="pt-BR"/>
        </w:rPr>
        <w:footnoteReference w:id="130"/>
      </w:r>
      <w:r w:rsidRPr="00187186">
        <w:rPr>
          <w:rFonts w:ascii="Cambria" w:eastAsia="Batang" w:hAnsi="Cambria"/>
          <w:sz w:val="20"/>
          <w:szCs w:val="20"/>
          <w:bdr w:val="none" w:sz="0" w:space="0" w:color="auto"/>
          <w:lang w:val="pt-BR"/>
        </w:rPr>
        <w:t>. Contudo, em 26 de fevereiro de 1993, o advogado de Manoel Cardoso Neto protocolou pedido de desistência nos autos sem apresentar as alegações finais do réu</w:t>
      </w:r>
      <w:r w:rsidR="009D61A6" w:rsidRPr="00187186">
        <w:rPr>
          <w:rStyle w:val="FootnoteReference"/>
          <w:rFonts w:ascii="Cambria" w:eastAsia="Batang" w:hAnsi="Cambria"/>
          <w:sz w:val="20"/>
          <w:szCs w:val="20"/>
          <w:bdr w:val="none" w:sz="0" w:space="0" w:color="auto"/>
          <w:lang w:val="pt-BR"/>
        </w:rPr>
        <w:footnoteReference w:id="131"/>
      </w:r>
      <w:r w:rsidRPr="00187186">
        <w:rPr>
          <w:rFonts w:ascii="Cambria" w:eastAsia="Batang" w:hAnsi="Cambria"/>
          <w:sz w:val="20"/>
          <w:szCs w:val="20"/>
          <w:bdr w:val="none" w:sz="0" w:space="0" w:color="auto"/>
          <w:lang w:val="pt-BR"/>
        </w:rPr>
        <w:t>.</w:t>
      </w:r>
    </w:p>
    <w:p w14:paraId="02A5A38D" w14:textId="77777777" w:rsidR="00E06D0E" w:rsidRPr="00187186" w:rsidRDefault="00E06D0E" w:rsidP="00187186">
      <w:pPr>
        <w:pStyle w:val="ListParagraph"/>
        <w:ind w:left="0"/>
        <w:rPr>
          <w:rFonts w:eastAsia="Batang"/>
          <w:sz w:val="20"/>
          <w:szCs w:val="20"/>
          <w:bdr w:val="none" w:sz="0" w:space="0" w:color="auto"/>
          <w:lang w:val="pt-BR"/>
        </w:rPr>
      </w:pPr>
    </w:p>
    <w:p w14:paraId="2780075B" w14:textId="77777777" w:rsidR="00E06D0E" w:rsidRPr="00187186" w:rsidRDefault="002D0623"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pt-BR"/>
        </w:rPr>
      </w:pPr>
      <w:r w:rsidRPr="00187186">
        <w:rPr>
          <w:rFonts w:ascii="Cambria" w:eastAsia="Batang" w:hAnsi="Cambria"/>
          <w:sz w:val="20"/>
          <w:szCs w:val="20"/>
          <w:bdr w:val="none" w:sz="0" w:space="0" w:color="auto"/>
          <w:lang w:val="pt-BR"/>
        </w:rPr>
        <w:t>E</w:t>
      </w:r>
      <w:r w:rsidR="00E06D0E" w:rsidRPr="00187186">
        <w:rPr>
          <w:rFonts w:ascii="Cambria" w:eastAsia="Batang" w:hAnsi="Cambria"/>
          <w:sz w:val="20"/>
          <w:szCs w:val="20"/>
          <w:bdr w:val="none" w:sz="0" w:space="0" w:color="auto"/>
          <w:lang w:val="pt-BR"/>
        </w:rPr>
        <w:t>m 28 de setembro de 1995</w:t>
      </w:r>
      <w:r w:rsidRPr="00187186">
        <w:rPr>
          <w:rFonts w:ascii="Cambria" w:eastAsia="Batang" w:hAnsi="Cambria"/>
          <w:sz w:val="20"/>
          <w:szCs w:val="20"/>
          <w:bdr w:val="none" w:sz="0" w:space="0" w:color="auto"/>
          <w:lang w:val="pt-BR"/>
        </w:rPr>
        <w:t xml:space="preserve"> foi no</w:t>
      </w:r>
      <w:r w:rsidR="00CF2B79" w:rsidRPr="00187186">
        <w:rPr>
          <w:rFonts w:ascii="Cambria" w:eastAsia="Batang" w:hAnsi="Cambria"/>
          <w:sz w:val="20"/>
          <w:szCs w:val="20"/>
          <w:bdr w:val="none" w:sz="0" w:space="0" w:color="auto"/>
          <w:lang w:val="pt-BR"/>
        </w:rPr>
        <w:t>m</w:t>
      </w:r>
      <w:r w:rsidRPr="00187186">
        <w:rPr>
          <w:rFonts w:ascii="Cambria" w:eastAsia="Batang" w:hAnsi="Cambria"/>
          <w:sz w:val="20"/>
          <w:szCs w:val="20"/>
          <w:bdr w:val="none" w:sz="0" w:space="0" w:color="auto"/>
          <w:lang w:val="pt-BR"/>
        </w:rPr>
        <w:t>eado</w:t>
      </w:r>
      <w:r w:rsidR="00E06D0E" w:rsidRPr="00187186">
        <w:rPr>
          <w:rFonts w:ascii="Cambria" w:eastAsia="Batang" w:hAnsi="Cambria"/>
          <w:sz w:val="20"/>
          <w:szCs w:val="20"/>
          <w:bdr w:val="none" w:sz="0" w:space="0" w:color="auto"/>
          <w:lang w:val="pt-BR"/>
        </w:rPr>
        <w:t xml:space="preserve"> um Defensor Público para atuar </w:t>
      </w:r>
      <w:r w:rsidRPr="00187186">
        <w:rPr>
          <w:rFonts w:ascii="Cambria" w:eastAsia="Batang" w:hAnsi="Cambria"/>
          <w:sz w:val="20"/>
          <w:szCs w:val="20"/>
          <w:bdr w:val="none" w:sz="0" w:space="0" w:color="auto"/>
          <w:lang w:val="pt-BR"/>
        </w:rPr>
        <w:t>na defesa de Manoel Cardoso Neto, que não havia se manifestado no processo até então</w:t>
      </w:r>
      <w:r w:rsidR="009D61A6" w:rsidRPr="00187186">
        <w:rPr>
          <w:rStyle w:val="FootnoteReference"/>
          <w:rFonts w:ascii="Cambria" w:eastAsia="Batang" w:hAnsi="Cambria"/>
          <w:sz w:val="20"/>
          <w:szCs w:val="20"/>
          <w:bdr w:val="none" w:sz="0" w:space="0" w:color="auto"/>
          <w:lang w:val="pt-BR"/>
        </w:rPr>
        <w:footnoteReference w:id="132"/>
      </w:r>
      <w:r w:rsidR="00E06D0E" w:rsidRPr="00187186">
        <w:rPr>
          <w:rFonts w:ascii="Cambria" w:eastAsia="Batang" w:hAnsi="Cambria"/>
          <w:sz w:val="20"/>
          <w:szCs w:val="20"/>
          <w:bdr w:val="none" w:sz="0" w:space="0" w:color="auto"/>
          <w:lang w:val="pt-BR"/>
        </w:rPr>
        <w:t>. Em 20 de abril de 1996, a Defensoria Pública solicitou sua desistência da defesa do acusado, com o fundamento de que ele era fazendeiro e teria recursos para constituir advogado</w:t>
      </w:r>
      <w:r w:rsidR="009D61A6" w:rsidRPr="00187186">
        <w:rPr>
          <w:rStyle w:val="FootnoteReference"/>
          <w:rFonts w:ascii="Cambria" w:eastAsia="Batang" w:hAnsi="Cambria"/>
          <w:sz w:val="20"/>
          <w:szCs w:val="20"/>
          <w:bdr w:val="none" w:sz="0" w:space="0" w:color="auto"/>
          <w:lang w:val="pt-BR"/>
        </w:rPr>
        <w:footnoteReference w:id="133"/>
      </w:r>
      <w:r w:rsidR="00E06D0E" w:rsidRPr="00187186">
        <w:rPr>
          <w:rFonts w:ascii="Cambria" w:eastAsia="Batang" w:hAnsi="Cambria"/>
          <w:sz w:val="20"/>
          <w:szCs w:val="20"/>
          <w:bdr w:val="none" w:sz="0" w:space="0" w:color="auto"/>
          <w:lang w:val="pt-BR"/>
        </w:rPr>
        <w:t>. Em 3 de junho de 1996 foi determinada a intimação do acusado, via Carta Precatória, para que, em 48 horas, constituísse novo advogado e, enfim, apresentasse suas alegações finais</w:t>
      </w:r>
      <w:r w:rsidR="009D61A6" w:rsidRPr="00187186">
        <w:rPr>
          <w:rStyle w:val="FootnoteReference"/>
          <w:rFonts w:ascii="Cambria" w:eastAsia="Batang" w:hAnsi="Cambria"/>
          <w:sz w:val="20"/>
          <w:szCs w:val="20"/>
          <w:bdr w:val="none" w:sz="0" w:space="0" w:color="auto"/>
          <w:lang w:val="pt-BR"/>
        </w:rPr>
        <w:footnoteReference w:id="134"/>
      </w:r>
      <w:r w:rsidR="00E06D0E" w:rsidRPr="00187186">
        <w:rPr>
          <w:rFonts w:ascii="Cambria" w:eastAsia="Batang" w:hAnsi="Cambria"/>
          <w:sz w:val="20"/>
          <w:szCs w:val="20"/>
          <w:bdr w:val="none" w:sz="0" w:space="0" w:color="auto"/>
          <w:lang w:val="pt-BR"/>
        </w:rPr>
        <w:t>. Em 16 de julho de 1996 Manoel Cardoso Neto compareceu ao fórum de Vitória da Conquista na Bahia e informou que não possuía recursos para a contratação de um advogado</w:t>
      </w:r>
      <w:r w:rsidR="009D61A6" w:rsidRPr="00187186">
        <w:rPr>
          <w:rStyle w:val="FootnoteReference"/>
          <w:rFonts w:ascii="Cambria" w:eastAsia="Batang" w:hAnsi="Cambria"/>
          <w:sz w:val="20"/>
          <w:szCs w:val="20"/>
          <w:bdr w:val="none" w:sz="0" w:space="0" w:color="auto"/>
          <w:lang w:val="pt-BR"/>
        </w:rPr>
        <w:footnoteReference w:id="135"/>
      </w:r>
      <w:r w:rsidR="00E06D0E" w:rsidRPr="00187186">
        <w:rPr>
          <w:rFonts w:ascii="Cambria" w:eastAsia="Batang" w:hAnsi="Cambria"/>
          <w:sz w:val="20"/>
          <w:szCs w:val="20"/>
          <w:bdr w:val="none" w:sz="0" w:space="0" w:color="auto"/>
          <w:lang w:val="pt-BR"/>
        </w:rPr>
        <w:t>. Em 12 de maio de 1997, Rafael Sales Pimenta, irmão da vítima, habilitou um advogado como assistente de acusação nos autos</w:t>
      </w:r>
      <w:r w:rsidR="009D61A6" w:rsidRPr="00187186">
        <w:rPr>
          <w:rStyle w:val="FootnoteReference"/>
          <w:rFonts w:ascii="Cambria" w:eastAsia="Batang" w:hAnsi="Cambria"/>
          <w:sz w:val="20"/>
          <w:szCs w:val="20"/>
          <w:bdr w:val="none" w:sz="0" w:space="0" w:color="auto"/>
          <w:lang w:val="pt-BR"/>
        </w:rPr>
        <w:footnoteReference w:id="136"/>
      </w:r>
      <w:r w:rsidR="00BE0140" w:rsidRPr="00187186">
        <w:rPr>
          <w:rFonts w:ascii="Cambria" w:eastAsia="Batang" w:hAnsi="Cambria"/>
          <w:sz w:val="20"/>
          <w:szCs w:val="20"/>
          <w:bdr w:val="none" w:sz="0" w:space="0" w:color="auto"/>
          <w:lang w:val="pt-BR"/>
        </w:rPr>
        <w:t xml:space="preserve"> </w:t>
      </w:r>
      <w:r w:rsidR="00E06D0E" w:rsidRPr="00187186">
        <w:rPr>
          <w:rFonts w:ascii="Cambria" w:eastAsia="Batang" w:hAnsi="Cambria"/>
          <w:sz w:val="20"/>
          <w:szCs w:val="20"/>
          <w:bdr w:val="none" w:sz="0" w:space="0" w:color="auto"/>
          <w:lang w:val="pt-BR"/>
        </w:rPr>
        <w:t>e, com vistas a agilizar o processo, solicitou que os autos fossem novamente remetidos à Defensoria Pública para a elaboração da defesa de Manoel Cardoso Neto</w:t>
      </w:r>
      <w:r w:rsidR="009D61A6" w:rsidRPr="00187186">
        <w:rPr>
          <w:rStyle w:val="FootnoteReference"/>
          <w:rFonts w:ascii="Cambria" w:eastAsia="Batang" w:hAnsi="Cambria"/>
          <w:sz w:val="20"/>
          <w:szCs w:val="20"/>
          <w:bdr w:val="none" w:sz="0" w:space="0" w:color="auto"/>
          <w:lang w:val="pt-BR"/>
        </w:rPr>
        <w:footnoteReference w:id="137"/>
      </w:r>
      <w:r w:rsidR="00E06D0E" w:rsidRPr="00187186">
        <w:rPr>
          <w:rFonts w:ascii="Cambria" w:eastAsia="Batang" w:hAnsi="Cambria"/>
          <w:sz w:val="20"/>
          <w:szCs w:val="20"/>
          <w:bdr w:val="none" w:sz="0" w:space="0" w:color="auto"/>
          <w:lang w:val="pt-BR"/>
        </w:rPr>
        <w:t>. Em 28 de junho de 1997, a Defensoria Pública apresentou as alegações finais de Manoel Cardoso Neto</w:t>
      </w:r>
      <w:r w:rsidR="009D61A6" w:rsidRPr="00187186">
        <w:rPr>
          <w:rStyle w:val="FootnoteReference"/>
          <w:rFonts w:ascii="Cambria" w:eastAsia="Batang" w:hAnsi="Cambria"/>
          <w:sz w:val="20"/>
          <w:szCs w:val="20"/>
          <w:bdr w:val="none" w:sz="0" w:space="0" w:color="auto"/>
          <w:lang w:val="pt-BR"/>
        </w:rPr>
        <w:footnoteReference w:id="138"/>
      </w:r>
      <w:r w:rsidR="00E06D0E" w:rsidRPr="00187186">
        <w:rPr>
          <w:rFonts w:ascii="Cambria" w:eastAsia="Batang" w:hAnsi="Cambria"/>
          <w:sz w:val="20"/>
          <w:szCs w:val="20"/>
          <w:bdr w:val="none" w:sz="0" w:space="0" w:color="auto"/>
          <w:lang w:val="pt-BR"/>
        </w:rPr>
        <w:t xml:space="preserve">. Em 29 de julho de 1997, o Ministério Público solicitou a admissão de Rafael </w:t>
      </w:r>
      <w:r w:rsidR="00E06D0E" w:rsidRPr="00187186">
        <w:rPr>
          <w:rFonts w:ascii="Cambria" w:eastAsia="Batang" w:hAnsi="Cambria"/>
          <w:sz w:val="20"/>
          <w:szCs w:val="20"/>
          <w:bdr w:val="none" w:sz="0" w:space="0" w:color="auto"/>
          <w:lang w:val="pt-BR"/>
        </w:rPr>
        <w:lastRenderedPageBreak/>
        <w:t>Sales Pimenta como assistente de acusação</w:t>
      </w:r>
      <w:r w:rsidR="009D61A6" w:rsidRPr="00187186">
        <w:rPr>
          <w:rStyle w:val="FootnoteReference"/>
          <w:rFonts w:ascii="Cambria" w:eastAsia="Batang" w:hAnsi="Cambria"/>
          <w:sz w:val="20"/>
          <w:szCs w:val="20"/>
          <w:bdr w:val="none" w:sz="0" w:space="0" w:color="auto"/>
          <w:lang w:val="pt-BR"/>
        </w:rPr>
        <w:footnoteReference w:id="139"/>
      </w:r>
      <w:r w:rsidR="00E06D0E" w:rsidRPr="00187186">
        <w:rPr>
          <w:rFonts w:ascii="Cambria" w:eastAsia="Batang" w:hAnsi="Cambria"/>
          <w:sz w:val="20"/>
          <w:szCs w:val="20"/>
          <w:bdr w:val="none" w:sz="0" w:space="0" w:color="auto"/>
          <w:lang w:val="pt-BR"/>
        </w:rPr>
        <w:t>. Em 27 de abril de 1998, foram apresentadas as últimas alegações finais do processo do acusado Crescêncio Oliveira de Sousa</w:t>
      </w:r>
      <w:r w:rsidR="009D61A6" w:rsidRPr="00187186">
        <w:rPr>
          <w:rStyle w:val="FootnoteReference"/>
          <w:rFonts w:ascii="Cambria" w:eastAsia="Batang" w:hAnsi="Cambria"/>
          <w:sz w:val="20"/>
          <w:szCs w:val="20"/>
          <w:bdr w:val="none" w:sz="0" w:space="0" w:color="auto"/>
          <w:lang w:val="pt-BR"/>
        </w:rPr>
        <w:footnoteReference w:id="140"/>
      </w:r>
      <w:r w:rsidR="00E06D0E" w:rsidRPr="00187186">
        <w:rPr>
          <w:rFonts w:ascii="Cambria" w:eastAsia="Batang" w:hAnsi="Cambria"/>
          <w:sz w:val="20"/>
          <w:szCs w:val="20"/>
          <w:bdr w:val="none" w:sz="0" w:space="0" w:color="auto"/>
          <w:lang w:val="pt-BR"/>
        </w:rPr>
        <w:t>.</w:t>
      </w:r>
    </w:p>
    <w:p w14:paraId="75A6EB33" w14:textId="77777777" w:rsidR="00E06D0E" w:rsidRPr="00187186" w:rsidRDefault="00E06D0E" w:rsidP="001871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14:paraId="1F99FCC3" w14:textId="77777777" w:rsidR="002D0623" w:rsidRPr="00187186" w:rsidRDefault="002D0623"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pt-BR"/>
        </w:rPr>
      </w:pPr>
      <w:r w:rsidRPr="00187186">
        <w:rPr>
          <w:rFonts w:ascii="Cambria" w:eastAsia="Batang" w:hAnsi="Cambria"/>
          <w:sz w:val="20"/>
          <w:szCs w:val="20"/>
          <w:bdr w:val="none" w:sz="0" w:space="0" w:color="auto"/>
          <w:lang w:val="pt-BR"/>
        </w:rPr>
        <w:t>Em 1</w:t>
      </w:r>
      <w:r w:rsidR="00E06D0E" w:rsidRPr="00187186">
        <w:rPr>
          <w:rFonts w:ascii="Cambria" w:eastAsia="Batang" w:hAnsi="Cambria"/>
          <w:sz w:val="20"/>
          <w:szCs w:val="20"/>
          <w:bdr w:val="none" w:sz="0" w:space="0" w:color="auto"/>
          <w:lang w:val="pt-BR"/>
        </w:rPr>
        <w:t xml:space="preserve"> de agosto de 1999, o acusado José Pereira da Nóbrega faleceu</w:t>
      </w:r>
      <w:r w:rsidR="007A208C" w:rsidRPr="00187186">
        <w:rPr>
          <w:rFonts w:ascii="Cambria" w:eastAsia="Batang" w:hAnsi="Cambria"/>
          <w:sz w:val="20"/>
          <w:szCs w:val="20"/>
          <w:bdr w:val="none" w:sz="0" w:space="0" w:color="auto"/>
          <w:lang w:val="pt-BR"/>
        </w:rPr>
        <w:t>. Em virtude disso, em 23 de novembro de 1999 o Ministério Público solicitou fosse</w:t>
      </w:r>
      <w:r w:rsidR="00E06D0E" w:rsidRPr="00187186">
        <w:rPr>
          <w:rFonts w:ascii="Cambria" w:eastAsia="Batang" w:hAnsi="Cambria"/>
          <w:sz w:val="20"/>
          <w:szCs w:val="20"/>
          <w:bdr w:val="none" w:sz="0" w:space="0" w:color="auto"/>
          <w:lang w:val="pt-BR"/>
        </w:rPr>
        <w:t xml:space="preserve"> declarada extinta sua punibilidade</w:t>
      </w:r>
      <w:r w:rsidR="007A208C" w:rsidRPr="00187186">
        <w:rPr>
          <w:rFonts w:ascii="Cambria" w:eastAsia="Batang" w:hAnsi="Cambria"/>
          <w:sz w:val="20"/>
          <w:szCs w:val="20"/>
          <w:bdr w:val="none" w:sz="0" w:space="0" w:color="auto"/>
          <w:lang w:val="pt-BR"/>
        </w:rPr>
        <w:t>. A decisão que decretou essa extinção, porém, foi proferida somente em 31 de agosto de 2000</w:t>
      </w:r>
      <w:r w:rsidR="009D61A6" w:rsidRPr="00187186">
        <w:rPr>
          <w:rStyle w:val="FootnoteReference"/>
          <w:rFonts w:ascii="Cambria" w:eastAsia="Batang" w:hAnsi="Cambria"/>
          <w:sz w:val="20"/>
          <w:szCs w:val="20"/>
          <w:bdr w:val="none" w:sz="0" w:space="0" w:color="auto"/>
          <w:lang w:val="pt-BR"/>
        </w:rPr>
        <w:footnoteReference w:id="141"/>
      </w:r>
      <w:r w:rsidR="00E06D0E" w:rsidRPr="00187186">
        <w:rPr>
          <w:rFonts w:ascii="Cambria" w:eastAsia="Batang" w:hAnsi="Cambria"/>
          <w:sz w:val="20"/>
          <w:szCs w:val="20"/>
          <w:bdr w:val="none" w:sz="0" w:space="0" w:color="auto"/>
          <w:lang w:val="pt-BR"/>
        </w:rPr>
        <w:t xml:space="preserve">. </w:t>
      </w:r>
      <w:r w:rsidR="007A208C" w:rsidRPr="00187186">
        <w:rPr>
          <w:rFonts w:ascii="Cambria" w:eastAsia="Batang" w:hAnsi="Cambria"/>
          <w:sz w:val="20"/>
          <w:szCs w:val="20"/>
          <w:bdr w:val="none" w:sz="0" w:space="0" w:color="auto"/>
          <w:lang w:val="pt-BR"/>
        </w:rPr>
        <w:t xml:space="preserve">Em função dessa extinção, </w:t>
      </w:r>
      <w:r w:rsidR="00E06D0E" w:rsidRPr="00187186">
        <w:rPr>
          <w:rFonts w:ascii="Cambria" w:eastAsia="Batang" w:hAnsi="Cambria"/>
          <w:sz w:val="20"/>
          <w:szCs w:val="20"/>
          <w:bdr w:val="none" w:sz="0" w:space="0" w:color="auto"/>
          <w:lang w:val="pt-BR"/>
        </w:rPr>
        <w:t>apenas Manoel Cardoso Neto foi pronunciado</w:t>
      </w:r>
      <w:r w:rsidR="009D61A6" w:rsidRPr="00187186">
        <w:rPr>
          <w:rStyle w:val="FootnoteReference"/>
          <w:rFonts w:ascii="Cambria" w:eastAsia="Batang" w:hAnsi="Cambria"/>
          <w:sz w:val="20"/>
          <w:szCs w:val="20"/>
          <w:bdr w:val="none" w:sz="0" w:space="0" w:color="auto"/>
          <w:lang w:val="pt-BR"/>
        </w:rPr>
        <w:footnoteReference w:id="142"/>
      </w:r>
      <w:r w:rsidR="00E06D0E" w:rsidRPr="00187186">
        <w:rPr>
          <w:rFonts w:ascii="Cambria" w:eastAsia="Batang" w:hAnsi="Cambria"/>
          <w:sz w:val="20"/>
          <w:szCs w:val="20"/>
          <w:bdr w:val="none" w:sz="0" w:space="0" w:color="auto"/>
          <w:lang w:val="pt-BR"/>
        </w:rPr>
        <w:t>. A denúncia também foi julgada improcedente em relação a Crescêncio de Oliveira Sousa</w:t>
      </w:r>
      <w:r w:rsidRPr="00187186">
        <w:rPr>
          <w:rFonts w:ascii="Cambria" w:eastAsia="Batang" w:hAnsi="Cambria"/>
          <w:sz w:val="20"/>
          <w:szCs w:val="20"/>
          <w:bdr w:val="none" w:sz="0" w:space="0" w:color="auto"/>
          <w:lang w:val="pt-BR"/>
        </w:rPr>
        <w:t xml:space="preserve"> por falta de provas</w:t>
      </w:r>
      <w:r w:rsidR="00E06D0E" w:rsidRPr="00187186">
        <w:rPr>
          <w:rFonts w:ascii="Cambria" w:eastAsia="Batang" w:hAnsi="Cambria"/>
          <w:sz w:val="20"/>
          <w:szCs w:val="20"/>
          <w:bdr w:val="none" w:sz="0" w:space="0" w:color="auto"/>
          <w:lang w:val="pt-BR"/>
        </w:rPr>
        <w:t>. Na sentença de pronúncia, o Juiz reconheceu que</w:t>
      </w:r>
      <w:r w:rsidRPr="00187186">
        <w:rPr>
          <w:rFonts w:ascii="Cambria" w:eastAsia="Batang" w:hAnsi="Cambria"/>
          <w:sz w:val="20"/>
          <w:szCs w:val="20"/>
          <w:bdr w:val="none" w:sz="0" w:space="0" w:color="auto"/>
          <w:lang w:val="pt-BR"/>
        </w:rPr>
        <w:t>,</w:t>
      </w:r>
      <w:r w:rsidR="00E06D0E" w:rsidRPr="00187186">
        <w:rPr>
          <w:rFonts w:ascii="Cambria" w:eastAsia="Batang" w:hAnsi="Cambria"/>
          <w:sz w:val="20"/>
          <w:szCs w:val="20"/>
          <w:bdr w:val="none" w:sz="0" w:space="0" w:color="auto"/>
          <w:lang w:val="pt-BR"/>
        </w:rPr>
        <w:t xml:space="preserve"> “[p]elas provas contidas no caderno processual, este juízo está convencido da existência do crime e de serem os denunciados Manoel Cardoso Neto e José Pereira da Nóbrega os seus autores”</w:t>
      </w:r>
      <w:r w:rsidR="009D61A6" w:rsidRPr="00187186">
        <w:rPr>
          <w:rStyle w:val="FootnoteReference"/>
          <w:rFonts w:ascii="Cambria" w:eastAsia="Batang" w:hAnsi="Cambria"/>
          <w:sz w:val="20"/>
          <w:szCs w:val="20"/>
          <w:bdr w:val="none" w:sz="0" w:space="0" w:color="auto"/>
          <w:lang w:val="pt-BR"/>
        </w:rPr>
        <w:t xml:space="preserve"> </w:t>
      </w:r>
      <w:r w:rsidR="009D61A6" w:rsidRPr="00187186">
        <w:rPr>
          <w:rStyle w:val="FootnoteReference"/>
          <w:rFonts w:ascii="Cambria" w:eastAsia="Batang" w:hAnsi="Cambria"/>
          <w:sz w:val="20"/>
          <w:szCs w:val="20"/>
          <w:bdr w:val="none" w:sz="0" w:space="0" w:color="auto"/>
          <w:lang w:val="pt-BR"/>
        </w:rPr>
        <w:footnoteReference w:id="143"/>
      </w:r>
      <w:r w:rsidR="00E06D0E" w:rsidRPr="00187186">
        <w:rPr>
          <w:rFonts w:ascii="Cambria" w:eastAsia="Batang" w:hAnsi="Cambria"/>
          <w:sz w:val="20"/>
          <w:szCs w:val="20"/>
          <w:bdr w:val="none" w:sz="0" w:space="0" w:color="auto"/>
          <w:lang w:val="pt-BR"/>
        </w:rPr>
        <w:t>. Entre janeiro e maio de 2001 Manoel Cardoso Neto foi intimado 3 vezes para tomar ciência da sentença de pronúncia</w:t>
      </w:r>
      <w:r w:rsidR="009D61A6" w:rsidRPr="00187186">
        <w:rPr>
          <w:rStyle w:val="FootnoteReference"/>
          <w:rFonts w:ascii="Cambria" w:eastAsia="Batang" w:hAnsi="Cambria"/>
          <w:sz w:val="20"/>
          <w:szCs w:val="20"/>
          <w:bdr w:val="none" w:sz="0" w:space="0" w:color="auto"/>
          <w:lang w:val="pt-BR"/>
        </w:rPr>
        <w:footnoteReference w:id="144"/>
      </w:r>
      <w:r w:rsidR="00E06D0E" w:rsidRPr="00187186">
        <w:rPr>
          <w:rFonts w:ascii="Cambria" w:eastAsia="Batang" w:hAnsi="Cambria"/>
          <w:sz w:val="20"/>
          <w:szCs w:val="20"/>
          <w:bdr w:val="none" w:sz="0" w:space="0" w:color="auto"/>
          <w:lang w:val="pt-BR"/>
        </w:rPr>
        <w:t xml:space="preserve"> que, em 7 de janeiro de 2002, transitou em julgado</w:t>
      </w:r>
      <w:r w:rsidR="009D61A6" w:rsidRPr="00187186">
        <w:rPr>
          <w:rStyle w:val="FootnoteReference"/>
          <w:rFonts w:ascii="Cambria" w:eastAsia="Batang" w:hAnsi="Cambria"/>
          <w:sz w:val="20"/>
          <w:szCs w:val="20"/>
          <w:bdr w:val="none" w:sz="0" w:space="0" w:color="auto"/>
          <w:lang w:val="pt-BR"/>
        </w:rPr>
        <w:footnoteReference w:id="145"/>
      </w:r>
      <w:r w:rsidR="00E06D0E" w:rsidRPr="00187186">
        <w:rPr>
          <w:rFonts w:ascii="Cambria" w:eastAsia="Batang" w:hAnsi="Cambria"/>
          <w:sz w:val="20"/>
          <w:szCs w:val="20"/>
          <w:bdr w:val="none" w:sz="0" w:space="0" w:color="auto"/>
          <w:lang w:val="pt-BR"/>
        </w:rPr>
        <w:t>. O Ministério Público apresentou o libelo acusatório em</w:t>
      </w:r>
      <w:r w:rsidRPr="00187186">
        <w:rPr>
          <w:rFonts w:ascii="Cambria" w:eastAsia="Batang" w:hAnsi="Cambria"/>
          <w:sz w:val="20"/>
          <w:szCs w:val="20"/>
          <w:bdr w:val="none" w:sz="0" w:space="0" w:color="auto"/>
          <w:lang w:val="pt-BR"/>
        </w:rPr>
        <w:t xml:space="preserve"> 22 de janeiro de 2002</w:t>
      </w:r>
      <w:r w:rsidR="009D61A6" w:rsidRPr="00187186">
        <w:rPr>
          <w:rStyle w:val="FootnoteReference"/>
          <w:rFonts w:ascii="Cambria" w:eastAsia="Batang" w:hAnsi="Cambria"/>
          <w:sz w:val="20"/>
          <w:szCs w:val="20"/>
          <w:bdr w:val="none" w:sz="0" w:space="0" w:color="auto"/>
          <w:lang w:val="pt-BR"/>
        </w:rPr>
        <w:footnoteReference w:id="146"/>
      </w:r>
      <w:r w:rsidRPr="00187186">
        <w:rPr>
          <w:rFonts w:ascii="Cambria" w:eastAsia="Batang" w:hAnsi="Cambria"/>
          <w:sz w:val="20"/>
          <w:szCs w:val="20"/>
          <w:bdr w:val="none" w:sz="0" w:space="0" w:color="auto"/>
          <w:lang w:val="pt-BR"/>
        </w:rPr>
        <w:t xml:space="preserve"> e a Defensoria Pública apresentou a contrariedade ao libelo em 4 de março de 2002</w:t>
      </w:r>
      <w:r w:rsidR="009D61A6" w:rsidRPr="00187186">
        <w:rPr>
          <w:rStyle w:val="FootnoteReference"/>
          <w:rFonts w:ascii="Cambria" w:eastAsia="Batang" w:hAnsi="Cambria"/>
          <w:sz w:val="20"/>
          <w:szCs w:val="20"/>
          <w:bdr w:val="none" w:sz="0" w:space="0" w:color="auto"/>
          <w:lang w:val="pt-BR"/>
        </w:rPr>
        <w:footnoteReference w:id="147"/>
      </w:r>
      <w:r w:rsidRPr="00187186">
        <w:rPr>
          <w:rFonts w:ascii="Cambria" w:eastAsia="Batang" w:hAnsi="Cambria"/>
          <w:sz w:val="20"/>
          <w:szCs w:val="20"/>
          <w:bdr w:val="none" w:sz="0" w:space="0" w:color="auto"/>
          <w:lang w:val="pt-BR"/>
        </w:rPr>
        <w:t>. Após a apresentação do libelo acusatório, a Sessão do Tribunal do Júri foi designada para o dia 23 de maio de 2002</w:t>
      </w:r>
      <w:r w:rsidR="009D61A6" w:rsidRPr="00187186">
        <w:rPr>
          <w:rStyle w:val="FootnoteReference"/>
          <w:rFonts w:ascii="Cambria" w:eastAsia="Batang" w:hAnsi="Cambria"/>
          <w:sz w:val="20"/>
          <w:szCs w:val="20"/>
          <w:bdr w:val="none" w:sz="0" w:space="0" w:color="auto"/>
          <w:lang w:val="pt-BR"/>
        </w:rPr>
        <w:footnoteReference w:id="148"/>
      </w:r>
      <w:r w:rsidRPr="00187186">
        <w:rPr>
          <w:rFonts w:ascii="Cambria" w:eastAsia="Batang" w:hAnsi="Cambria"/>
          <w:sz w:val="20"/>
          <w:szCs w:val="20"/>
          <w:bdr w:val="none" w:sz="0" w:space="0" w:color="auto"/>
          <w:lang w:val="pt-BR"/>
        </w:rPr>
        <w:t>, mas não pôde ser realizada por conta do desaparecimento do réu. Em 7 de maio de 2002, foi ordenada a notificação da data da audiência às testemunhas da acusação</w:t>
      </w:r>
      <w:r w:rsidR="009D61A6" w:rsidRPr="00187186">
        <w:rPr>
          <w:rStyle w:val="FootnoteReference"/>
          <w:rFonts w:ascii="Cambria" w:eastAsia="Batang" w:hAnsi="Cambria"/>
          <w:sz w:val="20"/>
          <w:szCs w:val="20"/>
          <w:bdr w:val="none" w:sz="0" w:space="0" w:color="auto"/>
          <w:lang w:val="pt-BR"/>
        </w:rPr>
        <w:footnoteReference w:id="149"/>
      </w:r>
      <w:r w:rsidRPr="00187186">
        <w:rPr>
          <w:rFonts w:ascii="Cambria" w:eastAsia="Batang" w:hAnsi="Cambria"/>
          <w:sz w:val="20"/>
          <w:szCs w:val="20"/>
          <w:bdr w:val="none" w:sz="0" w:space="0" w:color="auto"/>
          <w:lang w:val="pt-BR"/>
        </w:rPr>
        <w:t>. Duas testemunhas não foram encontradas, incluindo a única testemunha ocular</w:t>
      </w:r>
      <w:r w:rsidR="009D61A6" w:rsidRPr="00187186">
        <w:rPr>
          <w:rStyle w:val="FootnoteReference"/>
          <w:rFonts w:ascii="Cambria" w:eastAsia="Batang" w:hAnsi="Cambria"/>
          <w:sz w:val="20"/>
          <w:szCs w:val="20"/>
          <w:bdr w:val="none" w:sz="0" w:space="0" w:color="auto"/>
          <w:lang w:val="pt-BR"/>
        </w:rPr>
        <w:footnoteReference w:id="150"/>
      </w:r>
      <w:r w:rsidRPr="00187186">
        <w:rPr>
          <w:rFonts w:ascii="Cambria" w:eastAsia="Batang" w:hAnsi="Cambria"/>
          <w:sz w:val="20"/>
          <w:szCs w:val="20"/>
          <w:bdr w:val="none" w:sz="0" w:space="0" w:color="auto"/>
          <w:lang w:val="pt-BR"/>
        </w:rPr>
        <w:t xml:space="preserve">, Luzia Batista da Silva, </w:t>
      </w:r>
      <w:r w:rsidR="001B220C" w:rsidRPr="00187186">
        <w:rPr>
          <w:rFonts w:ascii="Cambria" w:eastAsia="Batang" w:hAnsi="Cambria"/>
          <w:sz w:val="20"/>
          <w:szCs w:val="20"/>
          <w:bdr w:val="none" w:sz="0" w:space="0" w:color="auto"/>
          <w:lang w:val="pt-BR"/>
        </w:rPr>
        <w:t>que</w:t>
      </w:r>
      <w:r w:rsidRPr="00187186">
        <w:rPr>
          <w:rFonts w:ascii="Cambria" w:eastAsia="Batang" w:hAnsi="Cambria"/>
          <w:sz w:val="20"/>
          <w:szCs w:val="20"/>
          <w:bdr w:val="none" w:sz="0" w:space="0" w:color="auto"/>
          <w:lang w:val="pt-BR"/>
        </w:rPr>
        <w:t xml:space="preserve"> teria falecido</w:t>
      </w:r>
      <w:r w:rsidR="001B220C" w:rsidRPr="00187186">
        <w:rPr>
          <w:rFonts w:ascii="Cambria" w:eastAsia="Batang" w:hAnsi="Cambria"/>
          <w:sz w:val="20"/>
          <w:szCs w:val="20"/>
          <w:bdr w:val="none" w:sz="0" w:space="0" w:color="auto"/>
          <w:lang w:val="pt-BR"/>
        </w:rPr>
        <w:t xml:space="preserve"> segundo o relato de seus vizinhos</w:t>
      </w:r>
      <w:r w:rsidR="009D61A6" w:rsidRPr="00187186">
        <w:rPr>
          <w:rStyle w:val="FootnoteReference"/>
          <w:rFonts w:ascii="Cambria" w:eastAsia="Batang" w:hAnsi="Cambria"/>
          <w:sz w:val="20"/>
          <w:szCs w:val="20"/>
          <w:bdr w:val="none" w:sz="0" w:space="0" w:color="auto"/>
          <w:lang w:val="pt-BR"/>
        </w:rPr>
        <w:footnoteReference w:id="151"/>
      </w:r>
      <w:r w:rsidRPr="00187186">
        <w:rPr>
          <w:rFonts w:ascii="Cambria" w:eastAsia="Batang" w:hAnsi="Cambria"/>
          <w:sz w:val="20"/>
          <w:szCs w:val="20"/>
          <w:bdr w:val="none" w:sz="0" w:space="0" w:color="auto"/>
          <w:lang w:val="pt-BR"/>
        </w:rPr>
        <w:t>. Em 23 de maio de 2002, dia marcado para a realização da Sessão do Júri, Manoel Cardoso Neto não compareceu por não ter sido localizado pelo Poder Judiciário. Segundo sua ex-esposa, ele já não morava no endereço fornecido ao Tribunal</w:t>
      </w:r>
      <w:r w:rsidR="009D61A6" w:rsidRPr="00187186">
        <w:rPr>
          <w:rStyle w:val="FootnoteReference"/>
          <w:rFonts w:ascii="Cambria" w:eastAsia="Batang" w:hAnsi="Cambria"/>
          <w:sz w:val="20"/>
          <w:szCs w:val="20"/>
          <w:bdr w:val="none" w:sz="0" w:space="0" w:color="auto"/>
          <w:lang w:val="pt-BR"/>
        </w:rPr>
        <w:footnoteReference w:id="152"/>
      </w:r>
      <w:r w:rsidRPr="00187186">
        <w:rPr>
          <w:rFonts w:ascii="Cambria" w:eastAsia="Batang" w:hAnsi="Cambria"/>
          <w:sz w:val="20"/>
          <w:szCs w:val="20"/>
          <w:bdr w:val="none" w:sz="0" w:space="0" w:color="auto"/>
          <w:lang w:val="pt-BR"/>
        </w:rPr>
        <w:t>. Na mesma data, um novo Mandado de Prisão foi então emitido contra Manoel Cardoso Neto</w:t>
      </w:r>
      <w:r w:rsidR="009D61A6" w:rsidRPr="00187186">
        <w:rPr>
          <w:rStyle w:val="FootnoteReference"/>
          <w:rFonts w:ascii="Cambria" w:eastAsia="Batang" w:hAnsi="Cambria"/>
          <w:sz w:val="20"/>
          <w:szCs w:val="20"/>
          <w:bdr w:val="none" w:sz="0" w:space="0" w:color="auto"/>
          <w:lang w:val="pt-BR"/>
        </w:rPr>
        <w:footnoteReference w:id="153"/>
      </w:r>
      <w:r w:rsidRPr="00187186">
        <w:rPr>
          <w:rFonts w:ascii="Cambria" w:eastAsia="Batang" w:hAnsi="Cambria"/>
          <w:sz w:val="20"/>
          <w:szCs w:val="20"/>
          <w:bdr w:val="none" w:sz="0" w:space="0" w:color="auto"/>
          <w:lang w:val="pt-BR"/>
        </w:rPr>
        <w:t xml:space="preserve">. </w:t>
      </w:r>
      <w:r w:rsidR="001B220C" w:rsidRPr="00187186">
        <w:rPr>
          <w:rFonts w:ascii="Cambria" w:eastAsia="Batang" w:hAnsi="Cambria"/>
          <w:sz w:val="20"/>
          <w:szCs w:val="20"/>
          <w:bdr w:val="none" w:sz="0" w:space="0" w:color="auto"/>
          <w:lang w:val="pt-BR"/>
        </w:rPr>
        <w:t>O</w:t>
      </w:r>
      <w:r w:rsidRPr="00187186">
        <w:rPr>
          <w:rFonts w:ascii="Cambria" w:eastAsia="Batang" w:hAnsi="Cambria"/>
          <w:sz w:val="20"/>
          <w:szCs w:val="20"/>
          <w:bdr w:val="none" w:sz="0" w:space="0" w:color="auto"/>
          <w:lang w:val="pt-BR"/>
        </w:rPr>
        <w:t xml:space="preserve"> juiz que presidia o caso</w:t>
      </w:r>
      <w:r w:rsidR="001B220C" w:rsidRPr="00187186">
        <w:rPr>
          <w:rFonts w:ascii="Cambria" w:eastAsia="Batang" w:hAnsi="Cambria"/>
          <w:sz w:val="20"/>
          <w:szCs w:val="20"/>
          <w:bdr w:val="none" w:sz="0" w:space="0" w:color="auto"/>
          <w:lang w:val="pt-BR"/>
        </w:rPr>
        <w:t>, porém,</w:t>
      </w:r>
      <w:r w:rsidRPr="00187186">
        <w:rPr>
          <w:rFonts w:ascii="Cambria" w:eastAsia="Batang" w:hAnsi="Cambria"/>
          <w:sz w:val="20"/>
          <w:szCs w:val="20"/>
          <w:bdr w:val="none" w:sz="0" w:space="0" w:color="auto"/>
          <w:lang w:val="pt-BR"/>
        </w:rPr>
        <w:t xml:space="preserve"> não ordenou que o Mandado fosse remetido às autoridades de São Paulo, mesmo diante das declarações da ex-esposa do réu afirmando que ele se encontrava naquela cidade</w:t>
      </w:r>
      <w:r w:rsidR="00EC645F" w:rsidRPr="00187186">
        <w:rPr>
          <w:rStyle w:val="FootnoteReference"/>
          <w:rFonts w:ascii="Cambria" w:eastAsia="Batang" w:hAnsi="Cambria"/>
          <w:sz w:val="20"/>
          <w:szCs w:val="20"/>
          <w:bdr w:val="none" w:sz="0" w:space="0" w:color="auto"/>
          <w:lang w:val="pt-BR"/>
        </w:rPr>
        <w:footnoteReference w:id="154"/>
      </w:r>
      <w:r w:rsidRPr="00187186">
        <w:rPr>
          <w:rFonts w:ascii="Cambria" w:eastAsia="Batang" w:hAnsi="Cambria"/>
          <w:sz w:val="20"/>
          <w:szCs w:val="20"/>
          <w:bdr w:val="none" w:sz="0" w:space="0" w:color="auto"/>
          <w:lang w:val="pt-BR"/>
        </w:rPr>
        <w:t xml:space="preserve">. </w:t>
      </w:r>
    </w:p>
    <w:p w14:paraId="71829AC8" w14:textId="77777777" w:rsidR="001B220C" w:rsidRPr="00187186" w:rsidRDefault="001B220C" w:rsidP="001871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14:paraId="3A78D19C" w14:textId="77777777" w:rsidR="002D0623" w:rsidRPr="00187186" w:rsidRDefault="002D0623"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pt-BR"/>
        </w:rPr>
      </w:pPr>
      <w:r w:rsidRPr="00187186">
        <w:rPr>
          <w:rFonts w:ascii="Cambria" w:eastAsia="Batang" w:hAnsi="Cambria"/>
          <w:sz w:val="20"/>
          <w:szCs w:val="20"/>
          <w:bdr w:val="none" w:sz="0" w:space="0" w:color="auto"/>
          <w:lang w:val="pt-BR"/>
        </w:rPr>
        <w:lastRenderedPageBreak/>
        <w:t>Em 11 de junho de 2002 o irmão da vítima, Rafael Sales Pimenta, habilitou os advogados da Comissão Pastoral da Terra para intervir como assistentes de acusação</w:t>
      </w:r>
      <w:r w:rsidR="00EC645F" w:rsidRPr="00187186">
        <w:rPr>
          <w:rStyle w:val="FootnoteReference"/>
          <w:rFonts w:ascii="Cambria" w:eastAsia="Batang" w:hAnsi="Cambria"/>
          <w:sz w:val="20"/>
          <w:szCs w:val="20"/>
          <w:bdr w:val="none" w:sz="0" w:space="0" w:color="auto"/>
          <w:lang w:val="pt-BR"/>
        </w:rPr>
        <w:footnoteReference w:id="155"/>
      </w:r>
      <w:r w:rsidRPr="00187186">
        <w:rPr>
          <w:rFonts w:ascii="Cambria" w:eastAsia="Batang" w:hAnsi="Cambria"/>
          <w:sz w:val="20"/>
          <w:szCs w:val="20"/>
          <w:bdr w:val="none" w:sz="0" w:space="0" w:color="auto"/>
          <w:lang w:val="pt-BR"/>
        </w:rPr>
        <w:t xml:space="preserve">. </w:t>
      </w:r>
      <w:r w:rsidR="001B220C" w:rsidRPr="00187186">
        <w:rPr>
          <w:rFonts w:ascii="Cambria" w:eastAsia="Batang" w:hAnsi="Cambria"/>
          <w:sz w:val="20"/>
          <w:szCs w:val="20"/>
          <w:bdr w:val="none" w:sz="0" w:space="0" w:color="auto"/>
          <w:lang w:val="pt-BR"/>
        </w:rPr>
        <w:t>Em 20 de fevereiro de 2004, o</w:t>
      </w:r>
      <w:r w:rsidRPr="00187186">
        <w:rPr>
          <w:rFonts w:ascii="Cambria" w:eastAsia="Batang" w:hAnsi="Cambria"/>
          <w:sz w:val="20"/>
          <w:szCs w:val="20"/>
          <w:bdr w:val="none" w:sz="0" w:space="0" w:color="auto"/>
          <w:lang w:val="pt-BR"/>
        </w:rPr>
        <w:t xml:space="preserve"> caso foi remetido para a Vara Agrária</w:t>
      </w:r>
      <w:r w:rsidR="00EC645F" w:rsidRPr="00187186">
        <w:rPr>
          <w:rStyle w:val="FootnoteReference"/>
          <w:rFonts w:ascii="Cambria" w:eastAsia="Batang" w:hAnsi="Cambria"/>
          <w:sz w:val="20"/>
          <w:szCs w:val="20"/>
          <w:bdr w:val="none" w:sz="0" w:space="0" w:color="auto"/>
          <w:lang w:val="pt-BR"/>
        </w:rPr>
        <w:footnoteReference w:id="156"/>
      </w:r>
      <w:r w:rsidRPr="00187186">
        <w:rPr>
          <w:rFonts w:ascii="Cambria" w:eastAsia="Batang" w:hAnsi="Cambria"/>
          <w:sz w:val="20"/>
          <w:szCs w:val="20"/>
          <w:bdr w:val="none" w:sz="0" w:space="0" w:color="auto"/>
          <w:lang w:val="pt-BR"/>
        </w:rPr>
        <w:t xml:space="preserve"> por determinação da Juíza Rosa Maria Moreira da Fonseca sob o argumento de que a Vara Criminal não teria competência para julgá-lo porque “o delito atribuído aos denunciados [teria] motivação agrária”</w:t>
      </w:r>
      <w:r w:rsidR="00EC645F" w:rsidRPr="00187186">
        <w:rPr>
          <w:rStyle w:val="FootnoteReference"/>
          <w:rFonts w:ascii="Cambria" w:eastAsia="Batang" w:hAnsi="Cambria"/>
          <w:sz w:val="20"/>
          <w:szCs w:val="20"/>
          <w:bdr w:val="none" w:sz="0" w:space="0" w:color="auto"/>
          <w:lang w:val="pt-BR"/>
        </w:rPr>
        <w:t xml:space="preserve"> </w:t>
      </w:r>
      <w:r w:rsidR="00EC645F" w:rsidRPr="00187186">
        <w:rPr>
          <w:rStyle w:val="FootnoteReference"/>
          <w:rFonts w:ascii="Cambria" w:eastAsia="Batang" w:hAnsi="Cambria"/>
          <w:sz w:val="20"/>
          <w:szCs w:val="20"/>
          <w:bdr w:val="none" w:sz="0" w:space="0" w:color="auto"/>
          <w:lang w:val="pt-BR"/>
        </w:rPr>
        <w:footnoteReference w:id="157"/>
      </w:r>
      <w:r w:rsidRPr="00187186">
        <w:rPr>
          <w:rFonts w:ascii="Cambria" w:eastAsia="Batang" w:hAnsi="Cambria"/>
          <w:sz w:val="20"/>
          <w:szCs w:val="20"/>
          <w:bdr w:val="none" w:sz="0" w:space="0" w:color="auto"/>
          <w:lang w:val="pt-BR"/>
        </w:rPr>
        <w:t>.</w:t>
      </w:r>
      <w:r w:rsidR="001B220C" w:rsidRPr="00187186">
        <w:rPr>
          <w:rFonts w:ascii="Cambria" w:eastAsia="Batang" w:hAnsi="Cambria"/>
          <w:sz w:val="20"/>
          <w:szCs w:val="20"/>
          <w:bdr w:val="none" w:sz="0" w:space="0" w:color="auto"/>
          <w:lang w:val="pt-BR"/>
        </w:rPr>
        <w:t xml:space="preserve"> </w:t>
      </w:r>
      <w:r w:rsidRPr="00187186">
        <w:rPr>
          <w:rFonts w:ascii="Cambria" w:eastAsia="Batang" w:hAnsi="Cambria"/>
          <w:sz w:val="20"/>
          <w:szCs w:val="20"/>
          <w:bdr w:val="none" w:sz="0" w:space="0" w:color="auto"/>
          <w:lang w:val="pt-BR"/>
        </w:rPr>
        <w:t>Durante praticamente todo o tempo em que permaneceu na Vara Agrária, o processo ficou paralisado, tendo como única atuação a busca do endereço do réu</w:t>
      </w:r>
      <w:r w:rsidR="00EC645F" w:rsidRPr="00187186">
        <w:rPr>
          <w:rStyle w:val="FootnoteReference"/>
          <w:rFonts w:ascii="Cambria" w:eastAsia="Batang" w:hAnsi="Cambria"/>
          <w:sz w:val="20"/>
          <w:szCs w:val="20"/>
          <w:bdr w:val="none" w:sz="0" w:space="0" w:color="auto"/>
          <w:lang w:val="pt-BR"/>
        </w:rPr>
        <w:footnoteReference w:id="158"/>
      </w:r>
      <w:r w:rsidRPr="00187186">
        <w:rPr>
          <w:rFonts w:ascii="Cambria" w:eastAsia="Batang" w:hAnsi="Cambria"/>
          <w:sz w:val="20"/>
          <w:szCs w:val="20"/>
          <w:bdr w:val="none" w:sz="0" w:space="0" w:color="auto"/>
          <w:lang w:val="pt-BR"/>
        </w:rPr>
        <w:t>. Nesse sentido, em 4 de agosto de 2004, a Receita Federal informou que constava em sua base de dados que o endereço de Manoel Cardoso Neto seria em Brumado, Bahia</w:t>
      </w:r>
      <w:r w:rsidR="00EC645F" w:rsidRPr="00187186">
        <w:rPr>
          <w:rStyle w:val="FootnoteReference"/>
          <w:rFonts w:ascii="Cambria" w:eastAsia="Batang" w:hAnsi="Cambria"/>
          <w:sz w:val="20"/>
          <w:szCs w:val="20"/>
          <w:bdr w:val="none" w:sz="0" w:space="0" w:color="auto"/>
          <w:lang w:val="pt-BR"/>
        </w:rPr>
        <w:footnoteReference w:id="159"/>
      </w:r>
      <w:r w:rsidRPr="00187186">
        <w:rPr>
          <w:rFonts w:ascii="Cambria" w:eastAsia="Batang" w:hAnsi="Cambria"/>
          <w:sz w:val="20"/>
          <w:szCs w:val="20"/>
          <w:bdr w:val="none" w:sz="0" w:space="0" w:color="auto"/>
          <w:lang w:val="pt-BR"/>
        </w:rPr>
        <w:t>. Contudo, nenhuma outra ação foi tomada. Em fevereiro de 2005, o Tribunal de Justiça do Pará afastou a competência criminal da Vara Agrária. Quase seis meses depois, em 28 de julho de 2005, os autos foram devolvidos à Vara Criminal</w:t>
      </w:r>
      <w:r w:rsidR="00EC645F" w:rsidRPr="00187186">
        <w:rPr>
          <w:rStyle w:val="FootnoteReference"/>
          <w:rFonts w:ascii="Cambria" w:eastAsia="Batang" w:hAnsi="Cambria"/>
          <w:sz w:val="20"/>
          <w:szCs w:val="20"/>
          <w:bdr w:val="none" w:sz="0" w:space="0" w:color="auto"/>
          <w:lang w:val="pt-BR"/>
        </w:rPr>
        <w:footnoteReference w:id="160"/>
      </w:r>
      <w:r w:rsidRPr="00187186">
        <w:rPr>
          <w:rFonts w:ascii="Cambria" w:eastAsia="Batang" w:hAnsi="Cambria"/>
          <w:sz w:val="20"/>
          <w:szCs w:val="20"/>
          <w:bdr w:val="none" w:sz="0" w:space="0" w:color="auto"/>
          <w:lang w:val="pt-BR"/>
        </w:rPr>
        <w:t>. Tendo o processo retornado à Vara Criminal, nova Sessão do Júri foi designada mas, novamente, não pôde ser realizada diante do não comparecimento do réu Manoel Cardoso Neto. O juiz responsável adiou a Sessão até que o réu fosse encontrado e detido, e ordenou a expedição de Mandados de Prisão para todos os estados do país.</w:t>
      </w:r>
      <w:r w:rsidR="001B220C" w:rsidRPr="00187186">
        <w:rPr>
          <w:rFonts w:ascii="Cambria" w:eastAsia="Batang" w:hAnsi="Cambria"/>
          <w:sz w:val="20"/>
          <w:szCs w:val="20"/>
          <w:bdr w:val="none" w:sz="0" w:space="0" w:color="auto"/>
          <w:lang w:val="pt-BR"/>
        </w:rPr>
        <w:t xml:space="preserve"> </w:t>
      </w:r>
      <w:r w:rsidRPr="00187186">
        <w:rPr>
          <w:rFonts w:ascii="Cambria" w:eastAsia="Batang" w:hAnsi="Cambria"/>
          <w:sz w:val="20"/>
          <w:szCs w:val="20"/>
          <w:bdr w:val="none" w:sz="0" w:space="0" w:color="auto"/>
          <w:lang w:val="pt-BR"/>
        </w:rPr>
        <w:t>Em 18 de novembro de 2005, nova Sessão de Tribunal do Júri foi designada para o dia 15 de fevereiro de 2006, e outro Mandado de Prisão expedido em desfavor do réu</w:t>
      </w:r>
      <w:r w:rsidR="00EC645F" w:rsidRPr="00187186">
        <w:rPr>
          <w:rStyle w:val="FootnoteReference"/>
          <w:rFonts w:ascii="Cambria" w:eastAsia="Batang" w:hAnsi="Cambria"/>
          <w:sz w:val="20"/>
          <w:szCs w:val="20"/>
          <w:bdr w:val="none" w:sz="0" w:space="0" w:color="auto"/>
          <w:lang w:val="pt-BR"/>
        </w:rPr>
        <w:footnoteReference w:id="161"/>
      </w:r>
      <w:r w:rsidRPr="00187186">
        <w:rPr>
          <w:rFonts w:ascii="Cambria" w:eastAsia="Batang" w:hAnsi="Cambria"/>
          <w:sz w:val="20"/>
          <w:szCs w:val="20"/>
          <w:bdr w:val="none" w:sz="0" w:space="0" w:color="auto"/>
          <w:lang w:val="pt-BR"/>
        </w:rPr>
        <w:t>. Em 21 de novembro de 2005 foi enviada uma Carta Precatória para pedir a intimação de Manoel Cardoso Neto em Brumado, Bahia, conforme o endereço obtido da Receita Federal quando o caso ainda estava na Vara Agrária</w:t>
      </w:r>
      <w:r w:rsidR="00EC645F" w:rsidRPr="00187186">
        <w:rPr>
          <w:rStyle w:val="FootnoteReference"/>
          <w:rFonts w:ascii="Cambria" w:eastAsia="Batang" w:hAnsi="Cambria"/>
          <w:sz w:val="20"/>
          <w:szCs w:val="20"/>
          <w:bdr w:val="none" w:sz="0" w:space="0" w:color="auto"/>
          <w:lang w:val="pt-BR"/>
        </w:rPr>
        <w:footnoteReference w:id="162"/>
      </w:r>
      <w:r w:rsidRPr="00187186">
        <w:rPr>
          <w:rFonts w:ascii="Cambria" w:eastAsia="Batang" w:hAnsi="Cambria"/>
          <w:sz w:val="20"/>
          <w:szCs w:val="20"/>
          <w:bdr w:val="none" w:sz="0" w:space="0" w:color="auto"/>
          <w:lang w:val="pt-BR"/>
        </w:rPr>
        <w:t xml:space="preserve">. </w:t>
      </w:r>
      <w:r w:rsidR="001B220C" w:rsidRPr="00187186">
        <w:rPr>
          <w:rFonts w:ascii="Cambria" w:eastAsia="Batang" w:hAnsi="Cambria"/>
          <w:sz w:val="20"/>
          <w:szCs w:val="20"/>
          <w:bdr w:val="none" w:sz="0" w:space="0" w:color="auto"/>
          <w:lang w:val="pt-BR"/>
        </w:rPr>
        <w:t>O</w:t>
      </w:r>
      <w:r w:rsidRPr="00187186">
        <w:rPr>
          <w:rFonts w:ascii="Cambria" w:eastAsia="Batang" w:hAnsi="Cambria"/>
          <w:sz w:val="20"/>
          <w:szCs w:val="20"/>
          <w:bdr w:val="none" w:sz="0" w:space="0" w:color="auto"/>
          <w:lang w:val="pt-BR"/>
        </w:rPr>
        <w:t xml:space="preserve"> Oficial de Justiça de Brumado</w:t>
      </w:r>
      <w:r w:rsidR="001B220C" w:rsidRPr="00187186">
        <w:rPr>
          <w:rFonts w:ascii="Cambria" w:eastAsia="Batang" w:hAnsi="Cambria"/>
          <w:sz w:val="20"/>
          <w:szCs w:val="20"/>
          <w:bdr w:val="none" w:sz="0" w:space="0" w:color="auto"/>
          <w:lang w:val="pt-BR"/>
        </w:rPr>
        <w:t>, porém,</w:t>
      </w:r>
      <w:r w:rsidRPr="00187186">
        <w:rPr>
          <w:rFonts w:ascii="Cambria" w:eastAsia="Batang" w:hAnsi="Cambria"/>
          <w:sz w:val="20"/>
          <w:szCs w:val="20"/>
          <w:bdr w:val="none" w:sz="0" w:space="0" w:color="auto"/>
          <w:lang w:val="pt-BR"/>
        </w:rPr>
        <w:t xml:space="preserve"> não o encontrou no endereço fornecido</w:t>
      </w:r>
      <w:r w:rsidR="00EC645F" w:rsidRPr="00187186">
        <w:rPr>
          <w:rStyle w:val="FootnoteReference"/>
          <w:rFonts w:ascii="Cambria" w:eastAsia="Batang" w:hAnsi="Cambria"/>
          <w:sz w:val="20"/>
          <w:szCs w:val="20"/>
          <w:bdr w:val="none" w:sz="0" w:space="0" w:color="auto"/>
          <w:lang w:val="pt-BR"/>
        </w:rPr>
        <w:footnoteReference w:id="163"/>
      </w:r>
      <w:r w:rsidRPr="00187186">
        <w:rPr>
          <w:rFonts w:ascii="Cambria" w:eastAsia="Batang" w:hAnsi="Cambria"/>
          <w:sz w:val="20"/>
          <w:szCs w:val="20"/>
          <w:bdr w:val="none" w:sz="0" w:space="0" w:color="auto"/>
          <w:lang w:val="pt-BR"/>
        </w:rPr>
        <w:t>.</w:t>
      </w:r>
    </w:p>
    <w:p w14:paraId="480E1754" w14:textId="77777777" w:rsidR="001B220C" w:rsidRPr="00187186" w:rsidRDefault="001B220C" w:rsidP="001871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14:paraId="5FA1BA32" w14:textId="77777777" w:rsidR="00C96926" w:rsidRPr="00187186" w:rsidRDefault="001B220C"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pt-BR"/>
        </w:rPr>
      </w:pPr>
      <w:r w:rsidRPr="00187186">
        <w:rPr>
          <w:rFonts w:ascii="Cambria" w:eastAsia="Batang" w:hAnsi="Cambria"/>
          <w:sz w:val="20"/>
          <w:szCs w:val="20"/>
          <w:bdr w:val="none" w:sz="0" w:space="0" w:color="auto"/>
          <w:lang w:val="pt-BR"/>
        </w:rPr>
        <w:t>E</w:t>
      </w:r>
      <w:r w:rsidR="002D0623" w:rsidRPr="00187186">
        <w:rPr>
          <w:rFonts w:ascii="Cambria" w:eastAsia="Batang" w:hAnsi="Cambria"/>
          <w:sz w:val="20"/>
          <w:szCs w:val="20"/>
          <w:bdr w:val="none" w:sz="0" w:space="0" w:color="auto"/>
          <w:lang w:val="pt-BR"/>
        </w:rPr>
        <w:t>m 28 de novembro de 2005 o Mandado de Prisão contra Manoel Cardoso Neto foi encaminhado a vários órgãos do Estado, inclusive à Delegacia da Polícia Federal de Marabá</w:t>
      </w:r>
      <w:r w:rsidR="00EC645F" w:rsidRPr="00187186">
        <w:rPr>
          <w:rStyle w:val="FootnoteReference"/>
          <w:rFonts w:ascii="Cambria" w:eastAsia="Batang" w:hAnsi="Cambria"/>
          <w:sz w:val="20"/>
          <w:szCs w:val="20"/>
          <w:bdr w:val="none" w:sz="0" w:space="0" w:color="auto"/>
          <w:lang w:val="pt-BR"/>
        </w:rPr>
        <w:footnoteReference w:id="164"/>
      </w:r>
      <w:r w:rsidR="002D0623" w:rsidRPr="00187186">
        <w:rPr>
          <w:rFonts w:ascii="Cambria" w:eastAsia="Batang" w:hAnsi="Cambria"/>
          <w:sz w:val="20"/>
          <w:szCs w:val="20"/>
          <w:bdr w:val="none" w:sz="0" w:space="0" w:color="auto"/>
          <w:lang w:val="pt-BR"/>
        </w:rPr>
        <w:t xml:space="preserve"> e à Secretária Especial de Defesa Social </w:t>
      </w:r>
      <w:r w:rsidR="002D0623" w:rsidRPr="00187186">
        <w:rPr>
          <w:rFonts w:ascii="Cambria" w:eastAsia="Batang" w:hAnsi="Cambria"/>
          <w:sz w:val="20"/>
          <w:szCs w:val="20"/>
          <w:bdr w:val="none" w:sz="0" w:space="0" w:color="auto"/>
          <w:lang w:val="pt-BR"/>
        </w:rPr>
        <w:lastRenderedPageBreak/>
        <w:t>e Segurança Pública do Pará</w:t>
      </w:r>
      <w:r w:rsidR="00EC645F" w:rsidRPr="00187186">
        <w:rPr>
          <w:rStyle w:val="FootnoteReference"/>
          <w:rFonts w:ascii="Cambria" w:eastAsia="Batang" w:hAnsi="Cambria"/>
          <w:sz w:val="20"/>
          <w:szCs w:val="20"/>
          <w:bdr w:val="none" w:sz="0" w:space="0" w:color="auto"/>
          <w:lang w:val="pt-BR"/>
        </w:rPr>
        <w:footnoteReference w:id="165"/>
      </w:r>
      <w:r w:rsidR="002D0623" w:rsidRPr="00187186">
        <w:rPr>
          <w:rFonts w:ascii="Cambria" w:eastAsia="Batang" w:hAnsi="Cambria"/>
          <w:sz w:val="20"/>
          <w:szCs w:val="20"/>
          <w:bdr w:val="none" w:sz="0" w:space="0" w:color="auto"/>
          <w:lang w:val="pt-BR"/>
        </w:rPr>
        <w:t>, do Distrito Federal</w:t>
      </w:r>
      <w:r w:rsidR="00EC645F" w:rsidRPr="00187186">
        <w:rPr>
          <w:rStyle w:val="FootnoteReference"/>
          <w:rFonts w:ascii="Cambria" w:eastAsia="Batang" w:hAnsi="Cambria"/>
          <w:sz w:val="20"/>
          <w:szCs w:val="20"/>
          <w:bdr w:val="none" w:sz="0" w:space="0" w:color="auto"/>
          <w:lang w:val="pt-BR"/>
        </w:rPr>
        <w:footnoteReference w:id="166"/>
      </w:r>
      <w:r w:rsidR="002D0623" w:rsidRPr="00187186">
        <w:rPr>
          <w:rFonts w:ascii="Cambria" w:eastAsia="Batang" w:hAnsi="Cambria"/>
          <w:sz w:val="20"/>
          <w:szCs w:val="20"/>
          <w:bdr w:val="none" w:sz="0" w:space="0" w:color="auto"/>
          <w:lang w:val="pt-BR"/>
        </w:rPr>
        <w:t>, e de todos os outros Estados do Brasil (26 Estados)</w:t>
      </w:r>
      <w:r w:rsidR="00EC645F" w:rsidRPr="00187186">
        <w:rPr>
          <w:rStyle w:val="FootnoteReference"/>
          <w:rFonts w:ascii="Cambria" w:eastAsia="Batang" w:hAnsi="Cambria"/>
          <w:sz w:val="20"/>
          <w:szCs w:val="20"/>
          <w:bdr w:val="none" w:sz="0" w:space="0" w:color="auto"/>
          <w:lang w:val="pt-BR"/>
        </w:rPr>
        <w:t xml:space="preserve"> </w:t>
      </w:r>
      <w:r w:rsidR="00EC645F" w:rsidRPr="00187186">
        <w:rPr>
          <w:rStyle w:val="FootnoteReference"/>
          <w:rFonts w:ascii="Cambria" w:eastAsia="Batang" w:hAnsi="Cambria"/>
          <w:sz w:val="20"/>
          <w:szCs w:val="20"/>
          <w:bdr w:val="none" w:sz="0" w:space="0" w:color="auto"/>
          <w:lang w:val="pt-BR"/>
        </w:rPr>
        <w:footnoteReference w:id="167"/>
      </w:r>
      <w:r w:rsidR="002D0623" w:rsidRPr="00187186">
        <w:rPr>
          <w:rFonts w:ascii="Cambria" w:eastAsia="Batang" w:hAnsi="Cambria"/>
          <w:sz w:val="20"/>
          <w:szCs w:val="20"/>
          <w:bdr w:val="none" w:sz="0" w:space="0" w:color="auto"/>
          <w:lang w:val="pt-BR"/>
        </w:rPr>
        <w:t>.</w:t>
      </w:r>
      <w:r w:rsidR="009151C4" w:rsidRPr="00187186">
        <w:rPr>
          <w:rFonts w:ascii="Cambria" w:eastAsia="Batang" w:hAnsi="Cambria"/>
          <w:sz w:val="20"/>
          <w:szCs w:val="20"/>
          <w:bdr w:val="none" w:sz="0" w:space="0" w:color="auto"/>
          <w:lang w:val="pt-BR"/>
        </w:rPr>
        <w:t xml:space="preserve"> </w:t>
      </w:r>
      <w:r w:rsidR="002D0623" w:rsidRPr="00187186">
        <w:rPr>
          <w:rFonts w:ascii="Cambria" w:eastAsia="Batang" w:hAnsi="Cambria"/>
          <w:sz w:val="20"/>
          <w:szCs w:val="20"/>
          <w:bdr w:val="none" w:sz="0" w:space="0" w:color="auto"/>
          <w:lang w:val="pt-BR"/>
        </w:rPr>
        <w:t>Na data da Sessão do Júri, 15 de fevereiro de 2006, o acusado Manoel Cardoso Neto novamente não compareceu</w:t>
      </w:r>
      <w:r w:rsidRPr="00187186">
        <w:rPr>
          <w:rFonts w:ascii="Cambria" w:eastAsia="Batang" w:hAnsi="Cambria"/>
          <w:sz w:val="20"/>
          <w:szCs w:val="20"/>
          <w:bdr w:val="none" w:sz="0" w:space="0" w:color="auto"/>
          <w:lang w:val="pt-BR"/>
        </w:rPr>
        <w:t>. O</w:t>
      </w:r>
      <w:r w:rsidR="002D0623" w:rsidRPr="00187186">
        <w:rPr>
          <w:rFonts w:ascii="Cambria" w:eastAsia="Batang" w:hAnsi="Cambria"/>
          <w:sz w:val="20"/>
          <w:szCs w:val="20"/>
          <w:bdr w:val="none" w:sz="0" w:space="0" w:color="auto"/>
          <w:lang w:val="pt-BR"/>
        </w:rPr>
        <w:t xml:space="preserve"> juiz adiou a sessão até que ele fosse efetivamente encontrado</w:t>
      </w:r>
      <w:r w:rsidR="00EC645F" w:rsidRPr="00187186">
        <w:rPr>
          <w:rStyle w:val="FootnoteReference"/>
          <w:rFonts w:ascii="Cambria" w:eastAsia="Batang" w:hAnsi="Cambria"/>
          <w:sz w:val="20"/>
          <w:szCs w:val="20"/>
          <w:bdr w:val="none" w:sz="0" w:space="0" w:color="auto"/>
          <w:lang w:val="pt-BR"/>
        </w:rPr>
        <w:footnoteReference w:id="168"/>
      </w:r>
      <w:r w:rsidR="002D0623" w:rsidRPr="00187186">
        <w:rPr>
          <w:rFonts w:ascii="Cambria" w:eastAsia="Batang" w:hAnsi="Cambria"/>
          <w:sz w:val="20"/>
          <w:szCs w:val="20"/>
          <w:bdr w:val="none" w:sz="0" w:space="0" w:color="auto"/>
          <w:lang w:val="pt-BR"/>
        </w:rPr>
        <w:t>.</w:t>
      </w:r>
      <w:r w:rsidRPr="00187186">
        <w:rPr>
          <w:rFonts w:ascii="Cambria" w:eastAsia="Batang" w:hAnsi="Cambria"/>
          <w:sz w:val="20"/>
          <w:szCs w:val="20"/>
          <w:bdr w:val="none" w:sz="0" w:space="0" w:color="auto"/>
          <w:lang w:val="pt-BR"/>
        </w:rPr>
        <w:t xml:space="preserve"> </w:t>
      </w:r>
      <w:r w:rsidR="002D0623" w:rsidRPr="00187186">
        <w:rPr>
          <w:rFonts w:ascii="Cambria" w:eastAsia="Batang" w:hAnsi="Cambria"/>
          <w:sz w:val="20"/>
          <w:szCs w:val="20"/>
          <w:bdr w:val="none" w:sz="0" w:space="0" w:color="auto"/>
          <w:lang w:val="pt-BR"/>
        </w:rPr>
        <w:t xml:space="preserve">Em 15 de fevereiro de 2006 </w:t>
      </w:r>
      <w:r w:rsidR="00AC4FB5" w:rsidRPr="00187186">
        <w:rPr>
          <w:rFonts w:ascii="Cambria" w:eastAsia="Batang" w:hAnsi="Cambria"/>
          <w:sz w:val="20"/>
          <w:szCs w:val="20"/>
          <w:bdr w:val="none" w:sz="0" w:space="0" w:color="auto"/>
          <w:lang w:val="pt-BR"/>
        </w:rPr>
        <w:t xml:space="preserve">foram enviados </w:t>
      </w:r>
      <w:r w:rsidR="002D0623" w:rsidRPr="00187186">
        <w:rPr>
          <w:rFonts w:ascii="Cambria" w:eastAsia="Batang" w:hAnsi="Cambria"/>
          <w:sz w:val="20"/>
          <w:szCs w:val="20"/>
          <w:bdr w:val="none" w:sz="0" w:space="0" w:color="auto"/>
          <w:lang w:val="pt-BR"/>
        </w:rPr>
        <w:t xml:space="preserve">ofícios </w:t>
      </w:r>
      <w:r w:rsidR="00AC4FB5" w:rsidRPr="00187186">
        <w:rPr>
          <w:rFonts w:ascii="Cambria" w:eastAsia="Batang" w:hAnsi="Cambria"/>
          <w:sz w:val="20"/>
          <w:szCs w:val="20"/>
          <w:bdr w:val="none" w:sz="0" w:space="0" w:color="auto"/>
          <w:lang w:val="pt-BR"/>
        </w:rPr>
        <w:t>a</w:t>
      </w:r>
      <w:r w:rsidR="002D0623" w:rsidRPr="00187186">
        <w:rPr>
          <w:rFonts w:ascii="Cambria" w:eastAsia="Batang" w:hAnsi="Cambria"/>
          <w:sz w:val="20"/>
          <w:szCs w:val="20"/>
          <w:bdr w:val="none" w:sz="0" w:space="0" w:color="auto"/>
          <w:lang w:val="pt-BR"/>
        </w:rPr>
        <w:t>os estados indagando sobre o cumprimento do mandado de prisão em desfavor de Manoel Cardoso Neto. Em resposta, 11 estados informaram não encontrar registro de qualquer Mandado de Prisão em seus arquivos, ou então indicaram que a Carta Precatória que haviam recebido não cumpria com diligências mínimas, como, por exemplo, não chegou instruída com o correspondente Mandado de Prisão e cópia de decisão escrita e fundamentada da autoridade judicial</w:t>
      </w:r>
      <w:r w:rsidR="00EC645F" w:rsidRPr="00187186">
        <w:rPr>
          <w:rStyle w:val="FootnoteReference"/>
          <w:rFonts w:ascii="Cambria" w:eastAsia="Batang" w:hAnsi="Cambria"/>
          <w:sz w:val="20"/>
          <w:szCs w:val="20"/>
          <w:bdr w:val="none" w:sz="0" w:space="0" w:color="auto"/>
          <w:lang w:val="pt-BR"/>
        </w:rPr>
        <w:footnoteReference w:id="169"/>
      </w:r>
      <w:r w:rsidR="002D0623" w:rsidRPr="00187186">
        <w:rPr>
          <w:rFonts w:ascii="Cambria" w:eastAsia="Batang" w:hAnsi="Cambria"/>
          <w:sz w:val="20"/>
          <w:szCs w:val="20"/>
          <w:bdr w:val="none" w:sz="0" w:space="0" w:color="auto"/>
          <w:lang w:val="pt-BR"/>
        </w:rPr>
        <w:t>.</w:t>
      </w:r>
      <w:r w:rsidR="00D704BE" w:rsidRPr="00187186">
        <w:rPr>
          <w:rFonts w:ascii="Cambria" w:eastAsia="Batang" w:hAnsi="Cambria"/>
          <w:sz w:val="20"/>
          <w:szCs w:val="20"/>
          <w:bdr w:val="none" w:sz="0" w:space="0" w:color="auto"/>
          <w:lang w:val="pt-BR"/>
        </w:rPr>
        <w:t xml:space="preserve"> </w:t>
      </w:r>
      <w:r w:rsidR="002D0623" w:rsidRPr="00187186">
        <w:rPr>
          <w:rFonts w:ascii="Cambria" w:eastAsia="Batang" w:hAnsi="Cambria"/>
          <w:sz w:val="20"/>
          <w:szCs w:val="20"/>
          <w:bdr w:val="none" w:sz="0" w:space="0" w:color="auto"/>
          <w:lang w:val="pt-BR"/>
        </w:rPr>
        <w:t>Em 24 de fevereiro de 2006 foi composta uma equipe de três agentes da Polícia Federal para localizar Manoel Cardoso Neto, com a missão exclusiva de diligenciar nos Estados da Bahia e de Minas Gerais a fim de dar cumprimento ao seu Mandado de Prisão</w:t>
      </w:r>
      <w:r w:rsidR="00EC645F" w:rsidRPr="00187186">
        <w:rPr>
          <w:rStyle w:val="FootnoteReference"/>
          <w:rFonts w:ascii="Cambria" w:eastAsia="Batang" w:hAnsi="Cambria"/>
          <w:sz w:val="20"/>
          <w:szCs w:val="20"/>
          <w:bdr w:val="none" w:sz="0" w:space="0" w:color="auto"/>
          <w:lang w:val="pt-BR"/>
        </w:rPr>
        <w:footnoteReference w:id="170"/>
      </w:r>
      <w:r w:rsidR="002D0623" w:rsidRPr="00187186">
        <w:rPr>
          <w:rFonts w:ascii="Cambria" w:eastAsia="Batang" w:hAnsi="Cambria"/>
          <w:sz w:val="20"/>
          <w:szCs w:val="20"/>
          <w:bdr w:val="none" w:sz="0" w:space="0" w:color="auto"/>
          <w:lang w:val="pt-BR"/>
        </w:rPr>
        <w:t>.</w:t>
      </w:r>
    </w:p>
    <w:p w14:paraId="5A70F158" w14:textId="77777777" w:rsidR="00C96926" w:rsidRPr="00187186" w:rsidRDefault="00C96926" w:rsidP="001871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14:paraId="39E7AD5D" w14:textId="77777777" w:rsidR="001B220C" w:rsidRPr="00187186" w:rsidRDefault="002D0623"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pt-BR"/>
        </w:rPr>
      </w:pPr>
      <w:r w:rsidRPr="00187186">
        <w:rPr>
          <w:rFonts w:ascii="Cambria" w:eastAsia="Batang" w:hAnsi="Cambria"/>
          <w:sz w:val="20"/>
          <w:szCs w:val="20"/>
          <w:bdr w:val="none" w:sz="0" w:space="0" w:color="auto"/>
          <w:lang w:val="pt-BR"/>
        </w:rPr>
        <w:t xml:space="preserve">Em 6 de março de 2006, Manoel Cardoso Neto </w:t>
      </w:r>
      <w:r w:rsidR="001B220C" w:rsidRPr="00187186">
        <w:rPr>
          <w:rFonts w:ascii="Cambria" w:eastAsia="Batang" w:hAnsi="Cambria"/>
          <w:sz w:val="20"/>
          <w:szCs w:val="20"/>
          <w:bdr w:val="none" w:sz="0" w:space="0" w:color="auto"/>
          <w:lang w:val="pt-BR"/>
        </w:rPr>
        <w:t>encaminhou</w:t>
      </w:r>
      <w:r w:rsidRPr="00187186">
        <w:rPr>
          <w:rFonts w:ascii="Cambria" w:eastAsia="Batang" w:hAnsi="Cambria"/>
          <w:sz w:val="20"/>
          <w:szCs w:val="20"/>
          <w:bdr w:val="none" w:sz="0" w:space="0" w:color="auto"/>
          <w:lang w:val="pt-BR"/>
        </w:rPr>
        <w:t xml:space="preserve"> procuração por meio de seus advogados para informar seu endereço em Brumado, Bahia</w:t>
      </w:r>
      <w:r w:rsidR="00EC645F" w:rsidRPr="00187186">
        <w:rPr>
          <w:rStyle w:val="FootnoteReference"/>
          <w:rFonts w:ascii="Cambria" w:eastAsia="Batang" w:hAnsi="Cambria"/>
          <w:sz w:val="20"/>
          <w:szCs w:val="20"/>
          <w:bdr w:val="none" w:sz="0" w:space="0" w:color="auto"/>
          <w:lang w:val="pt-BR"/>
        </w:rPr>
        <w:footnoteReference w:id="171"/>
      </w:r>
      <w:r w:rsidR="001B220C" w:rsidRPr="00187186">
        <w:rPr>
          <w:rFonts w:ascii="Cambria" w:eastAsia="Batang" w:hAnsi="Cambria"/>
          <w:sz w:val="20"/>
          <w:szCs w:val="20"/>
          <w:bdr w:val="none" w:sz="0" w:space="0" w:color="auto"/>
          <w:lang w:val="pt-BR"/>
        </w:rPr>
        <w:t xml:space="preserve"> –</w:t>
      </w:r>
      <w:r w:rsidRPr="00187186">
        <w:rPr>
          <w:rFonts w:ascii="Cambria" w:eastAsia="Batang" w:hAnsi="Cambria"/>
          <w:sz w:val="20"/>
          <w:szCs w:val="20"/>
          <w:bdr w:val="none" w:sz="0" w:space="0" w:color="auto"/>
          <w:lang w:val="pt-BR"/>
        </w:rPr>
        <w:t>o mesmo endereço da base de dados da Receita Federal, pelo qual já havia sido intimado sem êxito.</w:t>
      </w:r>
      <w:r w:rsidR="001B220C" w:rsidRPr="00187186">
        <w:rPr>
          <w:rFonts w:ascii="Cambria" w:eastAsia="Batang" w:hAnsi="Cambria"/>
          <w:sz w:val="20"/>
          <w:szCs w:val="20"/>
          <w:bdr w:val="none" w:sz="0" w:space="0" w:color="auto"/>
          <w:lang w:val="pt-BR"/>
        </w:rPr>
        <w:t xml:space="preserve"> </w:t>
      </w:r>
      <w:r w:rsidRPr="00187186">
        <w:rPr>
          <w:rFonts w:ascii="Cambria" w:eastAsia="Batang" w:hAnsi="Cambria"/>
          <w:sz w:val="20"/>
          <w:szCs w:val="20"/>
          <w:bdr w:val="none" w:sz="0" w:space="0" w:color="auto"/>
          <w:lang w:val="pt-BR"/>
        </w:rPr>
        <w:t>No dia 3 de abril de 2006, a Polícia Federal finalmente pôde cumprir o Mandado de Prisão, tendo encontrado o réu na cidade de Pitangui, Minas Gerais</w:t>
      </w:r>
      <w:r w:rsidR="00EC645F" w:rsidRPr="00187186">
        <w:rPr>
          <w:rStyle w:val="FootnoteReference"/>
          <w:rFonts w:ascii="Cambria" w:eastAsia="Batang" w:hAnsi="Cambria"/>
          <w:sz w:val="20"/>
          <w:szCs w:val="20"/>
          <w:bdr w:val="none" w:sz="0" w:space="0" w:color="auto"/>
          <w:lang w:val="pt-BR"/>
        </w:rPr>
        <w:footnoteReference w:id="172"/>
      </w:r>
      <w:r w:rsidRPr="00187186">
        <w:rPr>
          <w:rFonts w:ascii="Cambria" w:eastAsia="Batang" w:hAnsi="Cambria"/>
          <w:sz w:val="20"/>
          <w:szCs w:val="20"/>
          <w:bdr w:val="none" w:sz="0" w:space="0" w:color="auto"/>
          <w:lang w:val="pt-BR"/>
        </w:rPr>
        <w:t xml:space="preserve">. Segundo a imprensa, ele estaria em uma das 63 fazendas do seu irmão, o </w:t>
      </w:r>
      <w:r w:rsidR="001B220C" w:rsidRPr="00187186">
        <w:rPr>
          <w:rFonts w:ascii="Cambria" w:eastAsia="Batang" w:hAnsi="Cambria"/>
          <w:sz w:val="20"/>
          <w:szCs w:val="20"/>
          <w:bdr w:val="none" w:sz="0" w:space="0" w:color="auto"/>
          <w:lang w:val="pt-BR"/>
        </w:rPr>
        <w:t xml:space="preserve">político e </w:t>
      </w:r>
      <w:r w:rsidRPr="00187186">
        <w:rPr>
          <w:rFonts w:ascii="Cambria" w:eastAsia="Batang" w:hAnsi="Cambria"/>
          <w:sz w:val="20"/>
          <w:szCs w:val="20"/>
          <w:bdr w:val="none" w:sz="0" w:space="0" w:color="auto"/>
          <w:lang w:val="pt-BR"/>
        </w:rPr>
        <w:t>ex-governador de Minas Gerais, Newton Cardoso</w:t>
      </w:r>
      <w:r w:rsidR="00EC645F" w:rsidRPr="00187186">
        <w:rPr>
          <w:rStyle w:val="FootnoteReference"/>
          <w:rFonts w:ascii="Cambria" w:eastAsia="Batang" w:hAnsi="Cambria"/>
          <w:sz w:val="20"/>
          <w:szCs w:val="20"/>
          <w:bdr w:val="none" w:sz="0" w:space="0" w:color="auto"/>
          <w:lang w:val="pt-BR"/>
        </w:rPr>
        <w:footnoteReference w:id="173"/>
      </w:r>
      <w:r w:rsidRPr="00187186">
        <w:rPr>
          <w:rFonts w:ascii="Cambria" w:eastAsia="Batang" w:hAnsi="Cambria"/>
          <w:sz w:val="20"/>
          <w:szCs w:val="20"/>
          <w:bdr w:val="none" w:sz="0" w:space="0" w:color="auto"/>
          <w:lang w:val="pt-BR"/>
        </w:rPr>
        <w:t>.</w:t>
      </w:r>
      <w:r w:rsidR="001B220C" w:rsidRPr="00187186">
        <w:rPr>
          <w:rFonts w:ascii="Cambria" w:eastAsia="Batang" w:hAnsi="Cambria"/>
          <w:sz w:val="20"/>
          <w:szCs w:val="20"/>
          <w:bdr w:val="none" w:sz="0" w:space="0" w:color="auto"/>
          <w:lang w:val="pt-BR"/>
        </w:rPr>
        <w:t xml:space="preserve"> </w:t>
      </w:r>
      <w:r w:rsidRPr="00187186">
        <w:rPr>
          <w:rFonts w:ascii="Cambria" w:eastAsia="Batang" w:hAnsi="Cambria"/>
          <w:sz w:val="20"/>
          <w:szCs w:val="20"/>
          <w:bdr w:val="none" w:sz="0" w:space="0" w:color="auto"/>
          <w:lang w:val="pt-BR"/>
        </w:rPr>
        <w:t>Em 27 de abril de 2006 foi designada a realização do julgamento pelo Tribunal do Júri</w:t>
      </w:r>
      <w:r w:rsidR="00EC645F" w:rsidRPr="00187186">
        <w:rPr>
          <w:rStyle w:val="FootnoteReference"/>
          <w:rFonts w:ascii="Cambria" w:eastAsia="Batang" w:hAnsi="Cambria"/>
          <w:sz w:val="20"/>
          <w:szCs w:val="20"/>
          <w:bdr w:val="none" w:sz="0" w:space="0" w:color="auto"/>
          <w:lang w:val="pt-BR"/>
        </w:rPr>
        <w:footnoteReference w:id="174"/>
      </w:r>
      <w:r w:rsidRPr="00187186">
        <w:rPr>
          <w:rFonts w:ascii="Cambria" w:eastAsia="Batang" w:hAnsi="Cambria"/>
          <w:sz w:val="20"/>
          <w:szCs w:val="20"/>
          <w:bdr w:val="none" w:sz="0" w:space="0" w:color="auto"/>
          <w:lang w:val="pt-BR"/>
        </w:rPr>
        <w:t>. Contudo, em 18 de abril de 2006, os advogados do réu ingressaram com habeas corpus perante o Tribunal de Justiça do Pará requerendo a concessão de prisão domiciliar ou a extinção da punibilidade baseada na prescrição</w:t>
      </w:r>
      <w:r w:rsidR="00EC645F" w:rsidRPr="00187186">
        <w:rPr>
          <w:rStyle w:val="FootnoteReference"/>
          <w:rFonts w:ascii="Cambria" w:eastAsia="Batang" w:hAnsi="Cambria"/>
          <w:sz w:val="20"/>
          <w:szCs w:val="20"/>
          <w:bdr w:val="none" w:sz="0" w:space="0" w:color="auto"/>
          <w:lang w:val="pt-BR"/>
        </w:rPr>
        <w:footnoteReference w:id="175"/>
      </w:r>
      <w:r w:rsidRPr="00187186">
        <w:rPr>
          <w:rFonts w:ascii="Cambria" w:eastAsia="Batang" w:hAnsi="Cambria"/>
          <w:sz w:val="20"/>
          <w:szCs w:val="20"/>
          <w:bdr w:val="none" w:sz="0" w:space="0" w:color="auto"/>
          <w:lang w:val="pt-BR"/>
        </w:rPr>
        <w:t>. Alegaram que o réu não havia fugido</w:t>
      </w:r>
      <w:r w:rsidR="001B220C" w:rsidRPr="00187186">
        <w:rPr>
          <w:rFonts w:ascii="Cambria" w:eastAsia="Batang" w:hAnsi="Cambria"/>
          <w:sz w:val="20"/>
          <w:szCs w:val="20"/>
          <w:bdr w:val="none" w:sz="0" w:space="0" w:color="auto"/>
          <w:lang w:val="pt-BR"/>
        </w:rPr>
        <w:t>; que</w:t>
      </w:r>
      <w:r w:rsidRPr="00187186">
        <w:rPr>
          <w:rFonts w:ascii="Cambria" w:eastAsia="Batang" w:hAnsi="Cambria"/>
          <w:sz w:val="20"/>
          <w:szCs w:val="20"/>
          <w:bdr w:val="none" w:sz="0" w:space="0" w:color="auto"/>
          <w:lang w:val="pt-BR"/>
        </w:rPr>
        <w:t xml:space="preserve"> somente não teria atualizado seu endereço</w:t>
      </w:r>
      <w:r w:rsidR="001B220C" w:rsidRPr="00187186">
        <w:rPr>
          <w:rFonts w:ascii="Cambria" w:eastAsia="Batang" w:hAnsi="Cambria"/>
          <w:sz w:val="20"/>
          <w:szCs w:val="20"/>
          <w:bdr w:val="none" w:sz="0" w:space="0" w:color="auto"/>
          <w:lang w:val="pt-BR"/>
        </w:rPr>
        <w:t>;</w:t>
      </w:r>
      <w:r w:rsidRPr="00187186">
        <w:rPr>
          <w:rFonts w:ascii="Cambria" w:eastAsia="Batang" w:hAnsi="Cambria"/>
          <w:sz w:val="20"/>
          <w:szCs w:val="20"/>
          <w:bdr w:val="none" w:sz="0" w:space="0" w:color="auto"/>
          <w:lang w:val="pt-BR"/>
        </w:rPr>
        <w:t xml:space="preserve"> e que o juiz não havia utilizado todos os meios a seu alcance para sua rápida localização. Argumentaram a “absoluta falta de necessidade” da custódia preventiva, dizendo que “desde o momento em que o paciente foi re-localizado em seu atual endereço fica óbvio que perde toda e qualquer significado [...] prendê-lo”</w:t>
      </w:r>
      <w:r w:rsidR="001B220C" w:rsidRPr="00187186">
        <w:rPr>
          <w:rFonts w:ascii="Cambria" w:eastAsia="Batang" w:hAnsi="Cambria"/>
          <w:sz w:val="20"/>
          <w:szCs w:val="20"/>
          <w:bdr w:val="none" w:sz="0" w:space="0" w:color="auto"/>
          <w:lang w:val="pt-BR"/>
        </w:rPr>
        <w:t xml:space="preserve">. </w:t>
      </w:r>
      <w:r w:rsidRPr="00187186">
        <w:rPr>
          <w:rFonts w:ascii="Cambria" w:eastAsia="Batang" w:hAnsi="Cambria"/>
          <w:sz w:val="20"/>
          <w:szCs w:val="20"/>
          <w:bdr w:val="none" w:sz="0" w:space="0" w:color="auto"/>
          <w:lang w:val="pt-BR"/>
        </w:rPr>
        <w:t>Manoel Cardoso Neto</w:t>
      </w:r>
      <w:r w:rsidR="001B220C" w:rsidRPr="00187186">
        <w:rPr>
          <w:rFonts w:ascii="Cambria" w:eastAsia="Batang" w:hAnsi="Cambria"/>
          <w:sz w:val="20"/>
          <w:szCs w:val="20"/>
          <w:bdr w:val="none" w:sz="0" w:space="0" w:color="auto"/>
          <w:lang w:val="pt-BR"/>
        </w:rPr>
        <w:t>, porém,</w:t>
      </w:r>
      <w:r w:rsidRPr="00187186">
        <w:rPr>
          <w:rFonts w:ascii="Cambria" w:eastAsia="Batang" w:hAnsi="Cambria"/>
          <w:sz w:val="20"/>
          <w:szCs w:val="20"/>
          <w:bdr w:val="none" w:sz="0" w:space="0" w:color="auto"/>
          <w:lang w:val="pt-BR"/>
        </w:rPr>
        <w:t xml:space="preserve"> não </w:t>
      </w:r>
      <w:r w:rsidR="001B220C" w:rsidRPr="00187186">
        <w:rPr>
          <w:rFonts w:ascii="Cambria" w:eastAsia="Batang" w:hAnsi="Cambria"/>
          <w:sz w:val="20"/>
          <w:szCs w:val="20"/>
          <w:bdr w:val="none" w:sz="0" w:space="0" w:color="auto"/>
          <w:lang w:val="pt-BR"/>
        </w:rPr>
        <w:t>havia sido</w:t>
      </w:r>
      <w:r w:rsidRPr="00187186">
        <w:rPr>
          <w:rFonts w:ascii="Cambria" w:eastAsia="Batang" w:hAnsi="Cambria"/>
          <w:sz w:val="20"/>
          <w:szCs w:val="20"/>
          <w:bdr w:val="none" w:sz="0" w:space="0" w:color="auto"/>
          <w:lang w:val="pt-BR"/>
        </w:rPr>
        <w:t xml:space="preserve"> localizado no endereço que </w:t>
      </w:r>
      <w:r w:rsidR="001B220C" w:rsidRPr="00187186">
        <w:rPr>
          <w:rFonts w:ascii="Cambria" w:eastAsia="Batang" w:hAnsi="Cambria"/>
          <w:sz w:val="20"/>
          <w:szCs w:val="20"/>
          <w:bdr w:val="none" w:sz="0" w:space="0" w:color="auto"/>
          <w:lang w:val="pt-BR"/>
        </w:rPr>
        <w:t>tinha</w:t>
      </w:r>
      <w:r w:rsidRPr="00187186">
        <w:rPr>
          <w:rFonts w:ascii="Cambria" w:eastAsia="Batang" w:hAnsi="Cambria"/>
          <w:sz w:val="20"/>
          <w:szCs w:val="20"/>
          <w:bdr w:val="none" w:sz="0" w:space="0" w:color="auto"/>
          <w:lang w:val="pt-BR"/>
        </w:rPr>
        <w:t xml:space="preserve"> fornecido, mas sim em outro Estado (Minas Gerais)</w:t>
      </w:r>
      <w:r w:rsidR="00EC645F" w:rsidRPr="00187186">
        <w:rPr>
          <w:rStyle w:val="FootnoteReference"/>
          <w:rFonts w:ascii="Cambria" w:eastAsia="Batang" w:hAnsi="Cambria"/>
          <w:sz w:val="20"/>
          <w:szCs w:val="20"/>
          <w:bdr w:val="none" w:sz="0" w:space="0" w:color="auto"/>
          <w:lang w:val="pt-BR"/>
        </w:rPr>
        <w:t xml:space="preserve"> </w:t>
      </w:r>
      <w:r w:rsidR="00EC645F" w:rsidRPr="00187186">
        <w:rPr>
          <w:rStyle w:val="FootnoteReference"/>
          <w:rFonts w:ascii="Cambria" w:eastAsia="Batang" w:hAnsi="Cambria"/>
          <w:sz w:val="20"/>
          <w:szCs w:val="20"/>
          <w:bdr w:val="none" w:sz="0" w:space="0" w:color="auto"/>
          <w:lang w:val="pt-BR"/>
        </w:rPr>
        <w:footnoteReference w:id="176"/>
      </w:r>
      <w:r w:rsidRPr="00187186">
        <w:rPr>
          <w:rFonts w:ascii="Cambria" w:eastAsia="Batang" w:hAnsi="Cambria"/>
          <w:sz w:val="20"/>
          <w:szCs w:val="20"/>
          <w:bdr w:val="none" w:sz="0" w:space="0" w:color="auto"/>
          <w:lang w:val="pt-BR"/>
        </w:rPr>
        <w:t>.</w:t>
      </w:r>
      <w:r w:rsidR="001B220C" w:rsidRPr="00187186">
        <w:rPr>
          <w:rFonts w:ascii="Cambria" w:eastAsia="Batang" w:hAnsi="Cambria"/>
          <w:sz w:val="20"/>
          <w:szCs w:val="20"/>
          <w:bdr w:val="none" w:sz="0" w:space="0" w:color="auto"/>
          <w:lang w:val="pt-BR"/>
        </w:rPr>
        <w:t xml:space="preserve"> </w:t>
      </w:r>
      <w:r w:rsidRPr="00187186">
        <w:rPr>
          <w:rFonts w:ascii="Cambria" w:eastAsia="Batang" w:hAnsi="Cambria"/>
          <w:sz w:val="20"/>
          <w:szCs w:val="20"/>
          <w:bdr w:val="none" w:sz="0" w:space="0" w:color="auto"/>
          <w:lang w:val="pt-BR"/>
        </w:rPr>
        <w:t>Os advogados alegaram a extinção da punibilidade pela prescrição da pretensão punitiva conforme o artigo 109, inciso I, do Código Penal, combinado com o artigo 115. Segundo o artigo 109, inciso I, o prazo máximo de prescrição da pretensão punitiva, em relação a homicídio, era de 20 anos. O artigo 115 do Código Penal reduzia “à metade os prazos de prescrição quando o criminoso era [...] na data da sentença, maior de 70 (setenta) anos.” Os advogados indicaram que o prazo de prescrição foi alcançado porque o réu cumpriu 70 anos em 2 de outubro de 1995 e, quando o prazo foi reduzido a 10 anos pelo efeito do artigo 115 (utilizando como marco temporal a sentença de pronúncia, de 31 de agosto de 2000), já havia transcorrido mais de dez anos desde o último ato processual interruptivo</w:t>
      </w:r>
      <w:r w:rsidR="00EC645F" w:rsidRPr="00187186">
        <w:rPr>
          <w:rStyle w:val="FootnoteReference"/>
          <w:rFonts w:ascii="Cambria" w:eastAsia="Batang" w:hAnsi="Cambria"/>
          <w:sz w:val="20"/>
          <w:szCs w:val="20"/>
          <w:bdr w:val="none" w:sz="0" w:space="0" w:color="auto"/>
          <w:lang w:val="pt-BR"/>
        </w:rPr>
        <w:footnoteReference w:id="177"/>
      </w:r>
      <w:r w:rsidRPr="00187186">
        <w:rPr>
          <w:rFonts w:ascii="Cambria" w:eastAsia="Batang" w:hAnsi="Cambria"/>
          <w:sz w:val="20"/>
          <w:szCs w:val="20"/>
          <w:bdr w:val="none" w:sz="0" w:space="0" w:color="auto"/>
          <w:lang w:val="pt-BR"/>
        </w:rPr>
        <w:t>.</w:t>
      </w:r>
      <w:r w:rsidR="001B220C" w:rsidRPr="00187186">
        <w:rPr>
          <w:rFonts w:ascii="Cambria" w:eastAsia="Batang" w:hAnsi="Cambria"/>
          <w:sz w:val="20"/>
          <w:szCs w:val="20"/>
          <w:bdr w:val="none" w:sz="0" w:space="0" w:color="auto"/>
          <w:lang w:val="pt-BR"/>
        </w:rPr>
        <w:t xml:space="preserve"> </w:t>
      </w:r>
      <w:r w:rsidRPr="00187186">
        <w:rPr>
          <w:rFonts w:ascii="Cambria" w:eastAsia="Batang" w:hAnsi="Cambria"/>
          <w:sz w:val="20"/>
          <w:szCs w:val="20"/>
          <w:bdr w:val="none" w:sz="0" w:space="0" w:color="auto"/>
          <w:lang w:val="pt-BR"/>
        </w:rPr>
        <w:t xml:space="preserve">O Ministério Público também manifestou-se favorável à decretação da prescrição </w:t>
      </w:r>
      <w:r w:rsidRPr="00187186">
        <w:rPr>
          <w:rFonts w:ascii="Cambria" w:eastAsia="Batang" w:hAnsi="Cambria"/>
          <w:sz w:val="20"/>
          <w:szCs w:val="20"/>
          <w:bdr w:val="none" w:sz="0" w:space="0" w:color="auto"/>
          <w:lang w:val="pt-BR"/>
        </w:rPr>
        <w:lastRenderedPageBreak/>
        <w:t>em relação ao acusado</w:t>
      </w:r>
      <w:r w:rsidR="00EC645F" w:rsidRPr="00187186">
        <w:rPr>
          <w:rStyle w:val="FootnoteReference"/>
          <w:rFonts w:ascii="Cambria" w:eastAsia="Batang" w:hAnsi="Cambria"/>
          <w:sz w:val="20"/>
          <w:szCs w:val="20"/>
          <w:bdr w:val="none" w:sz="0" w:space="0" w:color="auto"/>
          <w:lang w:val="pt-BR"/>
        </w:rPr>
        <w:footnoteReference w:id="178"/>
      </w:r>
      <w:r w:rsidRPr="00187186">
        <w:rPr>
          <w:rFonts w:ascii="Cambria" w:eastAsia="Batang" w:hAnsi="Cambria"/>
          <w:sz w:val="20"/>
          <w:szCs w:val="20"/>
          <w:bdr w:val="none" w:sz="0" w:space="0" w:color="auto"/>
          <w:lang w:val="pt-BR"/>
        </w:rPr>
        <w:t xml:space="preserve">. </w:t>
      </w:r>
      <w:r w:rsidR="001B220C" w:rsidRPr="00187186">
        <w:rPr>
          <w:rFonts w:ascii="Cambria" w:eastAsia="Batang" w:hAnsi="Cambria"/>
          <w:sz w:val="20"/>
          <w:szCs w:val="20"/>
          <w:bdr w:val="none" w:sz="0" w:space="0" w:color="auto"/>
          <w:lang w:val="pt-BR"/>
        </w:rPr>
        <w:t>C</w:t>
      </w:r>
      <w:r w:rsidRPr="00187186">
        <w:rPr>
          <w:rFonts w:ascii="Cambria" w:eastAsia="Batang" w:hAnsi="Cambria"/>
          <w:sz w:val="20"/>
          <w:szCs w:val="20"/>
          <w:bdr w:val="none" w:sz="0" w:space="0" w:color="auto"/>
          <w:lang w:val="pt-BR"/>
        </w:rPr>
        <w:t>om base em entendimento jurisprudencial diverso sobre o cálculo do prazo prescricional, os advogados assistentes da acusação contestaram a tese de que o crime estaria prescrito</w:t>
      </w:r>
      <w:r w:rsidR="00EC645F" w:rsidRPr="00187186">
        <w:rPr>
          <w:rStyle w:val="FootnoteReference"/>
          <w:rFonts w:ascii="Cambria" w:eastAsia="Batang" w:hAnsi="Cambria"/>
          <w:sz w:val="20"/>
          <w:szCs w:val="20"/>
          <w:bdr w:val="none" w:sz="0" w:space="0" w:color="auto"/>
          <w:lang w:val="pt-BR"/>
        </w:rPr>
        <w:footnoteReference w:id="179"/>
      </w:r>
      <w:r w:rsidR="00D704BE" w:rsidRPr="00187186">
        <w:rPr>
          <w:rFonts w:ascii="Cambria" w:eastAsia="Batang" w:hAnsi="Cambria"/>
          <w:sz w:val="20"/>
          <w:szCs w:val="20"/>
          <w:bdr w:val="none" w:sz="0" w:space="0" w:color="auto"/>
          <w:lang w:val="pt-BR"/>
        </w:rPr>
        <w:t>.</w:t>
      </w:r>
    </w:p>
    <w:p w14:paraId="07F28DF3" w14:textId="77777777" w:rsidR="001B220C" w:rsidRPr="00187186" w:rsidRDefault="001B220C" w:rsidP="001871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14:paraId="7F3C497D" w14:textId="77777777" w:rsidR="002D0623" w:rsidRPr="00187186" w:rsidRDefault="002D0623"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pt-BR"/>
        </w:rPr>
      </w:pPr>
      <w:r w:rsidRPr="00187186">
        <w:rPr>
          <w:rFonts w:ascii="Cambria" w:eastAsia="Batang" w:hAnsi="Cambria"/>
          <w:sz w:val="20"/>
          <w:szCs w:val="20"/>
          <w:bdr w:val="none" w:sz="0" w:space="0" w:color="auto"/>
          <w:lang w:val="pt-BR"/>
        </w:rPr>
        <w:t>Em 2 de maio de 2006, o pedido de decretação da extinção de punibilidade pela prescrição foi indeferido pelo juiz de Primeira Instância da Vara Criminal de Marabá, com base nos argumentos trazidos pelos advogados assistentes de acusação</w:t>
      </w:r>
      <w:r w:rsidR="00EC645F" w:rsidRPr="00187186">
        <w:rPr>
          <w:rStyle w:val="FootnoteReference"/>
          <w:rFonts w:ascii="Cambria" w:eastAsia="Batang" w:hAnsi="Cambria"/>
          <w:sz w:val="20"/>
          <w:szCs w:val="20"/>
          <w:bdr w:val="none" w:sz="0" w:space="0" w:color="auto"/>
          <w:lang w:val="pt-BR"/>
        </w:rPr>
        <w:footnoteReference w:id="180"/>
      </w:r>
      <w:r w:rsidRPr="00187186">
        <w:rPr>
          <w:rFonts w:ascii="Cambria" w:eastAsia="Batang" w:hAnsi="Cambria"/>
          <w:sz w:val="20"/>
          <w:szCs w:val="20"/>
          <w:bdr w:val="none" w:sz="0" w:space="0" w:color="auto"/>
          <w:lang w:val="pt-BR"/>
        </w:rPr>
        <w:t>.</w:t>
      </w:r>
      <w:r w:rsidR="001B220C" w:rsidRPr="00187186">
        <w:rPr>
          <w:rFonts w:ascii="Cambria" w:eastAsia="Batang" w:hAnsi="Cambria"/>
          <w:sz w:val="20"/>
          <w:szCs w:val="20"/>
          <w:bdr w:val="none" w:sz="0" w:space="0" w:color="auto"/>
          <w:lang w:val="pt-BR"/>
        </w:rPr>
        <w:t xml:space="preserve"> </w:t>
      </w:r>
      <w:r w:rsidRPr="00187186">
        <w:rPr>
          <w:rFonts w:ascii="Cambria" w:eastAsia="Batang" w:hAnsi="Cambria"/>
          <w:sz w:val="20"/>
          <w:szCs w:val="20"/>
          <w:bdr w:val="none" w:sz="0" w:space="0" w:color="auto"/>
          <w:lang w:val="pt-BR"/>
        </w:rPr>
        <w:t>No entanto, em 8 de maio de 2006, as Câmaras Criminais Reunidas do Tribunal de Justiça do Pará emitiram decisão contrária, declarando extinta a punibilidade do crime imputado a Manoel Cardoso Neto, determinando o trancamento da ação penal e a imediata soltura do acusado</w:t>
      </w:r>
      <w:r w:rsidR="00EC645F" w:rsidRPr="00187186">
        <w:rPr>
          <w:rStyle w:val="FootnoteReference"/>
          <w:rFonts w:ascii="Cambria" w:eastAsia="Batang" w:hAnsi="Cambria"/>
          <w:sz w:val="20"/>
          <w:szCs w:val="20"/>
          <w:bdr w:val="none" w:sz="0" w:space="0" w:color="auto"/>
          <w:lang w:val="pt-BR"/>
        </w:rPr>
        <w:footnoteReference w:id="181"/>
      </w:r>
      <w:r w:rsidRPr="00187186">
        <w:rPr>
          <w:rFonts w:ascii="Cambria" w:eastAsia="Batang" w:hAnsi="Cambria"/>
          <w:sz w:val="20"/>
          <w:szCs w:val="20"/>
          <w:bdr w:val="none" w:sz="0" w:space="0" w:color="auto"/>
          <w:lang w:val="pt-BR"/>
        </w:rPr>
        <w:t>. A decisão foi publicada no dia 18 de maio de 2006</w:t>
      </w:r>
      <w:r w:rsidR="00EC645F" w:rsidRPr="00187186">
        <w:rPr>
          <w:rStyle w:val="FootnoteReference"/>
          <w:rFonts w:ascii="Cambria" w:eastAsia="Batang" w:hAnsi="Cambria"/>
          <w:sz w:val="20"/>
          <w:szCs w:val="20"/>
          <w:bdr w:val="none" w:sz="0" w:space="0" w:color="auto"/>
          <w:lang w:val="pt-BR"/>
        </w:rPr>
        <w:footnoteReference w:id="182"/>
      </w:r>
      <w:r w:rsidRPr="00187186">
        <w:rPr>
          <w:rFonts w:ascii="Cambria" w:eastAsia="Batang" w:hAnsi="Cambria"/>
          <w:sz w:val="20"/>
          <w:szCs w:val="20"/>
          <w:bdr w:val="none" w:sz="0" w:space="0" w:color="auto"/>
          <w:lang w:val="pt-BR"/>
        </w:rPr>
        <w:t>. O Ministério Público não interpôs recurso.</w:t>
      </w:r>
    </w:p>
    <w:p w14:paraId="46DC32AD" w14:textId="77777777" w:rsidR="00E06D0E" w:rsidRPr="00187186" w:rsidRDefault="00E06D0E" w:rsidP="001871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14:paraId="0890F0D7" w14:textId="77777777" w:rsidR="0058063C" w:rsidRPr="00187186" w:rsidRDefault="00EF5EF4" w:rsidP="00187186">
      <w:pPr>
        <w:pStyle w:val="Heading3"/>
      </w:pPr>
      <w:bookmarkStart w:id="44" w:name="_Toc7618509"/>
      <w:bookmarkStart w:id="45" w:name="_Toc16677787"/>
      <w:bookmarkStart w:id="46" w:name="_Toc16677874"/>
      <w:r w:rsidRPr="00187186">
        <w:t>Medidas adicionais tomadas pelos familiares de Gabriel Sales Pimenta</w:t>
      </w:r>
      <w:bookmarkEnd w:id="44"/>
      <w:bookmarkEnd w:id="45"/>
      <w:bookmarkEnd w:id="46"/>
    </w:p>
    <w:p w14:paraId="3B74215A" w14:textId="77777777" w:rsidR="0058063C" w:rsidRPr="00187186" w:rsidRDefault="0058063C" w:rsidP="00187186">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eastAsia="Batang" w:hAnsi="Cambria"/>
          <w:sz w:val="20"/>
          <w:szCs w:val="20"/>
          <w:bdr w:val="none" w:sz="0" w:space="0" w:color="auto"/>
          <w:lang w:val="pt-BR"/>
        </w:rPr>
      </w:pPr>
    </w:p>
    <w:p w14:paraId="71304AD7" w14:textId="77777777" w:rsidR="000950C9" w:rsidRPr="00187186" w:rsidRDefault="00EF5EF4"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pt-BR"/>
        </w:rPr>
      </w:pPr>
      <w:r w:rsidRPr="00187186">
        <w:rPr>
          <w:rFonts w:ascii="Cambria" w:hAnsi="Cambria"/>
          <w:sz w:val="20"/>
          <w:szCs w:val="20"/>
          <w:lang w:val="pt-BR"/>
        </w:rPr>
        <w:t>Em junho de 2007, Rafael Sales Pimenta apresentou uma representação por excesso de prazo no Conselho Nacional de Justiça</w:t>
      </w:r>
      <w:r w:rsidR="000950C9" w:rsidRPr="00187186">
        <w:rPr>
          <w:rFonts w:ascii="Cambria" w:hAnsi="Cambria"/>
          <w:sz w:val="20"/>
          <w:szCs w:val="20"/>
          <w:lang w:val="pt-BR"/>
        </w:rPr>
        <w:t xml:space="preserve"> em relação à demora na tramitação do</w:t>
      </w:r>
      <w:r w:rsidRPr="00187186">
        <w:rPr>
          <w:rFonts w:ascii="Cambria" w:hAnsi="Cambria"/>
          <w:sz w:val="20"/>
          <w:szCs w:val="20"/>
          <w:lang w:val="pt-BR"/>
        </w:rPr>
        <w:t xml:space="preserve"> processo criminal referente ao assassinato de Gabriel Pimenta</w:t>
      </w:r>
      <w:r w:rsidR="00EC645F" w:rsidRPr="00187186">
        <w:rPr>
          <w:rStyle w:val="FootnoteReference"/>
          <w:rFonts w:ascii="Cambria" w:eastAsia="Batang" w:hAnsi="Cambria"/>
          <w:sz w:val="20"/>
          <w:szCs w:val="20"/>
          <w:bdr w:val="none" w:sz="0" w:space="0" w:color="auto"/>
          <w:lang w:val="pt-BR"/>
        </w:rPr>
        <w:footnoteReference w:id="183"/>
      </w:r>
      <w:r w:rsidRPr="00187186">
        <w:rPr>
          <w:rFonts w:ascii="Cambria" w:hAnsi="Cambria"/>
          <w:sz w:val="20"/>
          <w:szCs w:val="20"/>
          <w:lang w:val="pt-BR"/>
        </w:rPr>
        <w:t xml:space="preserve">. </w:t>
      </w:r>
      <w:r w:rsidR="000950C9" w:rsidRPr="00187186">
        <w:rPr>
          <w:rFonts w:ascii="Cambria" w:hAnsi="Cambria"/>
          <w:sz w:val="20"/>
          <w:szCs w:val="20"/>
          <w:lang w:val="pt-BR"/>
        </w:rPr>
        <w:t>A</w:t>
      </w:r>
      <w:r w:rsidRPr="00187186">
        <w:rPr>
          <w:rFonts w:ascii="Cambria" w:hAnsi="Cambria"/>
          <w:sz w:val="20"/>
          <w:szCs w:val="20"/>
          <w:lang w:val="pt-BR"/>
        </w:rPr>
        <w:t xml:space="preserve"> representação foi arquivada por considerar-se que perdera seu objeto</w:t>
      </w:r>
      <w:r w:rsidR="000950C9" w:rsidRPr="00187186">
        <w:rPr>
          <w:rFonts w:ascii="Cambria" w:hAnsi="Cambria"/>
          <w:sz w:val="20"/>
          <w:szCs w:val="20"/>
          <w:lang w:val="pt-BR"/>
        </w:rPr>
        <w:t>,</w:t>
      </w:r>
      <w:r w:rsidRPr="00187186">
        <w:rPr>
          <w:rFonts w:ascii="Cambria" w:hAnsi="Cambria"/>
          <w:sz w:val="20"/>
          <w:szCs w:val="20"/>
          <w:lang w:val="pt-BR"/>
        </w:rPr>
        <w:t xml:space="preserve"> uma vez que o processo criminal havia sido extinto pela prescrição</w:t>
      </w:r>
      <w:r w:rsidR="00EC645F" w:rsidRPr="00187186">
        <w:rPr>
          <w:rStyle w:val="FootnoteReference"/>
          <w:rFonts w:ascii="Cambria" w:eastAsia="Batang" w:hAnsi="Cambria"/>
          <w:sz w:val="20"/>
          <w:szCs w:val="20"/>
          <w:bdr w:val="none" w:sz="0" w:space="0" w:color="auto"/>
          <w:lang w:val="pt-BR"/>
        </w:rPr>
        <w:footnoteReference w:id="184"/>
      </w:r>
      <w:r w:rsidRPr="00187186">
        <w:rPr>
          <w:rFonts w:ascii="Cambria" w:hAnsi="Cambria"/>
          <w:sz w:val="20"/>
          <w:szCs w:val="20"/>
          <w:lang w:val="pt-BR"/>
        </w:rPr>
        <w:t>.</w:t>
      </w:r>
    </w:p>
    <w:p w14:paraId="64B40F71" w14:textId="77777777" w:rsidR="000950C9" w:rsidRPr="00187186" w:rsidRDefault="000950C9" w:rsidP="001871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pt-BR"/>
        </w:rPr>
      </w:pPr>
    </w:p>
    <w:p w14:paraId="6AC14D45" w14:textId="77777777" w:rsidR="00EF5EF4" w:rsidRPr="00187186" w:rsidRDefault="000950C9"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pt-BR"/>
        </w:rPr>
      </w:pPr>
      <w:r w:rsidRPr="00187186">
        <w:rPr>
          <w:rFonts w:ascii="Cambria" w:hAnsi="Cambria"/>
          <w:sz w:val="20"/>
          <w:szCs w:val="20"/>
          <w:lang w:val="pt-BR"/>
        </w:rPr>
        <w:t>Em</w:t>
      </w:r>
      <w:r w:rsidR="00EF5EF4" w:rsidRPr="00187186">
        <w:rPr>
          <w:rFonts w:ascii="Cambria" w:hAnsi="Cambria"/>
          <w:sz w:val="20"/>
          <w:szCs w:val="20"/>
          <w:lang w:val="pt-BR"/>
        </w:rPr>
        <w:t xml:space="preserve"> 7 de abril de 2008, a mãe de Gabriel Pimenta, Maria da Glória Sales Pimenta, ajuizou uma ação de indenização por danos morais em face do Estado do Pará por conta da morosidade na tramitação do processo criminal e a consequente impunidade pelo assassinato do seu filho</w:t>
      </w:r>
      <w:r w:rsidR="00EC645F" w:rsidRPr="00187186">
        <w:rPr>
          <w:rStyle w:val="FootnoteReference"/>
          <w:rFonts w:ascii="Cambria" w:eastAsia="Batang" w:hAnsi="Cambria"/>
          <w:sz w:val="20"/>
          <w:szCs w:val="20"/>
          <w:bdr w:val="none" w:sz="0" w:space="0" w:color="auto"/>
          <w:lang w:val="pt-BR"/>
        </w:rPr>
        <w:footnoteReference w:id="185"/>
      </w:r>
      <w:r w:rsidR="00EF5EF4" w:rsidRPr="00187186">
        <w:rPr>
          <w:rFonts w:ascii="Cambria" w:hAnsi="Cambria"/>
          <w:sz w:val="20"/>
          <w:szCs w:val="20"/>
          <w:lang w:val="pt-BR"/>
        </w:rPr>
        <w:t>.</w:t>
      </w:r>
      <w:r w:rsidRPr="00187186">
        <w:rPr>
          <w:rFonts w:ascii="Cambria" w:hAnsi="Cambria"/>
          <w:sz w:val="20"/>
          <w:szCs w:val="20"/>
          <w:lang w:val="pt-BR"/>
        </w:rPr>
        <w:t xml:space="preserve"> </w:t>
      </w:r>
      <w:r w:rsidR="00EF5EF4" w:rsidRPr="00187186">
        <w:rPr>
          <w:rFonts w:ascii="Cambria" w:hAnsi="Cambria"/>
          <w:sz w:val="20"/>
          <w:szCs w:val="20"/>
          <w:lang w:val="pt-BR"/>
        </w:rPr>
        <w:t>A Juíza Maria Aldecy de Sousa, da 3ª Vara Cível da Comarca de Marabá, julgou a ação procedente e condenou o Estado do Pará, a pagar uma indenização de R$ 700 mil à Sra. Maria da Glória Sales Pimenta</w:t>
      </w:r>
      <w:r w:rsidR="00EC645F" w:rsidRPr="00187186">
        <w:rPr>
          <w:rStyle w:val="FootnoteReference"/>
          <w:rFonts w:ascii="Cambria" w:eastAsia="Batang" w:hAnsi="Cambria"/>
          <w:sz w:val="20"/>
          <w:szCs w:val="20"/>
          <w:bdr w:val="none" w:sz="0" w:space="0" w:color="auto"/>
          <w:lang w:val="pt-BR"/>
        </w:rPr>
        <w:footnoteReference w:id="186"/>
      </w:r>
      <w:r w:rsidR="00D704BE" w:rsidRPr="00187186">
        <w:rPr>
          <w:rFonts w:ascii="Cambria" w:hAnsi="Cambria"/>
          <w:sz w:val="20"/>
          <w:szCs w:val="20"/>
          <w:lang w:val="pt-BR"/>
        </w:rPr>
        <w:t xml:space="preserve"> </w:t>
      </w:r>
      <w:r w:rsidR="00EF5EF4" w:rsidRPr="00187186">
        <w:rPr>
          <w:rFonts w:ascii="Cambria" w:hAnsi="Cambria"/>
          <w:sz w:val="20"/>
          <w:szCs w:val="20"/>
          <w:lang w:val="pt-BR"/>
        </w:rPr>
        <w:t>concluindo que as autoridades judiciárias foram completamente ineficazes</w:t>
      </w:r>
      <w:r w:rsidR="00EC645F" w:rsidRPr="00187186">
        <w:rPr>
          <w:rStyle w:val="FootnoteReference"/>
          <w:rFonts w:ascii="Cambria" w:eastAsia="Batang" w:hAnsi="Cambria"/>
          <w:sz w:val="20"/>
          <w:szCs w:val="20"/>
          <w:bdr w:val="none" w:sz="0" w:space="0" w:color="auto"/>
          <w:lang w:val="pt-BR"/>
        </w:rPr>
        <w:footnoteReference w:id="187"/>
      </w:r>
      <w:r w:rsidRPr="00187186">
        <w:rPr>
          <w:rFonts w:ascii="Cambria" w:hAnsi="Cambria"/>
          <w:sz w:val="20"/>
          <w:szCs w:val="20"/>
          <w:lang w:val="pt-BR"/>
        </w:rPr>
        <w:t xml:space="preserve">. </w:t>
      </w:r>
      <w:r w:rsidR="00EF5EF4" w:rsidRPr="00187186">
        <w:rPr>
          <w:rFonts w:ascii="Cambria" w:hAnsi="Cambria"/>
          <w:sz w:val="20"/>
          <w:szCs w:val="20"/>
          <w:lang w:val="pt-BR"/>
        </w:rPr>
        <w:t>O Estado do Pará recorreu desta decisão</w:t>
      </w:r>
      <w:r w:rsidRPr="00187186">
        <w:rPr>
          <w:rFonts w:ascii="Cambria" w:hAnsi="Cambria"/>
          <w:sz w:val="20"/>
          <w:szCs w:val="20"/>
          <w:lang w:val="pt-BR"/>
        </w:rPr>
        <w:t>. O</w:t>
      </w:r>
      <w:r w:rsidR="00EF5EF4" w:rsidRPr="00187186">
        <w:rPr>
          <w:rFonts w:ascii="Cambria" w:hAnsi="Cambria"/>
          <w:sz w:val="20"/>
          <w:szCs w:val="20"/>
          <w:lang w:val="pt-BR"/>
        </w:rPr>
        <w:t xml:space="preserve"> Tribunal de Justiça d</w:t>
      </w:r>
      <w:r w:rsidRPr="00187186">
        <w:rPr>
          <w:rFonts w:ascii="Cambria" w:hAnsi="Cambria"/>
          <w:sz w:val="20"/>
          <w:szCs w:val="20"/>
          <w:lang w:val="pt-BR"/>
        </w:rPr>
        <w:t>eu</w:t>
      </w:r>
      <w:r w:rsidR="00EF5EF4" w:rsidRPr="00187186">
        <w:rPr>
          <w:rFonts w:ascii="Cambria" w:hAnsi="Cambria"/>
          <w:sz w:val="20"/>
          <w:szCs w:val="20"/>
          <w:lang w:val="pt-BR"/>
        </w:rPr>
        <w:t xml:space="preserve"> provimento ao recurso para excluir a responsabilidade do Estado, indefer</w:t>
      </w:r>
      <w:r w:rsidR="00D704BE" w:rsidRPr="00187186">
        <w:rPr>
          <w:rFonts w:ascii="Cambria" w:hAnsi="Cambria"/>
          <w:sz w:val="20"/>
          <w:szCs w:val="20"/>
          <w:lang w:val="pt-BR"/>
        </w:rPr>
        <w:t>indo o pagamento da indenização</w:t>
      </w:r>
      <w:r w:rsidR="00EC645F" w:rsidRPr="00187186">
        <w:rPr>
          <w:rStyle w:val="FootnoteReference"/>
          <w:rFonts w:ascii="Cambria" w:eastAsia="Batang" w:hAnsi="Cambria"/>
          <w:sz w:val="20"/>
          <w:szCs w:val="20"/>
          <w:bdr w:val="none" w:sz="0" w:space="0" w:color="auto"/>
          <w:lang w:val="pt-BR"/>
        </w:rPr>
        <w:footnoteReference w:id="188"/>
      </w:r>
      <w:r w:rsidRPr="00187186">
        <w:rPr>
          <w:rFonts w:ascii="Cambria" w:hAnsi="Cambria"/>
          <w:sz w:val="20"/>
          <w:szCs w:val="20"/>
          <w:lang w:val="pt-BR"/>
        </w:rPr>
        <w:t>. O</w:t>
      </w:r>
      <w:r w:rsidR="00EF5EF4" w:rsidRPr="00187186">
        <w:rPr>
          <w:rFonts w:ascii="Cambria" w:hAnsi="Cambria"/>
          <w:sz w:val="20"/>
          <w:szCs w:val="20"/>
          <w:lang w:val="pt-BR"/>
        </w:rPr>
        <w:t xml:space="preserve">s familiares de Gabriel Pimenta interpuseram Recurso Especial, </w:t>
      </w:r>
      <w:r w:rsidRPr="00187186">
        <w:rPr>
          <w:rFonts w:ascii="Cambria" w:hAnsi="Cambria"/>
          <w:sz w:val="20"/>
          <w:szCs w:val="20"/>
          <w:lang w:val="pt-BR"/>
        </w:rPr>
        <w:t>cujo seguimento foi</w:t>
      </w:r>
      <w:r w:rsidR="00EF5EF4" w:rsidRPr="00187186">
        <w:rPr>
          <w:rFonts w:ascii="Cambria" w:hAnsi="Cambria"/>
          <w:sz w:val="20"/>
          <w:szCs w:val="20"/>
          <w:lang w:val="pt-BR"/>
        </w:rPr>
        <w:t xml:space="preserve"> negado pelo Tribunal de Justiça do Pará</w:t>
      </w:r>
      <w:r w:rsidR="00EC645F" w:rsidRPr="00187186">
        <w:rPr>
          <w:rStyle w:val="FootnoteReference"/>
          <w:rFonts w:ascii="Cambria" w:eastAsia="Batang" w:hAnsi="Cambria"/>
          <w:sz w:val="20"/>
          <w:szCs w:val="20"/>
          <w:bdr w:val="none" w:sz="0" w:space="0" w:color="auto"/>
          <w:lang w:val="pt-BR"/>
        </w:rPr>
        <w:footnoteReference w:id="189"/>
      </w:r>
      <w:r w:rsidR="00EF5EF4" w:rsidRPr="00187186">
        <w:rPr>
          <w:rFonts w:ascii="Cambria" w:hAnsi="Cambria"/>
          <w:sz w:val="20"/>
          <w:szCs w:val="20"/>
          <w:lang w:val="pt-BR"/>
        </w:rPr>
        <w:t xml:space="preserve">. </w:t>
      </w:r>
      <w:r w:rsidR="008C08C7" w:rsidRPr="00187186">
        <w:rPr>
          <w:rFonts w:ascii="Cambria" w:hAnsi="Cambria"/>
          <w:sz w:val="20"/>
          <w:szCs w:val="20"/>
          <w:lang w:val="pt-BR"/>
        </w:rPr>
        <w:t>Segundo a parte peticionária, e</w:t>
      </w:r>
      <w:r w:rsidR="00EF5EF4" w:rsidRPr="00187186">
        <w:rPr>
          <w:rFonts w:ascii="Cambria" w:hAnsi="Cambria"/>
          <w:sz w:val="20"/>
          <w:szCs w:val="20"/>
          <w:lang w:val="pt-BR"/>
        </w:rPr>
        <w:t>m 27 de julho de 2017, os familiares interpuseram novo recurso ao Superior Tribunal de Justiça contra a decisão que inadmitiu o Recurso Especial, e o processo segue agora para julgamento pela Corte Superior.</w:t>
      </w:r>
      <w:r w:rsidR="008C08C7" w:rsidRPr="00187186">
        <w:rPr>
          <w:rFonts w:ascii="Cambria" w:hAnsi="Cambria"/>
          <w:sz w:val="20"/>
          <w:szCs w:val="20"/>
          <w:lang w:val="pt-BR"/>
        </w:rPr>
        <w:t xml:space="preserve"> A parte peticionária alegou, por fim, que</w:t>
      </w:r>
      <w:r w:rsidR="00EF5EF4" w:rsidRPr="00187186">
        <w:rPr>
          <w:rFonts w:ascii="Cambria" w:hAnsi="Cambria"/>
          <w:sz w:val="20"/>
          <w:szCs w:val="20"/>
          <w:lang w:val="pt-BR"/>
        </w:rPr>
        <w:t xml:space="preserve"> Maria da Glória de Sales Pimenta faleceu em 20 de setembro de 2016, sem jamais ter recebido uma indenização</w:t>
      </w:r>
      <w:r w:rsidR="008C08C7" w:rsidRPr="00187186">
        <w:rPr>
          <w:rFonts w:ascii="Cambria" w:hAnsi="Cambria"/>
          <w:sz w:val="20"/>
          <w:szCs w:val="20"/>
          <w:lang w:val="pt-BR"/>
        </w:rPr>
        <w:t>, e que o</w:t>
      </w:r>
      <w:r w:rsidR="00EF5EF4" w:rsidRPr="00187186">
        <w:rPr>
          <w:rFonts w:ascii="Cambria" w:hAnsi="Cambria"/>
          <w:sz w:val="20"/>
          <w:szCs w:val="20"/>
          <w:lang w:val="pt-BR"/>
        </w:rPr>
        <w:t xml:space="preserve">s demais familiares de Gabriel Pimenta </w:t>
      </w:r>
      <w:r w:rsidR="00F24B3E" w:rsidRPr="00187186">
        <w:rPr>
          <w:rFonts w:ascii="Cambria" w:hAnsi="Cambria"/>
          <w:sz w:val="20"/>
          <w:szCs w:val="20"/>
          <w:lang w:val="pt-BR"/>
        </w:rPr>
        <w:t>tampouco</w:t>
      </w:r>
      <w:r w:rsidR="00EF5EF4" w:rsidRPr="00187186">
        <w:rPr>
          <w:rFonts w:ascii="Cambria" w:hAnsi="Cambria"/>
          <w:sz w:val="20"/>
          <w:szCs w:val="20"/>
          <w:lang w:val="pt-BR"/>
        </w:rPr>
        <w:t xml:space="preserve"> foram reparados.</w:t>
      </w:r>
    </w:p>
    <w:p w14:paraId="14BE4D80" w14:textId="77777777" w:rsidR="00B755D7" w:rsidRPr="00187186" w:rsidRDefault="00B755D7" w:rsidP="00187186">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lang w:val="pt-BR"/>
        </w:rPr>
      </w:pPr>
    </w:p>
    <w:p w14:paraId="63AFDD85" w14:textId="77A85C4C" w:rsidR="005650A6" w:rsidRPr="00187186" w:rsidRDefault="005650A6" w:rsidP="00187186">
      <w:pPr>
        <w:pStyle w:val="Heading1"/>
      </w:pPr>
      <w:bookmarkStart w:id="47" w:name="_Toc7618510"/>
      <w:bookmarkStart w:id="48" w:name="_Toc506225836"/>
      <w:bookmarkStart w:id="49" w:name="_Toc16677788"/>
      <w:bookmarkStart w:id="50" w:name="_Toc16677875"/>
      <w:bookmarkEnd w:id="26"/>
      <w:r w:rsidRPr="00187186">
        <w:lastRenderedPageBreak/>
        <w:t>ANÁLISE DE DIREITO</w:t>
      </w:r>
      <w:bookmarkEnd w:id="47"/>
      <w:bookmarkEnd w:id="48"/>
      <w:bookmarkEnd w:id="49"/>
      <w:bookmarkEnd w:id="50"/>
    </w:p>
    <w:p w14:paraId="6CD23618" w14:textId="77777777" w:rsidR="00D8074E" w:rsidRPr="00187186" w:rsidRDefault="00D8074E" w:rsidP="00187186">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color w:val="FF0000"/>
          <w:sz w:val="20"/>
          <w:szCs w:val="20"/>
          <w:lang w:val="pt-BR"/>
        </w:rPr>
      </w:pPr>
    </w:p>
    <w:p w14:paraId="66F90558" w14:textId="07A024A4" w:rsidR="007F6033" w:rsidRPr="00187186" w:rsidRDefault="00D8074E"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pt-BR"/>
        </w:rPr>
      </w:pPr>
      <w:r w:rsidRPr="00187186">
        <w:rPr>
          <w:rFonts w:ascii="Cambria" w:hAnsi="Cambria"/>
          <w:sz w:val="20"/>
          <w:szCs w:val="20"/>
          <w:lang w:val="pt-BR"/>
        </w:rPr>
        <w:t xml:space="preserve">A Comissão destaca que parte dos fatos relevantes ocorreu antes que o Brasil aderisse à Convenção Americana, em 25 de setembro de 1992. Em virtude disso, para fins de determinar a responsabilidade do Estado, a Comissão levará em conta tanto a Declaração Americana como a Convenção Americana. </w:t>
      </w:r>
      <w:r w:rsidR="007F6033" w:rsidRPr="00187186">
        <w:rPr>
          <w:rFonts w:ascii="Cambria" w:hAnsi="Cambria"/>
          <w:noProof/>
          <w:sz w:val="20"/>
          <w:szCs w:val="20"/>
          <w:lang w:val="pt-BR"/>
        </w:rPr>
        <w:t xml:space="preserve"> </w:t>
      </w:r>
    </w:p>
    <w:p w14:paraId="7A4EECA3" w14:textId="77777777" w:rsidR="00233932" w:rsidRPr="00187186" w:rsidRDefault="00233932" w:rsidP="001871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pt-BR"/>
        </w:rPr>
      </w:pPr>
    </w:p>
    <w:p w14:paraId="40D92A17" w14:textId="143770F7" w:rsidR="005650A6" w:rsidRPr="00187186" w:rsidRDefault="0018438B" w:rsidP="00187186">
      <w:pPr>
        <w:pStyle w:val="Heading2"/>
        <w:numPr>
          <w:ilvl w:val="0"/>
          <w:numId w:val="0"/>
        </w:numPr>
        <w:ind w:left="360" w:hanging="360"/>
        <w:rPr>
          <w:rFonts w:eastAsia="Batang"/>
        </w:rPr>
      </w:pPr>
      <w:bookmarkStart w:id="51" w:name="_Toc506225837"/>
      <w:bookmarkStart w:id="52" w:name="_Toc7618514"/>
      <w:bookmarkStart w:id="53" w:name="_Toc16677789"/>
      <w:bookmarkStart w:id="54" w:name="_Toc16677876"/>
      <w:r w:rsidRPr="00187186">
        <w:rPr>
          <w:rFonts w:eastAsia="Batang"/>
        </w:rPr>
        <w:t>A</w:t>
      </w:r>
      <w:r w:rsidR="005650A6" w:rsidRPr="00187186">
        <w:rPr>
          <w:rFonts w:eastAsia="Batang"/>
        </w:rPr>
        <w:t>.</w:t>
      </w:r>
      <w:r w:rsidR="005650A6" w:rsidRPr="00187186">
        <w:rPr>
          <w:rFonts w:eastAsia="Batang"/>
        </w:rPr>
        <w:tab/>
      </w:r>
      <w:bookmarkStart w:id="55" w:name="_Toc496103835"/>
      <w:bookmarkStart w:id="56" w:name="_Toc502662997"/>
      <w:bookmarkEnd w:id="51"/>
      <w:r w:rsidR="006A0DAF" w:rsidRPr="00187186">
        <w:rPr>
          <w:rFonts w:eastAsia="Batang"/>
        </w:rPr>
        <w:t>Direito à vida (artigo I da Declaração Americana dos Direitos e Deveres do Homem</w:t>
      </w:r>
      <w:r w:rsidR="006A0DAF" w:rsidRPr="00187186">
        <w:rPr>
          <w:rFonts w:eastAsia="Batang"/>
          <w:vertAlign w:val="superscript"/>
        </w:rPr>
        <w:footnoteReference w:id="190"/>
      </w:r>
      <w:r w:rsidR="006A0DAF" w:rsidRPr="00187186">
        <w:rPr>
          <w:rFonts w:eastAsia="Batang"/>
        </w:rPr>
        <w:t>)</w:t>
      </w:r>
      <w:bookmarkEnd w:id="52"/>
      <w:bookmarkEnd w:id="53"/>
      <w:bookmarkEnd w:id="54"/>
      <w:bookmarkEnd w:id="55"/>
      <w:bookmarkEnd w:id="56"/>
    </w:p>
    <w:p w14:paraId="66309E61" w14:textId="77777777" w:rsidR="000911BA" w:rsidRPr="00187186" w:rsidRDefault="000911BA" w:rsidP="00187186">
      <w:pPr>
        <w:keepNext/>
        <w:pBdr>
          <w:top w:val="none" w:sz="0" w:space="0" w:color="auto"/>
          <w:left w:val="none" w:sz="0" w:space="0" w:color="auto"/>
          <w:bottom w:val="none" w:sz="0" w:space="0" w:color="auto"/>
          <w:right w:val="none" w:sz="0" w:space="0" w:color="auto"/>
          <w:between w:val="none" w:sz="0" w:space="0" w:color="auto"/>
          <w:bar w:val="none" w:sz="0" w:color="auto"/>
        </w:pBdr>
        <w:ind w:left="1440" w:hanging="720"/>
        <w:outlineLvl w:val="2"/>
        <w:rPr>
          <w:rFonts w:ascii="Cambria" w:eastAsia="Times New Roman" w:hAnsi="Cambria" w:cs="Arial"/>
          <w:b/>
          <w:bCs/>
          <w:sz w:val="20"/>
          <w:szCs w:val="20"/>
          <w:bdr w:val="none" w:sz="0" w:space="0" w:color="auto"/>
          <w:lang w:val="pt-BR"/>
        </w:rPr>
      </w:pPr>
      <w:bookmarkStart w:id="57" w:name="_Toc506225838"/>
      <w:bookmarkStart w:id="58" w:name="_Toc7618515"/>
    </w:p>
    <w:bookmarkEnd w:id="57"/>
    <w:bookmarkEnd w:id="58"/>
    <w:p w14:paraId="7238C9E6" w14:textId="77777777" w:rsidR="00FC475A" w:rsidRPr="00187186" w:rsidRDefault="00FC475A"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Times New Roman" w:hAnsi="Cambria" w:cs="Arial"/>
          <w:b/>
          <w:bCs/>
          <w:iCs/>
          <w:sz w:val="20"/>
          <w:szCs w:val="20"/>
          <w:bdr w:val="none" w:sz="0" w:space="0" w:color="auto"/>
          <w:lang w:val="pt-BR"/>
        </w:rPr>
      </w:pPr>
      <w:r w:rsidRPr="00187186">
        <w:rPr>
          <w:rFonts w:ascii="Cambria" w:hAnsi="Cambria"/>
          <w:sz w:val="20"/>
          <w:szCs w:val="20"/>
          <w:lang w:val="pt-BR"/>
        </w:rPr>
        <w:t xml:space="preserve">O artigo I da </w:t>
      </w:r>
      <w:r w:rsidRPr="00187186">
        <w:rPr>
          <w:rFonts w:ascii="Cambria" w:eastAsia="Times New Roman" w:hAnsi="Cambria" w:cs="Arial"/>
          <w:bCs/>
          <w:iCs/>
          <w:sz w:val="20"/>
          <w:szCs w:val="20"/>
          <w:bdr w:val="none" w:sz="0" w:space="0" w:color="auto"/>
          <w:lang w:val="pt-BR"/>
        </w:rPr>
        <w:t xml:space="preserve">Declaração Americana dos Direitos e Deveres do Homem dispõe: “Todo ser humano tem direito à vida, à liberdade e à segurança de sua pessoa”. </w:t>
      </w:r>
      <w:r w:rsidRPr="00187186">
        <w:rPr>
          <w:rFonts w:ascii="Cambria" w:hAnsi="Cambria"/>
          <w:sz w:val="20"/>
          <w:szCs w:val="20"/>
          <w:lang w:val="pt-BR"/>
        </w:rPr>
        <w:t>A Comissão recorda que o direito à vida é pré-requisito para o gozo</w:t>
      </w:r>
      <w:r w:rsidRPr="00187186">
        <w:rPr>
          <w:rFonts w:ascii="Cambria" w:hAnsi="Cambria" w:cs="Verdana"/>
          <w:sz w:val="20"/>
          <w:szCs w:val="20"/>
          <w:lang w:val="pt-BR"/>
        </w:rPr>
        <w:t xml:space="preserve"> de todos os demais direitos humanos, e sem o seu respeito todos os demais carecem de </w:t>
      </w:r>
      <w:r w:rsidRPr="00187186">
        <w:rPr>
          <w:rFonts w:ascii="Cambria" w:hAnsi="Cambria"/>
          <w:sz w:val="20"/>
          <w:szCs w:val="20"/>
          <w:lang w:val="pt-BR"/>
        </w:rPr>
        <w:t>sentido</w:t>
      </w:r>
      <w:r w:rsidRPr="00187186">
        <w:rPr>
          <w:rStyle w:val="FootnoteReference"/>
          <w:rFonts w:ascii="Cambria" w:hAnsi="Cambria" w:cs="Verdana"/>
          <w:sz w:val="20"/>
          <w:szCs w:val="20"/>
          <w:lang w:val="pt-BR"/>
        </w:rPr>
        <w:footnoteReference w:id="191"/>
      </w:r>
      <w:r w:rsidRPr="00187186">
        <w:rPr>
          <w:rFonts w:ascii="Cambria" w:hAnsi="Cambria" w:cs="Verdana"/>
          <w:sz w:val="20"/>
          <w:szCs w:val="20"/>
          <w:lang w:val="pt-BR"/>
        </w:rPr>
        <w:t>.  Deste modo</w:t>
      </w:r>
      <w:r w:rsidRPr="00187186">
        <w:rPr>
          <w:rFonts w:ascii="Cambria" w:hAnsi="Cambria"/>
          <w:sz w:val="20"/>
          <w:szCs w:val="20"/>
          <w:lang w:val="pt-BR"/>
        </w:rPr>
        <w:t xml:space="preserve">, o cumprimento de las obligaciones que impone el derecho a la vida, </w:t>
      </w:r>
      <w:r w:rsidRPr="00187186">
        <w:rPr>
          <w:rFonts w:ascii="Cambria" w:hAnsi="Cambria" w:cs="Verdana"/>
          <w:sz w:val="20"/>
          <w:szCs w:val="20"/>
          <w:lang w:val="pt-BR"/>
        </w:rPr>
        <w:t xml:space="preserve">não só pressupõe que nenhuma pessoa seja privada de sua vida arbitrariamente, mas também requer que os Estados tomem todas as medidas </w:t>
      </w:r>
      <w:r w:rsidRPr="00187186">
        <w:rPr>
          <w:rFonts w:ascii="Cambria" w:hAnsi="Cambria"/>
          <w:sz w:val="20"/>
          <w:szCs w:val="20"/>
          <w:lang w:val="pt-BR"/>
        </w:rPr>
        <w:t>apropriadas</w:t>
      </w:r>
      <w:r w:rsidRPr="00187186">
        <w:rPr>
          <w:rFonts w:ascii="Cambria" w:hAnsi="Cambria" w:cs="Verdana"/>
          <w:sz w:val="20"/>
          <w:szCs w:val="20"/>
          <w:lang w:val="pt-BR"/>
        </w:rPr>
        <w:t xml:space="preserve"> para proteger e preservar o direito à vida, de acordo com seu dever de garantir o pleno e livre </w:t>
      </w:r>
      <w:r w:rsidRPr="00187186">
        <w:rPr>
          <w:rFonts w:ascii="Cambria" w:hAnsi="Cambria"/>
          <w:sz w:val="20"/>
          <w:szCs w:val="20"/>
          <w:lang w:val="pt-BR"/>
        </w:rPr>
        <w:t>exercício</w:t>
      </w:r>
      <w:r w:rsidRPr="00187186">
        <w:rPr>
          <w:rFonts w:ascii="Cambria" w:hAnsi="Cambria" w:cs="Verdana"/>
          <w:sz w:val="20"/>
          <w:szCs w:val="20"/>
          <w:lang w:val="pt-BR"/>
        </w:rPr>
        <w:t xml:space="preserve"> dos direitos de todas as pessoas sob sua jurisdição</w:t>
      </w:r>
      <w:r w:rsidRPr="00187186">
        <w:rPr>
          <w:rStyle w:val="FootnoteReference"/>
          <w:rFonts w:ascii="Cambria" w:hAnsi="Cambria"/>
          <w:sz w:val="20"/>
          <w:szCs w:val="20"/>
          <w:lang w:val="pt-BR"/>
        </w:rPr>
        <w:footnoteReference w:id="192"/>
      </w:r>
      <w:r w:rsidRPr="00187186">
        <w:rPr>
          <w:rFonts w:ascii="Cambria" w:hAnsi="Cambria" w:cs="Verdana"/>
          <w:sz w:val="20"/>
          <w:szCs w:val="20"/>
          <w:lang w:val="pt-BR"/>
        </w:rPr>
        <w:t>.</w:t>
      </w:r>
      <w:r w:rsidRPr="00187186">
        <w:rPr>
          <w:rFonts w:ascii="Cambria" w:eastAsia="Times New Roman" w:hAnsi="Cambria" w:cs="Arial"/>
          <w:b/>
          <w:bCs/>
          <w:iCs/>
          <w:sz w:val="20"/>
          <w:szCs w:val="20"/>
          <w:bdr w:val="none" w:sz="0" w:space="0" w:color="auto"/>
          <w:lang w:val="pt-BR"/>
        </w:rPr>
        <w:t xml:space="preserve"> </w:t>
      </w:r>
      <w:r w:rsidRPr="00187186">
        <w:rPr>
          <w:rFonts w:ascii="Cambria" w:hAnsi="Cambria"/>
          <w:sz w:val="20"/>
          <w:szCs w:val="20"/>
          <w:lang w:val="pt-BR"/>
        </w:rPr>
        <w:t>Com efeito, o propósito e o objeto dos instrumentos interamericanos de proteção aos direitos humanos requerem que o direito à vida seja interpretado e aplicado de maneira que suas garantias sejam práticas e efetivas (</w:t>
      </w:r>
      <w:r w:rsidRPr="00187186">
        <w:rPr>
          <w:rFonts w:ascii="Cambria" w:hAnsi="Cambria"/>
          <w:i/>
          <w:sz w:val="20"/>
          <w:szCs w:val="20"/>
          <w:lang w:val="pt-BR"/>
        </w:rPr>
        <w:t>effet utile</w:t>
      </w:r>
      <w:r w:rsidRPr="00187186">
        <w:rPr>
          <w:rFonts w:ascii="Cambria" w:hAnsi="Cambria"/>
          <w:sz w:val="20"/>
          <w:szCs w:val="20"/>
          <w:lang w:val="pt-BR"/>
        </w:rPr>
        <w:t>)</w:t>
      </w:r>
      <w:r w:rsidRPr="00187186">
        <w:rPr>
          <w:rStyle w:val="FootnoteReference"/>
          <w:rFonts w:ascii="Cambria" w:hAnsi="Cambria"/>
          <w:sz w:val="20"/>
          <w:szCs w:val="20"/>
          <w:lang w:val="pt-BR"/>
        </w:rPr>
        <w:footnoteReference w:id="193"/>
      </w:r>
      <w:r w:rsidRPr="00187186">
        <w:rPr>
          <w:rFonts w:ascii="Cambria" w:hAnsi="Cambria"/>
          <w:sz w:val="20"/>
          <w:szCs w:val="20"/>
          <w:lang w:val="pt-BR"/>
        </w:rPr>
        <w:t>.</w:t>
      </w:r>
    </w:p>
    <w:p w14:paraId="07A67485" w14:textId="77777777" w:rsidR="00FC475A" w:rsidRPr="00187186" w:rsidRDefault="00FC475A" w:rsidP="001871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pt-BR"/>
        </w:rPr>
      </w:pPr>
    </w:p>
    <w:p w14:paraId="17D0BE74" w14:textId="77777777" w:rsidR="00FC475A" w:rsidRPr="00187186" w:rsidRDefault="00FC475A"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pt-BR"/>
        </w:rPr>
      </w:pPr>
      <w:r w:rsidRPr="00187186">
        <w:rPr>
          <w:rFonts w:ascii="Cambria" w:hAnsi="Cambria"/>
          <w:sz w:val="20"/>
          <w:szCs w:val="20"/>
          <w:lang w:val="pt-BR"/>
        </w:rPr>
        <w:t xml:space="preserve">A responsabilidade internacional do Estado pode basear-se em atos ou omissões de qualquer poder ou órgão deste que violem a </w:t>
      </w:r>
      <w:r w:rsidRPr="00187186">
        <w:rPr>
          <w:rFonts w:ascii="Cambria" w:eastAsia="Times New Roman" w:hAnsi="Cambria" w:cs="Arial"/>
          <w:bCs/>
          <w:iCs/>
          <w:sz w:val="20"/>
          <w:szCs w:val="20"/>
          <w:bdr w:val="none" w:sz="0" w:space="0" w:color="auto"/>
          <w:lang w:val="pt-BR"/>
        </w:rPr>
        <w:t>Declaração Americana dos Direitos e Deveres do Homem ou outros instrumentos internacionais de direitos humanos de que seja parte</w:t>
      </w:r>
      <w:r w:rsidRPr="00187186">
        <w:rPr>
          <w:rFonts w:ascii="Cambria" w:hAnsi="Cambria"/>
          <w:sz w:val="20"/>
          <w:szCs w:val="20"/>
          <w:lang w:val="pt-BR"/>
        </w:rPr>
        <w:t>, e é gerada de forma imediata com o ilícito internacional.  Com estes pressupostos, para reconhecer se ocorreu uma violação dos direitos consagrados na Declaração não é preciso determinar, como ocorre no direito penal interno, a culpabilidade de seus autores ou sua intencionalidade; tampouco é preciso identificar individualmente os agentes aos quais se atribuem os atos violadores. É suficiente demonstrar “que ocorreram ações ou omissões que permitiram a perpetração dessas violações ou que exista uma obrigação do Estado que tenha sido descumprida por este”</w:t>
      </w:r>
      <w:r w:rsidRPr="00187186">
        <w:rPr>
          <w:rFonts w:ascii="Cambria" w:hAnsi="Cambria"/>
          <w:sz w:val="20"/>
          <w:szCs w:val="20"/>
          <w:vertAlign w:val="superscript"/>
          <w:lang w:val="pt-BR"/>
        </w:rPr>
        <w:footnoteReference w:id="194"/>
      </w:r>
      <w:r w:rsidRPr="00187186">
        <w:rPr>
          <w:rFonts w:ascii="Cambria" w:hAnsi="Cambria"/>
          <w:sz w:val="20"/>
          <w:szCs w:val="20"/>
          <w:lang w:val="pt-BR"/>
        </w:rPr>
        <w:t>.</w:t>
      </w:r>
    </w:p>
    <w:p w14:paraId="3E271B18" w14:textId="77777777" w:rsidR="00FC475A" w:rsidRPr="00187186" w:rsidRDefault="00FC475A" w:rsidP="00187186">
      <w:pPr>
        <w:pStyle w:val="ListParagraph"/>
        <w:ind w:left="0"/>
        <w:rPr>
          <w:sz w:val="20"/>
          <w:szCs w:val="20"/>
          <w:lang w:val="pt-BR"/>
        </w:rPr>
      </w:pPr>
    </w:p>
    <w:p w14:paraId="7D472EF9" w14:textId="2F6983E9" w:rsidR="00FC475A" w:rsidRPr="00187186" w:rsidRDefault="00FC475A"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pt-BR"/>
        </w:rPr>
      </w:pPr>
      <w:r w:rsidRPr="00187186">
        <w:rPr>
          <w:rFonts w:ascii="Cambria" w:hAnsi="Cambria"/>
          <w:sz w:val="20"/>
          <w:szCs w:val="20"/>
          <w:lang w:val="pt-BR"/>
        </w:rPr>
        <w:t>Ao longo do trabalho da Comissão e da Corte, foram definidos os conteúdos das obrigações de respeito e de garantia. No presente caso, não existe controvérsia sobre o assassi</w:t>
      </w:r>
      <w:r w:rsidR="00E52DB2" w:rsidRPr="00187186">
        <w:rPr>
          <w:rFonts w:ascii="Cambria" w:hAnsi="Cambria"/>
          <w:sz w:val="20"/>
          <w:szCs w:val="20"/>
          <w:lang w:val="pt-BR"/>
        </w:rPr>
        <w:t>n</w:t>
      </w:r>
      <w:r w:rsidRPr="00187186">
        <w:rPr>
          <w:rFonts w:ascii="Cambria" w:hAnsi="Cambria"/>
          <w:sz w:val="20"/>
          <w:szCs w:val="20"/>
          <w:lang w:val="pt-BR"/>
        </w:rPr>
        <w:t>ato de Gabriel Sales Pimenta ter sido cometido por atores não estatais.</w:t>
      </w:r>
      <w:r w:rsidR="00E52DB2" w:rsidRPr="00187186">
        <w:rPr>
          <w:rFonts w:ascii="Cambria" w:hAnsi="Cambria"/>
          <w:sz w:val="20"/>
          <w:szCs w:val="20"/>
          <w:lang w:val="pt-BR"/>
        </w:rPr>
        <w:t xml:space="preserve"> Pelo contexto, atos desse tipo normalmente ocorrem com a tolerância e mesmo com o apoio de agentes estatais. Contudo, não consta dos autos informação suficiente que vincule o assassinato em comento a agentes estatais. </w:t>
      </w:r>
      <w:r w:rsidRPr="00187186">
        <w:rPr>
          <w:rFonts w:ascii="Cambria" w:hAnsi="Cambria"/>
          <w:sz w:val="20"/>
          <w:szCs w:val="20"/>
          <w:lang w:val="pt-BR"/>
        </w:rPr>
        <w:t xml:space="preserve">Neste sentido, a possível atribuição de responsabilidade do Estado por esses fatos deve ser analisado a respeito do cumprimento ou não de seu dever de garantia. </w:t>
      </w:r>
    </w:p>
    <w:p w14:paraId="2EE1FCB2" w14:textId="77777777" w:rsidR="00FC475A" w:rsidRPr="00187186" w:rsidRDefault="00FC475A" w:rsidP="00187186">
      <w:pPr>
        <w:pStyle w:val="ListParagraph"/>
        <w:ind w:left="0"/>
        <w:rPr>
          <w:sz w:val="20"/>
          <w:szCs w:val="20"/>
          <w:lang w:val="pt-BR"/>
        </w:rPr>
      </w:pPr>
    </w:p>
    <w:p w14:paraId="2EA8046B" w14:textId="77777777" w:rsidR="00FC475A" w:rsidRPr="00187186" w:rsidRDefault="00FC475A"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cs="Verdana"/>
          <w:sz w:val="20"/>
          <w:szCs w:val="20"/>
          <w:lang w:val="pt-BR"/>
        </w:rPr>
      </w:pPr>
      <w:r w:rsidRPr="00187186">
        <w:rPr>
          <w:rFonts w:ascii="Cambria" w:hAnsi="Cambria" w:cs="Verdana"/>
          <w:sz w:val="20"/>
          <w:szCs w:val="20"/>
          <w:lang w:val="pt-BR"/>
        </w:rPr>
        <w:t>A esse respeito, a Corte indicou que os Estados devem prevenir, investigar e punir toda violação dos direitos reconhecidos pela Convenção e procurar o restabelecimento, se possível, do direito violado e, se for o caso, a reparação dos danos produzidos pela violação dos direitos humanos</w:t>
      </w:r>
      <w:r w:rsidRPr="00187186">
        <w:rPr>
          <w:rStyle w:val="FootnoteReference"/>
          <w:rFonts w:ascii="Cambria" w:hAnsi="Cambria"/>
          <w:sz w:val="20"/>
          <w:szCs w:val="20"/>
          <w:lang w:val="pt-BR"/>
        </w:rPr>
        <w:footnoteReference w:id="195"/>
      </w:r>
      <w:r w:rsidRPr="00187186">
        <w:rPr>
          <w:rFonts w:ascii="Cambria" w:hAnsi="Cambria" w:cs="Verdana"/>
          <w:sz w:val="20"/>
          <w:szCs w:val="20"/>
          <w:lang w:val="pt-BR"/>
        </w:rPr>
        <w:t xml:space="preserve">. Estas obrigações são aplicáveis também frente a possíveis atos de atores não estatais. Especificamente, a </w:t>
      </w:r>
      <w:r w:rsidRPr="00187186">
        <w:rPr>
          <w:rFonts w:ascii="Cambria" w:hAnsi="Cambria" w:cs="Arial"/>
          <w:sz w:val="20"/>
          <w:szCs w:val="20"/>
          <w:lang w:val="pt-BR"/>
        </w:rPr>
        <w:t>Corte indicou que “</w:t>
      </w:r>
      <w:r w:rsidRPr="00187186">
        <w:rPr>
          <w:rFonts w:ascii="Cambria" w:hAnsi="Cambria"/>
          <w:sz w:val="20"/>
          <w:szCs w:val="20"/>
          <w:lang w:val="pt-BR"/>
        </w:rPr>
        <w:t>pode-se gerar</w:t>
      </w:r>
      <w:r w:rsidRPr="00187186">
        <w:rPr>
          <w:rFonts w:ascii="Cambria" w:hAnsi="Cambria"/>
          <w:b/>
          <w:sz w:val="20"/>
          <w:szCs w:val="20"/>
          <w:lang w:val="pt-BR"/>
        </w:rPr>
        <w:t xml:space="preserve"> </w:t>
      </w:r>
      <w:r w:rsidRPr="00187186">
        <w:rPr>
          <w:rFonts w:ascii="Cambria" w:hAnsi="Cambria"/>
          <w:sz w:val="20"/>
          <w:szCs w:val="20"/>
          <w:lang w:val="pt-BR"/>
        </w:rPr>
        <w:t>responsabilidade internacional</w:t>
      </w:r>
      <w:r w:rsidRPr="00187186">
        <w:rPr>
          <w:rFonts w:ascii="Cambria" w:hAnsi="Cambria"/>
          <w:b/>
          <w:sz w:val="20"/>
          <w:szCs w:val="20"/>
          <w:lang w:val="pt-BR"/>
        </w:rPr>
        <w:t xml:space="preserve"> </w:t>
      </w:r>
      <w:r w:rsidRPr="00187186">
        <w:rPr>
          <w:rFonts w:ascii="Cambria" w:hAnsi="Cambria"/>
          <w:sz w:val="20"/>
          <w:szCs w:val="20"/>
          <w:lang w:val="pt-BR"/>
        </w:rPr>
        <w:t>do</w:t>
      </w:r>
      <w:r w:rsidRPr="00187186">
        <w:rPr>
          <w:rFonts w:ascii="Cambria" w:hAnsi="Cambria"/>
          <w:b/>
          <w:sz w:val="20"/>
          <w:szCs w:val="20"/>
          <w:lang w:val="pt-BR"/>
        </w:rPr>
        <w:t xml:space="preserve"> </w:t>
      </w:r>
      <w:r w:rsidRPr="00187186">
        <w:rPr>
          <w:rFonts w:ascii="Cambria" w:hAnsi="Cambria"/>
          <w:sz w:val="20"/>
          <w:szCs w:val="20"/>
          <w:lang w:val="pt-BR"/>
        </w:rPr>
        <w:t>Estado por atribuição a este de atos que violam direitos humanos</w:t>
      </w:r>
      <w:r w:rsidRPr="00187186">
        <w:rPr>
          <w:rFonts w:ascii="Cambria" w:hAnsi="Cambria"/>
          <w:b/>
          <w:sz w:val="20"/>
          <w:szCs w:val="20"/>
          <w:lang w:val="pt-BR"/>
        </w:rPr>
        <w:t xml:space="preserve"> </w:t>
      </w:r>
      <w:r w:rsidRPr="00187186">
        <w:rPr>
          <w:rFonts w:ascii="Cambria" w:hAnsi="Cambria"/>
          <w:sz w:val="20"/>
          <w:szCs w:val="20"/>
          <w:lang w:val="pt-BR"/>
        </w:rPr>
        <w:t>cometidos por</w:t>
      </w:r>
      <w:r w:rsidRPr="00187186">
        <w:rPr>
          <w:rFonts w:ascii="Cambria" w:hAnsi="Cambria"/>
          <w:b/>
          <w:sz w:val="20"/>
          <w:szCs w:val="20"/>
          <w:lang w:val="pt-BR"/>
        </w:rPr>
        <w:t xml:space="preserve"> </w:t>
      </w:r>
      <w:r w:rsidRPr="00187186">
        <w:rPr>
          <w:rFonts w:ascii="Cambria" w:hAnsi="Cambria"/>
          <w:sz w:val="20"/>
          <w:szCs w:val="20"/>
          <w:lang w:val="pt-BR"/>
        </w:rPr>
        <w:t>terceiros ou particulares, no âmbito das obrigações do Estado de garantir o respeito a esses direitos entre indivíduos</w:t>
      </w:r>
      <w:r w:rsidRPr="00187186">
        <w:rPr>
          <w:rStyle w:val="FootnoteReference"/>
          <w:rFonts w:ascii="Cambria" w:hAnsi="Cambria"/>
          <w:sz w:val="20"/>
          <w:szCs w:val="20"/>
          <w:lang w:val="pt-BR"/>
        </w:rPr>
        <w:footnoteReference w:id="196"/>
      </w:r>
      <w:r w:rsidRPr="00187186">
        <w:rPr>
          <w:rFonts w:ascii="Cambria" w:hAnsi="Cambria"/>
          <w:sz w:val="20"/>
          <w:szCs w:val="20"/>
          <w:lang w:val="pt-BR"/>
        </w:rPr>
        <w:t xml:space="preserve"> (…) as obrigações </w:t>
      </w:r>
      <w:r w:rsidRPr="00187186">
        <w:rPr>
          <w:rFonts w:ascii="Cambria" w:hAnsi="Cambria"/>
          <w:i/>
          <w:sz w:val="20"/>
          <w:szCs w:val="20"/>
          <w:lang w:val="pt-BR"/>
        </w:rPr>
        <w:t>erga omnes</w:t>
      </w:r>
      <w:r w:rsidRPr="00187186">
        <w:rPr>
          <w:rFonts w:ascii="Cambria" w:hAnsi="Cambria"/>
          <w:sz w:val="20"/>
          <w:szCs w:val="20"/>
          <w:lang w:val="pt-BR"/>
        </w:rPr>
        <w:t xml:space="preserve"> de respeitar e fazer respeitar as normas de proteção, a cargo dos Estados Partes na Convenção, projetam seus efeitos além da relação entre seus agentes e as pessoas submetidas à sua jurisdição, pois se manifestam também</w:t>
      </w:r>
      <w:r w:rsidRPr="00187186">
        <w:rPr>
          <w:rFonts w:ascii="Cambria" w:hAnsi="Cambria"/>
          <w:b/>
          <w:sz w:val="20"/>
          <w:szCs w:val="20"/>
          <w:lang w:val="pt-BR"/>
        </w:rPr>
        <w:t xml:space="preserve"> </w:t>
      </w:r>
      <w:r w:rsidRPr="00187186">
        <w:rPr>
          <w:rFonts w:ascii="Cambria" w:hAnsi="Cambria"/>
          <w:sz w:val="20"/>
          <w:szCs w:val="20"/>
          <w:lang w:val="pt-BR"/>
        </w:rPr>
        <w:t>na</w:t>
      </w:r>
      <w:r w:rsidRPr="00187186">
        <w:rPr>
          <w:rFonts w:ascii="Cambria" w:hAnsi="Cambria"/>
          <w:b/>
          <w:sz w:val="20"/>
          <w:szCs w:val="20"/>
          <w:lang w:val="pt-BR"/>
        </w:rPr>
        <w:t xml:space="preserve"> </w:t>
      </w:r>
      <w:r w:rsidRPr="00187186">
        <w:rPr>
          <w:rFonts w:ascii="Cambria" w:hAnsi="Cambria"/>
          <w:sz w:val="20"/>
          <w:szCs w:val="20"/>
          <w:lang w:val="pt-BR"/>
        </w:rPr>
        <w:t xml:space="preserve">obrigação positiva do Estado de adotar as medidas necessárias </w:t>
      </w:r>
      <w:r w:rsidRPr="00187186">
        <w:rPr>
          <w:rFonts w:ascii="Cambria" w:hAnsi="Cambria"/>
          <w:sz w:val="20"/>
          <w:szCs w:val="20"/>
          <w:lang w:val="pt-BR"/>
        </w:rPr>
        <w:lastRenderedPageBreak/>
        <w:t>para assegurar a efetiva proteção dos direitos humanos nas relações inter</w:t>
      </w:r>
      <w:r w:rsidRPr="00187186">
        <w:rPr>
          <w:rFonts w:ascii="Cambria" w:hAnsi="Cambria" w:cs="Verdana"/>
          <w:sz w:val="20"/>
          <w:szCs w:val="20"/>
          <w:lang w:val="pt-BR"/>
        </w:rPr>
        <w:t>individuais</w:t>
      </w:r>
      <w:r w:rsidRPr="00187186">
        <w:rPr>
          <w:rFonts w:ascii="Cambria" w:hAnsi="Cambria"/>
          <w:sz w:val="20"/>
          <w:szCs w:val="20"/>
          <w:lang w:val="pt-BR"/>
        </w:rPr>
        <w:t>”</w:t>
      </w:r>
      <w:r w:rsidRPr="00187186">
        <w:rPr>
          <w:rStyle w:val="FootnoteReference"/>
          <w:rFonts w:ascii="Cambria" w:hAnsi="Cambria"/>
          <w:sz w:val="20"/>
          <w:szCs w:val="20"/>
          <w:lang w:val="pt-BR"/>
        </w:rPr>
        <w:footnoteReference w:id="197"/>
      </w:r>
      <w:r w:rsidRPr="00187186">
        <w:rPr>
          <w:rFonts w:ascii="Cambria" w:hAnsi="Cambria"/>
          <w:sz w:val="20"/>
          <w:szCs w:val="20"/>
          <w:lang w:val="pt-BR"/>
        </w:rPr>
        <w:t>. Essas obrigações deverão ser determinadas em cada caso em função das necessidades de proteção, para cada caso em particular”</w:t>
      </w:r>
      <w:r w:rsidRPr="00187186">
        <w:rPr>
          <w:rStyle w:val="FootnoteReference"/>
          <w:rFonts w:ascii="Cambria" w:hAnsi="Cambria"/>
          <w:sz w:val="20"/>
          <w:szCs w:val="20"/>
          <w:lang w:val="pt-BR"/>
        </w:rPr>
        <w:footnoteReference w:id="198"/>
      </w:r>
      <w:r w:rsidRPr="00187186">
        <w:rPr>
          <w:rFonts w:ascii="Cambria" w:hAnsi="Cambria"/>
          <w:sz w:val="20"/>
          <w:szCs w:val="20"/>
          <w:lang w:val="pt-BR"/>
        </w:rPr>
        <w:t>. A Comissão Interamericana tem interpretado a Declaração Americana no mesmo sentido de incorporar obrigações de garantia aos Estados, as quais se estendem violações cometidas por atores não estatais</w:t>
      </w:r>
      <w:r w:rsidRPr="00187186">
        <w:rPr>
          <w:rStyle w:val="FootnoteReference"/>
          <w:rFonts w:ascii="Cambria" w:hAnsi="Cambria"/>
          <w:sz w:val="20"/>
          <w:szCs w:val="20"/>
          <w:lang w:val="pt-BR"/>
        </w:rPr>
        <w:footnoteReference w:id="199"/>
      </w:r>
      <w:r w:rsidRPr="00187186">
        <w:rPr>
          <w:rFonts w:ascii="Cambria" w:hAnsi="Cambria"/>
          <w:sz w:val="20"/>
          <w:szCs w:val="20"/>
          <w:lang w:val="pt-BR"/>
        </w:rPr>
        <w:t xml:space="preserve">. </w:t>
      </w:r>
    </w:p>
    <w:p w14:paraId="7EBE48D8" w14:textId="77777777" w:rsidR="00FC475A" w:rsidRPr="00187186" w:rsidRDefault="00FC475A" w:rsidP="00187186">
      <w:pPr>
        <w:jc w:val="both"/>
        <w:rPr>
          <w:rFonts w:ascii="Cambria" w:hAnsi="Cambria"/>
          <w:sz w:val="20"/>
          <w:szCs w:val="20"/>
          <w:lang w:val="pt-BR"/>
        </w:rPr>
      </w:pPr>
    </w:p>
    <w:p w14:paraId="64FD8DB6" w14:textId="77777777" w:rsidR="00FC475A" w:rsidRPr="00187186" w:rsidRDefault="00FC475A"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pt-BR"/>
        </w:rPr>
      </w:pPr>
      <w:r w:rsidRPr="00187186">
        <w:rPr>
          <w:rFonts w:ascii="Cambria" w:hAnsi="Cambria"/>
          <w:sz w:val="20"/>
          <w:szCs w:val="20"/>
          <w:lang w:val="pt-BR"/>
        </w:rPr>
        <w:t>Especificamente, sobre o dever de prevenir, a Comissão e a Corte se baseiam na jurisprudência da Corte Europeia</w:t>
      </w:r>
      <w:r w:rsidRPr="00187186">
        <w:rPr>
          <w:rStyle w:val="FootnoteReference"/>
          <w:rFonts w:ascii="Cambria" w:hAnsi="Cambria"/>
          <w:sz w:val="20"/>
          <w:szCs w:val="20"/>
          <w:lang w:val="pt-BR"/>
        </w:rPr>
        <w:t xml:space="preserve"> </w:t>
      </w:r>
      <w:r w:rsidRPr="00187186">
        <w:rPr>
          <w:rStyle w:val="FootnoteReference"/>
          <w:rFonts w:ascii="Cambria" w:hAnsi="Cambria"/>
          <w:sz w:val="20"/>
          <w:szCs w:val="20"/>
          <w:lang w:val="pt-BR"/>
        </w:rPr>
        <w:footnoteReference w:id="200"/>
      </w:r>
      <w:r w:rsidRPr="00187186">
        <w:rPr>
          <w:rFonts w:ascii="Cambria" w:hAnsi="Cambria"/>
          <w:sz w:val="20"/>
          <w:szCs w:val="20"/>
          <w:lang w:val="pt-BR"/>
        </w:rPr>
        <w:t xml:space="preserve">, segundo a qual “um Estado não pode ser responsável por qualquer </w:t>
      </w:r>
      <w:r w:rsidRPr="00187186">
        <w:rPr>
          <w:rFonts w:ascii="Cambria" w:hAnsi="Cambria" w:cs="Verdana"/>
          <w:sz w:val="20"/>
          <w:szCs w:val="20"/>
          <w:lang w:val="pt-BR"/>
        </w:rPr>
        <w:t>violação</w:t>
      </w:r>
      <w:r w:rsidRPr="00187186">
        <w:rPr>
          <w:rFonts w:ascii="Cambria" w:hAnsi="Cambria"/>
          <w:sz w:val="20"/>
          <w:szCs w:val="20"/>
          <w:lang w:val="pt-BR"/>
        </w:rPr>
        <w:t xml:space="preserve"> de direitos humanos cometida entre particulares dentro de sua jurisdição” e que o caráter </w:t>
      </w:r>
      <w:r w:rsidRPr="00187186">
        <w:rPr>
          <w:rFonts w:ascii="Cambria" w:hAnsi="Cambria"/>
          <w:i/>
          <w:sz w:val="20"/>
          <w:szCs w:val="20"/>
          <w:lang w:val="pt-BR"/>
        </w:rPr>
        <w:t xml:space="preserve">erga omnes das </w:t>
      </w:r>
      <w:r w:rsidRPr="00187186">
        <w:rPr>
          <w:rFonts w:ascii="Cambria" w:hAnsi="Cambria"/>
          <w:sz w:val="20"/>
          <w:szCs w:val="20"/>
          <w:lang w:val="pt-BR"/>
        </w:rPr>
        <w:t>obrigações convencionais de garantia a cargo dos Estados não implica uma responsabilidade ilimitada dos Estados frente a qualquer ato ou de particulares</w:t>
      </w:r>
      <w:r w:rsidRPr="00187186">
        <w:rPr>
          <w:rStyle w:val="FootnoteReference"/>
          <w:rFonts w:ascii="Cambria" w:hAnsi="Cambria"/>
          <w:sz w:val="20"/>
          <w:szCs w:val="20"/>
          <w:lang w:val="pt-BR"/>
        </w:rPr>
        <w:footnoteReference w:id="201"/>
      </w:r>
      <w:r w:rsidRPr="00187186">
        <w:rPr>
          <w:rFonts w:ascii="Cambria" w:hAnsi="Cambria"/>
          <w:sz w:val="20"/>
          <w:szCs w:val="20"/>
          <w:lang w:val="pt-BR"/>
        </w:rPr>
        <w:t>, pois seus deveres de adotar medidas de prevenção e proteção em suas relações entre si</w:t>
      </w:r>
      <w:r w:rsidRPr="00187186">
        <w:rPr>
          <w:rFonts w:ascii="Cambria" w:hAnsi="Cambria"/>
          <w:b/>
          <w:sz w:val="20"/>
          <w:szCs w:val="20"/>
          <w:lang w:val="pt-BR"/>
        </w:rPr>
        <w:t xml:space="preserve"> </w:t>
      </w:r>
      <w:r w:rsidRPr="00187186">
        <w:rPr>
          <w:rFonts w:ascii="Cambria" w:hAnsi="Cambria"/>
          <w:sz w:val="20"/>
          <w:szCs w:val="20"/>
          <w:lang w:val="pt-BR"/>
        </w:rPr>
        <w:t>estão condicionados a: i) se o Estado tinha ou devia ter conhecimento de uma situação de risco; ii) se esse risco era real e imediato;  e iii) se o Estado adotou as medidas razoavelmente esperadas para evitar que esse risco ocorresse</w:t>
      </w:r>
      <w:r w:rsidRPr="00187186">
        <w:rPr>
          <w:rStyle w:val="FootnoteReference"/>
          <w:rFonts w:ascii="Cambria" w:hAnsi="Cambria" w:cs="Arial"/>
          <w:sz w:val="20"/>
          <w:szCs w:val="20"/>
          <w:lang w:val="pt-BR"/>
        </w:rPr>
        <w:footnoteReference w:id="202"/>
      </w:r>
      <w:r w:rsidRPr="00187186">
        <w:rPr>
          <w:rFonts w:ascii="Cambria" w:hAnsi="Cambria"/>
          <w:sz w:val="20"/>
          <w:szCs w:val="20"/>
          <w:lang w:val="pt-BR"/>
        </w:rPr>
        <w:t>. A Comissão tem aplicado essas mesmas condições para determinar a responsabilidade estatal por descumprimento do dever de garantia em seu componenete de prevenção, em relação à violação da Declaração Americana</w:t>
      </w:r>
      <w:r w:rsidRPr="00187186">
        <w:rPr>
          <w:rStyle w:val="FootnoteReference"/>
          <w:rFonts w:ascii="Cambria" w:hAnsi="Cambria"/>
          <w:sz w:val="20"/>
          <w:szCs w:val="20"/>
          <w:lang w:val="pt-BR"/>
        </w:rPr>
        <w:footnoteReference w:id="203"/>
      </w:r>
      <w:r w:rsidRPr="00187186">
        <w:rPr>
          <w:rFonts w:ascii="Cambria" w:hAnsi="Cambria"/>
          <w:sz w:val="20"/>
          <w:szCs w:val="20"/>
          <w:lang w:val="pt-BR"/>
        </w:rPr>
        <w:t>.</w:t>
      </w:r>
    </w:p>
    <w:p w14:paraId="6E327A12" w14:textId="77777777" w:rsidR="00FC475A" w:rsidRPr="00187186" w:rsidRDefault="00FC475A" w:rsidP="001871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pt-BR"/>
        </w:rPr>
      </w:pPr>
    </w:p>
    <w:p w14:paraId="21820784" w14:textId="77777777" w:rsidR="00FC475A" w:rsidRPr="00187186" w:rsidRDefault="00FC475A"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cs="Arial"/>
          <w:sz w:val="20"/>
          <w:szCs w:val="20"/>
          <w:lang w:val="pt-BR"/>
        </w:rPr>
      </w:pPr>
      <w:r w:rsidRPr="00187186">
        <w:rPr>
          <w:rFonts w:ascii="Cambria" w:hAnsi="Cambria"/>
          <w:sz w:val="20"/>
          <w:szCs w:val="20"/>
          <w:lang w:val="pt-BR"/>
        </w:rPr>
        <w:t>De acordo com esses parâmetros, a CIDH passa a considerar se os fatos descritos comprometem a responsabilidade internacional do Estado do Brasil, por falta de prevenção.</w:t>
      </w:r>
    </w:p>
    <w:p w14:paraId="146719EA" w14:textId="77777777" w:rsidR="00FC475A" w:rsidRPr="00187186" w:rsidRDefault="00FC475A" w:rsidP="00187186">
      <w:pPr>
        <w:pStyle w:val="ListParagraph"/>
        <w:ind w:left="0"/>
        <w:rPr>
          <w:sz w:val="20"/>
          <w:szCs w:val="20"/>
          <w:lang w:val="pt-BR"/>
        </w:rPr>
      </w:pPr>
    </w:p>
    <w:p w14:paraId="5259DA02" w14:textId="77777777" w:rsidR="00FC475A" w:rsidRPr="00187186" w:rsidRDefault="00FC475A"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cs="Arial"/>
          <w:sz w:val="20"/>
          <w:szCs w:val="20"/>
          <w:lang w:val="pt-BR"/>
        </w:rPr>
      </w:pPr>
      <w:r w:rsidRPr="00187186">
        <w:rPr>
          <w:rFonts w:ascii="Cambria" w:hAnsi="Cambria"/>
          <w:sz w:val="20"/>
          <w:szCs w:val="20"/>
          <w:lang w:val="pt-BR"/>
        </w:rPr>
        <w:t xml:space="preserve">A esse respeito, a Comissão Interamericana constata </w:t>
      </w:r>
      <w:r w:rsidRPr="00187186">
        <w:rPr>
          <w:rFonts w:ascii="Cambria" w:eastAsia="Batang" w:hAnsi="Cambria" w:cs="Arial"/>
          <w:sz w:val="20"/>
          <w:szCs w:val="20"/>
          <w:bdr w:val="none" w:sz="0" w:space="0" w:color="auto"/>
          <w:lang w:val="pt-BR"/>
        </w:rPr>
        <w:t xml:space="preserve">o contexto geral de violência contra sindicalistas e defensoras e defensores de direitos trabalhistas no momento em que ocorreram os fatos. Neste sentido, como destacado em seção anterior, </w:t>
      </w:r>
      <w:r w:rsidRPr="00187186">
        <w:rPr>
          <w:rFonts w:ascii="Cambria" w:eastAsia="Batang" w:hAnsi="Cambria"/>
          <w:bCs/>
          <w:sz w:val="20"/>
          <w:szCs w:val="20"/>
          <w:bdr w:val="none" w:sz="0" w:space="0" w:color="auto"/>
          <w:lang w:val="pt-BR"/>
        </w:rPr>
        <w:t xml:space="preserve">o relatório final de 2014 da </w:t>
      </w:r>
      <w:r w:rsidRPr="00187186">
        <w:rPr>
          <w:rFonts w:ascii="Cambria" w:eastAsia="Batang" w:hAnsi="Cambria"/>
          <w:sz w:val="20"/>
          <w:szCs w:val="20"/>
          <w:bdr w:val="none" w:sz="0" w:space="0" w:color="auto"/>
          <w:lang w:val="pt-BR"/>
        </w:rPr>
        <w:t xml:space="preserve">Comissão Camponesa da Verdade, órgão formado por diversas organizações cujo trabalho consistia em auxiliar a Comissão Nacional da Verdade, documentou expressamente o assassinato de Gabriel Sales Pimenta neste contexto de violência.  Ademais, </w:t>
      </w:r>
      <w:r w:rsidRPr="00187186">
        <w:rPr>
          <w:rFonts w:ascii="Cambria" w:eastAsia="Batang" w:hAnsi="Cambria" w:cs="Arial"/>
          <w:sz w:val="20"/>
          <w:szCs w:val="20"/>
          <w:bdr w:val="none" w:sz="0" w:space="0" w:color="auto"/>
          <w:lang w:val="pt-BR"/>
        </w:rPr>
        <w:t xml:space="preserve">o relatório de 2013 da Secretaria de Direitos Humanos da Presidência da República intitulado “Camponeses mortos e desaparecidos: excluídos da justiça de transição” documentou uma grande quantidade de assassinatos de trabalhadores e defensores de direitos humanos entre 1961 e 1988 e indicou que a amplitude territorial na qual os delitos foram cometidos somente se explica pela participação ou omissão das instituições do Estado. Ao mencionar o caso de Gabriel Sales Pimenta, o relatório destacou que ele </w:t>
      </w:r>
      <w:r w:rsidRPr="00187186">
        <w:rPr>
          <w:rFonts w:ascii="Cambria" w:eastAsia="Batang" w:hAnsi="Cambria"/>
          <w:bCs/>
          <w:sz w:val="20"/>
          <w:szCs w:val="20"/>
          <w:bdr w:val="none" w:sz="0" w:space="0" w:color="auto"/>
          <w:lang w:val="pt-BR"/>
        </w:rPr>
        <w:t>“estava ameaçado de morte desde dezembro de 1981, quando conseguiu uma liminar de posse em favor de 128 posseiros da Fazenda Pau-Seco” e “foi assassinado no dia 18 de julho de 1982, na porta de sua casa”.</w:t>
      </w:r>
    </w:p>
    <w:p w14:paraId="5C0D5AD0" w14:textId="77777777" w:rsidR="00FC475A" w:rsidRPr="00187186" w:rsidRDefault="00FC475A" w:rsidP="00187186">
      <w:pPr>
        <w:jc w:val="both"/>
        <w:rPr>
          <w:rFonts w:ascii="Cambria" w:eastAsia="Batang" w:hAnsi="Cambria" w:cs="Arial"/>
          <w:sz w:val="20"/>
          <w:szCs w:val="20"/>
          <w:lang w:val="pt-BR"/>
        </w:rPr>
      </w:pPr>
    </w:p>
    <w:p w14:paraId="0761C079" w14:textId="77777777" w:rsidR="00FC475A" w:rsidRPr="00187186" w:rsidRDefault="00FC475A"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cs="Arial"/>
          <w:sz w:val="20"/>
          <w:szCs w:val="20"/>
          <w:bdr w:val="none" w:sz="0" w:space="0" w:color="auto"/>
          <w:lang w:val="pt-BR"/>
        </w:rPr>
      </w:pPr>
      <w:r w:rsidRPr="00187186">
        <w:rPr>
          <w:rFonts w:ascii="Cambria" w:eastAsia="Batang" w:hAnsi="Cambria"/>
          <w:sz w:val="20"/>
          <w:szCs w:val="20"/>
          <w:lang w:val="pt-BR"/>
        </w:rPr>
        <w:t xml:space="preserve">De </w:t>
      </w:r>
      <w:r w:rsidRPr="00187186">
        <w:rPr>
          <w:rFonts w:ascii="Cambria" w:eastAsia="Batang" w:hAnsi="Cambria"/>
          <w:sz w:val="20"/>
          <w:szCs w:val="20"/>
          <w:bdr w:val="none" w:sz="0" w:space="0" w:color="auto"/>
          <w:lang w:val="pt-BR"/>
        </w:rPr>
        <w:t xml:space="preserve">modo correlato ao ponto destacado no parágrafo anterior, a Comissão destaca a relação histórica entre concentração fundiária e violência no campo, já evidenciada nas considerações de contexto. Essa concentração fundiária não é um dado da natureza, mas o fruto amargo de políticas adotadas conscientemente pelo poder estatal. A recorrente falha estatal em garantir o acesso de trabalhadores rurais ao direito de </w:t>
      </w:r>
      <w:r w:rsidRPr="00187186">
        <w:rPr>
          <w:rFonts w:ascii="Cambria" w:hAnsi="Cambria"/>
          <w:sz w:val="20"/>
          <w:szCs w:val="20"/>
          <w:lang w:val="pt-BR"/>
        </w:rPr>
        <w:t>propriedade</w:t>
      </w:r>
      <w:r w:rsidRPr="00187186">
        <w:rPr>
          <w:rFonts w:ascii="Cambria" w:eastAsia="Batang" w:hAnsi="Cambria"/>
          <w:sz w:val="20"/>
          <w:szCs w:val="20"/>
          <w:bdr w:val="none" w:sz="0" w:space="0" w:color="auto"/>
          <w:lang w:val="pt-BR"/>
        </w:rPr>
        <w:t xml:space="preserve"> da terra soma-se às demais ações e omissões do Estado diretamente ligadas à violência sistêmica contra trabalhadores rurais ou camponeses, indígenas, quilombolas, ribeirinhos e outros grupos.</w:t>
      </w:r>
    </w:p>
    <w:p w14:paraId="4C218C71" w14:textId="77777777" w:rsidR="00FC475A" w:rsidRPr="00187186" w:rsidRDefault="00FC475A" w:rsidP="00187186">
      <w:pPr>
        <w:pStyle w:val="ListParagraph"/>
        <w:ind w:left="0"/>
        <w:rPr>
          <w:sz w:val="20"/>
          <w:szCs w:val="20"/>
          <w:lang w:val="pt-BR"/>
        </w:rPr>
      </w:pPr>
    </w:p>
    <w:p w14:paraId="3E15A484" w14:textId="6F0A35EB" w:rsidR="00FC475A" w:rsidRPr="00187186" w:rsidRDefault="00FC475A"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pt-BR"/>
        </w:rPr>
      </w:pPr>
      <w:r w:rsidRPr="00187186">
        <w:rPr>
          <w:rFonts w:ascii="Cambria" w:hAnsi="Cambria"/>
          <w:sz w:val="20"/>
          <w:szCs w:val="20"/>
          <w:lang w:val="pt-BR"/>
        </w:rPr>
        <w:t xml:space="preserve">Em relação a este contexto de violência e impunidade detalhado na seção respectiva, o Estado não demonstrou </w:t>
      </w:r>
      <w:r w:rsidR="00FA5EF9" w:rsidRPr="00187186">
        <w:rPr>
          <w:rFonts w:ascii="Cambria" w:hAnsi="Cambria"/>
          <w:sz w:val="20"/>
          <w:szCs w:val="20"/>
          <w:lang w:val="pt-BR"/>
        </w:rPr>
        <w:t>ter</w:t>
      </w:r>
      <w:r w:rsidRPr="00187186">
        <w:rPr>
          <w:rFonts w:ascii="Cambria" w:hAnsi="Cambria"/>
          <w:sz w:val="20"/>
          <w:szCs w:val="20"/>
          <w:lang w:val="pt-BR"/>
        </w:rPr>
        <w:t xml:space="preserve"> adotado medidas específicas de prevenção</w:t>
      </w:r>
      <w:r w:rsidR="00FA5EF9" w:rsidRPr="00187186">
        <w:rPr>
          <w:rFonts w:ascii="Cambria" w:hAnsi="Cambria"/>
          <w:sz w:val="20"/>
          <w:szCs w:val="20"/>
          <w:lang w:val="pt-BR"/>
        </w:rPr>
        <w:t>, na época dos fatos,</w:t>
      </w:r>
      <w:r w:rsidRPr="00187186">
        <w:rPr>
          <w:rFonts w:ascii="Cambria" w:hAnsi="Cambria"/>
          <w:sz w:val="20"/>
          <w:szCs w:val="20"/>
          <w:lang w:val="pt-BR"/>
        </w:rPr>
        <w:t xml:space="preserve"> para evitar dita violência.</w:t>
      </w:r>
    </w:p>
    <w:p w14:paraId="5F553125" w14:textId="77777777" w:rsidR="00FC475A" w:rsidRPr="00187186" w:rsidRDefault="00FC475A" w:rsidP="00187186">
      <w:pPr>
        <w:pStyle w:val="ListParagraph"/>
        <w:ind w:left="0"/>
        <w:rPr>
          <w:sz w:val="20"/>
          <w:szCs w:val="20"/>
          <w:lang w:val="pt-BR"/>
        </w:rPr>
      </w:pPr>
    </w:p>
    <w:p w14:paraId="624B466F" w14:textId="0886F831" w:rsidR="00FC475A" w:rsidRPr="00187186" w:rsidRDefault="00FC475A"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pt-BR"/>
        </w:rPr>
      </w:pPr>
      <w:r w:rsidRPr="00187186">
        <w:rPr>
          <w:rFonts w:ascii="Cambria" w:hAnsi="Cambria"/>
          <w:sz w:val="20"/>
          <w:szCs w:val="20"/>
          <w:lang w:val="pt-BR"/>
        </w:rPr>
        <w:lastRenderedPageBreak/>
        <w:t>Nesse marco, a Comissão Interamericana considera que o Estado contava com informações sobre o risco real e imediato à vida e integridade pessoal daquelas pessoas</w:t>
      </w:r>
      <w:r w:rsidR="00FA5EF9" w:rsidRPr="00187186">
        <w:rPr>
          <w:rFonts w:ascii="Cambria" w:hAnsi="Cambria"/>
          <w:sz w:val="20"/>
          <w:szCs w:val="20"/>
          <w:lang w:val="pt-BR"/>
        </w:rPr>
        <w:t xml:space="preserve"> vinculadas ao conflito territorial que deu lugar à ação interposta por Gabriel Sales Pimenta, cujo resultado havia sido favorável aos camponeses.</w:t>
      </w:r>
      <w:r w:rsidRPr="00187186">
        <w:rPr>
          <w:rFonts w:ascii="Cambria" w:hAnsi="Cambria"/>
          <w:sz w:val="20"/>
          <w:szCs w:val="20"/>
          <w:lang w:val="pt-BR"/>
        </w:rPr>
        <w:t xml:space="preserve"> </w:t>
      </w:r>
    </w:p>
    <w:p w14:paraId="7CDA0309" w14:textId="77777777" w:rsidR="00FC475A" w:rsidRPr="00187186" w:rsidRDefault="00FC475A" w:rsidP="00187186">
      <w:pPr>
        <w:pStyle w:val="ListParagraph"/>
        <w:ind w:left="0"/>
        <w:rPr>
          <w:rFonts w:eastAsia="Batang" w:cs="Arial"/>
          <w:sz w:val="20"/>
          <w:szCs w:val="20"/>
          <w:lang w:val="pt-BR"/>
        </w:rPr>
      </w:pPr>
    </w:p>
    <w:p w14:paraId="52B373FE" w14:textId="03673E85" w:rsidR="00FC475A" w:rsidRPr="008C21BD" w:rsidRDefault="00FC475A"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pt-BR"/>
        </w:rPr>
      </w:pPr>
      <w:r w:rsidRPr="00187186">
        <w:rPr>
          <w:rFonts w:ascii="Cambria" w:hAnsi="Cambria"/>
          <w:sz w:val="20"/>
          <w:szCs w:val="20"/>
          <w:lang w:val="pt-BR"/>
        </w:rPr>
        <w:t>A</w:t>
      </w:r>
      <w:r w:rsidRPr="00187186">
        <w:rPr>
          <w:rFonts w:ascii="Cambria" w:eastAsia="Batang" w:hAnsi="Cambria" w:cs="Arial"/>
          <w:sz w:val="20"/>
          <w:szCs w:val="20"/>
          <w:bdr w:val="none" w:sz="0" w:space="0" w:color="auto"/>
          <w:lang w:val="pt-BR"/>
        </w:rPr>
        <w:t xml:space="preserve"> Comissão ressalta, primeiramente, que era possível ao Estado conhecer o cenário de ameaças constantes aos trabalhadores e a Gabriel</w:t>
      </w:r>
      <w:r w:rsidRPr="00187186">
        <w:rPr>
          <w:rFonts w:ascii="Cambria" w:eastAsia="Batang" w:hAnsi="Cambria" w:cs="Arial"/>
          <w:sz w:val="20"/>
          <w:szCs w:val="20"/>
          <w:lang w:val="pt-BR"/>
        </w:rPr>
        <w:t xml:space="preserve"> Sales Pimenta</w:t>
      </w:r>
      <w:r w:rsidRPr="00187186">
        <w:rPr>
          <w:rFonts w:ascii="Cambria" w:eastAsia="Batang" w:hAnsi="Cambria" w:cs="Arial"/>
          <w:sz w:val="20"/>
          <w:szCs w:val="20"/>
          <w:bdr w:val="none" w:sz="0" w:space="0" w:color="auto"/>
          <w:lang w:val="pt-BR"/>
        </w:rPr>
        <w:t xml:space="preserve">, pois a região estava em conflito levado ao conhecimento das </w:t>
      </w:r>
      <w:r w:rsidRPr="00187186">
        <w:rPr>
          <w:rFonts w:ascii="Cambria" w:hAnsi="Cambria"/>
          <w:sz w:val="20"/>
          <w:szCs w:val="20"/>
          <w:lang w:val="pt-BR"/>
        </w:rPr>
        <w:t>autoridades</w:t>
      </w:r>
      <w:r w:rsidRPr="00187186">
        <w:rPr>
          <w:rFonts w:ascii="Cambria" w:eastAsia="Batang" w:hAnsi="Cambria" w:cs="Arial"/>
          <w:sz w:val="20"/>
          <w:szCs w:val="20"/>
          <w:bdr w:val="none" w:sz="0" w:space="0" w:color="auto"/>
          <w:lang w:val="pt-BR"/>
        </w:rPr>
        <w:t xml:space="preserve"> estatais: em novembro de 1981, </w:t>
      </w:r>
      <w:r w:rsidRPr="00187186">
        <w:rPr>
          <w:rFonts w:ascii="Cambria" w:eastAsia="Batang" w:hAnsi="Cambria" w:cs="Arial"/>
          <w:i/>
          <w:sz w:val="20"/>
          <w:szCs w:val="20"/>
          <w:bdr w:val="none" w:sz="0" w:space="0" w:color="auto"/>
          <w:lang w:val="pt-BR"/>
        </w:rPr>
        <w:t>v.g.</w:t>
      </w:r>
      <w:r w:rsidRPr="00187186">
        <w:rPr>
          <w:rFonts w:ascii="Cambria" w:eastAsia="Batang" w:hAnsi="Cambria" w:cs="Arial"/>
          <w:sz w:val="20"/>
          <w:szCs w:val="20"/>
          <w:bdr w:val="none" w:sz="0" w:space="0" w:color="auto"/>
          <w:lang w:val="pt-BR"/>
        </w:rPr>
        <w:t>, já havia inquérito policial para investigar Manoel Cardoso Neto pela tentativa de homicídio do posseiro Francisco Pereira da Silva – o mesmo Manoel responsável por pelo menos parte das ameaças feitas contra a vida de Gabriel Sales Pimenta. Além disso, as provas testemunhais mostram que as ameaças contra a vida de Gabriel Sales Pimenta, intensificadas após a vitória judicial que conquistou em prol dos trabalhadores rurais, foram informadas por Gabriel, que chegou a ir pessoalmente a Belém em diferentes oportunidades em busca de proteção policial.</w:t>
      </w:r>
      <w:r w:rsidRPr="00187186">
        <w:rPr>
          <w:rFonts w:ascii="Cambria" w:eastAsia="Batang" w:hAnsi="Cambria" w:cs="Arial"/>
          <w:sz w:val="20"/>
          <w:szCs w:val="20"/>
          <w:lang w:val="pt-BR"/>
        </w:rPr>
        <w:t xml:space="preserve"> </w:t>
      </w:r>
    </w:p>
    <w:p w14:paraId="4975BDB3" w14:textId="77777777" w:rsidR="00D30CE6" w:rsidRPr="008C21BD" w:rsidRDefault="00D30CE6" w:rsidP="001871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pt-BR"/>
        </w:rPr>
      </w:pPr>
    </w:p>
    <w:p w14:paraId="44FB617B" w14:textId="77777777" w:rsidR="00055DCD" w:rsidRPr="00187186" w:rsidRDefault="00405E57"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cs="Arial"/>
          <w:sz w:val="20"/>
          <w:szCs w:val="20"/>
          <w:bdr w:val="none" w:sz="0" w:space="0" w:color="auto"/>
          <w:lang w:val="pt-BR"/>
        </w:rPr>
      </w:pPr>
      <w:r w:rsidRPr="00187186">
        <w:rPr>
          <w:rFonts w:ascii="Cambria" w:eastAsia="Batang" w:hAnsi="Cambria" w:cs="Arial"/>
          <w:sz w:val="20"/>
          <w:szCs w:val="20"/>
          <w:bdr w:val="none" w:sz="0" w:space="0" w:color="auto"/>
          <w:lang w:val="pt-BR"/>
        </w:rPr>
        <w:t xml:space="preserve">A Comissão considera que os elementos anteriores tomados em conjunto permitem concluir que o Estado brasileiro teve ou devia ter conhecimento de uma situação de risco real e iminente para </w:t>
      </w:r>
      <w:r w:rsidR="006A086C" w:rsidRPr="00187186">
        <w:rPr>
          <w:rFonts w:ascii="Cambria" w:eastAsia="Batang" w:hAnsi="Cambria" w:cs="Arial"/>
          <w:sz w:val="20"/>
          <w:szCs w:val="20"/>
          <w:bdr w:val="none" w:sz="0" w:space="0" w:color="auto"/>
          <w:lang w:val="pt-BR"/>
        </w:rPr>
        <w:t>Gabriel Sales Pimenta</w:t>
      </w:r>
      <w:r w:rsidRPr="00187186">
        <w:rPr>
          <w:rFonts w:ascii="Cambria" w:eastAsia="Batang" w:hAnsi="Cambria" w:cs="Arial"/>
          <w:sz w:val="20"/>
          <w:szCs w:val="20"/>
          <w:bdr w:val="none" w:sz="0" w:space="0" w:color="auto"/>
          <w:lang w:val="pt-BR"/>
        </w:rPr>
        <w:t xml:space="preserve"> e que não adotou nenhuma medida para protegê-la frente ao risco em que se encontrava e evitar sua materialização</w:t>
      </w:r>
      <w:r w:rsidRPr="00187186">
        <w:rPr>
          <w:rFonts w:ascii="Cambria" w:eastAsia="Batang" w:hAnsi="Cambria" w:cs="Arial"/>
          <w:sz w:val="20"/>
          <w:szCs w:val="20"/>
          <w:bdr w:val="none" w:sz="0" w:space="0" w:color="auto"/>
          <w:vertAlign w:val="superscript"/>
          <w:lang w:val="pt-BR"/>
        </w:rPr>
        <w:footnoteReference w:id="204"/>
      </w:r>
      <w:r w:rsidRPr="00187186">
        <w:rPr>
          <w:rFonts w:ascii="Cambria" w:eastAsia="Batang" w:hAnsi="Cambria" w:cs="Arial"/>
          <w:sz w:val="20"/>
          <w:szCs w:val="20"/>
          <w:bdr w:val="none" w:sz="0" w:space="0" w:color="auto"/>
          <w:lang w:val="pt-BR"/>
        </w:rPr>
        <w:t xml:space="preserve">. </w:t>
      </w:r>
    </w:p>
    <w:p w14:paraId="7AD78346" w14:textId="77777777" w:rsidR="00055DCD" w:rsidRPr="00187186" w:rsidRDefault="00055DCD" w:rsidP="00187186">
      <w:pPr>
        <w:pStyle w:val="ListParagraph"/>
        <w:ind w:left="0"/>
        <w:rPr>
          <w:rFonts w:eastAsia="Batang" w:cs="Arial"/>
          <w:sz w:val="20"/>
          <w:szCs w:val="20"/>
          <w:bdr w:val="none" w:sz="0" w:space="0" w:color="auto"/>
          <w:lang w:val="pt-BR"/>
        </w:rPr>
      </w:pPr>
    </w:p>
    <w:p w14:paraId="38D3FB3B" w14:textId="04DC1726" w:rsidR="00405E57" w:rsidRPr="00187186" w:rsidRDefault="00405E57"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cs="Arial"/>
          <w:sz w:val="20"/>
          <w:szCs w:val="20"/>
          <w:bdr w:val="none" w:sz="0" w:space="0" w:color="auto"/>
          <w:lang w:val="pt-BR"/>
        </w:rPr>
      </w:pPr>
      <w:r w:rsidRPr="00187186">
        <w:rPr>
          <w:rFonts w:ascii="Cambria" w:eastAsia="Batang" w:hAnsi="Cambria" w:cs="Arial"/>
          <w:sz w:val="20"/>
          <w:szCs w:val="20"/>
          <w:bdr w:val="none" w:sz="0" w:space="0" w:color="auto"/>
          <w:lang w:val="pt-BR"/>
        </w:rPr>
        <w:t>Levando em conta as razões anteriores, a Comissão considera que o Estado brasileiro é responsável internacionalmente pelo descumprimento do dever de preve</w:t>
      </w:r>
      <w:r w:rsidR="006D44C8" w:rsidRPr="00187186">
        <w:rPr>
          <w:rFonts w:ascii="Cambria" w:eastAsia="Batang" w:hAnsi="Cambria" w:cs="Arial"/>
          <w:sz w:val="20"/>
          <w:szCs w:val="20"/>
          <w:bdr w:val="none" w:sz="0" w:space="0" w:color="auto"/>
          <w:lang w:val="pt-BR"/>
        </w:rPr>
        <w:t>nir violações do direito à vida</w:t>
      </w:r>
      <w:r w:rsidRPr="00187186">
        <w:rPr>
          <w:rFonts w:ascii="Cambria" w:eastAsia="Batang" w:hAnsi="Cambria" w:cs="Arial"/>
          <w:sz w:val="20"/>
          <w:szCs w:val="20"/>
          <w:bdr w:val="none" w:sz="0" w:space="0" w:color="auto"/>
          <w:lang w:val="pt-BR"/>
        </w:rPr>
        <w:t>. Em virtude disso, a CIDH conclui que o Estado violou o a</w:t>
      </w:r>
      <w:r w:rsidR="00AB4AC2" w:rsidRPr="00187186">
        <w:rPr>
          <w:rFonts w:ascii="Cambria" w:eastAsia="Batang" w:hAnsi="Cambria" w:cs="Arial"/>
          <w:sz w:val="20"/>
          <w:szCs w:val="20"/>
          <w:bdr w:val="none" w:sz="0" w:space="0" w:color="auto"/>
          <w:lang w:val="pt-BR"/>
        </w:rPr>
        <w:t>rtigo I da Declaração Americana</w:t>
      </w:r>
      <w:r w:rsidR="00FA5EF9" w:rsidRPr="00187186">
        <w:rPr>
          <w:rFonts w:ascii="Cambria" w:eastAsia="Batang" w:hAnsi="Cambria" w:cs="Arial"/>
          <w:sz w:val="20"/>
          <w:szCs w:val="20"/>
          <w:bdr w:val="none" w:sz="0" w:space="0" w:color="auto"/>
          <w:lang w:val="pt-BR"/>
        </w:rPr>
        <w:t xml:space="preserve"> em prejuízo de Gabriel Sales Pimenta.</w:t>
      </w:r>
    </w:p>
    <w:p w14:paraId="3759E85E" w14:textId="77777777" w:rsidR="00353CF2" w:rsidRPr="00187186" w:rsidRDefault="00353CF2" w:rsidP="001871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cs="Arial"/>
          <w:sz w:val="20"/>
          <w:szCs w:val="20"/>
          <w:bdr w:val="none" w:sz="0" w:space="0" w:color="auto"/>
          <w:lang w:val="pt-BR"/>
        </w:rPr>
      </w:pPr>
    </w:p>
    <w:p w14:paraId="0F342123" w14:textId="55FA4838" w:rsidR="006A086C" w:rsidRPr="00187186" w:rsidRDefault="00C50907" w:rsidP="00187186">
      <w:pPr>
        <w:pStyle w:val="Heading2"/>
        <w:numPr>
          <w:ilvl w:val="0"/>
          <w:numId w:val="0"/>
        </w:numPr>
        <w:ind w:left="360" w:hanging="360"/>
        <w:rPr>
          <w:rFonts w:eastAsia="Batang"/>
        </w:rPr>
      </w:pPr>
      <w:bookmarkStart w:id="59" w:name="_Toc7618517"/>
      <w:bookmarkStart w:id="60" w:name="_Toc16677790"/>
      <w:bookmarkStart w:id="61" w:name="_Toc16677877"/>
      <w:r w:rsidRPr="00187186">
        <w:rPr>
          <w:rFonts w:eastAsia="Batang"/>
        </w:rPr>
        <w:t>B</w:t>
      </w:r>
      <w:r w:rsidR="006A086C" w:rsidRPr="00187186">
        <w:rPr>
          <w:rFonts w:eastAsia="Batang"/>
        </w:rPr>
        <w:t>.</w:t>
      </w:r>
      <w:r w:rsidR="006A086C" w:rsidRPr="00187186">
        <w:rPr>
          <w:rFonts w:eastAsia="Batang"/>
        </w:rPr>
        <w:tab/>
      </w:r>
      <w:bookmarkStart w:id="62" w:name="_Toc502663000"/>
      <w:bookmarkStart w:id="63" w:name="_Toc496103838"/>
      <w:r w:rsidR="006A086C" w:rsidRPr="00187186">
        <w:t>Direito de associação (artigo XXII da Declaração Americana dos Direitos e Deveres do Homem)</w:t>
      </w:r>
      <w:r w:rsidR="006A086C" w:rsidRPr="00187186">
        <w:rPr>
          <w:rStyle w:val="FootnoteReference"/>
          <w:rFonts w:eastAsia="Trebuchet MS"/>
        </w:rPr>
        <w:footnoteReference w:id="205"/>
      </w:r>
      <w:bookmarkEnd w:id="59"/>
      <w:bookmarkEnd w:id="60"/>
      <w:bookmarkEnd w:id="61"/>
      <w:bookmarkEnd w:id="62"/>
      <w:r w:rsidR="006A086C" w:rsidRPr="00187186">
        <w:t xml:space="preserve">  </w:t>
      </w:r>
      <w:bookmarkEnd w:id="63"/>
    </w:p>
    <w:p w14:paraId="5DE7FE06" w14:textId="77777777" w:rsidR="006A086C" w:rsidRPr="00187186" w:rsidRDefault="006A086C" w:rsidP="00187186">
      <w:pPr>
        <w:autoSpaceDE w:val="0"/>
        <w:autoSpaceDN w:val="0"/>
        <w:adjustRightInd w:val="0"/>
        <w:ind w:right="720"/>
        <w:jc w:val="both"/>
        <w:rPr>
          <w:rFonts w:ascii="Cambria" w:hAnsi="Cambria" w:cs="Calibri"/>
          <w:color w:val="808080"/>
          <w:sz w:val="20"/>
          <w:szCs w:val="20"/>
          <w:lang w:val="pt-BR"/>
        </w:rPr>
      </w:pPr>
    </w:p>
    <w:p w14:paraId="280922DE" w14:textId="77777777" w:rsidR="006A086C" w:rsidRPr="00187186" w:rsidRDefault="006A086C"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pt-BR" w:eastAsia="es-ES"/>
        </w:rPr>
      </w:pPr>
      <w:r w:rsidRPr="00187186">
        <w:rPr>
          <w:rFonts w:ascii="Cambria" w:hAnsi="Cambria"/>
          <w:sz w:val="20"/>
          <w:szCs w:val="20"/>
          <w:lang w:val="pt-BR" w:eastAsia="es-ES"/>
        </w:rPr>
        <w:t xml:space="preserve">A Comissão recorda que o direito à liberdade de associação compreende o “direito a se </w:t>
      </w:r>
      <w:r w:rsidRPr="00187186">
        <w:rPr>
          <w:rFonts w:ascii="Cambria" w:hAnsi="Cambria"/>
          <w:sz w:val="20"/>
          <w:szCs w:val="20"/>
          <w:lang w:val="pt-BR"/>
        </w:rPr>
        <w:t>associar livremente com fins ideológicos, religiosos, políticos, econômicos, trabalhistas, sociais, culturais, esportivos ou de qualquer outra índole. Estes termos estabelecem literalmente que quem está sob a proteção da Convenção tem não só o direito e a liberdade de se associar livremente com outras pessoas, sem intervenção das autoridades públicas que limitem ou entorpeçam o exercício do respectivo direito, o que representa, portanto, um direito de cada indivíduo. Além disso, gozam do direito e da liberdade de buscar a realização comum de um fim lícito, sem pressões ou intromissões que possam alterar ou desnaturalizar sua finalidade”</w:t>
      </w:r>
      <w:r w:rsidRPr="00187186">
        <w:rPr>
          <w:rStyle w:val="FootnoteReference"/>
          <w:rFonts w:ascii="Cambria" w:hAnsi="Cambria"/>
          <w:sz w:val="20"/>
          <w:szCs w:val="20"/>
          <w:lang w:val="pt-BR"/>
        </w:rPr>
        <w:footnoteReference w:id="206"/>
      </w:r>
      <w:r w:rsidRPr="00187186">
        <w:rPr>
          <w:rFonts w:ascii="Cambria" w:hAnsi="Cambria"/>
          <w:sz w:val="20"/>
          <w:szCs w:val="20"/>
          <w:lang w:val="pt-BR"/>
        </w:rPr>
        <w:t>.</w:t>
      </w:r>
    </w:p>
    <w:p w14:paraId="018B6DB4" w14:textId="77777777" w:rsidR="006A086C" w:rsidRPr="00187186" w:rsidRDefault="006A086C" w:rsidP="001871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pt-BR" w:eastAsia="es-ES"/>
        </w:rPr>
      </w:pPr>
    </w:p>
    <w:p w14:paraId="5CFC37B4" w14:textId="77777777" w:rsidR="006A086C" w:rsidRPr="00187186" w:rsidRDefault="006A086C"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pt-BR" w:eastAsia="es-ES"/>
        </w:rPr>
      </w:pPr>
      <w:r w:rsidRPr="00187186">
        <w:rPr>
          <w:rFonts w:ascii="Cambria" w:hAnsi="Cambria"/>
          <w:sz w:val="20"/>
          <w:szCs w:val="20"/>
          <w:lang w:val="pt-BR" w:eastAsia="es-ES"/>
        </w:rPr>
        <w:t>A liberdade de associação tem uma dimensão individual e uma dimensão coletiva. No caso Huilca Tecse, a Corte indicou que “uma restrição das possibilidades de se associar representa diretamente, e na mesma medida, um limite ao direito da coletividade de alcançar os fins propostos”. Por sua vez, em sua dimensão social, a liberdade de associação é um meio que permite aos integrantes de um grupo ou coletividade de trabalho alcançar determinados fins em conjunto e se beneficiar dos mesmos</w:t>
      </w:r>
      <w:r w:rsidRPr="00187186">
        <w:rPr>
          <w:rStyle w:val="FootnoteReference"/>
          <w:rFonts w:ascii="Cambria" w:hAnsi="Cambria"/>
          <w:sz w:val="20"/>
          <w:szCs w:val="20"/>
          <w:lang w:val="pt-BR" w:eastAsia="es-ES"/>
        </w:rPr>
        <w:footnoteReference w:id="207"/>
      </w:r>
      <w:r w:rsidRPr="00187186">
        <w:rPr>
          <w:rFonts w:ascii="Cambria" w:hAnsi="Cambria"/>
          <w:sz w:val="20"/>
          <w:szCs w:val="20"/>
          <w:lang w:val="pt-BR" w:eastAsia="es-ES"/>
        </w:rPr>
        <w:t xml:space="preserve">. No caso Baena Ricardo e outros, a Corte indicou que “a liberdade de associação, em matéria sindical, reveste a maior importância para a defesa dos interesses legítimos dos trabalhadores e se enquadra no </w:t>
      </w:r>
      <w:r w:rsidRPr="00187186">
        <w:rPr>
          <w:rFonts w:ascii="Cambria" w:hAnsi="Cambria"/>
          <w:i/>
          <w:sz w:val="20"/>
          <w:szCs w:val="20"/>
          <w:lang w:val="pt-BR" w:eastAsia="es-ES"/>
        </w:rPr>
        <w:t>corpus juris</w:t>
      </w:r>
      <w:r w:rsidRPr="00187186">
        <w:rPr>
          <w:rFonts w:ascii="Cambria" w:hAnsi="Cambria"/>
          <w:sz w:val="20"/>
          <w:szCs w:val="20"/>
          <w:lang w:val="pt-BR" w:eastAsia="es-ES"/>
        </w:rPr>
        <w:t xml:space="preserve"> dos direitos humanos”</w:t>
      </w:r>
      <w:r w:rsidRPr="00187186">
        <w:rPr>
          <w:rStyle w:val="FootnoteReference"/>
          <w:rFonts w:ascii="Cambria" w:hAnsi="Cambria"/>
          <w:sz w:val="20"/>
          <w:szCs w:val="20"/>
          <w:lang w:val="pt-BR" w:eastAsia="es-ES"/>
        </w:rPr>
        <w:footnoteReference w:id="208"/>
      </w:r>
      <w:r w:rsidRPr="00187186">
        <w:rPr>
          <w:rFonts w:ascii="Cambria" w:hAnsi="Cambria"/>
          <w:sz w:val="20"/>
          <w:szCs w:val="20"/>
          <w:lang w:val="pt-BR" w:eastAsia="es-ES"/>
        </w:rPr>
        <w:t xml:space="preserve">. </w:t>
      </w:r>
    </w:p>
    <w:p w14:paraId="52F1DFC3" w14:textId="77777777" w:rsidR="006A086C" w:rsidRPr="00187186" w:rsidRDefault="006A086C" w:rsidP="001871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pt-BR" w:eastAsia="es-ES"/>
        </w:rPr>
      </w:pPr>
    </w:p>
    <w:p w14:paraId="24222C4F" w14:textId="77777777" w:rsidR="006A086C" w:rsidRPr="00187186" w:rsidRDefault="006A086C"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pt-BR" w:eastAsia="es-ES"/>
        </w:rPr>
      </w:pPr>
      <w:r w:rsidRPr="00187186">
        <w:rPr>
          <w:rFonts w:ascii="Cambria" w:hAnsi="Cambria"/>
          <w:sz w:val="20"/>
          <w:szCs w:val="20"/>
          <w:lang w:val="pt-BR" w:eastAsia="es-ES"/>
        </w:rPr>
        <w:t>A CIDH indicou que, na maioria das vezes, as mais graves violações dos direitos humanos, tais como as execuções extrajudiciais e os desaparecimentos forçados, têm por objetivo silenciar ou tirar da arena política e social determinados líderes ou ativistas. A violação do direito à vida, por exemplo, pode ser uma medida repressiva extrema em represália às atividades comunitárias, sociais ou de participação política desenvolvidas pela vítima</w:t>
      </w:r>
      <w:r w:rsidRPr="00187186">
        <w:rPr>
          <w:rStyle w:val="FootnoteReference"/>
          <w:rFonts w:ascii="Cambria" w:hAnsi="Cambria"/>
          <w:sz w:val="20"/>
          <w:szCs w:val="20"/>
          <w:lang w:val="pt-BR" w:eastAsia="es-ES"/>
        </w:rPr>
        <w:footnoteReference w:id="209"/>
      </w:r>
      <w:r w:rsidRPr="00187186">
        <w:rPr>
          <w:rFonts w:ascii="Cambria" w:hAnsi="Cambria"/>
          <w:sz w:val="20"/>
          <w:szCs w:val="20"/>
          <w:lang w:val="pt-BR" w:eastAsia="es-ES"/>
        </w:rPr>
        <w:t xml:space="preserve">. </w:t>
      </w:r>
    </w:p>
    <w:p w14:paraId="4E0A9ED3" w14:textId="77777777" w:rsidR="006A086C" w:rsidRPr="00187186" w:rsidRDefault="006A086C" w:rsidP="00187186">
      <w:pPr>
        <w:jc w:val="both"/>
        <w:rPr>
          <w:rFonts w:ascii="Cambria" w:hAnsi="Cambria"/>
          <w:sz w:val="20"/>
          <w:szCs w:val="20"/>
          <w:lang w:val="pt-BR" w:eastAsia="es-ES"/>
        </w:rPr>
      </w:pPr>
    </w:p>
    <w:p w14:paraId="087BF37A" w14:textId="77777777" w:rsidR="006A086C" w:rsidRPr="00187186" w:rsidRDefault="006A086C"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pt-BR" w:eastAsia="es-ES"/>
        </w:rPr>
      </w:pPr>
      <w:r w:rsidRPr="00187186">
        <w:rPr>
          <w:rFonts w:ascii="Cambria" w:hAnsi="Cambria"/>
          <w:sz w:val="20"/>
          <w:szCs w:val="20"/>
          <w:lang w:val="pt-BR" w:eastAsia="es-ES"/>
        </w:rPr>
        <w:lastRenderedPageBreak/>
        <w:t>Segundo indicado pela CIDH, o livre e pleno exercício da liberdade de associação impõe aos Estados o dever de criar condições legais e fáticas nas quais as defensoras e defensores possam desenvolver livremente sua função, prevenir os atentados contra esta liberdade, bem como proteger quem a exerce e investigar as violações dessa liberdade. Estas obrigações positivas devem ser adotadas, inclusive, na esfera de relações entre particulares, se o caso assim merecer</w:t>
      </w:r>
      <w:r w:rsidRPr="00187186">
        <w:rPr>
          <w:rStyle w:val="FootnoteReference"/>
          <w:rFonts w:ascii="Cambria" w:hAnsi="Cambria"/>
          <w:sz w:val="20"/>
          <w:szCs w:val="20"/>
          <w:lang w:val="pt-BR" w:eastAsia="es-ES"/>
        </w:rPr>
        <w:footnoteReference w:id="210"/>
      </w:r>
      <w:r w:rsidRPr="00187186">
        <w:rPr>
          <w:rFonts w:ascii="Cambria" w:hAnsi="Cambria"/>
          <w:sz w:val="20"/>
          <w:szCs w:val="20"/>
          <w:lang w:val="pt-BR" w:eastAsia="es-ES"/>
        </w:rPr>
        <w:t xml:space="preserve">. </w:t>
      </w:r>
    </w:p>
    <w:p w14:paraId="1638353D" w14:textId="77777777" w:rsidR="006A086C" w:rsidRPr="00187186" w:rsidRDefault="006A086C" w:rsidP="00187186">
      <w:pPr>
        <w:rPr>
          <w:rFonts w:ascii="Cambria" w:hAnsi="Cambria"/>
          <w:sz w:val="20"/>
          <w:szCs w:val="20"/>
          <w:lang w:val="pt-BR"/>
        </w:rPr>
      </w:pPr>
    </w:p>
    <w:p w14:paraId="055F1531" w14:textId="73305983" w:rsidR="006A086C" w:rsidRPr="00187186" w:rsidRDefault="006A086C"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pt-BR" w:eastAsia="es-ES"/>
        </w:rPr>
      </w:pPr>
      <w:r w:rsidRPr="00187186">
        <w:rPr>
          <w:rFonts w:ascii="Cambria" w:hAnsi="Cambria"/>
          <w:sz w:val="20"/>
          <w:szCs w:val="20"/>
          <w:lang w:val="pt-BR" w:eastAsia="es-ES"/>
        </w:rPr>
        <w:t>A CIDH recorda que no presente caso</w:t>
      </w:r>
      <w:r w:rsidR="00FA5EF9" w:rsidRPr="00187186">
        <w:rPr>
          <w:rFonts w:ascii="Cambria" w:hAnsi="Cambria"/>
          <w:sz w:val="20"/>
          <w:szCs w:val="20"/>
          <w:lang w:val="pt-BR" w:eastAsia="es-ES"/>
        </w:rPr>
        <w:t xml:space="preserve"> encontra-se suficientemente estabelecido </w:t>
      </w:r>
      <w:r w:rsidRPr="00187186">
        <w:rPr>
          <w:rFonts w:ascii="Cambria" w:hAnsi="Cambria"/>
          <w:sz w:val="20"/>
          <w:szCs w:val="20"/>
          <w:lang w:val="pt-BR" w:eastAsia="es-ES"/>
        </w:rPr>
        <w:t>que a morte da suposta vítima foi uma represália ao trabalho que desempenhava como defensora dos direitos dos trabalhadores rurais. A esse respeito, o Estado indicou que, segundo um relatório do Conselho de Defesa dos Direitos da Pessoa Humana, um órgão estatal, o homicídio da suposta vítima se encaixava no modelo clássico de “execução encomendada” e que estava relacionado “com a luta pela terra e o coronelismo”.</w:t>
      </w:r>
    </w:p>
    <w:p w14:paraId="2BBCBCD6" w14:textId="77777777" w:rsidR="006A086C" w:rsidRPr="00187186" w:rsidRDefault="006A086C" w:rsidP="001871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pt-BR" w:eastAsia="es-ES"/>
        </w:rPr>
      </w:pPr>
    </w:p>
    <w:p w14:paraId="02A534E3" w14:textId="35A865E1" w:rsidR="006A086C" w:rsidRPr="00187186" w:rsidRDefault="006A086C"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pt-BR" w:eastAsia="es-ES"/>
        </w:rPr>
      </w:pPr>
      <w:r w:rsidRPr="00187186">
        <w:rPr>
          <w:rFonts w:ascii="Cambria" w:hAnsi="Cambria"/>
          <w:sz w:val="20"/>
          <w:szCs w:val="20"/>
          <w:lang w:val="pt-BR" w:eastAsia="es-ES"/>
        </w:rPr>
        <w:t>Por outro lado, a Comissão já estabeleceu que o Estado descumpriu suas obrigações de</w:t>
      </w:r>
      <w:r w:rsidR="00FA5EF9" w:rsidRPr="00187186">
        <w:rPr>
          <w:rFonts w:ascii="Cambria" w:hAnsi="Cambria"/>
          <w:sz w:val="20"/>
          <w:szCs w:val="20"/>
          <w:lang w:val="pt-BR" w:eastAsia="es-ES"/>
        </w:rPr>
        <w:t xml:space="preserve"> </w:t>
      </w:r>
      <w:r w:rsidRPr="00187186">
        <w:rPr>
          <w:rFonts w:ascii="Cambria" w:hAnsi="Cambria"/>
          <w:sz w:val="20"/>
          <w:szCs w:val="20"/>
          <w:lang w:val="pt-BR" w:eastAsia="es-ES"/>
        </w:rPr>
        <w:t>garantia com relação</w:t>
      </w:r>
      <w:r w:rsidR="00FA5EF9" w:rsidRPr="00187186">
        <w:rPr>
          <w:rFonts w:ascii="Cambria" w:hAnsi="Cambria"/>
          <w:sz w:val="20"/>
          <w:szCs w:val="20"/>
          <w:lang w:val="pt-BR" w:eastAsia="es-ES"/>
        </w:rPr>
        <w:t xml:space="preserve"> à proteção do direito à vida de Gabriel Sales Pimenta </w:t>
      </w:r>
      <w:r w:rsidRPr="00187186">
        <w:rPr>
          <w:rFonts w:ascii="Cambria" w:hAnsi="Cambria"/>
          <w:sz w:val="20"/>
          <w:szCs w:val="20"/>
          <w:lang w:val="pt-BR" w:eastAsia="es-ES"/>
        </w:rPr>
        <w:t xml:space="preserve">e que não realizou uma investigação com a devida diligência para determinar as responsabilidades pela morte. </w:t>
      </w:r>
    </w:p>
    <w:p w14:paraId="16EAA576" w14:textId="77777777" w:rsidR="006A086C" w:rsidRPr="00187186" w:rsidRDefault="006A086C" w:rsidP="00187186">
      <w:pPr>
        <w:pStyle w:val="ListParagraph"/>
        <w:ind w:left="0"/>
        <w:rPr>
          <w:sz w:val="20"/>
          <w:szCs w:val="20"/>
          <w:lang w:val="pt-BR"/>
        </w:rPr>
      </w:pPr>
    </w:p>
    <w:p w14:paraId="42DA4DCD" w14:textId="533DE4ED" w:rsidR="006A086C" w:rsidRPr="00187186" w:rsidRDefault="006A086C"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pt-BR" w:eastAsia="es-ES"/>
        </w:rPr>
      </w:pPr>
      <w:r w:rsidRPr="00187186">
        <w:rPr>
          <w:rFonts w:ascii="Cambria" w:hAnsi="Cambria"/>
          <w:sz w:val="20"/>
          <w:szCs w:val="20"/>
          <w:lang w:val="pt-BR" w:eastAsia="es-ES"/>
        </w:rPr>
        <w:t>Em virtude disso, a CIDH considera que no presente caso o exercício legítimo que Gabriel Sales Pimenta fez do direito à liberdade de associação e defesa dos direitos dos trabalhadores rurais provocou uma represália fatal</w:t>
      </w:r>
      <w:r w:rsidR="00FA5EF9" w:rsidRPr="00187186">
        <w:rPr>
          <w:rFonts w:ascii="Cambria" w:hAnsi="Cambria"/>
          <w:sz w:val="20"/>
          <w:szCs w:val="20"/>
          <w:lang w:val="pt-BR" w:eastAsia="es-ES"/>
        </w:rPr>
        <w:t xml:space="preserve">, ocorrida dentro de um contexto de total desproteção por parte do Estado brasileiro. Neste sentido, e considerando que resta evidente que essa represália foi a motivação para o assassinato da vítima, as considerações sobre atribuição de responsabilidade realizadas na seção relativa ao direito à vida se aplicam também quanto ao direito à liberdade de associação. </w:t>
      </w:r>
      <w:r w:rsidRPr="00187186">
        <w:rPr>
          <w:rFonts w:ascii="Cambria" w:hAnsi="Cambria"/>
          <w:sz w:val="20"/>
          <w:szCs w:val="20"/>
          <w:lang w:val="pt-BR" w:eastAsia="es-ES"/>
        </w:rPr>
        <w:t>Em virtude disso, a CIDH conclui que o Estado brasileiro é responsável internacionalmente pela violação do direito à liberdade de associação previsto no arti</w:t>
      </w:r>
      <w:r w:rsidR="003330DA" w:rsidRPr="00187186">
        <w:rPr>
          <w:rFonts w:ascii="Cambria" w:hAnsi="Cambria"/>
          <w:sz w:val="20"/>
          <w:szCs w:val="20"/>
          <w:lang w:val="pt-BR" w:eastAsia="es-ES"/>
        </w:rPr>
        <w:t>go XXII da Declaração Americana,</w:t>
      </w:r>
      <w:r w:rsidR="00FA5EF9" w:rsidRPr="00187186">
        <w:rPr>
          <w:rFonts w:ascii="Cambria" w:hAnsi="Cambria"/>
          <w:sz w:val="20"/>
          <w:szCs w:val="20"/>
          <w:lang w:val="pt-BR" w:eastAsia="es-ES"/>
        </w:rPr>
        <w:t xml:space="preserve"> em prejuízo de Gabriel Sales Pimenta.</w:t>
      </w:r>
    </w:p>
    <w:p w14:paraId="5206BB29" w14:textId="77777777" w:rsidR="00C50907" w:rsidRPr="00187186" w:rsidRDefault="00C50907" w:rsidP="00187186">
      <w:pPr>
        <w:pStyle w:val="ListParagraph"/>
        <w:ind w:left="0"/>
        <w:rPr>
          <w:sz w:val="20"/>
          <w:szCs w:val="20"/>
          <w:lang w:val="pt-BR"/>
        </w:rPr>
      </w:pPr>
    </w:p>
    <w:p w14:paraId="6746FCCB" w14:textId="541861F3" w:rsidR="00C50907" w:rsidRPr="00187186" w:rsidRDefault="00C50907" w:rsidP="00187186">
      <w:pPr>
        <w:pStyle w:val="Heading2"/>
        <w:numPr>
          <w:ilvl w:val="0"/>
          <w:numId w:val="0"/>
        </w:numPr>
        <w:ind w:left="360" w:hanging="360"/>
        <w:rPr>
          <w:rFonts w:eastAsia="Batang"/>
        </w:rPr>
      </w:pPr>
      <w:bookmarkStart w:id="64" w:name="_Toc16677791"/>
      <w:bookmarkStart w:id="65" w:name="_Toc16677878"/>
      <w:r w:rsidRPr="00187186">
        <w:rPr>
          <w:rFonts w:eastAsia="Batang"/>
        </w:rPr>
        <w:t xml:space="preserve">C. </w:t>
      </w:r>
      <w:r w:rsidR="00187186">
        <w:rPr>
          <w:rFonts w:eastAsia="Batang"/>
        </w:rPr>
        <w:tab/>
      </w:r>
      <w:r w:rsidRPr="00187186">
        <w:rPr>
          <w:rFonts w:eastAsia="Batang"/>
        </w:rPr>
        <w:t>Direito à justiça (Artigo XVIII</w:t>
      </w:r>
      <w:r w:rsidRPr="00187186">
        <w:rPr>
          <w:rFonts w:eastAsia="Batang"/>
          <w:vertAlign w:val="superscript"/>
        </w:rPr>
        <w:footnoteReference w:id="211"/>
      </w:r>
      <w:r w:rsidRPr="00187186">
        <w:rPr>
          <w:rFonts w:eastAsia="Batang"/>
        </w:rPr>
        <w:t xml:space="preserve"> da Declaração Americana) e direito às garantias judiciais e proteção judicial (Artigos 8.1</w:t>
      </w:r>
      <w:r w:rsidRPr="00187186">
        <w:rPr>
          <w:rFonts w:eastAsia="Batang"/>
          <w:vertAlign w:val="superscript"/>
        </w:rPr>
        <w:footnoteReference w:id="212"/>
      </w:r>
      <w:r w:rsidRPr="00187186">
        <w:rPr>
          <w:rFonts w:eastAsia="Batang"/>
        </w:rPr>
        <w:t xml:space="preserve"> e 25.1</w:t>
      </w:r>
      <w:r w:rsidRPr="00187186">
        <w:rPr>
          <w:rFonts w:eastAsia="Batang"/>
          <w:vertAlign w:val="superscript"/>
        </w:rPr>
        <w:footnoteReference w:id="213"/>
      </w:r>
      <w:r w:rsidRPr="00187186">
        <w:rPr>
          <w:rFonts w:eastAsia="Batang"/>
        </w:rPr>
        <w:t xml:space="preserve"> da Convenção Americana)</w:t>
      </w:r>
      <w:bookmarkEnd w:id="64"/>
      <w:bookmarkEnd w:id="65"/>
    </w:p>
    <w:p w14:paraId="295CDCFA" w14:textId="77777777" w:rsidR="00C50907" w:rsidRPr="00187186" w:rsidRDefault="00C50907" w:rsidP="00187186">
      <w:pPr>
        <w:keepNext/>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cs="Arial"/>
          <w:b/>
          <w:bCs/>
          <w:iCs/>
          <w:sz w:val="20"/>
          <w:szCs w:val="20"/>
          <w:bdr w:val="none" w:sz="0" w:space="0" w:color="auto"/>
          <w:lang w:val="pt-BR"/>
        </w:rPr>
      </w:pPr>
    </w:p>
    <w:p w14:paraId="6A962581" w14:textId="58557050" w:rsidR="00C50907" w:rsidRPr="00187186" w:rsidRDefault="00C50907" w:rsidP="00187186">
      <w:pPr>
        <w:pStyle w:val="Heading3"/>
        <w:numPr>
          <w:ilvl w:val="0"/>
          <w:numId w:val="67"/>
        </w:numPr>
        <w:ind w:left="360"/>
        <w:rPr>
          <w:rFonts w:eastAsia="Batang"/>
        </w:rPr>
      </w:pPr>
      <w:bookmarkStart w:id="66" w:name="_Toc7618512"/>
      <w:bookmarkStart w:id="67" w:name="_Toc16677792"/>
      <w:bookmarkStart w:id="68" w:name="_Toc16677879"/>
      <w:r w:rsidRPr="00187186">
        <w:t>Considerações gerais</w:t>
      </w:r>
      <w:bookmarkEnd w:id="66"/>
      <w:bookmarkEnd w:id="67"/>
      <w:bookmarkEnd w:id="68"/>
      <w:r w:rsidRPr="00187186">
        <w:t xml:space="preserve"> </w:t>
      </w:r>
    </w:p>
    <w:p w14:paraId="1D29B908" w14:textId="77777777" w:rsidR="00C50907" w:rsidRPr="00187186" w:rsidRDefault="00C50907" w:rsidP="00187186">
      <w:pPr>
        <w:rPr>
          <w:rFonts w:ascii="Cambria" w:hAnsi="Cambria"/>
          <w:sz w:val="20"/>
          <w:szCs w:val="20"/>
          <w:lang w:val="pt-BR"/>
        </w:rPr>
      </w:pPr>
    </w:p>
    <w:p w14:paraId="64AC2259" w14:textId="77777777" w:rsidR="00C50907" w:rsidRPr="00187186" w:rsidRDefault="00C50907"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pt-BR"/>
        </w:rPr>
      </w:pPr>
      <w:r w:rsidRPr="00187186">
        <w:rPr>
          <w:rFonts w:ascii="Cambria" w:hAnsi="Cambria"/>
          <w:sz w:val="20"/>
          <w:szCs w:val="20"/>
          <w:lang w:val="pt-BR"/>
        </w:rPr>
        <w:t xml:space="preserve">A CIDH indicou que o </w:t>
      </w:r>
      <w:r w:rsidRPr="00187186">
        <w:rPr>
          <w:rFonts w:ascii="Cambria" w:hAnsi="Cambria"/>
          <w:bCs/>
          <w:iCs/>
          <w:sz w:val="20"/>
          <w:szCs w:val="20"/>
          <w:lang w:val="pt-BR"/>
        </w:rPr>
        <w:t xml:space="preserve">direito de justiça contido no artigo XVIII da Declaração Americana </w:t>
      </w:r>
      <w:r w:rsidRPr="00187186">
        <w:rPr>
          <w:rFonts w:ascii="Cambria" w:hAnsi="Cambria"/>
          <w:sz w:val="20"/>
          <w:szCs w:val="20"/>
          <w:lang w:val="pt-BR"/>
        </w:rPr>
        <w:t>é similar em seu alcance ao direito à proteção judicial contido no artigo 25 da Convenção Americana, e compreende o direito de toda pessoa a comparecer perante um tribunal quando um de seus direitos foi violado, a obter uma investigação a cargo de um tribunal competente, imparcial e independente, bem como o direito a obter reparações pelo dano sofrido</w:t>
      </w:r>
      <w:r w:rsidRPr="00187186">
        <w:rPr>
          <w:rFonts w:ascii="Cambria" w:hAnsi="Cambria"/>
          <w:sz w:val="20"/>
          <w:szCs w:val="20"/>
          <w:vertAlign w:val="superscript"/>
          <w:lang w:val="pt-BR"/>
        </w:rPr>
        <w:footnoteReference w:id="214"/>
      </w:r>
      <w:r w:rsidRPr="00187186">
        <w:rPr>
          <w:rFonts w:ascii="Cambria" w:hAnsi="Cambria"/>
          <w:sz w:val="20"/>
          <w:szCs w:val="20"/>
          <w:lang w:val="pt-BR"/>
        </w:rPr>
        <w:t>.</w:t>
      </w:r>
    </w:p>
    <w:p w14:paraId="3AAEA43F" w14:textId="77777777" w:rsidR="00C50907" w:rsidRPr="00187186" w:rsidRDefault="00C50907" w:rsidP="00187186">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lang w:val="pt-BR"/>
        </w:rPr>
      </w:pPr>
    </w:p>
    <w:p w14:paraId="58DFDEA6" w14:textId="77777777" w:rsidR="00C50907" w:rsidRPr="00187186" w:rsidRDefault="00C50907"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pt-BR"/>
        </w:rPr>
      </w:pPr>
      <w:r w:rsidRPr="00187186">
        <w:rPr>
          <w:rFonts w:ascii="Cambria" w:hAnsi="Cambria"/>
          <w:sz w:val="20"/>
          <w:szCs w:val="20"/>
          <w:lang w:val="pt-BR"/>
        </w:rPr>
        <w:t>O direito às garantias judiciais implica que toda pessoa que sofreu uma violação de seus direitos humanos “tem direito a obter dos órgãos competentes do Estado o esclarecimento dos fatos e o estabelecimento das responsabilidades correspondentes, através da investigação e do julgamento”</w:t>
      </w:r>
      <w:r w:rsidRPr="00187186">
        <w:rPr>
          <w:rFonts w:ascii="Cambria" w:hAnsi="Cambria"/>
          <w:sz w:val="20"/>
          <w:szCs w:val="20"/>
          <w:vertAlign w:val="superscript"/>
          <w:lang w:val="pt-BR"/>
        </w:rPr>
        <w:footnoteReference w:id="215"/>
      </w:r>
      <w:r w:rsidRPr="00187186">
        <w:rPr>
          <w:rFonts w:ascii="Cambria" w:hAnsi="Cambria"/>
          <w:sz w:val="20"/>
          <w:szCs w:val="20"/>
          <w:lang w:val="pt-BR"/>
        </w:rPr>
        <w:t xml:space="preserve">. Por sua vez, o direito à proteção judicial “obriga o Estado a garantir a toda pessoa o acesso à administração de justiça e, em particular, a um recurso rápido e simples para conseguir, entre outros resultados, que os responsáveis pelas violações dos </w:t>
      </w:r>
      <w:r w:rsidRPr="00187186">
        <w:rPr>
          <w:rFonts w:ascii="Cambria" w:hAnsi="Cambria"/>
          <w:sz w:val="20"/>
          <w:szCs w:val="20"/>
          <w:lang w:val="pt-BR"/>
        </w:rPr>
        <w:lastRenderedPageBreak/>
        <w:t>direitos humanos sejam julgados e para obter uma reparação pelo dano sofrido”</w:t>
      </w:r>
      <w:r w:rsidRPr="00187186">
        <w:rPr>
          <w:rFonts w:ascii="Cambria" w:hAnsi="Cambria"/>
          <w:sz w:val="20"/>
          <w:szCs w:val="20"/>
          <w:vertAlign w:val="superscript"/>
          <w:lang w:val="pt-BR"/>
        </w:rPr>
        <w:footnoteReference w:id="216"/>
      </w:r>
      <w:r w:rsidRPr="00187186">
        <w:rPr>
          <w:rFonts w:ascii="Cambria" w:hAnsi="Cambria"/>
          <w:sz w:val="20"/>
          <w:szCs w:val="20"/>
          <w:lang w:val="pt-BR"/>
        </w:rPr>
        <w:t>.  Assim, o dever de investigar exigível no presente caso emana tanto do artigo XVIII da Declaração Americana, como dos artigos 8 e 25 da Convenção Americana.</w:t>
      </w:r>
    </w:p>
    <w:p w14:paraId="1F6D7760" w14:textId="77777777" w:rsidR="00C50907" w:rsidRPr="00187186" w:rsidRDefault="00C50907" w:rsidP="00187186">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lang w:val="pt-BR"/>
        </w:rPr>
      </w:pPr>
    </w:p>
    <w:p w14:paraId="45895506" w14:textId="77777777" w:rsidR="00C50907" w:rsidRPr="00187186" w:rsidRDefault="00C50907"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pt-BR"/>
        </w:rPr>
      </w:pPr>
      <w:r w:rsidRPr="00187186">
        <w:rPr>
          <w:rFonts w:ascii="Cambria" w:hAnsi="Cambria"/>
          <w:sz w:val="20"/>
          <w:szCs w:val="20"/>
          <w:lang w:val="pt-BR"/>
        </w:rPr>
        <w:t>Esse dever de investigar é uma obrigação de meios e não de resultado, que deve ser assumida pelo Estado como uma obrigação jurídica própria e não como uma simples formalidade condenada de antemão a ser infrutífera</w:t>
      </w:r>
      <w:r w:rsidRPr="00187186">
        <w:rPr>
          <w:rFonts w:ascii="Cambria" w:hAnsi="Cambria"/>
          <w:sz w:val="20"/>
          <w:szCs w:val="20"/>
          <w:vertAlign w:val="superscript"/>
          <w:lang w:val="pt-BR"/>
        </w:rPr>
        <w:footnoteReference w:id="217"/>
      </w:r>
      <w:r w:rsidRPr="00187186">
        <w:rPr>
          <w:rFonts w:ascii="Cambria" w:hAnsi="Cambria"/>
          <w:sz w:val="20"/>
          <w:szCs w:val="20"/>
          <w:lang w:val="pt-BR"/>
        </w:rPr>
        <w:t>, ou como uma mera gestão de interesses particulares, que dependa da iniciativa processual das vítimas ou de seus familiares ou da contribuição privada de elementos probatórios</w:t>
      </w:r>
      <w:r w:rsidRPr="00187186">
        <w:rPr>
          <w:rFonts w:ascii="Cambria" w:hAnsi="Cambria"/>
          <w:sz w:val="20"/>
          <w:szCs w:val="20"/>
          <w:vertAlign w:val="superscript"/>
          <w:lang w:val="pt-BR"/>
        </w:rPr>
        <w:footnoteReference w:id="218"/>
      </w:r>
      <w:r w:rsidRPr="00187186">
        <w:rPr>
          <w:rFonts w:ascii="Cambria" w:hAnsi="Cambria"/>
          <w:sz w:val="20"/>
          <w:szCs w:val="20"/>
          <w:lang w:val="pt-BR"/>
        </w:rPr>
        <w:t xml:space="preserve">. </w:t>
      </w:r>
    </w:p>
    <w:p w14:paraId="408F9508" w14:textId="77777777" w:rsidR="00C50907" w:rsidRPr="00187186" w:rsidRDefault="00C50907" w:rsidP="00187186">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lang w:val="pt-BR"/>
        </w:rPr>
      </w:pPr>
    </w:p>
    <w:p w14:paraId="5F55232E" w14:textId="77777777" w:rsidR="00C50907" w:rsidRPr="00187186" w:rsidRDefault="00C50907"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pt-BR"/>
        </w:rPr>
      </w:pPr>
      <w:r w:rsidRPr="00187186">
        <w:rPr>
          <w:rFonts w:ascii="Cambria" w:hAnsi="Cambria"/>
          <w:sz w:val="20"/>
          <w:szCs w:val="20"/>
          <w:lang w:val="pt-BR"/>
        </w:rPr>
        <w:t>A CIDH recorda que a obrigação de investigar e punir todo ato que implique violação dos direitos protegidos pela Convenção exige que se puna não só os autores materiais dos atos que violam direitos humanos, mas também os autores intelectuais de tais atos e os encobridores</w:t>
      </w:r>
      <w:r w:rsidRPr="00187186">
        <w:rPr>
          <w:rFonts w:ascii="Cambria" w:hAnsi="Cambria"/>
          <w:sz w:val="20"/>
          <w:szCs w:val="20"/>
          <w:vertAlign w:val="superscript"/>
          <w:lang w:val="pt-BR"/>
        </w:rPr>
        <w:footnoteReference w:id="219"/>
      </w:r>
      <w:r w:rsidRPr="00187186">
        <w:rPr>
          <w:rFonts w:ascii="Cambria" w:hAnsi="Cambria"/>
          <w:sz w:val="20"/>
          <w:szCs w:val="20"/>
          <w:lang w:val="pt-BR"/>
        </w:rPr>
        <w:t>. Isso encontra seu fundamento no direito à verdade dos familiares da vítima, o que implica obter dos órgãos competentes do Estado o esclarecimento dos fatos, assim como a punição de todas as pessoas responsáveis</w:t>
      </w:r>
      <w:r w:rsidRPr="00187186">
        <w:rPr>
          <w:rFonts w:ascii="Cambria" w:hAnsi="Cambria"/>
          <w:sz w:val="20"/>
          <w:szCs w:val="20"/>
          <w:vertAlign w:val="superscript"/>
          <w:lang w:val="pt-BR"/>
        </w:rPr>
        <w:footnoteReference w:id="220"/>
      </w:r>
      <w:r w:rsidRPr="00187186">
        <w:rPr>
          <w:rFonts w:ascii="Cambria" w:hAnsi="Cambria"/>
          <w:sz w:val="20"/>
          <w:szCs w:val="20"/>
          <w:lang w:val="pt-BR"/>
        </w:rPr>
        <w:t>, envolvendo toda a instituição estatal</w:t>
      </w:r>
      <w:r w:rsidRPr="00187186">
        <w:rPr>
          <w:rFonts w:ascii="Cambria" w:hAnsi="Cambria"/>
          <w:sz w:val="20"/>
          <w:szCs w:val="20"/>
          <w:vertAlign w:val="superscript"/>
          <w:lang w:val="pt-BR"/>
        </w:rPr>
        <w:footnoteReference w:id="221"/>
      </w:r>
      <w:r w:rsidRPr="00187186">
        <w:rPr>
          <w:rFonts w:ascii="Cambria" w:hAnsi="Cambria"/>
          <w:sz w:val="20"/>
          <w:szCs w:val="20"/>
          <w:lang w:val="pt-BR"/>
        </w:rPr>
        <w:t>.</w:t>
      </w:r>
    </w:p>
    <w:p w14:paraId="60337C4B" w14:textId="77777777" w:rsidR="00C50907" w:rsidRPr="00187186" w:rsidRDefault="00C50907" w:rsidP="00187186">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lang w:val="pt-BR"/>
        </w:rPr>
      </w:pPr>
    </w:p>
    <w:p w14:paraId="32342842" w14:textId="77777777" w:rsidR="00C50907" w:rsidRPr="00187186" w:rsidRDefault="00C50907"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pt-BR"/>
        </w:rPr>
      </w:pPr>
      <w:r w:rsidRPr="00187186">
        <w:rPr>
          <w:rFonts w:ascii="Cambria" w:hAnsi="Cambria"/>
          <w:sz w:val="20"/>
          <w:szCs w:val="20"/>
          <w:lang w:val="pt-BR"/>
        </w:rPr>
        <w:t xml:space="preserve"> A obrigação de investigar e punir deve ser cumprida com a devida diligência, o que implica que “cada ato do Estado que compõe o processo investigatório, assim como a investigação em sua totalidade, deve estar orientado a uma finalidade específica, à determinação da verdade e à investigação, persecução, captura, julgamento e, se for o caso, à punição dos responsáveis pelos atos”</w:t>
      </w:r>
      <w:r w:rsidRPr="00187186">
        <w:rPr>
          <w:rFonts w:ascii="Cambria" w:hAnsi="Cambria"/>
          <w:sz w:val="20"/>
          <w:szCs w:val="20"/>
          <w:vertAlign w:val="superscript"/>
          <w:lang w:val="pt-BR"/>
        </w:rPr>
        <w:footnoteReference w:id="222"/>
      </w:r>
      <w:r w:rsidRPr="00187186">
        <w:rPr>
          <w:rFonts w:ascii="Cambria" w:hAnsi="Cambria"/>
          <w:sz w:val="20"/>
          <w:szCs w:val="20"/>
          <w:lang w:val="pt-BR"/>
        </w:rPr>
        <w:t>. A esse respeito, o Estado tem que demonstrar que realizou uma investigação imediata, exaustiva, séria e imparcial</w:t>
      </w:r>
      <w:r w:rsidRPr="00187186">
        <w:rPr>
          <w:rFonts w:ascii="Cambria" w:hAnsi="Cambria"/>
          <w:sz w:val="20"/>
          <w:szCs w:val="20"/>
          <w:vertAlign w:val="superscript"/>
          <w:lang w:val="pt-BR"/>
        </w:rPr>
        <w:footnoteReference w:id="223"/>
      </w:r>
      <w:r w:rsidRPr="00187186">
        <w:rPr>
          <w:rFonts w:ascii="Cambria" w:hAnsi="Cambria"/>
          <w:sz w:val="20"/>
          <w:szCs w:val="20"/>
          <w:lang w:val="pt-BR"/>
        </w:rPr>
        <w:t>, que deve estar orientada a explorar todas as linhas de investigação possíveis</w:t>
      </w:r>
      <w:r w:rsidRPr="00187186">
        <w:rPr>
          <w:rFonts w:ascii="Cambria" w:hAnsi="Cambria"/>
          <w:sz w:val="20"/>
          <w:szCs w:val="20"/>
          <w:vertAlign w:val="superscript"/>
          <w:lang w:val="pt-BR"/>
        </w:rPr>
        <w:footnoteReference w:id="224"/>
      </w:r>
      <w:r w:rsidRPr="00187186">
        <w:rPr>
          <w:rFonts w:ascii="Cambria" w:hAnsi="Cambria"/>
          <w:sz w:val="20"/>
          <w:szCs w:val="20"/>
          <w:lang w:val="pt-BR"/>
        </w:rPr>
        <w:t>. O Estado pode ser responsável por não “ordenar, praticar ou avaliar provas” que possam ser fundamentais para o devido esclarecimento dos fatos</w:t>
      </w:r>
      <w:r w:rsidRPr="00187186">
        <w:rPr>
          <w:rFonts w:ascii="Cambria" w:hAnsi="Cambria"/>
          <w:sz w:val="20"/>
          <w:szCs w:val="20"/>
          <w:vertAlign w:val="superscript"/>
          <w:lang w:val="pt-BR"/>
        </w:rPr>
        <w:footnoteReference w:id="225"/>
      </w:r>
      <w:r w:rsidRPr="00187186">
        <w:rPr>
          <w:rFonts w:ascii="Cambria" w:hAnsi="Cambria"/>
          <w:sz w:val="20"/>
          <w:szCs w:val="20"/>
          <w:lang w:val="pt-BR"/>
        </w:rPr>
        <w:t>.</w:t>
      </w:r>
    </w:p>
    <w:p w14:paraId="15F92BBE" w14:textId="77777777" w:rsidR="00C50907" w:rsidRPr="00187186" w:rsidRDefault="00C50907" w:rsidP="00187186">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lang w:val="pt-BR"/>
        </w:rPr>
      </w:pPr>
    </w:p>
    <w:p w14:paraId="130FE19B" w14:textId="77777777" w:rsidR="00C50907" w:rsidRPr="00187186" w:rsidRDefault="00C50907"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pt-BR"/>
        </w:rPr>
      </w:pPr>
      <w:r w:rsidRPr="00187186">
        <w:rPr>
          <w:rFonts w:ascii="Cambria" w:hAnsi="Cambria"/>
          <w:sz w:val="20"/>
          <w:szCs w:val="20"/>
          <w:lang w:val="pt-BR"/>
        </w:rPr>
        <w:t xml:space="preserve"> Como parte da devida diligência requerida em investigações sobre violações dos direitos de um defensor ou defensora de direitos humanos, a autoridade deve levar em conta a atividade dessa pessoa para identificar os interesses que poderiam ter sido afetados no exercício da mesma e assim poder estabelecer linhas de investigação e hipóteses do crime. A Comissão indicou que o meio mais eficaz de proteger as defensoras e defensores de direitos humanos no hemisfério é investigar os atos de violência cometidos e punir os responsáveis</w:t>
      </w:r>
      <w:r w:rsidRPr="00187186">
        <w:rPr>
          <w:rFonts w:ascii="Cambria" w:hAnsi="Cambria"/>
          <w:sz w:val="20"/>
          <w:szCs w:val="20"/>
          <w:vertAlign w:val="superscript"/>
          <w:lang w:val="pt-BR"/>
        </w:rPr>
        <w:footnoteReference w:id="226"/>
      </w:r>
      <w:r w:rsidRPr="00187186">
        <w:rPr>
          <w:rFonts w:ascii="Cambria" w:hAnsi="Cambria"/>
          <w:sz w:val="20"/>
          <w:szCs w:val="20"/>
          <w:lang w:val="pt-BR"/>
        </w:rPr>
        <w:t>.</w:t>
      </w:r>
    </w:p>
    <w:p w14:paraId="634EB905" w14:textId="77777777" w:rsidR="00C50907" w:rsidRPr="00187186" w:rsidRDefault="00C50907" w:rsidP="00187186">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lang w:val="pt-BR"/>
        </w:rPr>
      </w:pPr>
    </w:p>
    <w:p w14:paraId="5E1CDA1E" w14:textId="77777777" w:rsidR="00C50907" w:rsidRPr="00187186" w:rsidRDefault="00C50907"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pt-BR"/>
        </w:rPr>
      </w:pPr>
      <w:r w:rsidRPr="00187186">
        <w:rPr>
          <w:rFonts w:ascii="Cambria" w:hAnsi="Cambria"/>
          <w:sz w:val="20"/>
          <w:szCs w:val="20"/>
          <w:lang w:val="pt-BR"/>
        </w:rPr>
        <w:lastRenderedPageBreak/>
        <w:t xml:space="preserve"> A Corte Interamericana ressaltou a importância de estabelecer linhas lógicas de investigação com base nas provas e evidências coletadas durante o processo</w:t>
      </w:r>
      <w:r w:rsidRPr="00187186">
        <w:rPr>
          <w:rFonts w:ascii="Cambria" w:hAnsi="Cambria"/>
          <w:sz w:val="20"/>
          <w:szCs w:val="20"/>
          <w:vertAlign w:val="superscript"/>
          <w:lang w:val="pt-BR"/>
        </w:rPr>
        <w:footnoteReference w:id="227"/>
      </w:r>
      <w:r w:rsidRPr="00187186">
        <w:rPr>
          <w:rFonts w:ascii="Cambria" w:hAnsi="Cambria"/>
          <w:sz w:val="20"/>
          <w:szCs w:val="20"/>
          <w:lang w:val="pt-BR"/>
        </w:rPr>
        <w:t>. Em casos relacionados com privações arbitrárias da vida, a Corte indicou que é imprescindível analisar as estruturas de poder que as permitiram, elaboraram e executaram intelectual e materialmente, assim como das pessoas ou grupos que estavam interessados ou se beneficiariam do crime, pois isso pode permitir a geração de hipóteses e linhas de investigação.  Por isso, não se trata só da análise de um crime de maneira isolada, mas inserido em um contexto que proporcione os elementos necessários para compreender sua estrutura de operação</w:t>
      </w:r>
      <w:r w:rsidRPr="00187186">
        <w:rPr>
          <w:rFonts w:ascii="Cambria" w:hAnsi="Cambria"/>
          <w:sz w:val="20"/>
          <w:szCs w:val="20"/>
          <w:vertAlign w:val="superscript"/>
          <w:lang w:val="pt-BR"/>
        </w:rPr>
        <w:footnoteReference w:id="228"/>
      </w:r>
      <w:r w:rsidRPr="00187186">
        <w:rPr>
          <w:rFonts w:ascii="Cambria" w:hAnsi="Cambria"/>
          <w:sz w:val="20"/>
          <w:szCs w:val="20"/>
          <w:lang w:val="pt-BR"/>
        </w:rPr>
        <w:t>.</w:t>
      </w:r>
    </w:p>
    <w:p w14:paraId="13E8A0EB" w14:textId="77777777" w:rsidR="00C50907" w:rsidRPr="00187186" w:rsidRDefault="00C50907" w:rsidP="00187186">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lang w:val="pt-BR"/>
        </w:rPr>
      </w:pPr>
    </w:p>
    <w:p w14:paraId="5E72200D" w14:textId="77777777" w:rsidR="00C50907" w:rsidRPr="00187186" w:rsidRDefault="00C50907"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pt-BR"/>
        </w:rPr>
      </w:pPr>
      <w:r w:rsidRPr="00187186">
        <w:rPr>
          <w:rFonts w:ascii="Cambria" w:hAnsi="Cambria"/>
          <w:sz w:val="20"/>
          <w:szCs w:val="20"/>
          <w:lang w:val="pt-BR"/>
        </w:rPr>
        <w:t xml:space="preserve"> Por outro lado, com relação aos obstáculos nas investigações, a CIDH indicou que a existência de atos de obstrução de justiça, impedimentos ou falta de colaboração das autoridades que impediram ou estejam impedindo o esclarecimento da causa, constitui uma violação do direito às garantias judiciais</w:t>
      </w:r>
      <w:r w:rsidRPr="00187186">
        <w:rPr>
          <w:rFonts w:ascii="Cambria" w:hAnsi="Cambria"/>
          <w:sz w:val="20"/>
          <w:szCs w:val="20"/>
          <w:vertAlign w:val="superscript"/>
          <w:lang w:val="pt-BR"/>
        </w:rPr>
        <w:footnoteReference w:id="229"/>
      </w:r>
      <w:r w:rsidRPr="00187186">
        <w:rPr>
          <w:rFonts w:ascii="Cambria" w:hAnsi="Cambria"/>
          <w:sz w:val="20"/>
          <w:szCs w:val="20"/>
          <w:lang w:val="pt-BR"/>
        </w:rPr>
        <w:t xml:space="preserve">. </w:t>
      </w:r>
    </w:p>
    <w:p w14:paraId="5B4473E7" w14:textId="77777777" w:rsidR="00C50907" w:rsidRPr="00187186" w:rsidRDefault="00C50907" w:rsidP="00187186">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lang w:val="pt-BR"/>
        </w:rPr>
      </w:pPr>
    </w:p>
    <w:p w14:paraId="6C1F554F" w14:textId="77777777" w:rsidR="00C50907" w:rsidRPr="00187186" w:rsidRDefault="00C50907"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pt-BR"/>
        </w:rPr>
      </w:pPr>
      <w:r w:rsidRPr="00187186">
        <w:rPr>
          <w:rFonts w:ascii="Cambria" w:hAnsi="Cambria"/>
          <w:sz w:val="20"/>
          <w:szCs w:val="20"/>
          <w:lang w:val="pt-BR"/>
        </w:rPr>
        <w:t xml:space="preserve"> O direito de acesso à justiça não se esgota com o trâmite dos processos internos, mas deve também assegurar, em tempo razoável, o direito das supostas vítimas ou seus familiares a que se faça todo o necessário para conhecer a verdade dos fatos e para que os responsáveis sejam punidos. A jurisprudência reiterada do sistema interamericano considerou quatro aspectos para determinar o cumprimento da regra do prazo razoável: i) a complexidade do assunto; ii) a conduta das autoridades; iii) a atividade processual do interessado e iv) o efeito gerado na situação jurídica da pessoa envolvida no processo</w:t>
      </w:r>
      <w:r w:rsidRPr="00187186">
        <w:rPr>
          <w:rFonts w:ascii="Cambria" w:hAnsi="Cambria"/>
          <w:sz w:val="20"/>
          <w:szCs w:val="20"/>
          <w:vertAlign w:val="superscript"/>
          <w:lang w:val="pt-BR"/>
        </w:rPr>
        <w:footnoteReference w:id="230"/>
      </w:r>
      <w:r w:rsidRPr="00187186">
        <w:rPr>
          <w:rFonts w:ascii="Cambria" w:hAnsi="Cambria"/>
          <w:sz w:val="20"/>
          <w:szCs w:val="20"/>
          <w:lang w:val="pt-BR"/>
        </w:rPr>
        <w:t xml:space="preserve">. </w:t>
      </w:r>
    </w:p>
    <w:p w14:paraId="0918A33A" w14:textId="77777777" w:rsidR="00C50907" w:rsidRPr="00187186" w:rsidRDefault="00C50907" w:rsidP="00187186">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lang w:val="pt-BR"/>
        </w:rPr>
      </w:pPr>
    </w:p>
    <w:p w14:paraId="113A8E5D" w14:textId="77777777" w:rsidR="00C50907" w:rsidRPr="00187186" w:rsidRDefault="00C50907"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pt-BR"/>
        </w:rPr>
      </w:pPr>
      <w:r w:rsidRPr="00187186">
        <w:rPr>
          <w:rFonts w:ascii="Cambria" w:hAnsi="Cambria"/>
          <w:sz w:val="20"/>
          <w:szCs w:val="20"/>
          <w:lang w:val="pt-BR"/>
        </w:rPr>
        <w:t xml:space="preserve"> A CIDH indicou que o atraso no desenvolvimento da investigação não pode ser justificado em razão da complexidade do assunto quando i) há individualização de possíveis autores; ii) consta a existência de testemunhas; e iii) existem possíveis linhas de investigação. A fim de que um argumento de complexidade seja procedente, não é suficiente que o Estado invoque em termos genéricos a complexidade de um assunto. É necessário que se apresente informação específica que vincule em cada caso a complexidade com a demora</w:t>
      </w:r>
      <w:r w:rsidRPr="00187186">
        <w:rPr>
          <w:rFonts w:ascii="Cambria" w:hAnsi="Cambria"/>
          <w:sz w:val="20"/>
          <w:szCs w:val="20"/>
          <w:vertAlign w:val="superscript"/>
          <w:lang w:val="pt-BR"/>
        </w:rPr>
        <w:footnoteReference w:id="231"/>
      </w:r>
      <w:r w:rsidRPr="00187186">
        <w:rPr>
          <w:rFonts w:ascii="Cambria" w:hAnsi="Cambria"/>
          <w:sz w:val="20"/>
          <w:szCs w:val="20"/>
          <w:lang w:val="pt-BR"/>
        </w:rPr>
        <w:t xml:space="preserve">. </w:t>
      </w:r>
    </w:p>
    <w:p w14:paraId="0E74324C" w14:textId="77777777" w:rsidR="00C50907" w:rsidRPr="00187186" w:rsidRDefault="00C50907" w:rsidP="001871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pt-BR"/>
        </w:rPr>
      </w:pPr>
    </w:p>
    <w:p w14:paraId="1ABA3D0B" w14:textId="33E0B180" w:rsidR="00C50907" w:rsidRPr="00187186" w:rsidRDefault="00C50907" w:rsidP="00187186">
      <w:pPr>
        <w:pStyle w:val="Heading3"/>
        <w:rPr>
          <w:rFonts w:eastAsia="Batang"/>
        </w:rPr>
      </w:pPr>
      <w:bookmarkStart w:id="69" w:name="_Toc7618513"/>
      <w:bookmarkStart w:id="70" w:name="_Toc16677793"/>
      <w:bookmarkStart w:id="71" w:name="_Toc16677880"/>
      <w:r w:rsidRPr="00187186">
        <w:t>Análise do caso</w:t>
      </w:r>
      <w:bookmarkEnd w:id="69"/>
      <w:bookmarkEnd w:id="70"/>
      <w:bookmarkEnd w:id="71"/>
      <w:r w:rsidRPr="00187186">
        <w:t xml:space="preserve"> </w:t>
      </w:r>
    </w:p>
    <w:p w14:paraId="75C481A5" w14:textId="77777777" w:rsidR="00C50907" w:rsidRPr="00187186" w:rsidRDefault="00C50907" w:rsidP="00187186">
      <w:pPr>
        <w:pBdr>
          <w:top w:val="none" w:sz="0" w:space="0" w:color="auto"/>
          <w:left w:val="none" w:sz="0" w:space="0" w:color="auto"/>
          <w:bottom w:val="none" w:sz="0" w:space="0" w:color="auto"/>
          <w:right w:val="none" w:sz="0" w:space="0" w:color="auto"/>
          <w:between w:val="none" w:sz="0" w:space="0" w:color="auto"/>
          <w:bar w:val="none" w:sz="0" w:color="auto"/>
        </w:pBdr>
        <w:ind w:left="180"/>
        <w:jc w:val="both"/>
        <w:rPr>
          <w:rFonts w:ascii="Cambria" w:hAnsi="Cambria"/>
          <w:sz w:val="20"/>
          <w:szCs w:val="20"/>
          <w:lang w:val="pt-BR"/>
        </w:rPr>
      </w:pPr>
    </w:p>
    <w:p w14:paraId="0EAE8F0E" w14:textId="77777777" w:rsidR="00C50907" w:rsidRPr="00187186" w:rsidRDefault="00C50907"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pt-BR"/>
        </w:rPr>
      </w:pPr>
      <w:r w:rsidRPr="00187186">
        <w:rPr>
          <w:rFonts w:ascii="Cambria" w:hAnsi="Cambria"/>
          <w:sz w:val="20"/>
          <w:szCs w:val="20"/>
          <w:lang w:val="pt-BR"/>
        </w:rPr>
        <w:t xml:space="preserve"> Toda pessoa que de qualquer forma promova a realização dos direitos humanos e fundamentais nacional ou internacionalmente reconhecidos deve ser considerada como defensora de direitos humanos</w:t>
      </w:r>
      <w:r w:rsidRPr="00187186">
        <w:rPr>
          <w:rFonts w:ascii="Cambria" w:hAnsi="Cambria"/>
          <w:sz w:val="20"/>
          <w:szCs w:val="20"/>
          <w:vertAlign w:val="superscript"/>
          <w:lang w:val="pt-BR"/>
        </w:rPr>
        <w:footnoteReference w:id="232"/>
      </w:r>
      <w:r w:rsidRPr="00187186">
        <w:rPr>
          <w:rFonts w:ascii="Cambria" w:hAnsi="Cambria"/>
          <w:sz w:val="20"/>
          <w:szCs w:val="20"/>
          <w:lang w:val="pt-BR"/>
        </w:rPr>
        <w:t xml:space="preserve">. Gabriel Sales Pimenta atuava em prol dos direitos dos trabalhadores rurais às garantias e à proteção judicial, à propriedade e à moradia, o que o qualifica como defensor de direitos humanos. </w:t>
      </w:r>
    </w:p>
    <w:p w14:paraId="59B2C627" w14:textId="77777777" w:rsidR="00C50907" w:rsidRPr="00187186" w:rsidRDefault="00C50907" w:rsidP="00187186">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lang w:val="pt-BR"/>
        </w:rPr>
      </w:pPr>
    </w:p>
    <w:p w14:paraId="3A68BD9B" w14:textId="77777777" w:rsidR="00C50907" w:rsidRPr="00187186" w:rsidRDefault="00C50907"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pt-BR"/>
        </w:rPr>
      </w:pPr>
      <w:r w:rsidRPr="00187186">
        <w:rPr>
          <w:rFonts w:ascii="Cambria" w:hAnsi="Cambria"/>
          <w:sz w:val="20"/>
          <w:szCs w:val="20"/>
          <w:lang w:val="pt-BR"/>
        </w:rPr>
        <w:t xml:space="preserve"> O trabalho dos defensores de direitos humanos é fundamental para o fortalecimento e a consolidação das democracias</w:t>
      </w:r>
      <w:r w:rsidRPr="00187186">
        <w:rPr>
          <w:rFonts w:ascii="Cambria" w:hAnsi="Cambria"/>
          <w:sz w:val="20"/>
          <w:szCs w:val="20"/>
          <w:vertAlign w:val="superscript"/>
          <w:lang w:val="pt-BR"/>
        </w:rPr>
        <w:footnoteReference w:id="233"/>
      </w:r>
      <w:r w:rsidRPr="00187186">
        <w:rPr>
          <w:rFonts w:ascii="Cambria" w:hAnsi="Cambria"/>
          <w:sz w:val="20"/>
          <w:szCs w:val="20"/>
          <w:lang w:val="pt-BR"/>
        </w:rPr>
        <w:t>. Múltiplos direitos expressamente reconhecidos pelos instrumentos interamericanos podem ser violados por conta do atentado contra um defensor de direitos humanos</w:t>
      </w:r>
      <w:r w:rsidRPr="00187186">
        <w:rPr>
          <w:rFonts w:ascii="Cambria" w:hAnsi="Cambria"/>
          <w:sz w:val="20"/>
          <w:szCs w:val="20"/>
          <w:vertAlign w:val="superscript"/>
          <w:lang w:val="pt-BR"/>
        </w:rPr>
        <w:footnoteReference w:id="234"/>
      </w:r>
      <w:r w:rsidRPr="00187186">
        <w:rPr>
          <w:rFonts w:ascii="Cambria" w:hAnsi="Cambria"/>
          <w:sz w:val="20"/>
          <w:szCs w:val="20"/>
          <w:lang w:val="pt-BR"/>
        </w:rPr>
        <w:t>. O dever do Estado de proteger os direitos ganha especial relevo quando diz respeito aos defensores de direitos humanos, na medida em que as atividades de promoção e proteção dos direitos humanos constituem um direito, e também representam um benefício à sociedade em geral e ao Estado</w:t>
      </w:r>
      <w:r w:rsidRPr="00187186">
        <w:rPr>
          <w:rFonts w:ascii="Cambria" w:hAnsi="Cambria"/>
          <w:sz w:val="20"/>
          <w:szCs w:val="20"/>
          <w:vertAlign w:val="superscript"/>
          <w:lang w:val="pt-BR"/>
        </w:rPr>
        <w:footnoteReference w:id="235"/>
      </w:r>
      <w:r w:rsidRPr="00187186">
        <w:rPr>
          <w:rFonts w:ascii="Cambria" w:hAnsi="Cambria"/>
          <w:sz w:val="20"/>
          <w:szCs w:val="20"/>
          <w:lang w:val="pt-BR"/>
        </w:rPr>
        <w:t>. A promoção e a proteção dos direitos de defensores de direitos humanos envolve três dimensões distintas: a dimensão individual, que se desenvolve através do exercício dos direitos individuais universalmente reconhecidos</w:t>
      </w:r>
      <w:r w:rsidRPr="00187186">
        <w:rPr>
          <w:rFonts w:ascii="Cambria" w:hAnsi="Cambria"/>
          <w:sz w:val="20"/>
          <w:szCs w:val="20"/>
          <w:vertAlign w:val="superscript"/>
          <w:lang w:val="pt-BR"/>
        </w:rPr>
        <w:footnoteReference w:id="236"/>
      </w:r>
      <w:r w:rsidRPr="00187186">
        <w:rPr>
          <w:rFonts w:ascii="Cambria" w:hAnsi="Cambria"/>
          <w:sz w:val="20"/>
          <w:szCs w:val="20"/>
          <w:lang w:val="pt-BR"/>
        </w:rPr>
        <w:t xml:space="preserve">; a dimensão coletiva, que compreende direitos </w:t>
      </w:r>
      <w:r w:rsidRPr="00187186">
        <w:rPr>
          <w:rFonts w:ascii="Cambria" w:hAnsi="Cambria"/>
          <w:sz w:val="20"/>
          <w:szCs w:val="20"/>
          <w:lang w:val="pt-BR"/>
        </w:rPr>
        <w:lastRenderedPageBreak/>
        <w:t>instrumentais à defesa dos direitos humanos como os direitos à liberdade de associação, de reunião e de expressão</w:t>
      </w:r>
      <w:r w:rsidRPr="00187186">
        <w:rPr>
          <w:rFonts w:ascii="Cambria" w:hAnsi="Cambria"/>
          <w:sz w:val="20"/>
          <w:szCs w:val="20"/>
          <w:vertAlign w:val="superscript"/>
          <w:lang w:val="pt-BR"/>
        </w:rPr>
        <w:footnoteReference w:id="237"/>
      </w:r>
      <w:r w:rsidRPr="00187186">
        <w:rPr>
          <w:rFonts w:ascii="Cambria" w:hAnsi="Cambria"/>
          <w:sz w:val="20"/>
          <w:szCs w:val="20"/>
          <w:lang w:val="pt-BR"/>
        </w:rPr>
        <w:t>; a dimensão social presente no fim que orienta as atividades dos defensores de direitos – promover transformações positivas para a sociedade –, e em como toda a sociedade perde quando um defensor é impedido de levar adiante a sua missão</w:t>
      </w:r>
      <w:r w:rsidRPr="00187186">
        <w:rPr>
          <w:rFonts w:ascii="Cambria" w:hAnsi="Cambria"/>
          <w:sz w:val="20"/>
          <w:szCs w:val="20"/>
          <w:vertAlign w:val="superscript"/>
          <w:lang w:val="pt-BR"/>
        </w:rPr>
        <w:footnoteReference w:id="238"/>
      </w:r>
      <w:r w:rsidRPr="00187186">
        <w:rPr>
          <w:rFonts w:ascii="Cambria" w:hAnsi="Cambria"/>
          <w:sz w:val="20"/>
          <w:szCs w:val="20"/>
          <w:lang w:val="pt-BR"/>
        </w:rPr>
        <w:t>.</w:t>
      </w:r>
    </w:p>
    <w:p w14:paraId="5F3EAB50" w14:textId="77777777" w:rsidR="00C50907" w:rsidRPr="00187186" w:rsidRDefault="00C50907" w:rsidP="00187186">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lang w:val="pt-BR"/>
        </w:rPr>
      </w:pPr>
    </w:p>
    <w:p w14:paraId="023F0B43" w14:textId="77777777" w:rsidR="00C50907" w:rsidRPr="00187186" w:rsidRDefault="00C50907"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pt-BR"/>
        </w:rPr>
      </w:pPr>
      <w:r w:rsidRPr="00187186">
        <w:rPr>
          <w:rFonts w:ascii="Cambria" w:hAnsi="Cambria"/>
          <w:sz w:val="20"/>
          <w:szCs w:val="20"/>
          <w:lang w:val="pt-BR"/>
        </w:rPr>
        <w:t xml:space="preserve"> Conforme os padrões citados, tratando-se do assassinato de um defensor ou uma defensora dos direitos humanos, as autoridades devem levar em conta se o ato foi produto de sua atividade para estabelecer linhas de investigação e hipóteses do crime. No presente caso, desde o início das investigações, levando em conta o contexto, as ameaças prévias e os testemunhos de várias pessoas, restou claro que o assassinato de Gabriel foi uma represália ao seu trabalho de defesa dos trabalhadores rurais. </w:t>
      </w:r>
    </w:p>
    <w:p w14:paraId="479FABBB" w14:textId="77777777" w:rsidR="00C50907" w:rsidRPr="00187186" w:rsidRDefault="00C50907" w:rsidP="00187186">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lang w:val="pt-BR"/>
        </w:rPr>
      </w:pPr>
    </w:p>
    <w:p w14:paraId="538C0D16" w14:textId="77777777" w:rsidR="00C50907" w:rsidRPr="00187186" w:rsidRDefault="00C50907"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pt-BR"/>
        </w:rPr>
      </w:pPr>
      <w:r w:rsidRPr="00187186">
        <w:rPr>
          <w:rFonts w:ascii="Cambria" w:hAnsi="Cambria"/>
          <w:sz w:val="20"/>
          <w:szCs w:val="20"/>
          <w:lang w:val="pt-BR"/>
        </w:rPr>
        <w:t>Como estabelecido nas determinações de fato, no presente caso a investigação realizou-se em 1982 e o processo penal foi impulsionado em 1983. XX anos mais tarde, esse processamento culminou numa decisão que declarou a prescrição em 2006. Após avaliar as informações e documentos sobre a investigação e o processamento penal, a Comissão conclui que o presente caso está marcado por omissões estatais quanto à obrigação de investigar e punir os responsáveis pelo assassinato de Gabriel Sales Pimenta. Em primeiro lugar, embora as testemunhas presentes no local do crime tenham visto três homens no interior do veículo e conquanto tenham sido apontados três suspeitos pelo inquérito, na fase de instrução da ação penal um dos suspeitos, Crescêncio Oliveira de Sousa, não foi submetido ao exame de reconhecimento pelas testemunhas Luzia Batista da Silva e Neuzila Jardim Cerqueira. O mesmo Crescêncio não foi pronunciado porque a autoridade judicial concluiu que não existiam evidências suficientes para acusá-lo.</w:t>
      </w:r>
    </w:p>
    <w:p w14:paraId="3EDEE1E7" w14:textId="77777777" w:rsidR="00C50907" w:rsidRPr="00187186" w:rsidRDefault="00C50907" w:rsidP="00187186">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lang w:val="pt-BR"/>
        </w:rPr>
      </w:pPr>
    </w:p>
    <w:p w14:paraId="078D3DC1" w14:textId="77777777" w:rsidR="00C50907" w:rsidRPr="00187186" w:rsidRDefault="00C50907"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pt-BR"/>
        </w:rPr>
      </w:pPr>
      <w:r w:rsidRPr="00187186">
        <w:rPr>
          <w:rFonts w:ascii="Cambria" w:hAnsi="Cambria"/>
          <w:sz w:val="20"/>
          <w:szCs w:val="20"/>
          <w:lang w:val="pt-BR"/>
        </w:rPr>
        <w:t>Não houve provas da realização escorreita de perícia do local do crime, de busca pelos projéteis e de apuração sobre de qual ou quais armas partiu ou partiram os tiros que vitimaram Gabriel; o exame cadavérico foi superficial e incompleto, tendo sido criticado pelos próprios peritos do Estado que o revisaram, contrariamente à obrigação estatal de produzir laudo detalhado sobre cada uma das lesões presentes no corpo.</w:t>
      </w:r>
    </w:p>
    <w:p w14:paraId="5086B8A1" w14:textId="77777777" w:rsidR="00C50907" w:rsidRPr="00187186" w:rsidRDefault="00C50907" w:rsidP="00187186">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lang w:val="pt-BR"/>
        </w:rPr>
      </w:pPr>
    </w:p>
    <w:p w14:paraId="5B65D613" w14:textId="2B16BE7E" w:rsidR="00C50907" w:rsidRPr="00187186" w:rsidRDefault="00C50907"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pt-BR"/>
        </w:rPr>
      </w:pPr>
      <w:r w:rsidRPr="00187186">
        <w:rPr>
          <w:rFonts w:ascii="Cambria" w:hAnsi="Cambria"/>
          <w:sz w:val="20"/>
          <w:szCs w:val="20"/>
          <w:lang w:val="pt-BR"/>
        </w:rPr>
        <w:t>As autoridades também não agiram com a devida diligência para impedir a fuga dos acusados de assassinar Gabriel Pimenta e tampouco para executar os Mandados de Prisão expedidos em seu desfavor quando estes estavam foragidos. Neste sentido, a prisão preventiva de Manoel Cardoso Neto e de José Pereira da Nóbrega foi anulada pela autoridade judicial três dias depois, em 31 de julho de 1982, sob uma justificação ou motivação vaga e insuficiente; a prisão preventiva decretada em 20 de junho de 1984 contra Crescêncio Oliveira de Sou</w:t>
      </w:r>
      <w:r w:rsidR="008C21BD">
        <w:rPr>
          <w:rFonts w:ascii="Cambria" w:hAnsi="Cambria"/>
          <w:sz w:val="20"/>
          <w:szCs w:val="20"/>
          <w:lang w:val="pt-BR"/>
        </w:rPr>
        <w:t>s</w:t>
      </w:r>
      <w:r w:rsidRPr="00187186">
        <w:rPr>
          <w:rFonts w:ascii="Cambria" w:hAnsi="Cambria"/>
          <w:sz w:val="20"/>
          <w:szCs w:val="20"/>
          <w:lang w:val="pt-BR"/>
        </w:rPr>
        <w:t xml:space="preserve">a e Manoel Cardoso Neto pelo juiz Eronides Sousa Primo foi revogada pelo mesmo no dia 4 de julho de 1984 em relação a Crescêncio em função do mesmo ter comparecido em juízo “de livre e espontânea vontade”; Manoel Cardoso Neto deixou de comparecer em seis audiências, inexistindo registros de diligências empreendidas para efetivar sua captura; o mesmo Manoel obteve, em 23 de novembro de 1987, a revogação da ordem de prisão preventiva em seu desfavor; o mesmo Manoel só foi interrogado em 29 de abril de 1988, seis anos passados desde o assassinato de Gabriel Sales Pimenta, num interim em que predominou a inação estatal ou a ação inefetiva (como ilustra o exemplo da remessa em atraso da carta precatória que serviria, em tese, para fazer com que Manoel finalmente fosse inquirido); quando a Sessão do Tribunal do Júri foi finalmente designada para o dia 23 de maio de 2002, Manoel novamente desapareceu e, a despeito de sua prisão preventiva ter sido novamente decretada, Manoel só foi encontrado em 3 de abril de 2006 por meio de diligências – atuação em diferentes estados do país e formação de equipe para cumprimento efetivo do mandado de prisão – que poderiam ter sido implementadas pelas autoridades estatais bem antes do dia em comento (até mesmo os advogados do réu afirmaram, em Habeas Corpus, que a autoridade judicial não havia utilizado todos os meios a seu alcance para sua rápida localização). </w:t>
      </w:r>
    </w:p>
    <w:p w14:paraId="6CD26BB8" w14:textId="77777777" w:rsidR="00C50907" w:rsidRPr="00187186" w:rsidRDefault="00C50907" w:rsidP="00187186">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lang w:val="pt-BR"/>
        </w:rPr>
      </w:pPr>
    </w:p>
    <w:p w14:paraId="5F7B635C" w14:textId="77777777" w:rsidR="00C50907" w:rsidRPr="00187186" w:rsidRDefault="00C50907"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pt-BR"/>
        </w:rPr>
      </w:pPr>
      <w:r w:rsidRPr="00187186">
        <w:rPr>
          <w:rFonts w:ascii="Cambria" w:hAnsi="Cambria"/>
          <w:sz w:val="20"/>
          <w:szCs w:val="20"/>
          <w:lang w:val="pt-BR"/>
        </w:rPr>
        <w:t xml:space="preserve">A Comissão não afirma que era obrigação do Estado manter o acusado em prisão preventiva, pois, de acordo com a jurisprudência estabelecida pelo Sistema Interamericano, a liberdade durante o processo deve ser a regra; a prisão preventiva é a exceção. No entanto, a partir de uma avaliação global de todos os itens acima, é possível afirmar que o Estado não dispunha de todos os meios para conseguir a presença dos acusados e que </w:t>
      </w:r>
      <w:r w:rsidRPr="00187186">
        <w:rPr>
          <w:rFonts w:ascii="Cambria" w:hAnsi="Cambria"/>
          <w:sz w:val="20"/>
          <w:szCs w:val="20"/>
          <w:lang w:val="pt-BR"/>
        </w:rPr>
        <w:lastRenderedPageBreak/>
        <w:t>estes últimos, mediante ausência ou fuga, impediram a continuidade do processo. Isso teve um impacto direto na situação de impunidade consolidada através da aplicação do instituto da prescrição, como será visto adiante.</w:t>
      </w:r>
    </w:p>
    <w:p w14:paraId="1B9FA175" w14:textId="77777777" w:rsidR="00C50907" w:rsidRPr="00187186" w:rsidRDefault="00C50907" w:rsidP="00187186">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lang w:val="pt-BR"/>
        </w:rPr>
      </w:pPr>
    </w:p>
    <w:p w14:paraId="5601C198" w14:textId="77777777" w:rsidR="00C50907" w:rsidRPr="00187186" w:rsidRDefault="00C50907"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pt-BR"/>
        </w:rPr>
      </w:pPr>
      <w:r w:rsidRPr="00187186">
        <w:rPr>
          <w:rFonts w:ascii="Cambria" w:hAnsi="Cambria"/>
          <w:sz w:val="20"/>
          <w:szCs w:val="20"/>
          <w:lang w:val="pt-BR"/>
        </w:rPr>
        <w:t>Diferentes testemunhos, assim como notícias de imprensa, apontam para uma série de ameaças feitas aos trabalhadores rurais e a Gabriel Sales Pimenta antes de seu assassinato. Adicionalmente, após o assassinato de Gabriel, foram constatados fortes indícios de que as pessoas envolvidas na investigação sofreram ameaças. Como estabelecido na descrição dos fatos, notícias da época informaram que o Delegado responsável pelas investigações “notou nas testemunhas oculares um excesso demasiado acreditando que tenham sido ameaçadas e impelidas para não falar toda a verdade”, e que o casal Edson Rodrigues Guimarães e Neuzila Guimarães desapareceu por vários dias após o crime por medo de também morrerem; após prestar uma declaração contundente na fase do inquérito, Rizomar Daniel Castro não compareceu à Comarca de Marabá por muito tempo e, quando finalmente inquirido, disse não saber de testemunhas que poderiam ter presenciado o assassinato; Antônio Francisco da Silva, que também havia sofrido ameaças de morte pelos acusados antes do crime contra Gabriel, não compareceu à primeira sessão do júri marcada para 23 de maio de 2002; Luzia Batista da Silva, testemunha ocular do assassinato de Gabriel, relatou ter sentido medo de dizer o que tinha testemunhado e, anos depois, faleceu sem que houvesse sinais de preocupação ou investigação, por parte do Estado, a respeito da causa da morte. Considerando que os indícios em questão não foram devidamente elucidados ou contraditados pelo Estado, a CIDH considera que há também responsabilidade por violação do dever de investigar com a devida diligência, o que inclui necessariamente a garantia da segurança e proteção das testemunhas antes, durante e depois dos procedimentos investigatórios.</w:t>
      </w:r>
    </w:p>
    <w:p w14:paraId="1C6CD7FC" w14:textId="77777777" w:rsidR="00C50907" w:rsidRPr="00187186" w:rsidRDefault="00C50907" w:rsidP="00187186">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lang w:val="pt-BR"/>
        </w:rPr>
      </w:pPr>
    </w:p>
    <w:p w14:paraId="16A6AA61" w14:textId="77777777" w:rsidR="00C50907" w:rsidRPr="00187186" w:rsidRDefault="00C50907"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pt-BR"/>
        </w:rPr>
      </w:pPr>
      <w:r w:rsidRPr="00187186">
        <w:rPr>
          <w:rFonts w:ascii="Cambria" w:hAnsi="Cambria"/>
          <w:sz w:val="20"/>
          <w:szCs w:val="20"/>
          <w:lang w:val="pt-BR"/>
        </w:rPr>
        <w:t xml:space="preserve">Quanto ao prazo razoável, desde o assassinato de Gabriel em 18 de julho de 1982 se passaram mais de 20 anos até a decisão que declarou a prescrição. Esta situação aconteceu em consequência da falta de devida diligência nas investigações e no processamento. A Comissão considera que este prazo é em si mesmo irrazoável e que do processo surge claramente que os elementos de complexidade, atuação das autoridades e atuação dos familiares não conseguem explicar nem justificar esse prazo excessivo. Além disso, a Comissão destaca que, com respeito ao quarto elemento, relacionado com o efeito gerado na situação jurídica respectiva, o assassinato de um defensor de direitos humanos e a situação de impunidade posterior não tem somente um impacto no nível familiar, mas também um efeito amedrontador no coletivo de defensoras e defensores que, por medo de sofrer represálias ou ataques similares, poderiam se abster de realizar suas tarefas de promoção e proteção dos direitos humanos, o que repercute na sociedade em geral. Isto é ainda mais grave quando, como se indicou na seção de contexto, a situação de impunidade do assassinato de Gabriel Sales Pimenta não constitui um fato isolado, mas se enquadra num contexto de impunidade alarmante durante os anos 80 e 90 que converte o Estado em tolerante deste tipo de atos. </w:t>
      </w:r>
    </w:p>
    <w:p w14:paraId="12E2F7D3" w14:textId="77777777" w:rsidR="00C50907" w:rsidRPr="00187186" w:rsidRDefault="00C50907" w:rsidP="00187186">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lang w:val="pt-BR"/>
        </w:rPr>
      </w:pPr>
    </w:p>
    <w:p w14:paraId="284A100D" w14:textId="77777777" w:rsidR="00C50907" w:rsidRPr="00187186" w:rsidRDefault="00C50907"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pt-BR"/>
        </w:rPr>
      </w:pPr>
      <w:r w:rsidRPr="00187186">
        <w:rPr>
          <w:rFonts w:ascii="Cambria" w:hAnsi="Cambria"/>
          <w:sz w:val="20"/>
          <w:szCs w:val="20"/>
          <w:lang w:val="pt-BR"/>
        </w:rPr>
        <w:t>Houve demora excessiva em diferentes etapas: na apresentação da denúncia pelo Ministério Público, ocorrida somente em 19 de agosto de 1983, mais de um ano após o assassinato; na finalização do interrogatório dos acusados, ocorrida somente em 1988, sem que houvesse o esforço esperado, por parte das autoridades responsáveis, para evitar tamanho retardo; na inquirição das testemunhas, entre 1988 e 1991, com longos intervalos de tempo entre as audiências e com o processo parado por mais de um ano desde a informação de juntada de uma carta precatória datada de 17 de janeiro de 1990; na demora injustificada de mais de um ano entre a inquirição da testemunha Rizomar Daniel Castro e a abertura de prazo, pela autoridade judicial, para que as partes apresentassem suas alegações finais; na conclusão das alegações finais, que tomaram um período longuíssimo, de 1992 a 1998 (Manoel Cardoso Neto apresentou suas alegações finais em 1997 e Crescêncio Oliveira de Sousa assim o fez no ano seguinte); no proferimento da sentença de pronúncia, ocorrido somente em agosto de 2000, mais de 2 anos após as alegações finais e mais de 18 anos após o assassinato; e, se não bastasse, na inércia do processo entre o pedido do Ministério Público requerendo a extinção da punibilidade do réu José Pereira da Nóbrega em virtude do seu falecimento, apresentado em 23 de novembro de 1999, e a decisão que decretou a extinção da punibilidade, proferida somente em 31 de agosto de 2000.</w:t>
      </w:r>
    </w:p>
    <w:p w14:paraId="3C56979E" w14:textId="77777777" w:rsidR="00C50907" w:rsidRPr="00187186" w:rsidRDefault="00C50907" w:rsidP="00187186">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lang w:val="pt-BR"/>
        </w:rPr>
      </w:pPr>
    </w:p>
    <w:p w14:paraId="61035A85" w14:textId="77777777" w:rsidR="00C50907" w:rsidRPr="00187186" w:rsidRDefault="00C50907"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pt-BR"/>
        </w:rPr>
      </w:pPr>
      <w:r w:rsidRPr="00187186">
        <w:rPr>
          <w:rFonts w:ascii="Cambria" w:hAnsi="Cambria"/>
          <w:sz w:val="20"/>
          <w:szCs w:val="20"/>
          <w:lang w:val="pt-BR"/>
        </w:rPr>
        <w:t xml:space="preserve">Todos os elementos descritos comprovam que os atos do Estado contribuíram diretamente para a situação de impunidade. A CIDH recorda que Manoel Cardoso Neto foi beneficiado com a prescrição e José Pereira da Nóbrega faleceu, o que provocou a extinção da punibilidade no processo criminal. A prescrição tem por objetivo garantir a segurança jurídica e impor limites temporais ao poder punitivo do Estado. Porém, se um Estado não realiza gestões diligentes para descobrir o paradeiro de uma pessoa foragida em casos de violações de direitos </w:t>
      </w:r>
      <w:r w:rsidRPr="00187186">
        <w:rPr>
          <w:rFonts w:ascii="Cambria" w:hAnsi="Cambria"/>
          <w:sz w:val="20"/>
          <w:szCs w:val="20"/>
          <w:lang w:val="pt-BR"/>
        </w:rPr>
        <w:lastRenderedPageBreak/>
        <w:t>humanos que devem ser investigados de ofício e depois declara a prescrição em seu favor, então essa figura se converte em um fator de impunidade atribuível ao Estado.</w:t>
      </w:r>
    </w:p>
    <w:p w14:paraId="58B47D27" w14:textId="77777777" w:rsidR="00C50907" w:rsidRPr="00187186" w:rsidRDefault="00C50907" w:rsidP="00187186">
      <w:pPr>
        <w:pStyle w:val="ListParagraph"/>
        <w:rPr>
          <w:sz w:val="20"/>
          <w:szCs w:val="20"/>
          <w:lang w:val="pt-BR"/>
        </w:rPr>
      </w:pPr>
    </w:p>
    <w:p w14:paraId="1F321D08" w14:textId="77777777" w:rsidR="00C50907" w:rsidRPr="00187186" w:rsidRDefault="00C50907"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pt-BR"/>
        </w:rPr>
      </w:pPr>
      <w:r w:rsidRPr="00187186">
        <w:rPr>
          <w:rFonts w:ascii="Cambria" w:hAnsi="Cambria"/>
          <w:sz w:val="20"/>
          <w:szCs w:val="20"/>
          <w:lang w:val="pt-BR"/>
        </w:rPr>
        <w:t>Em virtude das considerações anteriores, a Comissão conclui que o Estado não investigou o assassinato de Gabriel Sales Pimenta com a devida diligência e, portanto, é responsável pela violação dos direitos estabelecidos nos artigos XVIII da Declaração Americana e 8.1 e 25.1 da Convenção Americana, com relação ao artigo 1.1 do mesmo instrumento, em prejuízo de seus familiares identificados no presente relatório</w:t>
      </w:r>
      <w:r w:rsidRPr="00187186">
        <w:rPr>
          <w:rFonts w:ascii="Cambria" w:hAnsi="Cambria"/>
          <w:noProof/>
          <w:sz w:val="20"/>
          <w:szCs w:val="20"/>
          <w:lang w:val="pt-BR"/>
        </w:rPr>
        <w:t xml:space="preserve">. </w:t>
      </w:r>
    </w:p>
    <w:p w14:paraId="4BE78937" w14:textId="77777777" w:rsidR="003330DA" w:rsidRPr="00187186" w:rsidRDefault="003330DA" w:rsidP="001871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pt-BR" w:eastAsia="es-ES"/>
        </w:rPr>
      </w:pPr>
    </w:p>
    <w:p w14:paraId="0C87D15C" w14:textId="5C0202B7" w:rsidR="006A086C" w:rsidRPr="00187186" w:rsidRDefault="006A086C" w:rsidP="00187186">
      <w:pPr>
        <w:pStyle w:val="Heading2"/>
        <w:rPr>
          <w:i/>
        </w:rPr>
      </w:pPr>
      <w:bookmarkStart w:id="72" w:name="_Toc7618518"/>
      <w:bookmarkStart w:id="73" w:name="_Toc496103839"/>
      <w:bookmarkStart w:id="74" w:name="_Toc502663001"/>
      <w:bookmarkStart w:id="75" w:name="_Toc16677794"/>
      <w:bookmarkStart w:id="76" w:name="_Toc16677881"/>
      <w:r w:rsidRPr="00187186">
        <w:t>Direito à integridade pessoal (artigo I da Declaração Americana dos Direitos e Deveres do Homem</w:t>
      </w:r>
      <w:r w:rsidRPr="00187186">
        <w:rPr>
          <w:rStyle w:val="FootnoteReference"/>
          <w:rFonts w:eastAsia="Trebuchet MS"/>
        </w:rPr>
        <w:footnoteReference w:id="239"/>
      </w:r>
      <w:r w:rsidRPr="00187186">
        <w:t xml:space="preserve"> e artigo 5 da Convenção Americana</w:t>
      </w:r>
      <w:r w:rsidRPr="00187186">
        <w:rPr>
          <w:rStyle w:val="FootnoteReference"/>
          <w:rFonts w:eastAsia="Trebuchet MS"/>
        </w:rPr>
        <w:footnoteReference w:id="240"/>
      </w:r>
      <w:r w:rsidRPr="00187186">
        <w:t>)</w:t>
      </w:r>
      <w:bookmarkEnd w:id="72"/>
      <w:bookmarkEnd w:id="73"/>
      <w:bookmarkEnd w:id="74"/>
      <w:bookmarkEnd w:id="75"/>
      <w:bookmarkEnd w:id="76"/>
      <w:r w:rsidRPr="00187186">
        <w:t xml:space="preserve"> </w:t>
      </w:r>
    </w:p>
    <w:p w14:paraId="517769BF" w14:textId="77777777" w:rsidR="006A086C" w:rsidRPr="00187186" w:rsidRDefault="006A086C" w:rsidP="00187186">
      <w:pPr>
        <w:pStyle w:val="ListParagraph"/>
        <w:rPr>
          <w:sz w:val="20"/>
          <w:szCs w:val="20"/>
          <w:lang w:val="pt-BR"/>
        </w:rPr>
      </w:pPr>
    </w:p>
    <w:p w14:paraId="6D20AE7C" w14:textId="77777777" w:rsidR="006A086C" w:rsidRPr="00187186" w:rsidRDefault="00375119"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pt-BR"/>
        </w:rPr>
      </w:pPr>
      <w:r w:rsidRPr="00187186">
        <w:rPr>
          <w:rFonts w:ascii="Cambria" w:hAnsi="Cambria"/>
          <w:sz w:val="20"/>
          <w:szCs w:val="20"/>
          <w:lang w:val="pt-BR" w:eastAsia="es-ES"/>
        </w:rPr>
        <w:t>O</w:t>
      </w:r>
      <w:r w:rsidR="006A086C" w:rsidRPr="00187186">
        <w:rPr>
          <w:rFonts w:ascii="Cambria" w:hAnsi="Cambria"/>
          <w:sz w:val="20"/>
          <w:szCs w:val="20"/>
          <w:lang w:val="pt-BR" w:eastAsia="es-ES"/>
        </w:rPr>
        <w:t xml:space="preserve">s familiares das vítimas de certas violações de direitos humanos podem ser, por sua vez, vítimas. Especificamente, podem ser afetados em sua integridade psíquica e moral em consequência das situações que seus entes queridos padeceram e das posteriores atuações ou omissões das autoridades internas frente a </w:t>
      </w:r>
      <w:r w:rsidR="006A086C" w:rsidRPr="00187186">
        <w:rPr>
          <w:rFonts w:ascii="Cambria" w:hAnsi="Cambria"/>
          <w:sz w:val="20"/>
          <w:szCs w:val="20"/>
          <w:lang w:val="pt-BR"/>
        </w:rPr>
        <w:t>esses</w:t>
      </w:r>
      <w:r w:rsidR="006A086C" w:rsidRPr="00187186">
        <w:rPr>
          <w:rFonts w:ascii="Cambria" w:hAnsi="Cambria"/>
          <w:sz w:val="20"/>
          <w:szCs w:val="20"/>
          <w:lang w:val="pt-BR" w:eastAsia="es-ES"/>
        </w:rPr>
        <w:t xml:space="preserve"> atos</w:t>
      </w:r>
      <w:r w:rsidR="006A086C" w:rsidRPr="00187186">
        <w:rPr>
          <w:rStyle w:val="FootnoteReference"/>
          <w:rFonts w:ascii="Cambria" w:hAnsi="Cambria"/>
          <w:sz w:val="20"/>
          <w:szCs w:val="20"/>
          <w:lang w:val="pt-BR" w:eastAsia="es-ES"/>
        </w:rPr>
        <w:footnoteReference w:id="241"/>
      </w:r>
      <w:r w:rsidR="006A086C" w:rsidRPr="00187186">
        <w:rPr>
          <w:rFonts w:ascii="Cambria" w:hAnsi="Cambria"/>
          <w:sz w:val="20"/>
          <w:szCs w:val="20"/>
          <w:lang w:val="pt-BR" w:eastAsia="es-ES"/>
        </w:rPr>
        <w:t xml:space="preserve">. </w:t>
      </w:r>
    </w:p>
    <w:p w14:paraId="19D2ACAE" w14:textId="77777777" w:rsidR="00375119" w:rsidRPr="00187186" w:rsidRDefault="00375119" w:rsidP="00187186">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lang w:val="pt-BR"/>
        </w:rPr>
      </w:pPr>
    </w:p>
    <w:p w14:paraId="42375CC3" w14:textId="77777777" w:rsidR="006A086C" w:rsidRPr="00187186" w:rsidRDefault="006A086C"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pt-BR" w:eastAsia="es-ES"/>
        </w:rPr>
      </w:pPr>
      <w:r w:rsidRPr="00187186">
        <w:rPr>
          <w:rFonts w:ascii="Cambria" w:hAnsi="Cambria"/>
          <w:sz w:val="20"/>
          <w:szCs w:val="20"/>
          <w:lang w:val="pt-BR" w:eastAsia="es-ES"/>
        </w:rPr>
        <w:t>De acordo com o exposto anteriormente, a Comissão considera que a perda de um ente querido num contexto</w:t>
      </w:r>
      <w:r w:rsidR="008312B5" w:rsidRPr="00187186">
        <w:rPr>
          <w:rFonts w:ascii="Cambria" w:hAnsi="Cambria"/>
          <w:sz w:val="20"/>
          <w:szCs w:val="20"/>
          <w:lang w:val="pt-BR" w:eastAsia="es-ES"/>
        </w:rPr>
        <w:t xml:space="preserve">, somada à impunidade resultante de um processo de longuíssima duração, </w:t>
      </w:r>
      <w:r w:rsidRPr="00187186">
        <w:rPr>
          <w:rFonts w:ascii="Cambria" w:hAnsi="Cambria"/>
          <w:sz w:val="20"/>
          <w:szCs w:val="20"/>
          <w:lang w:val="pt-BR" w:eastAsia="es-ES"/>
        </w:rPr>
        <w:t xml:space="preserve">constitui </w:t>
      </w:r>
      <w:r w:rsidR="008312B5" w:rsidRPr="00187186">
        <w:rPr>
          <w:rFonts w:ascii="Cambria" w:hAnsi="Cambria"/>
          <w:sz w:val="20"/>
          <w:szCs w:val="20"/>
          <w:lang w:val="pt-BR" w:eastAsia="es-ES"/>
        </w:rPr>
        <w:t>inelutável</w:t>
      </w:r>
      <w:r w:rsidRPr="00187186">
        <w:rPr>
          <w:rFonts w:ascii="Cambria" w:hAnsi="Cambria"/>
          <w:sz w:val="20"/>
          <w:szCs w:val="20"/>
          <w:lang w:val="pt-BR" w:eastAsia="es-ES"/>
        </w:rPr>
        <w:t xml:space="preserve"> violação da integridade psíquica e moral dos familiares de </w:t>
      </w:r>
      <w:r w:rsidR="00375119" w:rsidRPr="00187186">
        <w:rPr>
          <w:rFonts w:ascii="Cambria" w:hAnsi="Cambria"/>
          <w:sz w:val="20"/>
          <w:szCs w:val="20"/>
          <w:lang w:val="pt-BR" w:eastAsia="es-ES"/>
        </w:rPr>
        <w:t>Gabriel Sales Pimenta</w:t>
      </w:r>
      <w:r w:rsidRPr="00187186">
        <w:rPr>
          <w:rFonts w:ascii="Cambria" w:hAnsi="Cambria"/>
          <w:sz w:val="20"/>
          <w:szCs w:val="20"/>
          <w:lang w:val="pt-BR" w:eastAsia="es-ES"/>
        </w:rPr>
        <w:t xml:space="preserve">. </w:t>
      </w:r>
    </w:p>
    <w:p w14:paraId="60EE7E9A" w14:textId="77777777" w:rsidR="006A086C" w:rsidRPr="00187186" w:rsidRDefault="006A086C" w:rsidP="001871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pt-BR" w:eastAsia="es-ES"/>
        </w:rPr>
      </w:pPr>
    </w:p>
    <w:p w14:paraId="387BCB03" w14:textId="77777777" w:rsidR="006A086C" w:rsidRPr="00187186" w:rsidRDefault="006A086C"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pt-BR" w:eastAsia="es-ES"/>
        </w:rPr>
      </w:pPr>
      <w:r w:rsidRPr="00187186">
        <w:rPr>
          <w:rFonts w:ascii="Cambria" w:hAnsi="Cambria"/>
          <w:sz w:val="20"/>
          <w:szCs w:val="20"/>
          <w:lang w:val="pt-BR" w:eastAsia="es-ES"/>
        </w:rPr>
        <w:t>Em virtude disso, a Comissão conclui que o Estado violou o direito à integridade pessoal consagrado no artigo I da Declaração Americana e no artigo 5</w:t>
      </w:r>
      <w:r w:rsidR="00036448" w:rsidRPr="00187186">
        <w:rPr>
          <w:rFonts w:ascii="Cambria" w:hAnsi="Cambria"/>
          <w:sz w:val="20"/>
          <w:szCs w:val="20"/>
          <w:lang w:val="pt-BR" w:eastAsia="es-ES"/>
        </w:rPr>
        <w:t>.1</w:t>
      </w:r>
      <w:r w:rsidRPr="00187186">
        <w:rPr>
          <w:rFonts w:ascii="Cambria" w:hAnsi="Cambria"/>
          <w:sz w:val="20"/>
          <w:szCs w:val="20"/>
          <w:lang w:val="pt-BR" w:eastAsia="es-ES"/>
        </w:rPr>
        <w:t xml:space="preserve"> da Convenção Americana em prejuízo </w:t>
      </w:r>
      <w:r w:rsidR="00375119" w:rsidRPr="00187186">
        <w:rPr>
          <w:rFonts w:ascii="Cambria" w:hAnsi="Cambria"/>
          <w:sz w:val="20"/>
          <w:szCs w:val="20"/>
          <w:lang w:val="pt-BR" w:eastAsia="es-ES"/>
        </w:rPr>
        <w:t>dos familiares de Gabriel Sales Pimenta.</w:t>
      </w:r>
    </w:p>
    <w:p w14:paraId="00280F9B" w14:textId="77777777" w:rsidR="000B0D53" w:rsidRPr="00187186" w:rsidRDefault="000B0D53" w:rsidP="00187186">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lang w:val="pt-BR" w:eastAsia="es-ES"/>
        </w:rPr>
      </w:pPr>
    </w:p>
    <w:p w14:paraId="1BEB54CC" w14:textId="542F0FC1" w:rsidR="00F46C8F" w:rsidRPr="00187186" w:rsidRDefault="00F46C8F" w:rsidP="00187186">
      <w:pPr>
        <w:pStyle w:val="Heading1"/>
      </w:pPr>
      <w:bookmarkStart w:id="77" w:name="_Toc370840760"/>
      <w:bookmarkStart w:id="78" w:name="_Toc370840855"/>
      <w:bookmarkStart w:id="79" w:name="_Toc370879094"/>
      <w:bookmarkStart w:id="80" w:name="_Toc506225848"/>
      <w:bookmarkStart w:id="81" w:name="_Toc7618519"/>
      <w:bookmarkStart w:id="82" w:name="_Toc16677795"/>
      <w:bookmarkStart w:id="83" w:name="_Toc16677882"/>
      <w:r w:rsidRPr="00187186">
        <w:t>CONCLUSÕES E RECOMENDAÇÕES</w:t>
      </w:r>
      <w:bookmarkEnd w:id="77"/>
      <w:bookmarkEnd w:id="78"/>
      <w:bookmarkEnd w:id="79"/>
      <w:bookmarkEnd w:id="80"/>
      <w:r w:rsidRPr="00187186">
        <w:t>.</w:t>
      </w:r>
      <w:bookmarkEnd w:id="81"/>
      <w:bookmarkEnd w:id="82"/>
      <w:bookmarkEnd w:id="83"/>
    </w:p>
    <w:p w14:paraId="2E20E563" w14:textId="77777777" w:rsidR="00F46C8F" w:rsidRPr="00187186" w:rsidRDefault="00F46C8F" w:rsidP="0018718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pt-BR"/>
        </w:rPr>
      </w:pPr>
    </w:p>
    <w:p w14:paraId="3F0CCF92" w14:textId="094C7B22" w:rsidR="00A921AD" w:rsidRPr="00187186" w:rsidRDefault="00A921AD"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pt-BR"/>
        </w:rPr>
      </w:pPr>
      <w:r w:rsidRPr="00187186">
        <w:rPr>
          <w:rFonts w:ascii="Cambria" w:eastAsia="Batang" w:hAnsi="Cambria"/>
          <w:sz w:val="20"/>
          <w:szCs w:val="20"/>
          <w:bdr w:val="none" w:sz="0" w:space="0" w:color="auto"/>
          <w:lang w:val="pt-BR"/>
        </w:rPr>
        <w:t>A Comissão conclui que o Estado brasileiro é responsável pela violação dos direitos consagrados nos artigos I (</w:t>
      </w:r>
      <w:r w:rsidRPr="00187186">
        <w:rPr>
          <w:rFonts w:ascii="Cambria" w:hAnsi="Cambria"/>
          <w:sz w:val="20"/>
          <w:szCs w:val="20"/>
          <w:lang w:val="pt-BR" w:eastAsia="es-ES"/>
        </w:rPr>
        <w:t>direito</w:t>
      </w:r>
      <w:r w:rsidRPr="00187186">
        <w:rPr>
          <w:rFonts w:ascii="Cambria" w:eastAsia="Batang" w:hAnsi="Cambria"/>
          <w:sz w:val="20"/>
          <w:szCs w:val="20"/>
          <w:bdr w:val="none" w:sz="0" w:space="0" w:color="auto"/>
          <w:lang w:val="pt-BR"/>
        </w:rPr>
        <w:t xml:space="preserve"> à vida), XVIII (direito à justiça), XXII (direito de associação) da Declaração Americana dos Direitos e Deveres do Homem, 5</w:t>
      </w:r>
      <w:r w:rsidR="00FA5EF9" w:rsidRPr="00187186">
        <w:rPr>
          <w:rFonts w:ascii="Cambria" w:eastAsia="Batang" w:hAnsi="Cambria"/>
          <w:sz w:val="20"/>
          <w:szCs w:val="20"/>
          <w:bdr w:val="none" w:sz="0" w:space="0" w:color="auto"/>
          <w:lang w:val="pt-BR"/>
        </w:rPr>
        <w:t>.1</w:t>
      </w:r>
      <w:r w:rsidRPr="00187186">
        <w:rPr>
          <w:rFonts w:ascii="Cambria" w:eastAsia="Batang" w:hAnsi="Cambria"/>
          <w:sz w:val="20"/>
          <w:szCs w:val="20"/>
          <w:bdr w:val="none" w:sz="0" w:space="0" w:color="auto"/>
          <w:lang w:val="pt-BR"/>
        </w:rPr>
        <w:t xml:space="preserve"> (integridade pessoal), 8.1 (garantias judiciais) e 25.1 (proteção judicial) da Convenção Americana com relação ao artigo 1.1 do mesmo instrumento em prejuízo das pessoas indicadas ao longo do presente relatório. </w:t>
      </w:r>
    </w:p>
    <w:p w14:paraId="6983EE40" w14:textId="77777777" w:rsidR="00092E65" w:rsidRPr="00187186" w:rsidRDefault="00092E65" w:rsidP="00187186">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eastAsia="Batang" w:hAnsi="Cambria" w:cs="Arial"/>
          <w:sz w:val="20"/>
          <w:szCs w:val="20"/>
          <w:bdr w:val="none" w:sz="0" w:space="0" w:color="auto"/>
          <w:lang w:val="pt-BR"/>
        </w:rPr>
      </w:pPr>
    </w:p>
    <w:p w14:paraId="055801C4" w14:textId="77777777" w:rsidR="00F46C8F" w:rsidRPr="00187186" w:rsidRDefault="00F46C8F" w:rsidP="001871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pt-BR"/>
        </w:rPr>
      </w:pPr>
      <w:r w:rsidRPr="00187186">
        <w:rPr>
          <w:rFonts w:ascii="Cambria" w:hAnsi="Cambria"/>
          <w:sz w:val="20"/>
          <w:szCs w:val="20"/>
          <w:lang w:val="pt-BR" w:eastAsia="es-ES"/>
        </w:rPr>
        <w:t>Em</w:t>
      </w:r>
      <w:r w:rsidRPr="00187186">
        <w:rPr>
          <w:rFonts w:ascii="Cambria" w:eastAsia="Batang" w:hAnsi="Cambria"/>
          <w:sz w:val="20"/>
          <w:szCs w:val="20"/>
          <w:bdr w:val="none" w:sz="0" w:space="0" w:color="auto"/>
          <w:lang w:val="pt-BR"/>
        </w:rPr>
        <w:t xml:space="preserve"> virtude das conclusões acima,</w:t>
      </w:r>
    </w:p>
    <w:p w14:paraId="1C4880FD" w14:textId="77777777" w:rsidR="00A921AD" w:rsidRPr="00187186" w:rsidRDefault="00A921AD" w:rsidP="0018718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900"/>
        <w:rPr>
          <w:rFonts w:eastAsia="Batang"/>
          <w:sz w:val="20"/>
          <w:szCs w:val="20"/>
          <w:bdr w:val="none" w:sz="0" w:space="0" w:color="auto"/>
          <w:lang w:val="pt-BR"/>
        </w:rPr>
      </w:pPr>
    </w:p>
    <w:p w14:paraId="24893A03" w14:textId="77777777" w:rsidR="00A921AD" w:rsidRPr="00187186" w:rsidRDefault="00A921AD" w:rsidP="001871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b/>
          <w:sz w:val="20"/>
          <w:szCs w:val="20"/>
          <w:bdr w:val="none" w:sz="0" w:space="0" w:color="auto"/>
          <w:lang w:val="pt-BR"/>
        </w:rPr>
      </w:pPr>
      <w:r w:rsidRPr="00187186">
        <w:rPr>
          <w:rFonts w:ascii="Cambria" w:eastAsia="Batang" w:hAnsi="Cambria"/>
          <w:b/>
          <w:sz w:val="20"/>
          <w:szCs w:val="20"/>
          <w:bdr w:val="none" w:sz="0" w:space="0" w:color="auto"/>
          <w:lang w:val="pt-BR"/>
        </w:rPr>
        <w:t>A COMISSÃO INTERAMERICANA DE DIREITOS HUMANOS APRESENTA AO ESTADO DO BRASIL AS RECOMENDAÇÕES QUE SE SEGUEM:</w:t>
      </w:r>
    </w:p>
    <w:p w14:paraId="3F833F3C" w14:textId="77777777" w:rsidR="00A921AD" w:rsidRPr="00187186" w:rsidRDefault="00A921AD" w:rsidP="00187186">
      <w:pPr>
        <w:pStyle w:val="ListParagraph"/>
        <w:rPr>
          <w:rFonts w:eastAsia="Batang"/>
          <w:sz w:val="20"/>
          <w:szCs w:val="20"/>
          <w:bdr w:val="none" w:sz="0" w:space="0" w:color="auto"/>
          <w:lang w:val="pt-BR"/>
        </w:rPr>
      </w:pPr>
    </w:p>
    <w:p w14:paraId="291DB8D7" w14:textId="77777777" w:rsidR="00A921AD" w:rsidRPr="00187186" w:rsidRDefault="00A921AD" w:rsidP="00187186">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360" w:hanging="360"/>
        <w:jc w:val="both"/>
        <w:rPr>
          <w:rFonts w:ascii="Cambria" w:hAnsi="Cambria"/>
          <w:sz w:val="20"/>
          <w:szCs w:val="20"/>
          <w:lang w:val="pt-BR"/>
        </w:rPr>
      </w:pPr>
      <w:r w:rsidRPr="00187186">
        <w:rPr>
          <w:rFonts w:ascii="Cambria" w:hAnsi="Cambria"/>
          <w:sz w:val="20"/>
          <w:szCs w:val="20"/>
          <w:lang w:val="pt-BR"/>
        </w:rPr>
        <w:t xml:space="preserve">Reparar integralmente os familiares da vítima do presente caso através de medidas de compensação pecuniária e de satisfação que incluam os danos materiais e imateriais provocados em consequência das violações declaradas no presente relatório. </w:t>
      </w:r>
    </w:p>
    <w:p w14:paraId="7448D3FD" w14:textId="77777777" w:rsidR="00A921AD" w:rsidRPr="00187186" w:rsidRDefault="00A921AD" w:rsidP="00187186">
      <w:pPr>
        <w:pBdr>
          <w:top w:val="none" w:sz="0" w:space="0" w:color="auto"/>
          <w:left w:val="none" w:sz="0" w:space="0" w:color="auto"/>
          <w:bottom w:val="none" w:sz="0" w:space="0" w:color="auto"/>
          <w:right w:val="none" w:sz="0" w:space="0" w:color="auto"/>
          <w:between w:val="none" w:sz="0" w:space="0" w:color="auto"/>
          <w:bar w:val="none" w:sz="0" w:color="auto"/>
        </w:pBdr>
        <w:ind w:left="360" w:hanging="360"/>
        <w:jc w:val="both"/>
        <w:rPr>
          <w:rFonts w:ascii="Cambria" w:hAnsi="Cambria"/>
          <w:sz w:val="20"/>
          <w:szCs w:val="20"/>
          <w:lang w:val="pt-BR"/>
        </w:rPr>
      </w:pPr>
    </w:p>
    <w:p w14:paraId="28F9807B" w14:textId="77777777" w:rsidR="00A921AD" w:rsidRPr="00187186" w:rsidRDefault="00A921AD" w:rsidP="00187186">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360" w:hanging="360"/>
        <w:jc w:val="both"/>
        <w:rPr>
          <w:rFonts w:ascii="Cambria" w:hAnsi="Cambria"/>
          <w:sz w:val="20"/>
          <w:szCs w:val="20"/>
          <w:lang w:val="pt-BR"/>
        </w:rPr>
      </w:pPr>
      <w:r w:rsidRPr="00187186">
        <w:rPr>
          <w:rFonts w:ascii="Cambria" w:hAnsi="Cambria"/>
          <w:sz w:val="20"/>
          <w:szCs w:val="20"/>
          <w:lang w:val="pt-BR"/>
        </w:rPr>
        <w:t xml:space="preserve">Desenvolver e concluir uma investigação </w:t>
      </w:r>
      <w:r w:rsidRPr="00187186">
        <w:rPr>
          <w:rFonts w:ascii="Cambria" w:eastAsia="Times New Roman" w:hAnsi="Cambria" w:cs="Tahoma"/>
          <w:sz w:val="20"/>
          <w:szCs w:val="20"/>
          <w:bdr w:val="none" w:sz="0" w:space="0" w:color="auto"/>
          <w:lang w:val="pt-BR"/>
        </w:rPr>
        <w:t xml:space="preserve">de maneira diligente, efetiva e dentro de um prazo razoável com o objetivo de esclarecer os fatos de forma completa; identificar todas as possíveis responsabilidades materiais e intelectuais nos diversos níveis de decisão e execução; e impor as punições que correspondam a respeito das violações de direitos humanos declaradas no presente relatório. Isto inclui a investigação das </w:t>
      </w:r>
      <w:r w:rsidRPr="00187186">
        <w:rPr>
          <w:rFonts w:ascii="Cambria" w:hAnsi="Cambria"/>
          <w:sz w:val="20"/>
          <w:szCs w:val="20"/>
          <w:lang w:val="pt-BR"/>
        </w:rPr>
        <w:t xml:space="preserve">estruturas de poder que participaram do cometimento das violações ocorridas. No âmbito deste processo, corresponde ao Estado adotar todas as medidas para proteger testemunhas e outros atores do processo, caso seja necessário. Levando em conta que a prescrição foi resultado das ações e omissões do Estado, essa figura não é oponível para o total cumprimento desta recomendação. </w:t>
      </w:r>
    </w:p>
    <w:p w14:paraId="06C2B3FF" w14:textId="77777777" w:rsidR="00A921AD" w:rsidRPr="00187186" w:rsidRDefault="00A921AD" w:rsidP="00187186">
      <w:pPr>
        <w:pBdr>
          <w:top w:val="none" w:sz="0" w:space="0" w:color="auto"/>
          <w:left w:val="none" w:sz="0" w:space="0" w:color="auto"/>
          <w:bottom w:val="none" w:sz="0" w:space="0" w:color="auto"/>
          <w:right w:val="none" w:sz="0" w:space="0" w:color="auto"/>
          <w:between w:val="none" w:sz="0" w:space="0" w:color="auto"/>
          <w:bar w:val="none" w:sz="0" w:color="auto"/>
        </w:pBdr>
        <w:ind w:left="360" w:hanging="360"/>
        <w:jc w:val="both"/>
        <w:rPr>
          <w:rFonts w:ascii="Cambria" w:hAnsi="Cambria"/>
          <w:sz w:val="20"/>
          <w:szCs w:val="20"/>
          <w:lang w:val="pt-BR"/>
        </w:rPr>
      </w:pPr>
    </w:p>
    <w:p w14:paraId="767FF1C9" w14:textId="77777777" w:rsidR="00A921AD" w:rsidRPr="00187186" w:rsidRDefault="00A921AD" w:rsidP="00187186">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360" w:hanging="360"/>
        <w:jc w:val="both"/>
        <w:rPr>
          <w:rFonts w:ascii="Cambria" w:hAnsi="Cambria"/>
          <w:sz w:val="20"/>
          <w:szCs w:val="20"/>
          <w:lang w:val="pt-BR"/>
        </w:rPr>
      </w:pPr>
      <w:r w:rsidRPr="00187186">
        <w:rPr>
          <w:rFonts w:ascii="Cambria" w:eastAsia="Times New Roman" w:hAnsi="Cambria" w:cs="Tahoma"/>
          <w:sz w:val="20"/>
          <w:szCs w:val="20"/>
          <w:bdr w:val="none" w:sz="0" w:space="0" w:color="auto"/>
          <w:lang w:val="pt-BR"/>
        </w:rPr>
        <w:lastRenderedPageBreak/>
        <w:t>Dispor as medidas de atenção à saúde física e mental necessárias para a reabilitação dos familiares de Gabriel Sales Pimenta, se for sua vontade e de maneira acordada.</w:t>
      </w:r>
    </w:p>
    <w:p w14:paraId="256B960C" w14:textId="77777777" w:rsidR="00A921AD" w:rsidRPr="00187186" w:rsidRDefault="00A921AD" w:rsidP="00187186">
      <w:pPr>
        <w:pStyle w:val="ListParagraph"/>
        <w:ind w:left="360" w:hanging="360"/>
        <w:rPr>
          <w:sz w:val="20"/>
          <w:szCs w:val="20"/>
          <w:lang w:val="pt-BR"/>
        </w:rPr>
      </w:pPr>
    </w:p>
    <w:p w14:paraId="2B67FEBC" w14:textId="4B29AFED" w:rsidR="00A921AD" w:rsidRPr="00DC4C7C" w:rsidRDefault="00A921AD" w:rsidP="00187186">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360" w:hanging="360"/>
        <w:jc w:val="both"/>
        <w:rPr>
          <w:rFonts w:ascii="Cambria" w:eastAsia="Batang" w:hAnsi="Cambria"/>
          <w:sz w:val="20"/>
          <w:szCs w:val="20"/>
          <w:bdr w:val="none" w:sz="0" w:space="0" w:color="auto"/>
          <w:lang w:val="pt-BR"/>
        </w:rPr>
      </w:pPr>
      <w:r w:rsidRPr="00187186">
        <w:rPr>
          <w:rFonts w:ascii="Cambria" w:hAnsi="Cambria"/>
          <w:sz w:val="20"/>
          <w:szCs w:val="20"/>
          <w:lang w:val="pt-BR"/>
        </w:rPr>
        <w:t>Dispor medidas de não</w:t>
      </w:r>
      <w:r w:rsidR="00C50856">
        <w:rPr>
          <w:rFonts w:ascii="Cambria" w:hAnsi="Cambria"/>
          <w:sz w:val="20"/>
          <w:szCs w:val="20"/>
          <w:lang w:val="pt-BR"/>
        </w:rPr>
        <w:t>-</w:t>
      </w:r>
      <w:r w:rsidRPr="00187186">
        <w:rPr>
          <w:rFonts w:ascii="Cambria" w:hAnsi="Cambria"/>
          <w:sz w:val="20"/>
          <w:szCs w:val="20"/>
          <w:lang w:val="pt-BR"/>
        </w:rPr>
        <w:t>repetição que incluam:</w:t>
      </w:r>
      <w:r w:rsidR="009F3564" w:rsidRPr="00187186">
        <w:rPr>
          <w:rFonts w:ascii="Cambria" w:hAnsi="Cambria"/>
          <w:sz w:val="20"/>
          <w:szCs w:val="20"/>
          <w:lang w:val="pt-BR"/>
        </w:rPr>
        <w:t xml:space="preserve"> i) </w:t>
      </w:r>
      <w:r w:rsidRPr="00187186">
        <w:rPr>
          <w:rFonts w:ascii="Cambria" w:hAnsi="Cambria"/>
          <w:sz w:val="20"/>
          <w:szCs w:val="20"/>
          <w:lang w:val="pt-BR"/>
        </w:rPr>
        <w:t>fortalecer o Programa de Proteção a Defensores de Direitos Humanos, concentrando-se na prevenção de atos de violência contra defensores e defensoras de direitos dos trabalhadores</w:t>
      </w:r>
      <w:r w:rsidR="009F3564" w:rsidRPr="00187186">
        <w:rPr>
          <w:rFonts w:ascii="Cambria" w:hAnsi="Cambria"/>
          <w:sz w:val="20"/>
          <w:szCs w:val="20"/>
          <w:lang w:val="pt-BR"/>
        </w:rPr>
        <w:t xml:space="preserve"> rurais </w:t>
      </w:r>
      <w:r w:rsidRPr="00187186">
        <w:rPr>
          <w:rFonts w:ascii="Cambria" w:hAnsi="Cambria"/>
          <w:sz w:val="20"/>
          <w:szCs w:val="20"/>
          <w:lang w:val="pt-BR"/>
        </w:rPr>
        <w:t>no Brasil;</w:t>
      </w:r>
      <w:r w:rsidR="009F3564" w:rsidRPr="00187186">
        <w:rPr>
          <w:rFonts w:ascii="Cambria" w:hAnsi="Cambria"/>
          <w:sz w:val="20"/>
          <w:szCs w:val="20"/>
          <w:lang w:val="pt-BR"/>
        </w:rPr>
        <w:t xml:space="preserve"> ii) realizar um diagnóstico</w:t>
      </w:r>
      <w:r w:rsidR="00432F54">
        <w:rPr>
          <w:rFonts w:ascii="Cambria" w:hAnsi="Cambria"/>
          <w:sz w:val="20"/>
          <w:szCs w:val="20"/>
          <w:lang w:val="pt-BR"/>
        </w:rPr>
        <w:t xml:space="preserve"> independente,</w:t>
      </w:r>
      <w:r w:rsidR="009F3564" w:rsidRPr="00187186">
        <w:rPr>
          <w:rFonts w:ascii="Cambria" w:hAnsi="Cambria"/>
          <w:sz w:val="20"/>
          <w:szCs w:val="20"/>
          <w:lang w:val="pt-BR"/>
        </w:rPr>
        <w:t xml:space="preserve"> sério e efetivo sobre a situação dos defensores e defensoras de direitos humanos no contexto dos conflitos fundiários com o intuito de adotar medidas estruturais capazes de identificar e erradicar as fontes de risco que esses defensores enfrentam</w:t>
      </w:r>
      <w:r w:rsidR="00A754FF">
        <w:rPr>
          <w:rFonts w:ascii="Cambria" w:hAnsi="Cambria"/>
          <w:sz w:val="20"/>
          <w:szCs w:val="20"/>
          <w:lang w:val="pt-BR"/>
        </w:rPr>
        <w:t>. Esse diagnóstico incluirá, entre outros aspectos, uma análise sobre a distribuição desequilibrada de terras como causa estrutural da violência</w:t>
      </w:r>
      <w:r w:rsidR="009F3564" w:rsidRPr="00187186">
        <w:rPr>
          <w:rFonts w:ascii="Cambria" w:hAnsi="Cambria"/>
          <w:sz w:val="20"/>
          <w:szCs w:val="20"/>
          <w:lang w:val="pt-BR"/>
        </w:rPr>
        <w:t xml:space="preserve">; iii) </w:t>
      </w:r>
      <w:r w:rsidRPr="00187186">
        <w:rPr>
          <w:rFonts w:ascii="Cambria" w:hAnsi="Cambria"/>
          <w:sz w:val="20"/>
          <w:szCs w:val="20"/>
          <w:lang w:val="pt-BR"/>
        </w:rPr>
        <w:t xml:space="preserve">fortalecer </w:t>
      </w:r>
      <w:r w:rsidR="009F3564" w:rsidRPr="00187186">
        <w:rPr>
          <w:rFonts w:ascii="Cambria" w:hAnsi="Cambria"/>
          <w:sz w:val="20"/>
          <w:szCs w:val="20"/>
          <w:lang w:val="pt-BR"/>
        </w:rPr>
        <w:t xml:space="preserve">a </w:t>
      </w:r>
      <w:r w:rsidRPr="00187186">
        <w:rPr>
          <w:rFonts w:ascii="Cambria" w:hAnsi="Cambria"/>
          <w:sz w:val="20"/>
          <w:szCs w:val="20"/>
          <w:lang w:val="pt-BR"/>
        </w:rPr>
        <w:t xml:space="preserve">capacidade investigativa de </w:t>
      </w:r>
      <w:r w:rsidR="009F3564" w:rsidRPr="00187186">
        <w:rPr>
          <w:rFonts w:ascii="Cambria" w:hAnsi="Cambria"/>
          <w:sz w:val="20"/>
          <w:szCs w:val="20"/>
          <w:lang w:val="pt-BR"/>
        </w:rPr>
        <w:t>crimes contra defensores de direitos humanos</w:t>
      </w:r>
      <w:r w:rsidRPr="00187186">
        <w:rPr>
          <w:rFonts w:ascii="Cambria" w:hAnsi="Cambria"/>
          <w:sz w:val="20"/>
          <w:szCs w:val="20"/>
          <w:lang w:val="pt-BR"/>
        </w:rPr>
        <w:t>, conforme os padrões desenvolvidos no presente relatório</w:t>
      </w:r>
      <w:r w:rsidR="002026AC" w:rsidRPr="00187186">
        <w:rPr>
          <w:rFonts w:ascii="Cambria" w:hAnsi="Cambria"/>
          <w:sz w:val="20"/>
          <w:szCs w:val="20"/>
          <w:lang w:val="pt-BR"/>
        </w:rPr>
        <w:t>.</w:t>
      </w:r>
    </w:p>
    <w:p w14:paraId="23CB4381" w14:textId="57BFE86C" w:rsidR="00DC4C7C" w:rsidRDefault="00DC4C7C" w:rsidP="00DC4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cs="Cambria"/>
          <w:color w:val="000000"/>
          <w:sz w:val="20"/>
          <w:szCs w:val="20"/>
          <w:u w:color="000000"/>
          <w:bdr w:val="none" w:sz="0" w:space="0" w:color="auto"/>
          <w:lang w:val="pt-BR" w:eastAsia="es-ES"/>
        </w:rPr>
      </w:pPr>
    </w:p>
    <w:p w14:paraId="2F4381FE" w14:textId="492C2A96" w:rsidR="00BA51DA" w:rsidRPr="006B490B" w:rsidRDefault="00BA51DA" w:rsidP="00BA51DA">
      <w:pPr>
        <w:ind w:firstLine="720"/>
        <w:jc w:val="both"/>
        <w:rPr>
          <w:rFonts w:ascii="Cambria" w:hAnsi="Cambria" w:cs="BookAntiqua"/>
          <w:sz w:val="20"/>
          <w:szCs w:val="20"/>
          <w:lang w:val="pt-BR"/>
        </w:rPr>
      </w:pPr>
      <w:r w:rsidRPr="006B490B">
        <w:rPr>
          <w:rFonts w:ascii="Cambria" w:hAnsi="Cambria" w:cs="BookAntiqua"/>
          <w:sz w:val="20"/>
          <w:szCs w:val="20"/>
          <w:lang w:val="pt-BR"/>
        </w:rPr>
        <w:t xml:space="preserve">Aprovado pela Commissão Interamericana de Direitos Humanos aos </w:t>
      </w:r>
      <w:r>
        <w:rPr>
          <w:rFonts w:ascii="Cambria" w:hAnsi="Cambria" w:cs="BookAntiqua"/>
          <w:sz w:val="20"/>
          <w:szCs w:val="20"/>
          <w:lang w:val="pt-BR"/>
        </w:rPr>
        <w:t>28</w:t>
      </w:r>
      <w:r w:rsidRPr="006B490B">
        <w:rPr>
          <w:rFonts w:ascii="Cambria" w:hAnsi="Cambria" w:cs="BookAntiqua"/>
          <w:sz w:val="20"/>
          <w:szCs w:val="20"/>
          <w:lang w:val="pt-BR"/>
        </w:rPr>
        <w:t xml:space="preserve"> dias do mês de </w:t>
      </w:r>
      <w:r>
        <w:rPr>
          <w:rFonts w:ascii="Cambria" w:hAnsi="Cambria" w:cs="BookAntiqua"/>
          <w:sz w:val="20"/>
          <w:szCs w:val="20"/>
          <w:lang w:val="pt-BR"/>
        </w:rPr>
        <w:t>setembro</w:t>
      </w:r>
      <w:r w:rsidRPr="006B490B">
        <w:rPr>
          <w:rFonts w:ascii="Cambria" w:hAnsi="Cambria" w:cs="BookAntiqua"/>
          <w:sz w:val="20"/>
          <w:szCs w:val="20"/>
          <w:lang w:val="pt-BR"/>
        </w:rPr>
        <w:t xml:space="preserve"> de 2019. (Assinado): </w:t>
      </w:r>
      <w:r w:rsidRPr="006B490B">
        <w:rPr>
          <w:rFonts w:ascii="Cambria" w:hAnsi="Cambria"/>
          <w:sz w:val="20"/>
          <w:szCs w:val="20"/>
          <w:lang w:val="pt-BR"/>
        </w:rPr>
        <w:t>Esmeralda E. Arosemena Bernal de Troitiño, Presidenta; Joel Hernández García, Primeiro Vice-presidente; Antonia Urrejola, Segunda Vice-presidenta; Margarette May Macaulay, Francisco José Eguigure</w:t>
      </w:r>
      <w:r>
        <w:rPr>
          <w:rFonts w:ascii="Cambria" w:hAnsi="Cambria"/>
          <w:sz w:val="20"/>
          <w:szCs w:val="20"/>
          <w:lang w:val="pt-BR"/>
        </w:rPr>
        <w:t xml:space="preserve">n Praeli e </w:t>
      </w:r>
      <w:r w:rsidRPr="006B490B">
        <w:rPr>
          <w:rFonts w:ascii="Cambria" w:hAnsi="Cambria"/>
          <w:sz w:val="20"/>
          <w:szCs w:val="20"/>
          <w:lang w:val="pt-BR"/>
        </w:rPr>
        <w:t>Luis Ernesto Vargas Silva,</w:t>
      </w:r>
      <w:r w:rsidRPr="006B490B">
        <w:rPr>
          <w:rFonts w:ascii="Cambria" w:hAnsi="Cambria" w:cs="BookAntiqua"/>
          <w:sz w:val="20"/>
          <w:szCs w:val="20"/>
          <w:lang w:val="pt-BR"/>
        </w:rPr>
        <w:t xml:space="preserve"> Membros da Comissão.</w:t>
      </w:r>
    </w:p>
    <w:p w14:paraId="4BDECAB5" w14:textId="77777777" w:rsidR="00BA51DA" w:rsidRPr="006B490B" w:rsidRDefault="00BA51DA" w:rsidP="00BA51DA">
      <w:pPr>
        <w:ind w:firstLine="720"/>
        <w:jc w:val="both"/>
        <w:rPr>
          <w:rFonts w:ascii="Cambria" w:hAnsi="Cambria" w:cs="BookAntiqua"/>
          <w:sz w:val="20"/>
          <w:szCs w:val="20"/>
          <w:lang w:val="pt-BR"/>
        </w:rPr>
      </w:pPr>
    </w:p>
    <w:p w14:paraId="3D136F00" w14:textId="47CAC6F4" w:rsidR="00BA51DA" w:rsidRDefault="00BA51DA" w:rsidP="00BA51DA">
      <w:pPr>
        <w:ind w:firstLine="720"/>
        <w:jc w:val="both"/>
        <w:rPr>
          <w:rFonts w:ascii="Cambria" w:hAnsi="Cambria" w:cs="BookAntiqua"/>
          <w:sz w:val="20"/>
          <w:szCs w:val="20"/>
          <w:lang w:val="pt-BR"/>
        </w:rPr>
      </w:pPr>
      <w:r w:rsidRPr="006B490B">
        <w:rPr>
          <w:rFonts w:ascii="Cambria" w:hAnsi="Cambria"/>
          <w:sz w:val="20"/>
          <w:szCs w:val="20"/>
          <w:lang w:val="pt-BR"/>
        </w:rPr>
        <w:t>O</w:t>
      </w:r>
      <w:r w:rsidRPr="006B490B">
        <w:rPr>
          <w:rFonts w:ascii="Cambria" w:hAnsi="Cambria" w:cs="BookAntiqua"/>
          <w:sz w:val="20"/>
          <w:szCs w:val="20"/>
          <w:lang w:val="pt-BR"/>
        </w:rPr>
        <w:t xml:space="preserve"> abaixo assinado, Paulo Abrão, </w:t>
      </w:r>
      <w:r w:rsidRPr="006B490B">
        <w:rPr>
          <w:rFonts w:ascii="Cambria" w:hAnsi="Cambria"/>
          <w:sz w:val="20"/>
          <w:lang w:val="pt-BR"/>
        </w:rPr>
        <w:t xml:space="preserve">em seu caráter de Secretário Executivo </w:t>
      </w:r>
      <w:r w:rsidRPr="006B490B">
        <w:rPr>
          <w:rFonts w:ascii="Cambria" w:hAnsi="Cambria" w:cs="BookAntiqua"/>
          <w:sz w:val="20"/>
          <w:szCs w:val="20"/>
          <w:lang w:val="pt-BR"/>
        </w:rPr>
        <w:t>da Comissão Interamericana de Direitos Humanos e em conformidade com o artigo 49 do Regulamento da Comissão, certifica que este documento é copia fiel do original depositado nos arquivos da Secretaria da CIDH.</w:t>
      </w:r>
    </w:p>
    <w:p w14:paraId="493F5AA7" w14:textId="77777777" w:rsidR="00A4289F" w:rsidRPr="006B490B" w:rsidRDefault="00A4289F" w:rsidP="00BA51DA">
      <w:pPr>
        <w:ind w:firstLine="720"/>
        <w:jc w:val="both"/>
        <w:rPr>
          <w:rFonts w:ascii="Cambria" w:hAnsi="Cambria" w:cs="BookAntiqua"/>
          <w:sz w:val="20"/>
          <w:szCs w:val="20"/>
          <w:lang w:val="pt-BR"/>
        </w:rPr>
      </w:pPr>
    </w:p>
    <w:p w14:paraId="2D962666" w14:textId="05E7FC77" w:rsidR="00BA51DA" w:rsidRPr="006B490B" w:rsidRDefault="007E7987" w:rsidP="00BA51DA">
      <w:pPr>
        <w:tabs>
          <w:tab w:val="center" w:pos="5400"/>
        </w:tabs>
        <w:suppressAutoHyphens/>
        <w:ind w:firstLine="360"/>
        <w:rPr>
          <w:rFonts w:ascii="Cambria" w:hAnsi="Cambria"/>
          <w:sz w:val="20"/>
          <w:szCs w:val="20"/>
          <w:lang w:val="pt-BR"/>
        </w:rPr>
      </w:pPr>
      <w:r w:rsidRPr="004A42FB">
        <w:rPr>
          <w:noProof/>
          <w:lang w:val="es-US"/>
        </w:rPr>
        <w:t xml:space="preserve">                                                  </w:t>
      </w:r>
      <w:r>
        <w:rPr>
          <w:noProof/>
        </w:rPr>
        <w:t xml:space="preserve">            </w:t>
      </w:r>
    </w:p>
    <w:p w14:paraId="3853F15D" w14:textId="77777777" w:rsidR="00BA51DA" w:rsidRDefault="00BA51DA" w:rsidP="00BA51DA">
      <w:pPr>
        <w:suppressAutoHyphens/>
        <w:jc w:val="center"/>
        <w:rPr>
          <w:rFonts w:ascii="Cambria" w:hAnsi="Cambria"/>
          <w:sz w:val="20"/>
          <w:lang w:val="pt-BR"/>
        </w:rPr>
      </w:pPr>
      <w:r w:rsidRPr="006B490B">
        <w:rPr>
          <w:rFonts w:ascii="Cambria" w:hAnsi="Cambria" w:cs="BookAntiqua"/>
          <w:sz w:val="20"/>
          <w:szCs w:val="20"/>
          <w:lang w:val="pt-BR"/>
        </w:rPr>
        <w:t>Paulo Abrão</w:t>
      </w:r>
    </w:p>
    <w:p w14:paraId="075F4C23" w14:textId="77777777" w:rsidR="00BA51DA" w:rsidRDefault="00BA51DA" w:rsidP="00BA51DA">
      <w:pPr>
        <w:suppressAutoHyphens/>
        <w:jc w:val="center"/>
        <w:rPr>
          <w:rFonts w:ascii="Cambria" w:hAnsi="Cambria" w:cs="BookAntiqua"/>
          <w:sz w:val="20"/>
          <w:szCs w:val="20"/>
          <w:lang w:val="pt-BR"/>
        </w:rPr>
      </w:pPr>
      <w:r w:rsidRPr="006B490B">
        <w:rPr>
          <w:rFonts w:ascii="Cambria" w:hAnsi="Cambria"/>
          <w:sz w:val="20"/>
          <w:lang w:val="pt-BR"/>
        </w:rPr>
        <w:t>Secretário Executivo</w:t>
      </w:r>
    </w:p>
    <w:p w14:paraId="78446081" w14:textId="6CEB32D0" w:rsidR="00DC4C7C" w:rsidRDefault="00DC4C7C" w:rsidP="00DC4C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cs="Cambria"/>
          <w:color w:val="000000"/>
          <w:sz w:val="20"/>
          <w:szCs w:val="20"/>
          <w:u w:color="000000"/>
          <w:bdr w:val="none" w:sz="0" w:space="0" w:color="auto"/>
          <w:lang w:val="pt-BR" w:eastAsia="es-ES"/>
        </w:rPr>
      </w:pPr>
    </w:p>
    <w:sectPr w:rsidR="00DC4C7C" w:rsidSect="007C7B7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75245" w14:textId="77777777" w:rsidR="00990C95" w:rsidRDefault="00990C95">
      <w:r>
        <w:separator/>
      </w:r>
    </w:p>
  </w:endnote>
  <w:endnote w:type="continuationSeparator" w:id="0">
    <w:p w14:paraId="12F2AD72" w14:textId="77777777" w:rsidR="00990C95" w:rsidRDefault="0099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Bold">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0705795"/>
      <w:docPartObj>
        <w:docPartGallery w:val="Page Numbers (Bottom of Page)"/>
        <w:docPartUnique/>
      </w:docPartObj>
    </w:sdtPr>
    <w:sdtEndPr>
      <w:rPr>
        <w:noProof/>
        <w:sz w:val="16"/>
      </w:rPr>
    </w:sdtEndPr>
    <w:sdtContent>
      <w:p w14:paraId="38C1E7F5" w14:textId="4B7EA27F" w:rsidR="00BA51DA" w:rsidRPr="006539EA" w:rsidRDefault="00BA51DA">
        <w:pPr>
          <w:pStyle w:val="Footer"/>
          <w:jc w:val="center"/>
          <w:rPr>
            <w:sz w:val="16"/>
          </w:rPr>
        </w:pPr>
        <w:r w:rsidRPr="006539EA">
          <w:rPr>
            <w:sz w:val="16"/>
          </w:rPr>
          <w:fldChar w:fldCharType="begin"/>
        </w:r>
        <w:r w:rsidRPr="006539EA">
          <w:rPr>
            <w:sz w:val="16"/>
          </w:rPr>
          <w:instrText xml:space="preserve"> PAGE   \* MERGEFORMAT </w:instrText>
        </w:r>
        <w:r w:rsidRPr="006539EA">
          <w:rPr>
            <w:sz w:val="16"/>
          </w:rPr>
          <w:fldChar w:fldCharType="separate"/>
        </w:r>
        <w:r w:rsidR="004A42FB">
          <w:rPr>
            <w:noProof/>
            <w:sz w:val="16"/>
          </w:rPr>
          <w:t>19</w:t>
        </w:r>
        <w:r w:rsidRPr="006539EA">
          <w:rPr>
            <w:noProof/>
            <w:sz w:val="16"/>
          </w:rPr>
          <w:fldChar w:fldCharType="end"/>
        </w:r>
      </w:p>
    </w:sdtContent>
  </w:sdt>
  <w:p w14:paraId="01EC818B" w14:textId="77777777" w:rsidR="00BA51DA" w:rsidRDefault="00BA5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8A710" w14:textId="77777777" w:rsidR="00990C95" w:rsidRPr="00416AB8" w:rsidRDefault="00990C95">
      <w:pPr>
        <w:rPr>
          <w:rFonts w:asciiTheme="majorHAnsi" w:hAnsiTheme="majorHAnsi"/>
          <w:sz w:val="16"/>
          <w:szCs w:val="16"/>
        </w:rPr>
      </w:pPr>
      <w:r w:rsidRPr="00416AB8">
        <w:rPr>
          <w:rFonts w:asciiTheme="majorHAnsi" w:hAnsiTheme="majorHAnsi"/>
          <w:sz w:val="16"/>
          <w:szCs w:val="16"/>
        </w:rPr>
        <w:separator/>
      </w:r>
    </w:p>
  </w:footnote>
  <w:footnote w:type="continuationSeparator" w:id="0">
    <w:p w14:paraId="6F1277FE" w14:textId="77777777" w:rsidR="00990C95" w:rsidRPr="00416AB8" w:rsidRDefault="00990C95" w:rsidP="00416AB8">
      <w:pPr>
        <w:rPr>
          <w:rFonts w:asciiTheme="majorHAnsi" w:hAnsiTheme="majorHAnsi"/>
          <w:sz w:val="16"/>
          <w:szCs w:val="16"/>
        </w:rPr>
      </w:pPr>
      <w:r w:rsidRPr="00416AB8">
        <w:rPr>
          <w:rFonts w:asciiTheme="majorHAnsi" w:hAnsiTheme="majorHAnsi"/>
          <w:sz w:val="16"/>
          <w:szCs w:val="16"/>
        </w:rPr>
        <w:separator/>
      </w:r>
    </w:p>
    <w:p w14:paraId="329246E8" w14:textId="77777777" w:rsidR="00990C95" w:rsidRPr="00416AB8" w:rsidRDefault="00990C95" w:rsidP="00416AB8">
      <w:pPr>
        <w:pStyle w:val="Footer"/>
        <w:rPr>
          <w:sz w:val="16"/>
          <w:szCs w:val="16"/>
        </w:rPr>
      </w:pPr>
      <w:r>
        <w:rPr>
          <w:sz w:val="16"/>
          <w:szCs w:val="16"/>
        </w:rPr>
        <w:t xml:space="preserve">[… </w:t>
      </w:r>
      <w:r w:rsidRPr="00416AB8">
        <w:rPr>
          <w:sz w:val="16"/>
          <w:szCs w:val="16"/>
        </w:rPr>
        <w:t>continuação</w:t>
      </w:r>
      <w:r>
        <w:rPr>
          <w:sz w:val="16"/>
          <w:szCs w:val="16"/>
        </w:rPr>
        <w:t>]</w:t>
      </w:r>
    </w:p>
  </w:footnote>
  <w:footnote w:type="continuationNotice" w:id="1">
    <w:p w14:paraId="77AF6612" w14:textId="77777777" w:rsidR="00990C95" w:rsidRPr="00416AB8" w:rsidRDefault="00990C95" w:rsidP="00416AB8">
      <w:pPr>
        <w:jc w:val="right"/>
        <w:rPr>
          <w:rFonts w:asciiTheme="majorHAnsi" w:hAnsiTheme="majorHAnsi"/>
          <w:sz w:val="16"/>
          <w:szCs w:val="16"/>
          <w:lang w:val="es-ES_tradnl"/>
        </w:rPr>
      </w:pPr>
      <w:r w:rsidRPr="00416AB8">
        <w:rPr>
          <w:rFonts w:asciiTheme="majorHAnsi" w:hAnsiTheme="majorHAnsi"/>
          <w:sz w:val="16"/>
          <w:szCs w:val="16"/>
          <w:lang w:val="es-ES_tradnl"/>
        </w:rPr>
        <w:t>[continua …]</w:t>
      </w:r>
    </w:p>
  </w:footnote>
  <w:footnote w:id="2">
    <w:p w14:paraId="18996F24" w14:textId="77777777" w:rsidR="00BA51DA" w:rsidRPr="00632719" w:rsidRDefault="00BA51DA" w:rsidP="00187186">
      <w:pPr>
        <w:pStyle w:val="FootnoteText"/>
        <w:tabs>
          <w:tab w:val="left" w:pos="180"/>
          <w:tab w:val="left" w:pos="360"/>
        </w:tabs>
        <w:jc w:val="both"/>
        <w:rPr>
          <w:rFonts w:asciiTheme="majorHAnsi" w:hAnsiTheme="majorHAnsi" w:cstheme="minorHAnsi"/>
          <w:sz w:val="16"/>
          <w:szCs w:val="16"/>
          <w:lang w:val="pt-BR"/>
        </w:rPr>
      </w:pPr>
      <w:r w:rsidRPr="00632719">
        <w:rPr>
          <w:rStyle w:val="FootnoteReference"/>
          <w:rFonts w:asciiTheme="majorHAnsi" w:hAnsiTheme="majorHAnsi" w:cstheme="minorHAnsi"/>
          <w:sz w:val="16"/>
          <w:szCs w:val="16"/>
          <w:lang w:val="pt-BR"/>
        </w:rPr>
        <w:footnoteRef/>
      </w:r>
      <w:r w:rsidRPr="00632719">
        <w:rPr>
          <w:rFonts w:asciiTheme="majorHAnsi" w:hAnsiTheme="majorHAnsi" w:cstheme="minorHAnsi"/>
          <w:sz w:val="16"/>
          <w:szCs w:val="16"/>
          <w:lang w:val="pt-BR"/>
        </w:rPr>
        <w:tab/>
        <w:t xml:space="preserve">Conforme o disposto no artigo 17.2 do Regulamento da Comissão, a Comissária Flavia Piovesan, de nacionalidade brasileira, não participou do debate nem da decisão do presente caso. </w:t>
      </w:r>
    </w:p>
  </w:footnote>
  <w:footnote w:id="3">
    <w:p w14:paraId="3E1BC1A9" w14:textId="76A684A1" w:rsidR="00BA51DA" w:rsidRPr="00632719" w:rsidRDefault="00BA51DA" w:rsidP="00E00BF3">
      <w:pPr>
        <w:pStyle w:val="FootnoteText"/>
        <w:tabs>
          <w:tab w:val="left" w:pos="180"/>
          <w:tab w:val="left" w:pos="360"/>
        </w:tabs>
        <w:jc w:val="both"/>
        <w:rPr>
          <w:rFonts w:asciiTheme="majorHAnsi" w:hAnsiTheme="majorHAnsi" w:cstheme="minorHAnsi"/>
          <w:sz w:val="16"/>
          <w:szCs w:val="16"/>
          <w:lang w:val="pt-BR"/>
        </w:rPr>
      </w:pPr>
      <w:r w:rsidRPr="00632719">
        <w:rPr>
          <w:rStyle w:val="FootnoteReference"/>
          <w:rFonts w:asciiTheme="majorHAnsi" w:hAnsiTheme="majorHAnsi" w:cstheme="minorHAnsi"/>
          <w:sz w:val="16"/>
          <w:szCs w:val="16"/>
          <w:lang w:val="pt-BR"/>
        </w:rPr>
        <w:footnoteRef/>
      </w:r>
      <w:r w:rsidRPr="00632719">
        <w:rPr>
          <w:rFonts w:asciiTheme="majorHAnsi" w:hAnsiTheme="majorHAnsi" w:cstheme="minorHAnsi"/>
          <w:sz w:val="16"/>
          <w:szCs w:val="16"/>
          <w:lang w:val="pt-BR"/>
        </w:rPr>
        <w:tab/>
      </w:r>
      <w:r>
        <w:rPr>
          <w:rFonts w:asciiTheme="majorHAnsi" w:hAnsiTheme="majorHAnsi" w:cstheme="minorHAnsi"/>
          <w:sz w:val="16"/>
          <w:szCs w:val="16"/>
          <w:lang w:val="pt-BR"/>
        </w:rPr>
        <w:t xml:space="preserve">A </w:t>
      </w:r>
      <w:r w:rsidRPr="00E00BF3">
        <w:rPr>
          <w:rFonts w:asciiTheme="majorHAnsi" w:hAnsiTheme="majorHAnsi" w:cstheme="minorHAnsi"/>
          <w:sz w:val="16"/>
          <w:szCs w:val="16"/>
          <w:lang w:val="pt-BR"/>
        </w:rPr>
        <w:t>Comissão decidiu declarar admissível o caso com relação aos artigos I, XVIII e XXII da Declaração Americana, bem como aos artigos 8.1 e 25 da Convenção Americana em conexão com a obrigação geral estabelecida no artigo 1.1 do mesmo instrumento internacional.</w:t>
      </w:r>
      <w:r w:rsidRPr="00E00BF3">
        <w:rPr>
          <w:rFonts w:asciiTheme="majorHAnsi" w:hAnsiTheme="majorHAnsi" w:cstheme="minorHAnsi"/>
          <w:i/>
          <w:iCs/>
          <w:sz w:val="16"/>
          <w:szCs w:val="16"/>
          <w:lang w:val="pt-BR"/>
        </w:rPr>
        <w:t> </w:t>
      </w:r>
      <w:r>
        <w:rPr>
          <w:rFonts w:asciiTheme="majorHAnsi" w:hAnsiTheme="majorHAnsi" w:cstheme="minorHAnsi"/>
          <w:sz w:val="16"/>
          <w:szCs w:val="16"/>
          <w:lang w:val="pt-BR"/>
        </w:rPr>
        <w:t>Cf. CIDH, Relatório No. 73/08, Petição 1236-06, Admissibilidade, Gabriel Sales Pimenta v. Brasil, 17 de outubro de 2008.</w:t>
      </w:r>
    </w:p>
  </w:footnote>
  <w:footnote w:id="4">
    <w:p w14:paraId="68DBCCA4"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CIDH, Relatório sobre a Situação dos Direitos Humanos no Brasil, OEA/Ser.L/V/II.97, Doc. 29 rev.1, 29 de setembro de 1997 (Capítulo VII: A propriedade de terras rurais e os direitos humanos dos trabalhadores rurais). A ONU também notou que a situação agrária brasileira tem se caracterizado nas últimas décadas por uma alta concentração da terra e uma crescente mobilização de setores sociais que buscam melhor distribuição das propriedades agrárias. A pressão social pela implementação de um processo de reforma agrária provocou reações violentas por parte de setores latifundiários que, salientou o Relator Especial Miloon Kothari, contaram com a aquiescência e a conivência de funcionários locais. Cf. ONU, Comissão de Direitos Humanos, Relatório apresentado pelo Relator Especial sobre habitação adequada, como parte do direito a um padrão de vida adequado, Miloon Kothari, Missão ao Brasil, Doc. E/CN.4/2005/48/Add.3; 18 de fevereiro de 2004, par. 37 e seguintes.</w:t>
      </w:r>
    </w:p>
  </w:footnote>
  <w:footnote w:id="5">
    <w:p w14:paraId="5346951B"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CIDH, </w:t>
      </w:r>
      <w:hyperlink r:id="rId1" w:history="1">
        <w:r w:rsidRPr="00632719">
          <w:rPr>
            <w:rStyle w:val="Hyperlink"/>
            <w:rFonts w:asciiTheme="majorHAnsi" w:hAnsiTheme="majorHAnsi"/>
            <w:sz w:val="16"/>
            <w:szCs w:val="16"/>
            <w:lang w:val="pt-BR"/>
          </w:rPr>
          <w:t>Relatório No. 25/09</w:t>
        </w:r>
      </w:hyperlink>
      <w:r w:rsidRPr="00632719">
        <w:rPr>
          <w:rFonts w:asciiTheme="majorHAnsi" w:hAnsiTheme="majorHAnsi"/>
          <w:sz w:val="16"/>
          <w:szCs w:val="16"/>
          <w:lang w:val="pt-BR"/>
        </w:rPr>
        <w:t xml:space="preserve"> (Admissibilidade e Mérito), Caso 12.310, Sebastião Camargo Filho (Brasil), 19 de março de 2009, paras. 44, 45, 46, 48.</w:t>
      </w:r>
    </w:p>
  </w:footnote>
  <w:footnote w:id="6">
    <w:p w14:paraId="55D30B5E"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ONU, Comissão de Direitos Humanos, Relatório especial sobre a missão ao Brasil da Relatora Especial sobre Execuções Extrajudiciais, Sumárias ou Arbitrárias, Asma Jahanguir, Doc. E/CN.4/2004/7/Add.3, página 18; CIDH, </w:t>
      </w:r>
      <w:hyperlink r:id="rId2" w:history="1">
        <w:r w:rsidRPr="00632719">
          <w:rPr>
            <w:rStyle w:val="Hyperlink"/>
            <w:rFonts w:asciiTheme="majorHAnsi" w:hAnsiTheme="majorHAnsi"/>
            <w:sz w:val="16"/>
            <w:szCs w:val="16"/>
            <w:lang w:val="pt-BR"/>
          </w:rPr>
          <w:t>Relatório No. 25/09</w:t>
        </w:r>
      </w:hyperlink>
      <w:r w:rsidRPr="00632719">
        <w:rPr>
          <w:rFonts w:asciiTheme="majorHAnsi" w:hAnsiTheme="majorHAnsi"/>
          <w:sz w:val="16"/>
          <w:szCs w:val="16"/>
          <w:lang w:val="pt-BR"/>
        </w:rPr>
        <w:t xml:space="preserve"> (Admissibilidade e Mérito), Caso 12.310, Sebastião Camargo Filho (Brasil), 19 de março de 2009, para. 48.</w:t>
      </w:r>
    </w:p>
  </w:footnote>
  <w:footnote w:id="7">
    <w:p w14:paraId="1C67F7D5"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ONU, Comissão de Direitos Humanos, Relatório especial sobre a missão ao Brasil do Relator Especial sobre a Independência dos Magistrados e Advogados, Leandro Despouy, Doc. E/CN.4/2005/60/Add.3, página 13; CIDH, </w:t>
      </w:r>
      <w:hyperlink r:id="rId3" w:history="1">
        <w:r w:rsidRPr="00632719">
          <w:rPr>
            <w:rStyle w:val="Hyperlink"/>
            <w:rFonts w:asciiTheme="majorHAnsi" w:hAnsiTheme="majorHAnsi"/>
            <w:sz w:val="16"/>
            <w:szCs w:val="16"/>
            <w:lang w:val="pt-BR"/>
          </w:rPr>
          <w:t>Relatório No. 25/09</w:t>
        </w:r>
      </w:hyperlink>
      <w:r w:rsidRPr="00632719">
        <w:rPr>
          <w:rFonts w:asciiTheme="majorHAnsi" w:hAnsiTheme="majorHAnsi"/>
          <w:sz w:val="16"/>
          <w:szCs w:val="16"/>
          <w:lang w:val="pt-BR"/>
        </w:rPr>
        <w:t xml:space="preserve"> (Admissibilidade e Mérito), Caso 12.310, Sebastião Camargo Filho (Brasil), 19 de março de 2009, para. 49.</w:t>
      </w:r>
    </w:p>
  </w:footnote>
  <w:footnote w:id="8">
    <w:p w14:paraId="5B9B6252"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CIDH, </w:t>
      </w:r>
      <w:hyperlink r:id="rId4" w:history="1">
        <w:r w:rsidRPr="00632719">
          <w:rPr>
            <w:rStyle w:val="Hyperlink"/>
            <w:rFonts w:asciiTheme="majorHAnsi" w:hAnsiTheme="majorHAnsi"/>
            <w:sz w:val="16"/>
            <w:szCs w:val="16"/>
            <w:lang w:val="pt-BR"/>
          </w:rPr>
          <w:t>Relatório No. 25/09</w:t>
        </w:r>
      </w:hyperlink>
      <w:r w:rsidRPr="00632719">
        <w:rPr>
          <w:rFonts w:asciiTheme="majorHAnsi" w:hAnsiTheme="majorHAnsi"/>
          <w:sz w:val="16"/>
          <w:szCs w:val="16"/>
          <w:lang w:val="pt-BR"/>
        </w:rPr>
        <w:t xml:space="preserve"> (Admissibilidade e Mérito), Caso 12.310, Sebastião Camargo Filho (Brasil), 19 de março de 2009, paras. 125, 13 (“[O] camponês Sebastião Camargo Filho, de 65 anos de idade, trabalhador rural afro-descendente, pai de dois filhos, sofria de um problema cervical que o impedia de permanecer agachado com a cabeça voltada para baixo. Um homem encapuzado que comandava a operação, ao ver que Sebastião Camargo Filho não cumpria sua ordem, apontou uma escopeta calibre 12 em direção a sua nuca e disparou contra ele a menos de um metro de distância”).</w:t>
      </w:r>
    </w:p>
  </w:footnote>
  <w:footnote w:id="9">
    <w:p w14:paraId="7317C99D"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CIDH, Relatório nº 32/04 (Mérito), Caso 11.556, Corumbiara (Brasil), 11 de março de 2004.</w:t>
      </w:r>
    </w:p>
  </w:footnote>
  <w:footnote w:id="10">
    <w:p w14:paraId="729E8677"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CIDH, Relatório nº 24/98 (Mérito), Caso 11.287, João Canuto de Oliveira (Brasil), 7 de abril de 1998.</w:t>
      </w:r>
    </w:p>
  </w:footnote>
  <w:footnote w:id="11">
    <w:p w14:paraId="46997BF1" w14:textId="77777777" w:rsidR="00BA51DA" w:rsidRPr="00632719" w:rsidRDefault="00BA51DA" w:rsidP="00E00B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Cambria-Bold"/>
          <w:bCs/>
          <w:sz w:val="16"/>
          <w:szCs w:val="16"/>
          <w:lang w:val="pt-BR" w:eastAsia="es-ES"/>
        </w:rPr>
      </w:pPr>
      <w:r w:rsidRPr="00632719">
        <w:rPr>
          <w:rStyle w:val="FootnoteReference"/>
          <w:rFonts w:asciiTheme="majorHAnsi" w:hAnsiTheme="majorHAnsi"/>
          <w:sz w:val="16"/>
          <w:szCs w:val="16"/>
          <w:lang w:val="pt-BR"/>
        </w:rPr>
        <w:footnoteRef/>
      </w:r>
      <w:r w:rsidRPr="00632719">
        <w:rPr>
          <w:rFonts w:asciiTheme="majorHAnsi" w:hAnsiTheme="majorHAnsi"/>
          <w:sz w:val="16"/>
          <w:szCs w:val="16"/>
          <w:lang w:val="pt-BR"/>
        </w:rPr>
        <w:t xml:space="preserve"> </w:t>
      </w:r>
      <w:r w:rsidRPr="00632719">
        <w:rPr>
          <w:rFonts w:asciiTheme="majorHAnsi" w:hAnsiTheme="majorHAnsi" w:cs="Cambria-Bold"/>
          <w:bCs/>
          <w:sz w:val="16"/>
          <w:szCs w:val="16"/>
          <w:lang w:val="pt-BR" w:eastAsia="es-ES"/>
        </w:rPr>
        <w:t>Secretaria de Direitos Humanos da Presidência da República,</w:t>
      </w:r>
      <w:r w:rsidRPr="00632719">
        <w:rPr>
          <w:rFonts w:asciiTheme="majorHAnsi" w:hAnsiTheme="majorHAnsi" w:cs="Cambria-Bold"/>
          <w:bCs/>
          <w:sz w:val="16"/>
          <w:szCs w:val="16"/>
          <w:lang w:val="pt-BR"/>
        </w:rPr>
        <w:t xml:space="preserve"> </w:t>
      </w:r>
      <w:r w:rsidRPr="00632719">
        <w:rPr>
          <w:rFonts w:asciiTheme="majorHAnsi" w:hAnsiTheme="majorHAnsi" w:cs="Cambria-Bold"/>
          <w:bCs/>
          <w:sz w:val="16"/>
          <w:szCs w:val="16"/>
          <w:lang w:val="pt-BR" w:eastAsia="es-ES"/>
        </w:rPr>
        <w:t>Projeto Direito à Memória e à Verdade</w:t>
      </w:r>
      <w:r w:rsidRPr="00632719">
        <w:rPr>
          <w:rFonts w:asciiTheme="majorHAnsi" w:hAnsiTheme="majorHAnsi" w:cs="Cambria-Bold"/>
          <w:bCs/>
          <w:sz w:val="16"/>
          <w:szCs w:val="16"/>
          <w:lang w:val="pt-BR"/>
        </w:rPr>
        <w:t xml:space="preserve">, </w:t>
      </w:r>
      <w:r w:rsidRPr="00632719">
        <w:rPr>
          <w:rFonts w:asciiTheme="majorHAnsi" w:hAnsiTheme="majorHAnsi" w:cs="Cambria-Bold"/>
          <w:bCs/>
          <w:sz w:val="16"/>
          <w:szCs w:val="16"/>
          <w:lang w:val="pt-BR" w:eastAsia="es-ES"/>
        </w:rPr>
        <w:t>Camponeses Mortos e Desaparecidos: Excluídos da Justiça de Transição</w:t>
      </w:r>
      <w:r w:rsidRPr="00632719">
        <w:rPr>
          <w:rFonts w:asciiTheme="majorHAnsi" w:hAnsiTheme="majorHAnsi" w:cs="Cambria-Bold"/>
          <w:bCs/>
          <w:sz w:val="16"/>
          <w:szCs w:val="16"/>
          <w:lang w:val="pt-BR"/>
        </w:rPr>
        <w:t xml:space="preserve">, 2013, </w:t>
      </w:r>
      <w:r w:rsidRPr="00632719">
        <w:rPr>
          <w:rFonts w:asciiTheme="majorHAnsi" w:hAnsiTheme="majorHAnsi"/>
          <w:sz w:val="16"/>
          <w:szCs w:val="16"/>
          <w:lang w:val="pt-BR"/>
        </w:rPr>
        <w:t>p. 85, 58-66.</w:t>
      </w:r>
    </w:p>
  </w:footnote>
  <w:footnote w:id="12">
    <w:p w14:paraId="09349802" w14:textId="77777777" w:rsidR="00BA51DA" w:rsidRPr="00632719" w:rsidRDefault="00BA51DA" w:rsidP="00E00BF3">
      <w:pPr>
        <w:pStyle w:val="FootnoteText"/>
        <w:jc w:val="both"/>
        <w:rPr>
          <w:rFonts w:asciiTheme="majorHAnsi" w:hAnsiTheme="majorHAnsi"/>
          <w:b/>
          <w:sz w:val="16"/>
          <w:szCs w:val="16"/>
          <w:lang w:val="pt-BR"/>
        </w:rPr>
      </w:pPr>
      <w:r w:rsidRPr="00632719">
        <w:rPr>
          <w:rStyle w:val="FootnoteReference"/>
          <w:rFonts w:asciiTheme="majorHAnsi" w:hAnsiTheme="majorHAnsi"/>
          <w:sz w:val="16"/>
          <w:szCs w:val="16"/>
          <w:lang w:val="pt-BR"/>
        </w:rPr>
        <w:footnoteRef/>
      </w:r>
      <w:r w:rsidRPr="00632719">
        <w:rPr>
          <w:rFonts w:asciiTheme="majorHAnsi" w:hAnsiTheme="majorHAnsi"/>
          <w:sz w:val="16"/>
          <w:szCs w:val="16"/>
          <w:lang w:val="pt-BR"/>
        </w:rPr>
        <w:t xml:space="preserve"> Artigo publicado em Cnv.gov.br, </w:t>
      </w:r>
      <w:hyperlink r:id="rId5" w:history="1">
        <w:r w:rsidRPr="00632719">
          <w:rPr>
            <w:rStyle w:val="Hyperlink"/>
            <w:rFonts w:asciiTheme="majorHAnsi" w:hAnsiTheme="majorHAnsi"/>
            <w:sz w:val="16"/>
            <w:szCs w:val="16"/>
            <w:lang w:val="pt-BR"/>
          </w:rPr>
          <w:t>Comissão Nacional da Verdade recebe membros da Comissão Camponesa da Verdad</w:t>
        </w:r>
      </w:hyperlink>
      <w:r w:rsidRPr="00632719">
        <w:rPr>
          <w:rStyle w:val="Hyperlink"/>
          <w:rFonts w:asciiTheme="majorHAnsi" w:hAnsiTheme="majorHAnsi"/>
          <w:sz w:val="16"/>
          <w:szCs w:val="16"/>
          <w:lang w:val="pt-BR"/>
        </w:rPr>
        <w:t>e</w:t>
      </w:r>
      <w:r w:rsidRPr="00632719">
        <w:rPr>
          <w:rFonts w:asciiTheme="majorHAnsi" w:hAnsiTheme="majorHAnsi"/>
          <w:sz w:val="16"/>
          <w:szCs w:val="16"/>
          <w:lang w:val="pt-BR"/>
        </w:rPr>
        <w:t>, 20 de novembro de 2012.</w:t>
      </w:r>
    </w:p>
  </w:footnote>
  <w:footnote w:id="13">
    <w:p w14:paraId="41B834D5"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lang w:val="pt-BR"/>
        </w:rPr>
        <w:footnoteRef/>
      </w:r>
      <w:r w:rsidRPr="00632719">
        <w:rPr>
          <w:rFonts w:asciiTheme="majorHAnsi" w:hAnsiTheme="majorHAnsi"/>
          <w:sz w:val="16"/>
          <w:szCs w:val="16"/>
          <w:lang w:val="pt-BR"/>
        </w:rPr>
        <w:t xml:space="preserve"> Comissão Camponesa da Verdade, Relatório Final, Violações de Direitos no Campo 1946-1988, dezembro de 2014, p.9, 210, 215-220. </w:t>
      </w:r>
    </w:p>
  </w:footnote>
  <w:footnote w:id="14">
    <w:p w14:paraId="686CC4BB"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Em julho de 1982, cerca de 158 trabalhadores rurais posseiros e seus familiares moravam no local. Cf. Escrito da parte peticionária de 27 de abril de 2018. </w:t>
      </w:r>
    </w:p>
    <w:p w14:paraId="2FC416C5" w14:textId="77777777" w:rsidR="00BA51DA" w:rsidRPr="00632719" w:rsidRDefault="00BA51DA" w:rsidP="00E00BF3">
      <w:pPr>
        <w:pStyle w:val="FootnoteText"/>
        <w:jc w:val="both"/>
        <w:rPr>
          <w:rFonts w:asciiTheme="majorHAnsi" w:hAnsiTheme="majorHAnsi"/>
          <w:sz w:val="16"/>
          <w:szCs w:val="16"/>
          <w:lang w:val="pt-BR"/>
        </w:rPr>
      </w:pPr>
      <w:r w:rsidRPr="00632719">
        <w:rPr>
          <w:rFonts w:asciiTheme="majorHAnsi" w:hAnsiTheme="majorHAnsi"/>
          <w:sz w:val="16"/>
          <w:szCs w:val="16"/>
          <w:lang w:val="pt-BR"/>
        </w:rPr>
        <w:t>Antônio Francisco da Silva afirmou que morava em Pau Seco desde 1974. O posseiro José Ribamar Nonato de Souza declarou que tinha estado em Pau Seco desde 1978. Cf. Anexo II.6. Termo de Declaração de Antônio Francisco da Silva de 19 de julho de 1982. Petição inicial de 8 de novembro de 2006; Anexo I.9. Termo de Declaração de José Ribamar Nonato de Souza de 24 do outubro de 1981. Petição inicial de 8 de novembro de 2006.</w:t>
      </w:r>
    </w:p>
  </w:footnote>
  <w:footnote w:id="15">
    <w:p w14:paraId="10AA5F6F"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Cf. Anexo II.6. Termo de Declaração de Antônio Francisco da Silva de 19 de julho de 1982. Petição inicial de 8 de novembro de 2006; Anexo I.9. Termo de Declaração de José Ribamar Nonato de Souza de 24 do outubro de 1981. Petição inicial de 8 de novembro de 2006 (José declarou que: tinha estado em Pau Seco desde 1978; segundo lhe constava, a terra era devoluta; em 1980, Manoel Cardoso Neto apareceu no local, afirmou ser proprietário da área e iniciou a exploração da mesma.).</w:t>
      </w:r>
    </w:p>
  </w:footnote>
  <w:footnote w:id="16">
    <w:p w14:paraId="731BCCF5"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I.9. Termo de Declaração de José Ribamar Nonato de Souza de 24 do outubro de 1981. Petição inicial de 8 de novembro de 2006; Anexo II.19. Termo de Declaração de Termo de Declarações de Manoel Cardoso Neto de 20 de julho de 1982. Petição inicial de 8 de novembro de 2006.</w:t>
      </w:r>
    </w:p>
  </w:footnote>
  <w:footnote w:id="17">
    <w:p w14:paraId="0C92D695"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I.10. Despacho da Juíza Ruth Nazare Couto Gurjão de 9 de outubro de 1981. Petição inicial de 8 de novembro de 2006; Anexo II.6. Termo de Declaração de Antônio Francisco da Silva de 19 de julho de 1982. Petição inicial de 8 de novembro de 2006.</w:t>
      </w:r>
    </w:p>
  </w:footnote>
  <w:footnote w:id="18">
    <w:p w14:paraId="783EC41A"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04. Termo de Declaração de Juarez Francisco Xavier nos autos da Ação de Reintegração de Posse de Pau Seco de 9 de novembro de 1981. Escrito da parte peticionária de 27 de abril de 2018; Anexo 05. Revista IstoÉ, “Morte anunciada”, 28 de julho de 1982. Escrito da parte peticionária de 27 de abril de 2018 (“o despejo foi feito com tal violência que a filha de um dos posseiros morreu pisoteada”); Anexo 27. Ronaldo Barata, Inventário da Violência no Campo: crime e impunidade no campo paraense (1980-1989), CEJUP, Belém, 1995, Episódio nº 32.81: Bispo de Marabá relata violência contra posseiros (Jornal O Estado de S. Paulo), página 117. Escrito da parte peticionária de 27 de abril de 2018.</w:t>
      </w:r>
    </w:p>
  </w:footnote>
  <w:footnote w:id="19">
    <w:p w14:paraId="1AF61F92"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02. Tribunal de Justiça do Estado do Pará, Processo n. 0007348-91.2007.814.0028, Depoimento de José Batista Gonçalves Afonso. Escrito da parte peticionária de 27 de abril de 2018; Anexo I.18. Ofício da Associação Nacional dos Advogados dos Trabalhadores na Agricultura - ANATAG/15/82 de 21 de julho de 1982. Petição inicial de 8 de novembro de 2006.</w:t>
      </w:r>
    </w:p>
  </w:footnote>
  <w:footnote w:id="20">
    <w:p w14:paraId="6F25DCE8"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03. Jornal Opinião, “Marabá tem a marca de Gabriel”, 23 e 24 de julho de 1998. Escrito da parte peticionária de 27 de abril de 2018; Anexo II.6. Termo de Declaração de Antônio Francisco da Silva de 19 de julho de 1982. Petição inicial de 8 de novembro de 2006.</w:t>
      </w:r>
    </w:p>
  </w:footnote>
  <w:footnote w:id="21">
    <w:p w14:paraId="1A98AB51"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I.11. Mandado de segurança de 20 de novembro de 1981. Petição inicial de 8 de novembro de 2006.</w:t>
      </w:r>
    </w:p>
  </w:footnote>
  <w:footnote w:id="22">
    <w:p w14:paraId="6DF0FFCA"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II.6. Termo de Declaração de Antônio Francisco da Silva de 19 de julho de 1982. Petição inicial de 8 de novembro de 2006.</w:t>
      </w:r>
    </w:p>
  </w:footnote>
  <w:footnote w:id="23">
    <w:p w14:paraId="5191DF85"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I.12. Portaria da Delegacia de Polícia de Marabá de 9 de novembro de 1991. Petição inicial de 8 de novembro de 2006.</w:t>
      </w:r>
    </w:p>
  </w:footnote>
  <w:footnote w:id="24">
    <w:p w14:paraId="6438C3F6"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II.5. Termo de Declaração de Risomar Daniel Castro de 21 de julho de 1982. Petição inicial de 8 de novembro de 2006.</w:t>
      </w:r>
    </w:p>
  </w:footnote>
  <w:footnote w:id="25">
    <w:p w14:paraId="70C29B9E"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I.13. A Província do Pará, “Advogado Morto por Encomenda”, 20 de julho de 1982. Petição inicial de 8 de novembro de 2006.</w:t>
      </w:r>
    </w:p>
  </w:footnote>
  <w:footnote w:id="26">
    <w:p w14:paraId="74D8E1C6"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I.13. A Província do Pará, “Advogado Morto por Encomenda”, 20 de julho de 1982. Petição inicial de 8 de novembro de 2006.</w:t>
      </w:r>
    </w:p>
  </w:footnote>
  <w:footnote w:id="27">
    <w:p w14:paraId="3F5A5FFE"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27. Ronaldo Barata, Inventário da Violência no Campo: crime e impunidade no campo paraense (1980-1989), CEJUP, Belém, 1995, Episódio nº 20.82: Presidente do STR de Marabá está ameaçado de morte (Fonte, Jornal A Província do Pará), página 139. Escrito da parte peticionária de 27 de abril de 2018.</w:t>
      </w:r>
    </w:p>
  </w:footnote>
  <w:footnote w:id="28">
    <w:p w14:paraId="09215EE1"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II.6. Termo de Declaração de Antônio Francisco da Silva de 19 de julho de 1982. Petição inicial de 8 de novembro de 2006 (relatando que José Pereira da Nóbrega fazia gestos de quem queria tirar uma arma e dizia que iria adentrar na casa em que Antônio Francisco estava para quebrar sua cabeça).</w:t>
      </w:r>
    </w:p>
  </w:footnote>
  <w:footnote w:id="29">
    <w:p w14:paraId="60419BC7"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II.6. Termo de Declaração de Antônio Francisco da Silva de 19 de julho de 1982. Petição inicial de 8 de novembro de 2006 (relatando que, em maio de 1982, contratou um trabalhador, e quando este estava fazendo seu serviço, foi procurado por desconhecidos armados com facas, revólveres 38, uma Espingarda calibre 20 e uma arma de repetição. Esses desconhecidos teriam dito que dentro de um ano ou dois matariam Antônio).</w:t>
      </w:r>
    </w:p>
  </w:footnote>
  <w:footnote w:id="30">
    <w:p w14:paraId="50020A6B"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Segundo relatos, Erondino Alves de Souza, lavrador de Pau Seco, teria sido assassinado por tiros ao ser confundido com Antônio Francisco da Silva, e os responsáveis teriam sido Manoel Cardoso Neto e José Pereira da Nóbrega. Cf. Anexo II.6. Termo de Declaração de Antônio Francisco da Silva de 19 de julho de 1982. Petição inicial de 8 de novembro de 2006; Anexo 27. Ronaldo Barata, Inventário da Violência no Campo: crime e impunidade no campo paraense (1980-1989), CEJUP, Belém, 1995, Episódio nº 6.82: Posseiro é morto por engano (Fonte, Jornal O Grito PA-150), página 125. Escrito da parte peticionária de 27 de abril de 2018.</w:t>
      </w:r>
    </w:p>
  </w:footnote>
  <w:footnote w:id="31">
    <w:p w14:paraId="79567EA3"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I.14. Ameaça contra Antônio Francisco e João Grandi (Manuscrito) de 5 de julho de 1982. Petição inicial de 8 de novembro de 2006; Anexo II.6. Termo de Declaração de Antônio Francisco da Silva de 19 de julho de 1982. Petição inicial de 8 de novembro de 2006.</w:t>
      </w:r>
    </w:p>
  </w:footnote>
  <w:footnote w:id="32">
    <w:p w14:paraId="06453645"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II.5. Termo de Declaração de Risomar Daniel Castro de 21 de julho de 1982. Petição inicial de 8 de novembro de 2006; Anexo II.6. Termo de Declaração de Antonio Francisco da Silva de 19 de julho de 1982. Petição inicial de 8 de novembro de 2006.</w:t>
      </w:r>
    </w:p>
  </w:footnote>
  <w:footnote w:id="33">
    <w:p w14:paraId="283F9CB5"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II.5. Termo de Declaração de Risomar Daniel Castro de 21 de julho de 1982. Petição inicial de 8 de novembro de 2006; Anexo II.6. Termo de Declaração de Antonio Francisco da Silva de 19 de julho de 1982. Petição inicial de 8 de novembro de 2006.</w:t>
      </w:r>
    </w:p>
  </w:footnote>
  <w:footnote w:id="34">
    <w:p w14:paraId="2B6B829A"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II.6. Termo de Declaração de Antônio Francisco da Silva de 19 de julho de 1982. Petição inicial de 8 de novembro de 2006.</w:t>
      </w:r>
    </w:p>
  </w:footnote>
  <w:footnote w:id="35">
    <w:p w14:paraId="567E2649"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II.7. Termo de Declaração de João Martins dos Santos de 19 de julho de 1982. Petição inicial de 8 de novembro de 2006; Anexo II.8. Termo de Declaração de Juarez Francisco Xavier de 19 de julho de 1982. Petição inicial de 8 de novembro de 2006.</w:t>
      </w:r>
    </w:p>
  </w:footnote>
  <w:footnote w:id="36">
    <w:p w14:paraId="408F9E47"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II.8. Termo de Declaração de Juarez Francisco Xavier de 19 de julho de 1982. Petição inicial de 8 de novembro de 2006.</w:t>
      </w:r>
    </w:p>
  </w:footnote>
  <w:footnote w:id="37">
    <w:p w14:paraId="60B7E8E0"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II.6. Termo de Declaração de Antonio Francisco da Silva de 19 de julho de 1982. Petição inicial de 8 de novembro de 2006.</w:t>
      </w:r>
    </w:p>
  </w:footnote>
  <w:footnote w:id="38">
    <w:p w14:paraId="0A6DC679"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II.7. Termo de Declaração de João Martins dos Santos de 19 de julho de 1982. Petição inicial de 8 de novembro de 2006; Anexo II.8. Termo de Declaração de Juarez Francisco Xavier de 19 de julho de 1982. Petição inicial de 8 de novembro de 2006.</w:t>
      </w:r>
    </w:p>
  </w:footnote>
  <w:footnote w:id="39">
    <w:p w14:paraId="3063D56B"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II.23. Termo de Declaração de Etelvina Honorata de Paulo de 21 de julho de 1982. Petição inicial de 8 de novembro de 2006; Anexo II.1. Solicitação, pela polícia, de custódia preventiva do Manoel Cardoso Neto e José Pereira da Nóbrega de 22 de julho de 1982. Petição inicial de 8 de novembro de 2006.</w:t>
      </w:r>
    </w:p>
  </w:footnote>
  <w:footnote w:id="40">
    <w:p w14:paraId="00FF2BF6"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II.23. Termo de Declaração de Etelvina Honorata de Paulo de 21 de julho de 1982. Petição inicial de 8 de novembro de 2006.</w:t>
      </w:r>
    </w:p>
  </w:footnote>
  <w:footnote w:id="41">
    <w:p w14:paraId="584637C9"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II.2. Termo de Declaração de Edson Rodrigues dos Santos de 21 de julho de 1982. Petição inicial de 8 de novembro de 2006.</w:t>
      </w:r>
    </w:p>
  </w:footnote>
  <w:footnote w:id="42">
    <w:p w14:paraId="684018E8"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02. Tribunal de Justiça do Estado do Pará, Processo n. 0007348-91.2007.814.0028, Depoimento das testemunhas, Rizomar Daniel Castro e José Batista Gonçalves Afonso, p. 5-6. Escrito da parte peticionária de 27 de abril de 2018.</w:t>
      </w:r>
    </w:p>
  </w:footnote>
  <w:footnote w:id="43">
    <w:p w14:paraId="521E2F9B" w14:textId="53B46C19" w:rsidR="00BA51DA" w:rsidRPr="00632719" w:rsidRDefault="00BA51DA" w:rsidP="002026AC">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0</w:t>
      </w:r>
      <w:r>
        <w:rPr>
          <w:rFonts w:asciiTheme="majorHAnsi" w:hAnsiTheme="majorHAnsi"/>
          <w:sz w:val="16"/>
          <w:szCs w:val="16"/>
          <w:lang w:val="pt-BR"/>
        </w:rPr>
        <w:t>1</w:t>
      </w:r>
      <w:r w:rsidRPr="00632719">
        <w:rPr>
          <w:rFonts w:asciiTheme="majorHAnsi" w:hAnsiTheme="majorHAnsi"/>
          <w:sz w:val="16"/>
          <w:szCs w:val="16"/>
          <w:lang w:val="pt-BR"/>
        </w:rPr>
        <w:t xml:space="preserve">. Escrito </w:t>
      </w:r>
      <w:r>
        <w:rPr>
          <w:rFonts w:asciiTheme="majorHAnsi" w:hAnsiTheme="majorHAnsi"/>
          <w:sz w:val="16"/>
          <w:szCs w:val="16"/>
          <w:lang w:val="pt-BR"/>
        </w:rPr>
        <w:t>do Estado de 20 de dezembro</w:t>
      </w:r>
      <w:r w:rsidRPr="00632719">
        <w:rPr>
          <w:rFonts w:asciiTheme="majorHAnsi" w:hAnsiTheme="majorHAnsi"/>
          <w:sz w:val="16"/>
          <w:szCs w:val="16"/>
          <w:lang w:val="pt-BR"/>
        </w:rPr>
        <w:t xml:space="preserve"> de 2018.</w:t>
      </w:r>
    </w:p>
  </w:footnote>
  <w:footnote w:id="44">
    <w:p w14:paraId="09927958"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02. Tribunal de Justiça do Estado do Pará, Processo n. 0007348-91.2007.814.0028, Termo de Audiência de Instrução e Julgamento, 24 de março de 2011, Depoimento das testemunhas, Advogado da Demandante, p. 5-6. Escrito da parte peticionária de 27 de abril de 2018.</w:t>
      </w:r>
    </w:p>
  </w:footnote>
  <w:footnote w:id="45">
    <w:p w14:paraId="5345EC86"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02. Tribunal de Justiça do Estado do Pará, Processo n. 0007348-91.2007.814.0028, Termo de Audiência de Instrução e Julgamento, 24 de março de 2011, Depoimento das testemunhas, Advogado da Demandante, p. 5-6. Escrito da parte peticionária de 27 de abril de 2018.</w:t>
      </w:r>
    </w:p>
  </w:footnote>
  <w:footnote w:id="46">
    <w:p w14:paraId="3C8FBC6D"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02. Tribunal de Justiça do Estado do Pará, Processo n. 0007348-91.2007.814.0028, Termo de Audiência de Instrução e Julgamento, 24 de março de 2011, Depoimento das testemunhas, Advogado da Demandante, p. 5-6. Escrito da parte peticionária de 27 de abril de 2018.</w:t>
      </w:r>
    </w:p>
  </w:footnote>
  <w:footnote w:id="47">
    <w:p w14:paraId="713C8314"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II.2. Termo de Declaração de Edson Rodrigues dos Santos de 21 de julho de 1982. Petição inicial de 8 de novembro de 2006.</w:t>
      </w:r>
    </w:p>
  </w:footnote>
  <w:footnote w:id="48">
    <w:p w14:paraId="397D7C2B"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II.2. Termo de Declaração de Edson Rodrigues dos Santos de 21 de julho de 1982. Petição inicial de 8 de novembro de 2006.</w:t>
      </w:r>
    </w:p>
  </w:footnote>
  <w:footnote w:id="49">
    <w:p w14:paraId="1E1158A9"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 Solicitação, pela polícia, de custódia preventiva do Manoel Cardoso Neto e José Pereira da Nóbrega de 22 de julho de 1982. Petição inicial de 8 de novembro de 2006.</w:t>
      </w:r>
    </w:p>
  </w:footnote>
  <w:footnote w:id="50">
    <w:p w14:paraId="1A831979"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II.2. Termo de Declaração de Edson Rodrigues dos Santos de 21 de julho de 1982. Petição inicial de 8 de novembro de 2006.</w:t>
      </w:r>
    </w:p>
  </w:footnote>
  <w:footnote w:id="51">
    <w:p w14:paraId="3274F4C6"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II.3. Termo de Declaração de Neuzila Cirqueira Guimarães de 21 de julho de 1982. Petição inicial de 8 de novembro de 2006.</w:t>
      </w:r>
    </w:p>
  </w:footnote>
  <w:footnote w:id="52">
    <w:p w14:paraId="4BDF2426"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II.2. Termo de Declaração de Edson Rodrigues dos Santos de 21 de julho de 1982. Petição inicial de 8 de novembro de 2006; Anexo II.3. Termo de Declaração de Neuzila Cirqueira Guimarães de 21 de julho de 1982. Petição inicial de 8 de novembro de 2006.</w:t>
      </w:r>
    </w:p>
  </w:footnote>
  <w:footnote w:id="53">
    <w:p w14:paraId="4A7AA5F0"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II.4. Auto de Informações de Luzia Batista da Silva de 31 de julho de 1982. Petição inicial de 8 de novembro de 2006.</w:t>
      </w:r>
    </w:p>
  </w:footnote>
  <w:footnote w:id="54">
    <w:p w14:paraId="5E3CC3C0"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II.4. Auto de Informações de Luzia Batista da Silva de 31 de julho de 1982. Petição inicial de 8 de novembro de 2006.</w:t>
      </w:r>
    </w:p>
  </w:footnote>
  <w:footnote w:id="55">
    <w:p w14:paraId="5C2E753D"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II.9. Adjunção à Representação de Custódia Preventiva do Delegado Luiz Carlos de Carvalho de 6 de agosto de 1982. Petição inicial de 8 de novembro de 2006. </w:t>
      </w:r>
    </w:p>
  </w:footnote>
  <w:footnote w:id="56">
    <w:p w14:paraId="7D5492DA"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 Solicitação, pela polícia, de custódia preventiva do Manoel Cardoso Neto e José Pereira da Nóbrega de 22 de julho de 1982. Petição inicial de 8 de novembro de 2006; Anexo II.9. Adjunção à Representação de Custódia Preventiva de Luiz Carlos de Carvalho à Juíza Ruth do Couto Gurjão. Petição inicial de 8 de novembro de 2006.</w:t>
      </w:r>
    </w:p>
  </w:footnote>
  <w:footnote w:id="57">
    <w:p w14:paraId="3092B267"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 Solicitação, pela polícia, de custódia preventiva do Manoel Cardoso Neto e José Pereira da Nóbrega de 22 de julho de 1982. Petição inicial de 8 de novembro de 2006; Anexo II.9. Adjunção à Representação de Custódia Preventiva de Luiz Carlos de Carvalho à Juíza Ruth do Couto Gurjão. Petição inicial de 8 de novembro de 2006.</w:t>
      </w:r>
    </w:p>
  </w:footnote>
  <w:footnote w:id="58">
    <w:p w14:paraId="06D2E0FA"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II.12. Auto de Exame Cadavérico de 20 de julho de 1982. Petição inicial de 8 de novembro de 2006. </w:t>
      </w:r>
    </w:p>
  </w:footnote>
  <w:footnote w:id="59">
    <w:p w14:paraId="630D9C34"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II.13. Mandado de Busca e Apreensão da residência de Manoel Cardoso Neto e Relatório de Cumprimento de 20 de julho de 1982. Petição inicial de 8 de novembro de 2006.</w:t>
      </w:r>
    </w:p>
  </w:footnote>
  <w:footnote w:id="60">
    <w:p w14:paraId="1C2E5860"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II.14. Laudo de Exame No. 95/82 (prova balística) de 21 de julho 1982. Petição inicial de 8 de novembro de 2006.</w:t>
      </w:r>
    </w:p>
  </w:footnote>
  <w:footnote w:id="61">
    <w:p w14:paraId="39011A6A"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II.15. Termo de Declaração de Renilson Carneiro Costa de 22 de julho de 1982. Petição inicial de 8 de novembro de 2006.</w:t>
      </w:r>
    </w:p>
  </w:footnote>
  <w:footnote w:id="62">
    <w:p w14:paraId="7A5F2F8B"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II.16. Parecer técnico de Elisiário Couto Bastos (Périto Criminal) e Luis Edmundo Maia Guimarás (Médico Legista) de 30 de agosto de 1982. Petição inicial de 8 de novembro de 2006.</w:t>
      </w:r>
    </w:p>
  </w:footnote>
  <w:footnote w:id="63">
    <w:p w14:paraId="30AFDBF0"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II.16. Parecer técnico de Elisiário Couto Bastos (Périto Criminal) e Luis Edmundo Maia Guimarás (Médico Legista) de 30 de agosto de 1982. Petição inicial de 8 de novembro de 2006 (afirmando que o laudo cadavérico “quase nada, senão nada, pod[e] servir para elucidar o raciocínio dos peritos [...] visto que este traz somente uma descrição sumaríssima, destituída de norma técnica, do exame externo do cadáver [...] uma vez que na descrição das lesões ocorridas, os peritos do Estado [...] narraram apenas as lesões externas e silenciaram sobre as lesões internas.”).</w:t>
      </w:r>
    </w:p>
  </w:footnote>
  <w:footnote w:id="64">
    <w:p w14:paraId="65954427"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II.6. Termo de Declaração de Antônio Francisco da Silva de 19 de julho de 1982. Petição inicial de 8 de novembro de 2006; Anexo II.5. Termo de Declaração de Risomar Daniel Castro de 21 de julho de 1982. Petição inicial de 8 de novembro de 2006; Anexo II.7. Termo de Declaração de João Martins dos Santos de 19 de julho de 1982. Petição inicial de 8 de novembro de 2006; Anexo II.8. Termo de Declaração de Juarez Francisco Xavier de 19 de julho de 1982. Petição inicial de 8 de novembro de 2006.</w:t>
      </w:r>
    </w:p>
  </w:footnote>
  <w:footnote w:id="65">
    <w:p w14:paraId="2A646E53"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II.15. Termo de Declaração de Renilson Carneiro Costa de 22 de julho de 1982. Petição inicial de 8 de novembro de 2006.</w:t>
      </w:r>
    </w:p>
  </w:footnote>
  <w:footnote w:id="66">
    <w:p w14:paraId="69E93E0A"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II.15. Termo de Declaração de Etelvina Honorata de Paulo de 21 de julho de 1982. Petição inicial de 8 de novembro de 2006; Anexo II.1. Solicitação, pela polícia, de custódia preventiva do Manoel Cardoso Neto e José Pereira da Nóbrega de 22 de julho de 1982. Petição inicial de 8 de novembro de 2006.</w:t>
      </w:r>
    </w:p>
  </w:footnote>
  <w:footnote w:id="67">
    <w:p w14:paraId="33FE084F"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II.9. Adjunção à Representação de Custódia Preventiva de Luiz Carlos de Carvalho à Juíza Ruth do Couto Gurjão de 6 de agosto de 1982. Petição inicial de 8 de novembro de 2006; Anexo II.4. Auto de Informações - Luzia Batista da Silva - 31 de julho de 1982. Petição inicial de 8 de novembro de 2006.</w:t>
      </w:r>
    </w:p>
  </w:footnote>
  <w:footnote w:id="68">
    <w:p w14:paraId="33919026"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II.17. Relatório do Delegado de Polícia Luiz Carlos de Carvalho de 8 de setembro de 1982 Petição inicial de 8 de novembro de 2006. </w:t>
      </w:r>
    </w:p>
  </w:footnote>
  <w:footnote w:id="69">
    <w:p w14:paraId="7253C649"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II.24. Termo de Declaração de Antônio Vieira de Araújo de 3 de agosto de 1982. Petição inicial de 8 de novembro de 2006; Anexo II.25. Artigo do jornal A Província do Pará de 15 de maio de 1984. Petição inicial de 8 de novembro de 2006 (reportando a morte de Antônio Vieira de Araújo, conhecido como pistoleiro e acusado de ter assassinado Gabriel Sales Pimenta).</w:t>
      </w:r>
    </w:p>
  </w:footnote>
  <w:footnote w:id="70">
    <w:p w14:paraId="12EADF79"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II.26. Matéria “Pistoleiro esteve na casa do fazendeiro domingo de manhã” do jornal A Província do Pará (sem data). Petição inicial de 8 de novembro de 2006.</w:t>
      </w:r>
    </w:p>
  </w:footnote>
  <w:footnote w:id="71">
    <w:p w14:paraId="578BEFA9"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II.28. Matéria “Suspeitos Já Estão no Xadrez” do jornal A Província do Pará de 21 de julho de 1982. Petição inicial de 8 de novembro de 2006.</w:t>
      </w:r>
    </w:p>
  </w:footnote>
  <w:footnote w:id="72">
    <w:p w14:paraId="2E7603E8"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II.5. Termo de Declaração de Risomar Daniel Castro de 21 de julho de 1982. Petição inicial de 8 de novembro de 2006. </w:t>
      </w:r>
    </w:p>
  </w:footnote>
  <w:footnote w:id="73">
    <w:p w14:paraId="0080A923"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II.5. Termo de Declaração de Risomar Daniel Castro de 21 de julho de 1982. Petição inicial de 8 de novembro de 2006. </w:t>
      </w:r>
    </w:p>
  </w:footnote>
  <w:footnote w:id="74">
    <w:p w14:paraId="62E54CA0"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II.5. Termo de Declaração de Risomar Daniel Castro de 21 de julho de 1982. Petição inicial de 8 de novembro de 2006. </w:t>
      </w:r>
    </w:p>
  </w:footnote>
  <w:footnote w:id="75">
    <w:p w14:paraId="11B976B6"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II.4. Auto de Informações de Luzia Batista da Silva de 31 de julho de 1982. Petição inicial de 8 de novembro de 2006.</w:t>
      </w:r>
    </w:p>
  </w:footnote>
  <w:footnote w:id="76">
    <w:p w14:paraId="130BE83B"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02. Tribunal de Justiça do Estado do Pará, Processo n. 0007348-91.2007.814.0028, Termo de Audiência de Instrução e Julgamento, 24 de março de 2011, Depoimento das testemunhas, Advogado da Demandante. Escrito da parte peticionária de 27 de abril de 2018.</w:t>
      </w:r>
    </w:p>
  </w:footnote>
  <w:footnote w:id="77">
    <w:p w14:paraId="4AD8D72E"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02. Tribunal de Justiça do Estado do Pará, Processo n. 0007348-91.2007.814.0028, Termo de Audiência de Instrução e Julgamento, 24 de março de 2011, Depoimento das testemunhas, Advogado da Demandante. Escrito da parte peticionária de 27 de abril de 2018.</w:t>
      </w:r>
    </w:p>
  </w:footnote>
  <w:footnote w:id="78">
    <w:p w14:paraId="7BC3DEF1"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II.22. Auto de Reinquirição de Luzia Batista da Silva de 13 de junho de 1983. Petição inicial de 8 de novembro de 2006.</w:t>
      </w:r>
    </w:p>
  </w:footnote>
  <w:footnote w:id="79">
    <w:p w14:paraId="244CBE96"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II.28. Matéria “Suspeitos Já Estão no Xadrez” do jornal A Província do Pará de 21 de julho de 1982. Petição inicial de 8 de novembro de 2006.</w:t>
      </w:r>
    </w:p>
  </w:footnote>
  <w:footnote w:id="80">
    <w:p w14:paraId="2F383DDC"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II.19. Termo de Declaração de Manoel Cardoso Neto de 20 de julho de 1982. Petição inicial de 8 de novembro de 2006; Anexo II.29. Termo de Declaração de José Pereira da Nóbrega de 20 de julho de 1982. Petição inicial de 8 de novembro de 2006.</w:t>
      </w:r>
    </w:p>
  </w:footnote>
  <w:footnote w:id="81">
    <w:p w14:paraId="1BA9F1B2"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II.30. Ofício No. 177/82-GAB de 27 de julho de 1982. Petição inicial de 8 de novembro de 2006.</w:t>
      </w:r>
    </w:p>
  </w:footnote>
  <w:footnote w:id="82">
    <w:p w14:paraId="61AA0C29"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 Solicitação, pela polícia, de custódia preventiva do Manoel Cardoso Neto e José Pereira da Nóbrega de 22 de julho de 1982. Petição inicial de 8 de novembro de 2006.</w:t>
      </w:r>
    </w:p>
  </w:footnote>
  <w:footnote w:id="83">
    <w:p w14:paraId="53A15A35"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 Solicitação, pela polícia, de custódia preventiva do Manoel Cardoso Neto e José Pereira da Nóbrega de 22 de julho de 1982. Petição inicial de 8 de novembro de 2006.</w:t>
      </w:r>
    </w:p>
  </w:footnote>
  <w:footnote w:id="84">
    <w:p w14:paraId="700E90DF"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II.33. Carta do Promotor Público Alfredo Lima Henriques Sardalice de 27 de julho de 1982. Petição inicial de 8 de novembro de 2006 (carta manuscrita em que o Promotor opina pela decretação da custódia preventiva; </w:t>
      </w:r>
      <w:r w:rsidRPr="00632719">
        <w:rPr>
          <w:rFonts w:asciiTheme="majorHAnsi" w:hAnsiTheme="majorHAnsi"/>
          <w:i/>
          <w:sz w:val="16"/>
          <w:szCs w:val="16"/>
          <w:lang w:val="pt-BR"/>
        </w:rPr>
        <w:t>verbatim</w:t>
      </w:r>
      <w:r w:rsidRPr="00632719">
        <w:rPr>
          <w:rFonts w:asciiTheme="majorHAnsi" w:hAnsiTheme="majorHAnsi"/>
          <w:sz w:val="16"/>
          <w:szCs w:val="16"/>
          <w:lang w:val="pt-BR"/>
        </w:rPr>
        <w:t>, “a negativa do pedido seria uma temeridade para a real aplicação da lei penal e para garantia da ordem pública[...]”)</w:t>
      </w:r>
    </w:p>
  </w:footnote>
  <w:footnote w:id="85">
    <w:p w14:paraId="79D8B13F"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II.32. Habeas corpus de 26 de julho de 1982. Petição inicial de 8 de novembro de 2006 (impetrado em favor de Manoel Cardoso Neto e José Pereira da Nóbrega).</w:t>
      </w:r>
    </w:p>
  </w:footnote>
  <w:footnote w:id="86">
    <w:p w14:paraId="0914B002"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II.36. Decreto de Prisão Preventiva contra Manoel Cardoso Neto e José Pereira da Nóbrega de 28 de julho de 1982. Petição inicial de 8 de novembro de 2006; Anexo II.35. Mandado de Prisão Preventiva contra Manoel Cardoso Neto e José Pereira da Nóbrega de 29 de julho de 1982. Petição inicial de 8 de novembro de 2006.</w:t>
      </w:r>
    </w:p>
  </w:footnote>
  <w:footnote w:id="87">
    <w:p w14:paraId="79B0E26A"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II.38. Alvará de Soltura a favor de Manoel Cardoso Neto e José Pereira da Nóbrega de 31 de julho de 1982. Petição inicial de 8 de novembro de 2006.</w:t>
      </w:r>
    </w:p>
  </w:footnote>
  <w:footnote w:id="88">
    <w:p w14:paraId="11EAE45D"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09. Revista IstoÉ, “Irmãos que se entendam”, 12 de novembro de 1986, fl. 280 dos autos. Escrito da parte peticionária de 27 de abril de 2018 (“Nelito e Marinheiro [Manoel Cardoso Neto e José Pereira da Nóbrega] foram presos como suspeitos, mas não foram poucas as pressões para que Nelito fosse libertado, como testemunha o então Secretário de Segurança Pública do Pará Paulo Sette Câmara: ‘Eram muitos os telefonemas de políticos de Brasília e de Belo Horizonte’.”).</w:t>
      </w:r>
    </w:p>
  </w:footnote>
  <w:footnote w:id="89">
    <w:p w14:paraId="7B476DF7"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II.9. Adjunção à Representação de Custódia Preventiva pelo Delegado Luiz Carlos de Carvalho de 6 de agosto de 1982. Petição inicial de 8 de novembro de 2006.</w:t>
      </w:r>
    </w:p>
  </w:footnote>
  <w:footnote w:id="90">
    <w:p w14:paraId="7E52A70B"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II.9. Adjunção à Representação de Custódia Preventiva pelo Delegado Luiz Carlos de Carvalho de 6 de agosto de 1982. Petição inicial de 8 de novembro de 2006.</w:t>
      </w:r>
    </w:p>
  </w:footnote>
  <w:footnote w:id="91">
    <w:p w14:paraId="43DF5D30"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II.40. Alvarás de Soltura de 9 de agosto de 1982. Petição inicial de 8 de novembro de 2006.</w:t>
      </w:r>
    </w:p>
  </w:footnote>
  <w:footnote w:id="92">
    <w:p w14:paraId="6B06CE94"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II.42. Pedido de reinquirição de Luzia Batista da Silva de 30 de dezembro de 1982. Petição inicial de 8 de novembro de 2006.</w:t>
      </w:r>
    </w:p>
  </w:footnote>
  <w:footnote w:id="93">
    <w:p w14:paraId="7F30034A"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II.11. Pedido de reinquirição de Luzia Batista da Silva e Antônio Vieira de Araújo de 19 de abril de 1983. Petição inicial de 8 de novembro de 2006.</w:t>
      </w:r>
    </w:p>
  </w:footnote>
  <w:footnote w:id="94">
    <w:p w14:paraId="6FFB3414"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II.22. Auto de reinquirição de Luzia Batista da Silva de 13 de junho de 1983. Petição inicial de 8 de novembro de 2006.</w:t>
      </w:r>
    </w:p>
  </w:footnote>
  <w:footnote w:id="95">
    <w:p w14:paraId="1309C965"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II.43. Certidão de 20 de junho de 1983. Petição inicial de 8 de novembro de 2006 (informa que o escrivão deixou de tomar por termo as declarações de Antônio Vieira de Araújo porque este último se encontrava evadido da cadeia pública, em local incerto e não sabido).</w:t>
      </w:r>
    </w:p>
  </w:footnote>
  <w:footnote w:id="96">
    <w:p w14:paraId="797FF158" w14:textId="70A2A354"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II.44. Denúncia do Ministério Público de 19 de agosto de 1983. Petição inicial de 8 de novembro de 2006 (denúncia contra Manoel Cardoso Neto, José Pereira da Nóbrega, e Crescêncio Oliveira de Sou</w:t>
      </w:r>
      <w:r>
        <w:rPr>
          <w:rFonts w:asciiTheme="majorHAnsi" w:hAnsiTheme="majorHAnsi"/>
          <w:sz w:val="16"/>
          <w:szCs w:val="16"/>
          <w:lang w:val="pt-BR"/>
        </w:rPr>
        <w:t>s</w:t>
      </w:r>
      <w:r w:rsidRPr="00632719">
        <w:rPr>
          <w:rFonts w:asciiTheme="majorHAnsi" w:hAnsiTheme="majorHAnsi"/>
          <w:sz w:val="16"/>
          <w:szCs w:val="16"/>
          <w:lang w:val="pt-BR"/>
        </w:rPr>
        <w:t>a).</w:t>
      </w:r>
    </w:p>
  </w:footnote>
  <w:footnote w:id="97">
    <w:p w14:paraId="3C5AAC03"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II.44. Recebimento da denúncia pela juíza Ruth de Couto de 23 de agosto de 1983. Petição inicial de 8 de novembro de 2006.</w:t>
      </w:r>
    </w:p>
  </w:footnote>
  <w:footnote w:id="98">
    <w:p w14:paraId="7D85D06B"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II.44. Recebimento da denúncia pela juíza Ruth de Couto de 23 de agosto de 1983. Petição inicial de 8 de novembro de 2006.</w:t>
      </w:r>
    </w:p>
  </w:footnote>
  <w:footnote w:id="99">
    <w:p w14:paraId="11999734" w14:textId="2BC95EAC"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II.45. Certidão do Oficial de Justiça de 22 de dezembro de 1983. Petição inicial de 8 de novembro de 2006 (o oficial em questão intimou a José Pereira da Nóbrega para a audiência de 27 de dezembro de 1983, mas deixou de intimar a Manoel Cardoso Neto e Crescêncio Oliveir</w:t>
      </w:r>
      <w:r>
        <w:rPr>
          <w:rFonts w:asciiTheme="majorHAnsi" w:hAnsiTheme="majorHAnsi"/>
          <w:sz w:val="16"/>
          <w:szCs w:val="16"/>
          <w:lang w:val="pt-BR"/>
        </w:rPr>
        <w:t>a</w:t>
      </w:r>
      <w:r w:rsidRPr="00632719">
        <w:rPr>
          <w:rFonts w:asciiTheme="majorHAnsi" w:hAnsiTheme="majorHAnsi"/>
          <w:sz w:val="16"/>
          <w:szCs w:val="16"/>
          <w:lang w:val="pt-BR"/>
        </w:rPr>
        <w:t xml:space="preserve"> de Sousa “em virtude dos mesmos não mais residirem nesta Comarca”).</w:t>
      </w:r>
    </w:p>
  </w:footnote>
  <w:footnote w:id="100">
    <w:p w14:paraId="4C4A62F5"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II.47. Escritura da juíza Ruth de Couto de 27 de abril de 1984. Petição inicial de 8 de novembro de 2006 (ordenando a renovação das diligências para o dia 27 de abril de 1984).</w:t>
      </w:r>
    </w:p>
  </w:footnote>
  <w:footnote w:id="101">
    <w:p w14:paraId="5CC32C44" w14:textId="731EF186"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II.48. Termo de qualificação e interrogatório de José Pereira da Nóbrega de 27 de abril de 1984. Petição inicial de 8 de novembro de 2006; Anexo II.50. Citação por edital de Manoel Cardoso Neto e Crescêncio Oliveira de Sou</w:t>
      </w:r>
      <w:r>
        <w:rPr>
          <w:rFonts w:asciiTheme="majorHAnsi" w:hAnsiTheme="majorHAnsi"/>
          <w:sz w:val="16"/>
          <w:szCs w:val="16"/>
          <w:lang w:val="pt-BR"/>
        </w:rPr>
        <w:t>s</w:t>
      </w:r>
      <w:r w:rsidRPr="00632719">
        <w:rPr>
          <w:rFonts w:asciiTheme="majorHAnsi" w:hAnsiTheme="majorHAnsi"/>
          <w:sz w:val="16"/>
          <w:szCs w:val="16"/>
          <w:lang w:val="pt-BR"/>
        </w:rPr>
        <w:t>a para a audiência de 27 de abril de 1984. Petição inicial de 8 de novembro de 2006.</w:t>
      </w:r>
    </w:p>
  </w:footnote>
  <w:footnote w:id="102">
    <w:p w14:paraId="46860FAF" w14:textId="13E50ECA"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II.39. Decretação de prisão preventiva de Manoel Cardoso Neto e Crescêncio Oliveir</w:t>
      </w:r>
      <w:r>
        <w:rPr>
          <w:rFonts w:asciiTheme="majorHAnsi" w:hAnsiTheme="majorHAnsi"/>
          <w:sz w:val="16"/>
          <w:szCs w:val="16"/>
          <w:lang w:val="pt-BR"/>
        </w:rPr>
        <w:t>a</w:t>
      </w:r>
      <w:r w:rsidRPr="00632719">
        <w:rPr>
          <w:rFonts w:asciiTheme="majorHAnsi" w:hAnsiTheme="majorHAnsi"/>
          <w:sz w:val="16"/>
          <w:szCs w:val="16"/>
          <w:lang w:val="pt-BR"/>
        </w:rPr>
        <w:t xml:space="preserve"> de Sou</w:t>
      </w:r>
      <w:r>
        <w:rPr>
          <w:rFonts w:asciiTheme="majorHAnsi" w:hAnsiTheme="majorHAnsi"/>
          <w:sz w:val="16"/>
          <w:szCs w:val="16"/>
          <w:lang w:val="pt-BR"/>
        </w:rPr>
        <w:t>s</w:t>
      </w:r>
      <w:r w:rsidRPr="00632719">
        <w:rPr>
          <w:rFonts w:asciiTheme="majorHAnsi" w:hAnsiTheme="majorHAnsi"/>
          <w:sz w:val="16"/>
          <w:szCs w:val="16"/>
          <w:lang w:val="pt-BR"/>
        </w:rPr>
        <w:t>a de 20 de junho de 1984. Petição inicial de 8 de novembro de 2006.</w:t>
      </w:r>
    </w:p>
  </w:footnote>
  <w:footnote w:id="103">
    <w:p w14:paraId="20148464" w14:textId="313E21E2"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II.51. Termo de Qualificação e Interrogatório de Crescêncio Oliveira da Sou</w:t>
      </w:r>
      <w:r>
        <w:rPr>
          <w:rFonts w:asciiTheme="majorHAnsi" w:hAnsiTheme="majorHAnsi"/>
          <w:sz w:val="16"/>
          <w:szCs w:val="16"/>
          <w:lang w:val="pt-BR"/>
        </w:rPr>
        <w:t>s</w:t>
      </w:r>
      <w:r w:rsidRPr="00632719">
        <w:rPr>
          <w:rFonts w:asciiTheme="majorHAnsi" w:hAnsiTheme="majorHAnsi"/>
          <w:sz w:val="16"/>
          <w:szCs w:val="16"/>
          <w:lang w:val="pt-BR"/>
        </w:rPr>
        <w:t>a, 4 de julho de 1984. Petição inicial de 8 de novembro de 2006.</w:t>
      </w:r>
    </w:p>
  </w:footnote>
  <w:footnote w:id="104">
    <w:p w14:paraId="4E27C5AC"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II.52. Despacho do juiz Eronides Sousa Primo de 18 de julho de 1984. Petição inicial de 8 de novembro de 2006.</w:t>
      </w:r>
    </w:p>
  </w:footnote>
  <w:footnote w:id="105">
    <w:p w14:paraId="66D72D0D"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II.53. Documentos com múltiplas designações de audiências [datas variadas]. Petição inicial de 8 de novembro de 2006 (em 18 de julho de 1984, o juiz Eronides Sousa Primo designou o dia 24 de agosto de 1984 para a realização do interrogatório do réu; em 24 de agosto de 1984, o mesmo juiz designou o dia 26 de setembro de 1984 para a realização do interrogatório; em 23 de novembro de 1984, o mesmo juiz assinou um edital para publicar a citação do réu para audiência no dia 23 de janeiro de 1985; em 2 de agosto de 1985, o juiz designou o dia 11 de setembro de 1985 como data para o interrogatório; finalmente, em 19 de março de 1986, a juíza Marta Ines Autunes Lima assinou um edital citando o réu para uma audiência no dia 2 de maio de 1986).</w:t>
      </w:r>
    </w:p>
  </w:footnote>
  <w:footnote w:id="106">
    <w:p w14:paraId="67E83632"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II.60. Escritura de escrivão de 13 de março de 1986. Petição inicial de 8 de novembro de 2006 (explicando o impedimento à juíza).</w:t>
      </w:r>
    </w:p>
  </w:footnote>
  <w:footnote w:id="107">
    <w:p w14:paraId="5273FA46"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II.61. Escritura de Antonio de Araújo Santis de 17 de março de 1986. Petição inicial de 8 de novembro de 2006.</w:t>
      </w:r>
    </w:p>
  </w:footnote>
  <w:footnote w:id="108">
    <w:p w14:paraId="46552EAA"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01. Despacho da juíza Ezilda das Chagas Pastana de 10 de agosto de 1987. Escrito da parte peticionária de 27 de abril de 2018.</w:t>
      </w:r>
    </w:p>
  </w:footnote>
  <w:footnote w:id="109">
    <w:p w14:paraId="4CEC046D"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II.62. Carta dos advogados de José </w:t>
      </w:r>
      <w:r>
        <w:rPr>
          <w:rFonts w:asciiTheme="majorHAnsi" w:hAnsiTheme="majorHAnsi"/>
          <w:sz w:val="16"/>
          <w:szCs w:val="16"/>
          <w:lang w:val="pt-BR"/>
        </w:rPr>
        <w:t>P</w:t>
      </w:r>
      <w:r w:rsidRPr="00632719">
        <w:rPr>
          <w:rFonts w:asciiTheme="majorHAnsi" w:hAnsiTheme="majorHAnsi"/>
          <w:sz w:val="16"/>
          <w:szCs w:val="16"/>
          <w:lang w:val="pt-BR"/>
        </w:rPr>
        <w:t>ereira da Nóbrega de 21 de fevereiro de 1987. Petição inicial de 8 de novembro de 2006.</w:t>
      </w:r>
    </w:p>
  </w:footnote>
  <w:footnote w:id="110">
    <w:p w14:paraId="1572AD2E"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II.55. Requerimento de revogação de prisão preventiva para Manoel Cardoso Neto, 19 de novembro de 1987. Petição inicial de 8 de novembro de 2006.</w:t>
      </w:r>
    </w:p>
  </w:footnote>
  <w:footnote w:id="111">
    <w:p w14:paraId="6B6A808B"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II.56. Termo de Qualificações e Interrogatório de Manoel Cardoso Neto de 29 de abril de 1988. Petição inicial de 8 de novembro de 2006.</w:t>
      </w:r>
    </w:p>
  </w:footnote>
  <w:footnote w:id="112">
    <w:p w14:paraId="6FD25598"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II.57. Escritura da Juíza Ezilda das Chagas Pastana de 23 de novembro de 1987. Petição inicial de 8 de novembro de 2006 (concedendo o salvo conduto e revogando a prisão preventiva de Manoel Cardoso Neto).</w:t>
      </w:r>
    </w:p>
  </w:footnote>
  <w:footnote w:id="113">
    <w:p w14:paraId="732AA738"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II.58. Carta Precatória sobre processo no. 1.130/83 de 22 de janeiro de 1988. Petição inicial de 8 de novembro de 2006 (com o objetivo de citar Manoel Cardoso Neto).</w:t>
      </w:r>
    </w:p>
  </w:footnote>
  <w:footnote w:id="114">
    <w:p w14:paraId="465E0B0D"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II.59. Carta de 24 de fevereiro de 1988. Petição inicial de 8 de novembro de 2006 (pedindo nova data para a audiência, porque a carta precatória chegou tarde demais para ser cumprida – 22 de fevereiro, quando a audiência estava marcada para 19 de fevereiro).</w:t>
      </w:r>
    </w:p>
  </w:footnote>
  <w:footnote w:id="115">
    <w:p w14:paraId="20DAC75E"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II.56. Termo de Qualificações e Interrogatório de Manoel Cardoso Neto de 29 de abril de 1988. Petição inicial de 8 de novembro de 2006.</w:t>
      </w:r>
    </w:p>
  </w:footnote>
  <w:footnote w:id="116">
    <w:p w14:paraId="041F2C3B"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II.63. Mandado de J. das Chagas Pastana de 19 de agosto de 1988. Petição inicial de 8 de novembro de 2006; Anexo II.65. Assentada da audiência de Antônio Francisco da Silva e Edson Rodrigues Guimarães de 19 de setembro de 1988. Petição inicial de 8 de novembro de 2006.</w:t>
      </w:r>
    </w:p>
  </w:footnote>
  <w:footnote w:id="117">
    <w:p w14:paraId="3AF0870F"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08. Certidão do Oficial de Justiça de 30 de setembro de 1988. Escrito da parte peticionária de 27 de abril de 2018 (“Em cumprimento a mandado de citação de testemunhas de acusação para prosseguimento da audiência em 4/10/88, o Oficial de Justiça informa que deixou de notificar João Martins dos Santos por não possuir recursos financeiros para o transporte.”).</w:t>
      </w:r>
    </w:p>
  </w:footnote>
  <w:footnote w:id="118">
    <w:p w14:paraId="387A2A0F"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II.64. Certidão de 22 de setembro de 1988. Petição inicial de 8 de novembro de 2006 (informando que o oficial de justiça não cumpriu com a carta precatória para intimar Crescêncio Oliveira Sousa por tê-la recebido três dias após a data designada para a audiência); Anexo II.66. Carta Precatória para citação de Manoel Cardoso Neto, José Pereira da Nóbrega, e Crescêncio Oliveira Sousa de 19 de setembro de 1988. Petição inicial de 8 de novembro de 2006; Anexo II.67. Ofício No. 226/88 de 26 de outubro de 1988. Petição inicial de 8 de novembro de 2006; Anexo II.68. Carta precatória de 19 de setembro de 1988. Petição inicial de 8 de novembro de 2006 (devolvida sem cumprimento, conforme escritura à mão).</w:t>
      </w:r>
    </w:p>
  </w:footnote>
  <w:footnote w:id="119">
    <w:p w14:paraId="41AC5299"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II.69. Assentada de audiência de 4 de outubro de 1988. Petição inicial de 8 de novembro de 2006 (“O Dr. Promotor, embora intimado, não compareceu”).</w:t>
      </w:r>
    </w:p>
  </w:footnote>
  <w:footnote w:id="120">
    <w:p w14:paraId="0AE9868F"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II.70. Ofício No. 008/89 de 31 de janeiro de 1989. Petição inicial de 8 de novembro de 2006 (intimando José Ribeiro Neto para audiência no dia 24 de fevereiro de 1989).</w:t>
      </w:r>
    </w:p>
  </w:footnote>
  <w:footnote w:id="121">
    <w:p w14:paraId="3BDBE0A9" w14:textId="772D31B1"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II.71. Ofício No. 239/89 de 28 de agosto de 1989. Petição inicial de 8 de novembro de 2006 (informando que não foi possível citar a Manoel Cardoso Neto para assistir a audiência para 24 de fevereiro de 1989 porque a carta chegou após a data da audiência); Anexo II.72. Ofício No. 006/89 de 13 de março de 1989. Petição inicial de 8 de novembro de 2006 (informando que não foi possível citar a Crescêncio Oliveir</w:t>
      </w:r>
      <w:r>
        <w:rPr>
          <w:rFonts w:asciiTheme="majorHAnsi" w:hAnsiTheme="majorHAnsi"/>
          <w:sz w:val="16"/>
          <w:szCs w:val="16"/>
          <w:lang w:val="pt-BR"/>
        </w:rPr>
        <w:t>a</w:t>
      </w:r>
      <w:r w:rsidRPr="00632719">
        <w:rPr>
          <w:rFonts w:asciiTheme="majorHAnsi" w:hAnsiTheme="majorHAnsi"/>
          <w:sz w:val="16"/>
          <w:szCs w:val="16"/>
          <w:lang w:val="pt-BR"/>
        </w:rPr>
        <w:t xml:space="preserve"> de Sou</w:t>
      </w:r>
      <w:r>
        <w:rPr>
          <w:rFonts w:asciiTheme="majorHAnsi" w:hAnsiTheme="majorHAnsi"/>
          <w:sz w:val="16"/>
          <w:szCs w:val="16"/>
          <w:lang w:val="pt-BR"/>
        </w:rPr>
        <w:t>s</w:t>
      </w:r>
      <w:r w:rsidRPr="00632719">
        <w:rPr>
          <w:rFonts w:asciiTheme="majorHAnsi" w:hAnsiTheme="majorHAnsi"/>
          <w:sz w:val="16"/>
          <w:szCs w:val="16"/>
          <w:lang w:val="pt-BR"/>
        </w:rPr>
        <w:t>a para assistir a audiência para 24 de fevereiro de 1989 porque a carta chegou após a data da audiência).</w:t>
      </w:r>
    </w:p>
  </w:footnote>
  <w:footnote w:id="122">
    <w:p w14:paraId="7D467C85"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II.73. Assentada de inquirição de Lipton Nivorelo Montezano, Saulo Von Rando, Dionosio Paese e Jair Marques Gomes de 24 de fevereiro de 1989. Petição inicial de 8 de novembro de 2006 (conta somente com a assinatura de José Pereira da nóbrega, ausentes as assinaturas dos outros acusados e do Promotor Público).</w:t>
      </w:r>
    </w:p>
  </w:footnote>
  <w:footnote w:id="123">
    <w:p w14:paraId="14240550"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II.74. Mandado da juíza Ezilda Chagas Pastana de 24 de fevereiro de 1989. Petição inicial de 8 de novembro de 2006; Anexo II.75. Pedido de adiamento de 13 de março de 1989. Petição inicial de 8 de novembro de 2006; Anexo II.76. Despacho da juíza Ezilda Chagas Pastana de 3 de abril de 1989. Petição inicial de 8 de novembro de 2006; Anexo II.77. Pedido de desistência de testemunha de 15 de maio de 1989. Petição inicial de 8 de novembro de 2006.</w:t>
      </w:r>
    </w:p>
  </w:footnote>
  <w:footnote w:id="124">
    <w:p w14:paraId="44EC7F71"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II.78. Mandado da juíza Ezilda Chagas Pastana de 23 de outubro de 1989. Petição inicial de 8 de novembro de 2006.</w:t>
      </w:r>
    </w:p>
  </w:footnote>
  <w:footnote w:id="125">
    <w:p w14:paraId="3FE1E06D"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II.80. Assentada de audiência de 17 de abril de 1991. Petição inicial de 8 de novembro de 2006.</w:t>
      </w:r>
    </w:p>
  </w:footnote>
  <w:footnote w:id="126">
    <w:p w14:paraId="576B8F49"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23. Nota da Juíza Ezilda das Chagas Pastana de 17 de janeiro de 1990. Escrito da parte peticionária de 27 de abril de 2018.</w:t>
      </w:r>
    </w:p>
  </w:footnote>
  <w:footnote w:id="127">
    <w:p w14:paraId="5464CD9E"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24. Nota da Juíza Ezilda das Chagas Pastana de 07 de março de 1991. Escrito da parte peticionária de 27 de abril de 2018.</w:t>
      </w:r>
    </w:p>
  </w:footnote>
  <w:footnote w:id="128">
    <w:p w14:paraId="3A310808"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II.81. Despacho do Juiz Sérgio Augusto Andrade Lima de 27 de maio de 1992. Petição inicial de 8 de novembro de 2006.</w:t>
      </w:r>
    </w:p>
  </w:footnote>
  <w:footnote w:id="129">
    <w:p w14:paraId="060DE863"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II.82. Alegações finais do Ministério Público de 8 de junho de 1992. Petição inicial de 8 de novembro de 2006.</w:t>
      </w:r>
    </w:p>
  </w:footnote>
  <w:footnote w:id="130">
    <w:p w14:paraId="5E98CA65"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II.83. Alegações finais de José Pereira da Nóbrega de 3 de dezembro de 1992. Petição inicial de 8 de novembro de 2006.</w:t>
      </w:r>
    </w:p>
  </w:footnote>
  <w:footnote w:id="131">
    <w:p w14:paraId="269979E2"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II.84. Pedido de desistência do advogado Hildenor Cruz Barros de 26 de fevereiro de 1993. Petição inicial de 8 de novembro de 2006.</w:t>
      </w:r>
    </w:p>
  </w:footnote>
  <w:footnote w:id="132">
    <w:p w14:paraId="68E589DF"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II.85. Despacho de 28 de setembro de 1995. Petição inicial de 8 de novembro de 2006.</w:t>
      </w:r>
    </w:p>
  </w:footnote>
  <w:footnote w:id="133">
    <w:p w14:paraId="48E727BF"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II.86. Pedido pela Defensoria Pública de deferimento da representação de Manoel Cardoso Neto de 26 de abril de 1996. Petição inicial de 8 de novembro de 2006.</w:t>
      </w:r>
    </w:p>
  </w:footnote>
  <w:footnote w:id="134">
    <w:p w14:paraId="66ECAE44"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II.87. Carta precatória de 3 de junho de 1996. Petição inicial de 8 de novembro de 2006.</w:t>
      </w:r>
    </w:p>
  </w:footnote>
  <w:footnote w:id="135">
    <w:p w14:paraId="20E6456A"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II.88. Certidão do cartório de Vitória da Conquista de 16 de julho de 1996. Petição inicial de 8 de novembro de 2006.</w:t>
      </w:r>
    </w:p>
  </w:footnote>
  <w:footnote w:id="136">
    <w:p w14:paraId="3D01BDC3"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II.89. Procuração de Rafael Sales Pimenta de 12 de maio de 1997. Petição inicial de 8 de novembro de 2006.</w:t>
      </w:r>
    </w:p>
  </w:footnote>
  <w:footnote w:id="137">
    <w:p w14:paraId="06D9BBE8"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II.90. Requerimento de Júlio César Costa de 28 de maio de 1997. Petição inicial de 8 de novembro de 2006.</w:t>
      </w:r>
    </w:p>
  </w:footnote>
  <w:footnote w:id="138">
    <w:p w14:paraId="6A0A737E"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II.91. Alegações finais de Manoel Cardoso Neto de 28 de junho de 1997.  Petição inicial de 8 de novembro de 2006.</w:t>
      </w:r>
    </w:p>
  </w:footnote>
  <w:footnote w:id="139">
    <w:p w14:paraId="2DFD9C2A"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II.92. Solicitação do Ministério Público de 29 de julho de 1997. Petição inicial de 8 de novembro de 2006.</w:t>
      </w:r>
    </w:p>
  </w:footnote>
  <w:footnote w:id="140">
    <w:p w14:paraId="755CC69B" w14:textId="1FC87096"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II.93. Alegações finais de Crescêncio Oliveira de Sou</w:t>
      </w:r>
      <w:r>
        <w:rPr>
          <w:rFonts w:asciiTheme="majorHAnsi" w:hAnsiTheme="majorHAnsi"/>
          <w:sz w:val="16"/>
          <w:szCs w:val="16"/>
          <w:lang w:val="pt-BR"/>
        </w:rPr>
        <w:t>s</w:t>
      </w:r>
      <w:r w:rsidRPr="00632719">
        <w:rPr>
          <w:rFonts w:asciiTheme="majorHAnsi" w:hAnsiTheme="majorHAnsi"/>
          <w:sz w:val="16"/>
          <w:szCs w:val="16"/>
          <w:lang w:val="pt-BR"/>
        </w:rPr>
        <w:t>a de 27 de abril de 1998. Petição inicial de 8 de novembro de 2006.</w:t>
      </w:r>
    </w:p>
  </w:footnote>
  <w:footnote w:id="141">
    <w:p w14:paraId="033C0FDD"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25. Manifestação do Ministério Público de 23 de novembro de 1999. Escrito da parte peticionária de 27 de abril de 2018; Anexo II.95. Extinção da punibilidade com relação a José Pereira da Nóbrega de 31 de agosto de 2000 e Certidão de óbito de José Pereira da Nóbrega de 13 de setembro de 1999 (com a data da morte de 1 de agosto de 1999). Petição inicial de 8 de novembro de 2006.</w:t>
      </w:r>
    </w:p>
  </w:footnote>
  <w:footnote w:id="142">
    <w:p w14:paraId="323945F6"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II.94. Pronunciamento dos acusados pelo Juiz Sérgio Augusto Andrade Lima de 31 de agosto de 2000. Petição inicial de 8 de novembro de 2006.</w:t>
      </w:r>
    </w:p>
  </w:footnote>
  <w:footnote w:id="143">
    <w:p w14:paraId="5A3DBC72"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II.94. Pronunciamento dos acusados pelo Juiz Sérgio Augusto Andrade Lima de 31 de agosto de 2000. Petição inicial de 8 de novembro de 2006.</w:t>
      </w:r>
    </w:p>
  </w:footnote>
  <w:footnote w:id="144">
    <w:p w14:paraId="0D73363C"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II.96. Carta Precatória No. 01/2001 de 30 de janeiro de 2001 e Certidão de intimação de Manoel Cardoso Neto nos dias 15 de fevereiro de 2001, 6 de março de 2001 e 2 de maio de 2001. Petição inicial de 8 de novembro de 2006.</w:t>
      </w:r>
    </w:p>
  </w:footnote>
  <w:footnote w:id="145">
    <w:p w14:paraId="17F466F4"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II.97. Certidão de transito de julgado de sentença de pronúncia de Manoel Cardoso Neto de 7 de janeiro de 2002. Petição inicial de 8 de novembro de 2006.</w:t>
      </w:r>
    </w:p>
  </w:footnote>
  <w:footnote w:id="146">
    <w:p w14:paraId="161E593D"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II.99. Libelo acusatório do Ministério Público contra Manoel Cardoso Neto de 22 de janeiro de 2002. Petição inicial de 8 de novembro de 2006.</w:t>
      </w:r>
    </w:p>
  </w:footnote>
  <w:footnote w:id="147">
    <w:p w14:paraId="25522E49"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II.103. Contrariedade da Defensoria Pública em defesa de Manoel Cardoso Neto de 4 de março de 2002. Petição inicial de 8 de novembro de 2006.</w:t>
      </w:r>
    </w:p>
  </w:footnote>
  <w:footnote w:id="148">
    <w:p w14:paraId="5CC6780A"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II.104. Despacho de Juiz Marcus Alan de Melo Gomes de 26 de março de 2002. Petição inicial de 8 de novembro de 2006 (designando o dia 23 de maio de 2002 para sessão do júri); Anexo II.106. Ofício No. 507/2002-CQO de 15 de abril de 2002. Petição inicial de 8 de novembro de 2006 (solicitação feita pelo juiz ao Presidente da Câmara Municipal de Marabá para utilizar as dependências da sala de sessões da Câmara para a Sessão do Júri, uma vez que o prédio do Fórum não dispunha de instalações adequadas); Anexo II.109. Certidão da escrivã Maria Anisia M. Almeida de 29 de abril de 2002. Petição inicial de 8 de novembro de 2006 (sobre como, após a Câmara Municipal não conceder o auditório e após várias tentativas em outros órgãos do município, o auditório do Rotary Clube de Marabá foi cedido).</w:t>
      </w:r>
    </w:p>
  </w:footnote>
  <w:footnote w:id="149">
    <w:p w14:paraId="44F80973"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II.111. Mandado de Notificação No. 247/2002 de 7 de maio de 2002 e Certidão de Oficial de Justiça de 21 de maio de 2002. Petição inicial de 8 de novembro de 2006.</w:t>
      </w:r>
    </w:p>
  </w:footnote>
  <w:footnote w:id="150">
    <w:p w14:paraId="7A8F573E"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II.21. Auto de reconhecimento de José Pereira da Nóbrega por Luzia Batista da Silva de 2 de agosto de 1982. Petição inicial de 8 de novembro de 2006.</w:t>
      </w:r>
    </w:p>
  </w:footnote>
  <w:footnote w:id="151">
    <w:p w14:paraId="6812D6E3"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II.111. Mandado de Notificação No. 247/2002 de 7 de maio de 2002 e Certidão de Oficial de Justiça de 21 de maio de 2002. Petição inicial de 8 de novembro de 2006.</w:t>
      </w:r>
    </w:p>
  </w:footnote>
  <w:footnote w:id="152">
    <w:p w14:paraId="35CABBED"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II.104. Despacho do juiz Marcus Alan de Melo Gomes de 26 de março de 2002, Carta Precatória No. 13/2002 de 27 de março de 2002 e Certidão de impossibilidade de intimar o réu de 11 de abril de 2002. Petição inicial de 8 de novembro de 2006; Anexo II.105. Carta Precatória No. 17/2002 da Comarca de Vitória da Conquista de 30 de abril de 2002. Petição inicial de 8 de novembro de 2006.</w:t>
      </w:r>
    </w:p>
  </w:footnote>
  <w:footnote w:id="153">
    <w:p w14:paraId="3D98376F"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II.113. Mandado de Prisão Preventiva No. 0272/2002 de 23 de maio de 2002. Petição inicial de 8 de novembro de 2006.</w:t>
      </w:r>
    </w:p>
  </w:footnote>
  <w:footnote w:id="154">
    <w:p w14:paraId="139369FB"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II.112 Decisão de Juiz Marcus Alan de Melo Gomes de 23 de maio de 2002. Petição inicial de 8 de novembro de 2006 (“Expeça-se mandado de prisão, cujo cumprimento deverá ser requisitado à Superintendência Regional de Polícia Civil, em Marabá, e ao juízo da comarca de Vitória da Conquista, Bahia”.).</w:t>
      </w:r>
    </w:p>
  </w:footnote>
  <w:footnote w:id="155">
    <w:p w14:paraId="19556EB2"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II.108. Carta da Comissão Pastoral da Terra encaminhando a procuração de Rafael Sales Pimenta de 11 de junho de 2002. Petição inicial de 8 de novembro de 2006. Em 22 de abril de 2002, um mês antes do Júri, o advogado assistente de acusação Júlio César Costa requereu seu afastamento do processo em razão de ter sido nomeado como Procurador Geral do Município de Marabá. Cf. Anexo II.107. Nomeação de Júlio César Costa de 2 de fevereiro de 2002 e Petição de Júlio César Costa de 22 de abril de 2002. Petição inicial de 8 de novembro de 2006.</w:t>
      </w:r>
    </w:p>
  </w:footnote>
  <w:footnote w:id="156">
    <w:p w14:paraId="7D845217"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Segundo esclarecem os peticionários com base em estudo sobre a criação de varas agrárias no Estado do Pará: “No Brasil, existe uma justiça agrária autônoma, cujo propósito é “dirimir conflitos fundiários”. Foi inicialmente criada em 1988 com a adoção do artigo 126 na Constituição Federal, que diz: “Para dirimir conflitos fundiários, o Tribunal de Justiça designará juízes de entrância especial, com competência exclusiva para questões agrárias”. (Art. 126, Constituição da República Federativa do Brasil). Em 2004, a redação do artigo foi alterada, determinando a criação de varas especializadas, através da Emenda Constitucional nº 25 de 2004. No Estado de Pará, o artigo 167 da Constituição Estadual previa que “O Tribunal de Justiça designará juízes de entrância especial com exclusiva competência para questões agrárias e minerais.” Constituição Estadual do Pará, promulgada em 05 de outubro de 1989. Em novembro de 1993, a Assembléia Legislativa do Estado de Pará promulgou a lei completar n. 14, criando dez varas especializadas na área de Direito Agrário, Minerário e Ambiental (Lei Complementar nº 14/1993). A Vara Agrária de Marabá foi criada pela resolução nº 21/2001 do Tribunal de Justiça do Estado do Pará, usando das atribuições que lhe foram conferidas pela Lei Complementar nº 14/93, sendo instalada efetivamente em junho de 2002. In: GOMES, Marcus Alan de Melo. A experiência resultante da criação de varas agrárias no Estado do Pará. São Luis, 2003.” Cf. Escrito da parte peticionária de 27 de abril de 2018.</w:t>
      </w:r>
    </w:p>
  </w:footnote>
  <w:footnote w:id="157">
    <w:p w14:paraId="584E3BBB"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II.115. Decisão da Juíza Rosa Maria Moreira da Fonsecca de 20 de fevereiro de 2004. Petição inicial de 8 de novembro de 2006.</w:t>
      </w:r>
    </w:p>
  </w:footnote>
  <w:footnote w:id="158">
    <w:p w14:paraId="4C566D0B"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w:t>
      </w:r>
      <w:r w:rsidRPr="00C736BE">
        <w:rPr>
          <w:rFonts w:asciiTheme="majorHAnsi" w:hAnsiTheme="majorHAnsi"/>
          <w:sz w:val="16"/>
          <w:szCs w:val="16"/>
          <w:lang w:val="pt-BR"/>
        </w:rPr>
        <w:t>Anexo II.117</w:t>
      </w:r>
      <w:r w:rsidRPr="00632719">
        <w:rPr>
          <w:rFonts w:asciiTheme="majorHAnsi" w:hAnsiTheme="majorHAnsi"/>
          <w:sz w:val="16"/>
          <w:szCs w:val="16"/>
          <w:lang w:val="pt-BR"/>
        </w:rPr>
        <w:t>. Ofício no. 200/04-VA de 7 de julho de 2004 e Resposta da Receita Federal de 4 de agosto de 2004. Petição inicial de 8 de novembro de 2006 (por meio do qual a Diretora da Secretaria da Vara Agrária de Marabá solicitou à Delegada da Receita Federal, em 7 de julho de 2004, o endereço do Manoel Cardoso Neto).</w:t>
      </w:r>
    </w:p>
  </w:footnote>
  <w:footnote w:id="159">
    <w:p w14:paraId="2AA21F5B"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II.117. Ofício no. 200/04-VA de 7 de julho de 2004 e Resposta da Receita Federal de 4 de agosto de 2004. Petição inicial de 8 de novembro de 2006 (por meio do qual o Ministério da Fazenda informou o endereço de Manoel Cardoso Neto na base de dados da Secretaria de Receita Federal ao Juízo de Marabá).</w:t>
      </w:r>
    </w:p>
  </w:footnote>
  <w:footnote w:id="160">
    <w:p w14:paraId="2899B02A"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II.116. Decisão do Juiz Libio Araujo Moura de 28 de julho de 2005. Petição inicial de 8 de novembro de 2006.</w:t>
      </w:r>
    </w:p>
  </w:footnote>
  <w:footnote w:id="161">
    <w:p w14:paraId="2B080763"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II.118. Decisão do Juiz Ricardo Felício Scaff de 18 de novembro de 2005 e Mandado de Prisão Preventiva No. 056/2005 de 21 de novembro de 2005. Petição inicial de 8 de novembro de 2006.</w:t>
      </w:r>
    </w:p>
  </w:footnote>
  <w:footnote w:id="162">
    <w:p w14:paraId="6E10296B"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II.119. Carta Precatória No. 108/2005 de 21 de novembro de 2005 e ofícios do juiz Ricardo Felício Scaff encaminhando o mandado de prisão preventiva relativo a Manoel Cardoso Neto de 28 de novembro de 2005. Petição inicial de 8 de novembro de 2006.</w:t>
      </w:r>
    </w:p>
  </w:footnote>
  <w:footnote w:id="163">
    <w:p w14:paraId="7D11E082"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II.120. Certidão de Altino Meira Coqueiro de 25 de janeiro de 2006. Petição inicial de 8 de novembro de 2006.</w:t>
      </w:r>
    </w:p>
  </w:footnote>
  <w:footnote w:id="164">
    <w:p w14:paraId="31DED822"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II.119. Carta Precatória No. 108/2005 de 21 de novembro de 2005 e ofícios do juiz Ricardo Felício Scaff encaminhando o mandado de prisão preventiva relativo a Manoel Cardoso Neto de 28 de novembro de 2005. Petição inicial de 8 de novembro de 2006 (encaminhando ao Delegado de Polícia Federal da Delegacia da Polícia Federal de Marabá o Mandado de Prisão no. 56/2005, expedido em desfavor de Manoel Cardoso Neto).</w:t>
      </w:r>
    </w:p>
  </w:footnote>
  <w:footnote w:id="165">
    <w:p w14:paraId="4D166266"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II.119. Carta Precatória No. 108/2005 de 21 de novembro de 2005 e ofícios do juiz Ricardo Felício Scaff encaminhando o mandado de prisão preventiva relativo a Manoel Cardoso Neto de 28 de novembro de 2005. Petição inicial de 8 de novembro de 2006 (encaminhando à Secretaria Especial de Defesa Social e Segurança Pública do Pará o Mandado de Prisão no. 56/2005, expedido em desfavor de Manoel Cardoso Neto).</w:t>
      </w:r>
    </w:p>
  </w:footnote>
  <w:footnote w:id="166">
    <w:p w14:paraId="6EC9B8EC"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II.119. Carta Precatória No. 108/2005 de 21 de novembro de 2005 e ofícios do juiz Ricardo Felício Scaff encaminhando o mandado de prisão preventiva relativo a Manoel Cardoso Neto de 28 de novembro de 2005. Petição inicial de 8 de novembro de 2006.</w:t>
      </w:r>
    </w:p>
  </w:footnote>
  <w:footnote w:id="167">
    <w:p w14:paraId="4BC815B8"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II.119. Carta Precatória No. 108/2005 de 21 de novembro de 2005 e ofícios do juiz Ricardo Felício Scaff encaminhando o mandado de prisão preventiva relativo a Manoel Cardoso Neto de 28 de novembro de 2005. Petição inicial de 8 de novembro de 2006 (Espírito Santo, Estado de Alagoas, Bahia, Ceará, Minas Gerais, Piauí, Acre, Goiás, Maranhão, Paraná, Santa Catarina, Paraíba, Pernambuco, Rio de Janeiro, Rio Grande do Sul, Sergipe, São Paulo, Tocantins, Mato Grosso, Mato Grosso do Sul, Rio Grande do Norte, Amapá, Amazonas, Roraima, Rondônia).</w:t>
      </w:r>
    </w:p>
  </w:footnote>
  <w:footnote w:id="168">
    <w:p w14:paraId="55F6018B"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II.121. Ata da Sessão do Júri de 15 de fevereiro de 2006. Petição inicial de 8 de novembro de 2006.</w:t>
      </w:r>
    </w:p>
  </w:footnote>
  <w:footnote w:id="169">
    <w:p w14:paraId="59A61932"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II.122. Ofícios de 15 de fevereiro de 2006. Petição inicial de 8 de novembro de 2006; Anexo II.123. Ofícios de resposta de 13, 15, 16, 17, 20, 21, 23, 28, 31 de março de 2006. Petição inicial de 8 de novembro de 2006 (Piauí, Amapá, Santa Catarina, Roraima, Bahia, Mato Grosso, Mato Grosso do Sul, Paraíba e Amazonas).</w:t>
      </w:r>
    </w:p>
  </w:footnote>
  <w:footnote w:id="170">
    <w:p w14:paraId="54217BFD"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II.124. Ofício No. 45/2006-GAB/DPF.B/MBA/PA de 24 de fevereiro de 2006. Petição inicial de 8 de novembro de 2006.</w:t>
      </w:r>
    </w:p>
  </w:footnote>
  <w:footnote w:id="171">
    <w:p w14:paraId="239E772C"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II.125. Carta encaminhando a procuração de Manoel Cardoso Neto de 6 de março de 2006. Petição inicial de 8 de novembro de 2006.</w:t>
      </w:r>
    </w:p>
  </w:footnote>
  <w:footnote w:id="172">
    <w:p w14:paraId="114E99CB"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II.126. Ofício Nº 085/2006-NO/DREX/SR/DPF/PA de 3 de abril de 2006. Petição inicial de 8 de novembro de 2006.</w:t>
      </w:r>
    </w:p>
  </w:footnote>
  <w:footnote w:id="173">
    <w:p w14:paraId="0F6ECD2D"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II.127. Ana Lúcia Nunes, “Justiça premia assassino”, </w:t>
      </w:r>
      <w:r w:rsidRPr="00632719">
        <w:rPr>
          <w:rFonts w:asciiTheme="majorHAnsi" w:hAnsiTheme="majorHAnsi"/>
          <w:i/>
          <w:sz w:val="16"/>
          <w:szCs w:val="16"/>
          <w:lang w:val="pt-BR"/>
        </w:rPr>
        <w:t>A Nova Democracia</w:t>
      </w:r>
      <w:r w:rsidRPr="00632719">
        <w:rPr>
          <w:rFonts w:asciiTheme="majorHAnsi" w:hAnsiTheme="majorHAnsi"/>
          <w:sz w:val="16"/>
          <w:szCs w:val="16"/>
          <w:lang w:val="pt-BR"/>
        </w:rPr>
        <w:t>, Ano V, No. 30, julho de 2006. Petição inicial de 8 de novembro de 2006.</w:t>
      </w:r>
    </w:p>
  </w:footnote>
  <w:footnote w:id="174">
    <w:p w14:paraId="28C1F551"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II.128. Despacho de Juiz Ricardo Felício Scaff de 5 de abril de 2006. Petição inicial de 8 de novembro de 2006.</w:t>
      </w:r>
    </w:p>
  </w:footnote>
  <w:footnote w:id="175">
    <w:p w14:paraId="33ECE038"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II.130. Habeas Corpus em favor de Manoel Cardoso Neto de 10 de abril de 2006. Petição inicial de 8 de novembro de 2006.</w:t>
      </w:r>
    </w:p>
  </w:footnote>
  <w:footnote w:id="176">
    <w:p w14:paraId="21629C3D"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II.130. Habeas Corpus em favor de Manoel Cardoso Neto de 10 de abril de 2006. Petição inicial de 8 de novembro de 2006.</w:t>
      </w:r>
    </w:p>
  </w:footnote>
  <w:footnote w:id="177">
    <w:p w14:paraId="5F10861B"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II.130. Habeas Corpus em favor de Manoel Cardoso Neto de 10 de abril de 2006. Petição inicial de 8 de novembro de 2006.</w:t>
      </w:r>
    </w:p>
  </w:footnote>
  <w:footnote w:id="178">
    <w:p w14:paraId="17F5B19F"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II.131. Requerimento do Ministério Público pedindo a decretação de prescrição de 12 de abril de 2006. Petição inicial de 8 de novembro de 2006.</w:t>
      </w:r>
    </w:p>
  </w:footnote>
  <w:footnote w:id="179">
    <w:p w14:paraId="47ABE53F"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II.134. Escrito da Comissão Pastoral da Terra contestando a tese da prescrição de 20 de abril de 2006. Petição inicial de 8 de novembro de 2006.</w:t>
      </w:r>
    </w:p>
  </w:footnote>
  <w:footnote w:id="180">
    <w:p w14:paraId="28867C7A"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II.136. Decisão do Juiz Ricardo Felício Scaff de 2 de maio de 2006. Petição inicial de 8 de novembro de 2006 (indeferindo o pedido de prescrição).</w:t>
      </w:r>
    </w:p>
  </w:footnote>
  <w:footnote w:id="181">
    <w:p w14:paraId="4A621EF3"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II.137. Decisão do Tribunal de Justiça do Pará de 8 de maio de 2006 e Alvará de Soltura No. 028/2006 de 8 de maio de 2006.  Petição inicial de 8 de novembro de 2006 (decisão declarando extinta a punibilidade do Manoel Cardoso Neto no caso do homicídio do Gabriel Sales Pimenta e revogando a prisão preventiva e alvará de soltura em favor de Manoel Cardoso Neto).</w:t>
      </w:r>
    </w:p>
  </w:footnote>
  <w:footnote w:id="182">
    <w:p w14:paraId="314A26D2"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II.138. Publicação do Diário Oficial do Estado do Pará de 18 de maio de 2006. Petição inicial de 8 de novembro de 2006.</w:t>
      </w:r>
    </w:p>
  </w:footnote>
  <w:footnote w:id="183">
    <w:p w14:paraId="04C01844"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12. Página de acompanhamento do Processo nº 200710000004997. Escrito da parte peticionária de 27 de abril de 2018.</w:t>
      </w:r>
    </w:p>
  </w:footnote>
  <w:footnote w:id="184">
    <w:p w14:paraId="586F913D"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13. Decisão da Corregedoria do Conselho Nacional de Justiça de 12 de setembro de 2008. Escrito da parte peticionária de 27 de abril de 2018.</w:t>
      </w:r>
    </w:p>
  </w:footnote>
  <w:footnote w:id="185">
    <w:p w14:paraId="4B23B544"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14. Sentença no Processo n. 0007348-91.2007.814.0028 de 5 de outubro de 2011. Escrito da parte peticionária de 27 de abril de 2018.</w:t>
      </w:r>
    </w:p>
  </w:footnote>
  <w:footnote w:id="186">
    <w:p w14:paraId="33EDBEF5"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14. Sentença no Processo n. 0007348-91.2007.814.0028 de 5 de outubro de 2011. Escrito da parte peticionária de 27 de abril de 2018.</w:t>
      </w:r>
    </w:p>
  </w:footnote>
  <w:footnote w:id="187">
    <w:p w14:paraId="42C37AE5"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14. Sentença no Processo n. 0007348-91.2007.814.0028 de 5 de outubro de 2011. Escrito da parte peticionária de 27 de abril de 2018: “O que na verdade restou em demasia comprovado, é que o Judiciário paraense foi incapaz de garantir a eficácia da sua decisão de garantir o acesso à terra e, tampouco, demonstrou condições necessárias de punir civil e criminalmente os infratores.” “Não se pode olvidar que impunidades provocadas pela morosidade, como esta [...], trazem consigo um incentivo a intensificação à criminalidade, bem como o descrédito à instituição judiciária e, por conseguinte, à própria figura do Estado.”</w:t>
      </w:r>
    </w:p>
  </w:footnote>
  <w:footnote w:id="188">
    <w:p w14:paraId="604E7E61"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31. Decisão no Processo n. 0007348-91.2007.814.0028 de 7 de junho de 2016. Escrito da parte peticionária de 27 de abril de 2018: “[A]inda que presente o dano moral suportado pela genitora da vítima, que teve seu filho assassinado em meio a conflito de terras na cidade de Marabá, não vislumbro na hipótese dos autos a prática de negligência deliberada na condução do processo por parte dos servidores do Poder Judiciário, suscetível de ocasionar retardamento injustificado na prestação jurisdicional, razão pela qual, resta fulminada a pretensão indenizatória da apelada”.</w:t>
      </w:r>
    </w:p>
  </w:footnote>
  <w:footnote w:id="189">
    <w:p w14:paraId="3E532B40"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Anexo 32. Decisão no Processo n. 0007348-91.2007.814.0028 de 27 de junho de 2017. Escrito da parte peticionária de 27 de abril de 2018.</w:t>
      </w:r>
    </w:p>
  </w:footnote>
  <w:footnote w:id="190">
    <w:p w14:paraId="15A5BECA" w14:textId="77777777" w:rsidR="00BA51DA" w:rsidRPr="00632719" w:rsidRDefault="00BA51DA" w:rsidP="00E00BF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sz w:val="16"/>
          <w:szCs w:val="16"/>
          <w:lang w:val="pt-BR" w:eastAsia="es-ES"/>
        </w:rPr>
      </w:pPr>
      <w:r w:rsidRPr="00632719">
        <w:rPr>
          <w:rStyle w:val="FootnoteReference"/>
          <w:rFonts w:asciiTheme="majorHAnsi" w:hAnsiTheme="majorHAnsi"/>
          <w:sz w:val="16"/>
          <w:szCs w:val="16"/>
          <w:lang w:val="pt-BR"/>
        </w:rPr>
        <w:footnoteRef/>
      </w:r>
      <w:r w:rsidRPr="00632719">
        <w:rPr>
          <w:rFonts w:asciiTheme="majorHAnsi" w:hAnsiTheme="majorHAnsi"/>
          <w:sz w:val="16"/>
          <w:szCs w:val="16"/>
          <w:lang w:val="pt-BR"/>
        </w:rPr>
        <w:t xml:space="preserve"> </w:t>
      </w:r>
      <w:r w:rsidRPr="00632719">
        <w:rPr>
          <w:rFonts w:asciiTheme="majorHAnsi" w:hAnsiTheme="majorHAnsi"/>
          <w:sz w:val="16"/>
          <w:szCs w:val="16"/>
          <w:lang w:val="pt-BR" w:eastAsia="es-ES"/>
        </w:rPr>
        <w:t xml:space="preserve">O artigo I da Declaração Americana dos Direitos e Deveres do Homem estabelece: </w:t>
      </w:r>
      <w:r w:rsidRPr="00632719">
        <w:rPr>
          <w:rFonts w:asciiTheme="majorHAnsi" w:eastAsia="Cambria" w:hAnsiTheme="majorHAnsi" w:cs="Verdana"/>
          <w:sz w:val="16"/>
          <w:szCs w:val="16"/>
          <w:u w:color="000000"/>
          <w:lang w:val="pt-BR" w:eastAsia="es-ES" w:bidi="en-US"/>
        </w:rPr>
        <w:t xml:space="preserve">“Todo ser humano tem direito à vida, à liberdade e à segurança de sua pessoa”. </w:t>
      </w:r>
    </w:p>
  </w:footnote>
  <w:footnote w:id="191">
    <w:p w14:paraId="1295005C" w14:textId="77777777" w:rsidR="00BA51DA" w:rsidRPr="00632719" w:rsidRDefault="00BA51DA" w:rsidP="00E00BF3">
      <w:pPr>
        <w:pStyle w:val="FootnoteText"/>
        <w:tabs>
          <w:tab w:val="left" w:pos="900"/>
          <w:tab w:val="left" w:pos="1080"/>
        </w:tabs>
        <w:jc w:val="both"/>
        <w:rPr>
          <w:rFonts w:asciiTheme="majorHAnsi" w:hAnsiTheme="majorHAnsi"/>
          <w:sz w:val="16"/>
          <w:szCs w:val="16"/>
          <w:lang w:val="pt-BR"/>
        </w:rPr>
      </w:pPr>
      <w:r w:rsidRPr="00632719">
        <w:rPr>
          <w:rStyle w:val="FootnoteReference"/>
          <w:rFonts w:asciiTheme="majorHAnsi" w:hAnsiTheme="majorHAnsi"/>
          <w:sz w:val="16"/>
          <w:szCs w:val="16"/>
          <w:lang w:val="pt-BR"/>
        </w:rPr>
        <w:footnoteRef/>
      </w:r>
      <w:r w:rsidRPr="00632719">
        <w:rPr>
          <w:rFonts w:asciiTheme="majorHAnsi" w:hAnsiTheme="majorHAnsi"/>
          <w:sz w:val="16"/>
          <w:szCs w:val="16"/>
          <w:lang w:val="pt-BR"/>
        </w:rPr>
        <w:t xml:space="preserve"> CIDH. </w:t>
      </w:r>
      <w:r w:rsidRPr="00632719">
        <w:rPr>
          <w:rFonts w:asciiTheme="majorHAnsi" w:hAnsiTheme="majorHAnsi"/>
          <w:i/>
          <w:sz w:val="16"/>
          <w:szCs w:val="16"/>
          <w:lang w:val="pt-BR"/>
        </w:rPr>
        <w:t xml:space="preserve">Informe sobre Terrorismo e Direitos Humanos. </w:t>
      </w:r>
      <w:r w:rsidRPr="00632719">
        <w:rPr>
          <w:rFonts w:asciiTheme="majorHAnsi" w:hAnsiTheme="majorHAnsi"/>
          <w:sz w:val="16"/>
          <w:szCs w:val="16"/>
          <w:lang w:val="pt-BR"/>
        </w:rPr>
        <w:t xml:space="preserve">2002. Parágrafo 81; Corte IDH.  </w:t>
      </w:r>
      <w:r w:rsidRPr="00632719">
        <w:rPr>
          <w:rFonts w:asciiTheme="majorHAnsi" w:hAnsiTheme="majorHAnsi"/>
          <w:i/>
          <w:sz w:val="16"/>
          <w:szCs w:val="16"/>
          <w:lang w:val="pt-BR"/>
        </w:rPr>
        <w:t>Caso Johan Alexis Ortiz Hernández Vs. Venezuela</w:t>
      </w:r>
      <w:r w:rsidRPr="00632719">
        <w:rPr>
          <w:rFonts w:asciiTheme="majorHAnsi" w:hAnsiTheme="majorHAnsi"/>
          <w:sz w:val="16"/>
          <w:szCs w:val="16"/>
          <w:lang w:val="pt-BR"/>
        </w:rPr>
        <w:t>. Mérito. 29 de janeiro de 2015. Par. 185.</w:t>
      </w:r>
    </w:p>
  </w:footnote>
  <w:footnote w:id="192">
    <w:p w14:paraId="793B8D01" w14:textId="77777777" w:rsidR="00BA51DA" w:rsidRPr="00632719" w:rsidRDefault="00BA51DA" w:rsidP="00E00BF3">
      <w:pPr>
        <w:pStyle w:val="FootnoteText"/>
        <w:tabs>
          <w:tab w:val="left" w:pos="720"/>
          <w:tab w:val="left" w:pos="900"/>
          <w:tab w:val="left" w:pos="1080"/>
        </w:tabs>
        <w:jc w:val="both"/>
        <w:rPr>
          <w:rFonts w:asciiTheme="majorHAnsi" w:hAnsiTheme="majorHAnsi"/>
          <w:sz w:val="16"/>
          <w:szCs w:val="16"/>
          <w:lang w:val="pt-BR"/>
        </w:rPr>
      </w:pPr>
      <w:r w:rsidRPr="00632719">
        <w:rPr>
          <w:rStyle w:val="FootnoteReference"/>
          <w:rFonts w:asciiTheme="majorHAnsi" w:hAnsiTheme="majorHAnsi"/>
          <w:sz w:val="16"/>
          <w:szCs w:val="16"/>
          <w:lang w:val="pt-BR"/>
        </w:rPr>
        <w:footnoteRef/>
      </w:r>
      <w:r w:rsidRPr="00632719">
        <w:rPr>
          <w:rFonts w:asciiTheme="majorHAnsi" w:hAnsiTheme="majorHAnsi"/>
          <w:sz w:val="16"/>
          <w:szCs w:val="16"/>
          <w:lang w:val="pt-BR"/>
        </w:rPr>
        <w:t xml:space="preserve"> Corte IDH. </w:t>
      </w:r>
      <w:r w:rsidRPr="00632719">
        <w:rPr>
          <w:rFonts w:asciiTheme="majorHAnsi" w:hAnsiTheme="majorHAnsi"/>
          <w:i/>
          <w:sz w:val="16"/>
          <w:szCs w:val="16"/>
          <w:lang w:val="pt-BR"/>
        </w:rPr>
        <w:t>Caso Johan Alexis Ortiz Hernández Vs. Venezuela</w:t>
      </w:r>
      <w:r w:rsidRPr="00632719">
        <w:rPr>
          <w:rFonts w:asciiTheme="majorHAnsi" w:hAnsiTheme="majorHAnsi"/>
          <w:sz w:val="16"/>
          <w:szCs w:val="16"/>
          <w:lang w:val="pt-BR"/>
        </w:rPr>
        <w:t xml:space="preserve">. Mérito. 29 de janeiro de 2015. Par.186. Veja também: Corte IDH. </w:t>
      </w:r>
      <w:r w:rsidRPr="00632719">
        <w:rPr>
          <w:rFonts w:asciiTheme="majorHAnsi" w:hAnsiTheme="majorHAnsi"/>
          <w:bCs/>
          <w:i/>
          <w:sz w:val="16"/>
          <w:szCs w:val="16"/>
          <w:lang w:val="pt-BR"/>
        </w:rPr>
        <w:t xml:space="preserve">Caso Zambrano Vélez e outros Vs. Equador. </w:t>
      </w:r>
      <w:r w:rsidRPr="00632719">
        <w:rPr>
          <w:rFonts w:asciiTheme="majorHAnsi" w:hAnsiTheme="majorHAnsi"/>
          <w:sz w:val="16"/>
          <w:szCs w:val="16"/>
          <w:lang w:val="pt-BR"/>
        </w:rPr>
        <w:t xml:space="preserve">Mérito, Reparações e Custas. Sentença de 4 de julho de 2007. Série C, Nº 166. Par. 80. </w:t>
      </w:r>
    </w:p>
  </w:footnote>
  <w:footnote w:id="193">
    <w:p w14:paraId="7C9D596B" w14:textId="77777777" w:rsidR="00BA51DA" w:rsidRPr="00632719" w:rsidRDefault="00BA51DA" w:rsidP="00E00BF3">
      <w:pPr>
        <w:pStyle w:val="FootnoteText"/>
        <w:tabs>
          <w:tab w:val="left" w:pos="9356"/>
        </w:tabs>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Corte IDH. </w:t>
      </w:r>
      <w:r w:rsidRPr="00632719">
        <w:rPr>
          <w:rFonts w:asciiTheme="majorHAnsi" w:hAnsiTheme="majorHAnsi"/>
          <w:bCs/>
          <w:i/>
          <w:sz w:val="16"/>
          <w:szCs w:val="16"/>
          <w:lang w:val="pt-BR"/>
        </w:rPr>
        <w:t xml:space="preserve">Caso Zambrano Vélez e outros Vs. Equador. </w:t>
      </w:r>
      <w:r w:rsidRPr="00632719">
        <w:rPr>
          <w:rFonts w:asciiTheme="majorHAnsi" w:hAnsiTheme="majorHAnsi"/>
          <w:sz w:val="16"/>
          <w:szCs w:val="16"/>
          <w:lang w:val="pt-BR"/>
        </w:rPr>
        <w:t xml:space="preserve">Mérito, Reparações e Custas. Sentença de 4 de julho de 2007. Série C, Nº 166. Par. 79; </w:t>
      </w:r>
      <w:hyperlink r:id="rId6" w:history="1">
        <w:r w:rsidRPr="00632719">
          <w:rPr>
            <w:rFonts w:asciiTheme="majorHAnsi" w:hAnsiTheme="majorHAnsi"/>
            <w:sz w:val="16"/>
            <w:szCs w:val="16"/>
            <w:lang w:val="pt-BR"/>
          </w:rPr>
          <w:t xml:space="preserve">Corte IDH. </w:t>
        </w:r>
        <w:r w:rsidRPr="00632719">
          <w:rPr>
            <w:rFonts w:asciiTheme="majorHAnsi" w:hAnsiTheme="majorHAnsi"/>
            <w:i/>
            <w:sz w:val="16"/>
            <w:szCs w:val="16"/>
            <w:lang w:val="pt-BR"/>
          </w:rPr>
          <w:t>Caso Baldeón García Vs. Peru.</w:t>
        </w:r>
        <w:r w:rsidRPr="00632719">
          <w:rPr>
            <w:rFonts w:asciiTheme="majorHAnsi" w:hAnsiTheme="majorHAnsi"/>
            <w:sz w:val="16"/>
            <w:szCs w:val="16"/>
            <w:lang w:val="pt-BR"/>
          </w:rPr>
          <w:t xml:space="preserve"> Mérito, Reparações e Custas. Sentença de 6 de abril de 2006. Série C Nº 147</w:t>
        </w:r>
      </w:hyperlink>
      <w:r w:rsidRPr="00632719">
        <w:rPr>
          <w:rFonts w:asciiTheme="majorHAnsi" w:hAnsiTheme="majorHAnsi"/>
          <w:sz w:val="16"/>
          <w:szCs w:val="16"/>
          <w:lang w:val="pt-BR"/>
        </w:rPr>
        <w:t xml:space="preserve">, par. 83. </w:t>
      </w:r>
    </w:p>
  </w:footnote>
  <w:footnote w:id="194">
    <w:p w14:paraId="3B7C5A07" w14:textId="77777777" w:rsidR="00BA51DA" w:rsidRPr="00632719" w:rsidRDefault="00BA51DA" w:rsidP="00E00BF3">
      <w:pPr>
        <w:jc w:val="both"/>
        <w:rPr>
          <w:rFonts w:asciiTheme="majorHAnsi" w:hAnsiTheme="majorHAnsi"/>
          <w:sz w:val="16"/>
          <w:szCs w:val="16"/>
          <w:lang w:val="pt-BR"/>
        </w:rPr>
      </w:pPr>
      <w:r w:rsidRPr="00632719">
        <w:rPr>
          <w:rFonts w:asciiTheme="majorHAnsi" w:hAnsiTheme="majorHAnsi" w:cs="Arial"/>
          <w:sz w:val="16"/>
          <w:szCs w:val="16"/>
          <w:vertAlign w:val="superscript"/>
          <w:lang w:val="pt-BR"/>
        </w:rPr>
        <w:footnoteRef/>
      </w:r>
      <w:r w:rsidRPr="00632719">
        <w:rPr>
          <w:rFonts w:asciiTheme="majorHAnsi" w:hAnsiTheme="majorHAnsi" w:cs="Arial"/>
          <w:sz w:val="16"/>
          <w:szCs w:val="16"/>
          <w:lang w:val="pt-BR"/>
        </w:rPr>
        <w:t xml:space="preserve"> </w:t>
      </w:r>
      <w:hyperlink r:id="rId7" w:history="1">
        <w:r w:rsidRPr="00632719">
          <w:rPr>
            <w:rFonts w:asciiTheme="majorHAnsi" w:hAnsiTheme="majorHAnsi"/>
            <w:sz w:val="16"/>
            <w:szCs w:val="16"/>
            <w:lang w:val="pt-BR"/>
          </w:rPr>
          <w:t xml:space="preserve">Corte IDH. </w:t>
        </w:r>
        <w:r w:rsidRPr="00632719">
          <w:rPr>
            <w:rFonts w:asciiTheme="majorHAnsi" w:hAnsiTheme="majorHAnsi"/>
            <w:i/>
            <w:sz w:val="16"/>
            <w:szCs w:val="16"/>
            <w:lang w:val="pt-BR"/>
          </w:rPr>
          <w:t>Caso González Medina e familiares Vs. República Dominicana</w:t>
        </w:r>
        <w:r w:rsidRPr="00632719">
          <w:rPr>
            <w:rFonts w:asciiTheme="majorHAnsi" w:hAnsiTheme="majorHAnsi"/>
            <w:sz w:val="16"/>
            <w:szCs w:val="16"/>
            <w:lang w:val="pt-BR"/>
          </w:rPr>
          <w:t>. Exceções Preliminares, Mérito, Reparações e Custas. Sentença de 27 de fevereiro de 2012 Série C Nº 240</w:t>
        </w:r>
      </w:hyperlink>
      <w:r w:rsidRPr="00632719">
        <w:rPr>
          <w:rFonts w:asciiTheme="majorHAnsi" w:hAnsiTheme="majorHAnsi"/>
          <w:sz w:val="16"/>
          <w:szCs w:val="16"/>
          <w:lang w:val="pt-BR"/>
        </w:rPr>
        <w:t xml:space="preserve">, parágrafo133; </w:t>
      </w:r>
      <w:r w:rsidRPr="00632719">
        <w:rPr>
          <w:rFonts w:asciiTheme="majorHAnsi" w:hAnsiTheme="majorHAnsi" w:cs="Arial"/>
          <w:sz w:val="16"/>
          <w:szCs w:val="16"/>
          <w:lang w:val="pt-BR"/>
        </w:rPr>
        <w:t xml:space="preserve">Corte IDH. </w:t>
      </w:r>
      <w:r w:rsidRPr="00632719">
        <w:rPr>
          <w:rFonts w:asciiTheme="majorHAnsi" w:hAnsiTheme="majorHAnsi" w:cs="Arial"/>
          <w:i/>
          <w:sz w:val="16"/>
          <w:szCs w:val="16"/>
          <w:lang w:val="pt-BR"/>
        </w:rPr>
        <w:t>Caso do Massacre de Pueblo Bello vs. Colômbia</w:t>
      </w:r>
      <w:r w:rsidRPr="00632719">
        <w:rPr>
          <w:rFonts w:asciiTheme="majorHAnsi" w:hAnsiTheme="majorHAnsi" w:cs="Arial"/>
          <w:sz w:val="16"/>
          <w:szCs w:val="16"/>
          <w:lang w:val="pt-BR"/>
        </w:rPr>
        <w:t>. Sentença de 31 de janeiro de 2006, Série C Nº 140, par. 112.</w:t>
      </w:r>
    </w:p>
  </w:footnote>
  <w:footnote w:id="195">
    <w:p w14:paraId="2C9697A2" w14:textId="77777777" w:rsidR="00BA51DA" w:rsidRPr="00632719" w:rsidRDefault="00BA51DA" w:rsidP="00E00BF3">
      <w:pPr>
        <w:jc w:val="both"/>
        <w:rPr>
          <w:rFonts w:asciiTheme="majorHAnsi" w:hAnsiTheme="majorHAnsi"/>
          <w:sz w:val="16"/>
          <w:szCs w:val="16"/>
          <w:lang w:val="pt-BR"/>
        </w:rPr>
      </w:pPr>
      <w:r w:rsidRPr="00632719">
        <w:rPr>
          <w:rStyle w:val="FootnoteReference"/>
          <w:rFonts w:asciiTheme="majorHAnsi" w:hAnsiTheme="majorHAnsi"/>
          <w:sz w:val="16"/>
          <w:szCs w:val="16"/>
          <w:lang w:val="pt-BR"/>
        </w:rPr>
        <w:footnoteRef/>
      </w:r>
      <w:r w:rsidRPr="00632719">
        <w:rPr>
          <w:rFonts w:asciiTheme="majorHAnsi" w:hAnsiTheme="majorHAnsi"/>
          <w:sz w:val="16"/>
          <w:szCs w:val="16"/>
          <w:lang w:val="pt-BR"/>
        </w:rPr>
        <w:t xml:space="preserve"> Corte IDH. </w:t>
      </w:r>
      <w:r w:rsidRPr="00632719">
        <w:rPr>
          <w:rFonts w:asciiTheme="majorHAnsi" w:hAnsiTheme="majorHAnsi"/>
          <w:i/>
          <w:sz w:val="16"/>
          <w:szCs w:val="16"/>
          <w:lang w:val="pt-BR"/>
        </w:rPr>
        <w:t>Caso Velásquez Rodríguez Vs. Honduras</w:t>
      </w:r>
      <w:r w:rsidRPr="00632719">
        <w:rPr>
          <w:rFonts w:asciiTheme="majorHAnsi" w:hAnsiTheme="majorHAnsi"/>
          <w:sz w:val="16"/>
          <w:szCs w:val="16"/>
          <w:lang w:val="pt-BR"/>
        </w:rPr>
        <w:t xml:space="preserve">. </w:t>
      </w:r>
      <w:hyperlink r:id="rId8" w:history="1">
        <w:r w:rsidRPr="00632719">
          <w:rPr>
            <w:rStyle w:val="Hyperlink"/>
            <w:rFonts w:asciiTheme="majorHAnsi" w:hAnsiTheme="majorHAnsi" w:cs="Arial"/>
            <w:sz w:val="16"/>
            <w:szCs w:val="16"/>
            <w:u w:val="none"/>
            <w:shd w:val="clear" w:color="auto" w:fill="FFFFFF"/>
            <w:lang w:val="pt-BR"/>
          </w:rPr>
          <w:t>Mérito. Sentença de 29 de julho de 1988. Série C Nº 4</w:t>
        </w:r>
      </w:hyperlink>
      <w:r w:rsidRPr="00632719">
        <w:rPr>
          <w:rStyle w:val="Hyperlink"/>
          <w:rFonts w:asciiTheme="majorHAnsi" w:hAnsiTheme="majorHAnsi" w:cs="Arial"/>
          <w:sz w:val="16"/>
          <w:szCs w:val="16"/>
          <w:u w:val="none"/>
          <w:shd w:val="clear" w:color="auto" w:fill="FFFFFF"/>
          <w:lang w:val="pt-BR"/>
        </w:rPr>
        <w:t xml:space="preserve">. Parágrafo 166. </w:t>
      </w:r>
    </w:p>
  </w:footnote>
  <w:footnote w:id="196">
    <w:p w14:paraId="2843FA92" w14:textId="77777777" w:rsidR="00BA51DA" w:rsidRPr="00632719" w:rsidRDefault="00BA51DA" w:rsidP="00E00BF3">
      <w:pPr>
        <w:jc w:val="both"/>
        <w:rPr>
          <w:rFonts w:asciiTheme="majorHAnsi" w:hAnsiTheme="majorHAnsi"/>
          <w:sz w:val="16"/>
          <w:szCs w:val="16"/>
          <w:lang w:val="pt-BR"/>
        </w:rPr>
      </w:pPr>
      <w:r w:rsidRPr="00632719">
        <w:rPr>
          <w:rStyle w:val="FootnoteReference"/>
          <w:rFonts w:asciiTheme="majorHAnsi" w:hAnsiTheme="majorHAnsi"/>
          <w:sz w:val="16"/>
          <w:szCs w:val="16"/>
          <w:lang w:val="pt-BR"/>
        </w:rPr>
        <w:footnoteRef/>
      </w:r>
      <w:r w:rsidRPr="00632719">
        <w:rPr>
          <w:rFonts w:asciiTheme="majorHAnsi" w:hAnsiTheme="majorHAnsi"/>
          <w:sz w:val="16"/>
          <w:szCs w:val="16"/>
          <w:lang w:val="pt-BR"/>
        </w:rPr>
        <w:t xml:space="preserve"> Corte IDH. </w:t>
      </w:r>
      <w:r w:rsidRPr="00632719">
        <w:rPr>
          <w:rFonts w:asciiTheme="majorHAnsi" w:hAnsiTheme="majorHAnsi"/>
          <w:i/>
          <w:iCs/>
          <w:sz w:val="16"/>
          <w:szCs w:val="16"/>
          <w:lang w:val="pt-BR"/>
        </w:rPr>
        <w:t>Caso</w:t>
      </w:r>
      <w:r w:rsidRPr="00632719">
        <w:rPr>
          <w:rFonts w:asciiTheme="majorHAnsi" w:hAnsiTheme="majorHAnsi"/>
          <w:i/>
          <w:sz w:val="16"/>
          <w:szCs w:val="16"/>
          <w:lang w:val="pt-BR"/>
        </w:rPr>
        <w:t xml:space="preserve"> do </w:t>
      </w:r>
      <w:r w:rsidRPr="00632719">
        <w:rPr>
          <w:rFonts w:asciiTheme="majorHAnsi" w:hAnsiTheme="majorHAnsi"/>
          <w:i/>
          <w:iCs/>
          <w:sz w:val="16"/>
          <w:szCs w:val="16"/>
          <w:lang w:val="pt-BR"/>
        </w:rPr>
        <w:t>Massacre de Pueblo Bello</w:t>
      </w:r>
      <w:r w:rsidRPr="00632719">
        <w:rPr>
          <w:rFonts w:asciiTheme="majorHAnsi" w:hAnsiTheme="majorHAnsi"/>
          <w:sz w:val="16"/>
          <w:szCs w:val="16"/>
          <w:lang w:val="pt-BR"/>
        </w:rPr>
        <w:t xml:space="preserve"> </w:t>
      </w:r>
      <w:r w:rsidRPr="00632719">
        <w:rPr>
          <w:rFonts w:asciiTheme="majorHAnsi" w:hAnsiTheme="majorHAnsi"/>
          <w:i/>
          <w:iCs/>
          <w:sz w:val="16"/>
          <w:szCs w:val="16"/>
          <w:lang w:val="pt-BR"/>
        </w:rPr>
        <w:t>Vs. Colômbia</w:t>
      </w:r>
      <w:r w:rsidRPr="00632719">
        <w:rPr>
          <w:rFonts w:asciiTheme="majorHAnsi" w:hAnsiTheme="majorHAnsi"/>
          <w:sz w:val="16"/>
          <w:szCs w:val="16"/>
          <w:lang w:val="pt-BR"/>
        </w:rPr>
        <w:t>. Sentença de 31 de janeiro de 2006. Série C Nº 140. Parágrafo 113.</w:t>
      </w:r>
    </w:p>
  </w:footnote>
  <w:footnote w:id="197">
    <w:p w14:paraId="52F068E9" w14:textId="77777777" w:rsidR="00BA51DA" w:rsidRPr="00632719" w:rsidRDefault="00BA51DA" w:rsidP="00E00BF3">
      <w:pPr>
        <w:pStyle w:val="FootnoteText"/>
        <w:tabs>
          <w:tab w:val="left" w:pos="720"/>
        </w:tabs>
        <w:jc w:val="both"/>
        <w:rPr>
          <w:rFonts w:asciiTheme="majorHAnsi" w:hAnsiTheme="majorHAnsi"/>
          <w:sz w:val="16"/>
          <w:szCs w:val="16"/>
          <w:lang w:val="pt-BR"/>
        </w:rPr>
      </w:pPr>
      <w:r w:rsidRPr="00632719">
        <w:rPr>
          <w:rStyle w:val="FootnoteReference"/>
          <w:rFonts w:asciiTheme="majorHAnsi" w:hAnsiTheme="majorHAnsi"/>
          <w:sz w:val="16"/>
          <w:szCs w:val="16"/>
          <w:lang w:val="pt-BR"/>
        </w:rPr>
        <w:footnoteRef/>
      </w:r>
      <w:r w:rsidRPr="00632719">
        <w:rPr>
          <w:rFonts w:asciiTheme="majorHAnsi" w:hAnsiTheme="majorHAnsi"/>
          <w:sz w:val="16"/>
          <w:szCs w:val="16"/>
          <w:lang w:val="pt-BR"/>
        </w:rPr>
        <w:t xml:space="preserve"> Corte IDH. </w:t>
      </w:r>
      <w:r w:rsidRPr="00632719">
        <w:rPr>
          <w:rFonts w:asciiTheme="majorHAnsi" w:hAnsiTheme="majorHAnsi"/>
          <w:i/>
          <w:iCs/>
          <w:sz w:val="16"/>
          <w:szCs w:val="16"/>
          <w:lang w:val="pt-BR"/>
        </w:rPr>
        <w:t>Caso do Massacre de Mapiripán</w:t>
      </w:r>
      <w:r w:rsidRPr="00632719">
        <w:rPr>
          <w:rFonts w:asciiTheme="majorHAnsi" w:hAnsiTheme="majorHAnsi"/>
          <w:sz w:val="16"/>
          <w:szCs w:val="16"/>
          <w:lang w:val="pt-BR"/>
        </w:rPr>
        <w:t>. Sentença de 15 de setembro de 2005. Série C Nº 134. Parágrafo 111.</w:t>
      </w:r>
    </w:p>
  </w:footnote>
  <w:footnote w:id="198">
    <w:p w14:paraId="6BF5A37C" w14:textId="77777777" w:rsidR="00BA51DA" w:rsidRPr="00632719" w:rsidRDefault="00BA51DA" w:rsidP="00E00BF3">
      <w:pPr>
        <w:pStyle w:val="FootnoteText"/>
        <w:tabs>
          <w:tab w:val="left" w:pos="720"/>
        </w:tabs>
        <w:jc w:val="both"/>
        <w:rPr>
          <w:rFonts w:asciiTheme="majorHAnsi" w:hAnsiTheme="majorHAnsi"/>
          <w:sz w:val="16"/>
          <w:szCs w:val="16"/>
          <w:lang w:val="pt-BR"/>
        </w:rPr>
      </w:pPr>
      <w:r w:rsidRPr="00632719">
        <w:rPr>
          <w:rStyle w:val="FootnoteReference"/>
          <w:rFonts w:asciiTheme="majorHAnsi" w:hAnsiTheme="majorHAnsi"/>
          <w:sz w:val="16"/>
          <w:szCs w:val="16"/>
          <w:lang w:val="pt-BR"/>
        </w:rPr>
        <w:footnoteRef/>
      </w:r>
      <w:r w:rsidRPr="00632719">
        <w:rPr>
          <w:rFonts w:asciiTheme="majorHAnsi" w:hAnsiTheme="majorHAnsi"/>
          <w:sz w:val="16"/>
          <w:szCs w:val="16"/>
          <w:lang w:val="pt-BR"/>
        </w:rPr>
        <w:t xml:space="preserve"> Corte IDH. </w:t>
      </w:r>
      <w:r w:rsidRPr="00632719">
        <w:rPr>
          <w:rFonts w:asciiTheme="majorHAnsi" w:hAnsiTheme="majorHAnsi"/>
          <w:i/>
          <w:iCs/>
          <w:sz w:val="16"/>
          <w:szCs w:val="16"/>
          <w:lang w:val="pt-BR"/>
        </w:rPr>
        <w:t>Caso</w:t>
      </w:r>
      <w:r w:rsidRPr="00632719">
        <w:rPr>
          <w:rFonts w:asciiTheme="majorHAnsi" w:hAnsiTheme="majorHAnsi"/>
          <w:i/>
          <w:sz w:val="16"/>
          <w:szCs w:val="16"/>
          <w:lang w:val="pt-BR"/>
        </w:rPr>
        <w:t xml:space="preserve"> do </w:t>
      </w:r>
      <w:r w:rsidRPr="00632719">
        <w:rPr>
          <w:rFonts w:asciiTheme="majorHAnsi" w:hAnsiTheme="majorHAnsi"/>
          <w:i/>
          <w:iCs/>
          <w:sz w:val="16"/>
          <w:szCs w:val="16"/>
          <w:lang w:val="pt-BR"/>
        </w:rPr>
        <w:t>Massacre de Pueblo Bello</w:t>
      </w:r>
      <w:r w:rsidRPr="00632719">
        <w:rPr>
          <w:rFonts w:asciiTheme="majorHAnsi" w:hAnsiTheme="majorHAnsi"/>
          <w:sz w:val="16"/>
          <w:szCs w:val="16"/>
          <w:lang w:val="pt-BR"/>
        </w:rPr>
        <w:t xml:space="preserve"> </w:t>
      </w:r>
      <w:r w:rsidRPr="00632719">
        <w:rPr>
          <w:rFonts w:asciiTheme="majorHAnsi" w:hAnsiTheme="majorHAnsi"/>
          <w:i/>
          <w:sz w:val="16"/>
          <w:szCs w:val="16"/>
          <w:lang w:val="pt-BR"/>
        </w:rPr>
        <w:t>Vs. Colômbia</w:t>
      </w:r>
      <w:r w:rsidRPr="00632719">
        <w:rPr>
          <w:rFonts w:asciiTheme="majorHAnsi" w:hAnsiTheme="majorHAnsi"/>
          <w:sz w:val="16"/>
          <w:szCs w:val="16"/>
          <w:lang w:val="pt-BR"/>
        </w:rPr>
        <w:t>. Sentença de 31 de janeiro de 2006. Série C Nº 140. Parágrafo 117.</w:t>
      </w:r>
    </w:p>
  </w:footnote>
  <w:footnote w:id="199">
    <w:p w14:paraId="498DBB04"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CIDH, Informe No. 80/11. Caso. No. 12.626, </w:t>
      </w:r>
      <w:r w:rsidRPr="00632719">
        <w:rPr>
          <w:rFonts w:asciiTheme="majorHAnsi" w:hAnsiTheme="majorHAnsi"/>
          <w:i/>
          <w:sz w:val="16"/>
          <w:szCs w:val="16"/>
          <w:lang w:val="pt-BR"/>
        </w:rPr>
        <w:t xml:space="preserve">Jessica Lenahan (Gonzáles) e outros. </w:t>
      </w:r>
      <w:r w:rsidRPr="00632719">
        <w:rPr>
          <w:rFonts w:asciiTheme="majorHAnsi" w:hAnsiTheme="majorHAnsi"/>
          <w:sz w:val="16"/>
          <w:szCs w:val="16"/>
          <w:lang w:val="pt-BR"/>
        </w:rPr>
        <w:t xml:space="preserve">Estados Unidos. 21 de julho de 2011, parágrafo 119. </w:t>
      </w:r>
    </w:p>
  </w:footnote>
  <w:footnote w:id="200">
    <w:p w14:paraId="5D4C62BE"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A jurisprudência da Corte Europeia a respeito dos elementos assinalados no dever de prevenção foi retomada pela Corte Interamericana em várias de suas sentenças. Neste sentido, ver: Corte IDH. </w:t>
      </w:r>
      <w:r w:rsidRPr="00632719">
        <w:rPr>
          <w:rFonts w:asciiTheme="majorHAnsi" w:hAnsiTheme="majorHAnsi"/>
          <w:i/>
          <w:sz w:val="16"/>
          <w:szCs w:val="16"/>
          <w:lang w:val="pt-BR"/>
        </w:rPr>
        <w:t>Caso do Massacre de Pueblo Bello Vs. Colômbia</w:t>
      </w:r>
      <w:r w:rsidRPr="00632719">
        <w:rPr>
          <w:rFonts w:asciiTheme="majorHAnsi" w:hAnsiTheme="majorHAnsi"/>
          <w:sz w:val="16"/>
          <w:szCs w:val="16"/>
          <w:lang w:val="pt-BR"/>
        </w:rPr>
        <w:t xml:space="preserve">. Sentença de 31 de janeiro de 2006. Série C Nº 140. Parágrafo 124.  Corte IDH. </w:t>
      </w:r>
      <w:r w:rsidRPr="00632719">
        <w:rPr>
          <w:rFonts w:asciiTheme="majorHAnsi" w:hAnsiTheme="majorHAnsi"/>
          <w:i/>
          <w:sz w:val="16"/>
          <w:szCs w:val="16"/>
          <w:lang w:val="pt-BR"/>
        </w:rPr>
        <w:t>Caso González e outras (“Campo Algodonero”) Vs. México</w:t>
      </w:r>
      <w:r w:rsidRPr="00632719">
        <w:rPr>
          <w:rFonts w:asciiTheme="majorHAnsi" w:hAnsiTheme="majorHAnsi"/>
          <w:sz w:val="16"/>
          <w:szCs w:val="16"/>
          <w:lang w:val="pt-BR"/>
        </w:rPr>
        <w:t xml:space="preserve">. Exceção Preliminar, Mérito, Reparações e Custas. Sentença de 16 de novembro de 2009. Série C Nº205. Parágrafo 284; Corte IDH. </w:t>
      </w:r>
      <w:r w:rsidRPr="00632719">
        <w:rPr>
          <w:rFonts w:asciiTheme="majorHAnsi" w:hAnsiTheme="majorHAnsi"/>
          <w:i/>
          <w:sz w:val="16"/>
          <w:szCs w:val="16"/>
          <w:lang w:val="pt-BR"/>
        </w:rPr>
        <w:t>Caso Luna López Vs. Honduras</w:t>
      </w:r>
      <w:r w:rsidRPr="00632719">
        <w:rPr>
          <w:rFonts w:asciiTheme="majorHAnsi" w:hAnsiTheme="majorHAnsi"/>
          <w:sz w:val="16"/>
          <w:szCs w:val="16"/>
          <w:lang w:val="pt-BR"/>
        </w:rPr>
        <w:t>. Mérito, Reparações e Custas. Sentença de 10 de outubro de 2013. Série C Nº 269. Parágrafo 124.</w:t>
      </w:r>
    </w:p>
  </w:footnote>
  <w:footnote w:id="201">
    <w:p w14:paraId="5674E824" w14:textId="77777777" w:rsidR="00BA51DA" w:rsidRPr="00632719" w:rsidRDefault="00BA51DA" w:rsidP="00E00BF3">
      <w:pPr>
        <w:pStyle w:val="FootnoteText"/>
        <w:tabs>
          <w:tab w:val="left" w:pos="720"/>
        </w:tabs>
        <w:jc w:val="both"/>
        <w:rPr>
          <w:rFonts w:asciiTheme="majorHAnsi" w:hAnsiTheme="majorHAnsi"/>
          <w:sz w:val="16"/>
          <w:szCs w:val="16"/>
        </w:rPr>
      </w:pPr>
      <w:r w:rsidRPr="00632719">
        <w:rPr>
          <w:rStyle w:val="FootnoteReference"/>
          <w:rFonts w:asciiTheme="majorHAnsi" w:hAnsiTheme="majorHAnsi"/>
          <w:sz w:val="16"/>
          <w:szCs w:val="16"/>
          <w:lang w:val="pt-BR"/>
        </w:rPr>
        <w:footnoteRef/>
      </w:r>
      <w:r w:rsidRPr="00632719">
        <w:rPr>
          <w:rFonts w:asciiTheme="majorHAnsi" w:hAnsiTheme="majorHAnsi"/>
          <w:sz w:val="16"/>
          <w:szCs w:val="16"/>
          <w:lang w:val="pt-BR"/>
        </w:rPr>
        <w:t xml:space="preserve"> Corte IDH. </w:t>
      </w:r>
      <w:r w:rsidRPr="00632719">
        <w:rPr>
          <w:rFonts w:asciiTheme="majorHAnsi" w:hAnsiTheme="majorHAnsi"/>
          <w:i/>
          <w:iCs/>
          <w:sz w:val="16"/>
          <w:szCs w:val="16"/>
          <w:lang w:val="pt-BR"/>
        </w:rPr>
        <w:t>Caso</w:t>
      </w:r>
      <w:r w:rsidRPr="00632719">
        <w:rPr>
          <w:rFonts w:asciiTheme="majorHAnsi" w:hAnsiTheme="majorHAnsi"/>
          <w:i/>
          <w:sz w:val="16"/>
          <w:szCs w:val="16"/>
          <w:lang w:val="pt-BR"/>
        </w:rPr>
        <w:t xml:space="preserve"> do </w:t>
      </w:r>
      <w:r w:rsidRPr="00632719">
        <w:rPr>
          <w:rFonts w:asciiTheme="majorHAnsi" w:hAnsiTheme="majorHAnsi"/>
          <w:i/>
          <w:iCs/>
          <w:sz w:val="16"/>
          <w:szCs w:val="16"/>
          <w:lang w:val="pt-BR"/>
        </w:rPr>
        <w:t>Massacre de Pueblo Bello</w:t>
      </w:r>
      <w:r w:rsidRPr="00632719">
        <w:rPr>
          <w:rFonts w:asciiTheme="majorHAnsi" w:hAnsiTheme="majorHAnsi"/>
          <w:iCs/>
          <w:sz w:val="16"/>
          <w:szCs w:val="16"/>
          <w:lang w:val="pt-BR"/>
        </w:rPr>
        <w:t xml:space="preserve"> </w:t>
      </w:r>
      <w:r w:rsidRPr="00632719">
        <w:rPr>
          <w:rFonts w:asciiTheme="majorHAnsi" w:hAnsiTheme="majorHAnsi"/>
          <w:i/>
          <w:iCs/>
          <w:sz w:val="16"/>
          <w:szCs w:val="16"/>
          <w:lang w:val="pt-BR"/>
        </w:rPr>
        <w:t>Vs. Colômbia</w:t>
      </w:r>
      <w:r w:rsidRPr="00632719">
        <w:rPr>
          <w:rFonts w:asciiTheme="majorHAnsi" w:hAnsiTheme="majorHAnsi"/>
          <w:sz w:val="16"/>
          <w:szCs w:val="16"/>
          <w:lang w:val="pt-BR"/>
        </w:rPr>
        <w:t xml:space="preserve">. Sentença de 31 de janeiro de 2006. </w:t>
      </w:r>
      <w:r w:rsidRPr="00632719">
        <w:rPr>
          <w:rFonts w:asciiTheme="majorHAnsi" w:hAnsiTheme="majorHAnsi"/>
          <w:sz w:val="16"/>
          <w:szCs w:val="16"/>
        </w:rPr>
        <w:t>Série C Nº 140. Parágrafo 117.</w:t>
      </w:r>
    </w:p>
  </w:footnote>
  <w:footnote w:id="202">
    <w:p w14:paraId="5DFA941A" w14:textId="77777777" w:rsidR="00BA51DA" w:rsidRPr="00632719" w:rsidRDefault="00BA51DA" w:rsidP="00E00BF3">
      <w:pPr>
        <w:jc w:val="both"/>
        <w:rPr>
          <w:rFonts w:asciiTheme="majorHAnsi" w:eastAsia="Times New Roman" w:hAnsiTheme="majorHAnsi"/>
          <w:sz w:val="16"/>
          <w:szCs w:val="16"/>
          <w:lang w:val="pt-BR"/>
        </w:rPr>
      </w:pPr>
      <w:r w:rsidRPr="00632719">
        <w:rPr>
          <w:rStyle w:val="FootnoteReference"/>
          <w:rFonts w:asciiTheme="majorHAnsi" w:hAnsiTheme="majorHAnsi"/>
          <w:sz w:val="16"/>
          <w:szCs w:val="16"/>
          <w:lang w:val="pt-BR"/>
        </w:rPr>
        <w:footnoteRef/>
      </w:r>
      <w:r w:rsidRPr="00632719">
        <w:rPr>
          <w:rFonts w:asciiTheme="majorHAnsi" w:hAnsiTheme="majorHAnsi" w:cs="Arial"/>
          <w:sz w:val="16"/>
          <w:szCs w:val="16"/>
        </w:rPr>
        <w:t xml:space="preserve"> Cf. European Court of Human Rights, </w:t>
      </w:r>
      <w:r w:rsidRPr="00632719">
        <w:rPr>
          <w:rFonts w:asciiTheme="majorHAnsi" w:hAnsiTheme="majorHAnsi" w:cs="Arial"/>
          <w:i/>
          <w:sz w:val="16"/>
          <w:szCs w:val="16"/>
        </w:rPr>
        <w:t>Kiliç v. Turkey</w:t>
      </w:r>
      <w:r w:rsidRPr="00632719">
        <w:rPr>
          <w:rFonts w:asciiTheme="majorHAnsi" w:hAnsiTheme="majorHAnsi" w:cs="Arial"/>
          <w:sz w:val="16"/>
          <w:szCs w:val="16"/>
        </w:rPr>
        <w:t xml:space="preserve">, judgment of 28 March 2000, Application No. 22492/93, paras. 62 and 63; Osman v. the United Kingdom, judgment of 28 October 1998, Reports of Judgments and Decisions 1998-VIII , paras. </w:t>
      </w:r>
      <w:r w:rsidRPr="00632719">
        <w:rPr>
          <w:rFonts w:asciiTheme="majorHAnsi" w:hAnsiTheme="majorHAnsi" w:cs="Arial"/>
          <w:sz w:val="16"/>
          <w:szCs w:val="16"/>
          <w:lang w:val="pt-BR"/>
        </w:rPr>
        <w:t xml:space="preserve">115 and 116. Tradução da Secretaria da Corte Interamericana de Direitos Humanos, Cf. Corte IDH, </w:t>
      </w:r>
      <w:r w:rsidRPr="00632719">
        <w:rPr>
          <w:rFonts w:asciiTheme="majorHAnsi" w:hAnsiTheme="majorHAnsi" w:cs="Arial"/>
          <w:i/>
          <w:sz w:val="16"/>
          <w:szCs w:val="16"/>
          <w:lang w:val="pt-BR"/>
        </w:rPr>
        <w:t>Caso do Massacre de Pueblo Bello</w:t>
      </w:r>
      <w:r w:rsidRPr="00632719">
        <w:rPr>
          <w:rFonts w:asciiTheme="majorHAnsi" w:hAnsiTheme="majorHAnsi" w:cs="Arial"/>
          <w:sz w:val="16"/>
          <w:szCs w:val="16"/>
          <w:lang w:val="pt-BR"/>
        </w:rPr>
        <w:t xml:space="preserve"> </w:t>
      </w:r>
      <w:r w:rsidRPr="00632719">
        <w:rPr>
          <w:rFonts w:asciiTheme="majorHAnsi" w:hAnsiTheme="majorHAnsi"/>
          <w:i/>
          <w:iCs/>
          <w:sz w:val="16"/>
          <w:szCs w:val="16"/>
          <w:lang w:val="pt-BR"/>
        </w:rPr>
        <w:t>Vs. Colômbia</w:t>
      </w:r>
      <w:r w:rsidRPr="00632719">
        <w:rPr>
          <w:rFonts w:asciiTheme="majorHAnsi" w:hAnsiTheme="majorHAnsi" w:cs="Arial"/>
          <w:sz w:val="16"/>
          <w:szCs w:val="16"/>
          <w:lang w:val="pt-BR"/>
        </w:rPr>
        <w:t xml:space="preserve">. Sentença de 31 de janeiro de 2006. </w:t>
      </w:r>
      <w:r w:rsidRPr="00632719">
        <w:rPr>
          <w:rFonts w:asciiTheme="majorHAnsi" w:hAnsiTheme="majorHAnsi"/>
          <w:sz w:val="16"/>
          <w:szCs w:val="16"/>
          <w:lang w:val="pt-BR"/>
        </w:rPr>
        <w:t>Série C Nº 140. Parágrafo</w:t>
      </w:r>
      <w:r w:rsidRPr="00632719">
        <w:rPr>
          <w:rFonts w:asciiTheme="majorHAnsi" w:hAnsiTheme="majorHAnsi" w:cs="Arial"/>
          <w:sz w:val="16"/>
          <w:szCs w:val="16"/>
          <w:lang w:val="pt-BR"/>
        </w:rPr>
        <w:t xml:space="preserve"> 124. Citação de pé de página 203.</w:t>
      </w:r>
    </w:p>
  </w:footnote>
  <w:footnote w:id="203">
    <w:p w14:paraId="7110A047"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rPr>
        <w:footnoteRef/>
      </w:r>
      <w:r w:rsidRPr="00632719">
        <w:rPr>
          <w:rFonts w:asciiTheme="majorHAnsi" w:hAnsiTheme="majorHAnsi"/>
          <w:sz w:val="16"/>
          <w:szCs w:val="16"/>
          <w:lang w:val="pt-BR"/>
        </w:rPr>
        <w:t xml:space="preserve"> CIDH, Informe No. 80/11. Caso. No. 12.626, </w:t>
      </w:r>
      <w:r w:rsidRPr="00632719">
        <w:rPr>
          <w:rFonts w:asciiTheme="majorHAnsi" w:hAnsiTheme="majorHAnsi"/>
          <w:i/>
          <w:sz w:val="16"/>
          <w:szCs w:val="16"/>
          <w:lang w:val="pt-BR"/>
        </w:rPr>
        <w:t xml:space="preserve">Jessica Lenahan (Gonzáles) e outros. </w:t>
      </w:r>
      <w:r w:rsidRPr="00632719">
        <w:rPr>
          <w:rFonts w:asciiTheme="majorHAnsi" w:hAnsiTheme="majorHAnsi"/>
          <w:sz w:val="16"/>
          <w:szCs w:val="16"/>
          <w:lang w:val="pt-BR"/>
        </w:rPr>
        <w:t xml:space="preserve">Estados Unidos. 21 de julho de 2011, parágrafo 137. </w:t>
      </w:r>
    </w:p>
  </w:footnote>
  <w:footnote w:id="204">
    <w:p w14:paraId="25E1C725"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lang w:val="pt-BR"/>
        </w:rPr>
        <w:footnoteRef/>
      </w:r>
      <w:r w:rsidRPr="00632719">
        <w:rPr>
          <w:rFonts w:asciiTheme="majorHAnsi" w:hAnsiTheme="majorHAnsi"/>
          <w:sz w:val="16"/>
          <w:szCs w:val="16"/>
          <w:lang w:val="pt-BR"/>
        </w:rPr>
        <w:t xml:space="preserve"> Ver CIDH, Relatório Nº 24/98, Caso 11.287, João Canuto Oliveira, Brasil, 7 de abril de 1998, par. 53.</w:t>
      </w:r>
    </w:p>
  </w:footnote>
  <w:footnote w:id="205">
    <w:p w14:paraId="61A199F3" w14:textId="77777777" w:rsidR="00BA51DA" w:rsidRPr="00632719" w:rsidRDefault="00BA51DA" w:rsidP="00E00BF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sz w:val="16"/>
          <w:szCs w:val="16"/>
          <w:lang w:val="pt-BR" w:eastAsia="es-ES"/>
        </w:rPr>
      </w:pPr>
      <w:r w:rsidRPr="00632719">
        <w:rPr>
          <w:rStyle w:val="FootnoteReference"/>
          <w:rFonts w:asciiTheme="majorHAnsi" w:hAnsiTheme="majorHAnsi"/>
          <w:sz w:val="16"/>
          <w:szCs w:val="16"/>
          <w:lang w:val="pt-BR"/>
        </w:rPr>
        <w:footnoteRef/>
      </w:r>
      <w:r w:rsidRPr="00632719">
        <w:rPr>
          <w:rFonts w:asciiTheme="majorHAnsi" w:hAnsiTheme="majorHAnsi"/>
          <w:sz w:val="16"/>
          <w:szCs w:val="16"/>
          <w:lang w:val="pt-BR"/>
        </w:rPr>
        <w:t xml:space="preserve"> </w:t>
      </w:r>
      <w:r w:rsidRPr="00632719">
        <w:rPr>
          <w:rFonts w:asciiTheme="majorHAnsi" w:hAnsiTheme="majorHAnsi"/>
          <w:sz w:val="16"/>
          <w:szCs w:val="16"/>
          <w:lang w:val="pt-BR" w:eastAsia="es-ES"/>
        </w:rPr>
        <w:t xml:space="preserve">O artigo XXII da Declaração Americana dos Direitos e Deveres do Homem estabelece: </w:t>
      </w:r>
      <w:r w:rsidRPr="00632719">
        <w:rPr>
          <w:rFonts w:asciiTheme="majorHAnsi" w:eastAsia="Cambria" w:hAnsiTheme="majorHAnsi" w:cs="Verdana"/>
          <w:sz w:val="16"/>
          <w:szCs w:val="16"/>
          <w:u w:color="000000"/>
          <w:lang w:val="pt-BR" w:eastAsia="es-ES" w:bidi="en-US"/>
        </w:rPr>
        <w:t>“</w:t>
      </w:r>
      <w:r w:rsidRPr="00632719">
        <w:rPr>
          <w:rFonts w:asciiTheme="majorHAnsi" w:hAnsiTheme="majorHAnsi"/>
          <w:color w:val="000000"/>
          <w:spacing w:val="-3"/>
          <w:sz w:val="16"/>
          <w:szCs w:val="16"/>
          <w:lang w:val="pt-BR"/>
        </w:rPr>
        <w:t>Toda pessoa tem o direito de se associar com outras a fim de promover, exercer e proteger os seus interesses legítimos, de ordem política, econômica, religiosa, social, cultural, profissional, sindical ou de qualquer outra natureza</w:t>
      </w:r>
      <w:r w:rsidRPr="00632719">
        <w:rPr>
          <w:rFonts w:asciiTheme="majorHAnsi" w:eastAsia="Cambria" w:hAnsiTheme="majorHAnsi" w:cs="Verdana"/>
          <w:sz w:val="16"/>
          <w:szCs w:val="16"/>
          <w:u w:color="000000"/>
          <w:lang w:val="pt-BR" w:eastAsia="es-ES" w:bidi="en-US"/>
        </w:rPr>
        <w:t xml:space="preserve">”.  </w:t>
      </w:r>
    </w:p>
  </w:footnote>
  <w:footnote w:id="206">
    <w:p w14:paraId="0F9BF25F"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lang w:val="pt-BR"/>
        </w:rPr>
        <w:footnoteRef/>
      </w:r>
      <w:r w:rsidRPr="00632719">
        <w:rPr>
          <w:rFonts w:asciiTheme="majorHAnsi" w:hAnsiTheme="majorHAnsi"/>
          <w:sz w:val="16"/>
          <w:szCs w:val="16"/>
          <w:lang w:val="pt-BR"/>
        </w:rPr>
        <w:t xml:space="preserve"> Tribunal Europeu de Direitos Humanos, caso Ärzte für das Leben” v. Áustria, Judgment of 21 June 1988, Série A Nº 139, par. 32, citado em Corte IDH, Caso Huilca Tecse vs. Peru, Mérito, Reparações e Custas. Sentença de 3 de março de 2005. Série C Nº 121, par.76.</w:t>
      </w:r>
    </w:p>
  </w:footnote>
  <w:footnote w:id="207">
    <w:p w14:paraId="6CADD9FC"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lang w:val="pt-BR"/>
        </w:rPr>
        <w:footnoteRef/>
      </w:r>
      <w:r w:rsidRPr="00632719">
        <w:rPr>
          <w:rFonts w:asciiTheme="majorHAnsi" w:hAnsiTheme="majorHAnsi"/>
          <w:sz w:val="16"/>
          <w:szCs w:val="16"/>
          <w:lang w:val="pt-BR"/>
        </w:rPr>
        <w:t xml:space="preserve"> Corte IDH, Caso Huilca Tecse vs. Peru, Mérito, Reparações e Custas. Sentença de 3 de março de 2005. Série C Nº 121, par. 70-71.</w:t>
      </w:r>
    </w:p>
  </w:footnote>
  <w:footnote w:id="208">
    <w:p w14:paraId="64909095"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lang w:val="pt-BR"/>
        </w:rPr>
        <w:footnoteRef/>
      </w:r>
      <w:r w:rsidRPr="00632719">
        <w:rPr>
          <w:rFonts w:asciiTheme="majorHAnsi" w:hAnsiTheme="majorHAnsi"/>
          <w:sz w:val="16"/>
          <w:szCs w:val="16"/>
          <w:lang w:val="pt-BR"/>
        </w:rPr>
        <w:t>Corte IDH, Caso Baena Ricardo e outros vs. Panamá, Mérito, Reparações e Custas. Sentença de 2 de fevereiro de 2001, Série C Nº 72, par.159.</w:t>
      </w:r>
    </w:p>
  </w:footnote>
  <w:footnote w:id="209">
    <w:p w14:paraId="19077DAC"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lang w:val="pt-BR"/>
        </w:rPr>
        <w:footnoteRef/>
      </w:r>
      <w:r w:rsidRPr="00632719">
        <w:rPr>
          <w:rFonts w:asciiTheme="majorHAnsi" w:hAnsiTheme="majorHAnsi"/>
          <w:sz w:val="16"/>
          <w:szCs w:val="16"/>
          <w:lang w:val="pt-BR"/>
        </w:rPr>
        <w:t xml:space="preserve">CIDH, Relatório Nº 69/06, Caso 11.171, Mérito, Tomas Lares Cipriano, Guatemala, 21 de outubro de 2006.  Par.117. </w:t>
      </w:r>
    </w:p>
  </w:footnote>
  <w:footnote w:id="210">
    <w:p w14:paraId="4F6CE548"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lang w:val="pt-BR"/>
        </w:rPr>
        <w:footnoteRef/>
      </w:r>
      <w:r w:rsidRPr="00632719">
        <w:rPr>
          <w:rFonts w:asciiTheme="majorHAnsi" w:hAnsiTheme="majorHAnsi"/>
          <w:sz w:val="16"/>
          <w:szCs w:val="16"/>
          <w:lang w:val="pt-BR"/>
        </w:rPr>
        <w:t xml:space="preserve"> CIDH, Segundo Relatório sobre a situação das defensoras e defensores de direitos humanos nas Américas, OEA/Ser.L/V/II.Doc.66, 31 de dezembro de 2011, par.157. </w:t>
      </w:r>
    </w:p>
  </w:footnote>
  <w:footnote w:id="211">
    <w:p w14:paraId="609089E8" w14:textId="77777777" w:rsidR="00BA51DA" w:rsidRPr="00632719" w:rsidRDefault="00BA51DA" w:rsidP="00C50907">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jc w:val="both"/>
        <w:rPr>
          <w:rFonts w:asciiTheme="majorHAnsi" w:hAnsiTheme="majorHAnsi"/>
          <w:sz w:val="16"/>
          <w:szCs w:val="16"/>
          <w:lang w:val="pt-BR" w:eastAsia="es-ES"/>
        </w:rPr>
      </w:pPr>
      <w:r w:rsidRPr="00632719">
        <w:rPr>
          <w:rStyle w:val="FootnoteReference"/>
          <w:rFonts w:asciiTheme="majorHAnsi" w:hAnsiTheme="majorHAnsi"/>
          <w:sz w:val="16"/>
          <w:szCs w:val="16"/>
          <w:lang w:val="pt-BR"/>
        </w:rPr>
        <w:footnoteRef/>
      </w:r>
      <w:r w:rsidRPr="00632719">
        <w:rPr>
          <w:rFonts w:asciiTheme="majorHAnsi" w:hAnsiTheme="majorHAnsi"/>
          <w:sz w:val="16"/>
          <w:szCs w:val="16"/>
          <w:lang w:val="pt-BR"/>
        </w:rPr>
        <w:t xml:space="preserve"> </w:t>
      </w:r>
      <w:r w:rsidRPr="00632719">
        <w:rPr>
          <w:rFonts w:asciiTheme="majorHAnsi" w:hAnsiTheme="majorHAnsi"/>
          <w:sz w:val="16"/>
          <w:szCs w:val="16"/>
          <w:lang w:val="pt-BR" w:eastAsia="es-ES"/>
        </w:rPr>
        <w:t>O artigo XVIII da Declaração Americana dos Direitos e Deveres do Homem estabelece: “</w:t>
      </w:r>
      <w:r w:rsidRPr="00632719">
        <w:rPr>
          <w:rFonts w:asciiTheme="majorHAnsi" w:hAnsiTheme="majorHAnsi"/>
          <w:color w:val="000000"/>
          <w:spacing w:val="-3"/>
          <w:sz w:val="16"/>
          <w:szCs w:val="16"/>
          <w:lang w:val="pt-BR"/>
        </w:rPr>
        <w:t>Toda pessoa pode recorrer aos tribunais para fazer respeitar os seus direitos.  Deve poder contar, outrossim, com processo simples e breve, mediante o qual a justiça a proteja contra atos de autoridade que violem, em seu prejuízo, qualquer dos direitos fundamentais consagrados constitucionalmente</w:t>
      </w:r>
      <w:r w:rsidRPr="00632719">
        <w:rPr>
          <w:rFonts w:asciiTheme="majorHAnsi" w:eastAsia="Cambria" w:hAnsiTheme="majorHAnsi" w:cs="Verdana"/>
          <w:color w:val="000000"/>
          <w:sz w:val="16"/>
          <w:szCs w:val="16"/>
          <w:u w:color="000000"/>
          <w:lang w:val="pt-BR" w:eastAsia="es-ES" w:bidi="en-US"/>
        </w:rPr>
        <w:t>”.</w:t>
      </w:r>
    </w:p>
  </w:footnote>
  <w:footnote w:id="212">
    <w:p w14:paraId="2407667E" w14:textId="77777777" w:rsidR="00BA51DA" w:rsidRPr="00632719" w:rsidRDefault="00BA51DA" w:rsidP="00C50907">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lang w:val="pt-BR"/>
        </w:rPr>
        <w:footnoteRef/>
      </w:r>
      <w:r w:rsidRPr="00632719">
        <w:rPr>
          <w:rFonts w:asciiTheme="majorHAnsi" w:hAnsiTheme="majorHAnsi"/>
          <w:sz w:val="16"/>
          <w:szCs w:val="16"/>
          <w:lang w:val="pt-BR"/>
        </w:rPr>
        <w:t xml:space="preserve"> O artigo 8.1 da Convenção estabelece: “</w:t>
      </w:r>
      <w:r w:rsidRPr="00632719">
        <w:rPr>
          <w:rFonts w:asciiTheme="majorHAnsi" w:hAnsiTheme="majorHAnsi"/>
          <w:spacing w:val="-3"/>
          <w:sz w:val="16"/>
          <w:szCs w:val="16"/>
          <w:lang w:val="pt-BR"/>
        </w:rPr>
        <w:t>Toda pessoa tem direito a ser ouvida, com as devidas garantias e dentro de um prazo razoável, por um juiz ou tribunal competente, independente e imparcial, estabelecido anteriormente por lei, na apuração de qualquer acusação penal formulada contra ela, ou para que se determinem seus direitos ou obrigações de natureza civil, trabalhista, fiscal ou de qualquer outra natureza</w:t>
      </w:r>
      <w:r w:rsidRPr="00632719">
        <w:rPr>
          <w:rFonts w:asciiTheme="majorHAnsi" w:hAnsiTheme="majorHAnsi" w:cs="Tahoma"/>
          <w:sz w:val="16"/>
          <w:szCs w:val="16"/>
          <w:lang w:val="pt-BR"/>
        </w:rPr>
        <w:t>.”</w:t>
      </w:r>
    </w:p>
  </w:footnote>
  <w:footnote w:id="213">
    <w:p w14:paraId="4AF3C81D" w14:textId="77777777" w:rsidR="00BA51DA" w:rsidRPr="00632719" w:rsidRDefault="00BA51DA" w:rsidP="00C5090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sz w:val="16"/>
          <w:szCs w:val="16"/>
          <w:lang w:val="pt-BR"/>
        </w:rPr>
      </w:pPr>
      <w:r w:rsidRPr="00632719">
        <w:rPr>
          <w:rStyle w:val="FootnoteReference"/>
          <w:rFonts w:asciiTheme="majorHAnsi" w:hAnsiTheme="majorHAnsi"/>
          <w:sz w:val="16"/>
          <w:szCs w:val="16"/>
          <w:lang w:val="pt-BR"/>
        </w:rPr>
        <w:footnoteRef/>
      </w:r>
      <w:r w:rsidRPr="00632719">
        <w:rPr>
          <w:rFonts w:asciiTheme="majorHAnsi" w:hAnsiTheme="majorHAnsi"/>
          <w:sz w:val="16"/>
          <w:szCs w:val="16"/>
          <w:lang w:val="pt-BR"/>
        </w:rPr>
        <w:t xml:space="preserve"> O artigo 25.1 da Convenção estabelece: “</w:t>
      </w:r>
      <w:r w:rsidRPr="00632719">
        <w:rPr>
          <w:rFonts w:asciiTheme="majorHAnsi" w:hAnsiTheme="majorHAnsi"/>
          <w:color w:val="000000"/>
          <w:spacing w:val="-3"/>
          <w:sz w:val="16"/>
          <w:szCs w:val="16"/>
          <w:lang w:val="pt-BR"/>
        </w:rPr>
        <w:t>Toda pessoa tem direito a um recurso simples e rápido ou a qualquer outro recurso efetivo, perante os juízes ou tribunais competentes, que a proteja contra atos que violem seus direitos fundamentais reconhecidos pela constituição, pela lei ou pela presente Convenção, mesmo quando tal violação seja cometida por pessoas que estejam atuando no exercício de suas funções oficiais.</w:t>
      </w:r>
      <w:r w:rsidRPr="00632719">
        <w:rPr>
          <w:rFonts w:asciiTheme="majorHAnsi" w:hAnsiTheme="majorHAnsi" w:cs="Verdana"/>
          <w:sz w:val="16"/>
          <w:szCs w:val="16"/>
          <w:lang w:val="pt-BR" w:bidi="en-US"/>
        </w:rPr>
        <w:t>”</w:t>
      </w:r>
    </w:p>
  </w:footnote>
  <w:footnote w:id="214">
    <w:p w14:paraId="0550E04C" w14:textId="77777777" w:rsidR="00BA51DA" w:rsidRPr="00632719" w:rsidRDefault="00BA51DA" w:rsidP="00C50907">
      <w:pPr>
        <w:pStyle w:val="NormalWeb"/>
        <w:spacing w:before="0" w:beforeAutospacing="0" w:after="0" w:afterAutospacing="0"/>
        <w:jc w:val="both"/>
        <w:rPr>
          <w:rFonts w:asciiTheme="majorHAnsi" w:hAnsiTheme="majorHAnsi"/>
          <w:sz w:val="16"/>
          <w:szCs w:val="16"/>
          <w:lang w:val="pt-BR"/>
        </w:rPr>
      </w:pPr>
      <w:r w:rsidRPr="00632719">
        <w:rPr>
          <w:rStyle w:val="FootnoteReference"/>
          <w:rFonts w:asciiTheme="majorHAnsi" w:eastAsia="Trebuchet MS" w:hAnsiTheme="majorHAnsi"/>
          <w:sz w:val="16"/>
          <w:szCs w:val="16"/>
          <w:lang w:val="pt-BR"/>
        </w:rPr>
        <w:footnoteRef/>
      </w:r>
      <w:r w:rsidRPr="00632719">
        <w:rPr>
          <w:rFonts w:asciiTheme="majorHAnsi" w:hAnsiTheme="majorHAnsi"/>
          <w:sz w:val="16"/>
          <w:szCs w:val="16"/>
          <w:lang w:val="pt-BR"/>
        </w:rPr>
        <w:t xml:space="preserve"> CIDH, Relatório Nº 71/15. Caso 12.879. Mérito. Vladimir Herzog e outros. Brasil. 28 de outubro de 2015, par. 192; CIDH, Relatório Nº 40/04, Caso Nº 12.053, Comunidade Indígena Maya (Belize), Relatório Anual da CIDH 2004, par. 174; CIDH, Relatório Nº 54/01, Caso 12.051, Maria da Penha Fernandes (Brasil), 16 de abril de 2001, par. 37.</w:t>
      </w:r>
      <w:r w:rsidRPr="00632719">
        <w:rPr>
          <w:rFonts w:asciiTheme="majorHAnsi" w:hAnsiTheme="majorHAnsi" w:cs="Arial"/>
          <w:sz w:val="16"/>
          <w:szCs w:val="16"/>
          <w:lang w:val="pt-BR"/>
        </w:rPr>
        <w:t xml:space="preserve"> </w:t>
      </w:r>
    </w:p>
  </w:footnote>
  <w:footnote w:id="215">
    <w:p w14:paraId="0AB97C55" w14:textId="77777777" w:rsidR="00BA51DA" w:rsidRPr="00632719" w:rsidRDefault="00BA51DA" w:rsidP="00C50907">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lang w:val="pt-BR"/>
        </w:rPr>
        <w:footnoteRef/>
      </w:r>
      <w:r w:rsidRPr="00632719">
        <w:rPr>
          <w:rFonts w:asciiTheme="majorHAnsi" w:hAnsiTheme="majorHAnsi"/>
          <w:sz w:val="16"/>
          <w:szCs w:val="16"/>
          <w:lang w:val="pt-BR"/>
        </w:rPr>
        <w:t xml:space="preserve"> Corte IDH, Caso Barrios Altos Vs. Peru. Mérito. Sentença de 14 de março de 2001. Série C Nº 75, par. 48.</w:t>
      </w:r>
    </w:p>
  </w:footnote>
  <w:footnote w:id="216">
    <w:p w14:paraId="08E38F9D" w14:textId="77777777" w:rsidR="00BA51DA" w:rsidRPr="00632719" w:rsidRDefault="00BA51DA" w:rsidP="00C50907">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lang w:val="pt-BR"/>
        </w:rPr>
        <w:footnoteRef/>
      </w:r>
      <w:r w:rsidRPr="00632719">
        <w:rPr>
          <w:rFonts w:asciiTheme="majorHAnsi" w:hAnsiTheme="majorHAnsi"/>
          <w:sz w:val="16"/>
          <w:szCs w:val="16"/>
          <w:lang w:val="pt-BR"/>
        </w:rPr>
        <w:t xml:space="preserve"> Corte IDH, Caso Loayza Tamayo Vs. Peru. Reparações e Custas. Sentença de 27 de novembro de 1998. Série C Nº 42, par. 169; Caso Fairén Garbi e Solís Corrales Vs. Honduras. Exceções Preliminares. Sentença de 26 de junho de 1987. Série C Nº 2, par. 90.</w:t>
      </w:r>
    </w:p>
  </w:footnote>
  <w:footnote w:id="217">
    <w:p w14:paraId="1D093F7F" w14:textId="77777777" w:rsidR="00BA51DA" w:rsidRPr="00632719" w:rsidRDefault="00BA51DA" w:rsidP="00C50907">
      <w:pPr>
        <w:pStyle w:val="FootnoteText"/>
        <w:jc w:val="both"/>
        <w:rPr>
          <w:rFonts w:asciiTheme="majorHAnsi" w:hAnsiTheme="majorHAnsi"/>
          <w:color w:val="auto"/>
          <w:sz w:val="16"/>
          <w:szCs w:val="16"/>
          <w:lang w:val="pt-BR"/>
        </w:rPr>
      </w:pPr>
      <w:r w:rsidRPr="00632719">
        <w:rPr>
          <w:rStyle w:val="FootnoteReference"/>
          <w:rFonts w:asciiTheme="majorHAnsi" w:hAnsiTheme="majorHAnsi"/>
          <w:color w:val="auto"/>
          <w:sz w:val="16"/>
          <w:szCs w:val="16"/>
          <w:lang w:val="pt-BR"/>
        </w:rPr>
        <w:footnoteRef/>
      </w:r>
      <w:r w:rsidRPr="00632719">
        <w:rPr>
          <w:rStyle w:val="FootnoteReference"/>
          <w:rFonts w:asciiTheme="majorHAnsi" w:hAnsiTheme="majorHAnsi"/>
          <w:color w:val="auto"/>
          <w:sz w:val="16"/>
          <w:szCs w:val="16"/>
          <w:lang w:val="pt-BR"/>
        </w:rPr>
        <w:t xml:space="preserve"> </w:t>
      </w:r>
      <w:r w:rsidRPr="00632719">
        <w:rPr>
          <w:rFonts w:asciiTheme="majorHAnsi" w:hAnsiTheme="majorHAnsi"/>
          <w:color w:val="auto"/>
          <w:sz w:val="16"/>
          <w:szCs w:val="16"/>
          <w:lang w:val="pt-BR"/>
        </w:rPr>
        <w:t xml:space="preserve"> Corte IDH, Caso Velásquez Rodríguez Vs. Honduras. Mérito. Sentença de 29 de julho de 1988. Série C Nº 4, par. 177; e </w:t>
      </w:r>
      <w:r w:rsidRPr="00632719">
        <w:rPr>
          <w:rFonts w:asciiTheme="majorHAnsi" w:hAnsiTheme="majorHAnsi"/>
          <w:bCs/>
          <w:color w:val="auto"/>
          <w:sz w:val="16"/>
          <w:szCs w:val="16"/>
          <w:lang w:val="pt-BR"/>
        </w:rPr>
        <w:t xml:space="preserve">Caso Cantoral Huamaní e García Santa Cruz Vs. Peru. </w:t>
      </w:r>
      <w:r w:rsidRPr="00632719">
        <w:rPr>
          <w:rFonts w:asciiTheme="majorHAnsi" w:hAnsiTheme="majorHAnsi"/>
          <w:color w:val="auto"/>
          <w:sz w:val="16"/>
          <w:szCs w:val="16"/>
          <w:lang w:val="pt-BR"/>
        </w:rPr>
        <w:t xml:space="preserve">Exceção Preliminar, Mérito, Reparações e Custas. Sentença de 10 de julho de 2007. Série C Nº 167, par. 131. </w:t>
      </w:r>
    </w:p>
  </w:footnote>
  <w:footnote w:id="218">
    <w:p w14:paraId="06D5AD3A" w14:textId="77777777" w:rsidR="00BA51DA" w:rsidRPr="00632719" w:rsidRDefault="00BA51DA" w:rsidP="00C50907">
      <w:pPr>
        <w:tabs>
          <w:tab w:val="left" w:pos="567"/>
        </w:tabs>
        <w:jc w:val="both"/>
        <w:rPr>
          <w:rFonts w:asciiTheme="majorHAnsi" w:hAnsiTheme="majorHAnsi" w:cs="Calibri"/>
          <w:color w:val="000000"/>
          <w:sz w:val="16"/>
          <w:szCs w:val="16"/>
          <w:u w:color="000000"/>
          <w:lang w:val="pt-BR" w:eastAsia="es-ES"/>
        </w:rPr>
      </w:pPr>
      <w:r w:rsidRPr="00632719">
        <w:rPr>
          <w:rStyle w:val="FootnoteReference"/>
          <w:rFonts w:asciiTheme="majorHAnsi" w:hAnsiTheme="majorHAnsi"/>
          <w:spacing w:val="-6"/>
          <w:sz w:val="16"/>
          <w:szCs w:val="16"/>
          <w:lang w:val="pt-BR"/>
        </w:rPr>
        <w:footnoteRef/>
      </w:r>
      <w:r w:rsidRPr="00632719">
        <w:rPr>
          <w:rFonts w:asciiTheme="majorHAnsi" w:hAnsiTheme="majorHAnsi" w:cs="Calibri"/>
          <w:color w:val="000000"/>
          <w:sz w:val="16"/>
          <w:szCs w:val="16"/>
          <w:u w:color="000000"/>
          <w:lang w:val="pt-BR" w:eastAsia="es-ES"/>
        </w:rPr>
        <w:t xml:space="preserve"> Corte IDH. Caso Velásquez Rodríguez Vs. Honduras. Mérito. Sentença de 29 de julho de 1988. Série C Nº 1, par. 177; e Caso Veliz Franco e outros Vs. Guatemala. Exceções Preliminares. Mérito, Reparações e Custas. Sentença de 19 de maio de 2014. Série C Nº 277, par.183.</w:t>
      </w:r>
    </w:p>
  </w:footnote>
  <w:footnote w:id="219">
    <w:p w14:paraId="4E63457D" w14:textId="77777777" w:rsidR="00BA51DA" w:rsidRPr="00632719" w:rsidRDefault="00BA51DA" w:rsidP="00C50907">
      <w:pPr>
        <w:pStyle w:val="FootnoteText"/>
        <w:jc w:val="both"/>
        <w:rPr>
          <w:rFonts w:asciiTheme="majorHAnsi" w:hAnsiTheme="majorHAnsi"/>
          <w:color w:val="auto"/>
          <w:sz w:val="16"/>
          <w:szCs w:val="16"/>
          <w:lang w:val="pt-BR"/>
        </w:rPr>
      </w:pPr>
      <w:r w:rsidRPr="00632719">
        <w:rPr>
          <w:rStyle w:val="FootnoteReference"/>
          <w:rFonts w:asciiTheme="majorHAnsi" w:hAnsiTheme="majorHAnsi"/>
          <w:color w:val="auto"/>
          <w:sz w:val="16"/>
          <w:szCs w:val="16"/>
          <w:lang w:val="pt-BR"/>
        </w:rPr>
        <w:footnoteRef/>
      </w:r>
      <w:r w:rsidRPr="00632719">
        <w:rPr>
          <w:rFonts w:asciiTheme="majorHAnsi" w:hAnsiTheme="majorHAnsi"/>
          <w:color w:val="auto"/>
          <w:sz w:val="16"/>
          <w:szCs w:val="16"/>
          <w:lang w:val="pt-BR"/>
        </w:rPr>
        <w:t xml:space="preserve"> CIDH, Relatório sobre a Situação das Defensoras e Defensores dos Direitos Humanos nas Américas OEA/Ser.L/V/II.124. Doc. 5 rev.1, 7 de março de 2006, par. 109. Corte I.D.H., </w:t>
      </w:r>
      <w:r w:rsidRPr="00632719">
        <w:rPr>
          <w:rFonts w:asciiTheme="majorHAnsi" w:hAnsiTheme="majorHAnsi"/>
          <w:bCs/>
          <w:color w:val="auto"/>
          <w:sz w:val="16"/>
          <w:szCs w:val="16"/>
          <w:lang w:val="pt-BR"/>
        </w:rPr>
        <w:t>Caso dos Hermanos Gómez Paquiyauri Vs. Peru.</w:t>
      </w:r>
      <w:r w:rsidRPr="00632719">
        <w:rPr>
          <w:rFonts w:asciiTheme="majorHAnsi" w:hAnsiTheme="majorHAnsi"/>
          <w:b/>
          <w:bCs/>
          <w:color w:val="auto"/>
          <w:sz w:val="16"/>
          <w:szCs w:val="16"/>
          <w:lang w:val="pt-BR"/>
        </w:rPr>
        <w:t xml:space="preserve"> </w:t>
      </w:r>
      <w:r w:rsidRPr="00632719">
        <w:rPr>
          <w:rFonts w:asciiTheme="majorHAnsi" w:hAnsiTheme="majorHAnsi"/>
          <w:color w:val="auto"/>
          <w:sz w:val="16"/>
          <w:szCs w:val="16"/>
          <w:lang w:val="pt-BR"/>
        </w:rPr>
        <w:t xml:space="preserve">Mérito, Reparações e Custas. Sentença de 8 de julho de 2004. Série C Nº 110, par. 146; </w:t>
      </w:r>
      <w:r w:rsidRPr="00632719">
        <w:rPr>
          <w:rFonts w:asciiTheme="majorHAnsi" w:hAnsiTheme="majorHAnsi"/>
          <w:bCs/>
          <w:color w:val="auto"/>
          <w:sz w:val="16"/>
          <w:szCs w:val="16"/>
          <w:lang w:val="pt-BR"/>
        </w:rPr>
        <w:t xml:space="preserve">Caso Myrna Mack Chang Vs. Guatemala. </w:t>
      </w:r>
      <w:r w:rsidRPr="00632719">
        <w:rPr>
          <w:rFonts w:asciiTheme="majorHAnsi" w:hAnsiTheme="majorHAnsi"/>
          <w:color w:val="auto"/>
          <w:sz w:val="16"/>
          <w:szCs w:val="16"/>
          <w:lang w:val="pt-BR"/>
        </w:rPr>
        <w:t xml:space="preserve">Mérito, Reparações e Custas. Sentença de 25 de novembro de 2003. Série C Nº 101, par. 275; </w:t>
      </w:r>
      <w:r w:rsidRPr="00632719">
        <w:rPr>
          <w:rFonts w:asciiTheme="majorHAnsi" w:hAnsiTheme="majorHAnsi"/>
          <w:bCs/>
          <w:color w:val="auto"/>
          <w:sz w:val="16"/>
          <w:szCs w:val="16"/>
          <w:lang w:val="pt-BR"/>
        </w:rPr>
        <w:t>Caso Juan Humberto Sánchez Vs. Honduras.</w:t>
      </w:r>
      <w:r w:rsidRPr="00632719">
        <w:rPr>
          <w:rFonts w:asciiTheme="majorHAnsi" w:hAnsiTheme="majorHAnsi"/>
          <w:b/>
          <w:bCs/>
          <w:color w:val="auto"/>
          <w:sz w:val="16"/>
          <w:szCs w:val="16"/>
          <w:lang w:val="pt-BR"/>
        </w:rPr>
        <w:t xml:space="preserve"> </w:t>
      </w:r>
      <w:r w:rsidRPr="00632719">
        <w:rPr>
          <w:rFonts w:asciiTheme="majorHAnsi" w:hAnsiTheme="majorHAnsi"/>
          <w:color w:val="auto"/>
          <w:sz w:val="16"/>
          <w:szCs w:val="16"/>
          <w:lang w:val="pt-BR"/>
        </w:rPr>
        <w:t xml:space="preserve">Exceção Preliminar, Mérito, Reparações e Custas. Sentença de 7 de junho de 2003. Série C Nº 99, par. 186; e </w:t>
      </w:r>
      <w:r w:rsidRPr="00632719">
        <w:rPr>
          <w:rFonts w:asciiTheme="majorHAnsi" w:hAnsiTheme="majorHAnsi"/>
          <w:bCs/>
          <w:color w:val="auto"/>
          <w:sz w:val="16"/>
          <w:szCs w:val="16"/>
          <w:lang w:val="pt-BR"/>
        </w:rPr>
        <w:t xml:space="preserve">Caso do Tribunal Constitucional Vs. Peru. </w:t>
      </w:r>
      <w:r w:rsidRPr="00632719">
        <w:rPr>
          <w:rFonts w:asciiTheme="majorHAnsi" w:hAnsiTheme="majorHAnsi"/>
          <w:color w:val="auto"/>
          <w:sz w:val="16"/>
          <w:szCs w:val="16"/>
          <w:lang w:val="pt-BR"/>
        </w:rPr>
        <w:t xml:space="preserve">Competência. Sentença de 24 de setembro de 1999. Série C Nº 55, par. 123.  </w:t>
      </w:r>
    </w:p>
  </w:footnote>
  <w:footnote w:id="220">
    <w:p w14:paraId="516DA7D2" w14:textId="77777777" w:rsidR="00BA51DA" w:rsidRPr="00632719" w:rsidRDefault="00BA51DA" w:rsidP="00C50907">
      <w:pPr>
        <w:jc w:val="both"/>
        <w:rPr>
          <w:rFonts w:asciiTheme="majorHAnsi" w:hAnsiTheme="majorHAnsi"/>
          <w:sz w:val="16"/>
          <w:szCs w:val="16"/>
          <w:lang w:val="pt-BR"/>
        </w:rPr>
      </w:pPr>
      <w:r w:rsidRPr="00632719">
        <w:rPr>
          <w:rStyle w:val="FootnoteReference"/>
          <w:rFonts w:asciiTheme="majorHAnsi" w:hAnsiTheme="majorHAnsi"/>
          <w:sz w:val="16"/>
          <w:szCs w:val="16"/>
          <w:lang w:val="pt-BR"/>
        </w:rPr>
        <w:footnoteRef/>
      </w:r>
      <w:r w:rsidRPr="00632719">
        <w:rPr>
          <w:rFonts w:asciiTheme="majorHAnsi" w:hAnsiTheme="majorHAnsi"/>
          <w:sz w:val="16"/>
          <w:szCs w:val="16"/>
          <w:lang w:val="pt-BR"/>
        </w:rPr>
        <w:t xml:space="preserve"> Corte IDH, Caso Gómez Palomino Vs. Peru. </w:t>
      </w:r>
      <w:hyperlink r:id="rId9" w:history="1">
        <w:r w:rsidRPr="00632719">
          <w:rPr>
            <w:rStyle w:val="Hyperlink"/>
            <w:rFonts w:asciiTheme="majorHAnsi" w:hAnsiTheme="majorHAnsi"/>
            <w:sz w:val="16"/>
            <w:szCs w:val="16"/>
            <w:shd w:val="clear" w:color="auto" w:fill="FFFFFF"/>
            <w:lang w:val="pt-BR"/>
          </w:rPr>
          <w:t>Mérito, Reparações e Custas. Sentença de 22 de novembro de 2005. Série C Nº 136</w:t>
        </w:r>
      </w:hyperlink>
      <w:r w:rsidRPr="00632719">
        <w:rPr>
          <w:rFonts w:asciiTheme="majorHAnsi" w:hAnsiTheme="majorHAnsi"/>
          <w:sz w:val="16"/>
          <w:szCs w:val="16"/>
          <w:lang w:val="pt-BR"/>
        </w:rPr>
        <w:t xml:space="preserve">, par. 78; Caso Almonacid Arellano e outros Vs. Chile. </w:t>
      </w:r>
      <w:hyperlink r:id="rId10" w:history="1">
        <w:r w:rsidRPr="00632719">
          <w:rPr>
            <w:rStyle w:val="Hyperlink"/>
            <w:rFonts w:asciiTheme="majorHAnsi" w:hAnsiTheme="majorHAnsi"/>
            <w:sz w:val="16"/>
            <w:szCs w:val="16"/>
            <w:shd w:val="clear" w:color="auto" w:fill="FFFFFF"/>
            <w:lang w:val="pt-BR"/>
          </w:rPr>
          <w:t>Exceções Preliminares, Mérito, Reparações e Custas. Sentença de 26 de setembro de 2006. Série C Nº 154</w:t>
        </w:r>
      </w:hyperlink>
      <w:r w:rsidRPr="00632719">
        <w:rPr>
          <w:rFonts w:asciiTheme="majorHAnsi" w:hAnsiTheme="majorHAnsi"/>
          <w:sz w:val="16"/>
          <w:szCs w:val="16"/>
          <w:lang w:val="pt-BR"/>
        </w:rPr>
        <w:t xml:space="preserve">, par. 150; e Caso do Massacre de la Rochela Vs. Colômbia.  Mérito, Reparações e Custas. Sentença de 11 de maio de 2007.  Série C. Nº 163, par. 147. </w:t>
      </w:r>
    </w:p>
  </w:footnote>
  <w:footnote w:id="221">
    <w:p w14:paraId="76CC1434" w14:textId="77777777" w:rsidR="00BA51DA" w:rsidRPr="00632719" w:rsidRDefault="00BA51DA" w:rsidP="00C50907">
      <w:pPr>
        <w:tabs>
          <w:tab w:val="left" w:pos="360"/>
          <w:tab w:val="left" w:pos="900"/>
          <w:tab w:val="left" w:pos="1080"/>
        </w:tabs>
        <w:jc w:val="both"/>
        <w:rPr>
          <w:rFonts w:asciiTheme="majorHAnsi" w:hAnsiTheme="majorHAnsi"/>
          <w:sz w:val="16"/>
          <w:szCs w:val="16"/>
          <w:lang w:val="pt-BR"/>
        </w:rPr>
      </w:pPr>
      <w:r w:rsidRPr="00632719">
        <w:rPr>
          <w:rStyle w:val="FootnoteReference"/>
          <w:rFonts w:asciiTheme="majorHAnsi" w:hAnsiTheme="majorHAnsi"/>
          <w:sz w:val="16"/>
          <w:szCs w:val="16"/>
          <w:lang w:val="pt-BR"/>
        </w:rPr>
        <w:footnoteRef/>
      </w:r>
      <w:r w:rsidRPr="00632719">
        <w:rPr>
          <w:rFonts w:asciiTheme="majorHAnsi" w:hAnsiTheme="majorHAnsi"/>
          <w:sz w:val="16"/>
          <w:szCs w:val="16"/>
          <w:lang w:val="pt-BR"/>
        </w:rPr>
        <w:t xml:space="preserve"> CIDH, Relatório Nº 49/15, Caso 12.585, Mérito, Ángel Pacheco León e família, Honduras, 28 de julho de 2015, par.80.</w:t>
      </w:r>
    </w:p>
  </w:footnote>
  <w:footnote w:id="222">
    <w:p w14:paraId="0E3004D5" w14:textId="77777777" w:rsidR="00BA51DA" w:rsidRPr="00632719" w:rsidRDefault="00BA51DA" w:rsidP="00C50907">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lang w:val="pt-BR"/>
        </w:rPr>
        <w:footnoteRef/>
      </w:r>
      <w:r w:rsidRPr="00632719">
        <w:rPr>
          <w:rFonts w:asciiTheme="majorHAnsi" w:hAnsiTheme="majorHAnsi"/>
          <w:sz w:val="16"/>
          <w:szCs w:val="16"/>
          <w:lang w:val="pt-BR"/>
        </w:rPr>
        <w:t xml:space="preserve"> CIDH, Relatório Nº 85/13, Caso 12.251, Admissibilidade e Mérito, Vereda la Esperanza, Colômbia, 4 de novembro de 2013, par. 242. Corte IDH, Caso Kawas Fernández Vs. Honduras. Mérito, Reparações e Custas. Sentença de 3 de abril de 2009 Série C Nº 196, par. 101.</w:t>
      </w:r>
    </w:p>
  </w:footnote>
  <w:footnote w:id="223">
    <w:p w14:paraId="63360F42" w14:textId="77777777" w:rsidR="00BA51DA" w:rsidRPr="00632719" w:rsidRDefault="00BA51DA" w:rsidP="00C50907">
      <w:pPr>
        <w:jc w:val="both"/>
        <w:rPr>
          <w:rFonts w:asciiTheme="majorHAnsi" w:hAnsiTheme="majorHAnsi"/>
          <w:sz w:val="16"/>
          <w:szCs w:val="16"/>
          <w:lang w:val="pt-BR"/>
        </w:rPr>
      </w:pPr>
      <w:r w:rsidRPr="00632719">
        <w:rPr>
          <w:rStyle w:val="FootnoteReference"/>
          <w:rFonts w:asciiTheme="majorHAnsi" w:hAnsiTheme="majorHAnsi"/>
          <w:sz w:val="16"/>
          <w:szCs w:val="16"/>
          <w:lang w:val="pt-BR"/>
        </w:rPr>
        <w:footnoteRef/>
      </w:r>
      <w:r w:rsidRPr="00632719">
        <w:rPr>
          <w:rFonts w:asciiTheme="majorHAnsi" w:hAnsiTheme="majorHAnsi"/>
          <w:sz w:val="16"/>
          <w:szCs w:val="16"/>
          <w:lang w:val="pt-BR"/>
        </w:rPr>
        <w:t xml:space="preserve"> CIDH, Relatório de Mérito, N˚ 55/97, Juan Carlos Abella e outros (Argentina), 18 de novembro de 1997, par. 412.</w:t>
      </w:r>
    </w:p>
  </w:footnote>
  <w:footnote w:id="224">
    <w:p w14:paraId="2BF43371" w14:textId="77777777" w:rsidR="00BA51DA" w:rsidRPr="00632719" w:rsidRDefault="00BA51DA" w:rsidP="00C50907">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lang w:val="pt-BR"/>
        </w:rPr>
        <w:footnoteRef/>
      </w:r>
      <w:r w:rsidRPr="00632719">
        <w:rPr>
          <w:rFonts w:asciiTheme="majorHAnsi" w:hAnsiTheme="majorHAnsi"/>
          <w:sz w:val="16"/>
          <w:szCs w:val="16"/>
          <w:lang w:val="pt-BR"/>
        </w:rPr>
        <w:t>CIDH, Relatório Nº 25/09 Mérito (Sebastião Camargo Filho) Brasil, 19 de março de 2009, par. 109. Ver também, CIDH, Acesso à Justiça para as Mulheres Vítimas de Violência nas Américas, OEA/Ser. L/V/II. doc.68, 20 de janeiro de 2007, par. 41.</w:t>
      </w:r>
    </w:p>
  </w:footnote>
  <w:footnote w:id="225">
    <w:p w14:paraId="52662F12" w14:textId="77777777" w:rsidR="00BA51DA" w:rsidRPr="00632719" w:rsidRDefault="00BA51DA" w:rsidP="00C50907">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lang w:val="pt-BR"/>
        </w:rPr>
        <w:footnoteRef/>
      </w:r>
      <w:r w:rsidRPr="00632719">
        <w:rPr>
          <w:rFonts w:asciiTheme="majorHAnsi" w:hAnsiTheme="majorHAnsi"/>
          <w:sz w:val="16"/>
          <w:szCs w:val="16"/>
          <w:lang w:val="pt-BR"/>
        </w:rPr>
        <w:t xml:space="preserve"> Corte IDH. </w:t>
      </w:r>
      <w:r w:rsidRPr="00632719">
        <w:rPr>
          <w:rFonts w:asciiTheme="majorHAnsi" w:hAnsiTheme="majorHAnsi"/>
          <w:iCs/>
          <w:sz w:val="16"/>
          <w:szCs w:val="16"/>
          <w:lang w:val="es-CO"/>
        </w:rPr>
        <w:t>Caso dos “Niños de la Calle” (Villagrán Morales e outros).</w:t>
      </w:r>
      <w:r w:rsidRPr="00632719">
        <w:rPr>
          <w:rFonts w:asciiTheme="majorHAnsi" w:hAnsiTheme="majorHAnsi"/>
          <w:sz w:val="16"/>
          <w:szCs w:val="16"/>
          <w:lang w:val="es-CO"/>
        </w:rPr>
        <w:t xml:space="preserve"> </w:t>
      </w:r>
      <w:r w:rsidRPr="00632719">
        <w:rPr>
          <w:rFonts w:asciiTheme="majorHAnsi" w:hAnsiTheme="majorHAnsi"/>
          <w:sz w:val="16"/>
          <w:szCs w:val="16"/>
          <w:lang w:val="pt-BR"/>
        </w:rPr>
        <w:t>Sentença de 19 de novembro de 1999. Série C Nº 63, par. 230. Ver também, CIDH, Acesso à Justiça para as Mulheres Vítimas de Violência nas Américas, OEA/Ser. L/V/II. doc.68, 20 de janeiro de 2007, par. 41.</w:t>
      </w:r>
    </w:p>
  </w:footnote>
  <w:footnote w:id="226">
    <w:p w14:paraId="3528A825" w14:textId="77777777" w:rsidR="00BA51DA" w:rsidRPr="00632719" w:rsidRDefault="00BA51DA" w:rsidP="00C50907">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lang w:val="pt-BR"/>
        </w:rPr>
        <w:footnoteRef/>
      </w:r>
      <w:r w:rsidRPr="00632719">
        <w:rPr>
          <w:rFonts w:asciiTheme="majorHAnsi" w:hAnsiTheme="majorHAnsi"/>
          <w:sz w:val="16"/>
          <w:szCs w:val="16"/>
          <w:lang w:val="pt-BR"/>
        </w:rPr>
        <w:t xml:space="preserve"> CIDH, Relatório Nº 56/12, Caso 12.775, Relatório de Mérito, Florentín Gudiel Ramos e Makrina Gudiel Álvarez, 21 de março de 2012. </w:t>
      </w:r>
    </w:p>
  </w:footnote>
  <w:footnote w:id="227">
    <w:p w14:paraId="73C76EC7" w14:textId="77777777" w:rsidR="00BA51DA" w:rsidRPr="00632719" w:rsidRDefault="00BA51DA" w:rsidP="00C50907">
      <w:pPr>
        <w:pStyle w:val="FootnoteText"/>
        <w:jc w:val="both"/>
        <w:rPr>
          <w:rFonts w:asciiTheme="majorHAnsi" w:hAnsiTheme="majorHAnsi"/>
          <w:color w:val="auto"/>
          <w:sz w:val="16"/>
          <w:szCs w:val="16"/>
          <w:lang w:val="pt-BR"/>
        </w:rPr>
      </w:pPr>
      <w:r w:rsidRPr="00632719">
        <w:rPr>
          <w:rStyle w:val="FootnoteReference"/>
          <w:rFonts w:asciiTheme="majorHAnsi" w:hAnsiTheme="majorHAnsi"/>
          <w:color w:val="auto"/>
          <w:sz w:val="16"/>
          <w:szCs w:val="16"/>
          <w:lang w:val="pt-BR"/>
        </w:rPr>
        <w:footnoteRef/>
      </w:r>
      <w:r w:rsidRPr="00632719">
        <w:rPr>
          <w:rFonts w:asciiTheme="majorHAnsi" w:hAnsiTheme="majorHAnsi"/>
          <w:color w:val="auto"/>
          <w:sz w:val="16"/>
          <w:szCs w:val="16"/>
          <w:lang w:val="pt-BR"/>
        </w:rPr>
        <w:t xml:space="preserve"> Corte IDH, </w:t>
      </w:r>
      <w:hyperlink r:id="rId11" w:history="1">
        <w:r w:rsidRPr="00632719">
          <w:rPr>
            <w:rStyle w:val="Hyperlink"/>
            <w:rFonts w:asciiTheme="majorHAnsi" w:hAnsiTheme="majorHAnsi"/>
            <w:color w:val="auto"/>
            <w:sz w:val="16"/>
            <w:szCs w:val="16"/>
            <w:shd w:val="clear" w:color="auto" w:fill="FFFFFF"/>
            <w:lang w:val="pt-BR"/>
          </w:rPr>
          <w:t>Caso González Medina e familiares Vs. República Dominicana. Exceções Preliminares, Mérito, Reparações e Custas. Sentença de 27 de fevereiro de 2012 Série C Nº 240</w:t>
        </w:r>
      </w:hyperlink>
      <w:r w:rsidRPr="00632719">
        <w:rPr>
          <w:rFonts w:asciiTheme="majorHAnsi" w:hAnsiTheme="majorHAnsi"/>
          <w:color w:val="auto"/>
          <w:sz w:val="16"/>
          <w:szCs w:val="16"/>
          <w:lang w:val="pt-BR"/>
        </w:rPr>
        <w:t>, par. 115.</w:t>
      </w:r>
    </w:p>
  </w:footnote>
  <w:footnote w:id="228">
    <w:p w14:paraId="44F1B23E" w14:textId="77777777" w:rsidR="00BA51DA" w:rsidRPr="00632719" w:rsidRDefault="00BA51DA" w:rsidP="00C50907">
      <w:pPr>
        <w:pStyle w:val="FootnoteText"/>
        <w:jc w:val="both"/>
        <w:rPr>
          <w:rFonts w:asciiTheme="majorHAnsi" w:hAnsiTheme="majorHAnsi"/>
          <w:color w:val="auto"/>
          <w:sz w:val="16"/>
          <w:szCs w:val="16"/>
          <w:lang w:val="pt-BR"/>
        </w:rPr>
      </w:pPr>
      <w:r w:rsidRPr="00632719">
        <w:rPr>
          <w:rStyle w:val="FootnoteReference"/>
          <w:rFonts w:asciiTheme="majorHAnsi" w:hAnsiTheme="majorHAnsi"/>
          <w:color w:val="auto"/>
          <w:sz w:val="16"/>
          <w:szCs w:val="16"/>
          <w:lang w:val="pt-BR"/>
        </w:rPr>
        <w:footnoteRef/>
      </w:r>
      <w:r w:rsidRPr="00632719">
        <w:rPr>
          <w:rFonts w:asciiTheme="majorHAnsi" w:hAnsiTheme="majorHAnsi"/>
          <w:color w:val="auto"/>
          <w:sz w:val="16"/>
          <w:szCs w:val="16"/>
          <w:lang w:val="pt-BR"/>
        </w:rPr>
        <w:t xml:space="preserve"> Corte IDH, </w:t>
      </w:r>
      <w:hyperlink r:id="rId12" w:history="1">
        <w:r w:rsidRPr="00632719">
          <w:rPr>
            <w:rStyle w:val="Hyperlink"/>
            <w:rFonts w:asciiTheme="majorHAnsi" w:hAnsiTheme="majorHAnsi"/>
            <w:color w:val="auto"/>
            <w:sz w:val="16"/>
            <w:szCs w:val="16"/>
            <w:shd w:val="clear" w:color="auto" w:fill="FFFFFF"/>
            <w:lang w:val="pt-BR"/>
          </w:rPr>
          <w:t>Caso Uzcátegui e outros Vs. Venezuela. Mérito e Reparações. Sentença de 3 de setembro de 2012 Série C Nº 249</w:t>
        </w:r>
      </w:hyperlink>
      <w:r w:rsidRPr="00632719">
        <w:rPr>
          <w:rFonts w:asciiTheme="majorHAnsi" w:hAnsiTheme="majorHAnsi"/>
          <w:color w:val="auto"/>
          <w:sz w:val="16"/>
          <w:szCs w:val="16"/>
          <w:lang w:val="pt-BR"/>
        </w:rPr>
        <w:t>, par. 225.</w:t>
      </w:r>
    </w:p>
  </w:footnote>
  <w:footnote w:id="229">
    <w:p w14:paraId="074FC85F" w14:textId="77777777" w:rsidR="00BA51DA" w:rsidRPr="00632719" w:rsidRDefault="00BA51DA" w:rsidP="00C50907">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lang w:val="pt-BR"/>
        </w:rPr>
        <w:footnoteRef/>
      </w:r>
      <w:r w:rsidRPr="00632719">
        <w:rPr>
          <w:rFonts w:asciiTheme="majorHAnsi" w:hAnsiTheme="majorHAnsi"/>
          <w:sz w:val="16"/>
          <w:szCs w:val="16"/>
          <w:lang w:val="pt-BR"/>
        </w:rPr>
        <w:t xml:space="preserve"> CIDH, Relatório Nº 53/13, Caso 12.777, Mérito, Claudina Velásquez Paiz e outros, Guatemala, 4 de novembro de 2013, par. 122.</w:t>
      </w:r>
    </w:p>
  </w:footnote>
  <w:footnote w:id="230">
    <w:p w14:paraId="1AC6A1CE" w14:textId="77777777" w:rsidR="00BA51DA" w:rsidRPr="00632719" w:rsidRDefault="00BA51DA" w:rsidP="00C50907">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lang w:val="pt-BR"/>
        </w:rPr>
        <w:footnoteRef/>
      </w:r>
      <w:r w:rsidRPr="00632719">
        <w:rPr>
          <w:rFonts w:asciiTheme="majorHAnsi" w:hAnsiTheme="majorHAnsi"/>
          <w:sz w:val="16"/>
          <w:szCs w:val="16"/>
          <w:lang w:val="pt-BR"/>
        </w:rPr>
        <w:t xml:space="preserve"> Corte IDH, </w:t>
      </w:r>
      <w:hyperlink r:id="rId13" w:history="1">
        <w:r w:rsidRPr="00632719">
          <w:rPr>
            <w:rStyle w:val="Hyperlink"/>
            <w:rFonts w:asciiTheme="majorHAnsi" w:hAnsiTheme="majorHAnsi"/>
            <w:color w:val="auto"/>
            <w:sz w:val="16"/>
            <w:szCs w:val="16"/>
            <w:shd w:val="clear" w:color="auto" w:fill="FFFFFF"/>
            <w:lang w:val="pt-BR"/>
          </w:rPr>
          <w:t>Caso Luna López Vs. Honduras. Mérito, Reparações e Custas. Sentença de 10 de outubro de 2013. Série C Nº 269</w:t>
        </w:r>
      </w:hyperlink>
      <w:r w:rsidRPr="00632719">
        <w:rPr>
          <w:rFonts w:asciiTheme="majorHAnsi" w:hAnsiTheme="majorHAnsi"/>
          <w:sz w:val="16"/>
          <w:szCs w:val="16"/>
          <w:lang w:val="pt-BR"/>
        </w:rPr>
        <w:t>, par. 188.</w:t>
      </w:r>
    </w:p>
  </w:footnote>
  <w:footnote w:id="231">
    <w:p w14:paraId="513A25A4" w14:textId="77777777" w:rsidR="00BA51DA" w:rsidRPr="00632719" w:rsidRDefault="00BA51DA" w:rsidP="00C50907">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lang w:val="pt-BR"/>
        </w:rPr>
        <w:footnoteRef/>
      </w:r>
      <w:r w:rsidRPr="00632719">
        <w:rPr>
          <w:rFonts w:asciiTheme="majorHAnsi" w:hAnsiTheme="majorHAnsi"/>
          <w:sz w:val="16"/>
          <w:szCs w:val="16"/>
          <w:lang w:val="pt-BR"/>
        </w:rPr>
        <w:t xml:space="preserve"> CIDH, Relatório Nº 49/15, Caso 12.585, Mérito, Ángel Pacheco León e Família, Honduras, 28 de julho de 2015, par.113.</w:t>
      </w:r>
    </w:p>
  </w:footnote>
  <w:footnote w:id="232">
    <w:p w14:paraId="3EC2DB32" w14:textId="77777777" w:rsidR="00BA51DA" w:rsidRPr="00632719" w:rsidRDefault="00BA51DA" w:rsidP="00C50907">
      <w:pPr>
        <w:pStyle w:val="FootnoteText"/>
        <w:jc w:val="both"/>
        <w:rPr>
          <w:rFonts w:asciiTheme="majorHAnsi" w:hAnsiTheme="majorHAnsi"/>
          <w:sz w:val="16"/>
          <w:szCs w:val="16"/>
          <w:lang w:val="es-US"/>
        </w:rPr>
      </w:pPr>
      <w:r w:rsidRPr="00632719">
        <w:rPr>
          <w:rStyle w:val="FootnoteReference"/>
          <w:rFonts w:asciiTheme="majorHAnsi" w:hAnsiTheme="majorHAnsi"/>
          <w:sz w:val="16"/>
          <w:szCs w:val="16"/>
        </w:rPr>
        <w:footnoteRef/>
      </w:r>
      <w:r w:rsidRPr="00632719">
        <w:rPr>
          <w:rFonts w:asciiTheme="majorHAnsi" w:hAnsiTheme="majorHAnsi"/>
          <w:sz w:val="16"/>
          <w:szCs w:val="16"/>
          <w:lang w:val="es-US"/>
        </w:rPr>
        <w:t xml:space="preserve"> </w:t>
      </w:r>
      <w:r w:rsidRPr="00C736BE">
        <w:rPr>
          <w:rFonts w:asciiTheme="majorHAnsi" w:hAnsiTheme="majorHAnsi"/>
          <w:sz w:val="16"/>
          <w:szCs w:val="16"/>
          <w:lang w:val="es-US"/>
        </w:rPr>
        <w:t xml:space="preserve">CIDH, </w:t>
      </w:r>
      <w:r>
        <w:rPr>
          <w:rFonts w:asciiTheme="majorHAnsi" w:hAnsiTheme="majorHAnsi"/>
          <w:i/>
          <w:iCs/>
          <w:sz w:val="16"/>
          <w:szCs w:val="16"/>
          <w:lang w:val="es-US"/>
        </w:rPr>
        <w:t>Segundo I</w:t>
      </w:r>
      <w:r w:rsidRPr="00C736BE">
        <w:rPr>
          <w:rFonts w:asciiTheme="majorHAnsi" w:hAnsiTheme="majorHAnsi"/>
          <w:i/>
          <w:iCs/>
          <w:sz w:val="16"/>
          <w:szCs w:val="16"/>
          <w:lang w:val="es-US"/>
        </w:rPr>
        <w:t>nforme sobre la Situación de las Defensoras y Defensores de los Derechos Humanos en las Américas</w:t>
      </w:r>
      <w:r w:rsidRPr="00C736BE">
        <w:rPr>
          <w:rFonts w:asciiTheme="majorHAnsi" w:hAnsiTheme="majorHAnsi"/>
          <w:sz w:val="16"/>
          <w:szCs w:val="16"/>
          <w:lang w:val="es-US"/>
        </w:rPr>
        <w:t>, OEA/Ser.L/V/II, Doc. 66</w:t>
      </w:r>
      <w:r>
        <w:rPr>
          <w:rFonts w:asciiTheme="majorHAnsi" w:hAnsiTheme="majorHAnsi"/>
          <w:sz w:val="16"/>
          <w:szCs w:val="16"/>
          <w:lang w:val="es-US"/>
        </w:rPr>
        <w:t xml:space="preserve">, </w:t>
      </w:r>
      <w:r w:rsidRPr="00C736BE">
        <w:rPr>
          <w:rFonts w:asciiTheme="majorHAnsi" w:hAnsiTheme="majorHAnsi"/>
          <w:sz w:val="16"/>
          <w:szCs w:val="16"/>
          <w:lang w:val="es-US"/>
        </w:rPr>
        <w:t>31 diciembre 2011</w:t>
      </w:r>
      <w:r>
        <w:rPr>
          <w:rFonts w:asciiTheme="majorHAnsi" w:hAnsiTheme="majorHAnsi"/>
          <w:sz w:val="16"/>
          <w:szCs w:val="16"/>
          <w:lang w:val="es-US"/>
        </w:rPr>
        <w:t>, par. 12, p. 4.</w:t>
      </w:r>
    </w:p>
  </w:footnote>
  <w:footnote w:id="233">
    <w:p w14:paraId="545FE61A" w14:textId="77777777" w:rsidR="00BA51DA" w:rsidRPr="00632719" w:rsidRDefault="00BA51DA" w:rsidP="00C50907">
      <w:pPr>
        <w:pStyle w:val="FootnoteText"/>
        <w:jc w:val="both"/>
        <w:rPr>
          <w:rFonts w:asciiTheme="majorHAnsi" w:hAnsiTheme="majorHAnsi"/>
          <w:sz w:val="16"/>
          <w:szCs w:val="16"/>
          <w:lang w:val="es-US"/>
        </w:rPr>
      </w:pPr>
      <w:r w:rsidRPr="00632719">
        <w:rPr>
          <w:rStyle w:val="FootnoteReference"/>
          <w:rFonts w:asciiTheme="majorHAnsi" w:hAnsiTheme="majorHAnsi"/>
          <w:sz w:val="16"/>
          <w:szCs w:val="16"/>
        </w:rPr>
        <w:footnoteRef/>
      </w:r>
      <w:r w:rsidRPr="00632719">
        <w:rPr>
          <w:rFonts w:asciiTheme="majorHAnsi" w:hAnsiTheme="majorHAnsi"/>
          <w:sz w:val="16"/>
          <w:szCs w:val="16"/>
          <w:lang w:val="es-US"/>
        </w:rPr>
        <w:t xml:space="preserve"> CIDH, </w:t>
      </w:r>
      <w:r w:rsidRPr="00632719">
        <w:rPr>
          <w:rFonts w:asciiTheme="majorHAnsi" w:hAnsiTheme="majorHAnsi"/>
          <w:i/>
          <w:iCs/>
          <w:sz w:val="16"/>
          <w:szCs w:val="16"/>
          <w:lang w:val="es-US"/>
        </w:rPr>
        <w:t>Informe sobre la Situación de las Defensoras y Defensores de los Derechos Humanos en las Américas</w:t>
      </w:r>
      <w:r w:rsidRPr="00632719">
        <w:rPr>
          <w:rFonts w:asciiTheme="majorHAnsi" w:hAnsiTheme="majorHAnsi"/>
          <w:sz w:val="16"/>
          <w:szCs w:val="16"/>
          <w:lang w:val="es-US"/>
        </w:rPr>
        <w:t>, OEA/Ser.L/V/II.124, Doc. 5 rev.1, 7 de março de 2006, par. 1.</w:t>
      </w:r>
    </w:p>
  </w:footnote>
  <w:footnote w:id="234">
    <w:p w14:paraId="7E0B6495" w14:textId="77777777" w:rsidR="00BA51DA" w:rsidRPr="00632719" w:rsidRDefault="00BA51DA" w:rsidP="00C50907">
      <w:pPr>
        <w:pStyle w:val="FootnoteText"/>
        <w:jc w:val="both"/>
        <w:rPr>
          <w:rFonts w:asciiTheme="majorHAnsi" w:hAnsiTheme="majorHAnsi"/>
          <w:sz w:val="16"/>
          <w:szCs w:val="16"/>
          <w:lang w:val="es-US"/>
        </w:rPr>
      </w:pPr>
      <w:r w:rsidRPr="00632719">
        <w:rPr>
          <w:rStyle w:val="FootnoteReference"/>
          <w:rFonts w:asciiTheme="majorHAnsi" w:hAnsiTheme="majorHAnsi"/>
          <w:sz w:val="16"/>
          <w:szCs w:val="16"/>
        </w:rPr>
        <w:footnoteRef/>
      </w:r>
      <w:r w:rsidRPr="00632719">
        <w:rPr>
          <w:rFonts w:asciiTheme="majorHAnsi" w:hAnsiTheme="majorHAnsi"/>
          <w:sz w:val="16"/>
          <w:szCs w:val="16"/>
          <w:lang w:val="es-US"/>
        </w:rPr>
        <w:t xml:space="preserve"> CIDH, </w:t>
      </w:r>
      <w:r w:rsidRPr="00632719">
        <w:rPr>
          <w:rFonts w:asciiTheme="majorHAnsi" w:hAnsiTheme="majorHAnsi"/>
          <w:i/>
          <w:iCs/>
          <w:sz w:val="16"/>
          <w:szCs w:val="16"/>
          <w:lang w:val="es-US"/>
        </w:rPr>
        <w:t>Informe sobre la Situación de las Defensoras y Defensores de los Derechos Humanos en las Américas</w:t>
      </w:r>
      <w:r w:rsidRPr="00632719">
        <w:rPr>
          <w:rFonts w:asciiTheme="majorHAnsi" w:hAnsiTheme="majorHAnsi"/>
          <w:sz w:val="16"/>
          <w:szCs w:val="16"/>
          <w:lang w:val="es-US"/>
        </w:rPr>
        <w:t>, OEA/Ser.L/V/II.124, Doc. 5 rev.1, 7 de março de 2006, par. 33.</w:t>
      </w:r>
    </w:p>
  </w:footnote>
  <w:footnote w:id="235">
    <w:p w14:paraId="161EB2F9" w14:textId="77777777" w:rsidR="00BA51DA" w:rsidRPr="00632719" w:rsidRDefault="00BA51DA" w:rsidP="00C50907">
      <w:pPr>
        <w:pStyle w:val="FootnoteText"/>
        <w:jc w:val="both"/>
        <w:rPr>
          <w:rFonts w:asciiTheme="majorHAnsi" w:hAnsiTheme="majorHAnsi"/>
          <w:sz w:val="16"/>
          <w:szCs w:val="16"/>
          <w:lang w:val="es-US"/>
        </w:rPr>
      </w:pPr>
      <w:r w:rsidRPr="00632719">
        <w:rPr>
          <w:rStyle w:val="FootnoteReference"/>
          <w:rFonts w:asciiTheme="majorHAnsi" w:hAnsiTheme="majorHAnsi"/>
          <w:sz w:val="16"/>
          <w:szCs w:val="16"/>
        </w:rPr>
        <w:footnoteRef/>
      </w:r>
      <w:r w:rsidRPr="00632719">
        <w:rPr>
          <w:rFonts w:asciiTheme="majorHAnsi" w:hAnsiTheme="majorHAnsi"/>
          <w:sz w:val="16"/>
          <w:szCs w:val="16"/>
          <w:lang w:val="es-US"/>
        </w:rPr>
        <w:t xml:space="preserve"> CIDH, </w:t>
      </w:r>
      <w:r w:rsidRPr="00632719">
        <w:rPr>
          <w:rFonts w:asciiTheme="majorHAnsi" w:hAnsiTheme="majorHAnsi"/>
          <w:i/>
          <w:iCs/>
          <w:sz w:val="16"/>
          <w:szCs w:val="16"/>
          <w:lang w:val="es-US"/>
        </w:rPr>
        <w:t>Informe sobre la Situación de las Defensoras y Defensores de los Derechos Humanos en las Américas</w:t>
      </w:r>
      <w:r w:rsidRPr="00632719">
        <w:rPr>
          <w:rFonts w:asciiTheme="majorHAnsi" w:hAnsiTheme="majorHAnsi"/>
          <w:sz w:val="16"/>
          <w:szCs w:val="16"/>
          <w:lang w:val="es-US"/>
        </w:rPr>
        <w:t xml:space="preserve">, OEA/Ser.L/V/II.124, Doc. 5 rev.1, 7 de março de 2006, par. 36; </w:t>
      </w:r>
      <w:r w:rsidRPr="00632719">
        <w:rPr>
          <w:rFonts w:asciiTheme="majorHAnsi" w:hAnsiTheme="majorHAnsi"/>
          <w:i/>
          <w:iCs/>
          <w:sz w:val="16"/>
          <w:szCs w:val="16"/>
          <w:lang w:val="es-US"/>
        </w:rPr>
        <w:t>Segundo Informe sobre la Situación de las Defensoras y Defensores de los Derechos Humanos en las Américas</w:t>
      </w:r>
      <w:r w:rsidRPr="00632719">
        <w:rPr>
          <w:rFonts w:asciiTheme="majorHAnsi" w:hAnsiTheme="majorHAnsi"/>
          <w:sz w:val="16"/>
          <w:szCs w:val="16"/>
          <w:lang w:val="es-US"/>
        </w:rPr>
        <w:t>, OEA/Ser.L/V/II, Doc. 66, 31 de dezembro de 2011, par. 16.</w:t>
      </w:r>
    </w:p>
  </w:footnote>
  <w:footnote w:id="236">
    <w:p w14:paraId="32C4C443" w14:textId="77777777" w:rsidR="00BA51DA" w:rsidRPr="00632719" w:rsidRDefault="00BA51DA" w:rsidP="00C50907">
      <w:pPr>
        <w:pStyle w:val="FootnoteText"/>
        <w:jc w:val="both"/>
        <w:rPr>
          <w:rFonts w:asciiTheme="majorHAnsi" w:hAnsiTheme="majorHAnsi"/>
          <w:sz w:val="16"/>
          <w:szCs w:val="16"/>
          <w:lang w:val="es-US"/>
        </w:rPr>
      </w:pPr>
      <w:r w:rsidRPr="00632719">
        <w:rPr>
          <w:rStyle w:val="FootnoteReference"/>
          <w:rFonts w:asciiTheme="majorHAnsi" w:hAnsiTheme="majorHAnsi"/>
          <w:sz w:val="16"/>
          <w:szCs w:val="16"/>
        </w:rPr>
        <w:footnoteRef/>
      </w:r>
      <w:r w:rsidRPr="00632719">
        <w:rPr>
          <w:rFonts w:asciiTheme="majorHAnsi" w:hAnsiTheme="majorHAnsi"/>
          <w:sz w:val="16"/>
          <w:szCs w:val="16"/>
          <w:lang w:val="es-US"/>
        </w:rPr>
        <w:t xml:space="preserve"> CIDH, </w:t>
      </w:r>
      <w:r w:rsidRPr="00632719">
        <w:rPr>
          <w:rFonts w:asciiTheme="majorHAnsi" w:hAnsiTheme="majorHAnsi"/>
          <w:i/>
          <w:iCs/>
          <w:sz w:val="16"/>
          <w:szCs w:val="16"/>
          <w:lang w:val="es-US"/>
        </w:rPr>
        <w:t>Informe sobre la Situación de las Defensoras y Defensores de los Derechos Humanos en las Américas</w:t>
      </w:r>
      <w:r w:rsidRPr="00632719">
        <w:rPr>
          <w:rFonts w:asciiTheme="majorHAnsi" w:hAnsiTheme="majorHAnsi"/>
          <w:sz w:val="16"/>
          <w:szCs w:val="16"/>
          <w:lang w:val="es-US"/>
        </w:rPr>
        <w:t xml:space="preserve">, OEA/Ser.L/V/II.124, Doc. 5 rev.1, 7 de março de 2006, par. 32-34.  </w:t>
      </w:r>
    </w:p>
  </w:footnote>
  <w:footnote w:id="237">
    <w:p w14:paraId="41AA14F5" w14:textId="77777777" w:rsidR="00BA51DA" w:rsidRPr="00632719" w:rsidRDefault="00BA51DA" w:rsidP="00C50907">
      <w:pPr>
        <w:pStyle w:val="FootnoteText"/>
        <w:jc w:val="both"/>
        <w:rPr>
          <w:rFonts w:asciiTheme="majorHAnsi" w:hAnsiTheme="majorHAnsi"/>
          <w:sz w:val="16"/>
          <w:szCs w:val="16"/>
          <w:lang w:val="es-US"/>
        </w:rPr>
      </w:pPr>
      <w:r w:rsidRPr="00632719">
        <w:rPr>
          <w:rStyle w:val="FootnoteReference"/>
          <w:rFonts w:asciiTheme="majorHAnsi" w:hAnsiTheme="majorHAnsi"/>
          <w:sz w:val="16"/>
          <w:szCs w:val="16"/>
        </w:rPr>
        <w:footnoteRef/>
      </w:r>
      <w:r w:rsidRPr="00632719">
        <w:rPr>
          <w:rFonts w:asciiTheme="majorHAnsi" w:hAnsiTheme="majorHAnsi"/>
          <w:sz w:val="16"/>
          <w:szCs w:val="16"/>
          <w:lang w:val="es-US"/>
        </w:rPr>
        <w:t xml:space="preserve"> CIDH, </w:t>
      </w:r>
      <w:r w:rsidRPr="00632719">
        <w:rPr>
          <w:rFonts w:asciiTheme="majorHAnsi" w:hAnsiTheme="majorHAnsi"/>
          <w:i/>
          <w:iCs/>
          <w:sz w:val="16"/>
          <w:szCs w:val="16"/>
          <w:lang w:val="es-US"/>
        </w:rPr>
        <w:t>Informe sobre la Situación de las Defensoras y Defensores de los Derechos Humanos en las Américas</w:t>
      </w:r>
      <w:r w:rsidRPr="00632719">
        <w:rPr>
          <w:rFonts w:asciiTheme="majorHAnsi" w:hAnsiTheme="majorHAnsi"/>
          <w:sz w:val="16"/>
          <w:szCs w:val="16"/>
          <w:lang w:val="es-US"/>
        </w:rPr>
        <w:t xml:space="preserve">, OEA/Ser.L/V/II.124, Doc. 5 rev.1, 7 de março de 2006, par. 33.  </w:t>
      </w:r>
    </w:p>
  </w:footnote>
  <w:footnote w:id="238">
    <w:p w14:paraId="34F2D3F2" w14:textId="77777777" w:rsidR="00BA51DA" w:rsidRPr="00632719" w:rsidRDefault="00BA51DA" w:rsidP="00C50907">
      <w:pPr>
        <w:pStyle w:val="FootnoteText"/>
        <w:jc w:val="both"/>
        <w:rPr>
          <w:rFonts w:asciiTheme="majorHAnsi" w:hAnsiTheme="majorHAnsi"/>
          <w:sz w:val="16"/>
          <w:szCs w:val="16"/>
          <w:lang w:val="es-US"/>
        </w:rPr>
      </w:pPr>
      <w:r w:rsidRPr="00632719">
        <w:rPr>
          <w:rStyle w:val="FootnoteReference"/>
          <w:rFonts w:asciiTheme="majorHAnsi" w:hAnsiTheme="majorHAnsi"/>
          <w:sz w:val="16"/>
          <w:szCs w:val="16"/>
        </w:rPr>
        <w:footnoteRef/>
      </w:r>
      <w:r w:rsidRPr="00632719">
        <w:rPr>
          <w:rFonts w:asciiTheme="majorHAnsi" w:hAnsiTheme="majorHAnsi"/>
          <w:sz w:val="16"/>
          <w:szCs w:val="16"/>
          <w:lang w:val="es-US"/>
        </w:rPr>
        <w:t xml:space="preserve"> CIDH, </w:t>
      </w:r>
      <w:r w:rsidRPr="00632719">
        <w:rPr>
          <w:rFonts w:asciiTheme="majorHAnsi" w:hAnsiTheme="majorHAnsi"/>
          <w:i/>
          <w:iCs/>
          <w:sz w:val="16"/>
          <w:szCs w:val="16"/>
          <w:lang w:val="es-US"/>
        </w:rPr>
        <w:t>Informe sobre la Situación de las Defensoras y Defensores de los Derechos Humanos en las Américas</w:t>
      </w:r>
      <w:r w:rsidRPr="00632719">
        <w:rPr>
          <w:rFonts w:asciiTheme="majorHAnsi" w:hAnsiTheme="majorHAnsi"/>
          <w:sz w:val="16"/>
          <w:szCs w:val="16"/>
          <w:lang w:val="es-US"/>
        </w:rPr>
        <w:t xml:space="preserve">, OEA/Ser.L/V/II.124, Doc. 5 rev.1, 7 de março de 2006, par. 34.  </w:t>
      </w:r>
    </w:p>
  </w:footnote>
  <w:footnote w:id="239">
    <w:p w14:paraId="1FA4E508" w14:textId="77777777" w:rsidR="00BA51DA" w:rsidRPr="00632719" w:rsidRDefault="00BA51DA" w:rsidP="00E00BF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sz w:val="16"/>
          <w:szCs w:val="16"/>
          <w:lang w:val="pt-BR" w:eastAsia="es-ES"/>
        </w:rPr>
      </w:pPr>
      <w:r w:rsidRPr="00632719">
        <w:rPr>
          <w:rStyle w:val="FootnoteReference"/>
          <w:rFonts w:asciiTheme="majorHAnsi" w:hAnsiTheme="majorHAnsi"/>
          <w:sz w:val="16"/>
          <w:szCs w:val="16"/>
          <w:lang w:val="pt-BR"/>
        </w:rPr>
        <w:footnoteRef/>
      </w:r>
      <w:r w:rsidRPr="00632719">
        <w:rPr>
          <w:rFonts w:asciiTheme="majorHAnsi" w:hAnsiTheme="majorHAnsi"/>
          <w:sz w:val="16"/>
          <w:szCs w:val="16"/>
          <w:lang w:val="pt-BR"/>
        </w:rPr>
        <w:t xml:space="preserve"> </w:t>
      </w:r>
      <w:r w:rsidRPr="00632719">
        <w:rPr>
          <w:rFonts w:asciiTheme="majorHAnsi" w:hAnsiTheme="majorHAnsi"/>
          <w:sz w:val="16"/>
          <w:szCs w:val="16"/>
          <w:lang w:val="pt-BR" w:eastAsia="es-ES"/>
        </w:rPr>
        <w:t xml:space="preserve">O artigo I da Declaração Americana dos Direitos e Deveres do Homem estabelece: </w:t>
      </w:r>
      <w:r w:rsidRPr="00632719">
        <w:rPr>
          <w:rFonts w:asciiTheme="majorHAnsi" w:eastAsia="Cambria" w:hAnsiTheme="majorHAnsi" w:cs="Verdana"/>
          <w:sz w:val="16"/>
          <w:szCs w:val="16"/>
          <w:u w:color="000000"/>
          <w:lang w:val="pt-BR" w:eastAsia="es-ES" w:bidi="en-US"/>
        </w:rPr>
        <w:t xml:space="preserve">“Todo ser humano tem direito a vida, liberdade e segurança de sua pessoa”. </w:t>
      </w:r>
    </w:p>
  </w:footnote>
  <w:footnote w:id="240">
    <w:p w14:paraId="13F330A3"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lang w:val="pt-BR"/>
        </w:rPr>
        <w:footnoteRef/>
      </w:r>
      <w:r w:rsidRPr="00632719">
        <w:rPr>
          <w:rFonts w:asciiTheme="majorHAnsi" w:hAnsiTheme="majorHAnsi"/>
          <w:sz w:val="16"/>
          <w:szCs w:val="16"/>
          <w:lang w:val="pt-BR"/>
        </w:rPr>
        <w:t xml:space="preserve"> O artigo 5 da Convenção Americana estabelece: “Toda pessoa tem o direito de que se respeite sua integridade física, psíquica e moral”. </w:t>
      </w:r>
    </w:p>
  </w:footnote>
  <w:footnote w:id="241">
    <w:p w14:paraId="739D90B0" w14:textId="77777777" w:rsidR="00BA51DA" w:rsidRPr="00632719" w:rsidRDefault="00BA51DA" w:rsidP="00E00BF3">
      <w:pPr>
        <w:pStyle w:val="FootnoteText"/>
        <w:jc w:val="both"/>
        <w:rPr>
          <w:rFonts w:asciiTheme="majorHAnsi" w:hAnsiTheme="majorHAnsi"/>
          <w:sz w:val="16"/>
          <w:szCs w:val="16"/>
          <w:lang w:val="pt-BR"/>
        </w:rPr>
      </w:pPr>
      <w:r w:rsidRPr="00632719">
        <w:rPr>
          <w:rStyle w:val="FootnoteReference"/>
          <w:rFonts w:asciiTheme="majorHAnsi" w:hAnsiTheme="majorHAnsi"/>
          <w:sz w:val="16"/>
          <w:szCs w:val="16"/>
          <w:lang w:val="pt-BR"/>
        </w:rPr>
        <w:footnoteRef/>
      </w:r>
      <w:r w:rsidRPr="00632719">
        <w:rPr>
          <w:rFonts w:asciiTheme="majorHAnsi" w:hAnsiTheme="majorHAnsi"/>
          <w:sz w:val="16"/>
          <w:szCs w:val="16"/>
          <w:lang w:val="pt-BR"/>
        </w:rPr>
        <w:t xml:space="preserve"> Corte IDH, Caso Cantoral Huamaní e García Santa Cruz vs. Peru. Exceção Preliminar. Mérito, Reparações e Custas. Sentença de 10 de julho de 2007. Série C Nº 167, par.112.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8CBCD" w14:textId="77777777" w:rsidR="00BA51DA" w:rsidRDefault="00BA51DA" w:rsidP="00801F3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37F573C" w14:textId="77777777" w:rsidR="00BA51DA" w:rsidRDefault="00BA5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09A59" w14:textId="77777777" w:rsidR="00BA51DA" w:rsidRDefault="00BA51DA" w:rsidP="002C1641">
    <w:pPr>
      <w:pStyle w:val="Header"/>
      <w:tabs>
        <w:tab w:val="clear" w:pos="4320"/>
        <w:tab w:val="clear" w:pos="8640"/>
      </w:tabs>
      <w:jc w:val="center"/>
      <w:rPr>
        <w:sz w:val="22"/>
        <w:szCs w:val="22"/>
      </w:rPr>
    </w:pPr>
    <w:r>
      <w:rPr>
        <w:noProof/>
        <w:sz w:val="22"/>
        <w:szCs w:val="22"/>
      </w:rPr>
      <w:drawing>
        <wp:inline distT="0" distB="0" distL="0" distR="0" wp14:anchorId="766FDA66" wp14:editId="3C1A7A6F">
          <wp:extent cx="2543175" cy="127159"/>
          <wp:effectExtent l="0" t="0" r="0" b="6350"/>
          <wp:docPr id="6" name="Picture 6" descr="C:\Users\mfontana\Documents\Eva Fontana\GRAFICA CIDH\cartas\logos\cidh-pt-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fontana\Documents\Eva Fontana\GRAFICA CIDH\cartas\logos\cidh-pt-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127159"/>
                  </a:xfrm>
                  <a:prstGeom prst="rect">
                    <a:avLst/>
                  </a:prstGeom>
                  <a:noFill/>
                  <a:ln>
                    <a:noFill/>
                  </a:ln>
                </pic:spPr>
              </pic:pic>
            </a:graphicData>
          </a:graphic>
        </wp:inline>
      </w:drawing>
    </w:r>
  </w:p>
  <w:p w14:paraId="271E0E9E" w14:textId="77777777" w:rsidR="00BA51DA" w:rsidRPr="00EC7D62" w:rsidRDefault="003536AD" w:rsidP="002C1641">
    <w:pPr>
      <w:pStyle w:val="Header"/>
      <w:tabs>
        <w:tab w:val="clear" w:pos="4320"/>
        <w:tab w:val="clear" w:pos="8640"/>
      </w:tabs>
      <w:jc w:val="center"/>
      <w:rPr>
        <w:sz w:val="22"/>
        <w:szCs w:val="22"/>
      </w:rPr>
    </w:pPr>
    <w:r>
      <w:rPr>
        <w:sz w:val="22"/>
        <w:szCs w:val="22"/>
      </w:rPr>
      <w:pict w14:anchorId="5ED7C612">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FB129" w14:textId="77777777" w:rsidR="00BA51DA" w:rsidRDefault="00BA51DA" w:rsidP="007C7B72">
    <w:pPr>
      <w:pStyle w:val="Header"/>
      <w:tabs>
        <w:tab w:val="clear" w:pos="4320"/>
        <w:tab w:val="clear" w:pos="8640"/>
      </w:tabs>
      <w:jc w:val="center"/>
      <w:rPr>
        <w:sz w:val="22"/>
        <w:szCs w:val="22"/>
      </w:rPr>
    </w:pPr>
  </w:p>
  <w:p w14:paraId="4E3C4D3B" w14:textId="77777777" w:rsidR="00BA51DA" w:rsidRDefault="00BA51DA" w:rsidP="007C7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68A1BB2"/>
    <w:multiLevelType w:val="hybridMultilevel"/>
    <w:tmpl w:val="9C0AC1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71E6FA74">
      <w:start w:val="1"/>
      <w:numFmt w:val="upperLetter"/>
      <w:pStyle w:val="Heading2"/>
      <w:lvlText w:val="%3."/>
      <w:lvlJc w:val="left"/>
      <w:pPr>
        <w:ind w:left="2880" w:hanging="180"/>
      </w:pPr>
      <w:rPr>
        <w:i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0714FBF"/>
    <w:multiLevelType w:val="hybridMultilevel"/>
    <w:tmpl w:val="417473A2"/>
    <w:lvl w:ilvl="0" w:tplc="0D4C857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DC06E4"/>
    <w:multiLevelType w:val="hybridMultilevel"/>
    <w:tmpl w:val="7DB61786"/>
    <w:lvl w:ilvl="0" w:tplc="1DB277EA">
      <w:start w:val="1"/>
      <w:numFmt w:val="decimal"/>
      <w:lvlText w:val="%1."/>
      <w:lvlJc w:val="left"/>
      <w:pPr>
        <w:tabs>
          <w:tab w:val="num" w:pos="540"/>
        </w:tabs>
        <w:ind w:left="180" w:firstLine="720"/>
      </w:pPr>
      <w:rPr>
        <w:rFonts w:ascii="Cambria" w:hAnsi="Cambria" w:hint="default"/>
        <w:b w:val="0"/>
        <w:i w:val="0"/>
        <w:color w:val="auto"/>
        <w:sz w:val="20"/>
        <w:szCs w:val="20"/>
        <w:lang w:val="pt-BR"/>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B51CEA"/>
    <w:multiLevelType w:val="hybridMultilevel"/>
    <w:tmpl w:val="FE5810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DBA4E2A"/>
    <w:multiLevelType w:val="hybridMultilevel"/>
    <w:tmpl w:val="8E584C10"/>
    <w:lvl w:ilvl="0" w:tplc="1DB277EA">
      <w:start w:val="1"/>
      <w:numFmt w:val="decimal"/>
      <w:lvlText w:val="%1."/>
      <w:lvlJc w:val="left"/>
      <w:pPr>
        <w:tabs>
          <w:tab w:val="num" w:pos="540"/>
        </w:tabs>
        <w:ind w:left="180" w:firstLine="720"/>
      </w:pPr>
      <w:rPr>
        <w:rFonts w:ascii="Cambria" w:hAnsi="Cambria" w:hint="default"/>
        <w:b w:val="0"/>
        <w:i w:val="0"/>
        <w:color w:val="auto"/>
        <w:sz w:val="20"/>
        <w:szCs w:val="20"/>
        <w:lang w:val="pt-BR"/>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2"/>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D7D4B9D"/>
    <w:multiLevelType w:val="hybridMultilevel"/>
    <w:tmpl w:val="8092E7DC"/>
    <w:lvl w:ilvl="0" w:tplc="9CD87524">
      <w:start w:val="1"/>
      <w:numFmt w:val="decimal"/>
      <w:lvlText w:val="%1."/>
      <w:lvlJc w:val="left"/>
      <w:pPr>
        <w:ind w:left="1080" w:hanging="360"/>
      </w:pPr>
      <w:rPr>
        <w:rFonts w:ascii="Cambria" w:hAnsi="Cambria"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1ED15A8"/>
    <w:multiLevelType w:val="hybridMultilevel"/>
    <w:tmpl w:val="3DCAC4EC"/>
    <w:lvl w:ilvl="0" w:tplc="1DB277EA">
      <w:start w:val="1"/>
      <w:numFmt w:val="decimal"/>
      <w:lvlText w:val="%1."/>
      <w:lvlJc w:val="left"/>
      <w:pPr>
        <w:tabs>
          <w:tab w:val="num" w:pos="540"/>
        </w:tabs>
        <w:ind w:left="180" w:firstLine="720"/>
      </w:pPr>
      <w:rPr>
        <w:rFonts w:ascii="Cambria" w:hAnsi="Cambria" w:hint="default"/>
        <w:b w:val="0"/>
        <w:i w:val="0"/>
        <w:color w:val="auto"/>
        <w:sz w:val="20"/>
        <w:szCs w:val="20"/>
        <w:lang w:val="pt-BR"/>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62B8097C"/>
    <w:multiLevelType w:val="hybridMultilevel"/>
    <w:tmpl w:val="3DCAC4EC"/>
    <w:lvl w:ilvl="0" w:tplc="1DB277EA">
      <w:start w:val="1"/>
      <w:numFmt w:val="decimal"/>
      <w:lvlText w:val="%1."/>
      <w:lvlJc w:val="left"/>
      <w:pPr>
        <w:tabs>
          <w:tab w:val="num" w:pos="540"/>
        </w:tabs>
        <w:ind w:left="180" w:firstLine="720"/>
      </w:pPr>
      <w:rPr>
        <w:rFonts w:ascii="Cambria" w:hAnsi="Cambria" w:hint="default"/>
        <w:b w:val="0"/>
        <w:i w:val="0"/>
        <w:color w:val="auto"/>
        <w:sz w:val="20"/>
        <w:szCs w:val="20"/>
        <w:lang w:val="pt-BR"/>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2B8036D8"/>
    <w:lvl w:ilvl="0" w:tplc="9514C77A">
      <w:start w:val="1"/>
      <w:numFmt w:val="upperRoman"/>
      <w:pStyle w:val="Heading1"/>
      <w:lvlText w:val="%1."/>
      <w:lvlJc w:val="left"/>
      <w:pPr>
        <w:ind w:left="720" w:hanging="360"/>
      </w:pPr>
      <w:rPr>
        <w:rFonts w:hint="default"/>
      </w:rPr>
    </w:lvl>
    <w:lvl w:ilvl="1" w:tplc="04090019">
      <w:start w:val="1"/>
      <w:numFmt w:val="lowerLetter"/>
      <w:lvlText w:val="%2."/>
      <w:lvlJc w:val="left"/>
      <w:pPr>
        <w:ind w:left="1440" w:hanging="360"/>
      </w:pPr>
    </w:lvl>
    <w:lvl w:ilvl="2" w:tplc="5678CFB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2"/>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3179A9"/>
    <w:multiLevelType w:val="hybridMultilevel"/>
    <w:tmpl w:val="0EDEB9B8"/>
    <w:lvl w:ilvl="0" w:tplc="6488334A">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C26FCF"/>
    <w:multiLevelType w:val="multilevel"/>
    <w:tmpl w:val="2FCAD168"/>
    <w:styleLink w:val="List3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7"/>
  </w:num>
  <w:num w:numId="4">
    <w:abstractNumId w:val="21"/>
  </w:num>
  <w:num w:numId="5">
    <w:abstractNumId w:val="50"/>
  </w:num>
  <w:num w:numId="6">
    <w:abstractNumId w:val="28"/>
  </w:num>
  <w:num w:numId="7">
    <w:abstractNumId w:val="6"/>
  </w:num>
  <w:num w:numId="8">
    <w:abstractNumId w:val="17"/>
  </w:num>
  <w:num w:numId="9">
    <w:abstractNumId w:val="43"/>
  </w:num>
  <w:num w:numId="10">
    <w:abstractNumId w:val="0"/>
  </w:num>
  <w:num w:numId="11">
    <w:abstractNumId w:val="38"/>
  </w:num>
  <w:num w:numId="12">
    <w:abstractNumId w:val="39"/>
  </w:num>
  <w:num w:numId="13">
    <w:abstractNumId w:val="44"/>
  </w:num>
  <w:num w:numId="14">
    <w:abstractNumId w:val="1"/>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6"/>
  </w:num>
  <w:num w:numId="31">
    <w:abstractNumId w:val="29"/>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1"/>
  </w:num>
  <w:num w:numId="41">
    <w:abstractNumId w:val="47"/>
  </w:num>
  <w:num w:numId="42">
    <w:abstractNumId w:val="51"/>
  </w:num>
  <w:num w:numId="43">
    <w:abstractNumId w:val="52"/>
  </w:num>
  <w:num w:numId="44">
    <w:abstractNumId w:val="54"/>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20"/>
  </w:num>
  <w:num w:numId="52">
    <w:abstractNumId w:val="42"/>
  </w:num>
  <w:num w:numId="53">
    <w:abstractNumId w:val="53"/>
  </w:num>
  <w:num w:numId="54">
    <w:abstractNumId w:val="45"/>
  </w:num>
  <w:num w:numId="55">
    <w:abstractNumId w:val="48"/>
  </w:num>
  <w:num w:numId="56">
    <w:abstractNumId w:val="12"/>
  </w:num>
  <w:num w:numId="57">
    <w:abstractNumId w:val="55"/>
  </w:num>
  <w:num w:numId="58">
    <w:abstractNumId w:val="46"/>
  </w:num>
  <w:num w:numId="59">
    <w:abstractNumId w:val="25"/>
  </w:num>
  <w:num w:numId="60">
    <w:abstractNumId w:val="30"/>
  </w:num>
  <w:num w:numId="61">
    <w:abstractNumId w:val="49"/>
  </w:num>
  <w:num w:numId="62">
    <w:abstractNumId w:val="27"/>
  </w:num>
  <w:num w:numId="63">
    <w:abstractNumId w:val="2"/>
  </w:num>
  <w:num w:numId="64">
    <w:abstractNumId w:val="2"/>
    <w:lvlOverride w:ilvl="0">
      <w:startOverride w:val="1"/>
    </w:lvlOverride>
  </w:num>
  <w:num w:numId="65">
    <w:abstractNumId w:val="2"/>
    <w:lvlOverride w:ilvl="0">
      <w:startOverride w:val="1"/>
    </w:lvlOverride>
  </w:num>
  <w:num w:numId="66">
    <w:abstractNumId w:val="2"/>
    <w:lvlOverride w:ilvl="0">
      <w:startOverride w:val="1"/>
    </w:lvlOverride>
  </w:num>
  <w:num w:numId="67">
    <w:abstractNumId w:val="55"/>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360"/>
  <w:hyphenationZone w:val="425"/>
  <w:characterSpacingControl w:val="doNotCompress"/>
  <w:hdrShapeDefaults>
    <o:shapedefaults v:ext="edit" spidmax="6146"/>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112"/>
    <w:rsid w:val="0000036F"/>
    <w:rsid w:val="00000CDA"/>
    <w:rsid w:val="0000260C"/>
    <w:rsid w:val="00002A3A"/>
    <w:rsid w:val="00002E62"/>
    <w:rsid w:val="0000379D"/>
    <w:rsid w:val="00003D92"/>
    <w:rsid w:val="00004244"/>
    <w:rsid w:val="000050A9"/>
    <w:rsid w:val="00005F0A"/>
    <w:rsid w:val="00006419"/>
    <w:rsid w:val="00006D9B"/>
    <w:rsid w:val="000070A5"/>
    <w:rsid w:val="000070D7"/>
    <w:rsid w:val="0001186D"/>
    <w:rsid w:val="00013144"/>
    <w:rsid w:val="00016EB1"/>
    <w:rsid w:val="00017119"/>
    <w:rsid w:val="0001773C"/>
    <w:rsid w:val="0001788C"/>
    <w:rsid w:val="00022FA9"/>
    <w:rsid w:val="000231A6"/>
    <w:rsid w:val="0002347F"/>
    <w:rsid w:val="00023DA5"/>
    <w:rsid w:val="0002493B"/>
    <w:rsid w:val="0002655D"/>
    <w:rsid w:val="00030F85"/>
    <w:rsid w:val="000333E2"/>
    <w:rsid w:val="0003379D"/>
    <w:rsid w:val="000337CE"/>
    <w:rsid w:val="0003629E"/>
    <w:rsid w:val="00036448"/>
    <w:rsid w:val="00036940"/>
    <w:rsid w:val="000375D9"/>
    <w:rsid w:val="00040C3A"/>
    <w:rsid w:val="000432F8"/>
    <w:rsid w:val="00044388"/>
    <w:rsid w:val="00044A6F"/>
    <w:rsid w:val="0004516C"/>
    <w:rsid w:val="00045D5C"/>
    <w:rsid w:val="00046930"/>
    <w:rsid w:val="000506A7"/>
    <w:rsid w:val="00052DC0"/>
    <w:rsid w:val="00053E21"/>
    <w:rsid w:val="00053EBE"/>
    <w:rsid w:val="00055DCD"/>
    <w:rsid w:val="000568F1"/>
    <w:rsid w:val="00057570"/>
    <w:rsid w:val="00057937"/>
    <w:rsid w:val="00057DEA"/>
    <w:rsid w:val="00061F38"/>
    <w:rsid w:val="000639C0"/>
    <w:rsid w:val="00065E05"/>
    <w:rsid w:val="00070920"/>
    <w:rsid w:val="00070F3A"/>
    <w:rsid w:val="00070FB0"/>
    <w:rsid w:val="000716C5"/>
    <w:rsid w:val="00071832"/>
    <w:rsid w:val="00071A7B"/>
    <w:rsid w:val="000725C0"/>
    <w:rsid w:val="000734CA"/>
    <w:rsid w:val="000740C8"/>
    <w:rsid w:val="00074C51"/>
    <w:rsid w:val="00075E23"/>
    <w:rsid w:val="0007629D"/>
    <w:rsid w:val="00077B84"/>
    <w:rsid w:val="00081990"/>
    <w:rsid w:val="00082D34"/>
    <w:rsid w:val="00083C27"/>
    <w:rsid w:val="00084E25"/>
    <w:rsid w:val="00085D64"/>
    <w:rsid w:val="00086257"/>
    <w:rsid w:val="00087036"/>
    <w:rsid w:val="000911BA"/>
    <w:rsid w:val="00091B6A"/>
    <w:rsid w:val="00092E65"/>
    <w:rsid w:val="00092F32"/>
    <w:rsid w:val="0009344A"/>
    <w:rsid w:val="00093CA1"/>
    <w:rsid w:val="000950C9"/>
    <w:rsid w:val="0009510C"/>
    <w:rsid w:val="000952EC"/>
    <w:rsid w:val="00095985"/>
    <w:rsid w:val="00095F24"/>
    <w:rsid w:val="00097A6D"/>
    <w:rsid w:val="000A2F24"/>
    <w:rsid w:val="000A575F"/>
    <w:rsid w:val="000A58E3"/>
    <w:rsid w:val="000A6B77"/>
    <w:rsid w:val="000A7250"/>
    <w:rsid w:val="000B06F2"/>
    <w:rsid w:val="000B0D53"/>
    <w:rsid w:val="000B1B54"/>
    <w:rsid w:val="000C064C"/>
    <w:rsid w:val="000C4648"/>
    <w:rsid w:val="000C764F"/>
    <w:rsid w:val="000C7E14"/>
    <w:rsid w:val="000D10DB"/>
    <w:rsid w:val="000D1D5F"/>
    <w:rsid w:val="000D282F"/>
    <w:rsid w:val="000D2B89"/>
    <w:rsid w:val="000D5127"/>
    <w:rsid w:val="000D5AF0"/>
    <w:rsid w:val="000E03FF"/>
    <w:rsid w:val="000E193F"/>
    <w:rsid w:val="000E1A17"/>
    <w:rsid w:val="000E1E23"/>
    <w:rsid w:val="000E246D"/>
    <w:rsid w:val="000E25D5"/>
    <w:rsid w:val="000E3BA9"/>
    <w:rsid w:val="000E7171"/>
    <w:rsid w:val="000F0EA3"/>
    <w:rsid w:val="000F15A8"/>
    <w:rsid w:val="000F1BDD"/>
    <w:rsid w:val="000F25D0"/>
    <w:rsid w:val="000F347C"/>
    <w:rsid w:val="000F630C"/>
    <w:rsid w:val="000F66A6"/>
    <w:rsid w:val="000F7D80"/>
    <w:rsid w:val="00100198"/>
    <w:rsid w:val="00104751"/>
    <w:rsid w:val="00105223"/>
    <w:rsid w:val="001053C0"/>
    <w:rsid w:val="001062B1"/>
    <w:rsid w:val="00107657"/>
    <w:rsid w:val="001103C4"/>
    <w:rsid w:val="00114314"/>
    <w:rsid w:val="00115E8D"/>
    <w:rsid w:val="001177CE"/>
    <w:rsid w:val="00117A12"/>
    <w:rsid w:val="00121824"/>
    <w:rsid w:val="00121C93"/>
    <w:rsid w:val="00122830"/>
    <w:rsid w:val="00122A84"/>
    <w:rsid w:val="0012356F"/>
    <w:rsid w:val="00125742"/>
    <w:rsid w:val="001266C3"/>
    <w:rsid w:val="00132407"/>
    <w:rsid w:val="00132806"/>
    <w:rsid w:val="00135A35"/>
    <w:rsid w:val="00143627"/>
    <w:rsid w:val="001449A1"/>
    <w:rsid w:val="00144C2E"/>
    <w:rsid w:val="00145219"/>
    <w:rsid w:val="00147B5D"/>
    <w:rsid w:val="00150695"/>
    <w:rsid w:val="0015088E"/>
    <w:rsid w:val="00151490"/>
    <w:rsid w:val="00152E0E"/>
    <w:rsid w:val="00153C1D"/>
    <w:rsid w:val="0015576D"/>
    <w:rsid w:val="00157BA2"/>
    <w:rsid w:val="00163ADC"/>
    <w:rsid w:val="00163D55"/>
    <w:rsid w:val="00163FEA"/>
    <w:rsid w:val="0016725B"/>
    <w:rsid w:val="00167A34"/>
    <w:rsid w:val="00170112"/>
    <w:rsid w:val="00170EA1"/>
    <w:rsid w:val="00171013"/>
    <w:rsid w:val="00172181"/>
    <w:rsid w:val="00172331"/>
    <w:rsid w:val="00172BA8"/>
    <w:rsid w:val="00173235"/>
    <w:rsid w:val="00177652"/>
    <w:rsid w:val="00180233"/>
    <w:rsid w:val="001807FE"/>
    <w:rsid w:val="001817B3"/>
    <w:rsid w:val="001826C1"/>
    <w:rsid w:val="0018438B"/>
    <w:rsid w:val="00185299"/>
    <w:rsid w:val="00187186"/>
    <w:rsid w:val="0018762F"/>
    <w:rsid w:val="001876CF"/>
    <w:rsid w:val="00190314"/>
    <w:rsid w:val="001908E1"/>
    <w:rsid w:val="00192FFB"/>
    <w:rsid w:val="001935CE"/>
    <w:rsid w:val="00193E5B"/>
    <w:rsid w:val="00194020"/>
    <w:rsid w:val="00196926"/>
    <w:rsid w:val="00197447"/>
    <w:rsid w:val="001A1FF0"/>
    <w:rsid w:val="001A2531"/>
    <w:rsid w:val="001A25CA"/>
    <w:rsid w:val="001A2BD4"/>
    <w:rsid w:val="001A43B3"/>
    <w:rsid w:val="001A4720"/>
    <w:rsid w:val="001A63BF"/>
    <w:rsid w:val="001A7870"/>
    <w:rsid w:val="001B0E93"/>
    <w:rsid w:val="001B20D7"/>
    <w:rsid w:val="001B220C"/>
    <w:rsid w:val="001B2A74"/>
    <w:rsid w:val="001B3737"/>
    <w:rsid w:val="001B416F"/>
    <w:rsid w:val="001B4B88"/>
    <w:rsid w:val="001B592F"/>
    <w:rsid w:val="001B5B04"/>
    <w:rsid w:val="001B6E96"/>
    <w:rsid w:val="001C0197"/>
    <w:rsid w:val="001C1B41"/>
    <w:rsid w:val="001C2F00"/>
    <w:rsid w:val="001C60F4"/>
    <w:rsid w:val="001C6270"/>
    <w:rsid w:val="001C6578"/>
    <w:rsid w:val="001C7279"/>
    <w:rsid w:val="001C7346"/>
    <w:rsid w:val="001D0E4A"/>
    <w:rsid w:val="001D159D"/>
    <w:rsid w:val="001D28DB"/>
    <w:rsid w:val="001D3B66"/>
    <w:rsid w:val="001E15E4"/>
    <w:rsid w:val="001E1D87"/>
    <w:rsid w:val="001E1F6C"/>
    <w:rsid w:val="001E3936"/>
    <w:rsid w:val="001E3CAB"/>
    <w:rsid w:val="001E44E8"/>
    <w:rsid w:val="001E505E"/>
    <w:rsid w:val="001E5353"/>
    <w:rsid w:val="001E572B"/>
    <w:rsid w:val="001E586A"/>
    <w:rsid w:val="001E5E73"/>
    <w:rsid w:val="001E6EF2"/>
    <w:rsid w:val="001F0A72"/>
    <w:rsid w:val="001F1B7C"/>
    <w:rsid w:val="001F5BB1"/>
    <w:rsid w:val="001F6A2F"/>
    <w:rsid w:val="001F79E9"/>
    <w:rsid w:val="001F7BC5"/>
    <w:rsid w:val="001F7D2D"/>
    <w:rsid w:val="002000FD"/>
    <w:rsid w:val="002004EA"/>
    <w:rsid w:val="0020183B"/>
    <w:rsid w:val="002026AC"/>
    <w:rsid w:val="002045A7"/>
    <w:rsid w:val="00204E47"/>
    <w:rsid w:val="00205801"/>
    <w:rsid w:val="00212461"/>
    <w:rsid w:val="00213321"/>
    <w:rsid w:val="00213519"/>
    <w:rsid w:val="00215622"/>
    <w:rsid w:val="00220FFC"/>
    <w:rsid w:val="00221B1F"/>
    <w:rsid w:val="002313AC"/>
    <w:rsid w:val="00233932"/>
    <w:rsid w:val="00235AB3"/>
    <w:rsid w:val="00235F9C"/>
    <w:rsid w:val="00236F53"/>
    <w:rsid w:val="002372D7"/>
    <w:rsid w:val="00237B34"/>
    <w:rsid w:val="00241A82"/>
    <w:rsid w:val="00241AA5"/>
    <w:rsid w:val="0024354F"/>
    <w:rsid w:val="00243A6D"/>
    <w:rsid w:val="00243E5E"/>
    <w:rsid w:val="00243FD6"/>
    <w:rsid w:val="00245E69"/>
    <w:rsid w:val="002466F6"/>
    <w:rsid w:val="00246B2C"/>
    <w:rsid w:val="00247240"/>
    <w:rsid w:val="00247403"/>
    <w:rsid w:val="00247542"/>
    <w:rsid w:val="00247B80"/>
    <w:rsid w:val="002538D0"/>
    <w:rsid w:val="00253F59"/>
    <w:rsid w:val="00255B82"/>
    <w:rsid w:val="002565AE"/>
    <w:rsid w:val="00257695"/>
    <w:rsid w:val="00257893"/>
    <w:rsid w:val="00264D53"/>
    <w:rsid w:val="00265141"/>
    <w:rsid w:val="00266B61"/>
    <w:rsid w:val="0026712A"/>
    <w:rsid w:val="0026739E"/>
    <w:rsid w:val="00267FBB"/>
    <w:rsid w:val="002704DB"/>
    <w:rsid w:val="00270D8F"/>
    <w:rsid w:val="00271138"/>
    <w:rsid w:val="00271766"/>
    <w:rsid w:val="00271E71"/>
    <w:rsid w:val="002721C3"/>
    <w:rsid w:val="00275FF5"/>
    <w:rsid w:val="0027665B"/>
    <w:rsid w:val="00280CCB"/>
    <w:rsid w:val="0028103D"/>
    <w:rsid w:val="00283E50"/>
    <w:rsid w:val="00284204"/>
    <w:rsid w:val="0029072E"/>
    <w:rsid w:val="002915CF"/>
    <w:rsid w:val="00291975"/>
    <w:rsid w:val="00293CB4"/>
    <w:rsid w:val="0029436B"/>
    <w:rsid w:val="00296C9E"/>
    <w:rsid w:val="00296C9F"/>
    <w:rsid w:val="002A2242"/>
    <w:rsid w:val="002A2465"/>
    <w:rsid w:val="002A4FBA"/>
    <w:rsid w:val="002A4FED"/>
    <w:rsid w:val="002B23BC"/>
    <w:rsid w:val="002B2B6D"/>
    <w:rsid w:val="002B2C87"/>
    <w:rsid w:val="002B3132"/>
    <w:rsid w:val="002B3A72"/>
    <w:rsid w:val="002B66AB"/>
    <w:rsid w:val="002C0521"/>
    <w:rsid w:val="002C0752"/>
    <w:rsid w:val="002C1641"/>
    <w:rsid w:val="002C19C8"/>
    <w:rsid w:val="002C44E5"/>
    <w:rsid w:val="002C4697"/>
    <w:rsid w:val="002C4E31"/>
    <w:rsid w:val="002C7054"/>
    <w:rsid w:val="002D0623"/>
    <w:rsid w:val="002D11A6"/>
    <w:rsid w:val="002D21FA"/>
    <w:rsid w:val="002D5A1D"/>
    <w:rsid w:val="002D728F"/>
    <w:rsid w:val="002D7EA2"/>
    <w:rsid w:val="002D7F76"/>
    <w:rsid w:val="002E1175"/>
    <w:rsid w:val="002E140A"/>
    <w:rsid w:val="002E15DF"/>
    <w:rsid w:val="002E187C"/>
    <w:rsid w:val="002E2CE0"/>
    <w:rsid w:val="002E3D7F"/>
    <w:rsid w:val="002E51BF"/>
    <w:rsid w:val="002E5BA1"/>
    <w:rsid w:val="002E68A3"/>
    <w:rsid w:val="002E6C84"/>
    <w:rsid w:val="002E6E21"/>
    <w:rsid w:val="002E6E57"/>
    <w:rsid w:val="002F076A"/>
    <w:rsid w:val="002F2C31"/>
    <w:rsid w:val="002F7E0D"/>
    <w:rsid w:val="00300B62"/>
    <w:rsid w:val="00301075"/>
    <w:rsid w:val="00302733"/>
    <w:rsid w:val="00302FC8"/>
    <w:rsid w:val="00303F09"/>
    <w:rsid w:val="00304612"/>
    <w:rsid w:val="00306053"/>
    <w:rsid w:val="0030611C"/>
    <w:rsid w:val="003079B9"/>
    <w:rsid w:val="003107F4"/>
    <w:rsid w:val="0031116C"/>
    <w:rsid w:val="00311A4F"/>
    <w:rsid w:val="00312263"/>
    <w:rsid w:val="00312A04"/>
    <w:rsid w:val="00313E0A"/>
    <w:rsid w:val="00314040"/>
    <w:rsid w:val="00314078"/>
    <w:rsid w:val="003140D1"/>
    <w:rsid w:val="0031489F"/>
    <w:rsid w:val="00314A89"/>
    <w:rsid w:val="00320035"/>
    <w:rsid w:val="003218E8"/>
    <w:rsid w:val="00322450"/>
    <w:rsid w:val="003229B1"/>
    <w:rsid w:val="003237F0"/>
    <w:rsid w:val="00324AE8"/>
    <w:rsid w:val="0033169F"/>
    <w:rsid w:val="003323B9"/>
    <w:rsid w:val="003324F0"/>
    <w:rsid w:val="00332CAC"/>
    <w:rsid w:val="003330DA"/>
    <w:rsid w:val="00333BE1"/>
    <w:rsid w:val="003348C9"/>
    <w:rsid w:val="003406AF"/>
    <w:rsid w:val="003430C3"/>
    <w:rsid w:val="00343BCA"/>
    <w:rsid w:val="00345483"/>
    <w:rsid w:val="003536AD"/>
    <w:rsid w:val="00353CF2"/>
    <w:rsid w:val="00354EE1"/>
    <w:rsid w:val="00354F2D"/>
    <w:rsid w:val="00356185"/>
    <w:rsid w:val="00360380"/>
    <w:rsid w:val="00361514"/>
    <w:rsid w:val="00361635"/>
    <w:rsid w:val="00361BFD"/>
    <w:rsid w:val="0036205C"/>
    <w:rsid w:val="00363E1B"/>
    <w:rsid w:val="00366E3F"/>
    <w:rsid w:val="00371E52"/>
    <w:rsid w:val="0037412E"/>
    <w:rsid w:val="00375119"/>
    <w:rsid w:val="0037514B"/>
    <w:rsid w:val="00375854"/>
    <w:rsid w:val="00376A47"/>
    <w:rsid w:val="00376BF8"/>
    <w:rsid w:val="003825ED"/>
    <w:rsid w:val="00383D23"/>
    <w:rsid w:val="0038528C"/>
    <w:rsid w:val="003859A8"/>
    <w:rsid w:val="00385CB9"/>
    <w:rsid w:val="00385D23"/>
    <w:rsid w:val="0038695E"/>
    <w:rsid w:val="00386CF0"/>
    <w:rsid w:val="00387A75"/>
    <w:rsid w:val="00390090"/>
    <w:rsid w:val="00390D13"/>
    <w:rsid w:val="00393FD7"/>
    <w:rsid w:val="00394C9F"/>
    <w:rsid w:val="00394DF6"/>
    <w:rsid w:val="00397489"/>
    <w:rsid w:val="003A0696"/>
    <w:rsid w:val="003A0EC4"/>
    <w:rsid w:val="003A287E"/>
    <w:rsid w:val="003A2F84"/>
    <w:rsid w:val="003A368D"/>
    <w:rsid w:val="003A3CAD"/>
    <w:rsid w:val="003A5760"/>
    <w:rsid w:val="003A59E6"/>
    <w:rsid w:val="003A5B1B"/>
    <w:rsid w:val="003A6C77"/>
    <w:rsid w:val="003A6E9C"/>
    <w:rsid w:val="003A7EE9"/>
    <w:rsid w:val="003B0CA9"/>
    <w:rsid w:val="003B139F"/>
    <w:rsid w:val="003B13D8"/>
    <w:rsid w:val="003B6298"/>
    <w:rsid w:val="003C002D"/>
    <w:rsid w:val="003C091A"/>
    <w:rsid w:val="003C1331"/>
    <w:rsid w:val="003C20F2"/>
    <w:rsid w:val="003C3142"/>
    <w:rsid w:val="003C3C52"/>
    <w:rsid w:val="003C46B4"/>
    <w:rsid w:val="003C54AB"/>
    <w:rsid w:val="003C65D4"/>
    <w:rsid w:val="003D14D5"/>
    <w:rsid w:val="003D19B2"/>
    <w:rsid w:val="003D31B9"/>
    <w:rsid w:val="003D3A6B"/>
    <w:rsid w:val="003D4416"/>
    <w:rsid w:val="003D660A"/>
    <w:rsid w:val="003E1226"/>
    <w:rsid w:val="003E28AE"/>
    <w:rsid w:val="003E5326"/>
    <w:rsid w:val="003F1BBF"/>
    <w:rsid w:val="003F5F7A"/>
    <w:rsid w:val="003F7864"/>
    <w:rsid w:val="0040052C"/>
    <w:rsid w:val="004007F8"/>
    <w:rsid w:val="00400A02"/>
    <w:rsid w:val="00401B10"/>
    <w:rsid w:val="00402DB2"/>
    <w:rsid w:val="00403799"/>
    <w:rsid w:val="00403C88"/>
    <w:rsid w:val="00404C86"/>
    <w:rsid w:val="00404CBD"/>
    <w:rsid w:val="00405A0D"/>
    <w:rsid w:val="00405E57"/>
    <w:rsid w:val="0040752F"/>
    <w:rsid w:val="004120F3"/>
    <w:rsid w:val="00412D8D"/>
    <w:rsid w:val="0041400D"/>
    <w:rsid w:val="0041546E"/>
    <w:rsid w:val="004165C2"/>
    <w:rsid w:val="00416AB8"/>
    <w:rsid w:val="00421067"/>
    <w:rsid w:val="0042567C"/>
    <w:rsid w:val="00426049"/>
    <w:rsid w:val="00431799"/>
    <w:rsid w:val="00431B13"/>
    <w:rsid w:val="00432F54"/>
    <w:rsid w:val="004352EC"/>
    <w:rsid w:val="00436B8E"/>
    <w:rsid w:val="00437A24"/>
    <w:rsid w:val="00441D87"/>
    <w:rsid w:val="0044362B"/>
    <w:rsid w:val="0044390A"/>
    <w:rsid w:val="0044460B"/>
    <w:rsid w:val="00445AC3"/>
    <w:rsid w:val="00450335"/>
    <w:rsid w:val="00450A4A"/>
    <w:rsid w:val="00452EBB"/>
    <w:rsid w:val="004544DC"/>
    <w:rsid w:val="0045572D"/>
    <w:rsid w:val="00455BF3"/>
    <w:rsid w:val="00457A93"/>
    <w:rsid w:val="00460C15"/>
    <w:rsid w:val="00461012"/>
    <w:rsid w:val="004630E5"/>
    <w:rsid w:val="004666FB"/>
    <w:rsid w:val="00467B7E"/>
    <w:rsid w:val="00471314"/>
    <w:rsid w:val="00471D78"/>
    <w:rsid w:val="00473221"/>
    <w:rsid w:val="004740BC"/>
    <w:rsid w:val="004741F5"/>
    <w:rsid w:val="00475C6D"/>
    <w:rsid w:val="00481432"/>
    <w:rsid w:val="0048158E"/>
    <w:rsid w:val="00482054"/>
    <w:rsid w:val="00485F7D"/>
    <w:rsid w:val="0048628F"/>
    <w:rsid w:val="004862FA"/>
    <w:rsid w:val="004866BB"/>
    <w:rsid w:val="00486D39"/>
    <w:rsid w:val="0049219C"/>
    <w:rsid w:val="004925B3"/>
    <w:rsid w:val="00493173"/>
    <w:rsid w:val="004937A8"/>
    <w:rsid w:val="00493930"/>
    <w:rsid w:val="004940B9"/>
    <w:rsid w:val="0049419D"/>
    <w:rsid w:val="00496052"/>
    <w:rsid w:val="004A0778"/>
    <w:rsid w:val="004A1340"/>
    <w:rsid w:val="004A1562"/>
    <w:rsid w:val="004A1BD7"/>
    <w:rsid w:val="004A308C"/>
    <w:rsid w:val="004A42FB"/>
    <w:rsid w:val="004A63D3"/>
    <w:rsid w:val="004B04BE"/>
    <w:rsid w:val="004B09A5"/>
    <w:rsid w:val="004B2180"/>
    <w:rsid w:val="004B43EA"/>
    <w:rsid w:val="004B7EB6"/>
    <w:rsid w:val="004C0D38"/>
    <w:rsid w:val="004C252D"/>
    <w:rsid w:val="004C37FC"/>
    <w:rsid w:val="004C3872"/>
    <w:rsid w:val="004C3AA0"/>
    <w:rsid w:val="004C40F8"/>
    <w:rsid w:val="004C4B62"/>
    <w:rsid w:val="004C4B7B"/>
    <w:rsid w:val="004C5DD6"/>
    <w:rsid w:val="004C643F"/>
    <w:rsid w:val="004C668B"/>
    <w:rsid w:val="004C7109"/>
    <w:rsid w:val="004D1D14"/>
    <w:rsid w:val="004D2B3F"/>
    <w:rsid w:val="004D6025"/>
    <w:rsid w:val="004D71B8"/>
    <w:rsid w:val="004D7736"/>
    <w:rsid w:val="004E1EE3"/>
    <w:rsid w:val="004E2135"/>
    <w:rsid w:val="004E4E51"/>
    <w:rsid w:val="004E5303"/>
    <w:rsid w:val="004F0AE6"/>
    <w:rsid w:val="004F1AA8"/>
    <w:rsid w:val="004F33BC"/>
    <w:rsid w:val="004F4BD6"/>
    <w:rsid w:val="004F4F44"/>
    <w:rsid w:val="004F54ED"/>
    <w:rsid w:val="004F5E58"/>
    <w:rsid w:val="004F6AD2"/>
    <w:rsid w:val="00500010"/>
    <w:rsid w:val="00500028"/>
    <w:rsid w:val="00501399"/>
    <w:rsid w:val="00502C7D"/>
    <w:rsid w:val="00503A6A"/>
    <w:rsid w:val="00503F4F"/>
    <w:rsid w:val="00505910"/>
    <w:rsid w:val="00507BC4"/>
    <w:rsid w:val="00512602"/>
    <w:rsid w:val="005128E4"/>
    <w:rsid w:val="005159E9"/>
    <w:rsid w:val="00516C83"/>
    <w:rsid w:val="0051712A"/>
    <w:rsid w:val="00521504"/>
    <w:rsid w:val="005235D6"/>
    <w:rsid w:val="0052365D"/>
    <w:rsid w:val="00525560"/>
    <w:rsid w:val="00525C32"/>
    <w:rsid w:val="00525E6C"/>
    <w:rsid w:val="00530B28"/>
    <w:rsid w:val="00531107"/>
    <w:rsid w:val="00531AF2"/>
    <w:rsid w:val="00532C1A"/>
    <w:rsid w:val="00533836"/>
    <w:rsid w:val="00534154"/>
    <w:rsid w:val="005347A2"/>
    <w:rsid w:val="00534C61"/>
    <w:rsid w:val="005355BC"/>
    <w:rsid w:val="005362E8"/>
    <w:rsid w:val="00536D87"/>
    <w:rsid w:val="00540D6B"/>
    <w:rsid w:val="005421D7"/>
    <w:rsid w:val="00543D82"/>
    <w:rsid w:val="0054451B"/>
    <w:rsid w:val="00544C49"/>
    <w:rsid w:val="0054643E"/>
    <w:rsid w:val="00550499"/>
    <w:rsid w:val="00550971"/>
    <w:rsid w:val="00551371"/>
    <w:rsid w:val="0055181D"/>
    <w:rsid w:val="00551997"/>
    <w:rsid w:val="0055207E"/>
    <w:rsid w:val="005543A1"/>
    <w:rsid w:val="005547D7"/>
    <w:rsid w:val="00555CF8"/>
    <w:rsid w:val="0055606D"/>
    <w:rsid w:val="005568DC"/>
    <w:rsid w:val="00556B62"/>
    <w:rsid w:val="00560AA3"/>
    <w:rsid w:val="00562918"/>
    <w:rsid w:val="00564143"/>
    <w:rsid w:val="00564EE4"/>
    <w:rsid w:val="005650A6"/>
    <w:rsid w:val="0056537B"/>
    <w:rsid w:val="00566DEB"/>
    <w:rsid w:val="00567AED"/>
    <w:rsid w:val="00573358"/>
    <w:rsid w:val="0057402A"/>
    <w:rsid w:val="0057421E"/>
    <w:rsid w:val="005749B6"/>
    <w:rsid w:val="00574C58"/>
    <w:rsid w:val="005771D0"/>
    <w:rsid w:val="0058063C"/>
    <w:rsid w:val="005815C6"/>
    <w:rsid w:val="00582F2C"/>
    <w:rsid w:val="005834C8"/>
    <w:rsid w:val="00583D03"/>
    <w:rsid w:val="005842E8"/>
    <w:rsid w:val="005855CC"/>
    <w:rsid w:val="005862E7"/>
    <w:rsid w:val="00587911"/>
    <w:rsid w:val="0059022D"/>
    <w:rsid w:val="00590B11"/>
    <w:rsid w:val="0059133D"/>
    <w:rsid w:val="0059191A"/>
    <w:rsid w:val="005921FF"/>
    <w:rsid w:val="00592CDB"/>
    <w:rsid w:val="00593FEA"/>
    <w:rsid w:val="005941D4"/>
    <w:rsid w:val="00594251"/>
    <w:rsid w:val="0059574C"/>
    <w:rsid w:val="005961B7"/>
    <w:rsid w:val="005968F3"/>
    <w:rsid w:val="005A0DE1"/>
    <w:rsid w:val="005A6087"/>
    <w:rsid w:val="005A6D0E"/>
    <w:rsid w:val="005B0DE7"/>
    <w:rsid w:val="005B39AF"/>
    <w:rsid w:val="005B3CE1"/>
    <w:rsid w:val="005B4F42"/>
    <w:rsid w:val="005B52B0"/>
    <w:rsid w:val="005B5830"/>
    <w:rsid w:val="005B59C7"/>
    <w:rsid w:val="005B5FE9"/>
    <w:rsid w:val="005B6484"/>
    <w:rsid w:val="005B6500"/>
    <w:rsid w:val="005B6806"/>
    <w:rsid w:val="005B6C67"/>
    <w:rsid w:val="005B712A"/>
    <w:rsid w:val="005C1C1F"/>
    <w:rsid w:val="005C2F6E"/>
    <w:rsid w:val="005C4193"/>
    <w:rsid w:val="005C4225"/>
    <w:rsid w:val="005C44A0"/>
    <w:rsid w:val="005C5393"/>
    <w:rsid w:val="005C6B56"/>
    <w:rsid w:val="005C6E07"/>
    <w:rsid w:val="005D085E"/>
    <w:rsid w:val="005D2A78"/>
    <w:rsid w:val="005D4453"/>
    <w:rsid w:val="005D6CDB"/>
    <w:rsid w:val="005E0549"/>
    <w:rsid w:val="005E3468"/>
    <w:rsid w:val="005E368B"/>
    <w:rsid w:val="005E3D84"/>
    <w:rsid w:val="005E41C1"/>
    <w:rsid w:val="005E5AA9"/>
    <w:rsid w:val="005F0F33"/>
    <w:rsid w:val="005F1346"/>
    <w:rsid w:val="005F1F7F"/>
    <w:rsid w:val="005F5A13"/>
    <w:rsid w:val="005F7C1C"/>
    <w:rsid w:val="00600D18"/>
    <w:rsid w:val="00600DEB"/>
    <w:rsid w:val="00601DB0"/>
    <w:rsid w:val="00603401"/>
    <w:rsid w:val="006037AD"/>
    <w:rsid w:val="00603A92"/>
    <w:rsid w:val="00603BBD"/>
    <w:rsid w:val="0060443B"/>
    <w:rsid w:val="0060633F"/>
    <w:rsid w:val="00611B9A"/>
    <w:rsid w:val="00611BBB"/>
    <w:rsid w:val="0061261A"/>
    <w:rsid w:val="00612C8A"/>
    <w:rsid w:val="00613027"/>
    <w:rsid w:val="006154B0"/>
    <w:rsid w:val="00615C23"/>
    <w:rsid w:val="00616694"/>
    <w:rsid w:val="006201EA"/>
    <w:rsid w:val="0062147C"/>
    <w:rsid w:val="00622534"/>
    <w:rsid w:val="00622B5F"/>
    <w:rsid w:val="00623ED1"/>
    <w:rsid w:val="00625524"/>
    <w:rsid w:val="00625AA3"/>
    <w:rsid w:val="006278BA"/>
    <w:rsid w:val="00627C9F"/>
    <w:rsid w:val="00630740"/>
    <w:rsid w:val="006311E9"/>
    <w:rsid w:val="00631BE0"/>
    <w:rsid w:val="00631EAF"/>
    <w:rsid w:val="00632354"/>
    <w:rsid w:val="00632719"/>
    <w:rsid w:val="00632F2E"/>
    <w:rsid w:val="0063341B"/>
    <w:rsid w:val="0063351F"/>
    <w:rsid w:val="006338EC"/>
    <w:rsid w:val="00633E4F"/>
    <w:rsid w:val="00634251"/>
    <w:rsid w:val="00637C98"/>
    <w:rsid w:val="00640B70"/>
    <w:rsid w:val="00641F06"/>
    <w:rsid w:val="00642810"/>
    <w:rsid w:val="00643185"/>
    <w:rsid w:val="00645791"/>
    <w:rsid w:val="00646064"/>
    <w:rsid w:val="006470B2"/>
    <w:rsid w:val="00647D36"/>
    <w:rsid w:val="00652333"/>
    <w:rsid w:val="006524BB"/>
    <w:rsid w:val="00652968"/>
    <w:rsid w:val="006539EA"/>
    <w:rsid w:val="00655163"/>
    <w:rsid w:val="00656BD1"/>
    <w:rsid w:val="006600B8"/>
    <w:rsid w:val="006614AE"/>
    <w:rsid w:val="006642CE"/>
    <w:rsid w:val="006647A2"/>
    <w:rsid w:val="00664D39"/>
    <w:rsid w:val="00667534"/>
    <w:rsid w:val="00667910"/>
    <w:rsid w:val="00671744"/>
    <w:rsid w:val="0067198B"/>
    <w:rsid w:val="00672C85"/>
    <w:rsid w:val="00672D43"/>
    <w:rsid w:val="00673073"/>
    <w:rsid w:val="00674052"/>
    <w:rsid w:val="006744F6"/>
    <w:rsid w:val="00676883"/>
    <w:rsid w:val="0068009E"/>
    <w:rsid w:val="006805CF"/>
    <w:rsid w:val="0068381F"/>
    <w:rsid w:val="00685E46"/>
    <w:rsid w:val="00690319"/>
    <w:rsid w:val="0069223D"/>
    <w:rsid w:val="0069478D"/>
    <w:rsid w:val="0069500D"/>
    <w:rsid w:val="006955E1"/>
    <w:rsid w:val="00696BFA"/>
    <w:rsid w:val="0069757C"/>
    <w:rsid w:val="00697C92"/>
    <w:rsid w:val="006A086C"/>
    <w:rsid w:val="006A0DAF"/>
    <w:rsid w:val="006A17D2"/>
    <w:rsid w:val="006A1A19"/>
    <w:rsid w:val="006A1B6C"/>
    <w:rsid w:val="006A2D61"/>
    <w:rsid w:val="006A639B"/>
    <w:rsid w:val="006A6C90"/>
    <w:rsid w:val="006A73E6"/>
    <w:rsid w:val="006B0EAA"/>
    <w:rsid w:val="006B1096"/>
    <w:rsid w:val="006B2D5C"/>
    <w:rsid w:val="006B3704"/>
    <w:rsid w:val="006B41D4"/>
    <w:rsid w:val="006B4894"/>
    <w:rsid w:val="006B5AB9"/>
    <w:rsid w:val="006B65F5"/>
    <w:rsid w:val="006C1D4C"/>
    <w:rsid w:val="006C2409"/>
    <w:rsid w:val="006C2D19"/>
    <w:rsid w:val="006C4EB1"/>
    <w:rsid w:val="006C548F"/>
    <w:rsid w:val="006C6127"/>
    <w:rsid w:val="006C6FD4"/>
    <w:rsid w:val="006D136D"/>
    <w:rsid w:val="006D15B4"/>
    <w:rsid w:val="006D212E"/>
    <w:rsid w:val="006D44C8"/>
    <w:rsid w:val="006D45B6"/>
    <w:rsid w:val="006D6E6C"/>
    <w:rsid w:val="006D7CE5"/>
    <w:rsid w:val="006E0166"/>
    <w:rsid w:val="006E131F"/>
    <w:rsid w:val="006E4BED"/>
    <w:rsid w:val="006E503B"/>
    <w:rsid w:val="006E7837"/>
    <w:rsid w:val="006E7B34"/>
    <w:rsid w:val="006E7E76"/>
    <w:rsid w:val="006F0310"/>
    <w:rsid w:val="006F2BF1"/>
    <w:rsid w:val="006F37D3"/>
    <w:rsid w:val="006F3E18"/>
    <w:rsid w:val="006F4E71"/>
    <w:rsid w:val="006F5116"/>
    <w:rsid w:val="006F6356"/>
    <w:rsid w:val="006F7BFC"/>
    <w:rsid w:val="0070226C"/>
    <w:rsid w:val="007028C7"/>
    <w:rsid w:val="00703653"/>
    <w:rsid w:val="00703E91"/>
    <w:rsid w:val="00704E0C"/>
    <w:rsid w:val="007073A4"/>
    <w:rsid w:val="00712DCB"/>
    <w:rsid w:val="00715A82"/>
    <w:rsid w:val="0071606B"/>
    <w:rsid w:val="0071639B"/>
    <w:rsid w:val="00716F5D"/>
    <w:rsid w:val="00720367"/>
    <w:rsid w:val="007236F1"/>
    <w:rsid w:val="00723C6E"/>
    <w:rsid w:val="007256D7"/>
    <w:rsid w:val="00725B60"/>
    <w:rsid w:val="007305D2"/>
    <w:rsid w:val="007311FE"/>
    <w:rsid w:val="00731FC9"/>
    <w:rsid w:val="00734A5F"/>
    <w:rsid w:val="00735D4B"/>
    <w:rsid w:val="007362F4"/>
    <w:rsid w:val="00737537"/>
    <w:rsid w:val="007404F6"/>
    <w:rsid w:val="0074094B"/>
    <w:rsid w:val="00740E72"/>
    <w:rsid w:val="0074246F"/>
    <w:rsid w:val="00742C4F"/>
    <w:rsid w:val="00744C48"/>
    <w:rsid w:val="00745899"/>
    <w:rsid w:val="00745FF3"/>
    <w:rsid w:val="007478D6"/>
    <w:rsid w:val="00750D8B"/>
    <w:rsid w:val="00753047"/>
    <w:rsid w:val="00753A68"/>
    <w:rsid w:val="00755358"/>
    <w:rsid w:val="00755737"/>
    <w:rsid w:val="00757231"/>
    <w:rsid w:val="00757E6F"/>
    <w:rsid w:val="00762485"/>
    <w:rsid w:val="007624DA"/>
    <w:rsid w:val="00762BB4"/>
    <w:rsid w:val="00763B37"/>
    <w:rsid w:val="00763D5F"/>
    <w:rsid w:val="00764215"/>
    <w:rsid w:val="0076643F"/>
    <w:rsid w:val="0076697D"/>
    <w:rsid w:val="00767EB1"/>
    <w:rsid w:val="00770838"/>
    <w:rsid w:val="007732B4"/>
    <w:rsid w:val="0077354A"/>
    <w:rsid w:val="0077430B"/>
    <w:rsid w:val="00775169"/>
    <w:rsid w:val="007761E5"/>
    <w:rsid w:val="00776CAA"/>
    <w:rsid w:val="00777170"/>
    <w:rsid w:val="007804CA"/>
    <w:rsid w:val="00780959"/>
    <w:rsid w:val="00780AA5"/>
    <w:rsid w:val="00781240"/>
    <w:rsid w:val="00781B53"/>
    <w:rsid w:val="00781E4B"/>
    <w:rsid w:val="00786FFE"/>
    <w:rsid w:val="0079390F"/>
    <w:rsid w:val="00794AC6"/>
    <w:rsid w:val="00795372"/>
    <w:rsid w:val="007972B9"/>
    <w:rsid w:val="00797DE3"/>
    <w:rsid w:val="007A05E1"/>
    <w:rsid w:val="007A208C"/>
    <w:rsid w:val="007A2A7A"/>
    <w:rsid w:val="007A45AE"/>
    <w:rsid w:val="007A471F"/>
    <w:rsid w:val="007B1046"/>
    <w:rsid w:val="007B273B"/>
    <w:rsid w:val="007B2864"/>
    <w:rsid w:val="007B2CF6"/>
    <w:rsid w:val="007B3318"/>
    <w:rsid w:val="007B7D9C"/>
    <w:rsid w:val="007B7DFE"/>
    <w:rsid w:val="007B7EAB"/>
    <w:rsid w:val="007C023A"/>
    <w:rsid w:val="007C1CC9"/>
    <w:rsid w:val="007C3334"/>
    <w:rsid w:val="007C5038"/>
    <w:rsid w:val="007C52BB"/>
    <w:rsid w:val="007C5593"/>
    <w:rsid w:val="007C5DD8"/>
    <w:rsid w:val="007C71A1"/>
    <w:rsid w:val="007C7B72"/>
    <w:rsid w:val="007C7D07"/>
    <w:rsid w:val="007D0478"/>
    <w:rsid w:val="007D0D04"/>
    <w:rsid w:val="007D17AB"/>
    <w:rsid w:val="007D24C9"/>
    <w:rsid w:val="007D29A7"/>
    <w:rsid w:val="007D2B98"/>
    <w:rsid w:val="007D37E3"/>
    <w:rsid w:val="007D64FA"/>
    <w:rsid w:val="007E1222"/>
    <w:rsid w:val="007E1E42"/>
    <w:rsid w:val="007E7987"/>
    <w:rsid w:val="007E7EFD"/>
    <w:rsid w:val="007F1EF7"/>
    <w:rsid w:val="007F411E"/>
    <w:rsid w:val="007F5700"/>
    <w:rsid w:val="007F6033"/>
    <w:rsid w:val="007F7496"/>
    <w:rsid w:val="00801046"/>
    <w:rsid w:val="00801F3C"/>
    <w:rsid w:val="008026A1"/>
    <w:rsid w:val="008028D8"/>
    <w:rsid w:val="0080347C"/>
    <w:rsid w:val="00803F1C"/>
    <w:rsid w:val="0080600E"/>
    <w:rsid w:val="008061AF"/>
    <w:rsid w:val="00806A5E"/>
    <w:rsid w:val="0080771B"/>
    <w:rsid w:val="008078C4"/>
    <w:rsid w:val="008102BB"/>
    <w:rsid w:val="008117A9"/>
    <w:rsid w:val="0081306B"/>
    <w:rsid w:val="00815F3C"/>
    <w:rsid w:val="00816F5F"/>
    <w:rsid w:val="00817612"/>
    <w:rsid w:val="00826795"/>
    <w:rsid w:val="00826896"/>
    <w:rsid w:val="00826CB7"/>
    <w:rsid w:val="008312B5"/>
    <w:rsid w:val="00831A6B"/>
    <w:rsid w:val="0083424F"/>
    <w:rsid w:val="008354CD"/>
    <w:rsid w:val="00835B8D"/>
    <w:rsid w:val="008362BA"/>
    <w:rsid w:val="008377C5"/>
    <w:rsid w:val="00837C45"/>
    <w:rsid w:val="00840E6D"/>
    <w:rsid w:val="00844FB6"/>
    <w:rsid w:val="008454F4"/>
    <w:rsid w:val="008458F0"/>
    <w:rsid w:val="008504DF"/>
    <w:rsid w:val="00852F72"/>
    <w:rsid w:val="00853303"/>
    <w:rsid w:val="00853E42"/>
    <w:rsid w:val="0085594B"/>
    <w:rsid w:val="00860628"/>
    <w:rsid w:val="00860AF8"/>
    <w:rsid w:val="00863C33"/>
    <w:rsid w:val="0086412B"/>
    <w:rsid w:val="0086556F"/>
    <w:rsid w:val="008678C1"/>
    <w:rsid w:val="008711D3"/>
    <w:rsid w:val="00873E5B"/>
    <w:rsid w:val="008745A8"/>
    <w:rsid w:val="008772D1"/>
    <w:rsid w:val="00877E6D"/>
    <w:rsid w:val="00880A07"/>
    <w:rsid w:val="00881636"/>
    <w:rsid w:val="00885947"/>
    <w:rsid w:val="0088785B"/>
    <w:rsid w:val="00890E6E"/>
    <w:rsid w:val="00892B98"/>
    <w:rsid w:val="00894256"/>
    <w:rsid w:val="008953CB"/>
    <w:rsid w:val="00895673"/>
    <w:rsid w:val="00897BB5"/>
    <w:rsid w:val="00897E12"/>
    <w:rsid w:val="008A2CE4"/>
    <w:rsid w:val="008A5E7B"/>
    <w:rsid w:val="008A635A"/>
    <w:rsid w:val="008A66DC"/>
    <w:rsid w:val="008A6B3C"/>
    <w:rsid w:val="008B0D51"/>
    <w:rsid w:val="008B1552"/>
    <w:rsid w:val="008B2935"/>
    <w:rsid w:val="008B32AF"/>
    <w:rsid w:val="008B63FB"/>
    <w:rsid w:val="008B65BF"/>
    <w:rsid w:val="008B65E3"/>
    <w:rsid w:val="008C08C7"/>
    <w:rsid w:val="008C19E0"/>
    <w:rsid w:val="008C21BD"/>
    <w:rsid w:val="008C2851"/>
    <w:rsid w:val="008C5EC8"/>
    <w:rsid w:val="008C62F0"/>
    <w:rsid w:val="008D108D"/>
    <w:rsid w:val="008D1672"/>
    <w:rsid w:val="008D5BF5"/>
    <w:rsid w:val="008D64C5"/>
    <w:rsid w:val="008E13E9"/>
    <w:rsid w:val="008E2D90"/>
    <w:rsid w:val="008E3759"/>
    <w:rsid w:val="008E44A5"/>
    <w:rsid w:val="008E45E0"/>
    <w:rsid w:val="008E4BA7"/>
    <w:rsid w:val="008E6EA0"/>
    <w:rsid w:val="008E7906"/>
    <w:rsid w:val="008E7BCA"/>
    <w:rsid w:val="008F1EAF"/>
    <w:rsid w:val="008F3BBE"/>
    <w:rsid w:val="00902228"/>
    <w:rsid w:val="00902ED0"/>
    <w:rsid w:val="009037BB"/>
    <w:rsid w:val="009041DC"/>
    <w:rsid w:val="00904F48"/>
    <w:rsid w:val="00907700"/>
    <w:rsid w:val="009151C4"/>
    <w:rsid w:val="009168E9"/>
    <w:rsid w:val="009230BC"/>
    <w:rsid w:val="009250C5"/>
    <w:rsid w:val="0093018F"/>
    <w:rsid w:val="00931FA6"/>
    <w:rsid w:val="009341F8"/>
    <w:rsid w:val="00934697"/>
    <w:rsid w:val="009356A7"/>
    <w:rsid w:val="00936037"/>
    <w:rsid w:val="00937C68"/>
    <w:rsid w:val="00940514"/>
    <w:rsid w:val="00942FBB"/>
    <w:rsid w:val="00943553"/>
    <w:rsid w:val="00946A5E"/>
    <w:rsid w:val="00947396"/>
    <w:rsid w:val="00947CE9"/>
    <w:rsid w:val="009505DA"/>
    <w:rsid w:val="00950651"/>
    <w:rsid w:val="00951563"/>
    <w:rsid w:val="009521B2"/>
    <w:rsid w:val="0095352D"/>
    <w:rsid w:val="00953DA3"/>
    <w:rsid w:val="0095433B"/>
    <w:rsid w:val="00954361"/>
    <w:rsid w:val="0095471E"/>
    <w:rsid w:val="00955F98"/>
    <w:rsid w:val="00962AE9"/>
    <w:rsid w:val="0096433F"/>
    <w:rsid w:val="00964A31"/>
    <w:rsid w:val="00964BD9"/>
    <w:rsid w:val="00965A1E"/>
    <w:rsid w:val="00966562"/>
    <w:rsid w:val="00966617"/>
    <w:rsid w:val="00966AA6"/>
    <w:rsid w:val="0096706E"/>
    <w:rsid w:val="00967828"/>
    <w:rsid w:val="00970C37"/>
    <w:rsid w:val="009715D0"/>
    <w:rsid w:val="00971F28"/>
    <w:rsid w:val="009749A3"/>
    <w:rsid w:val="00976600"/>
    <w:rsid w:val="00977ACD"/>
    <w:rsid w:val="0098040C"/>
    <w:rsid w:val="00981FBA"/>
    <w:rsid w:val="00982694"/>
    <w:rsid w:val="00982866"/>
    <w:rsid w:val="009838D4"/>
    <w:rsid w:val="00987F75"/>
    <w:rsid w:val="009907AD"/>
    <w:rsid w:val="00990C95"/>
    <w:rsid w:val="009913D4"/>
    <w:rsid w:val="0099206E"/>
    <w:rsid w:val="009937C0"/>
    <w:rsid w:val="009940BE"/>
    <w:rsid w:val="00996AF2"/>
    <w:rsid w:val="00997893"/>
    <w:rsid w:val="009A2569"/>
    <w:rsid w:val="009A4F63"/>
    <w:rsid w:val="009A60C1"/>
    <w:rsid w:val="009B020D"/>
    <w:rsid w:val="009B0214"/>
    <w:rsid w:val="009B1115"/>
    <w:rsid w:val="009B14D2"/>
    <w:rsid w:val="009B248B"/>
    <w:rsid w:val="009B381B"/>
    <w:rsid w:val="009B3D6B"/>
    <w:rsid w:val="009B5275"/>
    <w:rsid w:val="009B6F4F"/>
    <w:rsid w:val="009B7CBF"/>
    <w:rsid w:val="009C0EFE"/>
    <w:rsid w:val="009C1C5E"/>
    <w:rsid w:val="009C1D31"/>
    <w:rsid w:val="009C2DAE"/>
    <w:rsid w:val="009C3937"/>
    <w:rsid w:val="009C3B79"/>
    <w:rsid w:val="009C4037"/>
    <w:rsid w:val="009C6E6E"/>
    <w:rsid w:val="009D06A9"/>
    <w:rsid w:val="009D13EB"/>
    <w:rsid w:val="009D26E1"/>
    <w:rsid w:val="009D29FD"/>
    <w:rsid w:val="009D2D77"/>
    <w:rsid w:val="009D3C0D"/>
    <w:rsid w:val="009D4069"/>
    <w:rsid w:val="009D61A6"/>
    <w:rsid w:val="009D718D"/>
    <w:rsid w:val="009D7611"/>
    <w:rsid w:val="009D794C"/>
    <w:rsid w:val="009E0C70"/>
    <w:rsid w:val="009E18DF"/>
    <w:rsid w:val="009E1B44"/>
    <w:rsid w:val="009E37FA"/>
    <w:rsid w:val="009E481A"/>
    <w:rsid w:val="009E53DE"/>
    <w:rsid w:val="009E6A4E"/>
    <w:rsid w:val="009F0B46"/>
    <w:rsid w:val="009F10D7"/>
    <w:rsid w:val="009F3564"/>
    <w:rsid w:val="009F48A5"/>
    <w:rsid w:val="009F5ACC"/>
    <w:rsid w:val="00A00496"/>
    <w:rsid w:val="00A01030"/>
    <w:rsid w:val="00A01519"/>
    <w:rsid w:val="00A0174A"/>
    <w:rsid w:val="00A027DC"/>
    <w:rsid w:val="00A02F50"/>
    <w:rsid w:val="00A04304"/>
    <w:rsid w:val="00A11290"/>
    <w:rsid w:val="00A11F35"/>
    <w:rsid w:val="00A139B2"/>
    <w:rsid w:val="00A14F61"/>
    <w:rsid w:val="00A168BB"/>
    <w:rsid w:val="00A17081"/>
    <w:rsid w:val="00A17146"/>
    <w:rsid w:val="00A2051D"/>
    <w:rsid w:val="00A23B61"/>
    <w:rsid w:val="00A23CB0"/>
    <w:rsid w:val="00A23EE1"/>
    <w:rsid w:val="00A26BDC"/>
    <w:rsid w:val="00A26D0D"/>
    <w:rsid w:val="00A27C72"/>
    <w:rsid w:val="00A306F2"/>
    <w:rsid w:val="00A31C36"/>
    <w:rsid w:val="00A33875"/>
    <w:rsid w:val="00A34897"/>
    <w:rsid w:val="00A35A6E"/>
    <w:rsid w:val="00A35FAB"/>
    <w:rsid w:val="00A36D4C"/>
    <w:rsid w:val="00A37295"/>
    <w:rsid w:val="00A376EE"/>
    <w:rsid w:val="00A40213"/>
    <w:rsid w:val="00A410CB"/>
    <w:rsid w:val="00A4207F"/>
    <w:rsid w:val="00A423D5"/>
    <w:rsid w:val="00A4289F"/>
    <w:rsid w:val="00A4327D"/>
    <w:rsid w:val="00A43458"/>
    <w:rsid w:val="00A44174"/>
    <w:rsid w:val="00A44B9D"/>
    <w:rsid w:val="00A451FA"/>
    <w:rsid w:val="00A45CD4"/>
    <w:rsid w:val="00A5012A"/>
    <w:rsid w:val="00A50C48"/>
    <w:rsid w:val="00A528D1"/>
    <w:rsid w:val="00A529BC"/>
    <w:rsid w:val="00A544D0"/>
    <w:rsid w:val="00A573B8"/>
    <w:rsid w:val="00A60109"/>
    <w:rsid w:val="00A61923"/>
    <w:rsid w:val="00A61D2C"/>
    <w:rsid w:val="00A62F13"/>
    <w:rsid w:val="00A63050"/>
    <w:rsid w:val="00A66BE5"/>
    <w:rsid w:val="00A67307"/>
    <w:rsid w:val="00A67C47"/>
    <w:rsid w:val="00A72CA0"/>
    <w:rsid w:val="00A74103"/>
    <w:rsid w:val="00A74590"/>
    <w:rsid w:val="00A75162"/>
    <w:rsid w:val="00A754FF"/>
    <w:rsid w:val="00A75A45"/>
    <w:rsid w:val="00A7743A"/>
    <w:rsid w:val="00A77F64"/>
    <w:rsid w:val="00A80CFC"/>
    <w:rsid w:val="00A8588F"/>
    <w:rsid w:val="00A861C2"/>
    <w:rsid w:val="00A8720A"/>
    <w:rsid w:val="00A9027D"/>
    <w:rsid w:val="00A90564"/>
    <w:rsid w:val="00A907FB"/>
    <w:rsid w:val="00A908F9"/>
    <w:rsid w:val="00A921AD"/>
    <w:rsid w:val="00A93A47"/>
    <w:rsid w:val="00A973A5"/>
    <w:rsid w:val="00A9753B"/>
    <w:rsid w:val="00A97AD6"/>
    <w:rsid w:val="00AA0F6A"/>
    <w:rsid w:val="00AA1BAB"/>
    <w:rsid w:val="00AA2D63"/>
    <w:rsid w:val="00AA5135"/>
    <w:rsid w:val="00AB1D2A"/>
    <w:rsid w:val="00AB2085"/>
    <w:rsid w:val="00AB3D44"/>
    <w:rsid w:val="00AB43ED"/>
    <w:rsid w:val="00AB4AC2"/>
    <w:rsid w:val="00AB4F72"/>
    <w:rsid w:val="00AB50B3"/>
    <w:rsid w:val="00AB5D47"/>
    <w:rsid w:val="00AB6796"/>
    <w:rsid w:val="00AB7A7F"/>
    <w:rsid w:val="00AC02F1"/>
    <w:rsid w:val="00AC398F"/>
    <w:rsid w:val="00AC47BE"/>
    <w:rsid w:val="00AC4FB5"/>
    <w:rsid w:val="00AC7D66"/>
    <w:rsid w:val="00AD0EA5"/>
    <w:rsid w:val="00AD1795"/>
    <w:rsid w:val="00AD4C04"/>
    <w:rsid w:val="00AD4F1D"/>
    <w:rsid w:val="00AD6B44"/>
    <w:rsid w:val="00AD7721"/>
    <w:rsid w:val="00AE0378"/>
    <w:rsid w:val="00AE13A6"/>
    <w:rsid w:val="00AE19E1"/>
    <w:rsid w:val="00AE2BD6"/>
    <w:rsid w:val="00AE3DEA"/>
    <w:rsid w:val="00AE44B6"/>
    <w:rsid w:val="00AE4819"/>
    <w:rsid w:val="00AE50C6"/>
    <w:rsid w:val="00AE6244"/>
    <w:rsid w:val="00AE66EC"/>
    <w:rsid w:val="00AE6F91"/>
    <w:rsid w:val="00AE72B1"/>
    <w:rsid w:val="00AF0D97"/>
    <w:rsid w:val="00AF0FD9"/>
    <w:rsid w:val="00AF2BB7"/>
    <w:rsid w:val="00AF3327"/>
    <w:rsid w:val="00AF3C46"/>
    <w:rsid w:val="00AF5571"/>
    <w:rsid w:val="00AF7C4A"/>
    <w:rsid w:val="00B0537F"/>
    <w:rsid w:val="00B167E9"/>
    <w:rsid w:val="00B17667"/>
    <w:rsid w:val="00B20599"/>
    <w:rsid w:val="00B20FA6"/>
    <w:rsid w:val="00B212FC"/>
    <w:rsid w:val="00B23A4B"/>
    <w:rsid w:val="00B2422E"/>
    <w:rsid w:val="00B26833"/>
    <w:rsid w:val="00B279EE"/>
    <w:rsid w:val="00B309BA"/>
    <w:rsid w:val="00B314DB"/>
    <w:rsid w:val="00B31805"/>
    <w:rsid w:val="00B32C93"/>
    <w:rsid w:val="00B3353F"/>
    <w:rsid w:val="00B33DF0"/>
    <w:rsid w:val="00B3459B"/>
    <w:rsid w:val="00B361DD"/>
    <w:rsid w:val="00B36A17"/>
    <w:rsid w:val="00B3718B"/>
    <w:rsid w:val="00B40528"/>
    <w:rsid w:val="00B405D1"/>
    <w:rsid w:val="00B41400"/>
    <w:rsid w:val="00B4214D"/>
    <w:rsid w:val="00B42A6B"/>
    <w:rsid w:val="00B431A9"/>
    <w:rsid w:val="00B442EC"/>
    <w:rsid w:val="00B45CB3"/>
    <w:rsid w:val="00B4620D"/>
    <w:rsid w:val="00B4632A"/>
    <w:rsid w:val="00B517C6"/>
    <w:rsid w:val="00B52259"/>
    <w:rsid w:val="00B52473"/>
    <w:rsid w:val="00B53C8C"/>
    <w:rsid w:val="00B54258"/>
    <w:rsid w:val="00B54EDF"/>
    <w:rsid w:val="00B56FF9"/>
    <w:rsid w:val="00B605E5"/>
    <w:rsid w:val="00B60B26"/>
    <w:rsid w:val="00B60D6C"/>
    <w:rsid w:val="00B6111C"/>
    <w:rsid w:val="00B64B6B"/>
    <w:rsid w:val="00B64CF6"/>
    <w:rsid w:val="00B667DF"/>
    <w:rsid w:val="00B70E94"/>
    <w:rsid w:val="00B7106E"/>
    <w:rsid w:val="00B720B3"/>
    <w:rsid w:val="00B755D7"/>
    <w:rsid w:val="00B81BC6"/>
    <w:rsid w:val="00B8238D"/>
    <w:rsid w:val="00B85C37"/>
    <w:rsid w:val="00B85CC2"/>
    <w:rsid w:val="00B879A1"/>
    <w:rsid w:val="00B905B0"/>
    <w:rsid w:val="00B93E74"/>
    <w:rsid w:val="00B94775"/>
    <w:rsid w:val="00B95297"/>
    <w:rsid w:val="00B97BE2"/>
    <w:rsid w:val="00BA0426"/>
    <w:rsid w:val="00BA092C"/>
    <w:rsid w:val="00BA0E6A"/>
    <w:rsid w:val="00BA1270"/>
    <w:rsid w:val="00BA276C"/>
    <w:rsid w:val="00BA33C2"/>
    <w:rsid w:val="00BA3859"/>
    <w:rsid w:val="00BA3FC9"/>
    <w:rsid w:val="00BA4780"/>
    <w:rsid w:val="00BA49F3"/>
    <w:rsid w:val="00BA51DA"/>
    <w:rsid w:val="00BA5F11"/>
    <w:rsid w:val="00BB22EE"/>
    <w:rsid w:val="00BB2E7A"/>
    <w:rsid w:val="00BB306F"/>
    <w:rsid w:val="00BB424B"/>
    <w:rsid w:val="00BB43EF"/>
    <w:rsid w:val="00BB47F9"/>
    <w:rsid w:val="00BB7559"/>
    <w:rsid w:val="00BC533E"/>
    <w:rsid w:val="00BC577F"/>
    <w:rsid w:val="00BC664E"/>
    <w:rsid w:val="00BC7EC2"/>
    <w:rsid w:val="00BD123B"/>
    <w:rsid w:val="00BD1414"/>
    <w:rsid w:val="00BD4908"/>
    <w:rsid w:val="00BD4B89"/>
    <w:rsid w:val="00BD5BE8"/>
    <w:rsid w:val="00BE0140"/>
    <w:rsid w:val="00BE0E9C"/>
    <w:rsid w:val="00BE1CF4"/>
    <w:rsid w:val="00BE3D63"/>
    <w:rsid w:val="00BE616A"/>
    <w:rsid w:val="00BE64A6"/>
    <w:rsid w:val="00BF2107"/>
    <w:rsid w:val="00BF38F4"/>
    <w:rsid w:val="00BF4043"/>
    <w:rsid w:val="00BF44ED"/>
    <w:rsid w:val="00BF45A1"/>
    <w:rsid w:val="00BF4679"/>
    <w:rsid w:val="00BF4E1B"/>
    <w:rsid w:val="00BF5473"/>
    <w:rsid w:val="00BF77B0"/>
    <w:rsid w:val="00BF7B77"/>
    <w:rsid w:val="00C0015F"/>
    <w:rsid w:val="00C03DB9"/>
    <w:rsid w:val="00C0675A"/>
    <w:rsid w:val="00C07C45"/>
    <w:rsid w:val="00C07EEF"/>
    <w:rsid w:val="00C10FBA"/>
    <w:rsid w:val="00C12515"/>
    <w:rsid w:val="00C137EC"/>
    <w:rsid w:val="00C13C85"/>
    <w:rsid w:val="00C149FC"/>
    <w:rsid w:val="00C16B80"/>
    <w:rsid w:val="00C202EE"/>
    <w:rsid w:val="00C20713"/>
    <w:rsid w:val="00C21762"/>
    <w:rsid w:val="00C22745"/>
    <w:rsid w:val="00C24543"/>
    <w:rsid w:val="00C245CA"/>
    <w:rsid w:val="00C256A2"/>
    <w:rsid w:val="00C2590D"/>
    <w:rsid w:val="00C25C12"/>
    <w:rsid w:val="00C25F5A"/>
    <w:rsid w:val="00C26453"/>
    <w:rsid w:val="00C277EF"/>
    <w:rsid w:val="00C30F8A"/>
    <w:rsid w:val="00C32904"/>
    <w:rsid w:val="00C3349E"/>
    <w:rsid w:val="00C33E35"/>
    <w:rsid w:val="00C34C00"/>
    <w:rsid w:val="00C35273"/>
    <w:rsid w:val="00C3586A"/>
    <w:rsid w:val="00C37B89"/>
    <w:rsid w:val="00C37D72"/>
    <w:rsid w:val="00C40520"/>
    <w:rsid w:val="00C4084E"/>
    <w:rsid w:val="00C4267B"/>
    <w:rsid w:val="00C42FA4"/>
    <w:rsid w:val="00C43917"/>
    <w:rsid w:val="00C44879"/>
    <w:rsid w:val="00C450BB"/>
    <w:rsid w:val="00C46C0F"/>
    <w:rsid w:val="00C46DBC"/>
    <w:rsid w:val="00C50856"/>
    <w:rsid w:val="00C50907"/>
    <w:rsid w:val="00C51033"/>
    <w:rsid w:val="00C51F74"/>
    <w:rsid w:val="00C5262E"/>
    <w:rsid w:val="00C53821"/>
    <w:rsid w:val="00C5409F"/>
    <w:rsid w:val="00C540B0"/>
    <w:rsid w:val="00C5462B"/>
    <w:rsid w:val="00C54D68"/>
    <w:rsid w:val="00C55D67"/>
    <w:rsid w:val="00C56200"/>
    <w:rsid w:val="00C626EB"/>
    <w:rsid w:val="00C62927"/>
    <w:rsid w:val="00C64EF8"/>
    <w:rsid w:val="00C66B72"/>
    <w:rsid w:val="00C702BE"/>
    <w:rsid w:val="00C7172B"/>
    <w:rsid w:val="00C732E7"/>
    <w:rsid w:val="00C733D4"/>
    <w:rsid w:val="00C736BE"/>
    <w:rsid w:val="00C74731"/>
    <w:rsid w:val="00C760A2"/>
    <w:rsid w:val="00C80B5C"/>
    <w:rsid w:val="00C81C14"/>
    <w:rsid w:val="00C81D21"/>
    <w:rsid w:val="00C81E02"/>
    <w:rsid w:val="00C849C5"/>
    <w:rsid w:val="00C86F6E"/>
    <w:rsid w:val="00C870F3"/>
    <w:rsid w:val="00C8754E"/>
    <w:rsid w:val="00C90863"/>
    <w:rsid w:val="00C90B1C"/>
    <w:rsid w:val="00C9131B"/>
    <w:rsid w:val="00C93CC3"/>
    <w:rsid w:val="00C93FB9"/>
    <w:rsid w:val="00C9567A"/>
    <w:rsid w:val="00C96861"/>
    <w:rsid w:val="00C96926"/>
    <w:rsid w:val="00C97047"/>
    <w:rsid w:val="00C97970"/>
    <w:rsid w:val="00CA0176"/>
    <w:rsid w:val="00CA17E4"/>
    <w:rsid w:val="00CA316A"/>
    <w:rsid w:val="00CA326D"/>
    <w:rsid w:val="00CA607E"/>
    <w:rsid w:val="00CB1357"/>
    <w:rsid w:val="00CB1E10"/>
    <w:rsid w:val="00CB2660"/>
    <w:rsid w:val="00CB284B"/>
    <w:rsid w:val="00CB2E81"/>
    <w:rsid w:val="00CB3775"/>
    <w:rsid w:val="00CB5DAC"/>
    <w:rsid w:val="00CB61CA"/>
    <w:rsid w:val="00CB7F60"/>
    <w:rsid w:val="00CC2C19"/>
    <w:rsid w:val="00CC42AF"/>
    <w:rsid w:val="00CC5E90"/>
    <w:rsid w:val="00CC6AFF"/>
    <w:rsid w:val="00CD046C"/>
    <w:rsid w:val="00CD092D"/>
    <w:rsid w:val="00CD1AA9"/>
    <w:rsid w:val="00CD1D8D"/>
    <w:rsid w:val="00CD332D"/>
    <w:rsid w:val="00CD3EBE"/>
    <w:rsid w:val="00CD4D93"/>
    <w:rsid w:val="00CD54C3"/>
    <w:rsid w:val="00CD6823"/>
    <w:rsid w:val="00CD7A34"/>
    <w:rsid w:val="00CD7CB6"/>
    <w:rsid w:val="00CE165A"/>
    <w:rsid w:val="00CE264D"/>
    <w:rsid w:val="00CE27CB"/>
    <w:rsid w:val="00CE2F2A"/>
    <w:rsid w:val="00CE5199"/>
    <w:rsid w:val="00CE66D5"/>
    <w:rsid w:val="00CF059B"/>
    <w:rsid w:val="00CF0F8B"/>
    <w:rsid w:val="00CF10AF"/>
    <w:rsid w:val="00CF21E5"/>
    <w:rsid w:val="00CF2B79"/>
    <w:rsid w:val="00CF3073"/>
    <w:rsid w:val="00CF41EF"/>
    <w:rsid w:val="00CF55AC"/>
    <w:rsid w:val="00D007C1"/>
    <w:rsid w:val="00D0094F"/>
    <w:rsid w:val="00D00F2A"/>
    <w:rsid w:val="00D01CDB"/>
    <w:rsid w:val="00D01F35"/>
    <w:rsid w:val="00D061F7"/>
    <w:rsid w:val="00D0709C"/>
    <w:rsid w:val="00D07C4F"/>
    <w:rsid w:val="00D10B2A"/>
    <w:rsid w:val="00D127CF"/>
    <w:rsid w:val="00D16F7E"/>
    <w:rsid w:val="00D20D26"/>
    <w:rsid w:val="00D20E65"/>
    <w:rsid w:val="00D21BD7"/>
    <w:rsid w:val="00D2371A"/>
    <w:rsid w:val="00D252E0"/>
    <w:rsid w:val="00D252FF"/>
    <w:rsid w:val="00D2613E"/>
    <w:rsid w:val="00D26D21"/>
    <w:rsid w:val="00D30C63"/>
    <w:rsid w:val="00D30CE6"/>
    <w:rsid w:val="00D31BBB"/>
    <w:rsid w:val="00D31FB7"/>
    <w:rsid w:val="00D33A53"/>
    <w:rsid w:val="00D34786"/>
    <w:rsid w:val="00D37CC0"/>
    <w:rsid w:val="00D42866"/>
    <w:rsid w:val="00D46086"/>
    <w:rsid w:val="00D466EF"/>
    <w:rsid w:val="00D50821"/>
    <w:rsid w:val="00D50F80"/>
    <w:rsid w:val="00D52FB1"/>
    <w:rsid w:val="00D5524B"/>
    <w:rsid w:val="00D55DD6"/>
    <w:rsid w:val="00D577FF"/>
    <w:rsid w:val="00D62B93"/>
    <w:rsid w:val="00D65DA6"/>
    <w:rsid w:val="00D66B94"/>
    <w:rsid w:val="00D6757F"/>
    <w:rsid w:val="00D701C3"/>
    <w:rsid w:val="00D70336"/>
    <w:rsid w:val="00D704BE"/>
    <w:rsid w:val="00D71217"/>
    <w:rsid w:val="00D712A8"/>
    <w:rsid w:val="00D712D3"/>
    <w:rsid w:val="00D71422"/>
    <w:rsid w:val="00D717CB"/>
    <w:rsid w:val="00D721D6"/>
    <w:rsid w:val="00D742AC"/>
    <w:rsid w:val="00D74E33"/>
    <w:rsid w:val="00D7558D"/>
    <w:rsid w:val="00D775A0"/>
    <w:rsid w:val="00D8074E"/>
    <w:rsid w:val="00D807C6"/>
    <w:rsid w:val="00D81D92"/>
    <w:rsid w:val="00D824F6"/>
    <w:rsid w:val="00D82970"/>
    <w:rsid w:val="00D82A97"/>
    <w:rsid w:val="00D83212"/>
    <w:rsid w:val="00D914B3"/>
    <w:rsid w:val="00D924AB"/>
    <w:rsid w:val="00D93446"/>
    <w:rsid w:val="00D939C0"/>
    <w:rsid w:val="00D94F9A"/>
    <w:rsid w:val="00D95FC9"/>
    <w:rsid w:val="00D96488"/>
    <w:rsid w:val="00D965DF"/>
    <w:rsid w:val="00D97074"/>
    <w:rsid w:val="00D97B40"/>
    <w:rsid w:val="00D97C00"/>
    <w:rsid w:val="00DA007D"/>
    <w:rsid w:val="00DA00A9"/>
    <w:rsid w:val="00DA05E4"/>
    <w:rsid w:val="00DA0C2B"/>
    <w:rsid w:val="00DA1159"/>
    <w:rsid w:val="00DA1659"/>
    <w:rsid w:val="00DA1BF9"/>
    <w:rsid w:val="00DA7B5F"/>
    <w:rsid w:val="00DB1765"/>
    <w:rsid w:val="00DB2FBC"/>
    <w:rsid w:val="00DB32F1"/>
    <w:rsid w:val="00DB3856"/>
    <w:rsid w:val="00DB50F0"/>
    <w:rsid w:val="00DB638A"/>
    <w:rsid w:val="00DB6AC6"/>
    <w:rsid w:val="00DC040B"/>
    <w:rsid w:val="00DC1E54"/>
    <w:rsid w:val="00DC33FE"/>
    <w:rsid w:val="00DC34A9"/>
    <w:rsid w:val="00DC415F"/>
    <w:rsid w:val="00DC4C7C"/>
    <w:rsid w:val="00DC54E1"/>
    <w:rsid w:val="00DC57A1"/>
    <w:rsid w:val="00DD01B7"/>
    <w:rsid w:val="00DD1A30"/>
    <w:rsid w:val="00DD1E3F"/>
    <w:rsid w:val="00DD24F8"/>
    <w:rsid w:val="00DD34B8"/>
    <w:rsid w:val="00DD3615"/>
    <w:rsid w:val="00DD47DE"/>
    <w:rsid w:val="00DD4B1D"/>
    <w:rsid w:val="00DD660B"/>
    <w:rsid w:val="00DD6CFC"/>
    <w:rsid w:val="00DE1634"/>
    <w:rsid w:val="00DE2A2D"/>
    <w:rsid w:val="00DE48CE"/>
    <w:rsid w:val="00DE6670"/>
    <w:rsid w:val="00DE7470"/>
    <w:rsid w:val="00DF02DD"/>
    <w:rsid w:val="00DF1F95"/>
    <w:rsid w:val="00DF3023"/>
    <w:rsid w:val="00DF3A31"/>
    <w:rsid w:val="00DF43CC"/>
    <w:rsid w:val="00DF4675"/>
    <w:rsid w:val="00DF5114"/>
    <w:rsid w:val="00E00BF3"/>
    <w:rsid w:val="00E0118F"/>
    <w:rsid w:val="00E03DCA"/>
    <w:rsid w:val="00E04F96"/>
    <w:rsid w:val="00E06D0E"/>
    <w:rsid w:val="00E06D2C"/>
    <w:rsid w:val="00E079A4"/>
    <w:rsid w:val="00E07EDF"/>
    <w:rsid w:val="00E1080F"/>
    <w:rsid w:val="00E109D1"/>
    <w:rsid w:val="00E109DC"/>
    <w:rsid w:val="00E10C72"/>
    <w:rsid w:val="00E20574"/>
    <w:rsid w:val="00E23DEE"/>
    <w:rsid w:val="00E27F6C"/>
    <w:rsid w:val="00E30168"/>
    <w:rsid w:val="00E32D8B"/>
    <w:rsid w:val="00E330E7"/>
    <w:rsid w:val="00E33BCE"/>
    <w:rsid w:val="00E37743"/>
    <w:rsid w:val="00E37AF2"/>
    <w:rsid w:val="00E40E8A"/>
    <w:rsid w:val="00E4109B"/>
    <w:rsid w:val="00E41613"/>
    <w:rsid w:val="00E41772"/>
    <w:rsid w:val="00E4286F"/>
    <w:rsid w:val="00E43157"/>
    <w:rsid w:val="00E43EA1"/>
    <w:rsid w:val="00E44E90"/>
    <w:rsid w:val="00E45922"/>
    <w:rsid w:val="00E475BA"/>
    <w:rsid w:val="00E50210"/>
    <w:rsid w:val="00E50934"/>
    <w:rsid w:val="00E52194"/>
    <w:rsid w:val="00E52DB2"/>
    <w:rsid w:val="00E533FF"/>
    <w:rsid w:val="00E54B8C"/>
    <w:rsid w:val="00E56CBE"/>
    <w:rsid w:val="00E65771"/>
    <w:rsid w:val="00E66362"/>
    <w:rsid w:val="00E67473"/>
    <w:rsid w:val="00E742F6"/>
    <w:rsid w:val="00E745F1"/>
    <w:rsid w:val="00E74BBA"/>
    <w:rsid w:val="00E77A41"/>
    <w:rsid w:val="00E810B1"/>
    <w:rsid w:val="00E81199"/>
    <w:rsid w:val="00E819C9"/>
    <w:rsid w:val="00E8268E"/>
    <w:rsid w:val="00E827C9"/>
    <w:rsid w:val="00E82818"/>
    <w:rsid w:val="00E8407B"/>
    <w:rsid w:val="00E85741"/>
    <w:rsid w:val="00E8789F"/>
    <w:rsid w:val="00E905BC"/>
    <w:rsid w:val="00E92BED"/>
    <w:rsid w:val="00E93D9E"/>
    <w:rsid w:val="00E95E49"/>
    <w:rsid w:val="00E97A82"/>
    <w:rsid w:val="00E97B71"/>
    <w:rsid w:val="00EA00A7"/>
    <w:rsid w:val="00EA2C22"/>
    <w:rsid w:val="00EA40FC"/>
    <w:rsid w:val="00EA6103"/>
    <w:rsid w:val="00EA7B32"/>
    <w:rsid w:val="00EA7BD0"/>
    <w:rsid w:val="00EB1009"/>
    <w:rsid w:val="00EB12BA"/>
    <w:rsid w:val="00EB21E3"/>
    <w:rsid w:val="00EB3C2F"/>
    <w:rsid w:val="00EB454D"/>
    <w:rsid w:val="00EB4665"/>
    <w:rsid w:val="00EB6475"/>
    <w:rsid w:val="00EB66DA"/>
    <w:rsid w:val="00EB694C"/>
    <w:rsid w:val="00EB7031"/>
    <w:rsid w:val="00EB75E7"/>
    <w:rsid w:val="00EC2503"/>
    <w:rsid w:val="00EC3446"/>
    <w:rsid w:val="00EC470E"/>
    <w:rsid w:val="00EC4BB7"/>
    <w:rsid w:val="00EC645F"/>
    <w:rsid w:val="00EC7DEA"/>
    <w:rsid w:val="00ED0CA3"/>
    <w:rsid w:val="00ED18D5"/>
    <w:rsid w:val="00ED3455"/>
    <w:rsid w:val="00ED3F1B"/>
    <w:rsid w:val="00ED61F3"/>
    <w:rsid w:val="00ED7555"/>
    <w:rsid w:val="00ED7962"/>
    <w:rsid w:val="00EE35C9"/>
    <w:rsid w:val="00EE3689"/>
    <w:rsid w:val="00EE46D7"/>
    <w:rsid w:val="00EE4728"/>
    <w:rsid w:val="00EE48A3"/>
    <w:rsid w:val="00EE7AD6"/>
    <w:rsid w:val="00EF055C"/>
    <w:rsid w:val="00EF1E89"/>
    <w:rsid w:val="00EF5EF4"/>
    <w:rsid w:val="00EF619B"/>
    <w:rsid w:val="00EF737C"/>
    <w:rsid w:val="00F00B55"/>
    <w:rsid w:val="00F02220"/>
    <w:rsid w:val="00F06B09"/>
    <w:rsid w:val="00F12280"/>
    <w:rsid w:val="00F13966"/>
    <w:rsid w:val="00F14F0E"/>
    <w:rsid w:val="00F16A03"/>
    <w:rsid w:val="00F17DCD"/>
    <w:rsid w:val="00F21695"/>
    <w:rsid w:val="00F24B3E"/>
    <w:rsid w:val="00F24C29"/>
    <w:rsid w:val="00F253CC"/>
    <w:rsid w:val="00F30536"/>
    <w:rsid w:val="00F30538"/>
    <w:rsid w:val="00F31B4A"/>
    <w:rsid w:val="00F333A1"/>
    <w:rsid w:val="00F3449D"/>
    <w:rsid w:val="00F34DA3"/>
    <w:rsid w:val="00F35EA3"/>
    <w:rsid w:val="00F361C3"/>
    <w:rsid w:val="00F366F1"/>
    <w:rsid w:val="00F4037D"/>
    <w:rsid w:val="00F43C29"/>
    <w:rsid w:val="00F453F0"/>
    <w:rsid w:val="00F46625"/>
    <w:rsid w:val="00F46C8F"/>
    <w:rsid w:val="00F46DAC"/>
    <w:rsid w:val="00F5417B"/>
    <w:rsid w:val="00F55507"/>
    <w:rsid w:val="00F55AB3"/>
    <w:rsid w:val="00F55EEC"/>
    <w:rsid w:val="00F56B4B"/>
    <w:rsid w:val="00F56BA5"/>
    <w:rsid w:val="00F5704D"/>
    <w:rsid w:val="00F62585"/>
    <w:rsid w:val="00F62B8D"/>
    <w:rsid w:val="00F63DEC"/>
    <w:rsid w:val="00F644E6"/>
    <w:rsid w:val="00F64806"/>
    <w:rsid w:val="00F65602"/>
    <w:rsid w:val="00F669AF"/>
    <w:rsid w:val="00F67210"/>
    <w:rsid w:val="00F67807"/>
    <w:rsid w:val="00F67F34"/>
    <w:rsid w:val="00F707ED"/>
    <w:rsid w:val="00F7116A"/>
    <w:rsid w:val="00F711A7"/>
    <w:rsid w:val="00F73308"/>
    <w:rsid w:val="00F73746"/>
    <w:rsid w:val="00F75515"/>
    <w:rsid w:val="00F8208D"/>
    <w:rsid w:val="00F83FA4"/>
    <w:rsid w:val="00F850AE"/>
    <w:rsid w:val="00F859C4"/>
    <w:rsid w:val="00F87F3D"/>
    <w:rsid w:val="00F904CA"/>
    <w:rsid w:val="00F9100E"/>
    <w:rsid w:val="00F92C29"/>
    <w:rsid w:val="00F9331C"/>
    <w:rsid w:val="00F93874"/>
    <w:rsid w:val="00F95213"/>
    <w:rsid w:val="00F96129"/>
    <w:rsid w:val="00F9653B"/>
    <w:rsid w:val="00F9662D"/>
    <w:rsid w:val="00F96732"/>
    <w:rsid w:val="00F9763E"/>
    <w:rsid w:val="00F97716"/>
    <w:rsid w:val="00F97D34"/>
    <w:rsid w:val="00FA048B"/>
    <w:rsid w:val="00FA087D"/>
    <w:rsid w:val="00FA12B5"/>
    <w:rsid w:val="00FA1DE2"/>
    <w:rsid w:val="00FA3EEF"/>
    <w:rsid w:val="00FA46FB"/>
    <w:rsid w:val="00FA5EF9"/>
    <w:rsid w:val="00FB008E"/>
    <w:rsid w:val="00FB31A5"/>
    <w:rsid w:val="00FB31BB"/>
    <w:rsid w:val="00FB39B4"/>
    <w:rsid w:val="00FB3E2E"/>
    <w:rsid w:val="00FB3F1D"/>
    <w:rsid w:val="00FB62CF"/>
    <w:rsid w:val="00FC04CE"/>
    <w:rsid w:val="00FC0CAE"/>
    <w:rsid w:val="00FC2F1F"/>
    <w:rsid w:val="00FC2FF9"/>
    <w:rsid w:val="00FC3639"/>
    <w:rsid w:val="00FC4558"/>
    <w:rsid w:val="00FC4725"/>
    <w:rsid w:val="00FC475A"/>
    <w:rsid w:val="00FC4B32"/>
    <w:rsid w:val="00FC5F54"/>
    <w:rsid w:val="00FD0C7C"/>
    <w:rsid w:val="00FD0CD5"/>
    <w:rsid w:val="00FD154F"/>
    <w:rsid w:val="00FD244C"/>
    <w:rsid w:val="00FD25DF"/>
    <w:rsid w:val="00FD2D27"/>
    <w:rsid w:val="00FD338F"/>
    <w:rsid w:val="00FD5625"/>
    <w:rsid w:val="00FD6161"/>
    <w:rsid w:val="00FD7A43"/>
    <w:rsid w:val="00FE0CDC"/>
    <w:rsid w:val="00FE33E2"/>
    <w:rsid w:val="00FE3B78"/>
    <w:rsid w:val="00FE430C"/>
    <w:rsid w:val="00FE4B82"/>
    <w:rsid w:val="00FE5C23"/>
    <w:rsid w:val="00FE6B45"/>
    <w:rsid w:val="00FE7F90"/>
    <w:rsid w:val="00FF0134"/>
    <w:rsid w:val="00FF1100"/>
    <w:rsid w:val="00FF27E1"/>
    <w:rsid w:val="00FF2E53"/>
    <w:rsid w:val="00FF2E64"/>
    <w:rsid w:val="00FF3233"/>
    <w:rsid w:val="00FF53AF"/>
    <w:rsid w:val="00FF5851"/>
    <w:rsid w:val="00FF65FF"/>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857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3185"/>
    <w:rPr>
      <w:sz w:val="24"/>
      <w:szCs w:val="24"/>
      <w:lang w:val="en-US" w:eastAsia="en-US"/>
    </w:rPr>
  </w:style>
  <w:style w:type="paragraph" w:styleId="Heading1">
    <w:name w:val="heading 1"/>
    <w:basedOn w:val="Normal"/>
    <w:next w:val="Normal"/>
    <w:link w:val="Heading1Char"/>
    <w:qFormat/>
    <w:rsid w:val="00187186"/>
    <w:pPr>
      <w:keepNext/>
      <w:keepLines/>
      <w:numPr>
        <w:numId w:val="53"/>
      </w:numPr>
      <w:ind w:left="0" w:firstLine="0"/>
      <w:outlineLvl w:val="0"/>
    </w:pPr>
    <w:rPr>
      <w:rFonts w:ascii="Cambria" w:eastAsia="Batang" w:hAnsi="Cambria" w:cstheme="majorBidi"/>
      <w:b/>
      <w:bCs/>
      <w:sz w:val="20"/>
      <w:szCs w:val="20"/>
      <w:bdr w:val="none" w:sz="0" w:space="0" w:color="auto"/>
      <w:lang w:val="pt-BR" w:eastAsia="es-ES"/>
    </w:rPr>
  </w:style>
  <w:style w:type="paragraph" w:styleId="Heading2">
    <w:name w:val="heading 2"/>
    <w:basedOn w:val="ListParagraph"/>
    <w:next w:val="Normal"/>
    <w:link w:val="Heading2Char"/>
    <w:unhideWhenUsed/>
    <w:qFormat/>
    <w:rsid w:val="00187186"/>
    <w:pPr>
      <w:keepNext/>
      <w:numPr>
        <w:ilvl w:val="2"/>
        <w:numId w:val="63"/>
      </w:numPr>
      <w:pBdr>
        <w:top w:val="none" w:sz="0" w:space="0" w:color="auto"/>
        <w:left w:val="none" w:sz="0" w:space="0" w:color="auto"/>
        <w:bottom w:val="none" w:sz="0" w:space="0" w:color="auto"/>
        <w:right w:val="none" w:sz="0" w:space="0" w:color="auto"/>
        <w:between w:val="none" w:sz="0" w:space="0" w:color="auto"/>
        <w:bar w:val="none" w:sz="0" w:color="auto"/>
      </w:pBdr>
      <w:ind w:left="360" w:hanging="360"/>
      <w:outlineLvl w:val="1"/>
    </w:pPr>
    <w:rPr>
      <w:rFonts w:eastAsia="Times New Roman" w:cs="Arial"/>
      <w:b/>
      <w:bCs/>
      <w:iCs/>
      <w:sz w:val="20"/>
      <w:szCs w:val="20"/>
      <w:bdr w:val="none" w:sz="0" w:space="0" w:color="auto"/>
      <w:lang w:val="pt-BR"/>
    </w:rPr>
  </w:style>
  <w:style w:type="paragraph" w:styleId="Heading3">
    <w:name w:val="heading 3"/>
    <w:basedOn w:val="Normal"/>
    <w:next w:val="Normal"/>
    <w:link w:val="Heading3Char"/>
    <w:uiPriority w:val="9"/>
    <w:qFormat/>
    <w:rsid w:val="00187186"/>
    <w:pPr>
      <w:keepNext/>
      <w:numPr>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0"/>
      <w:outlineLvl w:val="2"/>
    </w:pPr>
    <w:rPr>
      <w:rFonts w:ascii="Cambria" w:eastAsia="Times New Roman" w:hAnsi="Cambria" w:cs="Arial"/>
      <w:b/>
      <w:bCs/>
      <w:sz w:val="20"/>
      <w:szCs w:val="20"/>
      <w:bdr w:val="none" w:sz="0" w:space="0" w:color="auto"/>
      <w:lang w:val="pt-BR"/>
    </w:rPr>
  </w:style>
  <w:style w:type="paragraph" w:styleId="Heading4">
    <w:name w:val="heading 4"/>
    <w:basedOn w:val="Normal"/>
    <w:next w:val="Normal"/>
    <w:link w:val="Heading4Char"/>
    <w:qFormat/>
    <w:rsid w:val="005650A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bCs/>
      <w:sz w:val="28"/>
      <w:szCs w:val="28"/>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List Paragraph2,Lista vistosa - Énfasis 11,Subtle Emphasis1,Footnote1,Colorful List - Accent 11"/>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2">
    <w:name w:val="List 212"/>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2">
    <w:name w:val="List 312"/>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2">
    <w:name w:val="List 412"/>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2">
    <w:name w:val="List 512"/>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nhideWhenUsed/>
    <w:rsid w:val="009B381B"/>
    <w:rPr>
      <w:rFonts w:ascii="Tahoma" w:hAnsi="Tahoma" w:cs="Tahoma"/>
      <w:sz w:val="16"/>
      <w:szCs w:val="16"/>
    </w:rPr>
  </w:style>
  <w:style w:type="character" w:customStyle="1" w:styleId="BalloonTextChar">
    <w:name w:val="Balloon Text Char"/>
    <w:basedOn w:val="DefaultParagraphFont"/>
    <w:link w:val="BalloonText"/>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187186"/>
    <w:rPr>
      <w:rFonts w:ascii="Cambria" w:eastAsia="Batang" w:hAnsi="Cambria" w:cstheme="majorBidi"/>
      <w:b/>
      <w:bCs/>
      <w:bdr w:val="none" w:sz="0" w:space="0" w:color="auto"/>
      <w:lang w:val="pt-BR"/>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6539EA"/>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416AB8"/>
    <w:pPr>
      <w:spacing w:after="120"/>
    </w:pPr>
  </w:style>
  <w:style w:type="character" w:customStyle="1" w:styleId="BodyTextChar">
    <w:name w:val="Body Text Char"/>
    <w:basedOn w:val="DefaultParagraphFont"/>
    <w:link w:val="BodyText"/>
    <w:uiPriority w:val="99"/>
    <w:semiHidden/>
    <w:rsid w:val="00416AB8"/>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symbol,Footnote,Ref,de nota al pie,R,f1"/>
    <w:link w:val="1"/>
    <w:uiPriority w:val="99"/>
    <w:qFormat/>
    <w:rsid w:val="00416AB8"/>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416AB8"/>
    <w:rPr>
      <w:rFonts w:ascii="Calibri" w:eastAsia="Calibri" w:hAnsi="Calibri" w:cs="Calibri"/>
      <w:color w:val="000000"/>
      <w:u w:color="000000"/>
      <w:lang w:val="en-US"/>
    </w:rPr>
  </w:style>
  <w:style w:type="character" w:customStyle="1" w:styleId="Heading2Char">
    <w:name w:val="Heading 2 Char"/>
    <w:basedOn w:val="DefaultParagraphFont"/>
    <w:link w:val="Heading2"/>
    <w:rsid w:val="00187186"/>
    <w:rPr>
      <w:rFonts w:ascii="Cambria" w:eastAsia="Times New Roman" w:hAnsi="Cambria" w:cs="Arial"/>
      <w:b/>
      <w:bCs/>
      <w:iCs/>
      <w:color w:val="000000"/>
      <w:u w:color="000000"/>
      <w:bdr w:val="none" w:sz="0" w:space="0" w:color="auto"/>
      <w:lang w:val="pt-BR"/>
    </w:rPr>
  </w:style>
  <w:style w:type="character" w:customStyle="1" w:styleId="Heading3Char">
    <w:name w:val="Heading 3 Char"/>
    <w:basedOn w:val="DefaultParagraphFont"/>
    <w:link w:val="Heading3"/>
    <w:uiPriority w:val="9"/>
    <w:rsid w:val="00187186"/>
    <w:rPr>
      <w:rFonts w:ascii="Cambria" w:eastAsia="Times New Roman" w:hAnsi="Cambria" w:cs="Arial"/>
      <w:b/>
      <w:bCs/>
      <w:bdr w:val="none" w:sz="0" w:space="0" w:color="auto"/>
      <w:lang w:val="pt-BR" w:eastAsia="en-US"/>
    </w:rPr>
  </w:style>
  <w:style w:type="character" w:customStyle="1" w:styleId="Heading4Char">
    <w:name w:val="Heading 4 Char"/>
    <w:basedOn w:val="DefaultParagraphFont"/>
    <w:link w:val="Heading4"/>
    <w:rsid w:val="005650A6"/>
    <w:rPr>
      <w:rFonts w:eastAsia="Times New Roman"/>
      <w:b/>
      <w:bCs/>
      <w:sz w:val="28"/>
      <w:szCs w:val="28"/>
      <w:bdr w:val="none" w:sz="0" w:space="0" w:color="auto"/>
      <w:lang w:eastAsia="en-US"/>
    </w:rPr>
  </w:style>
  <w:style w:type="numbering" w:customStyle="1" w:styleId="List211">
    <w:name w:val="List 211"/>
    <w:basedOn w:val="Estiloimportado3"/>
    <w:rsid w:val="005650A6"/>
  </w:style>
  <w:style w:type="numbering" w:customStyle="1" w:styleId="List311">
    <w:name w:val="List 311"/>
    <w:basedOn w:val="Estiloimportado4"/>
    <w:rsid w:val="005650A6"/>
  </w:style>
  <w:style w:type="numbering" w:customStyle="1" w:styleId="List411">
    <w:name w:val="List 411"/>
    <w:basedOn w:val="Estiloimportado5"/>
    <w:rsid w:val="005650A6"/>
  </w:style>
  <w:style w:type="numbering" w:customStyle="1" w:styleId="List511">
    <w:name w:val="List 511"/>
    <w:basedOn w:val="Estiloimportado6"/>
    <w:rsid w:val="005650A6"/>
  </w:style>
  <w:style w:type="numbering" w:customStyle="1" w:styleId="List2111">
    <w:name w:val="List 2111"/>
    <w:basedOn w:val="Estiloimportado19"/>
    <w:rsid w:val="005650A6"/>
  </w:style>
  <w:style w:type="numbering" w:customStyle="1" w:styleId="List3111">
    <w:name w:val="List 3111"/>
    <w:basedOn w:val="Estiloimportado27"/>
    <w:rsid w:val="005650A6"/>
  </w:style>
  <w:style w:type="numbering" w:customStyle="1" w:styleId="List4111">
    <w:name w:val="List 4111"/>
    <w:basedOn w:val="Estiloimportado37"/>
    <w:rsid w:val="005650A6"/>
  </w:style>
  <w:style w:type="numbering" w:customStyle="1" w:styleId="List5111">
    <w:name w:val="List 5111"/>
    <w:basedOn w:val="Estiloimportado46"/>
    <w:rsid w:val="005650A6"/>
  </w:style>
  <w:style w:type="paragraph" w:styleId="BodyTextIndent2">
    <w:name w:val="Body Text Indent 2"/>
    <w:basedOn w:val="Normal"/>
    <w:link w:val="BodyTextIndent2Char"/>
    <w:uiPriority w:val="99"/>
    <w:semiHidden/>
    <w:unhideWhenUsed/>
    <w:rsid w:val="005650A6"/>
    <w:pPr>
      <w:spacing w:after="120" w:line="480" w:lineRule="auto"/>
      <w:ind w:left="360"/>
    </w:pPr>
  </w:style>
  <w:style w:type="character" w:customStyle="1" w:styleId="BodyTextIndent2Char">
    <w:name w:val="Body Text Indent 2 Char"/>
    <w:basedOn w:val="DefaultParagraphFont"/>
    <w:link w:val="BodyTextIndent2"/>
    <w:uiPriority w:val="99"/>
    <w:semiHidden/>
    <w:rsid w:val="005650A6"/>
    <w:rPr>
      <w:sz w:val="24"/>
      <w:szCs w:val="24"/>
      <w:lang w:val="en-US" w:eastAsia="en-US"/>
    </w:rPr>
  </w:style>
  <w:style w:type="paragraph" w:customStyle="1" w:styleId="Default">
    <w:name w:val="Default"/>
    <w:link w:val="DefaultChar"/>
    <w:rsid w:val="005650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5650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5650A6"/>
    <w:rPr>
      <w:rFonts w:eastAsia="Times New Roman"/>
      <w:sz w:val="24"/>
      <w:szCs w:val="24"/>
      <w:bdr w:val="none" w:sz="0" w:space="0" w:color="auto"/>
      <w:lang w:val="en-US" w:eastAsia="en-US"/>
    </w:rPr>
  </w:style>
  <w:style w:type="character" w:customStyle="1" w:styleId="DefaultChar">
    <w:name w:val="Default Char"/>
    <w:link w:val="Default"/>
    <w:rsid w:val="005650A6"/>
    <w:rPr>
      <w:rFonts w:eastAsia="Times New Roman"/>
      <w:color w:val="000000"/>
      <w:sz w:val="24"/>
      <w:szCs w:val="24"/>
      <w:bdr w:val="none" w:sz="0" w:space="0" w:color="auto"/>
      <w:lang w:val="en-US" w:eastAsia="en-US"/>
    </w:rPr>
  </w:style>
  <w:style w:type="paragraph" w:customStyle="1" w:styleId="1">
    <w:name w:val="1"/>
    <w:basedOn w:val="Normal"/>
    <w:link w:val="FootnoteReference"/>
    <w:rsid w:val="005650A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numbering" w:customStyle="1" w:styleId="NoList1">
    <w:name w:val="No List1"/>
    <w:next w:val="NoList"/>
    <w:semiHidden/>
    <w:rsid w:val="005650A6"/>
  </w:style>
  <w:style w:type="paragraph" w:styleId="NormalWeb">
    <w:name w:val="Normal (Web)"/>
    <w:aliases w:val="Normal (Web) Char1,Normal (Web) Char Char,Normal (Web) Char1 Char,Normal (Web) Char Char Char"/>
    <w:basedOn w:val="Normal"/>
    <w:rsid w:val="005650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Batang"/>
      <w:bdr w:val="none" w:sz="0" w:space="0" w:color="auto"/>
    </w:rPr>
  </w:style>
  <w:style w:type="paragraph" w:styleId="BlockText">
    <w:name w:val="Block Text"/>
    <w:basedOn w:val="Normal"/>
    <w:rsid w:val="005650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ight="720"/>
      <w:jc w:val="both"/>
    </w:pPr>
    <w:rPr>
      <w:rFonts w:ascii="Verdana" w:eastAsia="Batang" w:hAnsi="Verdana" w:cs="Verdana"/>
      <w:sz w:val="16"/>
      <w:szCs w:val="16"/>
      <w:bdr w:val="none" w:sz="0" w:space="0" w:color="auto"/>
      <w:lang w:val="es-ES_tradnl"/>
    </w:rPr>
  </w:style>
  <w:style w:type="paragraph" w:customStyle="1" w:styleId="Sangradetindependiente2">
    <w:name w:val="SangrÌa de t. independiente2"/>
    <w:basedOn w:val="Normal"/>
    <w:rsid w:val="005650A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tLeast"/>
    </w:pPr>
    <w:rPr>
      <w:rFonts w:ascii="Arial" w:eastAsia="Batang" w:hAnsi="Arial"/>
      <w:szCs w:val="20"/>
      <w:bdr w:val="none" w:sz="0" w:space="0" w:color="auto"/>
      <w:lang w:val="es-ES_tradnl" w:eastAsia="es-ES"/>
    </w:rPr>
  </w:style>
  <w:style w:type="character" w:customStyle="1" w:styleId="JuParaChar">
    <w:name w:val="Ju_Para Char"/>
    <w:link w:val="JuPara"/>
    <w:locked/>
    <w:rsid w:val="005650A6"/>
    <w:rPr>
      <w:sz w:val="24"/>
      <w:lang w:val="fr-FR" w:eastAsia="fr-FR"/>
    </w:rPr>
  </w:style>
  <w:style w:type="paragraph" w:customStyle="1" w:styleId="JuPara">
    <w:name w:val="Ju_Para"/>
    <w:basedOn w:val="Normal"/>
    <w:link w:val="JuParaChar"/>
    <w:rsid w:val="005650A6"/>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284"/>
      <w:jc w:val="both"/>
    </w:pPr>
    <w:rPr>
      <w:szCs w:val="20"/>
      <w:lang w:val="fr-FR" w:eastAsia="fr-FR"/>
    </w:rPr>
  </w:style>
  <w:style w:type="paragraph" w:styleId="DocumentMap">
    <w:name w:val="Document Map"/>
    <w:basedOn w:val="Normal"/>
    <w:link w:val="DocumentMapChar"/>
    <w:semiHidden/>
    <w:rsid w:val="005650A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Batang" w:hAnsi="Tahoma" w:cs="Tahoma"/>
      <w:sz w:val="20"/>
      <w:szCs w:val="20"/>
      <w:bdr w:val="none" w:sz="0" w:space="0" w:color="auto"/>
      <w:lang w:val="es-UY"/>
    </w:rPr>
  </w:style>
  <w:style w:type="character" w:customStyle="1" w:styleId="DocumentMapChar">
    <w:name w:val="Document Map Char"/>
    <w:basedOn w:val="DefaultParagraphFont"/>
    <w:link w:val="DocumentMap"/>
    <w:semiHidden/>
    <w:rsid w:val="005650A6"/>
    <w:rPr>
      <w:rFonts w:ascii="Tahoma" w:eastAsia="Batang" w:hAnsi="Tahoma" w:cs="Tahoma"/>
      <w:bdr w:val="none" w:sz="0" w:space="0" w:color="auto"/>
      <w:shd w:val="clear" w:color="auto" w:fill="000080"/>
      <w:lang w:val="es-UY" w:eastAsia="en-US"/>
    </w:rPr>
  </w:style>
  <w:style w:type="table" w:styleId="TableGrid">
    <w:name w:val="Table Grid"/>
    <w:basedOn w:val="TableNormal"/>
    <w:rsid w:val="005650A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demandas">
    <w:name w:val="Título 2 demandas"/>
    <w:basedOn w:val="Normal"/>
    <w:next w:val="Normal"/>
    <w:rsid w:val="005650A6"/>
    <w:pPr>
      <w:keepNext/>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pPr>
    <w:rPr>
      <w:rFonts w:ascii="Univers" w:eastAsia="Times New Roman" w:hAnsi="Univers"/>
      <w:b/>
      <w:bCs/>
      <w:iCs/>
      <w:sz w:val="22"/>
      <w:szCs w:val="22"/>
      <w:bdr w:val="none" w:sz="0" w:space="0" w:color="auto"/>
      <w:lang w:val="en-GB"/>
    </w:rPr>
  </w:style>
  <w:style w:type="paragraph" w:customStyle="1" w:styleId="ColorfulList-Accent12">
    <w:name w:val="Colorful List - Accent 12"/>
    <w:basedOn w:val="Normal"/>
    <w:uiPriority w:val="34"/>
    <w:qFormat/>
    <w:rsid w:val="005650A6"/>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Batang"/>
      <w:bdr w:val="none" w:sz="0" w:space="0" w:color="auto"/>
      <w:lang w:val="es-UY"/>
    </w:rPr>
  </w:style>
  <w:style w:type="character" w:styleId="CommentReference">
    <w:name w:val="annotation reference"/>
    <w:rsid w:val="005650A6"/>
    <w:rPr>
      <w:sz w:val="16"/>
      <w:szCs w:val="16"/>
    </w:rPr>
  </w:style>
  <w:style w:type="paragraph" w:styleId="CommentText">
    <w:name w:val="annotation text"/>
    <w:basedOn w:val="Normal"/>
    <w:link w:val="CommentTextChar"/>
    <w:rsid w:val="005650A6"/>
    <w:pPr>
      <w:pBdr>
        <w:top w:val="none" w:sz="0" w:space="0" w:color="auto"/>
        <w:left w:val="none" w:sz="0" w:space="0" w:color="auto"/>
        <w:bottom w:val="none" w:sz="0" w:space="0" w:color="auto"/>
        <w:right w:val="none" w:sz="0" w:space="0" w:color="auto"/>
        <w:between w:val="none" w:sz="0" w:space="0" w:color="auto"/>
        <w:bar w:val="none" w:sz="0" w:color="auto"/>
      </w:pBdr>
    </w:pPr>
    <w:rPr>
      <w:rFonts w:eastAsia="Batang"/>
      <w:sz w:val="20"/>
      <w:szCs w:val="20"/>
      <w:bdr w:val="none" w:sz="0" w:space="0" w:color="auto"/>
      <w:lang w:val="es-UY"/>
    </w:rPr>
  </w:style>
  <w:style w:type="character" w:customStyle="1" w:styleId="CommentTextChar">
    <w:name w:val="Comment Text Char"/>
    <w:basedOn w:val="DefaultParagraphFont"/>
    <w:link w:val="CommentText"/>
    <w:rsid w:val="005650A6"/>
    <w:rPr>
      <w:rFonts w:eastAsia="Batang"/>
      <w:bdr w:val="none" w:sz="0" w:space="0" w:color="auto"/>
      <w:lang w:val="es-UY" w:eastAsia="en-US"/>
    </w:rPr>
  </w:style>
  <w:style w:type="paragraph" w:styleId="CommentSubject">
    <w:name w:val="annotation subject"/>
    <w:basedOn w:val="CommentText"/>
    <w:next w:val="CommentText"/>
    <w:link w:val="CommentSubjectChar"/>
    <w:rsid w:val="005650A6"/>
    <w:rPr>
      <w:b/>
      <w:bCs/>
    </w:rPr>
  </w:style>
  <w:style w:type="character" w:customStyle="1" w:styleId="CommentSubjectChar">
    <w:name w:val="Comment Subject Char"/>
    <w:basedOn w:val="CommentTextChar"/>
    <w:link w:val="CommentSubject"/>
    <w:rsid w:val="005650A6"/>
    <w:rPr>
      <w:rFonts w:eastAsia="Batang"/>
      <w:b/>
      <w:bCs/>
      <w:bdr w:val="none" w:sz="0" w:space="0" w:color="auto"/>
      <w:lang w:val="es-UY" w:eastAsia="en-US"/>
    </w:rPr>
  </w:style>
  <w:style w:type="character" w:customStyle="1" w:styleId="shorttext">
    <w:name w:val="short_text"/>
    <w:rsid w:val="005650A6"/>
  </w:style>
  <w:style w:type="character" w:styleId="Strong">
    <w:name w:val="Strong"/>
    <w:uiPriority w:val="22"/>
    <w:qFormat/>
    <w:rsid w:val="005650A6"/>
    <w:rPr>
      <w:b/>
      <w:bC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semiHidden/>
    <w:locked/>
    <w:rsid w:val="005650A6"/>
    <w:rPr>
      <w:rFonts w:ascii="Univers" w:eastAsia="Batang" w:hAnsi="Univers"/>
      <w:lang w:val="es-CO" w:eastAsia="en-US"/>
    </w:rPr>
  </w:style>
  <w:style w:type="paragraph" w:styleId="HTMLPreformatted">
    <w:name w:val="HTML Preformatted"/>
    <w:basedOn w:val="Normal"/>
    <w:link w:val="HTMLPreformattedChar"/>
    <w:uiPriority w:val="99"/>
    <w:unhideWhenUsed/>
    <w:rsid w:val="005650A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5650A6"/>
    <w:rPr>
      <w:rFonts w:ascii="Courier New" w:eastAsia="Times New Roman" w:hAnsi="Courier New" w:cs="Courier New"/>
      <w:bdr w:val="none" w:sz="0" w:space="0" w:color="auto"/>
      <w:lang w:val="en-US" w:eastAsia="en-US"/>
    </w:rPr>
  </w:style>
  <w:style w:type="character" w:customStyle="1" w:styleId="ColorfulList-Accent1Char">
    <w:name w:val="Colorful List - Accent 1 Char"/>
    <w:aliases w:val="Párrafo de lista1 Char,List Paragraph2 Char,List Paragraph1 Char,Colorful List - Accent 11 Char,Lista vistosa - Énfasis 11 Char,List Paragraph Char,List Paragraph11 Char,Colorful Shading - Accent 3 Char"/>
    <w:link w:val="ColorfulList-Accent1"/>
    <w:uiPriority w:val="34"/>
    <w:locked/>
    <w:rsid w:val="005650A6"/>
    <w:rPr>
      <w:rFonts w:eastAsia="Batang"/>
      <w:sz w:val="24"/>
      <w:szCs w:val="24"/>
      <w:lang w:val="es-UY"/>
    </w:rPr>
  </w:style>
  <w:style w:type="character" w:styleId="FollowedHyperlink">
    <w:name w:val="FollowedHyperlink"/>
    <w:rsid w:val="005650A6"/>
    <w:rPr>
      <w:color w:val="800080"/>
      <w:u w:val="single"/>
    </w:rPr>
  </w:style>
  <w:style w:type="character" w:customStyle="1" w:styleId="skypepnhprintcontainer">
    <w:name w:val="skype_pnh_print_container"/>
    <w:rsid w:val="005650A6"/>
    <w:rPr>
      <w:rFonts w:cs="Times New Roman"/>
    </w:rPr>
  </w:style>
  <w:style w:type="character" w:customStyle="1" w:styleId="skypepnhcontainer">
    <w:name w:val="skype_pnh_container"/>
    <w:rsid w:val="005650A6"/>
    <w:rPr>
      <w:rFonts w:cs="Times New Roman"/>
    </w:rPr>
  </w:style>
  <w:style w:type="character" w:customStyle="1" w:styleId="s6b621b36">
    <w:name w:val="s6b621b36"/>
    <w:rsid w:val="005650A6"/>
    <w:rPr>
      <w:rFonts w:cs="Times New Roman"/>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5650A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bdr w:val="none" w:sz="0" w:space="0" w:color="auto"/>
      <w:vertAlign w:val="superscript"/>
      <w:lang w:val="es-US" w:eastAsia="es-US"/>
    </w:rPr>
  </w:style>
  <w:style w:type="table" w:styleId="ColorfulList-Accent1">
    <w:name w:val="Colorful List Accent 1"/>
    <w:basedOn w:val="TableNormal"/>
    <w:link w:val="ColorfulList-Accent1Char"/>
    <w:rsid w:val="005650A6"/>
    <w:rPr>
      <w:rFonts w:eastAsia="Batang"/>
      <w:sz w:val="24"/>
      <w:szCs w:val="24"/>
      <w:lang w:val="es-UY"/>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5650A6"/>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paragraph" w:customStyle="1" w:styleId="v11n">
    <w:name w:val="v11n"/>
    <w:basedOn w:val="Normal"/>
    <w:rsid w:val="005650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customStyle="1" w:styleId="apple-converted-space">
    <w:name w:val="apple-converted-space"/>
    <w:basedOn w:val="DefaultParagraphFont"/>
    <w:rsid w:val="005650A6"/>
  </w:style>
  <w:style w:type="paragraph" w:styleId="Revision">
    <w:name w:val="Revision"/>
    <w:hidden/>
    <w:uiPriority w:val="99"/>
    <w:semiHidden/>
    <w:rsid w:val="005650A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a">
    <w:name w:val="_"/>
    <w:basedOn w:val="DefaultParagraphFont"/>
    <w:rsid w:val="00B60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2348">
      <w:bodyDiv w:val="1"/>
      <w:marLeft w:val="0"/>
      <w:marRight w:val="0"/>
      <w:marTop w:val="0"/>
      <w:marBottom w:val="0"/>
      <w:divBdr>
        <w:top w:val="none" w:sz="0" w:space="0" w:color="auto"/>
        <w:left w:val="none" w:sz="0" w:space="0" w:color="auto"/>
        <w:bottom w:val="none" w:sz="0" w:space="0" w:color="auto"/>
        <w:right w:val="none" w:sz="0" w:space="0" w:color="auto"/>
      </w:divBdr>
    </w:div>
    <w:div w:id="69936689">
      <w:bodyDiv w:val="1"/>
      <w:marLeft w:val="0"/>
      <w:marRight w:val="0"/>
      <w:marTop w:val="0"/>
      <w:marBottom w:val="0"/>
      <w:divBdr>
        <w:top w:val="none" w:sz="0" w:space="0" w:color="auto"/>
        <w:left w:val="none" w:sz="0" w:space="0" w:color="auto"/>
        <w:bottom w:val="none" w:sz="0" w:space="0" w:color="auto"/>
        <w:right w:val="none" w:sz="0" w:space="0" w:color="auto"/>
      </w:divBdr>
    </w:div>
    <w:div w:id="154297129">
      <w:bodyDiv w:val="1"/>
      <w:marLeft w:val="0"/>
      <w:marRight w:val="0"/>
      <w:marTop w:val="0"/>
      <w:marBottom w:val="0"/>
      <w:divBdr>
        <w:top w:val="none" w:sz="0" w:space="0" w:color="auto"/>
        <w:left w:val="none" w:sz="0" w:space="0" w:color="auto"/>
        <w:bottom w:val="none" w:sz="0" w:space="0" w:color="auto"/>
        <w:right w:val="none" w:sz="0" w:space="0" w:color="auto"/>
      </w:divBdr>
      <w:divsChild>
        <w:div w:id="832333807">
          <w:marLeft w:val="0"/>
          <w:marRight w:val="0"/>
          <w:marTop w:val="0"/>
          <w:marBottom w:val="0"/>
          <w:divBdr>
            <w:top w:val="none" w:sz="0" w:space="0" w:color="auto"/>
            <w:left w:val="none" w:sz="0" w:space="0" w:color="auto"/>
            <w:bottom w:val="none" w:sz="0" w:space="0" w:color="auto"/>
            <w:right w:val="none" w:sz="0" w:space="0" w:color="auto"/>
          </w:divBdr>
        </w:div>
        <w:div w:id="1191068577">
          <w:marLeft w:val="0"/>
          <w:marRight w:val="0"/>
          <w:marTop w:val="0"/>
          <w:marBottom w:val="0"/>
          <w:divBdr>
            <w:top w:val="none" w:sz="0" w:space="0" w:color="auto"/>
            <w:left w:val="none" w:sz="0" w:space="0" w:color="auto"/>
            <w:bottom w:val="none" w:sz="0" w:space="0" w:color="auto"/>
            <w:right w:val="none" w:sz="0" w:space="0" w:color="auto"/>
          </w:divBdr>
        </w:div>
        <w:div w:id="1405029803">
          <w:marLeft w:val="0"/>
          <w:marRight w:val="0"/>
          <w:marTop w:val="0"/>
          <w:marBottom w:val="0"/>
          <w:divBdr>
            <w:top w:val="none" w:sz="0" w:space="0" w:color="auto"/>
            <w:left w:val="none" w:sz="0" w:space="0" w:color="auto"/>
            <w:bottom w:val="none" w:sz="0" w:space="0" w:color="auto"/>
            <w:right w:val="none" w:sz="0" w:space="0" w:color="auto"/>
          </w:divBdr>
        </w:div>
        <w:div w:id="1409418563">
          <w:marLeft w:val="0"/>
          <w:marRight w:val="0"/>
          <w:marTop w:val="0"/>
          <w:marBottom w:val="0"/>
          <w:divBdr>
            <w:top w:val="none" w:sz="0" w:space="0" w:color="auto"/>
            <w:left w:val="none" w:sz="0" w:space="0" w:color="auto"/>
            <w:bottom w:val="none" w:sz="0" w:space="0" w:color="auto"/>
            <w:right w:val="none" w:sz="0" w:space="0" w:color="auto"/>
          </w:divBdr>
        </w:div>
        <w:div w:id="1933123581">
          <w:marLeft w:val="0"/>
          <w:marRight w:val="0"/>
          <w:marTop w:val="0"/>
          <w:marBottom w:val="0"/>
          <w:divBdr>
            <w:top w:val="none" w:sz="0" w:space="0" w:color="auto"/>
            <w:left w:val="none" w:sz="0" w:space="0" w:color="auto"/>
            <w:bottom w:val="none" w:sz="0" w:space="0" w:color="auto"/>
            <w:right w:val="none" w:sz="0" w:space="0" w:color="auto"/>
          </w:divBdr>
        </w:div>
      </w:divsChild>
    </w:div>
    <w:div w:id="159582941">
      <w:bodyDiv w:val="1"/>
      <w:marLeft w:val="0"/>
      <w:marRight w:val="0"/>
      <w:marTop w:val="0"/>
      <w:marBottom w:val="0"/>
      <w:divBdr>
        <w:top w:val="none" w:sz="0" w:space="0" w:color="auto"/>
        <w:left w:val="none" w:sz="0" w:space="0" w:color="auto"/>
        <w:bottom w:val="none" w:sz="0" w:space="0" w:color="auto"/>
        <w:right w:val="none" w:sz="0" w:space="0" w:color="auto"/>
      </w:divBdr>
      <w:divsChild>
        <w:div w:id="100302153">
          <w:marLeft w:val="0"/>
          <w:marRight w:val="0"/>
          <w:marTop w:val="0"/>
          <w:marBottom w:val="150"/>
          <w:divBdr>
            <w:top w:val="none" w:sz="0" w:space="0" w:color="auto"/>
            <w:left w:val="none" w:sz="0" w:space="0" w:color="auto"/>
            <w:bottom w:val="none" w:sz="0" w:space="0" w:color="auto"/>
            <w:right w:val="none" w:sz="0" w:space="0" w:color="auto"/>
          </w:divBdr>
          <w:divsChild>
            <w:div w:id="206994874">
              <w:marLeft w:val="0"/>
              <w:marRight w:val="0"/>
              <w:marTop w:val="0"/>
              <w:marBottom w:val="0"/>
              <w:divBdr>
                <w:top w:val="none" w:sz="0" w:space="0" w:color="auto"/>
                <w:left w:val="none" w:sz="0" w:space="0" w:color="auto"/>
                <w:bottom w:val="none" w:sz="0" w:space="0" w:color="auto"/>
                <w:right w:val="none" w:sz="0" w:space="0" w:color="auto"/>
              </w:divBdr>
              <w:divsChild>
                <w:div w:id="815537578">
                  <w:marLeft w:val="0"/>
                  <w:marRight w:val="0"/>
                  <w:marTop w:val="0"/>
                  <w:marBottom w:val="0"/>
                  <w:divBdr>
                    <w:top w:val="none" w:sz="0" w:space="0" w:color="auto"/>
                    <w:left w:val="none" w:sz="0" w:space="0" w:color="auto"/>
                    <w:bottom w:val="none" w:sz="0" w:space="0" w:color="auto"/>
                    <w:right w:val="none" w:sz="0" w:space="0" w:color="auto"/>
                  </w:divBdr>
                  <w:divsChild>
                    <w:div w:id="12969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905143">
          <w:marLeft w:val="0"/>
          <w:marRight w:val="0"/>
          <w:marTop w:val="0"/>
          <w:marBottom w:val="0"/>
          <w:divBdr>
            <w:top w:val="none" w:sz="0" w:space="0" w:color="auto"/>
            <w:left w:val="none" w:sz="0" w:space="0" w:color="auto"/>
            <w:bottom w:val="none" w:sz="0" w:space="0" w:color="auto"/>
            <w:right w:val="none" w:sz="0" w:space="0" w:color="auto"/>
          </w:divBdr>
          <w:divsChild>
            <w:div w:id="1554536399">
              <w:marLeft w:val="0"/>
              <w:marRight w:val="0"/>
              <w:marTop w:val="0"/>
              <w:marBottom w:val="0"/>
              <w:divBdr>
                <w:top w:val="none" w:sz="0" w:space="0" w:color="auto"/>
                <w:left w:val="none" w:sz="0" w:space="0" w:color="auto"/>
                <w:bottom w:val="none" w:sz="0" w:space="0" w:color="auto"/>
                <w:right w:val="none" w:sz="0" w:space="0" w:color="auto"/>
              </w:divBdr>
            </w:div>
            <w:div w:id="18396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2615">
      <w:bodyDiv w:val="1"/>
      <w:marLeft w:val="0"/>
      <w:marRight w:val="0"/>
      <w:marTop w:val="0"/>
      <w:marBottom w:val="0"/>
      <w:divBdr>
        <w:top w:val="none" w:sz="0" w:space="0" w:color="auto"/>
        <w:left w:val="none" w:sz="0" w:space="0" w:color="auto"/>
        <w:bottom w:val="none" w:sz="0" w:space="0" w:color="auto"/>
        <w:right w:val="none" w:sz="0" w:space="0" w:color="auto"/>
      </w:divBdr>
    </w:div>
    <w:div w:id="224723933">
      <w:bodyDiv w:val="1"/>
      <w:marLeft w:val="0"/>
      <w:marRight w:val="0"/>
      <w:marTop w:val="0"/>
      <w:marBottom w:val="0"/>
      <w:divBdr>
        <w:top w:val="none" w:sz="0" w:space="0" w:color="auto"/>
        <w:left w:val="none" w:sz="0" w:space="0" w:color="auto"/>
        <w:bottom w:val="none" w:sz="0" w:space="0" w:color="auto"/>
        <w:right w:val="none" w:sz="0" w:space="0" w:color="auto"/>
      </w:divBdr>
      <w:divsChild>
        <w:div w:id="1721897565">
          <w:marLeft w:val="0"/>
          <w:marRight w:val="0"/>
          <w:marTop w:val="0"/>
          <w:marBottom w:val="0"/>
          <w:divBdr>
            <w:top w:val="none" w:sz="0" w:space="0" w:color="auto"/>
            <w:left w:val="none" w:sz="0" w:space="0" w:color="auto"/>
            <w:bottom w:val="none" w:sz="0" w:space="0" w:color="auto"/>
            <w:right w:val="none" w:sz="0" w:space="0" w:color="auto"/>
          </w:divBdr>
          <w:divsChild>
            <w:div w:id="939534501">
              <w:marLeft w:val="0"/>
              <w:marRight w:val="0"/>
              <w:marTop w:val="0"/>
              <w:marBottom w:val="0"/>
              <w:divBdr>
                <w:top w:val="none" w:sz="0" w:space="0" w:color="auto"/>
                <w:left w:val="none" w:sz="0" w:space="0" w:color="auto"/>
                <w:bottom w:val="none" w:sz="0" w:space="0" w:color="auto"/>
                <w:right w:val="none" w:sz="0" w:space="0" w:color="auto"/>
              </w:divBdr>
              <w:divsChild>
                <w:div w:id="190798585">
                  <w:marLeft w:val="0"/>
                  <w:marRight w:val="0"/>
                  <w:marTop w:val="0"/>
                  <w:marBottom w:val="0"/>
                  <w:divBdr>
                    <w:top w:val="none" w:sz="0" w:space="0" w:color="auto"/>
                    <w:left w:val="none" w:sz="0" w:space="0" w:color="auto"/>
                    <w:bottom w:val="none" w:sz="0" w:space="0" w:color="auto"/>
                    <w:right w:val="none" w:sz="0" w:space="0" w:color="auto"/>
                  </w:divBdr>
                  <w:divsChild>
                    <w:div w:id="1786272991">
                      <w:marLeft w:val="0"/>
                      <w:marRight w:val="0"/>
                      <w:marTop w:val="0"/>
                      <w:marBottom w:val="0"/>
                      <w:divBdr>
                        <w:top w:val="none" w:sz="0" w:space="0" w:color="auto"/>
                        <w:left w:val="none" w:sz="0" w:space="0" w:color="auto"/>
                        <w:bottom w:val="none" w:sz="0" w:space="0" w:color="auto"/>
                        <w:right w:val="none" w:sz="0" w:space="0" w:color="auto"/>
                      </w:divBdr>
                      <w:divsChild>
                        <w:div w:id="2073305567">
                          <w:marLeft w:val="0"/>
                          <w:marRight w:val="0"/>
                          <w:marTop w:val="0"/>
                          <w:marBottom w:val="0"/>
                          <w:divBdr>
                            <w:top w:val="none" w:sz="0" w:space="0" w:color="auto"/>
                            <w:left w:val="none" w:sz="0" w:space="0" w:color="auto"/>
                            <w:bottom w:val="none" w:sz="0" w:space="0" w:color="auto"/>
                            <w:right w:val="none" w:sz="0" w:space="0" w:color="auto"/>
                          </w:divBdr>
                          <w:divsChild>
                            <w:div w:id="2102871832">
                              <w:marLeft w:val="0"/>
                              <w:marRight w:val="0"/>
                              <w:marTop w:val="0"/>
                              <w:marBottom w:val="0"/>
                              <w:divBdr>
                                <w:top w:val="none" w:sz="0" w:space="0" w:color="auto"/>
                                <w:left w:val="none" w:sz="0" w:space="0" w:color="auto"/>
                                <w:bottom w:val="none" w:sz="0" w:space="0" w:color="auto"/>
                                <w:right w:val="none" w:sz="0" w:space="0" w:color="auto"/>
                              </w:divBdr>
                              <w:divsChild>
                                <w:div w:id="2099865994">
                                  <w:marLeft w:val="0"/>
                                  <w:marRight w:val="0"/>
                                  <w:marTop w:val="0"/>
                                  <w:marBottom w:val="0"/>
                                  <w:divBdr>
                                    <w:top w:val="none" w:sz="0" w:space="0" w:color="auto"/>
                                    <w:left w:val="none" w:sz="0" w:space="0" w:color="auto"/>
                                    <w:bottom w:val="none" w:sz="0" w:space="0" w:color="auto"/>
                                    <w:right w:val="none" w:sz="0" w:space="0" w:color="auto"/>
                                  </w:divBdr>
                                  <w:divsChild>
                                    <w:div w:id="1547326520">
                                      <w:marLeft w:val="60"/>
                                      <w:marRight w:val="0"/>
                                      <w:marTop w:val="0"/>
                                      <w:marBottom w:val="0"/>
                                      <w:divBdr>
                                        <w:top w:val="none" w:sz="0" w:space="0" w:color="auto"/>
                                        <w:left w:val="none" w:sz="0" w:space="0" w:color="auto"/>
                                        <w:bottom w:val="none" w:sz="0" w:space="0" w:color="auto"/>
                                        <w:right w:val="none" w:sz="0" w:space="0" w:color="auto"/>
                                      </w:divBdr>
                                      <w:divsChild>
                                        <w:div w:id="1192642864">
                                          <w:marLeft w:val="0"/>
                                          <w:marRight w:val="0"/>
                                          <w:marTop w:val="0"/>
                                          <w:marBottom w:val="0"/>
                                          <w:divBdr>
                                            <w:top w:val="none" w:sz="0" w:space="0" w:color="auto"/>
                                            <w:left w:val="none" w:sz="0" w:space="0" w:color="auto"/>
                                            <w:bottom w:val="none" w:sz="0" w:space="0" w:color="auto"/>
                                            <w:right w:val="none" w:sz="0" w:space="0" w:color="auto"/>
                                          </w:divBdr>
                                          <w:divsChild>
                                            <w:div w:id="1265457063">
                                              <w:marLeft w:val="0"/>
                                              <w:marRight w:val="0"/>
                                              <w:marTop w:val="0"/>
                                              <w:marBottom w:val="120"/>
                                              <w:divBdr>
                                                <w:top w:val="single" w:sz="6" w:space="0" w:color="F5F5F5"/>
                                                <w:left w:val="single" w:sz="6" w:space="0" w:color="F5F5F5"/>
                                                <w:bottom w:val="single" w:sz="6" w:space="0" w:color="F5F5F5"/>
                                                <w:right w:val="single" w:sz="6" w:space="0" w:color="F5F5F5"/>
                                              </w:divBdr>
                                              <w:divsChild>
                                                <w:div w:id="1383479752">
                                                  <w:marLeft w:val="0"/>
                                                  <w:marRight w:val="0"/>
                                                  <w:marTop w:val="0"/>
                                                  <w:marBottom w:val="0"/>
                                                  <w:divBdr>
                                                    <w:top w:val="none" w:sz="0" w:space="0" w:color="auto"/>
                                                    <w:left w:val="none" w:sz="0" w:space="0" w:color="auto"/>
                                                    <w:bottom w:val="none" w:sz="0" w:space="0" w:color="auto"/>
                                                    <w:right w:val="none" w:sz="0" w:space="0" w:color="auto"/>
                                                  </w:divBdr>
                                                  <w:divsChild>
                                                    <w:div w:id="4549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374984">
      <w:bodyDiv w:val="1"/>
      <w:marLeft w:val="0"/>
      <w:marRight w:val="0"/>
      <w:marTop w:val="0"/>
      <w:marBottom w:val="0"/>
      <w:divBdr>
        <w:top w:val="none" w:sz="0" w:space="0" w:color="auto"/>
        <w:left w:val="none" w:sz="0" w:space="0" w:color="auto"/>
        <w:bottom w:val="none" w:sz="0" w:space="0" w:color="auto"/>
        <w:right w:val="none" w:sz="0" w:space="0" w:color="auto"/>
      </w:divBdr>
    </w:div>
    <w:div w:id="263805520">
      <w:bodyDiv w:val="1"/>
      <w:marLeft w:val="0"/>
      <w:marRight w:val="0"/>
      <w:marTop w:val="0"/>
      <w:marBottom w:val="0"/>
      <w:divBdr>
        <w:top w:val="none" w:sz="0" w:space="0" w:color="auto"/>
        <w:left w:val="none" w:sz="0" w:space="0" w:color="auto"/>
        <w:bottom w:val="none" w:sz="0" w:space="0" w:color="auto"/>
        <w:right w:val="none" w:sz="0" w:space="0" w:color="auto"/>
      </w:divBdr>
    </w:div>
    <w:div w:id="331177362">
      <w:bodyDiv w:val="1"/>
      <w:marLeft w:val="0"/>
      <w:marRight w:val="0"/>
      <w:marTop w:val="0"/>
      <w:marBottom w:val="0"/>
      <w:divBdr>
        <w:top w:val="none" w:sz="0" w:space="0" w:color="auto"/>
        <w:left w:val="none" w:sz="0" w:space="0" w:color="auto"/>
        <w:bottom w:val="none" w:sz="0" w:space="0" w:color="auto"/>
        <w:right w:val="none" w:sz="0" w:space="0" w:color="auto"/>
      </w:divBdr>
    </w:div>
    <w:div w:id="374157752">
      <w:bodyDiv w:val="1"/>
      <w:marLeft w:val="0"/>
      <w:marRight w:val="0"/>
      <w:marTop w:val="0"/>
      <w:marBottom w:val="0"/>
      <w:divBdr>
        <w:top w:val="none" w:sz="0" w:space="0" w:color="auto"/>
        <w:left w:val="none" w:sz="0" w:space="0" w:color="auto"/>
        <w:bottom w:val="none" w:sz="0" w:space="0" w:color="auto"/>
        <w:right w:val="none" w:sz="0" w:space="0" w:color="auto"/>
      </w:divBdr>
    </w:div>
    <w:div w:id="386419500">
      <w:bodyDiv w:val="1"/>
      <w:marLeft w:val="0"/>
      <w:marRight w:val="0"/>
      <w:marTop w:val="0"/>
      <w:marBottom w:val="0"/>
      <w:divBdr>
        <w:top w:val="none" w:sz="0" w:space="0" w:color="auto"/>
        <w:left w:val="none" w:sz="0" w:space="0" w:color="auto"/>
        <w:bottom w:val="none" w:sz="0" w:space="0" w:color="auto"/>
        <w:right w:val="none" w:sz="0" w:space="0" w:color="auto"/>
      </w:divBdr>
    </w:div>
    <w:div w:id="387265000">
      <w:bodyDiv w:val="1"/>
      <w:marLeft w:val="0"/>
      <w:marRight w:val="0"/>
      <w:marTop w:val="0"/>
      <w:marBottom w:val="0"/>
      <w:divBdr>
        <w:top w:val="none" w:sz="0" w:space="0" w:color="auto"/>
        <w:left w:val="none" w:sz="0" w:space="0" w:color="auto"/>
        <w:bottom w:val="none" w:sz="0" w:space="0" w:color="auto"/>
        <w:right w:val="none" w:sz="0" w:space="0" w:color="auto"/>
      </w:divBdr>
    </w:div>
    <w:div w:id="401372636">
      <w:bodyDiv w:val="1"/>
      <w:marLeft w:val="0"/>
      <w:marRight w:val="0"/>
      <w:marTop w:val="0"/>
      <w:marBottom w:val="0"/>
      <w:divBdr>
        <w:top w:val="none" w:sz="0" w:space="0" w:color="auto"/>
        <w:left w:val="none" w:sz="0" w:space="0" w:color="auto"/>
        <w:bottom w:val="none" w:sz="0" w:space="0" w:color="auto"/>
        <w:right w:val="none" w:sz="0" w:space="0" w:color="auto"/>
      </w:divBdr>
    </w:div>
    <w:div w:id="431050112">
      <w:bodyDiv w:val="1"/>
      <w:marLeft w:val="0"/>
      <w:marRight w:val="0"/>
      <w:marTop w:val="0"/>
      <w:marBottom w:val="0"/>
      <w:divBdr>
        <w:top w:val="none" w:sz="0" w:space="0" w:color="auto"/>
        <w:left w:val="none" w:sz="0" w:space="0" w:color="auto"/>
        <w:bottom w:val="none" w:sz="0" w:space="0" w:color="auto"/>
        <w:right w:val="none" w:sz="0" w:space="0" w:color="auto"/>
      </w:divBdr>
      <w:divsChild>
        <w:div w:id="336618377">
          <w:marLeft w:val="0"/>
          <w:marRight w:val="0"/>
          <w:marTop w:val="0"/>
          <w:marBottom w:val="0"/>
          <w:divBdr>
            <w:top w:val="none" w:sz="0" w:space="0" w:color="auto"/>
            <w:left w:val="none" w:sz="0" w:space="0" w:color="auto"/>
            <w:bottom w:val="none" w:sz="0" w:space="0" w:color="auto"/>
            <w:right w:val="none" w:sz="0" w:space="0" w:color="auto"/>
          </w:divBdr>
          <w:divsChild>
            <w:div w:id="1126773917">
              <w:marLeft w:val="0"/>
              <w:marRight w:val="0"/>
              <w:marTop w:val="0"/>
              <w:marBottom w:val="0"/>
              <w:divBdr>
                <w:top w:val="none" w:sz="0" w:space="0" w:color="auto"/>
                <w:left w:val="none" w:sz="0" w:space="0" w:color="auto"/>
                <w:bottom w:val="none" w:sz="0" w:space="0" w:color="auto"/>
                <w:right w:val="none" w:sz="0" w:space="0" w:color="auto"/>
              </w:divBdr>
              <w:divsChild>
                <w:div w:id="914054265">
                  <w:marLeft w:val="0"/>
                  <w:marRight w:val="0"/>
                  <w:marTop w:val="0"/>
                  <w:marBottom w:val="0"/>
                  <w:divBdr>
                    <w:top w:val="none" w:sz="0" w:space="0" w:color="auto"/>
                    <w:left w:val="none" w:sz="0" w:space="0" w:color="auto"/>
                    <w:bottom w:val="none" w:sz="0" w:space="0" w:color="auto"/>
                    <w:right w:val="none" w:sz="0" w:space="0" w:color="auto"/>
                  </w:divBdr>
                  <w:divsChild>
                    <w:div w:id="529491516">
                      <w:marLeft w:val="0"/>
                      <w:marRight w:val="0"/>
                      <w:marTop w:val="0"/>
                      <w:marBottom w:val="0"/>
                      <w:divBdr>
                        <w:top w:val="none" w:sz="0" w:space="0" w:color="auto"/>
                        <w:left w:val="none" w:sz="0" w:space="0" w:color="auto"/>
                        <w:bottom w:val="none" w:sz="0" w:space="0" w:color="auto"/>
                        <w:right w:val="none" w:sz="0" w:space="0" w:color="auto"/>
                      </w:divBdr>
                      <w:divsChild>
                        <w:div w:id="716467305">
                          <w:marLeft w:val="0"/>
                          <w:marRight w:val="0"/>
                          <w:marTop w:val="0"/>
                          <w:marBottom w:val="0"/>
                          <w:divBdr>
                            <w:top w:val="none" w:sz="0" w:space="0" w:color="auto"/>
                            <w:left w:val="none" w:sz="0" w:space="0" w:color="auto"/>
                            <w:bottom w:val="none" w:sz="0" w:space="0" w:color="auto"/>
                            <w:right w:val="none" w:sz="0" w:space="0" w:color="auto"/>
                          </w:divBdr>
                          <w:divsChild>
                            <w:div w:id="1900163754">
                              <w:marLeft w:val="0"/>
                              <w:marRight w:val="0"/>
                              <w:marTop w:val="0"/>
                              <w:marBottom w:val="0"/>
                              <w:divBdr>
                                <w:top w:val="none" w:sz="0" w:space="0" w:color="auto"/>
                                <w:left w:val="none" w:sz="0" w:space="0" w:color="auto"/>
                                <w:bottom w:val="none" w:sz="0" w:space="0" w:color="auto"/>
                                <w:right w:val="none" w:sz="0" w:space="0" w:color="auto"/>
                              </w:divBdr>
                              <w:divsChild>
                                <w:div w:id="1365251667">
                                  <w:marLeft w:val="0"/>
                                  <w:marRight w:val="0"/>
                                  <w:marTop w:val="0"/>
                                  <w:marBottom w:val="0"/>
                                  <w:divBdr>
                                    <w:top w:val="none" w:sz="0" w:space="0" w:color="auto"/>
                                    <w:left w:val="none" w:sz="0" w:space="0" w:color="auto"/>
                                    <w:bottom w:val="none" w:sz="0" w:space="0" w:color="auto"/>
                                    <w:right w:val="none" w:sz="0" w:space="0" w:color="auto"/>
                                  </w:divBdr>
                                  <w:divsChild>
                                    <w:div w:id="1286540014">
                                      <w:marLeft w:val="60"/>
                                      <w:marRight w:val="0"/>
                                      <w:marTop w:val="0"/>
                                      <w:marBottom w:val="0"/>
                                      <w:divBdr>
                                        <w:top w:val="none" w:sz="0" w:space="0" w:color="auto"/>
                                        <w:left w:val="none" w:sz="0" w:space="0" w:color="auto"/>
                                        <w:bottom w:val="none" w:sz="0" w:space="0" w:color="auto"/>
                                        <w:right w:val="none" w:sz="0" w:space="0" w:color="auto"/>
                                      </w:divBdr>
                                      <w:divsChild>
                                        <w:div w:id="244922524">
                                          <w:marLeft w:val="0"/>
                                          <w:marRight w:val="0"/>
                                          <w:marTop w:val="0"/>
                                          <w:marBottom w:val="0"/>
                                          <w:divBdr>
                                            <w:top w:val="none" w:sz="0" w:space="0" w:color="auto"/>
                                            <w:left w:val="none" w:sz="0" w:space="0" w:color="auto"/>
                                            <w:bottom w:val="none" w:sz="0" w:space="0" w:color="auto"/>
                                            <w:right w:val="none" w:sz="0" w:space="0" w:color="auto"/>
                                          </w:divBdr>
                                          <w:divsChild>
                                            <w:div w:id="1399278277">
                                              <w:marLeft w:val="0"/>
                                              <w:marRight w:val="0"/>
                                              <w:marTop w:val="0"/>
                                              <w:marBottom w:val="120"/>
                                              <w:divBdr>
                                                <w:top w:val="single" w:sz="6" w:space="0" w:color="F5F5F5"/>
                                                <w:left w:val="single" w:sz="6" w:space="0" w:color="F5F5F5"/>
                                                <w:bottom w:val="single" w:sz="6" w:space="0" w:color="F5F5F5"/>
                                                <w:right w:val="single" w:sz="6" w:space="0" w:color="F5F5F5"/>
                                              </w:divBdr>
                                              <w:divsChild>
                                                <w:div w:id="1158497430">
                                                  <w:marLeft w:val="0"/>
                                                  <w:marRight w:val="0"/>
                                                  <w:marTop w:val="0"/>
                                                  <w:marBottom w:val="0"/>
                                                  <w:divBdr>
                                                    <w:top w:val="none" w:sz="0" w:space="0" w:color="auto"/>
                                                    <w:left w:val="none" w:sz="0" w:space="0" w:color="auto"/>
                                                    <w:bottom w:val="none" w:sz="0" w:space="0" w:color="auto"/>
                                                    <w:right w:val="none" w:sz="0" w:space="0" w:color="auto"/>
                                                  </w:divBdr>
                                                  <w:divsChild>
                                                    <w:div w:id="19507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761134">
      <w:bodyDiv w:val="1"/>
      <w:marLeft w:val="0"/>
      <w:marRight w:val="0"/>
      <w:marTop w:val="0"/>
      <w:marBottom w:val="0"/>
      <w:divBdr>
        <w:top w:val="none" w:sz="0" w:space="0" w:color="auto"/>
        <w:left w:val="none" w:sz="0" w:space="0" w:color="auto"/>
        <w:bottom w:val="none" w:sz="0" w:space="0" w:color="auto"/>
        <w:right w:val="none" w:sz="0" w:space="0" w:color="auto"/>
      </w:divBdr>
    </w:div>
    <w:div w:id="515269946">
      <w:bodyDiv w:val="1"/>
      <w:marLeft w:val="0"/>
      <w:marRight w:val="0"/>
      <w:marTop w:val="0"/>
      <w:marBottom w:val="0"/>
      <w:divBdr>
        <w:top w:val="none" w:sz="0" w:space="0" w:color="auto"/>
        <w:left w:val="none" w:sz="0" w:space="0" w:color="auto"/>
        <w:bottom w:val="none" w:sz="0" w:space="0" w:color="auto"/>
        <w:right w:val="none" w:sz="0" w:space="0" w:color="auto"/>
      </w:divBdr>
    </w:div>
    <w:div w:id="612514847">
      <w:bodyDiv w:val="1"/>
      <w:marLeft w:val="0"/>
      <w:marRight w:val="0"/>
      <w:marTop w:val="0"/>
      <w:marBottom w:val="0"/>
      <w:divBdr>
        <w:top w:val="none" w:sz="0" w:space="0" w:color="auto"/>
        <w:left w:val="none" w:sz="0" w:space="0" w:color="auto"/>
        <w:bottom w:val="none" w:sz="0" w:space="0" w:color="auto"/>
        <w:right w:val="none" w:sz="0" w:space="0" w:color="auto"/>
      </w:divBdr>
    </w:div>
    <w:div w:id="663625073">
      <w:bodyDiv w:val="1"/>
      <w:marLeft w:val="0"/>
      <w:marRight w:val="0"/>
      <w:marTop w:val="0"/>
      <w:marBottom w:val="0"/>
      <w:divBdr>
        <w:top w:val="none" w:sz="0" w:space="0" w:color="auto"/>
        <w:left w:val="none" w:sz="0" w:space="0" w:color="auto"/>
        <w:bottom w:val="none" w:sz="0" w:space="0" w:color="auto"/>
        <w:right w:val="none" w:sz="0" w:space="0" w:color="auto"/>
      </w:divBdr>
    </w:div>
    <w:div w:id="685332686">
      <w:bodyDiv w:val="1"/>
      <w:marLeft w:val="0"/>
      <w:marRight w:val="0"/>
      <w:marTop w:val="0"/>
      <w:marBottom w:val="0"/>
      <w:divBdr>
        <w:top w:val="none" w:sz="0" w:space="0" w:color="auto"/>
        <w:left w:val="none" w:sz="0" w:space="0" w:color="auto"/>
        <w:bottom w:val="none" w:sz="0" w:space="0" w:color="auto"/>
        <w:right w:val="none" w:sz="0" w:space="0" w:color="auto"/>
      </w:divBdr>
    </w:div>
    <w:div w:id="725685420">
      <w:bodyDiv w:val="1"/>
      <w:marLeft w:val="0"/>
      <w:marRight w:val="0"/>
      <w:marTop w:val="0"/>
      <w:marBottom w:val="0"/>
      <w:divBdr>
        <w:top w:val="none" w:sz="0" w:space="0" w:color="auto"/>
        <w:left w:val="none" w:sz="0" w:space="0" w:color="auto"/>
        <w:bottom w:val="none" w:sz="0" w:space="0" w:color="auto"/>
        <w:right w:val="none" w:sz="0" w:space="0" w:color="auto"/>
      </w:divBdr>
    </w:div>
    <w:div w:id="736048126">
      <w:bodyDiv w:val="1"/>
      <w:marLeft w:val="0"/>
      <w:marRight w:val="0"/>
      <w:marTop w:val="0"/>
      <w:marBottom w:val="0"/>
      <w:divBdr>
        <w:top w:val="none" w:sz="0" w:space="0" w:color="auto"/>
        <w:left w:val="none" w:sz="0" w:space="0" w:color="auto"/>
        <w:bottom w:val="none" w:sz="0" w:space="0" w:color="auto"/>
        <w:right w:val="none" w:sz="0" w:space="0" w:color="auto"/>
      </w:divBdr>
      <w:divsChild>
        <w:div w:id="222957344">
          <w:marLeft w:val="0"/>
          <w:marRight w:val="0"/>
          <w:marTop w:val="0"/>
          <w:marBottom w:val="166"/>
          <w:divBdr>
            <w:top w:val="none" w:sz="0" w:space="0" w:color="auto"/>
            <w:left w:val="none" w:sz="0" w:space="0" w:color="auto"/>
            <w:bottom w:val="none" w:sz="0" w:space="0" w:color="auto"/>
            <w:right w:val="none" w:sz="0" w:space="0" w:color="auto"/>
          </w:divBdr>
          <w:divsChild>
            <w:div w:id="1539513251">
              <w:marLeft w:val="0"/>
              <w:marRight w:val="0"/>
              <w:marTop w:val="0"/>
              <w:marBottom w:val="0"/>
              <w:divBdr>
                <w:top w:val="none" w:sz="0" w:space="0" w:color="auto"/>
                <w:left w:val="none" w:sz="0" w:space="0" w:color="auto"/>
                <w:bottom w:val="none" w:sz="0" w:space="0" w:color="auto"/>
                <w:right w:val="none" w:sz="0" w:space="0" w:color="auto"/>
              </w:divBdr>
              <w:divsChild>
                <w:div w:id="1081834400">
                  <w:marLeft w:val="0"/>
                  <w:marRight w:val="0"/>
                  <w:marTop w:val="0"/>
                  <w:marBottom w:val="0"/>
                  <w:divBdr>
                    <w:top w:val="none" w:sz="0" w:space="0" w:color="auto"/>
                    <w:left w:val="none" w:sz="0" w:space="0" w:color="auto"/>
                    <w:bottom w:val="none" w:sz="0" w:space="0" w:color="auto"/>
                    <w:right w:val="none" w:sz="0" w:space="0" w:color="auto"/>
                  </w:divBdr>
                  <w:divsChild>
                    <w:div w:id="187528416">
                      <w:marLeft w:val="0"/>
                      <w:marRight w:val="0"/>
                      <w:marTop w:val="0"/>
                      <w:marBottom w:val="0"/>
                      <w:divBdr>
                        <w:top w:val="none" w:sz="0" w:space="0" w:color="auto"/>
                        <w:left w:val="none" w:sz="0" w:space="0" w:color="auto"/>
                        <w:bottom w:val="none" w:sz="0" w:space="0" w:color="auto"/>
                        <w:right w:val="none" w:sz="0" w:space="0" w:color="auto"/>
                      </w:divBdr>
                    </w:div>
                    <w:div w:id="133306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22684">
              <w:marLeft w:val="0"/>
              <w:marRight w:val="0"/>
              <w:marTop w:val="0"/>
              <w:marBottom w:val="0"/>
              <w:divBdr>
                <w:top w:val="none" w:sz="0" w:space="0" w:color="auto"/>
                <w:left w:val="none" w:sz="0" w:space="0" w:color="auto"/>
                <w:bottom w:val="none" w:sz="0" w:space="0" w:color="auto"/>
                <w:right w:val="none" w:sz="0" w:space="0" w:color="auto"/>
              </w:divBdr>
              <w:divsChild>
                <w:div w:id="720322390">
                  <w:marLeft w:val="0"/>
                  <w:marRight w:val="0"/>
                  <w:marTop w:val="0"/>
                  <w:marBottom w:val="0"/>
                  <w:divBdr>
                    <w:top w:val="none" w:sz="0" w:space="0" w:color="auto"/>
                    <w:left w:val="none" w:sz="0" w:space="0" w:color="auto"/>
                    <w:bottom w:val="none" w:sz="0" w:space="0" w:color="auto"/>
                    <w:right w:val="none" w:sz="0" w:space="0" w:color="auto"/>
                  </w:divBdr>
                </w:div>
                <w:div w:id="146427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5047">
          <w:marLeft w:val="0"/>
          <w:marRight w:val="0"/>
          <w:marTop w:val="166"/>
          <w:marBottom w:val="166"/>
          <w:divBdr>
            <w:top w:val="none" w:sz="0" w:space="0" w:color="auto"/>
            <w:left w:val="none" w:sz="0" w:space="0" w:color="auto"/>
            <w:bottom w:val="none" w:sz="0" w:space="0" w:color="auto"/>
            <w:right w:val="none" w:sz="0" w:space="0" w:color="auto"/>
          </w:divBdr>
          <w:divsChild>
            <w:div w:id="1211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6262">
      <w:bodyDiv w:val="1"/>
      <w:marLeft w:val="0"/>
      <w:marRight w:val="0"/>
      <w:marTop w:val="0"/>
      <w:marBottom w:val="0"/>
      <w:divBdr>
        <w:top w:val="none" w:sz="0" w:space="0" w:color="auto"/>
        <w:left w:val="none" w:sz="0" w:space="0" w:color="auto"/>
        <w:bottom w:val="none" w:sz="0" w:space="0" w:color="auto"/>
        <w:right w:val="none" w:sz="0" w:space="0" w:color="auto"/>
      </w:divBdr>
    </w:div>
    <w:div w:id="804203444">
      <w:bodyDiv w:val="1"/>
      <w:marLeft w:val="0"/>
      <w:marRight w:val="0"/>
      <w:marTop w:val="0"/>
      <w:marBottom w:val="0"/>
      <w:divBdr>
        <w:top w:val="none" w:sz="0" w:space="0" w:color="auto"/>
        <w:left w:val="none" w:sz="0" w:space="0" w:color="auto"/>
        <w:bottom w:val="none" w:sz="0" w:space="0" w:color="auto"/>
        <w:right w:val="none" w:sz="0" w:space="0" w:color="auto"/>
      </w:divBdr>
    </w:div>
    <w:div w:id="836190108">
      <w:bodyDiv w:val="1"/>
      <w:marLeft w:val="0"/>
      <w:marRight w:val="0"/>
      <w:marTop w:val="0"/>
      <w:marBottom w:val="0"/>
      <w:divBdr>
        <w:top w:val="none" w:sz="0" w:space="0" w:color="auto"/>
        <w:left w:val="none" w:sz="0" w:space="0" w:color="auto"/>
        <w:bottom w:val="none" w:sz="0" w:space="0" w:color="auto"/>
        <w:right w:val="none" w:sz="0" w:space="0" w:color="auto"/>
      </w:divBdr>
    </w:div>
    <w:div w:id="855267999">
      <w:bodyDiv w:val="1"/>
      <w:marLeft w:val="0"/>
      <w:marRight w:val="0"/>
      <w:marTop w:val="0"/>
      <w:marBottom w:val="0"/>
      <w:divBdr>
        <w:top w:val="none" w:sz="0" w:space="0" w:color="auto"/>
        <w:left w:val="none" w:sz="0" w:space="0" w:color="auto"/>
        <w:bottom w:val="none" w:sz="0" w:space="0" w:color="auto"/>
        <w:right w:val="none" w:sz="0" w:space="0" w:color="auto"/>
      </w:divBdr>
    </w:div>
    <w:div w:id="902518971">
      <w:bodyDiv w:val="1"/>
      <w:marLeft w:val="0"/>
      <w:marRight w:val="0"/>
      <w:marTop w:val="0"/>
      <w:marBottom w:val="0"/>
      <w:divBdr>
        <w:top w:val="none" w:sz="0" w:space="0" w:color="auto"/>
        <w:left w:val="none" w:sz="0" w:space="0" w:color="auto"/>
        <w:bottom w:val="none" w:sz="0" w:space="0" w:color="auto"/>
        <w:right w:val="none" w:sz="0" w:space="0" w:color="auto"/>
      </w:divBdr>
      <w:divsChild>
        <w:div w:id="542711681">
          <w:marLeft w:val="0"/>
          <w:marRight w:val="0"/>
          <w:marTop w:val="0"/>
          <w:marBottom w:val="0"/>
          <w:divBdr>
            <w:top w:val="none" w:sz="0" w:space="0" w:color="auto"/>
            <w:left w:val="none" w:sz="0" w:space="0" w:color="auto"/>
            <w:bottom w:val="none" w:sz="0" w:space="0" w:color="auto"/>
            <w:right w:val="none" w:sz="0" w:space="0" w:color="auto"/>
          </w:divBdr>
        </w:div>
        <w:div w:id="582253722">
          <w:marLeft w:val="0"/>
          <w:marRight w:val="0"/>
          <w:marTop w:val="0"/>
          <w:marBottom w:val="0"/>
          <w:divBdr>
            <w:top w:val="none" w:sz="0" w:space="0" w:color="auto"/>
            <w:left w:val="none" w:sz="0" w:space="0" w:color="auto"/>
            <w:bottom w:val="none" w:sz="0" w:space="0" w:color="auto"/>
            <w:right w:val="none" w:sz="0" w:space="0" w:color="auto"/>
          </w:divBdr>
        </w:div>
        <w:div w:id="774600006">
          <w:marLeft w:val="0"/>
          <w:marRight w:val="0"/>
          <w:marTop w:val="0"/>
          <w:marBottom w:val="0"/>
          <w:divBdr>
            <w:top w:val="none" w:sz="0" w:space="0" w:color="auto"/>
            <w:left w:val="none" w:sz="0" w:space="0" w:color="auto"/>
            <w:bottom w:val="none" w:sz="0" w:space="0" w:color="auto"/>
            <w:right w:val="none" w:sz="0" w:space="0" w:color="auto"/>
          </w:divBdr>
        </w:div>
        <w:div w:id="810369490">
          <w:marLeft w:val="0"/>
          <w:marRight w:val="0"/>
          <w:marTop w:val="0"/>
          <w:marBottom w:val="0"/>
          <w:divBdr>
            <w:top w:val="none" w:sz="0" w:space="0" w:color="auto"/>
            <w:left w:val="none" w:sz="0" w:space="0" w:color="auto"/>
            <w:bottom w:val="none" w:sz="0" w:space="0" w:color="auto"/>
            <w:right w:val="none" w:sz="0" w:space="0" w:color="auto"/>
          </w:divBdr>
        </w:div>
        <w:div w:id="977763692">
          <w:marLeft w:val="0"/>
          <w:marRight w:val="0"/>
          <w:marTop w:val="0"/>
          <w:marBottom w:val="0"/>
          <w:divBdr>
            <w:top w:val="none" w:sz="0" w:space="0" w:color="auto"/>
            <w:left w:val="none" w:sz="0" w:space="0" w:color="auto"/>
            <w:bottom w:val="none" w:sz="0" w:space="0" w:color="auto"/>
            <w:right w:val="none" w:sz="0" w:space="0" w:color="auto"/>
          </w:divBdr>
        </w:div>
      </w:divsChild>
    </w:div>
    <w:div w:id="915364717">
      <w:bodyDiv w:val="1"/>
      <w:marLeft w:val="0"/>
      <w:marRight w:val="0"/>
      <w:marTop w:val="0"/>
      <w:marBottom w:val="0"/>
      <w:divBdr>
        <w:top w:val="none" w:sz="0" w:space="0" w:color="auto"/>
        <w:left w:val="none" w:sz="0" w:space="0" w:color="auto"/>
        <w:bottom w:val="none" w:sz="0" w:space="0" w:color="auto"/>
        <w:right w:val="none" w:sz="0" w:space="0" w:color="auto"/>
      </w:divBdr>
    </w:div>
    <w:div w:id="1039665675">
      <w:bodyDiv w:val="1"/>
      <w:marLeft w:val="0"/>
      <w:marRight w:val="0"/>
      <w:marTop w:val="0"/>
      <w:marBottom w:val="0"/>
      <w:divBdr>
        <w:top w:val="none" w:sz="0" w:space="0" w:color="auto"/>
        <w:left w:val="none" w:sz="0" w:space="0" w:color="auto"/>
        <w:bottom w:val="none" w:sz="0" w:space="0" w:color="auto"/>
        <w:right w:val="none" w:sz="0" w:space="0" w:color="auto"/>
      </w:divBdr>
    </w:div>
    <w:div w:id="1159881365">
      <w:bodyDiv w:val="1"/>
      <w:marLeft w:val="0"/>
      <w:marRight w:val="0"/>
      <w:marTop w:val="0"/>
      <w:marBottom w:val="0"/>
      <w:divBdr>
        <w:top w:val="none" w:sz="0" w:space="0" w:color="auto"/>
        <w:left w:val="none" w:sz="0" w:space="0" w:color="auto"/>
        <w:bottom w:val="none" w:sz="0" w:space="0" w:color="auto"/>
        <w:right w:val="none" w:sz="0" w:space="0" w:color="auto"/>
      </w:divBdr>
    </w:div>
    <w:div w:id="1231036137">
      <w:bodyDiv w:val="1"/>
      <w:marLeft w:val="0"/>
      <w:marRight w:val="0"/>
      <w:marTop w:val="0"/>
      <w:marBottom w:val="0"/>
      <w:divBdr>
        <w:top w:val="none" w:sz="0" w:space="0" w:color="auto"/>
        <w:left w:val="none" w:sz="0" w:space="0" w:color="auto"/>
        <w:bottom w:val="none" w:sz="0" w:space="0" w:color="auto"/>
        <w:right w:val="none" w:sz="0" w:space="0" w:color="auto"/>
      </w:divBdr>
    </w:div>
    <w:div w:id="1234201000">
      <w:bodyDiv w:val="1"/>
      <w:marLeft w:val="0"/>
      <w:marRight w:val="0"/>
      <w:marTop w:val="0"/>
      <w:marBottom w:val="0"/>
      <w:divBdr>
        <w:top w:val="none" w:sz="0" w:space="0" w:color="auto"/>
        <w:left w:val="none" w:sz="0" w:space="0" w:color="auto"/>
        <w:bottom w:val="none" w:sz="0" w:space="0" w:color="auto"/>
        <w:right w:val="none" w:sz="0" w:space="0" w:color="auto"/>
      </w:divBdr>
    </w:div>
    <w:div w:id="1286157649">
      <w:bodyDiv w:val="1"/>
      <w:marLeft w:val="0"/>
      <w:marRight w:val="0"/>
      <w:marTop w:val="0"/>
      <w:marBottom w:val="0"/>
      <w:divBdr>
        <w:top w:val="none" w:sz="0" w:space="0" w:color="auto"/>
        <w:left w:val="none" w:sz="0" w:space="0" w:color="auto"/>
        <w:bottom w:val="none" w:sz="0" w:space="0" w:color="auto"/>
        <w:right w:val="none" w:sz="0" w:space="0" w:color="auto"/>
      </w:divBdr>
    </w:div>
    <w:div w:id="1347635977">
      <w:bodyDiv w:val="1"/>
      <w:marLeft w:val="0"/>
      <w:marRight w:val="0"/>
      <w:marTop w:val="0"/>
      <w:marBottom w:val="0"/>
      <w:divBdr>
        <w:top w:val="none" w:sz="0" w:space="0" w:color="auto"/>
        <w:left w:val="none" w:sz="0" w:space="0" w:color="auto"/>
        <w:bottom w:val="none" w:sz="0" w:space="0" w:color="auto"/>
        <w:right w:val="none" w:sz="0" w:space="0" w:color="auto"/>
      </w:divBdr>
    </w:div>
    <w:div w:id="1349720399">
      <w:bodyDiv w:val="1"/>
      <w:marLeft w:val="0"/>
      <w:marRight w:val="0"/>
      <w:marTop w:val="0"/>
      <w:marBottom w:val="0"/>
      <w:divBdr>
        <w:top w:val="none" w:sz="0" w:space="0" w:color="auto"/>
        <w:left w:val="none" w:sz="0" w:space="0" w:color="auto"/>
        <w:bottom w:val="none" w:sz="0" w:space="0" w:color="auto"/>
        <w:right w:val="none" w:sz="0" w:space="0" w:color="auto"/>
      </w:divBdr>
    </w:div>
    <w:div w:id="1394154742">
      <w:bodyDiv w:val="1"/>
      <w:marLeft w:val="0"/>
      <w:marRight w:val="0"/>
      <w:marTop w:val="0"/>
      <w:marBottom w:val="0"/>
      <w:divBdr>
        <w:top w:val="none" w:sz="0" w:space="0" w:color="auto"/>
        <w:left w:val="none" w:sz="0" w:space="0" w:color="auto"/>
        <w:bottom w:val="none" w:sz="0" w:space="0" w:color="auto"/>
        <w:right w:val="none" w:sz="0" w:space="0" w:color="auto"/>
      </w:divBdr>
    </w:div>
    <w:div w:id="1395739959">
      <w:bodyDiv w:val="1"/>
      <w:marLeft w:val="0"/>
      <w:marRight w:val="0"/>
      <w:marTop w:val="0"/>
      <w:marBottom w:val="0"/>
      <w:divBdr>
        <w:top w:val="none" w:sz="0" w:space="0" w:color="auto"/>
        <w:left w:val="none" w:sz="0" w:space="0" w:color="auto"/>
        <w:bottom w:val="none" w:sz="0" w:space="0" w:color="auto"/>
        <w:right w:val="none" w:sz="0" w:space="0" w:color="auto"/>
      </w:divBdr>
      <w:divsChild>
        <w:div w:id="241719233">
          <w:marLeft w:val="0"/>
          <w:marRight w:val="0"/>
          <w:marTop w:val="166"/>
          <w:marBottom w:val="166"/>
          <w:divBdr>
            <w:top w:val="none" w:sz="0" w:space="0" w:color="auto"/>
            <w:left w:val="none" w:sz="0" w:space="0" w:color="auto"/>
            <w:bottom w:val="none" w:sz="0" w:space="0" w:color="auto"/>
            <w:right w:val="none" w:sz="0" w:space="0" w:color="auto"/>
          </w:divBdr>
        </w:div>
        <w:div w:id="893934521">
          <w:marLeft w:val="0"/>
          <w:marRight w:val="0"/>
          <w:marTop w:val="166"/>
          <w:marBottom w:val="166"/>
          <w:divBdr>
            <w:top w:val="none" w:sz="0" w:space="0" w:color="auto"/>
            <w:left w:val="none" w:sz="0" w:space="0" w:color="auto"/>
            <w:bottom w:val="none" w:sz="0" w:space="0" w:color="auto"/>
            <w:right w:val="none" w:sz="0" w:space="0" w:color="auto"/>
          </w:divBdr>
        </w:div>
        <w:div w:id="940263598">
          <w:marLeft w:val="0"/>
          <w:marRight w:val="0"/>
          <w:marTop w:val="166"/>
          <w:marBottom w:val="166"/>
          <w:divBdr>
            <w:top w:val="none" w:sz="0" w:space="0" w:color="auto"/>
            <w:left w:val="none" w:sz="0" w:space="0" w:color="auto"/>
            <w:bottom w:val="none" w:sz="0" w:space="0" w:color="auto"/>
            <w:right w:val="none" w:sz="0" w:space="0" w:color="auto"/>
          </w:divBdr>
        </w:div>
        <w:div w:id="1864828702">
          <w:marLeft w:val="0"/>
          <w:marRight w:val="0"/>
          <w:marTop w:val="166"/>
          <w:marBottom w:val="166"/>
          <w:divBdr>
            <w:top w:val="none" w:sz="0" w:space="0" w:color="auto"/>
            <w:left w:val="none" w:sz="0" w:space="0" w:color="auto"/>
            <w:bottom w:val="none" w:sz="0" w:space="0" w:color="auto"/>
            <w:right w:val="none" w:sz="0" w:space="0" w:color="auto"/>
          </w:divBdr>
        </w:div>
      </w:divsChild>
    </w:div>
    <w:div w:id="1406300898">
      <w:bodyDiv w:val="1"/>
      <w:marLeft w:val="0"/>
      <w:marRight w:val="0"/>
      <w:marTop w:val="0"/>
      <w:marBottom w:val="0"/>
      <w:divBdr>
        <w:top w:val="none" w:sz="0" w:space="0" w:color="auto"/>
        <w:left w:val="none" w:sz="0" w:space="0" w:color="auto"/>
        <w:bottom w:val="none" w:sz="0" w:space="0" w:color="auto"/>
        <w:right w:val="none" w:sz="0" w:space="0" w:color="auto"/>
      </w:divBdr>
    </w:div>
    <w:div w:id="1534657659">
      <w:bodyDiv w:val="1"/>
      <w:marLeft w:val="0"/>
      <w:marRight w:val="0"/>
      <w:marTop w:val="0"/>
      <w:marBottom w:val="0"/>
      <w:divBdr>
        <w:top w:val="none" w:sz="0" w:space="0" w:color="auto"/>
        <w:left w:val="none" w:sz="0" w:space="0" w:color="auto"/>
        <w:bottom w:val="none" w:sz="0" w:space="0" w:color="auto"/>
        <w:right w:val="none" w:sz="0" w:space="0" w:color="auto"/>
      </w:divBdr>
    </w:div>
    <w:div w:id="1563953488">
      <w:bodyDiv w:val="1"/>
      <w:marLeft w:val="0"/>
      <w:marRight w:val="0"/>
      <w:marTop w:val="0"/>
      <w:marBottom w:val="0"/>
      <w:divBdr>
        <w:top w:val="none" w:sz="0" w:space="0" w:color="auto"/>
        <w:left w:val="none" w:sz="0" w:space="0" w:color="auto"/>
        <w:bottom w:val="none" w:sz="0" w:space="0" w:color="auto"/>
        <w:right w:val="none" w:sz="0" w:space="0" w:color="auto"/>
      </w:divBdr>
      <w:divsChild>
        <w:div w:id="2050302367">
          <w:marLeft w:val="0"/>
          <w:marRight w:val="0"/>
          <w:marTop w:val="166"/>
          <w:marBottom w:val="166"/>
          <w:divBdr>
            <w:top w:val="none" w:sz="0" w:space="0" w:color="auto"/>
            <w:left w:val="none" w:sz="0" w:space="0" w:color="auto"/>
            <w:bottom w:val="none" w:sz="0" w:space="0" w:color="auto"/>
            <w:right w:val="none" w:sz="0" w:space="0" w:color="auto"/>
          </w:divBdr>
          <w:divsChild>
            <w:div w:id="917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1114">
      <w:bodyDiv w:val="1"/>
      <w:marLeft w:val="0"/>
      <w:marRight w:val="0"/>
      <w:marTop w:val="0"/>
      <w:marBottom w:val="0"/>
      <w:divBdr>
        <w:top w:val="none" w:sz="0" w:space="0" w:color="auto"/>
        <w:left w:val="none" w:sz="0" w:space="0" w:color="auto"/>
        <w:bottom w:val="none" w:sz="0" w:space="0" w:color="auto"/>
        <w:right w:val="none" w:sz="0" w:space="0" w:color="auto"/>
      </w:divBdr>
    </w:div>
    <w:div w:id="1622615622">
      <w:bodyDiv w:val="1"/>
      <w:marLeft w:val="0"/>
      <w:marRight w:val="0"/>
      <w:marTop w:val="0"/>
      <w:marBottom w:val="0"/>
      <w:divBdr>
        <w:top w:val="none" w:sz="0" w:space="0" w:color="auto"/>
        <w:left w:val="none" w:sz="0" w:space="0" w:color="auto"/>
        <w:bottom w:val="none" w:sz="0" w:space="0" w:color="auto"/>
        <w:right w:val="none" w:sz="0" w:space="0" w:color="auto"/>
      </w:divBdr>
      <w:divsChild>
        <w:div w:id="1440223195">
          <w:marLeft w:val="0"/>
          <w:marRight w:val="0"/>
          <w:marTop w:val="0"/>
          <w:marBottom w:val="0"/>
          <w:divBdr>
            <w:top w:val="none" w:sz="0" w:space="0" w:color="auto"/>
            <w:left w:val="none" w:sz="0" w:space="0" w:color="auto"/>
            <w:bottom w:val="none" w:sz="0" w:space="0" w:color="auto"/>
            <w:right w:val="none" w:sz="0" w:space="0" w:color="auto"/>
          </w:divBdr>
          <w:divsChild>
            <w:div w:id="19210885">
              <w:marLeft w:val="0"/>
              <w:marRight w:val="0"/>
              <w:marTop w:val="0"/>
              <w:marBottom w:val="0"/>
              <w:divBdr>
                <w:top w:val="none" w:sz="0" w:space="0" w:color="auto"/>
                <w:left w:val="none" w:sz="0" w:space="0" w:color="auto"/>
                <w:bottom w:val="none" w:sz="0" w:space="0" w:color="auto"/>
                <w:right w:val="none" w:sz="0" w:space="0" w:color="auto"/>
              </w:divBdr>
              <w:divsChild>
                <w:div w:id="945894046">
                  <w:marLeft w:val="0"/>
                  <w:marRight w:val="0"/>
                  <w:marTop w:val="0"/>
                  <w:marBottom w:val="0"/>
                  <w:divBdr>
                    <w:top w:val="none" w:sz="0" w:space="0" w:color="auto"/>
                    <w:left w:val="none" w:sz="0" w:space="0" w:color="auto"/>
                    <w:bottom w:val="none" w:sz="0" w:space="0" w:color="auto"/>
                    <w:right w:val="none" w:sz="0" w:space="0" w:color="auto"/>
                  </w:divBdr>
                  <w:divsChild>
                    <w:div w:id="1413621928">
                      <w:marLeft w:val="0"/>
                      <w:marRight w:val="0"/>
                      <w:marTop w:val="0"/>
                      <w:marBottom w:val="0"/>
                      <w:divBdr>
                        <w:top w:val="none" w:sz="0" w:space="0" w:color="auto"/>
                        <w:left w:val="none" w:sz="0" w:space="0" w:color="auto"/>
                        <w:bottom w:val="none" w:sz="0" w:space="0" w:color="auto"/>
                        <w:right w:val="none" w:sz="0" w:space="0" w:color="auto"/>
                      </w:divBdr>
                      <w:divsChild>
                        <w:div w:id="828403368">
                          <w:marLeft w:val="0"/>
                          <w:marRight w:val="0"/>
                          <w:marTop w:val="0"/>
                          <w:marBottom w:val="0"/>
                          <w:divBdr>
                            <w:top w:val="none" w:sz="0" w:space="0" w:color="auto"/>
                            <w:left w:val="none" w:sz="0" w:space="0" w:color="auto"/>
                            <w:bottom w:val="none" w:sz="0" w:space="0" w:color="auto"/>
                            <w:right w:val="none" w:sz="0" w:space="0" w:color="auto"/>
                          </w:divBdr>
                          <w:divsChild>
                            <w:div w:id="1292828820">
                              <w:marLeft w:val="0"/>
                              <w:marRight w:val="0"/>
                              <w:marTop w:val="0"/>
                              <w:marBottom w:val="0"/>
                              <w:divBdr>
                                <w:top w:val="none" w:sz="0" w:space="0" w:color="auto"/>
                                <w:left w:val="none" w:sz="0" w:space="0" w:color="auto"/>
                                <w:bottom w:val="none" w:sz="0" w:space="0" w:color="auto"/>
                                <w:right w:val="none" w:sz="0" w:space="0" w:color="auto"/>
                              </w:divBdr>
                              <w:divsChild>
                                <w:div w:id="48917040">
                                  <w:marLeft w:val="0"/>
                                  <w:marRight w:val="0"/>
                                  <w:marTop w:val="0"/>
                                  <w:marBottom w:val="0"/>
                                  <w:divBdr>
                                    <w:top w:val="none" w:sz="0" w:space="0" w:color="auto"/>
                                    <w:left w:val="none" w:sz="0" w:space="0" w:color="auto"/>
                                    <w:bottom w:val="none" w:sz="0" w:space="0" w:color="auto"/>
                                    <w:right w:val="none" w:sz="0" w:space="0" w:color="auto"/>
                                  </w:divBdr>
                                  <w:divsChild>
                                    <w:div w:id="1781143667">
                                      <w:marLeft w:val="60"/>
                                      <w:marRight w:val="0"/>
                                      <w:marTop w:val="0"/>
                                      <w:marBottom w:val="0"/>
                                      <w:divBdr>
                                        <w:top w:val="none" w:sz="0" w:space="0" w:color="auto"/>
                                        <w:left w:val="none" w:sz="0" w:space="0" w:color="auto"/>
                                        <w:bottom w:val="none" w:sz="0" w:space="0" w:color="auto"/>
                                        <w:right w:val="none" w:sz="0" w:space="0" w:color="auto"/>
                                      </w:divBdr>
                                      <w:divsChild>
                                        <w:div w:id="1133792995">
                                          <w:marLeft w:val="0"/>
                                          <w:marRight w:val="0"/>
                                          <w:marTop w:val="0"/>
                                          <w:marBottom w:val="0"/>
                                          <w:divBdr>
                                            <w:top w:val="none" w:sz="0" w:space="0" w:color="auto"/>
                                            <w:left w:val="none" w:sz="0" w:space="0" w:color="auto"/>
                                            <w:bottom w:val="none" w:sz="0" w:space="0" w:color="auto"/>
                                            <w:right w:val="none" w:sz="0" w:space="0" w:color="auto"/>
                                          </w:divBdr>
                                          <w:divsChild>
                                            <w:div w:id="1883515381">
                                              <w:marLeft w:val="0"/>
                                              <w:marRight w:val="0"/>
                                              <w:marTop w:val="0"/>
                                              <w:marBottom w:val="120"/>
                                              <w:divBdr>
                                                <w:top w:val="single" w:sz="6" w:space="0" w:color="F5F5F5"/>
                                                <w:left w:val="single" w:sz="6" w:space="0" w:color="F5F5F5"/>
                                                <w:bottom w:val="single" w:sz="6" w:space="0" w:color="F5F5F5"/>
                                                <w:right w:val="single" w:sz="6" w:space="0" w:color="F5F5F5"/>
                                              </w:divBdr>
                                              <w:divsChild>
                                                <w:div w:id="1472748833">
                                                  <w:marLeft w:val="0"/>
                                                  <w:marRight w:val="0"/>
                                                  <w:marTop w:val="0"/>
                                                  <w:marBottom w:val="0"/>
                                                  <w:divBdr>
                                                    <w:top w:val="none" w:sz="0" w:space="0" w:color="auto"/>
                                                    <w:left w:val="none" w:sz="0" w:space="0" w:color="auto"/>
                                                    <w:bottom w:val="none" w:sz="0" w:space="0" w:color="auto"/>
                                                    <w:right w:val="none" w:sz="0" w:space="0" w:color="auto"/>
                                                  </w:divBdr>
                                                  <w:divsChild>
                                                    <w:div w:id="586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473867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4031413">
      <w:bodyDiv w:val="1"/>
      <w:marLeft w:val="0"/>
      <w:marRight w:val="0"/>
      <w:marTop w:val="0"/>
      <w:marBottom w:val="0"/>
      <w:divBdr>
        <w:top w:val="none" w:sz="0" w:space="0" w:color="auto"/>
        <w:left w:val="none" w:sz="0" w:space="0" w:color="auto"/>
        <w:bottom w:val="none" w:sz="0" w:space="0" w:color="auto"/>
        <w:right w:val="none" w:sz="0" w:space="0" w:color="auto"/>
      </w:divBdr>
    </w:div>
    <w:div w:id="1818837302">
      <w:bodyDiv w:val="1"/>
      <w:marLeft w:val="0"/>
      <w:marRight w:val="0"/>
      <w:marTop w:val="0"/>
      <w:marBottom w:val="0"/>
      <w:divBdr>
        <w:top w:val="none" w:sz="0" w:space="0" w:color="auto"/>
        <w:left w:val="none" w:sz="0" w:space="0" w:color="auto"/>
        <w:bottom w:val="none" w:sz="0" w:space="0" w:color="auto"/>
        <w:right w:val="none" w:sz="0" w:space="0" w:color="auto"/>
      </w:divBdr>
    </w:div>
    <w:div w:id="1847137815">
      <w:bodyDiv w:val="1"/>
      <w:marLeft w:val="0"/>
      <w:marRight w:val="0"/>
      <w:marTop w:val="0"/>
      <w:marBottom w:val="0"/>
      <w:divBdr>
        <w:top w:val="none" w:sz="0" w:space="0" w:color="auto"/>
        <w:left w:val="none" w:sz="0" w:space="0" w:color="auto"/>
        <w:bottom w:val="none" w:sz="0" w:space="0" w:color="auto"/>
        <w:right w:val="none" w:sz="0" w:space="0" w:color="auto"/>
      </w:divBdr>
      <w:divsChild>
        <w:div w:id="1646012411">
          <w:marLeft w:val="0"/>
          <w:marRight w:val="0"/>
          <w:marTop w:val="0"/>
          <w:marBottom w:val="0"/>
          <w:divBdr>
            <w:top w:val="none" w:sz="0" w:space="0" w:color="auto"/>
            <w:left w:val="none" w:sz="0" w:space="0" w:color="auto"/>
            <w:bottom w:val="none" w:sz="0" w:space="0" w:color="auto"/>
            <w:right w:val="none" w:sz="0" w:space="0" w:color="auto"/>
          </w:divBdr>
          <w:divsChild>
            <w:div w:id="88166318">
              <w:marLeft w:val="0"/>
              <w:marRight w:val="0"/>
              <w:marTop w:val="0"/>
              <w:marBottom w:val="0"/>
              <w:divBdr>
                <w:top w:val="none" w:sz="0" w:space="0" w:color="auto"/>
                <w:left w:val="none" w:sz="0" w:space="0" w:color="auto"/>
                <w:bottom w:val="none" w:sz="0" w:space="0" w:color="auto"/>
                <w:right w:val="none" w:sz="0" w:space="0" w:color="auto"/>
              </w:divBdr>
              <w:divsChild>
                <w:div w:id="1094520529">
                  <w:marLeft w:val="0"/>
                  <w:marRight w:val="0"/>
                  <w:marTop w:val="0"/>
                  <w:marBottom w:val="0"/>
                  <w:divBdr>
                    <w:top w:val="none" w:sz="0" w:space="0" w:color="auto"/>
                    <w:left w:val="none" w:sz="0" w:space="0" w:color="auto"/>
                    <w:bottom w:val="none" w:sz="0" w:space="0" w:color="auto"/>
                    <w:right w:val="none" w:sz="0" w:space="0" w:color="auto"/>
                  </w:divBdr>
                  <w:divsChild>
                    <w:div w:id="99378628">
                      <w:marLeft w:val="0"/>
                      <w:marRight w:val="0"/>
                      <w:marTop w:val="0"/>
                      <w:marBottom w:val="0"/>
                      <w:divBdr>
                        <w:top w:val="none" w:sz="0" w:space="0" w:color="auto"/>
                        <w:left w:val="none" w:sz="0" w:space="0" w:color="auto"/>
                        <w:bottom w:val="none" w:sz="0" w:space="0" w:color="auto"/>
                        <w:right w:val="none" w:sz="0" w:space="0" w:color="auto"/>
                      </w:divBdr>
                      <w:divsChild>
                        <w:div w:id="441649853">
                          <w:marLeft w:val="0"/>
                          <w:marRight w:val="0"/>
                          <w:marTop w:val="0"/>
                          <w:marBottom w:val="0"/>
                          <w:divBdr>
                            <w:top w:val="none" w:sz="0" w:space="0" w:color="auto"/>
                            <w:left w:val="none" w:sz="0" w:space="0" w:color="auto"/>
                            <w:bottom w:val="none" w:sz="0" w:space="0" w:color="auto"/>
                            <w:right w:val="none" w:sz="0" w:space="0" w:color="auto"/>
                          </w:divBdr>
                          <w:divsChild>
                            <w:div w:id="1580165431">
                              <w:marLeft w:val="0"/>
                              <w:marRight w:val="0"/>
                              <w:marTop w:val="0"/>
                              <w:marBottom w:val="0"/>
                              <w:divBdr>
                                <w:top w:val="none" w:sz="0" w:space="0" w:color="auto"/>
                                <w:left w:val="none" w:sz="0" w:space="0" w:color="auto"/>
                                <w:bottom w:val="none" w:sz="0" w:space="0" w:color="auto"/>
                                <w:right w:val="none" w:sz="0" w:space="0" w:color="auto"/>
                              </w:divBdr>
                              <w:divsChild>
                                <w:div w:id="1832484822">
                                  <w:marLeft w:val="0"/>
                                  <w:marRight w:val="0"/>
                                  <w:marTop w:val="0"/>
                                  <w:marBottom w:val="0"/>
                                  <w:divBdr>
                                    <w:top w:val="none" w:sz="0" w:space="0" w:color="auto"/>
                                    <w:left w:val="none" w:sz="0" w:space="0" w:color="auto"/>
                                    <w:bottom w:val="none" w:sz="0" w:space="0" w:color="auto"/>
                                    <w:right w:val="none" w:sz="0" w:space="0" w:color="auto"/>
                                  </w:divBdr>
                                  <w:divsChild>
                                    <w:div w:id="1965501282">
                                      <w:marLeft w:val="60"/>
                                      <w:marRight w:val="0"/>
                                      <w:marTop w:val="0"/>
                                      <w:marBottom w:val="0"/>
                                      <w:divBdr>
                                        <w:top w:val="none" w:sz="0" w:space="0" w:color="auto"/>
                                        <w:left w:val="none" w:sz="0" w:space="0" w:color="auto"/>
                                        <w:bottom w:val="none" w:sz="0" w:space="0" w:color="auto"/>
                                        <w:right w:val="none" w:sz="0" w:space="0" w:color="auto"/>
                                      </w:divBdr>
                                      <w:divsChild>
                                        <w:div w:id="1106730621">
                                          <w:marLeft w:val="0"/>
                                          <w:marRight w:val="0"/>
                                          <w:marTop w:val="0"/>
                                          <w:marBottom w:val="0"/>
                                          <w:divBdr>
                                            <w:top w:val="none" w:sz="0" w:space="0" w:color="auto"/>
                                            <w:left w:val="none" w:sz="0" w:space="0" w:color="auto"/>
                                            <w:bottom w:val="none" w:sz="0" w:space="0" w:color="auto"/>
                                            <w:right w:val="none" w:sz="0" w:space="0" w:color="auto"/>
                                          </w:divBdr>
                                          <w:divsChild>
                                            <w:div w:id="740295238">
                                              <w:marLeft w:val="0"/>
                                              <w:marRight w:val="0"/>
                                              <w:marTop w:val="0"/>
                                              <w:marBottom w:val="120"/>
                                              <w:divBdr>
                                                <w:top w:val="single" w:sz="6" w:space="0" w:color="F5F5F5"/>
                                                <w:left w:val="single" w:sz="6" w:space="0" w:color="F5F5F5"/>
                                                <w:bottom w:val="single" w:sz="6" w:space="0" w:color="F5F5F5"/>
                                                <w:right w:val="single" w:sz="6" w:space="0" w:color="F5F5F5"/>
                                              </w:divBdr>
                                              <w:divsChild>
                                                <w:div w:id="2055350970">
                                                  <w:marLeft w:val="0"/>
                                                  <w:marRight w:val="0"/>
                                                  <w:marTop w:val="0"/>
                                                  <w:marBottom w:val="0"/>
                                                  <w:divBdr>
                                                    <w:top w:val="none" w:sz="0" w:space="0" w:color="auto"/>
                                                    <w:left w:val="none" w:sz="0" w:space="0" w:color="auto"/>
                                                    <w:bottom w:val="none" w:sz="0" w:space="0" w:color="auto"/>
                                                    <w:right w:val="none" w:sz="0" w:space="0" w:color="auto"/>
                                                  </w:divBdr>
                                                  <w:divsChild>
                                                    <w:div w:id="1311330566">
                                                      <w:marLeft w:val="0"/>
                                                      <w:marRight w:val="0"/>
                                                      <w:marTop w:val="0"/>
                                                      <w:marBottom w:val="0"/>
                                                      <w:divBdr>
                                                        <w:top w:val="none" w:sz="0" w:space="0" w:color="auto"/>
                                                        <w:left w:val="none" w:sz="0" w:space="0" w:color="auto"/>
                                                        <w:bottom w:val="none" w:sz="0" w:space="0" w:color="auto"/>
                                                        <w:right w:val="none" w:sz="0" w:space="0" w:color="auto"/>
                                                      </w:divBdr>
                                                    </w:div>
                                                  </w:divsChild>
                                                </w:div>
                                                <w:div w:id="2085568378">
                                                  <w:marLeft w:val="0"/>
                                                  <w:marRight w:val="0"/>
                                                  <w:marTop w:val="0"/>
                                                  <w:marBottom w:val="0"/>
                                                  <w:divBdr>
                                                    <w:top w:val="none" w:sz="0" w:space="0" w:color="auto"/>
                                                    <w:left w:val="none" w:sz="0" w:space="0" w:color="auto"/>
                                                    <w:bottom w:val="none" w:sz="0" w:space="0" w:color="auto"/>
                                                    <w:right w:val="none" w:sz="0" w:space="0" w:color="auto"/>
                                                  </w:divBdr>
                                                  <w:divsChild>
                                                    <w:div w:id="17304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497821">
      <w:bodyDiv w:val="1"/>
      <w:marLeft w:val="0"/>
      <w:marRight w:val="0"/>
      <w:marTop w:val="0"/>
      <w:marBottom w:val="0"/>
      <w:divBdr>
        <w:top w:val="none" w:sz="0" w:space="0" w:color="auto"/>
        <w:left w:val="none" w:sz="0" w:space="0" w:color="auto"/>
        <w:bottom w:val="none" w:sz="0" w:space="0" w:color="auto"/>
        <w:right w:val="none" w:sz="0" w:space="0" w:color="auto"/>
      </w:divBdr>
    </w:div>
    <w:div w:id="1963997670">
      <w:bodyDiv w:val="1"/>
      <w:marLeft w:val="0"/>
      <w:marRight w:val="0"/>
      <w:marTop w:val="0"/>
      <w:marBottom w:val="0"/>
      <w:divBdr>
        <w:top w:val="none" w:sz="0" w:space="0" w:color="auto"/>
        <w:left w:val="none" w:sz="0" w:space="0" w:color="auto"/>
        <w:bottom w:val="none" w:sz="0" w:space="0" w:color="auto"/>
        <w:right w:val="none" w:sz="0" w:space="0" w:color="auto"/>
      </w:divBdr>
    </w:div>
    <w:div w:id="1978535792">
      <w:bodyDiv w:val="1"/>
      <w:marLeft w:val="0"/>
      <w:marRight w:val="0"/>
      <w:marTop w:val="0"/>
      <w:marBottom w:val="0"/>
      <w:divBdr>
        <w:top w:val="none" w:sz="0" w:space="0" w:color="auto"/>
        <w:left w:val="none" w:sz="0" w:space="0" w:color="auto"/>
        <w:bottom w:val="none" w:sz="0" w:space="0" w:color="auto"/>
        <w:right w:val="none" w:sz="0" w:space="0" w:color="auto"/>
      </w:divBdr>
    </w:div>
    <w:div w:id="1985312050">
      <w:bodyDiv w:val="1"/>
      <w:marLeft w:val="0"/>
      <w:marRight w:val="0"/>
      <w:marTop w:val="0"/>
      <w:marBottom w:val="0"/>
      <w:divBdr>
        <w:top w:val="none" w:sz="0" w:space="0" w:color="auto"/>
        <w:left w:val="none" w:sz="0" w:space="0" w:color="auto"/>
        <w:bottom w:val="none" w:sz="0" w:space="0" w:color="auto"/>
        <w:right w:val="none" w:sz="0" w:space="0" w:color="auto"/>
      </w:divBdr>
      <w:divsChild>
        <w:div w:id="186144784">
          <w:marLeft w:val="0"/>
          <w:marRight w:val="0"/>
          <w:marTop w:val="166"/>
          <w:marBottom w:val="166"/>
          <w:divBdr>
            <w:top w:val="none" w:sz="0" w:space="0" w:color="auto"/>
            <w:left w:val="none" w:sz="0" w:space="0" w:color="auto"/>
            <w:bottom w:val="none" w:sz="0" w:space="0" w:color="auto"/>
            <w:right w:val="none" w:sz="0" w:space="0" w:color="auto"/>
          </w:divBdr>
        </w:div>
        <w:div w:id="372927384">
          <w:marLeft w:val="0"/>
          <w:marRight w:val="0"/>
          <w:marTop w:val="166"/>
          <w:marBottom w:val="166"/>
          <w:divBdr>
            <w:top w:val="none" w:sz="0" w:space="0" w:color="auto"/>
            <w:left w:val="none" w:sz="0" w:space="0" w:color="auto"/>
            <w:bottom w:val="none" w:sz="0" w:space="0" w:color="auto"/>
            <w:right w:val="none" w:sz="0" w:space="0" w:color="auto"/>
          </w:divBdr>
        </w:div>
        <w:div w:id="1019310445">
          <w:marLeft w:val="0"/>
          <w:marRight w:val="0"/>
          <w:marTop w:val="166"/>
          <w:marBottom w:val="166"/>
          <w:divBdr>
            <w:top w:val="none" w:sz="0" w:space="0" w:color="auto"/>
            <w:left w:val="none" w:sz="0" w:space="0" w:color="auto"/>
            <w:bottom w:val="none" w:sz="0" w:space="0" w:color="auto"/>
            <w:right w:val="none" w:sz="0" w:space="0" w:color="auto"/>
          </w:divBdr>
        </w:div>
        <w:div w:id="1039665481">
          <w:marLeft w:val="0"/>
          <w:marRight w:val="0"/>
          <w:marTop w:val="166"/>
          <w:marBottom w:val="166"/>
          <w:divBdr>
            <w:top w:val="none" w:sz="0" w:space="0" w:color="auto"/>
            <w:left w:val="none" w:sz="0" w:space="0" w:color="auto"/>
            <w:bottom w:val="none" w:sz="0" w:space="0" w:color="auto"/>
            <w:right w:val="none" w:sz="0" w:space="0" w:color="auto"/>
          </w:divBdr>
        </w:div>
      </w:divsChild>
    </w:div>
    <w:div w:id="2005162703">
      <w:bodyDiv w:val="1"/>
      <w:marLeft w:val="0"/>
      <w:marRight w:val="0"/>
      <w:marTop w:val="0"/>
      <w:marBottom w:val="0"/>
      <w:divBdr>
        <w:top w:val="none" w:sz="0" w:space="0" w:color="auto"/>
        <w:left w:val="none" w:sz="0" w:space="0" w:color="auto"/>
        <w:bottom w:val="none" w:sz="0" w:space="0" w:color="auto"/>
        <w:right w:val="none" w:sz="0" w:space="0" w:color="auto"/>
      </w:divBdr>
    </w:div>
    <w:div w:id="2008824517">
      <w:bodyDiv w:val="1"/>
      <w:marLeft w:val="0"/>
      <w:marRight w:val="0"/>
      <w:marTop w:val="0"/>
      <w:marBottom w:val="0"/>
      <w:divBdr>
        <w:top w:val="none" w:sz="0" w:space="0" w:color="auto"/>
        <w:left w:val="none" w:sz="0" w:space="0" w:color="auto"/>
        <w:bottom w:val="none" w:sz="0" w:space="0" w:color="auto"/>
        <w:right w:val="none" w:sz="0" w:space="0" w:color="auto"/>
      </w:divBdr>
    </w:div>
    <w:div w:id="2062633508">
      <w:bodyDiv w:val="1"/>
      <w:marLeft w:val="0"/>
      <w:marRight w:val="0"/>
      <w:marTop w:val="0"/>
      <w:marBottom w:val="0"/>
      <w:divBdr>
        <w:top w:val="none" w:sz="0" w:space="0" w:color="auto"/>
        <w:left w:val="none" w:sz="0" w:space="0" w:color="auto"/>
        <w:bottom w:val="none" w:sz="0" w:space="0" w:color="auto"/>
        <w:right w:val="none" w:sz="0" w:space="0" w:color="auto"/>
      </w:divBdr>
    </w:div>
    <w:div w:id="2114863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joomla.corteidh.or.cr:8080/joomla/es/casos-contenciosos/38-jurisprudencia/192-corte-idh-caso-velasquez-rodriguez-vs-honduras-fondo-sentencia-de-29-de-julio-de-1988-serie-c-no-4" TargetMode="External"/><Relationship Id="rId13" Type="http://schemas.openxmlformats.org/officeDocument/2006/relationships/hyperlink" Target="http://joomla.corteidh.or.cr:8080/joomla/es/casos-contenciosos/38-jurisprudencia/2108-corte-idh-caso-luna-lopez-vs-honduras-fondo-reparaciones-y-costas-sentencia-de-10-de-octubre-de-2013-serie-c-no-269" TargetMode="External"/><Relationship Id="rId3" Type="http://schemas.openxmlformats.org/officeDocument/2006/relationships/hyperlink" Target="https://cidh.oas.org/annualrep/2009port/Brasil12310port.htm" TargetMode="External"/><Relationship Id="rId7"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12" Type="http://schemas.openxmlformats.org/officeDocument/2006/relationships/hyperlink" Target="http://joomla.corteidh.or.cr:8080/joomla/es/casos-contenciosos/38-jurisprudencia/1910-corte-idh-caso-uzcategui-y-otros-vs-venezuela-fondo-y-reparaciones-sentencia-de-3-de-septiembre-de-2012-serie-c-no-249" TargetMode="External"/><Relationship Id="rId2" Type="http://schemas.openxmlformats.org/officeDocument/2006/relationships/hyperlink" Target="https://cidh.oas.org/annualrep/2009port/Brasil12310port.htm" TargetMode="External"/><Relationship Id="rId1" Type="http://schemas.openxmlformats.org/officeDocument/2006/relationships/hyperlink" Target="https://cidh.oas.org/annualrep/2009port/Brasil12310port.htm" TargetMode="External"/><Relationship Id="rId6" Type="http://schemas.openxmlformats.org/officeDocument/2006/relationships/hyperlink" Target="http://joomla.corteidh.or.cr:8080/joomla/es/jurisprudencia-oc-2/38-jurisprudencia/728-corte-idh-caso-baldeon-garcia-vs-peru-fondo-reparaciones-y-costas-sentencia-de-6-de-abril-de-2006-serie-c-no-147" TargetMode="External"/><Relationship Id="rId11" Type="http://schemas.openxmlformats.org/officeDocument/2006/relationships/hyperlink" Target="http://joomla.corteidh.or.cr:8080/joomla/es/casos-contenciosos/38-jurisprudencia/1572-corte-idh-caso-gonzalez-medina-y-familiares-vs-republica-dominicana-excepciones-preliminares-fondo-reparaciones-y-costas-sentencia-de-27-de-febrero-de-2012-serie-c-no-240" TargetMode="External"/><Relationship Id="rId5" Type="http://schemas.openxmlformats.org/officeDocument/2006/relationships/hyperlink" Target="http://www.cnv.gov.br/outros-destaques/134-comissao-nacional-da-verdade-recebe-membros-de-comissao-camponesa-da-verdade.html" TargetMode="External"/><Relationship Id="rId10" Type="http://schemas.openxmlformats.org/officeDocument/2006/relationships/hyperlink" Target="http://joomla.corteidh.or.cr:8080/joomla/es/casos-contenciosos/38-jurisprudencia/740-corte-idh-caso-almonacid-arellano-y-otros-vs-chile-excepciones-preliminares-fondo-reparaciones-y-costas-sentencia-de-26-de-septiembre-de-2006-serie-c-no-154" TargetMode="External"/><Relationship Id="rId4" Type="http://schemas.openxmlformats.org/officeDocument/2006/relationships/hyperlink" Target="https://cidh.oas.org/annualrep/2009port/Brasil12310port.htm" TargetMode="External"/><Relationship Id="rId9" Type="http://schemas.openxmlformats.org/officeDocument/2006/relationships/hyperlink" Target="http://joomla.corteidh.or.cr:8080/joomla/es/casos-contenciosos/38-jurisprudencia/698-corte-idh-caso-gomez-palomino-vs-peru-fondo-reparaciones-y-costas-sentencia-de-22-de-noviembre-de-2005-serie-c-no-13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33325-AA63-4500-B05E-5DF340B18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12420</Words>
  <Characters>70798</Characters>
  <Application>Microsoft Office Word</Application>
  <DocSecurity>0</DocSecurity>
  <Lines>589</Lines>
  <Paragraphs>166</Paragraphs>
  <ScaleCrop>false</ScaleCrop>
  <Company/>
  <LinksUpToDate>false</LinksUpToDate>
  <CharactersWithSpaces>83052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2021-02-10T14:03:00Z</dcterms:created>
  <dcterms:modified xsi:type="dcterms:W3CDTF">2021-02-10T14:03:00Z</dcterms:modified>
</cp:coreProperties>
</file>