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083E" w14:textId="77777777" w:rsidR="00040C3A" w:rsidRPr="005D6E61" w:rsidRDefault="00B4717D" w:rsidP="00627C9F">
      <w:pPr>
        <w:jc w:val="both"/>
        <w:rPr>
          <w:rFonts w:asciiTheme="majorHAnsi" w:hAnsiTheme="majorHAnsi" w:cs="Univers"/>
          <w:b/>
          <w:bCs/>
          <w:sz w:val="22"/>
          <w:szCs w:val="22"/>
          <w:lang w:val="es-ES_tradnl"/>
        </w:rPr>
      </w:pPr>
      <w:r w:rsidRPr="005D6E61">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9FBBEB9" wp14:editId="29D09DD8">
                <wp:simplePos x="0" y="0"/>
                <wp:positionH relativeFrom="column">
                  <wp:posOffset>-384783</wp:posOffset>
                </wp:positionH>
                <wp:positionV relativeFrom="paragraph">
                  <wp:posOffset>-376996</wp:posOffset>
                </wp:positionV>
                <wp:extent cx="1409700" cy="8911590"/>
                <wp:effectExtent l="0" t="0" r="0" b="3810"/>
                <wp:wrapNone/>
                <wp:docPr id="2" name="Rectangle 2"/>
                <wp:cNvGraphicFramePr/>
                <a:graphic xmlns:a="http://schemas.openxmlformats.org/drawingml/2006/main">
                  <a:graphicData uri="http://schemas.microsoft.com/office/word/2010/wordprocessingShape">
                    <wps:wsp>
                      <wps:cNvSpPr/>
                      <wps:spPr>
                        <a:xfrm>
                          <a:off x="0" y="0"/>
                          <a:ext cx="1409700" cy="891159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35C77" id="Rectangle 2" o:spid="_x0000_s1026" style="position:absolute;margin-left:-30.3pt;margin-top:-29.7pt;width:111pt;height:70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" fillcolor="#ffc000" stroked="f" strokeweight="2pt"/>
            </w:pict>
          </mc:Fallback>
        </mc:AlternateContent>
      </w:r>
      <w:r w:rsidR="003E6CA1" w:rsidRPr="005D6E6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3442AC1" wp14:editId="29290C4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C93AC7" w14:textId="77777777" w:rsidR="00AA34B1" w:rsidRDefault="00AA34B1" w:rsidP="00AE5488">
                            <w:r>
                              <w:rPr>
                                <w:noProof/>
                              </w:rPr>
                              <w:drawing>
                                <wp:inline distT="0" distB="0" distL="0" distR="0" wp14:anchorId="1C2082EB" wp14:editId="264B3110">
                                  <wp:extent cx="2647666" cy="509676"/>
                                  <wp:effectExtent l="0" t="0" r="635" b="5080"/>
                                  <wp:docPr id="14" name="Picture 1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42AC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CC93AC7" w14:textId="77777777" w:rsidR="00AA34B1" w:rsidRDefault="00AA34B1" w:rsidP="00AE5488">
                      <w:r>
                        <w:rPr>
                          <w:noProof/>
                        </w:rPr>
                        <w:drawing>
                          <wp:inline distT="0" distB="0" distL="0" distR="0" wp14:anchorId="1C2082EB" wp14:editId="264B3110">
                            <wp:extent cx="2647666" cy="509676"/>
                            <wp:effectExtent l="0" t="0" r="635" b="5080"/>
                            <wp:docPr id="14" name="Picture 1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55C71E32" w14:textId="77777777" w:rsidR="00040C3A" w:rsidRPr="005D6E61" w:rsidRDefault="00040C3A" w:rsidP="00040C3A">
      <w:pPr>
        <w:tabs>
          <w:tab w:val="center" w:pos="5400"/>
        </w:tabs>
        <w:suppressAutoHyphens/>
        <w:jc w:val="both"/>
        <w:rPr>
          <w:rFonts w:asciiTheme="majorHAnsi" w:hAnsiTheme="majorHAnsi"/>
          <w:sz w:val="22"/>
          <w:szCs w:val="22"/>
          <w:lang w:val="es-ES"/>
        </w:rPr>
      </w:pPr>
    </w:p>
    <w:p w14:paraId="52DE3EAD" w14:textId="77777777" w:rsidR="00040C3A" w:rsidRPr="005D6E61" w:rsidRDefault="00040C3A" w:rsidP="00040C3A">
      <w:pPr>
        <w:tabs>
          <w:tab w:val="center" w:pos="5400"/>
        </w:tabs>
        <w:suppressAutoHyphens/>
        <w:jc w:val="both"/>
        <w:rPr>
          <w:rFonts w:asciiTheme="majorHAnsi" w:hAnsiTheme="majorHAnsi"/>
          <w:sz w:val="22"/>
          <w:szCs w:val="22"/>
          <w:lang w:val="es-ES"/>
        </w:rPr>
      </w:pPr>
    </w:p>
    <w:p w14:paraId="33175CDF" w14:textId="77777777" w:rsidR="005128E4" w:rsidRPr="005D6E61" w:rsidRDefault="005128E4" w:rsidP="00040C3A">
      <w:pPr>
        <w:tabs>
          <w:tab w:val="center" w:pos="5400"/>
        </w:tabs>
        <w:suppressAutoHyphens/>
        <w:rPr>
          <w:rFonts w:asciiTheme="majorHAnsi" w:hAnsiTheme="majorHAnsi"/>
          <w:sz w:val="22"/>
          <w:szCs w:val="22"/>
          <w:lang w:val="es-ES_tradnl"/>
        </w:rPr>
      </w:pPr>
    </w:p>
    <w:p w14:paraId="2252B1AD" w14:textId="77777777" w:rsidR="005128E4" w:rsidRPr="005D6E61" w:rsidRDefault="005128E4" w:rsidP="00040C3A">
      <w:pPr>
        <w:tabs>
          <w:tab w:val="center" w:pos="5400"/>
        </w:tabs>
        <w:suppressAutoHyphens/>
        <w:rPr>
          <w:rFonts w:asciiTheme="majorHAnsi" w:hAnsiTheme="majorHAnsi"/>
          <w:sz w:val="22"/>
          <w:szCs w:val="22"/>
          <w:lang w:val="es-ES_tradnl"/>
        </w:rPr>
      </w:pPr>
    </w:p>
    <w:p w14:paraId="59770B71" w14:textId="77777777" w:rsidR="005128E4" w:rsidRPr="00AF2504" w:rsidRDefault="005128E4" w:rsidP="00040C3A">
      <w:pPr>
        <w:tabs>
          <w:tab w:val="center" w:pos="5400"/>
        </w:tabs>
        <w:suppressAutoHyphens/>
        <w:rPr>
          <w:rFonts w:asciiTheme="majorHAnsi" w:hAnsiTheme="majorHAnsi"/>
          <w:sz w:val="22"/>
          <w:szCs w:val="22"/>
          <w:lang w:val="es-ES"/>
        </w:rPr>
      </w:pPr>
    </w:p>
    <w:p w14:paraId="46FEE6D6" w14:textId="77777777" w:rsidR="00040C3A" w:rsidRPr="005D6E61" w:rsidRDefault="00040C3A" w:rsidP="005128E4">
      <w:pPr>
        <w:tabs>
          <w:tab w:val="center" w:pos="5400"/>
        </w:tabs>
        <w:suppressAutoHyphens/>
        <w:jc w:val="center"/>
        <w:rPr>
          <w:rFonts w:asciiTheme="majorHAnsi" w:hAnsiTheme="majorHAnsi"/>
          <w:sz w:val="22"/>
          <w:szCs w:val="22"/>
          <w:lang w:val="es-ES_tradnl"/>
        </w:rPr>
      </w:pPr>
    </w:p>
    <w:p w14:paraId="3BEA7217" w14:textId="77777777" w:rsidR="00040C3A" w:rsidRPr="005D6E61" w:rsidRDefault="00040C3A" w:rsidP="005128E4">
      <w:pPr>
        <w:tabs>
          <w:tab w:val="center" w:pos="5400"/>
        </w:tabs>
        <w:suppressAutoHyphens/>
        <w:jc w:val="center"/>
        <w:rPr>
          <w:rFonts w:asciiTheme="majorHAnsi" w:hAnsiTheme="majorHAnsi"/>
          <w:sz w:val="22"/>
          <w:szCs w:val="22"/>
          <w:lang w:val="es-ES_tradnl"/>
        </w:rPr>
      </w:pPr>
    </w:p>
    <w:p w14:paraId="2C27A7BC" w14:textId="77777777" w:rsidR="005B52B0" w:rsidRPr="005D6E61" w:rsidRDefault="005B52B0" w:rsidP="005128E4">
      <w:pPr>
        <w:tabs>
          <w:tab w:val="center" w:pos="5400"/>
        </w:tabs>
        <w:suppressAutoHyphens/>
        <w:jc w:val="center"/>
        <w:rPr>
          <w:rFonts w:asciiTheme="majorHAnsi" w:hAnsiTheme="majorHAnsi"/>
          <w:sz w:val="22"/>
          <w:szCs w:val="22"/>
          <w:lang w:val="es-ES_tradnl"/>
        </w:rPr>
      </w:pPr>
    </w:p>
    <w:p w14:paraId="085AA6CD" w14:textId="77777777" w:rsidR="005B52B0" w:rsidRPr="005D6E61" w:rsidRDefault="005B52B0" w:rsidP="005128E4">
      <w:pPr>
        <w:tabs>
          <w:tab w:val="center" w:pos="5400"/>
        </w:tabs>
        <w:suppressAutoHyphens/>
        <w:jc w:val="center"/>
        <w:rPr>
          <w:rFonts w:asciiTheme="majorHAnsi" w:hAnsiTheme="majorHAnsi"/>
          <w:sz w:val="22"/>
          <w:szCs w:val="22"/>
          <w:lang w:val="es-ES_tradnl"/>
        </w:rPr>
      </w:pPr>
    </w:p>
    <w:p w14:paraId="18BDAF3D" w14:textId="77777777" w:rsidR="005B52B0" w:rsidRPr="005D6E61" w:rsidRDefault="00B4717D" w:rsidP="005128E4">
      <w:pPr>
        <w:tabs>
          <w:tab w:val="center" w:pos="5400"/>
        </w:tabs>
        <w:suppressAutoHyphens/>
        <w:jc w:val="center"/>
        <w:rPr>
          <w:rFonts w:asciiTheme="majorHAnsi" w:hAnsiTheme="majorHAnsi"/>
          <w:sz w:val="22"/>
          <w:szCs w:val="22"/>
          <w:lang w:val="es-ES_tradnl"/>
        </w:rPr>
      </w:pPr>
      <w:r w:rsidRPr="005D6E6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C9A5D0" wp14:editId="20EAED1D">
                <wp:simplePos x="0" y="0"/>
                <wp:positionH relativeFrom="column">
                  <wp:posOffset>-379095</wp:posOffset>
                </wp:positionH>
                <wp:positionV relativeFrom="paragraph">
                  <wp:posOffset>19685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A2D2D" w14:textId="77777777" w:rsidR="00AA34B1" w:rsidRPr="00863474" w:rsidRDefault="00AA34B1" w:rsidP="007A5817">
                            <w:pPr>
                              <w:spacing w:line="276" w:lineRule="auto"/>
                              <w:jc w:val="right"/>
                              <w:rPr>
                                <w:rFonts w:asciiTheme="minorHAnsi" w:hAnsiTheme="minorHAnsi"/>
                                <w:color w:val="FFFFFF" w:themeColor="background1"/>
                                <w:sz w:val="22"/>
                                <w:lang w:val="pt-BR"/>
                              </w:rPr>
                            </w:pPr>
                            <w:r w:rsidRPr="00863474">
                              <w:rPr>
                                <w:rFonts w:asciiTheme="minorHAnsi" w:hAnsiTheme="minorHAnsi"/>
                                <w:color w:val="FFFFFF" w:themeColor="background1"/>
                                <w:sz w:val="22"/>
                                <w:lang w:val="pt-BR"/>
                              </w:rPr>
                              <w:t>OEA/Ser.L/V/II.16</w:t>
                            </w:r>
                            <w:r>
                              <w:rPr>
                                <w:rFonts w:asciiTheme="minorHAnsi" w:hAnsiTheme="minorHAnsi"/>
                                <w:color w:val="FFFFFF" w:themeColor="background1"/>
                                <w:sz w:val="22"/>
                                <w:lang w:val="pt-BR"/>
                              </w:rPr>
                              <w:t>9</w:t>
                            </w:r>
                          </w:p>
                          <w:p w14:paraId="70140929" w14:textId="77777777" w:rsidR="00AA34B1" w:rsidRPr="00863474" w:rsidRDefault="00AA34B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137</w:t>
                            </w:r>
                          </w:p>
                          <w:p w14:paraId="4BB066BA" w14:textId="77777777" w:rsidR="00AA34B1" w:rsidRPr="00863474" w:rsidRDefault="00AA34B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5 outubro 2018</w:t>
                            </w:r>
                          </w:p>
                          <w:p w14:paraId="4961B8B9" w14:textId="77777777" w:rsidR="00AA34B1" w:rsidRPr="00863474" w:rsidRDefault="00AA34B1" w:rsidP="007A5817">
                            <w:pPr>
                              <w:spacing w:line="276" w:lineRule="auto"/>
                              <w:jc w:val="right"/>
                              <w:rPr>
                                <w:rFonts w:asciiTheme="minorHAnsi" w:hAnsiTheme="minorHAnsi"/>
                                <w:color w:val="FFFFFF" w:themeColor="background1"/>
                                <w:sz w:val="22"/>
                                <w:lang w:val="pt-BR"/>
                              </w:rPr>
                            </w:pPr>
                            <w:r w:rsidRPr="00863474">
                              <w:rPr>
                                <w:rFonts w:asciiTheme="minorHAnsi" w:hAnsiTheme="minorHAnsi"/>
                                <w:color w:val="FFFFFF" w:themeColor="background1"/>
                                <w:sz w:val="22"/>
                                <w:lang w:val="pt-BR"/>
                              </w:rPr>
                              <w:t>Original: espanhol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9A5D0" id="Text Box 8" o:spid="_x0000_s1027" type="#_x0000_t202" style="position:absolute;left:0;text-align:left;margin-left:-29.85pt;margin-top:1.5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" filled="f" stroked="f" strokeweight=".5pt">
                <v:textbox>
                  <w:txbxContent>
                    <w:p w14:paraId="5F2A2D2D" w14:textId="77777777" w:rsidR="00AA34B1" w:rsidRPr="00863474" w:rsidRDefault="00AA34B1" w:rsidP="007A5817">
                      <w:pPr>
                        <w:spacing w:line="276" w:lineRule="auto"/>
                        <w:jc w:val="right"/>
                        <w:rPr>
                          <w:rFonts w:asciiTheme="minorHAnsi" w:hAnsiTheme="minorHAnsi"/>
                          <w:color w:val="FFFFFF" w:themeColor="background1"/>
                          <w:sz w:val="22"/>
                          <w:lang w:val="pt-BR"/>
                        </w:rPr>
                      </w:pPr>
                      <w:r w:rsidRPr="00863474">
                        <w:rPr>
                          <w:rFonts w:asciiTheme="minorHAnsi" w:hAnsiTheme="minorHAnsi"/>
                          <w:color w:val="FFFFFF" w:themeColor="background1"/>
                          <w:sz w:val="22"/>
                          <w:lang w:val="pt-BR"/>
                        </w:rPr>
                        <w:t>OEA/Ser.L/V/II.16</w:t>
                      </w:r>
                      <w:r>
                        <w:rPr>
                          <w:rFonts w:asciiTheme="minorHAnsi" w:hAnsiTheme="minorHAnsi"/>
                          <w:color w:val="FFFFFF" w:themeColor="background1"/>
                          <w:sz w:val="22"/>
                          <w:lang w:val="pt-BR"/>
                        </w:rPr>
                        <w:t>9</w:t>
                      </w:r>
                    </w:p>
                    <w:p w14:paraId="70140929" w14:textId="77777777" w:rsidR="00AA34B1" w:rsidRPr="00863474" w:rsidRDefault="00AA34B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137</w:t>
                      </w:r>
                    </w:p>
                    <w:p w14:paraId="4BB066BA" w14:textId="77777777" w:rsidR="00AA34B1" w:rsidRPr="00863474" w:rsidRDefault="00AA34B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5 outubro 2018</w:t>
                      </w:r>
                    </w:p>
                    <w:p w14:paraId="4961B8B9" w14:textId="77777777" w:rsidR="00AA34B1" w:rsidRPr="00863474" w:rsidRDefault="00AA34B1" w:rsidP="007A5817">
                      <w:pPr>
                        <w:spacing w:line="276" w:lineRule="auto"/>
                        <w:jc w:val="right"/>
                        <w:rPr>
                          <w:rFonts w:asciiTheme="minorHAnsi" w:hAnsiTheme="minorHAnsi"/>
                          <w:color w:val="FFFFFF" w:themeColor="background1"/>
                          <w:sz w:val="22"/>
                          <w:lang w:val="pt-BR"/>
                        </w:rPr>
                      </w:pPr>
                      <w:r w:rsidRPr="00863474">
                        <w:rPr>
                          <w:rFonts w:asciiTheme="minorHAnsi" w:hAnsiTheme="minorHAnsi"/>
                          <w:color w:val="FFFFFF" w:themeColor="background1"/>
                          <w:sz w:val="22"/>
                          <w:lang w:val="pt-BR"/>
                        </w:rPr>
                        <w:t>Original: espanhol</w:t>
                      </w:r>
                    </w:p>
                  </w:txbxContent>
                </v:textbox>
              </v:shape>
            </w:pict>
          </mc:Fallback>
        </mc:AlternateContent>
      </w:r>
    </w:p>
    <w:p w14:paraId="3FF86371" w14:textId="77777777" w:rsidR="00040C3A" w:rsidRPr="005D6E61" w:rsidRDefault="00040C3A" w:rsidP="00040C3A">
      <w:pPr>
        <w:tabs>
          <w:tab w:val="center" w:pos="5400"/>
        </w:tabs>
        <w:suppressAutoHyphens/>
        <w:jc w:val="center"/>
        <w:rPr>
          <w:rFonts w:asciiTheme="majorHAnsi" w:hAnsiTheme="majorHAnsi"/>
          <w:sz w:val="22"/>
          <w:szCs w:val="22"/>
          <w:lang w:val="es-ES_tradnl"/>
        </w:rPr>
      </w:pPr>
    </w:p>
    <w:p w14:paraId="370BCD4E" w14:textId="77777777" w:rsidR="00040C3A" w:rsidRPr="005D6E61" w:rsidRDefault="00040C3A" w:rsidP="00040C3A">
      <w:pPr>
        <w:tabs>
          <w:tab w:val="center" w:pos="5400"/>
        </w:tabs>
        <w:suppressAutoHyphens/>
        <w:jc w:val="center"/>
        <w:rPr>
          <w:rFonts w:asciiTheme="majorHAnsi" w:hAnsiTheme="majorHAnsi"/>
          <w:sz w:val="22"/>
          <w:szCs w:val="22"/>
          <w:lang w:val="es-ES_tradnl"/>
        </w:rPr>
      </w:pPr>
    </w:p>
    <w:p w14:paraId="5ACFE859" w14:textId="77777777" w:rsidR="00040C3A" w:rsidRPr="005D6E61" w:rsidRDefault="003D3BC2" w:rsidP="00040C3A">
      <w:pPr>
        <w:tabs>
          <w:tab w:val="center" w:pos="5400"/>
        </w:tabs>
        <w:suppressAutoHyphens/>
        <w:jc w:val="center"/>
        <w:rPr>
          <w:rFonts w:asciiTheme="majorHAnsi" w:hAnsiTheme="majorHAnsi"/>
          <w:sz w:val="22"/>
          <w:szCs w:val="22"/>
          <w:lang w:val="es-ES_tradnl"/>
        </w:rPr>
      </w:pPr>
      <w:r w:rsidRPr="005D6E6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F972F20" wp14:editId="15F7C44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090C0" w14:textId="77777777" w:rsidR="00AA34B1" w:rsidRPr="009309B8" w:rsidRDefault="00AA34B1" w:rsidP="00997BC5">
                            <w:pPr>
                              <w:spacing w:line="276" w:lineRule="auto"/>
                              <w:rPr>
                                <w:rFonts w:asciiTheme="majorHAnsi" w:hAnsiTheme="majorHAnsi" w:cs="Arial"/>
                                <w:b/>
                                <w:bCs/>
                                <w:color w:val="0D0D0D" w:themeColor="text1" w:themeTint="F2"/>
                                <w:sz w:val="36"/>
                                <w:szCs w:val="22"/>
                                <w:lang w:val="pt-BR"/>
                              </w:rPr>
                            </w:pPr>
                            <w:r>
                              <w:rPr>
                                <w:rFonts w:asciiTheme="majorHAnsi" w:hAnsiTheme="majorHAnsi" w:cs="Arial"/>
                                <w:b/>
                                <w:bCs/>
                                <w:color w:val="0D0D0D" w:themeColor="text1" w:themeTint="F2"/>
                                <w:sz w:val="36"/>
                                <w:szCs w:val="22"/>
                                <w:lang w:val="pt-BR"/>
                              </w:rPr>
                              <w:t>RELATÓRIO</w:t>
                            </w:r>
                            <w:r w:rsidRPr="0071368B">
                              <w:rPr>
                                <w:rFonts w:asciiTheme="majorHAnsi" w:hAnsiTheme="majorHAnsi" w:cs="Arial"/>
                                <w:b/>
                                <w:bCs/>
                                <w:color w:val="0D0D0D" w:themeColor="text1" w:themeTint="F2"/>
                                <w:sz w:val="36"/>
                                <w:szCs w:val="22"/>
                                <w:lang w:val="pt-BR"/>
                              </w:rPr>
                              <w:t xml:space="preserve"> </w:t>
                            </w:r>
                            <w:r w:rsidRPr="0071368B">
                              <w:rPr>
                                <w:rFonts w:asciiTheme="majorHAnsi" w:hAnsiTheme="majorHAnsi" w:cs="Arial"/>
                                <w:b/>
                                <w:bCs/>
                                <w:color w:val="0D0D0D" w:themeColor="text1" w:themeTint="F2"/>
                                <w:sz w:val="36"/>
                                <w:szCs w:val="40"/>
                                <w:lang w:val="pt-BR"/>
                              </w:rPr>
                              <w:t>N</w:t>
                            </w:r>
                            <w:r>
                              <w:rPr>
                                <w:rFonts w:asciiTheme="majorHAnsi" w:hAnsiTheme="majorHAnsi" w:cs="Arial"/>
                                <w:b/>
                                <w:bCs/>
                                <w:color w:val="0D0D0D" w:themeColor="text1" w:themeTint="F2"/>
                                <w:sz w:val="36"/>
                                <w:szCs w:val="40"/>
                                <w:lang w:val="pt-BR"/>
                              </w:rPr>
                              <w:t>º</w:t>
                            </w:r>
                            <w:r w:rsidRPr="0071368B">
                              <w:rPr>
                                <w:rFonts w:asciiTheme="majorHAnsi" w:hAnsiTheme="majorHAnsi" w:cs="Arial"/>
                                <w:b/>
                                <w:bCs/>
                                <w:color w:val="0D0D0D" w:themeColor="text1" w:themeTint="F2"/>
                                <w:sz w:val="36"/>
                                <w:szCs w:val="22"/>
                                <w:lang w:val="pt-BR"/>
                              </w:rPr>
                              <w:t xml:space="preserve"> </w:t>
                            </w:r>
                            <w:r w:rsidR="00CA4DB2">
                              <w:rPr>
                                <w:rFonts w:asciiTheme="majorHAnsi" w:hAnsiTheme="majorHAnsi" w:cs="Arial"/>
                                <w:b/>
                                <w:bCs/>
                                <w:color w:val="0D0D0D" w:themeColor="text1" w:themeTint="F2"/>
                                <w:sz w:val="36"/>
                                <w:szCs w:val="22"/>
                                <w:lang w:val="pt-BR"/>
                              </w:rPr>
                              <w:t>31</w:t>
                            </w:r>
                            <w:r>
                              <w:rPr>
                                <w:rFonts w:asciiTheme="majorHAnsi" w:hAnsiTheme="majorHAnsi" w:cs="Arial"/>
                                <w:b/>
                                <w:bCs/>
                                <w:color w:val="0D0D0D" w:themeColor="text1" w:themeTint="F2"/>
                                <w:sz w:val="36"/>
                                <w:szCs w:val="22"/>
                                <w:lang w:val="pt-BR"/>
                              </w:rPr>
                              <w:t>/</w:t>
                            </w:r>
                            <w:r w:rsidR="00CA4DB2">
                              <w:rPr>
                                <w:rFonts w:asciiTheme="majorHAnsi" w:hAnsiTheme="majorHAnsi" w:cs="Arial"/>
                                <w:b/>
                                <w:bCs/>
                                <w:color w:val="0D0D0D" w:themeColor="text1" w:themeTint="F2"/>
                                <w:sz w:val="36"/>
                                <w:szCs w:val="22"/>
                                <w:lang w:val="pt-BR"/>
                              </w:rPr>
                              <w:t>20</w:t>
                            </w:r>
                          </w:p>
                          <w:p w14:paraId="69FDC0E8" w14:textId="77777777" w:rsidR="00AA34B1" w:rsidRPr="0071368B" w:rsidRDefault="00AA34B1" w:rsidP="00997BC5">
                            <w:pPr>
                              <w:spacing w:line="276" w:lineRule="auto"/>
                              <w:rPr>
                                <w:rFonts w:asciiTheme="majorHAnsi" w:hAnsiTheme="majorHAnsi" w:cs="Arial"/>
                                <w:b/>
                                <w:color w:val="0D0D0D" w:themeColor="text1" w:themeTint="F2"/>
                                <w:sz w:val="36"/>
                                <w:szCs w:val="22"/>
                                <w:lang w:val="pt-BR"/>
                              </w:rPr>
                            </w:pPr>
                            <w:r w:rsidRPr="0071368B">
                              <w:rPr>
                                <w:rFonts w:asciiTheme="majorHAnsi" w:hAnsiTheme="majorHAnsi" w:cs="Arial"/>
                                <w:b/>
                                <w:color w:val="0D0D0D" w:themeColor="text1" w:themeTint="F2"/>
                                <w:sz w:val="36"/>
                                <w:szCs w:val="22"/>
                                <w:lang w:val="pt-BR"/>
                              </w:rPr>
                              <w:t>CASO 12.332</w:t>
                            </w:r>
                          </w:p>
                          <w:p w14:paraId="46DE7619" w14:textId="77777777" w:rsidR="00AA34B1" w:rsidRPr="00FA22CF" w:rsidRDefault="00AA34B1" w:rsidP="000A27E1">
                            <w:pPr>
                              <w:pStyle w:val="HTMLPreformatted"/>
                              <w:shd w:val="clear" w:color="auto" w:fill="F8F9FA"/>
                              <w:spacing w:line="540" w:lineRule="atLeast"/>
                              <w:rPr>
                                <w:rFonts w:asciiTheme="majorHAnsi" w:hAnsiTheme="majorHAnsi"/>
                                <w:color w:val="222222"/>
                                <w:sz w:val="24"/>
                                <w:szCs w:val="24"/>
                                <w:lang w:val="pt-BR"/>
                              </w:rPr>
                            </w:pPr>
                            <w:r w:rsidRPr="000A27E1">
                              <w:rPr>
                                <w:rFonts w:asciiTheme="majorHAnsi" w:hAnsiTheme="majorHAnsi" w:cs="Arial"/>
                                <w:color w:val="0D0D0D" w:themeColor="text1" w:themeTint="F2"/>
                                <w:sz w:val="24"/>
                                <w:szCs w:val="24"/>
                                <w:lang w:val="pt-BR"/>
                              </w:rPr>
                              <w:t>RELATÓRIO DE MÉRITO (</w:t>
                            </w:r>
                            <w:r w:rsidRPr="000A27E1">
                              <w:rPr>
                                <w:rFonts w:asciiTheme="majorHAnsi" w:hAnsiTheme="majorHAnsi"/>
                                <w:caps/>
                                <w:color w:val="222222"/>
                                <w:sz w:val="24"/>
                                <w:szCs w:val="24"/>
                                <w:lang w:val="pt-PT"/>
                              </w:rPr>
                              <w:t>Publicação</w:t>
                            </w:r>
                            <w:r w:rsidRPr="000A27E1">
                              <w:rPr>
                                <w:rFonts w:asciiTheme="majorHAnsi" w:hAnsiTheme="majorHAnsi" w:cs="Arial"/>
                                <w:color w:val="0D0D0D" w:themeColor="text1" w:themeTint="F2"/>
                                <w:sz w:val="24"/>
                                <w:szCs w:val="24"/>
                                <w:lang w:val="pt-BR"/>
                              </w:rPr>
                              <w:t>)</w:t>
                            </w:r>
                          </w:p>
                          <w:p w14:paraId="5F65738C" w14:textId="77777777" w:rsidR="00AA34B1" w:rsidRPr="0071368B" w:rsidRDefault="00AA34B1" w:rsidP="00997BC5">
                            <w:pPr>
                              <w:spacing w:line="276" w:lineRule="auto"/>
                              <w:rPr>
                                <w:rFonts w:asciiTheme="majorHAnsi" w:hAnsiTheme="majorHAnsi" w:cs="Arial"/>
                                <w:color w:val="0D0D0D" w:themeColor="text1" w:themeTint="F2"/>
                                <w:szCs w:val="22"/>
                                <w:lang w:val="pt-BR"/>
                              </w:rPr>
                            </w:pPr>
                            <w:bookmarkStart w:id="0" w:name="_ftnref1"/>
                          </w:p>
                          <w:p w14:paraId="520EB33A" w14:textId="77777777" w:rsidR="00AA34B1" w:rsidRPr="0071368B" w:rsidRDefault="00AA34B1" w:rsidP="00997BC5">
                            <w:pPr>
                              <w:spacing w:line="276" w:lineRule="auto"/>
                              <w:rPr>
                                <w:rFonts w:asciiTheme="majorHAnsi" w:hAnsiTheme="majorHAnsi" w:cs="Arial"/>
                                <w:color w:val="0D0D0D" w:themeColor="text1" w:themeTint="F2"/>
                                <w:szCs w:val="22"/>
                                <w:lang w:val="pt-BR"/>
                              </w:rPr>
                            </w:pPr>
                            <w:r w:rsidRPr="0071368B">
                              <w:rPr>
                                <w:rFonts w:asciiTheme="majorHAnsi" w:hAnsiTheme="majorHAnsi" w:cs="Arial"/>
                                <w:color w:val="0D0D0D" w:themeColor="text1" w:themeTint="F2"/>
                                <w:szCs w:val="22"/>
                                <w:lang w:val="pt-BR"/>
                              </w:rPr>
                              <w:t xml:space="preserve">MARGARIDA MARIA </w:t>
                            </w:r>
                            <w:r w:rsidRPr="006A5BAB">
                              <w:rPr>
                                <w:rFonts w:asciiTheme="majorHAnsi" w:hAnsiTheme="majorHAnsi" w:cs="Arial"/>
                                <w:color w:val="0D0D0D" w:themeColor="text1" w:themeTint="F2"/>
                                <w:szCs w:val="22"/>
                                <w:lang w:val="pt-BR"/>
                              </w:rPr>
                              <w:t xml:space="preserve">ALVES </w:t>
                            </w:r>
                            <w:r>
                              <w:rPr>
                                <w:rFonts w:asciiTheme="majorHAnsi" w:hAnsiTheme="majorHAnsi" w:cs="Arial"/>
                                <w:color w:val="0D0D0D" w:themeColor="text1" w:themeTint="F2"/>
                                <w:szCs w:val="22"/>
                                <w:lang w:val="pt-BR"/>
                              </w:rPr>
                              <w:t>E</w:t>
                            </w:r>
                            <w:r w:rsidRPr="006A5BAB">
                              <w:rPr>
                                <w:rFonts w:asciiTheme="majorHAnsi" w:hAnsiTheme="majorHAnsi" w:cs="Arial"/>
                                <w:color w:val="0D0D0D" w:themeColor="text1" w:themeTint="F2"/>
                                <w:szCs w:val="22"/>
                                <w:lang w:val="pt-BR"/>
                              </w:rPr>
                              <w:t xml:space="preserve"> FAMILIARES</w:t>
                            </w:r>
                          </w:p>
                          <w:bookmarkEnd w:id="0"/>
                          <w:p w14:paraId="18FE8B18" w14:textId="77777777" w:rsidR="00AA34B1" w:rsidRDefault="00AA34B1" w:rsidP="00F43175">
                            <w:pPr>
                              <w:spacing w:line="276" w:lineRule="auto"/>
                              <w:rPr>
                                <w:rFonts w:asciiTheme="majorHAnsi" w:hAnsiTheme="majorHAnsi" w:cs="Arial"/>
                                <w:color w:val="0D0D0D" w:themeColor="text1" w:themeTint="F2"/>
                                <w:szCs w:val="22"/>
                                <w:lang w:val="pt-BR"/>
                              </w:rPr>
                            </w:pPr>
                            <w:r w:rsidRPr="001176DC">
                              <w:rPr>
                                <w:rFonts w:asciiTheme="majorHAnsi" w:hAnsiTheme="majorHAnsi" w:cs="Arial"/>
                                <w:color w:val="0D0D0D" w:themeColor="text1" w:themeTint="F2"/>
                                <w:szCs w:val="22"/>
                                <w:lang w:val="pt-BR"/>
                              </w:rPr>
                              <w:t>BRASIL</w:t>
                            </w:r>
                          </w:p>
                          <w:p w14:paraId="782AD515" w14:textId="77777777" w:rsidR="00AA34B1" w:rsidRDefault="00AA34B1" w:rsidP="00F43175">
                            <w:pPr>
                              <w:spacing w:line="276" w:lineRule="auto"/>
                              <w:rPr>
                                <w:rFonts w:asciiTheme="majorHAnsi" w:hAnsiTheme="majorHAnsi" w:cs="Arial"/>
                                <w:color w:val="0D0D0D" w:themeColor="text1" w:themeTint="F2"/>
                                <w:szCs w:val="22"/>
                                <w:lang w:val="pt-BR"/>
                              </w:rPr>
                            </w:pPr>
                          </w:p>
                          <w:p w14:paraId="1E3D7DC4" w14:textId="77777777" w:rsidR="00AA34B1" w:rsidRPr="001176DC" w:rsidRDefault="00AA34B1" w:rsidP="00F43175">
                            <w:pPr>
                              <w:spacing w:line="276" w:lineRule="auto"/>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72F20"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14:paraId="0A4090C0" w14:textId="77777777" w:rsidR="00AA34B1" w:rsidRPr="009309B8" w:rsidRDefault="00AA34B1" w:rsidP="00997BC5">
                      <w:pPr>
                        <w:spacing w:line="276" w:lineRule="auto"/>
                        <w:rPr>
                          <w:rFonts w:asciiTheme="majorHAnsi" w:hAnsiTheme="majorHAnsi" w:cs="Arial"/>
                          <w:b/>
                          <w:bCs/>
                          <w:color w:val="0D0D0D" w:themeColor="text1" w:themeTint="F2"/>
                          <w:sz w:val="36"/>
                          <w:szCs w:val="22"/>
                          <w:lang w:val="pt-BR"/>
                        </w:rPr>
                      </w:pPr>
                      <w:r>
                        <w:rPr>
                          <w:rFonts w:asciiTheme="majorHAnsi" w:hAnsiTheme="majorHAnsi" w:cs="Arial"/>
                          <w:b/>
                          <w:bCs/>
                          <w:color w:val="0D0D0D" w:themeColor="text1" w:themeTint="F2"/>
                          <w:sz w:val="36"/>
                          <w:szCs w:val="22"/>
                          <w:lang w:val="pt-BR"/>
                        </w:rPr>
                        <w:t>RELATÓRIO</w:t>
                      </w:r>
                      <w:r w:rsidRPr="0071368B">
                        <w:rPr>
                          <w:rFonts w:asciiTheme="majorHAnsi" w:hAnsiTheme="majorHAnsi" w:cs="Arial"/>
                          <w:b/>
                          <w:bCs/>
                          <w:color w:val="0D0D0D" w:themeColor="text1" w:themeTint="F2"/>
                          <w:sz w:val="36"/>
                          <w:szCs w:val="22"/>
                          <w:lang w:val="pt-BR"/>
                        </w:rPr>
                        <w:t xml:space="preserve"> </w:t>
                      </w:r>
                      <w:r w:rsidRPr="0071368B">
                        <w:rPr>
                          <w:rFonts w:asciiTheme="majorHAnsi" w:hAnsiTheme="majorHAnsi" w:cs="Arial"/>
                          <w:b/>
                          <w:bCs/>
                          <w:color w:val="0D0D0D" w:themeColor="text1" w:themeTint="F2"/>
                          <w:sz w:val="36"/>
                          <w:szCs w:val="40"/>
                          <w:lang w:val="pt-BR"/>
                        </w:rPr>
                        <w:t>N</w:t>
                      </w:r>
                      <w:r>
                        <w:rPr>
                          <w:rFonts w:asciiTheme="majorHAnsi" w:hAnsiTheme="majorHAnsi" w:cs="Arial"/>
                          <w:b/>
                          <w:bCs/>
                          <w:color w:val="0D0D0D" w:themeColor="text1" w:themeTint="F2"/>
                          <w:sz w:val="36"/>
                          <w:szCs w:val="40"/>
                          <w:lang w:val="pt-BR"/>
                        </w:rPr>
                        <w:t>º</w:t>
                      </w:r>
                      <w:r w:rsidRPr="0071368B">
                        <w:rPr>
                          <w:rFonts w:asciiTheme="majorHAnsi" w:hAnsiTheme="majorHAnsi" w:cs="Arial"/>
                          <w:b/>
                          <w:bCs/>
                          <w:color w:val="0D0D0D" w:themeColor="text1" w:themeTint="F2"/>
                          <w:sz w:val="36"/>
                          <w:szCs w:val="22"/>
                          <w:lang w:val="pt-BR"/>
                        </w:rPr>
                        <w:t xml:space="preserve"> </w:t>
                      </w:r>
                      <w:r w:rsidR="00CA4DB2">
                        <w:rPr>
                          <w:rFonts w:asciiTheme="majorHAnsi" w:hAnsiTheme="majorHAnsi" w:cs="Arial"/>
                          <w:b/>
                          <w:bCs/>
                          <w:color w:val="0D0D0D" w:themeColor="text1" w:themeTint="F2"/>
                          <w:sz w:val="36"/>
                          <w:szCs w:val="22"/>
                          <w:lang w:val="pt-BR"/>
                        </w:rPr>
                        <w:t>31</w:t>
                      </w:r>
                      <w:r>
                        <w:rPr>
                          <w:rFonts w:asciiTheme="majorHAnsi" w:hAnsiTheme="majorHAnsi" w:cs="Arial"/>
                          <w:b/>
                          <w:bCs/>
                          <w:color w:val="0D0D0D" w:themeColor="text1" w:themeTint="F2"/>
                          <w:sz w:val="36"/>
                          <w:szCs w:val="22"/>
                          <w:lang w:val="pt-BR"/>
                        </w:rPr>
                        <w:t>/</w:t>
                      </w:r>
                      <w:r w:rsidR="00CA4DB2">
                        <w:rPr>
                          <w:rFonts w:asciiTheme="majorHAnsi" w:hAnsiTheme="majorHAnsi" w:cs="Arial"/>
                          <w:b/>
                          <w:bCs/>
                          <w:color w:val="0D0D0D" w:themeColor="text1" w:themeTint="F2"/>
                          <w:sz w:val="36"/>
                          <w:szCs w:val="22"/>
                          <w:lang w:val="pt-BR"/>
                        </w:rPr>
                        <w:t>20</w:t>
                      </w:r>
                    </w:p>
                    <w:p w14:paraId="69FDC0E8" w14:textId="77777777" w:rsidR="00AA34B1" w:rsidRPr="0071368B" w:rsidRDefault="00AA34B1" w:rsidP="00997BC5">
                      <w:pPr>
                        <w:spacing w:line="276" w:lineRule="auto"/>
                        <w:rPr>
                          <w:rFonts w:asciiTheme="majorHAnsi" w:hAnsiTheme="majorHAnsi" w:cs="Arial"/>
                          <w:b/>
                          <w:color w:val="0D0D0D" w:themeColor="text1" w:themeTint="F2"/>
                          <w:sz w:val="36"/>
                          <w:szCs w:val="22"/>
                          <w:lang w:val="pt-BR"/>
                        </w:rPr>
                      </w:pPr>
                      <w:r w:rsidRPr="0071368B">
                        <w:rPr>
                          <w:rFonts w:asciiTheme="majorHAnsi" w:hAnsiTheme="majorHAnsi" w:cs="Arial"/>
                          <w:b/>
                          <w:color w:val="0D0D0D" w:themeColor="text1" w:themeTint="F2"/>
                          <w:sz w:val="36"/>
                          <w:szCs w:val="22"/>
                          <w:lang w:val="pt-BR"/>
                        </w:rPr>
                        <w:t>CASO 12.332</w:t>
                      </w:r>
                    </w:p>
                    <w:p w14:paraId="46DE7619" w14:textId="77777777" w:rsidR="00AA34B1" w:rsidRPr="00FA22CF" w:rsidRDefault="00AA34B1" w:rsidP="000A27E1">
                      <w:pPr>
                        <w:pStyle w:val="HTMLPreformatted"/>
                        <w:shd w:val="clear" w:color="auto" w:fill="F8F9FA"/>
                        <w:spacing w:line="540" w:lineRule="atLeast"/>
                        <w:rPr>
                          <w:rFonts w:asciiTheme="majorHAnsi" w:hAnsiTheme="majorHAnsi"/>
                          <w:color w:val="222222"/>
                          <w:sz w:val="24"/>
                          <w:szCs w:val="24"/>
                          <w:lang w:val="pt-BR"/>
                        </w:rPr>
                      </w:pPr>
                      <w:r w:rsidRPr="000A27E1">
                        <w:rPr>
                          <w:rFonts w:asciiTheme="majorHAnsi" w:hAnsiTheme="majorHAnsi" w:cs="Arial"/>
                          <w:color w:val="0D0D0D" w:themeColor="text1" w:themeTint="F2"/>
                          <w:sz w:val="24"/>
                          <w:szCs w:val="24"/>
                          <w:lang w:val="pt-BR"/>
                        </w:rPr>
                        <w:t>RELATÓRIO DE MÉRITO (</w:t>
                      </w:r>
                      <w:r w:rsidRPr="000A27E1">
                        <w:rPr>
                          <w:rFonts w:asciiTheme="majorHAnsi" w:hAnsiTheme="majorHAnsi"/>
                          <w:caps/>
                          <w:color w:val="222222"/>
                          <w:sz w:val="24"/>
                          <w:szCs w:val="24"/>
                          <w:lang w:val="pt-PT"/>
                        </w:rPr>
                        <w:t>Publicação</w:t>
                      </w:r>
                      <w:r w:rsidRPr="000A27E1">
                        <w:rPr>
                          <w:rFonts w:asciiTheme="majorHAnsi" w:hAnsiTheme="majorHAnsi" w:cs="Arial"/>
                          <w:color w:val="0D0D0D" w:themeColor="text1" w:themeTint="F2"/>
                          <w:sz w:val="24"/>
                          <w:szCs w:val="24"/>
                          <w:lang w:val="pt-BR"/>
                        </w:rPr>
                        <w:t>)</w:t>
                      </w:r>
                    </w:p>
                    <w:p w14:paraId="5F65738C" w14:textId="77777777" w:rsidR="00AA34B1" w:rsidRPr="0071368B" w:rsidRDefault="00AA34B1" w:rsidP="00997BC5">
                      <w:pPr>
                        <w:spacing w:line="276" w:lineRule="auto"/>
                        <w:rPr>
                          <w:rFonts w:asciiTheme="majorHAnsi" w:hAnsiTheme="majorHAnsi" w:cs="Arial"/>
                          <w:color w:val="0D0D0D" w:themeColor="text1" w:themeTint="F2"/>
                          <w:szCs w:val="22"/>
                          <w:lang w:val="pt-BR"/>
                        </w:rPr>
                      </w:pPr>
                      <w:bookmarkStart w:id="1" w:name="_ftnref1"/>
                    </w:p>
                    <w:p w14:paraId="520EB33A" w14:textId="77777777" w:rsidR="00AA34B1" w:rsidRPr="0071368B" w:rsidRDefault="00AA34B1" w:rsidP="00997BC5">
                      <w:pPr>
                        <w:spacing w:line="276" w:lineRule="auto"/>
                        <w:rPr>
                          <w:rFonts w:asciiTheme="majorHAnsi" w:hAnsiTheme="majorHAnsi" w:cs="Arial"/>
                          <w:color w:val="0D0D0D" w:themeColor="text1" w:themeTint="F2"/>
                          <w:szCs w:val="22"/>
                          <w:lang w:val="pt-BR"/>
                        </w:rPr>
                      </w:pPr>
                      <w:r w:rsidRPr="0071368B">
                        <w:rPr>
                          <w:rFonts w:asciiTheme="majorHAnsi" w:hAnsiTheme="majorHAnsi" w:cs="Arial"/>
                          <w:color w:val="0D0D0D" w:themeColor="text1" w:themeTint="F2"/>
                          <w:szCs w:val="22"/>
                          <w:lang w:val="pt-BR"/>
                        </w:rPr>
                        <w:t xml:space="preserve">MARGARIDA MARIA </w:t>
                      </w:r>
                      <w:r w:rsidRPr="006A5BAB">
                        <w:rPr>
                          <w:rFonts w:asciiTheme="majorHAnsi" w:hAnsiTheme="majorHAnsi" w:cs="Arial"/>
                          <w:color w:val="0D0D0D" w:themeColor="text1" w:themeTint="F2"/>
                          <w:szCs w:val="22"/>
                          <w:lang w:val="pt-BR"/>
                        </w:rPr>
                        <w:t xml:space="preserve">ALVES </w:t>
                      </w:r>
                      <w:r>
                        <w:rPr>
                          <w:rFonts w:asciiTheme="majorHAnsi" w:hAnsiTheme="majorHAnsi" w:cs="Arial"/>
                          <w:color w:val="0D0D0D" w:themeColor="text1" w:themeTint="F2"/>
                          <w:szCs w:val="22"/>
                          <w:lang w:val="pt-BR"/>
                        </w:rPr>
                        <w:t>E</w:t>
                      </w:r>
                      <w:r w:rsidRPr="006A5BAB">
                        <w:rPr>
                          <w:rFonts w:asciiTheme="majorHAnsi" w:hAnsiTheme="majorHAnsi" w:cs="Arial"/>
                          <w:color w:val="0D0D0D" w:themeColor="text1" w:themeTint="F2"/>
                          <w:szCs w:val="22"/>
                          <w:lang w:val="pt-BR"/>
                        </w:rPr>
                        <w:t xml:space="preserve"> FAMILIARES</w:t>
                      </w:r>
                    </w:p>
                    <w:bookmarkEnd w:id="1"/>
                    <w:p w14:paraId="18FE8B18" w14:textId="77777777" w:rsidR="00AA34B1" w:rsidRDefault="00AA34B1" w:rsidP="00F43175">
                      <w:pPr>
                        <w:spacing w:line="276" w:lineRule="auto"/>
                        <w:rPr>
                          <w:rFonts w:asciiTheme="majorHAnsi" w:hAnsiTheme="majorHAnsi" w:cs="Arial"/>
                          <w:color w:val="0D0D0D" w:themeColor="text1" w:themeTint="F2"/>
                          <w:szCs w:val="22"/>
                          <w:lang w:val="pt-BR"/>
                        </w:rPr>
                      </w:pPr>
                      <w:r w:rsidRPr="001176DC">
                        <w:rPr>
                          <w:rFonts w:asciiTheme="majorHAnsi" w:hAnsiTheme="majorHAnsi" w:cs="Arial"/>
                          <w:color w:val="0D0D0D" w:themeColor="text1" w:themeTint="F2"/>
                          <w:szCs w:val="22"/>
                          <w:lang w:val="pt-BR"/>
                        </w:rPr>
                        <w:t>BRASIL</w:t>
                      </w:r>
                    </w:p>
                    <w:p w14:paraId="782AD515" w14:textId="77777777" w:rsidR="00AA34B1" w:rsidRDefault="00AA34B1" w:rsidP="00F43175">
                      <w:pPr>
                        <w:spacing w:line="276" w:lineRule="auto"/>
                        <w:rPr>
                          <w:rFonts w:asciiTheme="majorHAnsi" w:hAnsiTheme="majorHAnsi" w:cs="Arial"/>
                          <w:color w:val="0D0D0D" w:themeColor="text1" w:themeTint="F2"/>
                          <w:szCs w:val="22"/>
                          <w:lang w:val="pt-BR"/>
                        </w:rPr>
                      </w:pPr>
                    </w:p>
                    <w:p w14:paraId="1E3D7DC4" w14:textId="77777777" w:rsidR="00AA34B1" w:rsidRPr="001176DC" w:rsidRDefault="00AA34B1" w:rsidP="00F43175">
                      <w:pPr>
                        <w:spacing w:line="276" w:lineRule="auto"/>
                        <w:rPr>
                          <w:color w:val="0D0D0D" w:themeColor="text1" w:themeTint="F2"/>
                          <w:lang w:val="pt-BR"/>
                        </w:rPr>
                      </w:pPr>
                    </w:p>
                  </w:txbxContent>
                </v:textbox>
              </v:shape>
            </w:pict>
          </mc:Fallback>
        </mc:AlternateContent>
      </w:r>
    </w:p>
    <w:p w14:paraId="75119551" w14:textId="77777777" w:rsidR="00040C3A" w:rsidRPr="005D6E61" w:rsidRDefault="00B4717D" w:rsidP="00040C3A">
      <w:pPr>
        <w:tabs>
          <w:tab w:val="center" w:pos="5400"/>
        </w:tabs>
        <w:suppressAutoHyphens/>
        <w:jc w:val="center"/>
        <w:rPr>
          <w:rFonts w:asciiTheme="majorHAnsi" w:hAnsiTheme="majorHAnsi"/>
          <w:sz w:val="22"/>
          <w:szCs w:val="22"/>
          <w:lang w:val="es-ES_tradnl"/>
        </w:rPr>
      </w:pPr>
      <w:r w:rsidRPr="005D6E61">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5D32AA8B" wp14:editId="7BC577E6">
                <wp:simplePos x="0" y="0"/>
                <wp:positionH relativeFrom="column">
                  <wp:posOffset>-378460</wp:posOffset>
                </wp:positionH>
                <wp:positionV relativeFrom="paragraph">
                  <wp:posOffset>635</wp:posOffset>
                </wp:positionV>
                <wp:extent cx="1334135" cy="1377315"/>
                <wp:effectExtent l="0" t="0" r="0" b="0"/>
                <wp:wrapNone/>
                <wp:docPr id="6" name="Text Box 6"/>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575E16" w14:textId="77777777" w:rsidR="00AA34B1" w:rsidRPr="00412D8D" w:rsidRDefault="00AA34B1" w:rsidP="00B4717D">
                            <w:pPr>
                              <w:jc w:val="right"/>
                              <w:rPr>
                                <w:rFonts w:asciiTheme="minorHAnsi" w:hAnsiTheme="minorHAnsi"/>
                                <w:sz w:val="22"/>
                                <w:lang w:val="pt-BR"/>
                              </w:rPr>
                            </w:pPr>
                            <w:r>
                              <w:rPr>
                                <w:rFonts w:asciiTheme="minorHAnsi" w:hAnsiTheme="minorHAnsi"/>
                                <w:sz w:val="22"/>
                                <w:lang w:val="pt-BR"/>
                              </w:rPr>
                              <w:t>OE</w:t>
                            </w:r>
                            <w:r w:rsidR="00344BDE">
                              <w:rPr>
                                <w:rFonts w:asciiTheme="minorHAnsi" w:hAnsiTheme="minorHAnsi"/>
                                <w:sz w:val="22"/>
                                <w:lang w:val="pt-BR"/>
                              </w:rPr>
                              <w:t>A/Ser/L/V/II</w:t>
                            </w:r>
                          </w:p>
                          <w:p w14:paraId="69C13101" w14:textId="77777777" w:rsidR="00AA34B1" w:rsidRPr="00412D8D" w:rsidRDefault="00AA34B1" w:rsidP="00B4717D">
                            <w:pPr>
                              <w:jc w:val="right"/>
                              <w:rPr>
                                <w:rFonts w:asciiTheme="minorHAnsi" w:hAnsiTheme="minorHAnsi"/>
                                <w:sz w:val="22"/>
                                <w:lang w:val="pt-BR"/>
                              </w:rPr>
                            </w:pPr>
                            <w:r>
                              <w:rPr>
                                <w:rFonts w:asciiTheme="minorHAnsi" w:hAnsiTheme="minorHAnsi"/>
                                <w:sz w:val="22"/>
                                <w:lang w:val="pt-BR"/>
                              </w:rPr>
                              <w:t>D</w:t>
                            </w:r>
                            <w:r w:rsidR="00344BDE">
                              <w:rPr>
                                <w:rFonts w:asciiTheme="minorHAnsi" w:hAnsiTheme="minorHAnsi"/>
                                <w:sz w:val="22"/>
                                <w:lang w:val="pt-BR"/>
                              </w:rPr>
                              <w:t>oc. 41</w:t>
                            </w:r>
                          </w:p>
                          <w:p w14:paraId="3381EA5A" w14:textId="77777777" w:rsidR="00AA34B1" w:rsidRPr="00412D8D" w:rsidRDefault="0068115E" w:rsidP="00B4717D">
                            <w:pPr>
                              <w:jc w:val="right"/>
                              <w:rPr>
                                <w:rFonts w:asciiTheme="minorHAnsi" w:hAnsiTheme="minorHAnsi"/>
                                <w:sz w:val="22"/>
                                <w:lang w:val="pt-BR"/>
                              </w:rPr>
                            </w:pPr>
                            <w:r>
                              <w:rPr>
                                <w:rFonts w:asciiTheme="minorHAnsi" w:hAnsiTheme="minorHAnsi"/>
                                <w:sz w:val="22"/>
                                <w:lang w:val="pt-BR"/>
                              </w:rPr>
                              <w:t>26 abril 2020</w:t>
                            </w:r>
                          </w:p>
                          <w:p w14:paraId="1A084342" w14:textId="77777777" w:rsidR="00AA34B1" w:rsidRDefault="00AA34B1" w:rsidP="00B4717D">
                            <w:pPr>
                              <w:jc w:val="right"/>
                              <w:rPr>
                                <w:rFonts w:asciiTheme="minorHAnsi" w:hAnsiTheme="minorHAnsi"/>
                                <w:sz w:val="22"/>
                                <w:lang w:val="pt-BR"/>
                              </w:rPr>
                            </w:pPr>
                            <w:r w:rsidRPr="00412D8D">
                              <w:rPr>
                                <w:rFonts w:asciiTheme="minorHAnsi" w:hAnsiTheme="minorHAnsi"/>
                                <w:sz w:val="22"/>
                                <w:lang w:val="pt-BR"/>
                              </w:rPr>
                              <w:t xml:space="preserve">Original: </w:t>
                            </w:r>
                            <w:r w:rsidR="00CA4DB2">
                              <w:rPr>
                                <w:rFonts w:asciiTheme="minorHAnsi" w:hAnsiTheme="minorHAnsi"/>
                                <w:sz w:val="22"/>
                                <w:lang w:val="pt-BR"/>
                              </w:rPr>
                              <w:t>Português</w:t>
                            </w:r>
                          </w:p>
                          <w:p w14:paraId="4A08F62B" w14:textId="77777777" w:rsidR="00AA34B1" w:rsidRPr="00993401" w:rsidRDefault="00AA34B1" w:rsidP="00B4717D">
                            <w:pPr>
                              <w:jc w:val="right"/>
                              <w:rPr>
                                <w:rFonts w:asciiTheme="minorHAnsi" w:hAnsiTheme="minorHAnsi"/>
                                <w:sz w:val="2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2AA8B" id="Text Box 6" o:spid="_x0000_s1029" type="#_x0000_t202" style="position:absolute;left:0;text-align:left;margin-left:-29.8pt;margin-top:.05pt;width:105.05pt;height:10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" filled="f" stroked="f" strokeweight=".5pt">
                <v:textbox>
                  <w:txbxContent>
                    <w:p w14:paraId="23575E16" w14:textId="77777777" w:rsidR="00AA34B1" w:rsidRPr="00412D8D" w:rsidRDefault="00AA34B1" w:rsidP="00B4717D">
                      <w:pPr>
                        <w:jc w:val="right"/>
                        <w:rPr>
                          <w:rFonts w:asciiTheme="minorHAnsi" w:hAnsiTheme="minorHAnsi"/>
                          <w:sz w:val="22"/>
                          <w:lang w:val="pt-BR"/>
                        </w:rPr>
                      </w:pPr>
                      <w:r>
                        <w:rPr>
                          <w:rFonts w:asciiTheme="minorHAnsi" w:hAnsiTheme="minorHAnsi"/>
                          <w:sz w:val="22"/>
                          <w:lang w:val="pt-BR"/>
                        </w:rPr>
                        <w:t>OE</w:t>
                      </w:r>
                      <w:r w:rsidR="00344BDE">
                        <w:rPr>
                          <w:rFonts w:asciiTheme="minorHAnsi" w:hAnsiTheme="minorHAnsi"/>
                          <w:sz w:val="22"/>
                          <w:lang w:val="pt-BR"/>
                        </w:rPr>
                        <w:t>A/Ser/L/V/II</w:t>
                      </w:r>
                    </w:p>
                    <w:p w14:paraId="69C13101" w14:textId="77777777" w:rsidR="00AA34B1" w:rsidRPr="00412D8D" w:rsidRDefault="00AA34B1" w:rsidP="00B4717D">
                      <w:pPr>
                        <w:jc w:val="right"/>
                        <w:rPr>
                          <w:rFonts w:asciiTheme="minorHAnsi" w:hAnsiTheme="minorHAnsi"/>
                          <w:sz w:val="22"/>
                          <w:lang w:val="pt-BR"/>
                        </w:rPr>
                      </w:pPr>
                      <w:r>
                        <w:rPr>
                          <w:rFonts w:asciiTheme="minorHAnsi" w:hAnsiTheme="minorHAnsi"/>
                          <w:sz w:val="22"/>
                          <w:lang w:val="pt-BR"/>
                        </w:rPr>
                        <w:t>D</w:t>
                      </w:r>
                      <w:r w:rsidR="00344BDE">
                        <w:rPr>
                          <w:rFonts w:asciiTheme="minorHAnsi" w:hAnsiTheme="minorHAnsi"/>
                          <w:sz w:val="22"/>
                          <w:lang w:val="pt-BR"/>
                        </w:rPr>
                        <w:t>oc. 41</w:t>
                      </w:r>
                    </w:p>
                    <w:p w14:paraId="3381EA5A" w14:textId="77777777" w:rsidR="00AA34B1" w:rsidRPr="00412D8D" w:rsidRDefault="0068115E" w:rsidP="00B4717D">
                      <w:pPr>
                        <w:jc w:val="right"/>
                        <w:rPr>
                          <w:rFonts w:asciiTheme="minorHAnsi" w:hAnsiTheme="minorHAnsi"/>
                          <w:sz w:val="22"/>
                          <w:lang w:val="pt-BR"/>
                        </w:rPr>
                      </w:pPr>
                      <w:r>
                        <w:rPr>
                          <w:rFonts w:asciiTheme="minorHAnsi" w:hAnsiTheme="minorHAnsi"/>
                          <w:sz w:val="22"/>
                          <w:lang w:val="pt-BR"/>
                        </w:rPr>
                        <w:t>26 abril 2020</w:t>
                      </w:r>
                    </w:p>
                    <w:p w14:paraId="1A084342" w14:textId="77777777" w:rsidR="00AA34B1" w:rsidRDefault="00AA34B1" w:rsidP="00B4717D">
                      <w:pPr>
                        <w:jc w:val="right"/>
                        <w:rPr>
                          <w:rFonts w:asciiTheme="minorHAnsi" w:hAnsiTheme="minorHAnsi"/>
                          <w:sz w:val="22"/>
                          <w:lang w:val="pt-BR"/>
                        </w:rPr>
                      </w:pPr>
                      <w:r w:rsidRPr="00412D8D">
                        <w:rPr>
                          <w:rFonts w:asciiTheme="minorHAnsi" w:hAnsiTheme="minorHAnsi"/>
                          <w:sz w:val="22"/>
                          <w:lang w:val="pt-BR"/>
                        </w:rPr>
                        <w:t xml:space="preserve">Original: </w:t>
                      </w:r>
                      <w:r w:rsidR="00CA4DB2">
                        <w:rPr>
                          <w:rFonts w:asciiTheme="minorHAnsi" w:hAnsiTheme="minorHAnsi"/>
                          <w:sz w:val="22"/>
                          <w:lang w:val="pt-BR"/>
                        </w:rPr>
                        <w:t>Português</w:t>
                      </w:r>
                    </w:p>
                    <w:p w14:paraId="4A08F62B" w14:textId="77777777" w:rsidR="00AA34B1" w:rsidRPr="00993401" w:rsidRDefault="00AA34B1" w:rsidP="00B4717D">
                      <w:pPr>
                        <w:jc w:val="right"/>
                        <w:rPr>
                          <w:rFonts w:asciiTheme="minorHAnsi" w:hAnsiTheme="minorHAnsi"/>
                          <w:sz w:val="22"/>
                          <w:lang w:val="pt-BR"/>
                        </w:rPr>
                      </w:pPr>
                    </w:p>
                  </w:txbxContent>
                </v:textbox>
              </v:shape>
            </w:pict>
          </mc:Fallback>
        </mc:AlternateContent>
      </w:r>
    </w:p>
    <w:p w14:paraId="3E9A2F59" w14:textId="77777777" w:rsidR="00040C3A" w:rsidRPr="005D6E61" w:rsidRDefault="00040C3A" w:rsidP="00040C3A">
      <w:pPr>
        <w:tabs>
          <w:tab w:val="center" w:pos="5400"/>
        </w:tabs>
        <w:suppressAutoHyphens/>
        <w:jc w:val="center"/>
        <w:rPr>
          <w:rFonts w:asciiTheme="majorHAnsi" w:hAnsiTheme="majorHAnsi"/>
          <w:sz w:val="22"/>
          <w:szCs w:val="22"/>
          <w:lang w:val="es-ES_tradnl"/>
        </w:rPr>
      </w:pPr>
    </w:p>
    <w:p w14:paraId="3C174AF7" w14:textId="77777777" w:rsidR="00040C3A" w:rsidRPr="005D6E61" w:rsidRDefault="00040C3A" w:rsidP="00040C3A">
      <w:pPr>
        <w:tabs>
          <w:tab w:val="center" w:pos="5400"/>
        </w:tabs>
        <w:suppressAutoHyphens/>
        <w:jc w:val="center"/>
        <w:rPr>
          <w:rFonts w:asciiTheme="majorHAnsi" w:hAnsiTheme="majorHAnsi" w:cs="Arial"/>
          <w:sz w:val="22"/>
          <w:szCs w:val="22"/>
          <w:lang w:val="es-ES_tradnl"/>
        </w:rPr>
      </w:pPr>
    </w:p>
    <w:p w14:paraId="64A3B334" w14:textId="77777777" w:rsidR="00040C3A" w:rsidRPr="005D6E61" w:rsidRDefault="00040C3A" w:rsidP="00040C3A">
      <w:pPr>
        <w:tabs>
          <w:tab w:val="center" w:pos="5400"/>
        </w:tabs>
        <w:suppressAutoHyphens/>
        <w:jc w:val="center"/>
        <w:rPr>
          <w:rFonts w:asciiTheme="majorHAnsi" w:hAnsiTheme="majorHAnsi"/>
          <w:sz w:val="22"/>
          <w:szCs w:val="22"/>
          <w:lang w:val="es-ES_tradnl"/>
        </w:rPr>
      </w:pPr>
    </w:p>
    <w:p w14:paraId="771ECB0C" w14:textId="77777777" w:rsidR="00040C3A" w:rsidRPr="005D6E61" w:rsidRDefault="00040C3A" w:rsidP="00040C3A">
      <w:pPr>
        <w:tabs>
          <w:tab w:val="center" w:pos="5400"/>
        </w:tabs>
        <w:suppressAutoHyphens/>
        <w:jc w:val="center"/>
        <w:rPr>
          <w:rFonts w:asciiTheme="majorHAnsi" w:hAnsiTheme="majorHAnsi"/>
          <w:sz w:val="22"/>
          <w:szCs w:val="22"/>
          <w:lang w:val="es-ES_tradnl"/>
        </w:rPr>
      </w:pPr>
    </w:p>
    <w:p w14:paraId="7360808B" w14:textId="77777777" w:rsidR="00040C3A" w:rsidRPr="005D6E61" w:rsidRDefault="00040C3A" w:rsidP="00040C3A">
      <w:pPr>
        <w:tabs>
          <w:tab w:val="center" w:pos="5400"/>
        </w:tabs>
        <w:suppressAutoHyphens/>
        <w:jc w:val="center"/>
        <w:rPr>
          <w:rFonts w:asciiTheme="majorHAnsi" w:hAnsiTheme="majorHAnsi"/>
          <w:sz w:val="22"/>
          <w:szCs w:val="22"/>
          <w:lang w:val="es-ES_tradnl"/>
        </w:rPr>
      </w:pPr>
    </w:p>
    <w:p w14:paraId="583057FE" w14:textId="77777777" w:rsidR="00040C3A" w:rsidRPr="005D6E61" w:rsidRDefault="00040C3A" w:rsidP="00040C3A">
      <w:pPr>
        <w:tabs>
          <w:tab w:val="center" w:pos="5400"/>
        </w:tabs>
        <w:suppressAutoHyphens/>
        <w:jc w:val="center"/>
        <w:rPr>
          <w:rFonts w:asciiTheme="majorHAnsi" w:hAnsiTheme="majorHAnsi"/>
          <w:sz w:val="22"/>
          <w:szCs w:val="22"/>
          <w:lang w:val="es-ES_tradnl"/>
        </w:rPr>
      </w:pPr>
    </w:p>
    <w:p w14:paraId="51ACA315" w14:textId="77777777" w:rsidR="005128E4" w:rsidRPr="005D6E61" w:rsidRDefault="005128E4" w:rsidP="00040C3A">
      <w:pPr>
        <w:tabs>
          <w:tab w:val="center" w:pos="5400"/>
        </w:tabs>
        <w:suppressAutoHyphens/>
        <w:jc w:val="center"/>
        <w:rPr>
          <w:rFonts w:asciiTheme="majorHAnsi" w:hAnsiTheme="majorHAnsi"/>
          <w:sz w:val="22"/>
          <w:szCs w:val="22"/>
          <w:lang w:val="es-ES_tradnl"/>
        </w:rPr>
      </w:pPr>
    </w:p>
    <w:p w14:paraId="66F94779" w14:textId="77777777" w:rsidR="00040C3A" w:rsidRPr="005D6E61" w:rsidRDefault="00040C3A" w:rsidP="00040C3A">
      <w:pPr>
        <w:tabs>
          <w:tab w:val="center" w:pos="5400"/>
        </w:tabs>
        <w:suppressAutoHyphens/>
        <w:jc w:val="center"/>
        <w:rPr>
          <w:rFonts w:asciiTheme="majorHAnsi" w:hAnsiTheme="majorHAnsi"/>
          <w:sz w:val="22"/>
          <w:szCs w:val="22"/>
          <w:lang w:val="es-ES_tradnl"/>
        </w:rPr>
      </w:pPr>
    </w:p>
    <w:p w14:paraId="0437EDEA" w14:textId="77777777" w:rsidR="005128E4" w:rsidRPr="005D6E61" w:rsidRDefault="005128E4" w:rsidP="00040C3A">
      <w:pPr>
        <w:tabs>
          <w:tab w:val="center" w:pos="5400"/>
        </w:tabs>
        <w:suppressAutoHyphens/>
        <w:jc w:val="center"/>
        <w:rPr>
          <w:rFonts w:asciiTheme="majorHAnsi" w:hAnsiTheme="majorHAnsi"/>
          <w:sz w:val="22"/>
          <w:szCs w:val="22"/>
          <w:lang w:val="es-ES_tradnl"/>
        </w:rPr>
      </w:pPr>
    </w:p>
    <w:p w14:paraId="70AECE45" w14:textId="77777777" w:rsidR="005128E4" w:rsidRPr="005D6E61" w:rsidRDefault="005128E4" w:rsidP="00040C3A">
      <w:pPr>
        <w:tabs>
          <w:tab w:val="center" w:pos="5400"/>
        </w:tabs>
        <w:suppressAutoHyphens/>
        <w:jc w:val="center"/>
        <w:rPr>
          <w:rFonts w:asciiTheme="majorHAnsi" w:hAnsiTheme="majorHAnsi"/>
          <w:sz w:val="22"/>
          <w:szCs w:val="22"/>
          <w:lang w:val="es-ES_tradnl"/>
        </w:rPr>
      </w:pPr>
    </w:p>
    <w:p w14:paraId="7D2C29F8" w14:textId="77777777" w:rsidR="005128E4" w:rsidRPr="005D6E61" w:rsidRDefault="005128E4" w:rsidP="00040C3A">
      <w:pPr>
        <w:tabs>
          <w:tab w:val="center" w:pos="5400"/>
        </w:tabs>
        <w:suppressAutoHyphens/>
        <w:jc w:val="center"/>
        <w:rPr>
          <w:rFonts w:asciiTheme="majorHAnsi" w:hAnsiTheme="majorHAnsi"/>
          <w:sz w:val="22"/>
          <w:szCs w:val="22"/>
          <w:lang w:val="es-ES_tradnl"/>
        </w:rPr>
      </w:pPr>
    </w:p>
    <w:p w14:paraId="22530781" w14:textId="77777777" w:rsidR="00040C3A" w:rsidRPr="005D6E61" w:rsidRDefault="00040C3A" w:rsidP="00040C3A">
      <w:pPr>
        <w:tabs>
          <w:tab w:val="center" w:pos="5400"/>
        </w:tabs>
        <w:suppressAutoHyphens/>
        <w:jc w:val="center"/>
        <w:rPr>
          <w:rFonts w:asciiTheme="majorHAnsi" w:hAnsiTheme="majorHAnsi"/>
          <w:sz w:val="22"/>
          <w:szCs w:val="22"/>
          <w:lang w:val="es-ES_tradnl"/>
        </w:rPr>
      </w:pPr>
    </w:p>
    <w:p w14:paraId="6653B5CE" w14:textId="77777777" w:rsidR="00040C3A" w:rsidRPr="005D6E61" w:rsidRDefault="00040C3A" w:rsidP="00040C3A">
      <w:pPr>
        <w:tabs>
          <w:tab w:val="center" w:pos="5400"/>
        </w:tabs>
        <w:suppressAutoHyphens/>
        <w:jc w:val="center"/>
        <w:rPr>
          <w:rFonts w:asciiTheme="majorHAnsi" w:hAnsiTheme="majorHAnsi"/>
          <w:sz w:val="22"/>
          <w:szCs w:val="22"/>
          <w:lang w:val="es-ES_tradnl"/>
        </w:rPr>
      </w:pPr>
    </w:p>
    <w:p w14:paraId="347286CA" w14:textId="77777777" w:rsidR="00A50FCF" w:rsidRPr="005D6E61" w:rsidRDefault="00A50FCF" w:rsidP="00040C3A">
      <w:pPr>
        <w:tabs>
          <w:tab w:val="center" w:pos="5400"/>
        </w:tabs>
        <w:suppressAutoHyphens/>
        <w:jc w:val="center"/>
        <w:rPr>
          <w:rFonts w:asciiTheme="majorHAnsi" w:hAnsiTheme="majorHAnsi"/>
          <w:sz w:val="18"/>
          <w:szCs w:val="22"/>
          <w:lang w:val="es-ES_tradnl"/>
        </w:rPr>
      </w:pPr>
    </w:p>
    <w:p w14:paraId="28A9BCE4" w14:textId="77777777" w:rsidR="00A50FCF" w:rsidRPr="005D6E61" w:rsidRDefault="00A50FCF" w:rsidP="00040C3A">
      <w:pPr>
        <w:tabs>
          <w:tab w:val="center" w:pos="5400"/>
        </w:tabs>
        <w:suppressAutoHyphens/>
        <w:jc w:val="center"/>
        <w:rPr>
          <w:rFonts w:asciiTheme="majorHAnsi" w:hAnsiTheme="majorHAnsi"/>
          <w:sz w:val="18"/>
          <w:szCs w:val="22"/>
          <w:lang w:val="es-ES_tradnl"/>
        </w:rPr>
      </w:pPr>
    </w:p>
    <w:p w14:paraId="12C03193" w14:textId="77777777" w:rsidR="00A50FCF" w:rsidRPr="005D6E61" w:rsidRDefault="00A50FCF" w:rsidP="00040C3A">
      <w:pPr>
        <w:tabs>
          <w:tab w:val="center" w:pos="5400"/>
        </w:tabs>
        <w:suppressAutoHyphens/>
        <w:jc w:val="center"/>
        <w:rPr>
          <w:rFonts w:asciiTheme="majorHAnsi" w:hAnsiTheme="majorHAnsi"/>
          <w:sz w:val="18"/>
          <w:szCs w:val="22"/>
          <w:lang w:val="es-ES_tradnl"/>
        </w:rPr>
      </w:pPr>
    </w:p>
    <w:p w14:paraId="723A9776" w14:textId="77777777" w:rsidR="00A50FCF" w:rsidRPr="005D6E61" w:rsidRDefault="00A50FCF" w:rsidP="00040C3A">
      <w:pPr>
        <w:tabs>
          <w:tab w:val="center" w:pos="5400"/>
        </w:tabs>
        <w:suppressAutoHyphens/>
        <w:jc w:val="center"/>
        <w:rPr>
          <w:rFonts w:asciiTheme="majorHAnsi" w:hAnsiTheme="majorHAnsi"/>
          <w:sz w:val="18"/>
          <w:szCs w:val="22"/>
          <w:lang w:val="es-ES_tradnl"/>
        </w:rPr>
      </w:pPr>
    </w:p>
    <w:p w14:paraId="4CD17983" w14:textId="77777777" w:rsidR="00A50FCF" w:rsidRPr="005D6E61" w:rsidRDefault="00A50FCF" w:rsidP="00040C3A">
      <w:pPr>
        <w:tabs>
          <w:tab w:val="center" w:pos="5400"/>
        </w:tabs>
        <w:suppressAutoHyphens/>
        <w:jc w:val="center"/>
        <w:rPr>
          <w:rFonts w:asciiTheme="majorHAnsi" w:hAnsiTheme="majorHAnsi"/>
          <w:sz w:val="18"/>
          <w:szCs w:val="22"/>
          <w:lang w:val="es-ES_tradnl"/>
        </w:rPr>
      </w:pPr>
    </w:p>
    <w:p w14:paraId="1B2F62F2" w14:textId="77777777" w:rsidR="00A50FCF" w:rsidRPr="005D6E61" w:rsidRDefault="00A50FCF" w:rsidP="00040C3A">
      <w:pPr>
        <w:tabs>
          <w:tab w:val="center" w:pos="5400"/>
        </w:tabs>
        <w:suppressAutoHyphens/>
        <w:jc w:val="center"/>
        <w:rPr>
          <w:rFonts w:asciiTheme="majorHAnsi" w:hAnsiTheme="majorHAnsi"/>
          <w:sz w:val="18"/>
          <w:szCs w:val="22"/>
          <w:lang w:val="es-ES_tradnl"/>
        </w:rPr>
      </w:pPr>
    </w:p>
    <w:p w14:paraId="03F394EA" w14:textId="77777777" w:rsidR="00A50FCF" w:rsidRPr="005D6E61" w:rsidRDefault="00A50FCF" w:rsidP="00040C3A">
      <w:pPr>
        <w:tabs>
          <w:tab w:val="center" w:pos="5400"/>
        </w:tabs>
        <w:suppressAutoHyphens/>
        <w:jc w:val="center"/>
        <w:rPr>
          <w:rFonts w:asciiTheme="majorHAnsi" w:hAnsiTheme="majorHAnsi"/>
          <w:sz w:val="18"/>
          <w:szCs w:val="22"/>
          <w:lang w:val="es-ES_tradnl"/>
        </w:rPr>
      </w:pPr>
    </w:p>
    <w:p w14:paraId="32A494EC" w14:textId="77777777" w:rsidR="00A50FCF" w:rsidRPr="005D6E61" w:rsidRDefault="00A50FCF" w:rsidP="00040C3A">
      <w:pPr>
        <w:tabs>
          <w:tab w:val="center" w:pos="5400"/>
        </w:tabs>
        <w:suppressAutoHyphens/>
        <w:jc w:val="center"/>
        <w:rPr>
          <w:rFonts w:asciiTheme="majorHAnsi" w:hAnsiTheme="majorHAnsi"/>
          <w:sz w:val="18"/>
          <w:szCs w:val="22"/>
          <w:lang w:val="es-ES_tradnl"/>
        </w:rPr>
      </w:pPr>
    </w:p>
    <w:p w14:paraId="6EF1F940" w14:textId="77777777" w:rsidR="00A50FCF" w:rsidRPr="005D6E61" w:rsidRDefault="00A50FCF" w:rsidP="00040C3A">
      <w:pPr>
        <w:tabs>
          <w:tab w:val="center" w:pos="5400"/>
        </w:tabs>
        <w:suppressAutoHyphens/>
        <w:jc w:val="center"/>
        <w:rPr>
          <w:rFonts w:asciiTheme="majorHAnsi" w:hAnsiTheme="majorHAnsi"/>
          <w:sz w:val="18"/>
          <w:szCs w:val="22"/>
          <w:lang w:val="es-ES_tradnl"/>
        </w:rPr>
      </w:pPr>
    </w:p>
    <w:p w14:paraId="53F3EC15" w14:textId="77777777" w:rsidR="00A50FCF" w:rsidRPr="005D6E61" w:rsidRDefault="00A50FCF" w:rsidP="00040C3A">
      <w:pPr>
        <w:tabs>
          <w:tab w:val="center" w:pos="5400"/>
        </w:tabs>
        <w:suppressAutoHyphens/>
        <w:jc w:val="center"/>
        <w:rPr>
          <w:rFonts w:asciiTheme="majorHAnsi" w:hAnsiTheme="majorHAnsi"/>
          <w:sz w:val="18"/>
          <w:szCs w:val="22"/>
          <w:lang w:val="es-ES_tradnl"/>
        </w:rPr>
      </w:pPr>
    </w:p>
    <w:p w14:paraId="4FB4C7C1" w14:textId="77777777" w:rsidR="00A50FCF" w:rsidRPr="005D6E61" w:rsidRDefault="00A50FCF" w:rsidP="00040C3A">
      <w:pPr>
        <w:tabs>
          <w:tab w:val="center" w:pos="5400"/>
        </w:tabs>
        <w:suppressAutoHyphens/>
        <w:jc w:val="center"/>
        <w:rPr>
          <w:rFonts w:asciiTheme="majorHAnsi" w:hAnsiTheme="majorHAnsi"/>
          <w:sz w:val="18"/>
          <w:szCs w:val="22"/>
          <w:lang w:val="es-ES_tradnl"/>
        </w:rPr>
      </w:pPr>
    </w:p>
    <w:p w14:paraId="6560270E" w14:textId="77777777" w:rsidR="00A50FCF" w:rsidRPr="005D6E61" w:rsidRDefault="00A50FCF" w:rsidP="00040C3A">
      <w:pPr>
        <w:tabs>
          <w:tab w:val="center" w:pos="5400"/>
        </w:tabs>
        <w:suppressAutoHyphens/>
        <w:jc w:val="center"/>
        <w:rPr>
          <w:rFonts w:asciiTheme="majorHAnsi" w:hAnsiTheme="majorHAnsi"/>
          <w:sz w:val="18"/>
          <w:szCs w:val="22"/>
          <w:lang w:val="es-ES_tradnl"/>
        </w:rPr>
      </w:pPr>
    </w:p>
    <w:p w14:paraId="34C72C2A" w14:textId="77777777" w:rsidR="00A50FCF" w:rsidRPr="005D6E61" w:rsidRDefault="00A50FCF" w:rsidP="00040C3A">
      <w:pPr>
        <w:tabs>
          <w:tab w:val="center" w:pos="5400"/>
        </w:tabs>
        <w:suppressAutoHyphens/>
        <w:jc w:val="center"/>
        <w:rPr>
          <w:rFonts w:asciiTheme="majorHAnsi" w:hAnsiTheme="majorHAnsi"/>
          <w:sz w:val="18"/>
          <w:szCs w:val="22"/>
          <w:lang w:val="es-ES_tradnl"/>
        </w:rPr>
      </w:pPr>
    </w:p>
    <w:p w14:paraId="57F60632" w14:textId="77777777" w:rsidR="00A50FCF" w:rsidRPr="005D6E61" w:rsidRDefault="00A50FCF" w:rsidP="00040C3A">
      <w:pPr>
        <w:tabs>
          <w:tab w:val="center" w:pos="5400"/>
        </w:tabs>
        <w:suppressAutoHyphens/>
        <w:jc w:val="center"/>
        <w:rPr>
          <w:rFonts w:asciiTheme="majorHAnsi" w:hAnsiTheme="majorHAnsi"/>
          <w:sz w:val="18"/>
          <w:szCs w:val="22"/>
          <w:lang w:val="es-ES_tradnl"/>
        </w:rPr>
      </w:pPr>
    </w:p>
    <w:p w14:paraId="14589C2F" w14:textId="77777777" w:rsidR="00A50FCF" w:rsidRPr="005D6E61" w:rsidRDefault="0090270B" w:rsidP="00040C3A">
      <w:pPr>
        <w:tabs>
          <w:tab w:val="center" w:pos="5400"/>
        </w:tabs>
        <w:suppressAutoHyphens/>
        <w:jc w:val="center"/>
        <w:rPr>
          <w:rFonts w:asciiTheme="majorHAnsi" w:hAnsiTheme="majorHAnsi"/>
          <w:sz w:val="18"/>
          <w:szCs w:val="22"/>
          <w:lang w:val="es-ES_tradnl"/>
        </w:rPr>
      </w:pPr>
      <w:r w:rsidRPr="005D6E6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195B7DA" wp14:editId="47BB056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404B1" w14:textId="77777777" w:rsidR="00AA34B1" w:rsidRPr="00863474" w:rsidRDefault="00AA34B1" w:rsidP="00247403">
                            <w:pPr>
                              <w:tabs>
                                <w:tab w:val="center" w:pos="5400"/>
                              </w:tabs>
                              <w:suppressAutoHyphens/>
                              <w:spacing w:before="60"/>
                              <w:rPr>
                                <w:rFonts w:asciiTheme="majorHAnsi" w:hAnsiTheme="majorHAnsi" w:cs="Univers"/>
                                <w:noProof/>
                                <w:color w:val="0D0D0D" w:themeColor="text1" w:themeTint="F2"/>
                                <w:sz w:val="18"/>
                                <w:szCs w:val="20"/>
                                <w:lang w:val="pt-BR"/>
                              </w:rPr>
                            </w:pPr>
                            <w:r w:rsidRPr="00863474">
                              <w:rPr>
                                <w:rFonts w:asciiTheme="majorHAnsi" w:hAnsiTheme="majorHAnsi"/>
                                <w:noProof/>
                                <w:color w:val="0D0D0D" w:themeColor="text1" w:themeTint="F2"/>
                                <w:sz w:val="18"/>
                                <w:szCs w:val="20"/>
                                <w:lang w:val="pt-BR"/>
                              </w:rPr>
                              <w:t>Apro</w:t>
                            </w:r>
                            <w:r>
                              <w:rPr>
                                <w:rFonts w:asciiTheme="majorHAnsi" w:hAnsiTheme="majorHAnsi"/>
                                <w:noProof/>
                                <w:color w:val="0D0D0D" w:themeColor="text1" w:themeTint="F2"/>
                                <w:sz w:val="18"/>
                                <w:szCs w:val="20"/>
                                <w:lang w:val="pt-BR"/>
                              </w:rPr>
                              <w:t>v</w:t>
                            </w:r>
                            <w:r w:rsidRPr="00863474">
                              <w:rPr>
                                <w:rFonts w:asciiTheme="majorHAnsi" w:hAnsiTheme="majorHAnsi"/>
                                <w:noProof/>
                                <w:color w:val="0D0D0D" w:themeColor="text1" w:themeTint="F2"/>
                                <w:sz w:val="18"/>
                                <w:szCs w:val="20"/>
                                <w:lang w:val="pt-BR"/>
                              </w:rPr>
                              <w:t>ado</w:t>
                            </w:r>
                            <w:r>
                              <w:rPr>
                                <w:rFonts w:asciiTheme="majorHAnsi" w:hAnsiTheme="majorHAnsi"/>
                                <w:noProof/>
                                <w:color w:val="0D0D0D" w:themeColor="text1" w:themeTint="F2"/>
                                <w:sz w:val="18"/>
                                <w:szCs w:val="20"/>
                                <w:lang w:val="pt-BR"/>
                              </w:rPr>
                              <w:t xml:space="preserve"> pela Comissão </w:t>
                            </w:r>
                            <w:r w:rsidR="00CA4DB2">
                              <w:rPr>
                                <w:rFonts w:asciiTheme="majorHAnsi" w:hAnsiTheme="majorHAnsi"/>
                                <w:noProof/>
                                <w:color w:val="0D0D0D" w:themeColor="text1" w:themeTint="F2"/>
                                <w:sz w:val="18"/>
                                <w:szCs w:val="20"/>
                                <w:lang w:val="pt-BR"/>
                              </w:rPr>
                              <w:t>electronicamente</w:t>
                            </w:r>
                            <w:r>
                              <w:rPr>
                                <w:rFonts w:asciiTheme="majorHAnsi" w:hAnsiTheme="majorHAnsi"/>
                                <w:noProof/>
                                <w:color w:val="0D0D0D" w:themeColor="text1" w:themeTint="F2"/>
                                <w:sz w:val="18"/>
                                <w:szCs w:val="20"/>
                                <w:lang w:val="pt-BR"/>
                              </w:rPr>
                              <w:t xml:space="preserve"> em </w:t>
                            </w:r>
                            <w:r w:rsidR="00CA4DB2">
                              <w:rPr>
                                <w:rFonts w:asciiTheme="majorHAnsi" w:hAnsiTheme="majorHAnsi"/>
                                <w:noProof/>
                                <w:color w:val="0D0D0D" w:themeColor="text1" w:themeTint="F2"/>
                                <w:sz w:val="18"/>
                                <w:szCs w:val="20"/>
                                <w:lang w:val="pt-BR"/>
                              </w:rPr>
                              <w:t xml:space="preserve">26 </w:t>
                            </w:r>
                            <w:r w:rsidRPr="00863474">
                              <w:rPr>
                                <w:rFonts w:asciiTheme="majorHAnsi" w:hAnsiTheme="majorHAnsi"/>
                                <w:noProof/>
                                <w:color w:val="0D0D0D" w:themeColor="text1" w:themeTint="F2"/>
                                <w:sz w:val="18"/>
                                <w:szCs w:val="20"/>
                                <w:lang w:val="pt-BR"/>
                              </w:rPr>
                              <w:t xml:space="preserve">de </w:t>
                            </w:r>
                            <w:r w:rsidR="00CA4DB2">
                              <w:rPr>
                                <w:rFonts w:asciiTheme="majorHAnsi" w:hAnsiTheme="majorHAnsi"/>
                                <w:noProof/>
                                <w:color w:val="0D0D0D" w:themeColor="text1" w:themeTint="F2"/>
                                <w:sz w:val="18"/>
                                <w:szCs w:val="20"/>
                                <w:lang w:val="pt-BR"/>
                              </w:rPr>
                              <w:t>abril de 2020.</w:t>
                            </w:r>
                          </w:p>
                          <w:p w14:paraId="0FF4C8C1" w14:textId="77777777" w:rsidR="00AA34B1" w:rsidRPr="00863474" w:rsidRDefault="00AA34B1" w:rsidP="00DD3D86">
                            <w:pPr>
                              <w:tabs>
                                <w:tab w:val="center" w:pos="5400"/>
                              </w:tabs>
                              <w:suppressAutoHyphens/>
                              <w:spacing w:before="60"/>
                              <w:rPr>
                                <w:rFonts w:asciiTheme="majorHAnsi" w:hAnsiTheme="majorHAnsi"/>
                                <w:noProof/>
                                <w:color w:val="0D0D0D" w:themeColor="text1" w:themeTint="F2"/>
                                <w:sz w:val="18"/>
                                <w:szCs w:val="22"/>
                                <w:lang w:val="pt-BR"/>
                              </w:rPr>
                            </w:pPr>
                          </w:p>
                          <w:p w14:paraId="3CC64E68" w14:textId="77777777" w:rsidR="00AA34B1" w:rsidRPr="00863474" w:rsidRDefault="00AA34B1" w:rsidP="00247403">
                            <w:pPr>
                              <w:tabs>
                                <w:tab w:val="center" w:pos="5400"/>
                              </w:tabs>
                              <w:suppressAutoHyphens/>
                              <w:spacing w:before="60"/>
                              <w:rPr>
                                <w:rFonts w:asciiTheme="minorHAnsi" w:hAnsiTheme="minorHAnsi" w:cs="Univers"/>
                                <w:noProof/>
                                <w:color w:val="0D0D0D" w:themeColor="text1" w:themeTint="F2"/>
                                <w:sz w:val="20"/>
                                <w:szCs w:val="20"/>
                                <w:lang w:val="pt-BR"/>
                              </w:rPr>
                            </w:pPr>
                          </w:p>
                          <w:p w14:paraId="1EBAD1C3" w14:textId="77777777" w:rsidR="00AA34B1" w:rsidRPr="00863474" w:rsidRDefault="00AA34B1" w:rsidP="0059191A">
                            <w:pPr>
                              <w:tabs>
                                <w:tab w:val="center" w:pos="5400"/>
                              </w:tabs>
                              <w:suppressAutoHyphens/>
                              <w:spacing w:before="60"/>
                              <w:rPr>
                                <w:rFonts w:ascii="Calibri" w:hAnsi="Calibri"/>
                                <w:noProof/>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5B7DA" id="Text Box 7" o:spid="_x0000_s1030"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BJ68kN9AgAA&#10;aQUAAA4AAAAAAAAAAAAAAAAALgIAAGRycy9lMm9Eb2MueG1sUEsBAi0AFAAGAAgAAAAhADRfRQzf&#10;AAAACQEAAA8AAAAAAAAAAAAAAAAA1wQAAGRycy9kb3ducmV2LnhtbFBLBQYAAAAABAAEAPMAAADj&#10;BQAAAAA=&#10;" filled="f" stroked="f" strokeweight=".5pt">
                <v:textbox>
                  <w:txbxContent>
                    <w:p w14:paraId="19C404B1" w14:textId="77777777" w:rsidR="00AA34B1" w:rsidRPr="00863474" w:rsidRDefault="00AA34B1" w:rsidP="00247403">
                      <w:pPr>
                        <w:tabs>
                          <w:tab w:val="center" w:pos="5400"/>
                        </w:tabs>
                        <w:suppressAutoHyphens/>
                        <w:spacing w:before="60"/>
                        <w:rPr>
                          <w:rFonts w:asciiTheme="majorHAnsi" w:hAnsiTheme="majorHAnsi" w:cs="Univers"/>
                          <w:noProof/>
                          <w:color w:val="0D0D0D" w:themeColor="text1" w:themeTint="F2"/>
                          <w:sz w:val="18"/>
                          <w:szCs w:val="20"/>
                          <w:lang w:val="pt-BR"/>
                        </w:rPr>
                      </w:pPr>
                      <w:r w:rsidRPr="00863474">
                        <w:rPr>
                          <w:rFonts w:asciiTheme="majorHAnsi" w:hAnsiTheme="majorHAnsi"/>
                          <w:noProof/>
                          <w:color w:val="0D0D0D" w:themeColor="text1" w:themeTint="F2"/>
                          <w:sz w:val="18"/>
                          <w:szCs w:val="20"/>
                          <w:lang w:val="pt-BR"/>
                        </w:rPr>
                        <w:t>Apro</w:t>
                      </w:r>
                      <w:r>
                        <w:rPr>
                          <w:rFonts w:asciiTheme="majorHAnsi" w:hAnsiTheme="majorHAnsi"/>
                          <w:noProof/>
                          <w:color w:val="0D0D0D" w:themeColor="text1" w:themeTint="F2"/>
                          <w:sz w:val="18"/>
                          <w:szCs w:val="20"/>
                          <w:lang w:val="pt-BR"/>
                        </w:rPr>
                        <w:t>v</w:t>
                      </w:r>
                      <w:r w:rsidRPr="00863474">
                        <w:rPr>
                          <w:rFonts w:asciiTheme="majorHAnsi" w:hAnsiTheme="majorHAnsi"/>
                          <w:noProof/>
                          <w:color w:val="0D0D0D" w:themeColor="text1" w:themeTint="F2"/>
                          <w:sz w:val="18"/>
                          <w:szCs w:val="20"/>
                          <w:lang w:val="pt-BR"/>
                        </w:rPr>
                        <w:t>ado</w:t>
                      </w:r>
                      <w:r>
                        <w:rPr>
                          <w:rFonts w:asciiTheme="majorHAnsi" w:hAnsiTheme="majorHAnsi"/>
                          <w:noProof/>
                          <w:color w:val="0D0D0D" w:themeColor="text1" w:themeTint="F2"/>
                          <w:sz w:val="18"/>
                          <w:szCs w:val="20"/>
                          <w:lang w:val="pt-BR"/>
                        </w:rPr>
                        <w:t xml:space="preserve"> pela Comissão </w:t>
                      </w:r>
                      <w:r w:rsidR="00CA4DB2">
                        <w:rPr>
                          <w:rFonts w:asciiTheme="majorHAnsi" w:hAnsiTheme="majorHAnsi"/>
                          <w:noProof/>
                          <w:color w:val="0D0D0D" w:themeColor="text1" w:themeTint="F2"/>
                          <w:sz w:val="18"/>
                          <w:szCs w:val="20"/>
                          <w:lang w:val="pt-BR"/>
                        </w:rPr>
                        <w:t>electronicamente</w:t>
                      </w:r>
                      <w:r>
                        <w:rPr>
                          <w:rFonts w:asciiTheme="majorHAnsi" w:hAnsiTheme="majorHAnsi"/>
                          <w:noProof/>
                          <w:color w:val="0D0D0D" w:themeColor="text1" w:themeTint="F2"/>
                          <w:sz w:val="18"/>
                          <w:szCs w:val="20"/>
                          <w:lang w:val="pt-BR"/>
                        </w:rPr>
                        <w:t xml:space="preserve"> em </w:t>
                      </w:r>
                      <w:r w:rsidR="00CA4DB2">
                        <w:rPr>
                          <w:rFonts w:asciiTheme="majorHAnsi" w:hAnsiTheme="majorHAnsi"/>
                          <w:noProof/>
                          <w:color w:val="0D0D0D" w:themeColor="text1" w:themeTint="F2"/>
                          <w:sz w:val="18"/>
                          <w:szCs w:val="20"/>
                          <w:lang w:val="pt-BR"/>
                        </w:rPr>
                        <w:t xml:space="preserve">26 </w:t>
                      </w:r>
                      <w:r w:rsidRPr="00863474">
                        <w:rPr>
                          <w:rFonts w:asciiTheme="majorHAnsi" w:hAnsiTheme="majorHAnsi"/>
                          <w:noProof/>
                          <w:color w:val="0D0D0D" w:themeColor="text1" w:themeTint="F2"/>
                          <w:sz w:val="18"/>
                          <w:szCs w:val="20"/>
                          <w:lang w:val="pt-BR"/>
                        </w:rPr>
                        <w:t xml:space="preserve">de </w:t>
                      </w:r>
                      <w:r w:rsidR="00CA4DB2">
                        <w:rPr>
                          <w:rFonts w:asciiTheme="majorHAnsi" w:hAnsiTheme="majorHAnsi"/>
                          <w:noProof/>
                          <w:color w:val="0D0D0D" w:themeColor="text1" w:themeTint="F2"/>
                          <w:sz w:val="18"/>
                          <w:szCs w:val="20"/>
                          <w:lang w:val="pt-BR"/>
                        </w:rPr>
                        <w:t>abril de 2020.</w:t>
                      </w:r>
                    </w:p>
                    <w:p w14:paraId="0FF4C8C1" w14:textId="77777777" w:rsidR="00AA34B1" w:rsidRPr="00863474" w:rsidRDefault="00AA34B1" w:rsidP="00DD3D86">
                      <w:pPr>
                        <w:tabs>
                          <w:tab w:val="center" w:pos="5400"/>
                        </w:tabs>
                        <w:suppressAutoHyphens/>
                        <w:spacing w:before="60"/>
                        <w:rPr>
                          <w:rFonts w:asciiTheme="majorHAnsi" w:hAnsiTheme="majorHAnsi"/>
                          <w:noProof/>
                          <w:color w:val="0D0D0D" w:themeColor="text1" w:themeTint="F2"/>
                          <w:sz w:val="18"/>
                          <w:szCs w:val="22"/>
                          <w:lang w:val="pt-BR"/>
                        </w:rPr>
                      </w:pPr>
                    </w:p>
                    <w:p w14:paraId="3CC64E68" w14:textId="77777777" w:rsidR="00AA34B1" w:rsidRPr="00863474" w:rsidRDefault="00AA34B1" w:rsidP="00247403">
                      <w:pPr>
                        <w:tabs>
                          <w:tab w:val="center" w:pos="5400"/>
                        </w:tabs>
                        <w:suppressAutoHyphens/>
                        <w:spacing w:before="60"/>
                        <w:rPr>
                          <w:rFonts w:asciiTheme="minorHAnsi" w:hAnsiTheme="minorHAnsi" w:cs="Univers"/>
                          <w:noProof/>
                          <w:color w:val="0D0D0D" w:themeColor="text1" w:themeTint="F2"/>
                          <w:sz w:val="20"/>
                          <w:szCs w:val="20"/>
                          <w:lang w:val="pt-BR"/>
                        </w:rPr>
                      </w:pPr>
                    </w:p>
                    <w:p w14:paraId="1EBAD1C3" w14:textId="77777777" w:rsidR="00AA34B1" w:rsidRPr="00863474" w:rsidRDefault="00AA34B1" w:rsidP="0059191A">
                      <w:pPr>
                        <w:tabs>
                          <w:tab w:val="center" w:pos="5400"/>
                        </w:tabs>
                        <w:suppressAutoHyphens/>
                        <w:spacing w:before="60"/>
                        <w:rPr>
                          <w:rFonts w:ascii="Calibri" w:hAnsi="Calibri"/>
                          <w:noProof/>
                          <w:color w:val="FFFFFF" w:themeColor="background1"/>
                          <w:spacing w:val="-2"/>
                          <w:sz w:val="16"/>
                          <w:lang w:val="pt-BR"/>
                        </w:rPr>
                      </w:pPr>
                    </w:p>
                  </w:txbxContent>
                </v:textbox>
              </v:shape>
            </w:pict>
          </mc:Fallback>
        </mc:AlternateContent>
      </w:r>
    </w:p>
    <w:p w14:paraId="266C7FC2" w14:textId="77777777" w:rsidR="00A50FCF" w:rsidRPr="005D6E61" w:rsidRDefault="00A50FCF" w:rsidP="00040C3A">
      <w:pPr>
        <w:tabs>
          <w:tab w:val="center" w:pos="5400"/>
        </w:tabs>
        <w:suppressAutoHyphens/>
        <w:jc w:val="center"/>
        <w:rPr>
          <w:rFonts w:asciiTheme="majorHAnsi" w:hAnsiTheme="majorHAnsi"/>
          <w:sz w:val="18"/>
          <w:szCs w:val="22"/>
          <w:lang w:val="es-ES_tradnl"/>
        </w:rPr>
      </w:pPr>
    </w:p>
    <w:p w14:paraId="2B6DF04C" w14:textId="77777777" w:rsidR="00A50FCF" w:rsidRPr="005D6E61" w:rsidRDefault="00A50FCF" w:rsidP="00040C3A">
      <w:pPr>
        <w:tabs>
          <w:tab w:val="center" w:pos="5400"/>
        </w:tabs>
        <w:suppressAutoHyphens/>
        <w:jc w:val="center"/>
        <w:rPr>
          <w:rFonts w:asciiTheme="majorHAnsi" w:hAnsiTheme="majorHAnsi"/>
          <w:sz w:val="18"/>
          <w:szCs w:val="22"/>
          <w:lang w:val="es-ES_tradnl"/>
        </w:rPr>
      </w:pPr>
    </w:p>
    <w:p w14:paraId="33A85DA4" w14:textId="77777777" w:rsidR="00A50FCF" w:rsidRPr="005D6E61" w:rsidRDefault="00A50FCF" w:rsidP="00040C3A">
      <w:pPr>
        <w:tabs>
          <w:tab w:val="center" w:pos="5400"/>
        </w:tabs>
        <w:suppressAutoHyphens/>
        <w:jc w:val="center"/>
        <w:rPr>
          <w:rFonts w:asciiTheme="majorHAnsi" w:hAnsiTheme="majorHAnsi"/>
          <w:sz w:val="18"/>
          <w:szCs w:val="22"/>
          <w:lang w:val="es-ES_tradnl"/>
        </w:rPr>
      </w:pPr>
    </w:p>
    <w:p w14:paraId="5D1D21BC" w14:textId="77777777" w:rsidR="00A50FCF" w:rsidRPr="005D6E61" w:rsidRDefault="00A50FCF" w:rsidP="00040C3A">
      <w:pPr>
        <w:tabs>
          <w:tab w:val="center" w:pos="5400"/>
        </w:tabs>
        <w:suppressAutoHyphens/>
        <w:jc w:val="center"/>
        <w:rPr>
          <w:rFonts w:asciiTheme="majorHAnsi" w:hAnsiTheme="majorHAnsi"/>
          <w:sz w:val="18"/>
          <w:szCs w:val="22"/>
          <w:lang w:val="es-ES_tradnl"/>
        </w:rPr>
      </w:pPr>
    </w:p>
    <w:p w14:paraId="41A41C3D" w14:textId="77777777" w:rsidR="00A50FCF" w:rsidRPr="005D6E61" w:rsidRDefault="0090270B" w:rsidP="00040C3A">
      <w:pPr>
        <w:tabs>
          <w:tab w:val="center" w:pos="5400"/>
        </w:tabs>
        <w:suppressAutoHyphens/>
        <w:jc w:val="center"/>
        <w:rPr>
          <w:rFonts w:asciiTheme="majorHAnsi" w:hAnsiTheme="majorHAnsi"/>
          <w:sz w:val="18"/>
          <w:szCs w:val="22"/>
          <w:lang w:val="es-ES_tradnl"/>
        </w:rPr>
      </w:pPr>
      <w:r w:rsidRPr="005D6E6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CCC21A1" wp14:editId="6E33011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01C01" w14:textId="77777777" w:rsidR="00AA34B1" w:rsidRPr="001C4389" w:rsidRDefault="00AA34B1"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w:t>
                            </w:r>
                            <w:r>
                              <w:rPr>
                                <w:rFonts w:asciiTheme="majorHAnsi" w:hAnsiTheme="majorHAnsi"/>
                                <w:color w:val="595959" w:themeColor="text1" w:themeTint="A6"/>
                                <w:sz w:val="18"/>
                                <w:szCs w:val="18"/>
                                <w:lang w:val="pt-BR"/>
                              </w:rPr>
                              <w:t>º</w:t>
                            </w:r>
                            <w:r w:rsidRPr="007F22A8">
                              <w:rPr>
                                <w:rFonts w:asciiTheme="majorHAnsi" w:hAnsiTheme="majorHAnsi"/>
                                <w:color w:val="595959" w:themeColor="text1" w:themeTint="A6"/>
                                <w:sz w:val="18"/>
                                <w:szCs w:val="18"/>
                                <w:lang w:val="pt-BR"/>
                              </w:rPr>
                              <w:t xml:space="preserve"> </w:t>
                            </w:r>
                            <w:r w:rsidR="00CA4DB2">
                              <w:rPr>
                                <w:rFonts w:asciiTheme="majorHAnsi" w:hAnsiTheme="majorHAnsi"/>
                                <w:color w:val="595959" w:themeColor="text1" w:themeTint="A6"/>
                                <w:sz w:val="18"/>
                                <w:szCs w:val="18"/>
                                <w:lang w:val="pt-BR"/>
                              </w:rPr>
                              <w:t>31/20</w:t>
                            </w:r>
                            <w:r w:rsidRPr="00DD5079">
                              <w:rPr>
                                <w:rFonts w:asciiTheme="majorHAnsi" w:hAnsiTheme="majorHAnsi"/>
                                <w:color w:val="595959" w:themeColor="text1" w:themeTint="A6"/>
                                <w:sz w:val="18"/>
                                <w:szCs w:val="18"/>
                                <w:lang w:val="pt-BR"/>
                              </w:rPr>
                              <w:t xml:space="preserve">, Caso 12.332. </w:t>
                            </w:r>
                            <w:r>
                              <w:rPr>
                                <w:rFonts w:asciiTheme="majorHAnsi" w:hAnsiTheme="majorHAnsi"/>
                                <w:color w:val="595959" w:themeColor="text1" w:themeTint="A6"/>
                                <w:sz w:val="18"/>
                                <w:szCs w:val="18"/>
                                <w:lang w:val="pt-BR"/>
                              </w:rPr>
                              <w:t>Mérito</w:t>
                            </w:r>
                            <w:r w:rsidR="009309B8">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w:t>
                            </w:r>
                            <w:r w:rsidR="008154D8">
                              <w:rPr>
                                <w:rFonts w:asciiTheme="majorHAnsi" w:hAnsiTheme="majorHAnsi"/>
                                <w:color w:val="595959" w:themeColor="text1" w:themeTint="A6"/>
                                <w:sz w:val="18"/>
                                <w:szCs w:val="18"/>
                                <w:lang w:val="pt-BR"/>
                              </w:rPr>
                              <w:t>Publica</w:t>
                            </w:r>
                            <w:r w:rsidR="008154D8" w:rsidRPr="008154D8">
                              <w:rPr>
                                <w:rFonts w:asciiTheme="majorHAnsi" w:hAnsiTheme="majorHAnsi"/>
                                <w:color w:val="595959" w:themeColor="text1" w:themeTint="A6"/>
                                <w:sz w:val="18"/>
                                <w:szCs w:val="18"/>
                                <w:lang w:val="pt-BR"/>
                              </w:rPr>
                              <w:t>çã</w:t>
                            </w:r>
                            <w:r w:rsidR="008154D8">
                              <w:rPr>
                                <w:rFonts w:asciiTheme="majorHAnsi" w:hAnsiTheme="majorHAnsi"/>
                                <w:color w:val="595959" w:themeColor="text1" w:themeTint="A6"/>
                                <w:sz w:val="18"/>
                                <w:szCs w:val="18"/>
                                <w:lang w:val="pt-BR"/>
                              </w:rPr>
                              <w:t>o</w:t>
                            </w:r>
                            <w:r>
                              <w:rPr>
                                <w:rFonts w:asciiTheme="majorHAnsi" w:hAnsiTheme="majorHAnsi"/>
                                <w:color w:val="595959" w:themeColor="text1" w:themeTint="A6"/>
                                <w:sz w:val="18"/>
                                <w:szCs w:val="18"/>
                                <w:lang w:val="pt-BR"/>
                              </w:rPr>
                              <w:t>)</w:t>
                            </w:r>
                            <w:r w:rsidRPr="007F22A8">
                              <w:rPr>
                                <w:rFonts w:asciiTheme="majorHAnsi" w:hAnsiTheme="majorHAnsi"/>
                                <w:color w:val="595959" w:themeColor="text1" w:themeTint="A6"/>
                                <w:sz w:val="18"/>
                                <w:szCs w:val="18"/>
                                <w:lang w:val="pt-BR"/>
                              </w:rPr>
                              <w:t>. Margarida Maria Alves</w:t>
                            </w:r>
                            <w:r>
                              <w:rPr>
                                <w:rFonts w:asciiTheme="majorHAnsi" w:hAnsiTheme="majorHAnsi"/>
                                <w:color w:val="595959" w:themeColor="text1" w:themeTint="A6"/>
                                <w:sz w:val="18"/>
                                <w:szCs w:val="18"/>
                                <w:lang w:val="pt-BR"/>
                              </w:rPr>
                              <w:t xml:space="preserve"> e familiares</w:t>
                            </w:r>
                            <w:r w:rsidRPr="007F22A8">
                              <w:rPr>
                                <w:rFonts w:asciiTheme="majorHAnsi" w:hAnsiTheme="majorHAnsi"/>
                                <w:color w:val="595959" w:themeColor="text1" w:themeTint="A6"/>
                                <w:sz w:val="18"/>
                                <w:szCs w:val="18"/>
                                <w:lang w:val="pt-BR"/>
                              </w:rPr>
                              <w:t>. Brasil.</w:t>
                            </w:r>
                            <w:r>
                              <w:rPr>
                                <w:rFonts w:asciiTheme="majorHAnsi" w:hAnsiTheme="majorHAnsi"/>
                                <w:color w:val="595959" w:themeColor="text1" w:themeTint="A6"/>
                                <w:sz w:val="18"/>
                                <w:szCs w:val="18"/>
                                <w:lang w:val="pt-BR"/>
                              </w:rPr>
                              <w:t xml:space="preserve"> </w:t>
                            </w:r>
                            <w:r w:rsidR="00CA4DB2">
                              <w:rPr>
                                <w:rFonts w:asciiTheme="majorHAnsi" w:hAnsiTheme="majorHAnsi"/>
                                <w:color w:val="595959" w:themeColor="text1" w:themeTint="A6"/>
                                <w:sz w:val="18"/>
                                <w:szCs w:val="18"/>
                                <w:lang w:val="pt-BR"/>
                              </w:rPr>
                              <w:t>26 de abril de 2020</w:t>
                            </w:r>
                            <w:r w:rsidRPr="001C4389">
                              <w:rPr>
                                <w:rFonts w:asciiTheme="majorHAnsi" w:hAnsiTheme="majorHAnsi"/>
                                <w:color w:val="595959" w:themeColor="text1" w:themeTint="A6"/>
                                <w:sz w:val="18"/>
                                <w:szCs w:val="18"/>
                                <w:lang w:val="pt-B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C21A1"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" filled="f" stroked="f" strokeweight=".5pt">
                <v:textbox>
                  <w:txbxContent>
                    <w:p w14:paraId="2F901C01" w14:textId="77777777" w:rsidR="00AA34B1" w:rsidRPr="001C4389" w:rsidRDefault="00AA34B1"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Relatório</w:t>
                      </w:r>
                      <w:r w:rsidRPr="00890650">
                        <w:rPr>
                          <w:rFonts w:asciiTheme="majorHAnsi" w:hAnsiTheme="majorHAnsi"/>
                          <w:color w:val="595959" w:themeColor="text1" w:themeTint="A6"/>
                          <w:sz w:val="18"/>
                          <w:szCs w:val="18"/>
                          <w:lang w:val="pt-BR"/>
                        </w:rPr>
                        <w:t xml:space="preserve"> N</w:t>
                      </w:r>
                      <w:r>
                        <w:rPr>
                          <w:rFonts w:asciiTheme="majorHAnsi" w:hAnsiTheme="majorHAnsi"/>
                          <w:color w:val="595959" w:themeColor="text1" w:themeTint="A6"/>
                          <w:sz w:val="18"/>
                          <w:szCs w:val="18"/>
                          <w:lang w:val="pt-BR"/>
                        </w:rPr>
                        <w:t>º</w:t>
                      </w:r>
                      <w:r w:rsidRPr="007F22A8">
                        <w:rPr>
                          <w:rFonts w:asciiTheme="majorHAnsi" w:hAnsiTheme="majorHAnsi"/>
                          <w:color w:val="595959" w:themeColor="text1" w:themeTint="A6"/>
                          <w:sz w:val="18"/>
                          <w:szCs w:val="18"/>
                          <w:lang w:val="pt-BR"/>
                        </w:rPr>
                        <w:t xml:space="preserve"> </w:t>
                      </w:r>
                      <w:r w:rsidR="00CA4DB2">
                        <w:rPr>
                          <w:rFonts w:asciiTheme="majorHAnsi" w:hAnsiTheme="majorHAnsi"/>
                          <w:color w:val="595959" w:themeColor="text1" w:themeTint="A6"/>
                          <w:sz w:val="18"/>
                          <w:szCs w:val="18"/>
                          <w:lang w:val="pt-BR"/>
                        </w:rPr>
                        <w:t>31/20</w:t>
                      </w:r>
                      <w:r w:rsidRPr="00DD5079">
                        <w:rPr>
                          <w:rFonts w:asciiTheme="majorHAnsi" w:hAnsiTheme="majorHAnsi"/>
                          <w:color w:val="595959" w:themeColor="text1" w:themeTint="A6"/>
                          <w:sz w:val="18"/>
                          <w:szCs w:val="18"/>
                          <w:lang w:val="pt-BR"/>
                        </w:rPr>
                        <w:t xml:space="preserve">, Caso 12.332. </w:t>
                      </w:r>
                      <w:r>
                        <w:rPr>
                          <w:rFonts w:asciiTheme="majorHAnsi" w:hAnsiTheme="majorHAnsi"/>
                          <w:color w:val="595959" w:themeColor="text1" w:themeTint="A6"/>
                          <w:sz w:val="18"/>
                          <w:szCs w:val="18"/>
                          <w:lang w:val="pt-BR"/>
                        </w:rPr>
                        <w:t>Mérito</w:t>
                      </w:r>
                      <w:r w:rsidR="009309B8">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w:t>
                      </w:r>
                      <w:r w:rsidR="008154D8">
                        <w:rPr>
                          <w:rFonts w:asciiTheme="majorHAnsi" w:hAnsiTheme="majorHAnsi"/>
                          <w:color w:val="595959" w:themeColor="text1" w:themeTint="A6"/>
                          <w:sz w:val="18"/>
                          <w:szCs w:val="18"/>
                          <w:lang w:val="pt-BR"/>
                        </w:rPr>
                        <w:t>Publica</w:t>
                      </w:r>
                      <w:r w:rsidR="008154D8" w:rsidRPr="008154D8">
                        <w:rPr>
                          <w:rFonts w:asciiTheme="majorHAnsi" w:hAnsiTheme="majorHAnsi"/>
                          <w:color w:val="595959" w:themeColor="text1" w:themeTint="A6"/>
                          <w:sz w:val="18"/>
                          <w:szCs w:val="18"/>
                          <w:lang w:val="pt-BR"/>
                        </w:rPr>
                        <w:t>çã</w:t>
                      </w:r>
                      <w:r w:rsidR="008154D8">
                        <w:rPr>
                          <w:rFonts w:asciiTheme="majorHAnsi" w:hAnsiTheme="majorHAnsi"/>
                          <w:color w:val="595959" w:themeColor="text1" w:themeTint="A6"/>
                          <w:sz w:val="18"/>
                          <w:szCs w:val="18"/>
                          <w:lang w:val="pt-BR"/>
                        </w:rPr>
                        <w:t>o</w:t>
                      </w:r>
                      <w:r>
                        <w:rPr>
                          <w:rFonts w:asciiTheme="majorHAnsi" w:hAnsiTheme="majorHAnsi"/>
                          <w:color w:val="595959" w:themeColor="text1" w:themeTint="A6"/>
                          <w:sz w:val="18"/>
                          <w:szCs w:val="18"/>
                          <w:lang w:val="pt-BR"/>
                        </w:rPr>
                        <w:t>)</w:t>
                      </w:r>
                      <w:r w:rsidRPr="007F22A8">
                        <w:rPr>
                          <w:rFonts w:asciiTheme="majorHAnsi" w:hAnsiTheme="majorHAnsi"/>
                          <w:color w:val="595959" w:themeColor="text1" w:themeTint="A6"/>
                          <w:sz w:val="18"/>
                          <w:szCs w:val="18"/>
                          <w:lang w:val="pt-BR"/>
                        </w:rPr>
                        <w:t>. Margarida Maria Alves</w:t>
                      </w:r>
                      <w:r>
                        <w:rPr>
                          <w:rFonts w:asciiTheme="majorHAnsi" w:hAnsiTheme="majorHAnsi"/>
                          <w:color w:val="595959" w:themeColor="text1" w:themeTint="A6"/>
                          <w:sz w:val="18"/>
                          <w:szCs w:val="18"/>
                          <w:lang w:val="pt-BR"/>
                        </w:rPr>
                        <w:t xml:space="preserve"> e familiares</w:t>
                      </w:r>
                      <w:r w:rsidRPr="007F22A8">
                        <w:rPr>
                          <w:rFonts w:asciiTheme="majorHAnsi" w:hAnsiTheme="majorHAnsi"/>
                          <w:color w:val="595959" w:themeColor="text1" w:themeTint="A6"/>
                          <w:sz w:val="18"/>
                          <w:szCs w:val="18"/>
                          <w:lang w:val="pt-BR"/>
                        </w:rPr>
                        <w:t>. Brasil.</w:t>
                      </w:r>
                      <w:r>
                        <w:rPr>
                          <w:rFonts w:asciiTheme="majorHAnsi" w:hAnsiTheme="majorHAnsi"/>
                          <w:color w:val="595959" w:themeColor="text1" w:themeTint="A6"/>
                          <w:sz w:val="18"/>
                          <w:szCs w:val="18"/>
                          <w:lang w:val="pt-BR"/>
                        </w:rPr>
                        <w:t xml:space="preserve"> </w:t>
                      </w:r>
                      <w:r w:rsidR="00CA4DB2">
                        <w:rPr>
                          <w:rFonts w:asciiTheme="majorHAnsi" w:hAnsiTheme="majorHAnsi"/>
                          <w:color w:val="595959" w:themeColor="text1" w:themeTint="A6"/>
                          <w:sz w:val="18"/>
                          <w:szCs w:val="18"/>
                          <w:lang w:val="pt-BR"/>
                        </w:rPr>
                        <w:t>26 de abril de 2020</w:t>
                      </w:r>
                      <w:r w:rsidRPr="001C4389">
                        <w:rPr>
                          <w:rFonts w:asciiTheme="majorHAnsi" w:hAnsiTheme="majorHAnsi"/>
                          <w:color w:val="595959" w:themeColor="text1" w:themeTint="A6"/>
                          <w:sz w:val="18"/>
                          <w:szCs w:val="18"/>
                          <w:lang w:val="pt-BR"/>
                        </w:rPr>
                        <w:t xml:space="preserve">. </w:t>
                      </w:r>
                    </w:p>
                  </w:txbxContent>
                </v:textbox>
              </v:shape>
            </w:pict>
          </mc:Fallback>
        </mc:AlternateContent>
      </w:r>
    </w:p>
    <w:p w14:paraId="4FDC1C10" w14:textId="77777777" w:rsidR="00A50FCF" w:rsidRPr="005D6E61" w:rsidRDefault="00A50FCF" w:rsidP="00040C3A">
      <w:pPr>
        <w:tabs>
          <w:tab w:val="center" w:pos="5400"/>
        </w:tabs>
        <w:suppressAutoHyphens/>
        <w:jc w:val="center"/>
        <w:rPr>
          <w:rFonts w:asciiTheme="majorHAnsi" w:hAnsiTheme="majorHAnsi"/>
          <w:sz w:val="18"/>
          <w:szCs w:val="22"/>
          <w:lang w:val="es-ES_tradnl"/>
        </w:rPr>
      </w:pPr>
    </w:p>
    <w:p w14:paraId="4A2D6BBA" w14:textId="77777777" w:rsidR="0090270B" w:rsidRPr="005D6E61" w:rsidRDefault="00D306D1" w:rsidP="005516A1">
      <w:pPr>
        <w:tabs>
          <w:tab w:val="center" w:pos="5400"/>
        </w:tabs>
        <w:suppressAutoHyphens/>
        <w:jc w:val="center"/>
        <w:rPr>
          <w:rFonts w:asciiTheme="majorHAnsi" w:hAnsiTheme="majorHAnsi"/>
          <w:b/>
          <w:sz w:val="20"/>
          <w:lang w:val="es-ES_tradnl"/>
        </w:rPr>
      </w:pPr>
      <w:r w:rsidRPr="005D6E6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5BCD273" wp14:editId="27E2679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7AF5EB" w14:textId="77777777" w:rsidR="00AA34B1" w:rsidRPr="00D72DC6" w:rsidRDefault="00AA34B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DA5F56D" wp14:editId="52C51C6E">
                                  <wp:extent cx="1338942" cy="390525"/>
                                  <wp:effectExtent l="0" t="0" r="0" b="0"/>
                                  <wp:docPr id="16" name="Picture 1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8942" cy="390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CD273"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14:paraId="797AF5EB" w14:textId="77777777" w:rsidR="00AA34B1" w:rsidRPr="00D72DC6" w:rsidRDefault="00AA34B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DA5F56D" wp14:editId="52C51C6E">
                            <wp:extent cx="1338942" cy="390525"/>
                            <wp:effectExtent l="0" t="0" r="0" b="0"/>
                            <wp:docPr id="16" name="Picture 16"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8942" cy="390525"/>
                                    </a:xfrm>
                                    <a:prstGeom prst="rect">
                                      <a:avLst/>
                                    </a:prstGeom>
                                    <a:noFill/>
                                    <a:ln>
                                      <a:noFill/>
                                    </a:ln>
                                  </pic:spPr>
                                </pic:pic>
                              </a:graphicData>
                            </a:graphic>
                          </wp:inline>
                        </w:drawing>
                      </w:r>
                    </w:p>
                  </w:txbxContent>
                </v:textbox>
              </v:shape>
            </w:pict>
          </mc:Fallback>
        </mc:AlternateContent>
      </w:r>
      <w:r w:rsidRPr="005D6E6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3ABB45D" wp14:editId="5D331E5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6D660C" w14:textId="77777777" w:rsidR="00AA34B1" w:rsidRPr="004B7EB6" w:rsidRDefault="00AA34B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BB45D" id="Text Box 4" o:spid="_x0000_s1033"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BZ&#10;HasJgQIAAGkFAAAOAAAAAAAAAAAAAAAAAC4CAABkcnMvZTJvRG9jLnhtbFBLAQItABQABgAIAAAA&#10;IQBdLTBP4gAAAAsBAAAPAAAAAAAAAAAAAAAAANsEAABkcnMvZG93bnJldi54bWxQSwUGAAAAAAQA&#10;BADzAAAA6gUAAAAA&#10;" filled="f" stroked="f" strokeweight=".5pt">
                <v:textbox>
                  <w:txbxContent>
                    <w:p w14:paraId="156D660C" w14:textId="77777777" w:rsidR="00AA34B1" w:rsidRPr="004B7EB6" w:rsidRDefault="00AA34B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B8A9736" w14:textId="77777777" w:rsidR="0070697F" w:rsidRPr="005D6E61" w:rsidRDefault="0070697F" w:rsidP="005516A1">
      <w:pPr>
        <w:tabs>
          <w:tab w:val="center" w:pos="5400"/>
        </w:tabs>
        <w:suppressAutoHyphens/>
        <w:jc w:val="center"/>
        <w:rPr>
          <w:rFonts w:asciiTheme="majorHAnsi" w:hAnsiTheme="majorHAnsi"/>
          <w:b/>
          <w:sz w:val="20"/>
          <w:lang w:val="es-ES_tradnl"/>
        </w:rPr>
        <w:sectPr w:rsidR="0070697F" w:rsidRPr="005D6E61" w:rsidSect="00C054DF">
          <w:headerReference w:type="even" r:id="rId10"/>
          <w:headerReference w:type="default"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p>
    <w:sdt>
      <w:sdtPr>
        <w:rPr>
          <w:rFonts w:ascii="Times New Roman" w:eastAsia="Arial Unicode MS" w:hAnsi="Times New Roman" w:cs="Times New Roman"/>
          <w:b w:val="0"/>
          <w:bCs w:val="0"/>
          <w:color w:val="auto"/>
          <w:sz w:val="20"/>
          <w:szCs w:val="20"/>
          <w:bdr w:val="nil"/>
          <w:lang w:eastAsia="en-US"/>
        </w:rPr>
        <w:id w:val="2143993344"/>
        <w:docPartObj>
          <w:docPartGallery w:val="Table of Contents"/>
          <w:docPartUnique/>
        </w:docPartObj>
      </w:sdtPr>
      <w:sdtEndPr>
        <w:rPr>
          <w:noProof/>
        </w:rPr>
      </w:sdtEndPr>
      <w:sdtContent>
        <w:p w14:paraId="1ED7C7E3" w14:textId="77777777" w:rsidR="00560837" w:rsidRPr="005D6E61" w:rsidRDefault="00560837">
          <w:pPr>
            <w:pStyle w:val="TOCHeading"/>
            <w:rPr>
              <w:sz w:val="20"/>
              <w:szCs w:val="20"/>
            </w:rPr>
          </w:pPr>
        </w:p>
        <w:p w14:paraId="571C1E10" w14:textId="7B1781DA" w:rsidR="00A80BBD" w:rsidRPr="005D6E61" w:rsidRDefault="00560837">
          <w:pPr>
            <w:pStyle w:val="TOC1"/>
            <w:rPr>
              <w:rFonts w:eastAsiaTheme="minorEastAsia" w:cstheme="minorBidi"/>
              <w:b w:val="0"/>
              <w:bdr w:val="none" w:sz="0" w:space="0" w:color="auto"/>
              <w:lang w:val="en-US"/>
            </w:rPr>
          </w:pPr>
          <w:r w:rsidRPr="005D6E61">
            <w:fldChar w:fldCharType="begin"/>
          </w:r>
          <w:r w:rsidRPr="005D6E61">
            <w:instrText xml:space="preserve"> TOC \o "1-3" \h \z \u </w:instrText>
          </w:r>
          <w:r w:rsidRPr="005D6E61">
            <w:fldChar w:fldCharType="separate"/>
          </w:r>
          <w:hyperlink w:anchor="_Toc27990554" w:history="1">
            <w:r w:rsidR="00A80BBD" w:rsidRPr="005D6E61">
              <w:rPr>
                <w:rStyle w:val="Hyperlink"/>
                <w:lang w:val="pt-BR"/>
              </w:rPr>
              <w:t>I.</w:t>
            </w:r>
            <w:r w:rsidR="00A80BBD" w:rsidRPr="005D6E61">
              <w:rPr>
                <w:rFonts w:eastAsiaTheme="minorEastAsia" w:cstheme="minorBidi"/>
                <w:b w:val="0"/>
                <w:bdr w:val="none" w:sz="0" w:space="0" w:color="auto"/>
                <w:lang w:val="en-US"/>
              </w:rPr>
              <w:tab/>
            </w:r>
            <w:r w:rsidR="00A80BBD" w:rsidRPr="005D6E61">
              <w:rPr>
                <w:rStyle w:val="Hyperlink"/>
                <w:lang w:val="pt-BR"/>
              </w:rPr>
              <w:t>RESUMO</w:t>
            </w:r>
            <w:r w:rsidR="00A80BBD" w:rsidRPr="005D6E61">
              <w:rPr>
                <w:webHidden/>
              </w:rPr>
              <w:tab/>
            </w:r>
            <w:r w:rsidR="00A80BBD" w:rsidRPr="005D6E61">
              <w:rPr>
                <w:webHidden/>
              </w:rPr>
              <w:fldChar w:fldCharType="begin"/>
            </w:r>
            <w:r w:rsidR="00A80BBD" w:rsidRPr="005D6E61">
              <w:rPr>
                <w:webHidden/>
              </w:rPr>
              <w:instrText xml:space="preserve"> PAGEREF _Toc27990554 \h </w:instrText>
            </w:r>
            <w:r w:rsidR="00A80BBD" w:rsidRPr="005D6E61">
              <w:rPr>
                <w:webHidden/>
              </w:rPr>
            </w:r>
            <w:r w:rsidR="00A80BBD" w:rsidRPr="005D6E61">
              <w:rPr>
                <w:webHidden/>
              </w:rPr>
              <w:fldChar w:fldCharType="separate"/>
            </w:r>
            <w:r w:rsidR="0028613C">
              <w:rPr>
                <w:webHidden/>
              </w:rPr>
              <w:t>2</w:t>
            </w:r>
            <w:r w:rsidR="00A80BBD" w:rsidRPr="005D6E61">
              <w:rPr>
                <w:webHidden/>
              </w:rPr>
              <w:fldChar w:fldCharType="end"/>
            </w:r>
          </w:hyperlink>
        </w:p>
        <w:p w14:paraId="6CBA3A67" w14:textId="5626E720" w:rsidR="00A80BBD" w:rsidRPr="005D6E61" w:rsidRDefault="0028613C">
          <w:pPr>
            <w:pStyle w:val="TOC1"/>
            <w:rPr>
              <w:rFonts w:eastAsiaTheme="minorEastAsia" w:cstheme="minorBidi"/>
              <w:b w:val="0"/>
              <w:bdr w:val="none" w:sz="0" w:space="0" w:color="auto"/>
              <w:lang w:val="en-US"/>
            </w:rPr>
          </w:pPr>
          <w:hyperlink w:anchor="_Toc27990555" w:history="1">
            <w:r w:rsidR="00A80BBD" w:rsidRPr="005D6E61">
              <w:rPr>
                <w:rStyle w:val="Hyperlink"/>
                <w:lang w:val="pt-BR"/>
              </w:rPr>
              <w:t>II.</w:t>
            </w:r>
            <w:r w:rsidR="00A80BBD" w:rsidRPr="005D6E61">
              <w:rPr>
                <w:rFonts w:eastAsiaTheme="minorEastAsia" w:cstheme="minorBidi"/>
                <w:b w:val="0"/>
                <w:bdr w:val="none" w:sz="0" w:space="0" w:color="auto"/>
                <w:lang w:val="en-US"/>
              </w:rPr>
              <w:tab/>
            </w:r>
            <w:r w:rsidR="00A80BBD" w:rsidRPr="005D6E61">
              <w:rPr>
                <w:rStyle w:val="Hyperlink"/>
                <w:lang w:val="pt-BR"/>
              </w:rPr>
              <w:t>ALEGAÇÕES DAS PARTES</w:t>
            </w:r>
            <w:r w:rsidR="00A80BBD" w:rsidRPr="005D6E61">
              <w:rPr>
                <w:webHidden/>
              </w:rPr>
              <w:tab/>
            </w:r>
            <w:r w:rsidR="00A80BBD" w:rsidRPr="005D6E61">
              <w:rPr>
                <w:webHidden/>
              </w:rPr>
              <w:fldChar w:fldCharType="begin"/>
            </w:r>
            <w:r w:rsidR="00A80BBD" w:rsidRPr="005D6E61">
              <w:rPr>
                <w:webHidden/>
              </w:rPr>
              <w:instrText xml:space="preserve"> PAGEREF _Toc27990555 \h </w:instrText>
            </w:r>
            <w:r w:rsidR="00A80BBD" w:rsidRPr="005D6E61">
              <w:rPr>
                <w:webHidden/>
              </w:rPr>
            </w:r>
            <w:r w:rsidR="00A80BBD" w:rsidRPr="005D6E61">
              <w:rPr>
                <w:webHidden/>
              </w:rPr>
              <w:fldChar w:fldCharType="separate"/>
            </w:r>
            <w:r>
              <w:rPr>
                <w:webHidden/>
              </w:rPr>
              <w:t>2</w:t>
            </w:r>
            <w:r w:rsidR="00A80BBD" w:rsidRPr="005D6E61">
              <w:rPr>
                <w:webHidden/>
              </w:rPr>
              <w:fldChar w:fldCharType="end"/>
            </w:r>
          </w:hyperlink>
        </w:p>
        <w:p w14:paraId="3F5F8584" w14:textId="44A33C56" w:rsidR="00A80BBD" w:rsidRPr="005D6E61" w:rsidRDefault="0028613C">
          <w:pPr>
            <w:pStyle w:val="TOC2"/>
            <w:rPr>
              <w:rFonts w:asciiTheme="majorHAnsi" w:eastAsiaTheme="minorEastAsia" w:hAnsiTheme="majorHAnsi" w:cstheme="minorBidi"/>
              <w:noProof/>
              <w:sz w:val="20"/>
              <w:szCs w:val="20"/>
              <w:bdr w:val="none" w:sz="0" w:space="0" w:color="auto"/>
            </w:rPr>
          </w:pPr>
          <w:hyperlink w:anchor="_Toc27990556" w:history="1">
            <w:r w:rsidR="00A80BBD" w:rsidRPr="005D6E61">
              <w:rPr>
                <w:rStyle w:val="Hyperlink"/>
                <w:rFonts w:asciiTheme="majorHAnsi" w:hAnsiTheme="majorHAnsi"/>
                <w:noProof/>
                <w:sz w:val="20"/>
                <w:szCs w:val="20"/>
                <w:lang w:val="pt-BR"/>
              </w:rPr>
              <w:t>A.</w:t>
            </w:r>
            <w:r w:rsidR="00A80BBD" w:rsidRPr="005D6E61">
              <w:rPr>
                <w:rFonts w:asciiTheme="majorHAnsi" w:eastAsiaTheme="minorEastAsia" w:hAnsiTheme="majorHAnsi" w:cstheme="minorBidi"/>
                <w:noProof/>
                <w:sz w:val="20"/>
                <w:szCs w:val="20"/>
                <w:bdr w:val="none" w:sz="0" w:space="0" w:color="auto"/>
              </w:rPr>
              <w:tab/>
            </w:r>
            <w:r w:rsidR="00A80BBD" w:rsidRPr="005D6E61">
              <w:rPr>
                <w:rStyle w:val="Hyperlink"/>
                <w:rFonts w:asciiTheme="majorHAnsi" w:hAnsiTheme="majorHAnsi"/>
                <w:noProof/>
                <w:sz w:val="20"/>
                <w:szCs w:val="20"/>
                <w:lang w:val="pt-BR"/>
              </w:rPr>
              <w:t>Posição dos peticionários</w:t>
            </w:r>
            <w:r w:rsidR="00A80BBD" w:rsidRPr="005D6E61">
              <w:rPr>
                <w:rFonts w:asciiTheme="majorHAnsi" w:hAnsiTheme="majorHAnsi"/>
                <w:noProof/>
                <w:webHidden/>
                <w:sz w:val="20"/>
                <w:szCs w:val="20"/>
              </w:rPr>
              <w:tab/>
            </w:r>
            <w:r w:rsidR="00A80BBD" w:rsidRPr="005D6E61">
              <w:rPr>
                <w:rFonts w:asciiTheme="majorHAnsi" w:hAnsiTheme="majorHAnsi"/>
                <w:noProof/>
                <w:webHidden/>
                <w:sz w:val="20"/>
                <w:szCs w:val="20"/>
              </w:rPr>
              <w:fldChar w:fldCharType="begin"/>
            </w:r>
            <w:r w:rsidR="00A80BBD" w:rsidRPr="005D6E61">
              <w:rPr>
                <w:rFonts w:asciiTheme="majorHAnsi" w:hAnsiTheme="majorHAnsi"/>
                <w:noProof/>
                <w:webHidden/>
                <w:sz w:val="20"/>
                <w:szCs w:val="20"/>
              </w:rPr>
              <w:instrText xml:space="preserve"> PAGEREF _Toc27990556 \h </w:instrText>
            </w:r>
            <w:r w:rsidR="00A80BBD" w:rsidRPr="005D6E61">
              <w:rPr>
                <w:rFonts w:asciiTheme="majorHAnsi" w:hAnsiTheme="majorHAnsi"/>
                <w:noProof/>
                <w:webHidden/>
                <w:sz w:val="20"/>
                <w:szCs w:val="20"/>
              </w:rPr>
            </w:r>
            <w:r w:rsidR="00A80BBD" w:rsidRPr="005D6E61">
              <w:rPr>
                <w:rFonts w:asciiTheme="majorHAnsi" w:hAnsiTheme="majorHAnsi"/>
                <w:noProof/>
                <w:webHidden/>
                <w:sz w:val="20"/>
                <w:szCs w:val="20"/>
              </w:rPr>
              <w:fldChar w:fldCharType="separate"/>
            </w:r>
            <w:r>
              <w:rPr>
                <w:rFonts w:asciiTheme="majorHAnsi" w:hAnsiTheme="majorHAnsi"/>
                <w:noProof/>
                <w:webHidden/>
                <w:sz w:val="20"/>
                <w:szCs w:val="20"/>
              </w:rPr>
              <w:t>2</w:t>
            </w:r>
            <w:r w:rsidR="00A80BBD" w:rsidRPr="005D6E61">
              <w:rPr>
                <w:rFonts w:asciiTheme="majorHAnsi" w:hAnsiTheme="majorHAnsi"/>
                <w:noProof/>
                <w:webHidden/>
                <w:sz w:val="20"/>
                <w:szCs w:val="20"/>
              </w:rPr>
              <w:fldChar w:fldCharType="end"/>
            </w:r>
          </w:hyperlink>
        </w:p>
        <w:p w14:paraId="4E91FBC8" w14:textId="6E0DDD68" w:rsidR="00A80BBD" w:rsidRPr="005D6E61" w:rsidRDefault="0028613C">
          <w:pPr>
            <w:pStyle w:val="TOC2"/>
            <w:rPr>
              <w:rFonts w:asciiTheme="majorHAnsi" w:eastAsiaTheme="minorEastAsia" w:hAnsiTheme="majorHAnsi" w:cstheme="minorBidi"/>
              <w:noProof/>
              <w:sz w:val="20"/>
              <w:szCs w:val="20"/>
              <w:bdr w:val="none" w:sz="0" w:space="0" w:color="auto"/>
            </w:rPr>
          </w:pPr>
          <w:hyperlink w:anchor="_Toc27990557" w:history="1">
            <w:r w:rsidR="00A80BBD" w:rsidRPr="005D6E61">
              <w:rPr>
                <w:rStyle w:val="Hyperlink"/>
                <w:rFonts w:asciiTheme="majorHAnsi" w:hAnsiTheme="majorHAnsi"/>
                <w:noProof/>
                <w:sz w:val="20"/>
                <w:szCs w:val="20"/>
                <w:lang w:val="pt-BR"/>
              </w:rPr>
              <w:t>B.</w:t>
            </w:r>
            <w:r w:rsidR="00A80BBD" w:rsidRPr="005D6E61">
              <w:rPr>
                <w:rFonts w:asciiTheme="majorHAnsi" w:eastAsiaTheme="minorEastAsia" w:hAnsiTheme="majorHAnsi" w:cstheme="minorBidi"/>
                <w:noProof/>
                <w:sz w:val="20"/>
                <w:szCs w:val="20"/>
                <w:bdr w:val="none" w:sz="0" w:space="0" w:color="auto"/>
              </w:rPr>
              <w:tab/>
            </w:r>
            <w:r w:rsidR="00A80BBD" w:rsidRPr="005D6E61">
              <w:rPr>
                <w:rStyle w:val="Hyperlink"/>
                <w:rFonts w:asciiTheme="majorHAnsi" w:hAnsiTheme="majorHAnsi"/>
                <w:noProof/>
                <w:sz w:val="20"/>
                <w:szCs w:val="20"/>
                <w:lang w:val="pt-BR"/>
              </w:rPr>
              <w:t>Posição do Estado</w:t>
            </w:r>
            <w:r w:rsidR="00A80BBD" w:rsidRPr="005D6E61">
              <w:rPr>
                <w:rFonts w:asciiTheme="majorHAnsi" w:hAnsiTheme="majorHAnsi"/>
                <w:noProof/>
                <w:webHidden/>
                <w:sz w:val="20"/>
                <w:szCs w:val="20"/>
              </w:rPr>
              <w:tab/>
            </w:r>
            <w:r w:rsidR="00A80BBD" w:rsidRPr="005D6E61">
              <w:rPr>
                <w:rFonts w:asciiTheme="majorHAnsi" w:hAnsiTheme="majorHAnsi"/>
                <w:noProof/>
                <w:webHidden/>
                <w:sz w:val="20"/>
                <w:szCs w:val="20"/>
              </w:rPr>
              <w:fldChar w:fldCharType="begin"/>
            </w:r>
            <w:r w:rsidR="00A80BBD" w:rsidRPr="005D6E61">
              <w:rPr>
                <w:rFonts w:asciiTheme="majorHAnsi" w:hAnsiTheme="majorHAnsi"/>
                <w:noProof/>
                <w:webHidden/>
                <w:sz w:val="20"/>
                <w:szCs w:val="20"/>
              </w:rPr>
              <w:instrText xml:space="preserve"> PAGEREF _Toc27990557 \h </w:instrText>
            </w:r>
            <w:r w:rsidR="00A80BBD" w:rsidRPr="005D6E61">
              <w:rPr>
                <w:rFonts w:asciiTheme="majorHAnsi" w:hAnsiTheme="majorHAnsi"/>
                <w:noProof/>
                <w:webHidden/>
                <w:sz w:val="20"/>
                <w:szCs w:val="20"/>
              </w:rPr>
            </w:r>
            <w:r w:rsidR="00A80BBD" w:rsidRPr="005D6E61">
              <w:rPr>
                <w:rFonts w:asciiTheme="majorHAnsi" w:hAnsiTheme="majorHAnsi"/>
                <w:noProof/>
                <w:webHidden/>
                <w:sz w:val="20"/>
                <w:szCs w:val="20"/>
              </w:rPr>
              <w:fldChar w:fldCharType="separate"/>
            </w:r>
            <w:r>
              <w:rPr>
                <w:rFonts w:asciiTheme="majorHAnsi" w:hAnsiTheme="majorHAnsi"/>
                <w:noProof/>
                <w:webHidden/>
                <w:sz w:val="20"/>
                <w:szCs w:val="20"/>
              </w:rPr>
              <w:t>3</w:t>
            </w:r>
            <w:r w:rsidR="00A80BBD" w:rsidRPr="005D6E61">
              <w:rPr>
                <w:rFonts w:asciiTheme="majorHAnsi" w:hAnsiTheme="majorHAnsi"/>
                <w:noProof/>
                <w:webHidden/>
                <w:sz w:val="20"/>
                <w:szCs w:val="20"/>
              </w:rPr>
              <w:fldChar w:fldCharType="end"/>
            </w:r>
          </w:hyperlink>
        </w:p>
        <w:p w14:paraId="517517E6" w14:textId="37CD1D2E" w:rsidR="00A80BBD" w:rsidRPr="005D6E61" w:rsidRDefault="0028613C">
          <w:pPr>
            <w:pStyle w:val="TOC1"/>
            <w:rPr>
              <w:rFonts w:eastAsiaTheme="minorEastAsia" w:cstheme="minorBidi"/>
              <w:b w:val="0"/>
              <w:bdr w:val="none" w:sz="0" w:space="0" w:color="auto"/>
              <w:lang w:val="en-US"/>
            </w:rPr>
          </w:pPr>
          <w:hyperlink w:anchor="_Toc27990558" w:history="1">
            <w:r w:rsidR="00A80BBD" w:rsidRPr="005D6E61">
              <w:rPr>
                <w:rStyle w:val="Hyperlink"/>
                <w:lang w:val="pt-BR"/>
              </w:rPr>
              <w:t>III.</w:t>
            </w:r>
            <w:r w:rsidR="00A80BBD" w:rsidRPr="005D6E61">
              <w:rPr>
                <w:rFonts w:eastAsiaTheme="minorEastAsia" w:cstheme="minorBidi"/>
                <w:b w:val="0"/>
                <w:bdr w:val="none" w:sz="0" w:space="0" w:color="auto"/>
                <w:lang w:val="en-US"/>
              </w:rPr>
              <w:tab/>
            </w:r>
            <w:r w:rsidR="00A80BBD" w:rsidRPr="005D6E61">
              <w:rPr>
                <w:rStyle w:val="Hyperlink"/>
                <w:lang w:val="pt-BR"/>
              </w:rPr>
              <w:t>DETERMINAÇÕES FÁTICAS</w:t>
            </w:r>
            <w:r w:rsidR="00A80BBD" w:rsidRPr="005D6E61">
              <w:rPr>
                <w:webHidden/>
              </w:rPr>
              <w:tab/>
            </w:r>
            <w:r w:rsidR="00A80BBD" w:rsidRPr="005D6E61">
              <w:rPr>
                <w:webHidden/>
              </w:rPr>
              <w:fldChar w:fldCharType="begin"/>
            </w:r>
            <w:r w:rsidR="00A80BBD" w:rsidRPr="005D6E61">
              <w:rPr>
                <w:webHidden/>
              </w:rPr>
              <w:instrText xml:space="preserve"> PAGEREF _Toc27990558 \h </w:instrText>
            </w:r>
            <w:r w:rsidR="00A80BBD" w:rsidRPr="005D6E61">
              <w:rPr>
                <w:webHidden/>
              </w:rPr>
            </w:r>
            <w:r w:rsidR="00A80BBD" w:rsidRPr="005D6E61">
              <w:rPr>
                <w:webHidden/>
              </w:rPr>
              <w:fldChar w:fldCharType="separate"/>
            </w:r>
            <w:r>
              <w:rPr>
                <w:webHidden/>
              </w:rPr>
              <w:t>4</w:t>
            </w:r>
            <w:r w:rsidR="00A80BBD" w:rsidRPr="005D6E61">
              <w:rPr>
                <w:webHidden/>
              </w:rPr>
              <w:fldChar w:fldCharType="end"/>
            </w:r>
          </w:hyperlink>
        </w:p>
        <w:p w14:paraId="1422B025" w14:textId="3D05CB4A" w:rsidR="00A80BBD" w:rsidRPr="005D6E61" w:rsidRDefault="0028613C">
          <w:pPr>
            <w:pStyle w:val="TOC2"/>
            <w:rPr>
              <w:rFonts w:asciiTheme="majorHAnsi" w:eastAsiaTheme="minorEastAsia" w:hAnsiTheme="majorHAnsi" w:cstheme="minorBidi"/>
              <w:noProof/>
              <w:sz w:val="20"/>
              <w:szCs w:val="20"/>
              <w:bdr w:val="none" w:sz="0" w:space="0" w:color="auto"/>
            </w:rPr>
          </w:pPr>
          <w:hyperlink w:anchor="_Toc27990559" w:history="1">
            <w:r w:rsidR="00A80BBD" w:rsidRPr="005D6E61">
              <w:rPr>
                <w:rStyle w:val="Hyperlink"/>
                <w:rFonts w:asciiTheme="majorHAnsi" w:hAnsiTheme="majorHAnsi"/>
                <w:noProof/>
                <w:sz w:val="20"/>
                <w:szCs w:val="20"/>
                <w:lang w:val="pt-BR"/>
              </w:rPr>
              <w:t>A.</w:t>
            </w:r>
            <w:r w:rsidR="00A80BBD" w:rsidRPr="005D6E61">
              <w:rPr>
                <w:rFonts w:asciiTheme="majorHAnsi" w:eastAsiaTheme="minorEastAsia" w:hAnsiTheme="majorHAnsi" w:cstheme="minorBidi"/>
                <w:noProof/>
                <w:sz w:val="20"/>
                <w:szCs w:val="20"/>
                <w:bdr w:val="none" w:sz="0" w:space="0" w:color="auto"/>
              </w:rPr>
              <w:tab/>
            </w:r>
            <w:r w:rsidR="00A80BBD" w:rsidRPr="005D6E61">
              <w:rPr>
                <w:rStyle w:val="Hyperlink"/>
                <w:rFonts w:asciiTheme="majorHAnsi" w:hAnsiTheme="majorHAnsi"/>
                <w:noProof/>
                <w:sz w:val="20"/>
                <w:szCs w:val="20"/>
                <w:lang w:val="pt-BR"/>
              </w:rPr>
              <w:t>Contexto de violência contra defensoras e defensores de direitos trabalhistas no âmbito rural no momento dos fatos incluindo o Nordeste do Brasil</w:t>
            </w:r>
            <w:r w:rsidR="00A80BBD" w:rsidRPr="005D6E61">
              <w:rPr>
                <w:rFonts w:asciiTheme="majorHAnsi" w:hAnsiTheme="majorHAnsi"/>
                <w:noProof/>
                <w:webHidden/>
                <w:sz w:val="20"/>
                <w:szCs w:val="20"/>
              </w:rPr>
              <w:tab/>
            </w:r>
            <w:r w:rsidR="00A80BBD" w:rsidRPr="005D6E61">
              <w:rPr>
                <w:rFonts w:asciiTheme="majorHAnsi" w:hAnsiTheme="majorHAnsi"/>
                <w:noProof/>
                <w:webHidden/>
                <w:sz w:val="20"/>
                <w:szCs w:val="20"/>
              </w:rPr>
              <w:fldChar w:fldCharType="begin"/>
            </w:r>
            <w:r w:rsidR="00A80BBD" w:rsidRPr="005D6E61">
              <w:rPr>
                <w:rFonts w:asciiTheme="majorHAnsi" w:hAnsiTheme="majorHAnsi"/>
                <w:noProof/>
                <w:webHidden/>
                <w:sz w:val="20"/>
                <w:szCs w:val="20"/>
              </w:rPr>
              <w:instrText xml:space="preserve"> PAGEREF _Toc27990559 \h </w:instrText>
            </w:r>
            <w:r w:rsidR="00A80BBD" w:rsidRPr="005D6E61">
              <w:rPr>
                <w:rFonts w:asciiTheme="majorHAnsi" w:hAnsiTheme="majorHAnsi"/>
                <w:noProof/>
                <w:webHidden/>
                <w:sz w:val="20"/>
                <w:szCs w:val="20"/>
              </w:rPr>
            </w:r>
            <w:r w:rsidR="00A80BBD" w:rsidRPr="005D6E61">
              <w:rPr>
                <w:rFonts w:asciiTheme="majorHAnsi" w:hAnsiTheme="majorHAnsi"/>
                <w:noProof/>
                <w:webHidden/>
                <w:sz w:val="20"/>
                <w:szCs w:val="20"/>
              </w:rPr>
              <w:fldChar w:fldCharType="separate"/>
            </w:r>
            <w:r>
              <w:rPr>
                <w:rFonts w:asciiTheme="majorHAnsi" w:hAnsiTheme="majorHAnsi"/>
                <w:noProof/>
                <w:webHidden/>
                <w:sz w:val="20"/>
                <w:szCs w:val="20"/>
              </w:rPr>
              <w:t>4</w:t>
            </w:r>
            <w:r w:rsidR="00A80BBD" w:rsidRPr="005D6E61">
              <w:rPr>
                <w:rFonts w:asciiTheme="majorHAnsi" w:hAnsiTheme="majorHAnsi"/>
                <w:noProof/>
                <w:webHidden/>
                <w:sz w:val="20"/>
                <w:szCs w:val="20"/>
              </w:rPr>
              <w:fldChar w:fldCharType="end"/>
            </w:r>
          </w:hyperlink>
        </w:p>
        <w:p w14:paraId="11CC29E6" w14:textId="2422D22F" w:rsidR="00A80BBD" w:rsidRPr="005D6E61" w:rsidRDefault="0028613C">
          <w:pPr>
            <w:pStyle w:val="TOC2"/>
            <w:rPr>
              <w:rFonts w:asciiTheme="majorHAnsi" w:eastAsiaTheme="minorEastAsia" w:hAnsiTheme="majorHAnsi" w:cstheme="minorBidi"/>
              <w:noProof/>
              <w:sz w:val="20"/>
              <w:szCs w:val="20"/>
              <w:bdr w:val="none" w:sz="0" w:space="0" w:color="auto"/>
            </w:rPr>
          </w:pPr>
          <w:hyperlink w:anchor="_Toc27990560" w:history="1">
            <w:r w:rsidR="00A80BBD" w:rsidRPr="005D6E61">
              <w:rPr>
                <w:rStyle w:val="Hyperlink"/>
                <w:rFonts w:asciiTheme="majorHAnsi" w:hAnsiTheme="majorHAnsi"/>
                <w:noProof/>
                <w:sz w:val="20"/>
                <w:szCs w:val="20"/>
                <w:lang w:val="pt-BR"/>
              </w:rPr>
              <w:t>B.</w:t>
            </w:r>
            <w:r w:rsidR="00A80BBD" w:rsidRPr="005D6E61">
              <w:rPr>
                <w:rFonts w:asciiTheme="majorHAnsi" w:eastAsiaTheme="minorEastAsia" w:hAnsiTheme="majorHAnsi" w:cstheme="minorBidi"/>
                <w:noProof/>
                <w:sz w:val="20"/>
                <w:szCs w:val="20"/>
                <w:bdr w:val="none" w:sz="0" w:space="0" w:color="auto"/>
              </w:rPr>
              <w:tab/>
            </w:r>
            <w:r w:rsidR="00A80BBD" w:rsidRPr="005D6E61">
              <w:rPr>
                <w:rStyle w:val="Hyperlink"/>
                <w:rFonts w:asciiTheme="majorHAnsi" w:hAnsiTheme="majorHAnsi"/>
                <w:noProof/>
                <w:sz w:val="20"/>
                <w:szCs w:val="20"/>
                <w:lang w:val="pt-BR"/>
              </w:rPr>
              <w:t>Sobre Margarida Maria Alves, seu trabalho em defesa dos direitos dos trabalhadores rurais e ameaças e agressões antes da sua morte</w:t>
            </w:r>
            <w:r w:rsidR="00A80BBD" w:rsidRPr="005D6E61">
              <w:rPr>
                <w:rFonts w:asciiTheme="majorHAnsi" w:hAnsiTheme="majorHAnsi"/>
                <w:noProof/>
                <w:webHidden/>
                <w:sz w:val="20"/>
                <w:szCs w:val="20"/>
              </w:rPr>
              <w:tab/>
            </w:r>
            <w:r w:rsidR="00A80BBD" w:rsidRPr="005D6E61">
              <w:rPr>
                <w:rFonts w:asciiTheme="majorHAnsi" w:hAnsiTheme="majorHAnsi"/>
                <w:noProof/>
                <w:webHidden/>
                <w:sz w:val="20"/>
                <w:szCs w:val="20"/>
              </w:rPr>
              <w:fldChar w:fldCharType="begin"/>
            </w:r>
            <w:r w:rsidR="00A80BBD" w:rsidRPr="005D6E61">
              <w:rPr>
                <w:rFonts w:asciiTheme="majorHAnsi" w:hAnsiTheme="majorHAnsi"/>
                <w:noProof/>
                <w:webHidden/>
                <w:sz w:val="20"/>
                <w:szCs w:val="20"/>
              </w:rPr>
              <w:instrText xml:space="preserve"> PAGEREF _Toc27990560 \h </w:instrText>
            </w:r>
            <w:r w:rsidR="00A80BBD" w:rsidRPr="005D6E61">
              <w:rPr>
                <w:rFonts w:asciiTheme="majorHAnsi" w:hAnsiTheme="majorHAnsi"/>
                <w:noProof/>
                <w:webHidden/>
                <w:sz w:val="20"/>
                <w:szCs w:val="20"/>
              </w:rPr>
            </w:r>
            <w:r w:rsidR="00A80BBD" w:rsidRPr="005D6E61">
              <w:rPr>
                <w:rFonts w:asciiTheme="majorHAnsi" w:hAnsiTheme="majorHAnsi"/>
                <w:noProof/>
                <w:webHidden/>
                <w:sz w:val="20"/>
                <w:szCs w:val="20"/>
              </w:rPr>
              <w:fldChar w:fldCharType="separate"/>
            </w:r>
            <w:r>
              <w:rPr>
                <w:rFonts w:asciiTheme="majorHAnsi" w:hAnsiTheme="majorHAnsi"/>
                <w:noProof/>
                <w:webHidden/>
                <w:sz w:val="20"/>
                <w:szCs w:val="20"/>
              </w:rPr>
              <w:t>6</w:t>
            </w:r>
            <w:r w:rsidR="00A80BBD" w:rsidRPr="005D6E61">
              <w:rPr>
                <w:rFonts w:asciiTheme="majorHAnsi" w:hAnsiTheme="majorHAnsi"/>
                <w:noProof/>
                <w:webHidden/>
                <w:sz w:val="20"/>
                <w:szCs w:val="20"/>
              </w:rPr>
              <w:fldChar w:fldCharType="end"/>
            </w:r>
          </w:hyperlink>
        </w:p>
        <w:p w14:paraId="607027B5" w14:textId="26CB0262" w:rsidR="00A80BBD" w:rsidRPr="005D6E61" w:rsidRDefault="0028613C">
          <w:pPr>
            <w:pStyle w:val="TOC2"/>
            <w:rPr>
              <w:rFonts w:asciiTheme="majorHAnsi" w:eastAsiaTheme="minorEastAsia" w:hAnsiTheme="majorHAnsi" w:cstheme="minorBidi"/>
              <w:noProof/>
              <w:sz w:val="20"/>
              <w:szCs w:val="20"/>
              <w:bdr w:val="none" w:sz="0" w:space="0" w:color="auto"/>
            </w:rPr>
          </w:pPr>
          <w:hyperlink w:anchor="_Toc27990561" w:history="1">
            <w:r w:rsidR="00A80BBD" w:rsidRPr="005D6E61">
              <w:rPr>
                <w:rStyle w:val="Hyperlink"/>
                <w:rFonts w:asciiTheme="majorHAnsi" w:hAnsiTheme="majorHAnsi"/>
                <w:noProof/>
                <w:sz w:val="20"/>
                <w:szCs w:val="20"/>
                <w:lang w:val="pt-BR"/>
              </w:rPr>
              <w:t>C.</w:t>
            </w:r>
            <w:r w:rsidR="00A80BBD" w:rsidRPr="005D6E61">
              <w:rPr>
                <w:rFonts w:asciiTheme="majorHAnsi" w:eastAsiaTheme="minorEastAsia" w:hAnsiTheme="majorHAnsi" w:cstheme="minorBidi"/>
                <w:noProof/>
                <w:sz w:val="20"/>
                <w:szCs w:val="20"/>
                <w:bdr w:val="none" w:sz="0" w:space="0" w:color="auto"/>
              </w:rPr>
              <w:tab/>
            </w:r>
            <w:r w:rsidR="00A80BBD" w:rsidRPr="005D6E61">
              <w:rPr>
                <w:rStyle w:val="Hyperlink"/>
                <w:rFonts w:asciiTheme="majorHAnsi" w:hAnsiTheme="majorHAnsi"/>
                <w:noProof/>
                <w:sz w:val="20"/>
                <w:szCs w:val="20"/>
                <w:lang w:val="pt-BR"/>
              </w:rPr>
              <w:t>A morte da suposta vítima</w:t>
            </w:r>
            <w:r w:rsidR="00A80BBD" w:rsidRPr="005D6E61">
              <w:rPr>
                <w:rFonts w:asciiTheme="majorHAnsi" w:hAnsiTheme="majorHAnsi"/>
                <w:noProof/>
                <w:webHidden/>
                <w:sz w:val="20"/>
                <w:szCs w:val="20"/>
              </w:rPr>
              <w:tab/>
            </w:r>
            <w:r w:rsidR="00A80BBD" w:rsidRPr="005D6E61">
              <w:rPr>
                <w:rFonts w:asciiTheme="majorHAnsi" w:hAnsiTheme="majorHAnsi"/>
                <w:noProof/>
                <w:webHidden/>
                <w:sz w:val="20"/>
                <w:szCs w:val="20"/>
              </w:rPr>
              <w:fldChar w:fldCharType="begin"/>
            </w:r>
            <w:r w:rsidR="00A80BBD" w:rsidRPr="005D6E61">
              <w:rPr>
                <w:rFonts w:asciiTheme="majorHAnsi" w:hAnsiTheme="majorHAnsi"/>
                <w:noProof/>
                <w:webHidden/>
                <w:sz w:val="20"/>
                <w:szCs w:val="20"/>
              </w:rPr>
              <w:instrText xml:space="preserve"> PAGEREF _Toc27990561 \h </w:instrText>
            </w:r>
            <w:r w:rsidR="00A80BBD" w:rsidRPr="005D6E61">
              <w:rPr>
                <w:rFonts w:asciiTheme="majorHAnsi" w:hAnsiTheme="majorHAnsi"/>
                <w:noProof/>
                <w:webHidden/>
                <w:sz w:val="20"/>
                <w:szCs w:val="20"/>
              </w:rPr>
            </w:r>
            <w:r w:rsidR="00A80BBD" w:rsidRPr="005D6E61">
              <w:rPr>
                <w:rFonts w:asciiTheme="majorHAnsi" w:hAnsiTheme="majorHAnsi"/>
                <w:noProof/>
                <w:webHidden/>
                <w:sz w:val="20"/>
                <w:szCs w:val="20"/>
              </w:rPr>
              <w:fldChar w:fldCharType="separate"/>
            </w:r>
            <w:r>
              <w:rPr>
                <w:rFonts w:asciiTheme="majorHAnsi" w:hAnsiTheme="majorHAnsi"/>
                <w:noProof/>
                <w:webHidden/>
                <w:sz w:val="20"/>
                <w:szCs w:val="20"/>
              </w:rPr>
              <w:t>7</w:t>
            </w:r>
            <w:r w:rsidR="00A80BBD" w:rsidRPr="005D6E61">
              <w:rPr>
                <w:rFonts w:asciiTheme="majorHAnsi" w:hAnsiTheme="majorHAnsi"/>
                <w:noProof/>
                <w:webHidden/>
                <w:sz w:val="20"/>
                <w:szCs w:val="20"/>
              </w:rPr>
              <w:fldChar w:fldCharType="end"/>
            </w:r>
          </w:hyperlink>
        </w:p>
        <w:p w14:paraId="49B02BB6" w14:textId="58D576F6" w:rsidR="00A80BBD" w:rsidRPr="005D6E61" w:rsidRDefault="0028613C">
          <w:pPr>
            <w:pStyle w:val="TOC2"/>
            <w:rPr>
              <w:rFonts w:asciiTheme="majorHAnsi" w:eastAsiaTheme="minorEastAsia" w:hAnsiTheme="majorHAnsi" w:cstheme="minorBidi"/>
              <w:noProof/>
              <w:sz w:val="20"/>
              <w:szCs w:val="20"/>
              <w:bdr w:val="none" w:sz="0" w:space="0" w:color="auto"/>
            </w:rPr>
          </w:pPr>
          <w:hyperlink w:anchor="_Toc27990562" w:history="1">
            <w:r w:rsidR="00A80BBD" w:rsidRPr="005D6E61">
              <w:rPr>
                <w:rStyle w:val="Hyperlink"/>
                <w:rFonts w:asciiTheme="majorHAnsi" w:hAnsiTheme="majorHAnsi"/>
                <w:noProof/>
                <w:sz w:val="20"/>
                <w:szCs w:val="20"/>
                <w:lang w:val="pt-BR"/>
              </w:rPr>
              <w:t>D.</w:t>
            </w:r>
            <w:r w:rsidR="00A80BBD" w:rsidRPr="005D6E61">
              <w:rPr>
                <w:rFonts w:asciiTheme="majorHAnsi" w:eastAsiaTheme="minorEastAsia" w:hAnsiTheme="majorHAnsi" w:cstheme="minorBidi"/>
                <w:noProof/>
                <w:sz w:val="20"/>
                <w:szCs w:val="20"/>
                <w:bdr w:val="none" w:sz="0" w:space="0" w:color="auto"/>
              </w:rPr>
              <w:tab/>
            </w:r>
            <w:r w:rsidR="00A80BBD" w:rsidRPr="005D6E61">
              <w:rPr>
                <w:rStyle w:val="Hyperlink"/>
                <w:rFonts w:asciiTheme="majorHAnsi" w:hAnsiTheme="majorHAnsi"/>
                <w:noProof/>
                <w:sz w:val="20"/>
                <w:szCs w:val="20"/>
                <w:lang w:val="pt-BR"/>
              </w:rPr>
              <w:t>Os processos internos para investigar a morte da suposta vítima</w:t>
            </w:r>
            <w:r w:rsidR="00A80BBD" w:rsidRPr="005D6E61">
              <w:rPr>
                <w:rFonts w:asciiTheme="majorHAnsi" w:hAnsiTheme="majorHAnsi"/>
                <w:noProof/>
                <w:webHidden/>
                <w:sz w:val="20"/>
                <w:szCs w:val="20"/>
              </w:rPr>
              <w:tab/>
            </w:r>
            <w:r w:rsidR="00A80BBD" w:rsidRPr="005D6E61">
              <w:rPr>
                <w:rFonts w:asciiTheme="majorHAnsi" w:hAnsiTheme="majorHAnsi"/>
                <w:noProof/>
                <w:webHidden/>
                <w:sz w:val="20"/>
                <w:szCs w:val="20"/>
              </w:rPr>
              <w:fldChar w:fldCharType="begin"/>
            </w:r>
            <w:r w:rsidR="00A80BBD" w:rsidRPr="005D6E61">
              <w:rPr>
                <w:rFonts w:asciiTheme="majorHAnsi" w:hAnsiTheme="majorHAnsi"/>
                <w:noProof/>
                <w:webHidden/>
                <w:sz w:val="20"/>
                <w:szCs w:val="20"/>
              </w:rPr>
              <w:instrText xml:space="preserve"> PAGEREF _Toc27990562 \h </w:instrText>
            </w:r>
            <w:r w:rsidR="00A80BBD" w:rsidRPr="005D6E61">
              <w:rPr>
                <w:rFonts w:asciiTheme="majorHAnsi" w:hAnsiTheme="majorHAnsi"/>
                <w:noProof/>
                <w:webHidden/>
                <w:sz w:val="20"/>
                <w:szCs w:val="20"/>
              </w:rPr>
            </w:r>
            <w:r w:rsidR="00A80BBD" w:rsidRPr="005D6E61">
              <w:rPr>
                <w:rFonts w:asciiTheme="majorHAnsi" w:hAnsiTheme="majorHAnsi"/>
                <w:noProof/>
                <w:webHidden/>
                <w:sz w:val="20"/>
                <w:szCs w:val="20"/>
              </w:rPr>
              <w:fldChar w:fldCharType="separate"/>
            </w:r>
            <w:r>
              <w:rPr>
                <w:rFonts w:asciiTheme="majorHAnsi" w:hAnsiTheme="majorHAnsi"/>
                <w:noProof/>
                <w:webHidden/>
                <w:sz w:val="20"/>
                <w:szCs w:val="20"/>
              </w:rPr>
              <w:t>9</w:t>
            </w:r>
            <w:r w:rsidR="00A80BBD" w:rsidRPr="005D6E61">
              <w:rPr>
                <w:rFonts w:asciiTheme="majorHAnsi" w:hAnsiTheme="majorHAnsi"/>
                <w:noProof/>
                <w:webHidden/>
                <w:sz w:val="20"/>
                <w:szCs w:val="20"/>
              </w:rPr>
              <w:fldChar w:fldCharType="end"/>
            </w:r>
          </w:hyperlink>
        </w:p>
        <w:p w14:paraId="0689C09C" w14:textId="41FFA1A8" w:rsidR="00A80BBD" w:rsidRPr="005D6E61" w:rsidRDefault="0028613C">
          <w:pPr>
            <w:pStyle w:val="TOC3"/>
            <w:tabs>
              <w:tab w:val="left" w:pos="2160"/>
            </w:tabs>
            <w:rPr>
              <w:rFonts w:asciiTheme="majorHAnsi" w:eastAsiaTheme="minorEastAsia" w:hAnsiTheme="majorHAnsi" w:cstheme="minorBidi"/>
              <w:noProof/>
              <w:sz w:val="20"/>
              <w:szCs w:val="20"/>
              <w:bdr w:val="none" w:sz="0" w:space="0" w:color="auto"/>
            </w:rPr>
          </w:pPr>
          <w:hyperlink w:anchor="_Toc27990563" w:history="1">
            <w:r w:rsidR="00A80BBD" w:rsidRPr="005D6E61">
              <w:rPr>
                <w:rStyle w:val="Hyperlink"/>
                <w:rFonts w:asciiTheme="majorHAnsi" w:hAnsiTheme="majorHAnsi"/>
                <w:noProof/>
                <w:sz w:val="20"/>
                <w:szCs w:val="20"/>
                <w:lang w:val="pt-BR"/>
              </w:rPr>
              <w:t>1.</w:t>
            </w:r>
            <w:r w:rsidR="00A80BBD" w:rsidRPr="005D6E61">
              <w:rPr>
                <w:rFonts w:asciiTheme="majorHAnsi" w:eastAsiaTheme="minorEastAsia" w:hAnsiTheme="majorHAnsi" w:cstheme="minorBidi"/>
                <w:noProof/>
                <w:sz w:val="20"/>
                <w:szCs w:val="20"/>
                <w:bdr w:val="none" w:sz="0" w:space="0" w:color="auto"/>
              </w:rPr>
              <w:tab/>
            </w:r>
            <w:r w:rsidR="00A80BBD" w:rsidRPr="005D6E61">
              <w:rPr>
                <w:rStyle w:val="Hyperlink"/>
                <w:rFonts w:asciiTheme="majorHAnsi" w:hAnsiTheme="majorHAnsi"/>
                <w:noProof/>
                <w:sz w:val="20"/>
                <w:szCs w:val="20"/>
                <w:lang w:val="pt-BR"/>
              </w:rPr>
              <w:t>Investigações realizadas pela Polícia Civil</w:t>
            </w:r>
            <w:r w:rsidR="00A80BBD" w:rsidRPr="005D6E61">
              <w:rPr>
                <w:rFonts w:asciiTheme="majorHAnsi" w:hAnsiTheme="majorHAnsi"/>
                <w:noProof/>
                <w:webHidden/>
                <w:sz w:val="20"/>
                <w:szCs w:val="20"/>
              </w:rPr>
              <w:tab/>
            </w:r>
            <w:r w:rsidR="00A80BBD" w:rsidRPr="005D6E61">
              <w:rPr>
                <w:rFonts w:asciiTheme="majorHAnsi" w:hAnsiTheme="majorHAnsi"/>
                <w:noProof/>
                <w:webHidden/>
                <w:sz w:val="20"/>
                <w:szCs w:val="20"/>
              </w:rPr>
              <w:fldChar w:fldCharType="begin"/>
            </w:r>
            <w:r w:rsidR="00A80BBD" w:rsidRPr="005D6E61">
              <w:rPr>
                <w:rFonts w:asciiTheme="majorHAnsi" w:hAnsiTheme="majorHAnsi"/>
                <w:noProof/>
                <w:webHidden/>
                <w:sz w:val="20"/>
                <w:szCs w:val="20"/>
              </w:rPr>
              <w:instrText xml:space="preserve"> PAGEREF _Toc27990563 \h </w:instrText>
            </w:r>
            <w:r w:rsidR="00A80BBD" w:rsidRPr="005D6E61">
              <w:rPr>
                <w:rFonts w:asciiTheme="majorHAnsi" w:hAnsiTheme="majorHAnsi"/>
                <w:noProof/>
                <w:webHidden/>
                <w:sz w:val="20"/>
                <w:szCs w:val="20"/>
              </w:rPr>
            </w:r>
            <w:r w:rsidR="00A80BBD" w:rsidRPr="005D6E61">
              <w:rPr>
                <w:rFonts w:asciiTheme="majorHAnsi" w:hAnsiTheme="majorHAnsi"/>
                <w:noProof/>
                <w:webHidden/>
                <w:sz w:val="20"/>
                <w:szCs w:val="20"/>
              </w:rPr>
              <w:fldChar w:fldCharType="separate"/>
            </w:r>
            <w:r>
              <w:rPr>
                <w:rFonts w:asciiTheme="majorHAnsi" w:hAnsiTheme="majorHAnsi"/>
                <w:noProof/>
                <w:webHidden/>
                <w:sz w:val="20"/>
                <w:szCs w:val="20"/>
              </w:rPr>
              <w:t>9</w:t>
            </w:r>
            <w:r w:rsidR="00A80BBD" w:rsidRPr="005D6E61">
              <w:rPr>
                <w:rFonts w:asciiTheme="majorHAnsi" w:hAnsiTheme="majorHAnsi"/>
                <w:noProof/>
                <w:webHidden/>
                <w:sz w:val="20"/>
                <w:szCs w:val="20"/>
              </w:rPr>
              <w:fldChar w:fldCharType="end"/>
            </w:r>
          </w:hyperlink>
        </w:p>
        <w:p w14:paraId="6DAECBD4" w14:textId="44B4935E" w:rsidR="00A80BBD" w:rsidRPr="005D6E61" w:rsidRDefault="0028613C">
          <w:pPr>
            <w:pStyle w:val="TOC3"/>
            <w:tabs>
              <w:tab w:val="left" w:pos="2160"/>
            </w:tabs>
            <w:rPr>
              <w:rFonts w:asciiTheme="majorHAnsi" w:eastAsiaTheme="minorEastAsia" w:hAnsiTheme="majorHAnsi" w:cstheme="minorBidi"/>
              <w:noProof/>
              <w:sz w:val="20"/>
              <w:szCs w:val="20"/>
              <w:bdr w:val="none" w:sz="0" w:space="0" w:color="auto"/>
            </w:rPr>
          </w:pPr>
          <w:hyperlink w:anchor="_Toc27990564" w:history="1">
            <w:r w:rsidR="00A80BBD" w:rsidRPr="005D6E61">
              <w:rPr>
                <w:rStyle w:val="Hyperlink"/>
                <w:rFonts w:asciiTheme="majorHAnsi" w:hAnsiTheme="majorHAnsi"/>
                <w:noProof/>
                <w:sz w:val="20"/>
                <w:szCs w:val="20"/>
                <w:lang w:val="pt-BR"/>
              </w:rPr>
              <w:t>2.</w:t>
            </w:r>
            <w:r w:rsidR="00A80BBD" w:rsidRPr="005D6E61">
              <w:rPr>
                <w:rFonts w:asciiTheme="majorHAnsi" w:eastAsiaTheme="minorEastAsia" w:hAnsiTheme="majorHAnsi" w:cstheme="minorBidi"/>
                <w:noProof/>
                <w:sz w:val="20"/>
                <w:szCs w:val="20"/>
                <w:bdr w:val="none" w:sz="0" w:space="0" w:color="auto"/>
              </w:rPr>
              <w:tab/>
            </w:r>
            <w:r w:rsidR="00A80BBD" w:rsidRPr="005D6E61">
              <w:rPr>
                <w:rStyle w:val="Hyperlink"/>
                <w:rFonts w:asciiTheme="majorHAnsi" w:hAnsiTheme="majorHAnsi"/>
                <w:noProof/>
                <w:sz w:val="20"/>
                <w:szCs w:val="20"/>
                <w:lang w:val="pt-BR"/>
              </w:rPr>
              <w:t>O processo judicial 003.1983.0000067 (1983)</w:t>
            </w:r>
            <w:r w:rsidR="00A80BBD" w:rsidRPr="005D6E61">
              <w:rPr>
                <w:rFonts w:asciiTheme="majorHAnsi" w:hAnsiTheme="majorHAnsi"/>
                <w:noProof/>
                <w:webHidden/>
                <w:sz w:val="20"/>
                <w:szCs w:val="20"/>
              </w:rPr>
              <w:tab/>
            </w:r>
            <w:r w:rsidR="00A80BBD" w:rsidRPr="005D6E61">
              <w:rPr>
                <w:rFonts w:asciiTheme="majorHAnsi" w:hAnsiTheme="majorHAnsi"/>
                <w:noProof/>
                <w:webHidden/>
                <w:sz w:val="20"/>
                <w:szCs w:val="20"/>
              </w:rPr>
              <w:fldChar w:fldCharType="begin"/>
            </w:r>
            <w:r w:rsidR="00A80BBD" w:rsidRPr="005D6E61">
              <w:rPr>
                <w:rFonts w:asciiTheme="majorHAnsi" w:hAnsiTheme="majorHAnsi"/>
                <w:noProof/>
                <w:webHidden/>
                <w:sz w:val="20"/>
                <w:szCs w:val="20"/>
              </w:rPr>
              <w:instrText xml:space="preserve"> PAGEREF _Toc27990564 \h </w:instrText>
            </w:r>
            <w:r w:rsidR="00A80BBD" w:rsidRPr="005D6E61">
              <w:rPr>
                <w:rFonts w:asciiTheme="majorHAnsi" w:hAnsiTheme="majorHAnsi"/>
                <w:noProof/>
                <w:webHidden/>
                <w:sz w:val="20"/>
                <w:szCs w:val="20"/>
              </w:rPr>
            </w:r>
            <w:r w:rsidR="00A80BBD" w:rsidRPr="005D6E61">
              <w:rPr>
                <w:rFonts w:asciiTheme="majorHAnsi" w:hAnsiTheme="majorHAnsi"/>
                <w:noProof/>
                <w:webHidden/>
                <w:sz w:val="20"/>
                <w:szCs w:val="20"/>
              </w:rPr>
              <w:fldChar w:fldCharType="separate"/>
            </w:r>
            <w:r>
              <w:rPr>
                <w:rFonts w:asciiTheme="majorHAnsi" w:hAnsiTheme="majorHAnsi"/>
                <w:noProof/>
                <w:webHidden/>
                <w:sz w:val="20"/>
                <w:szCs w:val="20"/>
              </w:rPr>
              <w:t>10</w:t>
            </w:r>
            <w:r w:rsidR="00A80BBD" w:rsidRPr="005D6E61">
              <w:rPr>
                <w:rFonts w:asciiTheme="majorHAnsi" w:hAnsiTheme="majorHAnsi"/>
                <w:noProof/>
                <w:webHidden/>
                <w:sz w:val="20"/>
                <w:szCs w:val="20"/>
              </w:rPr>
              <w:fldChar w:fldCharType="end"/>
            </w:r>
          </w:hyperlink>
        </w:p>
        <w:p w14:paraId="65CE75D4" w14:textId="64874547" w:rsidR="00A80BBD" w:rsidRPr="005D6E61" w:rsidRDefault="0028613C">
          <w:pPr>
            <w:pStyle w:val="TOC3"/>
            <w:tabs>
              <w:tab w:val="left" w:pos="2160"/>
            </w:tabs>
            <w:rPr>
              <w:rFonts w:asciiTheme="majorHAnsi" w:eastAsiaTheme="minorEastAsia" w:hAnsiTheme="majorHAnsi" w:cstheme="minorBidi"/>
              <w:noProof/>
              <w:sz w:val="20"/>
              <w:szCs w:val="20"/>
              <w:bdr w:val="none" w:sz="0" w:space="0" w:color="auto"/>
            </w:rPr>
          </w:pPr>
          <w:hyperlink w:anchor="_Toc27990565" w:history="1">
            <w:r w:rsidR="00A80BBD" w:rsidRPr="005D6E61">
              <w:rPr>
                <w:rStyle w:val="Hyperlink"/>
                <w:rFonts w:asciiTheme="majorHAnsi" w:hAnsiTheme="majorHAnsi"/>
                <w:noProof/>
                <w:sz w:val="20"/>
                <w:szCs w:val="20"/>
                <w:lang w:val="pt-BR"/>
              </w:rPr>
              <w:t>3.</w:t>
            </w:r>
            <w:r w:rsidR="00A80BBD" w:rsidRPr="005D6E61">
              <w:rPr>
                <w:rFonts w:asciiTheme="majorHAnsi" w:eastAsiaTheme="minorEastAsia" w:hAnsiTheme="majorHAnsi" w:cstheme="minorBidi"/>
                <w:noProof/>
                <w:sz w:val="20"/>
                <w:szCs w:val="20"/>
                <w:bdr w:val="none" w:sz="0" w:space="0" w:color="auto"/>
              </w:rPr>
              <w:tab/>
            </w:r>
            <w:r w:rsidR="00A80BBD" w:rsidRPr="005D6E61">
              <w:rPr>
                <w:rStyle w:val="Hyperlink"/>
                <w:rFonts w:asciiTheme="majorHAnsi" w:hAnsiTheme="majorHAnsi"/>
                <w:noProof/>
                <w:sz w:val="20"/>
                <w:szCs w:val="20"/>
                <w:lang w:val="pt-BR"/>
              </w:rPr>
              <w:t>Investigação complementar com base no testemunho de Maria do Socorro Neves</w:t>
            </w:r>
            <w:r w:rsidR="00A80BBD" w:rsidRPr="005D6E61">
              <w:rPr>
                <w:rFonts w:asciiTheme="majorHAnsi" w:hAnsiTheme="majorHAnsi"/>
                <w:noProof/>
                <w:webHidden/>
                <w:sz w:val="20"/>
                <w:szCs w:val="20"/>
              </w:rPr>
              <w:tab/>
            </w:r>
            <w:r w:rsidR="00A80BBD" w:rsidRPr="005D6E61">
              <w:rPr>
                <w:rFonts w:asciiTheme="majorHAnsi" w:hAnsiTheme="majorHAnsi"/>
                <w:noProof/>
                <w:webHidden/>
                <w:sz w:val="20"/>
                <w:szCs w:val="20"/>
              </w:rPr>
              <w:fldChar w:fldCharType="begin"/>
            </w:r>
            <w:r w:rsidR="00A80BBD" w:rsidRPr="005D6E61">
              <w:rPr>
                <w:rFonts w:asciiTheme="majorHAnsi" w:hAnsiTheme="majorHAnsi"/>
                <w:noProof/>
                <w:webHidden/>
                <w:sz w:val="20"/>
                <w:szCs w:val="20"/>
              </w:rPr>
              <w:instrText xml:space="preserve"> PAGEREF _Toc27990565 \h </w:instrText>
            </w:r>
            <w:r w:rsidR="00A80BBD" w:rsidRPr="005D6E61">
              <w:rPr>
                <w:rFonts w:asciiTheme="majorHAnsi" w:hAnsiTheme="majorHAnsi"/>
                <w:noProof/>
                <w:webHidden/>
                <w:sz w:val="20"/>
                <w:szCs w:val="20"/>
              </w:rPr>
            </w:r>
            <w:r w:rsidR="00A80BBD" w:rsidRPr="005D6E61">
              <w:rPr>
                <w:rFonts w:asciiTheme="majorHAnsi" w:hAnsiTheme="majorHAnsi"/>
                <w:noProof/>
                <w:webHidden/>
                <w:sz w:val="20"/>
                <w:szCs w:val="20"/>
              </w:rPr>
              <w:fldChar w:fldCharType="separate"/>
            </w:r>
            <w:r>
              <w:rPr>
                <w:rFonts w:asciiTheme="majorHAnsi" w:hAnsiTheme="majorHAnsi"/>
                <w:noProof/>
                <w:webHidden/>
                <w:sz w:val="20"/>
                <w:szCs w:val="20"/>
              </w:rPr>
              <w:t>13</w:t>
            </w:r>
            <w:r w:rsidR="00A80BBD" w:rsidRPr="005D6E61">
              <w:rPr>
                <w:rFonts w:asciiTheme="majorHAnsi" w:hAnsiTheme="majorHAnsi"/>
                <w:noProof/>
                <w:webHidden/>
                <w:sz w:val="20"/>
                <w:szCs w:val="20"/>
              </w:rPr>
              <w:fldChar w:fldCharType="end"/>
            </w:r>
          </w:hyperlink>
        </w:p>
        <w:p w14:paraId="3C8B42EC" w14:textId="3716C660" w:rsidR="00A80BBD" w:rsidRPr="005D6E61" w:rsidRDefault="0028613C">
          <w:pPr>
            <w:pStyle w:val="TOC3"/>
            <w:tabs>
              <w:tab w:val="left" w:pos="2160"/>
            </w:tabs>
            <w:rPr>
              <w:rFonts w:asciiTheme="majorHAnsi" w:eastAsiaTheme="minorEastAsia" w:hAnsiTheme="majorHAnsi" w:cstheme="minorBidi"/>
              <w:noProof/>
              <w:sz w:val="20"/>
              <w:szCs w:val="20"/>
              <w:bdr w:val="none" w:sz="0" w:space="0" w:color="auto"/>
            </w:rPr>
          </w:pPr>
          <w:hyperlink w:anchor="_Toc27990566" w:history="1">
            <w:r w:rsidR="00A80BBD" w:rsidRPr="005D6E61">
              <w:rPr>
                <w:rStyle w:val="Hyperlink"/>
                <w:rFonts w:asciiTheme="majorHAnsi" w:hAnsiTheme="majorHAnsi"/>
                <w:noProof/>
                <w:sz w:val="20"/>
                <w:szCs w:val="20"/>
                <w:lang w:val="pt-BR"/>
              </w:rPr>
              <w:t>4.</w:t>
            </w:r>
            <w:r w:rsidR="00A80BBD" w:rsidRPr="005D6E61">
              <w:rPr>
                <w:rFonts w:asciiTheme="majorHAnsi" w:eastAsiaTheme="minorEastAsia" w:hAnsiTheme="majorHAnsi" w:cstheme="minorBidi"/>
                <w:noProof/>
                <w:sz w:val="20"/>
                <w:szCs w:val="20"/>
                <w:bdr w:val="none" w:sz="0" w:space="0" w:color="auto"/>
              </w:rPr>
              <w:tab/>
            </w:r>
            <w:r w:rsidR="00A80BBD" w:rsidRPr="005D6E61">
              <w:rPr>
                <w:rStyle w:val="Hyperlink"/>
                <w:rFonts w:asciiTheme="majorHAnsi" w:hAnsiTheme="majorHAnsi"/>
                <w:noProof/>
                <w:sz w:val="20"/>
                <w:szCs w:val="20"/>
                <w:lang w:val="pt-BR"/>
              </w:rPr>
              <w:t>O julgamento 003.1995.0001432 (1995)</w:t>
            </w:r>
            <w:r w:rsidR="00A80BBD" w:rsidRPr="005D6E61">
              <w:rPr>
                <w:rFonts w:asciiTheme="majorHAnsi" w:hAnsiTheme="majorHAnsi"/>
                <w:noProof/>
                <w:webHidden/>
                <w:sz w:val="20"/>
                <w:szCs w:val="20"/>
              </w:rPr>
              <w:tab/>
            </w:r>
            <w:r w:rsidR="00A80BBD" w:rsidRPr="005D6E61">
              <w:rPr>
                <w:rFonts w:asciiTheme="majorHAnsi" w:hAnsiTheme="majorHAnsi"/>
                <w:noProof/>
                <w:webHidden/>
                <w:sz w:val="20"/>
                <w:szCs w:val="20"/>
              </w:rPr>
              <w:fldChar w:fldCharType="begin"/>
            </w:r>
            <w:r w:rsidR="00A80BBD" w:rsidRPr="005D6E61">
              <w:rPr>
                <w:rFonts w:asciiTheme="majorHAnsi" w:hAnsiTheme="majorHAnsi"/>
                <w:noProof/>
                <w:webHidden/>
                <w:sz w:val="20"/>
                <w:szCs w:val="20"/>
              </w:rPr>
              <w:instrText xml:space="preserve"> PAGEREF _Toc27990566 \h </w:instrText>
            </w:r>
            <w:r w:rsidR="00A80BBD" w:rsidRPr="005D6E61">
              <w:rPr>
                <w:rFonts w:asciiTheme="majorHAnsi" w:hAnsiTheme="majorHAnsi"/>
                <w:noProof/>
                <w:webHidden/>
                <w:sz w:val="20"/>
                <w:szCs w:val="20"/>
              </w:rPr>
            </w:r>
            <w:r w:rsidR="00A80BBD" w:rsidRPr="005D6E61">
              <w:rPr>
                <w:rFonts w:asciiTheme="majorHAnsi" w:hAnsiTheme="majorHAnsi"/>
                <w:noProof/>
                <w:webHidden/>
                <w:sz w:val="20"/>
                <w:szCs w:val="20"/>
              </w:rPr>
              <w:fldChar w:fldCharType="separate"/>
            </w:r>
            <w:r>
              <w:rPr>
                <w:rFonts w:asciiTheme="majorHAnsi" w:hAnsiTheme="majorHAnsi"/>
                <w:noProof/>
                <w:webHidden/>
                <w:sz w:val="20"/>
                <w:szCs w:val="20"/>
              </w:rPr>
              <w:t>14</w:t>
            </w:r>
            <w:r w:rsidR="00A80BBD" w:rsidRPr="005D6E61">
              <w:rPr>
                <w:rFonts w:asciiTheme="majorHAnsi" w:hAnsiTheme="majorHAnsi"/>
                <w:noProof/>
                <w:webHidden/>
                <w:sz w:val="20"/>
                <w:szCs w:val="20"/>
              </w:rPr>
              <w:fldChar w:fldCharType="end"/>
            </w:r>
          </w:hyperlink>
        </w:p>
        <w:p w14:paraId="459329B5" w14:textId="4B49518A" w:rsidR="00A80BBD" w:rsidRPr="005D6E61" w:rsidRDefault="0028613C">
          <w:pPr>
            <w:pStyle w:val="TOC3"/>
            <w:tabs>
              <w:tab w:val="left" w:pos="2160"/>
            </w:tabs>
            <w:rPr>
              <w:rFonts w:asciiTheme="majorHAnsi" w:eastAsiaTheme="minorEastAsia" w:hAnsiTheme="majorHAnsi" w:cstheme="minorBidi"/>
              <w:noProof/>
              <w:sz w:val="20"/>
              <w:szCs w:val="20"/>
              <w:bdr w:val="none" w:sz="0" w:space="0" w:color="auto"/>
            </w:rPr>
          </w:pPr>
          <w:hyperlink w:anchor="_Toc27990567" w:history="1">
            <w:r w:rsidR="00A80BBD" w:rsidRPr="005D6E61">
              <w:rPr>
                <w:rStyle w:val="Hyperlink"/>
                <w:rFonts w:asciiTheme="majorHAnsi" w:hAnsiTheme="majorHAnsi"/>
                <w:noProof/>
                <w:sz w:val="20"/>
                <w:szCs w:val="20"/>
                <w:lang w:val="pt-BR"/>
              </w:rPr>
              <w:t>5.</w:t>
            </w:r>
            <w:r w:rsidR="00A80BBD" w:rsidRPr="005D6E61">
              <w:rPr>
                <w:rFonts w:asciiTheme="majorHAnsi" w:eastAsiaTheme="minorEastAsia" w:hAnsiTheme="majorHAnsi" w:cstheme="minorBidi"/>
                <w:noProof/>
                <w:sz w:val="20"/>
                <w:szCs w:val="20"/>
                <w:bdr w:val="none" w:sz="0" w:space="0" w:color="auto"/>
              </w:rPr>
              <w:tab/>
            </w:r>
            <w:r w:rsidR="00A80BBD" w:rsidRPr="005D6E61">
              <w:rPr>
                <w:rStyle w:val="Hyperlink"/>
                <w:rFonts w:asciiTheme="majorHAnsi" w:hAnsiTheme="majorHAnsi"/>
                <w:noProof/>
                <w:sz w:val="20"/>
                <w:szCs w:val="20"/>
                <w:lang w:val="pt-BR"/>
              </w:rPr>
              <w:t>O relatório do Conselho de Defesa dos Direitos da Pessoa Humana</w:t>
            </w:r>
            <w:r w:rsidR="00A80BBD" w:rsidRPr="005D6E61">
              <w:rPr>
                <w:rFonts w:asciiTheme="majorHAnsi" w:hAnsiTheme="majorHAnsi"/>
                <w:noProof/>
                <w:webHidden/>
                <w:sz w:val="20"/>
                <w:szCs w:val="20"/>
              </w:rPr>
              <w:tab/>
            </w:r>
            <w:r w:rsidR="00A80BBD" w:rsidRPr="005D6E61">
              <w:rPr>
                <w:rFonts w:asciiTheme="majorHAnsi" w:hAnsiTheme="majorHAnsi"/>
                <w:noProof/>
                <w:webHidden/>
                <w:sz w:val="20"/>
                <w:szCs w:val="20"/>
              </w:rPr>
              <w:fldChar w:fldCharType="begin"/>
            </w:r>
            <w:r w:rsidR="00A80BBD" w:rsidRPr="005D6E61">
              <w:rPr>
                <w:rFonts w:asciiTheme="majorHAnsi" w:hAnsiTheme="majorHAnsi"/>
                <w:noProof/>
                <w:webHidden/>
                <w:sz w:val="20"/>
                <w:szCs w:val="20"/>
              </w:rPr>
              <w:instrText xml:space="preserve"> PAGEREF _Toc27990567 \h </w:instrText>
            </w:r>
            <w:r w:rsidR="00A80BBD" w:rsidRPr="005D6E61">
              <w:rPr>
                <w:rFonts w:asciiTheme="majorHAnsi" w:hAnsiTheme="majorHAnsi"/>
                <w:noProof/>
                <w:webHidden/>
                <w:sz w:val="20"/>
                <w:szCs w:val="20"/>
              </w:rPr>
            </w:r>
            <w:r w:rsidR="00A80BBD" w:rsidRPr="005D6E61">
              <w:rPr>
                <w:rFonts w:asciiTheme="majorHAnsi" w:hAnsiTheme="majorHAnsi"/>
                <w:noProof/>
                <w:webHidden/>
                <w:sz w:val="20"/>
                <w:szCs w:val="20"/>
              </w:rPr>
              <w:fldChar w:fldCharType="separate"/>
            </w:r>
            <w:r>
              <w:rPr>
                <w:rFonts w:asciiTheme="majorHAnsi" w:hAnsiTheme="majorHAnsi"/>
                <w:noProof/>
                <w:webHidden/>
                <w:sz w:val="20"/>
                <w:szCs w:val="20"/>
              </w:rPr>
              <w:t>16</w:t>
            </w:r>
            <w:r w:rsidR="00A80BBD" w:rsidRPr="005D6E61">
              <w:rPr>
                <w:rFonts w:asciiTheme="majorHAnsi" w:hAnsiTheme="majorHAnsi"/>
                <w:noProof/>
                <w:webHidden/>
                <w:sz w:val="20"/>
                <w:szCs w:val="20"/>
              </w:rPr>
              <w:fldChar w:fldCharType="end"/>
            </w:r>
          </w:hyperlink>
        </w:p>
        <w:p w14:paraId="39B3D3A7" w14:textId="1BED4FF6" w:rsidR="00A80BBD" w:rsidRPr="005D6E61" w:rsidRDefault="0028613C">
          <w:pPr>
            <w:pStyle w:val="TOC1"/>
            <w:rPr>
              <w:rFonts w:eastAsiaTheme="minorEastAsia" w:cstheme="minorBidi"/>
              <w:b w:val="0"/>
              <w:bdr w:val="none" w:sz="0" w:space="0" w:color="auto"/>
              <w:lang w:val="en-US"/>
            </w:rPr>
          </w:pPr>
          <w:hyperlink w:anchor="_Toc27990568" w:history="1">
            <w:r w:rsidR="00A80BBD" w:rsidRPr="005D6E61">
              <w:rPr>
                <w:rStyle w:val="Hyperlink"/>
                <w:rFonts w:eastAsia="Times New Roman"/>
                <w:lang w:val="pt-BR"/>
              </w:rPr>
              <w:t>IV.</w:t>
            </w:r>
            <w:r w:rsidR="00A80BBD" w:rsidRPr="005D6E61">
              <w:rPr>
                <w:rFonts w:eastAsiaTheme="minorEastAsia" w:cstheme="minorBidi"/>
                <w:b w:val="0"/>
                <w:bdr w:val="none" w:sz="0" w:space="0" w:color="auto"/>
                <w:lang w:val="en-US"/>
              </w:rPr>
              <w:tab/>
            </w:r>
            <w:r w:rsidR="00A80BBD" w:rsidRPr="005D6E61">
              <w:rPr>
                <w:rStyle w:val="Hyperlink"/>
                <w:rFonts w:eastAsia="Times New Roman"/>
                <w:lang w:val="pt-BR"/>
              </w:rPr>
              <w:t>ANÁLISE DE DIREITO</w:t>
            </w:r>
            <w:r w:rsidR="00A80BBD" w:rsidRPr="005D6E61">
              <w:rPr>
                <w:webHidden/>
              </w:rPr>
              <w:tab/>
            </w:r>
            <w:r w:rsidR="00A80BBD" w:rsidRPr="005D6E61">
              <w:rPr>
                <w:webHidden/>
              </w:rPr>
              <w:fldChar w:fldCharType="begin"/>
            </w:r>
            <w:r w:rsidR="00A80BBD" w:rsidRPr="005D6E61">
              <w:rPr>
                <w:webHidden/>
              </w:rPr>
              <w:instrText xml:space="preserve"> PAGEREF _Toc27990568 \h </w:instrText>
            </w:r>
            <w:r w:rsidR="00A80BBD" w:rsidRPr="005D6E61">
              <w:rPr>
                <w:webHidden/>
              </w:rPr>
            </w:r>
            <w:r w:rsidR="00A80BBD" w:rsidRPr="005D6E61">
              <w:rPr>
                <w:webHidden/>
              </w:rPr>
              <w:fldChar w:fldCharType="separate"/>
            </w:r>
            <w:r>
              <w:rPr>
                <w:webHidden/>
              </w:rPr>
              <w:t>16</w:t>
            </w:r>
            <w:r w:rsidR="00A80BBD" w:rsidRPr="005D6E61">
              <w:rPr>
                <w:webHidden/>
              </w:rPr>
              <w:fldChar w:fldCharType="end"/>
            </w:r>
          </w:hyperlink>
        </w:p>
        <w:p w14:paraId="42CB91C6" w14:textId="6A14BD0D" w:rsidR="00A80BBD" w:rsidRPr="005D6E61" w:rsidRDefault="0028613C">
          <w:pPr>
            <w:pStyle w:val="TOC2"/>
            <w:rPr>
              <w:rFonts w:asciiTheme="majorHAnsi" w:eastAsiaTheme="minorEastAsia" w:hAnsiTheme="majorHAnsi" w:cstheme="minorBidi"/>
              <w:noProof/>
              <w:sz w:val="20"/>
              <w:szCs w:val="20"/>
              <w:bdr w:val="none" w:sz="0" w:space="0" w:color="auto"/>
            </w:rPr>
          </w:pPr>
          <w:hyperlink w:anchor="_Toc27990569" w:history="1">
            <w:r w:rsidR="00A80BBD" w:rsidRPr="005D6E61">
              <w:rPr>
                <w:rStyle w:val="Hyperlink"/>
                <w:rFonts w:asciiTheme="majorHAnsi" w:hAnsiTheme="majorHAnsi"/>
                <w:noProof/>
                <w:sz w:val="20"/>
                <w:szCs w:val="20"/>
                <w:lang w:val="pt-BR" w:eastAsia="es-ES"/>
              </w:rPr>
              <w:t>A.</w:t>
            </w:r>
            <w:r w:rsidR="00A80BBD" w:rsidRPr="005D6E61">
              <w:rPr>
                <w:rFonts w:asciiTheme="majorHAnsi" w:eastAsiaTheme="minorEastAsia" w:hAnsiTheme="majorHAnsi" w:cstheme="minorBidi"/>
                <w:noProof/>
                <w:sz w:val="20"/>
                <w:szCs w:val="20"/>
                <w:bdr w:val="none" w:sz="0" w:space="0" w:color="auto"/>
              </w:rPr>
              <w:tab/>
            </w:r>
            <w:r w:rsidR="00A80BBD" w:rsidRPr="005D6E61">
              <w:rPr>
                <w:rStyle w:val="Hyperlink"/>
                <w:rFonts w:asciiTheme="majorHAnsi" w:hAnsiTheme="majorHAnsi"/>
                <w:noProof/>
                <w:sz w:val="20"/>
                <w:szCs w:val="20"/>
                <w:lang w:val="pt-BR" w:eastAsia="es-ES"/>
              </w:rPr>
              <w:t>Direito à justiça (Artigo XVIII da Declaração Americana) e direito às garantias judiciais e proteção judicial (Artigos 8.1 e 25.1 da Convenção Americana)</w:t>
            </w:r>
            <w:r w:rsidR="00A80BBD" w:rsidRPr="005D6E61">
              <w:rPr>
                <w:rFonts w:asciiTheme="majorHAnsi" w:hAnsiTheme="majorHAnsi"/>
                <w:noProof/>
                <w:webHidden/>
                <w:sz w:val="20"/>
                <w:szCs w:val="20"/>
              </w:rPr>
              <w:tab/>
            </w:r>
            <w:r w:rsidR="00A80BBD" w:rsidRPr="005D6E61">
              <w:rPr>
                <w:rFonts w:asciiTheme="majorHAnsi" w:hAnsiTheme="majorHAnsi"/>
                <w:noProof/>
                <w:webHidden/>
                <w:sz w:val="20"/>
                <w:szCs w:val="20"/>
              </w:rPr>
              <w:fldChar w:fldCharType="begin"/>
            </w:r>
            <w:r w:rsidR="00A80BBD" w:rsidRPr="005D6E61">
              <w:rPr>
                <w:rFonts w:asciiTheme="majorHAnsi" w:hAnsiTheme="majorHAnsi"/>
                <w:noProof/>
                <w:webHidden/>
                <w:sz w:val="20"/>
                <w:szCs w:val="20"/>
              </w:rPr>
              <w:instrText xml:space="preserve"> PAGEREF _Toc27990569 \h </w:instrText>
            </w:r>
            <w:r w:rsidR="00A80BBD" w:rsidRPr="005D6E61">
              <w:rPr>
                <w:rFonts w:asciiTheme="majorHAnsi" w:hAnsiTheme="majorHAnsi"/>
                <w:noProof/>
                <w:webHidden/>
                <w:sz w:val="20"/>
                <w:szCs w:val="20"/>
              </w:rPr>
            </w:r>
            <w:r w:rsidR="00A80BBD" w:rsidRPr="005D6E61">
              <w:rPr>
                <w:rFonts w:asciiTheme="majorHAnsi" w:hAnsiTheme="majorHAnsi"/>
                <w:noProof/>
                <w:webHidden/>
                <w:sz w:val="20"/>
                <w:szCs w:val="20"/>
              </w:rPr>
              <w:fldChar w:fldCharType="separate"/>
            </w:r>
            <w:r>
              <w:rPr>
                <w:rFonts w:asciiTheme="majorHAnsi" w:hAnsiTheme="majorHAnsi"/>
                <w:noProof/>
                <w:webHidden/>
                <w:sz w:val="20"/>
                <w:szCs w:val="20"/>
              </w:rPr>
              <w:t>17</w:t>
            </w:r>
            <w:r w:rsidR="00A80BBD" w:rsidRPr="005D6E61">
              <w:rPr>
                <w:rFonts w:asciiTheme="majorHAnsi" w:hAnsiTheme="majorHAnsi"/>
                <w:noProof/>
                <w:webHidden/>
                <w:sz w:val="20"/>
                <w:szCs w:val="20"/>
              </w:rPr>
              <w:fldChar w:fldCharType="end"/>
            </w:r>
          </w:hyperlink>
        </w:p>
        <w:p w14:paraId="16A4262F" w14:textId="421CBEA3" w:rsidR="00A80BBD" w:rsidRPr="005D6E61" w:rsidRDefault="0028613C">
          <w:pPr>
            <w:pStyle w:val="TOC3"/>
            <w:tabs>
              <w:tab w:val="left" w:pos="2160"/>
            </w:tabs>
            <w:rPr>
              <w:rFonts w:asciiTheme="majorHAnsi" w:eastAsiaTheme="minorEastAsia" w:hAnsiTheme="majorHAnsi" w:cstheme="minorBidi"/>
              <w:noProof/>
              <w:sz w:val="20"/>
              <w:szCs w:val="20"/>
              <w:bdr w:val="none" w:sz="0" w:space="0" w:color="auto"/>
            </w:rPr>
          </w:pPr>
          <w:hyperlink w:anchor="_Toc27990570" w:history="1">
            <w:r w:rsidR="00A80BBD" w:rsidRPr="005D6E61">
              <w:rPr>
                <w:rStyle w:val="Hyperlink"/>
                <w:rFonts w:asciiTheme="majorHAnsi" w:hAnsiTheme="majorHAnsi"/>
                <w:noProof/>
                <w:sz w:val="20"/>
                <w:szCs w:val="20"/>
                <w:lang w:val="pt-BR"/>
              </w:rPr>
              <w:t>1.</w:t>
            </w:r>
            <w:r w:rsidR="00A80BBD" w:rsidRPr="005D6E61">
              <w:rPr>
                <w:rFonts w:asciiTheme="majorHAnsi" w:eastAsiaTheme="minorEastAsia" w:hAnsiTheme="majorHAnsi" w:cstheme="minorBidi"/>
                <w:noProof/>
                <w:sz w:val="20"/>
                <w:szCs w:val="20"/>
                <w:bdr w:val="none" w:sz="0" w:space="0" w:color="auto"/>
              </w:rPr>
              <w:tab/>
            </w:r>
            <w:r w:rsidR="00A80BBD" w:rsidRPr="005D6E61">
              <w:rPr>
                <w:rStyle w:val="Hyperlink"/>
                <w:rFonts w:asciiTheme="majorHAnsi" w:hAnsiTheme="majorHAnsi"/>
                <w:noProof/>
                <w:sz w:val="20"/>
                <w:szCs w:val="20"/>
                <w:lang w:val="pt-BR"/>
              </w:rPr>
              <w:t>Considerações gerais</w:t>
            </w:r>
            <w:r w:rsidR="00A80BBD" w:rsidRPr="005D6E61">
              <w:rPr>
                <w:rFonts w:asciiTheme="majorHAnsi" w:hAnsiTheme="majorHAnsi"/>
                <w:noProof/>
                <w:webHidden/>
                <w:sz w:val="20"/>
                <w:szCs w:val="20"/>
              </w:rPr>
              <w:tab/>
            </w:r>
            <w:r w:rsidR="00A80BBD" w:rsidRPr="005D6E61">
              <w:rPr>
                <w:rFonts w:asciiTheme="majorHAnsi" w:hAnsiTheme="majorHAnsi"/>
                <w:noProof/>
                <w:webHidden/>
                <w:sz w:val="20"/>
                <w:szCs w:val="20"/>
              </w:rPr>
              <w:fldChar w:fldCharType="begin"/>
            </w:r>
            <w:r w:rsidR="00A80BBD" w:rsidRPr="005D6E61">
              <w:rPr>
                <w:rFonts w:asciiTheme="majorHAnsi" w:hAnsiTheme="majorHAnsi"/>
                <w:noProof/>
                <w:webHidden/>
                <w:sz w:val="20"/>
                <w:szCs w:val="20"/>
              </w:rPr>
              <w:instrText xml:space="preserve"> PAGEREF _Toc27990570 \h </w:instrText>
            </w:r>
            <w:r w:rsidR="00A80BBD" w:rsidRPr="005D6E61">
              <w:rPr>
                <w:rFonts w:asciiTheme="majorHAnsi" w:hAnsiTheme="majorHAnsi"/>
                <w:noProof/>
                <w:webHidden/>
                <w:sz w:val="20"/>
                <w:szCs w:val="20"/>
              </w:rPr>
            </w:r>
            <w:r w:rsidR="00A80BBD" w:rsidRPr="005D6E61">
              <w:rPr>
                <w:rFonts w:asciiTheme="majorHAnsi" w:hAnsiTheme="majorHAnsi"/>
                <w:noProof/>
                <w:webHidden/>
                <w:sz w:val="20"/>
                <w:szCs w:val="20"/>
              </w:rPr>
              <w:fldChar w:fldCharType="separate"/>
            </w:r>
            <w:r>
              <w:rPr>
                <w:rFonts w:asciiTheme="majorHAnsi" w:hAnsiTheme="majorHAnsi"/>
                <w:noProof/>
                <w:webHidden/>
                <w:sz w:val="20"/>
                <w:szCs w:val="20"/>
              </w:rPr>
              <w:t>17</w:t>
            </w:r>
            <w:r w:rsidR="00A80BBD" w:rsidRPr="005D6E61">
              <w:rPr>
                <w:rFonts w:asciiTheme="majorHAnsi" w:hAnsiTheme="majorHAnsi"/>
                <w:noProof/>
                <w:webHidden/>
                <w:sz w:val="20"/>
                <w:szCs w:val="20"/>
              </w:rPr>
              <w:fldChar w:fldCharType="end"/>
            </w:r>
          </w:hyperlink>
        </w:p>
        <w:p w14:paraId="325996F7" w14:textId="5FF2C6AD" w:rsidR="00A80BBD" w:rsidRPr="005D6E61" w:rsidRDefault="0028613C">
          <w:pPr>
            <w:pStyle w:val="TOC3"/>
            <w:tabs>
              <w:tab w:val="left" w:pos="2160"/>
            </w:tabs>
            <w:rPr>
              <w:rFonts w:asciiTheme="majorHAnsi" w:eastAsiaTheme="minorEastAsia" w:hAnsiTheme="majorHAnsi" w:cstheme="minorBidi"/>
              <w:noProof/>
              <w:sz w:val="20"/>
              <w:szCs w:val="20"/>
              <w:bdr w:val="none" w:sz="0" w:space="0" w:color="auto"/>
            </w:rPr>
          </w:pPr>
          <w:hyperlink w:anchor="_Toc27990571" w:history="1">
            <w:r w:rsidR="00A80BBD" w:rsidRPr="005D6E61">
              <w:rPr>
                <w:rStyle w:val="Hyperlink"/>
                <w:rFonts w:asciiTheme="majorHAnsi" w:hAnsiTheme="majorHAnsi"/>
                <w:noProof/>
                <w:sz w:val="20"/>
                <w:szCs w:val="20"/>
                <w:lang w:val="pt-BR"/>
              </w:rPr>
              <w:t>2.</w:t>
            </w:r>
            <w:r w:rsidR="00A80BBD" w:rsidRPr="005D6E61">
              <w:rPr>
                <w:rFonts w:asciiTheme="majorHAnsi" w:eastAsiaTheme="minorEastAsia" w:hAnsiTheme="majorHAnsi" w:cstheme="minorBidi"/>
                <w:noProof/>
                <w:sz w:val="20"/>
                <w:szCs w:val="20"/>
                <w:bdr w:val="none" w:sz="0" w:space="0" w:color="auto"/>
              </w:rPr>
              <w:tab/>
            </w:r>
            <w:r w:rsidR="00A80BBD" w:rsidRPr="005D6E61">
              <w:rPr>
                <w:rStyle w:val="Hyperlink"/>
                <w:rFonts w:asciiTheme="majorHAnsi" w:hAnsiTheme="majorHAnsi"/>
                <w:noProof/>
                <w:sz w:val="20"/>
                <w:szCs w:val="20"/>
                <w:lang w:val="pt-BR"/>
              </w:rPr>
              <w:t>Análise do presente caso</w:t>
            </w:r>
            <w:r w:rsidR="00A80BBD" w:rsidRPr="005D6E61">
              <w:rPr>
                <w:rFonts w:asciiTheme="majorHAnsi" w:hAnsiTheme="majorHAnsi"/>
                <w:noProof/>
                <w:webHidden/>
                <w:sz w:val="20"/>
                <w:szCs w:val="20"/>
              </w:rPr>
              <w:tab/>
            </w:r>
            <w:r w:rsidR="00A80BBD" w:rsidRPr="005D6E61">
              <w:rPr>
                <w:rFonts w:asciiTheme="majorHAnsi" w:hAnsiTheme="majorHAnsi"/>
                <w:noProof/>
                <w:webHidden/>
                <w:sz w:val="20"/>
                <w:szCs w:val="20"/>
              </w:rPr>
              <w:fldChar w:fldCharType="begin"/>
            </w:r>
            <w:r w:rsidR="00A80BBD" w:rsidRPr="005D6E61">
              <w:rPr>
                <w:rFonts w:asciiTheme="majorHAnsi" w:hAnsiTheme="majorHAnsi"/>
                <w:noProof/>
                <w:webHidden/>
                <w:sz w:val="20"/>
                <w:szCs w:val="20"/>
              </w:rPr>
              <w:instrText xml:space="preserve"> PAGEREF _Toc27990571 \h </w:instrText>
            </w:r>
            <w:r w:rsidR="00A80BBD" w:rsidRPr="005D6E61">
              <w:rPr>
                <w:rFonts w:asciiTheme="majorHAnsi" w:hAnsiTheme="majorHAnsi"/>
                <w:noProof/>
                <w:webHidden/>
                <w:sz w:val="20"/>
                <w:szCs w:val="20"/>
              </w:rPr>
            </w:r>
            <w:r w:rsidR="00A80BBD" w:rsidRPr="005D6E61">
              <w:rPr>
                <w:rFonts w:asciiTheme="majorHAnsi" w:hAnsiTheme="majorHAnsi"/>
                <w:noProof/>
                <w:webHidden/>
                <w:sz w:val="20"/>
                <w:szCs w:val="20"/>
              </w:rPr>
              <w:fldChar w:fldCharType="separate"/>
            </w:r>
            <w:r>
              <w:rPr>
                <w:rFonts w:asciiTheme="majorHAnsi" w:hAnsiTheme="majorHAnsi"/>
                <w:noProof/>
                <w:webHidden/>
                <w:sz w:val="20"/>
                <w:szCs w:val="20"/>
              </w:rPr>
              <w:t>19</w:t>
            </w:r>
            <w:r w:rsidR="00A80BBD" w:rsidRPr="005D6E61">
              <w:rPr>
                <w:rFonts w:asciiTheme="majorHAnsi" w:hAnsiTheme="majorHAnsi"/>
                <w:noProof/>
                <w:webHidden/>
                <w:sz w:val="20"/>
                <w:szCs w:val="20"/>
              </w:rPr>
              <w:fldChar w:fldCharType="end"/>
            </w:r>
          </w:hyperlink>
        </w:p>
        <w:p w14:paraId="32015CEB" w14:textId="05611621" w:rsidR="00A80BBD" w:rsidRPr="005D6E61" w:rsidRDefault="0028613C">
          <w:pPr>
            <w:pStyle w:val="TOC2"/>
            <w:rPr>
              <w:rFonts w:asciiTheme="majorHAnsi" w:eastAsiaTheme="minorEastAsia" w:hAnsiTheme="majorHAnsi" w:cstheme="minorBidi"/>
              <w:noProof/>
              <w:sz w:val="20"/>
              <w:szCs w:val="20"/>
              <w:bdr w:val="none" w:sz="0" w:space="0" w:color="auto"/>
            </w:rPr>
          </w:pPr>
          <w:hyperlink w:anchor="_Toc27990572" w:history="1">
            <w:r w:rsidR="00A80BBD" w:rsidRPr="005D6E61">
              <w:rPr>
                <w:rStyle w:val="Hyperlink"/>
                <w:rFonts w:asciiTheme="majorHAnsi" w:hAnsiTheme="majorHAnsi"/>
                <w:noProof/>
                <w:sz w:val="20"/>
                <w:szCs w:val="20"/>
                <w:lang w:val="pt-BR" w:eastAsia="es-ES"/>
              </w:rPr>
              <w:t>B.</w:t>
            </w:r>
            <w:r w:rsidR="00A80BBD" w:rsidRPr="005D6E61">
              <w:rPr>
                <w:rFonts w:asciiTheme="majorHAnsi" w:eastAsiaTheme="minorEastAsia" w:hAnsiTheme="majorHAnsi" w:cstheme="minorBidi"/>
                <w:noProof/>
                <w:sz w:val="20"/>
                <w:szCs w:val="20"/>
                <w:bdr w:val="none" w:sz="0" w:space="0" w:color="auto"/>
              </w:rPr>
              <w:tab/>
            </w:r>
            <w:r w:rsidR="00A80BBD" w:rsidRPr="005D6E61">
              <w:rPr>
                <w:rStyle w:val="Hyperlink"/>
                <w:rFonts w:asciiTheme="majorHAnsi" w:hAnsiTheme="majorHAnsi"/>
                <w:noProof/>
                <w:sz w:val="20"/>
                <w:szCs w:val="20"/>
                <w:lang w:val="pt-BR" w:eastAsia="es-ES"/>
              </w:rPr>
              <w:t>Direito à vida (artigo I da Declaração Americana dos Direitos e Deveres do Homem)</w:t>
            </w:r>
            <w:r w:rsidR="00A80BBD" w:rsidRPr="005D6E61">
              <w:rPr>
                <w:rFonts w:asciiTheme="majorHAnsi" w:hAnsiTheme="majorHAnsi"/>
                <w:noProof/>
                <w:webHidden/>
                <w:sz w:val="20"/>
                <w:szCs w:val="20"/>
              </w:rPr>
              <w:tab/>
            </w:r>
            <w:r w:rsidR="00A80BBD" w:rsidRPr="005D6E61">
              <w:rPr>
                <w:rFonts w:asciiTheme="majorHAnsi" w:hAnsiTheme="majorHAnsi"/>
                <w:noProof/>
                <w:webHidden/>
                <w:sz w:val="20"/>
                <w:szCs w:val="20"/>
              </w:rPr>
              <w:fldChar w:fldCharType="begin"/>
            </w:r>
            <w:r w:rsidR="00A80BBD" w:rsidRPr="005D6E61">
              <w:rPr>
                <w:rFonts w:asciiTheme="majorHAnsi" w:hAnsiTheme="majorHAnsi"/>
                <w:noProof/>
                <w:webHidden/>
                <w:sz w:val="20"/>
                <w:szCs w:val="20"/>
              </w:rPr>
              <w:instrText xml:space="preserve"> PAGEREF _Toc27990572 \h </w:instrText>
            </w:r>
            <w:r w:rsidR="00A80BBD" w:rsidRPr="005D6E61">
              <w:rPr>
                <w:rFonts w:asciiTheme="majorHAnsi" w:hAnsiTheme="majorHAnsi"/>
                <w:noProof/>
                <w:webHidden/>
                <w:sz w:val="20"/>
                <w:szCs w:val="20"/>
              </w:rPr>
            </w:r>
            <w:r w:rsidR="00A80BBD" w:rsidRPr="005D6E61">
              <w:rPr>
                <w:rFonts w:asciiTheme="majorHAnsi" w:hAnsiTheme="majorHAnsi"/>
                <w:noProof/>
                <w:webHidden/>
                <w:sz w:val="20"/>
                <w:szCs w:val="20"/>
              </w:rPr>
              <w:fldChar w:fldCharType="separate"/>
            </w:r>
            <w:r>
              <w:rPr>
                <w:rFonts w:asciiTheme="majorHAnsi" w:hAnsiTheme="majorHAnsi"/>
                <w:noProof/>
                <w:webHidden/>
                <w:sz w:val="20"/>
                <w:szCs w:val="20"/>
              </w:rPr>
              <w:t>21</w:t>
            </w:r>
            <w:r w:rsidR="00A80BBD" w:rsidRPr="005D6E61">
              <w:rPr>
                <w:rFonts w:asciiTheme="majorHAnsi" w:hAnsiTheme="majorHAnsi"/>
                <w:noProof/>
                <w:webHidden/>
                <w:sz w:val="20"/>
                <w:szCs w:val="20"/>
              </w:rPr>
              <w:fldChar w:fldCharType="end"/>
            </w:r>
          </w:hyperlink>
        </w:p>
        <w:p w14:paraId="79567F61" w14:textId="61EAC1F7" w:rsidR="00A80BBD" w:rsidRPr="005D6E61" w:rsidRDefault="0028613C">
          <w:pPr>
            <w:pStyle w:val="TOC3"/>
            <w:tabs>
              <w:tab w:val="left" w:pos="2160"/>
            </w:tabs>
            <w:rPr>
              <w:rFonts w:asciiTheme="majorHAnsi" w:eastAsiaTheme="minorEastAsia" w:hAnsiTheme="majorHAnsi" w:cstheme="minorBidi"/>
              <w:noProof/>
              <w:sz w:val="20"/>
              <w:szCs w:val="20"/>
              <w:bdr w:val="none" w:sz="0" w:space="0" w:color="auto"/>
            </w:rPr>
          </w:pPr>
          <w:hyperlink w:anchor="_Toc27990573" w:history="1">
            <w:r w:rsidR="00A80BBD" w:rsidRPr="005D6E61">
              <w:rPr>
                <w:rStyle w:val="Hyperlink"/>
                <w:rFonts w:asciiTheme="majorHAnsi" w:hAnsiTheme="majorHAnsi"/>
                <w:noProof/>
                <w:sz w:val="20"/>
                <w:szCs w:val="20"/>
                <w:lang w:val="pt-BR"/>
              </w:rPr>
              <w:t>1.</w:t>
            </w:r>
            <w:r w:rsidR="00A80BBD" w:rsidRPr="005D6E61">
              <w:rPr>
                <w:rFonts w:asciiTheme="majorHAnsi" w:eastAsiaTheme="minorEastAsia" w:hAnsiTheme="majorHAnsi" w:cstheme="minorBidi"/>
                <w:noProof/>
                <w:sz w:val="20"/>
                <w:szCs w:val="20"/>
                <w:bdr w:val="none" w:sz="0" w:space="0" w:color="auto"/>
              </w:rPr>
              <w:tab/>
            </w:r>
            <w:r w:rsidR="00A80BBD" w:rsidRPr="005D6E61">
              <w:rPr>
                <w:rStyle w:val="Hyperlink"/>
                <w:rFonts w:asciiTheme="majorHAnsi" w:hAnsiTheme="majorHAnsi"/>
                <w:noProof/>
                <w:sz w:val="20"/>
                <w:szCs w:val="20"/>
                <w:lang w:val="pt-BR"/>
              </w:rPr>
              <w:t>Considerações Gerais</w:t>
            </w:r>
            <w:r w:rsidR="00A80BBD" w:rsidRPr="005D6E61">
              <w:rPr>
                <w:rFonts w:asciiTheme="majorHAnsi" w:hAnsiTheme="majorHAnsi"/>
                <w:noProof/>
                <w:webHidden/>
                <w:sz w:val="20"/>
                <w:szCs w:val="20"/>
              </w:rPr>
              <w:tab/>
            </w:r>
            <w:r w:rsidR="00A80BBD" w:rsidRPr="005D6E61">
              <w:rPr>
                <w:rFonts w:asciiTheme="majorHAnsi" w:hAnsiTheme="majorHAnsi"/>
                <w:noProof/>
                <w:webHidden/>
                <w:sz w:val="20"/>
                <w:szCs w:val="20"/>
              </w:rPr>
              <w:fldChar w:fldCharType="begin"/>
            </w:r>
            <w:r w:rsidR="00A80BBD" w:rsidRPr="005D6E61">
              <w:rPr>
                <w:rFonts w:asciiTheme="majorHAnsi" w:hAnsiTheme="majorHAnsi"/>
                <w:noProof/>
                <w:webHidden/>
                <w:sz w:val="20"/>
                <w:szCs w:val="20"/>
              </w:rPr>
              <w:instrText xml:space="preserve"> PAGEREF _Toc27990573 \h </w:instrText>
            </w:r>
            <w:r w:rsidR="00A80BBD" w:rsidRPr="005D6E61">
              <w:rPr>
                <w:rFonts w:asciiTheme="majorHAnsi" w:hAnsiTheme="majorHAnsi"/>
                <w:noProof/>
                <w:webHidden/>
                <w:sz w:val="20"/>
                <w:szCs w:val="20"/>
              </w:rPr>
            </w:r>
            <w:r w:rsidR="00A80BBD" w:rsidRPr="005D6E61">
              <w:rPr>
                <w:rFonts w:asciiTheme="majorHAnsi" w:hAnsiTheme="majorHAnsi"/>
                <w:noProof/>
                <w:webHidden/>
                <w:sz w:val="20"/>
                <w:szCs w:val="20"/>
              </w:rPr>
              <w:fldChar w:fldCharType="separate"/>
            </w:r>
            <w:r>
              <w:rPr>
                <w:rFonts w:asciiTheme="majorHAnsi" w:hAnsiTheme="majorHAnsi"/>
                <w:noProof/>
                <w:webHidden/>
                <w:sz w:val="20"/>
                <w:szCs w:val="20"/>
              </w:rPr>
              <w:t>21</w:t>
            </w:r>
            <w:r w:rsidR="00A80BBD" w:rsidRPr="005D6E61">
              <w:rPr>
                <w:rFonts w:asciiTheme="majorHAnsi" w:hAnsiTheme="majorHAnsi"/>
                <w:noProof/>
                <w:webHidden/>
                <w:sz w:val="20"/>
                <w:szCs w:val="20"/>
              </w:rPr>
              <w:fldChar w:fldCharType="end"/>
            </w:r>
          </w:hyperlink>
        </w:p>
        <w:p w14:paraId="0661AE8B" w14:textId="1865D077" w:rsidR="00A80BBD" w:rsidRPr="005D6E61" w:rsidRDefault="0028613C">
          <w:pPr>
            <w:pStyle w:val="TOC3"/>
            <w:tabs>
              <w:tab w:val="left" w:pos="2160"/>
            </w:tabs>
            <w:rPr>
              <w:rFonts w:asciiTheme="majorHAnsi" w:eastAsiaTheme="minorEastAsia" w:hAnsiTheme="majorHAnsi" w:cstheme="minorBidi"/>
              <w:noProof/>
              <w:sz w:val="20"/>
              <w:szCs w:val="20"/>
              <w:bdr w:val="none" w:sz="0" w:space="0" w:color="auto"/>
            </w:rPr>
          </w:pPr>
          <w:hyperlink w:anchor="_Toc27990574" w:history="1">
            <w:r w:rsidR="00A80BBD" w:rsidRPr="005D6E61">
              <w:rPr>
                <w:rStyle w:val="Hyperlink"/>
                <w:rFonts w:asciiTheme="majorHAnsi" w:hAnsiTheme="majorHAnsi"/>
                <w:noProof/>
                <w:sz w:val="20"/>
                <w:szCs w:val="20"/>
                <w:lang w:val="pt-BR"/>
              </w:rPr>
              <w:t>2.</w:t>
            </w:r>
            <w:r w:rsidR="00A80BBD" w:rsidRPr="005D6E61">
              <w:rPr>
                <w:rFonts w:asciiTheme="majorHAnsi" w:eastAsiaTheme="minorEastAsia" w:hAnsiTheme="majorHAnsi" w:cstheme="minorBidi"/>
                <w:noProof/>
                <w:sz w:val="20"/>
                <w:szCs w:val="20"/>
                <w:bdr w:val="none" w:sz="0" w:space="0" w:color="auto"/>
              </w:rPr>
              <w:tab/>
            </w:r>
            <w:r w:rsidR="00A80BBD" w:rsidRPr="005D6E61">
              <w:rPr>
                <w:rStyle w:val="Hyperlink"/>
                <w:rFonts w:asciiTheme="majorHAnsi" w:hAnsiTheme="majorHAnsi"/>
                <w:noProof/>
                <w:sz w:val="20"/>
                <w:szCs w:val="20"/>
                <w:lang w:val="pt-BR"/>
              </w:rPr>
              <w:t>Análise do presente caso</w:t>
            </w:r>
            <w:r w:rsidR="00A80BBD" w:rsidRPr="005D6E61">
              <w:rPr>
                <w:rFonts w:asciiTheme="majorHAnsi" w:hAnsiTheme="majorHAnsi"/>
                <w:noProof/>
                <w:webHidden/>
                <w:sz w:val="20"/>
                <w:szCs w:val="20"/>
              </w:rPr>
              <w:tab/>
            </w:r>
            <w:r w:rsidR="00A80BBD" w:rsidRPr="005D6E61">
              <w:rPr>
                <w:rFonts w:asciiTheme="majorHAnsi" w:hAnsiTheme="majorHAnsi"/>
                <w:noProof/>
                <w:webHidden/>
                <w:sz w:val="20"/>
                <w:szCs w:val="20"/>
              </w:rPr>
              <w:fldChar w:fldCharType="begin"/>
            </w:r>
            <w:r w:rsidR="00A80BBD" w:rsidRPr="005D6E61">
              <w:rPr>
                <w:rFonts w:asciiTheme="majorHAnsi" w:hAnsiTheme="majorHAnsi"/>
                <w:noProof/>
                <w:webHidden/>
                <w:sz w:val="20"/>
                <w:szCs w:val="20"/>
              </w:rPr>
              <w:instrText xml:space="preserve"> PAGEREF _Toc27990574 \h </w:instrText>
            </w:r>
            <w:r w:rsidR="00A80BBD" w:rsidRPr="005D6E61">
              <w:rPr>
                <w:rFonts w:asciiTheme="majorHAnsi" w:hAnsiTheme="majorHAnsi"/>
                <w:noProof/>
                <w:webHidden/>
                <w:sz w:val="20"/>
                <w:szCs w:val="20"/>
              </w:rPr>
            </w:r>
            <w:r w:rsidR="00A80BBD" w:rsidRPr="005D6E61">
              <w:rPr>
                <w:rFonts w:asciiTheme="majorHAnsi" w:hAnsiTheme="majorHAnsi"/>
                <w:noProof/>
                <w:webHidden/>
                <w:sz w:val="20"/>
                <w:szCs w:val="20"/>
              </w:rPr>
              <w:fldChar w:fldCharType="separate"/>
            </w:r>
            <w:r>
              <w:rPr>
                <w:rFonts w:asciiTheme="majorHAnsi" w:hAnsiTheme="majorHAnsi"/>
                <w:noProof/>
                <w:webHidden/>
                <w:sz w:val="20"/>
                <w:szCs w:val="20"/>
              </w:rPr>
              <w:t>23</w:t>
            </w:r>
            <w:r w:rsidR="00A80BBD" w:rsidRPr="005D6E61">
              <w:rPr>
                <w:rFonts w:asciiTheme="majorHAnsi" w:hAnsiTheme="majorHAnsi"/>
                <w:noProof/>
                <w:webHidden/>
                <w:sz w:val="20"/>
                <w:szCs w:val="20"/>
              </w:rPr>
              <w:fldChar w:fldCharType="end"/>
            </w:r>
          </w:hyperlink>
        </w:p>
        <w:p w14:paraId="6C71B92D" w14:textId="0353C260" w:rsidR="00A80BBD" w:rsidRPr="005D6E61" w:rsidRDefault="0028613C">
          <w:pPr>
            <w:pStyle w:val="TOC2"/>
            <w:rPr>
              <w:rFonts w:asciiTheme="majorHAnsi" w:eastAsiaTheme="minorEastAsia" w:hAnsiTheme="majorHAnsi" w:cstheme="minorBidi"/>
              <w:noProof/>
              <w:sz w:val="20"/>
              <w:szCs w:val="20"/>
              <w:bdr w:val="none" w:sz="0" w:space="0" w:color="auto"/>
            </w:rPr>
          </w:pPr>
          <w:hyperlink w:anchor="_Toc27990575" w:history="1">
            <w:r w:rsidR="00A80BBD" w:rsidRPr="005D6E61">
              <w:rPr>
                <w:rStyle w:val="Hyperlink"/>
                <w:rFonts w:asciiTheme="majorHAnsi" w:hAnsiTheme="majorHAnsi"/>
                <w:noProof/>
                <w:sz w:val="20"/>
                <w:szCs w:val="20"/>
                <w:lang w:val="pt-BR" w:eastAsia="es-ES"/>
              </w:rPr>
              <w:t>C.</w:t>
            </w:r>
            <w:r w:rsidR="00A80BBD" w:rsidRPr="005D6E61">
              <w:rPr>
                <w:rFonts w:asciiTheme="majorHAnsi" w:eastAsiaTheme="minorEastAsia" w:hAnsiTheme="majorHAnsi" w:cstheme="minorBidi"/>
                <w:noProof/>
                <w:sz w:val="20"/>
                <w:szCs w:val="20"/>
                <w:bdr w:val="none" w:sz="0" w:space="0" w:color="auto"/>
              </w:rPr>
              <w:tab/>
            </w:r>
            <w:r w:rsidR="00A80BBD" w:rsidRPr="005D6E61">
              <w:rPr>
                <w:rStyle w:val="Hyperlink"/>
                <w:rFonts w:asciiTheme="majorHAnsi" w:hAnsiTheme="majorHAnsi"/>
                <w:noProof/>
                <w:sz w:val="20"/>
                <w:szCs w:val="20"/>
                <w:lang w:val="pt-BR" w:eastAsia="es-ES"/>
              </w:rPr>
              <w:t>Direito de associação (artigo XXII da Declaração Americana dos Direitos e Deveres do Homem)</w:t>
            </w:r>
            <w:r w:rsidR="00A80BBD" w:rsidRPr="005D6E61">
              <w:rPr>
                <w:rFonts w:asciiTheme="majorHAnsi" w:hAnsiTheme="majorHAnsi"/>
                <w:noProof/>
                <w:webHidden/>
                <w:sz w:val="20"/>
                <w:szCs w:val="20"/>
              </w:rPr>
              <w:tab/>
            </w:r>
            <w:r w:rsidR="00A80BBD" w:rsidRPr="005D6E61">
              <w:rPr>
                <w:rFonts w:asciiTheme="majorHAnsi" w:hAnsiTheme="majorHAnsi"/>
                <w:noProof/>
                <w:webHidden/>
                <w:sz w:val="20"/>
                <w:szCs w:val="20"/>
              </w:rPr>
              <w:fldChar w:fldCharType="begin"/>
            </w:r>
            <w:r w:rsidR="00A80BBD" w:rsidRPr="005D6E61">
              <w:rPr>
                <w:rFonts w:asciiTheme="majorHAnsi" w:hAnsiTheme="majorHAnsi"/>
                <w:noProof/>
                <w:webHidden/>
                <w:sz w:val="20"/>
                <w:szCs w:val="20"/>
              </w:rPr>
              <w:instrText xml:space="preserve"> PAGEREF _Toc27990575 \h </w:instrText>
            </w:r>
            <w:r w:rsidR="00A80BBD" w:rsidRPr="005D6E61">
              <w:rPr>
                <w:rFonts w:asciiTheme="majorHAnsi" w:hAnsiTheme="majorHAnsi"/>
                <w:noProof/>
                <w:webHidden/>
                <w:sz w:val="20"/>
                <w:szCs w:val="20"/>
              </w:rPr>
            </w:r>
            <w:r w:rsidR="00A80BBD" w:rsidRPr="005D6E61">
              <w:rPr>
                <w:rFonts w:asciiTheme="majorHAnsi" w:hAnsiTheme="majorHAnsi"/>
                <w:noProof/>
                <w:webHidden/>
                <w:sz w:val="20"/>
                <w:szCs w:val="20"/>
              </w:rPr>
              <w:fldChar w:fldCharType="separate"/>
            </w:r>
            <w:r>
              <w:rPr>
                <w:rFonts w:asciiTheme="majorHAnsi" w:hAnsiTheme="majorHAnsi"/>
                <w:noProof/>
                <w:webHidden/>
                <w:sz w:val="20"/>
                <w:szCs w:val="20"/>
              </w:rPr>
              <w:t>24</w:t>
            </w:r>
            <w:r w:rsidR="00A80BBD" w:rsidRPr="005D6E61">
              <w:rPr>
                <w:rFonts w:asciiTheme="majorHAnsi" w:hAnsiTheme="majorHAnsi"/>
                <w:noProof/>
                <w:webHidden/>
                <w:sz w:val="20"/>
                <w:szCs w:val="20"/>
              </w:rPr>
              <w:fldChar w:fldCharType="end"/>
            </w:r>
          </w:hyperlink>
        </w:p>
        <w:p w14:paraId="61D9D367" w14:textId="2797BC60" w:rsidR="00A80BBD" w:rsidRPr="005D6E61" w:rsidRDefault="0028613C">
          <w:pPr>
            <w:pStyle w:val="TOC2"/>
            <w:rPr>
              <w:rFonts w:asciiTheme="majorHAnsi" w:eastAsiaTheme="minorEastAsia" w:hAnsiTheme="majorHAnsi" w:cstheme="minorBidi"/>
              <w:noProof/>
              <w:sz w:val="20"/>
              <w:szCs w:val="20"/>
              <w:bdr w:val="none" w:sz="0" w:space="0" w:color="auto"/>
            </w:rPr>
          </w:pPr>
          <w:hyperlink w:anchor="_Toc27990576" w:history="1">
            <w:r w:rsidR="00A80BBD" w:rsidRPr="005D6E61">
              <w:rPr>
                <w:rStyle w:val="Hyperlink"/>
                <w:rFonts w:asciiTheme="majorHAnsi" w:hAnsiTheme="majorHAnsi"/>
                <w:noProof/>
                <w:sz w:val="20"/>
                <w:szCs w:val="20"/>
                <w:lang w:val="pt-BR" w:eastAsia="es-ES"/>
              </w:rPr>
              <w:t>D.</w:t>
            </w:r>
            <w:r w:rsidR="00A80BBD" w:rsidRPr="005D6E61">
              <w:rPr>
                <w:rFonts w:asciiTheme="majorHAnsi" w:eastAsiaTheme="minorEastAsia" w:hAnsiTheme="majorHAnsi" w:cstheme="minorBidi"/>
                <w:noProof/>
                <w:sz w:val="20"/>
                <w:szCs w:val="20"/>
                <w:bdr w:val="none" w:sz="0" w:space="0" w:color="auto"/>
              </w:rPr>
              <w:tab/>
            </w:r>
            <w:r w:rsidR="00A80BBD" w:rsidRPr="005D6E61">
              <w:rPr>
                <w:rStyle w:val="Hyperlink"/>
                <w:rFonts w:asciiTheme="majorHAnsi" w:hAnsiTheme="majorHAnsi"/>
                <w:noProof/>
                <w:sz w:val="20"/>
                <w:szCs w:val="20"/>
                <w:lang w:val="pt-BR" w:eastAsia="es-ES"/>
              </w:rPr>
              <w:t>Direito à integridade pessoal (artigo I da Declaração Americana dos Direitos e Deveres do Homem e artigo 5 da Convenção Americana)</w:t>
            </w:r>
            <w:r w:rsidR="00A80BBD" w:rsidRPr="005D6E61">
              <w:rPr>
                <w:rFonts w:asciiTheme="majorHAnsi" w:hAnsiTheme="majorHAnsi"/>
                <w:noProof/>
                <w:webHidden/>
                <w:sz w:val="20"/>
                <w:szCs w:val="20"/>
              </w:rPr>
              <w:tab/>
            </w:r>
            <w:r w:rsidR="00A80BBD" w:rsidRPr="005D6E61">
              <w:rPr>
                <w:rFonts w:asciiTheme="majorHAnsi" w:hAnsiTheme="majorHAnsi"/>
                <w:noProof/>
                <w:webHidden/>
                <w:sz w:val="20"/>
                <w:szCs w:val="20"/>
              </w:rPr>
              <w:fldChar w:fldCharType="begin"/>
            </w:r>
            <w:r w:rsidR="00A80BBD" w:rsidRPr="005D6E61">
              <w:rPr>
                <w:rFonts w:asciiTheme="majorHAnsi" w:hAnsiTheme="majorHAnsi"/>
                <w:noProof/>
                <w:webHidden/>
                <w:sz w:val="20"/>
                <w:szCs w:val="20"/>
              </w:rPr>
              <w:instrText xml:space="preserve"> PAGEREF _Toc27990576 \h </w:instrText>
            </w:r>
            <w:r w:rsidR="00A80BBD" w:rsidRPr="005D6E61">
              <w:rPr>
                <w:rFonts w:asciiTheme="majorHAnsi" w:hAnsiTheme="majorHAnsi"/>
                <w:noProof/>
                <w:webHidden/>
                <w:sz w:val="20"/>
                <w:szCs w:val="20"/>
              </w:rPr>
            </w:r>
            <w:r w:rsidR="00A80BBD" w:rsidRPr="005D6E61">
              <w:rPr>
                <w:rFonts w:asciiTheme="majorHAnsi" w:hAnsiTheme="majorHAnsi"/>
                <w:noProof/>
                <w:webHidden/>
                <w:sz w:val="20"/>
                <w:szCs w:val="20"/>
              </w:rPr>
              <w:fldChar w:fldCharType="separate"/>
            </w:r>
            <w:r>
              <w:rPr>
                <w:rFonts w:asciiTheme="majorHAnsi" w:hAnsiTheme="majorHAnsi"/>
                <w:noProof/>
                <w:webHidden/>
                <w:sz w:val="20"/>
                <w:szCs w:val="20"/>
              </w:rPr>
              <w:t>25</w:t>
            </w:r>
            <w:r w:rsidR="00A80BBD" w:rsidRPr="005D6E61">
              <w:rPr>
                <w:rFonts w:asciiTheme="majorHAnsi" w:hAnsiTheme="majorHAnsi"/>
                <w:noProof/>
                <w:webHidden/>
                <w:sz w:val="20"/>
                <w:szCs w:val="20"/>
              </w:rPr>
              <w:fldChar w:fldCharType="end"/>
            </w:r>
          </w:hyperlink>
        </w:p>
        <w:p w14:paraId="7C901186" w14:textId="5C12269D" w:rsidR="00A80BBD" w:rsidRPr="005D6E61" w:rsidRDefault="0028613C">
          <w:pPr>
            <w:pStyle w:val="TOC1"/>
            <w:rPr>
              <w:rFonts w:eastAsiaTheme="minorEastAsia" w:cstheme="minorBidi"/>
              <w:b w:val="0"/>
              <w:bdr w:val="none" w:sz="0" w:space="0" w:color="auto"/>
              <w:lang w:val="en-US"/>
            </w:rPr>
          </w:pPr>
          <w:hyperlink w:anchor="_Toc27990577" w:history="1">
            <w:r w:rsidR="00A80BBD" w:rsidRPr="005D6E61">
              <w:rPr>
                <w:rStyle w:val="Hyperlink"/>
                <w:lang w:val="pt-BR"/>
              </w:rPr>
              <w:t>V.</w:t>
            </w:r>
            <w:r w:rsidR="00A80BBD" w:rsidRPr="005D6E61">
              <w:rPr>
                <w:rFonts w:eastAsiaTheme="minorEastAsia" w:cstheme="minorBidi"/>
                <w:b w:val="0"/>
                <w:bdr w:val="none" w:sz="0" w:space="0" w:color="auto"/>
                <w:lang w:val="en-US"/>
              </w:rPr>
              <w:tab/>
            </w:r>
            <w:r w:rsidR="00A80BBD" w:rsidRPr="005D6E61">
              <w:rPr>
                <w:rStyle w:val="Hyperlink"/>
                <w:rFonts w:eastAsia="Times New Roman"/>
                <w:lang w:val="pt-BR"/>
              </w:rPr>
              <w:t>CONCLUSÕES</w:t>
            </w:r>
            <w:r w:rsidR="00A80BBD" w:rsidRPr="005D6E61">
              <w:rPr>
                <w:webHidden/>
              </w:rPr>
              <w:tab/>
            </w:r>
            <w:r w:rsidR="00A80BBD" w:rsidRPr="005D6E61">
              <w:rPr>
                <w:webHidden/>
              </w:rPr>
              <w:fldChar w:fldCharType="begin"/>
            </w:r>
            <w:r w:rsidR="00A80BBD" w:rsidRPr="005D6E61">
              <w:rPr>
                <w:webHidden/>
              </w:rPr>
              <w:instrText xml:space="preserve"> PAGEREF _Toc27990577 \h </w:instrText>
            </w:r>
            <w:r w:rsidR="00A80BBD" w:rsidRPr="005D6E61">
              <w:rPr>
                <w:webHidden/>
              </w:rPr>
            </w:r>
            <w:r w:rsidR="00A80BBD" w:rsidRPr="005D6E61">
              <w:rPr>
                <w:webHidden/>
              </w:rPr>
              <w:fldChar w:fldCharType="separate"/>
            </w:r>
            <w:r>
              <w:rPr>
                <w:webHidden/>
              </w:rPr>
              <w:t>26</w:t>
            </w:r>
            <w:r w:rsidR="00A80BBD" w:rsidRPr="005D6E61">
              <w:rPr>
                <w:webHidden/>
              </w:rPr>
              <w:fldChar w:fldCharType="end"/>
            </w:r>
          </w:hyperlink>
        </w:p>
        <w:p w14:paraId="3DFD2C3A" w14:textId="67AB5348" w:rsidR="00A80BBD" w:rsidRPr="005D6E61" w:rsidRDefault="0028613C">
          <w:pPr>
            <w:pStyle w:val="TOC1"/>
            <w:rPr>
              <w:rFonts w:eastAsiaTheme="minorEastAsia" w:cstheme="minorBidi"/>
              <w:b w:val="0"/>
              <w:bdr w:val="none" w:sz="0" w:space="0" w:color="auto"/>
              <w:lang w:val="en-US"/>
            </w:rPr>
          </w:pPr>
          <w:hyperlink w:anchor="_Toc27990578" w:history="1">
            <w:r w:rsidR="00A80BBD" w:rsidRPr="005D6E61">
              <w:rPr>
                <w:rStyle w:val="Hyperlink"/>
                <w:rFonts w:eastAsia="Times New Roman"/>
                <w:lang w:val="pt-BR"/>
              </w:rPr>
              <w:t>VI.</w:t>
            </w:r>
            <w:r w:rsidR="00A80BBD" w:rsidRPr="005D6E61">
              <w:rPr>
                <w:rFonts w:eastAsiaTheme="minorEastAsia" w:cstheme="minorBidi"/>
                <w:b w:val="0"/>
                <w:bdr w:val="none" w:sz="0" w:space="0" w:color="auto"/>
                <w:lang w:val="en-US"/>
              </w:rPr>
              <w:tab/>
            </w:r>
            <w:r w:rsidR="00A80BBD" w:rsidRPr="005D6E61">
              <w:rPr>
                <w:rStyle w:val="Hyperlink"/>
                <w:rFonts w:eastAsia="Times New Roman"/>
                <w:lang w:val="pt-BR"/>
              </w:rPr>
              <w:t>RELATÓRIO Nº 133/17</w:t>
            </w:r>
            <w:r w:rsidR="00A80BBD" w:rsidRPr="005D6E61">
              <w:rPr>
                <w:webHidden/>
              </w:rPr>
              <w:tab/>
            </w:r>
            <w:r w:rsidR="00A80BBD" w:rsidRPr="005D6E61">
              <w:rPr>
                <w:webHidden/>
              </w:rPr>
              <w:fldChar w:fldCharType="begin"/>
            </w:r>
            <w:r w:rsidR="00A80BBD" w:rsidRPr="005D6E61">
              <w:rPr>
                <w:webHidden/>
              </w:rPr>
              <w:instrText xml:space="preserve"> PAGEREF _Toc27990578 \h </w:instrText>
            </w:r>
            <w:r w:rsidR="00A80BBD" w:rsidRPr="005D6E61">
              <w:rPr>
                <w:webHidden/>
              </w:rPr>
            </w:r>
            <w:r w:rsidR="00A80BBD" w:rsidRPr="005D6E61">
              <w:rPr>
                <w:webHidden/>
              </w:rPr>
              <w:fldChar w:fldCharType="separate"/>
            </w:r>
            <w:r>
              <w:rPr>
                <w:webHidden/>
              </w:rPr>
              <w:t>26</w:t>
            </w:r>
            <w:r w:rsidR="00A80BBD" w:rsidRPr="005D6E61">
              <w:rPr>
                <w:webHidden/>
              </w:rPr>
              <w:fldChar w:fldCharType="end"/>
            </w:r>
          </w:hyperlink>
        </w:p>
        <w:p w14:paraId="3496924D" w14:textId="464A4D57" w:rsidR="00A80BBD" w:rsidRPr="005D6E61" w:rsidRDefault="0028613C">
          <w:pPr>
            <w:pStyle w:val="TOC1"/>
            <w:rPr>
              <w:rFonts w:eastAsiaTheme="minorEastAsia" w:cstheme="minorBidi"/>
              <w:b w:val="0"/>
              <w:bdr w:val="none" w:sz="0" w:space="0" w:color="auto"/>
              <w:lang w:val="en-US"/>
            </w:rPr>
          </w:pPr>
          <w:hyperlink w:anchor="_Toc27990579" w:history="1">
            <w:r w:rsidR="00A80BBD" w:rsidRPr="005D6E61">
              <w:rPr>
                <w:rStyle w:val="Hyperlink"/>
                <w:rFonts w:eastAsia="Times New Roman"/>
                <w:lang w:val="pt-BR"/>
              </w:rPr>
              <w:t>VII.</w:t>
            </w:r>
            <w:r w:rsidR="00A80BBD" w:rsidRPr="005D6E61">
              <w:rPr>
                <w:rFonts w:eastAsiaTheme="minorEastAsia" w:cstheme="minorBidi"/>
                <w:b w:val="0"/>
                <w:bdr w:val="none" w:sz="0" w:space="0" w:color="auto"/>
                <w:lang w:val="en-US"/>
              </w:rPr>
              <w:tab/>
            </w:r>
            <w:r w:rsidR="00A80BBD" w:rsidRPr="005D6E61">
              <w:rPr>
                <w:rStyle w:val="Hyperlink"/>
                <w:rFonts w:eastAsia="Times New Roman"/>
                <w:lang w:val="pt-BR"/>
              </w:rPr>
              <w:t>MEDIDAS POSTERIORES AO RELATÓRIO Nº 133/17</w:t>
            </w:r>
            <w:r w:rsidR="00A80BBD" w:rsidRPr="005D6E61">
              <w:rPr>
                <w:webHidden/>
              </w:rPr>
              <w:tab/>
            </w:r>
            <w:r w:rsidR="00A80BBD" w:rsidRPr="005D6E61">
              <w:rPr>
                <w:webHidden/>
              </w:rPr>
              <w:fldChar w:fldCharType="begin"/>
            </w:r>
            <w:r w:rsidR="00A80BBD" w:rsidRPr="005D6E61">
              <w:rPr>
                <w:webHidden/>
              </w:rPr>
              <w:instrText xml:space="preserve"> PAGEREF _Toc27990579 \h </w:instrText>
            </w:r>
            <w:r w:rsidR="00A80BBD" w:rsidRPr="005D6E61">
              <w:rPr>
                <w:webHidden/>
              </w:rPr>
            </w:r>
            <w:r w:rsidR="00A80BBD" w:rsidRPr="005D6E61">
              <w:rPr>
                <w:webHidden/>
              </w:rPr>
              <w:fldChar w:fldCharType="separate"/>
            </w:r>
            <w:r>
              <w:rPr>
                <w:webHidden/>
              </w:rPr>
              <w:t>27</w:t>
            </w:r>
            <w:r w:rsidR="00A80BBD" w:rsidRPr="005D6E61">
              <w:rPr>
                <w:webHidden/>
              </w:rPr>
              <w:fldChar w:fldCharType="end"/>
            </w:r>
          </w:hyperlink>
        </w:p>
        <w:p w14:paraId="0F7756AA" w14:textId="48F99800" w:rsidR="00A80BBD" w:rsidRPr="005D6E61" w:rsidRDefault="0028613C">
          <w:pPr>
            <w:pStyle w:val="TOC1"/>
            <w:rPr>
              <w:rFonts w:eastAsiaTheme="minorEastAsia" w:cstheme="minorBidi"/>
              <w:b w:val="0"/>
              <w:bdr w:val="none" w:sz="0" w:space="0" w:color="auto"/>
              <w:lang w:val="en-US"/>
            </w:rPr>
          </w:pPr>
          <w:hyperlink w:anchor="_Toc27990580" w:history="1">
            <w:r w:rsidR="00A80BBD" w:rsidRPr="005D6E61">
              <w:rPr>
                <w:rStyle w:val="Hyperlink"/>
                <w:rFonts w:eastAsia="Times New Roman"/>
                <w:lang w:val="pt-BR"/>
              </w:rPr>
              <w:t>VIII.</w:t>
            </w:r>
            <w:r w:rsidR="00A80BBD" w:rsidRPr="005D6E61">
              <w:rPr>
                <w:rFonts w:eastAsiaTheme="minorEastAsia" w:cstheme="minorBidi"/>
                <w:b w:val="0"/>
                <w:bdr w:val="none" w:sz="0" w:space="0" w:color="auto"/>
                <w:lang w:val="en-US"/>
              </w:rPr>
              <w:tab/>
            </w:r>
            <w:r w:rsidR="00A80BBD" w:rsidRPr="005D6E61">
              <w:rPr>
                <w:rStyle w:val="Hyperlink"/>
                <w:rFonts w:eastAsia="Times New Roman"/>
                <w:lang w:val="pt-BR"/>
              </w:rPr>
              <w:t>RELATÓRIO Nº 120/18 E INFORMAÇÃO SOBRE CUMPRIMENTO</w:t>
            </w:r>
            <w:r w:rsidR="00A80BBD" w:rsidRPr="005D6E61">
              <w:rPr>
                <w:webHidden/>
              </w:rPr>
              <w:tab/>
            </w:r>
            <w:r w:rsidR="00A80BBD" w:rsidRPr="005D6E61">
              <w:rPr>
                <w:webHidden/>
              </w:rPr>
              <w:fldChar w:fldCharType="begin"/>
            </w:r>
            <w:r w:rsidR="00A80BBD" w:rsidRPr="005D6E61">
              <w:rPr>
                <w:webHidden/>
              </w:rPr>
              <w:instrText xml:space="preserve"> PAGEREF _Toc27990580 \h </w:instrText>
            </w:r>
            <w:r w:rsidR="00A80BBD" w:rsidRPr="005D6E61">
              <w:rPr>
                <w:webHidden/>
              </w:rPr>
            </w:r>
            <w:r w:rsidR="00A80BBD" w:rsidRPr="005D6E61">
              <w:rPr>
                <w:webHidden/>
              </w:rPr>
              <w:fldChar w:fldCharType="separate"/>
            </w:r>
            <w:r>
              <w:rPr>
                <w:webHidden/>
              </w:rPr>
              <w:t>28</w:t>
            </w:r>
            <w:r w:rsidR="00A80BBD" w:rsidRPr="005D6E61">
              <w:rPr>
                <w:webHidden/>
              </w:rPr>
              <w:fldChar w:fldCharType="end"/>
            </w:r>
          </w:hyperlink>
        </w:p>
        <w:p w14:paraId="70445E32" w14:textId="50A5B21F" w:rsidR="00A80BBD" w:rsidRPr="005D6E61" w:rsidRDefault="0028613C">
          <w:pPr>
            <w:pStyle w:val="TOC1"/>
            <w:rPr>
              <w:rFonts w:eastAsiaTheme="minorEastAsia" w:cstheme="minorBidi"/>
              <w:b w:val="0"/>
              <w:bdr w:val="none" w:sz="0" w:space="0" w:color="auto"/>
              <w:lang w:val="en-US"/>
            </w:rPr>
          </w:pPr>
          <w:hyperlink w:anchor="_Toc27990581" w:history="1">
            <w:r w:rsidR="00A80BBD" w:rsidRPr="005D6E61">
              <w:rPr>
                <w:rStyle w:val="Hyperlink"/>
                <w:rFonts w:eastAsia="Times New Roman"/>
                <w:lang w:val="pt-BR"/>
              </w:rPr>
              <w:t>IX.</w:t>
            </w:r>
            <w:r w:rsidR="00A80BBD" w:rsidRPr="005D6E61">
              <w:rPr>
                <w:rFonts w:eastAsiaTheme="minorEastAsia" w:cstheme="minorBidi"/>
                <w:b w:val="0"/>
                <w:bdr w:val="none" w:sz="0" w:space="0" w:color="auto"/>
                <w:lang w:val="en-US"/>
              </w:rPr>
              <w:tab/>
            </w:r>
            <w:r w:rsidR="00A80BBD" w:rsidRPr="005D6E61">
              <w:rPr>
                <w:rStyle w:val="Hyperlink"/>
                <w:rFonts w:eastAsia="Times New Roman"/>
                <w:lang w:val="pt-BR"/>
              </w:rPr>
              <w:t>CONCLUSÕES E RECOMENDAÇÕES FINAIS</w:t>
            </w:r>
            <w:r w:rsidR="00A80BBD" w:rsidRPr="005D6E61">
              <w:rPr>
                <w:webHidden/>
              </w:rPr>
              <w:tab/>
            </w:r>
            <w:r w:rsidR="00A80BBD" w:rsidRPr="005D6E61">
              <w:rPr>
                <w:webHidden/>
              </w:rPr>
              <w:fldChar w:fldCharType="begin"/>
            </w:r>
            <w:r w:rsidR="00A80BBD" w:rsidRPr="005D6E61">
              <w:rPr>
                <w:webHidden/>
              </w:rPr>
              <w:instrText xml:space="preserve"> PAGEREF _Toc27990581 \h </w:instrText>
            </w:r>
            <w:r w:rsidR="00A80BBD" w:rsidRPr="005D6E61">
              <w:rPr>
                <w:webHidden/>
              </w:rPr>
            </w:r>
            <w:r w:rsidR="00A80BBD" w:rsidRPr="005D6E61">
              <w:rPr>
                <w:webHidden/>
              </w:rPr>
              <w:fldChar w:fldCharType="separate"/>
            </w:r>
            <w:r>
              <w:rPr>
                <w:webHidden/>
              </w:rPr>
              <w:t>30</w:t>
            </w:r>
            <w:r w:rsidR="00A80BBD" w:rsidRPr="005D6E61">
              <w:rPr>
                <w:webHidden/>
              </w:rPr>
              <w:fldChar w:fldCharType="end"/>
            </w:r>
          </w:hyperlink>
        </w:p>
        <w:p w14:paraId="09DE84FA" w14:textId="7E7AD418" w:rsidR="00A80BBD" w:rsidRPr="005D6E61" w:rsidRDefault="0028613C">
          <w:pPr>
            <w:pStyle w:val="TOC1"/>
            <w:rPr>
              <w:rFonts w:eastAsiaTheme="minorEastAsia" w:cstheme="minorBidi"/>
              <w:b w:val="0"/>
              <w:bdr w:val="none" w:sz="0" w:space="0" w:color="auto"/>
              <w:lang w:val="en-US"/>
            </w:rPr>
          </w:pPr>
          <w:hyperlink w:anchor="_Toc27990582" w:history="1">
            <w:r w:rsidR="00A80BBD" w:rsidRPr="005D6E61">
              <w:rPr>
                <w:rStyle w:val="Hyperlink"/>
                <w:rFonts w:eastAsia="MS Mincho"/>
                <w:lang w:val="pt-BR" w:eastAsia="ar-SA"/>
              </w:rPr>
              <w:t>X.</w:t>
            </w:r>
            <w:r w:rsidR="00A80BBD" w:rsidRPr="005D6E61">
              <w:rPr>
                <w:rFonts w:eastAsiaTheme="minorEastAsia" w:cstheme="minorBidi"/>
                <w:b w:val="0"/>
                <w:bdr w:val="none" w:sz="0" w:space="0" w:color="auto"/>
                <w:lang w:val="en-US"/>
              </w:rPr>
              <w:tab/>
            </w:r>
            <w:r w:rsidR="00A80BBD" w:rsidRPr="005D6E61">
              <w:rPr>
                <w:rStyle w:val="Hyperlink"/>
                <w:rFonts w:eastAsia="MS Mincho"/>
                <w:lang w:val="pt-BR" w:eastAsia="ar-SA"/>
              </w:rPr>
              <w:t>NOTIFICAÇÃO</w:t>
            </w:r>
            <w:r w:rsidR="00A80BBD" w:rsidRPr="005D6E61">
              <w:rPr>
                <w:webHidden/>
              </w:rPr>
              <w:tab/>
            </w:r>
            <w:r w:rsidR="00A80BBD" w:rsidRPr="005D6E61">
              <w:rPr>
                <w:webHidden/>
              </w:rPr>
              <w:fldChar w:fldCharType="begin"/>
            </w:r>
            <w:r w:rsidR="00A80BBD" w:rsidRPr="005D6E61">
              <w:rPr>
                <w:webHidden/>
              </w:rPr>
              <w:instrText xml:space="preserve"> PAGEREF _Toc27990582 \h </w:instrText>
            </w:r>
            <w:r w:rsidR="00A80BBD" w:rsidRPr="005D6E61">
              <w:rPr>
                <w:webHidden/>
              </w:rPr>
            </w:r>
            <w:r w:rsidR="00A80BBD" w:rsidRPr="005D6E61">
              <w:rPr>
                <w:webHidden/>
              </w:rPr>
              <w:fldChar w:fldCharType="separate"/>
            </w:r>
            <w:r>
              <w:rPr>
                <w:webHidden/>
              </w:rPr>
              <w:t>31</w:t>
            </w:r>
            <w:r w:rsidR="00A80BBD" w:rsidRPr="005D6E61">
              <w:rPr>
                <w:webHidden/>
              </w:rPr>
              <w:fldChar w:fldCharType="end"/>
            </w:r>
          </w:hyperlink>
        </w:p>
        <w:p w14:paraId="38A01202" w14:textId="77777777" w:rsidR="00560837" w:rsidRPr="005D6E61" w:rsidRDefault="00560837">
          <w:pPr>
            <w:rPr>
              <w:rFonts w:asciiTheme="majorHAnsi" w:hAnsiTheme="majorHAnsi"/>
              <w:sz w:val="20"/>
              <w:szCs w:val="20"/>
            </w:rPr>
          </w:pPr>
          <w:r w:rsidRPr="005D6E61">
            <w:rPr>
              <w:rFonts w:asciiTheme="majorHAnsi" w:hAnsiTheme="majorHAnsi"/>
              <w:b/>
              <w:bCs/>
              <w:noProof/>
              <w:sz w:val="20"/>
              <w:szCs w:val="20"/>
            </w:rPr>
            <w:fldChar w:fldCharType="end"/>
          </w:r>
        </w:p>
      </w:sdtContent>
    </w:sdt>
    <w:p w14:paraId="6FDFB07D" w14:textId="77777777" w:rsidR="008D768D" w:rsidRPr="005D6E61" w:rsidRDefault="008D768D" w:rsidP="001D65EF">
      <w:pPr>
        <w:tabs>
          <w:tab w:val="center" w:pos="5400"/>
        </w:tabs>
        <w:suppressAutoHyphens/>
        <w:spacing w:line="276" w:lineRule="auto"/>
        <w:rPr>
          <w:rFonts w:asciiTheme="majorHAnsi" w:hAnsiTheme="majorHAnsi"/>
          <w:sz w:val="20"/>
          <w:szCs w:val="20"/>
          <w:lang w:val="pt-BR"/>
        </w:rPr>
      </w:pPr>
    </w:p>
    <w:p w14:paraId="73829C79" w14:textId="77777777" w:rsidR="008D768D" w:rsidRPr="005D6E61" w:rsidRDefault="008D768D" w:rsidP="001D65EF">
      <w:pPr>
        <w:tabs>
          <w:tab w:val="center" w:pos="5400"/>
        </w:tabs>
        <w:suppressAutoHyphens/>
        <w:spacing w:line="276" w:lineRule="auto"/>
        <w:rPr>
          <w:rFonts w:asciiTheme="majorHAnsi" w:hAnsiTheme="majorHAnsi"/>
          <w:sz w:val="20"/>
          <w:szCs w:val="20"/>
          <w:lang w:val="pt-BR"/>
        </w:rPr>
      </w:pPr>
    </w:p>
    <w:p w14:paraId="74B9D1E7" w14:textId="77777777" w:rsidR="008D768D" w:rsidRPr="005D6E61" w:rsidRDefault="008D768D" w:rsidP="001D65EF">
      <w:pPr>
        <w:tabs>
          <w:tab w:val="center" w:pos="5400"/>
        </w:tabs>
        <w:suppressAutoHyphens/>
        <w:spacing w:line="276" w:lineRule="auto"/>
        <w:rPr>
          <w:rFonts w:asciiTheme="majorHAnsi" w:hAnsiTheme="majorHAnsi"/>
          <w:sz w:val="20"/>
          <w:szCs w:val="20"/>
          <w:lang w:val="pt-BR"/>
        </w:rPr>
      </w:pPr>
    </w:p>
    <w:p w14:paraId="17B6862E" w14:textId="77777777" w:rsidR="00722C9F" w:rsidRPr="005D6E61" w:rsidRDefault="00722C9F">
      <w:pPr>
        <w:rPr>
          <w:rFonts w:ascii="Cambria" w:hAnsi="Cambria" w:cs="Calibri"/>
          <w:sz w:val="20"/>
          <w:szCs w:val="20"/>
          <w:lang w:val="pt-BR"/>
        </w:rPr>
      </w:pPr>
    </w:p>
    <w:p w14:paraId="50463E8B" w14:textId="77777777" w:rsidR="00B12BA3" w:rsidRPr="005D6E61" w:rsidRDefault="00B12BA3">
      <w:pPr>
        <w:rPr>
          <w:rFonts w:ascii="Cambria" w:hAnsi="Cambria" w:cs="Calibri"/>
          <w:sz w:val="20"/>
          <w:szCs w:val="20"/>
          <w:lang w:val="pt-BR"/>
        </w:rPr>
      </w:pPr>
    </w:p>
    <w:p w14:paraId="31DA3E4D" w14:textId="77777777" w:rsidR="00722C9F" w:rsidRPr="005D6E61" w:rsidRDefault="00704E7B" w:rsidP="00722C9F">
      <w:pPr>
        <w:tabs>
          <w:tab w:val="center" w:pos="5400"/>
        </w:tabs>
        <w:suppressAutoHyphens/>
        <w:spacing w:line="276" w:lineRule="auto"/>
        <w:jc w:val="center"/>
        <w:rPr>
          <w:rFonts w:asciiTheme="majorHAnsi" w:hAnsiTheme="majorHAnsi"/>
          <w:b/>
          <w:sz w:val="18"/>
          <w:szCs w:val="20"/>
          <w:lang w:val="pt-BR"/>
        </w:rPr>
      </w:pPr>
      <w:r w:rsidRPr="005D6E61">
        <w:rPr>
          <w:rFonts w:asciiTheme="majorHAnsi" w:hAnsiTheme="majorHAnsi"/>
          <w:b/>
          <w:sz w:val="18"/>
          <w:szCs w:val="20"/>
          <w:lang w:val="pt-BR"/>
        </w:rPr>
        <w:t>RELATÓRIO</w:t>
      </w:r>
      <w:r w:rsidR="00722C9F" w:rsidRPr="005D6E61">
        <w:rPr>
          <w:rFonts w:asciiTheme="majorHAnsi" w:hAnsiTheme="majorHAnsi"/>
          <w:b/>
          <w:sz w:val="18"/>
          <w:szCs w:val="20"/>
          <w:lang w:val="pt-BR"/>
        </w:rPr>
        <w:t xml:space="preserve"> N</w:t>
      </w:r>
      <w:r w:rsidR="003B5212" w:rsidRPr="005D6E61">
        <w:rPr>
          <w:rFonts w:asciiTheme="majorHAnsi" w:hAnsiTheme="majorHAnsi"/>
          <w:b/>
          <w:sz w:val="18"/>
          <w:szCs w:val="20"/>
          <w:lang w:val="pt-BR"/>
        </w:rPr>
        <w:t>°</w:t>
      </w:r>
      <w:r w:rsidR="00722C9F" w:rsidRPr="005D6E61">
        <w:rPr>
          <w:rFonts w:asciiTheme="majorHAnsi" w:hAnsiTheme="majorHAnsi"/>
          <w:b/>
          <w:sz w:val="18"/>
          <w:szCs w:val="20"/>
          <w:lang w:val="pt-BR"/>
        </w:rPr>
        <w:t xml:space="preserve"> </w:t>
      </w:r>
      <w:r w:rsidR="00CA4DB2">
        <w:rPr>
          <w:rFonts w:asciiTheme="majorHAnsi" w:hAnsiTheme="majorHAnsi"/>
          <w:b/>
          <w:sz w:val="18"/>
          <w:szCs w:val="20"/>
          <w:lang w:val="pt-BR"/>
        </w:rPr>
        <w:t>31/20</w:t>
      </w:r>
    </w:p>
    <w:p w14:paraId="1C94E7B7" w14:textId="77777777" w:rsidR="00722C9F" w:rsidRPr="005D6E61" w:rsidRDefault="00315C45" w:rsidP="00722C9F">
      <w:pPr>
        <w:tabs>
          <w:tab w:val="center" w:pos="5400"/>
        </w:tabs>
        <w:suppressAutoHyphens/>
        <w:spacing w:line="276" w:lineRule="auto"/>
        <w:jc w:val="center"/>
        <w:rPr>
          <w:rFonts w:asciiTheme="majorHAnsi" w:hAnsiTheme="majorHAnsi"/>
          <w:b/>
          <w:sz w:val="18"/>
          <w:szCs w:val="20"/>
          <w:lang w:val="pt-BR"/>
        </w:rPr>
      </w:pPr>
      <w:r w:rsidRPr="005D6E61">
        <w:rPr>
          <w:rFonts w:asciiTheme="majorHAnsi" w:hAnsiTheme="majorHAnsi"/>
          <w:b/>
          <w:sz w:val="18"/>
          <w:szCs w:val="20"/>
          <w:lang w:val="pt-BR"/>
        </w:rPr>
        <w:t xml:space="preserve"> CASO 12.332</w:t>
      </w:r>
    </w:p>
    <w:p w14:paraId="178A25DC" w14:textId="77777777" w:rsidR="00722C9F" w:rsidRPr="005D6E61" w:rsidRDefault="00704E7B" w:rsidP="00315C45">
      <w:pPr>
        <w:tabs>
          <w:tab w:val="center" w:pos="5400"/>
        </w:tabs>
        <w:suppressAutoHyphens/>
        <w:spacing w:line="276" w:lineRule="auto"/>
        <w:jc w:val="center"/>
        <w:rPr>
          <w:rFonts w:asciiTheme="majorHAnsi" w:hAnsiTheme="majorHAnsi"/>
          <w:sz w:val="18"/>
          <w:szCs w:val="20"/>
          <w:lang w:val="pt-BR"/>
        </w:rPr>
      </w:pPr>
      <w:r w:rsidRPr="005D6E61">
        <w:rPr>
          <w:rFonts w:asciiTheme="majorHAnsi" w:hAnsiTheme="majorHAnsi"/>
          <w:sz w:val="18"/>
          <w:szCs w:val="20"/>
          <w:lang w:val="pt-BR"/>
        </w:rPr>
        <w:t>RELATÓRIO</w:t>
      </w:r>
      <w:r w:rsidR="00722C9F" w:rsidRPr="005D6E61">
        <w:rPr>
          <w:rFonts w:asciiTheme="majorHAnsi" w:hAnsiTheme="majorHAnsi"/>
          <w:sz w:val="18"/>
          <w:szCs w:val="20"/>
          <w:lang w:val="pt-BR"/>
        </w:rPr>
        <w:t xml:space="preserve"> DE </w:t>
      </w:r>
      <w:r w:rsidR="006C5454" w:rsidRPr="005D6E61">
        <w:rPr>
          <w:rFonts w:asciiTheme="majorHAnsi" w:hAnsiTheme="majorHAnsi"/>
          <w:sz w:val="18"/>
          <w:szCs w:val="18"/>
          <w:lang w:val="pt-BR"/>
        </w:rPr>
        <w:t>MÉRITO</w:t>
      </w:r>
      <w:r w:rsidR="004565C1" w:rsidRPr="005D6E61">
        <w:rPr>
          <w:rFonts w:asciiTheme="majorHAnsi" w:hAnsiTheme="majorHAnsi"/>
          <w:sz w:val="18"/>
          <w:szCs w:val="18"/>
          <w:lang w:val="pt-BR"/>
        </w:rPr>
        <w:t xml:space="preserve"> (</w:t>
      </w:r>
      <w:r w:rsidR="00B12BA3" w:rsidRPr="005D6E61">
        <w:rPr>
          <w:rFonts w:asciiTheme="majorHAnsi" w:hAnsiTheme="majorHAnsi"/>
          <w:caps/>
          <w:color w:val="222222"/>
          <w:sz w:val="18"/>
          <w:szCs w:val="18"/>
          <w:lang w:val="pt-PT"/>
        </w:rPr>
        <w:t>Publicação</w:t>
      </w:r>
      <w:r w:rsidR="004565C1" w:rsidRPr="005D6E61">
        <w:rPr>
          <w:rFonts w:asciiTheme="majorHAnsi" w:hAnsiTheme="majorHAnsi"/>
          <w:sz w:val="18"/>
          <w:szCs w:val="18"/>
          <w:lang w:val="pt-BR"/>
        </w:rPr>
        <w:t>)</w:t>
      </w:r>
    </w:p>
    <w:p w14:paraId="29DB1C40" w14:textId="77777777" w:rsidR="00722C9F" w:rsidRPr="005D6E61" w:rsidRDefault="00315C45" w:rsidP="00722C9F">
      <w:pPr>
        <w:tabs>
          <w:tab w:val="center" w:pos="5400"/>
        </w:tabs>
        <w:suppressAutoHyphens/>
        <w:spacing w:line="276" w:lineRule="auto"/>
        <w:jc w:val="center"/>
        <w:rPr>
          <w:rFonts w:asciiTheme="majorHAnsi" w:hAnsiTheme="majorHAnsi"/>
          <w:sz w:val="18"/>
          <w:szCs w:val="20"/>
          <w:lang w:val="pt-BR"/>
        </w:rPr>
      </w:pPr>
      <w:r w:rsidRPr="005D6E61">
        <w:rPr>
          <w:rFonts w:asciiTheme="majorHAnsi" w:hAnsiTheme="majorHAnsi"/>
          <w:sz w:val="18"/>
          <w:szCs w:val="20"/>
          <w:lang w:val="pt-BR"/>
        </w:rPr>
        <w:t>MARGARIDA MARIA ALVES</w:t>
      </w:r>
      <w:r w:rsidR="00675058" w:rsidRPr="005D6E61">
        <w:rPr>
          <w:rFonts w:asciiTheme="majorHAnsi" w:hAnsiTheme="majorHAnsi"/>
          <w:sz w:val="18"/>
          <w:szCs w:val="20"/>
          <w:lang w:val="pt-BR"/>
        </w:rPr>
        <w:t xml:space="preserve"> E</w:t>
      </w:r>
      <w:r w:rsidR="006C5454" w:rsidRPr="005D6E61">
        <w:rPr>
          <w:rFonts w:asciiTheme="majorHAnsi" w:hAnsiTheme="majorHAnsi"/>
          <w:sz w:val="18"/>
          <w:szCs w:val="20"/>
          <w:lang w:val="pt-BR"/>
        </w:rPr>
        <w:t xml:space="preserve"> </w:t>
      </w:r>
      <w:r w:rsidR="001C4389" w:rsidRPr="005D6E61">
        <w:rPr>
          <w:rFonts w:asciiTheme="majorHAnsi" w:hAnsiTheme="majorHAnsi"/>
          <w:sz w:val="18"/>
          <w:szCs w:val="20"/>
          <w:lang w:val="pt-BR"/>
        </w:rPr>
        <w:t xml:space="preserve">FAMILIARES </w:t>
      </w:r>
    </w:p>
    <w:p w14:paraId="55D786FC" w14:textId="77777777" w:rsidR="00722C9F" w:rsidRPr="005D6E61" w:rsidRDefault="00315C45" w:rsidP="00722C9F">
      <w:pPr>
        <w:tabs>
          <w:tab w:val="center" w:pos="5400"/>
        </w:tabs>
        <w:suppressAutoHyphens/>
        <w:spacing w:line="276" w:lineRule="auto"/>
        <w:jc w:val="center"/>
        <w:rPr>
          <w:rFonts w:asciiTheme="majorHAnsi" w:hAnsiTheme="majorHAnsi"/>
          <w:sz w:val="18"/>
          <w:szCs w:val="20"/>
          <w:lang w:val="pt-BR"/>
        </w:rPr>
      </w:pPr>
      <w:r w:rsidRPr="005D6E61">
        <w:rPr>
          <w:rFonts w:asciiTheme="majorHAnsi" w:hAnsiTheme="majorHAnsi"/>
          <w:sz w:val="18"/>
          <w:szCs w:val="20"/>
          <w:lang w:val="pt-BR"/>
        </w:rPr>
        <w:t>BRASIL</w:t>
      </w:r>
      <w:r w:rsidR="00872E93" w:rsidRPr="005D6E61">
        <w:rPr>
          <w:rStyle w:val="FootnoteReference"/>
          <w:rFonts w:asciiTheme="majorHAnsi" w:hAnsiTheme="majorHAnsi"/>
          <w:sz w:val="18"/>
          <w:szCs w:val="20"/>
          <w:lang w:val="pt-BR"/>
        </w:rPr>
        <w:footnoteReference w:id="2"/>
      </w:r>
    </w:p>
    <w:p w14:paraId="4862532E" w14:textId="77777777" w:rsidR="00722C9F" w:rsidRPr="005D6E61" w:rsidRDefault="00CA4DB2" w:rsidP="00722C9F">
      <w:pPr>
        <w:tabs>
          <w:tab w:val="center" w:pos="5400"/>
        </w:tabs>
        <w:suppressAutoHyphens/>
        <w:spacing w:line="276" w:lineRule="auto"/>
        <w:jc w:val="center"/>
        <w:rPr>
          <w:rFonts w:asciiTheme="majorHAnsi" w:hAnsiTheme="majorHAnsi"/>
          <w:sz w:val="18"/>
          <w:szCs w:val="20"/>
          <w:lang w:val="pt-BR"/>
        </w:rPr>
      </w:pPr>
      <w:r>
        <w:rPr>
          <w:rFonts w:asciiTheme="majorHAnsi" w:hAnsiTheme="majorHAnsi"/>
          <w:sz w:val="18"/>
          <w:szCs w:val="20"/>
          <w:lang w:val="pt-BR"/>
        </w:rPr>
        <w:t>26</w:t>
      </w:r>
      <w:r w:rsidR="00315C45" w:rsidRPr="005D6E61">
        <w:rPr>
          <w:rFonts w:asciiTheme="majorHAnsi" w:hAnsiTheme="majorHAnsi"/>
          <w:sz w:val="18"/>
          <w:szCs w:val="20"/>
          <w:lang w:val="pt-BR"/>
        </w:rPr>
        <w:t xml:space="preserve"> DE </w:t>
      </w:r>
      <w:r>
        <w:rPr>
          <w:rFonts w:asciiTheme="majorHAnsi" w:hAnsiTheme="majorHAnsi"/>
          <w:sz w:val="18"/>
          <w:szCs w:val="20"/>
          <w:lang w:val="pt-BR"/>
        </w:rPr>
        <w:t>ABRIL</w:t>
      </w:r>
      <w:r w:rsidR="00BA2690" w:rsidRPr="005D6E61">
        <w:rPr>
          <w:rFonts w:asciiTheme="majorHAnsi" w:hAnsiTheme="majorHAnsi"/>
          <w:sz w:val="18"/>
          <w:szCs w:val="20"/>
          <w:lang w:val="pt-BR"/>
        </w:rPr>
        <w:t xml:space="preserve"> </w:t>
      </w:r>
      <w:r>
        <w:rPr>
          <w:rFonts w:asciiTheme="majorHAnsi" w:hAnsiTheme="majorHAnsi"/>
          <w:sz w:val="18"/>
          <w:szCs w:val="20"/>
          <w:lang w:val="pt-BR"/>
        </w:rPr>
        <w:t>DE 2020</w:t>
      </w:r>
    </w:p>
    <w:p w14:paraId="7F1DD92F" w14:textId="77777777" w:rsidR="00DF1EC4" w:rsidRPr="005D6E61" w:rsidRDefault="00DF1EC4" w:rsidP="00DF1EC4">
      <w:pPr>
        <w:tabs>
          <w:tab w:val="center" w:pos="4680"/>
          <w:tab w:val="left" w:pos="6511"/>
        </w:tabs>
        <w:jc w:val="center"/>
        <w:rPr>
          <w:rFonts w:ascii="Cambria" w:hAnsi="Cambria" w:cs="Calibri"/>
          <w:sz w:val="20"/>
          <w:szCs w:val="20"/>
          <w:lang w:val="pt-BR"/>
        </w:rPr>
      </w:pPr>
    </w:p>
    <w:p w14:paraId="3721D93C" w14:textId="77777777" w:rsidR="00315C45" w:rsidRPr="005D6E61" w:rsidRDefault="00315C45" w:rsidP="00D55F74">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4050"/>
        </w:tabs>
        <w:spacing w:before="0"/>
        <w:rPr>
          <w:color w:val="auto"/>
          <w:sz w:val="20"/>
          <w:szCs w:val="20"/>
          <w:lang w:val="pt-BR"/>
        </w:rPr>
      </w:pPr>
      <w:bookmarkStart w:id="2" w:name="_Toc370840743"/>
      <w:bookmarkStart w:id="3" w:name="_Toc370840839"/>
      <w:bookmarkStart w:id="4" w:name="_Toc423514405"/>
      <w:bookmarkStart w:id="5" w:name="_Toc433115981"/>
      <w:bookmarkStart w:id="6" w:name="_Toc444958124"/>
      <w:bookmarkStart w:id="7" w:name="_Toc462148259"/>
      <w:bookmarkStart w:id="8" w:name="_Toc27990554"/>
      <w:r w:rsidRPr="005D6E61">
        <w:rPr>
          <w:color w:val="auto"/>
          <w:sz w:val="20"/>
          <w:szCs w:val="20"/>
          <w:lang w:val="pt-BR"/>
        </w:rPr>
        <w:t>RESU</w:t>
      </w:r>
      <w:bookmarkEnd w:id="2"/>
      <w:bookmarkEnd w:id="3"/>
      <w:bookmarkEnd w:id="4"/>
      <w:bookmarkEnd w:id="5"/>
      <w:bookmarkEnd w:id="6"/>
      <w:bookmarkEnd w:id="7"/>
      <w:r w:rsidR="00180344" w:rsidRPr="005D6E61">
        <w:rPr>
          <w:color w:val="auto"/>
          <w:sz w:val="20"/>
          <w:szCs w:val="20"/>
          <w:lang w:val="pt-BR"/>
        </w:rPr>
        <w:t>MO</w:t>
      </w:r>
      <w:bookmarkEnd w:id="8"/>
    </w:p>
    <w:p w14:paraId="2897A1B3" w14:textId="77777777" w:rsidR="00315C45" w:rsidRPr="005D6E61" w:rsidRDefault="00315C45" w:rsidP="00315C4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lang w:val="pt-BR"/>
        </w:rPr>
      </w:pPr>
    </w:p>
    <w:p w14:paraId="5C230DC4" w14:textId="77777777" w:rsidR="00315C45" w:rsidRPr="005D6E61" w:rsidRDefault="00EC647E" w:rsidP="000C1B2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cs="Arial"/>
          <w:sz w:val="20"/>
          <w:szCs w:val="20"/>
          <w:lang w:val="pt-BR"/>
        </w:rPr>
      </w:pPr>
      <w:r w:rsidRPr="005D6E61">
        <w:rPr>
          <w:rFonts w:ascii="Cambria" w:hAnsi="Cambria"/>
          <w:sz w:val="20"/>
          <w:szCs w:val="20"/>
          <w:lang w:val="pt-BR"/>
        </w:rPr>
        <w:t>Em</w:t>
      </w:r>
      <w:r w:rsidR="00315C45" w:rsidRPr="005D6E61">
        <w:rPr>
          <w:rFonts w:ascii="Cambria" w:hAnsi="Cambria"/>
          <w:sz w:val="20"/>
          <w:szCs w:val="20"/>
          <w:lang w:val="pt-BR"/>
        </w:rPr>
        <w:t xml:space="preserve"> 17 de </w:t>
      </w:r>
      <w:r w:rsidR="00287321" w:rsidRPr="005D6E61">
        <w:rPr>
          <w:rFonts w:ascii="Cambria" w:hAnsi="Cambria"/>
          <w:sz w:val="20"/>
          <w:szCs w:val="20"/>
          <w:lang w:val="pt-BR"/>
        </w:rPr>
        <w:t>outubro</w:t>
      </w:r>
      <w:r w:rsidR="00315C45" w:rsidRPr="005D6E61">
        <w:rPr>
          <w:rFonts w:ascii="Cambria" w:hAnsi="Cambria"/>
          <w:sz w:val="20"/>
          <w:szCs w:val="20"/>
          <w:lang w:val="pt-BR"/>
        </w:rPr>
        <w:t xml:space="preserve"> de 2000</w:t>
      </w:r>
      <w:r w:rsidR="00320B32" w:rsidRPr="005D6E61">
        <w:rPr>
          <w:rFonts w:ascii="Cambria" w:hAnsi="Cambria"/>
          <w:sz w:val="20"/>
          <w:szCs w:val="20"/>
          <w:lang w:val="pt-BR"/>
        </w:rPr>
        <w:t>,</w:t>
      </w:r>
      <w:r w:rsidR="00331E62" w:rsidRPr="005D6E61">
        <w:rPr>
          <w:rFonts w:ascii="Cambria" w:hAnsi="Cambria"/>
          <w:sz w:val="20"/>
          <w:szCs w:val="20"/>
          <w:lang w:val="pt-BR"/>
        </w:rPr>
        <w:t xml:space="preserve"> a </w:t>
      </w:r>
      <w:r w:rsidR="006C5454" w:rsidRPr="005D6E61">
        <w:rPr>
          <w:rFonts w:ascii="Cambria" w:hAnsi="Cambria"/>
          <w:sz w:val="20"/>
          <w:szCs w:val="20"/>
          <w:lang w:val="pt-BR"/>
        </w:rPr>
        <w:t>Comissão</w:t>
      </w:r>
      <w:r w:rsidR="00315C45" w:rsidRPr="005D6E61">
        <w:rPr>
          <w:rFonts w:ascii="Cambria" w:hAnsi="Cambria"/>
          <w:sz w:val="20"/>
          <w:szCs w:val="20"/>
          <w:lang w:val="pt-BR"/>
        </w:rPr>
        <w:t xml:space="preserve"> Interamericana de </w:t>
      </w:r>
      <w:r w:rsidR="00675058" w:rsidRPr="005D6E61">
        <w:rPr>
          <w:rFonts w:ascii="Cambria" w:hAnsi="Cambria"/>
          <w:sz w:val="20"/>
          <w:szCs w:val="20"/>
          <w:lang w:val="pt-BR"/>
        </w:rPr>
        <w:t>Direito</w:t>
      </w:r>
      <w:r w:rsidR="00315C45" w:rsidRPr="005D6E61">
        <w:rPr>
          <w:rFonts w:ascii="Cambria" w:hAnsi="Cambria"/>
          <w:sz w:val="20"/>
          <w:szCs w:val="20"/>
          <w:lang w:val="pt-BR"/>
        </w:rPr>
        <w:t>s Humanos (</w:t>
      </w:r>
      <w:r w:rsidR="00675058" w:rsidRPr="005D6E61">
        <w:rPr>
          <w:rFonts w:ascii="Cambria" w:hAnsi="Cambria"/>
          <w:sz w:val="20"/>
          <w:szCs w:val="20"/>
          <w:lang w:val="pt-BR"/>
        </w:rPr>
        <w:t>dorav</w:t>
      </w:r>
      <w:r w:rsidR="00315C45" w:rsidRPr="005D6E61">
        <w:rPr>
          <w:rFonts w:ascii="Cambria" w:hAnsi="Cambria"/>
          <w:sz w:val="20"/>
          <w:szCs w:val="20"/>
          <w:lang w:val="pt-BR"/>
        </w:rPr>
        <w:t>ante “</w:t>
      </w:r>
      <w:r w:rsidR="006C5454" w:rsidRPr="005D6E61">
        <w:rPr>
          <w:rFonts w:ascii="Cambria" w:hAnsi="Cambria"/>
          <w:sz w:val="20"/>
          <w:szCs w:val="20"/>
          <w:lang w:val="pt-BR"/>
        </w:rPr>
        <w:t>Comissão</w:t>
      </w:r>
      <w:r w:rsidR="00315C45" w:rsidRPr="005D6E61">
        <w:rPr>
          <w:rFonts w:ascii="Cambria" w:hAnsi="Cambria"/>
          <w:sz w:val="20"/>
          <w:szCs w:val="20"/>
          <w:lang w:val="pt-BR"/>
        </w:rPr>
        <w:t>”, “</w:t>
      </w:r>
      <w:r w:rsidR="006C5454" w:rsidRPr="005D6E61">
        <w:rPr>
          <w:rFonts w:ascii="Cambria" w:hAnsi="Cambria"/>
          <w:sz w:val="20"/>
          <w:szCs w:val="20"/>
          <w:lang w:val="pt-BR"/>
        </w:rPr>
        <w:t>Comissão</w:t>
      </w:r>
      <w:r w:rsidR="00315C45" w:rsidRPr="005D6E61">
        <w:rPr>
          <w:rFonts w:ascii="Cambria" w:hAnsi="Cambria"/>
          <w:sz w:val="20"/>
          <w:szCs w:val="20"/>
          <w:lang w:val="pt-BR"/>
        </w:rPr>
        <w:t xml:space="preserve"> Interamericana” o</w:t>
      </w:r>
      <w:r w:rsidR="00675058" w:rsidRPr="005D6E61">
        <w:rPr>
          <w:rFonts w:ascii="Cambria" w:hAnsi="Cambria"/>
          <w:sz w:val="20"/>
          <w:szCs w:val="20"/>
          <w:lang w:val="pt-BR"/>
        </w:rPr>
        <w:t>u</w:t>
      </w:r>
      <w:r w:rsidR="00315C45" w:rsidRPr="005D6E61">
        <w:rPr>
          <w:rFonts w:ascii="Cambria" w:hAnsi="Cambria"/>
          <w:sz w:val="20"/>
          <w:szCs w:val="20"/>
          <w:lang w:val="pt-BR"/>
        </w:rPr>
        <w:t xml:space="preserve"> “CIDH”) rec</w:t>
      </w:r>
      <w:r w:rsidR="00180344" w:rsidRPr="005D6E61">
        <w:rPr>
          <w:rFonts w:ascii="Cambria" w:hAnsi="Cambria"/>
          <w:sz w:val="20"/>
          <w:szCs w:val="20"/>
          <w:lang w:val="pt-BR"/>
        </w:rPr>
        <w:t>e</w:t>
      </w:r>
      <w:r w:rsidR="00315C45" w:rsidRPr="005D6E61">
        <w:rPr>
          <w:rFonts w:ascii="Cambria" w:hAnsi="Cambria"/>
          <w:sz w:val="20"/>
          <w:szCs w:val="20"/>
          <w:lang w:val="pt-BR"/>
        </w:rPr>
        <w:t>b</w:t>
      </w:r>
      <w:r w:rsidR="00180344" w:rsidRPr="005D6E61">
        <w:rPr>
          <w:rFonts w:ascii="Cambria" w:hAnsi="Cambria"/>
          <w:sz w:val="20"/>
          <w:szCs w:val="20"/>
          <w:lang w:val="pt-BR"/>
        </w:rPr>
        <w:t>e</w:t>
      </w:r>
      <w:r w:rsidR="00BF0B90" w:rsidRPr="005D6E61">
        <w:rPr>
          <w:rFonts w:ascii="Cambria" w:hAnsi="Cambria"/>
          <w:sz w:val="20"/>
          <w:szCs w:val="20"/>
          <w:lang w:val="pt-BR"/>
        </w:rPr>
        <w:t xml:space="preserve">u </w:t>
      </w:r>
      <w:r w:rsidR="006C5454" w:rsidRPr="005D6E61">
        <w:rPr>
          <w:rFonts w:ascii="Cambria" w:hAnsi="Cambria"/>
          <w:sz w:val="20"/>
          <w:szCs w:val="20"/>
          <w:lang w:val="pt-BR"/>
        </w:rPr>
        <w:t xml:space="preserve">uma </w:t>
      </w:r>
      <w:r w:rsidR="00315C45" w:rsidRPr="005D6E61">
        <w:rPr>
          <w:rFonts w:ascii="Cambria" w:hAnsi="Cambria"/>
          <w:sz w:val="20"/>
          <w:szCs w:val="20"/>
          <w:lang w:val="pt-BR"/>
        </w:rPr>
        <w:t>peti</w:t>
      </w:r>
      <w:r w:rsidR="00A274D9" w:rsidRPr="005D6E61">
        <w:rPr>
          <w:rFonts w:ascii="Cambria" w:hAnsi="Cambria"/>
          <w:sz w:val="20"/>
          <w:szCs w:val="20"/>
          <w:lang w:val="pt-BR"/>
        </w:rPr>
        <w:t>ção</w:t>
      </w:r>
      <w:r w:rsidR="00315C45" w:rsidRPr="005D6E61">
        <w:rPr>
          <w:rFonts w:ascii="Cambria" w:hAnsi="Cambria"/>
          <w:sz w:val="20"/>
          <w:szCs w:val="20"/>
          <w:lang w:val="pt-BR"/>
        </w:rPr>
        <w:t xml:space="preserve"> </w:t>
      </w:r>
      <w:r w:rsidR="00287321" w:rsidRPr="005D6E61">
        <w:rPr>
          <w:rFonts w:ascii="Cambria" w:hAnsi="Cambria"/>
          <w:sz w:val="20"/>
          <w:szCs w:val="20"/>
          <w:lang w:val="pt-BR"/>
        </w:rPr>
        <w:t>apresentad</w:t>
      </w:r>
      <w:r w:rsidR="007D57A8" w:rsidRPr="005D6E61">
        <w:rPr>
          <w:rFonts w:ascii="Cambria" w:hAnsi="Cambria"/>
          <w:sz w:val="20"/>
          <w:szCs w:val="20"/>
          <w:lang w:val="pt-BR"/>
        </w:rPr>
        <w:t>a</w:t>
      </w:r>
      <w:r w:rsidR="007612B9" w:rsidRPr="005D6E61">
        <w:rPr>
          <w:rFonts w:ascii="Cambria" w:hAnsi="Cambria"/>
          <w:sz w:val="20"/>
          <w:szCs w:val="20"/>
          <w:lang w:val="pt-BR"/>
        </w:rPr>
        <w:t xml:space="preserve"> pelo </w:t>
      </w:r>
      <w:r w:rsidR="007D57A8" w:rsidRPr="005D6E61">
        <w:rPr>
          <w:rFonts w:ascii="Cambria" w:hAnsi="Cambria"/>
          <w:sz w:val="20"/>
          <w:szCs w:val="20"/>
          <w:lang w:val="pt-BR"/>
        </w:rPr>
        <w:t>Gabinete de A</w:t>
      </w:r>
      <w:r w:rsidR="00180344" w:rsidRPr="005D6E61">
        <w:rPr>
          <w:rFonts w:ascii="Cambria" w:hAnsi="Cambria"/>
          <w:sz w:val="20"/>
          <w:szCs w:val="20"/>
          <w:lang w:val="pt-BR"/>
        </w:rPr>
        <w:t>s</w:t>
      </w:r>
      <w:r w:rsidR="007D57A8" w:rsidRPr="005D6E61">
        <w:rPr>
          <w:rFonts w:ascii="Cambria" w:hAnsi="Cambria"/>
          <w:sz w:val="20"/>
          <w:szCs w:val="20"/>
          <w:lang w:val="pt-BR"/>
        </w:rPr>
        <w:t>se</w:t>
      </w:r>
      <w:r w:rsidR="00180344" w:rsidRPr="005D6E61">
        <w:rPr>
          <w:rFonts w:ascii="Cambria" w:hAnsi="Cambria"/>
          <w:sz w:val="20"/>
          <w:szCs w:val="20"/>
          <w:lang w:val="pt-BR"/>
        </w:rPr>
        <w:t>s</w:t>
      </w:r>
      <w:r w:rsidR="007D57A8" w:rsidRPr="005D6E61">
        <w:rPr>
          <w:rFonts w:ascii="Cambria" w:hAnsi="Cambria"/>
          <w:sz w:val="20"/>
          <w:szCs w:val="20"/>
          <w:lang w:val="pt-BR"/>
        </w:rPr>
        <w:t>sor</w:t>
      </w:r>
      <w:r w:rsidR="005A2381" w:rsidRPr="005D6E61">
        <w:rPr>
          <w:rFonts w:ascii="Cambria" w:hAnsi="Cambria"/>
          <w:sz w:val="20"/>
          <w:szCs w:val="20"/>
          <w:lang w:val="pt-BR"/>
        </w:rPr>
        <w:t>ia</w:t>
      </w:r>
      <w:r w:rsidR="007D57A8" w:rsidRPr="005D6E61">
        <w:rPr>
          <w:rFonts w:ascii="Cambria" w:hAnsi="Cambria"/>
          <w:sz w:val="20"/>
          <w:szCs w:val="20"/>
          <w:lang w:val="pt-BR"/>
        </w:rPr>
        <w:t xml:space="preserve"> Jurídica</w:t>
      </w:r>
      <w:r w:rsidR="005A2381" w:rsidRPr="005D6E61">
        <w:rPr>
          <w:rFonts w:ascii="Cambria" w:hAnsi="Cambria"/>
          <w:sz w:val="20"/>
          <w:szCs w:val="20"/>
          <w:lang w:val="pt-BR"/>
        </w:rPr>
        <w:t xml:space="preserve"> às </w:t>
      </w:r>
      <w:r w:rsidR="007D57A8" w:rsidRPr="005D6E61">
        <w:rPr>
          <w:rFonts w:ascii="Cambria" w:hAnsi="Cambria"/>
          <w:sz w:val="20"/>
          <w:szCs w:val="20"/>
          <w:lang w:val="pt-BR"/>
        </w:rPr>
        <w:t>Organiza</w:t>
      </w:r>
      <w:r w:rsidR="00F77B7F" w:rsidRPr="005D6E61">
        <w:rPr>
          <w:rFonts w:ascii="Cambria" w:hAnsi="Cambria"/>
          <w:sz w:val="20"/>
          <w:szCs w:val="20"/>
          <w:lang w:val="pt-BR"/>
        </w:rPr>
        <w:t>ções</w:t>
      </w:r>
      <w:r w:rsidR="00315C45" w:rsidRPr="005D6E61">
        <w:rPr>
          <w:rFonts w:ascii="Cambria" w:hAnsi="Cambria"/>
          <w:sz w:val="20"/>
          <w:szCs w:val="20"/>
          <w:lang w:val="pt-BR"/>
        </w:rPr>
        <w:t xml:space="preserve"> Populares (GAJOP),</w:t>
      </w:r>
      <w:r w:rsidR="00331E62" w:rsidRPr="005D6E61">
        <w:rPr>
          <w:rFonts w:ascii="Cambria" w:hAnsi="Cambria"/>
          <w:sz w:val="20"/>
          <w:szCs w:val="20"/>
          <w:lang w:val="pt-BR"/>
        </w:rPr>
        <w:t xml:space="preserve"> </w:t>
      </w:r>
      <w:r w:rsidR="00315C45" w:rsidRPr="005D6E61">
        <w:rPr>
          <w:rFonts w:ascii="Cambria" w:hAnsi="Cambria"/>
          <w:sz w:val="20"/>
          <w:szCs w:val="20"/>
          <w:lang w:val="pt-BR"/>
        </w:rPr>
        <w:t>Centro</w:t>
      </w:r>
      <w:r w:rsidR="003B62AF" w:rsidRPr="005D6E61">
        <w:rPr>
          <w:rFonts w:ascii="Cambria" w:hAnsi="Cambria"/>
          <w:sz w:val="20"/>
          <w:szCs w:val="20"/>
          <w:lang w:val="pt-BR"/>
        </w:rPr>
        <w:t xml:space="preserve"> pela </w:t>
      </w:r>
      <w:r w:rsidR="00275A65" w:rsidRPr="005D6E61">
        <w:rPr>
          <w:rFonts w:ascii="Cambria" w:hAnsi="Cambria"/>
          <w:sz w:val="20"/>
          <w:szCs w:val="20"/>
          <w:lang w:val="pt-BR"/>
        </w:rPr>
        <w:t>Justiça</w:t>
      </w:r>
      <w:r w:rsidR="006C5454" w:rsidRPr="005D6E61">
        <w:rPr>
          <w:rFonts w:ascii="Cambria" w:hAnsi="Cambria"/>
          <w:sz w:val="20"/>
          <w:szCs w:val="20"/>
          <w:lang w:val="pt-BR"/>
        </w:rPr>
        <w:t xml:space="preserve"> e</w:t>
      </w:r>
      <w:r w:rsidR="00331E62" w:rsidRPr="005D6E61">
        <w:rPr>
          <w:rFonts w:ascii="Cambria" w:hAnsi="Cambria"/>
          <w:sz w:val="20"/>
          <w:szCs w:val="20"/>
          <w:lang w:val="pt-BR"/>
        </w:rPr>
        <w:t xml:space="preserve"> o </w:t>
      </w:r>
      <w:r w:rsidR="00675058" w:rsidRPr="005D6E61">
        <w:rPr>
          <w:rFonts w:ascii="Cambria" w:hAnsi="Cambria"/>
          <w:sz w:val="20"/>
          <w:szCs w:val="20"/>
          <w:lang w:val="pt-BR"/>
        </w:rPr>
        <w:t>Direito</w:t>
      </w:r>
      <w:r w:rsidR="00315C45" w:rsidRPr="005D6E61">
        <w:rPr>
          <w:rFonts w:ascii="Cambria" w:hAnsi="Cambria"/>
          <w:sz w:val="20"/>
          <w:szCs w:val="20"/>
          <w:lang w:val="pt-BR"/>
        </w:rPr>
        <w:t xml:space="preserve"> Internacional (CEJIL),</w:t>
      </w:r>
      <w:r w:rsidR="00331E62" w:rsidRPr="005D6E61">
        <w:rPr>
          <w:rFonts w:ascii="Cambria" w:hAnsi="Cambria"/>
          <w:sz w:val="20"/>
          <w:szCs w:val="20"/>
          <w:lang w:val="pt-BR"/>
        </w:rPr>
        <w:t xml:space="preserve"> </w:t>
      </w:r>
      <w:r w:rsidR="00315C45" w:rsidRPr="005D6E61">
        <w:rPr>
          <w:rFonts w:ascii="Cambria" w:hAnsi="Cambria"/>
          <w:sz w:val="20"/>
          <w:szCs w:val="20"/>
          <w:lang w:val="pt-BR"/>
        </w:rPr>
        <w:t>Movi</w:t>
      </w:r>
      <w:r w:rsidR="00FB55C7" w:rsidRPr="005D6E61">
        <w:rPr>
          <w:rFonts w:ascii="Cambria" w:hAnsi="Cambria"/>
          <w:sz w:val="20"/>
          <w:szCs w:val="20"/>
          <w:lang w:val="pt-BR"/>
        </w:rPr>
        <w:t>mento</w:t>
      </w:r>
      <w:r w:rsidR="00315C45" w:rsidRPr="005D6E61">
        <w:rPr>
          <w:rFonts w:ascii="Cambria" w:hAnsi="Cambria"/>
          <w:sz w:val="20"/>
          <w:szCs w:val="20"/>
          <w:lang w:val="pt-BR"/>
        </w:rPr>
        <w:t xml:space="preserve"> Nacional de </w:t>
      </w:r>
      <w:r w:rsidR="00675058" w:rsidRPr="005D6E61">
        <w:rPr>
          <w:rFonts w:ascii="Cambria" w:hAnsi="Cambria"/>
          <w:sz w:val="20"/>
          <w:szCs w:val="20"/>
          <w:lang w:val="pt-BR"/>
        </w:rPr>
        <w:t>Direito</w:t>
      </w:r>
      <w:r w:rsidR="00315C45" w:rsidRPr="005D6E61">
        <w:rPr>
          <w:rFonts w:ascii="Cambria" w:hAnsi="Cambria"/>
          <w:sz w:val="20"/>
          <w:szCs w:val="20"/>
          <w:lang w:val="pt-BR"/>
        </w:rPr>
        <w:t>s Humanos</w:t>
      </w:r>
      <w:r w:rsidR="007D57A8" w:rsidRPr="005D6E61">
        <w:rPr>
          <w:rFonts w:ascii="Cambria" w:hAnsi="Cambria"/>
          <w:sz w:val="20"/>
          <w:szCs w:val="20"/>
          <w:lang w:val="pt-BR"/>
        </w:rPr>
        <w:t xml:space="preserve"> (MNDH),</w:t>
      </w:r>
      <w:r w:rsidR="00331E62" w:rsidRPr="005D6E61">
        <w:rPr>
          <w:rFonts w:ascii="Cambria" w:hAnsi="Cambria"/>
          <w:sz w:val="20"/>
          <w:szCs w:val="20"/>
          <w:lang w:val="pt-BR"/>
        </w:rPr>
        <w:t xml:space="preserve"> </w:t>
      </w:r>
      <w:r w:rsidR="006C5454" w:rsidRPr="005D6E61">
        <w:rPr>
          <w:rFonts w:ascii="Cambria" w:hAnsi="Cambria"/>
          <w:sz w:val="20"/>
          <w:szCs w:val="20"/>
          <w:lang w:val="pt-BR"/>
        </w:rPr>
        <w:t>Comissão</w:t>
      </w:r>
      <w:r w:rsidR="007D57A8" w:rsidRPr="005D6E61">
        <w:rPr>
          <w:rFonts w:ascii="Cambria" w:hAnsi="Cambria"/>
          <w:sz w:val="20"/>
          <w:szCs w:val="20"/>
          <w:lang w:val="pt-BR"/>
        </w:rPr>
        <w:t xml:space="preserve"> Pastoral</w:t>
      </w:r>
      <w:r w:rsidR="00675058" w:rsidRPr="005D6E61">
        <w:rPr>
          <w:rFonts w:ascii="Cambria" w:hAnsi="Cambria"/>
          <w:sz w:val="20"/>
          <w:szCs w:val="20"/>
          <w:lang w:val="pt-BR"/>
        </w:rPr>
        <w:t xml:space="preserve"> da </w:t>
      </w:r>
      <w:r w:rsidR="00180344" w:rsidRPr="005D6E61">
        <w:rPr>
          <w:rFonts w:ascii="Cambria" w:hAnsi="Cambria"/>
          <w:sz w:val="20"/>
          <w:szCs w:val="20"/>
          <w:lang w:val="pt-BR"/>
        </w:rPr>
        <w:t>T</w:t>
      </w:r>
      <w:r w:rsidR="007D57A8" w:rsidRPr="005D6E61">
        <w:rPr>
          <w:rFonts w:ascii="Cambria" w:hAnsi="Cambria"/>
          <w:sz w:val="20"/>
          <w:szCs w:val="20"/>
          <w:lang w:val="pt-BR"/>
        </w:rPr>
        <w:t>e</w:t>
      </w:r>
      <w:r w:rsidR="00315C45" w:rsidRPr="005D6E61">
        <w:rPr>
          <w:rFonts w:ascii="Cambria" w:hAnsi="Cambria"/>
          <w:sz w:val="20"/>
          <w:szCs w:val="20"/>
          <w:lang w:val="pt-BR"/>
        </w:rPr>
        <w:t>rra (CPT)</w:t>
      </w:r>
      <w:r w:rsidR="006C5454" w:rsidRPr="005D6E61">
        <w:rPr>
          <w:rFonts w:ascii="Cambria" w:hAnsi="Cambria"/>
          <w:sz w:val="20"/>
          <w:szCs w:val="20"/>
          <w:lang w:val="pt-BR"/>
        </w:rPr>
        <w:t xml:space="preserve"> e</w:t>
      </w:r>
      <w:r w:rsidR="00331E62" w:rsidRPr="005D6E61">
        <w:rPr>
          <w:rFonts w:ascii="Cambria" w:hAnsi="Cambria"/>
          <w:sz w:val="20"/>
          <w:szCs w:val="20"/>
          <w:lang w:val="pt-BR"/>
        </w:rPr>
        <w:t xml:space="preserve"> </w:t>
      </w:r>
      <w:r w:rsidR="00315C45" w:rsidRPr="005D6E61">
        <w:rPr>
          <w:rFonts w:ascii="Cambria" w:hAnsi="Cambria"/>
          <w:sz w:val="20"/>
          <w:szCs w:val="20"/>
          <w:lang w:val="pt-BR"/>
        </w:rPr>
        <w:t>Funda</w:t>
      </w:r>
      <w:r w:rsidR="00A274D9" w:rsidRPr="005D6E61">
        <w:rPr>
          <w:rFonts w:ascii="Cambria" w:hAnsi="Cambria"/>
          <w:sz w:val="20"/>
          <w:szCs w:val="20"/>
          <w:lang w:val="pt-BR"/>
        </w:rPr>
        <w:t>ção</w:t>
      </w:r>
      <w:r w:rsidR="00315C45" w:rsidRPr="005D6E61">
        <w:rPr>
          <w:rFonts w:ascii="Cambria" w:hAnsi="Cambria"/>
          <w:sz w:val="20"/>
          <w:szCs w:val="20"/>
          <w:lang w:val="pt-BR"/>
        </w:rPr>
        <w:t xml:space="preserve"> de Defesa</w:t>
      </w:r>
      <w:r w:rsidR="00331E62" w:rsidRPr="005D6E61">
        <w:rPr>
          <w:rFonts w:ascii="Cambria" w:hAnsi="Cambria"/>
          <w:sz w:val="20"/>
          <w:szCs w:val="20"/>
          <w:lang w:val="pt-BR"/>
        </w:rPr>
        <w:t xml:space="preserve"> dos </w:t>
      </w:r>
      <w:r w:rsidR="00675058" w:rsidRPr="005D6E61">
        <w:rPr>
          <w:rFonts w:ascii="Cambria" w:hAnsi="Cambria"/>
          <w:sz w:val="20"/>
          <w:szCs w:val="20"/>
          <w:lang w:val="pt-BR"/>
        </w:rPr>
        <w:t>Direito</w:t>
      </w:r>
      <w:r w:rsidR="00315C45" w:rsidRPr="005D6E61">
        <w:rPr>
          <w:rFonts w:ascii="Cambria" w:hAnsi="Cambria"/>
          <w:sz w:val="20"/>
          <w:szCs w:val="20"/>
          <w:lang w:val="pt-BR"/>
        </w:rPr>
        <w:t>s Humanos Margarida Maria Alves (FDDH-MMA) (</w:t>
      </w:r>
      <w:r w:rsidR="00675058" w:rsidRPr="005D6E61">
        <w:rPr>
          <w:rFonts w:ascii="Cambria" w:hAnsi="Cambria"/>
          <w:sz w:val="20"/>
          <w:szCs w:val="20"/>
          <w:lang w:val="pt-BR"/>
        </w:rPr>
        <w:t>dorav</w:t>
      </w:r>
      <w:r w:rsidR="00315C45" w:rsidRPr="005D6E61">
        <w:rPr>
          <w:rFonts w:ascii="Cambria" w:hAnsi="Cambria"/>
          <w:sz w:val="20"/>
          <w:szCs w:val="20"/>
          <w:lang w:val="pt-BR"/>
        </w:rPr>
        <w:t>ante “</w:t>
      </w:r>
      <w:r w:rsidR="00CD523F" w:rsidRPr="005D6E61">
        <w:rPr>
          <w:rFonts w:ascii="Cambria" w:hAnsi="Cambria"/>
          <w:sz w:val="20"/>
          <w:szCs w:val="20"/>
          <w:lang w:val="pt-BR"/>
        </w:rPr>
        <w:t>peticionário</w:t>
      </w:r>
      <w:r w:rsidR="00315C45" w:rsidRPr="005D6E61">
        <w:rPr>
          <w:rFonts w:ascii="Cambria" w:hAnsi="Cambria"/>
          <w:sz w:val="20"/>
          <w:szCs w:val="20"/>
          <w:lang w:val="pt-BR"/>
        </w:rPr>
        <w:t>s")</w:t>
      </w:r>
      <w:r w:rsidR="005A2381" w:rsidRPr="005D6E61">
        <w:rPr>
          <w:rFonts w:ascii="Cambria" w:hAnsi="Cambria"/>
          <w:sz w:val="20"/>
          <w:szCs w:val="20"/>
          <w:lang w:val="pt-BR"/>
        </w:rPr>
        <w:t xml:space="preserve"> na qua</w:t>
      </w:r>
      <w:r w:rsidR="00315C45" w:rsidRPr="005D6E61">
        <w:rPr>
          <w:rFonts w:ascii="Cambria" w:hAnsi="Cambria"/>
          <w:sz w:val="20"/>
          <w:szCs w:val="20"/>
          <w:lang w:val="pt-BR"/>
        </w:rPr>
        <w:t>l se alega</w:t>
      </w:r>
      <w:r w:rsidR="00331E62" w:rsidRPr="005D6E61">
        <w:rPr>
          <w:rFonts w:ascii="Cambria" w:hAnsi="Cambria"/>
          <w:sz w:val="20"/>
          <w:szCs w:val="20"/>
          <w:lang w:val="pt-BR"/>
        </w:rPr>
        <w:t xml:space="preserve"> a </w:t>
      </w:r>
      <w:r w:rsidR="00315C45" w:rsidRPr="005D6E61">
        <w:rPr>
          <w:rFonts w:ascii="Cambria" w:hAnsi="Cambria"/>
          <w:sz w:val="20"/>
          <w:szCs w:val="20"/>
          <w:lang w:val="pt-BR"/>
        </w:rPr>
        <w:t>responsabili</w:t>
      </w:r>
      <w:r w:rsidR="00FB55C7" w:rsidRPr="005D6E61">
        <w:rPr>
          <w:rFonts w:ascii="Cambria" w:hAnsi="Cambria"/>
          <w:sz w:val="20"/>
          <w:szCs w:val="20"/>
          <w:lang w:val="pt-BR"/>
        </w:rPr>
        <w:t xml:space="preserve">dade </w:t>
      </w:r>
      <w:r w:rsidR="00315C45" w:rsidRPr="005D6E61">
        <w:rPr>
          <w:rFonts w:ascii="Cambria" w:hAnsi="Cambria"/>
          <w:sz w:val="20"/>
          <w:szCs w:val="20"/>
          <w:lang w:val="pt-BR"/>
        </w:rPr>
        <w:t>internacional</w:t>
      </w:r>
      <w:r w:rsidR="00675058" w:rsidRPr="005D6E61">
        <w:rPr>
          <w:rFonts w:ascii="Cambria" w:hAnsi="Cambria"/>
          <w:sz w:val="20"/>
          <w:szCs w:val="20"/>
          <w:lang w:val="pt-BR"/>
        </w:rPr>
        <w:t xml:space="preserve"> da </w:t>
      </w:r>
      <w:r w:rsidR="00180344" w:rsidRPr="005D6E61">
        <w:rPr>
          <w:rFonts w:ascii="Cambria" w:hAnsi="Cambria"/>
          <w:sz w:val="20"/>
          <w:szCs w:val="20"/>
          <w:lang w:val="pt-BR"/>
        </w:rPr>
        <w:t>República Federativa do</w:t>
      </w:r>
      <w:r w:rsidR="00315C45" w:rsidRPr="005D6E61">
        <w:rPr>
          <w:rFonts w:ascii="Cambria" w:hAnsi="Cambria"/>
          <w:sz w:val="20"/>
          <w:szCs w:val="20"/>
          <w:lang w:val="pt-BR"/>
        </w:rPr>
        <w:t xml:space="preserve"> Brasil (</w:t>
      </w:r>
      <w:r w:rsidR="00675058" w:rsidRPr="005D6E61">
        <w:rPr>
          <w:rFonts w:ascii="Cambria" w:hAnsi="Cambria"/>
          <w:sz w:val="20"/>
          <w:szCs w:val="20"/>
          <w:lang w:val="pt-BR"/>
        </w:rPr>
        <w:t>dorav</w:t>
      </w:r>
      <w:r w:rsidR="00315C45" w:rsidRPr="005D6E61">
        <w:rPr>
          <w:rFonts w:ascii="Cambria" w:hAnsi="Cambria"/>
          <w:sz w:val="20"/>
          <w:szCs w:val="20"/>
          <w:lang w:val="pt-BR"/>
        </w:rPr>
        <w:t xml:space="preserve">ante “Estado”, “Estado </w:t>
      </w:r>
      <w:r w:rsidR="00D27A6E" w:rsidRPr="005D6E61">
        <w:rPr>
          <w:rFonts w:ascii="Cambria" w:hAnsi="Cambria"/>
          <w:sz w:val="20"/>
          <w:szCs w:val="20"/>
          <w:lang w:val="pt-BR"/>
        </w:rPr>
        <w:t>brasileiro</w:t>
      </w:r>
      <w:r w:rsidR="00315C45" w:rsidRPr="005D6E61">
        <w:rPr>
          <w:rFonts w:ascii="Cambria" w:hAnsi="Cambria"/>
          <w:sz w:val="20"/>
          <w:szCs w:val="20"/>
          <w:lang w:val="pt-BR"/>
        </w:rPr>
        <w:t>” o</w:t>
      </w:r>
      <w:r w:rsidR="00675058" w:rsidRPr="005D6E61">
        <w:rPr>
          <w:rFonts w:ascii="Cambria" w:hAnsi="Cambria"/>
          <w:sz w:val="20"/>
          <w:szCs w:val="20"/>
          <w:lang w:val="pt-BR"/>
        </w:rPr>
        <w:t>u</w:t>
      </w:r>
      <w:r w:rsidR="00315C45" w:rsidRPr="005D6E61">
        <w:rPr>
          <w:rFonts w:ascii="Cambria" w:hAnsi="Cambria"/>
          <w:sz w:val="20"/>
          <w:szCs w:val="20"/>
          <w:lang w:val="pt-BR"/>
        </w:rPr>
        <w:t xml:space="preserve"> “Brasil”) </w:t>
      </w:r>
      <w:r w:rsidR="00B92AF5" w:rsidRPr="005D6E61">
        <w:rPr>
          <w:rFonts w:ascii="Cambria" w:hAnsi="Cambria"/>
          <w:sz w:val="20"/>
          <w:szCs w:val="20"/>
          <w:lang w:val="pt-BR"/>
        </w:rPr>
        <w:t>por viola</w:t>
      </w:r>
      <w:r w:rsidR="00F77B7F" w:rsidRPr="005D6E61">
        <w:rPr>
          <w:rFonts w:ascii="Cambria" w:hAnsi="Cambria"/>
          <w:sz w:val="20"/>
          <w:szCs w:val="20"/>
          <w:lang w:val="pt-BR"/>
        </w:rPr>
        <w:t>ções</w:t>
      </w:r>
      <w:r w:rsidR="00B92AF5" w:rsidRPr="005D6E61">
        <w:rPr>
          <w:rFonts w:ascii="Cambria" w:hAnsi="Cambria"/>
          <w:sz w:val="20"/>
          <w:szCs w:val="20"/>
          <w:lang w:val="pt-BR"/>
        </w:rPr>
        <w:t xml:space="preserve"> de </w:t>
      </w:r>
      <w:r w:rsidR="00675058" w:rsidRPr="005D6E61">
        <w:rPr>
          <w:rFonts w:ascii="Cambria" w:hAnsi="Cambria"/>
          <w:sz w:val="20"/>
          <w:szCs w:val="20"/>
          <w:lang w:val="pt-BR"/>
        </w:rPr>
        <w:t>direito</w:t>
      </w:r>
      <w:r w:rsidR="00B92AF5" w:rsidRPr="005D6E61">
        <w:rPr>
          <w:rFonts w:ascii="Cambria" w:hAnsi="Cambria"/>
          <w:sz w:val="20"/>
          <w:szCs w:val="20"/>
          <w:lang w:val="pt-BR"/>
        </w:rPr>
        <w:t>s humanos cometidas</w:t>
      </w:r>
      <w:r w:rsidR="00F77B7F" w:rsidRPr="005D6E61">
        <w:rPr>
          <w:rFonts w:ascii="Cambria" w:hAnsi="Cambria"/>
          <w:sz w:val="20"/>
          <w:szCs w:val="20"/>
          <w:lang w:val="pt-BR"/>
        </w:rPr>
        <w:t xml:space="preserve"> em </w:t>
      </w:r>
      <w:r w:rsidR="000C1B2C" w:rsidRPr="005D6E61">
        <w:rPr>
          <w:rFonts w:ascii="Cambria" w:hAnsi="Cambria"/>
          <w:sz w:val="20"/>
          <w:szCs w:val="20"/>
          <w:lang w:val="pt-BR"/>
        </w:rPr>
        <w:t>p</w:t>
      </w:r>
      <w:r w:rsidR="00180344" w:rsidRPr="005D6E61">
        <w:rPr>
          <w:rFonts w:ascii="Cambria" w:hAnsi="Cambria"/>
          <w:sz w:val="20"/>
          <w:szCs w:val="20"/>
          <w:lang w:val="pt-BR"/>
        </w:rPr>
        <w:t>rejuízo</w:t>
      </w:r>
      <w:r w:rsidR="000C1B2C" w:rsidRPr="005D6E61">
        <w:rPr>
          <w:rFonts w:ascii="Cambria" w:hAnsi="Cambria"/>
          <w:sz w:val="20"/>
          <w:szCs w:val="20"/>
          <w:lang w:val="pt-BR"/>
        </w:rPr>
        <w:t xml:space="preserve"> de Margarida Maria Alves</w:t>
      </w:r>
      <w:r w:rsidR="006C5454" w:rsidRPr="005D6E61">
        <w:rPr>
          <w:rFonts w:ascii="Cambria" w:hAnsi="Cambria"/>
          <w:sz w:val="20"/>
          <w:szCs w:val="20"/>
          <w:lang w:val="pt-BR"/>
        </w:rPr>
        <w:t xml:space="preserve"> e </w:t>
      </w:r>
      <w:r w:rsidR="00B92AF5" w:rsidRPr="005D6E61">
        <w:rPr>
          <w:rFonts w:ascii="Cambria" w:hAnsi="Cambria"/>
          <w:sz w:val="20"/>
          <w:szCs w:val="20"/>
          <w:lang w:val="pt-BR"/>
        </w:rPr>
        <w:t>s</w:t>
      </w:r>
      <w:r w:rsidR="00180344" w:rsidRPr="005D6E61">
        <w:rPr>
          <w:rFonts w:ascii="Cambria" w:hAnsi="Cambria"/>
          <w:sz w:val="20"/>
          <w:szCs w:val="20"/>
          <w:lang w:val="pt-BR"/>
        </w:rPr>
        <w:t>e</w:t>
      </w:r>
      <w:r w:rsidR="00B92AF5" w:rsidRPr="005D6E61">
        <w:rPr>
          <w:rFonts w:ascii="Cambria" w:hAnsi="Cambria"/>
          <w:sz w:val="20"/>
          <w:szCs w:val="20"/>
          <w:lang w:val="pt-BR"/>
        </w:rPr>
        <w:t xml:space="preserve">us familiares. </w:t>
      </w:r>
      <w:r w:rsidR="000C1B2C" w:rsidRPr="005D6E61">
        <w:rPr>
          <w:rFonts w:ascii="Cambria" w:hAnsi="Cambria"/>
          <w:sz w:val="20"/>
          <w:szCs w:val="20"/>
          <w:lang w:val="pt-BR"/>
        </w:rPr>
        <w:t xml:space="preserve"> </w:t>
      </w:r>
    </w:p>
    <w:p w14:paraId="47D40BD1" w14:textId="77777777" w:rsidR="000C1B2C" w:rsidRPr="005D6E61" w:rsidRDefault="000C1B2C" w:rsidP="000C1B2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jc w:val="both"/>
        <w:rPr>
          <w:rFonts w:ascii="Cambria" w:hAnsi="Cambria" w:cs="Arial"/>
          <w:sz w:val="20"/>
          <w:szCs w:val="20"/>
          <w:lang w:val="pt-BR"/>
        </w:rPr>
      </w:pPr>
    </w:p>
    <w:p w14:paraId="2CD6352E" w14:textId="77777777" w:rsidR="00F53BDD" w:rsidRPr="005D6E61" w:rsidRDefault="00F77B7F" w:rsidP="00F53B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Calibri" w:hAnsi="Cambria"/>
          <w:sz w:val="20"/>
          <w:szCs w:val="20"/>
          <w:lang w:val="pt-BR"/>
        </w:rPr>
      </w:pPr>
      <w:r w:rsidRPr="005D6E61">
        <w:rPr>
          <w:rFonts w:ascii="Cambria" w:eastAsia="Calibri" w:hAnsi="Cambria"/>
          <w:sz w:val="20"/>
          <w:szCs w:val="20"/>
          <w:lang w:val="pt-BR"/>
        </w:rPr>
        <w:t>A</w:t>
      </w:r>
      <w:r w:rsidR="006310B6" w:rsidRPr="005D6E61">
        <w:rPr>
          <w:rFonts w:ascii="Cambria" w:eastAsia="Calibri" w:hAnsi="Cambria"/>
          <w:sz w:val="20"/>
          <w:szCs w:val="20"/>
          <w:lang w:val="pt-BR"/>
        </w:rPr>
        <w:t xml:space="preserve"> </w:t>
      </w:r>
      <w:r w:rsidR="006C5454" w:rsidRPr="005D6E61">
        <w:rPr>
          <w:rFonts w:ascii="Cambria" w:eastAsia="Calibri" w:hAnsi="Cambria"/>
          <w:sz w:val="20"/>
          <w:szCs w:val="20"/>
          <w:lang w:val="pt-BR"/>
        </w:rPr>
        <w:t>Comissão</w:t>
      </w:r>
      <w:r w:rsidR="00180344" w:rsidRPr="005D6E61">
        <w:rPr>
          <w:rFonts w:ascii="Cambria" w:eastAsia="Calibri" w:hAnsi="Cambria"/>
          <w:sz w:val="20"/>
          <w:szCs w:val="20"/>
          <w:lang w:val="pt-BR"/>
        </w:rPr>
        <w:t xml:space="preserve"> aprov</w:t>
      </w:r>
      <w:r w:rsidR="00BF0B90" w:rsidRPr="005D6E61">
        <w:rPr>
          <w:rFonts w:ascii="Cambria" w:eastAsia="Calibri" w:hAnsi="Cambria"/>
          <w:sz w:val="20"/>
          <w:szCs w:val="20"/>
          <w:lang w:val="pt-BR"/>
        </w:rPr>
        <w:t xml:space="preserve">ou </w:t>
      </w:r>
      <w:r w:rsidR="00331E62" w:rsidRPr="005D6E61">
        <w:rPr>
          <w:rFonts w:ascii="Cambria" w:eastAsia="Calibri" w:hAnsi="Cambria"/>
          <w:sz w:val="20"/>
          <w:szCs w:val="20"/>
          <w:lang w:val="pt-BR"/>
        </w:rPr>
        <w:t xml:space="preserve">o </w:t>
      </w:r>
      <w:r w:rsidR="00704E7B" w:rsidRPr="005D6E61">
        <w:rPr>
          <w:rFonts w:ascii="Cambria" w:eastAsia="Calibri" w:hAnsi="Cambria"/>
          <w:sz w:val="20"/>
          <w:szCs w:val="20"/>
          <w:lang w:val="pt-BR"/>
        </w:rPr>
        <w:t>relatório</w:t>
      </w:r>
      <w:r w:rsidR="006310B6" w:rsidRPr="005D6E61">
        <w:rPr>
          <w:rFonts w:ascii="Cambria" w:eastAsia="Calibri" w:hAnsi="Cambria"/>
          <w:sz w:val="20"/>
          <w:szCs w:val="20"/>
          <w:lang w:val="pt-BR"/>
        </w:rPr>
        <w:t xml:space="preserve"> de </w:t>
      </w:r>
      <w:r w:rsidR="009C205A" w:rsidRPr="005D6E61">
        <w:rPr>
          <w:rFonts w:ascii="Cambria" w:eastAsia="Calibri" w:hAnsi="Cambria"/>
          <w:sz w:val="20"/>
          <w:szCs w:val="20"/>
          <w:lang w:val="pt-BR"/>
        </w:rPr>
        <w:t>admissibilidade</w:t>
      </w:r>
      <w:r w:rsidR="00FB55C7" w:rsidRPr="005D6E61">
        <w:rPr>
          <w:rFonts w:ascii="Cambria" w:eastAsia="Calibri" w:hAnsi="Cambria"/>
          <w:sz w:val="20"/>
          <w:szCs w:val="20"/>
          <w:lang w:val="pt-BR"/>
        </w:rPr>
        <w:t xml:space="preserve"> </w:t>
      </w:r>
      <w:r w:rsidR="006310B6" w:rsidRPr="005D6E61">
        <w:rPr>
          <w:rFonts w:ascii="Cambria" w:eastAsia="Calibri" w:hAnsi="Cambria"/>
          <w:sz w:val="20"/>
          <w:szCs w:val="20"/>
          <w:lang w:val="pt-BR"/>
        </w:rPr>
        <w:t>N</w:t>
      </w:r>
      <w:r w:rsidR="00180344" w:rsidRPr="005D6E61">
        <w:rPr>
          <w:rFonts w:ascii="Cambria" w:eastAsia="Calibri" w:hAnsi="Cambria"/>
          <w:sz w:val="20"/>
          <w:szCs w:val="20"/>
          <w:lang w:val="pt-BR"/>
        </w:rPr>
        <w:t>º</w:t>
      </w:r>
      <w:r w:rsidR="006310B6" w:rsidRPr="005D6E61">
        <w:rPr>
          <w:rFonts w:ascii="Cambria" w:eastAsia="Calibri" w:hAnsi="Cambria"/>
          <w:sz w:val="20"/>
          <w:szCs w:val="20"/>
          <w:lang w:val="pt-BR"/>
        </w:rPr>
        <w:t xml:space="preserve"> 9/08</w:t>
      </w:r>
      <w:r w:rsidR="00331E62" w:rsidRPr="005D6E61">
        <w:rPr>
          <w:rFonts w:ascii="Cambria" w:eastAsia="Calibri" w:hAnsi="Cambria"/>
          <w:sz w:val="20"/>
          <w:szCs w:val="20"/>
          <w:lang w:val="pt-BR"/>
        </w:rPr>
        <w:t xml:space="preserve"> </w:t>
      </w:r>
      <w:r w:rsidR="00180344" w:rsidRPr="005D6E61">
        <w:rPr>
          <w:rFonts w:ascii="Cambria" w:eastAsia="Calibri" w:hAnsi="Cambria"/>
          <w:sz w:val="20"/>
          <w:szCs w:val="20"/>
          <w:lang w:val="pt-BR"/>
        </w:rPr>
        <w:t>em</w:t>
      </w:r>
      <w:r w:rsidR="00331E62" w:rsidRPr="005D6E61">
        <w:rPr>
          <w:rFonts w:ascii="Cambria" w:eastAsia="Calibri" w:hAnsi="Cambria"/>
          <w:sz w:val="20"/>
          <w:szCs w:val="20"/>
          <w:lang w:val="pt-BR"/>
        </w:rPr>
        <w:t xml:space="preserve"> </w:t>
      </w:r>
      <w:r w:rsidR="006310B6" w:rsidRPr="005D6E61">
        <w:rPr>
          <w:rFonts w:ascii="Cambria" w:eastAsia="Calibri" w:hAnsi="Cambria"/>
          <w:sz w:val="20"/>
          <w:szCs w:val="20"/>
          <w:lang w:val="pt-BR"/>
        </w:rPr>
        <w:t xml:space="preserve">5 de </w:t>
      </w:r>
      <w:r w:rsidR="009C205A" w:rsidRPr="005D6E61">
        <w:rPr>
          <w:rFonts w:ascii="Cambria" w:eastAsia="Calibri" w:hAnsi="Cambria"/>
          <w:sz w:val="20"/>
          <w:szCs w:val="20"/>
          <w:lang w:val="pt-BR"/>
        </w:rPr>
        <w:t>março</w:t>
      </w:r>
      <w:r w:rsidR="006310B6" w:rsidRPr="005D6E61">
        <w:rPr>
          <w:rFonts w:ascii="Cambria" w:eastAsia="Calibri" w:hAnsi="Cambria"/>
          <w:sz w:val="20"/>
          <w:szCs w:val="20"/>
          <w:lang w:val="pt-BR"/>
        </w:rPr>
        <w:t xml:space="preserve"> de 2008</w:t>
      </w:r>
      <w:r w:rsidR="00F53BDD" w:rsidRPr="005D6E61">
        <w:rPr>
          <w:rFonts w:ascii="Cambria" w:eastAsia="Calibri" w:hAnsi="Cambria"/>
          <w:sz w:val="20"/>
          <w:szCs w:val="20"/>
          <w:vertAlign w:val="superscript"/>
          <w:lang w:val="pt-BR"/>
        </w:rPr>
        <w:footnoteReference w:id="3"/>
      </w:r>
      <w:r w:rsidR="00F53BDD" w:rsidRPr="005D6E61">
        <w:rPr>
          <w:rFonts w:ascii="Cambria" w:eastAsia="Calibri" w:hAnsi="Cambria"/>
          <w:sz w:val="20"/>
          <w:szCs w:val="20"/>
          <w:lang w:val="pt-BR"/>
        </w:rPr>
        <w:t>.</w:t>
      </w:r>
      <w:r w:rsidR="00331E62" w:rsidRPr="005D6E61">
        <w:rPr>
          <w:rFonts w:ascii="Cambria" w:eastAsia="Calibri" w:hAnsi="Cambria"/>
          <w:sz w:val="20"/>
          <w:szCs w:val="20"/>
          <w:lang w:val="pt-BR"/>
        </w:rPr>
        <w:t xml:space="preserve"> </w:t>
      </w:r>
      <w:r w:rsidR="00180344" w:rsidRPr="005D6E61">
        <w:rPr>
          <w:rFonts w:ascii="Cambria" w:eastAsia="Calibri" w:hAnsi="Cambria"/>
          <w:sz w:val="20"/>
          <w:szCs w:val="20"/>
          <w:lang w:val="pt-BR"/>
        </w:rPr>
        <w:t>Em</w:t>
      </w:r>
      <w:r w:rsidR="00331E62" w:rsidRPr="005D6E61">
        <w:rPr>
          <w:rFonts w:ascii="Cambria" w:eastAsia="Calibri" w:hAnsi="Cambria"/>
          <w:sz w:val="20"/>
          <w:szCs w:val="20"/>
          <w:lang w:val="pt-BR"/>
        </w:rPr>
        <w:t xml:space="preserve"> </w:t>
      </w:r>
      <w:r w:rsidR="00F53BDD" w:rsidRPr="005D6E61">
        <w:rPr>
          <w:rFonts w:ascii="Cambria" w:eastAsia="Calibri" w:hAnsi="Cambria"/>
          <w:sz w:val="20"/>
          <w:szCs w:val="20"/>
          <w:lang w:val="pt-BR"/>
        </w:rPr>
        <w:t>31 de mar</w:t>
      </w:r>
      <w:r w:rsidR="00180344" w:rsidRPr="005D6E61">
        <w:rPr>
          <w:rFonts w:ascii="Cambria" w:eastAsia="Calibri" w:hAnsi="Cambria"/>
          <w:sz w:val="20"/>
          <w:szCs w:val="20"/>
          <w:lang w:val="pt-BR"/>
        </w:rPr>
        <w:t>ç</w:t>
      </w:r>
      <w:r w:rsidR="00F53BDD" w:rsidRPr="005D6E61">
        <w:rPr>
          <w:rFonts w:ascii="Cambria" w:eastAsia="Calibri" w:hAnsi="Cambria"/>
          <w:sz w:val="20"/>
          <w:szCs w:val="20"/>
          <w:lang w:val="pt-BR"/>
        </w:rPr>
        <w:t>o de 2008</w:t>
      </w:r>
      <w:r w:rsidR="00331E62" w:rsidRPr="005D6E61">
        <w:rPr>
          <w:rFonts w:ascii="Cambria" w:eastAsia="Calibri" w:hAnsi="Cambria"/>
          <w:sz w:val="20"/>
          <w:szCs w:val="20"/>
          <w:lang w:val="pt-BR"/>
        </w:rPr>
        <w:t xml:space="preserve"> a </w:t>
      </w:r>
      <w:r w:rsidR="006C5454" w:rsidRPr="005D6E61">
        <w:rPr>
          <w:rFonts w:ascii="Cambria" w:eastAsia="Calibri" w:hAnsi="Cambria"/>
          <w:sz w:val="20"/>
          <w:szCs w:val="20"/>
          <w:lang w:val="pt-BR"/>
        </w:rPr>
        <w:t>Comissão</w:t>
      </w:r>
      <w:r w:rsidR="00F53BDD" w:rsidRPr="005D6E61">
        <w:rPr>
          <w:rFonts w:ascii="Cambria" w:eastAsia="Calibri" w:hAnsi="Cambria"/>
          <w:sz w:val="20"/>
          <w:szCs w:val="20"/>
          <w:lang w:val="pt-BR"/>
        </w:rPr>
        <w:t xml:space="preserve"> notific</w:t>
      </w:r>
      <w:r w:rsidR="00BF0B90" w:rsidRPr="005D6E61">
        <w:rPr>
          <w:rFonts w:ascii="Cambria" w:eastAsia="Calibri" w:hAnsi="Cambria"/>
          <w:sz w:val="20"/>
          <w:szCs w:val="20"/>
          <w:lang w:val="pt-BR"/>
        </w:rPr>
        <w:t xml:space="preserve">ou </w:t>
      </w:r>
      <w:r w:rsidR="00180344" w:rsidRPr="005D6E61">
        <w:rPr>
          <w:rFonts w:ascii="Cambria" w:eastAsia="Calibri" w:hAnsi="Cambria"/>
          <w:sz w:val="20"/>
          <w:szCs w:val="20"/>
          <w:lang w:val="pt-BR"/>
        </w:rPr>
        <w:t>esse</w:t>
      </w:r>
      <w:r w:rsidR="00F53BDD" w:rsidRPr="005D6E61">
        <w:rPr>
          <w:rFonts w:ascii="Cambria" w:eastAsia="Calibri" w:hAnsi="Cambria"/>
          <w:sz w:val="20"/>
          <w:szCs w:val="20"/>
          <w:lang w:val="pt-BR"/>
        </w:rPr>
        <w:t xml:space="preserve"> </w:t>
      </w:r>
      <w:r w:rsidR="00704E7B" w:rsidRPr="005D6E61">
        <w:rPr>
          <w:rFonts w:ascii="Cambria" w:eastAsia="Calibri" w:hAnsi="Cambria"/>
          <w:sz w:val="20"/>
          <w:szCs w:val="20"/>
          <w:lang w:val="pt-BR"/>
        </w:rPr>
        <w:t>relatório</w:t>
      </w:r>
      <w:r w:rsidR="005A2381" w:rsidRPr="005D6E61">
        <w:rPr>
          <w:rFonts w:ascii="Cambria" w:eastAsia="Calibri" w:hAnsi="Cambria"/>
          <w:sz w:val="20"/>
          <w:szCs w:val="20"/>
          <w:lang w:val="pt-BR"/>
        </w:rPr>
        <w:t xml:space="preserve"> às </w:t>
      </w:r>
      <w:r w:rsidR="00F53BDD" w:rsidRPr="005D6E61">
        <w:rPr>
          <w:rFonts w:ascii="Cambria" w:eastAsia="Calibri" w:hAnsi="Cambria"/>
          <w:sz w:val="20"/>
          <w:szCs w:val="20"/>
          <w:lang w:val="pt-BR"/>
        </w:rPr>
        <w:t>partes</w:t>
      </w:r>
      <w:r w:rsidR="006C5454" w:rsidRPr="005D6E61">
        <w:rPr>
          <w:rFonts w:ascii="Cambria" w:eastAsia="Calibri" w:hAnsi="Cambria"/>
          <w:sz w:val="20"/>
          <w:szCs w:val="20"/>
          <w:lang w:val="pt-BR"/>
        </w:rPr>
        <w:t xml:space="preserve"> e </w:t>
      </w:r>
      <w:r w:rsidR="00F53BDD" w:rsidRPr="005D6E61">
        <w:rPr>
          <w:rFonts w:ascii="Cambria" w:eastAsia="Calibri" w:hAnsi="Cambria"/>
          <w:sz w:val="20"/>
          <w:szCs w:val="20"/>
          <w:lang w:val="pt-BR"/>
        </w:rPr>
        <w:t xml:space="preserve">se </w:t>
      </w:r>
      <w:r w:rsidR="00180344" w:rsidRPr="005D6E61">
        <w:rPr>
          <w:rFonts w:ascii="Cambria" w:eastAsia="Calibri" w:hAnsi="Cambria"/>
          <w:sz w:val="20"/>
          <w:szCs w:val="20"/>
          <w:lang w:val="pt-BR"/>
        </w:rPr>
        <w:t>colocou à</w:t>
      </w:r>
      <w:r w:rsidR="005F10F8" w:rsidRPr="005D6E61">
        <w:rPr>
          <w:rFonts w:ascii="Cambria" w:eastAsia="Calibri" w:hAnsi="Cambria"/>
          <w:sz w:val="20"/>
          <w:szCs w:val="20"/>
          <w:lang w:val="pt-BR"/>
        </w:rPr>
        <w:t xml:space="preserve"> su</w:t>
      </w:r>
      <w:r w:rsidR="00180344" w:rsidRPr="005D6E61">
        <w:rPr>
          <w:rFonts w:ascii="Cambria" w:eastAsia="Calibri" w:hAnsi="Cambria"/>
          <w:sz w:val="20"/>
          <w:szCs w:val="20"/>
          <w:lang w:val="pt-BR"/>
        </w:rPr>
        <w:t>a</w:t>
      </w:r>
      <w:r w:rsidR="00F53BDD" w:rsidRPr="005D6E61">
        <w:rPr>
          <w:rFonts w:ascii="Cambria" w:eastAsia="Calibri" w:hAnsi="Cambria"/>
          <w:sz w:val="20"/>
          <w:szCs w:val="20"/>
          <w:lang w:val="pt-BR"/>
        </w:rPr>
        <w:t xml:space="preserve"> disposi</w:t>
      </w:r>
      <w:r w:rsidR="00A274D9" w:rsidRPr="005D6E61">
        <w:rPr>
          <w:rFonts w:ascii="Cambria" w:eastAsia="Calibri" w:hAnsi="Cambria"/>
          <w:sz w:val="20"/>
          <w:szCs w:val="20"/>
          <w:lang w:val="pt-BR"/>
        </w:rPr>
        <w:t>ção</w:t>
      </w:r>
      <w:r w:rsidR="00F53BDD" w:rsidRPr="005D6E61">
        <w:rPr>
          <w:rFonts w:ascii="Cambria" w:eastAsia="Calibri" w:hAnsi="Cambria"/>
          <w:sz w:val="20"/>
          <w:szCs w:val="20"/>
          <w:lang w:val="pt-BR"/>
        </w:rPr>
        <w:t xml:space="preserve"> a fi</w:t>
      </w:r>
      <w:r w:rsidR="00180344" w:rsidRPr="005D6E61">
        <w:rPr>
          <w:rFonts w:ascii="Cambria" w:eastAsia="Calibri" w:hAnsi="Cambria"/>
          <w:sz w:val="20"/>
          <w:szCs w:val="20"/>
          <w:lang w:val="pt-BR"/>
        </w:rPr>
        <w:t>m</w:t>
      </w:r>
      <w:r w:rsidR="00F53BDD" w:rsidRPr="005D6E61">
        <w:rPr>
          <w:rFonts w:ascii="Cambria" w:eastAsia="Calibri" w:hAnsi="Cambria"/>
          <w:sz w:val="20"/>
          <w:szCs w:val="20"/>
          <w:lang w:val="pt-BR"/>
        </w:rPr>
        <w:t xml:space="preserve"> de </w:t>
      </w:r>
      <w:r w:rsidR="00180344" w:rsidRPr="005D6E61">
        <w:rPr>
          <w:rFonts w:ascii="Cambria" w:eastAsia="Calibri" w:hAnsi="Cambria"/>
          <w:sz w:val="20"/>
          <w:szCs w:val="20"/>
          <w:lang w:val="pt-BR"/>
        </w:rPr>
        <w:t>ch</w:t>
      </w:r>
      <w:r w:rsidR="00F53BDD" w:rsidRPr="005D6E61">
        <w:rPr>
          <w:rFonts w:ascii="Cambria" w:eastAsia="Calibri" w:hAnsi="Cambria"/>
          <w:sz w:val="20"/>
          <w:szCs w:val="20"/>
          <w:lang w:val="pt-BR"/>
        </w:rPr>
        <w:t>egar a</w:t>
      </w:r>
      <w:r w:rsidR="006C5454" w:rsidRPr="005D6E61">
        <w:rPr>
          <w:rFonts w:ascii="Cambria" w:eastAsia="Calibri" w:hAnsi="Cambria"/>
          <w:sz w:val="20"/>
          <w:szCs w:val="20"/>
          <w:lang w:val="pt-BR"/>
        </w:rPr>
        <w:t xml:space="preserve"> uma </w:t>
      </w:r>
      <w:r w:rsidR="00F53BDD" w:rsidRPr="005D6E61">
        <w:rPr>
          <w:rFonts w:ascii="Cambria" w:eastAsia="Calibri" w:hAnsi="Cambria"/>
          <w:sz w:val="20"/>
          <w:szCs w:val="20"/>
          <w:lang w:val="pt-BR"/>
        </w:rPr>
        <w:t>solu</w:t>
      </w:r>
      <w:r w:rsidR="00A274D9" w:rsidRPr="005D6E61">
        <w:rPr>
          <w:rFonts w:ascii="Cambria" w:eastAsia="Calibri" w:hAnsi="Cambria"/>
          <w:sz w:val="20"/>
          <w:szCs w:val="20"/>
          <w:lang w:val="pt-BR"/>
        </w:rPr>
        <w:t>ção</w:t>
      </w:r>
      <w:r w:rsidR="00F53BDD" w:rsidRPr="005D6E61">
        <w:rPr>
          <w:rFonts w:ascii="Cambria" w:eastAsia="Calibri" w:hAnsi="Cambria"/>
          <w:sz w:val="20"/>
          <w:szCs w:val="20"/>
          <w:lang w:val="pt-BR"/>
        </w:rPr>
        <w:t xml:space="preserve"> amistosa.</w:t>
      </w:r>
      <w:r w:rsidRPr="005D6E61">
        <w:rPr>
          <w:rFonts w:ascii="Cambria" w:eastAsia="Calibri" w:hAnsi="Cambria"/>
          <w:sz w:val="20"/>
          <w:szCs w:val="20"/>
          <w:lang w:val="pt-BR"/>
        </w:rPr>
        <w:t xml:space="preserve"> </w:t>
      </w:r>
      <w:r w:rsidR="00180344" w:rsidRPr="005D6E61">
        <w:rPr>
          <w:rFonts w:ascii="Cambria" w:eastAsia="Calibri" w:hAnsi="Cambria"/>
          <w:sz w:val="20"/>
          <w:szCs w:val="20"/>
          <w:lang w:val="pt-BR"/>
        </w:rPr>
        <w:t>A</w:t>
      </w:r>
      <w:r w:rsidRPr="005D6E61">
        <w:rPr>
          <w:rFonts w:ascii="Cambria" w:eastAsia="Calibri" w:hAnsi="Cambria"/>
          <w:sz w:val="20"/>
          <w:szCs w:val="20"/>
          <w:lang w:val="pt-BR"/>
        </w:rPr>
        <w:t xml:space="preserve">s </w:t>
      </w:r>
      <w:r w:rsidR="00F53BDD" w:rsidRPr="005D6E61">
        <w:rPr>
          <w:rFonts w:ascii="Cambria" w:eastAsia="Calibri" w:hAnsi="Cambria"/>
          <w:sz w:val="20"/>
          <w:szCs w:val="20"/>
          <w:lang w:val="pt-BR"/>
        </w:rPr>
        <w:t>partes contar</w:t>
      </w:r>
      <w:r w:rsidR="00180344" w:rsidRPr="005D6E61">
        <w:rPr>
          <w:rFonts w:ascii="Cambria" w:eastAsia="Calibri" w:hAnsi="Cambria"/>
          <w:sz w:val="20"/>
          <w:szCs w:val="20"/>
          <w:lang w:val="pt-BR"/>
        </w:rPr>
        <w:t>am</w:t>
      </w:r>
      <w:r w:rsidRPr="005D6E61">
        <w:rPr>
          <w:rFonts w:ascii="Cambria" w:eastAsia="Calibri" w:hAnsi="Cambria"/>
          <w:sz w:val="20"/>
          <w:szCs w:val="20"/>
          <w:lang w:val="pt-BR"/>
        </w:rPr>
        <w:t xml:space="preserve"> com os </w:t>
      </w:r>
      <w:r w:rsidR="00180344" w:rsidRPr="005D6E61">
        <w:rPr>
          <w:rFonts w:ascii="Cambria" w:eastAsia="Calibri" w:hAnsi="Cambria"/>
          <w:sz w:val="20"/>
          <w:szCs w:val="20"/>
          <w:lang w:val="pt-BR"/>
        </w:rPr>
        <w:t>prazo</w:t>
      </w:r>
      <w:r w:rsidR="00F53BDD" w:rsidRPr="005D6E61">
        <w:rPr>
          <w:rFonts w:ascii="Cambria" w:eastAsia="Calibri" w:hAnsi="Cambria"/>
          <w:sz w:val="20"/>
          <w:szCs w:val="20"/>
          <w:lang w:val="pt-BR"/>
        </w:rPr>
        <w:t>s reg</w:t>
      </w:r>
      <w:r w:rsidR="00FF0FDE" w:rsidRPr="005D6E61">
        <w:rPr>
          <w:rFonts w:ascii="Cambria" w:eastAsia="Calibri" w:hAnsi="Cambria"/>
          <w:sz w:val="20"/>
          <w:szCs w:val="20"/>
          <w:lang w:val="pt-BR"/>
        </w:rPr>
        <w:t>u</w:t>
      </w:r>
      <w:r w:rsidR="00F53BDD" w:rsidRPr="005D6E61">
        <w:rPr>
          <w:rFonts w:ascii="Cambria" w:eastAsia="Calibri" w:hAnsi="Cambria"/>
          <w:sz w:val="20"/>
          <w:szCs w:val="20"/>
          <w:lang w:val="pt-BR"/>
        </w:rPr>
        <w:t>lamentar</w:t>
      </w:r>
      <w:r w:rsidR="00FF0FDE" w:rsidRPr="005D6E61">
        <w:rPr>
          <w:rFonts w:ascii="Cambria" w:eastAsia="Calibri" w:hAnsi="Cambria"/>
          <w:sz w:val="20"/>
          <w:szCs w:val="20"/>
          <w:lang w:val="pt-BR"/>
        </w:rPr>
        <w:t>e</w:t>
      </w:r>
      <w:r w:rsidR="00F53BDD" w:rsidRPr="005D6E61">
        <w:rPr>
          <w:rFonts w:ascii="Cambria" w:eastAsia="Calibri" w:hAnsi="Cambria"/>
          <w:sz w:val="20"/>
          <w:szCs w:val="20"/>
          <w:lang w:val="pt-BR"/>
        </w:rPr>
        <w:t xml:space="preserve">s para </w:t>
      </w:r>
      <w:r w:rsidR="00FF0FDE" w:rsidRPr="005D6E61">
        <w:rPr>
          <w:rFonts w:ascii="Cambria" w:eastAsia="Calibri" w:hAnsi="Cambria"/>
          <w:sz w:val="20"/>
          <w:szCs w:val="20"/>
          <w:lang w:val="pt-BR"/>
        </w:rPr>
        <w:t>a</w:t>
      </w:r>
      <w:r w:rsidR="00F53BDD" w:rsidRPr="005D6E61">
        <w:rPr>
          <w:rFonts w:ascii="Cambria" w:eastAsia="Calibri" w:hAnsi="Cambria"/>
          <w:sz w:val="20"/>
          <w:szCs w:val="20"/>
          <w:lang w:val="pt-BR"/>
        </w:rPr>
        <w:t>presentar su</w:t>
      </w:r>
      <w:r w:rsidR="00FF0FDE" w:rsidRPr="005D6E61">
        <w:rPr>
          <w:rFonts w:ascii="Cambria" w:eastAsia="Calibri" w:hAnsi="Cambria"/>
          <w:sz w:val="20"/>
          <w:szCs w:val="20"/>
          <w:lang w:val="pt-BR"/>
        </w:rPr>
        <w:t>a</w:t>
      </w:r>
      <w:r w:rsidR="00F53BDD" w:rsidRPr="005D6E61">
        <w:rPr>
          <w:rFonts w:ascii="Cambria" w:eastAsia="Calibri" w:hAnsi="Cambria"/>
          <w:sz w:val="20"/>
          <w:szCs w:val="20"/>
          <w:lang w:val="pt-BR"/>
        </w:rPr>
        <w:t>s observa</w:t>
      </w:r>
      <w:r w:rsidRPr="005D6E61">
        <w:rPr>
          <w:rFonts w:ascii="Cambria" w:eastAsia="Calibri" w:hAnsi="Cambria"/>
          <w:sz w:val="20"/>
          <w:szCs w:val="20"/>
          <w:lang w:val="pt-BR"/>
        </w:rPr>
        <w:t>ções</w:t>
      </w:r>
      <w:r w:rsidR="00F53BDD" w:rsidRPr="005D6E61">
        <w:rPr>
          <w:rFonts w:ascii="Cambria" w:eastAsia="Calibri" w:hAnsi="Cambria"/>
          <w:sz w:val="20"/>
          <w:szCs w:val="20"/>
          <w:lang w:val="pt-BR"/>
        </w:rPr>
        <w:t xml:space="preserve"> adicion</w:t>
      </w:r>
      <w:r w:rsidR="00331E62" w:rsidRPr="005D6E61">
        <w:rPr>
          <w:rFonts w:ascii="Cambria" w:eastAsia="Calibri" w:hAnsi="Cambria"/>
          <w:sz w:val="20"/>
          <w:szCs w:val="20"/>
          <w:lang w:val="pt-BR"/>
        </w:rPr>
        <w:t>ais</w:t>
      </w:r>
      <w:r w:rsidR="00F53BDD" w:rsidRPr="005D6E61">
        <w:rPr>
          <w:rFonts w:ascii="Cambria" w:eastAsia="Calibri" w:hAnsi="Cambria"/>
          <w:sz w:val="20"/>
          <w:szCs w:val="20"/>
          <w:lang w:val="pt-BR"/>
        </w:rPr>
        <w:t xml:space="preserve"> sobre</w:t>
      </w:r>
      <w:r w:rsidR="00331E62" w:rsidRPr="005D6E61">
        <w:rPr>
          <w:rFonts w:ascii="Cambria" w:eastAsia="Calibri" w:hAnsi="Cambria"/>
          <w:sz w:val="20"/>
          <w:szCs w:val="20"/>
          <w:lang w:val="pt-BR"/>
        </w:rPr>
        <w:t xml:space="preserve"> o </w:t>
      </w:r>
      <w:r w:rsidR="00FF0FDE" w:rsidRPr="005D6E61">
        <w:rPr>
          <w:rFonts w:ascii="Cambria" w:eastAsia="Calibri" w:hAnsi="Cambria"/>
          <w:sz w:val="20"/>
          <w:szCs w:val="20"/>
          <w:lang w:val="pt-BR"/>
        </w:rPr>
        <w:t>mérit</w:t>
      </w:r>
      <w:r w:rsidR="00F53BDD" w:rsidRPr="005D6E61">
        <w:rPr>
          <w:rFonts w:ascii="Cambria" w:eastAsia="Calibri" w:hAnsi="Cambria"/>
          <w:sz w:val="20"/>
          <w:szCs w:val="20"/>
          <w:lang w:val="pt-BR"/>
        </w:rPr>
        <w:t>o. Toda</w:t>
      </w:r>
      <w:r w:rsidR="00FF0FDE" w:rsidRPr="005D6E61">
        <w:rPr>
          <w:rFonts w:ascii="Cambria" w:eastAsia="Calibri" w:hAnsi="Cambria"/>
          <w:sz w:val="20"/>
          <w:szCs w:val="20"/>
          <w:lang w:val="pt-BR"/>
        </w:rPr>
        <w:t>s</w:t>
      </w:r>
      <w:r w:rsidR="00331E62" w:rsidRPr="005D6E61">
        <w:rPr>
          <w:rFonts w:ascii="Cambria" w:eastAsia="Calibri" w:hAnsi="Cambria"/>
          <w:sz w:val="20"/>
          <w:szCs w:val="20"/>
          <w:lang w:val="pt-BR"/>
        </w:rPr>
        <w:t xml:space="preserve"> a</w:t>
      </w:r>
      <w:r w:rsidR="00FF0FDE" w:rsidRPr="005D6E61">
        <w:rPr>
          <w:rFonts w:ascii="Cambria" w:eastAsia="Calibri" w:hAnsi="Cambria"/>
          <w:sz w:val="20"/>
          <w:szCs w:val="20"/>
          <w:lang w:val="pt-BR"/>
        </w:rPr>
        <w:t>s</w:t>
      </w:r>
      <w:r w:rsidR="00331E62" w:rsidRPr="005D6E61">
        <w:rPr>
          <w:rFonts w:ascii="Cambria" w:eastAsia="Calibri" w:hAnsi="Cambria"/>
          <w:sz w:val="20"/>
          <w:szCs w:val="20"/>
          <w:lang w:val="pt-BR"/>
        </w:rPr>
        <w:t xml:space="preserve"> </w:t>
      </w:r>
      <w:r w:rsidR="00F53BDD" w:rsidRPr="005D6E61">
        <w:rPr>
          <w:rFonts w:ascii="Cambria" w:eastAsia="Calibri" w:hAnsi="Cambria"/>
          <w:sz w:val="20"/>
          <w:szCs w:val="20"/>
          <w:lang w:val="pt-BR"/>
        </w:rPr>
        <w:t>informa</w:t>
      </w:r>
      <w:r w:rsidR="00A274D9" w:rsidRPr="005D6E61">
        <w:rPr>
          <w:rFonts w:ascii="Cambria" w:eastAsia="Calibri" w:hAnsi="Cambria"/>
          <w:sz w:val="20"/>
          <w:szCs w:val="20"/>
          <w:lang w:val="pt-BR"/>
        </w:rPr>
        <w:t>ç</w:t>
      </w:r>
      <w:r w:rsidR="00FF0FDE" w:rsidRPr="005D6E61">
        <w:rPr>
          <w:rFonts w:ascii="Cambria" w:eastAsia="Calibri" w:hAnsi="Cambria"/>
          <w:sz w:val="20"/>
          <w:szCs w:val="20"/>
          <w:lang w:val="pt-BR"/>
        </w:rPr>
        <w:t>ões</w:t>
      </w:r>
      <w:r w:rsidR="00F53BDD" w:rsidRPr="005D6E61">
        <w:rPr>
          <w:rFonts w:ascii="Cambria" w:eastAsia="Calibri" w:hAnsi="Cambria"/>
          <w:sz w:val="20"/>
          <w:szCs w:val="20"/>
          <w:lang w:val="pt-BR"/>
        </w:rPr>
        <w:t xml:space="preserve"> f</w:t>
      </w:r>
      <w:r w:rsidR="002508A0" w:rsidRPr="005D6E61">
        <w:rPr>
          <w:rFonts w:ascii="Cambria" w:eastAsia="Calibri" w:hAnsi="Cambria"/>
          <w:sz w:val="20"/>
          <w:szCs w:val="20"/>
          <w:lang w:val="pt-BR"/>
        </w:rPr>
        <w:t>o</w:t>
      </w:r>
      <w:r w:rsidR="00FF0FDE" w:rsidRPr="005D6E61">
        <w:rPr>
          <w:rFonts w:ascii="Cambria" w:eastAsia="Calibri" w:hAnsi="Cambria"/>
          <w:sz w:val="20"/>
          <w:szCs w:val="20"/>
          <w:lang w:val="pt-BR"/>
        </w:rPr>
        <w:t>ram</w:t>
      </w:r>
      <w:r w:rsidR="00F53BDD" w:rsidRPr="005D6E61">
        <w:rPr>
          <w:rFonts w:ascii="Cambria" w:eastAsia="Calibri" w:hAnsi="Cambria"/>
          <w:sz w:val="20"/>
          <w:szCs w:val="20"/>
          <w:lang w:val="pt-BR"/>
        </w:rPr>
        <w:t xml:space="preserve"> de</w:t>
      </w:r>
      <w:r w:rsidR="00FF0FDE" w:rsidRPr="005D6E61">
        <w:rPr>
          <w:rFonts w:ascii="Cambria" w:eastAsia="Calibri" w:hAnsi="Cambria"/>
          <w:sz w:val="20"/>
          <w:szCs w:val="20"/>
          <w:lang w:val="pt-BR"/>
        </w:rPr>
        <w:t>v</w:t>
      </w:r>
      <w:r w:rsidR="00F53BDD" w:rsidRPr="005D6E61">
        <w:rPr>
          <w:rFonts w:ascii="Cambria" w:eastAsia="Calibri" w:hAnsi="Cambria"/>
          <w:sz w:val="20"/>
          <w:szCs w:val="20"/>
          <w:lang w:val="pt-BR"/>
        </w:rPr>
        <w:t xml:space="preserve">idamente </w:t>
      </w:r>
      <w:r w:rsidR="00947897" w:rsidRPr="005D6E61">
        <w:rPr>
          <w:rFonts w:ascii="Cambria" w:eastAsia="Calibri" w:hAnsi="Cambria"/>
          <w:sz w:val="20"/>
          <w:szCs w:val="20"/>
          <w:lang w:val="pt-BR"/>
        </w:rPr>
        <w:t>transmitidas</w:t>
      </w:r>
      <w:r w:rsidR="00F53BDD" w:rsidRPr="005D6E61">
        <w:rPr>
          <w:rFonts w:ascii="Cambria" w:eastAsia="Calibri" w:hAnsi="Cambria"/>
          <w:sz w:val="20"/>
          <w:szCs w:val="20"/>
          <w:lang w:val="pt-BR"/>
        </w:rPr>
        <w:t xml:space="preserve"> entre</w:t>
      </w:r>
      <w:r w:rsidRPr="005D6E61">
        <w:rPr>
          <w:rFonts w:ascii="Cambria" w:eastAsia="Calibri" w:hAnsi="Cambria"/>
          <w:sz w:val="20"/>
          <w:szCs w:val="20"/>
          <w:lang w:val="pt-BR"/>
        </w:rPr>
        <w:t xml:space="preserve"> as </w:t>
      </w:r>
      <w:r w:rsidR="00F53BDD" w:rsidRPr="005D6E61">
        <w:rPr>
          <w:rFonts w:ascii="Cambria" w:eastAsia="Calibri" w:hAnsi="Cambria"/>
          <w:sz w:val="20"/>
          <w:szCs w:val="20"/>
          <w:lang w:val="pt-BR"/>
        </w:rPr>
        <w:t xml:space="preserve">partes. </w:t>
      </w:r>
    </w:p>
    <w:p w14:paraId="30C300E6" w14:textId="77777777" w:rsidR="006310B6" w:rsidRPr="005D6E61" w:rsidRDefault="006310B6" w:rsidP="00F53BDD">
      <w:pPr>
        <w:rPr>
          <w:rFonts w:eastAsia="Calibri"/>
          <w:sz w:val="20"/>
          <w:szCs w:val="20"/>
          <w:lang w:val="pt-BR"/>
        </w:rPr>
      </w:pPr>
    </w:p>
    <w:p w14:paraId="44065391" w14:textId="77777777" w:rsidR="00315C45" w:rsidRPr="005D6E61" w:rsidRDefault="00EB52A1"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Calibri" w:hAnsi="Cambria"/>
          <w:sz w:val="20"/>
          <w:szCs w:val="20"/>
          <w:lang w:val="pt-BR"/>
        </w:rPr>
      </w:pPr>
      <w:r w:rsidRPr="005D6E61">
        <w:rPr>
          <w:rFonts w:ascii="Cambria" w:eastAsia="Calibri" w:hAnsi="Cambria"/>
          <w:sz w:val="20"/>
          <w:szCs w:val="20"/>
          <w:lang w:val="pt-BR"/>
        </w:rPr>
        <w:t>O</w:t>
      </w:r>
      <w:r w:rsidR="00315C45" w:rsidRPr="005D6E61">
        <w:rPr>
          <w:rFonts w:ascii="Cambria" w:eastAsia="Calibri" w:hAnsi="Cambria"/>
          <w:sz w:val="20"/>
          <w:szCs w:val="20"/>
          <w:lang w:val="pt-BR"/>
        </w:rPr>
        <w:t xml:space="preserve">s </w:t>
      </w:r>
      <w:r w:rsidR="00CD523F" w:rsidRPr="005D6E61">
        <w:rPr>
          <w:rFonts w:ascii="Cambria" w:eastAsia="Calibri" w:hAnsi="Cambria"/>
          <w:sz w:val="20"/>
          <w:szCs w:val="20"/>
          <w:lang w:val="pt-BR"/>
        </w:rPr>
        <w:t>peticionário</w:t>
      </w:r>
      <w:r w:rsidR="00315C45" w:rsidRPr="005D6E61">
        <w:rPr>
          <w:rFonts w:ascii="Cambria" w:eastAsia="Calibri" w:hAnsi="Cambria"/>
          <w:sz w:val="20"/>
          <w:szCs w:val="20"/>
          <w:lang w:val="pt-BR"/>
        </w:rPr>
        <w:t xml:space="preserve">s </w:t>
      </w:r>
      <w:r w:rsidR="006C535C" w:rsidRPr="005D6E61">
        <w:rPr>
          <w:rFonts w:ascii="Cambria" w:eastAsia="Calibri" w:hAnsi="Cambria"/>
          <w:sz w:val="20"/>
          <w:szCs w:val="20"/>
          <w:lang w:val="pt-BR"/>
        </w:rPr>
        <w:t>denunciaram</w:t>
      </w:r>
      <w:r w:rsidR="00331E62" w:rsidRPr="005D6E61">
        <w:rPr>
          <w:rFonts w:ascii="Cambria" w:eastAsia="Calibri" w:hAnsi="Cambria"/>
          <w:sz w:val="20"/>
          <w:szCs w:val="20"/>
          <w:lang w:val="pt-BR"/>
        </w:rPr>
        <w:t xml:space="preserve"> o </w:t>
      </w:r>
      <w:r w:rsidR="00315C45" w:rsidRPr="005D6E61">
        <w:rPr>
          <w:rFonts w:ascii="Cambria" w:eastAsia="Calibri" w:hAnsi="Cambria"/>
          <w:sz w:val="20"/>
          <w:szCs w:val="20"/>
          <w:lang w:val="pt-BR"/>
        </w:rPr>
        <w:t>as</w:t>
      </w:r>
      <w:r w:rsidRPr="005D6E61">
        <w:rPr>
          <w:rFonts w:ascii="Cambria" w:eastAsia="Calibri" w:hAnsi="Cambria"/>
          <w:sz w:val="20"/>
          <w:szCs w:val="20"/>
          <w:lang w:val="pt-BR"/>
        </w:rPr>
        <w:t>sas</w:t>
      </w:r>
      <w:r w:rsidR="00315C45" w:rsidRPr="005D6E61">
        <w:rPr>
          <w:rFonts w:ascii="Cambria" w:eastAsia="Calibri" w:hAnsi="Cambria"/>
          <w:sz w:val="20"/>
          <w:szCs w:val="20"/>
          <w:lang w:val="pt-BR"/>
        </w:rPr>
        <w:t>sinato</w:t>
      </w:r>
      <w:r w:rsidR="00675058" w:rsidRPr="005D6E61">
        <w:rPr>
          <w:rFonts w:ascii="Cambria" w:eastAsia="Calibri" w:hAnsi="Cambria"/>
          <w:sz w:val="20"/>
          <w:szCs w:val="20"/>
          <w:lang w:val="pt-BR"/>
        </w:rPr>
        <w:t xml:space="preserve"> da </w:t>
      </w:r>
      <w:r w:rsidR="005A2381" w:rsidRPr="005D6E61">
        <w:rPr>
          <w:rFonts w:ascii="Cambria" w:eastAsia="Calibri" w:hAnsi="Cambria"/>
          <w:sz w:val="20"/>
          <w:szCs w:val="20"/>
          <w:lang w:val="pt-BR"/>
        </w:rPr>
        <w:t>suposta</w:t>
      </w:r>
      <w:r w:rsidR="00315C45" w:rsidRPr="005D6E61">
        <w:rPr>
          <w:rFonts w:ascii="Cambria" w:eastAsia="Calibri" w:hAnsi="Cambria"/>
          <w:sz w:val="20"/>
          <w:szCs w:val="20"/>
          <w:lang w:val="pt-BR"/>
        </w:rPr>
        <w:t xml:space="preserve"> </w:t>
      </w:r>
      <w:r w:rsidR="003619A0" w:rsidRPr="005D6E61">
        <w:rPr>
          <w:rFonts w:ascii="Cambria" w:eastAsia="Calibri" w:hAnsi="Cambria"/>
          <w:sz w:val="20"/>
          <w:szCs w:val="20"/>
          <w:lang w:val="pt-BR"/>
        </w:rPr>
        <w:t>vítima</w:t>
      </w:r>
      <w:r w:rsidR="007D57A8" w:rsidRPr="005D6E61">
        <w:rPr>
          <w:rFonts w:ascii="Cambria" w:eastAsia="Calibri" w:hAnsi="Cambria"/>
          <w:sz w:val="20"/>
          <w:szCs w:val="20"/>
          <w:lang w:val="pt-BR"/>
        </w:rPr>
        <w:t>, Margarida Maria Alves, qu</w:t>
      </w:r>
      <w:r w:rsidRPr="005D6E61">
        <w:rPr>
          <w:rFonts w:ascii="Cambria" w:eastAsia="Calibri" w:hAnsi="Cambria"/>
          <w:sz w:val="20"/>
          <w:szCs w:val="20"/>
          <w:lang w:val="pt-BR"/>
        </w:rPr>
        <w:t>e</w:t>
      </w:r>
      <w:r w:rsidR="0023192B" w:rsidRPr="005D6E61">
        <w:rPr>
          <w:rFonts w:ascii="Cambria" w:eastAsia="Calibri" w:hAnsi="Cambria"/>
          <w:sz w:val="20"/>
          <w:szCs w:val="20"/>
          <w:lang w:val="pt-BR"/>
        </w:rPr>
        <w:t xml:space="preserve"> e</w:t>
      </w:r>
      <w:r w:rsidRPr="005D6E61">
        <w:rPr>
          <w:rFonts w:ascii="Cambria" w:eastAsia="Calibri" w:hAnsi="Cambria"/>
          <w:sz w:val="20"/>
          <w:szCs w:val="20"/>
          <w:lang w:val="pt-BR"/>
        </w:rPr>
        <w:t>x</w:t>
      </w:r>
      <w:r w:rsidR="0023192B" w:rsidRPr="005D6E61">
        <w:rPr>
          <w:rFonts w:ascii="Cambria" w:eastAsia="Calibri" w:hAnsi="Cambria"/>
          <w:sz w:val="20"/>
          <w:szCs w:val="20"/>
          <w:lang w:val="pt-BR"/>
        </w:rPr>
        <w:t>erc</w:t>
      </w:r>
      <w:r w:rsidR="005A2381" w:rsidRPr="005D6E61">
        <w:rPr>
          <w:rFonts w:ascii="Cambria" w:eastAsia="Calibri" w:hAnsi="Cambria"/>
          <w:sz w:val="20"/>
          <w:szCs w:val="20"/>
          <w:lang w:val="pt-BR"/>
        </w:rPr>
        <w:t>ia</w:t>
      </w:r>
      <w:r w:rsidR="00331E62" w:rsidRPr="005D6E61">
        <w:rPr>
          <w:rFonts w:ascii="Cambria" w:eastAsia="Calibri" w:hAnsi="Cambria"/>
          <w:sz w:val="20"/>
          <w:szCs w:val="20"/>
          <w:lang w:val="pt-BR"/>
        </w:rPr>
        <w:t xml:space="preserve"> o </w:t>
      </w:r>
      <w:r w:rsidR="002508A0" w:rsidRPr="005D6E61">
        <w:rPr>
          <w:rFonts w:ascii="Cambria" w:eastAsia="Calibri" w:hAnsi="Cambria"/>
          <w:sz w:val="20"/>
          <w:szCs w:val="20"/>
          <w:lang w:val="pt-BR"/>
        </w:rPr>
        <w:t>cargo de Presidente</w:t>
      </w:r>
      <w:r w:rsidR="00F77B7F" w:rsidRPr="005D6E61">
        <w:rPr>
          <w:rFonts w:ascii="Cambria" w:eastAsia="Calibri" w:hAnsi="Cambria"/>
          <w:sz w:val="20"/>
          <w:szCs w:val="20"/>
          <w:lang w:val="pt-BR"/>
        </w:rPr>
        <w:t xml:space="preserve"> do </w:t>
      </w:r>
      <w:r w:rsidR="00315C45" w:rsidRPr="005D6E61">
        <w:rPr>
          <w:rFonts w:ascii="Cambria" w:eastAsia="Calibri" w:hAnsi="Cambria"/>
          <w:sz w:val="20"/>
          <w:szCs w:val="20"/>
          <w:lang w:val="pt-BR"/>
        </w:rPr>
        <w:t>Sindicato</w:t>
      </w:r>
      <w:r w:rsidR="00331E62" w:rsidRPr="005D6E61">
        <w:rPr>
          <w:rFonts w:ascii="Cambria" w:eastAsia="Calibri" w:hAnsi="Cambria"/>
          <w:sz w:val="20"/>
          <w:szCs w:val="20"/>
          <w:lang w:val="pt-BR"/>
        </w:rPr>
        <w:t xml:space="preserve"> dos </w:t>
      </w:r>
      <w:r w:rsidR="00315C45" w:rsidRPr="005D6E61">
        <w:rPr>
          <w:rFonts w:ascii="Cambria" w:eastAsia="Calibri" w:hAnsi="Cambria"/>
          <w:sz w:val="20"/>
          <w:szCs w:val="20"/>
          <w:lang w:val="pt-BR"/>
        </w:rPr>
        <w:t>Traba</w:t>
      </w:r>
      <w:r w:rsidR="002508A0" w:rsidRPr="005D6E61">
        <w:rPr>
          <w:rFonts w:ascii="Cambria" w:eastAsia="Calibri" w:hAnsi="Cambria"/>
          <w:sz w:val="20"/>
          <w:szCs w:val="20"/>
          <w:lang w:val="pt-BR"/>
        </w:rPr>
        <w:t>lh</w:t>
      </w:r>
      <w:r w:rsidR="0023192B" w:rsidRPr="005D6E61">
        <w:rPr>
          <w:rFonts w:ascii="Cambria" w:eastAsia="Calibri" w:hAnsi="Cambria"/>
          <w:sz w:val="20"/>
          <w:szCs w:val="20"/>
          <w:lang w:val="pt-BR"/>
        </w:rPr>
        <w:t>adores Rur</w:t>
      </w:r>
      <w:r w:rsidR="00331E62" w:rsidRPr="005D6E61">
        <w:rPr>
          <w:rFonts w:ascii="Cambria" w:eastAsia="Calibri" w:hAnsi="Cambria"/>
          <w:sz w:val="20"/>
          <w:szCs w:val="20"/>
          <w:lang w:val="pt-BR"/>
        </w:rPr>
        <w:t>ais</w:t>
      </w:r>
      <w:r w:rsidR="0023192B" w:rsidRPr="005D6E61">
        <w:rPr>
          <w:rFonts w:ascii="Cambria" w:eastAsia="Calibri" w:hAnsi="Cambria"/>
          <w:sz w:val="20"/>
          <w:szCs w:val="20"/>
          <w:lang w:val="pt-BR"/>
        </w:rPr>
        <w:t xml:space="preserve"> de Alagoa Grande,</w:t>
      </w:r>
      <w:r w:rsidR="00331E62" w:rsidRPr="005D6E61">
        <w:rPr>
          <w:rFonts w:ascii="Cambria" w:eastAsia="Calibri" w:hAnsi="Cambria"/>
          <w:sz w:val="20"/>
          <w:szCs w:val="20"/>
          <w:lang w:val="pt-BR"/>
        </w:rPr>
        <w:t xml:space="preserve"> no </w:t>
      </w:r>
      <w:r w:rsidR="005F10F8" w:rsidRPr="005D6E61">
        <w:rPr>
          <w:rFonts w:ascii="Cambria" w:eastAsia="Calibri" w:hAnsi="Cambria"/>
          <w:sz w:val="20"/>
          <w:szCs w:val="20"/>
          <w:lang w:val="pt-BR"/>
        </w:rPr>
        <w:t xml:space="preserve">Estado </w:t>
      </w:r>
      <w:r w:rsidR="00315C45" w:rsidRPr="005D6E61">
        <w:rPr>
          <w:rFonts w:ascii="Cambria" w:eastAsia="Calibri" w:hAnsi="Cambria"/>
          <w:sz w:val="20"/>
          <w:szCs w:val="20"/>
          <w:lang w:val="pt-BR"/>
        </w:rPr>
        <w:t>d</w:t>
      </w:r>
      <w:r w:rsidR="002508A0" w:rsidRPr="005D6E61">
        <w:rPr>
          <w:rFonts w:ascii="Cambria" w:eastAsia="Calibri" w:hAnsi="Cambria"/>
          <w:sz w:val="20"/>
          <w:szCs w:val="20"/>
          <w:lang w:val="pt-BR"/>
        </w:rPr>
        <w:t>a</w:t>
      </w:r>
      <w:r w:rsidR="00315C45" w:rsidRPr="005D6E61">
        <w:rPr>
          <w:rFonts w:ascii="Cambria" w:eastAsia="Calibri" w:hAnsi="Cambria"/>
          <w:sz w:val="20"/>
          <w:szCs w:val="20"/>
          <w:lang w:val="pt-BR"/>
        </w:rPr>
        <w:t xml:space="preserve"> Paraíba, Brasil,</w:t>
      </w:r>
      <w:r w:rsidR="00331E62" w:rsidRPr="005D6E61">
        <w:rPr>
          <w:rFonts w:ascii="Cambria" w:eastAsia="Calibri" w:hAnsi="Cambria"/>
          <w:sz w:val="20"/>
          <w:szCs w:val="20"/>
          <w:lang w:val="pt-BR"/>
        </w:rPr>
        <w:t xml:space="preserve"> </w:t>
      </w:r>
      <w:r w:rsidR="002508A0" w:rsidRPr="005D6E61">
        <w:rPr>
          <w:rFonts w:ascii="Cambria" w:eastAsia="Calibri" w:hAnsi="Cambria"/>
          <w:sz w:val="20"/>
          <w:szCs w:val="20"/>
          <w:lang w:val="pt-BR"/>
        </w:rPr>
        <w:t>em</w:t>
      </w:r>
      <w:r w:rsidR="00331E62" w:rsidRPr="005D6E61">
        <w:rPr>
          <w:rFonts w:ascii="Cambria" w:eastAsia="Calibri" w:hAnsi="Cambria"/>
          <w:sz w:val="20"/>
          <w:szCs w:val="20"/>
          <w:lang w:val="pt-BR"/>
        </w:rPr>
        <w:t xml:space="preserve"> </w:t>
      </w:r>
      <w:r w:rsidR="00E159DB" w:rsidRPr="005D6E61">
        <w:rPr>
          <w:rFonts w:ascii="Cambria" w:eastAsia="Calibri" w:hAnsi="Cambria"/>
          <w:sz w:val="20"/>
          <w:szCs w:val="20"/>
          <w:lang w:val="pt-BR"/>
        </w:rPr>
        <w:t xml:space="preserve">12 de agosto de 1983. </w:t>
      </w:r>
      <w:r w:rsidR="00315C45" w:rsidRPr="005D6E61">
        <w:rPr>
          <w:rFonts w:ascii="Cambria" w:eastAsia="Calibri" w:hAnsi="Cambria"/>
          <w:sz w:val="20"/>
          <w:szCs w:val="20"/>
          <w:lang w:val="pt-BR"/>
        </w:rPr>
        <w:t>Seg</w:t>
      </w:r>
      <w:r w:rsidRPr="005D6E61">
        <w:rPr>
          <w:rFonts w:ascii="Cambria" w:eastAsia="Calibri" w:hAnsi="Cambria"/>
          <w:sz w:val="20"/>
          <w:szCs w:val="20"/>
          <w:lang w:val="pt-BR"/>
        </w:rPr>
        <w:t>undo</w:t>
      </w:r>
      <w:r w:rsidR="00315C45" w:rsidRPr="005D6E61">
        <w:rPr>
          <w:rFonts w:ascii="Cambria" w:eastAsia="Calibri" w:hAnsi="Cambria"/>
          <w:sz w:val="20"/>
          <w:szCs w:val="20"/>
          <w:lang w:val="pt-BR"/>
        </w:rPr>
        <w:t xml:space="preserve"> afirmar</w:t>
      </w:r>
      <w:r w:rsidRPr="005D6E61">
        <w:rPr>
          <w:rFonts w:ascii="Cambria" w:eastAsia="Calibri" w:hAnsi="Cambria"/>
          <w:sz w:val="20"/>
          <w:szCs w:val="20"/>
          <w:lang w:val="pt-BR"/>
        </w:rPr>
        <w:t>am</w:t>
      </w:r>
      <w:r w:rsidR="00315C45" w:rsidRPr="005D6E61">
        <w:rPr>
          <w:rFonts w:ascii="Cambria" w:eastAsia="Calibri" w:hAnsi="Cambria"/>
          <w:sz w:val="20"/>
          <w:szCs w:val="20"/>
          <w:lang w:val="pt-BR"/>
        </w:rPr>
        <w:t>,</w:t>
      </w:r>
      <w:r w:rsidR="00331E62" w:rsidRPr="005D6E61">
        <w:rPr>
          <w:rFonts w:ascii="Cambria" w:eastAsia="Calibri" w:hAnsi="Cambria"/>
          <w:sz w:val="20"/>
          <w:szCs w:val="20"/>
          <w:lang w:val="pt-BR"/>
        </w:rPr>
        <w:t xml:space="preserve"> o </w:t>
      </w:r>
      <w:r w:rsidRPr="005D6E61">
        <w:rPr>
          <w:rFonts w:ascii="Cambria" w:eastAsia="Calibri" w:hAnsi="Cambria"/>
          <w:sz w:val="20"/>
          <w:szCs w:val="20"/>
          <w:lang w:val="pt-BR"/>
        </w:rPr>
        <w:t>crime</w:t>
      </w:r>
      <w:r w:rsidR="00315C45" w:rsidRPr="005D6E61">
        <w:rPr>
          <w:rFonts w:ascii="Cambria" w:eastAsia="Calibri" w:hAnsi="Cambria"/>
          <w:sz w:val="20"/>
          <w:szCs w:val="20"/>
          <w:lang w:val="pt-BR"/>
        </w:rPr>
        <w:t xml:space="preserve"> f</w:t>
      </w:r>
      <w:r w:rsidR="00E2527A" w:rsidRPr="005D6E61">
        <w:rPr>
          <w:rFonts w:ascii="Cambria" w:eastAsia="Calibri" w:hAnsi="Cambria"/>
          <w:sz w:val="20"/>
          <w:szCs w:val="20"/>
          <w:lang w:val="pt-BR"/>
        </w:rPr>
        <w:t>oi</w:t>
      </w:r>
      <w:r w:rsidR="00315C45" w:rsidRPr="005D6E61">
        <w:rPr>
          <w:rFonts w:ascii="Cambria" w:eastAsia="Calibri" w:hAnsi="Cambria"/>
          <w:sz w:val="20"/>
          <w:szCs w:val="20"/>
          <w:lang w:val="pt-BR"/>
        </w:rPr>
        <w:t xml:space="preserve"> motivado</w:t>
      </w:r>
      <w:r w:rsidR="003B62AF" w:rsidRPr="005D6E61">
        <w:rPr>
          <w:rFonts w:ascii="Cambria" w:eastAsia="Calibri" w:hAnsi="Cambria"/>
          <w:sz w:val="20"/>
          <w:szCs w:val="20"/>
          <w:lang w:val="pt-BR"/>
        </w:rPr>
        <w:t xml:space="preserve"> pela </w:t>
      </w:r>
      <w:r w:rsidR="00315C45" w:rsidRPr="005D6E61">
        <w:rPr>
          <w:rFonts w:ascii="Cambria" w:eastAsia="Calibri" w:hAnsi="Cambria"/>
          <w:sz w:val="20"/>
          <w:szCs w:val="20"/>
          <w:lang w:val="pt-BR"/>
        </w:rPr>
        <w:t>participa</w:t>
      </w:r>
      <w:r w:rsidR="00A274D9" w:rsidRPr="005D6E61">
        <w:rPr>
          <w:rFonts w:ascii="Cambria" w:eastAsia="Calibri" w:hAnsi="Cambria"/>
          <w:sz w:val="20"/>
          <w:szCs w:val="20"/>
          <w:lang w:val="pt-BR"/>
        </w:rPr>
        <w:t>ção</w:t>
      </w:r>
      <w:r w:rsidR="00315C45" w:rsidRPr="005D6E61">
        <w:rPr>
          <w:rFonts w:ascii="Cambria" w:eastAsia="Calibri" w:hAnsi="Cambria"/>
          <w:sz w:val="20"/>
          <w:szCs w:val="20"/>
          <w:lang w:val="pt-BR"/>
        </w:rPr>
        <w:t xml:space="preserve"> de Margarida Maria Alves</w:t>
      </w:r>
      <w:r w:rsidR="005A2381" w:rsidRPr="005D6E61">
        <w:rPr>
          <w:rFonts w:ascii="Cambria" w:eastAsia="Calibri" w:hAnsi="Cambria"/>
          <w:sz w:val="20"/>
          <w:szCs w:val="20"/>
          <w:lang w:val="pt-BR"/>
        </w:rPr>
        <w:t xml:space="preserve"> na </w:t>
      </w:r>
      <w:r w:rsidR="00315C45" w:rsidRPr="005D6E61">
        <w:rPr>
          <w:rFonts w:ascii="Cambria" w:eastAsia="Calibri" w:hAnsi="Cambria"/>
          <w:sz w:val="20"/>
          <w:szCs w:val="20"/>
          <w:lang w:val="pt-BR"/>
        </w:rPr>
        <w:t>lu</w:t>
      </w:r>
      <w:r w:rsidR="00E2527A" w:rsidRPr="005D6E61">
        <w:rPr>
          <w:rFonts w:ascii="Cambria" w:eastAsia="Calibri" w:hAnsi="Cambria"/>
          <w:sz w:val="20"/>
          <w:szCs w:val="20"/>
          <w:lang w:val="pt-BR"/>
        </w:rPr>
        <w:t>t</w:t>
      </w:r>
      <w:r w:rsidR="00315C45" w:rsidRPr="005D6E61">
        <w:rPr>
          <w:rFonts w:ascii="Cambria" w:eastAsia="Calibri" w:hAnsi="Cambria"/>
          <w:sz w:val="20"/>
          <w:szCs w:val="20"/>
          <w:lang w:val="pt-BR"/>
        </w:rPr>
        <w:t>a</w:t>
      </w:r>
      <w:r w:rsidR="002508A0" w:rsidRPr="005D6E61">
        <w:rPr>
          <w:rFonts w:ascii="Cambria" w:eastAsia="Calibri" w:hAnsi="Cambria"/>
          <w:sz w:val="20"/>
          <w:szCs w:val="20"/>
          <w:lang w:val="pt-BR"/>
        </w:rPr>
        <w:t xml:space="preserve"> pelos </w:t>
      </w:r>
      <w:r w:rsidR="00675058" w:rsidRPr="005D6E61">
        <w:rPr>
          <w:rFonts w:ascii="Cambria" w:eastAsia="Calibri" w:hAnsi="Cambria"/>
          <w:sz w:val="20"/>
          <w:szCs w:val="20"/>
          <w:lang w:val="pt-BR"/>
        </w:rPr>
        <w:t>direito</w:t>
      </w:r>
      <w:r w:rsidR="00315C45" w:rsidRPr="005D6E61">
        <w:rPr>
          <w:rFonts w:ascii="Cambria" w:eastAsia="Calibri" w:hAnsi="Cambria"/>
          <w:sz w:val="20"/>
          <w:szCs w:val="20"/>
          <w:lang w:val="pt-BR"/>
        </w:rPr>
        <w:t>s</w:t>
      </w:r>
      <w:r w:rsidR="00331E62" w:rsidRPr="005D6E61">
        <w:rPr>
          <w:rFonts w:ascii="Cambria" w:eastAsia="Calibri" w:hAnsi="Cambria"/>
          <w:sz w:val="20"/>
          <w:szCs w:val="20"/>
          <w:lang w:val="pt-BR"/>
        </w:rPr>
        <w:t xml:space="preserve"> dos </w:t>
      </w:r>
      <w:r w:rsidR="00E37676" w:rsidRPr="005D6E61">
        <w:rPr>
          <w:rFonts w:ascii="Cambria" w:eastAsia="Calibri" w:hAnsi="Cambria"/>
          <w:sz w:val="20"/>
          <w:szCs w:val="20"/>
          <w:lang w:val="pt-BR"/>
        </w:rPr>
        <w:t>trabalh</w:t>
      </w:r>
      <w:r w:rsidR="00315C45" w:rsidRPr="005D6E61">
        <w:rPr>
          <w:rFonts w:ascii="Cambria" w:eastAsia="Calibri" w:hAnsi="Cambria"/>
          <w:sz w:val="20"/>
          <w:szCs w:val="20"/>
          <w:lang w:val="pt-BR"/>
        </w:rPr>
        <w:t>adores rur</w:t>
      </w:r>
      <w:r w:rsidR="00331E62" w:rsidRPr="005D6E61">
        <w:rPr>
          <w:rFonts w:ascii="Cambria" w:eastAsia="Calibri" w:hAnsi="Cambria"/>
          <w:sz w:val="20"/>
          <w:szCs w:val="20"/>
          <w:lang w:val="pt-BR"/>
        </w:rPr>
        <w:t>ais</w:t>
      </w:r>
      <w:r w:rsidR="00675058" w:rsidRPr="005D6E61">
        <w:rPr>
          <w:rFonts w:ascii="Cambria" w:eastAsia="Calibri" w:hAnsi="Cambria"/>
          <w:sz w:val="20"/>
          <w:szCs w:val="20"/>
          <w:lang w:val="pt-BR"/>
        </w:rPr>
        <w:t xml:space="preserve"> da </w:t>
      </w:r>
      <w:r w:rsidR="00315C45" w:rsidRPr="005D6E61">
        <w:rPr>
          <w:rFonts w:ascii="Cambria" w:eastAsia="Calibri" w:hAnsi="Cambria"/>
          <w:sz w:val="20"/>
          <w:szCs w:val="20"/>
          <w:lang w:val="pt-BR"/>
        </w:rPr>
        <w:t>regi</w:t>
      </w:r>
      <w:r w:rsidRPr="005D6E61">
        <w:rPr>
          <w:rFonts w:ascii="Cambria" w:eastAsia="Calibri" w:hAnsi="Cambria"/>
          <w:sz w:val="20"/>
          <w:szCs w:val="20"/>
          <w:lang w:val="pt-BR"/>
        </w:rPr>
        <w:t>ão</w:t>
      </w:r>
      <w:r w:rsidR="00315C45" w:rsidRPr="005D6E61">
        <w:rPr>
          <w:rFonts w:ascii="Cambria" w:eastAsia="Calibri" w:hAnsi="Cambria"/>
          <w:sz w:val="20"/>
          <w:szCs w:val="20"/>
          <w:lang w:val="pt-BR"/>
        </w:rPr>
        <w:t xml:space="preserve">. </w:t>
      </w:r>
      <w:r w:rsidR="007F1826" w:rsidRPr="005D6E61">
        <w:rPr>
          <w:rFonts w:ascii="Cambria" w:eastAsia="Calibri" w:hAnsi="Cambria"/>
          <w:sz w:val="20"/>
          <w:szCs w:val="20"/>
          <w:lang w:val="pt-BR"/>
        </w:rPr>
        <w:t>Afirmar</w:t>
      </w:r>
      <w:r w:rsidRPr="005D6E61">
        <w:rPr>
          <w:rFonts w:ascii="Cambria" w:eastAsia="Calibri" w:hAnsi="Cambria"/>
          <w:sz w:val="20"/>
          <w:szCs w:val="20"/>
          <w:lang w:val="pt-BR"/>
        </w:rPr>
        <w:t>am</w:t>
      </w:r>
      <w:r w:rsidR="00315C45" w:rsidRPr="005D6E61">
        <w:rPr>
          <w:rFonts w:ascii="Cambria" w:eastAsia="Calibri" w:hAnsi="Cambria"/>
          <w:sz w:val="20"/>
          <w:szCs w:val="20"/>
          <w:lang w:val="pt-BR"/>
        </w:rPr>
        <w:t xml:space="preserve"> que </w:t>
      </w:r>
      <w:r w:rsidR="0071368B" w:rsidRPr="005D6E61">
        <w:rPr>
          <w:rFonts w:ascii="Cambria" w:eastAsia="Calibri" w:hAnsi="Cambria"/>
          <w:sz w:val="20"/>
          <w:szCs w:val="20"/>
          <w:lang w:val="pt-BR"/>
        </w:rPr>
        <w:t>h</w:t>
      </w:r>
      <w:r w:rsidR="00E2527A" w:rsidRPr="005D6E61">
        <w:rPr>
          <w:rFonts w:ascii="Cambria" w:eastAsia="Calibri" w:hAnsi="Cambria"/>
          <w:sz w:val="20"/>
          <w:szCs w:val="20"/>
          <w:lang w:val="pt-BR"/>
        </w:rPr>
        <w:t>ouve</w:t>
      </w:r>
      <w:r w:rsidR="00315C45" w:rsidRPr="005D6E61">
        <w:rPr>
          <w:rFonts w:ascii="Cambria" w:eastAsia="Calibri" w:hAnsi="Cambria"/>
          <w:sz w:val="20"/>
          <w:szCs w:val="20"/>
          <w:lang w:val="pt-BR"/>
        </w:rPr>
        <w:t xml:space="preserve"> participa</w:t>
      </w:r>
      <w:r w:rsidR="00A274D9" w:rsidRPr="005D6E61">
        <w:rPr>
          <w:rFonts w:ascii="Cambria" w:eastAsia="Calibri" w:hAnsi="Cambria"/>
          <w:sz w:val="20"/>
          <w:szCs w:val="20"/>
          <w:lang w:val="pt-BR"/>
        </w:rPr>
        <w:t>ção</w:t>
      </w:r>
      <w:r w:rsidR="00315C45" w:rsidRPr="005D6E61">
        <w:rPr>
          <w:rFonts w:ascii="Cambria" w:eastAsia="Calibri" w:hAnsi="Cambria"/>
          <w:sz w:val="20"/>
          <w:szCs w:val="20"/>
          <w:lang w:val="pt-BR"/>
        </w:rPr>
        <w:t xml:space="preserve"> direta de agentes estat</w:t>
      </w:r>
      <w:r w:rsidR="00331E62" w:rsidRPr="005D6E61">
        <w:rPr>
          <w:rFonts w:ascii="Cambria" w:eastAsia="Calibri" w:hAnsi="Cambria"/>
          <w:sz w:val="20"/>
          <w:szCs w:val="20"/>
          <w:lang w:val="pt-BR"/>
        </w:rPr>
        <w:t>ais n</w:t>
      </w:r>
      <w:r w:rsidR="00E2527A" w:rsidRPr="005D6E61">
        <w:rPr>
          <w:rFonts w:ascii="Cambria" w:eastAsia="Calibri" w:hAnsi="Cambria"/>
          <w:sz w:val="20"/>
          <w:szCs w:val="20"/>
          <w:lang w:val="pt-BR"/>
        </w:rPr>
        <w:t xml:space="preserve">a </w:t>
      </w:r>
      <w:r w:rsidR="00315C45" w:rsidRPr="005D6E61">
        <w:rPr>
          <w:rFonts w:ascii="Cambria" w:eastAsia="Calibri" w:hAnsi="Cambria"/>
          <w:sz w:val="20"/>
          <w:szCs w:val="20"/>
          <w:lang w:val="pt-BR"/>
        </w:rPr>
        <w:t>su</w:t>
      </w:r>
      <w:r w:rsidR="00E2527A" w:rsidRPr="005D6E61">
        <w:rPr>
          <w:rFonts w:ascii="Cambria" w:eastAsia="Calibri" w:hAnsi="Cambria"/>
          <w:sz w:val="20"/>
          <w:szCs w:val="20"/>
          <w:lang w:val="pt-BR"/>
        </w:rPr>
        <w:t>a</w:t>
      </w:r>
      <w:r w:rsidR="00315C45" w:rsidRPr="005D6E61">
        <w:rPr>
          <w:rFonts w:ascii="Cambria" w:eastAsia="Calibri" w:hAnsi="Cambria"/>
          <w:sz w:val="20"/>
          <w:szCs w:val="20"/>
          <w:lang w:val="pt-BR"/>
        </w:rPr>
        <w:t xml:space="preserve"> </w:t>
      </w:r>
      <w:r w:rsidR="003619A0" w:rsidRPr="005D6E61">
        <w:rPr>
          <w:rFonts w:ascii="Cambria" w:eastAsia="Calibri" w:hAnsi="Cambria"/>
          <w:sz w:val="20"/>
          <w:szCs w:val="20"/>
          <w:lang w:val="pt-BR"/>
        </w:rPr>
        <w:t>morte</w:t>
      </w:r>
      <w:r w:rsidR="00243065" w:rsidRPr="005D6E61">
        <w:rPr>
          <w:rFonts w:ascii="Cambria" w:eastAsia="Calibri" w:hAnsi="Cambria"/>
          <w:sz w:val="20"/>
          <w:szCs w:val="20"/>
          <w:lang w:val="pt-BR"/>
        </w:rPr>
        <w:t xml:space="preserve">. </w:t>
      </w:r>
      <w:r w:rsidR="00E2527A" w:rsidRPr="005D6E61">
        <w:rPr>
          <w:rFonts w:ascii="Cambria" w:eastAsia="Calibri" w:hAnsi="Cambria"/>
          <w:sz w:val="20"/>
          <w:szCs w:val="20"/>
          <w:lang w:val="pt-BR"/>
        </w:rPr>
        <w:t>Indicaram</w:t>
      </w:r>
      <w:r w:rsidR="00243065" w:rsidRPr="005D6E61">
        <w:rPr>
          <w:rFonts w:ascii="Cambria" w:eastAsia="Calibri" w:hAnsi="Cambria"/>
          <w:sz w:val="20"/>
          <w:szCs w:val="20"/>
          <w:lang w:val="pt-BR"/>
        </w:rPr>
        <w:t xml:space="preserve"> </w:t>
      </w:r>
      <w:r w:rsidR="00315C45" w:rsidRPr="005D6E61">
        <w:rPr>
          <w:rFonts w:ascii="Cambria" w:eastAsia="Calibri" w:hAnsi="Cambria"/>
          <w:sz w:val="20"/>
          <w:szCs w:val="20"/>
          <w:lang w:val="pt-BR"/>
        </w:rPr>
        <w:t>que</w:t>
      </w:r>
      <w:r w:rsidR="00F77B7F" w:rsidRPr="005D6E61">
        <w:rPr>
          <w:rFonts w:ascii="Cambria" w:eastAsia="Calibri" w:hAnsi="Cambria"/>
          <w:sz w:val="20"/>
          <w:szCs w:val="20"/>
          <w:lang w:val="pt-BR"/>
        </w:rPr>
        <w:t xml:space="preserve"> os </w:t>
      </w:r>
      <w:r w:rsidR="00E2527A" w:rsidRPr="005D6E61">
        <w:rPr>
          <w:rFonts w:ascii="Cambria" w:eastAsia="Calibri" w:hAnsi="Cambria"/>
          <w:sz w:val="20"/>
          <w:szCs w:val="20"/>
          <w:lang w:val="pt-BR"/>
        </w:rPr>
        <w:t>fat</w:t>
      </w:r>
      <w:r w:rsidR="0071368B" w:rsidRPr="005D6E61">
        <w:rPr>
          <w:rFonts w:ascii="Cambria" w:eastAsia="Calibri" w:hAnsi="Cambria"/>
          <w:sz w:val="20"/>
          <w:szCs w:val="20"/>
          <w:lang w:val="pt-BR"/>
        </w:rPr>
        <w:t>os</w:t>
      </w:r>
      <w:r w:rsidRPr="005D6E61">
        <w:rPr>
          <w:rFonts w:ascii="Cambria" w:eastAsia="Calibri" w:hAnsi="Cambria"/>
          <w:sz w:val="20"/>
          <w:szCs w:val="20"/>
          <w:lang w:val="pt-BR"/>
        </w:rPr>
        <w:t xml:space="preserve"> permanecem</w:t>
      </w:r>
      <w:r w:rsidR="005A2381" w:rsidRPr="005D6E61">
        <w:rPr>
          <w:rFonts w:ascii="Cambria" w:eastAsia="Calibri" w:hAnsi="Cambria"/>
          <w:sz w:val="20"/>
          <w:szCs w:val="20"/>
          <w:lang w:val="pt-BR"/>
        </w:rPr>
        <w:t xml:space="preserve"> na </w:t>
      </w:r>
      <w:r w:rsidR="00315C45" w:rsidRPr="005D6E61">
        <w:rPr>
          <w:rFonts w:ascii="Cambria" w:eastAsia="Calibri" w:hAnsi="Cambria"/>
          <w:sz w:val="20"/>
          <w:szCs w:val="20"/>
          <w:lang w:val="pt-BR"/>
        </w:rPr>
        <w:t>impunidad</w:t>
      </w:r>
      <w:r w:rsidRPr="005D6E61">
        <w:rPr>
          <w:rFonts w:ascii="Cambria" w:eastAsia="Calibri" w:hAnsi="Cambria"/>
          <w:sz w:val="20"/>
          <w:szCs w:val="20"/>
          <w:lang w:val="pt-BR"/>
        </w:rPr>
        <w:t>e</w:t>
      </w:r>
      <w:r w:rsidR="00315C45" w:rsidRPr="005D6E61">
        <w:rPr>
          <w:rFonts w:ascii="Cambria" w:eastAsia="Calibri" w:hAnsi="Cambria"/>
          <w:sz w:val="20"/>
          <w:szCs w:val="20"/>
          <w:lang w:val="pt-BR"/>
        </w:rPr>
        <w:t xml:space="preserve">. </w:t>
      </w:r>
    </w:p>
    <w:p w14:paraId="41C0BD9D" w14:textId="77777777" w:rsidR="00315C45" w:rsidRPr="005D6E61" w:rsidRDefault="00315C45" w:rsidP="00315C45">
      <w:pPr>
        <w:pStyle w:val="ListParagraph"/>
        <w:rPr>
          <w:rFonts w:eastAsia="Calibri"/>
          <w:sz w:val="20"/>
          <w:szCs w:val="20"/>
          <w:lang w:val="pt-BR"/>
        </w:rPr>
      </w:pPr>
    </w:p>
    <w:p w14:paraId="1A370502" w14:textId="77777777" w:rsidR="007F1826" w:rsidRPr="005D6E61" w:rsidRDefault="00331E62"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Calibri" w:hAnsi="Cambria"/>
          <w:sz w:val="20"/>
          <w:szCs w:val="20"/>
          <w:lang w:val="pt-BR"/>
        </w:rPr>
      </w:pPr>
      <w:r w:rsidRPr="005D6E61">
        <w:rPr>
          <w:rFonts w:ascii="Cambria" w:eastAsia="Calibri" w:hAnsi="Cambria"/>
          <w:sz w:val="20"/>
          <w:szCs w:val="20"/>
          <w:lang w:val="pt-BR"/>
        </w:rPr>
        <w:t xml:space="preserve"> </w:t>
      </w:r>
      <w:r w:rsidR="00E2527A" w:rsidRPr="005D6E61">
        <w:rPr>
          <w:rFonts w:ascii="Cambria" w:eastAsia="Calibri" w:hAnsi="Cambria"/>
          <w:sz w:val="20"/>
          <w:szCs w:val="20"/>
          <w:lang w:val="pt-BR"/>
        </w:rPr>
        <w:t>O</w:t>
      </w:r>
      <w:r w:rsidRPr="005D6E61">
        <w:rPr>
          <w:rFonts w:ascii="Cambria" w:eastAsia="Calibri" w:hAnsi="Cambria"/>
          <w:sz w:val="20"/>
          <w:szCs w:val="20"/>
          <w:lang w:val="pt-BR"/>
        </w:rPr>
        <w:t xml:space="preserve"> </w:t>
      </w:r>
      <w:r w:rsidR="0071368B" w:rsidRPr="005D6E61">
        <w:rPr>
          <w:rFonts w:ascii="Cambria" w:eastAsia="Calibri" w:hAnsi="Cambria"/>
          <w:sz w:val="20"/>
          <w:szCs w:val="20"/>
          <w:lang w:val="pt-BR"/>
        </w:rPr>
        <w:t>Estado argument</w:t>
      </w:r>
      <w:r w:rsidR="00E2527A" w:rsidRPr="005D6E61">
        <w:rPr>
          <w:rFonts w:ascii="Cambria" w:eastAsia="Calibri" w:hAnsi="Cambria"/>
          <w:sz w:val="20"/>
          <w:szCs w:val="20"/>
          <w:lang w:val="pt-BR"/>
        </w:rPr>
        <w:t>ou</w:t>
      </w:r>
      <w:r w:rsidR="0071368B" w:rsidRPr="005D6E61">
        <w:rPr>
          <w:rFonts w:ascii="Cambria" w:eastAsia="Calibri" w:hAnsi="Cambria"/>
          <w:sz w:val="20"/>
          <w:szCs w:val="20"/>
          <w:lang w:val="pt-BR"/>
        </w:rPr>
        <w:t xml:space="preserve"> que </w:t>
      </w:r>
      <w:r w:rsidR="00E2527A" w:rsidRPr="005D6E61">
        <w:rPr>
          <w:rFonts w:ascii="Cambria" w:eastAsia="Calibri" w:hAnsi="Cambria"/>
          <w:sz w:val="20"/>
          <w:szCs w:val="20"/>
          <w:lang w:val="pt-BR"/>
        </w:rPr>
        <w:t>está cumpr</w:t>
      </w:r>
      <w:r w:rsidR="00EB52A1" w:rsidRPr="005D6E61">
        <w:rPr>
          <w:rFonts w:ascii="Cambria" w:eastAsia="Calibri" w:hAnsi="Cambria"/>
          <w:sz w:val="20"/>
          <w:szCs w:val="20"/>
          <w:lang w:val="pt-BR"/>
        </w:rPr>
        <w:t>i</w:t>
      </w:r>
      <w:r w:rsidR="00315C45" w:rsidRPr="005D6E61">
        <w:rPr>
          <w:rFonts w:ascii="Cambria" w:eastAsia="Calibri" w:hAnsi="Cambria"/>
          <w:sz w:val="20"/>
          <w:szCs w:val="20"/>
          <w:lang w:val="pt-BR"/>
        </w:rPr>
        <w:t>ndo</w:t>
      </w:r>
      <w:r w:rsidR="00F77B7F" w:rsidRPr="005D6E61">
        <w:rPr>
          <w:rFonts w:ascii="Cambria" w:eastAsia="Calibri" w:hAnsi="Cambria"/>
          <w:sz w:val="20"/>
          <w:szCs w:val="20"/>
          <w:lang w:val="pt-BR"/>
        </w:rPr>
        <w:t xml:space="preserve"> os </w:t>
      </w:r>
      <w:r w:rsidR="005A2381" w:rsidRPr="005D6E61">
        <w:rPr>
          <w:rFonts w:ascii="Cambria" w:eastAsia="Calibri" w:hAnsi="Cambria"/>
          <w:sz w:val="20"/>
          <w:szCs w:val="20"/>
          <w:lang w:val="pt-BR"/>
        </w:rPr>
        <w:t>padr</w:t>
      </w:r>
      <w:r w:rsidR="00E2527A" w:rsidRPr="005D6E61">
        <w:rPr>
          <w:rFonts w:ascii="Cambria" w:eastAsia="Calibri" w:hAnsi="Cambria"/>
          <w:sz w:val="20"/>
          <w:szCs w:val="20"/>
          <w:lang w:val="pt-BR"/>
        </w:rPr>
        <w:t>õ</w:t>
      </w:r>
      <w:r w:rsidR="005A2381" w:rsidRPr="005D6E61">
        <w:rPr>
          <w:rFonts w:ascii="Cambria" w:eastAsia="Calibri" w:hAnsi="Cambria"/>
          <w:sz w:val="20"/>
          <w:szCs w:val="20"/>
          <w:lang w:val="pt-BR"/>
        </w:rPr>
        <w:t>es</w:t>
      </w:r>
      <w:r w:rsidR="00315C45" w:rsidRPr="005D6E61">
        <w:rPr>
          <w:rFonts w:ascii="Cambria" w:eastAsia="Calibri" w:hAnsi="Cambria"/>
          <w:sz w:val="20"/>
          <w:szCs w:val="20"/>
          <w:lang w:val="pt-BR"/>
        </w:rPr>
        <w:t xml:space="preserve"> internac</w:t>
      </w:r>
      <w:r w:rsidR="0071368B" w:rsidRPr="005D6E61">
        <w:rPr>
          <w:rFonts w:ascii="Cambria" w:eastAsia="Calibri" w:hAnsi="Cambria"/>
          <w:sz w:val="20"/>
          <w:szCs w:val="20"/>
          <w:lang w:val="pt-BR"/>
        </w:rPr>
        <w:t>ion</w:t>
      </w:r>
      <w:r w:rsidRPr="005D6E61">
        <w:rPr>
          <w:rFonts w:ascii="Cambria" w:eastAsia="Calibri" w:hAnsi="Cambria"/>
          <w:sz w:val="20"/>
          <w:szCs w:val="20"/>
          <w:lang w:val="pt-BR"/>
        </w:rPr>
        <w:t>ais</w:t>
      </w:r>
      <w:r w:rsidR="0071368B" w:rsidRPr="005D6E61">
        <w:rPr>
          <w:rFonts w:ascii="Cambria" w:eastAsia="Calibri" w:hAnsi="Cambria"/>
          <w:sz w:val="20"/>
          <w:szCs w:val="20"/>
          <w:lang w:val="pt-BR"/>
        </w:rPr>
        <w:t xml:space="preserve"> </w:t>
      </w:r>
      <w:r w:rsidR="007F1826" w:rsidRPr="005D6E61">
        <w:rPr>
          <w:rFonts w:ascii="Cambria" w:eastAsia="Calibri" w:hAnsi="Cambria"/>
          <w:sz w:val="20"/>
          <w:szCs w:val="20"/>
          <w:lang w:val="pt-BR"/>
        </w:rPr>
        <w:t xml:space="preserve">para proteger </w:t>
      </w:r>
      <w:r w:rsidR="00F77B7F" w:rsidRPr="005D6E61">
        <w:rPr>
          <w:rFonts w:ascii="Cambria" w:eastAsia="Calibri" w:hAnsi="Cambria"/>
          <w:sz w:val="20"/>
          <w:szCs w:val="20"/>
          <w:lang w:val="pt-BR"/>
        </w:rPr>
        <w:t xml:space="preserve">os </w:t>
      </w:r>
      <w:r w:rsidR="0071368B" w:rsidRPr="005D6E61">
        <w:rPr>
          <w:rFonts w:ascii="Cambria" w:eastAsia="Calibri" w:hAnsi="Cambria"/>
          <w:sz w:val="20"/>
          <w:szCs w:val="20"/>
          <w:lang w:val="pt-BR"/>
        </w:rPr>
        <w:t xml:space="preserve">defensores de </w:t>
      </w:r>
      <w:r w:rsidR="00675058" w:rsidRPr="005D6E61">
        <w:rPr>
          <w:rFonts w:ascii="Cambria" w:eastAsia="Calibri" w:hAnsi="Cambria"/>
          <w:sz w:val="20"/>
          <w:szCs w:val="20"/>
          <w:lang w:val="pt-BR"/>
        </w:rPr>
        <w:t>direito</w:t>
      </w:r>
      <w:r w:rsidR="0071368B" w:rsidRPr="005D6E61">
        <w:rPr>
          <w:rFonts w:ascii="Cambria" w:eastAsia="Calibri" w:hAnsi="Cambria"/>
          <w:sz w:val="20"/>
          <w:szCs w:val="20"/>
          <w:lang w:val="pt-BR"/>
        </w:rPr>
        <w:t>s humanos</w:t>
      </w:r>
      <w:r w:rsidR="006C5454" w:rsidRPr="005D6E61">
        <w:rPr>
          <w:rFonts w:ascii="Cambria" w:eastAsia="Calibri" w:hAnsi="Cambria"/>
          <w:sz w:val="20"/>
          <w:szCs w:val="20"/>
          <w:lang w:val="pt-BR"/>
        </w:rPr>
        <w:t xml:space="preserve"> e </w:t>
      </w:r>
      <w:r w:rsidR="0071368B" w:rsidRPr="005D6E61">
        <w:rPr>
          <w:rFonts w:ascii="Cambria" w:eastAsia="Calibri" w:hAnsi="Cambria"/>
          <w:sz w:val="20"/>
          <w:szCs w:val="20"/>
          <w:lang w:val="pt-BR"/>
        </w:rPr>
        <w:t>prevenir</w:t>
      </w:r>
      <w:r w:rsidRPr="005D6E61">
        <w:rPr>
          <w:rFonts w:ascii="Cambria" w:eastAsia="Calibri" w:hAnsi="Cambria"/>
          <w:sz w:val="20"/>
          <w:szCs w:val="20"/>
          <w:lang w:val="pt-BR"/>
        </w:rPr>
        <w:t xml:space="preserve"> a </w:t>
      </w:r>
      <w:r w:rsidR="0071368B" w:rsidRPr="005D6E61">
        <w:rPr>
          <w:rFonts w:ascii="Cambria" w:eastAsia="Calibri" w:hAnsi="Cambria"/>
          <w:sz w:val="20"/>
          <w:szCs w:val="20"/>
          <w:lang w:val="pt-BR"/>
        </w:rPr>
        <w:t>viol</w:t>
      </w:r>
      <w:r w:rsidR="00E37676" w:rsidRPr="005D6E61">
        <w:rPr>
          <w:rFonts w:ascii="Cambria" w:eastAsia="Calibri" w:hAnsi="Cambria"/>
          <w:sz w:val="20"/>
          <w:szCs w:val="20"/>
          <w:lang w:val="pt-BR"/>
        </w:rPr>
        <w:t>ência</w:t>
      </w:r>
      <w:r w:rsidR="00EB52A1" w:rsidRPr="005D6E61">
        <w:rPr>
          <w:rFonts w:ascii="Cambria" w:eastAsia="Calibri" w:hAnsi="Cambria"/>
          <w:sz w:val="20"/>
          <w:szCs w:val="20"/>
          <w:lang w:val="pt-BR"/>
        </w:rPr>
        <w:t xml:space="preserve"> agrá</w:t>
      </w:r>
      <w:r w:rsidR="0071368B" w:rsidRPr="005D6E61">
        <w:rPr>
          <w:rFonts w:ascii="Cambria" w:eastAsia="Calibri" w:hAnsi="Cambria"/>
          <w:sz w:val="20"/>
          <w:szCs w:val="20"/>
          <w:lang w:val="pt-BR"/>
        </w:rPr>
        <w:t xml:space="preserve">ria. </w:t>
      </w:r>
      <w:r w:rsidR="007F1826" w:rsidRPr="005D6E61">
        <w:rPr>
          <w:rFonts w:ascii="Cambria" w:eastAsia="Calibri" w:hAnsi="Cambria"/>
          <w:sz w:val="20"/>
          <w:szCs w:val="20"/>
          <w:lang w:val="pt-BR"/>
        </w:rPr>
        <w:t>Indic</w:t>
      </w:r>
      <w:r w:rsidR="00E2527A" w:rsidRPr="005D6E61">
        <w:rPr>
          <w:rFonts w:ascii="Cambria" w:eastAsia="Calibri" w:hAnsi="Cambria"/>
          <w:sz w:val="20"/>
          <w:szCs w:val="20"/>
          <w:lang w:val="pt-BR"/>
        </w:rPr>
        <w:t>ou</w:t>
      </w:r>
      <w:r w:rsidR="00315C45" w:rsidRPr="005D6E61">
        <w:rPr>
          <w:rFonts w:ascii="Cambria" w:eastAsia="Calibri" w:hAnsi="Cambria"/>
          <w:sz w:val="20"/>
          <w:szCs w:val="20"/>
          <w:lang w:val="pt-BR"/>
        </w:rPr>
        <w:t xml:space="preserve"> </w:t>
      </w:r>
      <w:r w:rsidR="007F1826" w:rsidRPr="005D6E61">
        <w:rPr>
          <w:rFonts w:ascii="Cambria" w:eastAsia="Calibri" w:hAnsi="Cambria"/>
          <w:sz w:val="20"/>
          <w:szCs w:val="20"/>
          <w:lang w:val="pt-BR"/>
        </w:rPr>
        <w:t>que está</w:t>
      </w:r>
      <w:r w:rsidR="00F77B7F" w:rsidRPr="005D6E61">
        <w:rPr>
          <w:rFonts w:ascii="Cambria" w:eastAsia="Calibri" w:hAnsi="Cambria"/>
          <w:sz w:val="20"/>
          <w:szCs w:val="20"/>
          <w:lang w:val="pt-BR"/>
        </w:rPr>
        <w:t xml:space="preserve"> </w:t>
      </w:r>
      <w:r w:rsidR="007F1826" w:rsidRPr="005D6E61">
        <w:rPr>
          <w:rFonts w:ascii="Cambria" w:eastAsia="Calibri" w:hAnsi="Cambria"/>
          <w:sz w:val="20"/>
          <w:szCs w:val="20"/>
          <w:lang w:val="pt-BR"/>
        </w:rPr>
        <w:t>implementa</w:t>
      </w:r>
      <w:r w:rsidR="00EB52A1" w:rsidRPr="005D6E61">
        <w:rPr>
          <w:rFonts w:ascii="Cambria" w:eastAsia="Calibri" w:hAnsi="Cambria"/>
          <w:sz w:val="20"/>
          <w:szCs w:val="20"/>
          <w:lang w:val="pt-BR"/>
        </w:rPr>
        <w:t>nd</w:t>
      </w:r>
      <w:r w:rsidR="00A274D9" w:rsidRPr="005D6E61">
        <w:rPr>
          <w:rFonts w:ascii="Cambria" w:eastAsia="Calibri" w:hAnsi="Cambria"/>
          <w:sz w:val="20"/>
          <w:szCs w:val="20"/>
          <w:lang w:val="pt-BR"/>
        </w:rPr>
        <w:t>o</w:t>
      </w:r>
      <w:r w:rsidR="007F1826" w:rsidRPr="005D6E61">
        <w:rPr>
          <w:rFonts w:ascii="Cambria" w:eastAsia="Calibri" w:hAnsi="Cambria"/>
          <w:sz w:val="20"/>
          <w:szCs w:val="20"/>
          <w:lang w:val="pt-BR"/>
        </w:rPr>
        <w:t xml:space="preserve"> </w:t>
      </w:r>
      <w:r w:rsidR="00E2527A" w:rsidRPr="005D6E61">
        <w:rPr>
          <w:rFonts w:ascii="Cambria" w:eastAsia="Calibri" w:hAnsi="Cambria"/>
          <w:sz w:val="20"/>
          <w:szCs w:val="20"/>
          <w:lang w:val="pt-BR"/>
        </w:rPr>
        <w:t>mudanças</w:t>
      </w:r>
      <w:r w:rsidRPr="005D6E61">
        <w:rPr>
          <w:rFonts w:ascii="Cambria" w:eastAsia="Calibri" w:hAnsi="Cambria"/>
          <w:sz w:val="20"/>
          <w:szCs w:val="20"/>
          <w:lang w:val="pt-BR"/>
        </w:rPr>
        <w:t xml:space="preserve"> no </w:t>
      </w:r>
      <w:r w:rsidR="007F1826" w:rsidRPr="005D6E61">
        <w:rPr>
          <w:rFonts w:ascii="Cambria" w:eastAsia="Calibri" w:hAnsi="Cambria"/>
          <w:sz w:val="20"/>
          <w:szCs w:val="20"/>
          <w:lang w:val="pt-BR"/>
        </w:rPr>
        <w:t xml:space="preserve">que </w:t>
      </w:r>
      <w:r w:rsidR="00EB52A1" w:rsidRPr="005D6E61">
        <w:rPr>
          <w:rFonts w:ascii="Cambria" w:eastAsia="Calibri" w:hAnsi="Cambria"/>
          <w:sz w:val="20"/>
          <w:szCs w:val="20"/>
          <w:lang w:val="pt-BR"/>
        </w:rPr>
        <w:t>se refere à</w:t>
      </w:r>
      <w:r w:rsidR="007F1826" w:rsidRPr="005D6E61">
        <w:rPr>
          <w:rFonts w:ascii="Cambria" w:eastAsia="Calibri" w:hAnsi="Cambria"/>
          <w:sz w:val="20"/>
          <w:szCs w:val="20"/>
          <w:lang w:val="pt-BR"/>
        </w:rPr>
        <w:t xml:space="preserve"> </w:t>
      </w:r>
      <w:r w:rsidR="005A2381" w:rsidRPr="005D6E61">
        <w:rPr>
          <w:rFonts w:ascii="Cambria" w:eastAsia="Calibri" w:hAnsi="Cambria"/>
          <w:sz w:val="20"/>
          <w:szCs w:val="20"/>
          <w:lang w:val="pt-BR"/>
        </w:rPr>
        <w:t>segurança</w:t>
      </w:r>
      <w:r w:rsidR="007F1826" w:rsidRPr="005D6E61">
        <w:rPr>
          <w:rFonts w:ascii="Cambria" w:eastAsia="Calibri" w:hAnsi="Cambria"/>
          <w:sz w:val="20"/>
          <w:szCs w:val="20"/>
          <w:lang w:val="pt-BR"/>
        </w:rPr>
        <w:t xml:space="preserve"> pública</w:t>
      </w:r>
      <w:r w:rsidR="00E2527A" w:rsidRPr="005D6E61">
        <w:rPr>
          <w:rFonts w:ascii="Cambria" w:eastAsia="Calibri" w:hAnsi="Cambria"/>
          <w:sz w:val="20"/>
          <w:szCs w:val="20"/>
          <w:lang w:val="pt-BR"/>
        </w:rPr>
        <w:t>,</w:t>
      </w:r>
      <w:r w:rsidR="007F1826" w:rsidRPr="005D6E61">
        <w:rPr>
          <w:rFonts w:ascii="Cambria" w:eastAsia="Calibri" w:hAnsi="Cambria"/>
          <w:sz w:val="20"/>
          <w:szCs w:val="20"/>
          <w:lang w:val="pt-BR"/>
        </w:rPr>
        <w:t xml:space="preserve"> </w:t>
      </w:r>
      <w:r w:rsidR="00D27A6E" w:rsidRPr="005D6E61">
        <w:rPr>
          <w:rFonts w:ascii="Cambria" w:eastAsia="Calibri" w:hAnsi="Cambria"/>
          <w:sz w:val="20"/>
          <w:szCs w:val="20"/>
          <w:lang w:val="pt-BR"/>
        </w:rPr>
        <w:t>bem</w:t>
      </w:r>
      <w:r w:rsidR="007F1826" w:rsidRPr="005D6E61">
        <w:rPr>
          <w:rFonts w:ascii="Cambria" w:eastAsia="Calibri" w:hAnsi="Cambria"/>
          <w:sz w:val="20"/>
          <w:szCs w:val="20"/>
          <w:lang w:val="pt-BR"/>
        </w:rPr>
        <w:t xml:space="preserve"> como</w:t>
      </w:r>
      <w:r w:rsidR="00CD523F" w:rsidRPr="005D6E61">
        <w:rPr>
          <w:rFonts w:ascii="Cambria" w:eastAsia="Calibri" w:hAnsi="Cambria"/>
          <w:sz w:val="20"/>
          <w:szCs w:val="20"/>
          <w:lang w:val="pt-BR"/>
        </w:rPr>
        <w:t xml:space="preserve"> ao </w:t>
      </w:r>
      <w:r w:rsidR="007F1826" w:rsidRPr="005D6E61">
        <w:rPr>
          <w:rFonts w:ascii="Cambria" w:eastAsia="Calibri" w:hAnsi="Cambria"/>
          <w:sz w:val="20"/>
          <w:szCs w:val="20"/>
          <w:lang w:val="pt-BR"/>
        </w:rPr>
        <w:t>poder judici</w:t>
      </w:r>
      <w:r w:rsidR="00EB52A1" w:rsidRPr="005D6E61">
        <w:rPr>
          <w:rFonts w:ascii="Cambria" w:eastAsia="Calibri" w:hAnsi="Cambria"/>
          <w:sz w:val="20"/>
          <w:szCs w:val="20"/>
          <w:lang w:val="pt-BR"/>
        </w:rPr>
        <w:t xml:space="preserve">ário do </w:t>
      </w:r>
      <w:r w:rsidR="00AB6D06" w:rsidRPr="005D6E61">
        <w:rPr>
          <w:rFonts w:ascii="Cambria" w:eastAsia="Calibri" w:hAnsi="Cambria"/>
          <w:sz w:val="20"/>
          <w:szCs w:val="20"/>
          <w:lang w:val="pt-BR"/>
        </w:rPr>
        <w:t>Estado</w:t>
      </w:r>
      <w:r w:rsidR="007F22A8" w:rsidRPr="005D6E61">
        <w:rPr>
          <w:rFonts w:ascii="Cambria" w:eastAsia="Calibri" w:hAnsi="Cambria"/>
          <w:sz w:val="20"/>
          <w:szCs w:val="20"/>
          <w:lang w:val="pt-BR"/>
        </w:rPr>
        <w:t xml:space="preserve"> onde oc</w:t>
      </w:r>
      <w:r w:rsidR="00EB52A1" w:rsidRPr="005D6E61">
        <w:rPr>
          <w:rFonts w:ascii="Cambria" w:eastAsia="Calibri" w:hAnsi="Cambria"/>
          <w:sz w:val="20"/>
          <w:szCs w:val="20"/>
          <w:lang w:val="pt-BR"/>
        </w:rPr>
        <w:t>o</w:t>
      </w:r>
      <w:r w:rsidR="007F22A8" w:rsidRPr="005D6E61">
        <w:rPr>
          <w:rFonts w:ascii="Cambria" w:eastAsia="Calibri" w:hAnsi="Cambria"/>
          <w:sz w:val="20"/>
          <w:szCs w:val="20"/>
          <w:lang w:val="pt-BR"/>
        </w:rPr>
        <w:t>rrer</w:t>
      </w:r>
      <w:r w:rsidR="00EB52A1" w:rsidRPr="005D6E61">
        <w:rPr>
          <w:rFonts w:ascii="Cambria" w:eastAsia="Calibri" w:hAnsi="Cambria"/>
          <w:sz w:val="20"/>
          <w:szCs w:val="20"/>
          <w:lang w:val="pt-BR"/>
        </w:rPr>
        <w:t>am</w:t>
      </w:r>
      <w:r w:rsidR="00F77B7F" w:rsidRPr="005D6E61">
        <w:rPr>
          <w:rFonts w:ascii="Cambria" w:eastAsia="Calibri" w:hAnsi="Cambria"/>
          <w:sz w:val="20"/>
          <w:szCs w:val="20"/>
          <w:lang w:val="pt-BR"/>
        </w:rPr>
        <w:t xml:space="preserve"> os </w:t>
      </w:r>
      <w:r w:rsidR="00D27A6E" w:rsidRPr="005D6E61">
        <w:rPr>
          <w:rFonts w:ascii="Cambria" w:eastAsia="Calibri" w:hAnsi="Cambria"/>
          <w:sz w:val="20"/>
          <w:szCs w:val="20"/>
          <w:lang w:val="pt-BR"/>
        </w:rPr>
        <w:t>fat</w:t>
      </w:r>
      <w:r w:rsidR="007F22A8" w:rsidRPr="005D6E61">
        <w:rPr>
          <w:rFonts w:ascii="Cambria" w:eastAsia="Calibri" w:hAnsi="Cambria"/>
          <w:sz w:val="20"/>
          <w:szCs w:val="20"/>
          <w:lang w:val="pt-BR"/>
        </w:rPr>
        <w:t xml:space="preserve">os. </w:t>
      </w:r>
      <w:r w:rsidR="007F1826" w:rsidRPr="005D6E61">
        <w:rPr>
          <w:rFonts w:ascii="Cambria" w:eastAsia="Calibri" w:hAnsi="Cambria"/>
          <w:sz w:val="20"/>
          <w:szCs w:val="20"/>
          <w:lang w:val="pt-BR"/>
        </w:rPr>
        <w:t>A</w:t>
      </w:r>
      <w:r w:rsidR="00D27A6E" w:rsidRPr="005D6E61">
        <w:rPr>
          <w:rFonts w:ascii="Cambria" w:eastAsia="Calibri" w:hAnsi="Cambria"/>
          <w:sz w:val="20"/>
          <w:szCs w:val="20"/>
          <w:lang w:val="pt-BR"/>
        </w:rPr>
        <w:t>crescentou</w:t>
      </w:r>
      <w:r w:rsidR="007F1826" w:rsidRPr="005D6E61">
        <w:rPr>
          <w:rFonts w:ascii="Cambria" w:eastAsia="Calibri" w:hAnsi="Cambria"/>
          <w:sz w:val="20"/>
          <w:szCs w:val="20"/>
          <w:lang w:val="pt-BR"/>
        </w:rPr>
        <w:t xml:space="preserve"> que promov</w:t>
      </w:r>
      <w:r w:rsidR="00D27A6E" w:rsidRPr="005D6E61">
        <w:rPr>
          <w:rFonts w:ascii="Cambria" w:eastAsia="Calibri" w:hAnsi="Cambria"/>
          <w:sz w:val="20"/>
          <w:szCs w:val="20"/>
          <w:lang w:val="pt-BR"/>
        </w:rPr>
        <w:t>eu</w:t>
      </w:r>
      <w:r w:rsidR="007F1826" w:rsidRPr="005D6E61">
        <w:rPr>
          <w:rFonts w:ascii="Cambria" w:eastAsia="Calibri" w:hAnsi="Cambria"/>
          <w:sz w:val="20"/>
          <w:szCs w:val="20"/>
          <w:lang w:val="pt-BR"/>
        </w:rPr>
        <w:t xml:space="preserve"> a</w:t>
      </w:r>
      <w:r w:rsidR="0054428F" w:rsidRPr="005D6E61">
        <w:rPr>
          <w:rFonts w:ascii="Cambria" w:eastAsia="Calibri" w:hAnsi="Cambria"/>
          <w:sz w:val="20"/>
          <w:szCs w:val="20"/>
          <w:lang w:val="pt-BR"/>
        </w:rPr>
        <w:t>ç</w:t>
      </w:r>
      <w:r w:rsidR="00F77B7F" w:rsidRPr="005D6E61">
        <w:rPr>
          <w:rFonts w:ascii="Cambria" w:eastAsia="Calibri" w:hAnsi="Cambria"/>
          <w:sz w:val="20"/>
          <w:szCs w:val="20"/>
          <w:lang w:val="pt-BR"/>
        </w:rPr>
        <w:t>ões</w:t>
      </w:r>
      <w:r w:rsidR="007F1826" w:rsidRPr="005D6E61">
        <w:rPr>
          <w:rFonts w:ascii="Cambria" w:eastAsia="Calibri" w:hAnsi="Cambria"/>
          <w:sz w:val="20"/>
          <w:szCs w:val="20"/>
          <w:lang w:val="pt-BR"/>
        </w:rPr>
        <w:t xml:space="preserve"> concretas de repara</w:t>
      </w:r>
      <w:r w:rsidR="00A274D9" w:rsidRPr="005D6E61">
        <w:rPr>
          <w:rFonts w:ascii="Cambria" w:eastAsia="Calibri" w:hAnsi="Cambria"/>
          <w:sz w:val="20"/>
          <w:szCs w:val="20"/>
          <w:lang w:val="pt-BR"/>
        </w:rPr>
        <w:t>ção</w:t>
      </w:r>
      <w:r w:rsidR="007F1826" w:rsidRPr="005D6E61">
        <w:rPr>
          <w:rFonts w:ascii="Cambria" w:eastAsia="Calibri" w:hAnsi="Cambria"/>
          <w:sz w:val="20"/>
          <w:szCs w:val="20"/>
          <w:lang w:val="pt-BR"/>
        </w:rPr>
        <w:t xml:space="preserve"> a favor</w:t>
      </w:r>
      <w:r w:rsidR="00F77B7F" w:rsidRPr="005D6E61">
        <w:rPr>
          <w:rFonts w:ascii="Cambria" w:eastAsia="Calibri" w:hAnsi="Cambria"/>
          <w:sz w:val="20"/>
          <w:szCs w:val="20"/>
          <w:lang w:val="pt-BR"/>
        </w:rPr>
        <w:t xml:space="preserve"> do </w:t>
      </w:r>
      <w:r w:rsidR="00D27A6E" w:rsidRPr="005D6E61">
        <w:rPr>
          <w:rFonts w:ascii="Cambria" w:eastAsia="Calibri" w:hAnsi="Cambria"/>
          <w:sz w:val="20"/>
          <w:szCs w:val="20"/>
          <w:lang w:val="pt-BR"/>
        </w:rPr>
        <w:t>filh</w:t>
      </w:r>
      <w:r w:rsidR="007F1826" w:rsidRPr="005D6E61">
        <w:rPr>
          <w:rFonts w:ascii="Cambria" w:eastAsia="Calibri" w:hAnsi="Cambria"/>
          <w:sz w:val="20"/>
          <w:szCs w:val="20"/>
          <w:lang w:val="pt-BR"/>
        </w:rPr>
        <w:t>o</w:t>
      </w:r>
      <w:r w:rsidR="00675058" w:rsidRPr="005D6E61">
        <w:rPr>
          <w:rFonts w:ascii="Cambria" w:eastAsia="Calibri" w:hAnsi="Cambria"/>
          <w:sz w:val="20"/>
          <w:szCs w:val="20"/>
          <w:lang w:val="pt-BR"/>
        </w:rPr>
        <w:t xml:space="preserve"> da </w:t>
      </w:r>
      <w:r w:rsidR="005A2381" w:rsidRPr="005D6E61">
        <w:rPr>
          <w:rFonts w:ascii="Cambria" w:eastAsia="Calibri" w:hAnsi="Cambria"/>
          <w:sz w:val="20"/>
          <w:szCs w:val="20"/>
          <w:lang w:val="pt-BR"/>
        </w:rPr>
        <w:t>suposta</w:t>
      </w:r>
      <w:r w:rsidR="007F1826" w:rsidRPr="005D6E61">
        <w:rPr>
          <w:rFonts w:ascii="Cambria" w:eastAsia="Calibri" w:hAnsi="Cambria"/>
          <w:sz w:val="20"/>
          <w:szCs w:val="20"/>
          <w:lang w:val="pt-BR"/>
        </w:rPr>
        <w:t xml:space="preserve"> </w:t>
      </w:r>
      <w:r w:rsidR="003619A0" w:rsidRPr="005D6E61">
        <w:rPr>
          <w:rFonts w:ascii="Cambria" w:eastAsia="Calibri" w:hAnsi="Cambria"/>
          <w:sz w:val="20"/>
          <w:szCs w:val="20"/>
          <w:lang w:val="pt-BR"/>
        </w:rPr>
        <w:t>vítima</w:t>
      </w:r>
      <w:r w:rsidR="006C5454" w:rsidRPr="005D6E61">
        <w:rPr>
          <w:rFonts w:ascii="Cambria" w:eastAsia="Calibri" w:hAnsi="Cambria"/>
          <w:sz w:val="20"/>
          <w:szCs w:val="20"/>
          <w:lang w:val="pt-BR"/>
        </w:rPr>
        <w:t xml:space="preserve"> e </w:t>
      </w:r>
      <w:r w:rsidR="007F1826" w:rsidRPr="005D6E61">
        <w:rPr>
          <w:rFonts w:ascii="Cambria" w:eastAsia="Calibri" w:hAnsi="Cambria"/>
          <w:sz w:val="20"/>
          <w:szCs w:val="20"/>
          <w:lang w:val="pt-BR"/>
        </w:rPr>
        <w:t>de repara</w:t>
      </w:r>
      <w:r w:rsidR="00A274D9" w:rsidRPr="005D6E61">
        <w:rPr>
          <w:rFonts w:ascii="Cambria" w:eastAsia="Calibri" w:hAnsi="Cambria"/>
          <w:sz w:val="20"/>
          <w:szCs w:val="20"/>
          <w:lang w:val="pt-BR"/>
        </w:rPr>
        <w:t>ção</w:t>
      </w:r>
      <w:r w:rsidR="007F1826" w:rsidRPr="005D6E61">
        <w:rPr>
          <w:rFonts w:ascii="Cambria" w:eastAsia="Calibri" w:hAnsi="Cambria"/>
          <w:sz w:val="20"/>
          <w:szCs w:val="20"/>
          <w:lang w:val="pt-BR"/>
        </w:rPr>
        <w:t xml:space="preserve"> simbólica para</w:t>
      </w:r>
      <w:r w:rsidRPr="005D6E61">
        <w:rPr>
          <w:rFonts w:ascii="Cambria" w:eastAsia="Calibri" w:hAnsi="Cambria"/>
          <w:sz w:val="20"/>
          <w:szCs w:val="20"/>
          <w:lang w:val="pt-BR"/>
        </w:rPr>
        <w:t xml:space="preserve"> a </w:t>
      </w:r>
      <w:r w:rsidR="007F1826" w:rsidRPr="005D6E61">
        <w:rPr>
          <w:rFonts w:ascii="Cambria" w:eastAsia="Calibri" w:hAnsi="Cambria"/>
          <w:sz w:val="20"/>
          <w:szCs w:val="20"/>
          <w:lang w:val="pt-BR"/>
        </w:rPr>
        <w:t>mem</w:t>
      </w:r>
      <w:r w:rsidR="00EB52A1" w:rsidRPr="005D6E61">
        <w:rPr>
          <w:rFonts w:ascii="Cambria" w:eastAsia="Calibri" w:hAnsi="Cambria"/>
          <w:sz w:val="20"/>
          <w:szCs w:val="20"/>
          <w:lang w:val="pt-BR"/>
        </w:rPr>
        <w:t>ó</w:t>
      </w:r>
      <w:r w:rsidR="007F1826" w:rsidRPr="005D6E61">
        <w:rPr>
          <w:rFonts w:ascii="Cambria" w:eastAsia="Calibri" w:hAnsi="Cambria"/>
          <w:sz w:val="20"/>
          <w:szCs w:val="20"/>
          <w:lang w:val="pt-BR"/>
        </w:rPr>
        <w:t xml:space="preserve">ria de Margarida Maria Alves. </w:t>
      </w:r>
    </w:p>
    <w:p w14:paraId="4BC7D074" w14:textId="77777777" w:rsidR="007F1826" w:rsidRPr="005D6E61" w:rsidRDefault="007F1826" w:rsidP="007F1826">
      <w:pPr>
        <w:pStyle w:val="ListParagraph"/>
        <w:rPr>
          <w:rFonts w:eastAsia="Calibri"/>
          <w:sz w:val="20"/>
          <w:szCs w:val="20"/>
          <w:lang w:val="pt-BR"/>
        </w:rPr>
      </w:pPr>
    </w:p>
    <w:p w14:paraId="4B94CADB" w14:textId="77777777" w:rsidR="001C61B2" w:rsidRPr="005D6E61" w:rsidRDefault="00EB52A1"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Calibri" w:hAnsi="Cambria"/>
          <w:sz w:val="20"/>
          <w:szCs w:val="20"/>
          <w:lang w:val="pt-BR"/>
        </w:rPr>
      </w:pPr>
      <w:r w:rsidRPr="005D6E61">
        <w:rPr>
          <w:rFonts w:ascii="Cambria" w:eastAsia="Calibri" w:hAnsi="Cambria"/>
          <w:sz w:val="20"/>
          <w:szCs w:val="20"/>
          <w:lang w:val="pt-BR"/>
        </w:rPr>
        <w:t>Com</w:t>
      </w:r>
      <w:r w:rsidR="00F53BDD" w:rsidRPr="005D6E61">
        <w:rPr>
          <w:rFonts w:ascii="Cambria" w:eastAsia="Calibri" w:hAnsi="Cambria"/>
          <w:sz w:val="20"/>
          <w:szCs w:val="20"/>
          <w:lang w:val="pt-BR"/>
        </w:rPr>
        <w:t xml:space="preserve"> base</w:t>
      </w:r>
      <w:r w:rsidR="00331E62" w:rsidRPr="005D6E61">
        <w:rPr>
          <w:rFonts w:ascii="Cambria" w:eastAsia="Calibri" w:hAnsi="Cambria"/>
          <w:sz w:val="20"/>
          <w:szCs w:val="20"/>
          <w:lang w:val="pt-BR"/>
        </w:rPr>
        <w:t xml:space="preserve"> nas </w:t>
      </w:r>
      <w:r w:rsidR="00F53BDD" w:rsidRPr="005D6E61">
        <w:rPr>
          <w:rFonts w:ascii="Cambria" w:eastAsia="Calibri" w:hAnsi="Cambria"/>
          <w:sz w:val="20"/>
          <w:szCs w:val="20"/>
          <w:lang w:val="pt-BR"/>
        </w:rPr>
        <w:t>determina</w:t>
      </w:r>
      <w:r w:rsidR="00F77B7F" w:rsidRPr="005D6E61">
        <w:rPr>
          <w:rFonts w:ascii="Cambria" w:eastAsia="Calibri" w:hAnsi="Cambria"/>
          <w:sz w:val="20"/>
          <w:szCs w:val="20"/>
          <w:lang w:val="pt-BR"/>
        </w:rPr>
        <w:t>ções</w:t>
      </w:r>
      <w:r w:rsidR="00F53BDD" w:rsidRPr="005D6E61">
        <w:rPr>
          <w:rFonts w:ascii="Cambria" w:eastAsia="Calibri" w:hAnsi="Cambria"/>
          <w:sz w:val="20"/>
          <w:szCs w:val="20"/>
          <w:lang w:val="pt-BR"/>
        </w:rPr>
        <w:t xml:space="preserve"> de </w:t>
      </w:r>
      <w:r w:rsidR="00D27A6E" w:rsidRPr="005D6E61">
        <w:rPr>
          <w:rFonts w:ascii="Cambria" w:eastAsia="Calibri" w:hAnsi="Cambria"/>
          <w:sz w:val="20"/>
          <w:szCs w:val="20"/>
          <w:lang w:val="pt-BR"/>
        </w:rPr>
        <w:t>fat</w:t>
      </w:r>
      <w:r w:rsidR="00F53BDD" w:rsidRPr="005D6E61">
        <w:rPr>
          <w:rFonts w:ascii="Cambria" w:eastAsia="Calibri" w:hAnsi="Cambria"/>
          <w:sz w:val="20"/>
          <w:szCs w:val="20"/>
          <w:lang w:val="pt-BR"/>
        </w:rPr>
        <w:t>o</w:t>
      </w:r>
      <w:r w:rsidR="006C5454" w:rsidRPr="005D6E61">
        <w:rPr>
          <w:rFonts w:ascii="Cambria" w:eastAsia="Calibri" w:hAnsi="Cambria"/>
          <w:sz w:val="20"/>
          <w:szCs w:val="20"/>
          <w:lang w:val="pt-BR"/>
        </w:rPr>
        <w:t xml:space="preserve"> e </w:t>
      </w:r>
      <w:r w:rsidR="00F53BDD" w:rsidRPr="005D6E61">
        <w:rPr>
          <w:rFonts w:ascii="Cambria" w:eastAsia="Calibri" w:hAnsi="Cambria"/>
          <w:sz w:val="20"/>
          <w:szCs w:val="20"/>
          <w:lang w:val="pt-BR"/>
        </w:rPr>
        <w:t xml:space="preserve">de </w:t>
      </w:r>
      <w:r w:rsidR="00675058" w:rsidRPr="005D6E61">
        <w:rPr>
          <w:rFonts w:ascii="Cambria" w:eastAsia="Calibri" w:hAnsi="Cambria"/>
          <w:sz w:val="20"/>
          <w:szCs w:val="20"/>
          <w:lang w:val="pt-BR"/>
        </w:rPr>
        <w:t>direito</w:t>
      </w:r>
      <w:r w:rsidR="00F53BDD" w:rsidRPr="005D6E61">
        <w:rPr>
          <w:rFonts w:ascii="Cambria" w:eastAsia="Calibri" w:hAnsi="Cambria"/>
          <w:sz w:val="20"/>
          <w:szCs w:val="20"/>
          <w:lang w:val="pt-BR"/>
        </w:rPr>
        <w:t>,</w:t>
      </w:r>
      <w:r w:rsidR="00331E62" w:rsidRPr="005D6E61">
        <w:rPr>
          <w:rFonts w:ascii="Cambria" w:eastAsia="Calibri" w:hAnsi="Cambria"/>
          <w:sz w:val="20"/>
          <w:szCs w:val="20"/>
          <w:lang w:val="pt-BR"/>
        </w:rPr>
        <w:t xml:space="preserve"> a </w:t>
      </w:r>
      <w:r w:rsidR="006C5454" w:rsidRPr="005D6E61">
        <w:rPr>
          <w:rFonts w:ascii="Cambria" w:eastAsia="Calibri" w:hAnsi="Cambria"/>
          <w:sz w:val="20"/>
          <w:szCs w:val="20"/>
          <w:lang w:val="pt-BR"/>
        </w:rPr>
        <w:t>Comissão</w:t>
      </w:r>
      <w:r w:rsidR="007F1826" w:rsidRPr="005D6E61">
        <w:rPr>
          <w:rFonts w:ascii="Cambria" w:eastAsia="Calibri" w:hAnsi="Cambria"/>
          <w:sz w:val="20"/>
          <w:szCs w:val="20"/>
          <w:lang w:val="pt-BR"/>
        </w:rPr>
        <w:t xml:space="preserve"> Interamericana conclu</w:t>
      </w:r>
      <w:r w:rsidR="00D27A6E" w:rsidRPr="005D6E61">
        <w:rPr>
          <w:rFonts w:ascii="Cambria" w:eastAsia="Calibri" w:hAnsi="Cambria"/>
          <w:sz w:val="20"/>
          <w:szCs w:val="20"/>
          <w:lang w:val="pt-BR"/>
        </w:rPr>
        <w:t>iu</w:t>
      </w:r>
      <w:r w:rsidR="007F1826" w:rsidRPr="005D6E61">
        <w:rPr>
          <w:rFonts w:ascii="Cambria" w:eastAsia="Calibri" w:hAnsi="Cambria"/>
          <w:sz w:val="20"/>
          <w:szCs w:val="20"/>
          <w:lang w:val="pt-BR"/>
        </w:rPr>
        <w:t xml:space="preserve"> que</w:t>
      </w:r>
      <w:r w:rsidR="00331E62" w:rsidRPr="005D6E61">
        <w:rPr>
          <w:rFonts w:ascii="Cambria" w:eastAsia="Calibri" w:hAnsi="Cambria"/>
          <w:sz w:val="20"/>
          <w:szCs w:val="20"/>
          <w:lang w:val="pt-BR"/>
        </w:rPr>
        <w:t xml:space="preserve"> o </w:t>
      </w:r>
      <w:r w:rsidR="007F1826" w:rsidRPr="005D6E61">
        <w:rPr>
          <w:rFonts w:ascii="Cambria" w:eastAsia="Calibri" w:hAnsi="Cambria"/>
          <w:sz w:val="20"/>
          <w:szCs w:val="20"/>
          <w:lang w:val="pt-BR"/>
        </w:rPr>
        <w:t xml:space="preserve">Estado </w:t>
      </w:r>
      <w:r w:rsidR="00D27A6E" w:rsidRPr="005D6E61">
        <w:rPr>
          <w:rFonts w:ascii="Cambria" w:eastAsia="Calibri" w:hAnsi="Cambria"/>
          <w:sz w:val="20"/>
          <w:szCs w:val="20"/>
          <w:lang w:val="pt-BR"/>
        </w:rPr>
        <w:t>brasileiro</w:t>
      </w:r>
      <w:r w:rsidR="003B62AF" w:rsidRPr="005D6E61">
        <w:rPr>
          <w:rFonts w:ascii="Cambria" w:eastAsia="Calibri" w:hAnsi="Cambria"/>
          <w:sz w:val="20"/>
          <w:szCs w:val="20"/>
          <w:lang w:val="pt-BR"/>
        </w:rPr>
        <w:t xml:space="preserve"> é </w:t>
      </w:r>
      <w:r w:rsidR="007F1826" w:rsidRPr="005D6E61">
        <w:rPr>
          <w:rFonts w:ascii="Cambria" w:eastAsia="Calibri" w:hAnsi="Cambria"/>
          <w:sz w:val="20"/>
          <w:szCs w:val="20"/>
          <w:lang w:val="pt-BR"/>
        </w:rPr>
        <w:t>respons</w:t>
      </w:r>
      <w:r w:rsidR="00FB55C7" w:rsidRPr="005D6E61">
        <w:rPr>
          <w:rFonts w:ascii="Cambria" w:eastAsia="Calibri" w:hAnsi="Cambria"/>
          <w:sz w:val="20"/>
          <w:szCs w:val="20"/>
          <w:lang w:val="pt-BR"/>
        </w:rPr>
        <w:t>ável</w:t>
      </w:r>
      <w:r w:rsidR="003B62AF" w:rsidRPr="005D6E61">
        <w:rPr>
          <w:rFonts w:ascii="Cambria" w:eastAsia="Calibri" w:hAnsi="Cambria"/>
          <w:sz w:val="20"/>
          <w:szCs w:val="20"/>
          <w:lang w:val="pt-BR"/>
        </w:rPr>
        <w:t xml:space="preserve"> pela </w:t>
      </w:r>
      <w:r w:rsidR="007F1826" w:rsidRPr="005D6E61">
        <w:rPr>
          <w:rFonts w:ascii="Cambria" w:eastAsia="Calibri" w:hAnsi="Cambria"/>
          <w:sz w:val="20"/>
          <w:szCs w:val="20"/>
          <w:lang w:val="pt-BR"/>
        </w:rPr>
        <w:t>viola</w:t>
      </w:r>
      <w:r w:rsidR="00A274D9" w:rsidRPr="005D6E61">
        <w:rPr>
          <w:rFonts w:ascii="Cambria" w:eastAsia="Calibri" w:hAnsi="Cambria"/>
          <w:sz w:val="20"/>
          <w:szCs w:val="20"/>
          <w:lang w:val="pt-BR"/>
        </w:rPr>
        <w:t>ção</w:t>
      </w:r>
      <w:r w:rsidR="00331E62" w:rsidRPr="005D6E61">
        <w:rPr>
          <w:rFonts w:ascii="Cambria" w:eastAsia="Calibri" w:hAnsi="Cambria"/>
          <w:sz w:val="20"/>
          <w:szCs w:val="20"/>
          <w:lang w:val="pt-BR"/>
        </w:rPr>
        <w:t xml:space="preserve"> dos </w:t>
      </w:r>
      <w:r w:rsidR="00675058" w:rsidRPr="005D6E61">
        <w:rPr>
          <w:rFonts w:ascii="Cambria" w:eastAsia="Calibri" w:hAnsi="Cambria"/>
          <w:sz w:val="20"/>
          <w:szCs w:val="20"/>
          <w:lang w:val="pt-BR"/>
        </w:rPr>
        <w:t>direito</w:t>
      </w:r>
      <w:r w:rsidR="007F1826" w:rsidRPr="005D6E61">
        <w:rPr>
          <w:rFonts w:ascii="Cambria" w:eastAsia="Calibri" w:hAnsi="Cambria"/>
          <w:sz w:val="20"/>
          <w:szCs w:val="20"/>
          <w:lang w:val="pt-BR"/>
        </w:rPr>
        <w:t>s consagrados</w:t>
      </w:r>
      <w:r w:rsidR="00CD523F" w:rsidRPr="005D6E61">
        <w:rPr>
          <w:rFonts w:ascii="Cambria" w:eastAsia="Calibri" w:hAnsi="Cambria"/>
          <w:sz w:val="20"/>
          <w:szCs w:val="20"/>
          <w:lang w:val="pt-BR"/>
        </w:rPr>
        <w:t xml:space="preserve"> nos artigo</w:t>
      </w:r>
      <w:r w:rsidR="007F1826" w:rsidRPr="005D6E61">
        <w:rPr>
          <w:rFonts w:ascii="Cambria" w:eastAsia="Calibri" w:hAnsi="Cambria"/>
          <w:sz w:val="20"/>
          <w:szCs w:val="20"/>
          <w:lang w:val="pt-BR"/>
        </w:rPr>
        <w:t xml:space="preserve">s </w:t>
      </w:r>
      <w:r w:rsidR="001C61B2" w:rsidRPr="005D6E61">
        <w:rPr>
          <w:rFonts w:ascii="Cambria" w:eastAsia="Calibri" w:hAnsi="Cambria"/>
          <w:sz w:val="20"/>
          <w:szCs w:val="20"/>
          <w:lang w:val="pt-BR"/>
        </w:rPr>
        <w:t>I (</w:t>
      </w:r>
      <w:r w:rsidR="00675058" w:rsidRPr="005D6E61">
        <w:rPr>
          <w:rFonts w:ascii="Cambria" w:eastAsia="Calibri" w:hAnsi="Cambria"/>
          <w:sz w:val="20"/>
          <w:szCs w:val="20"/>
          <w:lang w:val="pt-BR"/>
        </w:rPr>
        <w:t>direito</w:t>
      </w:r>
      <w:r w:rsidR="00275A65" w:rsidRPr="005D6E61">
        <w:rPr>
          <w:rFonts w:ascii="Cambria" w:eastAsia="Calibri" w:hAnsi="Cambria"/>
          <w:sz w:val="20"/>
          <w:szCs w:val="20"/>
          <w:lang w:val="pt-BR"/>
        </w:rPr>
        <w:t xml:space="preserve"> à </w:t>
      </w:r>
      <w:r w:rsidR="001C61B2" w:rsidRPr="005D6E61">
        <w:rPr>
          <w:rFonts w:ascii="Cambria" w:eastAsia="Calibri" w:hAnsi="Cambria"/>
          <w:sz w:val="20"/>
          <w:szCs w:val="20"/>
          <w:lang w:val="pt-BR"/>
        </w:rPr>
        <w:t>vida</w:t>
      </w:r>
      <w:r w:rsidR="00E159DB" w:rsidRPr="005D6E61">
        <w:rPr>
          <w:rFonts w:ascii="Cambria" w:eastAsia="Calibri" w:hAnsi="Cambria"/>
          <w:sz w:val="20"/>
          <w:szCs w:val="20"/>
          <w:lang w:val="pt-BR"/>
        </w:rPr>
        <w:t xml:space="preserve"> e integri</w:t>
      </w:r>
      <w:r w:rsidR="00FB55C7" w:rsidRPr="005D6E61">
        <w:rPr>
          <w:rFonts w:ascii="Cambria" w:eastAsia="Calibri" w:hAnsi="Cambria"/>
          <w:sz w:val="20"/>
          <w:szCs w:val="20"/>
          <w:lang w:val="pt-BR"/>
        </w:rPr>
        <w:t xml:space="preserve">dade </w:t>
      </w:r>
      <w:r w:rsidR="00E159DB" w:rsidRPr="005D6E61">
        <w:rPr>
          <w:rFonts w:ascii="Cambria" w:eastAsia="Calibri" w:hAnsi="Cambria"/>
          <w:sz w:val="20"/>
          <w:szCs w:val="20"/>
          <w:lang w:val="pt-BR"/>
        </w:rPr>
        <w:t>pe</w:t>
      </w:r>
      <w:r w:rsidR="00FB55C7" w:rsidRPr="005D6E61">
        <w:rPr>
          <w:rFonts w:ascii="Cambria" w:eastAsia="Calibri" w:hAnsi="Cambria"/>
          <w:sz w:val="20"/>
          <w:szCs w:val="20"/>
          <w:lang w:val="pt-BR"/>
        </w:rPr>
        <w:t>s</w:t>
      </w:r>
      <w:r w:rsidRPr="005D6E61">
        <w:rPr>
          <w:rFonts w:ascii="Cambria" w:eastAsia="Calibri" w:hAnsi="Cambria"/>
          <w:sz w:val="20"/>
          <w:szCs w:val="20"/>
          <w:lang w:val="pt-BR"/>
        </w:rPr>
        <w:t>so</w:t>
      </w:r>
      <w:r w:rsidR="00E159DB" w:rsidRPr="005D6E61">
        <w:rPr>
          <w:rFonts w:ascii="Cambria" w:eastAsia="Calibri" w:hAnsi="Cambria"/>
          <w:sz w:val="20"/>
          <w:szCs w:val="20"/>
          <w:lang w:val="pt-BR"/>
        </w:rPr>
        <w:t>al</w:t>
      </w:r>
      <w:r w:rsidR="001C61B2" w:rsidRPr="005D6E61">
        <w:rPr>
          <w:rFonts w:ascii="Cambria" w:eastAsia="Calibri" w:hAnsi="Cambria"/>
          <w:sz w:val="20"/>
          <w:szCs w:val="20"/>
          <w:lang w:val="pt-BR"/>
        </w:rPr>
        <w:t>)</w:t>
      </w:r>
      <w:r w:rsidR="00E159DB" w:rsidRPr="005D6E61">
        <w:rPr>
          <w:rFonts w:ascii="Cambria" w:eastAsia="Calibri" w:hAnsi="Cambria"/>
          <w:sz w:val="20"/>
          <w:szCs w:val="20"/>
          <w:lang w:val="pt-BR"/>
        </w:rPr>
        <w:t xml:space="preserve">, </w:t>
      </w:r>
      <w:r w:rsidR="00315C45" w:rsidRPr="005D6E61">
        <w:rPr>
          <w:rFonts w:ascii="Cambria" w:eastAsia="Calibri" w:hAnsi="Cambria"/>
          <w:sz w:val="20"/>
          <w:szCs w:val="20"/>
          <w:lang w:val="pt-BR"/>
        </w:rPr>
        <w:t>XVIII (</w:t>
      </w:r>
      <w:r w:rsidR="00675058" w:rsidRPr="005D6E61">
        <w:rPr>
          <w:rFonts w:ascii="Cambria" w:eastAsia="Calibri" w:hAnsi="Cambria"/>
          <w:sz w:val="20"/>
          <w:szCs w:val="20"/>
          <w:lang w:val="pt-BR"/>
        </w:rPr>
        <w:t>direito</w:t>
      </w:r>
      <w:r w:rsidR="00275A65" w:rsidRPr="005D6E61">
        <w:rPr>
          <w:rFonts w:ascii="Cambria" w:eastAsia="Calibri" w:hAnsi="Cambria"/>
          <w:sz w:val="20"/>
          <w:szCs w:val="20"/>
          <w:lang w:val="pt-BR"/>
        </w:rPr>
        <w:t xml:space="preserve"> à justiça</w:t>
      </w:r>
      <w:r w:rsidR="00315C45" w:rsidRPr="005D6E61">
        <w:rPr>
          <w:rFonts w:ascii="Cambria" w:eastAsia="Calibri" w:hAnsi="Cambria"/>
          <w:sz w:val="20"/>
          <w:szCs w:val="20"/>
          <w:lang w:val="pt-BR"/>
        </w:rPr>
        <w:t>), XXII (</w:t>
      </w:r>
      <w:r w:rsidR="00675058" w:rsidRPr="005D6E61">
        <w:rPr>
          <w:rFonts w:ascii="Cambria" w:eastAsia="Calibri" w:hAnsi="Cambria"/>
          <w:sz w:val="20"/>
          <w:szCs w:val="20"/>
          <w:lang w:val="pt-BR"/>
        </w:rPr>
        <w:t>direito</w:t>
      </w:r>
      <w:r w:rsidR="00315C45" w:rsidRPr="005D6E61">
        <w:rPr>
          <w:rFonts w:ascii="Cambria" w:eastAsia="Calibri" w:hAnsi="Cambria"/>
          <w:sz w:val="20"/>
          <w:szCs w:val="20"/>
          <w:lang w:val="pt-BR"/>
        </w:rPr>
        <w:t xml:space="preserve"> de </w:t>
      </w:r>
      <w:r w:rsidR="009C205A" w:rsidRPr="005D6E61">
        <w:rPr>
          <w:rFonts w:ascii="Cambria" w:eastAsia="Calibri" w:hAnsi="Cambria"/>
          <w:sz w:val="20"/>
          <w:szCs w:val="20"/>
          <w:lang w:val="pt-BR"/>
        </w:rPr>
        <w:t>associação</w:t>
      </w:r>
      <w:r w:rsidR="00315C45" w:rsidRPr="005D6E61">
        <w:rPr>
          <w:rFonts w:ascii="Cambria" w:eastAsia="Calibri" w:hAnsi="Cambria"/>
          <w:sz w:val="20"/>
          <w:szCs w:val="20"/>
          <w:lang w:val="pt-BR"/>
        </w:rPr>
        <w:t>)</w:t>
      </w:r>
      <w:r w:rsidR="00675058" w:rsidRPr="005D6E61">
        <w:rPr>
          <w:rFonts w:ascii="Cambria" w:eastAsia="Calibri" w:hAnsi="Cambria"/>
          <w:sz w:val="20"/>
          <w:szCs w:val="20"/>
          <w:lang w:val="pt-BR"/>
        </w:rPr>
        <w:t xml:space="preserve"> da </w:t>
      </w:r>
      <w:r w:rsidR="00315C45" w:rsidRPr="005D6E61">
        <w:rPr>
          <w:rFonts w:ascii="Cambria" w:eastAsia="Calibri" w:hAnsi="Cambria"/>
          <w:sz w:val="20"/>
          <w:szCs w:val="20"/>
          <w:lang w:val="pt-BR"/>
        </w:rPr>
        <w:t>Declara</w:t>
      </w:r>
      <w:r w:rsidR="00A274D9" w:rsidRPr="005D6E61">
        <w:rPr>
          <w:rFonts w:ascii="Cambria" w:eastAsia="Calibri" w:hAnsi="Cambria"/>
          <w:sz w:val="20"/>
          <w:szCs w:val="20"/>
          <w:lang w:val="pt-BR"/>
        </w:rPr>
        <w:t>ção</w:t>
      </w:r>
      <w:r w:rsidR="00315C45" w:rsidRPr="005D6E61">
        <w:rPr>
          <w:rFonts w:ascii="Cambria" w:eastAsia="Calibri" w:hAnsi="Cambria"/>
          <w:sz w:val="20"/>
          <w:szCs w:val="20"/>
          <w:lang w:val="pt-BR"/>
        </w:rPr>
        <w:t xml:space="preserve"> Americana</w:t>
      </w:r>
      <w:r w:rsidR="00331E62" w:rsidRPr="005D6E61">
        <w:rPr>
          <w:rFonts w:ascii="Cambria" w:eastAsia="Calibri" w:hAnsi="Cambria"/>
          <w:sz w:val="20"/>
          <w:szCs w:val="20"/>
          <w:lang w:val="pt-BR"/>
        </w:rPr>
        <w:t xml:space="preserve"> dos </w:t>
      </w:r>
      <w:r w:rsidR="00675058" w:rsidRPr="005D6E61">
        <w:rPr>
          <w:rFonts w:ascii="Cambria" w:eastAsia="Calibri" w:hAnsi="Cambria"/>
          <w:sz w:val="20"/>
          <w:szCs w:val="20"/>
          <w:lang w:val="pt-BR"/>
        </w:rPr>
        <w:t>Direito</w:t>
      </w:r>
      <w:r w:rsidR="001311DC" w:rsidRPr="005D6E61">
        <w:rPr>
          <w:rFonts w:ascii="Cambria" w:eastAsia="Calibri" w:hAnsi="Cambria"/>
          <w:sz w:val="20"/>
          <w:szCs w:val="20"/>
          <w:lang w:val="pt-BR"/>
        </w:rPr>
        <w:t>s</w:t>
      </w:r>
      <w:r w:rsidR="006C5454" w:rsidRPr="005D6E61">
        <w:rPr>
          <w:rFonts w:ascii="Cambria" w:eastAsia="Calibri" w:hAnsi="Cambria"/>
          <w:sz w:val="20"/>
          <w:szCs w:val="20"/>
          <w:lang w:val="pt-BR"/>
        </w:rPr>
        <w:t xml:space="preserve"> e </w:t>
      </w:r>
      <w:r w:rsidRPr="005D6E61">
        <w:rPr>
          <w:rFonts w:ascii="Cambria" w:eastAsia="Calibri" w:hAnsi="Cambria"/>
          <w:sz w:val="20"/>
          <w:szCs w:val="20"/>
          <w:lang w:val="pt-BR"/>
        </w:rPr>
        <w:t>Dev</w:t>
      </w:r>
      <w:r w:rsidR="001311DC" w:rsidRPr="005D6E61">
        <w:rPr>
          <w:rFonts w:ascii="Cambria" w:eastAsia="Calibri" w:hAnsi="Cambria"/>
          <w:sz w:val="20"/>
          <w:szCs w:val="20"/>
          <w:lang w:val="pt-BR"/>
        </w:rPr>
        <w:t>eres</w:t>
      </w:r>
      <w:r w:rsidR="00F77B7F" w:rsidRPr="005D6E61">
        <w:rPr>
          <w:rFonts w:ascii="Cambria" w:eastAsia="Calibri" w:hAnsi="Cambria"/>
          <w:sz w:val="20"/>
          <w:szCs w:val="20"/>
          <w:lang w:val="pt-BR"/>
        </w:rPr>
        <w:t xml:space="preserve"> do </w:t>
      </w:r>
      <w:r w:rsidR="00FB55C7" w:rsidRPr="005D6E61">
        <w:rPr>
          <w:rFonts w:ascii="Cambria" w:eastAsia="Calibri" w:hAnsi="Cambria"/>
          <w:sz w:val="20"/>
          <w:szCs w:val="20"/>
          <w:lang w:val="pt-BR"/>
        </w:rPr>
        <w:t>Homem</w:t>
      </w:r>
      <w:r w:rsidR="00026AEA" w:rsidRPr="005D6E61">
        <w:rPr>
          <w:rFonts w:ascii="Cambria" w:eastAsia="Calibri" w:hAnsi="Cambria"/>
          <w:sz w:val="20"/>
          <w:szCs w:val="20"/>
          <w:lang w:val="pt-BR"/>
        </w:rPr>
        <w:t xml:space="preserve"> (</w:t>
      </w:r>
      <w:r w:rsidR="00275A65" w:rsidRPr="005D6E61">
        <w:rPr>
          <w:rFonts w:ascii="Cambria" w:eastAsia="Calibri" w:hAnsi="Cambria"/>
          <w:sz w:val="20"/>
          <w:szCs w:val="20"/>
          <w:lang w:val="pt-BR"/>
        </w:rPr>
        <w:t>dorav</w:t>
      </w:r>
      <w:r w:rsidR="00026AEA" w:rsidRPr="005D6E61">
        <w:rPr>
          <w:rFonts w:ascii="Cambria" w:eastAsia="Calibri" w:hAnsi="Cambria"/>
          <w:sz w:val="20"/>
          <w:szCs w:val="20"/>
          <w:lang w:val="pt-BR"/>
        </w:rPr>
        <w:t>ante “Declara</w:t>
      </w:r>
      <w:r w:rsidR="00A274D9" w:rsidRPr="005D6E61">
        <w:rPr>
          <w:rFonts w:ascii="Cambria" w:eastAsia="Calibri" w:hAnsi="Cambria"/>
          <w:sz w:val="20"/>
          <w:szCs w:val="20"/>
          <w:lang w:val="pt-BR"/>
        </w:rPr>
        <w:t>ção</w:t>
      </w:r>
      <w:r w:rsidR="00026AEA" w:rsidRPr="005D6E61">
        <w:rPr>
          <w:rFonts w:ascii="Cambria" w:eastAsia="Calibri" w:hAnsi="Cambria"/>
          <w:sz w:val="20"/>
          <w:szCs w:val="20"/>
          <w:lang w:val="pt-BR"/>
        </w:rPr>
        <w:t xml:space="preserve"> Americana”)</w:t>
      </w:r>
      <w:r w:rsidR="001311DC" w:rsidRPr="005D6E61">
        <w:rPr>
          <w:rFonts w:ascii="Cambria" w:eastAsia="Calibri" w:hAnsi="Cambria"/>
          <w:sz w:val="20"/>
          <w:szCs w:val="20"/>
          <w:lang w:val="pt-BR"/>
        </w:rPr>
        <w:t xml:space="preserve">, </w:t>
      </w:r>
      <w:r w:rsidR="00E159DB" w:rsidRPr="005D6E61">
        <w:rPr>
          <w:rFonts w:ascii="Cambria" w:eastAsia="Calibri" w:hAnsi="Cambria"/>
          <w:sz w:val="20"/>
          <w:szCs w:val="20"/>
          <w:lang w:val="pt-BR"/>
        </w:rPr>
        <w:t>5 (integri</w:t>
      </w:r>
      <w:r w:rsidR="00FB55C7" w:rsidRPr="005D6E61">
        <w:rPr>
          <w:rFonts w:ascii="Cambria" w:eastAsia="Calibri" w:hAnsi="Cambria"/>
          <w:sz w:val="20"/>
          <w:szCs w:val="20"/>
          <w:lang w:val="pt-BR"/>
        </w:rPr>
        <w:t xml:space="preserve">dade </w:t>
      </w:r>
      <w:r w:rsidR="0054428F" w:rsidRPr="005D6E61">
        <w:rPr>
          <w:rFonts w:ascii="Cambria" w:eastAsia="Calibri" w:hAnsi="Cambria"/>
          <w:sz w:val="20"/>
          <w:szCs w:val="20"/>
          <w:lang w:val="pt-BR"/>
        </w:rPr>
        <w:t>pessoa</w:t>
      </w:r>
      <w:r w:rsidR="00E159DB" w:rsidRPr="005D6E61">
        <w:rPr>
          <w:rFonts w:ascii="Cambria" w:eastAsia="Calibri" w:hAnsi="Cambria"/>
          <w:sz w:val="20"/>
          <w:szCs w:val="20"/>
          <w:lang w:val="pt-BR"/>
        </w:rPr>
        <w:t xml:space="preserve">l), </w:t>
      </w:r>
      <w:r w:rsidR="00315C45" w:rsidRPr="005D6E61">
        <w:rPr>
          <w:rFonts w:ascii="Cambria" w:eastAsia="Calibri" w:hAnsi="Cambria"/>
          <w:sz w:val="20"/>
          <w:szCs w:val="20"/>
          <w:lang w:val="pt-BR"/>
        </w:rPr>
        <w:t>8</w:t>
      </w:r>
      <w:r w:rsidR="004120F0" w:rsidRPr="005D6E61">
        <w:rPr>
          <w:rFonts w:ascii="Cambria" w:eastAsia="Calibri" w:hAnsi="Cambria"/>
          <w:sz w:val="20"/>
          <w:szCs w:val="20"/>
          <w:lang w:val="pt-BR"/>
        </w:rPr>
        <w:t>.1 (garant</w:t>
      </w:r>
      <w:r w:rsidR="005A2381" w:rsidRPr="005D6E61">
        <w:rPr>
          <w:rFonts w:ascii="Cambria" w:eastAsia="Calibri" w:hAnsi="Cambria"/>
          <w:sz w:val="20"/>
          <w:szCs w:val="20"/>
          <w:lang w:val="pt-BR"/>
        </w:rPr>
        <w:t>ia</w:t>
      </w:r>
      <w:r w:rsidR="004120F0" w:rsidRPr="005D6E61">
        <w:rPr>
          <w:rFonts w:ascii="Cambria" w:eastAsia="Calibri" w:hAnsi="Cambria"/>
          <w:sz w:val="20"/>
          <w:szCs w:val="20"/>
          <w:lang w:val="pt-BR"/>
        </w:rPr>
        <w:t>s judici</w:t>
      </w:r>
      <w:r w:rsidR="00331E62" w:rsidRPr="005D6E61">
        <w:rPr>
          <w:rFonts w:ascii="Cambria" w:eastAsia="Calibri" w:hAnsi="Cambria"/>
          <w:sz w:val="20"/>
          <w:szCs w:val="20"/>
          <w:lang w:val="pt-BR"/>
        </w:rPr>
        <w:t>ais</w:t>
      </w:r>
      <w:r w:rsidR="004120F0" w:rsidRPr="005D6E61">
        <w:rPr>
          <w:rFonts w:ascii="Cambria" w:eastAsia="Calibri" w:hAnsi="Cambria"/>
          <w:sz w:val="20"/>
          <w:szCs w:val="20"/>
          <w:lang w:val="pt-BR"/>
        </w:rPr>
        <w:t>),</w:t>
      </w:r>
      <w:r w:rsidR="00E159DB" w:rsidRPr="005D6E61">
        <w:rPr>
          <w:rFonts w:ascii="Cambria" w:eastAsia="Calibri" w:hAnsi="Cambria"/>
          <w:sz w:val="20"/>
          <w:szCs w:val="20"/>
          <w:lang w:val="pt-BR"/>
        </w:rPr>
        <w:t xml:space="preserve"> </w:t>
      </w:r>
      <w:r w:rsidR="00315C45" w:rsidRPr="005D6E61">
        <w:rPr>
          <w:rFonts w:ascii="Cambria" w:eastAsia="Calibri" w:hAnsi="Cambria"/>
          <w:sz w:val="20"/>
          <w:szCs w:val="20"/>
          <w:lang w:val="pt-BR"/>
        </w:rPr>
        <w:t>25</w:t>
      </w:r>
      <w:r w:rsidR="004120F0" w:rsidRPr="005D6E61">
        <w:rPr>
          <w:rFonts w:ascii="Cambria" w:eastAsia="Calibri" w:hAnsi="Cambria"/>
          <w:sz w:val="20"/>
          <w:szCs w:val="20"/>
          <w:lang w:val="pt-BR"/>
        </w:rPr>
        <w:t>.1</w:t>
      </w:r>
      <w:r w:rsidR="00315C45" w:rsidRPr="005D6E61">
        <w:rPr>
          <w:rFonts w:ascii="Cambria" w:eastAsia="Calibri" w:hAnsi="Cambria"/>
          <w:sz w:val="20"/>
          <w:szCs w:val="20"/>
          <w:lang w:val="pt-BR"/>
        </w:rPr>
        <w:t xml:space="preserve"> (prote</w:t>
      </w:r>
      <w:r w:rsidR="00704E7B" w:rsidRPr="005D6E61">
        <w:rPr>
          <w:rFonts w:ascii="Cambria" w:eastAsia="Calibri" w:hAnsi="Cambria"/>
          <w:sz w:val="20"/>
          <w:szCs w:val="20"/>
          <w:lang w:val="pt-BR"/>
        </w:rPr>
        <w:t>ç</w:t>
      </w:r>
      <w:r w:rsidR="00A274D9" w:rsidRPr="005D6E61">
        <w:rPr>
          <w:rFonts w:ascii="Cambria" w:eastAsia="Calibri" w:hAnsi="Cambria"/>
          <w:sz w:val="20"/>
          <w:szCs w:val="20"/>
          <w:lang w:val="pt-BR"/>
        </w:rPr>
        <w:t>ão</w:t>
      </w:r>
      <w:r w:rsidR="00315C45" w:rsidRPr="005D6E61">
        <w:rPr>
          <w:rFonts w:ascii="Cambria" w:eastAsia="Calibri" w:hAnsi="Cambria"/>
          <w:sz w:val="20"/>
          <w:szCs w:val="20"/>
          <w:lang w:val="pt-BR"/>
        </w:rPr>
        <w:t xml:space="preserve"> judicial)</w:t>
      </w:r>
      <w:r w:rsidR="00675058" w:rsidRPr="005D6E61">
        <w:rPr>
          <w:rFonts w:ascii="Cambria" w:eastAsia="Calibri" w:hAnsi="Cambria"/>
          <w:sz w:val="20"/>
          <w:szCs w:val="20"/>
          <w:lang w:val="pt-BR"/>
        </w:rPr>
        <w:t xml:space="preserve"> da </w:t>
      </w:r>
      <w:r w:rsidR="00315C45" w:rsidRPr="005D6E61">
        <w:rPr>
          <w:rFonts w:ascii="Cambria" w:eastAsia="Calibri" w:hAnsi="Cambria"/>
          <w:sz w:val="20"/>
          <w:szCs w:val="20"/>
          <w:lang w:val="pt-BR"/>
        </w:rPr>
        <w:t>Conven</w:t>
      </w:r>
      <w:r w:rsidR="00A274D9" w:rsidRPr="005D6E61">
        <w:rPr>
          <w:rFonts w:ascii="Cambria" w:eastAsia="Calibri" w:hAnsi="Cambria"/>
          <w:sz w:val="20"/>
          <w:szCs w:val="20"/>
          <w:lang w:val="pt-BR"/>
        </w:rPr>
        <w:t>ção</w:t>
      </w:r>
      <w:r w:rsidR="00315C45" w:rsidRPr="005D6E61">
        <w:rPr>
          <w:rFonts w:ascii="Cambria" w:eastAsia="Calibri" w:hAnsi="Cambria"/>
          <w:sz w:val="20"/>
          <w:szCs w:val="20"/>
          <w:lang w:val="pt-BR"/>
        </w:rPr>
        <w:t xml:space="preserve"> Americana</w:t>
      </w:r>
      <w:r w:rsidR="00E159DB" w:rsidRPr="005D6E61">
        <w:rPr>
          <w:rFonts w:ascii="Cambria" w:eastAsia="Calibri" w:hAnsi="Cambria"/>
          <w:sz w:val="20"/>
          <w:szCs w:val="20"/>
          <w:lang w:val="pt-BR"/>
        </w:rPr>
        <w:t xml:space="preserve"> </w:t>
      </w:r>
      <w:r w:rsidR="00C507F5" w:rsidRPr="005D6E61">
        <w:rPr>
          <w:rFonts w:ascii="Cambria" w:eastAsia="Calibri" w:hAnsi="Cambria"/>
          <w:sz w:val="20"/>
          <w:szCs w:val="20"/>
          <w:lang w:val="pt-BR"/>
        </w:rPr>
        <w:t xml:space="preserve">sobre </w:t>
      </w:r>
      <w:r w:rsidR="00675058" w:rsidRPr="005D6E61">
        <w:rPr>
          <w:rFonts w:ascii="Cambria" w:eastAsia="Calibri" w:hAnsi="Cambria"/>
          <w:sz w:val="20"/>
          <w:szCs w:val="20"/>
          <w:lang w:val="pt-BR"/>
        </w:rPr>
        <w:t>Direito</w:t>
      </w:r>
      <w:r w:rsidR="00C507F5" w:rsidRPr="005D6E61">
        <w:rPr>
          <w:rFonts w:ascii="Cambria" w:eastAsia="Calibri" w:hAnsi="Cambria"/>
          <w:sz w:val="20"/>
          <w:szCs w:val="20"/>
          <w:lang w:val="pt-BR"/>
        </w:rPr>
        <w:t>s Humanos (</w:t>
      </w:r>
      <w:r w:rsidR="00CD523F" w:rsidRPr="005D6E61">
        <w:rPr>
          <w:rFonts w:ascii="Cambria" w:eastAsia="Calibri" w:hAnsi="Cambria"/>
          <w:sz w:val="20"/>
          <w:szCs w:val="20"/>
          <w:lang w:val="pt-BR"/>
        </w:rPr>
        <w:t>dorav</w:t>
      </w:r>
      <w:r w:rsidR="00C507F5" w:rsidRPr="005D6E61">
        <w:rPr>
          <w:rFonts w:ascii="Cambria" w:eastAsia="Calibri" w:hAnsi="Cambria"/>
          <w:sz w:val="20"/>
          <w:szCs w:val="20"/>
          <w:lang w:val="pt-BR"/>
        </w:rPr>
        <w:t>ante “Conven</w:t>
      </w:r>
      <w:r w:rsidR="00A274D9" w:rsidRPr="005D6E61">
        <w:rPr>
          <w:rFonts w:ascii="Cambria" w:eastAsia="Calibri" w:hAnsi="Cambria"/>
          <w:sz w:val="20"/>
          <w:szCs w:val="20"/>
          <w:lang w:val="pt-BR"/>
        </w:rPr>
        <w:t>ção</w:t>
      </w:r>
      <w:r w:rsidR="00C507F5" w:rsidRPr="005D6E61">
        <w:rPr>
          <w:rFonts w:ascii="Cambria" w:eastAsia="Calibri" w:hAnsi="Cambria"/>
          <w:sz w:val="20"/>
          <w:szCs w:val="20"/>
          <w:lang w:val="pt-BR"/>
        </w:rPr>
        <w:t xml:space="preserve"> Americana”)</w:t>
      </w:r>
      <w:r w:rsidR="00F77B7F" w:rsidRPr="005D6E61">
        <w:rPr>
          <w:rFonts w:ascii="Cambria" w:eastAsia="Calibri" w:hAnsi="Cambria"/>
          <w:sz w:val="20"/>
          <w:szCs w:val="20"/>
          <w:lang w:val="pt-BR"/>
        </w:rPr>
        <w:t xml:space="preserve"> </w:t>
      </w:r>
      <w:r w:rsidR="004D57F0" w:rsidRPr="005D6E61">
        <w:rPr>
          <w:rFonts w:ascii="Cambria" w:eastAsia="Calibri" w:hAnsi="Cambria"/>
          <w:sz w:val="20"/>
          <w:szCs w:val="20"/>
          <w:lang w:val="pt-BR"/>
        </w:rPr>
        <w:t>co</w:t>
      </w:r>
      <w:r w:rsidR="00F77B7F" w:rsidRPr="005D6E61">
        <w:rPr>
          <w:rFonts w:ascii="Cambria" w:eastAsia="Calibri" w:hAnsi="Cambria"/>
          <w:sz w:val="20"/>
          <w:szCs w:val="20"/>
          <w:lang w:val="pt-BR"/>
        </w:rPr>
        <w:t xml:space="preserve">m </w:t>
      </w:r>
      <w:r w:rsidR="00E159DB" w:rsidRPr="005D6E61">
        <w:rPr>
          <w:rFonts w:ascii="Cambria" w:eastAsia="Calibri" w:hAnsi="Cambria"/>
          <w:sz w:val="20"/>
          <w:szCs w:val="20"/>
          <w:lang w:val="pt-BR"/>
        </w:rPr>
        <w:t>rela</w:t>
      </w:r>
      <w:r w:rsidR="00A274D9" w:rsidRPr="005D6E61">
        <w:rPr>
          <w:rFonts w:ascii="Cambria" w:eastAsia="Calibri" w:hAnsi="Cambria"/>
          <w:sz w:val="20"/>
          <w:szCs w:val="20"/>
          <w:lang w:val="pt-BR"/>
        </w:rPr>
        <w:t>ção</w:t>
      </w:r>
      <w:r w:rsidR="00F77B7F" w:rsidRPr="005D6E61">
        <w:rPr>
          <w:rFonts w:ascii="Cambria" w:eastAsia="Calibri" w:hAnsi="Cambria"/>
          <w:sz w:val="20"/>
          <w:szCs w:val="20"/>
          <w:lang w:val="pt-BR"/>
        </w:rPr>
        <w:t xml:space="preserve"> </w:t>
      </w:r>
      <w:r w:rsidR="004D57F0" w:rsidRPr="005D6E61">
        <w:rPr>
          <w:rFonts w:ascii="Cambria" w:eastAsia="Calibri" w:hAnsi="Cambria"/>
          <w:sz w:val="20"/>
          <w:szCs w:val="20"/>
          <w:lang w:val="pt-BR"/>
        </w:rPr>
        <w:t>a</w:t>
      </w:r>
      <w:r w:rsidR="00331E62" w:rsidRPr="005D6E61">
        <w:rPr>
          <w:rFonts w:ascii="Cambria" w:eastAsia="Calibri" w:hAnsi="Cambria"/>
          <w:sz w:val="20"/>
          <w:szCs w:val="20"/>
          <w:lang w:val="pt-BR"/>
        </w:rPr>
        <w:t xml:space="preserve">o </w:t>
      </w:r>
      <w:r w:rsidR="00CD523F" w:rsidRPr="005D6E61">
        <w:rPr>
          <w:rFonts w:ascii="Cambria" w:eastAsia="Calibri" w:hAnsi="Cambria"/>
          <w:sz w:val="20"/>
          <w:szCs w:val="20"/>
          <w:lang w:val="pt-BR"/>
        </w:rPr>
        <w:t>artigo</w:t>
      </w:r>
      <w:r w:rsidR="00E159DB" w:rsidRPr="005D6E61">
        <w:rPr>
          <w:rFonts w:ascii="Cambria" w:eastAsia="Calibri" w:hAnsi="Cambria"/>
          <w:sz w:val="20"/>
          <w:szCs w:val="20"/>
          <w:lang w:val="pt-BR"/>
        </w:rPr>
        <w:t xml:space="preserve"> 1.1</w:t>
      </w:r>
      <w:r w:rsidR="00F77B7F" w:rsidRPr="005D6E61">
        <w:rPr>
          <w:rFonts w:ascii="Cambria" w:eastAsia="Calibri" w:hAnsi="Cambria"/>
          <w:sz w:val="20"/>
          <w:szCs w:val="20"/>
          <w:lang w:val="pt-BR"/>
        </w:rPr>
        <w:t xml:space="preserve"> do </w:t>
      </w:r>
      <w:r w:rsidR="00E159DB" w:rsidRPr="005D6E61">
        <w:rPr>
          <w:rFonts w:ascii="Cambria" w:eastAsia="Calibri" w:hAnsi="Cambria"/>
          <w:sz w:val="20"/>
          <w:szCs w:val="20"/>
          <w:lang w:val="pt-BR"/>
        </w:rPr>
        <w:t>m</w:t>
      </w:r>
      <w:r w:rsidRPr="005D6E61">
        <w:rPr>
          <w:rFonts w:ascii="Cambria" w:eastAsia="Calibri" w:hAnsi="Cambria"/>
          <w:sz w:val="20"/>
          <w:szCs w:val="20"/>
          <w:lang w:val="pt-BR"/>
        </w:rPr>
        <w:t>e</w:t>
      </w:r>
      <w:r w:rsidR="00E159DB" w:rsidRPr="005D6E61">
        <w:rPr>
          <w:rFonts w:ascii="Cambria" w:eastAsia="Calibri" w:hAnsi="Cambria"/>
          <w:sz w:val="20"/>
          <w:szCs w:val="20"/>
          <w:lang w:val="pt-BR"/>
        </w:rPr>
        <w:t>smo instrumento</w:t>
      </w:r>
      <w:r w:rsidR="00315C45" w:rsidRPr="005D6E61">
        <w:rPr>
          <w:rFonts w:ascii="Cambria" w:eastAsia="Calibri" w:hAnsi="Cambria"/>
          <w:sz w:val="20"/>
          <w:szCs w:val="20"/>
          <w:lang w:val="pt-BR"/>
        </w:rPr>
        <w:t>,</w:t>
      </w:r>
      <w:r w:rsidR="00F77B7F" w:rsidRPr="005D6E61">
        <w:rPr>
          <w:rFonts w:ascii="Cambria" w:eastAsia="Calibri" w:hAnsi="Cambria"/>
          <w:sz w:val="20"/>
          <w:szCs w:val="20"/>
          <w:lang w:val="pt-BR"/>
        </w:rPr>
        <w:t xml:space="preserve"> em </w:t>
      </w:r>
      <w:r w:rsidR="001C61B2" w:rsidRPr="005D6E61">
        <w:rPr>
          <w:rFonts w:ascii="Cambria" w:eastAsia="Calibri" w:hAnsi="Cambria"/>
          <w:sz w:val="20"/>
          <w:szCs w:val="20"/>
          <w:lang w:val="pt-BR"/>
        </w:rPr>
        <w:t>p</w:t>
      </w:r>
      <w:r w:rsidRPr="005D6E61">
        <w:rPr>
          <w:rFonts w:ascii="Cambria" w:eastAsia="Calibri" w:hAnsi="Cambria"/>
          <w:sz w:val="20"/>
          <w:szCs w:val="20"/>
          <w:lang w:val="pt-BR"/>
        </w:rPr>
        <w:t>rejuíz</w:t>
      </w:r>
      <w:r w:rsidR="001C61B2" w:rsidRPr="005D6E61">
        <w:rPr>
          <w:rFonts w:ascii="Cambria" w:eastAsia="Calibri" w:hAnsi="Cambria"/>
          <w:sz w:val="20"/>
          <w:szCs w:val="20"/>
          <w:lang w:val="pt-BR"/>
        </w:rPr>
        <w:t xml:space="preserve">o de Margarida Maria Alves, </w:t>
      </w:r>
      <w:r w:rsidRPr="005D6E61">
        <w:rPr>
          <w:rFonts w:ascii="Cambria" w:eastAsia="Calibri" w:hAnsi="Cambria"/>
          <w:sz w:val="20"/>
          <w:szCs w:val="20"/>
          <w:lang w:val="pt-BR"/>
        </w:rPr>
        <w:t>bem</w:t>
      </w:r>
      <w:r w:rsidR="001C61B2" w:rsidRPr="005D6E61">
        <w:rPr>
          <w:rFonts w:ascii="Cambria" w:eastAsia="Calibri" w:hAnsi="Cambria"/>
          <w:sz w:val="20"/>
          <w:szCs w:val="20"/>
          <w:lang w:val="pt-BR"/>
        </w:rPr>
        <w:t xml:space="preserve"> como de s</w:t>
      </w:r>
      <w:r w:rsidRPr="005D6E61">
        <w:rPr>
          <w:rFonts w:ascii="Cambria" w:eastAsia="Calibri" w:hAnsi="Cambria"/>
          <w:sz w:val="20"/>
          <w:szCs w:val="20"/>
          <w:lang w:val="pt-BR"/>
        </w:rPr>
        <w:t>e</w:t>
      </w:r>
      <w:r w:rsidR="001C61B2" w:rsidRPr="005D6E61">
        <w:rPr>
          <w:rFonts w:ascii="Cambria" w:eastAsia="Calibri" w:hAnsi="Cambria"/>
          <w:sz w:val="20"/>
          <w:szCs w:val="20"/>
          <w:lang w:val="pt-BR"/>
        </w:rPr>
        <w:t>us familiares</w:t>
      </w:r>
      <w:r w:rsidR="00CA6CF8" w:rsidRPr="005D6E61">
        <w:rPr>
          <w:rFonts w:ascii="Cambria" w:eastAsia="Calibri" w:hAnsi="Cambria"/>
          <w:sz w:val="20"/>
          <w:szCs w:val="20"/>
          <w:lang w:val="pt-BR"/>
        </w:rPr>
        <w:t>,</w:t>
      </w:r>
      <w:r w:rsidR="00CD523F" w:rsidRPr="005D6E61">
        <w:rPr>
          <w:rFonts w:ascii="Cambria" w:eastAsia="Calibri" w:hAnsi="Cambria"/>
          <w:sz w:val="20"/>
          <w:szCs w:val="20"/>
          <w:lang w:val="pt-BR"/>
        </w:rPr>
        <w:t xml:space="preserve"> nos </w:t>
      </w:r>
      <w:r w:rsidR="00CA6CF8" w:rsidRPr="005D6E61">
        <w:rPr>
          <w:rFonts w:ascii="Cambria" w:eastAsia="Calibri" w:hAnsi="Cambria"/>
          <w:sz w:val="20"/>
          <w:szCs w:val="20"/>
          <w:lang w:val="pt-BR"/>
        </w:rPr>
        <w:t>t</w:t>
      </w:r>
      <w:r w:rsidRPr="005D6E61">
        <w:rPr>
          <w:rFonts w:ascii="Cambria" w:eastAsia="Calibri" w:hAnsi="Cambria"/>
          <w:sz w:val="20"/>
          <w:szCs w:val="20"/>
          <w:lang w:val="pt-BR"/>
        </w:rPr>
        <w:t>e</w:t>
      </w:r>
      <w:r w:rsidR="00CA6CF8" w:rsidRPr="005D6E61">
        <w:rPr>
          <w:rFonts w:ascii="Cambria" w:eastAsia="Calibri" w:hAnsi="Cambria"/>
          <w:sz w:val="20"/>
          <w:szCs w:val="20"/>
          <w:lang w:val="pt-BR"/>
        </w:rPr>
        <w:t>rmos especificados</w:t>
      </w:r>
      <w:r w:rsidR="00D27A6E" w:rsidRPr="005D6E61">
        <w:rPr>
          <w:rFonts w:ascii="Cambria" w:eastAsia="Calibri" w:hAnsi="Cambria"/>
          <w:sz w:val="20"/>
          <w:szCs w:val="20"/>
          <w:lang w:val="pt-BR"/>
        </w:rPr>
        <w:t xml:space="preserve"> ao </w:t>
      </w:r>
      <w:r w:rsidR="002508A0" w:rsidRPr="005D6E61">
        <w:rPr>
          <w:rFonts w:ascii="Cambria" w:eastAsia="Calibri" w:hAnsi="Cambria"/>
          <w:sz w:val="20"/>
          <w:szCs w:val="20"/>
          <w:lang w:val="pt-BR"/>
        </w:rPr>
        <w:t>lon</w:t>
      </w:r>
      <w:r w:rsidR="00CA6CF8" w:rsidRPr="005D6E61">
        <w:rPr>
          <w:rFonts w:ascii="Cambria" w:eastAsia="Calibri" w:hAnsi="Cambria"/>
          <w:sz w:val="20"/>
          <w:szCs w:val="20"/>
          <w:lang w:val="pt-BR"/>
        </w:rPr>
        <w:t>go</w:t>
      </w:r>
      <w:r w:rsidR="00F77B7F" w:rsidRPr="005D6E61">
        <w:rPr>
          <w:rFonts w:ascii="Cambria" w:eastAsia="Calibri" w:hAnsi="Cambria"/>
          <w:sz w:val="20"/>
          <w:szCs w:val="20"/>
          <w:lang w:val="pt-BR"/>
        </w:rPr>
        <w:t xml:space="preserve"> do </w:t>
      </w:r>
      <w:r w:rsidR="00CA6CF8" w:rsidRPr="005D6E61">
        <w:rPr>
          <w:rFonts w:ascii="Cambria" w:eastAsia="Calibri" w:hAnsi="Cambria"/>
          <w:sz w:val="20"/>
          <w:szCs w:val="20"/>
          <w:lang w:val="pt-BR"/>
        </w:rPr>
        <w:t xml:space="preserve">presente </w:t>
      </w:r>
      <w:r w:rsidR="00704E7B" w:rsidRPr="005D6E61">
        <w:rPr>
          <w:rFonts w:ascii="Cambria" w:eastAsia="Calibri" w:hAnsi="Cambria"/>
          <w:sz w:val="20"/>
          <w:szCs w:val="20"/>
          <w:lang w:val="pt-BR"/>
        </w:rPr>
        <w:t>relatório</w:t>
      </w:r>
      <w:r w:rsidR="00CA6CF8" w:rsidRPr="005D6E61">
        <w:rPr>
          <w:rFonts w:ascii="Cambria" w:eastAsia="Calibri" w:hAnsi="Cambria"/>
          <w:sz w:val="20"/>
          <w:szCs w:val="20"/>
          <w:lang w:val="pt-BR"/>
        </w:rPr>
        <w:t>.</w:t>
      </w:r>
      <w:r w:rsidR="00F77B7F" w:rsidRPr="005D6E61">
        <w:rPr>
          <w:rFonts w:ascii="Cambria" w:eastAsia="Calibri" w:hAnsi="Cambria"/>
          <w:sz w:val="20"/>
          <w:szCs w:val="20"/>
          <w:lang w:val="pt-BR"/>
        </w:rPr>
        <w:t xml:space="preserve"> </w:t>
      </w:r>
      <w:r w:rsidR="002508A0" w:rsidRPr="005D6E61">
        <w:rPr>
          <w:rFonts w:ascii="Cambria" w:eastAsia="Calibri" w:hAnsi="Cambria"/>
          <w:sz w:val="20"/>
          <w:szCs w:val="20"/>
          <w:lang w:val="pt-BR"/>
        </w:rPr>
        <w:t>E</w:t>
      </w:r>
      <w:r w:rsidR="00F77B7F" w:rsidRPr="005D6E61">
        <w:rPr>
          <w:rFonts w:ascii="Cambria" w:eastAsia="Calibri" w:hAnsi="Cambria"/>
          <w:sz w:val="20"/>
          <w:szCs w:val="20"/>
          <w:lang w:val="pt-BR"/>
        </w:rPr>
        <w:t xml:space="preserve">m </w:t>
      </w:r>
      <w:r w:rsidR="001C61B2" w:rsidRPr="005D6E61">
        <w:rPr>
          <w:rFonts w:ascii="Cambria" w:eastAsia="Calibri" w:hAnsi="Cambria"/>
          <w:sz w:val="20"/>
          <w:szCs w:val="20"/>
          <w:lang w:val="pt-BR"/>
        </w:rPr>
        <w:t>conse</w:t>
      </w:r>
      <w:r w:rsidRPr="005D6E61">
        <w:rPr>
          <w:rFonts w:ascii="Cambria" w:eastAsia="Calibri" w:hAnsi="Cambria"/>
          <w:sz w:val="20"/>
          <w:szCs w:val="20"/>
          <w:lang w:val="pt-BR"/>
        </w:rPr>
        <w:t>q</w:t>
      </w:r>
      <w:r w:rsidR="001C61B2" w:rsidRPr="005D6E61">
        <w:rPr>
          <w:rFonts w:ascii="Cambria" w:eastAsia="Calibri" w:hAnsi="Cambria"/>
          <w:sz w:val="20"/>
          <w:szCs w:val="20"/>
          <w:lang w:val="pt-BR"/>
        </w:rPr>
        <w:t>u</w:t>
      </w:r>
      <w:r w:rsidR="00E37676" w:rsidRPr="005D6E61">
        <w:rPr>
          <w:rFonts w:ascii="Cambria" w:eastAsia="Calibri" w:hAnsi="Cambria"/>
          <w:sz w:val="20"/>
          <w:szCs w:val="20"/>
          <w:lang w:val="pt-BR"/>
        </w:rPr>
        <w:t>ência</w:t>
      </w:r>
      <w:r w:rsidR="001C61B2" w:rsidRPr="005D6E61">
        <w:rPr>
          <w:rFonts w:ascii="Cambria" w:eastAsia="Calibri" w:hAnsi="Cambria"/>
          <w:sz w:val="20"/>
          <w:szCs w:val="20"/>
          <w:lang w:val="pt-BR"/>
        </w:rPr>
        <w:t>,</w:t>
      </w:r>
      <w:r w:rsidR="00331E62" w:rsidRPr="005D6E61">
        <w:rPr>
          <w:rFonts w:ascii="Cambria" w:eastAsia="Calibri" w:hAnsi="Cambria"/>
          <w:sz w:val="20"/>
          <w:szCs w:val="20"/>
          <w:lang w:val="pt-BR"/>
        </w:rPr>
        <w:t xml:space="preserve"> a </w:t>
      </w:r>
      <w:r w:rsidR="006C5454" w:rsidRPr="005D6E61">
        <w:rPr>
          <w:rFonts w:ascii="Cambria" w:eastAsia="Calibri" w:hAnsi="Cambria"/>
          <w:sz w:val="20"/>
          <w:szCs w:val="20"/>
          <w:lang w:val="pt-BR"/>
        </w:rPr>
        <w:t>Comissão</w:t>
      </w:r>
      <w:r w:rsidR="001C61B2" w:rsidRPr="005D6E61">
        <w:rPr>
          <w:rFonts w:ascii="Cambria" w:eastAsia="Calibri" w:hAnsi="Cambria"/>
          <w:sz w:val="20"/>
          <w:szCs w:val="20"/>
          <w:lang w:val="pt-BR"/>
        </w:rPr>
        <w:t xml:space="preserve"> formul</w:t>
      </w:r>
      <w:r w:rsidR="00BF0B90" w:rsidRPr="005D6E61">
        <w:rPr>
          <w:rFonts w:ascii="Cambria" w:eastAsia="Calibri" w:hAnsi="Cambria"/>
          <w:sz w:val="20"/>
          <w:szCs w:val="20"/>
          <w:lang w:val="pt-BR"/>
        </w:rPr>
        <w:t xml:space="preserve">ou </w:t>
      </w:r>
      <w:r w:rsidR="00F77B7F" w:rsidRPr="005D6E61">
        <w:rPr>
          <w:rFonts w:ascii="Cambria" w:eastAsia="Calibri" w:hAnsi="Cambria"/>
          <w:sz w:val="20"/>
          <w:szCs w:val="20"/>
          <w:lang w:val="pt-BR"/>
        </w:rPr>
        <w:t xml:space="preserve">as </w:t>
      </w:r>
      <w:r w:rsidR="001C61B2" w:rsidRPr="005D6E61">
        <w:rPr>
          <w:rFonts w:ascii="Cambria" w:eastAsia="Calibri" w:hAnsi="Cambria"/>
          <w:sz w:val="20"/>
          <w:szCs w:val="20"/>
          <w:lang w:val="pt-BR"/>
        </w:rPr>
        <w:t>recomenda</w:t>
      </w:r>
      <w:r w:rsidR="00F77B7F" w:rsidRPr="005D6E61">
        <w:rPr>
          <w:rFonts w:ascii="Cambria" w:eastAsia="Calibri" w:hAnsi="Cambria"/>
          <w:sz w:val="20"/>
          <w:szCs w:val="20"/>
          <w:lang w:val="pt-BR"/>
        </w:rPr>
        <w:t>ções</w:t>
      </w:r>
      <w:r w:rsidR="001C61B2" w:rsidRPr="005D6E61">
        <w:rPr>
          <w:rFonts w:ascii="Cambria" w:eastAsia="Calibri" w:hAnsi="Cambria"/>
          <w:sz w:val="20"/>
          <w:szCs w:val="20"/>
          <w:lang w:val="pt-BR"/>
        </w:rPr>
        <w:t xml:space="preserve"> respectivas. </w:t>
      </w:r>
    </w:p>
    <w:p w14:paraId="26370FCC" w14:textId="77777777" w:rsidR="00315C45" w:rsidRPr="005D6E61" w:rsidRDefault="00315C45" w:rsidP="00315C45">
      <w:pPr>
        <w:rPr>
          <w:lang w:val="pt-BR"/>
        </w:rPr>
      </w:pPr>
    </w:p>
    <w:p w14:paraId="2965CF97" w14:textId="77777777" w:rsidR="00315C45" w:rsidRPr="005D6E61" w:rsidRDefault="00F53BDD" w:rsidP="00315C45">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color w:val="auto"/>
          <w:sz w:val="20"/>
          <w:szCs w:val="20"/>
          <w:lang w:val="pt-BR"/>
        </w:rPr>
      </w:pPr>
      <w:bookmarkStart w:id="9" w:name="_Toc27990555"/>
      <w:r w:rsidRPr="005D6E61">
        <w:rPr>
          <w:color w:val="auto"/>
          <w:sz w:val="20"/>
          <w:szCs w:val="20"/>
          <w:lang w:val="pt-BR"/>
        </w:rPr>
        <w:t>ALEGA</w:t>
      </w:r>
      <w:r w:rsidR="00E2527A" w:rsidRPr="005D6E61">
        <w:rPr>
          <w:color w:val="auto"/>
          <w:sz w:val="20"/>
          <w:szCs w:val="20"/>
          <w:lang w:val="pt-BR"/>
        </w:rPr>
        <w:t>ÇÕES DAS</w:t>
      </w:r>
      <w:r w:rsidR="00F77B7F" w:rsidRPr="005D6E61">
        <w:rPr>
          <w:color w:val="auto"/>
          <w:sz w:val="20"/>
          <w:szCs w:val="20"/>
          <w:lang w:val="pt-BR"/>
        </w:rPr>
        <w:t xml:space="preserve"> </w:t>
      </w:r>
      <w:r w:rsidR="00315C45" w:rsidRPr="005D6E61">
        <w:rPr>
          <w:color w:val="auto"/>
          <w:sz w:val="20"/>
          <w:szCs w:val="20"/>
          <w:lang w:val="pt-BR"/>
        </w:rPr>
        <w:t>PARTES</w:t>
      </w:r>
      <w:bookmarkEnd w:id="9"/>
    </w:p>
    <w:p w14:paraId="41D99C76" w14:textId="77777777" w:rsidR="00315C45" w:rsidRPr="005D6E61" w:rsidRDefault="00315C45" w:rsidP="009779F9">
      <w:pPr>
        <w:pStyle w:val="Heading2"/>
        <w:numPr>
          <w:ilvl w:val="0"/>
          <w:numId w:val="60"/>
        </w:numPr>
        <w:ind w:firstLine="0"/>
        <w:rPr>
          <w:rFonts w:asciiTheme="majorHAnsi" w:hAnsiTheme="majorHAnsi"/>
          <w:i w:val="0"/>
          <w:sz w:val="20"/>
          <w:szCs w:val="20"/>
          <w:lang w:val="pt-BR"/>
        </w:rPr>
      </w:pPr>
      <w:bookmarkStart w:id="10" w:name="_Toc27990556"/>
      <w:r w:rsidRPr="005D6E61">
        <w:rPr>
          <w:rFonts w:asciiTheme="majorHAnsi" w:hAnsiTheme="majorHAnsi"/>
          <w:i w:val="0"/>
          <w:sz w:val="20"/>
          <w:szCs w:val="20"/>
          <w:lang w:val="pt-BR"/>
        </w:rPr>
        <w:t>Posi</w:t>
      </w:r>
      <w:r w:rsidR="00A274D9" w:rsidRPr="005D6E61">
        <w:rPr>
          <w:rFonts w:asciiTheme="majorHAnsi" w:hAnsiTheme="majorHAnsi"/>
          <w:i w:val="0"/>
          <w:sz w:val="20"/>
          <w:szCs w:val="20"/>
          <w:lang w:val="pt-BR"/>
        </w:rPr>
        <w:t>ção</w:t>
      </w:r>
      <w:r w:rsidR="00331E62" w:rsidRPr="005D6E61">
        <w:rPr>
          <w:rFonts w:asciiTheme="majorHAnsi" w:hAnsiTheme="majorHAnsi"/>
          <w:i w:val="0"/>
          <w:sz w:val="20"/>
          <w:szCs w:val="20"/>
          <w:lang w:val="pt-BR"/>
        </w:rPr>
        <w:t xml:space="preserve"> dos </w:t>
      </w:r>
      <w:r w:rsidR="00CD523F" w:rsidRPr="005D6E61">
        <w:rPr>
          <w:rFonts w:asciiTheme="majorHAnsi" w:hAnsiTheme="majorHAnsi"/>
          <w:i w:val="0"/>
          <w:sz w:val="20"/>
          <w:szCs w:val="20"/>
          <w:lang w:val="pt-BR"/>
        </w:rPr>
        <w:t>peticionário</w:t>
      </w:r>
      <w:r w:rsidRPr="005D6E61">
        <w:rPr>
          <w:rFonts w:asciiTheme="majorHAnsi" w:hAnsiTheme="majorHAnsi"/>
          <w:i w:val="0"/>
          <w:sz w:val="20"/>
          <w:szCs w:val="20"/>
          <w:lang w:val="pt-BR"/>
        </w:rPr>
        <w:t>s</w:t>
      </w:r>
      <w:bookmarkEnd w:id="10"/>
    </w:p>
    <w:p w14:paraId="54543514" w14:textId="77777777" w:rsidR="00315C45" w:rsidRPr="005D6E61" w:rsidRDefault="00315C45" w:rsidP="00315C4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lang w:val="pt-BR"/>
        </w:rPr>
      </w:pPr>
    </w:p>
    <w:p w14:paraId="3D8534C8" w14:textId="77777777" w:rsidR="00AB6D06" w:rsidRPr="005D6E61" w:rsidRDefault="00275A65"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Calibri" w:hAnsi="Cambria"/>
          <w:sz w:val="20"/>
          <w:szCs w:val="20"/>
          <w:lang w:val="pt-BR"/>
        </w:rPr>
      </w:pPr>
      <w:r w:rsidRPr="005D6E61">
        <w:rPr>
          <w:rFonts w:ascii="Cambria" w:eastAsia="Calibri" w:hAnsi="Cambria"/>
          <w:sz w:val="20"/>
          <w:szCs w:val="20"/>
          <w:lang w:val="pt-BR"/>
        </w:rPr>
        <w:t>O</w:t>
      </w:r>
      <w:r w:rsidR="00315C45" w:rsidRPr="005D6E61">
        <w:rPr>
          <w:rFonts w:ascii="Cambria" w:eastAsia="Calibri" w:hAnsi="Cambria"/>
          <w:sz w:val="20"/>
          <w:szCs w:val="20"/>
          <w:lang w:val="pt-BR"/>
        </w:rPr>
        <w:t xml:space="preserve">s </w:t>
      </w:r>
      <w:r w:rsidR="00CD523F" w:rsidRPr="005D6E61">
        <w:rPr>
          <w:rFonts w:ascii="Cambria" w:eastAsia="Calibri" w:hAnsi="Cambria"/>
          <w:sz w:val="20"/>
          <w:szCs w:val="20"/>
          <w:lang w:val="pt-BR"/>
        </w:rPr>
        <w:t>peticionário</w:t>
      </w:r>
      <w:r w:rsidR="00315C45" w:rsidRPr="005D6E61">
        <w:rPr>
          <w:rFonts w:ascii="Cambria" w:eastAsia="Calibri" w:hAnsi="Cambria"/>
          <w:sz w:val="20"/>
          <w:szCs w:val="20"/>
          <w:lang w:val="pt-BR"/>
        </w:rPr>
        <w:t>s alegar</w:t>
      </w:r>
      <w:r w:rsidR="00E2527A" w:rsidRPr="005D6E61">
        <w:rPr>
          <w:rFonts w:ascii="Cambria" w:eastAsia="Calibri" w:hAnsi="Cambria"/>
          <w:sz w:val="20"/>
          <w:szCs w:val="20"/>
          <w:lang w:val="pt-BR"/>
        </w:rPr>
        <w:t>am</w:t>
      </w:r>
      <w:r w:rsidR="00315C45" w:rsidRPr="005D6E61">
        <w:rPr>
          <w:rFonts w:ascii="Cambria" w:eastAsia="Calibri" w:hAnsi="Cambria"/>
          <w:sz w:val="20"/>
          <w:szCs w:val="20"/>
          <w:lang w:val="pt-BR"/>
        </w:rPr>
        <w:t xml:space="preserve"> que Margarida Maria</w:t>
      </w:r>
      <w:r w:rsidR="008305C0" w:rsidRPr="005D6E61">
        <w:rPr>
          <w:rFonts w:ascii="Cambria" w:eastAsia="Calibri" w:hAnsi="Cambria"/>
          <w:sz w:val="20"/>
          <w:szCs w:val="20"/>
          <w:lang w:val="pt-BR"/>
        </w:rPr>
        <w:t xml:space="preserve"> Alves, President</w:t>
      </w:r>
      <w:r w:rsidR="002508A0" w:rsidRPr="005D6E61">
        <w:rPr>
          <w:rFonts w:ascii="Cambria" w:eastAsia="Calibri" w:hAnsi="Cambria"/>
          <w:sz w:val="20"/>
          <w:szCs w:val="20"/>
          <w:lang w:val="pt-BR"/>
        </w:rPr>
        <w:t>e</w:t>
      </w:r>
      <w:r w:rsidR="00F77B7F" w:rsidRPr="005D6E61">
        <w:rPr>
          <w:rFonts w:ascii="Cambria" w:eastAsia="Calibri" w:hAnsi="Cambria"/>
          <w:sz w:val="20"/>
          <w:szCs w:val="20"/>
          <w:lang w:val="pt-BR"/>
        </w:rPr>
        <w:t xml:space="preserve"> do </w:t>
      </w:r>
      <w:r w:rsidR="00626FA8" w:rsidRPr="005D6E61">
        <w:rPr>
          <w:rFonts w:ascii="Cambria" w:eastAsia="Calibri" w:hAnsi="Cambria"/>
          <w:sz w:val="20"/>
          <w:szCs w:val="20"/>
          <w:lang w:val="pt-BR"/>
        </w:rPr>
        <w:t>Sindicato</w:t>
      </w:r>
      <w:r w:rsidR="00331E62" w:rsidRPr="005D6E61">
        <w:rPr>
          <w:rFonts w:ascii="Cambria" w:eastAsia="Calibri" w:hAnsi="Cambria"/>
          <w:sz w:val="20"/>
          <w:szCs w:val="20"/>
          <w:lang w:val="pt-BR"/>
        </w:rPr>
        <w:t xml:space="preserve"> dos </w:t>
      </w:r>
      <w:r w:rsidR="00315C45" w:rsidRPr="005D6E61">
        <w:rPr>
          <w:rFonts w:ascii="Cambria" w:eastAsia="Calibri" w:hAnsi="Cambria"/>
          <w:sz w:val="20"/>
          <w:szCs w:val="20"/>
          <w:lang w:val="pt-BR"/>
        </w:rPr>
        <w:t>Traba</w:t>
      </w:r>
      <w:r w:rsidR="002508A0" w:rsidRPr="005D6E61">
        <w:rPr>
          <w:rFonts w:ascii="Cambria" w:eastAsia="Calibri" w:hAnsi="Cambria"/>
          <w:sz w:val="20"/>
          <w:szCs w:val="20"/>
          <w:lang w:val="pt-BR"/>
        </w:rPr>
        <w:t>lh</w:t>
      </w:r>
      <w:r w:rsidR="00626FA8" w:rsidRPr="005D6E61">
        <w:rPr>
          <w:rFonts w:ascii="Cambria" w:eastAsia="Calibri" w:hAnsi="Cambria"/>
          <w:sz w:val="20"/>
          <w:szCs w:val="20"/>
          <w:lang w:val="pt-BR"/>
        </w:rPr>
        <w:t>adores Rur</w:t>
      </w:r>
      <w:r w:rsidR="00331E62" w:rsidRPr="005D6E61">
        <w:rPr>
          <w:rFonts w:ascii="Cambria" w:eastAsia="Calibri" w:hAnsi="Cambria"/>
          <w:sz w:val="20"/>
          <w:szCs w:val="20"/>
          <w:lang w:val="pt-BR"/>
        </w:rPr>
        <w:t>ais</w:t>
      </w:r>
      <w:r w:rsidR="00315C45" w:rsidRPr="005D6E61">
        <w:rPr>
          <w:rFonts w:ascii="Cambria" w:eastAsia="Calibri" w:hAnsi="Cambria"/>
          <w:sz w:val="20"/>
          <w:szCs w:val="20"/>
          <w:lang w:val="pt-BR"/>
        </w:rPr>
        <w:t xml:space="preserve"> de Alagoa Grande, Paraíba, Brasil, f</w:t>
      </w:r>
      <w:r w:rsidR="002508A0" w:rsidRPr="005D6E61">
        <w:rPr>
          <w:rFonts w:ascii="Cambria" w:eastAsia="Calibri" w:hAnsi="Cambria"/>
          <w:sz w:val="20"/>
          <w:szCs w:val="20"/>
          <w:lang w:val="pt-BR"/>
        </w:rPr>
        <w:t>oi</w:t>
      </w:r>
      <w:r w:rsidR="00315C45" w:rsidRPr="005D6E61">
        <w:rPr>
          <w:rFonts w:ascii="Cambria" w:eastAsia="Calibri" w:hAnsi="Cambria"/>
          <w:sz w:val="20"/>
          <w:szCs w:val="20"/>
          <w:lang w:val="pt-BR"/>
        </w:rPr>
        <w:t xml:space="preserve"> </w:t>
      </w:r>
      <w:r w:rsidR="009C205A" w:rsidRPr="005D6E61">
        <w:rPr>
          <w:rFonts w:ascii="Cambria" w:eastAsia="Calibri" w:hAnsi="Cambria"/>
          <w:sz w:val="20"/>
          <w:szCs w:val="20"/>
          <w:lang w:val="pt-BR"/>
        </w:rPr>
        <w:t>assassinada</w:t>
      </w:r>
      <w:r w:rsidR="00331E62" w:rsidRPr="005D6E61">
        <w:rPr>
          <w:rFonts w:ascii="Cambria" w:eastAsia="Calibri" w:hAnsi="Cambria"/>
          <w:sz w:val="20"/>
          <w:szCs w:val="20"/>
          <w:lang w:val="pt-BR"/>
        </w:rPr>
        <w:t xml:space="preserve"> </w:t>
      </w:r>
      <w:r w:rsidRPr="005D6E61">
        <w:rPr>
          <w:rFonts w:ascii="Cambria" w:eastAsia="Calibri" w:hAnsi="Cambria"/>
          <w:sz w:val="20"/>
          <w:szCs w:val="20"/>
          <w:lang w:val="pt-BR"/>
        </w:rPr>
        <w:t>em</w:t>
      </w:r>
      <w:r w:rsidR="00331E62" w:rsidRPr="005D6E61">
        <w:rPr>
          <w:rFonts w:ascii="Cambria" w:eastAsia="Calibri" w:hAnsi="Cambria"/>
          <w:sz w:val="20"/>
          <w:szCs w:val="20"/>
          <w:lang w:val="pt-BR"/>
        </w:rPr>
        <w:t xml:space="preserve"> </w:t>
      </w:r>
      <w:r w:rsidR="00315C45" w:rsidRPr="005D6E61">
        <w:rPr>
          <w:rFonts w:ascii="Cambria" w:eastAsia="Calibri" w:hAnsi="Cambria"/>
          <w:sz w:val="20"/>
          <w:szCs w:val="20"/>
          <w:lang w:val="pt-BR"/>
        </w:rPr>
        <w:t xml:space="preserve">12 de agosto de 1983 </w:t>
      </w:r>
      <w:r w:rsidRPr="005D6E61">
        <w:rPr>
          <w:rFonts w:ascii="Cambria" w:eastAsia="Calibri" w:hAnsi="Cambria"/>
          <w:sz w:val="20"/>
          <w:szCs w:val="20"/>
          <w:lang w:val="pt-BR"/>
        </w:rPr>
        <w:t>após</w:t>
      </w:r>
      <w:r w:rsidR="00CC7842" w:rsidRPr="005D6E61">
        <w:rPr>
          <w:rFonts w:ascii="Cambria" w:eastAsia="Calibri" w:hAnsi="Cambria"/>
          <w:sz w:val="20"/>
          <w:szCs w:val="20"/>
          <w:lang w:val="pt-BR"/>
        </w:rPr>
        <w:t xml:space="preserve"> rec</w:t>
      </w:r>
      <w:r w:rsidR="00EB52A1" w:rsidRPr="005D6E61">
        <w:rPr>
          <w:rFonts w:ascii="Cambria" w:eastAsia="Calibri" w:hAnsi="Cambria"/>
          <w:sz w:val="20"/>
          <w:szCs w:val="20"/>
          <w:lang w:val="pt-BR"/>
        </w:rPr>
        <w:t>e</w:t>
      </w:r>
      <w:r w:rsidR="00CC7842" w:rsidRPr="005D6E61">
        <w:rPr>
          <w:rFonts w:ascii="Cambria" w:eastAsia="Calibri" w:hAnsi="Cambria"/>
          <w:sz w:val="20"/>
          <w:szCs w:val="20"/>
          <w:lang w:val="pt-BR"/>
        </w:rPr>
        <w:t>b</w:t>
      </w:r>
      <w:r w:rsidR="00EB52A1" w:rsidRPr="005D6E61">
        <w:rPr>
          <w:rFonts w:ascii="Cambria" w:eastAsia="Calibri" w:hAnsi="Cambria"/>
          <w:sz w:val="20"/>
          <w:szCs w:val="20"/>
          <w:lang w:val="pt-BR"/>
        </w:rPr>
        <w:t>e</w:t>
      </w:r>
      <w:r w:rsidR="00CC7842" w:rsidRPr="005D6E61">
        <w:rPr>
          <w:rFonts w:ascii="Cambria" w:eastAsia="Calibri" w:hAnsi="Cambria"/>
          <w:sz w:val="20"/>
          <w:szCs w:val="20"/>
          <w:lang w:val="pt-BR"/>
        </w:rPr>
        <w:t>r</w:t>
      </w:r>
      <w:r w:rsidR="00315C45" w:rsidRPr="005D6E61">
        <w:rPr>
          <w:rFonts w:ascii="Cambria" w:eastAsia="Calibri" w:hAnsi="Cambria"/>
          <w:sz w:val="20"/>
          <w:szCs w:val="20"/>
          <w:lang w:val="pt-BR"/>
        </w:rPr>
        <w:t xml:space="preserve"> diversas </w:t>
      </w:r>
      <w:r w:rsidR="009C205A" w:rsidRPr="005D6E61">
        <w:rPr>
          <w:rFonts w:ascii="Cambria" w:eastAsia="Calibri" w:hAnsi="Cambria"/>
          <w:sz w:val="20"/>
          <w:szCs w:val="20"/>
          <w:lang w:val="pt-BR"/>
        </w:rPr>
        <w:t>ameaças</w:t>
      </w:r>
      <w:r w:rsidR="00F77B7F" w:rsidRPr="005D6E61">
        <w:rPr>
          <w:rFonts w:ascii="Cambria" w:eastAsia="Calibri" w:hAnsi="Cambria"/>
          <w:sz w:val="20"/>
          <w:szCs w:val="20"/>
          <w:lang w:val="pt-BR"/>
        </w:rPr>
        <w:t xml:space="preserve"> em </w:t>
      </w:r>
      <w:r w:rsidR="00315C45" w:rsidRPr="005D6E61">
        <w:rPr>
          <w:rFonts w:ascii="Cambria" w:eastAsia="Calibri" w:hAnsi="Cambria"/>
          <w:sz w:val="20"/>
          <w:szCs w:val="20"/>
          <w:lang w:val="pt-BR"/>
        </w:rPr>
        <w:t>raz</w:t>
      </w:r>
      <w:r w:rsidR="00EB52A1" w:rsidRPr="005D6E61">
        <w:rPr>
          <w:rFonts w:ascii="Cambria" w:eastAsia="Calibri" w:hAnsi="Cambria"/>
          <w:sz w:val="20"/>
          <w:szCs w:val="20"/>
          <w:lang w:val="pt-BR"/>
        </w:rPr>
        <w:t>ão</w:t>
      </w:r>
      <w:r w:rsidR="00315C45" w:rsidRPr="005D6E61">
        <w:rPr>
          <w:rFonts w:ascii="Cambria" w:eastAsia="Calibri" w:hAnsi="Cambria"/>
          <w:sz w:val="20"/>
          <w:szCs w:val="20"/>
          <w:lang w:val="pt-BR"/>
        </w:rPr>
        <w:t xml:space="preserve"> de su</w:t>
      </w:r>
      <w:r w:rsidR="00EB52A1" w:rsidRPr="005D6E61">
        <w:rPr>
          <w:rFonts w:ascii="Cambria" w:eastAsia="Calibri" w:hAnsi="Cambria"/>
          <w:sz w:val="20"/>
          <w:szCs w:val="20"/>
          <w:lang w:val="pt-BR"/>
        </w:rPr>
        <w:t>a</w:t>
      </w:r>
      <w:r w:rsidR="00315C45" w:rsidRPr="005D6E61">
        <w:rPr>
          <w:rFonts w:ascii="Cambria" w:eastAsia="Calibri" w:hAnsi="Cambria"/>
          <w:sz w:val="20"/>
          <w:szCs w:val="20"/>
          <w:lang w:val="pt-BR"/>
        </w:rPr>
        <w:t xml:space="preserve"> atua</w:t>
      </w:r>
      <w:r w:rsidR="00A274D9" w:rsidRPr="005D6E61">
        <w:rPr>
          <w:rFonts w:ascii="Cambria" w:eastAsia="Calibri" w:hAnsi="Cambria"/>
          <w:sz w:val="20"/>
          <w:szCs w:val="20"/>
          <w:lang w:val="pt-BR"/>
        </w:rPr>
        <w:t>ção</w:t>
      </w:r>
      <w:r w:rsidR="00315C45" w:rsidRPr="005D6E61">
        <w:rPr>
          <w:rFonts w:ascii="Cambria" w:eastAsia="Calibri" w:hAnsi="Cambria"/>
          <w:sz w:val="20"/>
          <w:szCs w:val="20"/>
          <w:lang w:val="pt-BR"/>
        </w:rPr>
        <w:t xml:space="preserve"> como l</w:t>
      </w:r>
      <w:r w:rsidR="00EB52A1" w:rsidRPr="005D6E61">
        <w:rPr>
          <w:rFonts w:ascii="Cambria" w:eastAsia="Calibri" w:hAnsi="Cambria"/>
          <w:sz w:val="20"/>
          <w:szCs w:val="20"/>
          <w:lang w:val="pt-BR"/>
        </w:rPr>
        <w:t>í</w:t>
      </w:r>
      <w:r w:rsidR="00315C45" w:rsidRPr="005D6E61">
        <w:rPr>
          <w:rFonts w:ascii="Cambria" w:eastAsia="Calibri" w:hAnsi="Cambria"/>
          <w:sz w:val="20"/>
          <w:szCs w:val="20"/>
          <w:lang w:val="pt-BR"/>
        </w:rPr>
        <w:t xml:space="preserve">der </w:t>
      </w:r>
      <w:r w:rsidR="009C205A" w:rsidRPr="005D6E61">
        <w:rPr>
          <w:rFonts w:ascii="Cambria" w:eastAsia="Calibri" w:hAnsi="Cambria"/>
          <w:sz w:val="20"/>
          <w:szCs w:val="20"/>
          <w:lang w:val="pt-BR"/>
        </w:rPr>
        <w:t>comunitária</w:t>
      </w:r>
      <w:r w:rsidR="00F77B7F" w:rsidRPr="005D6E61">
        <w:rPr>
          <w:rFonts w:ascii="Cambria" w:eastAsia="Calibri" w:hAnsi="Cambria"/>
          <w:sz w:val="20"/>
          <w:szCs w:val="20"/>
          <w:lang w:val="pt-BR"/>
        </w:rPr>
        <w:t xml:space="preserve"> </w:t>
      </w:r>
      <w:r w:rsidRPr="005D6E61">
        <w:rPr>
          <w:rFonts w:ascii="Cambria" w:eastAsia="Calibri" w:hAnsi="Cambria"/>
          <w:sz w:val="20"/>
          <w:szCs w:val="20"/>
          <w:lang w:val="pt-BR"/>
        </w:rPr>
        <w:t>n</w:t>
      </w:r>
      <w:r w:rsidR="00331E62" w:rsidRPr="005D6E61">
        <w:rPr>
          <w:rFonts w:ascii="Cambria" w:eastAsia="Calibri" w:hAnsi="Cambria"/>
          <w:sz w:val="20"/>
          <w:szCs w:val="20"/>
          <w:lang w:val="pt-BR"/>
        </w:rPr>
        <w:t xml:space="preserve">a </w:t>
      </w:r>
      <w:r w:rsidR="00315C45" w:rsidRPr="005D6E61">
        <w:rPr>
          <w:rFonts w:ascii="Cambria" w:eastAsia="Calibri" w:hAnsi="Cambria"/>
          <w:sz w:val="20"/>
          <w:szCs w:val="20"/>
          <w:lang w:val="pt-BR"/>
        </w:rPr>
        <w:t>regi</w:t>
      </w:r>
      <w:r w:rsidR="00EB52A1" w:rsidRPr="005D6E61">
        <w:rPr>
          <w:rFonts w:ascii="Cambria" w:eastAsia="Calibri" w:hAnsi="Cambria"/>
          <w:sz w:val="20"/>
          <w:szCs w:val="20"/>
          <w:lang w:val="pt-BR"/>
        </w:rPr>
        <w:t>ão</w:t>
      </w:r>
      <w:r w:rsidR="00315C45" w:rsidRPr="005D6E61">
        <w:rPr>
          <w:rFonts w:ascii="Cambria" w:eastAsia="Calibri" w:hAnsi="Cambria"/>
          <w:sz w:val="20"/>
          <w:szCs w:val="20"/>
          <w:lang w:val="pt-BR"/>
        </w:rPr>
        <w:t>.</w:t>
      </w:r>
      <w:r w:rsidR="00AB6D06" w:rsidRPr="005D6E61">
        <w:rPr>
          <w:rFonts w:ascii="Cambria" w:eastAsia="Calibri" w:hAnsi="Cambria"/>
          <w:sz w:val="20"/>
          <w:szCs w:val="20"/>
          <w:lang w:val="pt-BR"/>
        </w:rPr>
        <w:t xml:space="preserve"> </w:t>
      </w:r>
      <w:r w:rsidR="00EB52A1" w:rsidRPr="005D6E61">
        <w:rPr>
          <w:rFonts w:ascii="Cambria" w:eastAsia="Calibri" w:hAnsi="Cambria"/>
          <w:sz w:val="20"/>
          <w:szCs w:val="20"/>
          <w:lang w:val="pt-BR"/>
        </w:rPr>
        <w:t xml:space="preserve">A </w:t>
      </w:r>
      <w:r w:rsidR="00AB6D06" w:rsidRPr="005D6E61">
        <w:rPr>
          <w:rFonts w:ascii="Cambria" w:eastAsia="Calibri" w:hAnsi="Cambria"/>
          <w:sz w:val="20"/>
          <w:szCs w:val="20"/>
          <w:lang w:val="pt-BR"/>
        </w:rPr>
        <w:t>respe</w:t>
      </w:r>
      <w:r w:rsidR="00EB52A1" w:rsidRPr="005D6E61">
        <w:rPr>
          <w:rFonts w:ascii="Cambria" w:eastAsia="Calibri" w:hAnsi="Cambria"/>
          <w:sz w:val="20"/>
          <w:szCs w:val="20"/>
          <w:lang w:val="pt-BR"/>
        </w:rPr>
        <w:t>i</w:t>
      </w:r>
      <w:r w:rsidR="00AB6D06" w:rsidRPr="005D6E61">
        <w:rPr>
          <w:rFonts w:ascii="Cambria" w:eastAsia="Calibri" w:hAnsi="Cambria"/>
          <w:sz w:val="20"/>
          <w:szCs w:val="20"/>
          <w:lang w:val="pt-BR"/>
        </w:rPr>
        <w:t>to</w:t>
      </w:r>
      <w:r w:rsidR="00EB52A1" w:rsidRPr="005D6E61">
        <w:rPr>
          <w:rFonts w:ascii="Cambria" w:eastAsia="Calibri" w:hAnsi="Cambria"/>
          <w:sz w:val="20"/>
          <w:szCs w:val="20"/>
          <w:lang w:val="pt-BR"/>
        </w:rPr>
        <w:t xml:space="preserve">, </w:t>
      </w:r>
      <w:r w:rsidR="009C205A" w:rsidRPr="005D6E61">
        <w:rPr>
          <w:rFonts w:ascii="Cambria" w:eastAsia="Calibri" w:hAnsi="Cambria"/>
          <w:sz w:val="20"/>
          <w:szCs w:val="20"/>
          <w:lang w:val="pt-BR"/>
        </w:rPr>
        <w:t>indicaram</w:t>
      </w:r>
      <w:r w:rsidR="00AB6D06" w:rsidRPr="005D6E61">
        <w:rPr>
          <w:rFonts w:ascii="Cambria" w:eastAsia="Calibri" w:hAnsi="Cambria"/>
          <w:sz w:val="20"/>
          <w:szCs w:val="20"/>
          <w:lang w:val="pt-BR"/>
        </w:rPr>
        <w:t xml:space="preserve"> que </w:t>
      </w:r>
      <w:r w:rsidR="009C205A" w:rsidRPr="005D6E61">
        <w:rPr>
          <w:rFonts w:ascii="Cambria" w:eastAsia="Calibri" w:hAnsi="Cambria"/>
          <w:sz w:val="20"/>
          <w:szCs w:val="20"/>
          <w:lang w:val="pt-BR"/>
        </w:rPr>
        <w:t>por</w:t>
      </w:r>
      <w:r w:rsidR="00EB52A1" w:rsidRPr="005D6E61">
        <w:rPr>
          <w:rFonts w:ascii="Cambria" w:eastAsia="Calibri" w:hAnsi="Cambria"/>
          <w:sz w:val="20"/>
          <w:szCs w:val="20"/>
          <w:lang w:val="pt-BR"/>
        </w:rPr>
        <w:t xml:space="preserve"> </w:t>
      </w:r>
      <w:r w:rsidR="00EB52A1" w:rsidRPr="005D6E61">
        <w:rPr>
          <w:rFonts w:ascii="Cambria" w:eastAsia="Calibri" w:hAnsi="Cambria"/>
          <w:sz w:val="20"/>
          <w:szCs w:val="20"/>
          <w:lang w:val="pt-BR"/>
        </w:rPr>
        <w:lastRenderedPageBreak/>
        <w:t xml:space="preserve">volta </w:t>
      </w:r>
      <w:r w:rsidR="00AB6D06" w:rsidRPr="005D6E61">
        <w:rPr>
          <w:rFonts w:ascii="Cambria" w:eastAsia="Calibri" w:hAnsi="Cambria"/>
          <w:sz w:val="20"/>
          <w:szCs w:val="20"/>
          <w:lang w:val="pt-BR"/>
        </w:rPr>
        <w:t>d</w:t>
      </w:r>
      <w:r w:rsidR="00F77B7F" w:rsidRPr="005D6E61">
        <w:rPr>
          <w:rFonts w:ascii="Cambria" w:eastAsia="Calibri" w:hAnsi="Cambria"/>
          <w:sz w:val="20"/>
          <w:szCs w:val="20"/>
          <w:lang w:val="pt-BR"/>
        </w:rPr>
        <w:t xml:space="preserve">as </w:t>
      </w:r>
      <w:r w:rsidR="00AB6D06" w:rsidRPr="005D6E61">
        <w:rPr>
          <w:rFonts w:ascii="Cambria" w:eastAsia="Calibri" w:hAnsi="Cambria"/>
          <w:sz w:val="20"/>
          <w:szCs w:val="20"/>
          <w:lang w:val="pt-BR"/>
        </w:rPr>
        <w:t>18:00 horas</w:t>
      </w:r>
      <w:r w:rsidRPr="005D6E61">
        <w:rPr>
          <w:rFonts w:ascii="Cambria" w:eastAsia="Calibri" w:hAnsi="Cambria"/>
          <w:sz w:val="20"/>
          <w:szCs w:val="20"/>
          <w:lang w:val="pt-BR"/>
        </w:rPr>
        <w:t xml:space="preserve"> um </w:t>
      </w:r>
      <w:r w:rsidR="00AB6D06" w:rsidRPr="005D6E61">
        <w:rPr>
          <w:rFonts w:ascii="Cambria" w:eastAsia="Calibri" w:hAnsi="Cambria"/>
          <w:sz w:val="20"/>
          <w:szCs w:val="20"/>
          <w:lang w:val="pt-BR"/>
        </w:rPr>
        <w:t>indiv</w:t>
      </w:r>
      <w:r w:rsidR="00EB52A1" w:rsidRPr="005D6E61">
        <w:rPr>
          <w:rFonts w:ascii="Cambria" w:eastAsia="Calibri" w:hAnsi="Cambria"/>
          <w:sz w:val="20"/>
          <w:szCs w:val="20"/>
          <w:lang w:val="pt-BR"/>
        </w:rPr>
        <w:t>í</w:t>
      </w:r>
      <w:r w:rsidR="00AB6D06" w:rsidRPr="005D6E61">
        <w:rPr>
          <w:rFonts w:ascii="Cambria" w:eastAsia="Calibri" w:hAnsi="Cambria"/>
          <w:sz w:val="20"/>
          <w:szCs w:val="20"/>
          <w:lang w:val="pt-BR"/>
        </w:rPr>
        <w:t xml:space="preserve">duo se </w:t>
      </w:r>
      <w:r w:rsidR="002508A0" w:rsidRPr="005D6E61">
        <w:rPr>
          <w:rFonts w:ascii="Cambria" w:eastAsia="Calibri" w:hAnsi="Cambria"/>
          <w:sz w:val="20"/>
          <w:szCs w:val="20"/>
          <w:lang w:val="pt-BR"/>
        </w:rPr>
        <w:t>a</w:t>
      </w:r>
      <w:r w:rsidR="00AB6D06" w:rsidRPr="005D6E61">
        <w:rPr>
          <w:rFonts w:ascii="Cambria" w:eastAsia="Calibri" w:hAnsi="Cambria"/>
          <w:sz w:val="20"/>
          <w:szCs w:val="20"/>
          <w:lang w:val="pt-BR"/>
        </w:rPr>
        <w:t>present</w:t>
      </w:r>
      <w:r w:rsidR="00BF0B90" w:rsidRPr="005D6E61">
        <w:rPr>
          <w:rFonts w:ascii="Cambria" w:eastAsia="Calibri" w:hAnsi="Cambria"/>
          <w:sz w:val="20"/>
          <w:szCs w:val="20"/>
          <w:lang w:val="pt-BR"/>
        </w:rPr>
        <w:t xml:space="preserve">ou </w:t>
      </w:r>
      <w:r w:rsidR="002508A0" w:rsidRPr="005D6E61">
        <w:rPr>
          <w:rFonts w:ascii="Cambria" w:eastAsia="Calibri" w:hAnsi="Cambria"/>
          <w:sz w:val="20"/>
          <w:szCs w:val="20"/>
          <w:lang w:val="pt-BR"/>
        </w:rPr>
        <w:t>na</w:t>
      </w:r>
      <w:r w:rsidRPr="005D6E61">
        <w:rPr>
          <w:rFonts w:ascii="Cambria" w:eastAsia="Calibri" w:hAnsi="Cambria"/>
          <w:sz w:val="20"/>
          <w:szCs w:val="20"/>
          <w:lang w:val="pt-BR"/>
        </w:rPr>
        <w:t xml:space="preserve"> </w:t>
      </w:r>
      <w:r w:rsidR="00AB6D06" w:rsidRPr="005D6E61">
        <w:rPr>
          <w:rFonts w:ascii="Cambria" w:eastAsia="Calibri" w:hAnsi="Cambria"/>
          <w:sz w:val="20"/>
          <w:szCs w:val="20"/>
          <w:lang w:val="pt-BR"/>
        </w:rPr>
        <w:t>casa</w:t>
      </w:r>
      <w:r w:rsidR="00675058" w:rsidRPr="005D6E61">
        <w:rPr>
          <w:rFonts w:ascii="Cambria" w:eastAsia="Calibri" w:hAnsi="Cambria"/>
          <w:sz w:val="20"/>
          <w:szCs w:val="20"/>
          <w:lang w:val="pt-BR"/>
        </w:rPr>
        <w:t xml:space="preserve"> da </w:t>
      </w:r>
      <w:r w:rsidR="005A2381" w:rsidRPr="005D6E61">
        <w:rPr>
          <w:rFonts w:ascii="Cambria" w:eastAsia="Calibri" w:hAnsi="Cambria"/>
          <w:sz w:val="20"/>
          <w:szCs w:val="20"/>
          <w:lang w:val="pt-BR"/>
        </w:rPr>
        <w:t>suposta</w:t>
      </w:r>
      <w:r w:rsidR="00AB6D06" w:rsidRPr="005D6E61">
        <w:rPr>
          <w:rFonts w:ascii="Cambria" w:eastAsia="Calibri" w:hAnsi="Cambria"/>
          <w:sz w:val="20"/>
          <w:szCs w:val="20"/>
          <w:lang w:val="pt-BR"/>
        </w:rPr>
        <w:t xml:space="preserve"> </w:t>
      </w:r>
      <w:r w:rsidR="003619A0" w:rsidRPr="005D6E61">
        <w:rPr>
          <w:rFonts w:ascii="Cambria" w:eastAsia="Calibri" w:hAnsi="Cambria"/>
          <w:sz w:val="20"/>
          <w:szCs w:val="20"/>
          <w:lang w:val="pt-BR"/>
        </w:rPr>
        <w:t>vítima</w:t>
      </w:r>
      <w:r w:rsidR="006C5454" w:rsidRPr="005D6E61">
        <w:rPr>
          <w:rFonts w:ascii="Cambria" w:eastAsia="Calibri" w:hAnsi="Cambria"/>
          <w:sz w:val="20"/>
          <w:szCs w:val="20"/>
          <w:lang w:val="pt-BR"/>
        </w:rPr>
        <w:t xml:space="preserve"> e </w:t>
      </w:r>
      <w:r w:rsidR="00AB6D06" w:rsidRPr="005D6E61">
        <w:rPr>
          <w:rFonts w:ascii="Cambria" w:eastAsia="Calibri" w:hAnsi="Cambria"/>
          <w:sz w:val="20"/>
          <w:szCs w:val="20"/>
          <w:lang w:val="pt-BR"/>
        </w:rPr>
        <w:t>pe</w:t>
      </w:r>
      <w:r w:rsidR="002508A0" w:rsidRPr="005D6E61">
        <w:rPr>
          <w:rFonts w:ascii="Cambria" w:eastAsia="Calibri" w:hAnsi="Cambria"/>
          <w:sz w:val="20"/>
          <w:szCs w:val="20"/>
          <w:lang w:val="pt-BR"/>
        </w:rPr>
        <w:t>r</w:t>
      </w:r>
      <w:r w:rsidR="00AB6D06" w:rsidRPr="005D6E61">
        <w:rPr>
          <w:rFonts w:ascii="Cambria" w:eastAsia="Calibri" w:hAnsi="Cambria"/>
          <w:sz w:val="20"/>
          <w:szCs w:val="20"/>
          <w:lang w:val="pt-BR"/>
        </w:rPr>
        <w:t>gunt</w:t>
      </w:r>
      <w:r w:rsidR="002508A0" w:rsidRPr="005D6E61">
        <w:rPr>
          <w:rFonts w:ascii="Cambria" w:eastAsia="Calibri" w:hAnsi="Cambria"/>
          <w:sz w:val="20"/>
          <w:szCs w:val="20"/>
          <w:lang w:val="pt-BR"/>
        </w:rPr>
        <w:t xml:space="preserve">ou se </w:t>
      </w:r>
      <w:r w:rsidR="00AB6D06" w:rsidRPr="005D6E61">
        <w:rPr>
          <w:rFonts w:ascii="Cambria" w:eastAsia="Calibri" w:hAnsi="Cambria"/>
          <w:sz w:val="20"/>
          <w:szCs w:val="20"/>
          <w:lang w:val="pt-BR"/>
        </w:rPr>
        <w:t>ela era “Margarida”</w:t>
      </w:r>
      <w:r w:rsidR="006C5454" w:rsidRPr="005D6E61">
        <w:rPr>
          <w:rFonts w:ascii="Cambria" w:eastAsia="Calibri" w:hAnsi="Cambria"/>
          <w:sz w:val="20"/>
          <w:szCs w:val="20"/>
          <w:lang w:val="pt-BR"/>
        </w:rPr>
        <w:t xml:space="preserve"> e </w:t>
      </w:r>
      <w:r w:rsidR="00EB52A1" w:rsidRPr="005D6E61">
        <w:rPr>
          <w:rFonts w:ascii="Cambria" w:eastAsia="Calibri" w:hAnsi="Cambria"/>
          <w:sz w:val="20"/>
          <w:szCs w:val="20"/>
          <w:lang w:val="pt-BR"/>
        </w:rPr>
        <w:t xml:space="preserve">depois que </w:t>
      </w:r>
      <w:r w:rsidR="00AB6D06" w:rsidRPr="005D6E61">
        <w:rPr>
          <w:rFonts w:ascii="Cambria" w:eastAsia="Calibri" w:hAnsi="Cambria"/>
          <w:sz w:val="20"/>
          <w:szCs w:val="20"/>
          <w:lang w:val="pt-BR"/>
        </w:rPr>
        <w:t>esta</w:t>
      </w:r>
      <w:r w:rsidR="00F77B7F" w:rsidRPr="005D6E61">
        <w:rPr>
          <w:rFonts w:ascii="Cambria" w:eastAsia="Calibri" w:hAnsi="Cambria"/>
          <w:sz w:val="20"/>
          <w:szCs w:val="20"/>
          <w:lang w:val="pt-BR"/>
        </w:rPr>
        <w:t xml:space="preserve"> </w:t>
      </w:r>
      <w:r w:rsidR="00EB52A1" w:rsidRPr="005D6E61">
        <w:rPr>
          <w:rFonts w:ascii="Cambria" w:eastAsia="Calibri" w:hAnsi="Cambria"/>
          <w:sz w:val="20"/>
          <w:szCs w:val="20"/>
          <w:lang w:val="pt-BR"/>
        </w:rPr>
        <w:t>respondeu</w:t>
      </w:r>
      <w:r w:rsidR="00331E62" w:rsidRPr="005D6E61">
        <w:rPr>
          <w:rFonts w:ascii="Cambria" w:eastAsia="Calibri" w:hAnsi="Cambria"/>
          <w:sz w:val="20"/>
          <w:szCs w:val="20"/>
          <w:lang w:val="pt-BR"/>
        </w:rPr>
        <w:t xml:space="preserve"> </w:t>
      </w:r>
      <w:r w:rsidR="009C205A" w:rsidRPr="005D6E61">
        <w:rPr>
          <w:rFonts w:ascii="Cambria" w:eastAsia="Calibri" w:hAnsi="Cambria"/>
          <w:sz w:val="20"/>
          <w:szCs w:val="20"/>
          <w:lang w:val="pt-BR"/>
        </w:rPr>
        <w:t>afirmativamente retirou</w:t>
      </w:r>
      <w:r w:rsidR="00BF0B90" w:rsidRPr="005D6E61">
        <w:rPr>
          <w:rFonts w:ascii="Cambria" w:eastAsia="Calibri" w:hAnsi="Cambria"/>
          <w:sz w:val="20"/>
          <w:szCs w:val="20"/>
          <w:lang w:val="pt-BR"/>
        </w:rPr>
        <w:t xml:space="preserve"> </w:t>
      </w:r>
      <w:r w:rsidRPr="005D6E61">
        <w:rPr>
          <w:rFonts w:ascii="Cambria" w:eastAsia="Calibri" w:hAnsi="Cambria"/>
          <w:sz w:val="20"/>
          <w:szCs w:val="20"/>
          <w:lang w:val="pt-BR"/>
        </w:rPr>
        <w:t>um</w:t>
      </w:r>
      <w:r w:rsidR="00EB52A1" w:rsidRPr="005D6E61">
        <w:rPr>
          <w:rFonts w:ascii="Cambria" w:eastAsia="Calibri" w:hAnsi="Cambria"/>
          <w:sz w:val="20"/>
          <w:szCs w:val="20"/>
          <w:lang w:val="pt-BR"/>
        </w:rPr>
        <w:t>a</w:t>
      </w:r>
      <w:r w:rsidRPr="005D6E61">
        <w:rPr>
          <w:rFonts w:ascii="Cambria" w:eastAsia="Calibri" w:hAnsi="Cambria"/>
          <w:sz w:val="20"/>
          <w:szCs w:val="20"/>
          <w:lang w:val="pt-BR"/>
        </w:rPr>
        <w:t xml:space="preserve"> </w:t>
      </w:r>
      <w:r w:rsidR="00AB6D06" w:rsidRPr="005D6E61">
        <w:rPr>
          <w:rFonts w:ascii="Cambria" w:eastAsia="Calibri" w:hAnsi="Cambria"/>
          <w:sz w:val="20"/>
          <w:szCs w:val="20"/>
          <w:lang w:val="pt-BR"/>
        </w:rPr>
        <w:t>arma de f</w:t>
      </w:r>
      <w:r w:rsidR="00EB52A1" w:rsidRPr="005D6E61">
        <w:rPr>
          <w:rFonts w:ascii="Cambria" w:eastAsia="Calibri" w:hAnsi="Cambria"/>
          <w:sz w:val="20"/>
          <w:szCs w:val="20"/>
          <w:lang w:val="pt-BR"/>
        </w:rPr>
        <w:t>o</w:t>
      </w:r>
      <w:r w:rsidR="00AB6D06" w:rsidRPr="005D6E61">
        <w:rPr>
          <w:rFonts w:ascii="Cambria" w:eastAsia="Calibri" w:hAnsi="Cambria"/>
          <w:sz w:val="20"/>
          <w:szCs w:val="20"/>
          <w:lang w:val="pt-BR"/>
        </w:rPr>
        <w:t>go de</w:t>
      </w:r>
      <w:r w:rsidR="006C5454" w:rsidRPr="005D6E61">
        <w:rPr>
          <w:rFonts w:ascii="Cambria" w:eastAsia="Calibri" w:hAnsi="Cambria"/>
          <w:sz w:val="20"/>
          <w:szCs w:val="20"/>
          <w:lang w:val="pt-BR"/>
        </w:rPr>
        <w:t xml:space="preserve"> uma </w:t>
      </w:r>
      <w:r w:rsidR="00AB6D06" w:rsidRPr="005D6E61">
        <w:rPr>
          <w:rFonts w:ascii="Cambria" w:eastAsia="Calibri" w:hAnsi="Cambria"/>
          <w:sz w:val="20"/>
          <w:szCs w:val="20"/>
          <w:lang w:val="pt-BR"/>
        </w:rPr>
        <w:t>bolsa grande de te</w:t>
      </w:r>
      <w:r w:rsidR="00EB52A1" w:rsidRPr="005D6E61">
        <w:rPr>
          <w:rFonts w:ascii="Cambria" w:eastAsia="Calibri" w:hAnsi="Cambria"/>
          <w:sz w:val="20"/>
          <w:szCs w:val="20"/>
          <w:lang w:val="pt-BR"/>
        </w:rPr>
        <w:t>c</w:t>
      </w:r>
      <w:r w:rsidR="00AB6D06" w:rsidRPr="005D6E61">
        <w:rPr>
          <w:rFonts w:ascii="Cambria" w:eastAsia="Calibri" w:hAnsi="Cambria"/>
          <w:sz w:val="20"/>
          <w:szCs w:val="20"/>
          <w:lang w:val="pt-BR"/>
        </w:rPr>
        <w:t xml:space="preserve">ido </w:t>
      </w:r>
      <w:r w:rsidR="006C5454" w:rsidRPr="005D6E61">
        <w:rPr>
          <w:rFonts w:ascii="Cambria" w:eastAsia="Calibri" w:hAnsi="Cambria"/>
          <w:sz w:val="20"/>
          <w:szCs w:val="20"/>
          <w:lang w:val="pt-BR"/>
        </w:rPr>
        <w:t xml:space="preserve">e </w:t>
      </w:r>
      <w:r w:rsidR="00AB6D06" w:rsidRPr="005D6E61">
        <w:rPr>
          <w:rFonts w:ascii="Cambria" w:eastAsia="Calibri" w:hAnsi="Cambria"/>
          <w:sz w:val="20"/>
          <w:szCs w:val="20"/>
          <w:lang w:val="pt-BR"/>
        </w:rPr>
        <w:t>dispar</w:t>
      </w:r>
      <w:r w:rsidR="00BF0B90" w:rsidRPr="005D6E61">
        <w:rPr>
          <w:rFonts w:ascii="Cambria" w:eastAsia="Calibri" w:hAnsi="Cambria"/>
          <w:sz w:val="20"/>
          <w:szCs w:val="20"/>
          <w:lang w:val="pt-BR"/>
        </w:rPr>
        <w:t xml:space="preserve">ou </w:t>
      </w:r>
      <w:r w:rsidR="00AB6D06" w:rsidRPr="005D6E61">
        <w:rPr>
          <w:rFonts w:ascii="Cambria" w:eastAsia="Calibri" w:hAnsi="Cambria"/>
          <w:sz w:val="20"/>
          <w:szCs w:val="20"/>
          <w:lang w:val="pt-BR"/>
        </w:rPr>
        <w:t>contra e</w:t>
      </w:r>
      <w:r w:rsidR="00EB52A1" w:rsidRPr="005D6E61">
        <w:rPr>
          <w:rFonts w:ascii="Cambria" w:eastAsia="Calibri" w:hAnsi="Cambria"/>
          <w:sz w:val="20"/>
          <w:szCs w:val="20"/>
          <w:lang w:val="pt-BR"/>
        </w:rPr>
        <w:t>l</w:t>
      </w:r>
      <w:r w:rsidR="00AB6D06" w:rsidRPr="005D6E61">
        <w:rPr>
          <w:rFonts w:ascii="Cambria" w:eastAsia="Calibri" w:hAnsi="Cambria"/>
          <w:sz w:val="20"/>
          <w:szCs w:val="20"/>
          <w:lang w:val="pt-BR"/>
        </w:rPr>
        <w:t xml:space="preserve">a. </w:t>
      </w:r>
    </w:p>
    <w:p w14:paraId="3A46A171" w14:textId="77777777" w:rsidR="00AB6D06" w:rsidRPr="005D6E61" w:rsidRDefault="00AB6D06" w:rsidP="00AB6D0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lang w:val="pt-BR"/>
        </w:rPr>
      </w:pPr>
    </w:p>
    <w:p w14:paraId="42AC3C26" w14:textId="77777777" w:rsidR="000C687E" w:rsidRPr="005D6E61" w:rsidRDefault="00CC7842"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Calibri" w:hAnsi="Cambria"/>
          <w:sz w:val="20"/>
          <w:szCs w:val="20"/>
          <w:lang w:val="pt-BR"/>
        </w:rPr>
      </w:pPr>
      <w:r w:rsidRPr="005D6E61">
        <w:rPr>
          <w:rFonts w:ascii="Cambria" w:eastAsia="Calibri" w:hAnsi="Cambria"/>
          <w:sz w:val="20"/>
          <w:szCs w:val="20"/>
          <w:lang w:val="pt-BR"/>
        </w:rPr>
        <w:t>Indicar</w:t>
      </w:r>
      <w:r w:rsidR="00EB52A1" w:rsidRPr="005D6E61">
        <w:rPr>
          <w:rFonts w:ascii="Cambria" w:eastAsia="Calibri" w:hAnsi="Cambria"/>
          <w:sz w:val="20"/>
          <w:szCs w:val="20"/>
          <w:lang w:val="pt-BR"/>
        </w:rPr>
        <w:t>am</w:t>
      </w:r>
      <w:r w:rsidRPr="005D6E61">
        <w:rPr>
          <w:rFonts w:ascii="Cambria" w:eastAsia="Calibri" w:hAnsi="Cambria"/>
          <w:sz w:val="20"/>
          <w:szCs w:val="20"/>
          <w:lang w:val="pt-BR"/>
        </w:rPr>
        <w:t xml:space="preserve"> que </w:t>
      </w:r>
      <w:r w:rsidR="00315C45" w:rsidRPr="005D6E61">
        <w:rPr>
          <w:rFonts w:ascii="Cambria" w:eastAsia="Calibri" w:hAnsi="Cambria"/>
          <w:sz w:val="20"/>
          <w:szCs w:val="20"/>
          <w:lang w:val="pt-BR"/>
        </w:rPr>
        <w:t>Margarida Maria Alves promov</w:t>
      </w:r>
      <w:r w:rsidR="005A2381" w:rsidRPr="005D6E61">
        <w:rPr>
          <w:rFonts w:ascii="Cambria" w:eastAsia="Calibri" w:hAnsi="Cambria"/>
          <w:sz w:val="20"/>
          <w:szCs w:val="20"/>
          <w:lang w:val="pt-BR"/>
        </w:rPr>
        <w:t>ia</w:t>
      </w:r>
      <w:r w:rsidR="00315C45" w:rsidRPr="005D6E61">
        <w:rPr>
          <w:rFonts w:ascii="Cambria" w:eastAsia="Calibri" w:hAnsi="Cambria"/>
          <w:sz w:val="20"/>
          <w:szCs w:val="20"/>
          <w:lang w:val="pt-BR"/>
        </w:rPr>
        <w:t xml:space="preserve"> campa</w:t>
      </w:r>
      <w:r w:rsidR="00EB52A1" w:rsidRPr="005D6E61">
        <w:rPr>
          <w:rFonts w:ascii="Cambria" w:eastAsia="Calibri" w:hAnsi="Cambria"/>
          <w:sz w:val="20"/>
          <w:szCs w:val="20"/>
          <w:lang w:val="pt-BR"/>
        </w:rPr>
        <w:t>nh</w:t>
      </w:r>
      <w:r w:rsidR="00315C45" w:rsidRPr="005D6E61">
        <w:rPr>
          <w:rFonts w:ascii="Cambria" w:eastAsia="Calibri" w:hAnsi="Cambria"/>
          <w:sz w:val="20"/>
          <w:szCs w:val="20"/>
          <w:lang w:val="pt-BR"/>
        </w:rPr>
        <w:t xml:space="preserve">as de </w:t>
      </w:r>
      <w:r w:rsidR="00054FCA" w:rsidRPr="005D6E61">
        <w:rPr>
          <w:rFonts w:ascii="Cambria" w:eastAsia="Calibri" w:hAnsi="Cambria"/>
          <w:sz w:val="20"/>
          <w:szCs w:val="20"/>
          <w:lang w:val="pt-BR"/>
        </w:rPr>
        <w:t>promo</w:t>
      </w:r>
      <w:r w:rsidR="00A274D9" w:rsidRPr="005D6E61">
        <w:rPr>
          <w:rFonts w:ascii="Cambria" w:eastAsia="Calibri" w:hAnsi="Cambria"/>
          <w:sz w:val="20"/>
          <w:szCs w:val="20"/>
          <w:lang w:val="pt-BR"/>
        </w:rPr>
        <w:t>ção</w:t>
      </w:r>
      <w:r w:rsidRPr="005D6E61">
        <w:rPr>
          <w:rFonts w:ascii="Cambria" w:eastAsia="Calibri" w:hAnsi="Cambria"/>
          <w:sz w:val="20"/>
          <w:szCs w:val="20"/>
          <w:lang w:val="pt-BR"/>
        </w:rPr>
        <w:t xml:space="preserve"> </w:t>
      </w:r>
      <w:r w:rsidR="00315C45" w:rsidRPr="005D6E61">
        <w:rPr>
          <w:rFonts w:ascii="Cambria" w:eastAsia="Calibri" w:hAnsi="Cambria"/>
          <w:sz w:val="20"/>
          <w:szCs w:val="20"/>
          <w:lang w:val="pt-BR"/>
        </w:rPr>
        <w:t xml:space="preserve">de </w:t>
      </w:r>
      <w:r w:rsidR="00675058" w:rsidRPr="005D6E61">
        <w:rPr>
          <w:rFonts w:ascii="Cambria" w:eastAsia="Calibri" w:hAnsi="Cambria"/>
          <w:sz w:val="20"/>
          <w:szCs w:val="20"/>
          <w:lang w:val="pt-BR"/>
        </w:rPr>
        <w:t>direito</w:t>
      </w:r>
      <w:r w:rsidR="00315C45" w:rsidRPr="005D6E61">
        <w:rPr>
          <w:rFonts w:ascii="Cambria" w:eastAsia="Calibri" w:hAnsi="Cambria"/>
          <w:sz w:val="20"/>
          <w:szCs w:val="20"/>
          <w:lang w:val="pt-BR"/>
        </w:rPr>
        <w:t xml:space="preserve">s </w:t>
      </w:r>
      <w:r w:rsidR="00275A65" w:rsidRPr="005D6E61">
        <w:rPr>
          <w:rFonts w:ascii="Cambria" w:eastAsia="Calibri" w:hAnsi="Cambria"/>
          <w:sz w:val="20"/>
          <w:szCs w:val="20"/>
          <w:lang w:val="pt-BR"/>
        </w:rPr>
        <w:t>trabalhistas</w:t>
      </w:r>
      <w:r w:rsidR="007612B9" w:rsidRPr="005D6E61">
        <w:rPr>
          <w:rFonts w:ascii="Cambria" w:eastAsia="Calibri" w:hAnsi="Cambria"/>
          <w:sz w:val="20"/>
          <w:szCs w:val="20"/>
          <w:lang w:val="pt-BR"/>
        </w:rPr>
        <w:t xml:space="preserve">, o que </w:t>
      </w:r>
      <w:r w:rsidR="00315C45" w:rsidRPr="005D6E61">
        <w:rPr>
          <w:rFonts w:ascii="Cambria" w:eastAsia="Calibri" w:hAnsi="Cambria"/>
          <w:sz w:val="20"/>
          <w:szCs w:val="20"/>
          <w:lang w:val="pt-BR"/>
        </w:rPr>
        <w:t>lev</w:t>
      </w:r>
      <w:r w:rsidR="00BF0B90" w:rsidRPr="005D6E61">
        <w:rPr>
          <w:rFonts w:ascii="Cambria" w:eastAsia="Calibri" w:hAnsi="Cambria"/>
          <w:sz w:val="20"/>
          <w:szCs w:val="20"/>
          <w:lang w:val="pt-BR"/>
        </w:rPr>
        <w:t xml:space="preserve">ou </w:t>
      </w:r>
      <w:r w:rsidR="00275A65" w:rsidRPr="005D6E61">
        <w:rPr>
          <w:rFonts w:ascii="Cambria" w:eastAsia="Calibri" w:hAnsi="Cambria"/>
          <w:sz w:val="20"/>
          <w:szCs w:val="20"/>
          <w:lang w:val="pt-BR"/>
        </w:rPr>
        <w:t>à a</w:t>
      </w:r>
      <w:r w:rsidRPr="005D6E61">
        <w:rPr>
          <w:rFonts w:ascii="Cambria" w:eastAsia="Calibri" w:hAnsi="Cambria"/>
          <w:sz w:val="20"/>
          <w:szCs w:val="20"/>
          <w:lang w:val="pt-BR"/>
        </w:rPr>
        <w:t>presenta</w:t>
      </w:r>
      <w:r w:rsidR="00A274D9" w:rsidRPr="005D6E61">
        <w:rPr>
          <w:rFonts w:ascii="Cambria" w:eastAsia="Calibri" w:hAnsi="Cambria"/>
          <w:sz w:val="20"/>
          <w:szCs w:val="20"/>
          <w:lang w:val="pt-BR"/>
        </w:rPr>
        <w:t>ção</w:t>
      </w:r>
      <w:r w:rsidR="00315C45" w:rsidRPr="005D6E61">
        <w:rPr>
          <w:rFonts w:ascii="Cambria" w:eastAsia="Calibri" w:hAnsi="Cambria"/>
          <w:sz w:val="20"/>
          <w:szCs w:val="20"/>
          <w:lang w:val="pt-BR"/>
        </w:rPr>
        <w:t xml:space="preserve"> de m</w:t>
      </w:r>
      <w:r w:rsidR="007612B9" w:rsidRPr="005D6E61">
        <w:rPr>
          <w:rFonts w:ascii="Cambria" w:eastAsia="Calibri" w:hAnsi="Cambria"/>
          <w:sz w:val="20"/>
          <w:szCs w:val="20"/>
          <w:lang w:val="pt-BR"/>
        </w:rPr>
        <w:t>ai</w:t>
      </w:r>
      <w:r w:rsidR="00315C45" w:rsidRPr="005D6E61">
        <w:rPr>
          <w:rFonts w:ascii="Cambria" w:eastAsia="Calibri" w:hAnsi="Cambria"/>
          <w:sz w:val="20"/>
          <w:szCs w:val="20"/>
          <w:lang w:val="pt-BR"/>
        </w:rPr>
        <w:t>s de 73 reclama</w:t>
      </w:r>
      <w:r w:rsidR="00F77B7F" w:rsidRPr="005D6E61">
        <w:rPr>
          <w:rFonts w:ascii="Cambria" w:eastAsia="Calibri" w:hAnsi="Cambria"/>
          <w:sz w:val="20"/>
          <w:szCs w:val="20"/>
          <w:lang w:val="pt-BR"/>
        </w:rPr>
        <w:t>ções</w:t>
      </w:r>
      <w:r w:rsidR="00315C45" w:rsidRPr="005D6E61">
        <w:rPr>
          <w:rFonts w:ascii="Cambria" w:eastAsia="Calibri" w:hAnsi="Cambria"/>
          <w:sz w:val="20"/>
          <w:szCs w:val="20"/>
          <w:lang w:val="pt-BR"/>
        </w:rPr>
        <w:t xml:space="preserve"> des</w:t>
      </w:r>
      <w:r w:rsidR="00EB52A1" w:rsidRPr="005D6E61">
        <w:rPr>
          <w:rFonts w:ascii="Cambria" w:eastAsia="Calibri" w:hAnsi="Cambria"/>
          <w:sz w:val="20"/>
          <w:szCs w:val="20"/>
          <w:lang w:val="pt-BR"/>
        </w:rPr>
        <w:t>s</w:t>
      </w:r>
      <w:r w:rsidR="00315C45" w:rsidRPr="005D6E61">
        <w:rPr>
          <w:rFonts w:ascii="Cambria" w:eastAsia="Calibri" w:hAnsi="Cambria"/>
          <w:sz w:val="20"/>
          <w:szCs w:val="20"/>
          <w:lang w:val="pt-BR"/>
        </w:rPr>
        <w:t>a natureza</w:t>
      </w:r>
      <w:r w:rsidR="00F77B7F" w:rsidRPr="005D6E61">
        <w:rPr>
          <w:rFonts w:ascii="Cambria" w:eastAsia="Calibri" w:hAnsi="Cambria"/>
          <w:sz w:val="20"/>
          <w:szCs w:val="20"/>
          <w:lang w:val="pt-BR"/>
        </w:rPr>
        <w:t xml:space="preserve"> </w:t>
      </w:r>
      <w:r w:rsidRPr="005D6E61">
        <w:rPr>
          <w:rFonts w:ascii="Cambria" w:eastAsia="Calibri" w:hAnsi="Cambria"/>
          <w:sz w:val="20"/>
          <w:szCs w:val="20"/>
          <w:lang w:val="pt-BR"/>
        </w:rPr>
        <w:t>contra prop</w:t>
      </w:r>
      <w:r w:rsidR="00EB52A1" w:rsidRPr="005D6E61">
        <w:rPr>
          <w:rFonts w:ascii="Cambria" w:eastAsia="Calibri" w:hAnsi="Cambria"/>
          <w:sz w:val="20"/>
          <w:szCs w:val="20"/>
          <w:lang w:val="pt-BR"/>
        </w:rPr>
        <w:t>r</w:t>
      </w:r>
      <w:r w:rsidRPr="005D6E61">
        <w:rPr>
          <w:rFonts w:ascii="Cambria" w:eastAsia="Calibri" w:hAnsi="Cambria"/>
          <w:sz w:val="20"/>
          <w:szCs w:val="20"/>
          <w:lang w:val="pt-BR"/>
        </w:rPr>
        <w:t>iet</w:t>
      </w:r>
      <w:r w:rsidR="00EB52A1" w:rsidRPr="005D6E61">
        <w:rPr>
          <w:rFonts w:ascii="Cambria" w:eastAsia="Calibri" w:hAnsi="Cambria"/>
          <w:sz w:val="20"/>
          <w:szCs w:val="20"/>
          <w:lang w:val="pt-BR"/>
        </w:rPr>
        <w:t>á</w:t>
      </w:r>
      <w:r w:rsidRPr="005D6E61">
        <w:rPr>
          <w:rFonts w:ascii="Cambria" w:eastAsia="Calibri" w:hAnsi="Cambria"/>
          <w:sz w:val="20"/>
          <w:szCs w:val="20"/>
          <w:lang w:val="pt-BR"/>
        </w:rPr>
        <w:t>rios de terras</w:t>
      </w:r>
      <w:r w:rsidR="006C5454" w:rsidRPr="005D6E61">
        <w:rPr>
          <w:rFonts w:ascii="Cambria" w:eastAsia="Calibri" w:hAnsi="Cambria"/>
          <w:sz w:val="20"/>
          <w:szCs w:val="20"/>
          <w:lang w:val="pt-BR"/>
        </w:rPr>
        <w:t xml:space="preserve"> e </w:t>
      </w:r>
      <w:r w:rsidR="00275A65" w:rsidRPr="005D6E61">
        <w:rPr>
          <w:rFonts w:ascii="Cambria" w:eastAsia="Calibri" w:hAnsi="Cambria"/>
          <w:sz w:val="20"/>
          <w:szCs w:val="20"/>
          <w:lang w:val="pt-BR"/>
        </w:rPr>
        <w:t>agro</w:t>
      </w:r>
      <w:r w:rsidRPr="005D6E61">
        <w:rPr>
          <w:rFonts w:ascii="Cambria" w:eastAsia="Calibri" w:hAnsi="Cambria"/>
          <w:sz w:val="20"/>
          <w:szCs w:val="20"/>
          <w:lang w:val="pt-BR"/>
        </w:rPr>
        <w:t>neg</w:t>
      </w:r>
      <w:r w:rsidR="00EB52A1" w:rsidRPr="005D6E61">
        <w:rPr>
          <w:rFonts w:ascii="Cambria" w:eastAsia="Calibri" w:hAnsi="Cambria"/>
          <w:sz w:val="20"/>
          <w:szCs w:val="20"/>
          <w:lang w:val="pt-BR"/>
        </w:rPr>
        <w:t>ó</w:t>
      </w:r>
      <w:r w:rsidRPr="005D6E61">
        <w:rPr>
          <w:rFonts w:ascii="Cambria" w:eastAsia="Calibri" w:hAnsi="Cambria"/>
          <w:sz w:val="20"/>
          <w:szCs w:val="20"/>
          <w:lang w:val="pt-BR"/>
        </w:rPr>
        <w:t>cios ante</w:t>
      </w:r>
      <w:r w:rsidR="00331E62" w:rsidRPr="005D6E61">
        <w:rPr>
          <w:rFonts w:ascii="Cambria" w:eastAsia="Calibri" w:hAnsi="Cambria"/>
          <w:sz w:val="20"/>
          <w:szCs w:val="20"/>
          <w:lang w:val="pt-BR"/>
        </w:rPr>
        <w:t xml:space="preserve"> o </w:t>
      </w:r>
      <w:r w:rsidRPr="005D6E61">
        <w:rPr>
          <w:rFonts w:ascii="Cambria" w:eastAsia="Calibri" w:hAnsi="Cambria"/>
          <w:sz w:val="20"/>
          <w:szCs w:val="20"/>
          <w:lang w:val="pt-BR"/>
        </w:rPr>
        <w:t>Poder Judici</w:t>
      </w:r>
      <w:r w:rsidR="00EB52A1" w:rsidRPr="005D6E61">
        <w:rPr>
          <w:rFonts w:ascii="Cambria" w:eastAsia="Calibri" w:hAnsi="Cambria"/>
          <w:sz w:val="20"/>
          <w:szCs w:val="20"/>
          <w:lang w:val="pt-BR"/>
        </w:rPr>
        <w:t>ário</w:t>
      </w:r>
      <w:r w:rsidR="004B32AE" w:rsidRPr="005D6E61">
        <w:rPr>
          <w:rFonts w:ascii="Cambria" w:eastAsia="Calibri" w:hAnsi="Cambria"/>
          <w:sz w:val="20"/>
          <w:szCs w:val="20"/>
          <w:lang w:val="pt-BR"/>
        </w:rPr>
        <w:t>.</w:t>
      </w:r>
    </w:p>
    <w:p w14:paraId="648C5E4F" w14:textId="77777777" w:rsidR="000C687E" w:rsidRPr="005D6E61" w:rsidRDefault="000C687E" w:rsidP="000C68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lang w:val="pt-BR"/>
        </w:rPr>
      </w:pPr>
    </w:p>
    <w:p w14:paraId="780AFB1A" w14:textId="77777777" w:rsidR="000C687E" w:rsidRPr="005D6E61" w:rsidRDefault="004B32AE"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Calibri" w:hAnsi="Cambria"/>
          <w:sz w:val="20"/>
          <w:szCs w:val="20"/>
          <w:lang w:val="pt-BR"/>
        </w:rPr>
      </w:pPr>
      <w:r w:rsidRPr="005D6E61">
        <w:rPr>
          <w:rFonts w:ascii="Cambria" w:eastAsia="Calibri" w:hAnsi="Cambria"/>
          <w:sz w:val="20"/>
          <w:szCs w:val="20"/>
          <w:lang w:val="pt-BR"/>
        </w:rPr>
        <w:t>Indic</w:t>
      </w:r>
      <w:r w:rsidR="00E2527A" w:rsidRPr="005D6E61">
        <w:rPr>
          <w:rFonts w:ascii="Cambria" w:eastAsia="Calibri" w:hAnsi="Cambria"/>
          <w:sz w:val="20"/>
          <w:szCs w:val="20"/>
          <w:lang w:val="pt-BR"/>
        </w:rPr>
        <w:t>aram</w:t>
      </w:r>
      <w:r w:rsidRPr="005D6E61">
        <w:rPr>
          <w:rFonts w:ascii="Cambria" w:eastAsia="Calibri" w:hAnsi="Cambria"/>
          <w:sz w:val="20"/>
          <w:szCs w:val="20"/>
          <w:lang w:val="pt-BR"/>
        </w:rPr>
        <w:t xml:space="preserve"> que</w:t>
      </w:r>
      <w:r w:rsidR="00F77B7F" w:rsidRPr="005D6E61">
        <w:rPr>
          <w:rFonts w:ascii="Cambria" w:eastAsia="Calibri" w:hAnsi="Cambria"/>
          <w:sz w:val="20"/>
          <w:szCs w:val="20"/>
          <w:lang w:val="pt-BR"/>
        </w:rPr>
        <w:t xml:space="preserve"> as </w:t>
      </w:r>
      <w:r w:rsidRPr="005D6E61">
        <w:rPr>
          <w:rFonts w:ascii="Cambria" w:eastAsia="Calibri" w:hAnsi="Cambria"/>
          <w:sz w:val="20"/>
          <w:szCs w:val="20"/>
          <w:lang w:val="pt-BR"/>
        </w:rPr>
        <w:t>investiga</w:t>
      </w:r>
      <w:r w:rsidR="00074F8F" w:rsidRPr="005D6E61">
        <w:rPr>
          <w:rFonts w:ascii="Cambria" w:eastAsia="Calibri" w:hAnsi="Cambria"/>
          <w:sz w:val="20"/>
          <w:szCs w:val="20"/>
          <w:lang w:val="pt-BR"/>
        </w:rPr>
        <w:t xml:space="preserve">ções do </w:t>
      </w:r>
      <w:r w:rsidR="00EB52A1" w:rsidRPr="005D6E61">
        <w:rPr>
          <w:rFonts w:ascii="Cambria" w:eastAsia="Calibri" w:hAnsi="Cambria"/>
          <w:sz w:val="20"/>
          <w:szCs w:val="20"/>
          <w:lang w:val="pt-BR"/>
        </w:rPr>
        <w:t>assassinato</w:t>
      </w:r>
      <w:r w:rsidR="00675058" w:rsidRPr="005D6E61">
        <w:rPr>
          <w:rFonts w:ascii="Cambria" w:eastAsia="Calibri" w:hAnsi="Cambria"/>
          <w:sz w:val="20"/>
          <w:szCs w:val="20"/>
          <w:lang w:val="pt-BR"/>
        </w:rPr>
        <w:t xml:space="preserve"> da </w:t>
      </w:r>
      <w:r w:rsidR="005A2381" w:rsidRPr="005D6E61">
        <w:rPr>
          <w:rFonts w:ascii="Cambria" w:eastAsia="Calibri" w:hAnsi="Cambria"/>
          <w:sz w:val="20"/>
          <w:szCs w:val="20"/>
          <w:lang w:val="pt-BR"/>
        </w:rPr>
        <w:t>suposta</w:t>
      </w:r>
      <w:r w:rsidRPr="005D6E61">
        <w:rPr>
          <w:rFonts w:ascii="Cambria" w:eastAsia="Calibri" w:hAnsi="Cambria"/>
          <w:sz w:val="20"/>
          <w:szCs w:val="20"/>
          <w:lang w:val="pt-BR"/>
        </w:rPr>
        <w:t xml:space="preserve"> </w:t>
      </w:r>
      <w:r w:rsidR="003619A0" w:rsidRPr="005D6E61">
        <w:rPr>
          <w:rFonts w:ascii="Cambria" w:eastAsia="Calibri" w:hAnsi="Cambria"/>
          <w:sz w:val="20"/>
          <w:szCs w:val="20"/>
          <w:lang w:val="pt-BR"/>
        </w:rPr>
        <w:t>vítima</w:t>
      </w:r>
      <w:r w:rsidRPr="005D6E61">
        <w:rPr>
          <w:rFonts w:ascii="Cambria" w:eastAsia="Calibri" w:hAnsi="Cambria"/>
          <w:sz w:val="20"/>
          <w:szCs w:val="20"/>
          <w:lang w:val="pt-BR"/>
        </w:rPr>
        <w:t xml:space="preserve"> f</w:t>
      </w:r>
      <w:r w:rsidR="00275A65" w:rsidRPr="005D6E61">
        <w:rPr>
          <w:rFonts w:ascii="Cambria" w:eastAsia="Calibri" w:hAnsi="Cambria"/>
          <w:sz w:val="20"/>
          <w:szCs w:val="20"/>
          <w:lang w:val="pt-BR"/>
        </w:rPr>
        <w:t>oram</w:t>
      </w:r>
      <w:r w:rsidRPr="005D6E61">
        <w:rPr>
          <w:rFonts w:ascii="Cambria" w:eastAsia="Calibri" w:hAnsi="Cambria"/>
          <w:sz w:val="20"/>
          <w:szCs w:val="20"/>
          <w:lang w:val="pt-BR"/>
        </w:rPr>
        <w:t xml:space="preserve"> deficientes. </w:t>
      </w:r>
      <w:r w:rsidR="00352E6C" w:rsidRPr="005D6E61">
        <w:rPr>
          <w:rFonts w:ascii="Cambria" w:eastAsia="Calibri" w:hAnsi="Cambria"/>
          <w:sz w:val="20"/>
          <w:szCs w:val="20"/>
          <w:lang w:val="pt-BR"/>
        </w:rPr>
        <w:t xml:space="preserve"> </w:t>
      </w:r>
      <w:r w:rsidR="007612B9" w:rsidRPr="005D6E61">
        <w:rPr>
          <w:rFonts w:ascii="Cambria" w:eastAsia="Calibri" w:hAnsi="Cambria"/>
          <w:sz w:val="20"/>
          <w:szCs w:val="20"/>
          <w:lang w:val="pt-BR"/>
        </w:rPr>
        <w:t>Afirmaram</w:t>
      </w:r>
      <w:r w:rsidR="00352E6C" w:rsidRPr="005D6E61">
        <w:rPr>
          <w:rFonts w:ascii="Cambria" w:eastAsia="Calibri" w:hAnsi="Cambria"/>
          <w:sz w:val="20"/>
          <w:szCs w:val="20"/>
          <w:lang w:val="pt-BR"/>
        </w:rPr>
        <w:t xml:space="preserve"> que</w:t>
      </w:r>
      <w:r w:rsidR="00F77B7F" w:rsidRPr="005D6E61">
        <w:rPr>
          <w:rFonts w:ascii="Cambria" w:eastAsia="Calibri" w:hAnsi="Cambria"/>
          <w:sz w:val="20"/>
          <w:szCs w:val="20"/>
          <w:lang w:val="pt-BR"/>
        </w:rPr>
        <w:t xml:space="preserve"> </w:t>
      </w:r>
      <w:r w:rsidR="00074F8F" w:rsidRPr="005D6E61">
        <w:rPr>
          <w:rFonts w:ascii="Cambria" w:eastAsia="Calibri" w:hAnsi="Cambria"/>
          <w:sz w:val="20"/>
          <w:szCs w:val="20"/>
          <w:lang w:val="pt-BR"/>
        </w:rPr>
        <w:t>inicialmente</w:t>
      </w:r>
      <w:r w:rsidR="00331E62" w:rsidRPr="005D6E61">
        <w:rPr>
          <w:rFonts w:ascii="Cambria" w:eastAsia="Calibri" w:hAnsi="Cambria"/>
          <w:sz w:val="20"/>
          <w:szCs w:val="20"/>
          <w:lang w:val="pt-BR"/>
        </w:rPr>
        <w:t xml:space="preserve"> a </w:t>
      </w:r>
      <w:r w:rsidR="00352E6C" w:rsidRPr="005D6E61">
        <w:rPr>
          <w:rFonts w:ascii="Cambria" w:eastAsia="Calibri" w:hAnsi="Cambria"/>
          <w:sz w:val="20"/>
          <w:szCs w:val="20"/>
          <w:lang w:val="pt-BR"/>
        </w:rPr>
        <w:t>Pol</w:t>
      </w:r>
      <w:r w:rsidR="00074F8F" w:rsidRPr="005D6E61">
        <w:rPr>
          <w:rFonts w:ascii="Cambria" w:eastAsia="Calibri" w:hAnsi="Cambria"/>
          <w:sz w:val="20"/>
          <w:szCs w:val="20"/>
          <w:lang w:val="pt-BR"/>
        </w:rPr>
        <w:t>í</w:t>
      </w:r>
      <w:r w:rsidR="00352E6C" w:rsidRPr="005D6E61">
        <w:rPr>
          <w:rFonts w:ascii="Cambria" w:eastAsia="Calibri" w:hAnsi="Cambria"/>
          <w:sz w:val="20"/>
          <w:szCs w:val="20"/>
          <w:lang w:val="pt-BR"/>
        </w:rPr>
        <w:t>c</w:t>
      </w:r>
      <w:r w:rsidR="005A2381" w:rsidRPr="005D6E61">
        <w:rPr>
          <w:rFonts w:ascii="Cambria" w:eastAsia="Calibri" w:hAnsi="Cambria"/>
          <w:sz w:val="20"/>
          <w:szCs w:val="20"/>
          <w:lang w:val="pt-BR"/>
        </w:rPr>
        <w:t>ia</w:t>
      </w:r>
      <w:r w:rsidR="00352E6C" w:rsidRPr="005D6E61">
        <w:rPr>
          <w:rFonts w:ascii="Cambria" w:eastAsia="Calibri" w:hAnsi="Cambria"/>
          <w:sz w:val="20"/>
          <w:szCs w:val="20"/>
          <w:lang w:val="pt-BR"/>
        </w:rPr>
        <w:t xml:space="preserve"> Civil </w:t>
      </w:r>
      <w:r w:rsidR="004F53C3" w:rsidRPr="005D6E61">
        <w:rPr>
          <w:rFonts w:ascii="Cambria" w:eastAsia="Calibri" w:hAnsi="Cambria"/>
          <w:sz w:val="20"/>
          <w:szCs w:val="20"/>
          <w:lang w:val="pt-BR"/>
        </w:rPr>
        <w:t>identific</w:t>
      </w:r>
      <w:r w:rsidR="00BF0B90" w:rsidRPr="005D6E61">
        <w:rPr>
          <w:rFonts w:ascii="Cambria" w:eastAsia="Calibri" w:hAnsi="Cambria"/>
          <w:sz w:val="20"/>
          <w:szCs w:val="20"/>
          <w:lang w:val="pt-BR"/>
        </w:rPr>
        <w:t xml:space="preserve">ou </w:t>
      </w:r>
      <w:r w:rsidR="00331E62" w:rsidRPr="005D6E61">
        <w:rPr>
          <w:rFonts w:ascii="Cambria" w:eastAsia="Calibri" w:hAnsi="Cambria"/>
          <w:sz w:val="20"/>
          <w:szCs w:val="20"/>
          <w:lang w:val="pt-BR"/>
        </w:rPr>
        <w:t xml:space="preserve">a </w:t>
      </w:r>
      <w:r w:rsidR="004F53C3" w:rsidRPr="005D6E61">
        <w:rPr>
          <w:rFonts w:ascii="Cambria" w:eastAsia="Calibri" w:hAnsi="Cambria"/>
          <w:sz w:val="20"/>
          <w:szCs w:val="20"/>
          <w:lang w:val="pt-BR"/>
        </w:rPr>
        <w:t>participa</w:t>
      </w:r>
      <w:r w:rsidR="00A274D9" w:rsidRPr="005D6E61">
        <w:rPr>
          <w:rFonts w:ascii="Cambria" w:eastAsia="Calibri" w:hAnsi="Cambria"/>
          <w:sz w:val="20"/>
          <w:szCs w:val="20"/>
          <w:lang w:val="pt-BR"/>
        </w:rPr>
        <w:t>ção</w:t>
      </w:r>
      <w:r w:rsidR="004F53C3" w:rsidRPr="005D6E61">
        <w:rPr>
          <w:rFonts w:ascii="Cambria" w:eastAsia="Calibri" w:hAnsi="Cambria"/>
          <w:sz w:val="20"/>
          <w:szCs w:val="20"/>
          <w:lang w:val="pt-BR"/>
        </w:rPr>
        <w:t xml:space="preserve"> de </w:t>
      </w:r>
      <w:r w:rsidR="005A2381" w:rsidRPr="005D6E61">
        <w:rPr>
          <w:rFonts w:ascii="Cambria" w:eastAsia="Calibri" w:hAnsi="Cambria"/>
          <w:sz w:val="20"/>
          <w:szCs w:val="20"/>
          <w:lang w:val="pt-BR"/>
        </w:rPr>
        <w:t>qua</w:t>
      </w:r>
      <w:r w:rsidR="004F53C3" w:rsidRPr="005D6E61">
        <w:rPr>
          <w:rFonts w:ascii="Cambria" w:eastAsia="Calibri" w:hAnsi="Cambria"/>
          <w:sz w:val="20"/>
          <w:szCs w:val="20"/>
          <w:lang w:val="pt-BR"/>
        </w:rPr>
        <w:t xml:space="preserve">tro </w:t>
      </w:r>
      <w:r w:rsidR="009E5AD2" w:rsidRPr="005D6E61">
        <w:rPr>
          <w:rFonts w:ascii="Cambria" w:eastAsia="Calibri" w:hAnsi="Cambria"/>
          <w:sz w:val="20"/>
          <w:szCs w:val="20"/>
          <w:lang w:val="pt-BR"/>
        </w:rPr>
        <w:t>indivíduos</w:t>
      </w:r>
      <w:r w:rsidR="004F53C3" w:rsidRPr="005D6E61">
        <w:rPr>
          <w:rFonts w:ascii="Cambria" w:eastAsia="Calibri" w:hAnsi="Cambria"/>
          <w:sz w:val="20"/>
          <w:szCs w:val="20"/>
          <w:lang w:val="pt-BR"/>
        </w:rPr>
        <w:t xml:space="preserve">, </w:t>
      </w:r>
      <w:r w:rsidR="00275A65" w:rsidRPr="005D6E61">
        <w:rPr>
          <w:rFonts w:ascii="Cambria" w:eastAsia="Calibri" w:hAnsi="Cambria"/>
          <w:sz w:val="20"/>
          <w:szCs w:val="20"/>
          <w:lang w:val="pt-BR"/>
        </w:rPr>
        <w:t>mas</w:t>
      </w:r>
      <w:r w:rsidR="004F53C3" w:rsidRPr="005D6E61">
        <w:rPr>
          <w:rFonts w:ascii="Cambria" w:eastAsia="Calibri" w:hAnsi="Cambria"/>
          <w:sz w:val="20"/>
          <w:szCs w:val="20"/>
          <w:lang w:val="pt-BR"/>
        </w:rPr>
        <w:t xml:space="preserve"> tr</w:t>
      </w:r>
      <w:r w:rsidR="00074F8F" w:rsidRPr="005D6E61">
        <w:rPr>
          <w:rFonts w:ascii="Cambria" w:eastAsia="Calibri" w:hAnsi="Cambria"/>
          <w:sz w:val="20"/>
          <w:szCs w:val="20"/>
          <w:lang w:val="pt-BR"/>
        </w:rPr>
        <w:t>ê</w:t>
      </w:r>
      <w:r w:rsidR="004F53C3" w:rsidRPr="005D6E61">
        <w:rPr>
          <w:rFonts w:ascii="Cambria" w:eastAsia="Calibri" w:hAnsi="Cambria"/>
          <w:sz w:val="20"/>
          <w:szCs w:val="20"/>
          <w:lang w:val="pt-BR"/>
        </w:rPr>
        <w:t xml:space="preserve">s </w:t>
      </w:r>
      <w:r w:rsidR="009E5AD2" w:rsidRPr="005D6E61">
        <w:rPr>
          <w:rFonts w:ascii="Cambria" w:eastAsia="Calibri" w:hAnsi="Cambria"/>
          <w:sz w:val="20"/>
          <w:szCs w:val="20"/>
          <w:lang w:val="pt-BR"/>
        </w:rPr>
        <w:t>e</w:t>
      </w:r>
      <w:r w:rsidR="005B67BB" w:rsidRPr="005D6E61">
        <w:rPr>
          <w:rFonts w:ascii="Cambria" w:eastAsia="Calibri" w:hAnsi="Cambria"/>
          <w:sz w:val="20"/>
          <w:szCs w:val="20"/>
          <w:lang w:val="pt-BR"/>
        </w:rPr>
        <w:t>stava</w:t>
      </w:r>
      <w:r w:rsidR="00945988" w:rsidRPr="005D6E61">
        <w:rPr>
          <w:rFonts w:ascii="Cambria" w:eastAsia="Calibri" w:hAnsi="Cambria"/>
          <w:sz w:val="20"/>
          <w:szCs w:val="20"/>
          <w:lang w:val="pt-BR"/>
        </w:rPr>
        <w:t>m</w:t>
      </w:r>
      <w:r w:rsidR="009E5AD2" w:rsidRPr="005D6E61">
        <w:rPr>
          <w:rFonts w:ascii="Cambria" w:eastAsia="Calibri" w:hAnsi="Cambria"/>
          <w:sz w:val="20"/>
          <w:szCs w:val="20"/>
          <w:lang w:val="pt-BR"/>
        </w:rPr>
        <w:t xml:space="preserve"> f</w:t>
      </w:r>
      <w:r w:rsidR="005B67BB" w:rsidRPr="005D6E61">
        <w:rPr>
          <w:rFonts w:ascii="Cambria" w:eastAsia="Calibri" w:hAnsi="Cambria"/>
          <w:sz w:val="20"/>
          <w:szCs w:val="20"/>
          <w:lang w:val="pt-BR"/>
        </w:rPr>
        <w:t>oragid</w:t>
      </w:r>
      <w:r w:rsidR="009E5AD2" w:rsidRPr="005D6E61">
        <w:rPr>
          <w:rFonts w:ascii="Cambria" w:eastAsia="Calibri" w:hAnsi="Cambria"/>
          <w:sz w:val="20"/>
          <w:szCs w:val="20"/>
          <w:lang w:val="pt-BR"/>
        </w:rPr>
        <w:t>os</w:t>
      </w:r>
      <w:r w:rsidR="004F53C3" w:rsidRPr="005D6E61">
        <w:rPr>
          <w:rFonts w:ascii="Cambria" w:eastAsia="Calibri" w:hAnsi="Cambria"/>
          <w:sz w:val="20"/>
          <w:szCs w:val="20"/>
          <w:lang w:val="pt-BR"/>
        </w:rPr>
        <w:t xml:space="preserve">, </w:t>
      </w:r>
      <w:r w:rsidR="00275A65" w:rsidRPr="005D6E61">
        <w:rPr>
          <w:rFonts w:ascii="Cambria" w:eastAsia="Calibri" w:hAnsi="Cambria"/>
          <w:sz w:val="20"/>
          <w:szCs w:val="20"/>
          <w:lang w:val="pt-BR"/>
        </w:rPr>
        <w:t xml:space="preserve">motivo pelo qual </w:t>
      </w:r>
      <w:r w:rsidR="00331E62" w:rsidRPr="005D6E61">
        <w:rPr>
          <w:rFonts w:ascii="Cambria" w:eastAsia="Calibri" w:hAnsi="Cambria"/>
          <w:sz w:val="20"/>
          <w:szCs w:val="20"/>
          <w:lang w:val="pt-BR"/>
        </w:rPr>
        <w:t xml:space="preserve">o </w:t>
      </w:r>
      <w:r w:rsidR="00275A65" w:rsidRPr="005D6E61">
        <w:rPr>
          <w:rFonts w:ascii="Cambria" w:eastAsia="Calibri" w:hAnsi="Cambria"/>
          <w:sz w:val="20"/>
          <w:szCs w:val="20"/>
          <w:lang w:val="pt-BR"/>
        </w:rPr>
        <w:t>processo</w:t>
      </w:r>
      <w:r w:rsidR="004F53C3" w:rsidRPr="005D6E61">
        <w:rPr>
          <w:rFonts w:ascii="Cambria" w:eastAsia="Calibri" w:hAnsi="Cambria"/>
          <w:sz w:val="20"/>
          <w:szCs w:val="20"/>
          <w:lang w:val="pt-BR"/>
        </w:rPr>
        <w:t xml:space="preserve"> penal</w:t>
      </w:r>
      <w:r w:rsidR="00F77B7F" w:rsidRPr="005D6E61">
        <w:rPr>
          <w:rFonts w:ascii="Cambria" w:eastAsia="Calibri" w:hAnsi="Cambria"/>
          <w:sz w:val="20"/>
          <w:szCs w:val="20"/>
          <w:lang w:val="pt-BR"/>
        </w:rPr>
        <w:t xml:space="preserve"> </w:t>
      </w:r>
      <w:r w:rsidR="004F53C3" w:rsidRPr="005D6E61">
        <w:rPr>
          <w:rFonts w:ascii="Cambria" w:eastAsia="Calibri" w:hAnsi="Cambria"/>
          <w:sz w:val="20"/>
          <w:szCs w:val="20"/>
          <w:lang w:val="pt-BR"/>
        </w:rPr>
        <w:t xml:space="preserve">contra </w:t>
      </w:r>
      <w:r w:rsidR="007612B9" w:rsidRPr="005D6E61">
        <w:rPr>
          <w:rFonts w:ascii="Cambria" w:eastAsia="Calibri" w:hAnsi="Cambria"/>
          <w:sz w:val="20"/>
          <w:szCs w:val="20"/>
          <w:lang w:val="pt-BR"/>
        </w:rPr>
        <w:t>el</w:t>
      </w:r>
      <w:r w:rsidR="009E5AD2" w:rsidRPr="005D6E61">
        <w:rPr>
          <w:rFonts w:ascii="Cambria" w:eastAsia="Calibri" w:hAnsi="Cambria"/>
          <w:sz w:val="20"/>
          <w:szCs w:val="20"/>
          <w:lang w:val="pt-BR"/>
        </w:rPr>
        <w:t>e</w:t>
      </w:r>
      <w:r w:rsidR="007612B9" w:rsidRPr="005D6E61">
        <w:rPr>
          <w:rFonts w:ascii="Cambria" w:eastAsia="Calibri" w:hAnsi="Cambria"/>
          <w:sz w:val="20"/>
          <w:szCs w:val="20"/>
          <w:lang w:val="pt-BR"/>
        </w:rPr>
        <w:t xml:space="preserve">s </w:t>
      </w:r>
      <w:r w:rsidR="00275A65" w:rsidRPr="005D6E61">
        <w:rPr>
          <w:rFonts w:ascii="Cambria" w:eastAsia="Calibri" w:hAnsi="Cambria"/>
          <w:sz w:val="20"/>
          <w:szCs w:val="20"/>
          <w:lang w:val="pt-BR"/>
        </w:rPr>
        <w:t>ficou</w:t>
      </w:r>
      <w:r w:rsidR="004F53C3" w:rsidRPr="005D6E61">
        <w:rPr>
          <w:rFonts w:ascii="Cambria" w:eastAsia="Calibri" w:hAnsi="Cambria"/>
          <w:sz w:val="20"/>
          <w:szCs w:val="20"/>
          <w:lang w:val="pt-BR"/>
        </w:rPr>
        <w:t xml:space="preserve"> suspen</w:t>
      </w:r>
      <w:r w:rsidR="007612B9" w:rsidRPr="005D6E61">
        <w:rPr>
          <w:rFonts w:ascii="Cambria" w:eastAsia="Calibri" w:hAnsi="Cambria"/>
          <w:sz w:val="20"/>
          <w:szCs w:val="20"/>
          <w:lang w:val="pt-BR"/>
        </w:rPr>
        <w:t>s</w:t>
      </w:r>
      <w:r w:rsidR="004F53C3" w:rsidRPr="005D6E61">
        <w:rPr>
          <w:rFonts w:ascii="Cambria" w:eastAsia="Calibri" w:hAnsi="Cambria"/>
          <w:sz w:val="20"/>
          <w:szCs w:val="20"/>
          <w:lang w:val="pt-BR"/>
        </w:rPr>
        <w:t xml:space="preserve">o </w:t>
      </w:r>
      <w:r w:rsidR="00275A65" w:rsidRPr="005D6E61">
        <w:rPr>
          <w:rFonts w:ascii="Cambria" w:eastAsia="Calibri" w:hAnsi="Cambria"/>
          <w:sz w:val="20"/>
          <w:szCs w:val="20"/>
          <w:lang w:val="pt-BR"/>
        </w:rPr>
        <w:t>até</w:t>
      </w:r>
      <w:r w:rsidR="00054FCA" w:rsidRPr="005D6E61">
        <w:rPr>
          <w:rFonts w:ascii="Cambria" w:eastAsia="Calibri" w:hAnsi="Cambria"/>
          <w:sz w:val="20"/>
          <w:szCs w:val="20"/>
          <w:lang w:val="pt-BR"/>
        </w:rPr>
        <w:t xml:space="preserve"> que </w:t>
      </w:r>
      <w:r w:rsidR="00331E62" w:rsidRPr="005D6E61">
        <w:rPr>
          <w:rFonts w:ascii="Cambria" w:eastAsia="Calibri" w:hAnsi="Cambria"/>
          <w:sz w:val="20"/>
          <w:szCs w:val="20"/>
          <w:lang w:val="pt-BR"/>
        </w:rPr>
        <w:t xml:space="preserve">a </w:t>
      </w:r>
      <w:r w:rsidR="00054FCA" w:rsidRPr="005D6E61">
        <w:rPr>
          <w:rFonts w:ascii="Cambria" w:eastAsia="Calibri" w:hAnsi="Cambria"/>
          <w:sz w:val="20"/>
          <w:szCs w:val="20"/>
          <w:lang w:val="pt-BR"/>
        </w:rPr>
        <w:t>a</w:t>
      </w:r>
      <w:r w:rsidR="00704E7B" w:rsidRPr="005D6E61">
        <w:rPr>
          <w:rFonts w:ascii="Cambria" w:eastAsia="Calibri" w:hAnsi="Cambria"/>
          <w:sz w:val="20"/>
          <w:szCs w:val="20"/>
          <w:lang w:val="pt-BR"/>
        </w:rPr>
        <w:t>ç</w:t>
      </w:r>
      <w:r w:rsidR="00A274D9" w:rsidRPr="005D6E61">
        <w:rPr>
          <w:rFonts w:ascii="Cambria" w:eastAsia="Calibri" w:hAnsi="Cambria"/>
          <w:sz w:val="20"/>
          <w:szCs w:val="20"/>
          <w:lang w:val="pt-BR"/>
        </w:rPr>
        <w:t>ão</w:t>
      </w:r>
      <w:r w:rsidR="007612B9" w:rsidRPr="005D6E61">
        <w:rPr>
          <w:rFonts w:ascii="Cambria" w:eastAsia="Calibri" w:hAnsi="Cambria"/>
          <w:sz w:val="20"/>
          <w:szCs w:val="20"/>
          <w:lang w:val="pt-BR"/>
        </w:rPr>
        <w:t xml:space="preserve"> prescreveu</w:t>
      </w:r>
      <w:r w:rsidR="00054FCA" w:rsidRPr="005D6E61">
        <w:rPr>
          <w:rFonts w:ascii="Cambria" w:eastAsia="Calibri" w:hAnsi="Cambria"/>
          <w:sz w:val="20"/>
          <w:szCs w:val="20"/>
          <w:lang w:val="pt-BR"/>
        </w:rPr>
        <w:t>.</w:t>
      </w:r>
      <w:r w:rsidR="00F77B7F" w:rsidRPr="005D6E61">
        <w:rPr>
          <w:rFonts w:ascii="Cambria" w:eastAsia="Calibri" w:hAnsi="Cambria"/>
          <w:sz w:val="20"/>
          <w:szCs w:val="20"/>
          <w:lang w:val="pt-BR"/>
        </w:rPr>
        <w:t xml:space="preserve"> </w:t>
      </w:r>
      <w:r w:rsidR="00275A65" w:rsidRPr="005D6E61">
        <w:rPr>
          <w:rFonts w:ascii="Cambria" w:eastAsia="Calibri" w:hAnsi="Cambria"/>
          <w:sz w:val="20"/>
          <w:szCs w:val="20"/>
          <w:lang w:val="pt-BR"/>
        </w:rPr>
        <w:t>Q</w:t>
      </w:r>
      <w:r w:rsidR="004F53C3" w:rsidRPr="005D6E61">
        <w:rPr>
          <w:rFonts w:ascii="Cambria" w:eastAsia="Calibri" w:hAnsi="Cambria"/>
          <w:sz w:val="20"/>
          <w:szCs w:val="20"/>
          <w:lang w:val="pt-BR"/>
        </w:rPr>
        <w:t>uanto</w:t>
      </w:r>
      <w:r w:rsidR="00275A65" w:rsidRPr="005D6E61">
        <w:rPr>
          <w:rFonts w:ascii="Cambria" w:eastAsia="Calibri" w:hAnsi="Cambria"/>
          <w:sz w:val="20"/>
          <w:szCs w:val="20"/>
          <w:lang w:val="pt-BR"/>
        </w:rPr>
        <w:t xml:space="preserve"> </w:t>
      </w:r>
      <w:r w:rsidR="009E5AD2" w:rsidRPr="005D6E61">
        <w:rPr>
          <w:rFonts w:ascii="Cambria" w:eastAsia="Calibri" w:hAnsi="Cambria"/>
          <w:sz w:val="20"/>
          <w:szCs w:val="20"/>
          <w:lang w:val="pt-BR"/>
        </w:rPr>
        <w:t>ao</w:t>
      </w:r>
      <w:r w:rsidR="00275A65" w:rsidRPr="005D6E61">
        <w:rPr>
          <w:rFonts w:ascii="Cambria" w:eastAsia="Calibri" w:hAnsi="Cambria"/>
          <w:sz w:val="20"/>
          <w:szCs w:val="20"/>
          <w:lang w:val="pt-BR"/>
        </w:rPr>
        <w:t xml:space="preserve"> </w:t>
      </w:r>
      <w:r w:rsidR="005A2381" w:rsidRPr="005D6E61">
        <w:rPr>
          <w:rFonts w:ascii="Cambria" w:eastAsia="Calibri" w:hAnsi="Cambria"/>
          <w:sz w:val="20"/>
          <w:szCs w:val="20"/>
          <w:lang w:val="pt-BR"/>
        </w:rPr>
        <w:t>qua</w:t>
      </w:r>
      <w:r w:rsidR="00E00E5F" w:rsidRPr="005D6E61">
        <w:rPr>
          <w:rFonts w:ascii="Cambria" w:eastAsia="Calibri" w:hAnsi="Cambria"/>
          <w:sz w:val="20"/>
          <w:szCs w:val="20"/>
          <w:lang w:val="pt-BR"/>
        </w:rPr>
        <w:t>rt</w:t>
      </w:r>
      <w:r w:rsidR="009E5AD2" w:rsidRPr="005D6E61">
        <w:rPr>
          <w:rFonts w:ascii="Cambria" w:eastAsia="Calibri" w:hAnsi="Cambria"/>
          <w:sz w:val="20"/>
          <w:szCs w:val="20"/>
          <w:lang w:val="pt-BR"/>
        </w:rPr>
        <w:t>o indivíduo</w:t>
      </w:r>
      <w:r w:rsidR="00E00E5F" w:rsidRPr="005D6E61">
        <w:rPr>
          <w:rFonts w:ascii="Cambria" w:eastAsia="Calibri" w:hAnsi="Cambria"/>
          <w:sz w:val="20"/>
          <w:szCs w:val="20"/>
          <w:lang w:val="pt-BR"/>
        </w:rPr>
        <w:t xml:space="preserve">, </w:t>
      </w:r>
      <w:r w:rsidR="00275A65" w:rsidRPr="005D6E61">
        <w:rPr>
          <w:rFonts w:ascii="Cambria" w:eastAsia="Calibri" w:hAnsi="Cambria"/>
          <w:sz w:val="20"/>
          <w:szCs w:val="20"/>
          <w:lang w:val="pt-BR"/>
        </w:rPr>
        <w:t>filh</w:t>
      </w:r>
      <w:r w:rsidR="008305C0" w:rsidRPr="005D6E61">
        <w:rPr>
          <w:rFonts w:ascii="Cambria" w:eastAsia="Calibri" w:hAnsi="Cambria"/>
          <w:sz w:val="20"/>
          <w:szCs w:val="20"/>
          <w:lang w:val="pt-BR"/>
        </w:rPr>
        <w:t>o de</w:t>
      </w:r>
      <w:r w:rsidR="00275A65" w:rsidRPr="005D6E61">
        <w:rPr>
          <w:rFonts w:ascii="Cambria" w:eastAsia="Calibri" w:hAnsi="Cambria"/>
          <w:sz w:val="20"/>
          <w:szCs w:val="20"/>
          <w:lang w:val="pt-BR"/>
        </w:rPr>
        <w:t xml:space="preserve"> um </w:t>
      </w:r>
      <w:r w:rsidR="004D57F0" w:rsidRPr="005D6E61">
        <w:rPr>
          <w:rFonts w:ascii="Cambria" w:eastAsia="Calibri" w:hAnsi="Cambria"/>
          <w:sz w:val="20"/>
          <w:szCs w:val="20"/>
          <w:lang w:val="pt-BR"/>
        </w:rPr>
        <w:t>fazendeiro</w:t>
      </w:r>
      <w:r w:rsidR="008305C0" w:rsidRPr="005D6E61">
        <w:rPr>
          <w:rFonts w:ascii="Cambria" w:eastAsia="Calibri" w:hAnsi="Cambria"/>
          <w:sz w:val="20"/>
          <w:szCs w:val="20"/>
          <w:lang w:val="pt-BR"/>
        </w:rPr>
        <w:t xml:space="preserve"> local, </w:t>
      </w:r>
      <w:r w:rsidR="00074F8F" w:rsidRPr="005D6E61">
        <w:rPr>
          <w:rFonts w:ascii="Cambria" w:eastAsia="Calibri" w:hAnsi="Cambria"/>
          <w:sz w:val="20"/>
          <w:szCs w:val="20"/>
          <w:lang w:val="pt-BR"/>
        </w:rPr>
        <w:t>afirmaram</w:t>
      </w:r>
      <w:r w:rsidR="00054FCA" w:rsidRPr="005D6E61">
        <w:rPr>
          <w:rFonts w:ascii="Cambria" w:eastAsia="Calibri" w:hAnsi="Cambria"/>
          <w:sz w:val="20"/>
          <w:szCs w:val="20"/>
          <w:lang w:val="pt-BR"/>
        </w:rPr>
        <w:t xml:space="preserve"> que este </w:t>
      </w:r>
      <w:r w:rsidR="00E00E5F" w:rsidRPr="005D6E61">
        <w:rPr>
          <w:rFonts w:ascii="Cambria" w:eastAsia="Calibri" w:hAnsi="Cambria"/>
          <w:sz w:val="20"/>
          <w:szCs w:val="20"/>
          <w:lang w:val="pt-BR"/>
        </w:rPr>
        <w:t>f</w:t>
      </w:r>
      <w:r w:rsidR="00074F8F" w:rsidRPr="005D6E61">
        <w:rPr>
          <w:rFonts w:ascii="Cambria" w:eastAsia="Calibri" w:hAnsi="Cambria"/>
          <w:sz w:val="20"/>
          <w:szCs w:val="20"/>
          <w:lang w:val="pt-BR"/>
        </w:rPr>
        <w:t>oi</w:t>
      </w:r>
      <w:r w:rsidR="00E00E5F" w:rsidRPr="005D6E61">
        <w:rPr>
          <w:rFonts w:ascii="Cambria" w:eastAsia="Calibri" w:hAnsi="Cambria"/>
          <w:sz w:val="20"/>
          <w:szCs w:val="20"/>
          <w:lang w:val="pt-BR"/>
        </w:rPr>
        <w:t xml:space="preserve"> ju</w:t>
      </w:r>
      <w:r w:rsidR="00074F8F" w:rsidRPr="005D6E61">
        <w:rPr>
          <w:rFonts w:ascii="Cambria" w:eastAsia="Calibri" w:hAnsi="Cambria"/>
          <w:sz w:val="20"/>
          <w:szCs w:val="20"/>
          <w:lang w:val="pt-BR"/>
        </w:rPr>
        <w:t>l</w:t>
      </w:r>
      <w:r w:rsidR="00E00E5F" w:rsidRPr="005D6E61">
        <w:rPr>
          <w:rFonts w:ascii="Cambria" w:eastAsia="Calibri" w:hAnsi="Cambria"/>
          <w:sz w:val="20"/>
          <w:szCs w:val="20"/>
          <w:lang w:val="pt-BR"/>
        </w:rPr>
        <w:t>gado</w:t>
      </w:r>
      <w:r w:rsidR="006C5454" w:rsidRPr="005D6E61">
        <w:rPr>
          <w:rFonts w:ascii="Cambria" w:eastAsia="Calibri" w:hAnsi="Cambria"/>
          <w:sz w:val="20"/>
          <w:szCs w:val="20"/>
          <w:lang w:val="pt-BR"/>
        </w:rPr>
        <w:t xml:space="preserve"> e </w:t>
      </w:r>
      <w:r w:rsidR="00E00E5F" w:rsidRPr="005D6E61">
        <w:rPr>
          <w:rFonts w:ascii="Cambria" w:eastAsia="Calibri" w:hAnsi="Cambria"/>
          <w:sz w:val="20"/>
          <w:szCs w:val="20"/>
          <w:lang w:val="pt-BR"/>
        </w:rPr>
        <w:t>declarado inocente por</w:t>
      </w:r>
      <w:r w:rsidR="00275A65" w:rsidRPr="005D6E61">
        <w:rPr>
          <w:rFonts w:ascii="Cambria" w:eastAsia="Calibri" w:hAnsi="Cambria"/>
          <w:sz w:val="20"/>
          <w:szCs w:val="20"/>
          <w:lang w:val="pt-BR"/>
        </w:rPr>
        <w:t xml:space="preserve"> um </w:t>
      </w:r>
      <w:r w:rsidR="00E00E5F" w:rsidRPr="005D6E61">
        <w:rPr>
          <w:rFonts w:ascii="Cambria" w:eastAsia="Calibri" w:hAnsi="Cambria"/>
          <w:sz w:val="20"/>
          <w:szCs w:val="20"/>
          <w:lang w:val="pt-BR"/>
        </w:rPr>
        <w:t>Tribunal d</w:t>
      </w:r>
      <w:r w:rsidR="00074F8F" w:rsidRPr="005D6E61">
        <w:rPr>
          <w:rFonts w:ascii="Cambria" w:eastAsia="Calibri" w:hAnsi="Cambria"/>
          <w:sz w:val="20"/>
          <w:szCs w:val="20"/>
          <w:lang w:val="pt-BR"/>
        </w:rPr>
        <w:t>o</w:t>
      </w:r>
      <w:r w:rsidR="00E00E5F" w:rsidRPr="005D6E61">
        <w:rPr>
          <w:rFonts w:ascii="Cambria" w:eastAsia="Calibri" w:hAnsi="Cambria"/>
          <w:sz w:val="20"/>
          <w:szCs w:val="20"/>
          <w:lang w:val="pt-BR"/>
        </w:rPr>
        <w:t xml:space="preserve"> J</w:t>
      </w:r>
      <w:r w:rsidR="00074F8F" w:rsidRPr="005D6E61">
        <w:rPr>
          <w:rFonts w:ascii="Cambria" w:eastAsia="Calibri" w:hAnsi="Cambria"/>
          <w:sz w:val="20"/>
          <w:szCs w:val="20"/>
          <w:lang w:val="pt-BR"/>
        </w:rPr>
        <w:t>úri</w:t>
      </w:r>
      <w:r w:rsidR="00F77B7F" w:rsidRPr="005D6E61">
        <w:rPr>
          <w:rFonts w:ascii="Cambria" w:eastAsia="Calibri" w:hAnsi="Cambria"/>
          <w:sz w:val="20"/>
          <w:szCs w:val="20"/>
          <w:lang w:val="pt-BR"/>
        </w:rPr>
        <w:t xml:space="preserve"> em </w:t>
      </w:r>
      <w:r w:rsidR="00E00E5F" w:rsidRPr="005D6E61">
        <w:rPr>
          <w:rFonts w:ascii="Cambria" w:eastAsia="Calibri" w:hAnsi="Cambria"/>
          <w:sz w:val="20"/>
          <w:szCs w:val="20"/>
          <w:lang w:val="pt-BR"/>
        </w:rPr>
        <w:t xml:space="preserve">1988. </w:t>
      </w:r>
    </w:p>
    <w:p w14:paraId="584FFEB1" w14:textId="77777777" w:rsidR="000C687E" w:rsidRPr="005D6E61" w:rsidRDefault="000C687E" w:rsidP="000C687E">
      <w:pPr>
        <w:pStyle w:val="ListParagraph"/>
        <w:rPr>
          <w:rFonts w:eastAsia="Calibri"/>
          <w:sz w:val="20"/>
          <w:szCs w:val="20"/>
          <w:lang w:val="pt-BR"/>
        </w:rPr>
      </w:pPr>
    </w:p>
    <w:p w14:paraId="0FEABC06" w14:textId="77777777" w:rsidR="000C687E" w:rsidRPr="005D6E61" w:rsidRDefault="007612B9"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Calibri" w:hAnsi="Cambria"/>
          <w:sz w:val="20"/>
          <w:szCs w:val="20"/>
          <w:lang w:val="pt-BR"/>
        </w:rPr>
      </w:pPr>
      <w:r w:rsidRPr="005D6E61">
        <w:rPr>
          <w:rFonts w:ascii="Cambria" w:eastAsia="Calibri" w:hAnsi="Cambria"/>
          <w:sz w:val="20"/>
          <w:szCs w:val="20"/>
          <w:lang w:val="pt-BR"/>
        </w:rPr>
        <w:t>Afirmaram</w:t>
      </w:r>
      <w:r w:rsidR="00E00E5F" w:rsidRPr="005D6E61">
        <w:rPr>
          <w:rFonts w:ascii="Cambria" w:eastAsia="Calibri" w:hAnsi="Cambria"/>
          <w:sz w:val="20"/>
          <w:szCs w:val="20"/>
          <w:lang w:val="pt-BR"/>
        </w:rPr>
        <w:t xml:space="preserve"> que</w:t>
      </w:r>
      <w:r w:rsidR="00F77B7F" w:rsidRPr="005D6E61">
        <w:rPr>
          <w:rFonts w:ascii="Cambria" w:eastAsia="Calibri" w:hAnsi="Cambria"/>
          <w:sz w:val="20"/>
          <w:szCs w:val="20"/>
          <w:lang w:val="pt-BR"/>
        </w:rPr>
        <w:t xml:space="preserve"> </w:t>
      </w:r>
      <w:r w:rsidR="00E00E5F" w:rsidRPr="005D6E61">
        <w:rPr>
          <w:rFonts w:ascii="Cambria" w:eastAsia="Calibri" w:hAnsi="Cambria"/>
          <w:sz w:val="20"/>
          <w:szCs w:val="20"/>
          <w:lang w:val="pt-BR"/>
        </w:rPr>
        <w:t>poster</w:t>
      </w:r>
      <w:r w:rsidRPr="005D6E61">
        <w:rPr>
          <w:rFonts w:ascii="Cambria" w:eastAsia="Calibri" w:hAnsi="Cambria"/>
          <w:sz w:val="20"/>
          <w:szCs w:val="20"/>
          <w:lang w:val="pt-BR"/>
        </w:rPr>
        <w:t>iormente</w:t>
      </w:r>
      <w:r w:rsidR="00FB55C7" w:rsidRPr="005D6E61">
        <w:rPr>
          <w:rFonts w:ascii="Cambria" w:eastAsia="Calibri" w:hAnsi="Cambria"/>
          <w:sz w:val="20"/>
          <w:szCs w:val="20"/>
          <w:lang w:val="pt-BR"/>
        </w:rPr>
        <w:t xml:space="preserve"> </w:t>
      </w:r>
      <w:r w:rsidRPr="005D6E61">
        <w:rPr>
          <w:rFonts w:ascii="Cambria" w:eastAsia="Calibri" w:hAnsi="Cambria"/>
          <w:sz w:val="20"/>
          <w:szCs w:val="20"/>
          <w:lang w:val="pt-BR"/>
        </w:rPr>
        <w:t>foram</w:t>
      </w:r>
      <w:r w:rsidR="00E00E5F" w:rsidRPr="005D6E61">
        <w:rPr>
          <w:rFonts w:ascii="Cambria" w:eastAsia="Calibri" w:hAnsi="Cambria"/>
          <w:sz w:val="20"/>
          <w:szCs w:val="20"/>
          <w:lang w:val="pt-BR"/>
        </w:rPr>
        <w:t xml:space="preserve"> inicia</w:t>
      </w:r>
      <w:r w:rsidRPr="005D6E61">
        <w:rPr>
          <w:rFonts w:ascii="Cambria" w:eastAsia="Calibri" w:hAnsi="Cambria"/>
          <w:sz w:val="20"/>
          <w:szCs w:val="20"/>
          <w:lang w:val="pt-BR"/>
        </w:rPr>
        <w:t>das</w:t>
      </w:r>
      <w:r w:rsidR="00E00E5F" w:rsidRPr="005D6E61">
        <w:rPr>
          <w:rFonts w:ascii="Cambria" w:eastAsia="Calibri" w:hAnsi="Cambria"/>
          <w:sz w:val="20"/>
          <w:szCs w:val="20"/>
          <w:lang w:val="pt-BR"/>
        </w:rPr>
        <w:t xml:space="preserve"> n</w:t>
      </w:r>
      <w:r w:rsidRPr="005D6E61">
        <w:rPr>
          <w:rFonts w:ascii="Cambria" w:eastAsia="Calibri" w:hAnsi="Cambria"/>
          <w:sz w:val="20"/>
          <w:szCs w:val="20"/>
          <w:lang w:val="pt-BR"/>
        </w:rPr>
        <w:t>o</w:t>
      </w:r>
      <w:r w:rsidR="00E00E5F" w:rsidRPr="005D6E61">
        <w:rPr>
          <w:rFonts w:ascii="Cambria" w:eastAsia="Calibri" w:hAnsi="Cambria"/>
          <w:sz w:val="20"/>
          <w:szCs w:val="20"/>
          <w:lang w:val="pt-BR"/>
        </w:rPr>
        <w:t>vas investiga</w:t>
      </w:r>
      <w:r w:rsidR="00F77B7F" w:rsidRPr="005D6E61">
        <w:rPr>
          <w:rFonts w:ascii="Cambria" w:eastAsia="Calibri" w:hAnsi="Cambria"/>
          <w:sz w:val="20"/>
          <w:szCs w:val="20"/>
          <w:lang w:val="pt-BR"/>
        </w:rPr>
        <w:t>ções</w:t>
      </w:r>
      <w:r w:rsidR="00E00E5F" w:rsidRPr="005D6E61">
        <w:rPr>
          <w:rFonts w:ascii="Cambria" w:eastAsia="Calibri" w:hAnsi="Cambria"/>
          <w:sz w:val="20"/>
          <w:szCs w:val="20"/>
          <w:lang w:val="pt-BR"/>
        </w:rPr>
        <w:t xml:space="preserve"> </w:t>
      </w:r>
      <w:r w:rsidR="00317A0B" w:rsidRPr="005D6E61">
        <w:rPr>
          <w:rFonts w:ascii="Cambria" w:eastAsia="Calibri" w:hAnsi="Cambria"/>
          <w:sz w:val="20"/>
          <w:szCs w:val="20"/>
          <w:lang w:val="pt-BR"/>
        </w:rPr>
        <w:t>p</w:t>
      </w:r>
      <w:r w:rsidR="005C27DA" w:rsidRPr="005D6E61">
        <w:rPr>
          <w:rFonts w:ascii="Cambria" w:eastAsia="Calibri" w:hAnsi="Cambria"/>
          <w:sz w:val="20"/>
          <w:szCs w:val="20"/>
          <w:lang w:val="pt-BR"/>
        </w:rPr>
        <w:t>el</w:t>
      </w:r>
      <w:r w:rsidR="00317A0B" w:rsidRPr="005D6E61">
        <w:rPr>
          <w:rFonts w:ascii="Cambria" w:eastAsia="Calibri" w:hAnsi="Cambria"/>
          <w:sz w:val="20"/>
          <w:szCs w:val="20"/>
          <w:lang w:val="pt-BR"/>
        </w:rPr>
        <w:t>o</w:t>
      </w:r>
      <w:r w:rsidR="00275A65" w:rsidRPr="005D6E61">
        <w:rPr>
          <w:rFonts w:ascii="Cambria" w:eastAsia="Calibri" w:hAnsi="Cambria"/>
          <w:sz w:val="20"/>
          <w:szCs w:val="20"/>
          <w:lang w:val="pt-BR"/>
        </w:rPr>
        <w:t xml:space="preserve"> </w:t>
      </w:r>
      <w:r w:rsidR="00317A0B" w:rsidRPr="005D6E61">
        <w:rPr>
          <w:rFonts w:ascii="Cambria" w:eastAsia="Calibri" w:hAnsi="Cambria"/>
          <w:sz w:val="20"/>
          <w:szCs w:val="20"/>
          <w:lang w:val="pt-BR"/>
        </w:rPr>
        <w:t>test</w:t>
      </w:r>
      <w:r w:rsidR="00074F8F" w:rsidRPr="005D6E61">
        <w:rPr>
          <w:rFonts w:ascii="Cambria" w:eastAsia="Calibri" w:hAnsi="Cambria"/>
          <w:sz w:val="20"/>
          <w:szCs w:val="20"/>
          <w:lang w:val="pt-BR"/>
        </w:rPr>
        <w:t>e</w:t>
      </w:r>
      <w:r w:rsidR="00317A0B" w:rsidRPr="005D6E61">
        <w:rPr>
          <w:rFonts w:ascii="Cambria" w:eastAsia="Calibri" w:hAnsi="Cambria"/>
          <w:sz w:val="20"/>
          <w:szCs w:val="20"/>
          <w:lang w:val="pt-BR"/>
        </w:rPr>
        <w:t>m</w:t>
      </w:r>
      <w:r w:rsidR="00074F8F" w:rsidRPr="005D6E61">
        <w:rPr>
          <w:rFonts w:ascii="Cambria" w:eastAsia="Calibri" w:hAnsi="Cambria"/>
          <w:sz w:val="20"/>
          <w:szCs w:val="20"/>
          <w:lang w:val="pt-BR"/>
        </w:rPr>
        <w:t>unh</w:t>
      </w:r>
      <w:r w:rsidR="00317A0B" w:rsidRPr="005D6E61">
        <w:rPr>
          <w:rFonts w:ascii="Cambria" w:eastAsia="Calibri" w:hAnsi="Cambria"/>
          <w:sz w:val="20"/>
          <w:szCs w:val="20"/>
          <w:lang w:val="pt-BR"/>
        </w:rPr>
        <w:t>o</w:t>
      </w:r>
      <w:r w:rsidR="00675058" w:rsidRPr="005D6E61">
        <w:rPr>
          <w:rFonts w:ascii="Cambria" w:eastAsia="Calibri" w:hAnsi="Cambria"/>
          <w:sz w:val="20"/>
          <w:szCs w:val="20"/>
          <w:lang w:val="pt-BR"/>
        </w:rPr>
        <w:t xml:space="preserve"> da </w:t>
      </w:r>
      <w:r w:rsidR="00317A0B" w:rsidRPr="005D6E61">
        <w:rPr>
          <w:rFonts w:ascii="Cambria" w:eastAsia="Calibri" w:hAnsi="Cambria"/>
          <w:sz w:val="20"/>
          <w:szCs w:val="20"/>
          <w:lang w:val="pt-BR"/>
        </w:rPr>
        <w:t>vi</w:t>
      </w:r>
      <w:r w:rsidR="00074F8F" w:rsidRPr="005D6E61">
        <w:rPr>
          <w:rFonts w:ascii="Cambria" w:eastAsia="Calibri" w:hAnsi="Cambria"/>
          <w:sz w:val="20"/>
          <w:szCs w:val="20"/>
          <w:lang w:val="pt-BR"/>
        </w:rPr>
        <w:t>úv</w:t>
      </w:r>
      <w:r w:rsidR="00317A0B" w:rsidRPr="005D6E61">
        <w:rPr>
          <w:rFonts w:ascii="Cambria" w:eastAsia="Calibri" w:hAnsi="Cambria"/>
          <w:sz w:val="20"/>
          <w:szCs w:val="20"/>
          <w:lang w:val="pt-BR"/>
        </w:rPr>
        <w:t xml:space="preserve">a </w:t>
      </w:r>
      <w:r w:rsidR="00475DA8" w:rsidRPr="005D6E61">
        <w:rPr>
          <w:rFonts w:ascii="Cambria" w:eastAsia="Calibri" w:hAnsi="Cambria"/>
          <w:sz w:val="20"/>
          <w:szCs w:val="20"/>
          <w:lang w:val="pt-BR"/>
        </w:rPr>
        <w:t>de</w:t>
      </w:r>
      <w:r w:rsidR="006C5454" w:rsidRPr="005D6E61">
        <w:rPr>
          <w:rFonts w:ascii="Cambria" w:eastAsia="Calibri" w:hAnsi="Cambria"/>
          <w:sz w:val="20"/>
          <w:szCs w:val="20"/>
          <w:lang w:val="pt-BR"/>
        </w:rPr>
        <w:t xml:space="preserve"> uma </w:t>
      </w:r>
      <w:r w:rsidR="0054428F" w:rsidRPr="005D6E61">
        <w:rPr>
          <w:rFonts w:ascii="Cambria" w:eastAsia="Calibri" w:hAnsi="Cambria"/>
          <w:sz w:val="20"/>
          <w:szCs w:val="20"/>
          <w:lang w:val="pt-BR"/>
        </w:rPr>
        <w:t>pessoa</w:t>
      </w:r>
      <w:r w:rsidR="00475DA8" w:rsidRPr="005D6E61">
        <w:rPr>
          <w:rFonts w:ascii="Cambria" w:eastAsia="Calibri" w:hAnsi="Cambria"/>
          <w:sz w:val="20"/>
          <w:szCs w:val="20"/>
          <w:lang w:val="pt-BR"/>
        </w:rPr>
        <w:t xml:space="preserve"> que </w:t>
      </w:r>
      <w:r w:rsidR="00074F8F" w:rsidRPr="005D6E61">
        <w:rPr>
          <w:rFonts w:ascii="Cambria" w:eastAsia="Calibri" w:hAnsi="Cambria"/>
          <w:sz w:val="20"/>
          <w:szCs w:val="20"/>
          <w:lang w:val="pt-BR"/>
        </w:rPr>
        <w:t>te</w:t>
      </w:r>
      <w:r w:rsidR="00475DA8" w:rsidRPr="005D6E61">
        <w:rPr>
          <w:rFonts w:ascii="Cambria" w:eastAsia="Calibri" w:hAnsi="Cambria"/>
          <w:sz w:val="20"/>
          <w:szCs w:val="20"/>
          <w:lang w:val="pt-BR"/>
        </w:rPr>
        <w:t>r</w:t>
      </w:r>
      <w:r w:rsidR="005A2381" w:rsidRPr="005D6E61">
        <w:rPr>
          <w:rFonts w:ascii="Cambria" w:eastAsia="Calibri" w:hAnsi="Cambria"/>
          <w:sz w:val="20"/>
          <w:szCs w:val="20"/>
          <w:lang w:val="pt-BR"/>
        </w:rPr>
        <w:t>ia</w:t>
      </w:r>
      <w:r w:rsidR="00475DA8" w:rsidRPr="005D6E61">
        <w:rPr>
          <w:rFonts w:ascii="Cambria" w:eastAsia="Calibri" w:hAnsi="Cambria"/>
          <w:sz w:val="20"/>
          <w:szCs w:val="20"/>
          <w:lang w:val="pt-BR"/>
        </w:rPr>
        <w:t xml:space="preserve"> participado</w:t>
      </w:r>
      <w:r w:rsidR="00331E62" w:rsidRPr="005D6E61">
        <w:rPr>
          <w:rFonts w:ascii="Cambria" w:eastAsia="Calibri" w:hAnsi="Cambria"/>
          <w:sz w:val="20"/>
          <w:szCs w:val="20"/>
          <w:lang w:val="pt-BR"/>
        </w:rPr>
        <w:t xml:space="preserve"> </w:t>
      </w:r>
      <w:r w:rsidR="00074F8F" w:rsidRPr="005D6E61">
        <w:rPr>
          <w:rFonts w:ascii="Cambria" w:eastAsia="Calibri" w:hAnsi="Cambria"/>
          <w:sz w:val="20"/>
          <w:szCs w:val="20"/>
          <w:lang w:val="pt-BR"/>
        </w:rPr>
        <w:t>d</w:t>
      </w:r>
      <w:r w:rsidR="00331E62" w:rsidRPr="005D6E61">
        <w:rPr>
          <w:rFonts w:ascii="Cambria" w:eastAsia="Calibri" w:hAnsi="Cambria"/>
          <w:sz w:val="20"/>
          <w:szCs w:val="20"/>
          <w:lang w:val="pt-BR"/>
        </w:rPr>
        <w:t xml:space="preserve">o </w:t>
      </w:r>
      <w:r w:rsidR="00074F8F" w:rsidRPr="005D6E61">
        <w:rPr>
          <w:rFonts w:ascii="Cambria" w:eastAsia="Calibri" w:hAnsi="Cambria"/>
          <w:sz w:val="20"/>
          <w:szCs w:val="20"/>
          <w:lang w:val="pt-BR"/>
        </w:rPr>
        <w:t>crime</w:t>
      </w:r>
      <w:r w:rsidR="00475DA8" w:rsidRPr="005D6E61">
        <w:rPr>
          <w:rFonts w:ascii="Cambria" w:eastAsia="Calibri" w:hAnsi="Cambria"/>
          <w:sz w:val="20"/>
          <w:szCs w:val="20"/>
          <w:lang w:val="pt-BR"/>
        </w:rPr>
        <w:t>, qu</w:t>
      </w:r>
      <w:r w:rsidR="00074F8F" w:rsidRPr="005D6E61">
        <w:rPr>
          <w:rFonts w:ascii="Cambria" w:eastAsia="Calibri" w:hAnsi="Cambria"/>
          <w:sz w:val="20"/>
          <w:szCs w:val="20"/>
          <w:lang w:val="pt-BR"/>
        </w:rPr>
        <w:t>e</w:t>
      </w:r>
      <w:r w:rsidR="00475DA8" w:rsidRPr="005D6E61">
        <w:rPr>
          <w:rFonts w:ascii="Cambria" w:eastAsia="Calibri" w:hAnsi="Cambria"/>
          <w:sz w:val="20"/>
          <w:szCs w:val="20"/>
          <w:lang w:val="pt-BR"/>
        </w:rPr>
        <w:t xml:space="preserve"> </w:t>
      </w:r>
      <w:r w:rsidR="008305C0" w:rsidRPr="005D6E61">
        <w:rPr>
          <w:rFonts w:ascii="Cambria" w:eastAsia="Calibri" w:hAnsi="Cambria"/>
          <w:sz w:val="20"/>
          <w:szCs w:val="20"/>
          <w:lang w:val="pt-BR"/>
        </w:rPr>
        <w:t>atribu</w:t>
      </w:r>
      <w:r w:rsidR="00074F8F" w:rsidRPr="005D6E61">
        <w:rPr>
          <w:rFonts w:ascii="Cambria" w:eastAsia="Calibri" w:hAnsi="Cambria"/>
          <w:sz w:val="20"/>
          <w:szCs w:val="20"/>
          <w:lang w:val="pt-BR"/>
        </w:rPr>
        <w:t>i</w:t>
      </w:r>
      <w:r w:rsidR="00BF0B90" w:rsidRPr="005D6E61">
        <w:rPr>
          <w:rFonts w:ascii="Cambria" w:eastAsia="Calibri" w:hAnsi="Cambria"/>
          <w:sz w:val="20"/>
          <w:szCs w:val="20"/>
          <w:lang w:val="pt-BR"/>
        </w:rPr>
        <w:t xml:space="preserve">u </w:t>
      </w:r>
      <w:r w:rsidR="00331E62" w:rsidRPr="005D6E61">
        <w:rPr>
          <w:rFonts w:ascii="Cambria" w:eastAsia="Calibri" w:hAnsi="Cambria"/>
          <w:sz w:val="20"/>
          <w:szCs w:val="20"/>
          <w:lang w:val="pt-BR"/>
        </w:rPr>
        <w:t xml:space="preserve">a </w:t>
      </w:r>
      <w:r w:rsidR="003619A0" w:rsidRPr="005D6E61">
        <w:rPr>
          <w:rFonts w:ascii="Cambria" w:eastAsia="Calibri" w:hAnsi="Cambria"/>
          <w:sz w:val="20"/>
          <w:szCs w:val="20"/>
          <w:lang w:val="pt-BR"/>
        </w:rPr>
        <w:t>morte</w:t>
      </w:r>
      <w:r w:rsidR="00675058" w:rsidRPr="005D6E61">
        <w:rPr>
          <w:rFonts w:ascii="Cambria" w:eastAsia="Calibri" w:hAnsi="Cambria"/>
          <w:sz w:val="20"/>
          <w:szCs w:val="20"/>
          <w:lang w:val="pt-BR"/>
        </w:rPr>
        <w:t xml:space="preserve"> da </w:t>
      </w:r>
      <w:r w:rsidR="005A2381" w:rsidRPr="005D6E61">
        <w:rPr>
          <w:rFonts w:ascii="Cambria" w:eastAsia="Calibri" w:hAnsi="Cambria"/>
          <w:sz w:val="20"/>
          <w:szCs w:val="20"/>
          <w:lang w:val="pt-BR"/>
        </w:rPr>
        <w:t>suposta</w:t>
      </w:r>
      <w:r w:rsidR="00054FCA" w:rsidRPr="005D6E61">
        <w:rPr>
          <w:rFonts w:ascii="Cambria" w:eastAsia="Calibri" w:hAnsi="Cambria"/>
          <w:sz w:val="20"/>
          <w:szCs w:val="20"/>
          <w:lang w:val="pt-BR"/>
        </w:rPr>
        <w:t xml:space="preserve"> </w:t>
      </w:r>
      <w:r w:rsidR="003619A0" w:rsidRPr="005D6E61">
        <w:rPr>
          <w:rFonts w:ascii="Cambria" w:eastAsia="Calibri" w:hAnsi="Cambria"/>
          <w:sz w:val="20"/>
          <w:szCs w:val="20"/>
          <w:lang w:val="pt-BR"/>
        </w:rPr>
        <w:t>vítima</w:t>
      </w:r>
      <w:r w:rsidR="00054FCA" w:rsidRPr="005D6E61">
        <w:rPr>
          <w:rFonts w:ascii="Cambria" w:eastAsia="Calibri" w:hAnsi="Cambria"/>
          <w:sz w:val="20"/>
          <w:szCs w:val="20"/>
          <w:lang w:val="pt-BR"/>
        </w:rPr>
        <w:t xml:space="preserve"> a</w:t>
      </w:r>
      <w:r w:rsidR="00275A65" w:rsidRPr="005D6E61">
        <w:rPr>
          <w:rFonts w:ascii="Cambria" w:eastAsia="Calibri" w:hAnsi="Cambria"/>
          <w:sz w:val="20"/>
          <w:szCs w:val="20"/>
          <w:lang w:val="pt-BR"/>
        </w:rPr>
        <w:t xml:space="preserve"> um </w:t>
      </w:r>
      <w:r w:rsidR="00054FCA" w:rsidRPr="005D6E61">
        <w:rPr>
          <w:rFonts w:ascii="Cambria" w:eastAsia="Calibri" w:hAnsi="Cambria"/>
          <w:sz w:val="20"/>
          <w:szCs w:val="20"/>
          <w:lang w:val="pt-BR"/>
        </w:rPr>
        <w:t xml:space="preserve">grupo </w:t>
      </w:r>
      <w:r w:rsidR="00475DA8" w:rsidRPr="005D6E61">
        <w:rPr>
          <w:rFonts w:ascii="Cambria" w:eastAsia="Calibri" w:hAnsi="Cambria"/>
          <w:sz w:val="20"/>
          <w:szCs w:val="20"/>
          <w:lang w:val="pt-BR"/>
        </w:rPr>
        <w:t xml:space="preserve">político </w:t>
      </w:r>
      <w:r w:rsidRPr="005D6E61">
        <w:rPr>
          <w:rFonts w:ascii="Cambria" w:eastAsia="Calibri" w:hAnsi="Cambria"/>
          <w:sz w:val="20"/>
          <w:szCs w:val="20"/>
          <w:lang w:val="pt-BR"/>
        </w:rPr>
        <w:t>ch</w:t>
      </w:r>
      <w:r w:rsidR="00475DA8" w:rsidRPr="005D6E61">
        <w:rPr>
          <w:rFonts w:ascii="Cambria" w:eastAsia="Calibri" w:hAnsi="Cambria"/>
          <w:sz w:val="20"/>
          <w:szCs w:val="20"/>
          <w:lang w:val="pt-BR"/>
        </w:rPr>
        <w:t>amado “Grupo da Várzea”</w:t>
      </w:r>
      <w:r w:rsidR="005C27DA" w:rsidRPr="005D6E61">
        <w:rPr>
          <w:rFonts w:ascii="Cambria" w:eastAsia="Calibri" w:hAnsi="Cambria"/>
          <w:sz w:val="20"/>
          <w:szCs w:val="20"/>
          <w:lang w:val="pt-BR"/>
        </w:rPr>
        <w:t>,</w:t>
      </w:r>
      <w:r w:rsidR="00475DA8" w:rsidRPr="005D6E61">
        <w:rPr>
          <w:rFonts w:ascii="Cambria" w:eastAsia="Calibri" w:hAnsi="Cambria"/>
          <w:sz w:val="20"/>
          <w:szCs w:val="20"/>
          <w:lang w:val="pt-BR"/>
        </w:rPr>
        <w:t xml:space="preserve"> comp</w:t>
      </w:r>
      <w:r w:rsidR="00074F8F" w:rsidRPr="005D6E61">
        <w:rPr>
          <w:rFonts w:ascii="Cambria" w:eastAsia="Calibri" w:hAnsi="Cambria"/>
          <w:sz w:val="20"/>
          <w:szCs w:val="20"/>
          <w:lang w:val="pt-BR"/>
        </w:rPr>
        <w:t>o</w:t>
      </w:r>
      <w:r w:rsidR="00475DA8" w:rsidRPr="005D6E61">
        <w:rPr>
          <w:rFonts w:ascii="Cambria" w:eastAsia="Calibri" w:hAnsi="Cambria"/>
          <w:sz w:val="20"/>
          <w:szCs w:val="20"/>
          <w:lang w:val="pt-BR"/>
        </w:rPr>
        <w:t xml:space="preserve">sto de </w:t>
      </w:r>
      <w:r w:rsidR="005C27DA" w:rsidRPr="005D6E61">
        <w:rPr>
          <w:rFonts w:ascii="Cambria" w:eastAsia="Calibri" w:hAnsi="Cambria"/>
          <w:sz w:val="20"/>
          <w:szCs w:val="20"/>
          <w:lang w:val="pt-BR"/>
        </w:rPr>
        <w:t>fazendeiros</w:t>
      </w:r>
      <w:r w:rsidR="00475DA8" w:rsidRPr="005D6E61">
        <w:rPr>
          <w:rFonts w:ascii="Cambria" w:eastAsia="Calibri" w:hAnsi="Cambria"/>
          <w:sz w:val="20"/>
          <w:szCs w:val="20"/>
          <w:lang w:val="pt-BR"/>
        </w:rPr>
        <w:t>, d</w:t>
      </w:r>
      <w:r w:rsidR="00074F8F" w:rsidRPr="005D6E61">
        <w:rPr>
          <w:rFonts w:ascii="Cambria" w:eastAsia="Calibri" w:hAnsi="Cambria"/>
          <w:sz w:val="20"/>
          <w:szCs w:val="20"/>
          <w:lang w:val="pt-BR"/>
        </w:rPr>
        <w:t>e</w:t>
      </w:r>
      <w:r w:rsidR="00475DA8" w:rsidRPr="005D6E61">
        <w:rPr>
          <w:rFonts w:ascii="Cambria" w:eastAsia="Calibri" w:hAnsi="Cambria"/>
          <w:sz w:val="20"/>
          <w:szCs w:val="20"/>
          <w:lang w:val="pt-BR"/>
        </w:rPr>
        <w:t>putados estadu</w:t>
      </w:r>
      <w:r w:rsidR="00331E62" w:rsidRPr="005D6E61">
        <w:rPr>
          <w:rFonts w:ascii="Cambria" w:eastAsia="Calibri" w:hAnsi="Cambria"/>
          <w:sz w:val="20"/>
          <w:szCs w:val="20"/>
          <w:lang w:val="pt-BR"/>
        </w:rPr>
        <w:t>ais</w:t>
      </w:r>
      <w:r w:rsidR="006C5454" w:rsidRPr="005D6E61">
        <w:rPr>
          <w:rFonts w:ascii="Cambria" w:eastAsia="Calibri" w:hAnsi="Cambria"/>
          <w:sz w:val="20"/>
          <w:szCs w:val="20"/>
          <w:lang w:val="pt-BR"/>
        </w:rPr>
        <w:t xml:space="preserve"> e </w:t>
      </w:r>
      <w:r w:rsidR="00475DA8" w:rsidRPr="005D6E61">
        <w:rPr>
          <w:rFonts w:ascii="Cambria" w:eastAsia="Calibri" w:hAnsi="Cambria"/>
          <w:sz w:val="20"/>
          <w:szCs w:val="20"/>
          <w:lang w:val="pt-BR"/>
        </w:rPr>
        <w:t>feder</w:t>
      </w:r>
      <w:r w:rsidR="00331E62" w:rsidRPr="005D6E61">
        <w:rPr>
          <w:rFonts w:ascii="Cambria" w:eastAsia="Calibri" w:hAnsi="Cambria"/>
          <w:sz w:val="20"/>
          <w:szCs w:val="20"/>
          <w:lang w:val="pt-BR"/>
        </w:rPr>
        <w:t>ais</w:t>
      </w:r>
      <w:r w:rsidR="006C5454" w:rsidRPr="005D6E61">
        <w:rPr>
          <w:rFonts w:ascii="Cambria" w:eastAsia="Calibri" w:hAnsi="Cambria"/>
          <w:sz w:val="20"/>
          <w:szCs w:val="20"/>
          <w:lang w:val="pt-BR"/>
        </w:rPr>
        <w:t xml:space="preserve"> e </w:t>
      </w:r>
      <w:r w:rsidR="00475DA8" w:rsidRPr="005D6E61">
        <w:rPr>
          <w:rFonts w:ascii="Cambria" w:eastAsia="Calibri" w:hAnsi="Cambria"/>
          <w:sz w:val="20"/>
          <w:szCs w:val="20"/>
          <w:lang w:val="pt-BR"/>
        </w:rPr>
        <w:t xml:space="preserve">agentes de </w:t>
      </w:r>
      <w:r w:rsidR="005A2381" w:rsidRPr="005D6E61">
        <w:rPr>
          <w:rFonts w:ascii="Cambria" w:eastAsia="Calibri" w:hAnsi="Cambria"/>
          <w:sz w:val="20"/>
          <w:szCs w:val="20"/>
          <w:lang w:val="pt-BR"/>
        </w:rPr>
        <w:t>segurança</w:t>
      </w:r>
      <w:r w:rsidR="00475DA8" w:rsidRPr="005D6E61">
        <w:rPr>
          <w:rFonts w:ascii="Cambria" w:eastAsia="Calibri" w:hAnsi="Cambria"/>
          <w:sz w:val="20"/>
          <w:szCs w:val="20"/>
          <w:lang w:val="pt-BR"/>
        </w:rPr>
        <w:t xml:space="preserve"> pública. </w:t>
      </w:r>
      <w:r w:rsidR="009F1A71" w:rsidRPr="005D6E61">
        <w:rPr>
          <w:rFonts w:ascii="Cambria" w:eastAsia="Calibri" w:hAnsi="Cambria"/>
          <w:sz w:val="20"/>
          <w:szCs w:val="20"/>
          <w:lang w:val="pt-BR"/>
        </w:rPr>
        <w:t>Indicar</w:t>
      </w:r>
      <w:r w:rsidR="00074F8F" w:rsidRPr="005D6E61">
        <w:rPr>
          <w:rFonts w:ascii="Cambria" w:eastAsia="Calibri" w:hAnsi="Cambria"/>
          <w:sz w:val="20"/>
          <w:szCs w:val="20"/>
          <w:lang w:val="pt-BR"/>
        </w:rPr>
        <w:t>am que m</w:t>
      </w:r>
      <w:r w:rsidR="009F1A71" w:rsidRPr="005D6E61">
        <w:rPr>
          <w:rFonts w:ascii="Cambria" w:eastAsia="Calibri" w:hAnsi="Cambria"/>
          <w:sz w:val="20"/>
          <w:szCs w:val="20"/>
          <w:lang w:val="pt-BR"/>
        </w:rPr>
        <w:t>embros</w:t>
      </w:r>
      <w:r w:rsidR="00F77B7F" w:rsidRPr="005D6E61">
        <w:rPr>
          <w:rFonts w:ascii="Cambria" w:eastAsia="Calibri" w:hAnsi="Cambria"/>
          <w:sz w:val="20"/>
          <w:szCs w:val="20"/>
          <w:lang w:val="pt-BR"/>
        </w:rPr>
        <w:t xml:space="preserve"> do </w:t>
      </w:r>
      <w:r w:rsidR="009F1A71" w:rsidRPr="005D6E61">
        <w:rPr>
          <w:rFonts w:ascii="Cambria" w:eastAsia="Calibri" w:hAnsi="Cambria"/>
          <w:sz w:val="20"/>
          <w:szCs w:val="20"/>
          <w:lang w:val="pt-BR"/>
        </w:rPr>
        <w:t>“Grupo da Várzea”</w:t>
      </w:r>
      <w:r w:rsidR="009C76C1" w:rsidRPr="005D6E61">
        <w:rPr>
          <w:rFonts w:ascii="Cambria" w:eastAsia="Calibri" w:hAnsi="Cambria"/>
          <w:sz w:val="20"/>
          <w:szCs w:val="20"/>
          <w:lang w:val="pt-BR"/>
        </w:rPr>
        <w:t xml:space="preserve"> f</w:t>
      </w:r>
      <w:r w:rsidRPr="005D6E61">
        <w:rPr>
          <w:rFonts w:ascii="Cambria" w:eastAsia="Calibri" w:hAnsi="Cambria"/>
          <w:sz w:val="20"/>
          <w:szCs w:val="20"/>
          <w:lang w:val="pt-BR"/>
        </w:rPr>
        <w:t>oram</w:t>
      </w:r>
      <w:r w:rsidR="009C76C1" w:rsidRPr="005D6E61">
        <w:rPr>
          <w:rFonts w:ascii="Cambria" w:eastAsia="Calibri" w:hAnsi="Cambria"/>
          <w:sz w:val="20"/>
          <w:szCs w:val="20"/>
          <w:lang w:val="pt-BR"/>
        </w:rPr>
        <w:t xml:space="preserve"> </w:t>
      </w:r>
      <w:r w:rsidR="006C535C" w:rsidRPr="005D6E61">
        <w:rPr>
          <w:rFonts w:ascii="Cambria" w:eastAsia="Calibri" w:hAnsi="Cambria"/>
          <w:sz w:val="20"/>
          <w:szCs w:val="20"/>
          <w:lang w:val="pt-BR"/>
        </w:rPr>
        <w:t>denunciados</w:t>
      </w:r>
      <w:r w:rsidR="00F77B7F" w:rsidRPr="005D6E61">
        <w:rPr>
          <w:rFonts w:ascii="Cambria" w:eastAsia="Calibri" w:hAnsi="Cambria"/>
          <w:sz w:val="20"/>
          <w:szCs w:val="20"/>
          <w:lang w:val="pt-BR"/>
        </w:rPr>
        <w:t xml:space="preserve"> em </w:t>
      </w:r>
      <w:r w:rsidR="009C76C1" w:rsidRPr="005D6E61">
        <w:rPr>
          <w:rFonts w:ascii="Cambria" w:eastAsia="Calibri" w:hAnsi="Cambria"/>
          <w:sz w:val="20"/>
          <w:szCs w:val="20"/>
          <w:lang w:val="pt-BR"/>
        </w:rPr>
        <w:t>1995</w:t>
      </w:r>
      <w:r w:rsidR="006C5454" w:rsidRPr="005D6E61">
        <w:rPr>
          <w:rFonts w:ascii="Cambria" w:eastAsia="Calibri" w:hAnsi="Cambria"/>
          <w:sz w:val="20"/>
          <w:szCs w:val="20"/>
          <w:lang w:val="pt-BR"/>
        </w:rPr>
        <w:t xml:space="preserve"> e</w:t>
      </w:r>
      <w:r w:rsidR="00F77B7F" w:rsidRPr="005D6E61">
        <w:rPr>
          <w:rFonts w:ascii="Cambria" w:eastAsia="Calibri" w:hAnsi="Cambria"/>
          <w:sz w:val="20"/>
          <w:szCs w:val="20"/>
          <w:lang w:val="pt-BR"/>
        </w:rPr>
        <w:t xml:space="preserve"> em </w:t>
      </w:r>
      <w:r w:rsidR="009C76C1" w:rsidRPr="005D6E61">
        <w:rPr>
          <w:rFonts w:ascii="Cambria" w:eastAsia="Calibri" w:hAnsi="Cambria"/>
          <w:sz w:val="20"/>
          <w:szCs w:val="20"/>
          <w:lang w:val="pt-BR"/>
        </w:rPr>
        <w:t>1997 declar</w:t>
      </w:r>
      <w:r w:rsidRPr="005D6E61">
        <w:rPr>
          <w:rFonts w:ascii="Cambria" w:eastAsia="Calibri" w:hAnsi="Cambria"/>
          <w:sz w:val="20"/>
          <w:szCs w:val="20"/>
          <w:lang w:val="pt-BR"/>
        </w:rPr>
        <w:t>ou-se</w:t>
      </w:r>
      <w:r w:rsidR="00331E62" w:rsidRPr="005D6E61">
        <w:rPr>
          <w:rFonts w:ascii="Cambria" w:eastAsia="Calibri" w:hAnsi="Cambria"/>
          <w:sz w:val="20"/>
          <w:szCs w:val="20"/>
          <w:lang w:val="pt-BR"/>
        </w:rPr>
        <w:t xml:space="preserve"> a </w:t>
      </w:r>
      <w:r w:rsidR="00074F8F" w:rsidRPr="005D6E61">
        <w:rPr>
          <w:rFonts w:ascii="Cambria" w:eastAsia="Calibri" w:hAnsi="Cambria"/>
          <w:sz w:val="20"/>
          <w:szCs w:val="20"/>
          <w:lang w:val="pt-BR"/>
        </w:rPr>
        <w:t>prescri</w:t>
      </w:r>
      <w:r w:rsidR="00A274D9" w:rsidRPr="005D6E61">
        <w:rPr>
          <w:rFonts w:ascii="Cambria" w:eastAsia="Calibri" w:hAnsi="Cambria"/>
          <w:sz w:val="20"/>
          <w:szCs w:val="20"/>
          <w:lang w:val="pt-BR"/>
        </w:rPr>
        <w:t>ção</w:t>
      </w:r>
      <w:r w:rsidR="009C76C1" w:rsidRPr="005D6E61">
        <w:rPr>
          <w:rFonts w:ascii="Cambria" w:eastAsia="Calibri" w:hAnsi="Cambria"/>
          <w:sz w:val="20"/>
          <w:szCs w:val="20"/>
          <w:lang w:val="pt-BR"/>
        </w:rPr>
        <w:t xml:space="preserve"> </w:t>
      </w:r>
      <w:r w:rsidRPr="005D6E61">
        <w:rPr>
          <w:rFonts w:ascii="Cambria" w:eastAsia="Calibri" w:hAnsi="Cambria"/>
          <w:sz w:val="20"/>
          <w:szCs w:val="20"/>
          <w:lang w:val="pt-BR"/>
        </w:rPr>
        <w:t xml:space="preserve">a </w:t>
      </w:r>
      <w:r w:rsidR="009C76C1" w:rsidRPr="005D6E61">
        <w:rPr>
          <w:rFonts w:ascii="Cambria" w:eastAsia="Calibri" w:hAnsi="Cambria"/>
          <w:sz w:val="20"/>
          <w:szCs w:val="20"/>
          <w:lang w:val="pt-BR"/>
        </w:rPr>
        <w:t>respe</w:t>
      </w:r>
      <w:r w:rsidR="00074F8F" w:rsidRPr="005D6E61">
        <w:rPr>
          <w:rFonts w:ascii="Cambria" w:eastAsia="Calibri" w:hAnsi="Cambria"/>
          <w:sz w:val="20"/>
          <w:szCs w:val="20"/>
          <w:lang w:val="pt-BR"/>
        </w:rPr>
        <w:t>i</w:t>
      </w:r>
      <w:r w:rsidR="009C76C1" w:rsidRPr="005D6E61">
        <w:rPr>
          <w:rFonts w:ascii="Cambria" w:eastAsia="Calibri" w:hAnsi="Cambria"/>
          <w:sz w:val="20"/>
          <w:szCs w:val="20"/>
          <w:lang w:val="pt-BR"/>
        </w:rPr>
        <w:t>to de u</w:t>
      </w:r>
      <w:r w:rsidRPr="005D6E61">
        <w:rPr>
          <w:rFonts w:ascii="Cambria" w:eastAsia="Calibri" w:hAnsi="Cambria"/>
          <w:sz w:val="20"/>
          <w:szCs w:val="20"/>
          <w:lang w:val="pt-BR"/>
        </w:rPr>
        <w:t>m</w:t>
      </w:r>
      <w:r w:rsidR="00331E62" w:rsidRPr="005D6E61">
        <w:rPr>
          <w:rFonts w:ascii="Cambria" w:eastAsia="Calibri" w:hAnsi="Cambria"/>
          <w:sz w:val="20"/>
          <w:szCs w:val="20"/>
          <w:lang w:val="pt-BR"/>
        </w:rPr>
        <w:t xml:space="preserve"> dos </w:t>
      </w:r>
      <w:r w:rsidR="009C76C1" w:rsidRPr="005D6E61">
        <w:rPr>
          <w:rFonts w:ascii="Cambria" w:eastAsia="Calibri" w:hAnsi="Cambria"/>
          <w:sz w:val="20"/>
          <w:szCs w:val="20"/>
          <w:lang w:val="pt-BR"/>
        </w:rPr>
        <w:t>autores materi</w:t>
      </w:r>
      <w:r w:rsidR="00331E62" w:rsidRPr="005D6E61">
        <w:rPr>
          <w:rFonts w:ascii="Cambria" w:eastAsia="Calibri" w:hAnsi="Cambria"/>
          <w:sz w:val="20"/>
          <w:szCs w:val="20"/>
          <w:lang w:val="pt-BR"/>
        </w:rPr>
        <w:t>ais</w:t>
      </w:r>
      <w:r w:rsidR="009C76C1" w:rsidRPr="005D6E61">
        <w:rPr>
          <w:rFonts w:ascii="Cambria" w:eastAsia="Calibri" w:hAnsi="Cambria"/>
          <w:sz w:val="20"/>
          <w:szCs w:val="20"/>
          <w:lang w:val="pt-BR"/>
        </w:rPr>
        <w:t>. A</w:t>
      </w:r>
      <w:r w:rsidRPr="005D6E61">
        <w:rPr>
          <w:rFonts w:ascii="Cambria" w:eastAsia="Calibri" w:hAnsi="Cambria"/>
          <w:sz w:val="20"/>
          <w:szCs w:val="20"/>
          <w:lang w:val="pt-BR"/>
        </w:rPr>
        <w:t>crescentaram</w:t>
      </w:r>
      <w:r w:rsidR="009C76C1" w:rsidRPr="005D6E61">
        <w:rPr>
          <w:rFonts w:ascii="Cambria" w:eastAsia="Calibri" w:hAnsi="Cambria"/>
          <w:sz w:val="20"/>
          <w:szCs w:val="20"/>
          <w:lang w:val="pt-BR"/>
        </w:rPr>
        <w:t xml:space="preserve"> que</w:t>
      </w:r>
      <w:r w:rsidR="005C27DA" w:rsidRPr="005D6E61">
        <w:rPr>
          <w:rFonts w:ascii="Cambria" w:eastAsia="Calibri" w:hAnsi="Cambria"/>
          <w:sz w:val="20"/>
          <w:szCs w:val="20"/>
          <w:lang w:val="pt-BR"/>
        </w:rPr>
        <w:t>,</w:t>
      </w:r>
      <w:r w:rsidR="009C76C1" w:rsidRPr="005D6E61">
        <w:rPr>
          <w:rFonts w:ascii="Cambria" w:eastAsia="Calibri" w:hAnsi="Cambria"/>
          <w:sz w:val="20"/>
          <w:szCs w:val="20"/>
          <w:lang w:val="pt-BR"/>
        </w:rPr>
        <w:t xml:space="preserve"> </w:t>
      </w:r>
      <w:r w:rsidRPr="005D6E61">
        <w:rPr>
          <w:rFonts w:ascii="Cambria" w:eastAsia="Calibri" w:hAnsi="Cambria"/>
          <w:sz w:val="20"/>
          <w:szCs w:val="20"/>
          <w:lang w:val="pt-BR"/>
        </w:rPr>
        <w:t xml:space="preserve">a </w:t>
      </w:r>
      <w:r w:rsidR="009C76C1" w:rsidRPr="005D6E61">
        <w:rPr>
          <w:rFonts w:ascii="Cambria" w:eastAsia="Calibri" w:hAnsi="Cambria"/>
          <w:sz w:val="20"/>
          <w:szCs w:val="20"/>
          <w:lang w:val="pt-BR"/>
        </w:rPr>
        <w:t>respe</w:t>
      </w:r>
      <w:r w:rsidR="00074F8F" w:rsidRPr="005D6E61">
        <w:rPr>
          <w:rFonts w:ascii="Cambria" w:eastAsia="Calibri" w:hAnsi="Cambria"/>
          <w:sz w:val="20"/>
          <w:szCs w:val="20"/>
          <w:lang w:val="pt-BR"/>
        </w:rPr>
        <w:t>i</w:t>
      </w:r>
      <w:r w:rsidR="009C76C1" w:rsidRPr="005D6E61">
        <w:rPr>
          <w:rFonts w:ascii="Cambria" w:eastAsia="Calibri" w:hAnsi="Cambria"/>
          <w:sz w:val="20"/>
          <w:szCs w:val="20"/>
          <w:lang w:val="pt-BR"/>
        </w:rPr>
        <w:t>to de do</w:t>
      </w:r>
      <w:r w:rsidRPr="005D6E61">
        <w:rPr>
          <w:rFonts w:ascii="Cambria" w:eastAsia="Calibri" w:hAnsi="Cambria"/>
          <w:sz w:val="20"/>
          <w:szCs w:val="20"/>
          <w:lang w:val="pt-BR"/>
        </w:rPr>
        <w:t>i</w:t>
      </w:r>
      <w:r w:rsidR="009C76C1" w:rsidRPr="005D6E61">
        <w:rPr>
          <w:rFonts w:ascii="Cambria" w:eastAsia="Calibri" w:hAnsi="Cambria"/>
          <w:sz w:val="20"/>
          <w:szCs w:val="20"/>
          <w:lang w:val="pt-BR"/>
        </w:rPr>
        <w:t>s</w:t>
      </w:r>
      <w:r w:rsidR="00331E62" w:rsidRPr="005D6E61">
        <w:rPr>
          <w:rFonts w:ascii="Cambria" w:eastAsia="Calibri" w:hAnsi="Cambria"/>
          <w:sz w:val="20"/>
          <w:szCs w:val="20"/>
          <w:lang w:val="pt-BR"/>
        </w:rPr>
        <w:t xml:space="preserve"> dos </w:t>
      </w:r>
      <w:r w:rsidRPr="005D6E61">
        <w:rPr>
          <w:rFonts w:ascii="Cambria" w:eastAsia="Calibri" w:hAnsi="Cambria"/>
          <w:sz w:val="20"/>
          <w:szCs w:val="20"/>
          <w:lang w:val="pt-BR"/>
        </w:rPr>
        <w:t>supostos</w:t>
      </w:r>
      <w:r w:rsidR="009C76C1" w:rsidRPr="005D6E61">
        <w:rPr>
          <w:rFonts w:ascii="Cambria" w:eastAsia="Calibri" w:hAnsi="Cambria"/>
          <w:sz w:val="20"/>
          <w:szCs w:val="20"/>
          <w:lang w:val="pt-BR"/>
        </w:rPr>
        <w:t xml:space="preserve"> autores intelectu</w:t>
      </w:r>
      <w:r w:rsidR="00331E62" w:rsidRPr="005D6E61">
        <w:rPr>
          <w:rFonts w:ascii="Cambria" w:eastAsia="Calibri" w:hAnsi="Cambria"/>
          <w:sz w:val="20"/>
          <w:szCs w:val="20"/>
          <w:lang w:val="pt-BR"/>
        </w:rPr>
        <w:t>ais</w:t>
      </w:r>
      <w:r w:rsidR="005C27DA" w:rsidRPr="005D6E61">
        <w:rPr>
          <w:rFonts w:ascii="Cambria" w:eastAsia="Calibri" w:hAnsi="Cambria"/>
          <w:sz w:val="20"/>
          <w:szCs w:val="20"/>
          <w:lang w:val="pt-BR"/>
        </w:rPr>
        <w:t>,</w:t>
      </w:r>
      <w:r w:rsidR="00F77B7F" w:rsidRPr="005D6E61">
        <w:rPr>
          <w:rFonts w:ascii="Cambria" w:eastAsia="Calibri" w:hAnsi="Cambria"/>
          <w:sz w:val="20"/>
          <w:szCs w:val="20"/>
          <w:lang w:val="pt-BR"/>
        </w:rPr>
        <w:t xml:space="preserve"> não </w:t>
      </w:r>
      <w:r w:rsidR="009C76C1" w:rsidRPr="005D6E61">
        <w:rPr>
          <w:rFonts w:ascii="Cambria" w:eastAsia="Calibri" w:hAnsi="Cambria"/>
          <w:sz w:val="20"/>
          <w:szCs w:val="20"/>
          <w:lang w:val="pt-BR"/>
        </w:rPr>
        <w:t>se inici</w:t>
      </w:r>
      <w:r w:rsidR="00BF0B90" w:rsidRPr="005D6E61">
        <w:rPr>
          <w:rFonts w:ascii="Cambria" w:eastAsia="Calibri" w:hAnsi="Cambria"/>
          <w:sz w:val="20"/>
          <w:szCs w:val="20"/>
          <w:lang w:val="pt-BR"/>
        </w:rPr>
        <w:t xml:space="preserve">ou </w:t>
      </w:r>
      <w:r w:rsidR="009C76C1" w:rsidRPr="005D6E61">
        <w:rPr>
          <w:rFonts w:ascii="Cambria" w:eastAsia="Calibri" w:hAnsi="Cambria"/>
          <w:sz w:val="20"/>
          <w:szCs w:val="20"/>
          <w:lang w:val="pt-BR"/>
        </w:rPr>
        <w:t>n</w:t>
      </w:r>
      <w:r w:rsidRPr="005D6E61">
        <w:rPr>
          <w:rFonts w:ascii="Cambria" w:eastAsia="Calibri" w:hAnsi="Cambria"/>
          <w:sz w:val="20"/>
          <w:szCs w:val="20"/>
          <w:lang w:val="pt-BR"/>
        </w:rPr>
        <w:t>enhum</w:t>
      </w:r>
      <w:r w:rsidR="009C76C1" w:rsidRPr="005D6E61">
        <w:rPr>
          <w:rFonts w:ascii="Cambria" w:eastAsia="Calibri" w:hAnsi="Cambria"/>
          <w:sz w:val="20"/>
          <w:szCs w:val="20"/>
          <w:lang w:val="pt-BR"/>
        </w:rPr>
        <w:t xml:space="preserve"> procedi</w:t>
      </w:r>
      <w:r w:rsidR="00FB55C7" w:rsidRPr="005D6E61">
        <w:rPr>
          <w:rFonts w:ascii="Cambria" w:eastAsia="Calibri" w:hAnsi="Cambria"/>
          <w:sz w:val="20"/>
          <w:szCs w:val="20"/>
          <w:lang w:val="pt-BR"/>
        </w:rPr>
        <w:t>mento</w:t>
      </w:r>
      <w:r w:rsidR="009C76C1" w:rsidRPr="005D6E61">
        <w:rPr>
          <w:rFonts w:ascii="Cambria" w:eastAsia="Calibri" w:hAnsi="Cambria"/>
          <w:sz w:val="20"/>
          <w:szCs w:val="20"/>
          <w:lang w:val="pt-BR"/>
        </w:rPr>
        <w:t xml:space="preserve"> </w:t>
      </w:r>
      <w:r w:rsidRPr="005D6E61">
        <w:rPr>
          <w:rFonts w:ascii="Cambria" w:eastAsia="Calibri" w:hAnsi="Cambria"/>
          <w:sz w:val="20"/>
          <w:szCs w:val="20"/>
          <w:lang w:val="pt-BR"/>
        </w:rPr>
        <w:t>até</w:t>
      </w:r>
      <w:r w:rsidR="009C76C1" w:rsidRPr="005D6E61">
        <w:rPr>
          <w:rFonts w:ascii="Cambria" w:eastAsia="Calibri" w:hAnsi="Cambria"/>
          <w:sz w:val="20"/>
          <w:szCs w:val="20"/>
          <w:lang w:val="pt-BR"/>
        </w:rPr>
        <w:t xml:space="preserve"> 2000, </w:t>
      </w:r>
      <w:r w:rsidRPr="005D6E61">
        <w:rPr>
          <w:rFonts w:ascii="Cambria" w:eastAsia="Calibri" w:hAnsi="Cambria"/>
          <w:sz w:val="20"/>
          <w:szCs w:val="20"/>
          <w:lang w:val="pt-BR"/>
        </w:rPr>
        <w:t>dat</w:t>
      </w:r>
      <w:r w:rsidR="009C76C1" w:rsidRPr="005D6E61">
        <w:rPr>
          <w:rFonts w:ascii="Cambria" w:eastAsia="Calibri" w:hAnsi="Cambria"/>
          <w:sz w:val="20"/>
          <w:szCs w:val="20"/>
          <w:lang w:val="pt-BR"/>
        </w:rPr>
        <w:t>a</w:t>
      </w:r>
      <w:r w:rsidR="005A2381" w:rsidRPr="005D6E61">
        <w:rPr>
          <w:rFonts w:ascii="Cambria" w:eastAsia="Calibri" w:hAnsi="Cambria"/>
          <w:sz w:val="20"/>
          <w:szCs w:val="20"/>
          <w:lang w:val="pt-BR"/>
        </w:rPr>
        <w:t xml:space="preserve"> </w:t>
      </w:r>
      <w:r w:rsidRPr="005D6E61">
        <w:rPr>
          <w:rFonts w:ascii="Cambria" w:eastAsia="Calibri" w:hAnsi="Cambria"/>
          <w:sz w:val="20"/>
          <w:szCs w:val="20"/>
          <w:lang w:val="pt-BR"/>
        </w:rPr>
        <w:t>em</w:t>
      </w:r>
      <w:r w:rsidR="005A2381" w:rsidRPr="005D6E61">
        <w:rPr>
          <w:rFonts w:ascii="Cambria" w:eastAsia="Calibri" w:hAnsi="Cambria"/>
          <w:sz w:val="20"/>
          <w:szCs w:val="20"/>
          <w:lang w:val="pt-BR"/>
        </w:rPr>
        <w:t xml:space="preserve"> </w:t>
      </w:r>
      <w:r w:rsidR="009C76C1" w:rsidRPr="005D6E61">
        <w:rPr>
          <w:rFonts w:ascii="Cambria" w:eastAsia="Calibri" w:hAnsi="Cambria"/>
          <w:sz w:val="20"/>
          <w:szCs w:val="20"/>
          <w:lang w:val="pt-BR"/>
        </w:rPr>
        <w:t xml:space="preserve">que </w:t>
      </w:r>
      <w:r w:rsidRPr="005D6E61">
        <w:rPr>
          <w:rFonts w:ascii="Cambria" w:eastAsia="Calibri" w:hAnsi="Cambria"/>
          <w:sz w:val="20"/>
          <w:szCs w:val="20"/>
          <w:lang w:val="pt-BR"/>
        </w:rPr>
        <w:t>já</w:t>
      </w:r>
      <w:r w:rsidR="009C76C1" w:rsidRPr="005D6E61">
        <w:rPr>
          <w:rFonts w:ascii="Cambria" w:eastAsia="Calibri" w:hAnsi="Cambria"/>
          <w:sz w:val="20"/>
          <w:szCs w:val="20"/>
          <w:lang w:val="pt-BR"/>
        </w:rPr>
        <w:t xml:space="preserve"> ha</w:t>
      </w:r>
      <w:r w:rsidR="00074F8F" w:rsidRPr="005D6E61">
        <w:rPr>
          <w:rFonts w:ascii="Cambria" w:eastAsia="Calibri" w:hAnsi="Cambria"/>
          <w:sz w:val="20"/>
          <w:szCs w:val="20"/>
          <w:lang w:val="pt-BR"/>
        </w:rPr>
        <w:t>viam</w:t>
      </w:r>
      <w:r w:rsidR="009C76C1" w:rsidRPr="005D6E61">
        <w:rPr>
          <w:rFonts w:ascii="Cambria" w:eastAsia="Calibri" w:hAnsi="Cambria"/>
          <w:sz w:val="20"/>
          <w:szCs w:val="20"/>
          <w:lang w:val="pt-BR"/>
        </w:rPr>
        <w:t xml:space="preserve"> falecido.</w:t>
      </w:r>
    </w:p>
    <w:p w14:paraId="3B3BDEFD" w14:textId="77777777" w:rsidR="000C687E" w:rsidRPr="005D6E61" w:rsidRDefault="000C687E" w:rsidP="000C687E">
      <w:pPr>
        <w:pStyle w:val="ListParagraph"/>
        <w:rPr>
          <w:rFonts w:eastAsia="Calibri"/>
          <w:sz w:val="20"/>
          <w:szCs w:val="20"/>
          <w:lang w:val="pt-BR"/>
        </w:rPr>
      </w:pPr>
    </w:p>
    <w:p w14:paraId="02E65B38" w14:textId="77777777" w:rsidR="000C687E" w:rsidRPr="005D6E61" w:rsidRDefault="009C76C1"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Calibri" w:hAnsi="Cambria"/>
          <w:sz w:val="20"/>
          <w:szCs w:val="20"/>
          <w:lang w:val="pt-BR"/>
        </w:rPr>
      </w:pPr>
      <w:r w:rsidRPr="005D6E61">
        <w:rPr>
          <w:rFonts w:ascii="Cambria" w:eastAsia="Calibri" w:hAnsi="Cambria"/>
          <w:sz w:val="20"/>
          <w:szCs w:val="20"/>
          <w:lang w:val="pt-BR"/>
        </w:rPr>
        <w:t>Indicar</w:t>
      </w:r>
      <w:r w:rsidR="00945988" w:rsidRPr="005D6E61">
        <w:rPr>
          <w:rFonts w:ascii="Cambria" w:eastAsia="Calibri" w:hAnsi="Cambria"/>
          <w:sz w:val="20"/>
          <w:szCs w:val="20"/>
          <w:lang w:val="pt-BR"/>
        </w:rPr>
        <w:t>am</w:t>
      </w:r>
      <w:r w:rsidRPr="005D6E61">
        <w:rPr>
          <w:rFonts w:ascii="Cambria" w:eastAsia="Calibri" w:hAnsi="Cambria"/>
          <w:sz w:val="20"/>
          <w:szCs w:val="20"/>
          <w:lang w:val="pt-BR"/>
        </w:rPr>
        <w:t xml:space="preserve"> que</w:t>
      </w:r>
      <w:r w:rsidR="00331E62" w:rsidRPr="005D6E61">
        <w:rPr>
          <w:rFonts w:ascii="Cambria" w:eastAsia="Calibri" w:hAnsi="Cambria"/>
          <w:sz w:val="20"/>
          <w:szCs w:val="20"/>
          <w:lang w:val="pt-BR"/>
        </w:rPr>
        <w:t xml:space="preserve"> o </w:t>
      </w:r>
      <w:r w:rsidRPr="005D6E61">
        <w:rPr>
          <w:rFonts w:ascii="Cambria" w:eastAsia="Calibri" w:hAnsi="Cambria"/>
          <w:sz w:val="20"/>
          <w:szCs w:val="20"/>
          <w:lang w:val="pt-BR"/>
        </w:rPr>
        <w:t>proces</w:t>
      </w:r>
      <w:r w:rsidR="00945988" w:rsidRPr="005D6E61">
        <w:rPr>
          <w:rFonts w:ascii="Cambria" w:eastAsia="Calibri" w:hAnsi="Cambria"/>
          <w:sz w:val="20"/>
          <w:szCs w:val="20"/>
          <w:lang w:val="pt-BR"/>
        </w:rPr>
        <w:t>s</w:t>
      </w:r>
      <w:r w:rsidRPr="005D6E61">
        <w:rPr>
          <w:rFonts w:ascii="Cambria" w:eastAsia="Calibri" w:hAnsi="Cambria"/>
          <w:sz w:val="20"/>
          <w:szCs w:val="20"/>
          <w:lang w:val="pt-BR"/>
        </w:rPr>
        <w:t>o continu</w:t>
      </w:r>
      <w:r w:rsidR="00BF0B90" w:rsidRPr="005D6E61">
        <w:rPr>
          <w:rFonts w:ascii="Cambria" w:eastAsia="Calibri" w:hAnsi="Cambria"/>
          <w:sz w:val="20"/>
          <w:szCs w:val="20"/>
          <w:lang w:val="pt-BR"/>
        </w:rPr>
        <w:t xml:space="preserve">ou </w:t>
      </w:r>
      <w:r w:rsidR="009C205A" w:rsidRPr="005D6E61">
        <w:rPr>
          <w:rFonts w:ascii="Cambria" w:eastAsia="Calibri" w:hAnsi="Cambria"/>
          <w:sz w:val="20"/>
          <w:szCs w:val="20"/>
          <w:lang w:val="pt-BR"/>
        </w:rPr>
        <w:t>unicamente</w:t>
      </w:r>
      <w:r w:rsidRPr="005D6E61">
        <w:rPr>
          <w:rFonts w:ascii="Cambria" w:eastAsia="Calibri" w:hAnsi="Cambria"/>
          <w:sz w:val="20"/>
          <w:szCs w:val="20"/>
          <w:lang w:val="pt-BR"/>
        </w:rPr>
        <w:t xml:space="preserve"> </w:t>
      </w:r>
      <w:r w:rsidR="00945988" w:rsidRPr="005D6E61">
        <w:rPr>
          <w:rFonts w:ascii="Cambria" w:eastAsia="Calibri" w:hAnsi="Cambria"/>
          <w:sz w:val="20"/>
          <w:szCs w:val="20"/>
          <w:lang w:val="pt-BR"/>
        </w:rPr>
        <w:t xml:space="preserve">a </w:t>
      </w:r>
      <w:r w:rsidR="009C205A" w:rsidRPr="005D6E61">
        <w:rPr>
          <w:rFonts w:ascii="Cambria" w:eastAsia="Calibri" w:hAnsi="Cambria"/>
          <w:sz w:val="20"/>
          <w:szCs w:val="20"/>
          <w:lang w:val="pt-BR"/>
        </w:rPr>
        <w:t>respeito</w:t>
      </w:r>
      <w:r w:rsidRPr="005D6E61">
        <w:rPr>
          <w:rFonts w:ascii="Cambria" w:eastAsia="Calibri" w:hAnsi="Cambria"/>
          <w:sz w:val="20"/>
          <w:szCs w:val="20"/>
          <w:lang w:val="pt-BR"/>
        </w:rPr>
        <w:t xml:space="preserve"> de</w:t>
      </w:r>
      <w:r w:rsidR="006C5454" w:rsidRPr="005D6E61">
        <w:rPr>
          <w:rFonts w:ascii="Cambria" w:eastAsia="Calibri" w:hAnsi="Cambria"/>
          <w:sz w:val="20"/>
          <w:szCs w:val="20"/>
          <w:lang w:val="pt-BR"/>
        </w:rPr>
        <w:t xml:space="preserve"> uma </w:t>
      </w:r>
      <w:r w:rsidR="0054428F" w:rsidRPr="005D6E61">
        <w:rPr>
          <w:rFonts w:ascii="Cambria" w:eastAsia="Calibri" w:hAnsi="Cambria"/>
          <w:sz w:val="20"/>
          <w:szCs w:val="20"/>
          <w:lang w:val="pt-BR"/>
        </w:rPr>
        <w:t>pessoa</w:t>
      </w:r>
      <w:r w:rsidRPr="005D6E61">
        <w:rPr>
          <w:rFonts w:ascii="Cambria" w:eastAsia="Calibri" w:hAnsi="Cambria"/>
          <w:sz w:val="20"/>
          <w:szCs w:val="20"/>
          <w:lang w:val="pt-BR"/>
        </w:rPr>
        <w:t>,</w:t>
      </w:r>
      <w:r w:rsidR="00331E62" w:rsidRPr="005D6E61">
        <w:rPr>
          <w:rFonts w:ascii="Cambria" w:eastAsia="Calibri" w:hAnsi="Cambria"/>
          <w:sz w:val="20"/>
          <w:szCs w:val="20"/>
          <w:lang w:val="pt-BR"/>
        </w:rPr>
        <w:t xml:space="preserve"> a </w:t>
      </w:r>
      <w:r w:rsidR="005A2381" w:rsidRPr="005D6E61">
        <w:rPr>
          <w:rFonts w:ascii="Cambria" w:eastAsia="Calibri" w:hAnsi="Cambria"/>
          <w:sz w:val="20"/>
          <w:szCs w:val="20"/>
          <w:lang w:val="pt-BR"/>
        </w:rPr>
        <w:t>qua</w:t>
      </w:r>
      <w:r w:rsidRPr="005D6E61">
        <w:rPr>
          <w:rFonts w:ascii="Cambria" w:eastAsia="Calibri" w:hAnsi="Cambria"/>
          <w:sz w:val="20"/>
          <w:szCs w:val="20"/>
          <w:lang w:val="pt-BR"/>
        </w:rPr>
        <w:t>l f</w:t>
      </w:r>
      <w:r w:rsidR="007612B9" w:rsidRPr="005D6E61">
        <w:rPr>
          <w:rFonts w:ascii="Cambria" w:eastAsia="Calibri" w:hAnsi="Cambria"/>
          <w:sz w:val="20"/>
          <w:szCs w:val="20"/>
          <w:lang w:val="pt-BR"/>
        </w:rPr>
        <w:t>oi</w:t>
      </w:r>
      <w:r w:rsidRPr="005D6E61">
        <w:rPr>
          <w:rFonts w:ascii="Cambria" w:eastAsia="Calibri" w:hAnsi="Cambria"/>
          <w:sz w:val="20"/>
          <w:szCs w:val="20"/>
          <w:lang w:val="pt-BR"/>
        </w:rPr>
        <w:t xml:space="preserve"> ju</w:t>
      </w:r>
      <w:r w:rsidR="00945988" w:rsidRPr="005D6E61">
        <w:rPr>
          <w:rFonts w:ascii="Cambria" w:eastAsia="Calibri" w:hAnsi="Cambria"/>
          <w:sz w:val="20"/>
          <w:szCs w:val="20"/>
          <w:lang w:val="pt-BR"/>
        </w:rPr>
        <w:t>l</w:t>
      </w:r>
      <w:r w:rsidRPr="005D6E61">
        <w:rPr>
          <w:rFonts w:ascii="Cambria" w:eastAsia="Calibri" w:hAnsi="Cambria"/>
          <w:sz w:val="20"/>
          <w:szCs w:val="20"/>
          <w:lang w:val="pt-BR"/>
        </w:rPr>
        <w:t>gada</w:t>
      </w:r>
      <w:r w:rsidR="006C5454" w:rsidRPr="005D6E61">
        <w:rPr>
          <w:rFonts w:ascii="Cambria" w:eastAsia="Calibri" w:hAnsi="Cambria"/>
          <w:sz w:val="20"/>
          <w:szCs w:val="20"/>
          <w:lang w:val="pt-BR"/>
        </w:rPr>
        <w:t xml:space="preserve"> e </w:t>
      </w:r>
      <w:r w:rsidRPr="005D6E61">
        <w:rPr>
          <w:rFonts w:ascii="Cambria" w:eastAsia="Calibri" w:hAnsi="Cambria"/>
          <w:sz w:val="20"/>
          <w:szCs w:val="20"/>
          <w:lang w:val="pt-BR"/>
        </w:rPr>
        <w:t>abs</w:t>
      </w:r>
      <w:r w:rsidR="007612B9" w:rsidRPr="005D6E61">
        <w:rPr>
          <w:rFonts w:ascii="Cambria" w:eastAsia="Calibri" w:hAnsi="Cambria"/>
          <w:sz w:val="20"/>
          <w:szCs w:val="20"/>
          <w:lang w:val="pt-BR"/>
        </w:rPr>
        <w:t>olvid</w:t>
      </w:r>
      <w:r w:rsidRPr="005D6E61">
        <w:rPr>
          <w:rFonts w:ascii="Cambria" w:eastAsia="Calibri" w:hAnsi="Cambria"/>
          <w:sz w:val="20"/>
          <w:szCs w:val="20"/>
          <w:lang w:val="pt-BR"/>
        </w:rPr>
        <w:t>a por</w:t>
      </w:r>
      <w:r w:rsidR="00275A65" w:rsidRPr="005D6E61">
        <w:rPr>
          <w:rFonts w:ascii="Cambria" w:eastAsia="Calibri" w:hAnsi="Cambria"/>
          <w:sz w:val="20"/>
          <w:szCs w:val="20"/>
          <w:lang w:val="pt-BR"/>
        </w:rPr>
        <w:t xml:space="preserve"> um </w:t>
      </w:r>
      <w:r w:rsidRPr="005D6E61">
        <w:rPr>
          <w:rFonts w:ascii="Cambria" w:eastAsia="Calibri" w:hAnsi="Cambria"/>
          <w:sz w:val="20"/>
          <w:szCs w:val="20"/>
          <w:lang w:val="pt-BR"/>
        </w:rPr>
        <w:t>Tribunal d</w:t>
      </w:r>
      <w:r w:rsidR="00945988" w:rsidRPr="005D6E61">
        <w:rPr>
          <w:rFonts w:ascii="Cambria" w:eastAsia="Calibri" w:hAnsi="Cambria"/>
          <w:sz w:val="20"/>
          <w:szCs w:val="20"/>
          <w:lang w:val="pt-BR"/>
        </w:rPr>
        <w:t>o</w:t>
      </w:r>
      <w:r w:rsidRPr="005D6E61">
        <w:rPr>
          <w:rFonts w:ascii="Cambria" w:eastAsia="Calibri" w:hAnsi="Cambria"/>
          <w:sz w:val="20"/>
          <w:szCs w:val="20"/>
          <w:lang w:val="pt-BR"/>
        </w:rPr>
        <w:t xml:space="preserve"> J</w:t>
      </w:r>
      <w:r w:rsidR="00945988" w:rsidRPr="005D6E61">
        <w:rPr>
          <w:rFonts w:ascii="Cambria" w:eastAsia="Calibri" w:hAnsi="Cambria"/>
          <w:sz w:val="20"/>
          <w:szCs w:val="20"/>
          <w:lang w:val="pt-BR"/>
        </w:rPr>
        <w:t>úri em</w:t>
      </w:r>
      <w:r w:rsidR="00331E62" w:rsidRPr="005D6E61">
        <w:rPr>
          <w:rFonts w:ascii="Cambria" w:eastAsia="Calibri" w:hAnsi="Cambria"/>
          <w:sz w:val="20"/>
          <w:szCs w:val="20"/>
          <w:lang w:val="pt-BR"/>
        </w:rPr>
        <w:t xml:space="preserve"> </w:t>
      </w:r>
      <w:r w:rsidRPr="005D6E61">
        <w:rPr>
          <w:rFonts w:ascii="Cambria" w:eastAsia="Calibri" w:hAnsi="Cambria"/>
          <w:sz w:val="20"/>
          <w:szCs w:val="20"/>
          <w:lang w:val="pt-BR"/>
        </w:rPr>
        <w:t xml:space="preserve">2001. </w:t>
      </w:r>
    </w:p>
    <w:p w14:paraId="5A461583" w14:textId="77777777" w:rsidR="000C687E" w:rsidRPr="005D6E61" w:rsidRDefault="000C687E" w:rsidP="000C687E">
      <w:pPr>
        <w:pStyle w:val="ListParagraph"/>
        <w:rPr>
          <w:sz w:val="20"/>
          <w:szCs w:val="20"/>
          <w:lang w:val="pt-BR"/>
        </w:rPr>
      </w:pPr>
    </w:p>
    <w:p w14:paraId="4DB415D6" w14:textId="77777777" w:rsidR="000C687E" w:rsidRPr="005D6E61" w:rsidRDefault="007612B9"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Calibri" w:hAnsi="Cambria"/>
          <w:sz w:val="20"/>
          <w:szCs w:val="20"/>
          <w:lang w:val="pt-BR"/>
        </w:rPr>
      </w:pPr>
      <w:r w:rsidRPr="005D6E61">
        <w:rPr>
          <w:rFonts w:ascii="Cambria" w:hAnsi="Cambria"/>
          <w:sz w:val="20"/>
          <w:szCs w:val="20"/>
          <w:lang w:val="pt-BR"/>
        </w:rPr>
        <w:t>Q</w:t>
      </w:r>
      <w:r w:rsidR="005A2381" w:rsidRPr="005D6E61">
        <w:rPr>
          <w:rFonts w:ascii="Cambria" w:hAnsi="Cambria"/>
          <w:sz w:val="20"/>
          <w:szCs w:val="20"/>
          <w:lang w:val="pt-BR"/>
        </w:rPr>
        <w:t>ua</w:t>
      </w:r>
      <w:r w:rsidR="000E4D16" w:rsidRPr="005D6E61">
        <w:rPr>
          <w:rFonts w:ascii="Cambria" w:hAnsi="Cambria"/>
          <w:sz w:val="20"/>
          <w:szCs w:val="20"/>
          <w:lang w:val="pt-BR"/>
        </w:rPr>
        <w:t>nto</w:t>
      </w:r>
      <w:r w:rsidR="00CD523F" w:rsidRPr="005D6E61">
        <w:rPr>
          <w:rFonts w:ascii="Cambria" w:hAnsi="Cambria"/>
          <w:sz w:val="20"/>
          <w:szCs w:val="20"/>
          <w:lang w:val="pt-BR"/>
        </w:rPr>
        <w:t xml:space="preserve"> ao </w:t>
      </w:r>
      <w:r w:rsidR="00675058" w:rsidRPr="005D6E61">
        <w:rPr>
          <w:rFonts w:ascii="Cambria" w:hAnsi="Cambria"/>
          <w:sz w:val="20"/>
          <w:szCs w:val="20"/>
          <w:lang w:val="pt-BR"/>
        </w:rPr>
        <w:t>direito</w:t>
      </w:r>
      <w:r w:rsidR="000E4D16" w:rsidRPr="005D6E61">
        <w:rPr>
          <w:rFonts w:ascii="Cambria" w:hAnsi="Cambria"/>
          <w:sz w:val="20"/>
          <w:szCs w:val="20"/>
          <w:lang w:val="pt-BR"/>
        </w:rPr>
        <w:t>,</w:t>
      </w:r>
      <w:r w:rsidR="00F77B7F" w:rsidRPr="005D6E61">
        <w:rPr>
          <w:rFonts w:ascii="Cambria" w:hAnsi="Cambria"/>
          <w:sz w:val="20"/>
          <w:szCs w:val="20"/>
          <w:lang w:val="pt-BR"/>
        </w:rPr>
        <w:t xml:space="preserve"> os </w:t>
      </w:r>
      <w:r w:rsidR="00CD523F" w:rsidRPr="005D6E61">
        <w:rPr>
          <w:rFonts w:ascii="Cambria" w:hAnsi="Cambria"/>
          <w:sz w:val="20"/>
          <w:szCs w:val="20"/>
          <w:lang w:val="pt-BR"/>
        </w:rPr>
        <w:t>peticionário</w:t>
      </w:r>
      <w:r w:rsidR="003E0160" w:rsidRPr="005D6E61">
        <w:rPr>
          <w:rFonts w:ascii="Cambria" w:hAnsi="Cambria"/>
          <w:sz w:val="20"/>
          <w:szCs w:val="20"/>
          <w:lang w:val="pt-BR"/>
        </w:rPr>
        <w:t>s argumentar</w:t>
      </w:r>
      <w:r w:rsidR="00945988" w:rsidRPr="005D6E61">
        <w:rPr>
          <w:rFonts w:ascii="Cambria" w:hAnsi="Cambria"/>
          <w:sz w:val="20"/>
          <w:szCs w:val="20"/>
          <w:lang w:val="pt-BR"/>
        </w:rPr>
        <w:t>am</w:t>
      </w:r>
      <w:r w:rsidR="003E0160" w:rsidRPr="005D6E61">
        <w:rPr>
          <w:rFonts w:ascii="Cambria" w:hAnsi="Cambria"/>
          <w:sz w:val="20"/>
          <w:szCs w:val="20"/>
          <w:lang w:val="pt-BR"/>
        </w:rPr>
        <w:t xml:space="preserve"> que </w:t>
      </w:r>
      <w:r w:rsidR="009C205A" w:rsidRPr="005D6E61">
        <w:rPr>
          <w:rFonts w:ascii="Cambria" w:hAnsi="Cambria"/>
          <w:sz w:val="20"/>
          <w:szCs w:val="20"/>
          <w:lang w:val="pt-BR"/>
        </w:rPr>
        <w:t>foi</w:t>
      </w:r>
      <w:r w:rsidR="003E0160" w:rsidRPr="005D6E61">
        <w:rPr>
          <w:rFonts w:ascii="Cambria" w:hAnsi="Cambria"/>
          <w:sz w:val="20"/>
          <w:szCs w:val="20"/>
          <w:lang w:val="pt-BR"/>
        </w:rPr>
        <w:t xml:space="preserve"> viol</w:t>
      </w:r>
      <w:r w:rsidRPr="005D6E61">
        <w:rPr>
          <w:rFonts w:ascii="Cambria" w:hAnsi="Cambria"/>
          <w:sz w:val="20"/>
          <w:szCs w:val="20"/>
          <w:lang w:val="pt-BR"/>
        </w:rPr>
        <w:t>ado</w:t>
      </w:r>
      <w:r w:rsidR="00331E62" w:rsidRPr="005D6E61">
        <w:rPr>
          <w:rFonts w:ascii="Cambria" w:hAnsi="Cambria"/>
          <w:sz w:val="20"/>
          <w:szCs w:val="20"/>
          <w:lang w:val="pt-BR"/>
        </w:rPr>
        <w:t xml:space="preserve"> o </w:t>
      </w:r>
      <w:r w:rsidR="00675058" w:rsidRPr="005D6E61">
        <w:rPr>
          <w:rFonts w:ascii="Cambria" w:hAnsi="Cambria"/>
          <w:b/>
          <w:sz w:val="20"/>
          <w:szCs w:val="20"/>
          <w:lang w:val="pt-BR"/>
        </w:rPr>
        <w:t>direito</w:t>
      </w:r>
      <w:r w:rsidR="00275A65" w:rsidRPr="005D6E61">
        <w:rPr>
          <w:rFonts w:ascii="Cambria" w:hAnsi="Cambria"/>
          <w:b/>
          <w:sz w:val="20"/>
          <w:szCs w:val="20"/>
          <w:lang w:val="pt-BR"/>
        </w:rPr>
        <w:t xml:space="preserve"> à </w:t>
      </w:r>
      <w:r w:rsidR="003E0160" w:rsidRPr="005D6E61">
        <w:rPr>
          <w:rFonts w:ascii="Cambria" w:hAnsi="Cambria"/>
          <w:b/>
          <w:sz w:val="20"/>
          <w:szCs w:val="20"/>
          <w:lang w:val="pt-BR"/>
        </w:rPr>
        <w:t>vida</w:t>
      </w:r>
      <w:r w:rsidR="00626FA8" w:rsidRPr="005D6E61">
        <w:rPr>
          <w:rFonts w:ascii="Cambria" w:hAnsi="Cambria"/>
          <w:b/>
          <w:sz w:val="20"/>
          <w:szCs w:val="20"/>
          <w:lang w:val="pt-BR"/>
        </w:rPr>
        <w:t>,</w:t>
      </w:r>
      <w:r w:rsidR="00862854" w:rsidRPr="005D6E61">
        <w:rPr>
          <w:rFonts w:ascii="Cambria" w:hAnsi="Cambria"/>
          <w:b/>
          <w:sz w:val="20"/>
          <w:szCs w:val="20"/>
          <w:lang w:val="pt-BR"/>
        </w:rPr>
        <w:t xml:space="preserve"> </w:t>
      </w:r>
      <w:r w:rsidR="00862854" w:rsidRPr="005D6E61">
        <w:rPr>
          <w:rFonts w:ascii="Cambria" w:hAnsi="Cambria"/>
          <w:sz w:val="20"/>
          <w:szCs w:val="20"/>
          <w:lang w:val="pt-BR"/>
        </w:rPr>
        <w:t xml:space="preserve">tanto de </w:t>
      </w:r>
      <w:r w:rsidR="009C205A" w:rsidRPr="005D6E61">
        <w:rPr>
          <w:rFonts w:ascii="Cambria" w:hAnsi="Cambria"/>
          <w:sz w:val="20"/>
          <w:szCs w:val="20"/>
          <w:lang w:val="pt-BR"/>
        </w:rPr>
        <w:t>maneira</w:t>
      </w:r>
      <w:r w:rsidR="00862854" w:rsidRPr="005D6E61">
        <w:rPr>
          <w:rFonts w:ascii="Cambria" w:hAnsi="Cambria"/>
          <w:sz w:val="20"/>
          <w:szCs w:val="20"/>
          <w:lang w:val="pt-BR"/>
        </w:rPr>
        <w:t xml:space="preserve"> </w:t>
      </w:r>
      <w:r w:rsidR="009C205A" w:rsidRPr="005D6E61">
        <w:rPr>
          <w:rFonts w:ascii="Cambria" w:hAnsi="Cambria"/>
          <w:sz w:val="20"/>
          <w:szCs w:val="20"/>
          <w:lang w:val="pt-BR"/>
        </w:rPr>
        <w:t>direta</w:t>
      </w:r>
      <w:r w:rsidR="003B62AF" w:rsidRPr="005D6E61">
        <w:rPr>
          <w:rFonts w:ascii="Cambria" w:hAnsi="Cambria"/>
          <w:sz w:val="20"/>
          <w:szCs w:val="20"/>
          <w:lang w:val="pt-BR"/>
        </w:rPr>
        <w:t xml:space="preserve"> pela </w:t>
      </w:r>
      <w:r w:rsidR="00862854" w:rsidRPr="005D6E61">
        <w:rPr>
          <w:rFonts w:ascii="Cambria" w:hAnsi="Cambria"/>
          <w:sz w:val="20"/>
          <w:szCs w:val="20"/>
          <w:lang w:val="pt-BR"/>
        </w:rPr>
        <w:t>interven</w:t>
      </w:r>
      <w:r w:rsidR="00A274D9" w:rsidRPr="005D6E61">
        <w:rPr>
          <w:rFonts w:ascii="Cambria" w:hAnsi="Cambria"/>
          <w:sz w:val="20"/>
          <w:szCs w:val="20"/>
          <w:lang w:val="pt-BR"/>
        </w:rPr>
        <w:t>ção</w:t>
      </w:r>
      <w:r w:rsidR="00862854" w:rsidRPr="005D6E61">
        <w:rPr>
          <w:rFonts w:ascii="Cambria" w:hAnsi="Cambria"/>
          <w:sz w:val="20"/>
          <w:szCs w:val="20"/>
          <w:lang w:val="pt-BR"/>
        </w:rPr>
        <w:t xml:space="preserve"> de agentes estat</w:t>
      </w:r>
      <w:r w:rsidR="00331E62" w:rsidRPr="005D6E61">
        <w:rPr>
          <w:rFonts w:ascii="Cambria" w:hAnsi="Cambria"/>
          <w:sz w:val="20"/>
          <w:szCs w:val="20"/>
          <w:lang w:val="pt-BR"/>
        </w:rPr>
        <w:t xml:space="preserve">ais no </w:t>
      </w:r>
      <w:r w:rsidR="009C205A" w:rsidRPr="005D6E61">
        <w:rPr>
          <w:rFonts w:ascii="Cambria" w:hAnsi="Cambria"/>
          <w:sz w:val="20"/>
          <w:szCs w:val="20"/>
          <w:lang w:val="pt-BR"/>
        </w:rPr>
        <w:t>assassinato</w:t>
      </w:r>
      <w:r w:rsidR="00675058" w:rsidRPr="005D6E61">
        <w:rPr>
          <w:rFonts w:ascii="Cambria" w:hAnsi="Cambria"/>
          <w:sz w:val="20"/>
          <w:szCs w:val="20"/>
          <w:lang w:val="pt-BR"/>
        </w:rPr>
        <w:t xml:space="preserve"> da </w:t>
      </w:r>
      <w:r w:rsidR="005A2381" w:rsidRPr="005D6E61">
        <w:rPr>
          <w:rFonts w:ascii="Cambria" w:hAnsi="Cambria"/>
          <w:sz w:val="20"/>
          <w:szCs w:val="20"/>
          <w:lang w:val="pt-BR"/>
        </w:rPr>
        <w:t>suposta</w:t>
      </w:r>
      <w:r w:rsidR="00862854" w:rsidRPr="005D6E61">
        <w:rPr>
          <w:rFonts w:ascii="Cambria" w:hAnsi="Cambria"/>
          <w:sz w:val="20"/>
          <w:szCs w:val="20"/>
          <w:lang w:val="pt-BR"/>
        </w:rPr>
        <w:t xml:space="preserve"> </w:t>
      </w:r>
      <w:r w:rsidR="003619A0" w:rsidRPr="005D6E61">
        <w:rPr>
          <w:rFonts w:ascii="Cambria" w:hAnsi="Cambria"/>
          <w:sz w:val="20"/>
          <w:szCs w:val="20"/>
          <w:lang w:val="pt-BR"/>
        </w:rPr>
        <w:t>vítima</w:t>
      </w:r>
      <w:r w:rsidR="00862854" w:rsidRPr="005D6E61">
        <w:rPr>
          <w:rFonts w:ascii="Cambria" w:hAnsi="Cambria"/>
          <w:sz w:val="20"/>
          <w:szCs w:val="20"/>
          <w:lang w:val="pt-BR"/>
        </w:rPr>
        <w:t>, como</w:t>
      </w:r>
      <w:r w:rsidR="003B62AF" w:rsidRPr="005D6E61">
        <w:rPr>
          <w:rFonts w:ascii="Cambria" w:hAnsi="Cambria"/>
          <w:sz w:val="20"/>
          <w:szCs w:val="20"/>
          <w:lang w:val="pt-BR"/>
        </w:rPr>
        <w:t xml:space="preserve"> pela </w:t>
      </w:r>
      <w:r w:rsidR="00862854" w:rsidRPr="005D6E61">
        <w:rPr>
          <w:rFonts w:ascii="Cambria" w:hAnsi="Cambria"/>
          <w:sz w:val="20"/>
          <w:szCs w:val="20"/>
          <w:lang w:val="pt-BR"/>
        </w:rPr>
        <w:t>falta de investiga</w:t>
      </w:r>
      <w:r w:rsidR="00A274D9" w:rsidRPr="005D6E61">
        <w:rPr>
          <w:rFonts w:ascii="Cambria" w:hAnsi="Cambria"/>
          <w:sz w:val="20"/>
          <w:szCs w:val="20"/>
          <w:lang w:val="pt-BR"/>
        </w:rPr>
        <w:t>ção</w:t>
      </w:r>
      <w:r w:rsidR="00862854" w:rsidRPr="005D6E61">
        <w:rPr>
          <w:rFonts w:ascii="Cambria" w:hAnsi="Cambria"/>
          <w:sz w:val="20"/>
          <w:szCs w:val="20"/>
          <w:lang w:val="pt-BR"/>
        </w:rPr>
        <w:t xml:space="preserve"> </w:t>
      </w:r>
      <w:r w:rsidR="009C205A" w:rsidRPr="005D6E61">
        <w:rPr>
          <w:rFonts w:ascii="Cambria" w:hAnsi="Cambria"/>
          <w:sz w:val="20"/>
          <w:szCs w:val="20"/>
          <w:lang w:val="pt-BR"/>
        </w:rPr>
        <w:t>séria</w:t>
      </w:r>
      <w:r w:rsidR="006C5454" w:rsidRPr="005D6E61">
        <w:rPr>
          <w:rFonts w:ascii="Cambria" w:hAnsi="Cambria"/>
          <w:sz w:val="20"/>
          <w:szCs w:val="20"/>
          <w:lang w:val="pt-BR"/>
        </w:rPr>
        <w:t xml:space="preserve"> e </w:t>
      </w:r>
      <w:r w:rsidR="00862854" w:rsidRPr="005D6E61">
        <w:rPr>
          <w:rFonts w:ascii="Cambria" w:hAnsi="Cambria"/>
          <w:sz w:val="20"/>
          <w:szCs w:val="20"/>
          <w:lang w:val="pt-BR"/>
        </w:rPr>
        <w:t xml:space="preserve">diligente de </w:t>
      </w:r>
      <w:r w:rsidR="009C205A" w:rsidRPr="005D6E61">
        <w:rPr>
          <w:rFonts w:ascii="Cambria" w:hAnsi="Cambria"/>
          <w:sz w:val="20"/>
          <w:szCs w:val="20"/>
          <w:lang w:val="pt-BR"/>
        </w:rPr>
        <w:t>sua</w:t>
      </w:r>
      <w:r w:rsidR="00862854" w:rsidRPr="005D6E61">
        <w:rPr>
          <w:rFonts w:ascii="Cambria" w:hAnsi="Cambria"/>
          <w:sz w:val="20"/>
          <w:szCs w:val="20"/>
          <w:lang w:val="pt-BR"/>
        </w:rPr>
        <w:t xml:space="preserve"> </w:t>
      </w:r>
      <w:r w:rsidR="003619A0" w:rsidRPr="005D6E61">
        <w:rPr>
          <w:rFonts w:ascii="Cambria" w:hAnsi="Cambria"/>
          <w:sz w:val="20"/>
          <w:szCs w:val="20"/>
          <w:lang w:val="pt-BR"/>
        </w:rPr>
        <w:t>morte</w:t>
      </w:r>
      <w:r w:rsidR="00862854" w:rsidRPr="005D6E61">
        <w:rPr>
          <w:rFonts w:ascii="Cambria" w:hAnsi="Cambria"/>
          <w:sz w:val="20"/>
          <w:szCs w:val="20"/>
          <w:lang w:val="pt-BR"/>
        </w:rPr>
        <w:t xml:space="preserve">. </w:t>
      </w:r>
    </w:p>
    <w:p w14:paraId="10B69C05" w14:textId="77777777" w:rsidR="000C687E" w:rsidRPr="005D6E61" w:rsidRDefault="000C687E" w:rsidP="000C687E">
      <w:pPr>
        <w:pStyle w:val="ListParagraph"/>
        <w:rPr>
          <w:sz w:val="20"/>
          <w:szCs w:val="20"/>
          <w:lang w:val="pt-BR"/>
        </w:rPr>
      </w:pPr>
    </w:p>
    <w:p w14:paraId="488C2729" w14:textId="77777777" w:rsidR="000C687E" w:rsidRPr="005D6E61" w:rsidRDefault="009C205A"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Calibri" w:hAnsi="Cambria"/>
          <w:sz w:val="20"/>
          <w:szCs w:val="20"/>
          <w:lang w:val="pt-BR"/>
        </w:rPr>
      </w:pPr>
      <w:r w:rsidRPr="005D6E61">
        <w:rPr>
          <w:rFonts w:ascii="Cambria" w:hAnsi="Cambria"/>
          <w:sz w:val="20"/>
          <w:szCs w:val="20"/>
          <w:lang w:val="pt-BR"/>
        </w:rPr>
        <w:t>Argumentaram</w:t>
      </w:r>
      <w:r w:rsidR="00331E62" w:rsidRPr="005D6E61">
        <w:rPr>
          <w:rFonts w:ascii="Cambria" w:hAnsi="Cambria"/>
          <w:sz w:val="20"/>
          <w:szCs w:val="20"/>
          <w:lang w:val="pt-BR"/>
        </w:rPr>
        <w:t xml:space="preserve"> a </w:t>
      </w:r>
      <w:r w:rsidR="00862854" w:rsidRPr="005D6E61">
        <w:rPr>
          <w:rFonts w:ascii="Cambria" w:hAnsi="Cambria"/>
          <w:sz w:val="20"/>
          <w:szCs w:val="20"/>
          <w:lang w:val="pt-BR"/>
        </w:rPr>
        <w:t>viola</w:t>
      </w:r>
      <w:r w:rsidR="00A274D9" w:rsidRPr="005D6E61">
        <w:rPr>
          <w:rFonts w:ascii="Cambria" w:hAnsi="Cambria"/>
          <w:sz w:val="20"/>
          <w:szCs w:val="20"/>
          <w:lang w:val="pt-BR"/>
        </w:rPr>
        <w:t>ção</w:t>
      </w:r>
      <w:r w:rsidR="00331E62" w:rsidRPr="005D6E61">
        <w:rPr>
          <w:rFonts w:ascii="Cambria" w:hAnsi="Cambria"/>
          <w:sz w:val="20"/>
          <w:szCs w:val="20"/>
          <w:lang w:val="pt-BR"/>
        </w:rPr>
        <w:t xml:space="preserve"> dos </w:t>
      </w:r>
      <w:r w:rsidR="00675058" w:rsidRPr="005D6E61">
        <w:rPr>
          <w:rFonts w:ascii="Cambria" w:hAnsi="Cambria"/>
          <w:b/>
          <w:sz w:val="20"/>
          <w:szCs w:val="20"/>
          <w:lang w:val="pt-BR"/>
        </w:rPr>
        <w:t>direito</w:t>
      </w:r>
      <w:r w:rsidR="00862854" w:rsidRPr="005D6E61">
        <w:rPr>
          <w:rFonts w:ascii="Cambria" w:hAnsi="Cambria"/>
          <w:b/>
          <w:sz w:val="20"/>
          <w:szCs w:val="20"/>
          <w:lang w:val="pt-BR"/>
        </w:rPr>
        <w:t>s</w:t>
      </w:r>
      <w:r w:rsidR="005A2381" w:rsidRPr="005D6E61">
        <w:rPr>
          <w:rFonts w:ascii="Cambria" w:hAnsi="Cambria"/>
          <w:b/>
          <w:sz w:val="20"/>
          <w:szCs w:val="20"/>
          <w:lang w:val="pt-BR"/>
        </w:rPr>
        <w:t xml:space="preserve"> às </w:t>
      </w:r>
      <w:r w:rsidR="00862854" w:rsidRPr="005D6E61">
        <w:rPr>
          <w:rFonts w:ascii="Cambria" w:hAnsi="Cambria"/>
          <w:b/>
          <w:sz w:val="20"/>
          <w:szCs w:val="20"/>
          <w:lang w:val="pt-BR"/>
        </w:rPr>
        <w:t>garant</w:t>
      </w:r>
      <w:r w:rsidR="005A2381" w:rsidRPr="005D6E61">
        <w:rPr>
          <w:rFonts w:ascii="Cambria" w:hAnsi="Cambria"/>
          <w:b/>
          <w:sz w:val="20"/>
          <w:szCs w:val="20"/>
          <w:lang w:val="pt-BR"/>
        </w:rPr>
        <w:t>ia</w:t>
      </w:r>
      <w:r w:rsidR="00862854" w:rsidRPr="005D6E61">
        <w:rPr>
          <w:rFonts w:ascii="Cambria" w:hAnsi="Cambria"/>
          <w:b/>
          <w:sz w:val="20"/>
          <w:szCs w:val="20"/>
          <w:lang w:val="pt-BR"/>
        </w:rPr>
        <w:t>s judici</w:t>
      </w:r>
      <w:r w:rsidR="00331E62" w:rsidRPr="005D6E61">
        <w:rPr>
          <w:rFonts w:ascii="Cambria" w:hAnsi="Cambria"/>
          <w:b/>
          <w:sz w:val="20"/>
          <w:szCs w:val="20"/>
          <w:lang w:val="pt-BR"/>
        </w:rPr>
        <w:t>ais</w:t>
      </w:r>
      <w:r w:rsidR="006C5454" w:rsidRPr="005D6E61">
        <w:rPr>
          <w:rFonts w:ascii="Cambria" w:hAnsi="Cambria"/>
          <w:b/>
          <w:sz w:val="20"/>
          <w:szCs w:val="20"/>
          <w:lang w:val="pt-BR"/>
        </w:rPr>
        <w:t xml:space="preserve"> e </w:t>
      </w:r>
      <w:r w:rsidR="00862854" w:rsidRPr="005D6E61">
        <w:rPr>
          <w:rFonts w:ascii="Cambria" w:hAnsi="Cambria"/>
          <w:b/>
          <w:sz w:val="20"/>
          <w:szCs w:val="20"/>
          <w:lang w:val="pt-BR"/>
        </w:rPr>
        <w:t>prote</w:t>
      </w:r>
      <w:r w:rsidR="00704E7B" w:rsidRPr="005D6E61">
        <w:rPr>
          <w:rFonts w:ascii="Cambria" w:hAnsi="Cambria"/>
          <w:b/>
          <w:sz w:val="20"/>
          <w:szCs w:val="20"/>
          <w:lang w:val="pt-BR"/>
        </w:rPr>
        <w:t>ç</w:t>
      </w:r>
      <w:r w:rsidR="00A274D9" w:rsidRPr="005D6E61">
        <w:rPr>
          <w:rFonts w:ascii="Cambria" w:hAnsi="Cambria"/>
          <w:b/>
          <w:sz w:val="20"/>
          <w:szCs w:val="20"/>
          <w:lang w:val="pt-BR"/>
        </w:rPr>
        <w:t>ão</w:t>
      </w:r>
      <w:r w:rsidR="00862854" w:rsidRPr="005D6E61">
        <w:rPr>
          <w:rFonts w:ascii="Cambria" w:hAnsi="Cambria"/>
          <w:b/>
          <w:sz w:val="20"/>
          <w:szCs w:val="20"/>
          <w:lang w:val="pt-BR"/>
        </w:rPr>
        <w:t xml:space="preserve"> judicial</w:t>
      </w:r>
      <w:r w:rsidR="003B62AF" w:rsidRPr="005D6E61">
        <w:rPr>
          <w:rFonts w:ascii="Cambria" w:hAnsi="Cambria"/>
          <w:sz w:val="20"/>
          <w:szCs w:val="20"/>
          <w:lang w:val="pt-BR"/>
        </w:rPr>
        <w:t xml:space="preserve"> pela </w:t>
      </w:r>
      <w:r w:rsidR="00862854" w:rsidRPr="005D6E61">
        <w:rPr>
          <w:rFonts w:ascii="Cambria" w:hAnsi="Cambria"/>
          <w:sz w:val="20"/>
          <w:szCs w:val="20"/>
          <w:lang w:val="pt-BR"/>
        </w:rPr>
        <w:t>falta de investiga</w:t>
      </w:r>
      <w:r w:rsidR="00A274D9" w:rsidRPr="005D6E61">
        <w:rPr>
          <w:rFonts w:ascii="Cambria" w:hAnsi="Cambria"/>
          <w:sz w:val="20"/>
          <w:szCs w:val="20"/>
          <w:lang w:val="pt-BR"/>
        </w:rPr>
        <w:t>ção</w:t>
      </w:r>
      <w:r w:rsidR="006C5454" w:rsidRPr="005D6E61">
        <w:rPr>
          <w:rFonts w:ascii="Cambria" w:hAnsi="Cambria"/>
          <w:sz w:val="20"/>
          <w:szCs w:val="20"/>
          <w:lang w:val="pt-BR"/>
        </w:rPr>
        <w:t xml:space="preserve"> e </w:t>
      </w:r>
      <w:r w:rsidR="007612B9" w:rsidRPr="005D6E61">
        <w:rPr>
          <w:rFonts w:ascii="Cambria" w:hAnsi="Cambria"/>
          <w:sz w:val="20"/>
          <w:szCs w:val="20"/>
          <w:lang w:val="pt-BR"/>
        </w:rPr>
        <w:t>puni</w:t>
      </w:r>
      <w:r w:rsidR="00A274D9" w:rsidRPr="005D6E61">
        <w:rPr>
          <w:rFonts w:ascii="Cambria" w:hAnsi="Cambria"/>
          <w:sz w:val="20"/>
          <w:szCs w:val="20"/>
          <w:lang w:val="pt-BR"/>
        </w:rPr>
        <w:t>ção</w:t>
      </w:r>
      <w:r w:rsidR="00862854" w:rsidRPr="005D6E61">
        <w:rPr>
          <w:rFonts w:ascii="Cambria" w:hAnsi="Cambria"/>
          <w:sz w:val="20"/>
          <w:szCs w:val="20"/>
          <w:lang w:val="pt-BR"/>
        </w:rPr>
        <w:t xml:space="preserve"> </w:t>
      </w:r>
      <w:r w:rsidR="007612B9" w:rsidRPr="005D6E61">
        <w:rPr>
          <w:rFonts w:ascii="Cambria" w:hAnsi="Cambria"/>
          <w:sz w:val="20"/>
          <w:szCs w:val="20"/>
          <w:lang w:val="pt-BR"/>
        </w:rPr>
        <w:t>d</w:t>
      </w:r>
      <w:r w:rsidR="00F77B7F" w:rsidRPr="005D6E61">
        <w:rPr>
          <w:rFonts w:ascii="Cambria" w:hAnsi="Cambria"/>
          <w:sz w:val="20"/>
          <w:szCs w:val="20"/>
          <w:lang w:val="pt-BR"/>
        </w:rPr>
        <w:t xml:space="preserve">os </w:t>
      </w:r>
      <w:r w:rsidR="00862854" w:rsidRPr="005D6E61">
        <w:rPr>
          <w:rFonts w:ascii="Cambria" w:hAnsi="Cambria"/>
          <w:sz w:val="20"/>
          <w:szCs w:val="20"/>
          <w:lang w:val="pt-BR"/>
        </w:rPr>
        <w:t>respons</w:t>
      </w:r>
      <w:r w:rsidR="007612B9" w:rsidRPr="005D6E61">
        <w:rPr>
          <w:rFonts w:ascii="Cambria" w:hAnsi="Cambria"/>
          <w:sz w:val="20"/>
          <w:szCs w:val="20"/>
          <w:lang w:val="pt-BR"/>
        </w:rPr>
        <w:t>áveis</w:t>
      </w:r>
      <w:r w:rsidR="00675058" w:rsidRPr="005D6E61">
        <w:rPr>
          <w:rFonts w:ascii="Cambria" w:hAnsi="Cambria"/>
          <w:sz w:val="20"/>
          <w:szCs w:val="20"/>
          <w:lang w:val="pt-BR"/>
        </w:rPr>
        <w:t xml:space="preserve"> </w:t>
      </w:r>
      <w:r w:rsidR="007612B9" w:rsidRPr="005D6E61">
        <w:rPr>
          <w:rFonts w:ascii="Cambria" w:hAnsi="Cambria"/>
          <w:sz w:val="20"/>
          <w:szCs w:val="20"/>
          <w:lang w:val="pt-BR"/>
        </w:rPr>
        <w:t>pel</w:t>
      </w:r>
      <w:r w:rsidR="00675058" w:rsidRPr="005D6E61">
        <w:rPr>
          <w:rFonts w:ascii="Cambria" w:hAnsi="Cambria"/>
          <w:sz w:val="20"/>
          <w:szCs w:val="20"/>
          <w:lang w:val="pt-BR"/>
        </w:rPr>
        <w:t xml:space="preserve">a </w:t>
      </w:r>
      <w:r w:rsidR="00862854" w:rsidRPr="005D6E61">
        <w:rPr>
          <w:rFonts w:ascii="Cambria" w:hAnsi="Cambria"/>
          <w:sz w:val="20"/>
          <w:szCs w:val="20"/>
          <w:lang w:val="pt-BR"/>
        </w:rPr>
        <w:t>m</w:t>
      </w:r>
      <w:r w:rsidR="007612B9" w:rsidRPr="005D6E61">
        <w:rPr>
          <w:rFonts w:ascii="Cambria" w:hAnsi="Cambria"/>
          <w:sz w:val="20"/>
          <w:szCs w:val="20"/>
          <w:lang w:val="pt-BR"/>
        </w:rPr>
        <w:t>o</w:t>
      </w:r>
      <w:r w:rsidR="00862854" w:rsidRPr="005D6E61">
        <w:rPr>
          <w:rFonts w:ascii="Cambria" w:hAnsi="Cambria"/>
          <w:sz w:val="20"/>
          <w:szCs w:val="20"/>
          <w:lang w:val="pt-BR"/>
        </w:rPr>
        <w:t>rte</w:t>
      </w:r>
      <w:r w:rsidR="00675058" w:rsidRPr="005D6E61">
        <w:rPr>
          <w:rFonts w:ascii="Cambria" w:hAnsi="Cambria"/>
          <w:sz w:val="20"/>
          <w:szCs w:val="20"/>
          <w:lang w:val="pt-BR"/>
        </w:rPr>
        <w:t xml:space="preserve"> da </w:t>
      </w:r>
      <w:r w:rsidR="005A2381" w:rsidRPr="005D6E61">
        <w:rPr>
          <w:rFonts w:ascii="Cambria" w:hAnsi="Cambria"/>
          <w:sz w:val="20"/>
          <w:szCs w:val="20"/>
          <w:lang w:val="pt-BR"/>
        </w:rPr>
        <w:t>suposta</w:t>
      </w:r>
      <w:r w:rsidR="00862854" w:rsidRPr="005D6E61">
        <w:rPr>
          <w:rFonts w:ascii="Cambria" w:hAnsi="Cambria"/>
          <w:sz w:val="20"/>
          <w:szCs w:val="20"/>
          <w:lang w:val="pt-BR"/>
        </w:rPr>
        <w:t xml:space="preserve"> </w:t>
      </w:r>
      <w:r w:rsidR="003619A0" w:rsidRPr="005D6E61">
        <w:rPr>
          <w:rFonts w:ascii="Cambria" w:hAnsi="Cambria"/>
          <w:sz w:val="20"/>
          <w:szCs w:val="20"/>
          <w:lang w:val="pt-BR"/>
        </w:rPr>
        <w:t>vítima</w:t>
      </w:r>
      <w:r w:rsidR="00862854" w:rsidRPr="005D6E61">
        <w:rPr>
          <w:rFonts w:ascii="Cambria" w:hAnsi="Cambria"/>
          <w:sz w:val="20"/>
          <w:szCs w:val="20"/>
          <w:lang w:val="pt-BR"/>
        </w:rPr>
        <w:t xml:space="preserve"> dentro de</w:t>
      </w:r>
      <w:r w:rsidR="00275A65" w:rsidRPr="005D6E61">
        <w:rPr>
          <w:rFonts w:ascii="Cambria" w:hAnsi="Cambria"/>
          <w:sz w:val="20"/>
          <w:szCs w:val="20"/>
          <w:lang w:val="pt-BR"/>
        </w:rPr>
        <w:t xml:space="preserve"> um </w:t>
      </w:r>
      <w:r w:rsidR="00862854" w:rsidRPr="005D6E61">
        <w:rPr>
          <w:rFonts w:ascii="Cambria" w:hAnsi="Cambria"/>
          <w:sz w:val="20"/>
          <w:szCs w:val="20"/>
          <w:lang w:val="pt-BR"/>
        </w:rPr>
        <w:t>p</w:t>
      </w:r>
      <w:r w:rsidR="007612B9" w:rsidRPr="005D6E61">
        <w:rPr>
          <w:rFonts w:ascii="Cambria" w:hAnsi="Cambria"/>
          <w:sz w:val="20"/>
          <w:szCs w:val="20"/>
          <w:lang w:val="pt-BR"/>
        </w:rPr>
        <w:t>r</w:t>
      </w:r>
      <w:r w:rsidR="00862854" w:rsidRPr="005D6E61">
        <w:rPr>
          <w:rFonts w:ascii="Cambria" w:hAnsi="Cambria"/>
          <w:sz w:val="20"/>
          <w:szCs w:val="20"/>
          <w:lang w:val="pt-BR"/>
        </w:rPr>
        <w:t>azo razo</w:t>
      </w:r>
      <w:r w:rsidR="007612B9" w:rsidRPr="005D6E61">
        <w:rPr>
          <w:rFonts w:ascii="Cambria" w:hAnsi="Cambria"/>
          <w:sz w:val="20"/>
          <w:szCs w:val="20"/>
          <w:lang w:val="pt-BR"/>
        </w:rPr>
        <w:t>ável</w:t>
      </w:r>
      <w:r w:rsidR="00862854" w:rsidRPr="005D6E61">
        <w:rPr>
          <w:rFonts w:ascii="Cambria" w:hAnsi="Cambria"/>
          <w:sz w:val="20"/>
          <w:szCs w:val="20"/>
          <w:lang w:val="pt-BR"/>
        </w:rPr>
        <w:t>. A</w:t>
      </w:r>
      <w:r w:rsidR="007612B9" w:rsidRPr="005D6E61">
        <w:rPr>
          <w:rFonts w:ascii="Cambria" w:hAnsi="Cambria"/>
          <w:sz w:val="20"/>
          <w:szCs w:val="20"/>
          <w:lang w:val="pt-BR"/>
        </w:rPr>
        <w:t>crescentaram</w:t>
      </w:r>
      <w:r w:rsidR="00862854" w:rsidRPr="005D6E61">
        <w:rPr>
          <w:rFonts w:ascii="Cambria" w:hAnsi="Cambria"/>
          <w:sz w:val="20"/>
          <w:szCs w:val="20"/>
          <w:lang w:val="pt-BR"/>
        </w:rPr>
        <w:t xml:space="preserve"> que</w:t>
      </w:r>
      <w:r w:rsidR="00331E62" w:rsidRPr="005D6E61">
        <w:rPr>
          <w:rFonts w:ascii="Cambria" w:hAnsi="Cambria"/>
          <w:sz w:val="20"/>
          <w:szCs w:val="20"/>
          <w:lang w:val="pt-BR"/>
        </w:rPr>
        <w:t xml:space="preserve"> o </w:t>
      </w:r>
      <w:r w:rsidR="00862854" w:rsidRPr="005D6E61">
        <w:rPr>
          <w:rFonts w:ascii="Cambria" w:hAnsi="Cambria"/>
          <w:sz w:val="20"/>
          <w:szCs w:val="20"/>
          <w:lang w:val="pt-BR"/>
        </w:rPr>
        <w:t>caso</w:t>
      </w:r>
      <w:r w:rsidR="00F77B7F" w:rsidRPr="005D6E61">
        <w:rPr>
          <w:rFonts w:ascii="Cambria" w:hAnsi="Cambria"/>
          <w:sz w:val="20"/>
          <w:szCs w:val="20"/>
          <w:lang w:val="pt-BR"/>
        </w:rPr>
        <w:t xml:space="preserve"> não </w:t>
      </w:r>
      <w:r w:rsidR="007612B9" w:rsidRPr="005D6E61">
        <w:rPr>
          <w:rFonts w:ascii="Cambria" w:hAnsi="Cambria"/>
          <w:sz w:val="20"/>
          <w:szCs w:val="20"/>
          <w:lang w:val="pt-BR"/>
        </w:rPr>
        <w:t>a</w:t>
      </w:r>
      <w:r w:rsidR="00862854" w:rsidRPr="005D6E61">
        <w:rPr>
          <w:rFonts w:ascii="Cambria" w:hAnsi="Cambria"/>
          <w:sz w:val="20"/>
          <w:szCs w:val="20"/>
          <w:lang w:val="pt-BR"/>
        </w:rPr>
        <w:t>presenta</w:t>
      </w:r>
      <w:r w:rsidR="00275A65" w:rsidRPr="005D6E61">
        <w:rPr>
          <w:rFonts w:ascii="Cambria" w:hAnsi="Cambria"/>
          <w:sz w:val="20"/>
          <w:szCs w:val="20"/>
          <w:lang w:val="pt-BR"/>
        </w:rPr>
        <w:t xml:space="preserve"> um </w:t>
      </w:r>
      <w:r w:rsidRPr="005D6E61">
        <w:rPr>
          <w:rFonts w:ascii="Cambria" w:hAnsi="Cambria"/>
          <w:sz w:val="20"/>
          <w:szCs w:val="20"/>
          <w:lang w:val="pt-BR"/>
        </w:rPr>
        <w:t xml:space="preserve">alto </w:t>
      </w:r>
      <w:r w:rsidR="005C27DA" w:rsidRPr="005D6E61">
        <w:rPr>
          <w:rFonts w:ascii="Cambria" w:hAnsi="Cambria"/>
          <w:sz w:val="20"/>
          <w:szCs w:val="20"/>
          <w:lang w:val="pt-BR"/>
        </w:rPr>
        <w:t xml:space="preserve">grau </w:t>
      </w:r>
      <w:r w:rsidRPr="005D6E61">
        <w:rPr>
          <w:rFonts w:ascii="Cambria" w:hAnsi="Cambria"/>
          <w:sz w:val="20"/>
          <w:szCs w:val="20"/>
          <w:lang w:val="pt-BR"/>
        </w:rPr>
        <w:t>de dificuldade</w:t>
      </w:r>
      <w:r w:rsidR="00862854" w:rsidRPr="005D6E61">
        <w:rPr>
          <w:rFonts w:ascii="Cambria" w:hAnsi="Cambria"/>
          <w:sz w:val="20"/>
          <w:szCs w:val="20"/>
          <w:lang w:val="pt-BR"/>
        </w:rPr>
        <w:t xml:space="preserve"> jurídica que justifique</w:t>
      </w:r>
      <w:r w:rsidR="00331E62" w:rsidRPr="005D6E61">
        <w:rPr>
          <w:rFonts w:ascii="Cambria" w:hAnsi="Cambria"/>
          <w:sz w:val="20"/>
          <w:szCs w:val="20"/>
          <w:lang w:val="pt-BR"/>
        </w:rPr>
        <w:t xml:space="preserve"> a </w:t>
      </w:r>
      <w:r w:rsidR="00862854" w:rsidRPr="005D6E61">
        <w:rPr>
          <w:rFonts w:ascii="Cambria" w:hAnsi="Cambria"/>
          <w:sz w:val="20"/>
          <w:szCs w:val="20"/>
          <w:lang w:val="pt-BR"/>
        </w:rPr>
        <w:t>demora</w:t>
      </w:r>
      <w:r w:rsidR="006C5454" w:rsidRPr="005D6E61">
        <w:rPr>
          <w:rFonts w:ascii="Cambria" w:hAnsi="Cambria"/>
          <w:sz w:val="20"/>
          <w:szCs w:val="20"/>
          <w:lang w:val="pt-BR"/>
        </w:rPr>
        <w:t xml:space="preserve"> e </w:t>
      </w:r>
      <w:r w:rsidR="00862854" w:rsidRPr="005D6E61">
        <w:rPr>
          <w:rFonts w:ascii="Cambria" w:hAnsi="Cambria"/>
          <w:sz w:val="20"/>
          <w:szCs w:val="20"/>
          <w:lang w:val="pt-BR"/>
        </w:rPr>
        <w:t>que</w:t>
      </w:r>
      <w:r w:rsidR="00331E62" w:rsidRPr="005D6E61">
        <w:rPr>
          <w:rFonts w:ascii="Cambria" w:hAnsi="Cambria"/>
          <w:sz w:val="20"/>
          <w:szCs w:val="20"/>
          <w:lang w:val="pt-BR"/>
        </w:rPr>
        <w:t xml:space="preserve"> a </w:t>
      </w:r>
      <w:r w:rsidR="00862854" w:rsidRPr="005D6E61">
        <w:rPr>
          <w:rFonts w:ascii="Cambria" w:hAnsi="Cambria"/>
          <w:sz w:val="20"/>
          <w:szCs w:val="20"/>
          <w:lang w:val="pt-BR"/>
        </w:rPr>
        <w:t>m</w:t>
      </w:r>
      <w:r w:rsidR="00945988" w:rsidRPr="005D6E61">
        <w:rPr>
          <w:rFonts w:ascii="Cambria" w:hAnsi="Cambria"/>
          <w:sz w:val="20"/>
          <w:szCs w:val="20"/>
          <w:lang w:val="pt-BR"/>
        </w:rPr>
        <w:t>e</w:t>
      </w:r>
      <w:r w:rsidR="00862854" w:rsidRPr="005D6E61">
        <w:rPr>
          <w:rFonts w:ascii="Cambria" w:hAnsi="Cambria"/>
          <w:sz w:val="20"/>
          <w:szCs w:val="20"/>
          <w:lang w:val="pt-BR"/>
        </w:rPr>
        <w:t>sma t</w:t>
      </w:r>
      <w:r w:rsidR="007612B9" w:rsidRPr="005D6E61">
        <w:rPr>
          <w:rFonts w:ascii="Cambria" w:hAnsi="Cambria"/>
          <w:sz w:val="20"/>
          <w:szCs w:val="20"/>
          <w:lang w:val="pt-BR"/>
        </w:rPr>
        <w:t>em</w:t>
      </w:r>
      <w:r w:rsidR="00862854" w:rsidRPr="005D6E61">
        <w:rPr>
          <w:rFonts w:ascii="Cambria" w:hAnsi="Cambria"/>
          <w:sz w:val="20"/>
          <w:szCs w:val="20"/>
          <w:lang w:val="pt-BR"/>
        </w:rPr>
        <w:t xml:space="preserve"> </w:t>
      </w:r>
      <w:r w:rsidR="007612B9" w:rsidRPr="005D6E61">
        <w:rPr>
          <w:rFonts w:ascii="Cambria" w:hAnsi="Cambria"/>
          <w:sz w:val="20"/>
          <w:szCs w:val="20"/>
          <w:lang w:val="pt-BR"/>
        </w:rPr>
        <w:t>a</w:t>
      </w:r>
      <w:r w:rsidR="00862854" w:rsidRPr="005D6E61">
        <w:rPr>
          <w:rFonts w:ascii="Cambria" w:hAnsi="Cambria"/>
          <w:sz w:val="20"/>
          <w:szCs w:val="20"/>
          <w:lang w:val="pt-BR"/>
        </w:rPr>
        <w:t xml:space="preserve"> ver</w:t>
      </w:r>
      <w:r w:rsidR="00F77B7F" w:rsidRPr="005D6E61">
        <w:rPr>
          <w:rFonts w:ascii="Cambria" w:hAnsi="Cambria"/>
          <w:sz w:val="20"/>
          <w:szCs w:val="20"/>
          <w:lang w:val="pt-BR"/>
        </w:rPr>
        <w:t xml:space="preserve"> com</w:t>
      </w:r>
      <w:r w:rsidR="00331E62" w:rsidRPr="005D6E61">
        <w:rPr>
          <w:rFonts w:ascii="Cambria" w:hAnsi="Cambria"/>
          <w:sz w:val="20"/>
          <w:szCs w:val="20"/>
          <w:lang w:val="pt-BR"/>
        </w:rPr>
        <w:t xml:space="preserve"> a </w:t>
      </w:r>
      <w:r w:rsidR="00862854" w:rsidRPr="005D6E61">
        <w:rPr>
          <w:rFonts w:ascii="Cambria" w:hAnsi="Cambria"/>
          <w:sz w:val="20"/>
          <w:szCs w:val="20"/>
          <w:lang w:val="pt-BR"/>
        </w:rPr>
        <w:t xml:space="preserve">falta de </w:t>
      </w:r>
      <w:r w:rsidRPr="005D6E61">
        <w:rPr>
          <w:rFonts w:ascii="Cambria" w:hAnsi="Cambria"/>
          <w:sz w:val="20"/>
          <w:szCs w:val="20"/>
          <w:lang w:val="pt-BR"/>
        </w:rPr>
        <w:t>devida</w:t>
      </w:r>
      <w:r w:rsidR="00862854" w:rsidRPr="005D6E61">
        <w:rPr>
          <w:rFonts w:ascii="Cambria" w:hAnsi="Cambria"/>
          <w:sz w:val="20"/>
          <w:szCs w:val="20"/>
          <w:lang w:val="pt-BR"/>
        </w:rPr>
        <w:t xml:space="preserve"> dilig</w:t>
      </w:r>
      <w:r w:rsidR="00E37676" w:rsidRPr="005D6E61">
        <w:rPr>
          <w:rFonts w:ascii="Cambria" w:hAnsi="Cambria"/>
          <w:sz w:val="20"/>
          <w:szCs w:val="20"/>
          <w:lang w:val="pt-BR"/>
        </w:rPr>
        <w:t>ência</w:t>
      </w:r>
      <w:r w:rsidR="00862854" w:rsidRPr="005D6E61">
        <w:rPr>
          <w:rFonts w:ascii="Cambria" w:hAnsi="Cambria"/>
          <w:sz w:val="20"/>
          <w:szCs w:val="20"/>
          <w:lang w:val="pt-BR"/>
        </w:rPr>
        <w:t xml:space="preserve"> </w:t>
      </w:r>
      <w:r w:rsidR="00B96B9E" w:rsidRPr="005D6E61">
        <w:rPr>
          <w:rFonts w:ascii="Cambria" w:hAnsi="Cambria"/>
          <w:sz w:val="20"/>
          <w:szCs w:val="20"/>
          <w:lang w:val="pt-BR"/>
        </w:rPr>
        <w:t>do Estado</w:t>
      </w:r>
      <w:r w:rsidR="00862854" w:rsidRPr="005D6E61">
        <w:rPr>
          <w:rFonts w:ascii="Cambria" w:hAnsi="Cambria"/>
          <w:sz w:val="20"/>
          <w:szCs w:val="20"/>
          <w:lang w:val="pt-BR"/>
        </w:rPr>
        <w:t xml:space="preserve">. </w:t>
      </w:r>
    </w:p>
    <w:p w14:paraId="43C72457" w14:textId="77777777" w:rsidR="000C687E" w:rsidRPr="005D6E61" w:rsidRDefault="000C687E" w:rsidP="000C687E">
      <w:pPr>
        <w:pStyle w:val="ListParagraph"/>
        <w:rPr>
          <w:rFonts w:eastAsia="Calibri"/>
          <w:sz w:val="20"/>
          <w:szCs w:val="20"/>
          <w:lang w:val="pt-BR"/>
        </w:rPr>
      </w:pPr>
    </w:p>
    <w:p w14:paraId="49C9EC48" w14:textId="77777777" w:rsidR="00315C45" w:rsidRPr="005D6E61" w:rsidRDefault="007612B9"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Calibri" w:hAnsi="Cambria"/>
          <w:sz w:val="20"/>
          <w:szCs w:val="20"/>
          <w:lang w:val="pt-BR"/>
        </w:rPr>
      </w:pPr>
      <w:r w:rsidRPr="005D6E61">
        <w:rPr>
          <w:rFonts w:ascii="Cambria" w:eastAsia="Calibri" w:hAnsi="Cambria"/>
          <w:sz w:val="20"/>
          <w:szCs w:val="20"/>
          <w:lang w:val="pt-BR"/>
        </w:rPr>
        <w:t>O</w:t>
      </w:r>
      <w:r w:rsidR="00315C45" w:rsidRPr="005D6E61">
        <w:rPr>
          <w:rFonts w:ascii="Cambria" w:eastAsia="Calibri" w:hAnsi="Cambria"/>
          <w:sz w:val="20"/>
          <w:szCs w:val="20"/>
          <w:lang w:val="pt-BR"/>
        </w:rPr>
        <w:t xml:space="preserve">s </w:t>
      </w:r>
      <w:r w:rsidR="00CD523F" w:rsidRPr="005D6E61">
        <w:rPr>
          <w:rFonts w:ascii="Cambria" w:eastAsia="Calibri" w:hAnsi="Cambria"/>
          <w:sz w:val="20"/>
          <w:szCs w:val="20"/>
          <w:lang w:val="pt-BR"/>
        </w:rPr>
        <w:t>peticionário</w:t>
      </w:r>
      <w:r w:rsidR="00315C45" w:rsidRPr="005D6E61">
        <w:rPr>
          <w:rFonts w:ascii="Cambria" w:eastAsia="Calibri" w:hAnsi="Cambria"/>
          <w:sz w:val="20"/>
          <w:szCs w:val="20"/>
          <w:lang w:val="pt-BR"/>
        </w:rPr>
        <w:t xml:space="preserve">s </w:t>
      </w:r>
      <w:r w:rsidR="009C205A" w:rsidRPr="005D6E61">
        <w:rPr>
          <w:rFonts w:ascii="Cambria" w:eastAsia="Calibri" w:hAnsi="Cambria"/>
          <w:sz w:val="20"/>
          <w:szCs w:val="20"/>
          <w:lang w:val="pt-BR"/>
        </w:rPr>
        <w:t>também</w:t>
      </w:r>
      <w:r w:rsidR="00315C45" w:rsidRPr="005D6E61">
        <w:rPr>
          <w:rFonts w:ascii="Cambria" w:eastAsia="Calibri" w:hAnsi="Cambria"/>
          <w:sz w:val="20"/>
          <w:szCs w:val="20"/>
          <w:lang w:val="pt-BR"/>
        </w:rPr>
        <w:t xml:space="preserve"> se ref</w:t>
      </w:r>
      <w:r w:rsidR="00945988" w:rsidRPr="005D6E61">
        <w:rPr>
          <w:rFonts w:ascii="Cambria" w:eastAsia="Calibri" w:hAnsi="Cambria"/>
          <w:sz w:val="20"/>
          <w:szCs w:val="20"/>
          <w:lang w:val="pt-BR"/>
        </w:rPr>
        <w:t>e</w:t>
      </w:r>
      <w:r w:rsidR="00315C45" w:rsidRPr="005D6E61">
        <w:rPr>
          <w:rFonts w:ascii="Cambria" w:eastAsia="Calibri" w:hAnsi="Cambria"/>
          <w:sz w:val="20"/>
          <w:szCs w:val="20"/>
          <w:lang w:val="pt-BR"/>
        </w:rPr>
        <w:t>ri</w:t>
      </w:r>
      <w:r w:rsidR="00945988" w:rsidRPr="005D6E61">
        <w:rPr>
          <w:rFonts w:ascii="Cambria" w:eastAsia="Calibri" w:hAnsi="Cambria"/>
          <w:sz w:val="20"/>
          <w:szCs w:val="20"/>
          <w:lang w:val="pt-BR"/>
        </w:rPr>
        <w:t>ram</w:t>
      </w:r>
      <w:r w:rsidR="00315C45" w:rsidRPr="005D6E61">
        <w:rPr>
          <w:rFonts w:ascii="Cambria" w:eastAsia="Calibri" w:hAnsi="Cambria"/>
          <w:sz w:val="20"/>
          <w:szCs w:val="20"/>
          <w:lang w:val="pt-BR"/>
        </w:rPr>
        <w:t xml:space="preserve"> a alguns argumentos </w:t>
      </w:r>
      <w:r w:rsidRPr="005D6E61">
        <w:rPr>
          <w:rFonts w:ascii="Cambria" w:eastAsia="Calibri" w:hAnsi="Cambria"/>
          <w:sz w:val="20"/>
          <w:szCs w:val="20"/>
          <w:lang w:val="pt-BR"/>
        </w:rPr>
        <w:t>a</w:t>
      </w:r>
      <w:r w:rsidR="00315C45" w:rsidRPr="005D6E61">
        <w:rPr>
          <w:rFonts w:ascii="Cambria" w:eastAsia="Calibri" w:hAnsi="Cambria"/>
          <w:sz w:val="20"/>
          <w:szCs w:val="20"/>
          <w:lang w:val="pt-BR"/>
        </w:rPr>
        <w:t>presentados p</w:t>
      </w:r>
      <w:r w:rsidRPr="005D6E61">
        <w:rPr>
          <w:rFonts w:ascii="Cambria" w:eastAsia="Calibri" w:hAnsi="Cambria"/>
          <w:sz w:val="20"/>
          <w:szCs w:val="20"/>
          <w:lang w:val="pt-BR"/>
        </w:rPr>
        <w:t>el</w:t>
      </w:r>
      <w:r w:rsidR="00331E62" w:rsidRPr="005D6E61">
        <w:rPr>
          <w:rFonts w:ascii="Cambria" w:eastAsia="Calibri" w:hAnsi="Cambria"/>
          <w:sz w:val="20"/>
          <w:szCs w:val="20"/>
          <w:lang w:val="pt-BR"/>
        </w:rPr>
        <w:t xml:space="preserve">o </w:t>
      </w:r>
      <w:r w:rsidR="00315C45" w:rsidRPr="005D6E61">
        <w:rPr>
          <w:rFonts w:ascii="Cambria" w:eastAsia="Calibri" w:hAnsi="Cambria"/>
          <w:sz w:val="20"/>
          <w:szCs w:val="20"/>
          <w:lang w:val="pt-BR"/>
        </w:rPr>
        <w:t xml:space="preserve">Estado. </w:t>
      </w:r>
      <w:r w:rsidR="00650002" w:rsidRPr="005D6E61">
        <w:rPr>
          <w:rFonts w:ascii="Cambria" w:eastAsia="Calibri" w:hAnsi="Cambria"/>
          <w:sz w:val="20"/>
          <w:szCs w:val="20"/>
          <w:lang w:val="pt-BR"/>
        </w:rPr>
        <w:t xml:space="preserve"> Particularmente,</w:t>
      </w:r>
      <w:r w:rsidR="00F77B7F" w:rsidRPr="005D6E61">
        <w:rPr>
          <w:rFonts w:ascii="Cambria" w:eastAsia="Calibri" w:hAnsi="Cambria"/>
          <w:sz w:val="20"/>
          <w:szCs w:val="20"/>
          <w:lang w:val="pt-BR"/>
        </w:rPr>
        <w:t xml:space="preserve"> </w:t>
      </w:r>
      <w:r w:rsidR="005A2381" w:rsidRPr="005D6E61">
        <w:rPr>
          <w:rFonts w:ascii="Cambria" w:eastAsia="Calibri" w:hAnsi="Cambria"/>
          <w:sz w:val="20"/>
          <w:szCs w:val="20"/>
          <w:lang w:val="pt-BR"/>
        </w:rPr>
        <w:t>qua</w:t>
      </w:r>
      <w:r w:rsidR="00650002" w:rsidRPr="005D6E61">
        <w:rPr>
          <w:rFonts w:ascii="Cambria" w:eastAsia="Calibri" w:hAnsi="Cambria"/>
          <w:sz w:val="20"/>
          <w:szCs w:val="20"/>
          <w:lang w:val="pt-BR"/>
        </w:rPr>
        <w:t>nto</w:t>
      </w:r>
      <w:r w:rsidR="00CD523F" w:rsidRPr="005D6E61">
        <w:rPr>
          <w:rFonts w:ascii="Cambria" w:eastAsia="Calibri" w:hAnsi="Cambria"/>
          <w:sz w:val="20"/>
          <w:szCs w:val="20"/>
          <w:lang w:val="pt-BR"/>
        </w:rPr>
        <w:t xml:space="preserve"> ao </w:t>
      </w:r>
      <w:r w:rsidR="00650002" w:rsidRPr="005D6E61">
        <w:rPr>
          <w:rFonts w:ascii="Cambria" w:eastAsia="Calibri" w:hAnsi="Cambria"/>
          <w:sz w:val="20"/>
          <w:szCs w:val="20"/>
          <w:lang w:val="pt-BR"/>
        </w:rPr>
        <w:t>ar</w:t>
      </w:r>
      <w:r w:rsidR="008C300A" w:rsidRPr="005D6E61">
        <w:rPr>
          <w:rFonts w:ascii="Cambria" w:eastAsia="Calibri" w:hAnsi="Cambria"/>
          <w:sz w:val="20"/>
          <w:szCs w:val="20"/>
          <w:lang w:val="pt-BR"/>
        </w:rPr>
        <w:t>gumento</w:t>
      </w:r>
      <w:r w:rsidR="00F77B7F" w:rsidRPr="005D6E61">
        <w:rPr>
          <w:rFonts w:ascii="Cambria" w:eastAsia="Calibri" w:hAnsi="Cambria"/>
          <w:sz w:val="20"/>
          <w:szCs w:val="20"/>
          <w:lang w:val="pt-BR"/>
        </w:rPr>
        <w:t xml:space="preserve"> do </w:t>
      </w:r>
      <w:r w:rsidR="008C300A" w:rsidRPr="005D6E61">
        <w:rPr>
          <w:rFonts w:ascii="Cambria" w:eastAsia="Calibri" w:hAnsi="Cambria"/>
          <w:sz w:val="20"/>
          <w:szCs w:val="20"/>
          <w:lang w:val="pt-BR"/>
        </w:rPr>
        <w:t>Estado de que realiz</w:t>
      </w:r>
      <w:r w:rsidR="00BF0B90" w:rsidRPr="005D6E61">
        <w:rPr>
          <w:rFonts w:ascii="Cambria" w:eastAsia="Calibri" w:hAnsi="Cambria"/>
          <w:sz w:val="20"/>
          <w:szCs w:val="20"/>
          <w:lang w:val="pt-BR"/>
        </w:rPr>
        <w:t xml:space="preserve">ou </w:t>
      </w:r>
      <w:r w:rsidR="008C300A" w:rsidRPr="005D6E61">
        <w:rPr>
          <w:rFonts w:ascii="Cambria" w:eastAsia="Calibri" w:hAnsi="Cambria"/>
          <w:sz w:val="20"/>
          <w:szCs w:val="20"/>
          <w:lang w:val="pt-BR"/>
        </w:rPr>
        <w:t>divers</w:t>
      </w:r>
      <w:r w:rsidR="00945988" w:rsidRPr="005D6E61">
        <w:rPr>
          <w:rFonts w:ascii="Cambria" w:eastAsia="Calibri" w:hAnsi="Cambria"/>
          <w:sz w:val="20"/>
          <w:szCs w:val="20"/>
          <w:lang w:val="pt-BR"/>
        </w:rPr>
        <w:t>a</w:t>
      </w:r>
      <w:r w:rsidR="008C300A" w:rsidRPr="005D6E61">
        <w:rPr>
          <w:rFonts w:ascii="Cambria" w:eastAsia="Calibri" w:hAnsi="Cambria"/>
          <w:sz w:val="20"/>
          <w:szCs w:val="20"/>
          <w:lang w:val="pt-BR"/>
        </w:rPr>
        <w:t>s homena</w:t>
      </w:r>
      <w:r w:rsidR="00945988" w:rsidRPr="005D6E61">
        <w:rPr>
          <w:rFonts w:ascii="Cambria" w:eastAsia="Calibri" w:hAnsi="Cambria"/>
          <w:sz w:val="20"/>
          <w:szCs w:val="20"/>
          <w:lang w:val="pt-BR"/>
        </w:rPr>
        <w:t>g</w:t>
      </w:r>
      <w:r w:rsidR="008C300A" w:rsidRPr="005D6E61">
        <w:rPr>
          <w:rFonts w:ascii="Cambria" w:eastAsia="Calibri" w:hAnsi="Cambria"/>
          <w:sz w:val="20"/>
          <w:szCs w:val="20"/>
          <w:lang w:val="pt-BR"/>
        </w:rPr>
        <w:t>e</w:t>
      </w:r>
      <w:r w:rsidR="00945988" w:rsidRPr="005D6E61">
        <w:rPr>
          <w:rFonts w:ascii="Cambria" w:eastAsia="Calibri" w:hAnsi="Cambria"/>
          <w:sz w:val="20"/>
          <w:szCs w:val="20"/>
          <w:lang w:val="pt-BR"/>
        </w:rPr>
        <w:t>n</w:t>
      </w:r>
      <w:r w:rsidR="008C300A" w:rsidRPr="005D6E61">
        <w:rPr>
          <w:rFonts w:ascii="Cambria" w:eastAsia="Calibri" w:hAnsi="Cambria"/>
          <w:sz w:val="20"/>
          <w:szCs w:val="20"/>
          <w:lang w:val="pt-BR"/>
        </w:rPr>
        <w:t>s</w:t>
      </w:r>
      <w:r w:rsidR="00F77B7F" w:rsidRPr="005D6E61">
        <w:rPr>
          <w:rFonts w:ascii="Cambria" w:eastAsia="Calibri" w:hAnsi="Cambria"/>
          <w:sz w:val="20"/>
          <w:szCs w:val="20"/>
          <w:lang w:val="pt-BR"/>
        </w:rPr>
        <w:t xml:space="preserve"> em </w:t>
      </w:r>
      <w:r w:rsidR="009C205A" w:rsidRPr="005D6E61">
        <w:rPr>
          <w:rFonts w:ascii="Cambria" w:eastAsia="Calibri" w:hAnsi="Cambria"/>
          <w:sz w:val="20"/>
          <w:szCs w:val="20"/>
          <w:lang w:val="pt-BR"/>
        </w:rPr>
        <w:t>memória</w:t>
      </w:r>
      <w:r w:rsidR="008C300A" w:rsidRPr="005D6E61">
        <w:rPr>
          <w:rFonts w:ascii="Cambria" w:eastAsia="Calibri" w:hAnsi="Cambria"/>
          <w:sz w:val="20"/>
          <w:szCs w:val="20"/>
          <w:lang w:val="pt-BR"/>
        </w:rPr>
        <w:t xml:space="preserve"> de Margarida Maria Alves, </w:t>
      </w:r>
      <w:r w:rsidRPr="005D6E61">
        <w:rPr>
          <w:rFonts w:ascii="Cambria" w:eastAsia="Calibri" w:hAnsi="Cambria"/>
          <w:sz w:val="20"/>
          <w:szCs w:val="20"/>
          <w:lang w:val="pt-BR"/>
        </w:rPr>
        <w:t>indicaram</w:t>
      </w:r>
      <w:r w:rsidR="008C300A" w:rsidRPr="005D6E61">
        <w:rPr>
          <w:rFonts w:ascii="Cambria" w:eastAsia="Calibri" w:hAnsi="Cambria"/>
          <w:sz w:val="20"/>
          <w:szCs w:val="20"/>
          <w:lang w:val="pt-BR"/>
        </w:rPr>
        <w:t xml:space="preserve"> que </w:t>
      </w:r>
      <w:r w:rsidRPr="005D6E61">
        <w:rPr>
          <w:rFonts w:ascii="Cambria" w:eastAsia="Calibri" w:hAnsi="Cambria"/>
          <w:sz w:val="20"/>
          <w:szCs w:val="20"/>
          <w:lang w:val="pt-BR"/>
        </w:rPr>
        <w:t>iss</w:t>
      </w:r>
      <w:r w:rsidR="008C300A" w:rsidRPr="005D6E61">
        <w:rPr>
          <w:rFonts w:ascii="Cambria" w:eastAsia="Calibri" w:hAnsi="Cambria"/>
          <w:sz w:val="20"/>
          <w:szCs w:val="20"/>
          <w:lang w:val="pt-BR"/>
        </w:rPr>
        <w:t>o</w:t>
      </w:r>
      <w:r w:rsidR="00F77B7F" w:rsidRPr="005D6E61">
        <w:rPr>
          <w:rFonts w:ascii="Cambria" w:eastAsia="Calibri" w:hAnsi="Cambria"/>
          <w:sz w:val="20"/>
          <w:szCs w:val="20"/>
          <w:lang w:val="pt-BR"/>
        </w:rPr>
        <w:t xml:space="preserve"> não </w:t>
      </w:r>
      <w:r w:rsidR="008C300A" w:rsidRPr="005D6E61">
        <w:rPr>
          <w:rFonts w:ascii="Cambria" w:eastAsia="Calibri" w:hAnsi="Cambria"/>
          <w:sz w:val="20"/>
          <w:szCs w:val="20"/>
          <w:lang w:val="pt-BR"/>
        </w:rPr>
        <w:t>corresponde</w:t>
      </w:r>
      <w:r w:rsidR="00F77B7F" w:rsidRPr="005D6E61">
        <w:rPr>
          <w:rFonts w:ascii="Cambria" w:eastAsia="Calibri" w:hAnsi="Cambria"/>
          <w:sz w:val="20"/>
          <w:szCs w:val="20"/>
          <w:lang w:val="pt-BR"/>
        </w:rPr>
        <w:t xml:space="preserve"> </w:t>
      </w:r>
      <w:r w:rsidRPr="005D6E61">
        <w:rPr>
          <w:rFonts w:ascii="Cambria" w:eastAsia="Calibri" w:hAnsi="Cambria"/>
          <w:sz w:val="20"/>
          <w:szCs w:val="20"/>
          <w:lang w:val="pt-BR"/>
        </w:rPr>
        <w:t>à</w:t>
      </w:r>
      <w:r w:rsidR="00331E62" w:rsidRPr="005D6E61">
        <w:rPr>
          <w:rFonts w:ascii="Cambria" w:eastAsia="Calibri" w:hAnsi="Cambria"/>
          <w:sz w:val="20"/>
          <w:szCs w:val="20"/>
          <w:lang w:val="pt-BR"/>
        </w:rPr>
        <w:t xml:space="preserve"> </w:t>
      </w:r>
      <w:r w:rsidR="008C300A" w:rsidRPr="005D6E61">
        <w:rPr>
          <w:rFonts w:ascii="Cambria" w:eastAsia="Calibri" w:hAnsi="Cambria"/>
          <w:sz w:val="20"/>
          <w:szCs w:val="20"/>
          <w:lang w:val="pt-BR"/>
        </w:rPr>
        <w:t>reali</w:t>
      </w:r>
      <w:r w:rsidR="00FB55C7" w:rsidRPr="005D6E61">
        <w:rPr>
          <w:rFonts w:ascii="Cambria" w:eastAsia="Calibri" w:hAnsi="Cambria"/>
          <w:sz w:val="20"/>
          <w:szCs w:val="20"/>
          <w:lang w:val="pt-BR"/>
        </w:rPr>
        <w:t>dade</w:t>
      </w:r>
      <w:r w:rsidRPr="005D6E61">
        <w:rPr>
          <w:rFonts w:ascii="Cambria" w:eastAsia="Calibri" w:hAnsi="Cambria"/>
          <w:sz w:val="20"/>
          <w:szCs w:val="20"/>
          <w:lang w:val="pt-BR"/>
        </w:rPr>
        <w:t>, já</w:t>
      </w:r>
      <w:r w:rsidR="008C300A" w:rsidRPr="005D6E61">
        <w:rPr>
          <w:rFonts w:ascii="Cambria" w:eastAsia="Calibri" w:hAnsi="Cambria"/>
          <w:sz w:val="20"/>
          <w:szCs w:val="20"/>
          <w:lang w:val="pt-BR"/>
        </w:rPr>
        <w:t xml:space="preserve"> que </w:t>
      </w:r>
      <w:r w:rsidRPr="005D6E61">
        <w:rPr>
          <w:rFonts w:ascii="Cambria" w:eastAsia="Calibri" w:hAnsi="Cambria"/>
          <w:sz w:val="20"/>
          <w:szCs w:val="20"/>
          <w:lang w:val="pt-BR"/>
        </w:rPr>
        <w:t>esse</w:t>
      </w:r>
      <w:r w:rsidR="008C300A" w:rsidRPr="005D6E61">
        <w:rPr>
          <w:rFonts w:ascii="Cambria" w:eastAsia="Calibri" w:hAnsi="Cambria"/>
          <w:sz w:val="20"/>
          <w:szCs w:val="20"/>
          <w:lang w:val="pt-BR"/>
        </w:rPr>
        <w:t>s tributos s</w:t>
      </w:r>
      <w:r w:rsidRPr="005D6E61">
        <w:rPr>
          <w:rFonts w:ascii="Cambria" w:eastAsia="Calibri" w:hAnsi="Cambria"/>
          <w:sz w:val="20"/>
          <w:szCs w:val="20"/>
          <w:lang w:val="pt-BR"/>
        </w:rPr>
        <w:t>ã</w:t>
      </w:r>
      <w:r w:rsidR="008C300A" w:rsidRPr="005D6E61">
        <w:rPr>
          <w:rFonts w:ascii="Cambria" w:eastAsia="Calibri" w:hAnsi="Cambria"/>
          <w:sz w:val="20"/>
          <w:szCs w:val="20"/>
          <w:lang w:val="pt-BR"/>
        </w:rPr>
        <w:t>o iniciativa</w:t>
      </w:r>
      <w:r w:rsidR="00F77B7F" w:rsidRPr="005D6E61">
        <w:rPr>
          <w:rFonts w:ascii="Cambria" w:eastAsia="Calibri" w:hAnsi="Cambria"/>
          <w:sz w:val="20"/>
          <w:szCs w:val="20"/>
          <w:lang w:val="pt-BR"/>
        </w:rPr>
        <w:t xml:space="preserve"> do </w:t>
      </w:r>
      <w:r w:rsidR="008C300A" w:rsidRPr="005D6E61">
        <w:rPr>
          <w:rFonts w:ascii="Cambria" w:eastAsia="Calibri" w:hAnsi="Cambria"/>
          <w:sz w:val="20"/>
          <w:szCs w:val="20"/>
          <w:lang w:val="pt-BR"/>
        </w:rPr>
        <w:t>“</w:t>
      </w:r>
      <w:r w:rsidR="00315C45" w:rsidRPr="005D6E61">
        <w:rPr>
          <w:rFonts w:ascii="Cambria" w:eastAsia="Calibri" w:hAnsi="Cambria"/>
          <w:sz w:val="20"/>
          <w:szCs w:val="20"/>
          <w:lang w:val="pt-BR"/>
        </w:rPr>
        <w:t>Movimento Sindical de Trabalhadores</w:t>
      </w:r>
      <w:r w:rsidR="006C5454" w:rsidRPr="005D6E61">
        <w:rPr>
          <w:rFonts w:ascii="Cambria" w:eastAsia="Calibri" w:hAnsi="Cambria"/>
          <w:sz w:val="20"/>
          <w:szCs w:val="20"/>
          <w:lang w:val="pt-BR"/>
        </w:rPr>
        <w:t xml:space="preserve"> e </w:t>
      </w:r>
      <w:r w:rsidR="00315C45" w:rsidRPr="005D6E61">
        <w:rPr>
          <w:rFonts w:ascii="Cambria" w:eastAsia="Calibri" w:hAnsi="Cambria"/>
          <w:sz w:val="20"/>
          <w:szCs w:val="20"/>
          <w:lang w:val="pt-BR"/>
        </w:rPr>
        <w:t>Trabalhadoras Rurais (MSTTR)</w:t>
      </w:r>
      <w:r w:rsidR="008C300A" w:rsidRPr="005D6E61">
        <w:rPr>
          <w:rFonts w:ascii="Cambria" w:eastAsia="Calibri" w:hAnsi="Cambria"/>
          <w:sz w:val="20"/>
          <w:szCs w:val="20"/>
          <w:lang w:val="pt-BR"/>
        </w:rPr>
        <w:t>”</w:t>
      </w:r>
      <w:r w:rsidR="006C5454" w:rsidRPr="005D6E61">
        <w:rPr>
          <w:rFonts w:ascii="Cambria" w:eastAsia="Calibri" w:hAnsi="Cambria"/>
          <w:sz w:val="20"/>
          <w:szCs w:val="20"/>
          <w:lang w:val="pt-BR"/>
        </w:rPr>
        <w:t xml:space="preserve"> e </w:t>
      </w:r>
      <w:r w:rsidR="008C300A" w:rsidRPr="005D6E61">
        <w:rPr>
          <w:rFonts w:ascii="Cambria" w:eastAsia="Calibri" w:hAnsi="Cambria"/>
          <w:sz w:val="20"/>
          <w:szCs w:val="20"/>
          <w:lang w:val="pt-BR"/>
        </w:rPr>
        <w:t>repudiar</w:t>
      </w:r>
      <w:r w:rsidR="00945988" w:rsidRPr="005D6E61">
        <w:rPr>
          <w:rFonts w:ascii="Cambria" w:eastAsia="Calibri" w:hAnsi="Cambria"/>
          <w:sz w:val="20"/>
          <w:szCs w:val="20"/>
          <w:lang w:val="pt-BR"/>
        </w:rPr>
        <w:t>am</w:t>
      </w:r>
      <w:r w:rsidR="00331E62" w:rsidRPr="005D6E61">
        <w:rPr>
          <w:rFonts w:ascii="Cambria" w:eastAsia="Calibri" w:hAnsi="Cambria"/>
          <w:sz w:val="20"/>
          <w:szCs w:val="20"/>
          <w:lang w:val="pt-BR"/>
        </w:rPr>
        <w:t xml:space="preserve"> a </w:t>
      </w:r>
      <w:r w:rsidR="008C300A" w:rsidRPr="005D6E61">
        <w:rPr>
          <w:rFonts w:ascii="Cambria" w:eastAsia="Calibri" w:hAnsi="Cambria"/>
          <w:sz w:val="20"/>
          <w:szCs w:val="20"/>
          <w:lang w:val="pt-BR"/>
        </w:rPr>
        <w:t>tentativa</w:t>
      </w:r>
      <w:r w:rsidR="00F77B7F" w:rsidRPr="005D6E61">
        <w:rPr>
          <w:rFonts w:ascii="Cambria" w:eastAsia="Calibri" w:hAnsi="Cambria"/>
          <w:sz w:val="20"/>
          <w:szCs w:val="20"/>
          <w:lang w:val="pt-BR"/>
        </w:rPr>
        <w:t xml:space="preserve"> do </w:t>
      </w:r>
      <w:r w:rsidR="008C300A" w:rsidRPr="005D6E61">
        <w:rPr>
          <w:rFonts w:ascii="Cambria" w:eastAsia="Calibri" w:hAnsi="Cambria"/>
          <w:sz w:val="20"/>
          <w:szCs w:val="20"/>
          <w:lang w:val="pt-BR"/>
        </w:rPr>
        <w:t xml:space="preserve">Estado de </w:t>
      </w:r>
      <w:r w:rsidR="009C205A" w:rsidRPr="005D6E61">
        <w:rPr>
          <w:rFonts w:ascii="Cambria" w:eastAsia="Calibri" w:hAnsi="Cambria"/>
          <w:sz w:val="20"/>
          <w:szCs w:val="20"/>
          <w:lang w:val="pt-BR"/>
        </w:rPr>
        <w:t>apropriar-se</w:t>
      </w:r>
      <w:r w:rsidR="008C300A" w:rsidRPr="005D6E61">
        <w:rPr>
          <w:rFonts w:ascii="Cambria" w:eastAsia="Calibri" w:hAnsi="Cambria"/>
          <w:sz w:val="20"/>
          <w:szCs w:val="20"/>
          <w:lang w:val="pt-BR"/>
        </w:rPr>
        <w:t xml:space="preserve"> de</w:t>
      </w:r>
      <w:r w:rsidRPr="005D6E61">
        <w:rPr>
          <w:rFonts w:ascii="Cambria" w:eastAsia="Calibri" w:hAnsi="Cambria"/>
          <w:sz w:val="20"/>
          <w:szCs w:val="20"/>
          <w:lang w:val="pt-BR"/>
        </w:rPr>
        <w:t>s</w:t>
      </w:r>
      <w:r w:rsidR="008C300A" w:rsidRPr="005D6E61">
        <w:rPr>
          <w:rFonts w:ascii="Cambria" w:eastAsia="Calibri" w:hAnsi="Cambria"/>
          <w:sz w:val="20"/>
          <w:szCs w:val="20"/>
          <w:lang w:val="pt-BR"/>
        </w:rPr>
        <w:t xml:space="preserve">sa </w:t>
      </w:r>
      <w:r w:rsidR="009C205A" w:rsidRPr="005D6E61">
        <w:rPr>
          <w:rFonts w:ascii="Cambria" w:eastAsia="Calibri" w:hAnsi="Cambria"/>
          <w:sz w:val="20"/>
          <w:szCs w:val="20"/>
          <w:lang w:val="pt-BR"/>
        </w:rPr>
        <w:t>atividade</w:t>
      </w:r>
      <w:r w:rsidR="00FB55C7" w:rsidRPr="005D6E61">
        <w:rPr>
          <w:rFonts w:ascii="Cambria" w:eastAsia="Calibri" w:hAnsi="Cambria"/>
          <w:sz w:val="20"/>
          <w:szCs w:val="20"/>
          <w:lang w:val="pt-BR"/>
        </w:rPr>
        <w:t xml:space="preserve"> </w:t>
      </w:r>
      <w:r w:rsidR="00675058" w:rsidRPr="005D6E61">
        <w:rPr>
          <w:rFonts w:ascii="Cambria" w:eastAsia="Calibri" w:hAnsi="Cambria"/>
          <w:sz w:val="20"/>
          <w:szCs w:val="20"/>
          <w:lang w:val="pt-BR"/>
        </w:rPr>
        <w:t xml:space="preserve">da </w:t>
      </w:r>
      <w:r w:rsidR="008C300A" w:rsidRPr="005D6E61">
        <w:rPr>
          <w:rFonts w:ascii="Cambria" w:eastAsia="Calibri" w:hAnsi="Cambria"/>
          <w:sz w:val="20"/>
          <w:szCs w:val="20"/>
          <w:lang w:val="pt-BR"/>
        </w:rPr>
        <w:t>socie</w:t>
      </w:r>
      <w:r w:rsidR="00FB55C7" w:rsidRPr="005D6E61">
        <w:rPr>
          <w:rFonts w:ascii="Cambria" w:eastAsia="Calibri" w:hAnsi="Cambria"/>
          <w:sz w:val="20"/>
          <w:szCs w:val="20"/>
          <w:lang w:val="pt-BR"/>
        </w:rPr>
        <w:t xml:space="preserve">dade </w:t>
      </w:r>
      <w:r w:rsidR="008C300A" w:rsidRPr="005D6E61">
        <w:rPr>
          <w:rFonts w:ascii="Cambria" w:eastAsia="Calibri" w:hAnsi="Cambria"/>
          <w:sz w:val="20"/>
          <w:szCs w:val="20"/>
          <w:lang w:val="pt-BR"/>
        </w:rPr>
        <w:t>civil, originada precisamente</w:t>
      </w:r>
      <w:r w:rsidR="00F77B7F" w:rsidRPr="005D6E61">
        <w:rPr>
          <w:rFonts w:ascii="Cambria" w:eastAsia="Calibri" w:hAnsi="Cambria"/>
          <w:sz w:val="20"/>
          <w:szCs w:val="20"/>
          <w:lang w:val="pt-BR"/>
        </w:rPr>
        <w:t xml:space="preserve"> em </w:t>
      </w:r>
      <w:r w:rsidR="008C300A" w:rsidRPr="005D6E61">
        <w:rPr>
          <w:rFonts w:ascii="Cambria" w:eastAsia="Calibri" w:hAnsi="Cambria"/>
          <w:sz w:val="20"/>
          <w:szCs w:val="20"/>
          <w:lang w:val="pt-BR"/>
        </w:rPr>
        <w:t>protest</w:t>
      </w:r>
      <w:r w:rsidRPr="005D6E61">
        <w:rPr>
          <w:rFonts w:ascii="Cambria" w:eastAsia="Calibri" w:hAnsi="Cambria"/>
          <w:sz w:val="20"/>
          <w:szCs w:val="20"/>
          <w:lang w:val="pt-BR"/>
        </w:rPr>
        <w:t>o</w:t>
      </w:r>
      <w:r w:rsidR="00275A65" w:rsidRPr="005D6E61">
        <w:rPr>
          <w:rFonts w:ascii="Cambria" w:eastAsia="Calibri" w:hAnsi="Cambria"/>
          <w:sz w:val="20"/>
          <w:szCs w:val="20"/>
          <w:lang w:val="pt-BR"/>
        </w:rPr>
        <w:t xml:space="preserve"> à </w:t>
      </w:r>
      <w:r w:rsidR="009C205A" w:rsidRPr="005D6E61">
        <w:rPr>
          <w:rFonts w:ascii="Cambria" w:eastAsia="Calibri" w:hAnsi="Cambria"/>
          <w:sz w:val="20"/>
          <w:szCs w:val="20"/>
          <w:lang w:val="pt-BR"/>
        </w:rPr>
        <w:t>conduta</w:t>
      </w:r>
      <w:r w:rsidR="008C300A" w:rsidRPr="005D6E61">
        <w:rPr>
          <w:rFonts w:ascii="Cambria" w:eastAsia="Calibri" w:hAnsi="Cambria"/>
          <w:sz w:val="20"/>
          <w:szCs w:val="20"/>
          <w:lang w:val="pt-BR"/>
        </w:rPr>
        <w:t xml:space="preserve"> </w:t>
      </w:r>
      <w:r w:rsidR="00945988" w:rsidRPr="005D6E61">
        <w:rPr>
          <w:rFonts w:ascii="Cambria" w:eastAsia="Calibri" w:hAnsi="Cambria"/>
          <w:sz w:val="20"/>
          <w:szCs w:val="20"/>
          <w:lang w:val="pt-BR"/>
        </w:rPr>
        <w:t>de</w:t>
      </w:r>
      <w:r w:rsidR="008C300A" w:rsidRPr="005D6E61">
        <w:rPr>
          <w:rFonts w:ascii="Cambria" w:eastAsia="Calibri" w:hAnsi="Cambria"/>
          <w:sz w:val="20"/>
          <w:szCs w:val="20"/>
          <w:lang w:val="pt-BR"/>
        </w:rPr>
        <w:t>mo</w:t>
      </w:r>
      <w:r w:rsidR="00945988" w:rsidRPr="005D6E61">
        <w:rPr>
          <w:rFonts w:ascii="Cambria" w:eastAsia="Calibri" w:hAnsi="Cambria"/>
          <w:sz w:val="20"/>
          <w:szCs w:val="20"/>
          <w:lang w:val="pt-BR"/>
        </w:rPr>
        <w:t>n</w:t>
      </w:r>
      <w:r w:rsidR="008C300A" w:rsidRPr="005D6E61">
        <w:rPr>
          <w:rFonts w:ascii="Cambria" w:eastAsia="Calibri" w:hAnsi="Cambria"/>
          <w:sz w:val="20"/>
          <w:szCs w:val="20"/>
          <w:lang w:val="pt-BR"/>
        </w:rPr>
        <w:t>strada</w:t>
      </w:r>
      <w:r w:rsidRPr="005D6E61">
        <w:rPr>
          <w:rFonts w:ascii="Cambria" w:eastAsia="Calibri" w:hAnsi="Cambria"/>
          <w:sz w:val="20"/>
          <w:szCs w:val="20"/>
          <w:lang w:val="pt-BR"/>
        </w:rPr>
        <w:t xml:space="preserve"> pelo </w:t>
      </w:r>
      <w:r w:rsidR="008C300A" w:rsidRPr="005D6E61">
        <w:rPr>
          <w:rFonts w:ascii="Cambria" w:eastAsia="Calibri" w:hAnsi="Cambria"/>
          <w:sz w:val="20"/>
          <w:szCs w:val="20"/>
          <w:lang w:val="pt-BR"/>
        </w:rPr>
        <w:t>Estado</w:t>
      </w:r>
      <w:r w:rsidR="00331E62" w:rsidRPr="005D6E61">
        <w:rPr>
          <w:rFonts w:ascii="Cambria" w:eastAsia="Calibri" w:hAnsi="Cambria"/>
          <w:sz w:val="20"/>
          <w:szCs w:val="20"/>
          <w:lang w:val="pt-BR"/>
        </w:rPr>
        <w:t xml:space="preserve"> no </w:t>
      </w:r>
      <w:r w:rsidR="008C300A" w:rsidRPr="005D6E61">
        <w:rPr>
          <w:rFonts w:ascii="Cambria" w:eastAsia="Calibri" w:hAnsi="Cambria"/>
          <w:sz w:val="20"/>
          <w:szCs w:val="20"/>
          <w:lang w:val="pt-BR"/>
        </w:rPr>
        <w:t>caso.</w:t>
      </w:r>
    </w:p>
    <w:p w14:paraId="627A555B" w14:textId="77777777" w:rsidR="00103CE6" w:rsidRPr="005D6E61" w:rsidRDefault="00315C45" w:rsidP="009779F9">
      <w:pPr>
        <w:pStyle w:val="Heading2"/>
        <w:numPr>
          <w:ilvl w:val="0"/>
          <w:numId w:val="60"/>
        </w:numPr>
        <w:ind w:firstLine="0"/>
        <w:rPr>
          <w:rFonts w:asciiTheme="majorHAnsi" w:hAnsiTheme="majorHAnsi"/>
          <w:i w:val="0"/>
          <w:sz w:val="20"/>
          <w:szCs w:val="20"/>
          <w:lang w:val="pt-BR"/>
        </w:rPr>
      </w:pPr>
      <w:bookmarkStart w:id="11" w:name="_Toc27990557"/>
      <w:r w:rsidRPr="005D6E61">
        <w:rPr>
          <w:rFonts w:asciiTheme="majorHAnsi" w:hAnsiTheme="majorHAnsi"/>
          <w:i w:val="0"/>
          <w:sz w:val="20"/>
          <w:szCs w:val="20"/>
          <w:lang w:val="pt-BR"/>
        </w:rPr>
        <w:t>Posi</w:t>
      </w:r>
      <w:r w:rsidR="00A274D9" w:rsidRPr="005D6E61">
        <w:rPr>
          <w:rFonts w:asciiTheme="majorHAnsi" w:hAnsiTheme="majorHAnsi"/>
          <w:i w:val="0"/>
          <w:sz w:val="20"/>
          <w:szCs w:val="20"/>
          <w:lang w:val="pt-BR"/>
        </w:rPr>
        <w:t>ção</w:t>
      </w:r>
      <w:r w:rsidR="00F77B7F" w:rsidRPr="005D6E61">
        <w:rPr>
          <w:rFonts w:asciiTheme="majorHAnsi" w:hAnsiTheme="majorHAnsi"/>
          <w:i w:val="0"/>
          <w:sz w:val="20"/>
          <w:szCs w:val="20"/>
          <w:lang w:val="pt-BR"/>
        </w:rPr>
        <w:t xml:space="preserve"> do </w:t>
      </w:r>
      <w:r w:rsidRPr="005D6E61">
        <w:rPr>
          <w:rFonts w:asciiTheme="majorHAnsi" w:hAnsiTheme="majorHAnsi"/>
          <w:i w:val="0"/>
          <w:sz w:val="20"/>
          <w:szCs w:val="20"/>
          <w:lang w:val="pt-BR"/>
        </w:rPr>
        <w:t>Estado</w:t>
      </w:r>
      <w:bookmarkEnd w:id="11"/>
    </w:p>
    <w:p w14:paraId="0A295DAD" w14:textId="77777777" w:rsidR="00103CE6" w:rsidRPr="005D6E61" w:rsidRDefault="00103CE6" w:rsidP="00103CE6">
      <w:pPr>
        <w:rPr>
          <w:lang w:val="pt-BR"/>
        </w:rPr>
      </w:pPr>
    </w:p>
    <w:p w14:paraId="6FFB729D" w14:textId="77777777" w:rsidR="000C687E" w:rsidRPr="005D6E61" w:rsidRDefault="0002469F"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Calibri" w:hAnsi="Cambria"/>
          <w:sz w:val="20"/>
          <w:szCs w:val="20"/>
          <w:lang w:val="pt-BR"/>
        </w:rPr>
      </w:pPr>
      <w:r w:rsidRPr="005D6E61">
        <w:rPr>
          <w:rFonts w:ascii="Cambria" w:eastAsia="Calibri" w:hAnsi="Cambria"/>
          <w:sz w:val="20"/>
          <w:szCs w:val="20"/>
          <w:lang w:val="pt-BR"/>
        </w:rPr>
        <w:t>O</w:t>
      </w:r>
      <w:r w:rsidR="00FC60D6" w:rsidRPr="005D6E61">
        <w:rPr>
          <w:rFonts w:ascii="Cambria" w:eastAsia="Calibri" w:hAnsi="Cambria"/>
          <w:sz w:val="20"/>
          <w:szCs w:val="20"/>
          <w:lang w:val="pt-BR"/>
        </w:rPr>
        <w:t xml:space="preserve"> Estado </w:t>
      </w:r>
      <w:r w:rsidR="00D27A6E" w:rsidRPr="005D6E61">
        <w:rPr>
          <w:rFonts w:ascii="Cambria" w:eastAsia="Calibri" w:hAnsi="Cambria"/>
          <w:sz w:val="20"/>
          <w:szCs w:val="20"/>
          <w:lang w:val="pt-BR"/>
        </w:rPr>
        <w:t>brasileiro</w:t>
      </w:r>
      <w:r w:rsidR="00F77B7F" w:rsidRPr="005D6E61">
        <w:rPr>
          <w:rFonts w:ascii="Cambria" w:eastAsia="Calibri" w:hAnsi="Cambria"/>
          <w:sz w:val="20"/>
          <w:szCs w:val="20"/>
          <w:lang w:val="pt-BR"/>
        </w:rPr>
        <w:t xml:space="preserve"> não </w:t>
      </w:r>
      <w:r w:rsidR="00FC60D6" w:rsidRPr="005D6E61">
        <w:rPr>
          <w:rFonts w:ascii="Cambria" w:eastAsia="Calibri" w:hAnsi="Cambria"/>
          <w:sz w:val="20"/>
          <w:szCs w:val="20"/>
          <w:lang w:val="pt-BR"/>
        </w:rPr>
        <w:t>se ref</w:t>
      </w:r>
      <w:r w:rsidR="00945988" w:rsidRPr="005D6E61">
        <w:rPr>
          <w:rFonts w:ascii="Cambria" w:eastAsia="Calibri" w:hAnsi="Cambria"/>
          <w:sz w:val="20"/>
          <w:szCs w:val="20"/>
          <w:lang w:val="pt-BR"/>
        </w:rPr>
        <w:t>e</w:t>
      </w:r>
      <w:r w:rsidR="00FC60D6" w:rsidRPr="005D6E61">
        <w:rPr>
          <w:rFonts w:ascii="Cambria" w:eastAsia="Calibri" w:hAnsi="Cambria"/>
          <w:sz w:val="20"/>
          <w:szCs w:val="20"/>
          <w:lang w:val="pt-BR"/>
        </w:rPr>
        <w:t>ri</w:t>
      </w:r>
      <w:r w:rsidR="00BF0B90" w:rsidRPr="005D6E61">
        <w:rPr>
          <w:rFonts w:ascii="Cambria" w:eastAsia="Calibri" w:hAnsi="Cambria"/>
          <w:sz w:val="20"/>
          <w:szCs w:val="20"/>
          <w:lang w:val="pt-BR"/>
        </w:rPr>
        <w:t xml:space="preserve">u </w:t>
      </w:r>
      <w:r w:rsidR="00FC60D6" w:rsidRPr="005D6E61">
        <w:rPr>
          <w:rFonts w:ascii="Cambria" w:eastAsia="Calibri" w:hAnsi="Cambria"/>
          <w:sz w:val="20"/>
          <w:szCs w:val="20"/>
          <w:lang w:val="pt-BR"/>
        </w:rPr>
        <w:t>a</w:t>
      </w:r>
      <w:r w:rsidR="00F77B7F" w:rsidRPr="005D6E61">
        <w:rPr>
          <w:rFonts w:ascii="Cambria" w:eastAsia="Calibri" w:hAnsi="Cambria"/>
          <w:sz w:val="20"/>
          <w:szCs w:val="20"/>
          <w:lang w:val="pt-BR"/>
        </w:rPr>
        <w:t xml:space="preserve">os </w:t>
      </w:r>
      <w:r w:rsidRPr="005D6E61">
        <w:rPr>
          <w:rFonts w:ascii="Cambria" w:eastAsia="Calibri" w:hAnsi="Cambria"/>
          <w:sz w:val="20"/>
          <w:szCs w:val="20"/>
          <w:lang w:val="pt-BR"/>
        </w:rPr>
        <w:t>fat</w:t>
      </w:r>
      <w:r w:rsidR="00FC60D6" w:rsidRPr="005D6E61">
        <w:rPr>
          <w:rFonts w:ascii="Cambria" w:eastAsia="Calibri" w:hAnsi="Cambria"/>
          <w:sz w:val="20"/>
          <w:szCs w:val="20"/>
          <w:lang w:val="pt-BR"/>
        </w:rPr>
        <w:t>os</w:t>
      </w:r>
      <w:r w:rsidRPr="005D6E61">
        <w:rPr>
          <w:rFonts w:ascii="Cambria" w:eastAsia="Calibri" w:hAnsi="Cambria"/>
          <w:sz w:val="20"/>
          <w:szCs w:val="20"/>
          <w:lang w:val="pt-BR"/>
        </w:rPr>
        <w:t>, mas</w:t>
      </w:r>
      <w:r w:rsidR="00FF57A3" w:rsidRPr="005D6E61">
        <w:rPr>
          <w:rFonts w:ascii="Cambria" w:eastAsia="Calibri" w:hAnsi="Cambria"/>
          <w:sz w:val="20"/>
          <w:szCs w:val="20"/>
          <w:lang w:val="pt-BR"/>
        </w:rPr>
        <w:t xml:space="preserve"> </w:t>
      </w:r>
      <w:r w:rsidR="003A748E" w:rsidRPr="005D6E61">
        <w:rPr>
          <w:rFonts w:ascii="Cambria" w:eastAsia="Calibri" w:hAnsi="Cambria"/>
          <w:sz w:val="20"/>
          <w:szCs w:val="20"/>
          <w:lang w:val="pt-BR"/>
        </w:rPr>
        <w:t>inform</w:t>
      </w:r>
      <w:r w:rsidR="00BF0B90" w:rsidRPr="005D6E61">
        <w:rPr>
          <w:rFonts w:ascii="Cambria" w:eastAsia="Calibri" w:hAnsi="Cambria"/>
          <w:sz w:val="20"/>
          <w:szCs w:val="20"/>
          <w:lang w:val="pt-BR"/>
        </w:rPr>
        <w:t xml:space="preserve">ou </w:t>
      </w:r>
      <w:r w:rsidR="003A748E" w:rsidRPr="005D6E61">
        <w:rPr>
          <w:rFonts w:ascii="Cambria" w:eastAsia="Calibri" w:hAnsi="Cambria"/>
          <w:sz w:val="20"/>
          <w:szCs w:val="20"/>
          <w:lang w:val="pt-BR"/>
        </w:rPr>
        <w:t>acerca de</w:t>
      </w:r>
      <w:r w:rsidR="006C5454" w:rsidRPr="005D6E61">
        <w:rPr>
          <w:rFonts w:ascii="Cambria" w:eastAsia="Calibri" w:hAnsi="Cambria"/>
          <w:sz w:val="20"/>
          <w:szCs w:val="20"/>
          <w:lang w:val="pt-BR"/>
        </w:rPr>
        <w:t xml:space="preserve"> uma </w:t>
      </w:r>
      <w:r w:rsidR="009C205A" w:rsidRPr="005D6E61">
        <w:rPr>
          <w:rFonts w:ascii="Cambria" w:eastAsia="Calibri" w:hAnsi="Cambria"/>
          <w:sz w:val="20"/>
          <w:szCs w:val="20"/>
          <w:lang w:val="pt-BR"/>
        </w:rPr>
        <w:t>série</w:t>
      </w:r>
      <w:r w:rsidR="003A748E" w:rsidRPr="005D6E61">
        <w:rPr>
          <w:rFonts w:ascii="Cambria" w:eastAsia="Calibri" w:hAnsi="Cambria"/>
          <w:sz w:val="20"/>
          <w:szCs w:val="20"/>
          <w:lang w:val="pt-BR"/>
        </w:rPr>
        <w:t xml:space="preserve"> de medidas para reparar </w:t>
      </w:r>
      <w:r w:rsidR="00F77B7F" w:rsidRPr="005D6E61">
        <w:rPr>
          <w:rFonts w:ascii="Cambria" w:eastAsia="Calibri" w:hAnsi="Cambria"/>
          <w:sz w:val="20"/>
          <w:szCs w:val="20"/>
          <w:lang w:val="pt-BR"/>
        </w:rPr>
        <w:t xml:space="preserve">os </w:t>
      </w:r>
      <w:r w:rsidR="003A748E" w:rsidRPr="005D6E61">
        <w:rPr>
          <w:rFonts w:ascii="Cambria" w:eastAsia="Calibri" w:hAnsi="Cambria"/>
          <w:sz w:val="20"/>
          <w:szCs w:val="20"/>
          <w:lang w:val="pt-BR"/>
        </w:rPr>
        <w:t>familiares</w:t>
      </w:r>
      <w:r w:rsidR="00675058" w:rsidRPr="005D6E61">
        <w:rPr>
          <w:rFonts w:ascii="Cambria" w:eastAsia="Calibri" w:hAnsi="Cambria"/>
          <w:sz w:val="20"/>
          <w:szCs w:val="20"/>
          <w:lang w:val="pt-BR"/>
        </w:rPr>
        <w:t xml:space="preserve"> da </w:t>
      </w:r>
      <w:r w:rsidR="005A2381" w:rsidRPr="005D6E61">
        <w:rPr>
          <w:rFonts w:ascii="Cambria" w:eastAsia="Calibri" w:hAnsi="Cambria"/>
          <w:sz w:val="20"/>
          <w:szCs w:val="20"/>
          <w:lang w:val="pt-BR"/>
        </w:rPr>
        <w:t>suposta</w:t>
      </w:r>
      <w:r w:rsidR="003A748E" w:rsidRPr="005D6E61">
        <w:rPr>
          <w:rFonts w:ascii="Cambria" w:eastAsia="Calibri" w:hAnsi="Cambria"/>
          <w:sz w:val="20"/>
          <w:szCs w:val="20"/>
          <w:lang w:val="pt-BR"/>
        </w:rPr>
        <w:t xml:space="preserve"> </w:t>
      </w:r>
      <w:r w:rsidR="003619A0" w:rsidRPr="005D6E61">
        <w:rPr>
          <w:rFonts w:ascii="Cambria" w:eastAsia="Calibri" w:hAnsi="Cambria"/>
          <w:sz w:val="20"/>
          <w:szCs w:val="20"/>
          <w:lang w:val="pt-BR"/>
        </w:rPr>
        <w:t>vítima</w:t>
      </w:r>
      <w:r w:rsidR="006C5454" w:rsidRPr="005D6E61">
        <w:rPr>
          <w:rFonts w:ascii="Cambria" w:eastAsia="Calibri" w:hAnsi="Cambria"/>
          <w:sz w:val="20"/>
          <w:szCs w:val="20"/>
          <w:lang w:val="pt-BR"/>
        </w:rPr>
        <w:t xml:space="preserve"> e </w:t>
      </w:r>
      <w:r w:rsidR="003A748E" w:rsidRPr="005D6E61">
        <w:rPr>
          <w:rFonts w:ascii="Cambria" w:eastAsia="Calibri" w:hAnsi="Cambria"/>
          <w:sz w:val="20"/>
          <w:szCs w:val="20"/>
          <w:lang w:val="pt-BR"/>
        </w:rPr>
        <w:t xml:space="preserve">honrar </w:t>
      </w:r>
      <w:r w:rsidR="009C205A" w:rsidRPr="005D6E61">
        <w:rPr>
          <w:rFonts w:ascii="Cambria" w:eastAsia="Calibri" w:hAnsi="Cambria"/>
          <w:sz w:val="20"/>
          <w:szCs w:val="20"/>
          <w:lang w:val="pt-BR"/>
        </w:rPr>
        <w:t>sua</w:t>
      </w:r>
      <w:r w:rsidR="003A748E" w:rsidRPr="005D6E61">
        <w:rPr>
          <w:rFonts w:ascii="Cambria" w:eastAsia="Calibri" w:hAnsi="Cambria"/>
          <w:sz w:val="20"/>
          <w:szCs w:val="20"/>
          <w:lang w:val="pt-BR"/>
        </w:rPr>
        <w:t xml:space="preserve"> </w:t>
      </w:r>
      <w:r w:rsidR="000B5A0F" w:rsidRPr="005D6E61">
        <w:rPr>
          <w:rFonts w:ascii="Cambria" w:eastAsia="Calibri" w:hAnsi="Cambria"/>
          <w:sz w:val="20"/>
          <w:szCs w:val="20"/>
          <w:lang w:val="pt-BR"/>
        </w:rPr>
        <w:t>memória</w:t>
      </w:r>
      <w:r w:rsidR="003A748E" w:rsidRPr="005D6E61">
        <w:rPr>
          <w:rFonts w:ascii="Cambria" w:eastAsia="Calibri" w:hAnsi="Cambria"/>
          <w:sz w:val="20"/>
          <w:szCs w:val="20"/>
          <w:lang w:val="pt-BR"/>
        </w:rPr>
        <w:t xml:space="preserve">, </w:t>
      </w:r>
      <w:r w:rsidRPr="005D6E61">
        <w:rPr>
          <w:rFonts w:ascii="Cambria" w:eastAsia="Calibri" w:hAnsi="Cambria"/>
          <w:sz w:val="20"/>
          <w:szCs w:val="20"/>
          <w:lang w:val="pt-BR"/>
        </w:rPr>
        <w:t>bem</w:t>
      </w:r>
      <w:r w:rsidR="003A748E" w:rsidRPr="005D6E61">
        <w:rPr>
          <w:rFonts w:ascii="Cambria" w:eastAsia="Calibri" w:hAnsi="Cambria"/>
          <w:sz w:val="20"/>
          <w:szCs w:val="20"/>
          <w:lang w:val="pt-BR"/>
        </w:rPr>
        <w:t xml:space="preserve"> como </w:t>
      </w:r>
      <w:r w:rsidR="00BF0B90" w:rsidRPr="005D6E61">
        <w:rPr>
          <w:rFonts w:ascii="Cambria" w:eastAsia="Calibri" w:hAnsi="Cambria"/>
          <w:sz w:val="20"/>
          <w:szCs w:val="20"/>
          <w:lang w:val="pt-BR"/>
        </w:rPr>
        <w:t>corrigir</w:t>
      </w:r>
      <w:r w:rsidR="00331E62" w:rsidRPr="005D6E61">
        <w:rPr>
          <w:rFonts w:ascii="Cambria" w:eastAsia="Calibri" w:hAnsi="Cambria"/>
          <w:sz w:val="20"/>
          <w:szCs w:val="20"/>
          <w:lang w:val="pt-BR"/>
        </w:rPr>
        <w:t xml:space="preserve"> a </w:t>
      </w:r>
      <w:r w:rsidR="003A748E" w:rsidRPr="005D6E61">
        <w:rPr>
          <w:rFonts w:ascii="Cambria" w:eastAsia="Calibri" w:hAnsi="Cambria"/>
          <w:sz w:val="20"/>
          <w:szCs w:val="20"/>
          <w:lang w:val="pt-BR"/>
        </w:rPr>
        <w:t>demora</w:t>
      </w:r>
      <w:r w:rsidR="00CD523F" w:rsidRPr="005D6E61">
        <w:rPr>
          <w:rFonts w:ascii="Cambria" w:eastAsia="Calibri" w:hAnsi="Cambria"/>
          <w:sz w:val="20"/>
          <w:szCs w:val="20"/>
          <w:lang w:val="pt-BR"/>
        </w:rPr>
        <w:t xml:space="preserve"> nos </w:t>
      </w:r>
      <w:r w:rsidR="009C205A" w:rsidRPr="005D6E61">
        <w:rPr>
          <w:rFonts w:ascii="Cambria" w:eastAsia="Calibri" w:hAnsi="Cambria"/>
          <w:sz w:val="20"/>
          <w:szCs w:val="20"/>
          <w:lang w:val="pt-BR"/>
        </w:rPr>
        <w:t>processos</w:t>
      </w:r>
      <w:r w:rsidR="009236ED" w:rsidRPr="005D6E61">
        <w:rPr>
          <w:rFonts w:ascii="Cambria" w:eastAsia="Calibri" w:hAnsi="Cambria"/>
          <w:sz w:val="20"/>
          <w:szCs w:val="20"/>
          <w:lang w:val="pt-BR"/>
        </w:rPr>
        <w:t xml:space="preserve">. </w:t>
      </w:r>
    </w:p>
    <w:p w14:paraId="1C68D6CA" w14:textId="77777777" w:rsidR="000C687E" w:rsidRPr="005D6E61" w:rsidRDefault="000C687E" w:rsidP="000C68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Calibri" w:hAnsi="Cambria"/>
          <w:sz w:val="20"/>
          <w:szCs w:val="20"/>
          <w:lang w:val="pt-BR"/>
        </w:rPr>
      </w:pPr>
    </w:p>
    <w:p w14:paraId="7D04D0A1" w14:textId="77777777" w:rsidR="003E4617" w:rsidRPr="005D6E61" w:rsidRDefault="009C205A" w:rsidP="003E46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Calibri" w:hAnsi="Cambria"/>
          <w:sz w:val="20"/>
          <w:szCs w:val="20"/>
          <w:lang w:val="pt-BR"/>
        </w:rPr>
      </w:pPr>
      <w:r w:rsidRPr="005D6E61">
        <w:rPr>
          <w:rFonts w:ascii="Cambria" w:hAnsi="Cambria"/>
          <w:sz w:val="20"/>
          <w:szCs w:val="20"/>
          <w:lang w:val="pt-BR"/>
        </w:rPr>
        <w:t>Em</w:t>
      </w:r>
      <w:r w:rsidR="0016650E" w:rsidRPr="005D6E61">
        <w:rPr>
          <w:rFonts w:ascii="Cambria" w:hAnsi="Cambria"/>
          <w:sz w:val="20"/>
          <w:szCs w:val="20"/>
          <w:lang w:val="pt-BR"/>
        </w:rPr>
        <w:t xml:space="preserve"> particular</w:t>
      </w:r>
      <w:r w:rsidR="00BF0B90" w:rsidRPr="005D6E61">
        <w:rPr>
          <w:rFonts w:ascii="Cambria" w:hAnsi="Cambria"/>
          <w:sz w:val="20"/>
          <w:szCs w:val="20"/>
          <w:lang w:val="pt-BR"/>
        </w:rPr>
        <w:t>,</w:t>
      </w:r>
      <w:r w:rsidR="0016650E" w:rsidRPr="005D6E61">
        <w:rPr>
          <w:rFonts w:ascii="Cambria" w:hAnsi="Cambria"/>
          <w:sz w:val="20"/>
          <w:szCs w:val="20"/>
          <w:lang w:val="pt-BR"/>
        </w:rPr>
        <w:t xml:space="preserve"> </w:t>
      </w:r>
      <w:r w:rsidR="00BF0B90" w:rsidRPr="005D6E61">
        <w:rPr>
          <w:rFonts w:ascii="Cambria" w:hAnsi="Cambria"/>
          <w:sz w:val="20"/>
          <w:szCs w:val="20"/>
          <w:lang w:val="pt-BR"/>
        </w:rPr>
        <w:t>afirmou</w:t>
      </w:r>
      <w:r w:rsidR="00683DB1" w:rsidRPr="005D6E61">
        <w:rPr>
          <w:rFonts w:ascii="Cambria" w:hAnsi="Cambria"/>
          <w:sz w:val="20"/>
          <w:szCs w:val="20"/>
          <w:lang w:val="pt-BR"/>
        </w:rPr>
        <w:t xml:space="preserve"> que </w:t>
      </w:r>
      <w:r w:rsidR="00BF0B90" w:rsidRPr="005D6E61">
        <w:rPr>
          <w:rFonts w:ascii="Cambria" w:hAnsi="Cambria"/>
          <w:sz w:val="20"/>
          <w:szCs w:val="20"/>
          <w:lang w:val="pt-BR"/>
        </w:rPr>
        <w:t>realizou</w:t>
      </w:r>
      <w:r w:rsidR="006C5454" w:rsidRPr="005D6E61">
        <w:rPr>
          <w:rFonts w:ascii="Cambria" w:hAnsi="Cambria"/>
          <w:sz w:val="20"/>
          <w:szCs w:val="20"/>
          <w:lang w:val="pt-BR"/>
        </w:rPr>
        <w:t xml:space="preserve"> uma </w:t>
      </w:r>
      <w:r w:rsidR="00683DB1" w:rsidRPr="005D6E61">
        <w:rPr>
          <w:rFonts w:ascii="Cambria" w:hAnsi="Cambria"/>
          <w:sz w:val="20"/>
          <w:szCs w:val="20"/>
          <w:lang w:val="pt-BR"/>
        </w:rPr>
        <w:t>reuni</w:t>
      </w:r>
      <w:r w:rsidR="00945988" w:rsidRPr="005D6E61">
        <w:rPr>
          <w:rFonts w:ascii="Cambria" w:hAnsi="Cambria"/>
          <w:sz w:val="20"/>
          <w:szCs w:val="20"/>
          <w:lang w:val="pt-BR"/>
        </w:rPr>
        <w:t>ão</w:t>
      </w:r>
      <w:r w:rsidR="00683DB1" w:rsidRPr="005D6E61">
        <w:rPr>
          <w:rFonts w:ascii="Cambria" w:hAnsi="Cambria"/>
          <w:sz w:val="20"/>
          <w:szCs w:val="20"/>
          <w:lang w:val="pt-BR"/>
        </w:rPr>
        <w:t xml:space="preserve"> </w:t>
      </w:r>
      <w:r w:rsidR="00945988" w:rsidRPr="005D6E61">
        <w:rPr>
          <w:rFonts w:ascii="Cambria" w:hAnsi="Cambria"/>
          <w:sz w:val="20"/>
          <w:szCs w:val="20"/>
          <w:lang w:val="pt-BR"/>
        </w:rPr>
        <w:t>inter</w:t>
      </w:r>
      <w:r w:rsidR="00471DD8" w:rsidRPr="005D6E61">
        <w:rPr>
          <w:rFonts w:ascii="Cambria" w:hAnsi="Cambria"/>
          <w:sz w:val="20"/>
          <w:szCs w:val="20"/>
          <w:lang w:val="pt-BR"/>
        </w:rPr>
        <w:t xml:space="preserve">ministerial </w:t>
      </w:r>
      <w:r w:rsidR="00315C45" w:rsidRPr="005D6E61">
        <w:rPr>
          <w:rFonts w:ascii="Cambria" w:hAnsi="Cambria"/>
          <w:sz w:val="20"/>
          <w:lang w:val="pt-BR"/>
        </w:rPr>
        <w:t>presidida p</w:t>
      </w:r>
      <w:r w:rsidR="005A2381" w:rsidRPr="005D6E61">
        <w:rPr>
          <w:rFonts w:ascii="Cambria" w:hAnsi="Cambria"/>
          <w:sz w:val="20"/>
          <w:lang w:val="pt-BR"/>
        </w:rPr>
        <w:t>el</w:t>
      </w:r>
      <w:r w:rsidR="00315C45" w:rsidRPr="005D6E61">
        <w:rPr>
          <w:rFonts w:ascii="Cambria" w:hAnsi="Cambria"/>
          <w:sz w:val="20"/>
          <w:lang w:val="pt-BR"/>
        </w:rPr>
        <w:t>o</w:t>
      </w:r>
      <w:r w:rsidR="005A2381" w:rsidRPr="005D6E61">
        <w:rPr>
          <w:rFonts w:ascii="Cambria" w:hAnsi="Cambria"/>
          <w:sz w:val="20"/>
          <w:lang w:val="pt-BR"/>
        </w:rPr>
        <w:t xml:space="preserve"> </w:t>
      </w:r>
      <w:r w:rsidR="00315C45" w:rsidRPr="005D6E61">
        <w:rPr>
          <w:rFonts w:ascii="Cambria" w:hAnsi="Cambria"/>
          <w:sz w:val="20"/>
          <w:lang w:val="pt-BR"/>
        </w:rPr>
        <w:t>Ouvidor Agr</w:t>
      </w:r>
      <w:r w:rsidR="00103CE6" w:rsidRPr="005D6E61">
        <w:rPr>
          <w:rFonts w:ascii="Cambria" w:hAnsi="Cambria"/>
          <w:sz w:val="20"/>
          <w:lang w:val="pt-BR"/>
        </w:rPr>
        <w:t>ário Nacional</w:t>
      </w:r>
      <w:r w:rsidR="00F77B7F" w:rsidRPr="005D6E61">
        <w:rPr>
          <w:rFonts w:ascii="Cambria" w:hAnsi="Cambria"/>
          <w:sz w:val="20"/>
          <w:lang w:val="pt-BR"/>
        </w:rPr>
        <w:t xml:space="preserve"> do </w:t>
      </w:r>
      <w:r w:rsidRPr="005D6E61">
        <w:rPr>
          <w:rFonts w:ascii="Cambria" w:hAnsi="Cambria"/>
          <w:sz w:val="20"/>
          <w:lang w:val="pt-BR"/>
        </w:rPr>
        <w:t>Ministério</w:t>
      </w:r>
      <w:r w:rsidR="00103CE6" w:rsidRPr="005D6E61">
        <w:rPr>
          <w:rFonts w:ascii="Cambria" w:hAnsi="Cambria"/>
          <w:sz w:val="20"/>
          <w:lang w:val="pt-BR"/>
        </w:rPr>
        <w:t xml:space="preserve"> d</w:t>
      </w:r>
      <w:r w:rsidR="009E5AD2" w:rsidRPr="005D6E61">
        <w:rPr>
          <w:rFonts w:ascii="Cambria" w:hAnsi="Cambria"/>
          <w:sz w:val="20"/>
          <w:lang w:val="pt-BR"/>
        </w:rPr>
        <w:t>o</w:t>
      </w:r>
      <w:r w:rsidR="00315C45" w:rsidRPr="005D6E61">
        <w:rPr>
          <w:rFonts w:ascii="Cambria" w:hAnsi="Cambria"/>
          <w:sz w:val="20"/>
          <w:lang w:val="pt-BR"/>
        </w:rPr>
        <w:t xml:space="preserve"> Des</w:t>
      </w:r>
      <w:r w:rsidR="00BF0B90" w:rsidRPr="005D6E61">
        <w:rPr>
          <w:rFonts w:ascii="Cambria" w:hAnsi="Cambria"/>
          <w:sz w:val="20"/>
          <w:lang w:val="pt-BR"/>
        </w:rPr>
        <w:t>envolviment</w:t>
      </w:r>
      <w:r w:rsidR="00103CE6" w:rsidRPr="005D6E61">
        <w:rPr>
          <w:rFonts w:ascii="Cambria" w:hAnsi="Cambria"/>
          <w:sz w:val="20"/>
          <w:lang w:val="pt-BR"/>
        </w:rPr>
        <w:t xml:space="preserve">o </w:t>
      </w:r>
      <w:r w:rsidR="005A2381" w:rsidRPr="005D6E61">
        <w:rPr>
          <w:rFonts w:ascii="Cambria" w:hAnsi="Cambria"/>
          <w:sz w:val="20"/>
          <w:lang w:val="pt-BR"/>
        </w:rPr>
        <w:t>Agrário</w:t>
      </w:r>
      <w:r w:rsidR="00315C45" w:rsidRPr="005D6E61">
        <w:rPr>
          <w:rFonts w:ascii="Cambria" w:hAnsi="Cambria"/>
          <w:sz w:val="20"/>
          <w:lang w:val="pt-BR"/>
        </w:rPr>
        <w:t xml:space="preserve"> (OAN)</w:t>
      </w:r>
      <w:r w:rsidR="006C5454" w:rsidRPr="005D6E61">
        <w:rPr>
          <w:rFonts w:ascii="Cambria" w:hAnsi="Cambria"/>
          <w:sz w:val="20"/>
          <w:lang w:val="pt-BR"/>
        </w:rPr>
        <w:t xml:space="preserve"> e</w:t>
      </w:r>
      <w:r w:rsidR="00331E62" w:rsidRPr="005D6E61">
        <w:rPr>
          <w:rFonts w:ascii="Cambria" w:hAnsi="Cambria"/>
          <w:sz w:val="20"/>
          <w:lang w:val="pt-BR"/>
        </w:rPr>
        <w:t xml:space="preserve"> o </w:t>
      </w:r>
      <w:r w:rsidRPr="005D6E61">
        <w:rPr>
          <w:rFonts w:ascii="Cambria" w:hAnsi="Cambria"/>
          <w:sz w:val="20"/>
          <w:lang w:val="pt-BR"/>
        </w:rPr>
        <w:t>Presidente da</w:t>
      </w:r>
      <w:r w:rsidR="00675058" w:rsidRPr="005D6E61">
        <w:rPr>
          <w:rFonts w:ascii="Cambria" w:hAnsi="Cambria"/>
          <w:sz w:val="20"/>
          <w:lang w:val="pt-BR"/>
        </w:rPr>
        <w:t xml:space="preserve"> </w:t>
      </w:r>
      <w:r w:rsidR="006C5454" w:rsidRPr="005D6E61">
        <w:rPr>
          <w:rFonts w:ascii="Cambria" w:hAnsi="Cambria"/>
          <w:sz w:val="20"/>
          <w:lang w:val="pt-BR"/>
        </w:rPr>
        <w:t>Comissão</w:t>
      </w:r>
      <w:r w:rsidR="00103CE6" w:rsidRPr="005D6E61">
        <w:rPr>
          <w:rFonts w:ascii="Cambria" w:hAnsi="Cambria"/>
          <w:sz w:val="20"/>
          <w:lang w:val="pt-BR"/>
        </w:rPr>
        <w:t xml:space="preserve"> Nacional de Combate</w:t>
      </w:r>
      <w:r w:rsidR="00275A65" w:rsidRPr="005D6E61">
        <w:rPr>
          <w:rFonts w:ascii="Cambria" w:hAnsi="Cambria"/>
          <w:sz w:val="20"/>
          <w:lang w:val="pt-BR"/>
        </w:rPr>
        <w:t xml:space="preserve"> à </w:t>
      </w:r>
      <w:r w:rsidR="00103CE6" w:rsidRPr="005D6E61">
        <w:rPr>
          <w:rFonts w:ascii="Cambria" w:hAnsi="Cambria"/>
          <w:sz w:val="20"/>
          <w:lang w:val="pt-BR"/>
        </w:rPr>
        <w:t>Viol</w:t>
      </w:r>
      <w:r w:rsidR="00E37676" w:rsidRPr="005D6E61">
        <w:rPr>
          <w:rFonts w:ascii="Cambria" w:hAnsi="Cambria"/>
          <w:sz w:val="20"/>
          <w:lang w:val="pt-BR"/>
        </w:rPr>
        <w:t>ência</w:t>
      </w:r>
      <w:r w:rsidR="00331E62" w:rsidRPr="005D6E61">
        <w:rPr>
          <w:rFonts w:ascii="Cambria" w:hAnsi="Cambria"/>
          <w:sz w:val="20"/>
          <w:lang w:val="pt-BR"/>
        </w:rPr>
        <w:t xml:space="preserve"> no </w:t>
      </w:r>
      <w:r w:rsidR="00315C45" w:rsidRPr="005D6E61">
        <w:rPr>
          <w:rFonts w:ascii="Cambria" w:hAnsi="Cambria"/>
          <w:sz w:val="20"/>
          <w:lang w:val="pt-BR"/>
        </w:rPr>
        <w:t xml:space="preserve">Campo (CNCVC) para discutir </w:t>
      </w:r>
      <w:r w:rsidRPr="005D6E61">
        <w:rPr>
          <w:rFonts w:ascii="Cambria" w:hAnsi="Cambria"/>
          <w:sz w:val="20"/>
          <w:lang w:val="pt-BR"/>
        </w:rPr>
        <w:t>possibilidades</w:t>
      </w:r>
      <w:r w:rsidR="00315C45" w:rsidRPr="005D6E61">
        <w:rPr>
          <w:rFonts w:ascii="Cambria" w:hAnsi="Cambria"/>
          <w:sz w:val="20"/>
          <w:lang w:val="pt-BR"/>
        </w:rPr>
        <w:t xml:space="preserve"> de colabora</w:t>
      </w:r>
      <w:r w:rsidR="00A274D9" w:rsidRPr="005D6E61">
        <w:rPr>
          <w:rFonts w:ascii="Cambria" w:hAnsi="Cambria"/>
          <w:sz w:val="20"/>
          <w:lang w:val="pt-BR"/>
        </w:rPr>
        <w:t>ção</w:t>
      </w:r>
      <w:r w:rsidR="00331E62" w:rsidRPr="005D6E61">
        <w:rPr>
          <w:rFonts w:ascii="Cambria" w:hAnsi="Cambria"/>
          <w:sz w:val="20"/>
          <w:lang w:val="pt-BR"/>
        </w:rPr>
        <w:t xml:space="preserve"> no </w:t>
      </w:r>
      <w:r w:rsidR="00315C45" w:rsidRPr="005D6E61">
        <w:rPr>
          <w:rFonts w:ascii="Cambria" w:hAnsi="Cambria"/>
          <w:sz w:val="20"/>
          <w:lang w:val="pt-BR"/>
        </w:rPr>
        <w:t xml:space="preserve">caso </w:t>
      </w:r>
      <w:r w:rsidR="00BF0B90" w:rsidRPr="005D6E61">
        <w:rPr>
          <w:rFonts w:ascii="Cambria" w:hAnsi="Cambria"/>
          <w:sz w:val="20"/>
          <w:lang w:val="pt-BR"/>
        </w:rPr>
        <w:t>a</w:t>
      </w:r>
      <w:r w:rsidR="00315C45" w:rsidRPr="005D6E61">
        <w:rPr>
          <w:rFonts w:ascii="Cambria" w:hAnsi="Cambria"/>
          <w:sz w:val="20"/>
          <w:lang w:val="pt-BR"/>
        </w:rPr>
        <w:t>presentado</w:t>
      </w:r>
      <w:r w:rsidR="00471DD8" w:rsidRPr="005D6E61">
        <w:rPr>
          <w:rFonts w:ascii="Cambria" w:hAnsi="Cambria"/>
          <w:sz w:val="20"/>
          <w:lang w:val="pt-BR"/>
        </w:rPr>
        <w:t>,</w:t>
      </w:r>
      <w:r w:rsidR="00F77B7F" w:rsidRPr="005D6E61">
        <w:rPr>
          <w:rFonts w:ascii="Cambria" w:hAnsi="Cambria"/>
          <w:sz w:val="20"/>
          <w:lang w:val="pt-BR"/>
        </w:rPr>
        <w:t xml:space="preserve"> </w:t>
      </w:r>
      <w:r w:rsidR="00471DD8" w:rsidRPr="005D6E61">
        <w:rPr>
          <w:rFonts w:ascii="Cambria" w:hAnsi="Cambria"/>
          <w:sz w:val="20"/>
          <w:lang w:val="pt-BR"/>
        </w:rPr>
        <w:t xml:space="preserve">onde se </w:t>
      </w:r>
      <w:r w:rsidRPr="005D6E61">
        <w:rPr>
          <w:rFonts w:ascii="Cambria" w:hAnsi="Cambria"/>
          <w:sz w:val="20"/>
          <w:lang w:val="pt-BR"/>
        </w:rPr>
        <w:t>coordenou</w:t>
      </w:r>
      <w:r w:rsidR="00BF0B90" w:rsidRPr="005D6E61">
        <w:rPr>
          <w:rFonts w:ascii="Cambria" w:hAnsi="Cambria"/>
          <w:sz w:val="20"/>
          <w:lang w:val="pt-BR"/>
        </w:rPr>
        <w:t xml:space="preserve"> </w:t>
      </w:r>
      <w:r w:rsidR="006C5454" w:rsidRPr="005D6E61">
        <w:rPr>
          <w:rFonts w:ascii="Cambria" w:hAnsi="Cambria"/>
          <w:sz w:val="20"/>
          <w:lang w:val="pt-BR"/>
        </w:rPr>
        <w:t xml:space="preserve">uma </w:t>
      </w:r>
      <w:r w:rsidR="00471DD8" w:rsidRPr="005D6E61">
        <w:rPr>
          <w:rFonts w:ascii="Cambria" w:hAnsi="Cambria"/>
          <w:sz w:val="20"/>
          <w:lang w:val="pt-BR"/>
        </w:rPr>
        <w:t>mis</w:t>
      </w:r>
      <w:r w:rsidR="00945988" w:rsidRPr="005D6E61">
        <w:rPr>
          <w:rFonts w:ascii="Cambria" w:hAnsi="Cambria"/>
          <w:sz w:val="20"/>
          <w:lang w:val="pt-BR"/>
        </w:rPr>
        <w:t>são</w:t>
      </w:r>
      <w:r w:rsidR="00471DD8" w:rsidRPr="005D6E61">
        <w:rPr>
          <w:rFonts w:ascii="Cambria" w:hAnsi="Cambria"/>
          <w:sz w:val="20"/>
          <w:lang w:val="pt-BR"/>
        </w:rPr>
        <w:t xml:space="preserve"> a João Pessoa</w:t>
      </w:r>
      <w:r w:rsidR="00801D1A" w:rsidRPr="005D6E61">
        <w:rPr>
          <w:rFonts w:ascii="Cambria" w:hAnsi="Cambria"/>
          <w:sz w:val="20"/>
          <w:lang w:val="pt-BR"/>
        </w:rPr>
        <w:t>,</w:t>
      </w:r>
      <w:r w:rsidR="00471DD8" w:rsidRPr="005D6E61">
        <w:rPr>
          <w:rFonts w:ascii="Cambria" w:hAnsi="Cambria"/>
          <w:sz w:val="20"/>
          <w:lang w:val="pt-BR"/>
        </w:rPr>
        <w:t xml:space="preserve"> Estado d</w:t>
      </w:r>
      <w:r w:rsidR="00BF0B90" w:rsidRPr="005D6E61">
        <w:rPr>
          <w:rFonts w:ascii="Cambria" w:hAnsi="Cambria"/>
          <w:sz w:val="20"/>
          <w:lang w:val="pt-BR"/>
        </w:rPr>
        <w:t>a</w:t>
      </w:r>
      <w:r w:rsidR="00471DD8" w:rsidRPr="005D6E61">
        <w:rPr>
          <w:rFonts w:ascii="Cambria" w:hAnsi="Cambria"/>
          <w:sz w:val="20"/>
          <w:lang w:val="pt-BR"/>
        </w:rPr>
        <w:t xml:space="preserve"> Para</w:t>
      </w:r>
      <w:r w:rsidR="00BA3A01" w:rsidRPr="005D6E61">
        <w:rPr>
          <w:rFonts w:ascii="Cambria" w:hAnsi="Cambria"/>
          <w:sz w:val="20"/>
          <w:lang w:val="pt-BR"/>
        </w:rPr>
        <w:t>í</w:t>
      </w:r>
      <w:r w:rsidR="00471DD8" w:rsidRPr="005D6E61">
        <w:rPr>
          <w:rFonts w:ascii="Cambria" w:hAnsi="Cambria"/>
          <w:sz w:val="20"/>
          <w:lang w:val="pt-BR"/>
        </w:rPr>
        <w:t>ba. I</w:t>
      </w:r>
      <w:r w:rsidR="008305C0" w:rsidRPr="005D6E61">
        <w:rPr>
          <w:rFonts w:ascii="Cambria" w:hAnsi="Cambria"/>
          <w:sz w:val="20"/>
          <w:lang w:val="pt-BR"/>
        </w:rPr>
        <w:t>ndic</w:t>
      </w:r>
      <w:r w:rsidR="00BF0B90" w:rsidRPr="005D6E61">
        <w:rPr>
          <w:rFonts w:ascii="Cambria" w:hAnsi="Cambria"/>
          <w:sz w:val="20"/>
          <w:lang w:val="pt-BR"/>
        </w:rPr>
        <w:t>ou</w:t>
      </w:r>
      <w:r w:rsidR="008305C0" w:rsidRPr="005D6E61">
        <w:rPr>
          <w:rFonts w:ascii="Cambria" w:hAnsi="Cambria"/>
          <w:sz w:val="20"/>
          <w:lang w:val="pt-BR"/>
        </w:rPr>
        <w:t xml:space="preserve"> que</w:t>
      </w:r>
      <w:r w:rsidR="00BF0B90" w:rsidRPr="005D6E61">
        <w:rPr>
          <w:rFonts w:ascii="Cambria" w:hAnsi="Cambria"/>
          <w:sz w:val="20"/>
          <w:lang w:val="pt-BR"/>
        </w:rPr>
        <w:t>,</w:t>
      </w:r>
      <w:r w:rsidR="008305C0" w:rsidRPr="005D6E61">
        <w:rPr>
          <w:rFonts w:ascii="Cambria" w:hAnsi="Cambria"/>
          <w:sz w:val="20"/>
          <w:lang w:val="pt-BR"/>
        </w:rPr>
        <w:t xml:space="preserve"> </w:t>
      </w:r>
      <w:r w:rsidR="00BF0B90" w:rsidRPr="005D6E61">
        <w:rPr>
          <w:rFonts w:ascii="Cambria" w:hAnsi="Cambria"/>
          <w:sz w:val="20"/>
          <w:lang w:val="pt-BR"/>
        </w:rPr>
        <w:t xml:space="preserve">em </w:t>
      </w:r>
      <w:r w:rsidRPr="005D6E61">
        <w:rPr>
          <w:rFonts w:ascii="Cambria" w:hAnsi="Cambria"/>
          <w:sz w:val="20"/>
          <w:lang w:val="pt-BR"/>
        </w:rPr>
        <w:t>decorrência</w:t>
      </w:r>
      <w:r w:rsidR="00675058" w:rsidRPr="005D6E61">
        <w:rPr>
          <w:rFonts w:ascii="Cambria" w:hAnsi="Cambria"/>
          <w:sz w:val="20"/>
          <w:lang w:val="pt-BR"/>
        </w:rPr>
        <w:t xml:space="preserve"> da </w:t>
      </w:r>
      <w:r w:rsidR="008305C0" w:rsidRPr="005D6E61">
        <w:rPr>
          <w:rFonts w:ascii="Cambria" w:hAnsi="Cambria"/>
          <w:sz w:val="20"/>
          <w:lang w:val="pt-BR"/>
        </w:rPr>
        <w:t>visita</w:t>
      </w:r>
      <w:r w:rsidR="00471DD8" w:rsidRPr="005D6E61">
        <w:rPr>
          <w:rFonts w:ascii="Cambria" w:hAnsi="Cambria"/>
          <w:sz w:val="20"/>
          <w:lang w:val="pt-BR"/>
        </w:rPr>
        <w:t xml:space="preserve">, </w:t>
      </w:r>
      <w:r w:rsidR="00BF0B90" w:rsidRPr="005D6E61">
        <w:rPr>
          <w:rFonts w:ascii="Cambria" w:hAnsi="Cambria"/>
          <w:sz w:val="20"/>
          <w:lang w:val="pt-BR"/>
        </w:rPr>
        <w:t xml:space="preserve">foram assumidos </w:t>
      </w:r>
      <w:r w:rsidR="00F77B7F" w:rsidRPr="005D6E61">
        <w:rPr>
          <w:rFonts w:ascii="Cambria" w:hAnsi="Cambria"/>
          <w:sz w:val="20"/>
          <w:lang w:val="pt-BR"/>
        </w:rPr>
        <w:t xml:space="preserve">os </w:t>
      </w:r>
      <w:r w:rsidRPr="005D6E61">
        <w:rPr>
          <w:rFonts w:ascii="Cambria" w:hAnsi="Cambria"/>
          <w:sz w:val="20"/>
          <w:lang w:val="pt-BR"/>
        </w:rPr>
        <w:t>seguintes</w:t>
      </w:r>
      <w:r w:rsidR="00471DD8" w:rsidRPr="005D6E61">
        <w:rPr>
          <w:rFonts w:ascii="Cambria" w:hAnsi="Cambria"/>
          <w:sz w:val="20"/>
          <w:lang w:val="pt-BR"/>
        </w:rPr>
        <w:t xml:space="preserve"> </w:t>
      </w:r>
      <w:r w:rsidRPr="005D6E61">
        <w:rPr>
          <w:rFonts w:ascii="Cambria" w:hAnsi="Cambria"/>
          <w:sz w:val="20"/>
          <w:lang w:val="pt-BR"/>
        </w:rPr>
        <w:t>compromissos</w:t>
      </w:r>
      <w:r w:rsidR="00471DD8" w:rsidRPr="005D6E61">
        <w:rPr>
          <w:rFonts w:ascii="Cambria" w:hAnsi="Cambria"/>
          <w:sz w:val="20"/>
          <w:lang w:val="pt-BR"/>
        </w:rPr>
        <w:t xml:space="preserve">: </w:t>
      </w:r>
      <w:r w:rsidR="00315C45" w:rsidRPr="005D6E61">
        <w:rPr>
          <w:rFonts w:ascii="Cambria" w:hAnsi="Cambria"/>
          <w:sz w:val="20"/>
          <w:lang w:val="pt-BR"/>
        </w:rPr>
        <w:t>i)</w:t>
      </w:r>
      <w:r w:rsidR="00331E62" w:rsidRPr="005D6E61">
        <w:rPr>
          <w:rFonts w:ascii="Cambria" w:hAnsi="Cambria"/>
          <w:sz w:val="20"/>
          <w:lang w:val="pt-BR"/>
        </w:rPr>
        <w:t xml:space="preserve"> a </w:t>
      </w:r>
      <w:r w:rsidR="00315C45" w:rsidRPr="005D6E61">
        <w:rPr>
          <w:rFonts w:ascii="Cambria" w:hAnsi="Cambria"/>
          <w:sz w:val="20"/>
          <w:lang w:val="pt-BR"/>
        </w:rPr>
        <w:t>designa</w:t>
      </w:r>
      <w:r w:rsidR="00A274D9" w:rsidRPr="005D6E61">
        <w:rPr>
          <w:rFonts w:ascii="Cambria" w:hAnsi="Cambria"/>
          <w:sz w:val="20"/>
          <w:lang w:val="pt-BR"/>
        </w:rPr>
        <w:t>ção</w:t>
      </w:r>
      <w:r w:rsidR="00315C45" w:rsidRPr="005D6E61">
        <w:rPr>
          <w:rFonts w:ascii="Cambria" w:hAnsi="Cambria"/>
          <w:sz w:val="20"/>
          <w:lang w:val="pt-BR"/>
        </w:rPr>
        <w:t xml:space="preserve"> </w:t>
      </w:r>
      <w:r w:rsidR="00103CE6" w:rsidRPr="005D6E61">
        <w:rPr>
          <w:rFonts w:ascii="Cambria" w:hAnsi="Cambria"/>
          <w:sz w:val="20"/>
          <w:lang w:val="pt-BR"/>
        </w:rPr>
        <w:t>por parte</w:t>
      </w:r>
      <w:r w:rsidR="00F77B7F" w:rsidRPr="005D6E61">
        <w:rPr>
          <w:rFonts w:ascii="Cambria" w:hAnsi="Cambria"/>
          <w:sz w:val="20"/>
          <w:lang w:val="pt-BR"/>
        </w:rPr>
        <w:t xml:space="preserve"> do </w:t>
      </w:r>
      <w:r w:rsidRPr="005D6E61">
        <w:rPr>
          <w:rFonts w:ascii="Cambria" w:hAnsi="Cambria"/>
          <w:sz w:val="20"/>
          <w:lang w:val="pt-BR"/>
        </w:rPr>
        <w:t>Secretário</w:t>
      </w:r>
      <w:r w:rsidR="00471DD8" w:rsidRPr="005D6E61">
        <w:rPr>
          <w:rFonts w:ascii="Cambria" w:hAnsi="Cambria"/>
          <w:sz w:val="20"/>
          <w:lang w:val="pt-BR"/>
        </w:rPr>
        <w:t xml:space="preserve"> de </w:t>
      </w:r>
      <w:r w:rsidR="005A2381" w:rsidRPr="005D6E61">
        <w:rPr>
          <w:rFonts w:ascii="Cambria" w:hAnsi="Cambria"/>
          <w:sz w:val="20"/>
          <w:lang w:val="pt-BR"/>
        </w:rPr>
        <w:t>Segurança</w:t>
      </w:r>
      <w:r w:rsidR="00471DD8" w:rsidRPr="005D6E61">
        <w:rPr>
          <w:rFonts w:ascii="Cambria" w:hAnsi="Cambria"/>
          <w:sz w:val="20"/>
          <w:lang w:val="pt-BR"/>
        </w:rPr>
        <w:t xml:space="preserve"> Pública estadual </w:t>
      </w:r>
      <w:r w:rsidR="00315C45" w:rsidRPr="005D6E61">
        <w:rPr>
          <w:rFonts w:ascii="Cambria" w:hAnsi="Cambria"/>
          <w:sz w:val="20"/>
          <w:lang w:val="pt-BR"/>
        </w:rPr>
        <w:t>de</w:t>
      </w:r>
      <w:r w:rsidR="00275A65" w:rsidRPr="005D6E61">
        <w:rPr>
          <w:rFonts w:ascii="Cambria" w:hAnsi="Cambria"/>
          <w:sz w:val="20"/>
          <w:lang w:val="pt-BR"/>
        </w:rPr>
        <w:t xml:space="preserve"> um </w:t>
      </w:r>
      <w:r w:rsidR="00315C45" w:rsidRPr="005D6E61">
        <w:rPr>
          <w:rFonts w:ascii="Cambria" w:hAnsi="Cambria"/>
          <w:sz w:val="20"/>
          <w:lang w:val="pt-BR"/>
        </w:rPr>
        <w:t>delegado</w:t>
      </w:r>
      <w:r w:rsidR="00675058" w:rsidRPr="005D6E61">
        <w:rPr>
          <w:rFonts w:ascii="Cambria" w:hAnsi="Cambria"/>
          <w:sz w:val="20"/>
          <w:lang w:val="pt-BR"/>
        </w:rPr>
        <w:t xml:space="preserve"> da </w:t>
      </w:r>
      <w:r w:rsidR="006166DA" w:rsidRPr="005D6E61">
        <w:rPr>
          <w:rFonts w:ascii="Cambria" w:hAnsi="Cambria"/>
          <w:sz w:val="20"/>
          <w:lang w:val="pt-BR"/>
        </w:rPr>
        <w:t>Polí</w:t>
      </w:r>
      <w:r w:rsidR="00315C45" w:rsidRPr="005D6E61">
        <w:rPr>
          <w:rFonts w:ascii="Cambria" w:hAnsi="Cambria"/>
          <w:sz w:val="20"/>
          <w:lang w:val="pt-BR"/>
        </w:rPr>
        <w:t>c</w:t>
      </w:r>
      <w:r w:rsidR="005A2381" w:rsidRPr="005D6E61">
        <w:rPr>
          <w:rFonts w:ascii="Cambria" w:hAnsi="Cambria"/>
          <w:sz w:val="20"/>
          <w:lang w:val="pt-BR"/>
        </w:rPr>
        <w:t>ia</w:t>
      </w:r>
      <w:r w:rsidR="00315C45" w:rsidRPr="005D6E61">
        <w:rPr>
          <w:rFonts w:ascii="Cambria" w:hAnsi="Cambria"/>
          <w:sz w:val="20"/>
          <w:lang w:val="pt-BR"/>
        </w:rPr>
        <w:t xml:space="preserve"> Civil para </w:t>
      </w:r>
      <w:r w:rsidR="00BF0B90" w:rsidRPr="005D6E61">
        <w:rPr>
          <w:rFonts w:ascii="Cambria" w:hAnsi="Cambria"/>
          <w:sz w:val="20"/>
          <w:lang w:val="pt-BR"/>
        </w:rPr>
        <w:t>q</w:t>
      </w:r>
      <w:r w:rsidR="00315C45" w:rsidRPr="005D6E61">
        <w:rPr>
          <w:rFonts w:ascii="Cambria" w:hAnsi="Cambria"/>
          <w:sz w:val="20"/>
          <w:lang w:val="pt-BR"/>
        </w:rPr>
        <w:t>uest</w:t>
      </w:r>
      <w:r w:rsidR="00BF0B90" w:rsidRPr="005D6E61">
        <w:rPr>
          <w:rFonts w:ascii="Cambria" w:hAnsi="Cambria"/>
          <w:sz w:val="20"/>
          <w:lang w:val="pt-BR"/>
        </w:rPr>
        <w:t>õ</w:t>
      </w:r>
      <w:r w:rsidR="00315C45" w:rsidRPr="005D6E61">
        <w:rPr>
          <w:rFonts w:ascii="Cambria" w:hAnsi="Cambria"/>
          <w:sz w:val="20"/>
          <w:lang w:val="pt-BR"/>
        </w:rPr>
        <w:t xml:space="preserve">es de </w:t>
      </w:r>
      <w:r w:rsidRPr="005D6E61">
        <w:rPr>
          <w:rFonts w:ascii="Cambria" w:hAnsi="Cambria"/>
          <w:sz w:val="20"/>
          <w:lang w:val="pt-BR"/>
        </w:rPr>
        <w:t>terra</w:t>
      </w:r>
      <w:r w:rsidR="00F77B7F" w:rsidRPr="005D6E61">
        <w:rPr>
          <w:rFonts w:ascii="Cambria" w:hAnsi="Cambria"/>
          <w:sz w:val="20"/>
          <w:lang w:val="pt-BR"/>
        </w:rPr>
        <w:t xml:space="preserve"> </w:t>
      </w:r>
      <w:r w:rsidR="00BF0B90" w:rsidRPr="005D6E61">
        <w:rPr>
          <w:rFonts w:ascii="Cambria" w:hAnsi="Cambria"/>
          <w:sz w:val="20"/>
          <w:lang w:val="pt-BR"/>
        </w:rPr>
        <w:t>na</w:t>
      </w:r>
      <w:r w:rsidR="00F77B7F" w:rsidRPr="005D6E61">
        <w:rPr>
          <w:rFonts w:ascii="Cambria" w:hAnsi="Cambria"/>
          <w:sz w:val="20"/>
          <w:lang w:val="pt-BR"/>
        </w:rPr>
        <w:t xml:space="preserve"> </w:t>
      </w:r>
      <w:r w:rsidR="00471DD8" w:rsidRPr="005D6E61">
        <w:rPr>
          <w:rFonts w:ascii="Cambria" w:hAnsi="Cambria"/>
          <w:sz w:val="20"/>
          <w:lang w:val="pt-BR"/>
        </w:rPr>
        <w:t xml:space="preserve">Paraíba; </w:t>
      </w:r>
      <w:r w:rsidR="00315C45" w:rsidRPr="005D6E61">
        <w:rPr>
          <w:rFonts w:ascii="Cambria" w:hAnsi="Cambria"/>
          <w:sz w:val="20"/>
          <w:lang w:val="pt-BR"/>
        </w:rPr>
        <w:t>ii)</w:t>
      </w:r>
      <w:r w:rsidR="00331E62" w:rsidRPr="005D6E61">
        <w:rPr>
          <w:rFonts w:ascii="Cambria" w:hAnsi="Cambria"/>
          <w:sz w:val="20"/>
          <w:lang w:val="pt-BR"/>
        </w:rPr>
        <w:t xml:space="preserve"> a </w:t>
      </w:r>
      <w:r w:rsidR="00315C45" w:rsidRPr="005D6E61">
        <w:rPr>
          <w:rFonts w:ascii="Cambria" w:hAnsi="Cambria"/>
          <w:sz w:val="20"/>
          <w:lang w:val="pt-BR"/>
        </w:rPr>
        <w:t>designa</w:t>
      </w:r>
      <w:r w:rsidR="00A274D9" w:rsidRPr="005D6E61">
        <w:rPr>
          <w:rFonts w:ascii="Cambria" w:hAnsi="Cambria"/>
          <w:sz w:val="20"/>
          <w:lang w:val="pt-BR"/>
        </w:rPr>
        <w:t>ção</w:t>
      </w:r>
      <w:r w:rsidR="00103CE6" w:rsidRPr="005D6E61">
        <w:rPr>
          <w:rFonts w:ascii="Cambria" w:hAnsi="Cambria"/>
          <w:sz w:val="20"/>
          <w:lang w:val="pt-BR"/>
        </w:rPr>
        <w:t xml:space="preserve"> por parte</w:t>
      </w:r>
      <w:r w:rsidR="00F77B7F" w:rsidRPr="005D6E61">
        <w:rPr>
          <w:rFonts w:ascii="Cambria" w:hAnsi="Cambria"/>
          <w:sz w:val="20"/>
          <w:lang w:val="pt-BR"/>
        </w:rPr>
        <w:t xml:space="preserve"> do </w:t>
      </w:r>
      <w:r w:rsidR="00103CE6" w:rsidRPr="005D6E61">
        <w:rPr>
          <w:rFonts w:ascii="Cambria" w:hAnsi="Cambria"/>
          <w:sz w:val="20"/>
          <w:lang w:val="pt-BR"/>
        </w:rPr>
        <w:t>Procurador</w:t>
      </w:r>
      <w:r w:rsidR="00B96B9E" w:rsidRPr="005D6E61">
        <w:rPr>
          <w:rFonts w:ascii="Cambria" w:hAnsi="Cambria"/>
          <w:sz w:val="20"/>
          <w:lang w:val="pt-BR"/>
        </w:rPr>
        <w:t>-</w:t>
      </w:r>
      <w:r w:rsidR="00103CE6" w:rsidRPr="005D6E61">
        <w:rPr>
          <w:rFonts w:ascii="Cambria" w:hAnsi="Cambria"/>
          <w:sz w:val="20"/>
          <w:lang w:val="pt-BR"/>
        </w:rPr>
        <w:t xml:space="preserve">Geral de </w:t>
      </w:r>
      <w:r w:rsidR="00275A65" w:rsidRPr="005D6E61">
        <w:rPr>
          <w:rFonts w:ascii="Cambria" w:hAnsi="Cambria"/>
          <w:sz w:val="20"/>
          <w:lang w:val="pt-BR"/>
        </w:rPr>
        <w:t>Justiça</w:t>
      </w:r>
      <w:r w:rsidR="00103CE6" w:rsidRPr="005D6E61">
        <w:rPr>
          <w:rFonts w:ascii="Cambria" w:hAnsi="Cambria"/>
          <w:sz w:val="20"/>
          <w:lang w:val="pt-BR"/>
        </w:rPr>
        <w:t xml:space="preserve"> d</w:t>
      </w:r>
      <w:r w:rsidR="00BF0B90" w:rsidRPr="005D6E61">
        <w:rPr>
          <w:rFonts w:ascii="Cambria" w:hAnsi="Cambria"/>
          <w:sz w:val="20"/>
          <w:lang w:val="pt-BR"/>
        </w:rPr>
        <w:t>a</w:t>
      </w:r>
      <w:r w:rsidR="00103CE6" w:rsidRPr="005D6E61">
        <w:rPr>
          <w:rFonts w:ascii="Cambria" w:hAnsi="Cambria"/>
          <w:sz w:val="20"/>
          <w:lang w:val="pt-BR"/>
        </w:rPr>
        <w:t xml:space="preserve"> </w:t>
      </w:r>
      <w:r w:rsidR="00471DD8" w:rsidRPr="005D6E61">
        <w:rPr>
          <w:rFonts w:ascii="Cambria" w:hAnsi="Cambria"/>
          <w:sz w:val="20"/>
          <w:lang w:val="pt-BR"/>
        </w:rPr>
        <w:t>Paraíba</w:t>
      </w:r>
      <w:r w:rsidR="00315C45" w:rsidRPr="005D6E61">
        <w:rPr>
          <w:rFonts w:ascii="Cambria" w:hAnsi="Cambria"/>
          <w:sz w:val="20"/>
          <w:lang w:val="pt-BR"/>
        </w:rPr>
        <w:t xml:space="preserve"> de</w:t>
      </w:r>
      <w:r w:rsidR="00275A65" w:rsidRPr="005D6E61">
        <w:rPr>
          <w:rFonts w:ascii="Cambria" w:hAnsi="Cambria"/>
          <w:sz w:val="20"/>
          <w:lang w:val="pt-BR"/>
        </w:rPr>
        <w:t xml:space="preserve"> um </w:t>
      </w:r>
      <w:r w:rsidR="00315C45" w:rsidRPr="005D6E61">
        <w:rPr>
          <w:rFonts w:ascii="Cambria" w:hAnsi="Cambria"/>
          <w:sz w:val="20"/>
          <w:lang w:val="pt-BR"/>
        </w:rPr>
        <w:t xml:space="preserve">promotor de </w:t>
      </w:r>
      <w:r w:rsidR="00275A65" w:rsidRPr="005D6E61">
        <w:rPr>
          <w:rFonts w:ascii="Cambria" w:hAnsi="Cambria"/>
          <w:sz w:val="20"/>
          <w:lang w:val="pt-BR"/>
        </w:rPr>
        <w:t>justiça</w:t>
      </w:r>
      <w:r w:rsidR="00471DD8" w:rsidRPr="005D6E61">
        <w:rPr>
          <w:rFonts w:ascii="Cambria" w:hAnsi="Cambria"/>
          <w:sz w:val="20"/>
          <w:lang w:val="pt-BR"/>
        </w:rPr>
        <w:t xml:space="preserve"> </w:t>
      </w:r>
      <w:r w:rsidR="005A2381" w:rsidRPr="005D6E61">
        <w:rPr>
          <w:rFonts w:ascii="Cambria" w:hAnsi="Cambria"/>
          <w:sz w:val="20"/>
          <w:lang w:val="pt-BR"/>
        </w:rPr>
        <w:t>agrário</w:t>
      </w:r>
      <w:r w:rsidR="00BF0B90" w:rsidRPr="005D6E61">
        <w:rPr>
          <w:rFonts w:ascii="Cambria" w:hAnsi="Cambria"/>
          <w:sz w:val="20"/>
          <w:lang w:val="pt-BR"/>
        </w:rPr>
        <w:t>,</w:t>
      </w:r>
      <w:r w:rsidR="00315C45" w:rsidRPr="005D6E61">
        <w:rPr>
          <w:rFonts w:ascii="Cambria" w:hAnsi="Cambria"/>
          <w:sz w:val="20"/>
          <w:lang w:val="pt-BR"/>
        </w:rPr>
        <w:t xml:space="preserve"> a</w:t>
      </w:r>
      <w:r w:rsidR="00BF0B90" w:rsidRPr="005D6E61">
        <w:rPr>
          <w:rFonts w:ascii="Cambria" w:hAnsi="Cambria"/>
          <w:sz w:val="20"/>
          <w:lang w:val="pt-BR"/>
        </w:rPr>
        <w:t>lém</w:t>
      </w:r>
      <w:r w:rsidR="00315C45" w:rsidRPr="005D6E61">
        <w:rPr>
          <w:rFonts w:ascii="Cambria" w:hAnsi="Cambria"/>
          <w:sz w:val="20"/>
          <w:lang w:val="pt-BR"/>
        </w:rPr>
        <w:t xml:space="preserve"> de</w:t>
      </w:r>
      <w:r w:rsidR="00275A65" w:rsidRPr="005D6E61">
        <w:rPr>
          <w:rFonts w:ascii="Cambria" w:hAnsi="Cambria"/>
          <w:sz w:val="20"/>
          <w:lang w:val="pt-BR"/>
        </w:rPr>
        <w:t xml:space="preserve"> um </w:t>
      </w:r>
      <w:r w:rsidR="00315C45" w:rsidRPr="005D6E61">
        <w:rPr>
          <w:rFonts w:ascii="Cambria" w:hAnsi="Cambria"/>
          <w:sz w:val="20"/>
          <w:lang w:val="pt-BR"/>
        </w:rPr>
        <w:t xml:space="preserve">defensor público </w:t>
      </w:r>
      <w:r w:rsidR="005A2381" w:rsidRPr="005D6E61">
        <w:rPr>
          <w:rFonts w:ascii="Cambria" w:hAnsi="Cambria"/>
          <w:sz w:val="20"/>
          <w:lang w:val="pt-BR"/>
        </w:rPr>
        <w:t>agrário</w:t>
      </w:r>
      <w:r w:rsidR="00315C45" w:rsidRPr="005D6E61">
        <w:rPr>
          <w:rFonts w:ascii="Cambria" w:hAnsi="Cambria"/>
          <w:sz w:val="20"/>
          <w:lang w:val="pt-BR"/>
        </w:rPr>
        <w:t>, por parte</w:t>
      </w:r>
      <w:r w:rsidR="00F77B7F" w:rsidRPr="005D6E61">
        <w:rPr>
          <w:rFonts w:ascii="Cambria" w:hAnsi="Cambria"/>
          <w:sz w:val="20"/>
          <w:lang w:val="pt-BR"/>
        </w:rPr>
        <w:t xml:space="preserve"> do </w:t>
      </w:r>
      <w:r w:rsidR="00315C45" w:rsidRPr="005D6E61">
        <w:rPr>
          <w:rFonts w:ascii="Cambria" w:hAnsi="Cambria"/>
          <w:sz w:val="20"/>
          <w:lang w:val="pt-BR"/>
        </w:rPr>
        <w:t>Defensor</w:t>
      </w:r>
      <w:r w:rsidR="00471DD8" w:rsidRPr="005D6E61">
        <w:rPr>
          <w:rFonts w:ascii="Cambria" w:hAnsi="Cambria"/>
          <w:sz w:val="20"/>
          <w:lang w:val="pt-BR"/>
        </w:rPr>
        <w:t xml:space="preserve"> Público G</w:t>
      </w:r>
      <w:r w:rsidR="00103CE6" w:rsidRPr="005D6E61">
        <w:rPr>
          <w:rFonts w:ascii="Cambria" w:hAnsi="Cambria"/>
          <w:sz w:val="20"/>
          <w:lang w:val="pt-BR"/>
        </w:rPr>
        <w:t>e</w:t>
      </w:r>
      <w:r w:rsidR="00656512" w:rsidRPr="005D6E61">
        <w:rPr>
          <w:rFonts w:ascii="Cambria" w:hAnsi="Cambria"/>
          <w:sz w:val="20"/>
          <w:lang w:val="pt-BR"/>
        </w:rPr>
        <w:t xml:space="preserve">ral </w:t>
      </w:r>
      <w:r w:rsidR="00287321" w:rsidRPr="005D6E61">
        <w:rPr>
          <w:rFonts w:ascii="Cambria" w:hAnsi="Cambria"/>
          <w:sz w:val="20"/>
          <w:lang w:val="pt-BR"/>
        </w:rPr>
        <w:t>da Paraíba</w:t>
      </w:r>
      <w:r w:rsidR="00471DD8" w:rsidRPr="005D6E61">
        <w:rPr>
          <w:rFonts w:ascii="Cambria" w:hAnsi="Cambria"/>
          <w:sz w:val="20"/>
          <w:lang w:val="pt-BR"/>
        </w:rPr>
        <w:t>;</w:t>
      </w:r>
      <w:r w:rsidR="006C5454" w:rsidRPr="005D6E61">
        <w:rPr>
          <w:rFonts w:ascii="Cambria" w:hAnsi="Cambria"/>
          <w:sz w:val="20"/>
          <w:lang w:val="pt-BR"/>
        </w:rPr>
        <w:t xml:space="preserve"> e </w:t>
      </w:r>
      <w:r w:rsidR="00471DD8" w:rsidRPr="005D6E61">
        <w:rPr>
          <w:rFonts w:ascii="Cambria" w:hAnsi="Cambria"/>
          <w:sz w:val="20"/>
          <w:lang w:val="pt-BR"/>
        </w:rPr>
        <w:t>iii)</w:t>
      </w:r>
      <w:r w:rsidR="00331E62" w:rsidRPr="005D6E61">
        <w:rPr>
          <w:rFonts w:ascii="Cambria" w:hAnsi="Cambria"/>
          <w:sz w:val="20"/>
          <w:lang w:val="pt-BR"/>
        </w:rPr>
        <w:t xml:space="preserve"> a </w:t>
      </w:r>
      <w:r w:rsidRPr="005D6E61">
        <w:rPr>
          <w:rFonts w:ascii="Cambria" w:hAnsi="Cambria"/>
          <w:sz w:val="20"/>
          <w:lang w:val="pt-BR"/>
        </w:rPr>
        <w:t>criação</w:t>
      </w:r>
      <w:r w:rsidR="00315C45" w:rsidRPr="005D6E61">
        <w:rPr>
          <w:rFonts w:ascii="Cambria" w:hAnsi="Cambria"/>
          <w:sz w:val="20"/>
          <w:lang w:val="pt-BR"/>
        </w:rPr>
        <w:t xml:space="preserve"> por parte</w:t>
      </w:r>
      <w:r w:rsidR="00F77B7F" w:rsidRPr="005D6E61">
        <w:rPr>
          <w:rFonts w:ascii="Cambria" w:hAnsi="Cambria"/>
          <w:sz w:val="20"/>
          <w:lang w:val="pt-BR"/>
        </w:rPr>
        <w:t xml:space="preserve"> do </w:t>
      </w:r>
      <w:r w:rsidR="00B96B9E" w:rsidRPr="005D6E61">
        <w:rPr>
          <w:rFonts w:ascii="Cambria" w:hAnsi="Cambria"/>
          <w:sz w:val="20"/>
          <w:lang w:val="pt-BR"/>
        </w:rPr>
        <w:t>Comandante-</w:t>
      </w:r>
      <w:r w:rsidR="00315C45" w:rsidRPr="005D6E61">
        <w:rPr>
          <w:rFonts w:ascii="Cambria" w:hAnsi="Cambria"/>
          <w:sz w:val="20"/>
          <w:lang w:val="pt-BR"/>
        </w:rPr>
        <w:t>G</w:t>
      </w:r>
      <w:r w:rsidR="00103CE6" w:rsidRPr="005D6E61">
        <w:rPr>
          <w:rFonts w:ascii="Cambria" w:hAnsi="Cambria"/>
          <w:sz w:val="20"/>
          <w:lang w:val="pt-BR"/>
        </w:rPr>
        <w:t>eral d</w:t>
      </w:r>
      <w:r w:rsidR="00BF0B90" w:rsidRPr="005D6E61">
        <w:rPr>
          <w:rFonts w:ascii="Cambria" w:hAnsi="Cambria"/>
          <w:sz w:val="20"/>
          <w:lang w:val="pt-BR"/>
        </w:rPr>
        <w:t>a</w:t>
      </w:r>
      <w:r w:rsidR="00315C45" w:rsidRPr="005D6E61">
        <w:rPr>
          <w:rFonts w:ascii="Cambria" w:hAnsi="Cambria"/>
          <w:sz w:val="20"/>
          <w:lang w:val="pt-BR"/>
        </w:rPr>
        <w:t xml:space="preserve"> </w:t>
      </w:r>
      <w:r w:rsidR="00656512" w:rsidRPr="005D6E61">
        <w:rPr>
          <w:rFonts w:ascii="Cambria" w:hAnsi="Cambria"/>
          <w:sz w:val="20"/>
          <w:lang w:val="pt-BR"/>
        </w:rPr>
        <w:t>Pol</w:t>
      </w:r>
      <w:r w:rsidR="00DA7534" w:rsidRPr="005D6E61">
        <w:rPr>
          <w:rFonts w:ascii="Cambria" w:hAnsi="Cambria"/>
          <w:sz w:val="20"/>
          <w:lang w:val="pt-BR"/>
        </w:rPr>
        <w:t>í</w:t>
      </w:r>
      <w:r w:rsidR="00656512" w:rsidRPr="005D6E61">
        <w:rPr>
          <w:rFonts w:ascii="Cambria" w:hAnsi="Cambria"/>
          <w:sz w:val="20"/>
          <w:lang w:val="pt-BR"/>
        </w:rPr>
        <w:t>c</w:t>
      </w:r>
      <w:r w:rsidR="005A2381" w:rsidRPr="005D6E61">
        <w:rPr>
          <w:rFonts w:ascii="Cambria" w:hAnsi="Cambria"/>
          <w:sz w:val="20"/>
          <w:lang w:val="pt-BR"/>
        </w:rPr>
        <w:t>ia</w:t>
      </w:r>
      <w:r w:rsidR="00BF0B90" w:rsidRPr="005D6E61">
        <w:rPr>
          <w:rFonts w:ascii="Cambria" w:hAnsi="Cambria"/>
          <w:sz w:val="20"/>
          <w:lang w:val="pt-BR"/>
        </w:rPr>
        <w:t xml:space="preserve"> Militar da</w:t>
      </w:r>
      <w:r w:rsidR="00471DD8" w:rsidRPr="005D6E61">
        <w:rPr>
          <w:rFonts w:ascii="Cambria" w:hAnsi="Cambria"/>
          <w:sz w:val="20"/>
          <w:lang w:val="pt-BR"/>
        </w:rPr>
        <w:t xml:space="preserve"> Paraíba de</w:t>
      </w:r>
      <w:r w:rsidR="006C5454" w:rsidRPr="005D6E61">
        <w:rPr>
          <w:rFonts w:ascii="Cambria" w:hAnsi="Cambria"/>
          <w:sz w:val="20"/>
          <w:lang w:val="pt-BR"/>
        </w:rPr>
        <w:t xml:space="preserve"> uma </w:t>
      </w:r>
      <w:r w:rsidRPr="005D6E61">
        <w:rPr>
          <w:rFonts w:ascii="Cambria" w:hAnsi="Cambria"/>
          <w:sz w:val="20"/>
          <w:lang w:val="pt-BR"/>
        </w:rPr>
        <w:t>patrulha</w:t>
      </w:r>
      <w:r w:rsidR="00471DD8" w:rsidRPr="005D6E61">
        <w:rPr>
          <w:rFonts w:ascii="Cambria" w:hAnsi="Cambria"/>
          <w:sz w:val="20"/>
          <w:lang w:val="pt-BR"/>
        </w:rPr>
        <w:t xml:space="preserve"> rural </w:t>
      </w:r>
      <w:r w:rsidRPr="005D6E61">
        <w:rPr>
          <w:rFonts w:ascii="Cambria" w:hAnsi="Cambria"/>
          <w:sz w:val="20"/>
          <w:lang w:val="pt-BR"/>
        </w:rPr>
        <w:t>comunitária</w:t>
      </w:r>
      <w:r w:rsidR="00471DD8" w:rsidRPr="005D6E61">
        <w:rPr>
          <w:rFonts w:ascii="Cambria" w:hAnsi="Cambria"/>
          <w:sz w:val="20"/>
          <w:lang w:val="pt-BR"/>
        </w:rPr>
        <w:t>.</w:t>
      </w:r>
    </w:p>
    <w:p w14:paraId="3CC4BB1B" w14:textId="77777777" w:rsidR="00F85648" w:rsidRPr="005D6E61" w:rsidRDefault="00F85648" w:rsidP="00AD7E8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lang w:val="pt-BR"/>
        </w:rPr>
      </w:pPr>
    </w:p>
    <w:p w14:paraId="624AD625" w14:textId="77777777" w:rsidR="000D3681" w:rsidRPr="005D6E61" w:rsidRDefault="00BF0B90" w:rsidP="001309D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Calibri" w:hAnsi="Cambria"/>
          <w:sz w:val="20"/>
          <w:szCs w:val="20"/>
          <w:lang w:val="pt-BR"/>
        </w:rPr>
      </w:pPr>
      <w:r w:rsidRPr="005D6E61">
        <w:rPr>
          <w:rFonts w:ascii="Cambria" w:hAnsi="Cambria"/>
          <w:sz w:val="20"/>
          <w:szCs w:val="20"/>
          <w:lang w:val="pt-BR"/>
        </w:rPr>
        <w:t>Afirmou</w:t>
      </w:r>
      <w:r w:rsidR="00801D1A" w:rsidRPr="005D6E61">
        <w:rPr>
          <w:rFonts w:ascii="Cambria" w:hAnsi="Cambria"/>
          <w:sz w:val="20"/>
          <w:szCs w:val="20"/>
          <w:lang w:val="pt-BR"/>
        </w:rPr>
        <w:t xml:space="preserve"> que</w:t>
      </w:r>
      <w:r w:rsidR="00331E62" w:rsidRPr="005D6E61">
        <w:rPr>
          <w:rFonts w:ascii="Cambria" w:hAnsi="Cambria"/>
          <w:sz w:val="20"/>
          <w:szCs w:val="20"/>
          <w:lang w:val="pt-BR"/>
        </w:rPr>
        <w:t xml:space="preserve"> o </w:t>
      </w:r>
      <w:r w:rsidR="00103CE6" w:rsidRPr="005D6E61">
        <w:rPr>
          <w:rFonts w:asciiTheme="majorHAnsi" w:hAnsiTheme="majorHAnsi"/>
          <w:sz w:val="20"/>
          <w:lang w:val="pt-BR"/>
        </w:rPr>
        <w:t>Conse</w:t>
      </w:r>
      <w:r w:rsidRPr="005D6E61">
        <w:rPr>
          <w:rFonts w:asciiTheme="majorHAnsi" w:hAnsiTheme="majorHAnsi"/>
          <w:sz w:val="20"/>
          <w:lang w:val="pt-BR"/>
        </w:rPr>
        <w:t>lh</w:t>
      </w:r>
      <w:r w:rsidR="00111D95" w:rsidRPr="005D6E61">
        <w:rPr>
          <w:rFonts w:asciiTheme="majorHAnsi" w:hAnsiTheme="majorHAnsi"/>
          <w:sz w:val="20"/>
          <w:lang w:val="pt-BR"/>
        </w:rPr>
        <w:t>o de Defe</w:t>
      </w:r>
      <w:r w:rsidR="00103CE6" w:rsidRPr="005D6E61">
        <w:rPr>
          <w:rFonts w:asciiTheme="majorHAnsi" w:hAnsiTheme="majorHAnsi"/>
          <w:sz w:val="20"/>
          <w:lang w:val="pt-BR"/>
        </w:rPr>
        <w:t>sa de</w:t>
      </w:r>
      <w:r w:rsidR="00111D95" w:rsidRPr="005D6E61">
        <w:rPr>
          <w:rFonts w:asciiTheme="majorHAnsi" w:hAnsiTheme="majorHAnsi"/>
          <w:sz w:val="20"/>
          <w:lang w:val="pt-BR"/>
        </w:rPr>
        <w:t xml:space="preserve"> </w:t>
      </w:r>
      <w:r w:rsidR="00675058" w:rsidRPr="005D6E61">
        <w:rPr>
          <w:rFonts w:asciiTheme="majorHAnsi" w:hAnsiTheme="majorHAnsi"/>
          <w:sz w:val="20"/>
          <w:lang w:val="pt-BR"/>
        </w:rPr>
        <w:t>Direito</w:t>
      </w:r>
      <w:r w:rsidR="00103CE6" w:rsidRPr="005D6E61">
        <w:rPr>
          <w:rFonts w:asciiTheme="majorHAnsi" w:hAnsiTheme="majorHAnsi"/>
          <w:sz w:val="20"/>
          <w:lang w:val="pt-BR"/>
        </w:rPr>
        <w:t>s</w:t>
      </w:r>
      <w:r w:rsidR="00675058" w:rsidRPr="005D6E61">
        <w:rPr>
          <w:rFonts w:asciiTheme="majorHAnsi" w:hAnsiTheme="majorHAnsi"/>
          <w:sz w:val="20"/>
          <w:lang w:val="pt-BR"/>
        </w:rPr>
        <w:t xml:space="preserve"> da </w:t>
      </w:r>
      <w:r w:rsidR="0054428F" w:rsidRPr="005D6E61">
        <w:rPr>
          <w:rFonts w:asciiTheme="majorHAnsi" w:hAnsiTheme="majorHAnsi"/>
          <w:sz w:val="20"/>
          <w:lang w:val="pt-BR"/>
        </w:rPr>
        <w:t>Pessoa</w:t>
      </w:r>
      <w:r w:rsidR="00111D95" w:rsidRPr="005D6E61">
        <w:rPr>
          <w:rFonts w:asciiTheme="majorHAnsi" w:hAnsiTheme="majorHAnsi"/>
          <w:sz w:val="20"/>
          <w:lang w:val="pt-BR"/>
        </w:rPr>
        <w:t xml:space="preserve"> Humana,</w:t>
      </w:r>
      <w:r w:rsidR="00275A65" w:rsidRPr="005D6E61">
        <w:rPr>
          <w:rFonts w:asciiTheme="majorHAnsi" w:hAnsiTheme="majorHAnsi"/>
          <w:sz w:val="20"/>
          <w:lang w:val="pt-BR"/>
        </w:rPr>
        <w:t xml:space="preserve"> um </w:t>
      </w:r>
      <w:r w:rsidR="00E37676" w:rsidRPr="005D6E61">
        <w:rPr>
          <w:rFonts w:asciiTheme="majorHAnsi" w:hAnsiTheme="majorHAnsi"/>
          <w:sz w:val="20"/>
          <w:lang w:val="pt-BR"/>
        </w:rPr>
        <w:t>órgão</w:t>
      </w:r>
      <w:r w:rsidR="00111D95" w:rsidRPr="005D6E61">
        <w:rPr>
          <w:rFonts w:asciiTheme="majorHAnsi" w:hAnsiTheme="majorHAnsi"/>
          <w:sz w:val="20"/>
          <w:lang w:val="pt-BR"/>
        </w:rPr>
        <w:t xml:space="preserve"> esta</w:t>
      </w:r>
      <w:r w:rsidRPr="005D6E61">
        <w:rPr>
          <w:rFonts w:asciiTheme="majorHAnsi" w:hAnsiTheme="majorHAnsi"/>
          <w:sz w:val="20"/>
          <w:lang w:val="pt-BR"/>
        </w:rPr>
        <w:t>du</w:t>
      </w:r>
      <w:r w:rsidR="00111D95" w:rsidRPr="005D6E61">
        <w:rPr>
          <w:rFonts w:asciiTheme="majorHAnsi" w:hAnsiTheme="majorHAnsi"/>
          <w:sz w:val="20"/>
          <w:lang w:val="pt-BR"/>
        </w:rPr>
        <w:t>al, realiz</w:t>
      </w:r>
      <w:r w:rsidRPr="005D6E61">
        <w:rPr>
          <w:rFonts w:asciiTheme="majorHAnsi" w:hAnsiTheme="majorHAnsi"/>
          <w:sz w:val="20"/>
          <w:lang w:val="pt-BR"/>
        </w:rPr>
        <w:t>ou</w:t>
      </w:r>
      <w:r w:rsidR="00275A65" w:rsidRPr="005D6E61">
        <w:rPr>
          <w:rFonts w:asciiTheme="majorHAnsi" w:hAnsiTheme="majorHAnsi"/>
          <w:sz w:val="20"/>
          <w:lang w:val="pt-BR"/>
        </w:rPr>
        <w:t xml:space="preserve"> um </w:t>
      </w:r>
      <w:r w:rsidR="009C205A" w:rsidRPr="005D6E61">
        <w:rPr>
          <w:rFonts w:asciiTheme="majorHAnsi" w:hAnsiTheme="majorHAnsi"/>
          <w:sz w:val="20"/>
          <w:lang w:val="pt-BR"/>
        </w:rPr>
        <w:t>acompanhamento</w:t>
      </w:r>
      <w:r w:rsidR="00CD523F" w:rsidRPr="005D6E61">
        <w:rPr>
          <w:rFonts w:asciiTheme="majorHAnsi" w:hAnsiTheme="majorHAnsi"/>
          <w:sz w:val="20"/>
          <w:lang w:val="pt-BR"/>
        </w:rPr>
        <w:t xml:space="preserve"> </w:t>
      </w:r>
      <w:r w:rsidRPr="005D6E61">
        <w:rPr>
          <w:rFonts w:asciiTheme="majorHAnsi" w:hAnsiTheme="majorHAnsi"/>
          <w:sz w:val="20"/>
          <w:lang w:val="pt-BR"/>
        </w:rPr>
        <w:t>d</w:t>
      </w:r>
      <w:r w:rsidR="00CD523F" w:rsidRPr="005D6E61">
        <w:rPr>
          <w:rFonts w:asciiTheme="majorHAnsi" w:hAnsiTheme="majorHAnsi"/>
          <w:sz w:val="20"/>
          <w:lang w:val="pt-BR"/>
        </w:rPr>
        <w:t xml:space="preserve">o </w:t>
      </w:r>
      <w:r w:rsidR="009C205A" w:rsidRPr="005D6E61">
        <w:rPr>
          <w:rFonts w:asciiTheme="majorHAnsi" w:hAnsiTheme="majorHAnsi"/>
          <w:sz w:val="20"/>
          <w:lang w:val="pt-BR"/>
        </w:rPr>
        <w:t>processo</w:t>
      </w:r>
      <w:r w:rsidR="00111D95" w:rsidRPr="005D6E61">
        <w:rPr>
          <w:rFonts w:asciiTheme="majorHAnsi" w:hAnsiTheme="majorHAnsi"/>
          <w:sz w:val="20"/>
          <w:lang w:val="pt-BR"/>
        </w:rPr>
        <w:t xml:space="preserve"> contra </w:t>
      </w:r>
      <w:r w:rsidRPr="005D6E61">
        <w:rPr>
          <w:rFonts w:asciiTheme="majorHAnsi" w:hAnsiTheme="majorHAnsi"/>
          <w:sz w:val="20"/>
          <w:lang w:val="pt-BR"/>
        </w:rPr>
        <w:t>um</w:t>
      </w:r>
      <w:r w:rsidR="00331E62" w:rsidRPr="005D6E61">
        <w:rPr>
          <w:rFonts w:asciiTheme="majorHAnsi" w:hAnsiTheme="majorHAnsi"/>
          <w:sz w:val="20"/>
          <w:lang w:val="pt-BR"/>
        </w:rPr>
        <w:t xml:space="preserve"> dos </w:t>
      </w:r>
      <w:r w:rsidR="00111D95" w:rsidRPr="005D6E61">
        <w:rPr>
          <w:rFonts w:asciiTheme="majorHAnsi" w:hAnsiTheme="majorHAnsi"/>
          <w:sz w:val="20"/>
          <w:lang w:val="pt-BR"/>
        </w:rPr>
        <w:t>sup</w:t>
      </w:r>
      <w:r w:rsidRPr="005D6E61">
        <w:rPr>
          <w:rFonts w:asciiTheme="majorHAnsi" w:hAnsiTheme="majorHAnsi"/>
          <w:sz w:val="20"/>
          <w:lang w:val="pt-BR"/>
        </w:rPr>
        <w:t>o</w:t>
      </w:r>
      <w:r w:rsidR="00111D95" w:rsidRPr="005D6E61">
        <w:rPr>
          <w:rFonts w:asciiTheme="majorHAnsi" w:hAnsiTheme="majorHAnsi"/>
          <w:sz w:val="20"/>
          <w:lang w:val="pt-BR"/>
        </w:rPr>
        <w:t>stos autores</w:t>
      </w:r>
      <w:r w:rsidR="00F77B7F" w:rsidRPr="005D6E61">
        <w:rPr>
          <w:rFonts w:asciiTheme="majorHAnsi" w:hAnsiTheme="majorHAnsi"/>
          <w:sz w:val="20"/>
          <w:lang w:val="pt-BR"/>
        </w:rPr>
        <w:t xml:space="preserve"> do </w:t>
      </w:r>
      <w:r w:rsidR="004642E3" w:rsidRPr="005D6E61">
        <w:rPr>
          <w:rFonts w:asciiTheme="majorHAnsi" w:hAnsiTheme="majorHAnsi"/>
          <w:sz w:val="20"/>
          <w:lang w:val="pt-BR"/>
        </w:rPr>
        <w:t>delito</w:t>
      </w:r>
      <w:r w:rsidR="006C5454" w:rsidRPr="005D6E61">
        <w:rPr>
          <w:rFonts w:asciiTheme="majorHAnsi" w:hAnsiTheme="majorHAnsi"/>
          <w:sz w:val="20"/>
          <w:lang w:val="pt-BR"/>
        </w:rPr>
        <w:t xml:space="preserve"> e </w:t>
      </w:r>
      <w:r w:rsidRPr="005D6E61">
        <w:rPr>
          <w:rFonts w:asciiTheme="majorHAnsi" w:hAnsiTheme="majorHAnsi"/>
          <w:sz w:val="20"/>
          <w:lang w:val="pt-BR"/>
        </w:rPr>
        <w:t>a</w:t>
      </w:r>
      <w:r w:rsidR="00111D95" w:rsidRPr="005D6E61">
        <w:rPr>
          <w:rFonts w:asciiTheme="majorHAnsi" w:hAnsiTheme="majorHAnsi"/>
          <w:sz w:val="20"/>
          <w:lang w:val="pt-BR"/>
        </w:rPr>
        <w:t>present</w:t>
      </w:r>
      <w:r w:rsidRPr="005D6E61">
        <w:rPr>
          <w:rFonts w:asciiTheme="majorHAnsi" w:hAnsiTheme="majorHAnsi"/>
          <w:sz w:val="20"/>
          <w:lang w:val="pt-BR"/>
        </w:rPr>
        <w:t xml:space="preserve">ou </w:t>
      </w:r>
      <w:r w:rsidR="00275A65" w:rsidRPr="005D6E61">
        <w:rPr>
          <w:rFonts w:asciiTheme="majorHAnsi" w:hAnsiTheme="majorHAnsi"/>
          <w:sz w:val="20"/>
          <w:lang w:val="pt-BR"/>
        </w:rPr>
        <w:t xml:space="preserve">um </w:t>
      </w:r>
      <w:r w:rsidR="00704E7B" w:rsidRPr="005D6E61">
        <w:rPr>
          <w:rFonts w:asciiTheme="majorHAnsi" w:hAnsiTheme="majorHAnsi"/>
          <w:sz w:val="20"/>
          <w:lang w:val="pt-BR"/>
        </w:rPr>
        <w:t>relatório</w:t>
      </w:r>
      <w:r w:rsidR="00331E62" w:rsidRPr="005D6E61">
        <w:rPr>
          <w:rFonts w:asciiTheme="majorHAnsi" w:hAnsiTheme="majorHAnsi"/>
          <w:sz w:val="20"/>
          <w:lang w:val="pt-BR"/>
        </w:rPr>
        <w:t xml:space="preserve"> </w:t>
      </w:r>
      <w:r w:rsidRPr="005D6E61">
        <w:rPr>
          <w:rFonts w:asciiTheme="majorHAnsi" w:hAnsiTheme="majorHAnsi"/>
          <w:sz w:val="20"/>
          <w:lang w:val="pt-BR"/>
        </w:rPr>
        <w:t>em</w:t>
      </w:r>
      <w:r w:rsidR="00331E62" w:rsidRPr="005D6E61">
        <w:rPr>
          <w:rFonts w:asciiTheme="majorHAnsi" w:hAnsiTheme="majorHAnsi"/>
          <w:sz w:val="20"/>
          <w:lang w:val="pt-BR"/>
        </w:rPr>
        <w:t xml:space="preserve"> </w:t>
      </w:r>
      <w:r w:rsidR="00111D95" w:rsidRPr="005D6E61">
        <w:rPr>
          <w:rFonts w:asciiTheme="majorHAnsi" w:hAnsiTheme="majorHAnsi"/>
          <w:sz w:val="20"/>
          <w:lang w:val="pt-BR"/>
        </w:rPr>
        <w:t>2001 conclu</w:t>
      </w:r>
      <w:r w:rsidR="00615588" w:rsidRPr="005D6E61">
        <w:rPr>
          <w:rFonts w:asciiTheme="majorHAnsi" w:hAnsiTheme="majorHAnsi"/>
          <w:sz w:val="20"/>
          <w:lang w:val="pt-BR"/>
        </w:rPr>
        <w:t>i</w:t>
      </w:r>
      <w:r w:rsidR="00111D95" w:rsidRPr="005D6E61">
        <w:rPr>
          <w:rFonts w:asciiTheme="majorHAnsi" w:hAnsiTheme="majorHAnsi"/>
          <w:sz w:val="20"/>
          <w:lang w:val="pt-BR"/>
        </w:rPr>
        <w:t>ndo que</w:t>
      </w:r>
      <w:r w:rsidR="00331E62" w:rsidRPr="005D6E61">
        <w:rPr>
          <w:rFonts w:asciiTheme="majorHAnsi" w:hAnsiTheme="majorHAnsi"/>
          <w:sz w:val="20"/>
          <w:lang w:val="pt-BR"/>
        </w:rPr>
        <w:t xml:space="preserve"> o </w:t>
      </w:r>
      <w:r w:rsidR="009C205A" w:rsidRPr="005D6E61">
        <w:rPr>
          <w:rFonts w:asciiTheme="majorHAnsi" w:hAnsiTheme="majorHAnsi"/>
          <w:sz w:val="20"/>
          <w:lang w:val="pt-BR"/>
        </w:rPr>
        <w:t>homicídio</w:t>
      </w:r>
      <w:r w:rsidR="00111D95" w:rsidRPr="005D6E61">
        <w:rPr>
          <w:rFonts w:asciiTheme="majorHAnsi" w:hAnsiTheme="majorHAnsi"/>
          <w:sz w:val="20"/>
          <w:lang w:val="pt-BR"/>
        </w:rPr>
        <w:t xml:space="preserve"> </w:t>
      </w:r>
      <w:r w:rsidR="00615588" w:rsidRPr="005D6E61">
        <w:rPr>
          <w:rFonts w:asciiTheme="majorHAnsi" w:hAnsiTheme="majorHAnsi"/>
          <w:sz w:val="20"/>
          <w:lang w:val="pt-BR"/>
        </w:rPr>
        <w:t>se enquadrava</w:t>
      </w:r>
      <w:r w:rsidR="00331E62" w:rsidRPr="005D6E61">
        <w:rPr>
          <w:rFonts w:asciiTheme="majorHAnsi" w:hAnsiTheme="majorHAnsi"/>
          <w:sz w:val="20"/>
          <w:lang w:val="pt-BR"/>
        </w:rPr>
        <w:t xml:space="preserve"> no </w:t>
      </w:r>
      <w:r w:rsidR="00615588" w:rsidRPr="005D6E61">
        <w:rPr>
          <w:rFonts w:asciiTheme="majorHAnsi" w:hAnsiTheme="majorHAnsi"/>
          <w:sz w:val="20"/>
          <w:lang w:val="pt-BR"/>
        </w:rPr>
        <w:t xml:space="preserve">modelo </w:t>
      </w:r>
      <w:r w:rsidR="009C205A" w:rsidRPr="005D6E61">
        <w:rPr>
          <w:rFonts w:asciiTheme="majorHAnsi" w:hAnsiTheme="majorHAnsi"/>
          <w:sz w:val="20"/>
          <w:lang w:val="pt-BR"/>
        </w:rPr>
        <w:t>clássico</w:t>
      </w:r>
      <w:r w:rsidR="00615588" w:rsidRPr="005D6E61">
        <w:rPr>
          <w:rFonts w:asciiTheme="majorHAnsi" w:hAnsiTheme="majorHAnsi"/>
          <w:sz w:val="20"/>
          <w:lang w:val="pt-BR"/>
        </w:rPr>
        <w:t xml:space="preserve"> de “ex</w:t>
      </w:r>
      <w:r w:rsidR="00111D95" w:rsidRPr="005D6E61">
        <w:rPr>
          <w:rFonts w:asciiTheme="majorHAnsi" w:hAnsiTheme="majorHAnsi"/>
          <w:sz w:val="20"/>
          <w:lang w:val="pt-BR"/>
        </w:rPr>
        <w:t>ecu</w:t>
      </w:r>
      <w:r w:rsidR="00A274D9" w:rsidRPr="005D6E61">
        <w:rPr>
          <w:rFonts w:asciiTheme="majorHAnsi" w:hAnsiTheme="majorHAnsi"/>
          <w:sz w:val="20"/>
          <w:lang w:val="pt-BR"/>
        </w:rPr>
        <w:t>ção</w:t>
      </w:r>
      <w:r w:rsidR="00111D95" w:rsidRPr="005D6E61">
        <w:rPr>
          <w:rFonts w:asciiTheme="majorHAnsi" w:hAnsiTheme="majorHAnsi"/>
          <w:sz w:val="20"/>
          <w:lang w:val="pt-BR"/>
        </w:rPr>
        <w:t xml:space="preserve"> encomendada” o</w:t>
      </w:r>
      <w:r w:rsidRPr="005D6E61">
        <w:rPr>
          <w:rFonts w:asciiTheme="majorHAnsi" w:hAnsiTheme="majorHAnsi"/>
          <w:sz w:val="20"/>
          <w:lang w:val="pt-BR"/>
        </w:rPr>
        <w:t>u</w:t>
      </w:r>
      <w:r w:rsidR="00111D95" w:rsidRPr="005D6E61">
        <w:rPr>
          <w:rFonts w:asciiTheme="majorHAnsi" w:hAnsiTheme="majorHAnsi"/>
          <w:sz w:val="20"/>
          <w:lang w:val="pt-BR"/>
        </w:rPr>
        <w:t xml:space="preserve"> “pistola</w:t>
      </w:r>
      <w:r w:rsidR="00615588" w:rsidRPr="005D6E61">
        <w:rPr>
          <w:rFonts w:asciiTheme="majorHAnsi" w:hAnsiTheme="majorHAnsi"/>
          <w:sz w:val="20"/>
          <w:lang w:val="pt-BR"/>
        </w:rPr>
        <w:t>gem</w:t>
      </w:r>
      <w:r w:rsidR="00111D95" w:rsidRPr="005D6E61">
        <w:rPr>
          <w:rFonts w:asciiTheme="majorHAnsi" w:hAnsiTheme="majorHAnsi"/>
          <w:sz w:val="20"/>
          <w:lang w:val="pt-BR"/>
        </w:rPr>
        <w:t>”</w:t>
      </w:r>
      <w:r w:rsidR="006C5454" w:rsidRPr="005D6E61">
        <w:rPr>
          <w:rFonts w:asciiTheme="majorHAnsi" w:hAnsiTheme="majorHAnsi"/>
          <w:sz w:val="20"/>
          <w:lang w:val="pt-BR"/>
        </w:rPr>
        <w:t xml:space="preserve"> e </w:t>
      </w:r>
      <w:r w:rsidR="0007377E" w:rsidRPr="005D6E61">
        <w:rPr>
          <w:rFonts w:asciiTheme="majorHAnsi" w:hAnsiTheme="majorHAnsi"/>
          <w:sz w:val="20"/>
          <w:lang w:val="pt-BR"/>
        </w:rPr>
        <w:t xml:space="preserve">que </w:t>
      </w:r>
      <w:r w:rsidRPr="005D6E61">
        <w:rPr>
          <w:rFonts w:asciiTheme="majorHAnsi" w:hAnsiTheme="majorHAnsi"/>
          <w:sz w:val="20"/>
          <w:lang w:val="pt-BR"/>
        </w:rPr>
        <w:t>estava</w:t>
      </w:r>
      <w:r w:rsidR="0007377E" w:rsidRPr="005D6E61">
        <w:rPr>
          <w:rFonts w:asciiTheme="majorHAnsi" w:hAnsiTheme="majorHAnsi"/>
          <w:sz w:val="20"/>
          <w:lang w:val="pt-BR"/>
        </w:rPr>
        <w:t xml:space="preserve"> relacionado</w:t>
      </w:r>
      <w:r w:rsidR="00F77B7F" w:rsidRPr="005D6E61">
        <w:rPr>
          <w:rFonts w:asciiTheme="majorHAnsi" w:hAnsiTheme="majorHAnsi"/>
          <w:sz w:val="20"/>
          <w:lang w:val="pt-BR"/>
        </w:rPr>
        <w:t xml:space="preserve"> com</w:t>
      </w:r>
      <w:r w:rsidR="00331E62" w:rsidRPr="005D6E61">
        <w:rPr>
          <w:rFonts w:asciiTheme="majorHAnsi" w:hAnsiTheme="majorHAnsi"/>
          <w:sz w:val="20"/>
          <w:lang w:val="pt-BR"/>
        </w:rPr>
        <w:t xml:space="preserve"> a </w:t>
      </w:r>
      <w:r w:rsidR="0007377E" w:rsidRPr="005D6E61">
        <w:rPr>
          <w:rFonts w:asciiTheme="majorHAnsi" w:hAnsiTheme="majorHAnsi"/>
          <w:sz w:val="20"/>
          <w:lang w:val="pt-BR"/>
        </w:rPr>
        <w:t>lu</w:t>
      </w:r>
      <w:r w:rsidRPr="005D6E61">
        <w:rPr>
          <w:rFonts w:asciiTheme="majorHAnsi" w:hAnsiTheme="majorHAnsi"/>
          <w:sz w:val="20"/>
          <w:lang w:val="pt-BR"/>
        </w:rPr>
        <w:t>t</w:t>
      </w:r>
      <w:r w:rsidR="0007377E" w:rsidRPr="005D6E61">
        <w:rPr>
          <w:rFonts w:asciiTheme="majorHAnsi" w:hAnsiTheme="majorHAnsi"/>
          <w:sz w:val="20"/>
          <w:lang w:val="pt-BR"/>
        </w:rPr>
        <w:t>a</w:t>
      </w:r>
      <w:r w:rsidR="003B62AF" w:rsidRPr="005D6E61">
        <w:rPr>
          <w:rFonts w:asciiTheme="majorHAnsi" w:hAnsiTheme="majorHAnsi"/>
          <w:sz w:val="20"/>
          <w:lang w:val="pt-BR"/>
        </w:rPr>
        <w:t xml:space="preserve"> pela </w:t>
      </w:r>
      <w:r w:rsidR="00615588" w:rsidRPr="005D6E61">
        <w:rPr>
          <w:rFonts w:asciiTheme="majorHAnsi" w:hAnsiTheme="majorHAnsi"/>
          <w:sz w:val="20"/>
          <w:lang w:val="pt-BR"/>
        </w:rPr>
        <w:t>t</w:t>
      </w:r>
      <w:r w:rsidR="0007377E" w:rsidRPr="005D6E61">
        <w:rPr>
          <w:rFonts w:asciiTheme="majorHAnsi" w:hAnsiTheme="majorHAnsi"/>
          <w:sz w:val="20"/>
          <w:lang w:val="pt-BR"/>
        </w:rPr>
        <w:t>erra</w:t>
      </w:r>
      <w:r w:rsidR="006C5454" w:rsidRPr="005D6E61">
        <w:rPr>
          <w:rFonts w:asciiTheme="majorHAnsi" w:hAnsiTheme="majorHAnsi"/>
          <w:sz w:val="20"/>
          <w:lang w:val="pt-BR"/>
        </w:rPr>
        <w:t xml:space="preserve"> e</w:t>
      </w:r>
      <w:r w:rsidR="00331E62" w:rsidRPr="005D6E61">
        <w:rPr>
          <w:rFonts w:asciiTheme="majorHAnsi" w:hAnsiTheme="majorHAnsi"/>
          <w:sz w:val="20"/>
          <w:lang w:val="pt-BR"/>
        </w:rPr>
        <w:t xml:space="preserve"> o </w:t>
      </w:r>
      <w:r w:rsidR="0007377E" w:rsidRPr="005D6E61">
        <w:rPr>
          <w:rFonts w:asciiTheme="majorHAnsi" w:hAnsiTheme="majorHAnsi"/>
          <w:sz w:val="20"/>
          <w:lang w:val="pt-BR"/>
        </w:rPr>
        <w:t>“coronelismo” vigente</w:t>
      </w:r>
      <w:r w:rsidR="005A2381" w:rsidRPr="005D6E61">
        <w:rPr>
          <w:rFonts w:asciiTheme="majorHAnsi" w:hAnsiTheme="majorHAnsi"/>
          <w:sz w:val="20"/>
          <w:lang w:val="pt-BR"/>
        </w:rPr>
        <w:t xml:space="preserve"> na </w:t>
      </w:r>
      <w:r w:rsidR="0007377E" w:rsidRPr="005D6E61">
        <w:rPr>
          <w:rFonts w:asciiTheme="majorHAnsi" w:hAnsiTheme="majorHAnsi"/>
          <w:sz w:val="20"/>
          <w:lang w:val="pt-BR"/>
        </w:rPr>
        <w:t>regi</w:t>
      </w:r>
      <w:r w:rsidRPr="005D6E61">
        <w:rPr>
          <w:rFonts w:asciiTheme="majorHAnsi" w:hAnsiTheme="majorHAnsi"/>
          <w:sz w:val="20"/>
          <w:lang w:val="pt-BR"/>
        </w:rPr>
        <w:t>ão</w:t>
      </w:r>
      <w:r w:rsidR="00331E62" w:rsidRPr="005D6E61">
        <w:rPr>
          <w:rFonts w:asciiTheme="majorHAnsi" w:hAnsiTheme="majorHAnsi"/>
          <w:sz w:val="20"/>
          <w:lang w:val="pt-BR"/>
        </w:rPr>
        <w:t xml:space="preserve"> no </w:t>
      </w:r>
      <w:r w:rsidR="0007377E" w:rsidRPr="005D6E61">
        <w:rPr>
          <w:rFonts w:asciiTheme="majorHAnsi" w:hAnsiTheme="majorHAnsi"/>
          <w:sz w:val="20"/>
          <w:lang w:val="pt-BR"/>
        </w:rPr>
        <w:t>momento</w:t>
      </w:r>
      <w:r w:rsidR="00331E62" w:rsidRPr="005D6E61">
        <w:rPr>
          <w:rFonts w:asciiTheme="majorHAnsi" w:hAnsiTheme="majorHAnsi"/>
          <w:sz w:val="20"/>
          <w:lang w:val="pt-BR"/>
        </w:rPr>
        <w:t xml:space="preserve"> dos </w:t>
      </w:r>
      <w:r w:rsidRPr="005D6E61">
        <w:rPr>
          <w:rFonts w:asciiTheme="majorHAnsi" w:hAnsiTheme="majorHAnsi"/>
          <w:sz w:val="20"/>
          <w:lang w:val="pt-BR"/>
        </w:rPr>
        <w:t>fat</w:t>
      </w:r>
      <w:r w:rsidR="0007377E" w:rsidRPr="005D6E61">
        <w:rPr>
          <w:rFonts w:asciiTheme="majorHAnsi" w:hAnsiTheme="majorHAnsi"/>
          <w:sz w:val="20"/>
          <w:lang w:val="pt-BR"/>
        </w:rPr>
        <w:t xml:space="preserve">os. </w:t>
      </w:r>
      <w:r w:rsidR="000D3681" w:rsidRPr="005D6E61">
        <w:rPr>
          <w:rFonts w:asciiTheme="majorHAnsi" w:hAnsiTheme="majorHAnsi"/>
          <w:sz w:val="20"/>
          <w:lang w:val="pt-BR"/>
        </w:rPr>
        <w:t xml:space="preserve"> </w:t>
      </w:r>
      <w:r w:rsidR="009C205A" w:rsidRPr="005D6E61">
        <w:rPr>
          <w:rFonts w:asciiTheme="majorHAnsi" w:hAnsiTheme="majorHAnsi"/>
          <w:sz w:val="20"/>
          <w:lang w:val="pt-BR"/>
        </w:rPr>
        <w:t>Também</w:t>
      </w:r>
      <w:r w:rsidR="000D3681" w:rsidRPr="005D6E61">
        <w:rPr>
          <w:rFonts w:asciiTheme="majorHAnsi" w:hAnsiTheme="majorHAnsi"/>
          <w:sz w:val="20"/>
          <w:lang w:val="pt-BR"/>
        </w:rPr>
        <w:t xml:space="preserve"> </w:t>
      </w:r>
      <w:r w:rsidR="00615588" w:rsidRPr="005D6E61">
        <w:rPr>
          <w:rFonts w:asciiTheme="majorHAnsi" w:hAnsiTheme="majorHAnsi"/>
          <w:sz w:val="20"/>
          <w:lang w:val="pt-BR"/>
        </w:rPr>
        <w:t>afirmou</w:t>
      </w:r>
      <w:r w:rsidRPr="005D6E61">
        <w:rPr>
          <w:rFonts w:asciiTheme="majorHAnsi" w:hAnsiTheme="majorHAnsi"/>
          <w:sz w:val="20"/>
          <w:lang w:val="pt-BR"/>
        </w:rPr>
        <w:t xml:space="preserve"> </w:t>
      </w:r>
      <w:r w:rsidR="000D3681" w:rsidRPr="005D6E61">
        <w:rPr>
          <w:rFonts w:asciiTheme="majorHAnsi" w:hAnsiTheme="majorHAnsi"/>
          <w:sz w:val="20"/>
          <w:lang w:val="pt-BR"/>
        </w:rPr>
        <w:t xml:space="preserve">que </w:t>
      </w:r>
      <w:r w:rsidRPr="005D6E61">
        <w:rPr>
          <w:rFonts w:asciiTheme="majorHAnsi" w:hAnsiTheme="majorHAnsi"/>
          <w:sz w:val="20"/>
          <w:lang w:val="pt-BR"/>
        </w:rPr>
        <w:t>esse</w:t>
      </w:r>
      <w:r w:rsidR="000D3681" w:rsidRPr="005D6E61">
        <w:rPr>
          <w:rFonts w:asciiTheme="majorHAnsi" w:hAnsiTheme="majorHAnsi"/>
          <w:sz w:val="20"/>
          <w:lang w:val="pt-BR"/>
        </w:rPr>
        <w:t xml:space="preserve"> órg</w:t>
      </w:r>
      <w:r w:rsidRPr="005D6E61">
        <w:rPr>
          <w:rFonts w:asciiTheme="majorHAnsi" w:hAnsiTheme="majorHAnsi"/>
          <w:sz w:val="20"/>
          <w:lang w:val="pt-BR"/>
        </w:rPr>
        <w:t>ão indicou que “</w:t>
      </w:r>
      <w:r w:rsidR="000D3681" w:rsidRPr="005D6E61">
        <w:rPr>
          <w:rFonts w:asciiTheme="majorHAnsi" w:hAnsiTheme="majorHAnsi"/>
          <w:sz w:val="20"/>
          <w:lang w:val="pt-BR"/>
        </w:rPr>
        <w:t>as f</w:t>
      </w:r>
      <w:r w:rsidR="00226627" w:rsidRPr="005D6E61">
        <w:rPr>
          <w:rFonts w:asciiTheme="majorHAnsi" w:hAnsiTheme="majorHAnsi"/>
          <w:sz w:val="20"/>
          <w:lang w:val="pt-BR"/>
        </w:rPr>
        <w:t>orç</w:t>
      </w:r>
      <w:r w:rsidR="000D3681" w:rsidRPr="005D6E61">
        <w:rPr>
          <w:rFonts w:asciiTheme="majorHAnsi" w:hAnsiTheme="majorHAnsi"/>
          <w:sz w:val="20"/>
          <w:lang w:val="pt-BR"/>
        </w:rPr>
        <w:t>as d</w:t>
      </w:r>
      <w:r w:rsidR="00226627" w:rsidRPr="005D6E61">
        <w:rPr>
          <w:rFonts w:asciiTheme="majorHAnsi" w:hAnsiTheme="majorHAnsi"/>
          <w:sz w:val="20"/>
          <w:lang w:val="pt-BR"/>
        </w:rPr>
        <w:t>o</w:t>
      </w:r>
      <w:r w:rsidR="000D3681" w:rsidRPr="005D6E61">
        <w:rPr>
          <w:rFonts w:asciiTheme="majorHAnsi" w:hAnsiTheme="majorHAnsi"/>
          <w:sz w:val="20"/>
          <w:lang w:val="pt-BR"/>
        </w:rPr>
        <w:t xml:space="preserve"> atraso que </w:t>
      </w:r>
      <w:r w:rsidR="009C205A" w:rsidRPr="005D6E61">
        <w:rPr>
          <w:rFonts w:asciiTheme="majorHAnsi" w:hAnsiTheme="majorHAnsi"/>
          <w:sz w:val="20"/>
          <w:lang w:val="pt-BR"/>
        </w:rPr>
        <w:t>caracterizam</w:t>
      </w:r>
      <w:r w:rsidR="009975A6" w:rsidRPr="005D6E61">
        <w:rPr>
          <w:rFonts w:asciiTheme="majorHAnsi" w:hAnsiTheme="majorHAnsi"/>
          <w:sz w:val="20"/>
          <w:lang w:val="pt-BR"/>
        </w:rPr>
        <w:t xml:space="preserve"> </w:t>
      </w:r>
      <w:r w:rsidR="009C205A" w:rsidRPr="005D6E61">
        <w:rPr>
          <w:rFonts w:asciiTheme="majorHAnsi" w:hAnsiTheme="majorHAnsi"/>
          <w:sz w:val="20"/>
          <w:lang w:val="pt-BR"/>
        </w:rPr>
        <w:t>esse</w:t>
      </w:r>
      <w:r w:rsidR="000D3681" w:rsidRPr="005D6E61">
        <w:rPr>
          <w:rFonts w:asciiTheme="majorHAnsi" w:hAnsiTheme="majorHAnsi"/>
          <w:sz w:val="20"/>
          <w:lang w:val="pt-BR"/>
        </w:rPr>
        <w:t xml:space="preserve"> coronelismo rural </w:t>
      </w:r>
      <w:r w:rsidR="009C205A" w:rsidRPr="005D6E61">
        <w:rPr>
          <w:rFonts w:asciiTheme="majorHAnsi" w:hAnsiTheme="majorHAnsi"/>
          <w:sz w:val="20"/>
          <w:lang w:val="pt-BR"/>
        </w:rPr>
        <w:t>certamente</w:t>
      </w:r>
      <w:r w:rsidR="000D3681" w:rsidRPr="005D6E61">
        <w:rPr>
          <w:rFonts w:asciiTheme="majorHAnsi" w:hAnsiTheme="majorHAnsi"/>
          <w:sz w:val="20"/>
          <w:lang w:val="pt-BR"/>
        </w:rPr>
        <w:t xml:space="preserve"> influ</w:t>
      </w:r>
      <w:r w:rsidR="00615588" w:rsidRPr="005D6E61">
        <w:rPr>
          <w:rFonts w:asciiTheme="majorHAnsi" w:hAnsiTheme="majorHAnsi"/>
          <w:sz w:val="20"/>
          <w:lang w:val="pt-BR"/>
        </w:rPr>
        <w:t>íram</w:t>
      </w:r>
      <w:r w:rsidR="005A2381" w:rsidRPr="005D6E61">
        <w:rPr>
          <w:rFonts w:asciiTheme="majorHAnsi" w:hAnsiTheme="majorHAnsi"/>
          <w:sz w:val="20"/>
          <w:lang w:val="pt-BR"/>
        </w:rPr>
        <w:t xml:space="preserve"> na </w:t>
      </w:r>
      <w:r w:rsidR="000D3681" w:rsidRPr="005D6E61">
        <w:rPr>
          <w:rFonts w:asciiTheme="majorHAnsi" w:hAnsiTheme="majorHAnsi"/>
          <w:sz w:val="20"/>
          <w:lang w:val="pt-BR"/>
        </w:rPr>
        <w:t>constata</w:t>
      </w:r>
      <w:r w:rsidR="00A274D9" w:rsidRPr="005D6E61">
        <w:rPr>
          <w:rFonts w:asciiTheme="majorHAnsi" w:hAnsiTheme="majorHAnsi"/>
          <w:sz w:val="20"/>
          <w:lang w:val="pt-BR"/>
        </w:rPr>
        <w:t>ção</w:t>
      </w:r>
      <w:r w:rsidR="00F77B7F" w:rsidRPr="005D6E61">
        <w:rPr>
          <w:rFonts w:asciiTheme="majorHAnsi" w:hAnsiTheme="majorHAnsi"/>
          <w:sz w:val="20"/>
          <w:lang w:val="pt-BR"/>
        </w:rPr>
        <w:t xml:space="preserve"> do </w:t>
      </w:r>
      <w:r w:rsidRPr="005D6E61">
        <w:rPr>
          <w:rFonts w:asciiTheme="majorHAnsi" w:hAnsiTheme="majorHAnsi"/>
          <w:sz w:val="20"/>
          <w:lang w:val="pt-BR"/>
        </w:rPr>
        <w:t>fat</w:t>
      </w:r>
      <w:r w:rsidR="000D3681" w:rsidRPr="005D6E61">
        <w:rPr>
          <w:rFonts w:asciiTheme="majorHAnsi" w:hAnsiTheme="majorHAnsi"/>
          <w:sz w:val="20"/>
          <w:lang w:val="pt-BR"/>
        </w:rPr>
        <w:t>o</w:t>
      </w:r>
      <w:r w:rsidR="004642E3" w:rsidRPr="005D6E61">
        <w:rPr>
          <w:rFonts w:asciiTheme="majorHAnsi" w:hAnsiTheme="majorHAnsi"/>
          <w:sz w:val="20"/>
          <w:lang w:val="pt-BR"/>
        </w:rPr>
        <w:t xml:space="preserve"> e</w:t>
      </w:r>
      <w:r w:rsidR="005A2381" w:rsidRPr="005D6E61">
        <w:rPr>
          <w:rFonts w:asciiTheme="majorHAnsi" w:hAnsiTheme="majorHAnsi"/>
          <w:sz w:val="20"/>
          <w:lang w:val="pt-BR"/>
        </w:rPr>
        <w:t xml:space="preserve"> na </w:t>
      </w:r>
      <w:r w:rsidR="000D3681" w:rsidRPr="005D6E61">
        <w:rPr>
          <w:rFonts w:asciiTheme="majorHAnsi" w:hAnsiTheme="majorHAnsi"/>
          <w:sz w:val="20"/>
          <w:lang w:val="pt-BR"/>
        </w:rPr>
        <w:t>demora</w:t>
      </w:r>
      <w:r w:rsidR="00F77B7F" w:rsidRPr="005D6E61">
        <w:rPr>
          <w:rFonts w:asciiTheme="majorHAnsi" w:hAnsiTheme="majorHAnsi"/>
          <w:sz w:val="20"/>
          <w:lang w:val="pt-BR"/>
        </w:rPr>
        <w:t xml:space="preserve"> do </w:t>
      </w:r>
      <w:r w:rsidR="009C205A" w:rsidRPr="005D6E61">
        <w:rPr>
          <w:rFonts w:asciiTheme="majorHAnsi" w:hAnsiTheme="majorHAnsi"/>
          <w:sz w:val="20"/>
          <w:lang w:val="pt-BR"/>
        </w:rPr>
        <w:t>processo</w:t>
      </w:r>
      <w:r w:rsidR="000D3681" w:rsidRPr="005D6E61">
        <w:rPr>
          <w:rFonts w:asciiTheme="majorHAnsi" w:hAnsiTheme="majorHAnsi"/>
          <w:sz w:val="20"/>
          <w:lang w:val="pt-BR"/>
        </w:rPr>
        <w:t xml:space="preserve"> penal</w:t>
      </w:r>
      <w:r w:rsidR="006C5454" w:rsidRPr="005D6E61">
        <w:rPr>
          <w:rFonts w:asciiTheme="majorHAnsi" w:hAnsiTheme="majorHAnsi"/>
          <w:sz w:val="20"/>
          <w:lang w:val="pt-BR"/>
        </w:rPr>
        <w:t xml:space="preserve"> e</w:t>
      </w:r>
      <w:r w:rsidR="00331E62" w:rsidRPr="005D6E61">
        <w:rPr>
          <w:rFonts w:asciiTheme="majorHAnsi" w:hAnsiTheme="majorHAnsi"/>
          <w:sz w:val="20"/>
          <w:lang w:val="pt-BR"/>
        </w:rPr>
        <w:t xml:space="preserve"> dos </w:t>
      </w:r>
      <w:r w:rsidR="000D3681" w:rsidRPr="005D6E61">
        <w:rPr>
          <w:rFonts w:asciiTheme="majorHAnsi" w:hAnsiTheme="majorHAnsi"/>
          <w:sz w:val="20"/>
          <w:lang w:val="pt-BR"/>
        </w:rPr>
        <w:t>ju</w:t>
      </w:r>
      <w:r w:rsidRPr="005D6E61">
        <w:rPr>
          <w:rFonts w:asciiTheme="majorHAnsi" w:hAnsiTheme="majorHAnsi"/>
          <w:sz w:val="20"/>
          <w:lang w:val="pt-BR"/>
        </w:rPr>
        <w:t>lgament</w:t>
      </w:r>
      <w:r w:rsidR="000D3681" w:rsidRPr="005D6E61">
        <w:rPr>
          <w:rFonts w:asciiTheme="majorHAnsi" w:hAnsiTheme="majorHAnsi"/>
          <w:sz w:val="20"/>
          <w:lang w:val="pt-BR"/>
        </w:rPr>
        <w:t xml:space="preserve">os”. </w:t>
      </w:r>
    </w:p>
    <w:p w14:paraId="6C063363" w14:textId="77777777" w:rsidR="0090449D" w:rsidRPr="005D6E61" w:rsidRDefault="0090449D" w:rsidP="0090449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lang w:val="pt-BR"/>
        </w:rPr>
      </w:pPr>
    </w:p>
    <w:p w14:paraId="44EE5706" w14:textId="77777777" w:rsidR="0090449D" w:rsidRPr="005D6E61" w:rsidRDefault="0090449D" w:rsidP="0090449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A</w:t>
      </w:r>
      <w:r w:rsidR="00BF0B90" w:rsidRPr="005D6E61">
        <w:rPr>
          <w:rFonts w:ascii="Cambria" w:hAnsi="Cambria"/>
          <w:sz w:val="20"/>
          <w:szCs w:val="20"/>
          <w:lang w:val="pt-BR"/>
        </w:rPr>
        <w:t>crescentou</w:t>
      </w:r>
      <w:r w:rsidRPr="005D6E61">
        <w:rPr>
          <w:rFonts w:ascii="Cambria" w:hAnsi="Cambria"/>
          <w:sz w:val="20"/>
          <w:szCs w:val="20"/>
          <w:lang w:val="pt-BR"/>
        </w:rPr>
        <w:t xml:space="preserve"> que</w:t>
      </w:r>
      <w:r w:rsidR="00331E62" w:rsidRPr="005D6E61">
        <w:rPr>
          <w:rFonts w:ascii="Cambria" w:hAnsi="Cambria"/>
          <w:sz w:val="20"/>
          <w:szCs w:val="20"/>
          <w:lang w:val="pt-BR"/>
        </w:rPr>
        <w:t xml:space="preserve"> </w:t>
      </w:r>
      <w:r w:rsidR="00615588" w:rsidRPr="005D6E61">
        <w:rPr>
          <w:rFonts w:ascii="Cambria" w:hAnsi="Cambria"/>
          <w:sz w:val="20"/>
          <w:szCs w:val="20"/>
          <w:lang w:val="pt-BR"/>
        </w:rPr>
        <w:t xml:space="preserve">esse </w:t>
      </w:r>
      <w:r w:rsidRPr="005D6E61">
        <w:rPr>
          <w:rFonts w:ascii="Cambria" w:hAnsi="Cambria"/>
          <w:sz w:val="20"/>
          <w:szCs w:val="20"/>
          <w:lang w:val="pt-BR"/>
        </w:rPr>
        <w:t>órg</w:t>
      </w:r>
      <w:r w:rsidR="00BF0B90" w:rsidRPr="005D6E61">
        <w:rPr>
          <w:rFonts w:ascii="Cambria" w:hAnsi="Cambria"/>
          <w:sz w:val="20"/>
          <w:szCs w:val="20"/>
          <w:lang w:val="pt-BR"/>
        </w:rPr>
        <w:t>ã</w:t>
      </w:r>
      <w:r w:rsidRPr="005D6E61">
        <w:rPr>
          <w:rFonts w:ascii="Cambria" w:hAnsi="Cambria"/>
          <w:sz w:val="20"/>
          <w:szCs w:val="20"/>
          <w:lang w:val="pt-BR"/>
        </w:rPr>
        <w:t>o recon</w:t>
      </w:r>
      <w:r w:rsidR="00BF0B90" w:rsidRPr="005D6E61">
        <w:rPr>
          <w:rFonts w:ascii="Cambria" w:hAnsi="Cambria"/>
          <w:sz w:val="20"/>
          <w:szCs w:val="20"/>
          <w:lang w:val="pt-BR"/>
        </w:rPr>
        <w:t>heceu</w:t>
      </w:r>
      <w:r w:rsidRPr="005D6E61">
        <w:rPr>
          <w:rFonts w:ascii="Cambria" w:hAnsi="Cambria"/>
          <w:sz w:val="20"/>
          <w:szCs w:val="20"/>
          <w:lang w:val="pt-BR"/>
        </w:rPr>
        <w:t xml:space="preserve"> defici</w:t>
      </w:r>
      <w:r w:rsidR="00E37676" w:rsidRPr="005D6E61">
        <w:rPr>
          <w:rFonts w:ascii="Cambria" w:hAnsi="Cambria"/>
          <w:sz w:val="20"/>
          <w:szCs w:val="20"/>
          <w:lang w:val="pt-BR"/>
        </w:rPr>
        <w:t>ência</w:t>
      </w:r>
      <w:r w:rsidRPr="005D6E61">
        <w:rPr>
          <w:rFonts w:ascii="Cambria" w:hAnsi="Cambria"/>
          <w:sz w:val="20"/>
          <w:szCs w:val="20"/>
          <w:lang w:val="pt-BR"/>
        </w:rPr>
        <w:t>s</w:t>
      </w:r>
      <w:r w:rsidR="005A2381" w:rsidRPr="005D6E61">
        <w:rPr>
          <w:rFonts w:ascii="Cambria" w:hAnsi="Cambria"/>
          <w:sz w:val="20"/>
          <w:szCs w:val="20"/>
          <w:lang w:val="pt-BR"/>
        </w:rPr>
        <w:t xml:space="preserve"> na </w:t>
      </w:r>
      <w:r w:rsidRPr="005D6E61">
        <w:rPr>
          <w:rFonts w:ascii="Cambria" w:hAnsi="Cambria"/>
          <w:sz w:val="20"/>
          <w:szCs w:val="20"/>
          <w:lang w:val="pt-BR"/>
        </w:rPr>
        <w:t>investiga</w:t>
      </w:r>
      <w:r w:rsidR="00A274D9" w:rsidRPr="005D6E61">
        <w:rPr>
          <w:rFonts w:ascii="Cambria" w:hAnsi="Cambria"/>
          <w:sz w:val="20"/>
          <w:szCs w:val="20"/>
          <w:lang w:val="pt-BR"/>
        </w:rPr>
        <w:t>ção</w:t>
      </w:r>
      <w:r w:rsidRPr="005D6E61">
        <w:rPr>
          <w:rFonts w:ascii="Cambria" w:hAnsi="Cambria"/>
          <w:sz w:val="20"/>
          <w:szCs w:val="20"/>
          <w:lang w:val="pt-BR"/>
        </w:rPr>
        <w:t xml:space="preserve"> realizada</w:t>
      </w:r>
      <w:r w:rsidR="00F77B7F" w:rsidRPr="005D6E61">
        <w:rPr>
          <w:rFonts w:ascii="Cambria" w:hAnsi="Cambria"/>
          <w:sz w:val="20"/>
          <w:szCs w:val="20"/>
          <w:lang w:val="pt-BR"/>
        </w:rPr>
        <w:t xml:space="preserve"> </w:t>
      </w:r>
      <w:r w:rsidRPr="005D6E61">
        <w:rPr>
          <w:rFonts w:ascii="Cambria" w:hAnsi="Cambria"/>
          <w:sz w:val="20"/>
          <w:szCs w:val="20"/>
          <w:lang w:val="pt-BR"/>
        </w:rPr>
        <w:t>contra Aguinaldo Veloso Borges</w:t>
      </w:r>
      <w:r w:rsidR="004642E3" w:rsidRPr="005D6E61">
        <w:rPr>
          <w:rFonts w:ascii="Cambria" w:hAnsi="Cambria"/>
          <w:sz w:val="20"/>
          <w:szCs w:val="20"/>
          <w:lang w:val="pt-BR"/>
        </w:rPr>
        <w:t>,</w:t>
      </w:r>
      <w:r w:rsidRPr="005D6E61">
        <w:rPr>
          <w:rFonts w:ascii="Cambria" w:hAnsi="Cambria"/>
          <w:sz w:val="20"/>
          <w:szCs w:val="20"/>
          <w:lang w:val="pt-BR"/>
        </w:rPr>
        <w:t xml:space="preserve"> </w:t>
      </w:r>
      <w:r w:rsidR="00615588" w:rsidRPr="005D6E61">
        <w:rPr>
          <w:rFonts w:ascii="Cambria" w:hAnsi="Cambria"/>
          <w:sz w:val="20"/>
          <w:szCs w:val="20"/>
          <w:lang w:val="pt-BR"/>
        </w:rPr>
        <w:t>mencionando</w:t>
      </w:r>
      <w:r w:rsidR="00331E62" w:rsidRPr="005D6E61">
        <w:rPr>
          <w:rFonts w:ascii="Cambria" w:hAnsi="Cambria"/>
          <w:sz w:val="20"/>
          <w:szCs w:val="20"/>
          <w:lang w:val="pt-BR"/>
        </w:rPr>
        <w:t xml:space="preserve"> a </w:t>
      </w:r>
      <w:r w:rsidRPr="005D6E61">
        <w:rPr>
          <w:rFonts w:ascii="Cambria" w:hAnsi="Cambria"/>
          <w:sz w:val="20"/>
          <w:szCs w:val="20"/>
          <w:lang w:val="pt-BR"/>
        </w:rPr>
        <w:t>“fragili</w:t>
      </w:r>
      <w:r w:rsidR="00FB55C7" w:rsidRPr="005D6E61">
        <w:rPr>
          <w:rFonts w:ascii="Cambria" w:hAnsi="Cambria"/>
          <w:sz w:val="20"/>
          <w:szCs w:val="20"/>
          <w:lang w:val="pt-BR"/>
        </w:rPr>
        <w:t xml:space="preserve">dade </w:t>
      </w:r>
      <w:r w:rsidR="00675058" w:rsidRPr="005D6E61">
        <w:rPr>
          <w:rFonts w:ascii="Cambria" w:hAnsi="Cambria"/>
          <w:sz w:val="20"/>
          <w:szCs w:val="20"/>
          <w:lang w:val="pt-BR"/>
        </w:rPr>
        <w:t>da</w:t>
      </w:r>
      <w:r w:rsidR="004642E3" w:rsidRPr="005D6E61">
        <w:rPr>
          <w:rFonts w:ascii="Cambria" w:hAnsi="Cambria"/>
          <w:sz w:val="20"/>
          <w:szCs w:val="20"/>
          <w:lang w:val="pt-BR"/>
        </w:rPr>
        <w:t>s</w:t>
      </w:r>
      <w:r w:rsidR="00675058" w:rsidRPr="005D6E61">
        <w:rPr>
          <w:rFonts w:ascii="Cambria" w:hAnsi="Cambria"/>
          <w:sz w:val="20"/>
          <w:szCs w:val="20"/>
          <w:lang w:val="pt-BR"/>
        </w:rPr>
        <w:t xml:space="preserve"> </w:t>
      </w:r>
      <w:r w:rsidRPr="005D6E61">
        <w:rPr>
          <w:rFonts w:ascii="Cambria" w:hAnsi="Cambria"/>
          <w:sz w:val="20"/>
          <w:szCs w:val="20"/>
          <w:lang w:val="pt-BR"/>
        </w:rPr>
        <w:t>pr</w:t>
      </w:r>
      <w:r w:rsidR="00BF0B90" w:rsidRPr="005D6E61">
        <w:rPr>
          <w:rFonts w:ascii="Cambria" w:hAnsi="Cambria"/>
          <w:sz w:val="20"/>
          <w:szCs w:val="20"/>
          <w:lang w:val="pt-BR"/>
        </w:rPr>
        <w:t>ov</w:t>
      </w:r>
      <w:r w:rsidRPr="005D6E61">
        <w:rPr>
          <w:rFonts w:ascii="Cambria" w:hAnsi="Cambria"/>
          <w:sz w:val="20"/>
          <w:szCs w:val="20"/>
          <w:lang w:val="pt-BR"/>
        </w:rPr>
        <w:t>a</w:t>
      </w:r>
      <w:r w:rsidR="004642E3" w:rsidRPr="005D6E61">
        <w:rPr>
          <w:rFonts w:ascii="Cambria" w:hAnsi="Cambria"/>
          <w:sz w:val="20"/>
          <w:szCs w:val="20"/>
          <w:lang w:val="pt-BR"/>
        </w:rPr>
        <w:t>s</w:t>
      </w:r>
      <w:r w:rsidRPr="005D6E61">
        <w:rPr>
          <w:rFonts w:ascii="Cambria" w:hAnsi="Cambria"/>
          <w:sz w:val="20"/>
          <w:szCs w:val="20"/>
          <w:lang w:val="pt-BR"/>
        </w:rPr>
        <w:t xml:space="preserve"> formada</w:t>
      </w:r>
      <w:r w:rsidR="004642E3" w:rsidRPr="005D6E61">
        <w:rPr>
          <w:rFonts w:ascii="Cambria" w:hAnsi="Cambria"/>
          <w:sz w:val="20"/>
          <w:szCs w:val="20"/>
          <w:lang w:val="pt-BR"/>
        </w:rPr>
        <w:t>s</w:t>
      </w:r>
      <w:r w:rsidR="00331E62" w:rsidRPr="005D6E61">
        <w:rPr>
          <w:rFonts w:ascii="Cambria" w:hAnsi="Cambria"/>
          <w:sz w:val="20"/>
          <w:szCs w:val="20"/>
          <w:lang w:val="pt-BR"/>
        </w:rPr>
        <w:t xml:space="preserve"> no </w:t>
      </w:r>
      <w:r w:rsidR="009C205A" w:rsidRPr="005D6E61">
        <w:rPr>
          <w:rFonts w:ascii="Cambria" w:hAnsi="Cambria"/>
          <w:sz w:val="20"/>
          <w:szCs w:val="20"/>
          <w:lang w:val="pt-BR"/>
        </w:rPr>
        <w:t>processo</w:t>
      </w:r>
      <w:r w:rsidRPr="005D6E61">
        <w:rPr>
          <w:rFonts w:ascii="Cambria" w:hAnsi="Cambria"/>
          <w:sz w:val="20"/>
          <w:szCs w:val="20"/>
          <w:lang w:val="pt-BR"/>
        </w:rPr>
        <w:t xml:space="preserve"> </w:t>
      </w:r>
      <w:r w:rsidR="00D0132F" w:rsidRPr="005D6E61">
        <w:rPr>
          <w:rFonts w:ascii="Cambria" w:hAnsi="Cambria"/>
          <w:sz w:val="20"/>
          <w:szCs w:val="20"/>
          <w:lang w:val="pt-BR"/>
        </w:rPr>
        <w:t>penal</w:t>
      </w:r>
      <w:r w:rsidRPr="005D6E61">
        <w:rPr>
          <w:rFonts w:ascii="Cambria" w:hAnsi="Cambria"/>
          <w:sz w:val="20"/>
          <w:szCs w:val="20"/>
          <w:lang w:val="pt-BR"/>
        </w:rPr>
        <w:t xml:space="preserve">, </w:t>
      </w:r>
      <w:r w:rsidR="009C205A" w:rsidRPr="005D6E61">
        <w:rPr>
          <w:rFonts w:ascii="Cambria" w:hAnsi="Cambria"/>
          <w:sz w:val="20"/>
          <w:szCs w:val="20"/>
          <w:lang w:val="pt-BR"/>
        </w:rPr>
        <w:t>possivelmente</w:t>
      </w:r>
      <w:r w:rsidRPr="005D6E61">
        <w:rPr>
          <w:rFonts w:ascii="Cambria" w:hAnsi="Cambria"/>
          <w:sz w:val="20"/>
          <w:szCs w:val="20"/>
          <w:lang w:val="pt-BR"/>
        </w:rPr>
        <w:t xml:space="preserve"> por defici</w:t>
      </w:r>
      <w:r w:rsidR="00E37676" w:rsidRPr="005D6E61">
        <w:rPr>
          <w:rFonts w:ascii="Cambria" w:hAnsi="Cambria"/>
          <w:sz w:val="20"/>
          <w:szCs w:val="20"/>
          <w:lang w:val="pt-BR"/>
        </w:rPr>
        <w:t>ência</w:t>
      </w:r>
      <w:r w:rsidRPr="005D6E61">
        <w:rPr>
          <w:rFonts w:ascii="Cambria" w:hAnsi="Cambria"/>
          <w:sz w:val="20"/>
          <w:szCs w:val="20"/>
          <w:lang w:val="pt-BR"/>
        </w:rPr>
        <w:t>s</w:t>
      </w:r>
      <w:r w:rsidR="006C5454" w:rsidRPr="005D6E61">
        <w:rPr>
          <w:rFonts w:ascii="Cambria" w:hAnsi="Cambria"/>
          <w:sz w:val="20"/>
          <w:szCs w:val="20"/>
          <w:lang w:val="pt-BR"/>
        </w:rPr>
        <w:t xml:space="preserve"> e </w:t>
      </w:r>
      <w:r w:rsidRPr="005D6E61">
        <w:rPr>
          <w:rFonts w:ascii="Cambria" w:hAnsi="Cambria"/>
          <w:sz w:val="20"/>
          <w:szCs w:val="20"/>
          <w:lang w:val="pt-BR"/>
        </w:rPr>
        <w:t>omis</w:t>
      </w:r>
      <w:r w:rsidR="00615588" w:rsidRPr="005D6E61">
        <w:rPr>
          <w:rFonts w:ascii="Cambria" w:hAnsi="Cambria"/>
          <w:sz w:val="20"/>
          <w:szCs w:val="20"/>
          <w:lang w:val="pt-BR"/>
        </w:rPr>
        <w:t>sõ</w:t>
      </w:r>
      <w:r w:rsidRPr="005D6E61">
        <w:rPr>
          <w:rFonts w:ascii="Cambria" w:hAnsi="Cambria"/>
          <w:sz w:val="20"/>
          <w:szCs w:val="20"/>
          <w:lang w:val="pt-BR"/>
        </w:rPr>
        <w:t>es anteriores</w:t>
      </w:r>
      <w:r w:rsidR="005A2381" w:rsidRPr="005D6E61">
        <w:rPr>
          <w:rFonts w:ascii="Cambria" w:hAnsi="Cambria"/>
          <w:sz w:val="20"/>
          <w:szCs w:val="20"/>
          <w:lang w:val="pt-BR"/>
        </w:rPr>
        <w:t xml:space="preserve"> na </w:t>
      </w:r>
      <w:r w:rsidRPr="005D6E61">
        <w:rPr>
          <w:rFonts w:ascii="Cambria" w:hAnsi="Cambria"/>
          <w:sz w:val="20"/>
          <w:szCs w:val="20"/>
          <w:lang w:val="pt-BR"/>
        </w:rPr>
        <w:t>condu</w:t>
      </w:r>
      <w:r w:rsidR="00704E7B" w:rsidRPr="005D6E61">
        <w:rPr>
          <w:rFonts w:ascii="Cambria" w:hAnsi="Cambria"/>
          <w:sz w:val="20"/>
          <w:szCs w:val="20"/>
          <w:lang w:val="pt-BR"/>
        </w:rPr>
        <w:t>ç</w:t>
      </w:r>
      <w:r w:rsidR="00A274D9" w:rsidRPr="005D6E61">
        <w:rPr>
          <w:rFonts w:ascii="Cambria" w:hAnsi="Cambria"/>
          <w:sz w:val="20"/>
          <w:szCs w:val="20"/>
          <w:lang w:val="pt-BR"/>
        </w:rPr>
        <w:t>ão</w:t>
      </w:r>
      <w:r w:rsidR="00675058" w:rsidRPr="005D6E61">
        <w:rPr>
          <w:rFonts w:ascii="Cambria" w:hAnsi="Cambria"/>
          <w:sz w:val="20"/>
          <w:szCs w:val="20"/>
          <w:lang w:val="pt-BR"/>
        </w:rPr>
        <w:t xml:space="preserve"> d</w:t>
      </w:r>
      <w:r w:rsidR="004642E3" w:rsidRPr="005D6E61">
        <w:rPr>
          <w:rFonts w:ascii="Cambria" w:hAnsi="Cambria"/>
          <w:sz w:val="20"/>
          <w:szCs w:val="20"/>
          <w:lang w:val="pt-BR"/>
        </w:rPr>
        <w:t>o</w:t>
      </w:r>
      <w:r w:rsidR="00675058" w:rsidRPr="005D6E61">
        <w:rPr>
          <w:rFonts w:ascii="Cambria" w:hAnsi="Cambria"/>
          <w:sz w:val="20"/>
          <w:szCs w:val="20"/>
          <w:lang w:val="pt-BR"/>
        </w:rPr>
        <w:t xml:space="preserve"> </w:t>
      </w:r>
      <w:r w:rsidRPr="005D6E61">
        <w:rPr>
          <w:rFonts w:ascii="Cambria" w:hAnsi="Cambria"/>
          <w:sz w:val="20"/>
          <w:szCs w:val="20"/>
          <w:lang w:val="pt-BR"/>
        </w:rPr>
        <w:t>in</w:t>
      </w:r>
      <w:r w:rsidR="004642E3" w:rsidRPr="005D6E61">
        <w:rPr>
          <w:rFonts w:ascii="Cambria" w:hAnsi="Cambria"/>
          <w:sz w:val="20"/>
          <w:szCs w:val="20"/>
          <w:lang w:val="pt-BR"/>
        </w:rPr>
        <w:t>quérito</w:t>
      </w:r>
      <w:r w:rsidRPr="005D6E61">
        <w:rPr>
          <w:rFonts w:ascii="Cambria" w:hAnsi="Cambria"/>
          <w:sz w:val="20"/>
          <w:szCs w:val="20"/>
          <w:lang w:val="pt-BR"/>
        </w:rPr>
        <w:t xml:space="preserve"> policial</w:t>
      </w:r>
      <w:r w:rsidR="006C5454" w:rsidRPr="005D6E61">
        <w:rPr>
          <w:rFonts w:ascii="Cambria" w:hAnsi="Cambria"/>
          <w:sz w:val="20"/>
          <w:szCs w:val="20"/>
          <w:lang w:val="pt-BR"/>
        </w:rPr>
        <w:t xml:space="preserve"> e</w:t>
      </w:r>
      <w:r w:rsidR="005A2381" w:rsidRPr="005D6E61">
        <w:rPr>
          <w:rFonts w:ascii="Cambria" w:hAnsi="Cambria"/>
          <w:sz w:val="20"/>
          <w:szCs w:val="20"/>
          <w:lang w:val="pt-BR"/>
        </w:rPr>
        <w:t xml:space="preserve"> na </w:t>
      </w:r>
      <w:r w:rsidRPr="005D6E61">
        <w:rPr>
          <w:rFonts w:ascii="Cambria" w:hAnsi="Cambria"/>
          <w:sz w:val="20"/>
          <w:szCs w:val="20"/>
          <w:lang w:val="pt-BR"/>
        </w:rPr>
        <w:t>instru</w:t>
      </w:r>
      <w:r w:rsidR="00704E7B" w:rsidRPr="005D6E61">
        <w:rPr>
          <w:rFonts w:ascii="Cambria" w:hAnsi="Cambria"/>
          <w:sz w:val="20"/>
          <w:szCs w:val="20"/>
          <w:lang w:val="pt-BR"/>
        </w:rPr>
        <w:t>ç</w:t>
      </w:r>
      <w:r w:rsidR="00A274D9" w:rsidRPr="005D6E61">
        <w:rPr>
          <w:rFonts w:ascii="Cambria" w:hAnsi="Cambria"/>
          <w:sz w:val="20"/>
          <w:szCs w:val="20"/>
          <w:lang w:val="pt-BR"/>
        </w:rPr>
        <w:t>ão</w:t>
      </w:r>
      <w:r w:rsidRPr="005D6E61">
        <w:rPr>
          <w:rFonts w:ascii="Cambria" w:hAnsi="Cambria"/>
          <w:sz w:val="20"/>
          <w:szCs w:val="20"/>
          <w:lang w:val="pt-BR"/>
        </w:rPr>
        <w:t xml:space="preserve"> criminal. As</w:t>
      </w:r>
      <w:r w:rsidR="00BF0B90" w:rsidRPr="005D6E61">
        <w:rPr>
          <w:rFonts w:ascii="Cambria" w:hAnsi="Cambria"/>
          <w:sz w:val="20"/>
          <w:szCs w:val="20"/>
          <w:lang w:val="pt-BR"/>
        </w:rPr>
        <w:t>sim</w:t>
      </w:r>
      <w:r w:rsidRPr="005D6E61">
        <w:rPr>
          <w:rFonts w:ascii="Cambria" w:hAnsi="Cambria"/>
          <w:sz w:val="20"/>
          <w:szCs w:val="20"/>
          <w:lang w:val="pt-BR"/>
        </w:rPr>
        <w:t>,</w:t>
      </w:r>
      <w:r w:rsidR="00F77B7F" w:rsidRPr="005D6E61">
        <w:rPr>
          <w:rFonts w:ascii="Cambria" w:hAnsi="Cambria"/>
          <w:sz w:val="20"/>
          <w:szCs w:val="20"/>
          <w:lang w:val="pt-BR"/>
        </w:rPr>
        <w:t xml:space="preserve"> os </w:t>
      </w:r>
      <w:r w:rsidR="00BF0B90" w:rsidRPr="005D6E61">
        <w:rPr>
          <w:rFonts w:ascii="Cambria" w:hAnsi="Cambria"/>
          <w:sz w:val="20"/>
          <w:szCs w:val="20"/>
          <w:lang w:val="pt-BR"/>
        </w:rPr>
        <w:t>fato</w:t>
      </w:r>
      <w:r w:rsidRPr="005D6E61">
        <w:rPr>
          <w:rFonts w:ascii="Cambria" w:hAnsi="Cambria"/>
          <w:sz w:val="20"/>
          <w:szCs w:val="20"/>
          <w:lang w:val="pt-BR"/>
        </w:rPr>
        <w:t xml:space="preserve">s </w:t>
      </w:r>
      <w:r w:rsidR="009C205A" w:rsidRPr="005D6E61">
        <w:rPr>
          <w:rFonts w:ascii="Cambria" w:hAnsi="Cambria"/>
          <w:sz w:val="20"/>
          <w:szCs w:val="20"/>
          <w:lang w:val="pt-BR"/>
        </w:rPr>
        <w:t>amplamente</w:t>
      </w:r>
      <w:r w:rsidRPr="005D6E61">
        <w:rPr>
          <w:rFonts w:ascii="Cambria" w:hAnsi="Cambria"/>
          <w:sz w:val="20"/>
          <w:szCs w:val="20"/>
          <w:lang w:val="pt-BR"/>
        </w:rPr>
        <w:t xml:space="preserve"> divulgados sobre</w:t>
      </w:r>
      <w:r w:rsidR="00331E62" w:rsidRPr="005D6E61">
        <w:rPr>
          <w:rFonts w:ascii="Cambria" w:hAnsi="Cambria"/>
          <w:sz w:val="20"/>
          <w:szCs w:val="20"/>
          <w:lang w:val="pt-BR"/>
        </w:rPr>
        <w:t xml:space="preserve"> a </w:t>
      </w:r>
      <w:r w:rsidRPr="005D6E61">
        <w:rPr>
          <w:rFonts w:ascii="Cambria" w:hAnsi="Cambria"/>
          <w:sz w:val="20"/>
          <w:szCs w:val="20"/>
          <w:lang w:val="pt-BR"/>
        </w:rPr>
        <w:t>sup</w:t>
      </w:r>
      <w:r w:rsidR="00615588" w:rsidRPr="005D6E61">
        <w:rPr>
          <w:rFonts w:ascii="Cambria" w:hAnsi="Cambria"/>
          <w:sz w:val="20"/>
          <w:szCs w:val="20"/>
          <w:lang w:val="pt-BR"/>
        </w:rPr>
        <w:t>o</w:t>
      </w:r>
      <w:r w:rsidRPr="005D6E61">
        <w:rPr>
          <w:rFonts w:ascii="Cambria" w:hAnsi="Cambria"/>
          <w:sz w:val="20"/>
          <w:szCs w:val="20"/>
          <w:lang w:val="pt-BR"/>
        </w:rPr>
        <w:t>sta responsabili</w:t>
      </w:r>
      <w:r w:rsidR="00FB55C7" w:rsidRPr="005D6E61">
        <w:rPr>
          <w:rFonts w:ascii="Cambria" w:hAnsi="Cambria"/>
          <w:sz w:val="20"/>
          <w:szCs w:val="20"/>
          <w:lang w:val="pt-BR"/>
        </w:rPr>
        <w:t xml:space="preserve">dade </w:t>
      </w:r>
      <w:r w:rsidR="00F77B7F" w:rsidRPr="005D6E61">
        <w:rPr>
          <w:rFonts w:ascii="Cambria" w:hAnsi="Cambria"/>
          <w:sz w:val="20"/>
          <w:szCs w:val="20"/>
          <w:lang w:val="pt-BR"/>
        </w:rPr>
        <w:t xml:space="preserve">do </w:t>
      </w:r>
      <w:r w:rsidRPr="005D6E61">
        <w:rPr>
          <w:rFonts w:ascii="Cambria" w:hAnsi="Cambria"/>
          <w:sz w:val="20"/>
          <w:szCs w:val="20"/>
          <w:lang w:val="pt-BR"/>
        </w:rPr>
        <w:t>falecido Aguinaldo Veloso Borges</w:t>
      </w:r>
      <w:r w:rsidR="003B62AF" w:rsidRPr="005D6E61">
        <w:rPr>
          <w:rFonts w:ascii="Cambria" w:hAnsi="Cambria"/>
          <w:sz w:val="20"/>
          <w:szCs w:val="20"/>
          <w:lang w:val="pt-BR"/>
        </w:rPr>
        <w:t xml:space="preserve"> pela </w:t>
      </w:r>
      <w:r w:rsidR="003619A0" w:rsidRPr="005D6E61">
        <w:rPr>
          <w:rFonts w:ascii="Cambria" w:hAnsi="Cambria"/>
          <w:sz w:val="20"/>
          <w:szCs w:val="20"/>
          <w:lang w:val="pt-BR"/>
        </w:rPr>
        <w:t>morte</w:t>
      </w:r>
      <w:r w:rsidRPr="005D6E61">
        <w:rPr>
          <w:rFonts w:ascii="Cambria" w:hAnsi="Cambria"/>
          <w:sz w:val="20"/>
          <w:szCs w:val="20"/>
          <w:lang w:val="pt-BR"/>
        </w:rPr>
        <w:t xml:space="preserve"> de Margarita Maria Alves</w:t>
      </w:r>
      <w:r w:rsidR="00F77B7F" w:rsidRPr="005D6E61">
        <w:rPr>
          <w:rFonts w:ascii="Cambria" w:hAnsi="Cambria"/>
          <w:sz w:val="20"/>
          <w:szCs w:val="20"/>
          <w:lang w:val="pt-BR"/>
        </w:rPr>
        <w:t xml:space="preserve"> não </w:t>
      </w:r>
      <w:r w:rsidRPr="005D6E61">
        <w:rPr>
          <w:rFonts w:ascii="Cambria" w:hAnsi="Cambria"/>
          <w:sz w:val="20"/>
          <w:szCs w:val="20"/>
          <w:lang w:val="pt-BR"/>
        </w:rPr>
        <w:t>se refle</w:t>
      </w:r>
      <w:r w:rsidR="00615588" w:rsidRPr="005D6E61">
        <w:rPr>
          <w:rFonts w:ascii="Cambria" w:hAnsi="Cambria"/>
          <w:sz w:val="20"/>
          <w:szCs w:val="20"/>
          <w:lang w:val="pt-BR"/>
        </w:rPr>
        <w:t>tiram</w:t>
      </w:r>
      <w:r w:rsidR="005A2381" w:rsidRPr="005D6E61">
        <w:rPr>
          <w:rFonts w:ascii="Cambria" w:hAnsi="Cambria"/>
          <w:sz w:val="20"/>
          <w:szCs w:val="20"/>
          <w:lang w:val="pt-BR"/>
        </w:rPr>
        <w:t xml:space="preserve"> na </w:t>
      </w:r>
      <w:r w:rsidRPr="005D6E61">
        <w:rPr>
          <w:rFonts w:ascii="Cambria" w:hAnsi="Cambria"/>
          <w:sz w:val="20"/>
          <w:szCs w:val="20"/>
          <w:lang w:val="pt-BR"/>
        </w:rPr>
        <w:t>instru</w:t>
      </w:r>
      <w:r w:rsidR="00704E7B" w:rsidRPr="005D6E61">
        <w:rPr>
          <w:rFonts w:ascii="Cambria" w:hAnsi="Cambria"/>
          <w:sz w:val="20"/>
          <w:szCs w:val="20"/>
          <w:lang w:val="pt-BR"/>
        </w:rPr>
        <w:t>ç</w:t>
      </w:r>
      <w:r w:rsidR="00A274D9" w:rsidRPr="005D6E61">
        <w:rPr>
          <w:rFonts w:ascii="Cambria" w:hAnsi="Cambria"/>
          <w:sz w:val="20"/>
          <w:szCs w:val="20"/>
          <w:lang w:val="pt-BR"/>
        </w:rPr>
        <w:t>ão</w:t>
      </w:r>
      <w:r w:rsidRPr="005D6E61">
        <w:rPr>
          <w:rFonts w:ascii="Cambria" w:hAnsi="Cambria"/>
          <w:sz w:val="20"/>
          <w:szCs w:val="20"/>
          <w:lang w:val="pt-BR"/>
        </w:rPr>
        <w:t xml:space="preserve"> criminal</w:t>
      </w:r>
      <w:r w:rsidR="006C5454" w:rsidRPr="005D6E61">
        <w:rPr>
          <w:rFonts w:ascii="Cambria" w:hAnsi="Cambria"/>
          <w:sz w:val="20"/>
          <w:szCs w:val="20"/>
          <w:lang w:val="pt-BR"/>
        </w:rPr>
        <w:t xml:space="preserve"> e</w:t>
      </w:r>
      <w:r w:rsidR="00F77B7F" w:rsidRPr="005D6E61">
        <w:rPr>
          <w:rFonts w:ascii="Cambria" w:hAnsi="Cambria"/>
          <w:sz w:val="20"/>
          <w:szCs w:val="20"/>
          <w:lang w:val="pt-BR"/>
        </w:rPr>
        <w:t xml:space="preserve"> não </w:t>
      </w:r>
      <w:r w:rsidRPr="005D6E61">
        <w:rPr>
          <w:rFonts w:ascii="Cambria" w:hAnsi="Cambria"/>
          <w:sz w:val="20"/>
          <w:szCs w:val="20"/>
          <w:lang w:val="pt-BR"/>
        </w:rPr>
        <w:t>f</w:t>
      </w:r>
      <w:r w:rsidR="00615588" w:rsidRPr="005D6E61">
        <w:rPr>
          <w:rFonts w:ascii="Cambria" w:hAnsi="Cambria"/>
          <w:sz w:val="20"/>
          <w:szCs w:val="20"/>
          <w:lang w:val="pt-BR"/>
        </w:rPr>
        <w:t>oram</w:t>
      </w:r>
      <w:r w:rsidRPr="005D6E61">
        <w:rPr>
          <w:rFonts w:ascii="Cambria" w:hAnsi="Cambria"/>
          <w:sz w:val="20"/>
          <w:szCs w:val="20"/>
          <w:lang w:val="pt-BR"/>
        </w:rPr>
        <w:t xml:space="preserve"> corroborados por </w:t>
      </w:r>
      <w:r w:rsidR="009C205A" w:rsidRPr="005D6E61">
        <w:rPr>
          <w:rFonts w:ascii="Cambria" w:hAnsi="Cambria"/>
          <w:sz w:val="20"/>
          <w:szCs w:val="20"/>
          <w:lang w:val="pt-BR"/>
        </w:rPr>
        <w:t>indícios</w:t>
      </w:r>
      <w:r w:rsidRPr="005D6E61">
        <w:rPr>
          <w:rFonts w:ascii="Cambria" w:hAnsi="Cambria"/>
          <w:sz w:val="20"/>
          <w:szCs w:val="20"/>
          <w:lang w:val="pt-BR"/>
        </w:rPr>
        <w:t xml:space="preserve"> suficientes para configurar </w:t>
      </w:r>
      <w:r w:rsidR="009C205A" w:rsidRPr="005D6E61">
        <w:rPr>
          <w:rFonts w:ascii="Cambria" w:hAnsi="Cambria"/>
          <w:sz w:val="20"/>
          <w:szCs w:val="20"/>
          <w:lang w:val="pt-BR"/>
        </w:rPr>
        <w:t>sua</w:t>
      </w:r>
      <w:r w:rsidRPr="005D6E61">
        <w:rPr>
          <w:rFonts w:ascii="Cambria" w:hAnsi="Cambria"/>
          <w:sz w:val="20"/>
          <w:szCs w:val="20"/>
          <w:lang w:val="pt-BR"/>
        </w:rPr>
        <w:t xml:space="preserve"> responsabili</w:t>
      </w:r>
      <w:r w:rsidR="00FB55C7" w:rsidRPr="005D6E61">
        <w:rPr>
          <w:rFonts w:ascii="Cambria" w:hAnsi="Cambria"/>
          <w:sz w:val="20"/>
          <w:szCs w:val="20"/>
          <w:lang w:val="pt-BR"/>
        </w:rPr>
        <w:t xml:space="preserve">dade </w:t>
      </w:r>
      <w:r w:rsidRPr="005D6E61">
        <w:rPr>
          <w:rFonts w:ascii="Cambria" w:hAnsi="Cambria"/>
          <w:sz w:val="20"/>
          <w:szCs w:val="20"/>
          <w:lang w:val="pt-BR"/>
        </w:rPr>
        <w:t>penal</w:t>
      </w:r>
      <w:r w:rsidR="00D0132F" w:rsidRPr="005D6E61">
        <w:rPr>
          <w:rFonts w:ascii="Cambria" w:hAnsi="Cambria"/>
          <w:sz w:val="20"/>
          <w:szCs w:val="20"/>
          <w:lang w:val="pt-BR"/>
        </w:rPr>
        <w:t>”</w:t>
      </w:r>
      <w:r w:rsidRPr="005D6E61">
        <w:rPr>
          <w:rFonts w:ascii="Cambria" w:hAnsi="Cambria"/>
          <w:sz w:val="20"/>
          <w:szCs w:val="20"/>
          <w:lang w:val="pt-BR"/>
        </w:rPr>
        <w:t>.</w:t>
      </w:r>
    </w:p>
    <w:p w14:paraId="068D56FA" w14:textId="77777777" w:rsidR="0090449D" w:rsidRPr="005D6E61" w:rsidRDefault="0090449D" w:rsidP="0090449D">
      <w:pPr>
        <w:rPr>
          <w:sz w:val="20"/>
          <w:szCs w:val="20"/>
          <w:lang w:val="pt-BR"/>
        </w:rPr>
      </w:pPr>
    </w:p>
    <w:p w14:paraId="774E6778" w14:textId="77777777" w:rsidR="003E4617" w:rsidRPr="005D6E61" w:rsidRDefault="00D07486"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Calibri" w:hAnsi="Cambria"/>
          <w:sz w:val="20"/>
          <w:szCs w:val="20"/>
          <w:lang w:val="pt-BR"/>
        </w:rPr>
      </w:pPr>
      <w:r w:rsidRPr="005D6E61">
        <w:rPr>
          <w:rFonts w:ascii="Cambria" w:hAnsi="Cambria"/>
          <w:sz w:val="20"/>
          <w:szCs w:val="20"/>
          <w:lang w:val="pt-BR"/>
        </w:rPr>
        <w:t>Indic</w:t>
      </w:r>
      <w:r w:rsidR="00BF0B90" w:rsidRPr="005D6E61">
        <w:rPr>
          <w:rFonts w:ascii="Cambria" w:hAnsi="Cambria"/>
          <w:sz w:val="20"/>
          <w:szCs w:val="20"/>
          <w:lang w:val="pt-BR"/>
        </w:rPr>
        <w:t xml:space="preserve">ou </w:t>
      </w:r>
      <w:r w:rsidRPr="005D6E61">
        <w:rPr>
          <w:rFonts w:ascii="Cambria" w:hAnsi="Cambria"/>
          <w:sz w:val="20"/>
          <w:szCs w:val="20"/>
          <w:lang w:val="pt-BR"/>
        </w:rPr>
        <w:t>que</w:t>
      </w:r>
      <w:r w:rsidR="00331E62" w:rsidRPr="005D6E61">
        <w:rPr>
          <w:rFonts w:ascii="Cambria" w:hAnsi="Cambria"/>
          <w:sz w:val="20"/>
          <w:szCs w:val="20"/>
          <w:lang w:val="pt-BR"/>
        </w:rPr>
        <w:t xml:space="preserve"> a </w:t>
      </w:r>
      <w:r w:rsidR="009C205A" w:rsidRPr="005D6E61">
        <w:rPr>
          <w:rFonts w:ascii="Cambria" w:hAnsi="Cambria"/>
          <w:sz w:val="20"/>
          <w:szCs w:val="20"/>
          <w:lang w:val="pt-BR"/>
        </w:rPr>
        <w:t>Assessoria</w:t>
      </w:r>
      <w:r w:rsidRPr="005D6E61">
        <w:rPr>
          <w:rFonts w:ascii="Cambria" w:hAnsi="Cambria"/>
          <w:sz w:val="20"/>
          <w:szCs w:val="20"/>
          <w:lang w:val="pt-BR"/>
        </w:rPr>
        <w:t xml:space="preserve"> Jurídica</w:t>
      </w:r>
      <w:r w:rsidR="00675058" w:rsidRPr="005D6E61">
        <w:rPr>
          <w:rFonts w:ascii="Cambria" w:hAnsi="Cambria"/>
          <w:sz w:val="20"/>
          <w:szCs w:val="20"/>
          <w:lang w:val="pt-BR"/>
        </w:rPr>
        <w:t xml:space="preserve"> da </w:t>
      </w:r>
      <w:r w:rsidRPr="005D6E61">
        <w:rPr>
          <w:rFonts w:ascii="Cambria" w:hAnsi="Cambria"/>
          <w:sz w:val="20"/>
          <w:szCs w:val="20"/>
          <w:lang w:val="pt-BR"/>
        </w:rPr>
        <w:t>Se</w:t>
      </w:r>
      <w:r w:rsidR="00C37C88" w:rsidRPr="005D6E61">
        <w:rPr>
          <w:rFonts w:ascii="Cambria" w:hAnsi="Cambria"/>
          <w:sz w:val="20"/>
          <w:szCs w:val="20"/>
          <w:lang w:val="pt-BR"/>
        </w:rPr>
        <w:t>cretar</w:t>
      </w:r>
      <w:r w:rsidR="005A2381" w:rsidRPr="005D6E61">
        <w:rPr>
          <w:rFonts w:ascii="Cambria" w:hAnsi="Cambria"/>
          <w:sz w:val="20"/>
          <w:szCs w:val="20"/>
          <w:lang w:val="pt-BR"/>
        </w:rPr>
        <w:t>ia</w:t>
      </w:r>
      <w:r w:rsidRPr="005D6E61">
        <w:rPr>
          <w:rFonts w:ascii="Cambria" w:hAnsi="Cambria"/>
          <w:sz w:val="20"/>
          <w:szCs w:val="20"/>
          <w:lang w:val="pt-BR"/>
        </w:rPr>
        <w:t xml:space="preserve"> de </w:t>
      </w:r>
      <w:r w:rsidR="00675058" w:rsidRPr="005D6E61">
        <w:rPr>
          <w:rFonts w:ascii="Cambria" w:hAnsi="Cambria"/>
          <w:sz w:val="20"/>
          <w:szCs w:val="20"/>
          <w:lang w:val="pt-BR"/>
        </w:rPr>
        <w:t>Direito</w:t>
      </w:r>
      <w:r w:rsidRPr="005D6E61">
        <w:rPr>
          <w:rFonts w:ascii="Cambria" w:hAnsi="Cambria"/>
          <w:sz w:val="20"/>
          <w:szCs w:val="20"/>
          <w:lang w:val="pt-BR"/>
        </w:rPr>
        <w:t>s Humanos</w:t>
      </w:r>
      <w:r w:rsidR="00675058" w:rsidRPr="005D6E61">
        <w:rPr>
          <w:rFonts w:ascii="Cambria" w:hAnsi="Cambria"/>
          <w:sz w:val="20"/>
          <w:szCs w:val="20"/>
          <w:lang w:val="pt-BR"/>
        </w:rPr>
        <w:t xml:space="preserve"> da </w:t>
      </w:r>
      <w:r w:rsidRPr="005D6E61">
        <w:rPr>
          <w:rFonts w:ascii="Cambria" w:hAnsi="Cambria"/>
          <w:sz w:val="20"/>
          <w:szCs w:val="20"/>
          <w:lang w:val="pt-BR"/>
        </w:rPr>
        <w:t>Presid</w:t>
      </w:r>
      <w:r w:rsidR="00E37676" w:rsidRPr="005D6E61">
        <w:rPr>
          <w:rFonts w:ascii="Cambria" w:hAnsi="Cambria"/>
          <w:sz w:val="20"/>
          <w:szCs w:val="20"/>
          <w:lang w:val="pt-BR"/>
        </w:rPr>
        <w:t>ência</w:t>
      </w:r>
      <w:r w:rsidR="00675058" w:rsidRPr="005D6E61">
        <w:rPr>
          <w:rFonts w:ascii="Cambria" w:hAnsi="Cambria"/>
          <w:sz w:val="20"/>
          <w:szCs w:val="20"/>
          <w:lang w:val="pt-BR"/>
        </w:rPr>
        <w:t xml:space="preserve"> da </w:t>
      </w:r>
      <w:r w:rsidRPr="005D6E61">
        <w:rPr>
          <w:rFonts w:ascii="Cambria" w:hAnsi="Cambria"/>
          <w:sz w:val="20"/>
          <w:szCs w:val="20"/>
          <w:lang w:val="pt-BR"/>
        </w:rPr>
        <w:t xml:space="preserve">República </w:t>
      </w:r>
      <w:r w:rsidR="009C205A" w:rsidRPr="005D6E61">
        <w:rPr>
          <w:rFonts w:ascii="Cambria" w:hAnsi="Cambria"/>
          <w:sz w:val="20"/>
          <w:szCs w:val="20"/>
          <w:lang w:val="pt-BR"/>
        </w:rPr>
        <w:t>promoveu</w:t>
      </w:r>
      <w:r w:rsidR="00BF0B90" w:rsidRPr="005D6E61">
        <w:rPr>
          <w:rFonts w:ascii="Cambria" w:hAnsi="Cambria"/>
          <w:sz w:val="20"/>
          <w:szCs w:val="20"/>
          <w:lang w:val="pt-BR"/>
        </w:rPr>
        <w:t xml:space="preserve"> </w:t>
      </w:r>
      <w:r w:rsidR="00331E62" w:rsidRPr="005D6E61">
        <w:rPr>
          <w:rFonts w:ascii="Cambria" w:hAnsi="Cambria"/>
          <w:sz w:val="20"/>
          <w:szCs w:val="20"/>
          <w:lang w:val="pt-BR"/>
        </w:rPr>
        <w:t xml:space="preserve">a </w:t>
      </w:r>
      <w:r w:rsidRPr="005D6E61">
        <w:rPr>
          <w:rFonts w:ascii="Cambria" w:hAnsi="Cambria"/>
          <w:sz w:val="20"/>
          <w:szCs w:val="20"/>
          <w:lang w:val="pt-BR"/>
        </w:rPr>
        <w:t>dedu</w:t>
      </w:r>
      <w:r w:rsidR="00704E7B" w:rsidRPr="005D6E61">
        <w:rPr>
          <w:rFonts w:ascii="Cambria" w:hAnsi="Cambria"/>
          <w:sz w:val="20"/>
          <w:szCs w:val="20"/>
          <w:lang w:val="pt-BR"/>
        </w:rPr>
        <w:t>ç</w:t>
      </w:r>
      <w:r w:rsidR="00A274D9" w:rsidRPr="005D6E61">
        <w:rPr>
          <w:rFonts w:ascii="Cambria" w:hAnsi="Cambria"/>
          <w:sz w:val="20"/>
          <w:szCs w:val="20"/>
          <w:lang w:val="pt-BR"/>
        </w:rPr>
        <w:t>ão</w:t>
      </w:r>
      <w:r w:rsidRPr="005D6E61">
        <w:rPr>
          <w:rFonts w:ascii="Cambria" w:hAnsi="Cambria"/>
          <w:sz w:val="20"/>
          <w:szCs w:val="20"/>
          <w:lang w:val="pt-BR"/>
        </w:rPr>
        <w:t xml:space="preserve"> de eventu</w:t>
      </w:r>
      <w:r w:rsidR="00331E62" w:rsidRPr="005D6E61">
        <w:rPr>
          <w:rFonts w:ascii="Cambria" w:hAnsi="Cambria"/>
          <w:sz w:val="20"/>
          <w:szCs w:val="20"/>
          <w:lang w:val="pt-BR"/>
        </w:rPr>
        <w:t>ais</w:t>
      </w:r>
      <w:r w:rsidRPr="005D6E61">
        <w:rPr>
          <w:rFonts w:ascii="Cambria" w:hAnsi="Cambria"/>
          <w:sz w:val="20"/>
          <w:szCs w:val="20"/>
          <w:lang w:val="pt-BR"/>
        </w:rPr>
        <w:t xml:space="preserve"> responsabilidades civis administrativas</w:t>
      </w:r>
      <w:r w:rsidR="00331E62" w:rsidRPr="005D6E61">
        <w:rPr>
          <w:rFonts w:ascii="Cambria" w:hAnsi="Cambria"/>
          <w:sz w:val="20"/>
          <w:szCs w:val="20"/>
          <w:lang w:val="pt-BR"/>
        </w:rPr>
        <w:t xml:space="preserve"> dos </w:t>
      </w:r>
      <w:r w:rsidRPr="005D6E61">
        <w:rPr>
          <w:rFonts w:ascii="Cambria" w:hAnsi="Cambria"/>
          <w:sz w:val="20"/>
          <w:szCs w:val="20"/>
          <w:lang w:val="pt-BR"/>
        </w:rPr>
        <w:t xml:space="preserve">servidores públicos </w:t>
      </w:r>
      <w:r w:rsidR="0054428F" w:rsidRPr="005D6E61">
        <w:rPr>
          <w:rFonts w:ascii="Cambria" w:hAnsi="Cambria"/>
          <w:sz w:val="20"/>
          <w:szCs w:val="20"/>
          <w:lang w:val="pt-BR"/>
        </w:rPr>
        <w:t>e</w:t>
      </w:r>
      <w:r w:rsidRPr="005D6E61">
        <w:rPr>
          <w:rFonts w:ascii="Cambria" w:hAnsi="Cambria"/>
          <w:sz w:val="20"/>
          <w:szCs w:val="20"/>
          <w:lang w:val="pt-BR"/>
        </w:rPr>
        <w:t>nvol</w:t>
      </w:r>
      <w:r w:rsidR="0054428F" w:rsidRPr="005D6E61">
        <w:rPr>
          <w:rFonts w:ascii="Cambria" w:hAnsi="Cambria"/>
          <w:sz w:val="20"/>
          <w:szCs w:val="20"/>
          <w:lang w:val="pt-BR"/>
        </w:rPr>
        <w:t>vi</w:t>
      </w:r>
      <w:r w:rsidRPr="005D6E61">
        <w:rPr>
          <w:rFonts w:ascii="Cambria" w:hAnsi="Cambria"/>
          <w:sz w:val="20"/>
          <w:szCs w:val="20"/>
          <w:lang w:val="pt-BR"/>
        </w:rPr>
        <w:t>dos</w:t>
      </w:r>
      <w:r w:rsidR="005A2381" w:rsidRPr="005D6E61">
        <w:rPr>
          <w:rFonts w:ascii="Cambria" w:hAnsi="Cambria"/>
          <w:sz w:val="20"/>
          <w:szCs w:val="20"/>
          <w:lang w:val="pt-BR"/>
        </w:rPr>
        <w:t xml:space="preserve"> na </w:t>
      </w:r>
      <w:r w:rsidRPr="005D6E61">
        <w:rPr>
          <w:rFonts w:ascii="Cambria" w:hAnsi="Cambria"/>
          <w:sz w:val="20"/>
          <w:szCs w:val="20"/>
          <w:lang w:val="pt-BR"/>
        </w:rPr>
        <w:t>investiga</w:t>
      </w:r>
      <w:r w:rsidR="00A274D9" w:rsidRPr="005D6E61">
        <w:rPr>
          <w:rFonts w:ascii="Cambria" w:hAnsi="Cambria"/>
          <w:sz w:val="20"/>
          <w:szCs w:val="20"/>
          <w:lang w:val="pt-BR"/>
        </w:rPr>
        <w:t>ção</w:t>
      </w:r>
      <w:r w:rsidRPr="005D6E61">
        <w:rPr>
          <w:rFonts w:ascii="Cambria" w:hAnsi="Cambria"/>
          <w:sz w:val="20"/>
          <w:szCs w:val="20"/>
          <w:lang w:val="pt-BR"/>
        </w:rPr>
        <w:t>. A</w:t>
      </w:r>
      <w:r w:rsidR="0054428F" w:rsidRPr="005D6E61">
        <w:rPr>
          <w:rFonts w:ascii="Cambria" w:hAnsi="Cambria"/>
          <w:sz w:val="20"/>
          <w:szCs w:val="20"/>
          <w:lang w:val="pt-BR"/>
        </w:rPr>
        <w:t>lém disso</w:t>
      </w:r>
      <w:r w:rsidRPr="005D6E61">
        <w:rPr>
          <w:rFonts w:ascii="Cambria" w:hAnsi="Cambria"/>
          <w:sz w:val="20"/>
          <w:szCs w:val="20"/>
          <w:lang w:val="pt-BR"/>
        </w:rPr>
        <w:t>,</w:t>
      </w:r>
      <w:r w:rsidR="00F77B7F" w:rsidRPr="005D6E61">
        <w:rPr>
          <w:rFonts w:ascii="Cambria" w:hAnsi="Cambria"/>
          <w:sz w:val="20"/>
          <w:szCs w:val="20"/>
          <w:lang w:val="pt-BR"/>
        </w:rPr>
        <w:t xml:space="preserve"> em </w:t>
      </w:r>
      <w:r w:rsidRPr="005D6E61">
        <w:rPr>
          <w:rFonts w:ascii="Cambria" w:hAnsi="Cambria"/>
          <w:sz w:val="20"/>
          <w:szCs w:val="20"/>
          <w:lang w:val="pt-BR"/>
        </w:rPr>
        <w:t>2013 acord</w:t>
      </w:r>
      <w:r w:rsidR="00BF0B90" w:rsidRPr="005D6E61">
        <w:rPr>
          <w:rFonts w:ascii="Cambria" w:hAnsi="Cambria"/>
          <w:sz w:val="20"/>
          <w:szCs w:val="20"/>
          <w:lang w:val="pt-BR"/>
        </w:rPr>
        <w:t>ou</w:t>
      </w:r>
      <w:r w:rsidR="00E10B26" w:rsidRPr="005D6E61">
        <w:rPr>
          <w:rFonts w:ascii="Cambria" w:hAnsi="Cambria"/>
          <w:sz w:val="20"/>
          <w:szCs w:val="20"/>
          <w:lang w:val="pt-BR"/>
        </w:rPr>
        <w:t>-se</w:t>
      </w:r>
      <w:r w:rsidR="00BF0B90" w:rsidRPr="005D6E61">
        <w:rPr>
          <w:rFonts w:ascii="Cambria" w:hAnsi="Cambria"/>
          <w:sz w:val="20"/>
          <w:szCs w:val="20"/>
          <w:lang w:val="pt-BR"/>
        </w:rPr>
        <w:t xml:space="preserve"> </w:t>
      </w:r>
      <w:r w:rsidRPr="005D6E61">
        <w:rPr>
          <w:rFonts w:ascii="Cambria" w:hAnsi="Cambria"/>
          <w:sz w:val="20"/>
          <w:szCs w:val="20"/>
          <w:lang w:val="pt-BR"/>
        </w:rPr>
        <w:t>que</w:t>
      </w:r>
      <w:r w:rsidR="00331E62" w:rsidRPr="005D6E61">
        <w:rPr>
          <w:rFonts w:ascii="Cambria" w:hAnsi="Cambria"/>
          <w:sz w:val="20"/>
          <w:szCs w:val="20"/>
          <w:lang w:val="pt-BR"/>
        </w:rPr>
        <w:t xml:space="preserve"> o </w:t>
      </w:r>
      <w:r w:rsidR="009C205A" w:rsidRPr="005D6E61">
        <w:rPr>
          <w:rFonts w:ascii="Cambria" w:hAnsi="Cambria"/>
          <w:sz w:val="20"/>
          <w:szCs w:val="20"/>
          <w:lang w:val="pt-BR"/>
        </w:rPr>
        <w:t>Ministério</w:t>
      </w:r>
      <w:r w:rsidRPr="005D6E61">
        <w:rPr>
          <w:rFonts w:ascii="Cambria" w:hAnsi="Cambria"/>
          <w:sz w:val="20"/>
          <w:szCs w:val="20"/>
          <w:lang w:val="pt-BR"/>
        </w:rPr>
        <w:t xml:space="preserve"> Público iniciar</w:t>
      </w:r>
      <w:r w:rsidR="005A2381" w:rsidRPr="005D6E61">
        <w:rPr>
          <w:rFonts w:ascii="Cambria" w:hAnsi="Cambria"/>
          <w:sz w:val="20"/>
          <w:szCs w:val="20"/>
          <w:lang w:val="pt-BR"/>
        </w:rPr>
        <w:t>ia</w:t>
      </w:r>
      <w:r w:rsidRPr="005D6E61">
        <w:rPr>
          <w:rFonts w:ascii="Cambria" w:hAnsi="Cambria"/>
          <w:sz w:val="20"/>
          <w:szCs w:val="20"/>
          <w:lang w:val="pt-BR"/>
        </w:rPr>
        <w:t xml:space="preserve"> a</w:t>
      </w:r>
      <w:r w:rsidR="0054428F" w:rsidRPr="005D6E61">
        <w:rPr>
          <w:rFonts w:ascii="Cambria" w:hAnsi="Cambria"/>
          <w:sz w:val="20"/>
          <w:szCs w:val="20"/>
          <w:lang w:val="pt-BR"/>
        </w:rPr>
        <w:t>ç</w:t>
      </w:r>
      <w:r w:rsidR="00F77B7F" w:rsidRPr="005D6E61">
        <w:rPr>
          <w:rFonts w:ascii="Cambria" w:hAnsi="Cambria"/>
          <w:sz w:val="20"/>
          <w:szCs w:val="20"/>
          <w:lang w:val="pt-BR"/>
        </w:rPr>
        <w:t>ões</w:t>
      </w:r>
      <w:r w:rsidRPr="005D6E61">
        <w:rPr>
          <w:rFonts w:ascii="Cambria" w:hAnsi="Cambria"/>
          <w:sz w:val="20"/>
          <w:szCs w:val="20"/>
          <w:lang w:val="pt-BR"/>
        </w:rPr>
        <w:t xml:space="preserve"> para determinar responsabilidades de </w:t>
      </w:r>
      <w:r w:rsidR="009C205A" w:rsidRPr="005D6E61">
        <w:rPr>
          <w:rFonts w:ascii="Cambria" w:hAnsi="Cambria"/>
          <w:sz w:val="20"/>
          <w:szCs w:val="20"/>
          <w:lang w:val="pt-BR"/>
        </w:rPr>
        <w:t>funcionários</w:t>
      </w:r>
      <w:r w:rsidR="003B62AF" w:rsidRPr="005D6E61">
        <w:rPr>
          <w:rFonts w:ascii="Cambria" w:hAnsi="Cambria"/>
          <w:sz w:val="20"/>
          <w:szCs w:val="20"/>
          <w:lang w:val="pt-BR"/>
        </w:rPr>
        <w:t xml:space="preserve"> pela </w:t>
      </w:r>
      <w:r w:rsidRPr="005D6E61">
        <w:rPr>
          <w:rFonts w:ascii="Cambria" w:hAnsi="Cambria"/>
          <w:sz w:val="20"/>
          <w:szCs w:val="20"/>
          <w:lang w:val="pt-BR"/>
        </w:rPr>
        <w:t>demora injustificada</w:t>
      </w:r>
      <w:r w:rsidR="00F77B7F" w:rsidRPr="005D6E61">
        <w:rPr>
          <w:rFonts w:ascii="Cambria" w:hAnsi="Cambria"/>
          <w:sz w:val="20"/>
          <w:szCs w:val="20"/>
          <w:lang w:val="pt-BR"/>
        </w:rPr>
        <w:t xml:space="preserve"> do </w:t>
      </w:r>
      <w:r w:rsidR="009C205A" w:rsidRPr="005D6E61">
        <w:rPr>
          <w:rFonts w:ascii="Cambria" w:hAnsi="Cambria"/>
          <w:sz w:val="20"/>
          <w:szCs w:val="20"/>
          <w:lang w:val="pt-BR"/>
        </w:rPr>
        <w:t>processo</w:t>
      </w:r>
      <w:r w:rsidRPr="005D6E61">
        <w:rPr>
          <w:rFonts w:ascii="Cambria" w:hAnsi="Cambria"/>
          <w:sz w:val="20"/>
          <w:szCs w:val="20"/>
          <w:lang w:val="pt-BR"/>
        </w:rPr>
        <w:t xml:space="preserve">. </w:t>
      </w:r>
    </w:p>
    <w:p w14:paraId="15E45EB5" w14:textId="77777777" w:rsidR="003E4617" w:rsidRPr="005D6E61" w:rsidRDefault="003E4617" w:rsidP="003E4617">
      <w:pPr>
        <w:pStyle w:val="ListParagraph"/>
        <w:rPr>
          <w:sz w:val="20"/>
          <w:szCs w:val="20"/>
          <w:lang w:val="pt-BR"/>
        </w:rPr>
      </w:pPr>
    </w:p>
    <w:p w14:paraId="7511FFD2" w14:textId="77777777" w:rsidR="003E4617" w:rsidRPr="005D6E61" w:rsidRDefault="00335B51"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Calibri" w:hAnsi="Cambria"/>
          <w:sz w:val="20"/>
          <w:szCs w:val="20"/>
          <w:lang w:val="pt-BR"/>
        </w:rPr>
      </w:pPr>
      <w:r w:rsidRPr="005D6E61">
        <w:rPr>
          <w:rFonts w:ascii="Cambria" w:hAnsi="Cambria"/>
          <w:sz w:val="20"/>
          <w:szCs w:val="20"/>
          <w:lang w:val="pt-BR"/>
        </w:rPr>
        <w:t>Inform</w:t>
      </w:r>
      <w:r w:rsidR="00BF0B90" w:rsidRPr="005D6E61">
        <w:rPr>
          <w:rFonts w:ascii="Cambria" w:hAnsi="Cambria"/>
          <w:sz w:val="20"/>
          <w:szCs w:val="20"/>
          <w:lang w:val="pt-BR"/>
        </w:rPr>
        <w:t xml:space="preserve">ou </w:t>
      </w:r>
      <w:r w:rsidRPr="005D6E61">
        <w:rPr>
          <w:rFonts w:ascii="Cambria" w:hAnsi="Cambria"/>
          <w:sz w:val="20"/>
          <w:szCs w:val="20"/>
          <w:lang w:val="pt-BR"/>
        </w:rPr>
        <w:t>que ha</w:t>
      </w:r>
      <w:r w:rsidR="00226627" w:rsidRPr="005D6E61">
        <w:rPr>
          <w:rFonts w:ascii="Cambria" w:hAnsi="Cambria"/>
          <w:sz w:val="20"/>
          <w:szCs w:val="20"/>
          <w:lang w:val="pt-BR"/>
        </w:rPr>
        <w:t>via</w:t>
      </w:r>
      <w:r w:rsidRPr="005D6E61">
        <w:rPr>
          <w:rFonts w:ascii="Cambria" w:hAnsi="Cambria"/>
          <w:sz w:val="20"/>
          <w:szCs w:val="20"/>
          <w:lang w:val="pt-BR"/>
        </w:rPr>
        <w:t xml:space="preserve"> adotado</w:t>
      </w:r>
      <w:r w:rsidR="006C5454" w:rsidRPr="005D6E61">
        <w:rPr>
          <w:rFonts w:ascii="Cambria" w:hAnsi="Cambria"/>
          <w:sz w:val="20"/>
          <w:szCs w:val="20"/>
          <w:lang w:val="pt-BR"/>
        </w:rPr>
        <w:t xml:space="preserve"> uma </w:t>
      </w:r>
      <w:r w:rsidR="009C205A" w:rsidRPr="005D6E61">
        <w:rPr>
          <w:rFonts w:ascii="Cambria" w:hAnsi="Cambria"/>
          <w:sz w:val="20"/>
          <w:szCs w:val="20"/>
          <w:lang w:val="pt-BR"/>
        </w:rPr>
        <w:t>série</w:t>
      </w:r>
      <w:r w:rsidR="001B085B" w:rsidRPr="005D6E61">
        <w:rPr>
          <w:rFonts w:ascii="Cambria" w:hAnsi="Cambria"/>
          <w:sz w:val="20"/>
          <w:szCs w:val="20"/>
          <w:lang w:val="pt-BR"/>
        </w:rPr>
        <w:t xml:space="preserve"> de </w:t>
      </w:r>
      <w:r w:rsidR="008C5017" w:rsidRPr="005D6E61">
        <w:rPr>
          <w:rFonts w:ascii="Cambria" w:hAnsi="Cambria"/>
          <w:sz w:val="20"/>
          <w:szCs w:val="20"/>
          <w:lang w:val="pt-BR"/>
        </w:rPr>
        <w:t>medidas</w:t>
      </w:r>
      <w:r w:rsidR="00F77B7F" w:rsidRPr="005D6E61">
        <w:rPr>
          <w:rFonts w:ascii="Cambria" w:hAnsi="Cambria"/>
          <w:sz w:val="20"/>
          <w:szCs w:val="20"/>
          <w:lang w:val="pt-BR"/>
        </w:rPr>
        <w:t xml:space="preserve"> com</w:t>
      </w:r>
      <w:r w:rsidR="00331E62" w:rsidRPr="005D6E61">
        <w:rPr>
          <w:rFonts w:ascii="Cambria" w:hAnsi="Cambria"/>
          <w:sz w:val="20"/>
          <w:szCs w:val="20"/>
          <w:lang w:val="pt-BR"/>
        </w:rPr>
        <w:t xml:space="preserve"> o </w:t>
      </w:r>
      <w:r w:rsidR="00054FCA" w:rsidRPr="005D6E61">
        <w:rPr>
          <w:rFonts w:ascii="Cambria" w:hAnsi="Cambria"/>
          <w:sz w:val="20"/>
          <w:szCs w:val="20"/>
          <w:lang w:val="pt-BR"/>
        </w:rPr>
        <w:t>objetivo de</w:t>
      </w:r>
      <w:r w:rsidR="008C5017" w:rsidRPr="005D6E61">
        <w:rPr>
          <w:rFonts w:ascii="Cambria" w:hAnsi="Cambria"/>
          <w:sz w:val="20"/>
          <w:szCs w:val="20"/>
          <w:lang w:val="pt-BR"/>
        </w:rPr>
        <w:t xml:space="preserve"> reparar</w:t>
      </w:r>
      <w:r w:rsidR="00F77B7F" w:rsidRPr="005D6E61">
        <w:rPr>
          <w:rFonts w:ascii="Cambria" w:hAnsi="Cambria"/>
          <w:sz w:val="20"/>
          <w:szCs w:val="20"/>
          <w:lang w:val="pt-BR"/>
        </w:rPr>
        <w:t xml:space="preserve"> os </w:t>
      </w:r>
      <w:r w:rsidR="009C205A" w:rsidRPr="005D6E61">
        <w:rPr>
          <w:rFonts w:ascii="Cambria" w:hAnsi="Cambria"/>
          <w:sz w:val="20"/>
          <w:szCs w:val="20"/>
          <w:lang w:val="pt-BR"/>
        </w:rPr>
        <w:t>danos</w:t>
      </w:r>
      <w:r w:rsidR="008C5017" w:rsidRPr="005D6E61">
        <w:rPr>
          <w:rFonts w:ascii="Cambria" w:hAnsi="Cambria"/>
          <w:sz w:val="20"/>
          <w:szCs w:val="20"/>
          <w:lang w:val="pt-BR"/>
        </w:rPr>
        <w:t xml:space="preserve"> ocasionados</w:t>
      </w:r>
      <w:r w:rsidR="00275A65" w:rsidRPr="005D6E61">
        <w:rPr>
          <w:rFonts w:ascii="Cambria" w:hAnsi="Cambria"/>
          <w:sz w:val="20"/>
          <w:szCs w:val="20"/>
          <w:lang w:val="pt-BR"/>
        </w:rPr>
        <w:t xml:space="preserve"> à </w:t>
      </w:r>
      <w:r w:rsidR="005A2381" w:rsidRPr="005D6E61">
        <w:rPr>
          <w:rFonts w:ascii="Cambria" w:hAnsi="Cambria"/>
          <w:sz w:val="20"/>
          <w:szCs w:val="20"/>
          <w:lang w:val="pt-BR"/>
        </w:rPr>
        <w:t>suposta</w:t>
      </w:r>
      <w:r w:rsidR="008C5017" w:rsidRPr="005D6E61">
        <w:rPr>
          <w:rFonts w:ascii="Cambria" w:hAnsi="Cambria"/>
          <w:sz w:val="20"/>
          <w:szCs w:val="20"/>
          <w:lang w:val="pt-BR"/>
        </w:rPr>
        <w:t xml:space="preserve"> </w:t>
      </w:r>
      <w:r w:rsidR="003619A0" w:rsidRPr="005D6E61">
        <w:rPr>
          <w:rFonts w:ascii="Cambria" w:hAnsi="Cambria"/>
          <w:sz w:val="20"/>
          <w:szCs w:val="20"/>
          <w:lang w:val="pt-BR"/>
        </w:rPr>
        <w:t>vítima</w:t>
      </w:r>
      <w:r w:rsidR="006C5454" w:rsidRPr="005D6E61">
        <w:rPr>
          <w:rFonts w:ascii="Cambria" w:hAnsi="Cambria"/>
          <w:sz w:val="20"/>
          <w:szCs w:val="20"/>
          <w:lang w:val="pt-BR"/>
        </w:rPr>
        <w:t xml:space="preserve"> e </w:t>
      </w:r>
      <w:r w:rsidR="008C5017" w:rsidRPr="005D6E61">
        <w:rPr>
          <w:rFonts w:ascii="Cambria" w:hAnsi="Cambria"/>
          <w:sz w:val="20"/>
          <w:szCs w:val="20"/>
          <w:lang w:val="pt-BR"/>
        </w:rPr>
        <w:t>s</w:t>
      </w:r>
      <w:r w:rsidR="00247CB3" w:rsidRPr="005D6E61">
        <w:rPr>
          <w:rFonts w:ascii="Cambria" w:hAnsi="Cambria"/>
          <w:sz w:val="20"/>
          <w:szCs w:val="20"/>
          <w:lang w:val="pt-BR"/>
        </w:rPr>
        <w:t>e</w:t>
      </w:r>
      <w:r w:rsidR="008C5017" w:rsidRPr="005D6E61">
        <w:rPr>
          <w:rFonts w:ascii="Cambria" w:hAnsi="Cambria"/>
          <w:sz w:val="20"/>
          <w:szCs w:val="20"/>
          <w:lang w:val="pt-BR"/>
        </w:rPr>
        <w:t>us familiares.</w:t>
      </w:r>
      <w:r w:rsidR="00F77B7F" w:rsidRPr="005D6E61">
        <w:rPr>
          <w:rFonts w:ascii="Cambria" w:hAnsi="Cambria"/>
          <w:sz w:val="20"/>
          <w:szCs w:val="20"/>
          <w:lang w:val="pt-BR"/>
        </w:rPr>
        <w:t xml:space="preserve"> </w:t>
      </w:r>
      <w:r w:rsidR="00E10B26" w:rsidRPr="005D6E61">
        <w:rPr>
          <w:rFonts w:ascii="Cambria" w:hAnsi="Cambria"/>
          <w:sz w:val="20"/>
          <w:szCs w:val="20"/>
          <w:lang w:val="pt-BR"/>
        </w:rPr>
        <w:t>C</w:t>
      </w:r>
      <w:r w:rsidR="008C5017" w:rsidRPr="005D6E61">
        <w:rPr>
          <w:rFonts w:ascii="Cambria" w:hAnsi="Cambria"/>
          <w:sz w:val="20"/>
          <w:szCs w:val="20"/>
          <w:lang w:val="pt-BR"/>
        </w:rPr>
        <w:t>oncret</w:t>
      </w:r>
      <w:r w:rsidR="00E10B26" w:rsidRPr="005D6E61">
        <w:rPr>
          <w:rFonts w:ascii="Cambria" w:hAnsi="Cambria"/>
          <w:sz w:val="20"/>
          <w:szCs w:val="20"/>
          <w:lang w:val="pt-BR"/>
        </w:rPr>
        <w:t>amente</w:t>
      </w:r>
      <w:r w:rsidR="008C5017" w:rsidRPr="005D6E61">
        <w:rPr>
          <w:rFonts w:ascii="Cambria" w:hAnsi="Cambria"/>
          <w:sz w:val="20"/>
          <w:szCs w:val="20"/>
          <w:lang w:val="pt-BR"/>
        </w:rPr>
        <w:t xml:space="preserve">, </w:t>
      </w:r>
      <w:r w:rsidR="00E10B26" w:rsidRPr="005D6E61">
        <w:rPr>
          <w:rFonts w:ascii="Cambria" w:hAnsi="Cambria"/>
          <w:sz w:val="20"/>
          <w:szCs w:val="20"/>
          <w:lang w:val="pt-BR"/>
        </w:rPr>
        <w:t>indicou</w:t>
      </w:r>
      <w:r w:rsidR="00BF0B90" w:rsidRPr="005D6E61">
        <w:rPr>
          <w:rFonts w:ascii="Cambria" w:hAnsi="Cambria"/>
          <w:sz w:val="20"/>
          <w:szCs w:val="20"/>
          <w:lang w:val="pt-BR"/>
        </w:rPr>
        <w:t xml:space="preserve"> </w:t>
      </w:r>
      <w:r w:rsidR="008C5017" w:rsidRPr="005D6E61">
        <w:rPr>
          <w:rFonts w:ascii="Cambria" w:hAnsi="Cambria"/>
          <w:sz w:val="20"/>
          <w:szCs w:val="20"/>
          <w:lang w:val="pt-BR"/>
        </w:rPr>
        <w:t xml:space="preserve">que </w:t>
      </w:r>
      <w:r w:rsidR="00E10B26" w:rsidRPr="005D6E61">
        <w:rPr>
          <w:rFonts w:ascii="Cambria" w:hAnsi="Cambria"/>
          <w:sz w:val="20"/>
          <w:szCs w:val="20"/>
          <w:lang w:val="pt-BR"/>
        </w:rPr>
        <w:t xml:space="preserve">entrou </w:t>
      </w:r>
      <w:r w:rsidR="00F77B7F" w:rsidRPr="005D6E61">
        <w:rPr>
          <w:rFonts w:ascii="Cambria" w:hAnsi="Cambria"/>
          <w:sz w:val="20"/>
          <w:szCs w:val="20"/>
          <w:lang w:val="pt-BR"/>
        </w:rPr>
        <w:t xml:space="preserve">em </w:t>
      </w:r>
      <w:r w:rsidR="009C205A" w:rsidRPr="005D6E61">
        <w:rPr>
          <w:rFonts w:ascii="Cambria" w:hAnsi="Cambria"/>
          <w:sz w:val="20"/>
          <w:szCs w:val="20"/>
          <w:lang w:val="pt-BR"/>
        </w:rPr>
        <w:t>contato</w:t>
      </w:r>
      <w:r w:rsidR="00F77B7F" w:rsidRPr="005D6E61">
        <w:rPr>
          <w:rFonts w:ascii="Cambria" w:hAnsi="Cambria"/>
          <w:sz w:val="20"/>
          <w:szCs w:val="20"/>
          <w:lang w:val="pt-BR"/>
        </w:rPr>
        <w:t xml:space="preserve"> com</w:t>
      </w:r>
      <w:r w:rsidR="00331E62" w:rsidRPr="005D6E61">
        <w:rPr>
          <w:rFonts w:ascii="Cambria" w:hAnsi="Cambria"/>
          <w:sz w:val="20"/>
          <w:szCs w:val="20"/>
          <w:lang w:val="pt-BR"/>
        </w:rPr>
        <w:t xml:space="preserve"> o </w:t>
      </w:r>
      <w:r w:rsidR="00226627" w:rsidRPr="005D6E61">
        <w:rPr>
          <w:rFonts w:ascii="Cambria" w:hAnsi="Cambria"/>
          <w:sz w:val="20"/>
          <w:szCs w:val="20"/>
          <w:lang w:val="pt-BR"/>
        </w:rPr>
        <w:t>filh</w:t>
      </w:r>
      <w:r w:rsidR="008C5017" w:rsidRPr="005D6E61">
        <w:rPr>
          <w:rFonts w:ascii="Cambria" w:hAnsi="Cambria"/>
          <w:sz w:val="20"/>
          <w:szCs w:val="20"/>
          <w:lang w:val="pt-BR"/>
        </w:rPr>
        <w:t>o</w:t>
      </w:r>
      <w:r w:rsidR="00675058" w:rsidRPr="005D6E61">
        <w:rPr>
          <w:rFonts w:ascii="Cambria" w:hAnsi="Cambria"/>
          <w:sz w:val="20"/>
          <w:szCs w:val="20"/>
          <w:lang w:val="pt-BR"/>
        </w:rPr>
        <w:t xml:space="preserve"> da </w:t>
      </w:r>
      <w:r w:rsidR="005A2381" w:rsidRPr="005D6E61">
        <w:rPr>
          <w:rFonts w:ascii="Cambria" w:hAnsi="Cambria"/>
          <w:sz w:val="20"/>
          <w:szCs w:val="20"/>
          <w:lang w:val="pt-BR"/>
        </w:rPr>
        <w:t>suposta</w:t>
      </w:r>
      <w:r w:rsidR="008C5017" w:rsidRPr="005D6E61">
        <w:rPr>
          <w:rFonts w:ascii="Cambria" w:hAnsi="Cambria"/>
          <w:sz w:val="20"/>
          <w:szCs w:val="20"/>
          <w:lang w:val="pt-BR"/>
        </w:rPr>
        <w:t xml:space="preserve"> </w:t>
      </w:r>
      <w:r w:rsidR="003619A0" w:rsidRPr="005D6E61">
        <w:rPr>
          <w:rFonts w:ascii="Cambria" w:hAnsi="Cambria"/>
          <w:sz w:val="20"/>
          <w:szCs w:val="20"/>
          <w:lang w:val="pt-BR"/>
        </w:rPr>
        <w:t>vítima</w:t>
      </w:r>
      <w:r w:rsidR="006C5454" w:rsidRPr="005D6E61">
        <w:rPr>
          <w:rFonts w:ascii="Cambria" w:hAnsi="Cambria"/>
          <w:sz w:val="20"/>
          <w:szCs w:val="20"/>
          <w:lang w:val="pt-BR"/>
        </w:rPr>
        <w:t xml:space="preserve"> e </w:t>
      </w:r>
      <w:r w:rsidR="0076215D" w:rsidRPr="005D6E61">
        <w:rPr>
          <w:rFonts w:ascii="Cambria" w:hAnsi="Cambria"/>
          <w:sz w:val="20"/>
          <w:szCs w:val="20"/>
          <w:lang w:val="pt-BR"/>
        </w:rPr>
        <w:t>o registr</w:t>
      </w:r>
      <w:r w:rsidR="00BF0B90" w:rsidRPr="005D6E61">
        <w:rPr>
          <w:rFonts w:ascii="Cambria" w:hAnsi="Cambria"/>
          <w:sz w:val="20"/>
          <w:szCs w:val="20"/>
          <w:lang w:val="pt-BR"/>
        </w:rPr>
        <w:t xml:space="preserve">ou </w:t>
      </w:r>
      <w:r w:rsidR="008C5017" w:rsidRPr="005D6E61">
        <w:rPr>
          <w:rFonts w:ascii="Cambria" w:hAnsi="Cambria"/>
          <w:sz w:val="20"/>
          <w:szCs w:val="20"/>
          <w:lang w:val="pt-BR"/>
        </w:rPr>
        <w:t xml:space="preserve">como </w:t>
      </w:r>
      <w:r w:rsidR="009C205A" w:rsidRPr="005D6E61">
        <w:rPr>
          <w:rFonts w:ascii="Cambria" w:hAnsi="Cambria"/>
          <w:sz w:val="20"/>
          <w:szCs w:val="20"/>
          <w:lang w:val="pt-BR"/>
        </w:rPr>
        <w:t>beneficiário</w:t>
      </w:r>
      <w:r w:rsidR="00F77B7F" w:rsidRPr="005D6E61">
        <w:rPr>
          <w:rFonts w:ascii="Cambria" w:hAnsi="Cambria"/>
          <w:sz w:val="20"/>
          <w:szCs w:val="20"/>
          <w:lang w:val="pt-BR"/>
        </w:rPr>
        <w:t xml:space="preserve"> em</w:t>
      </w:r>
      <w:r w:rsidR="00275A65" w:rsidRPr="005D6E61">
        <w:rPr>
          <w:rFonts w:ascii="Cambria" w:hAnsi="Cambria"/>
          <w:sz w:val="20"/>
          <w:szCs w:val="20"/>
          <w:lang w:val="pt-BR"/>
        </w:rPr>
        <w:t xml:space="preserve"> um </w:t>
      </w:r>
      <w:r w:rsidR="009C205A" w:rsidRPr="005D6E61">
        <w:rPr>
          <w:rFonts w:ascii="Cambria" w:hAnsi="Cambria"/>
          <w:sz w:val="20"/>
          <w:szCs w:val="20"/>
          <w:lang w:val="pt-BR"/>
        </w:rPr>
        <w:t>processo</w:t>
      </w:r>
      <w:r w:rsidR="008C5017" w:rsidRPr="005D6E61">
        <w:rPr>
          <w:rFonts w:ascii="Cambria" w:hAnsi="Cambria"/>
          <w:sz w:val="20"/>
          <w:szCs w:val="20"/>
          <w:lang w:val="pt-BR"/>
        </w:rPr>
        <w:t xml:space="preserve"> de des</w:t>
      </w:r>
      <w:r w:rsidR="00184F5F" w:rsidRPr="005D6E61">
        <w:rPr>
          <w:rFonts w:ascii="Cambria" w:hAnsi="Cambria"/>
          <w:sz w:val="20"/>
          <w:szCs w:val="20"/>
          <w:lang w:val="pt-BR"/>
        </w:rPr>
        <w:t>apropriação</w:t>
      </w:r>
      <w:r w:rsidR="008C5017" w:rsidRPr="005D6E61">
        <w:rPr>
          <w:rFonts w:ascii="Cambria" w:hAnsi="Cambria"/>
          <w:sz w:val="20"/>
          <w:szCs w:val="20"/>
          <w:lang w:val="pt-BR"/>
        </w:rPr>
        <w:t xml:space="preserve"> de</w:t>
      </w:r>
      <w:r w:rsidR="00275A65" w:rsidRPr="005D6E61">
        <w:rPr>
          <w:rFonts w:ascii="Cambria" w:hAnsi="Cambria"/>
          <w:sz w:val="20"/>
          <w:szCs w:val="20"/>
          <w:lang w:val="pt-BR"/>
        </w:rPr>
        <w:t xml:space="preserve"> um </w:t>
      </w:r>
      <w:r w:rsidR="008C5017" w:rsidRPr="005D6E61">
        <w:rPr>
          <w:rFonts w:ascii="Cambria" w:hAnsi="Cambria"/>
          <w:sz w:val="20"/>
          <w:szCs w:val="20"/>
          <w:lang w:val="pt-BR"/>
        </w:rPr>
        <w:t>terreno</w:t>
      </w:r>
      <w:r w:rsidR="00CE1E74" w:rsidRPr="005D6E61">
        <w:rPr>
          <w:rFonts w:ascii="Cambria" w:hAnsi="Cambria"/>
          <w:sz w:val="20"/>
          <w:szCs w:val="20"/>
          <w:lang w:val="pt-BR"/>
        </w:rPr>
        <w:t xml:space="preserve"> (Fazenda Tanques)</w:t>
      </w:r>
      <w:r w:rsidR="004642E3" w:rsidRPr="005D6E61">
        <w:rPr>
          <w:rFonts w:ascii="Cambria" w:hAnsi="Cambria"/>
          <w:sz w:val="20"/>
          <w:szCs w:val="20"/>
          <w:lang w:val="pt-BR"/>
        </w:rPr>
        <w:t>,</w:t>
      </w:r>
      <w:r w:rsidR="00CE1E74" w:rsidRPr="005D6E61">
        <w:rPr>
          <w:rFonts w:ascii="Cambria" w:hAnsi="Cambria"/>
          <w:sz w:val="20"/>
          <w:szCs w:val="20"/>
          <w:lang w:val="pt-BR"/>
        </w:rPr>
        <w:t xml:space="preserve"> </w:t>
      </w:r>
      <w:r w:rsidR="009C205A" w:rsidRPr="005D6E61">
        <w:rPr>
          <w:rFonts w:ascii="Cambria" w:hAnsi="Cambria"/>
          <w:sz w:val="20"/>
          <w:szCs w:val="20"/>
          <w:lang w:val="pt-BR"/>
        </w:rPr>
        <w:t>propriedade</w:t>
      </w:r>
      <w:r w:rsidR="00FB55C7" w:rsidRPr="005D6E61">
        <w:rPr>
          <w:rFonts w:ascii="Cambria" w:hAnsi="Cambria"/>
          <w:sz w:val="20"/>
          <w:szCs w:val="20"/>
          <w:lang w:val="pt-BR"/>
        </w:rPr>
        <w:t xml:space="preserve"> </w:t>
      </w:r>
      <w:r w:rsidR="00CE1E74" w:rsidRPr="005D6E61">
        <w:rPr>
          <w:rFonts w:ascii="Cambria" w:hAnsi="Cambria"/>
          <w:sz w:val="20"/>
          <w:szCs w:val="20"/>
          <w:lang w:val="pt-BR"/>
        </w:rPr>
        <w:t>de d</w:t>
      </w:r>
      <w:r w:rsidR="00226627" w:rsidRPr="005D6E61">
        <w:rPr>
          <w:rFonts w:ascii="Cambria" w:hAnsi="Cambria"/>
          <w:sz w:val="20"/>
          <w:szCs w:val="20"/>
          <w:lang w:val="pt-BR"/>
        </w:rPr>
        <w:t>ua</w:t>
      </w:r>
      <w:r w:rsidR="00CE1E74" w:rsidRPr="005D6E61">
        <w:rPr>
          <w:rFonts w:ascii="Cambria" w:hAnsi="Cambria"/>
          <w:sz w:val="20"/>
          <w:szCs w:val="20"/>
          <w:lang w:val="pt-BR"/>
        </w:rPr>
        <w:t xml:space="preserve">s </w:t>
      </w:r>
      <w:r w:rsidR="0054428F" w:rsidRPr="005D6E61">
        <w:rPr>
          <w:rFonts w:ascii="Cambria" w:hAnsi="Cambria"/>
          <w:sz w:val="20"/>
          <w:szCs w:val="20"/>
          <w:lang w:val="pt-BR"/>
        </w:rPr>
        <w:t>pessoa</w:t>
      </w:r>
      <w:r w:rsidR="00CE1E74" w:rsidRPr="005D6E61">
        <w:rPr>
          <w:rFonts w:ascii="Cambria" w:hAnsi="Cambria"/>
          <w:sz w:val="20"/>
          <w:szCs w:val="20"/>
          <w:lang w:val="pt-BR"/>
        </w:rPr>
        <w:t>s s</w:t>
      </w:r>
      <w:r w:rsidR="0054428F" w:rsidRPr="005D6E61">
        <w:rPr>
          <w:rFonts w:ascii="Cambria" w:hAnsi="Cambria"/>
          <w:sz w:val="20"/>
          <w:szCs w:val="20"/>
          <w:lang w:val="pt-BR"/>
        </w:rPr>
        <w:t>uspeitas</w:t>
      </w:r>
      <w:r w:rsidR="00CE1E74" w:rsidRPr="005D6E61">
        <w:rPr>
          <w:rFonts w:ascii="Cambria" w:hAnsi="Cambria"/>
          <w:sz w:val="20"/>
          <w:szCs w:val="20"/>
          <w:lang w:val="pt-BR"/>
        </w:rPr>
        <w:t xml:space="preserve"> de participar</w:t>
      </w:r>
      <w:r w:rsidR="00331E62" w:rsidRPr="005D6E61">
        <w:rPr>
          <w:rFonts w:ascii="Cambria" w:hAnsi="Cambria"/>
          <w:sz w:val="20"/>
          <w:szCs w:val="20"/>
          <w:lang w:val="pt-BR"/>
        </w:rPr>
        <w:t xml:space="preserve"> </w:t>
      </w:r>
      <w:r w:rsidR="0054428F" w:rsidRPr="005D6E61">
        <w:rPr>
          <w:rFonts w:ascii="Cambria" w:hAnsi="Cambria"/>
          <w:sz w:val="20"/>
          <w:szCs w:val="20"/>
          <w:lang w:val="pt-BR"/>
        </w:rPr>
        <w:t>d</w:t>
      </w:r>
      <w:r w:rsidR="00331E62" w:rsidRPr="005D6E61">
        <w:rPr>
          <w:rFonts w:ascii="Cambria" w:hAnsi="Cambria"/>
          <w:sz w:val="20"/>
          <w:szCs w:val="20"/>
          <w:lang w:val="pt-BR"/>
        </w:rPr>
        <w:t xml:space="preserve">o </w:t>
      </w:r>
      <w:r w:rsidR="009C205A" w:rsidRPr="005D6E61">
        <w:rPr>
          <w:rFonts w:ascii="Cambria" w:hAnsi="Cambria"/>
          <w:sz w:val="20"/>
          <w:szCs w:val="20"/>
          <w:lang w:val="pt-BR"/>
        </w:rPr>
        <w:t>assassinato</w:t>
      </w:r>
      <w:r w:rsidR="00675058" w:rsidRPr="005D6E61">
        <w:rPr>
          <w:rFonts w:ascii="Cambria" w:hAnsi="Cambria"/>
          <w:sz w:val="20"/>
          <w:szCs w:val="20"/>
          <w:lang w:val="pt-BR"/>
        </w:rPr>
        <w:t xml:space="preserve"> da </w:t>
      </w:r>
      <w:r w:rsidR="005A2381" w:rsidRPr="005D6E61">
        <w:rPr>
          <w:rFonts w:ascii="Cambria" w:hAnsi="Cambria"/>
          <w:sz w:val="20"/>
          <w:szCs w:val="20"/>
          <w:lang w:val="pt-BR"/>
        </w:rPr>
        <w:t>suposta</w:t>
      </w:r>
      <w:r w:rsidR="008C5017" w:rsidRPr="005D6E61">
        <w:rPr>
          <w:rFonts w:ascii="Cambria" w:hAnsi="Cambria"/>
          <w:sz w:val="20"/>
          <w:szCs w:val="20"/>
          <w:lang w:val="pt-BR"/>
        </w:rPr>
        <w:t xml:space="preserve"> </w:t>
      </w:r>
      <w:r w:rsidR="003619A0" w:rsidRPr="005D6E61">
        <w:rPr>
          <w:rFonts w:ascii="Cambria" w:hAnsi="Cambria"/>
          <w:sz w:val="20"/>
          <w:szCs w:val="20"/>
          <w:lang w:val="pt-BR"/>
        </w:rPr>
        <w:t>vítima</w:t>
      </w:r>
      <w:r w:rsidR="00CE1E74" w:rsidRPr="005D6E61">
        <w:rPr>
          <w:rFonts w:ascii="Cambria" w:hAnsi="Cambria"/>
          <w:sz w:val="20"/>
          <w:szCs w:val="20"/>
          <w:lang w:val="pt-BR"/>
        </w:rPr>
        <w:t>, Aguinaldo Veloso Borjes</w:t>
      </w:r>
      <w:r w:rsidR="006C5454" w:rsidRPr="005D6E61">
        <w:rPr>
          <w:rFonts w:ascii="Cambria" w:hAnsi="Cambria"/>
          <w:sz w:val="20"/>
          <w:szCs w:val="20"/>
          <w:lang w:val="pt-BR"/>
        </w:rPr>
        <w:t xml:space="preserve"> e </w:t>
      </w:r>
      <w:r w:rsidR="00247CB3" w:rsidRPr="005D6E61">
        <w:rPr>
          <w:rFonts w:ascii="Cambria" w:hAnsi="Cambria"/>
          <w:sz w:val="20"/>
          <w:szCs w:val="20"/>
          <w:lang w:val="pt-BR"/>
        </w:rPr>
        <w:t>Antônio</w:t>
      </w:r>
      <w:r w:rsidR="00CE1E74" w:rsidRPr="005D6E61">
        <w:rPr>
          <w:rFonts w:ascii="Cambria" w:hAnsi="Cambria"/>
          <w:sz w:val="20"/>
          <w:szCs w:val="20"/>
          <w:lang w:val="pt-BR"/>
        </w:rPr>
        <w:t xml:space="preserve"> Carlos Coutinho Reges</w:t>
      </w:r>
      <w:r w:rsidR="0076215D" w:rsidRPr="005D6E61">
        <w:rPr>
          <w:rFonts w:ascii="Cambria" w:hAnsi="Cambria"/>
          <w:sz w:val="20"/>
          <w:szCs w:val="20"/>
          <w:lang w:val="pt-BR"/>
        </w:rPr>
        <w:t>.</w:t>
      </w:r>
      <w:r w:rsidR="008C5017" w:rsidRPr="005D6E61">
        <w:rPr>
          <w:rFonts w:ascii="Cambria" w:hAnsi="Cambria"/>
          <w:sz w:val="20"/>
          <w:szCs w:val="20"/>
          <w:lang w:val="pt-BR"/>
        </w:rPr>
        <w:t xml:space="preserve"> </w:t>
      </w:r>
    </w:p>
    <w:p w14:paraId="4E9012B9" w14:textId="77777777" w:rsidR="003E4617" w:rsidRPr="005D6E61" w:rsidRDefault="003E4617" w:rsidP="003E4617">
      <w:pPr>
        <w:pStyle w:val="ListParagraph"/>
        <w:rPr>
          <w:rFonts w:eastAsia="Calibri"/>
          <w:sz w:val="20"/>
          <w:szCs w:val="20"/>
          <w:lang w:val="pt-BR"/>
        </w:rPr>
      </w:pPr>
    </w:p>
    <w:p w14:paraId="082B31BB" w14:textId="77777777" w:rsidR="003E4617" w:rsidRPr="005D6E61" w:rsidRDefault="0076215D" w:rsidP="003E46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Calibri" w:hAnsi="Cambria"/>
          <w:sz w:val="20"/>
          <w:szCs w:val="20"/>
          <w:lang w:val="pt-BR"/>
        </w:rPr>
      </w:pPr>
      <w:r w:rsidRPr="005D6E61">
        <w:rPr>
          <w:rFonts w:ascii="Cambria" w:eastAsia="Calibri" w:hAnsi="Cambria"/>
          <w:sz w:val="20"/>
          <w:szCs w:val="20"/>
          <w:lang w:val="pt-BR"/>
        </w:rPr>
        <w:t xml:space="preserve">Por </w:t>
      </w:r>
      <w:r w:rsidR="0054428F" w:rsidRPr="005D6E61">
        <w:rPr>
          <w:rFonts w:ascii="Cambria" w:eastAsia="Calibri" w:hAnsi="Cambria"/>
          <w:sz w:val="20"/>
          <w:szCs w:val="20"/>
          <w:lang w:val="pt-BR"/>
        </w:rPr>
        <w:t>outro lado</w:t>
      </w:r>
      <w:r w:rsidRPr="005D6E61">
        <w:rPr>
          <w:rFonts w:ascii="Cambria" w:eastAsia="Calibri" w:hAnsi="Cambria"/>
          <w:sz w:val="20"/>
          <w:szCs w:val="20"/>
          <w:lang w:val="pt-BR"/>
        </w:rPr>
        <w:t xml:space="preserve">, </w:t>
      </w:r>
      <w:r w:rsidR="00247CB3" w:rsidRPr="005D6E61">
        <w:rPr>
          <w:rFonts w:ascii="Cambria" w:eastAsia="Calibri" w:hAnsi="Cambria"/>
          <w:sz w:val="20"/>
          <w:szCs w:val="20"/>
          <w:lang w:val="pt-BR"/>
        </w:rPr>
        <w:t>ressaltou</w:t>
      </w:r>
      <w:r w:rsidR="00BF0B90" w:rsidRPr="005D6E61">
        <w:rPr>
          <w:rFonts w:ascii="Cambria" w:eastAsia="Calibri" w:hAnsi="Cambria"/>
          <w:sz w:val="20"/>
          <w:szCs w:val="20"/>
          <w:lang w:val="pt-BR"/>
        </w:rPr>
        <w:t xml:space="preserve"> </w:t>
      </w:r>
      <w:r w:rsidR="00331E62" w:rsidRPr="005D6E61">
        <w:rPr>
          <w:rFonts w:ascii="Cambria" w:eastAsia="Calibri" w:hAnsi="Cambria"/>
          <w:sz w:val="20"/>
          <w:szCs w:val="20"/>
          <w:lang w:val="pt-BR"/>
        </w:rPr>
        <w:t xml:space="preserve">a </w:t>
      </w:r>
      <w:r w:rsidR="00247CB3" w:rsidRPr="005D6E61">
        <w:rPr>
          <w:rFonts w:ascii="Cambria" w:eastAsia="Calibri" w:hAnsi="Cambria"/>
          <w:sz w:val="20"/>
          <w:szCs w:val="20"/>
          <w:lang w:val="pt-BR"/>
        </w:rPr>
        <w:t>necessidade</w:t>
      </w:r>
      <w:r w:rsidR="00FB55C7" w:rsidRPr="005D6E61">
        <w:rPr>
          <w:rFonts w:ascii="Cambria" w:eastAsia="Calibri" w:hAnsi="Cambria"/>
          <w:sz w:val="20"/>
          <w:szCs w:val="20"/>
          <w:lang w:val="pt-BR"/>
        </w:rPr>
        <w:t xml:space="preserve"> </w:t>
      </w:r>
      <w:r w:rsidRPr="005D6E61">
        <w:rPr>
          <w:rFonts w:ascii="Cambria" w:eastAsia="Calibri" w:hAnsi="Cambria"/>
          <w:sz w:val="20"/>
          <w:szCs w:val="20"/>
          <w:lang w:val="pt-BR"/>
        </w:rPr>
        <w:t>de repara</w:t>
      </w:r>
      <w:r w:rsidR="00A274D9" w:rsidRPr="005D6E61">
        <w:rPr>
          <w:rFonts w:ascii="Cambria" w:eastAsia="Calibri" w:hAnsi="Cambria"/>
          <w:sz w:val="20"/>
          <w:szCs w:val="20"/>
          <w:lang w:val="pt-BR"/>
        </w:rPr>
        <w:t>ção</w:t>
      </w:r>
      <w:r w:rsidRPr="005D6E61">
        <w:rPr>
          <w:rFonts w:ascii="Cambria" w:eastAsia="Calibri" w:hAnsi="Cambria"/>
          <w:sz w:val="20"/>
          <w:szCs w:val="20"/>
          <w:lang w:val="pt-BR"/>
        </w:rPr>
        <w:t xml:space="preserve"> simbólica </w:t>
      </w:r>
      <w:r w:rsidR="00F22F7A" w:rsidRPr="005D6E61">
        <w:rPr>
          <w:rFonts w:ascii="Cambria" w:eastAsia="Calibri" w:hAnsi="Cambria"/>
          <w:sz w:val="20"/>
          <w:szCs w:val="20"/>
          <w:lang w:val="pt-BR"/>
        </w:rPr>
        <w:t>e indic</w:t>
      </w:r>
      <w:r w:rsidR="00BF0B90" w:rsidRPr="005D6E61">
        <w:rPr>
          <w:rFonts w:ascii="Cambria" w:eastAsia="Calibri" w:hAnsi="Cambria"/>
          <w:sz w:val="20"/>
          <w:szCs w:val="20"/>
          <w:lang w:val="pt-BR"/>
        </w:rPr>
        <w:t xml:space="preserve">ou </w:t>
      </w:r>
      <w:r w:rsidR="00F22F7A" w:rsidRPr="005D6E61">
        <w:rPr>
          <w:rFonts w:ascii="Cambria" w:eastAsia="Calibri" w:hAnsi="Cambria"/>
          <w:sz w:val="20"/>
          <w:szCs w:val="20"/>
          <w:lang w:val="pt-BR"/>
        </w:rPr>
        <w:t xml:space="preserve">que </w:t>
      </w:r>
      <w:r w:rsidR="0054428F" w:rsidRPr="005D6E61">
        <w:rPr>
          <w:rFonts w:ascii="Cambria" w:eastAsia="Calibri" w:hAnsi="Cambria"/>
          <w:sz w:val="20"/>
          <w:szCs w:val="20"/>
          <w:lang w:val="pt-BR"/>
        </w:rPr>
        <w:t>há</w:t>
      </w:r>
      <w:r w:rsidR="00F22F7A" w:rsidRPr="005D6E61">
        <w:rPr>
          <w:rFonts w:ascii="Cambria" w:eastAsia="Calibri" w:hAnsi="Cambria"/>
          <w:sz w:val="20"/>
          <w:szCs w:val="20"/>
          <w:lang w:val="pt-BR"/>
        </w:rPr>
        <w:t xml:space="preserve"> </w:t>
      </w:r>
      <w:r w:rsidR="00247CB3" w:rsidRPr="005D6E61">
        <w:rPr>
          <w:rFonts w:ascii="Cambria" w:eastAsia="Calibri" w:hAnsi="Cambria"/>
          <w:sz w:val="20"/>
          <w:szCs w:val="20"/>
          <w:lang w:val="pt-BR"/>
        </w:rPr>
        <w:t>vários</w:t>
      </w:r>
      <w:r w:rsidR="00F22F7A" w:rsidRPr="005D6E61">
        <w:rPr>
          <w:rFonts w:ascii="Cambria" w:eastAsia="Calibri" w:hAnsi="Cambria"/>
          <w:sz w:val="20"/>
          <w:szCs w:val="20"/>
          <w:lang w:val="pt-BR"/>
        </w:rPr>
        <w:t xml:space="preserve"> </w:t>
      </w:r>
      <w:r w:rsidR="00247CB3" w:rsidRPr="005D6E61">
        <w:rPr>
          <w:rFonts w:ascii="Cambria" w:eastAsia="Calibri" w:hAnsi="Cambria"/>
          <w:sz w:val="20"/>
          <w:szCs w:val="20"/>
          <w:lang w:val="pt-BR"/>
        </w:rPr>
        <w:t>anos</w:t>
      </w:r>
      <w:r w:rsidR="00F22F7A" w:rsidRPr="005D6E61">
        <w:rPr>
          <w:rFonts w:ascii="Cambria" w:eastAsia="Calibri" w:hAnsi="Cambria"/>
          <w:sz w:val="20"/>
          <w:szCs w:val="20"/>
          <w:lang w:val="pt-BR"/>
        </w:rPr>
        <w:t xml:space="preserve"> participa</w:t>
      </w:r>
      <w:r w:rsidR="00F77B7F" w:rsidRPr="005D6E61">
        <w:rPr>
          <w:rFonts w:ascii="Cambria" w:eastAsia="Calibri" w:hAnsi="Cambria"/>
          <w:sz w:val="20"/>
          <w:szCs w:val="20"/>
          <w:lang w:val="pt-BR"/>
        </w:rPr>
        <w:t xml:space="preserve"> com</w:t>
      </w:r>
      <w:r w:rsidR="00331E62" w:rsidRPr="005D6E61">
        <w:rPr>
          <w:rFonts w:ascii="Cambria" w:eastAsia="Calibri" w:hAnsi="Cambria"/>
          <w:sz w:val="20"/>
          <w:szCs w:val="20"/>
          <w:lang w:val="pt-BR"/>
        </w:rPr>
        <w:t xml:space="preserve"> a </w:t>
      </w:r>
      <w:r w:rsidR="00F22F7A" w:rsidRPr="005D6E61">
        <w:rPr>
          <w:rFonts w:ascii="Cambria" w:eastAsia="Calibri" w:hAnsi="Cambria"/>
          <w:sz w:val="20"/>
          <w:szCs w:val="20"/>
          <w:lang w:val="pt-BR"/>
        </w:rPr>
        <w:t>socie</w:t>
      </w:r>
      <w:r w:rsidR="00FB55C7" w:rsidRPr="005D6E61">
        <w:rPr>
          <w:rFonts w:ascii="Cambria" w:eastAsia="Calibri" w:hAnsi="Cambria"/>
          <w:sz w:val="20"/>
          <w:szCs w:val="20"/>
          <w:lang w:val="pt-BR"/>
        </w:rPr>
        <w:t xml:space="preserve">dade </w:t>
      </w:r>
      <w:r w:rsidR="00F22F7A" w:rsidRPr="005D6E61">
        <w:rPr>
          <w:rFonts w:ascii="Cambria" w:eastAsia="Calibri" w:hAnsi="Cambria"/>
          <w:sz w:val="20"/>
          <w:szCs w:val="20"/>
          <w:lang w:val="pt-BR"/>
        </w:rPr>
        <w:t>civil</w:t>
      </w:r>
      <w:r w:rsidR="00F77B7F" w:rsidRPr="005D6E61">
        <w:rPr>
          <w:rFonts w:ascii="Cambria" w:eastAsia="Calibri" w:hAnsi="Cambria"/>
          <w:sz w:val="20"/>
          <w:szCs w:val="20"/>
          <w:lang w:val="pt-BR"/>
        </w:rPr>
        <w:t xml:space="preserve"> em </w:t>
      </w:r>
      <w:r w:rsidR="00F22F7A" w:rsidRPr="005D6E61">
        <w:rPr>
          <w:rFonts w:ascii="Cambria" w:eastAsia="Calibri" w:hAnsi="Cambria"/>
          <w:sz w:val="20"/>
          <w:szCs w:val="20"/>
          <w:lang w:val="pt-BR"/>
        </w:rPr>
        <w:t>divers</w:t>
      </w:r>
      <w:r w:rsidR="00E10B26" w:rsidRPr="005D6E61">
        <w:rPr>
          <w:rFonts w:ascii="Cambria" w:eastAsia="Calibri" w:hAnsi="Cambria"/>
          <w:sz w:val="20"/>
          <w:szCs w:val="20"/>
          <w:lang w:val="pt-BR"/>
        </w:rPr>
        <w:t>a</w:t>
      </w:r>
      <w:r w:rsidR="00F22F7A" w:rsidRPr="005D6E61">
        <w:rPr>
          <w:rFonts w:ascii="Cambria" w:eastAsia="Calibri" w:hAnsi="Cambria"/>
          <w:sz w:val="20"/>
          <w:szCs w:val="20"/>
          <w:lang w:val="pt-BR"/>
        </w:rPr>
        <w:t>s homena</w:t>
      </w:r>
      <w:r w:rsidR="00E10B26" w:rsidRPr="005D6E61">
        <w:rPr>
          <w:rFonts w:ascii="Cambria" w:eastAsia="Calibri" w:hAnsi="Cambria"/>
          <w:sz w:val="20"/>
          <w:szCs w:val="20"/>
          <w:lang w:val="pt-BR"/>
        </w:rPr>
        <w:t>g</w:t>
      </w:r>
      <w:r w:rsidR="00F22F7A" w:rsidRPr="005D6E61">
        <w:rPr>
          <w:rFonts w:ascii="Cambria" w:eastAsia="Calibri" w:hAnsi="Cambria"/>
          <w:sz w:val="20"/>
          <w:szCs w:val="20"/>
          <w:lang w:val="pt-BR"/>
        </w:rPr>
        <w:t>e</w:t>
      </w:r>
      <w:r w:rsidR="00E10B26" w:rsidRPr="005D6E61">
        <w:rPr>
          <w:rFonts w:ascii="Cambria" w:eastAsia="Calibri" w:hAnsi="Cambria"/>
          <w:sz w:val="20"/>
          <w:szCs w:val="20"/>
          <w:lang w:val="pt-BR"/>
        </w:rPr>
        <w:t>n</w:t>
      </w:r>
      <w:r w:rsidR="00F22F7A" w:rsidRPr="005D6E61">
        <w:rPr>
          <w:rFonts w:ascii="Cambria" w:eastAsia="Calibri" w:hAnsi="Cambria"/>
          <w:sz w:val="20"/>
          <w:szCs w:val="20"/>
          <w:lang w:val="pt-BR"/>
        </w:rPr>
        <w:t>s a Margarida Maria Alves</w:t>
      </w:r>
      <w:r w:rsidR="0054428F" w:rsidRPr="005D6E61">
        <w:rPr>
          <w:rFonts w:ascii="Cambria" w:eastAsia="Calibri" w:hAnsi="Cambria"/>
          <w:sz w:val="20"/>
          <w:szCs w:val="20"/>
          <w:lang w:val="pt-BR"/>
        </w:rPr>
        <w:t>,</w:t>
      </w:r>
      <w:r w:rsidR="00F22F7A" w:rsidRPr="005D6E61">
        <w:rPr>
          <w:rFonts w:ascii="Cambria" w:eastAsia="Calibri" w:hAnsi="Cambria"/>
          <w:sz w:val="20"/>
          <w:szCs w:val="20"/>
          <w:lang w:val="pt-BR"/>
        </w:rPr>
        <w:t xml:space="preserve"> t</w:t>
      </w:r>
      <w:r w:rsidR="00331E62" w:rsidRPr="005D6E61">
        <w:rPr>
          <w:rFonts w:ascii="Cambria" w:eastAsia="Calibri" w:hAnsi="Cambria"/>
          <w:sz w:val="20"/>
          <w:szCs w:val="20"/>
          <w:lang w:val="pt-BR"/>
        </w:rPr>
        <w:t>ais</w:t>
      </w:r>
      <w:r w:rsidR="00F22F7A" w:rsidRPr="005D6E61">
        <w:rPr>
          <w:rFonts w:ascii="Cambria" w:eastAsia="Calibri" w:hAnsi="Cambria"/>
          <w:sz w:val="20"/>
          <w:szCs w:val="20"/>
          <w:lang w:val="pt-BR"/>
        </w:rPr>
        <w:t xml:space="preserve"> como</w:t>
      </w:r>
      <w:r w:rsidR="00331E62" w:rsidRPr="005D6E61">
        <w:rPr>
          <w:rFonts w:ascii="Cambria" w:eastAsia="Calibri" w:hAnsi="Cambria"/>
          <w:sz w:val="20"/>
          <w:szCs w:val="20"/>
          <w:lang w:val="pt-BR"/>
        </w:rPr>
        <w:t xml:space="preserve"> a </w:t>
      </w:r>
      <w:r w:rsidR="00F22F7A" w:rsidRPr="005D6E61">
        <w:rPr>
          <w:rFonts w:ascii="Cambria" w:eastAsia="Calibri" w:hAnsi="Cambria"/>
          <w:sz w:val="20"/>
          <w:szCs w:val="20"/>
          <w:lang w:val="pt-BR"/>
        </w:rPr>
        <w:t>“Marcha</w:t>
      </w:r>
      <w:r w:rsidR="0054428F" w:rsidRPr="005D6E61">
        <w:rPr>
          <w:rFonts w:ascii="Cambria" w:eastAsia="Calibri" w:hAnsi="Cambria"/>
          <w:sz w:val="20"/>
          <w:szCs w:val="20"/>
          <w:lang w:val="pt-BR"/>
        </w:rPr>
        <w:t xml:space="preserve"> das </w:t>
      </w:r>
      <w:r w:rsidR="00F22F7A" w:rsidRPr="005D6E61">
        <w:rPr>
          <w:rFonts w:ascii="Cambria" w:eastAsia="Calibri" w:hAnsi="Cambria"/>
          <w:sz w:val="20"/>
          <w:szCs w:val="20"/>
          <w:lang w:val="pt-BR"/>
        </w:rPr>
        <w:t>Margaridas”</w:t>
      </w:r>
      <w:r w:rsidR="004642E3" w:rsidRPr="005D6E61">
        <w:rPr>
          <w:rFonts w:ascii="Cambria" w:eastAsia="Calibri" w:hAnsi="Cambria"/>
          <w:sz w:val="20"/>
          <w:szCs w:val="20"/>
          <w:lang w:val="pt-BR"/>
        </w:rPr>
        <w:t>,</w:t>
      </w:r>
      <w:r w:rsidR="00F2558C" w:rsidRPr="005D6E61">
        <w:rPr>
          <w:rFonts w:ascii="Cambria" w:eastAsia="Calibri" w:hAnsi="Cambria"/>
          <w:sz w:val="20"/>
          <w:szCs w:val="20"/>
          <w:lang w:val="pt-BR"/>
        </w:rPr>
        <w:t xml:space="preserve"> </w:t>
      </w:r>
      <w:r w:rsidR="00F22F7A" w:rsidRPr="005D6E61">
        <w:rPr>
          <w:rFonts w:ascii="Cambria" w:eastAsia="Calibri" w:hAnsi="Cambria"/>
          <w:sz w:val="20"/>
          <w:szCs w:val="20"/>
          <w:lang w:val="pt-BR"/>
        </w:rPr>
        <w:t>que busca</w:t>
      </w:r>
      <w:r w:rsidR="00331E62" w:rsidRPr="005D6E61">
        <w:rPr>
          <w:rFonts w:ascii="Cambria" w:eastAsia="Calibri" w:hAnsi="Cambria"/>
          <w:sz w:val="20"/>
          <w:szCs w:val="20"/>
          <w:lang w:val="pt-BR"/>
        </w:rPr>
        <w:t xml:space="preserve"> o </w:t>
      </w:r>
      <w:r w:rsidR="00247CB3" w:rsidRPr="005D6E61">
        <w:rPr>
          <w:rFonts w:ascii="Cambria" w:eastAsia="Calibri" w:hAnsi="Cambria"/>
          <w:sz w:val="20"/>
          <w:szCs w:val="20"/>
          <w:lang w:val="pt-BR"/>
        </w:rPr>
        <w:t>reconhecimento</w:t>
      </w:r>
      <w:r w:rsidR="00F77B7F" w:rsidRPr="005D6E61">
        <w:rPr>
          <w:rFonts w:ascii="Cambria" w:eastAsia="Calibri" w:hAnsi="Cambria"/>
          <w:sz w:val="20"/>
          <w:szCs w:val="20"/>
          <w:lang w:val="pt-BR"/>
        </w:rPr>
        <w:t xml:space="preserve"> do </w:t>
      </w:r>
      <w:r w:rsidR="00E37676" w:rsidRPr="005D6E61">
        <w:rPr>
          <w:rFonts w:ascii="Cambria" w:eastAsia="Calibri" w:hAnsi="Cambria"/>
          <w:sz w:val="20"/>
          <w:szCs w:val="20"/>
          <w:lang w:val="pt-BR"/>
        </w:rPr>
        <w:t>trabalh</w:t>
      </w:r>
      <w:r w:rsidR="00F22F7A" w:rsidRPr="005D6E61">
        <w:rPr>
          <w:rFonts w:ascii="Cambria" w:eastAsia="Calibri" w:hAnsi="Cambria"/>
          <w:sz w:val="20"/>
          <w:szCs w:val="20"/>
          <w:lang w:val="pt-BR"/>
        </w:rPr>
        <w:t>o</w:t>
      </w:r>
      <w:r w:rsidR="0054428F" w:rsidRPr="005D6E61">
        <w:rPr>
          <w:rFonts w:ascii="Cambria" w:eastAsia="Calibri" w:hAnsi="Cambria"/>
          <w:sz w:val="20"/>
          <w:szCs w:val="20"/>
          <w:lang w:val="pt-BR"/>
        </w:rPr>
        <w:t xml:space="preserve"> das </w:t>
      </w:r>
      <w:r w:rsidR="00E37676" w:rsidRPr="005D6E61">
        <w:rPr>
          <w:rFonts w:ascii="Cambria" w:eastAsia="Calibri" w:hAnsi="Cambria"/>
          <w:sz w:val="20"/>
          <w:szCs w:val="20"/>
          <w:lang w:val="pt-BR"/>
        </w:rPr>
        <w:t>mulher</w:t>
      </w:r>
      <w:r w:rsidR="00F22F7A" w:rsidRPr="005D6E61">
        <w:rPr>
          <w:rFonts w:ascii="Cambria" w:eastAsia="Calibri" w:hAnsi="Cambria"/>
          <w:sz w:val="20"/>
          <w:szCs w:val="20"/>
          <w:lang w:val="pt-BR"/>
        </w:rPr>
        <w:t>es</w:t>
      </w:r>
      <w:r w:rsidR="00F77B7F" w:rsidRPr="005D6E61">
        <w:rPr>
          <w:rFonts w:ascii="Cambria" w:eastAsia="Calibri" w:hAnsi="Cambria"/>
          <w:sz w:val="20"/>
          <w:szCs w:val="20"/>
          <w:lang w:val="pt-BR"/>
        </w:rPr>
        <w:t xml:space="preserve"> do </w:t>
      </w:r>
      <w:r w:rsidR="00F22F7A" w:rsidRPr="005D6E61">
        <w:rPr>
          <w:rFonts w:ascii="Cambria" w:eastAsia="Calibri" w:hAnsi="Cambria"/>
          <w:sz w:val="20"/>
          <w:szCs w:val="20"/>
          <w:lang w:val="pt-BR"/>
        </w:rPr>
        <w:t xml:space="preserve">campo, </w:t>
      </w:r>
      <w:r w:rsidR="00247CB3" w:rsidRPr="005D6E61">
        <w:rPr>
          <w:rFonts w:ascii="Cambria" w:eastAsia="Calibri" w:hAnsi="Cambria"/>
          <w:sz w:val="20"/>
          <w:szCs w:val="20"/>
          <w:lang w:val="pt-BR"/>
        </w:rPr>
        <w:t>apoiando</w:t>
      </w:r>
      <w:r w:rsidR="00F77B7F" w:rsidRPr="005D6E61">
        <w:rPr>
          <w:rFonts w:ascii="Cambria" w:eastAsia="Calibri" w:hAnsi="Cambria"/>
          <w:sz w:val="20"/>
          <w:szCs w:val="20"/>
          <w:lang w:val="pt-BR"/>
        </w:rPr>
        <w:t xml:space="preserve"> com </w:t>
      </w:r>
      <w:r w:rsidR="00F22F7A" w:rsidRPr="005D6E61">
        <w:rPr>
          <w:rFonts w:ascii="Cambria" w:eastAsia="Calibri" w:hAnsi="Cambria"/>
          <w:sz w:val="20"/>
          <w:szCs w:val="20"/>
          <w:lang w:val="pt-BR"/>
        </w:rPr>
        <w:t>divulga</w:t>
      </w:r>
      <w:r w:rsidR="00A274D9" w:rsidRPr="005D6E61">
        <w:rPr>
          <w:rFonts w:ascii="Cambria" w:eastAsia="Calibri" w:hAnsi="Cambria"/>
          <w:sz w:val="20"/>
          <w:szCs w:val="20"/>
          <w:lang w:val="pt-BR"/>
        </w:rPr>
        <w:t>ção</w:t>
      </w:r>
      <w:r w:rsidR="00F22F7A" w:rsidRPr="005D6E61">
        <w:rPr>
          <w:rFonts w:ascii="Cambria" w:eastAsia="Calibri" w:hAnsi="Cambria"/>
          <w:sz w:val="20"/>
          <w:szCs w:val="20"/>
          <w:lang w:val="pt-BR"/>
        </w:rPr>
        <w:t xml:space="preserve"> </w:t>
      </w:r>
      <w:r w:rsidR="00E10B26" w:rsidRPr="005D6E61">
        <w:rPr>
          <w:rFonts w:ascii="Cambria" w:eastAsia="Calibri" w:hAnsi="Cambria"/>
          <w:sz w:val="20"/>
          <w:szCs w:val="20"/>
          <w:lang w:val="pt-BR"/>
        </w:rPr>
        <w:t xml:space="preserve">e </w:t>
      </w:r>
      <w:r w:rsidR="00F77B7F" w:rsidRPr="005D6E61">
        <w:rPr>
          <w:rFonts w:ascii="Cambria" w:eastAsia="Calibri" w:hAnsi="Cambria"/>
          <w:sz w:val="20"/>
          <w:szCs w:val="20"/>
          <w:lang w:val="pt-BR"/>
        </w:rPr>
        <w:t xml:space="preserve">com </w:t>
      </w:r>
      <w:r w:rsidR="00247CB3" w:rsidRPr="005D6E61">
        <w:rPr>
          <w:rFonts w:ascii="Cambria" w:eastAsia="Calibri" w:hAnsi="Cambria"/>
          <w:sz w:val="20"/>
          <w:szCs w:val="20"/>
          <w:lang w:val="pt-BR"/>
        </w:rPr>
        <w:t>convênios</w:t>
      </w:r>
      <w:r w:rsidR="00F22F7A" w:rsidRPr="005D6E61">
        <w:rPr>
          <w:rFonts w:ascii="Cambria" w:eastAsia="Calibri" w:hAnsi="Cambria"/>
          <w:sz w:val="20"/>
          <w:szCs w:val="20"/>
          <w:lang w:val="pt-BR"/>
        </w:rPr>
        <w:t xml:space="preserve"> </w:t>
      </w:r>
      <w:r w:rsidR="00247CB3" w:rsidRPr="005D6E61">
        <w:rPr>
          <w:rFonts w:ascii="Cambria" w:eastAsia="Calibri" w:hAnsi="Cambria"/>
          <w:sz w:val="20"/>
          <w:szCs w:val="20"/>
          <w:lang w:val="pt-BR"/>
        </w:rPr>
        <w:t>financeiros</w:t>
      </w:r>
      <w:r w:rsidR="00F22F7A" w:rsidRPr="005D6E61">
        <w:rPr>
          <w:rFonts w:ascii="Cambria" w:eastAsia="Calibri" w:hAnsi="Cambria"/>
          <w:sz w:val="20"/>
          <w:szCs w:val="20"/>
          <w:lang w:val="pt-BR"/>
        </w:rPr>
        <w:t xml:space="preserve">. </w:t>
      </w:r>
      <w:r w:rsidR="00247CB3" w:rsidRPr="005D6E61">
        <w:rPr>
          <w:rFonts w:ascii="Cambria" w:eastAsia="Calibri" w:hAnsi="Cambria"/>
          <w:sz w:val="20"/>
          <w:szCs w:val="20"/>
          <w:lang w:val="pt-BR"/>
        </w:rPr>
        <w:t>Também</w:t>
      </w:r>
      <w:r w:rsidR="00F22F7A" w:rsidRPr="005D6E61">
        <w:rPr>
          <w:rFonts w:ascii="Cambria" w:eastAsia="Calibri" w:hAnsi="Cambria"/>
          <w:sz w:val="20"/>
          <w:szCs w:val="20"/>
          <w:lang w:val="pt-BR"/>
        </w:rPr>
        <w:t xml:space="preserve"> indic</w:t>
      </w:r>
      <w:r w:rsidR="00BF0B90" w:rsidRPr="005D6E61">
        <w:rPr>
          <w:rFonts w:ascii="Cambria" w:eastAsia="Calibri" w:hAnsi="Cambria"/>
          <w:sz w:val="20"/>
          <w:szCs w:val="20"/>
          <w:lang w:val="pt-BR"/>
        </w:rPr>
        <w:t xml:space="preserve">ou </w:t>
      </w:r>
      <w:r w:rsidR="00F22F7A" w:rsidRPr="005D6E61">
        <w:rPr>
          <w:rFonts w:ascii="Cambria" w:eastAsia="Calibri" w:hAnsi="Cambria"/>
          <w:sz w:val="20"/>
          <w:szCs w:val="20"/>
          <w:lang w:val="pt-BR"/>
        </w:rPr>
        <w:t>que institu</w:t>
      </w:r>
      <w:r w:rsidR="00E10B26" w:rsidRPr="005D6E61">
        <w:rPr>
          <w:rFonts w:ascii="Cambria" w:eastAsia="Calibri" w:hAnsi="Cambria"/>
          <w:sz w:val="20"/>
          <w:szCs w:val="20"/>
          <w:lang w:val="pt-BR"/>
        </w:rPr>
        <w:t>i</w:t>
      </w:r>
      <w:r w:rsidR="00BF0B90" w:rsidRPr="005D6E61">
        <w:rPr>
          <w:rFonts w:ascii="Cambria" w:eastAsia="Calibri" w:hAnsi="Cambria"/>
          <w:sz w:val="20"/>
          <w:szCs w:val="20"/>
          <w:lang w:val="pt-BR"/>
        </w:rPr>
        <w:t xml:space="preserve">u </w:t>
      </w:r>
      <w:r w:rsidR="00331E62" w:rsidRPr="005D6E61">
        <w:rPr>
          <w:rFonts w:ascii="Cambria" w:eastAsia="Calibri" w:hAnsi="Cambria"/>
          <w:sz w:val="20"/>
          <w:szCs w:val="20"/>
          <w:lang w:val="pt-BR"/>
        </w:rPr>
        <w:t xml:space="preserve">o </w:t>
      </w:r>
      <w:r w:rsidR="007D407C" w:rsidRPr="005D6E61">
        <w:rPr>
          <w:rFonts w:ascii="Cambria" w:hAnsi="Cambria"/>
          <w:sz w:val="20"/>
          <w:lang w:val="pt-BR"/>
        </w:rPr>
        <w:t>“</w:t>
      </w:r>
      <w:r w:rsidR="00315C45" w:rsidRPr="005D6E61">
        <w:rPr>
          <w:rFonts w:ascii="Cambria" w:hAnsi="Cambria"/>
          <w:sz w:val="20"/>
          <w:lang w:val="pt-BR"/>
        </w:rPr>
        <w:t>Prêmio Margarida Alves</w:t>
      </w:r>
      <w:r w:rsidR="007D407C" w:rsidRPr="005D6E61">
        <w:rPr>
          <w:rFonts w:ascii="Cambria" w:hAnsi="Cambria"/>
          <w:sz w:val="20"/>
          <w:lang w:val="pt-BR"/>
        </w:rPr>
        <w:t xml:space="preserve"> de Estudos Rurais e de Gênero”</w:t>
      </w:r>
      <w:r w:rsidR="00E10B26" w:rsidRPr="005D6E61">
        <w:rPr>
          <w:rFonts w:ascii="Cambria" w:hAnsi="Cambria"/>
          <w:sz w:val="20"/>
          <w:lang w:val="pt-BR"/>
        </w:rPr>
        <w:t>,</w:t>
      </w:r>
      <w:r w:rsidR="007D407C" w:rsidRPr="005D6E61">
        <w:rPr>
          <w:rFonts w:ascii="Cambria" w:hAnsi="Cambria"/>
          <w:sz w:val="20"/>
          <w:lang w:val="pt-BR"/>
        </w:rPr>
        <w:t xml:space="preserve"> que </w:t>
      </w:r>
      <w:r w:rsidR="00247CB3" w:rsidRPr="005D6E61">
        <w:rPr>
          <w:rFonts w:ascii="Cambria" w:hAnsi="Cambria"/>
          <w:sz w:val="20"/>
          <w:lang w:val="pt-BR"/>
        </w:rPr>
        <w:t>promove</w:t>
      </w:r>
      <w:r w:rsidR="00331E62" w:rsidRPr="005D6E61">
        <w:rPr>
          <w:rFonts w:ascii="Cambria" w:hAnsi="Cambria"/>
          <w:sz w:val="20"/>
          <w:lang w:val="pt-BR"/>
        </w:rPr>
        <w:t xml:space="preserve"> a </w:t>
      </w:r>
      <w:r w:rsidR="007D407C" w:rsidRPr="005D6E61">
        <w:rPr>
          <w:rFonts w:ascii="Cambria" w:hAnsi="Cambria"/>
          <w:sz w:val="20"/>
          <w:lang w:val="pt-BR"/>
        </w:rPr>
        <w:t>igual</w:t>
      </w:r>
      <w:r w:rsidR="00FB55C7" w:rsidRPr="005D6E61">
        <w:rPr>
          <w:rFonts w:ascii="Cambria" w:hAnsi="Cambria"/>
          <w:sz w:val="20"/>
          <w:lang w:val="pt-BR"/>
        </w:rPr>
        <w:t xml:space="preserve">dade </w:t>
      </w:r>
      <w:r w:rsidR="007D407C" w:rsidRPr="005D6E61">
        <w:rPr>
          <w:rFonts w:ascii="Cambria" w:hAnsi="Cambria"/>
          <w:sz w:val="20"/>
          <w:lang w:val="pt-BR"/>
        </w:rPr>
        <w:t>de g</w:t>
      </w:r>
      <w:r w:rsidR="00EB4548" w:rsidRPr="005D6E61">
        <w:rPr>
          <w:rFonts w:ascii="Cambria" w:hAnsi="Cambria"/>
          <w:sz w:val="20"/>
          <w:lang w:val="pt-BR"/>
        </w:rPr>
        <w:t>ê</w:t>
      </w:r>
      <w:r w:rsidR="007D407C" w:rsidRPr="005D6E61">
        <w:rPr>
          <w:rFonts w:ascii="Cambria" w:hAnsi="Cambria"/>
          <w:sz w:val="20"/>
          <w:lang w:val="pt-BR"/>
        </w:rPr>
        <w:t>nero</w:t>
      </w:r>
      <w:r w:rsidR="00331E62" w:rsidRPr="005D6E61">
        <w:rPr>
          <w:rFonts w:ascii="Cambria" w:hAnsi="Cambria"/>
          <w:sz w:val="20"/>
          <w:lang w:val="pt-BR"/>
        </w:rPr>
        <w:t xml:space="preserve"> no </w:t>
      </w:r>
      <w:r w:rsidR="007D407C" w:rsidRPr="005D6E61">
        <w:rPr>
          <w:rFonts w:ascii="Cambria" w:hAnsi="Cambria"/>
          <w:sz w:val="20"/>
          <w:lang w:val="pt-BR"/>
        </w:rPr>
        <w:t>campo</w:t>
      </w:r>
      <w:r w:rsidR="00315C45" w:rsidRPr="005D6E61">
        <w:rPr>
          <w:rFonts w:ascii="Cambria" w:hAnsi="Cambria"/>
          <w:sz w:val="20"/>
          <w:lang w:val="pt-BR"/>
        </w:rPr>
        <w:t>;</w:t>
      </w:r>
      <w:r w:rsidR="00331E62" w:rsidRPr="005D6E61">
        <w:rPr>
          <w:rFonts w:ascii="Cambria" w:hAnsi="Cambria"/>
          <w:sz w:val="20"/>
          <w:lang w:val="pt-BR"/>
        </w:rPr>
        <w:t xml:space="preserve"> o </w:t>
      </w:r>
      <w:r w:rsidR="007D407C" w:rsidRPr="005D6E61">
        <w:rPr>
          <w:rFonts w:ascii="Cambria" w:hAnsi="Cambria"/>
          <w:sz w:val="20"/>
          <w:lang w:val="pt-BR"/>
        </w:rPr>
        <w:t>“</w:t>
      </w:r>
      <w:r w:rsidR="00315C45" w:rsidRPr="005D6E61">
        <w:rPr>
          <w:rFonts w:ascii="Cambria" w:hAnsi="Cambria"/>
          <w:sz w:val="20"/>
          <w:lang w:val="pt-BR"/>
        </w:rPr>
        <w:t>Projeto Margaridas</w:t>
      </w:r>
      <w:r w:rsidR="00D0132F" w:rsidRPr="005D6E61">
        <w:rPr>
          <w:rFonts w:ascii="Cambria" w:hAnsi="Cambria"/>
          <w:sz w:val="20"/>
          <w:lang w:val="pt-BR"/>
        </w:rPr>
        <w:t>”</w:t>
      </w:r>
      <w:r w:rsidR="007D407C" w:rsidRPr="005D6E61">
        <w:rPr>
          <w:rFonts w:ascii="Cambria" w:hAnsi="Cambria"/>
          <w:sz w:val="20"/>
          <w:lang w:val="pt-BR"/>
        </w:rPr>
        <w:t>,</w:t>
      </w:r>
      <w:r w:rsidR="00331E62" w:rsidRPr="005D6E61">
        <w:rPr>
          <w:rFonts w:ascii="Cambria" w:hAnsi="Cambria"/>
          <w:sz w:val="20"/>
          <w:lang w:val="pt-BR"/>
        </w:rPr>
        <w:t xml:space="preserve"> </w:t>
      </w:r>
      <w:r w:rsidR="004642E3" w:rsidRPr="005D6E61">
        <w:rPr>
          <w:rFonts w:ascii="Cambria" w:hAnsi="Cambria"/>
          <w:sz w:val="20"/>
          <w:lang w:val="pt-BR"/>
        </w:rPr>
        <w:t xml:space="preserve">e </w:t>
      </w:r>
      <w:r w:rsidR="00331E62" w:rsidRPr="005D6E61">
        <w:rPr>
          <w:rFonts w:ascii="Cambria" w:hAnsi="Cambria"/>
          <w:sz w:val="20"/>
          <w:lang w:val="pt-BR"/>
        </w:rPr>
        <w:t xml:space="preserve">o </w:t>
      </w:r>
      <w:r w:rsidR="007D407C" w:rsidRPr="005D6E61">
        <w:rPr>
          <w:rFonts w:ascii="Cambria" w:hAnsi="Cambria"/>
          <w:sz w:val="20"/>
          <w:lang w:val="pt-BR"/>
        </w:rPr>
        <w:t>“</w:t>
      </w:r>
      <w:r w:rsidR="00315C45" w:rsidRPr="005D6E61">
        <w:rPr>
          <w:rFonts w:ascii="Cambria" w:hAnsi="Cambria"/>
          <w:sz w:val="20"/>
          <w:lang w:val="pt-BR"/>
        </w:rPr>
        <w:t>Projeto Direito à Memória e Verdade</w:t>
      </w:r>
      <w:r w:rsidR="00675058" w:rsidRPr="005D6E61">
        <w:rPr>
          <w:rFonts w:ascii="Cambria" w:hAnsi="Cambria"/>
          <w:sz w:val="20"/>
          <w:lang w:val="pt-BR"/>
        </w:rPr>
        <w:t xml:space="preserve"> da </w:t>
      </w:r>
      <w:r w:rsidR="00315C45" w:rsidRPr="005D6E61">
        <w:rPr>
          <w:rFonts w:ascii="Cambria" w:hAnsi="Cambria"/>
          <w:sz w:val="20"/>
          <w:lang w:val="pt-BR"/>
        </w:rPr>
        <w:t>Secretaria de Direitos Humanos</w:t>
      </w:r>
      <w:r w:rsidR="007D407C" w:rsidRPr="005D6E61">
        <w:rPr>
          <w:rFonts w:ascii="Cambria" w:hAnsi="Cambria"/>
          <w:sz w:val="20"/>
          <w:lang w:val="pt-BR"/>
        </w:rPr>
        <w:t>”</w:t>
      </w:r>
      <w:r w:rsidR="00E10B26" w:rsidRPr="005D6E61">
        <w:rPr>
          <w:rFonts w:ascii="Cambria" w:hAnsi="Cambria"/>
          <w:sz w:val="20"/>
          <w:lang w:val="pt-BR"/>
        </w:rPr>
        <w:t>;</w:t>
      </w:r>
      <w:r w:rsidR="006C5454" w:rsidRPr="005D6E61">
        <w:rPr>
          <w:rFonts w:ascii="Cambria" w:hAnsi="Cambria"/>
          <w:sz w:val="20"/>
          <w:lang w:val="pt-BR"/>
        </w:rPr>
        <w:t xml:space="preserve"> e </w:t>
      </w:r>
      <w:r w:rsidR="00247CB3" w:rsidRPr="005D6E61">
        <w:rPr>
          <w:rFonts w:ascii="Cambria" w:hAnsi="Cambria"/>
          <w:sz w:val="20"/>
          <w:lang w:val="pt-BR"/>
        </w:rPr>
        <w:t>efetuou</w:t>
      </w:r>
      <w:r w:rsidR="00BF0B90" w:rsidRPr="005D6E61">
        <w:rPr>
          <w:rFonts w:ascii="Cambria" w:hAnsi="Cambria"/>
          <w:sz w:val="20"/>
          <w:lang w:val="pt-BR"/>
        </w:rPr>
        <w:t xml:space="preserve"> </w:t>
      </w:r>
      <w:r w:rsidR="00331E62" w:rsidRPr="005D6E61">
        <w:rPr>
          <w:rFonts w:ascii="Cambria" w:hAnsi="Cambria"/>
          <w:sz w:val="20"/>
          <w:lang w:val="pt-BR"/>
        </w:rPr>
        <w:t xml:space="preserve">o </w:t>
      </w:r>
      <w:r w:rsidR="00247CB3" w:rsidRPr="005D6E61">
        <w:rPr>
          <w:rFonts w:ascii="Cambria" w:hAnsi="Cambria"/>
          <w:sz w:val="20"/>
          <w:lang w:val="pt-BR"/>
        </w:rPr>
        <w:t>lançamento</w:t>
      </w:r>
      <w:r w:rsidR="00F77B7F" w:rsidRPr="005D6E61">
        <w:rPr>
          <w:rFonts w:ascii="Cambria" w:hAnsi="Cambria"/>
          <w:sz w:val="20"/>
          <w:lang w:val="pt-BR"/>
        </w:rPr>
        <w:t xml:space="preserve"> do </w:t>
      </w:r>
      <w:r w:rsidR="004642E3" w:rsidRPr="005D6E61">
        <w:rPr>
          <w:rFonts w:ascii="Cambria" w:hAnsi="Cambria"/>
          <w:sz w:val="20"/>
          <w:lang w:val="pt-BR"/>
        </w:rPr>
        <w:t>liv</w:t>
      </w:r>
      <w:r w:rsidR="007D407C" w:rsidRPr="005D6E61">
        <w:rPr>
          <w:rFonts w:ascii="Cambria" w:hAnsi="Cambria"/>
          <w:sz w:val="20"/>
          <w:lang w:val="pt-BR"/>
        </w:rPr>
        <w:t>ro</w:t>
      </w:r>
      <w:r w:rsidR="00315C45" w:rsidRPr="005D6E61">
        <w:rPr>
          <w:rFonts w:ascii="Cambria" w:hAnsi="Cambria"/>
          <w:sz w:val="20"/>
          <w:lang w:val="pt-BR"/>
        </w:rPr>
        <w:t xml:space="preserve"> “Camponeses mortos e desaparecidos: excluídos da justiça de transição”, que destaca</w:t>
      </w:r>
      <w:r w:rsidR="00331E62" w:rsidRPr="005D6E61">
        <w:rPr>
          <w:rFonts w:ascii="Cambria" w:hAnsi="Cambria"/>
          <w:sz w:val="20"/>
          <w:lang w:val="pt-BR"/>
        </w:rPr>
        <w:t xml:space="preserve"> a </w:t>
      </w:r>
      <w:r w:rsidR="00247CB3" w:rsidRPr="005D6E61">
        <w:rPr>
          <w:rFonts w:ascii="Cambria" w:hAnsi="Cambria"/>
          <w:sz w:val="20"/>
          <w:lang w:val="pt-BR"/>
        </w:rPr>
        <w:t>história</w:t>
      </w:r>
      <w:r w:rsidR="00675058" w:rsidRPr="005D6E61">
        <w:rPr>
          <w:rFonts w:ascii="Cambria" w:hAnsi="Cambria"/>
          <w:sz w:val="20"/>
          <w:lang w:val="pt-BR"/>
        </w:rPr>
        <w:t xml:space="preserve"> da </w:t>
      </w:r>
      <w:r w:rsidR="005A2381" w:rsidRPr="005D6E61">
        <w:rPr>
          <w:rFonts w:ascii="Cambria" w:hAnsi="Cambria"/>
          <w:sz w:val="20"/>
          <w:lang w:val="pt-BR"/>
        </w:rPr>
        <w:t>suposta</w:t>
      </w:r>
      <w:r w:rsidR="00315C45" w:rsidRPr="005D6E61">
        <w:rPr>
          <w:rFonts w:ascii="Cambria" w:hAnsi="Cambria"/>
          <w:sz w:val="20"/>
          <w:lang w:val="pt-BR"/>
        </w:rPr>
        <w:t xml:space="preserve"> </w:t>
      </w:r>
      <w:r w:rsidR="003619A0" w:rsidRPr="005D6E61">
        <w:rPr>
          <w:rFonts w:ascii="Cambria" w:hAnsi="Cambria"/>
          <w:sz w:val="20"/>
          <w:lang w:val="pt-BR"/>
        </w:rPr>
        <w:t>vítima</w:t>
      </w:r>
      <w:r w:rsidR="007D407C" w:rsidRPr="005D6E61">
        <w:rPr>
          <w:rFonts w:ascii="Cambria" w:hAnsi="Cambria"/>
          <w:sz w:val="20"/>
          <w:lang w:val="pt-BR"/>
        </w:rPr>
        <w:t>.</w:t>
      </w:r>
    </w:p>
    <w:p w14:paraId="7C1F8355" w14:textId="77777777" w:rsidR="009B2166" w:rsidRPr="005D6E61" w:rsidRDefault="009B2166" w:rsidP="009B216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Calibri" w:hAnsi="Cambria"/>
          <w:sz w:val="20"/>
          <w:szCs w:val="20"/>
          <w:lang w:val="pt-BR"/>
        </w:rPr>
      </w:pPr>
    </w:p>
    <w:p w14:paraId="5FFE611E" w14:textId="77777777" w:rsidR="003E4617" w:rsidRPr="005D6E61" w:rsidRDefault="00EB4548"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Calibri" w:hAnsi="Cambria"/>
          <w:sz w:val="20"/>
          <w:szCs w:val="20"/>
          <w:lang w:val="pt-BR"/>
        </w:rPr>
      </w:pPr>
      <w:r w:rsidRPr="005D6E61">
        <w:rPr>
          <w:rFonts w:ascii="Cambria" w:eastAsia="Calibri" w:hAnsi="Cambria"/>
          <w:sz w:val="20"/>
          <w:szCs w:val="20"/>
          <w:lang w:val="pt-BR"/>
        </w:rPr>
        <w:t>Também</w:t>
      </w:r>
      <w:r w:rsidR="000E3FE6" w:rsidRPr="005D6E61">
        <w:rPr>
          <w:rFonts w:ascii="Cambria" w:eastAsia="Calibri" w:hAnsi="Cambria"/>
          <w:sz w:val="20"/>
          <w:szCs w:val="20"/>
          <w:lang w:val="pt-BR"/>
        </w:rPr>
        <w:t xml:space="preserve"> inform</w:t>
      </w:r>
      <w:r w:rsidR="00BF0B90" w:rsidRPr="005D6E61">
        <w:rPr>
          <w:rFonts w:ascii="Cambria" w:eastAsia="Calibri" w:hAnsi="Cambria"/>
          <w:sz w:val="20"/>
          <w:szCs w:val="20"/>
          <w:lang w:val="pt-BR"/>
        </w:rPr>
        <w:t xml:space="preserve">ou </w:t>
      </w:r>
      <w:r w:rsidR="000E3FE6" w:rsidRPr="005D6E61">
        <w:rPr>
          <w:rFonts w:ascii="Cambria" w:eastAsia="Calibri" w:hAnsi="Cambria"/>
          <w:sz w:val="20"/>
          <w:szCs w:val="20"/>
          <w:lang w:val="pt-BR"/>
        </w:rPr>
        <w:t>que realiz</w:t>
      </w:r>
      <w:r w:rsidR="00BF0B90" w:rsidRPr="005D6E61">
        <w:rPr>
          <w:rFonts w:ascii="Cambria" w:eastAsia="Calibri" w:hAnsi="Cambria"/>
          <w:sz w:val="20"/>
          <w:szCs w:val="20"/>
          <w:lang w:val="pt-BR"/>
        </w:rPr>
        <w:t xml:space="preserve">ou </w:t>
      </w:r>
      <w:r w:rsidR="000E3FE6" w:rsidRPr="005D6E61">
        <w:rPr>
          <w:rFonts w:ascii="Cambria" w:eastAsia="Calibri" w:hAnsi="Cambria"/>
          <w:sz w:val="20"/>
          <w:szCs w:val="20"/>
          <w:lang w:val="pt-BR"/>
        </w:rPr>
        <w:t>gest</w:t>
      </w:r>
      <w:r w:rsidR="00184F5F" w:rsidRPr="005D6E61">
        <w:rPr>
          <w:rFonts w:ascii="Cambria" w:eastAsia="Calibri" w:hAnsi="Cambria"/>
          <w:sz w:val="20"/>
          <w:szCs w:val="20"/>
          <w:lang w:val="pt-BR"/>
        </w:rPr>
        <w:t>õ</w:t>
      </w:r>
      <w:r w:rsidR="000E3FE6" w:rsidRPr="005D6E61">
        <w:rPr>
          <w:rFonts w:ascii="Cambria" w:eastAsia="Calibri" w:hAnsi="Cambria"/>
          <w:sz w:val="20"/>
          <w:szCs w:val="20"/>
          <w:lang w:val="pt-BR"/>
        </w:rPr>
        <w:t>es para que</w:t>
      </w:r>
      <w:r w:rsidR="00331E62" w:rsidRPr="005D6E61">
        <w:rPr>
          <w:rFonts w:ascii="Cambria" w:eastAsia="Calibri" w:hAnsi="Cambria"/>
          <w:sz w:val="20"/>
          <w:szCs w:val="20"/>
          <w:lang w:val="pt-BR"/>
        </w:rPr>
        <w:t xml:space="preserve"> a </w:t>
      </w:r>
      <w:r w:rsidRPr="005D6E61">
        <w:rPr>
          <w:rFonts w:ascii="Cambria" w:eastAsia="Calibri" w:hAnsi="Cambria"/>
          <w:sz w:val="20"/>
          <w:szCs w:val="20"/>
          <w:lang w:val="pt-BR"/>
        </w:rPr>
        <w:t>família</w:t>
      </w:r>
      <w:r w:rsidR="000E3FE6" w:rsidRPr="005D6E61">
        <w:rPr>
          <w:rFonts w:ascii="Cambria" w:eastAsia="Calibri" w:hAnsi="Cambria"/>
          <w:sz w:val="20"/>
          <w:szCs w:val="20"/>
          <w:lang w:val="pt-BR"/>
        </w:rPr>
        <w:t xml:space="preserve"> </w:t>
      </w:r>
      <w:r w:rsidRPr="005D6E61">
        <w:rPr>
          <w:rFonts w:ascii="Cambria" w:eastAsia="Calibri" w:hAnsi="Cambria"/>
          <w:sz w:val="20"/>
          <w:szCs w:val="20"/>
          <w:lang w:val="pt-BR"/>
        </w:rPr>
        <w:t>receba</w:t>
      </w:r>
      <w:r w:rsidR="006C5454" w:rsidRPr="005D6E61">
        <w:rPr>
          <w:rFonts w:ascii="Cambria" w:eastAsia="Calibri" w:hAnsi="Cambria"/>
          <w:sz w:val="20"/>
          <w:szCs w:val="20"/>
          <w:lang w:val="pt-BR"/>
        </w:rPr>
        <w:t xml:space="preserve"> uma </w:t>
      </w:r>
      <w:r w:rsidRPr="005D6E61">
        <w:rPr>
          <w:rFonts w:ascii="Cambria" w:eastAsia="Calibri" w:hAnsi="Cambria"/>
          <w:sz w:val="20"/>
          <w:szCs w:val="20"/>
          <w:lang w:val="pt-BR"/>
        </w:rPr>
        <w:t>inde</w:t>
      </w:r>
      <w:r w:rsidR="000E3FE6" w:rsidRPr="005D6E61">
        <w:rPr>
          <w:rFonts w:ascii="Cambria" w:eastAsia="Calibri" w:hAnsi="Cambria"/>
          <w:sz w:val="20"/>
          <w:szCs w:val="20"/>
          <w:lang w:val="pt-BR"/>
        </w:rPr>
        <w:t>niza</w:t>
      </w:r>
      <w:r w:rsidR="00A274D9" w:rsidRPr="005D6E61">
        <w:rPr>
          <w:rFonts w:ascii="Cambria" w:eastAsia="Calibri" w:hAnsi="Cambria"/>
          <w:sz w:val="20"/>
          <w:szCs w:val="20"/>
          <w:lang w:val="pt-BR"/>
        </w:rPr>
        <w:t>ção</w:t>
      </w:r>
      <w:r w:rsidR="000E3FE6" w:rsidRPr="005D6E61">
        <w:rPr>
          <w:rFonts w:ascii="Cambria" w:eastAsia="Calibri" w:hAnsi="Cambria"/>
          <w:sz w:val="20"/>
          <w:szCs w:val="20"/>
          <w:lang w:val="pt-BR"/>
        </w:rPr>
        <w:t>,</w:t>
      </w:r>
      <w:r w:rsidR="006C5454" w:rsidRPr="005D6E61">
        <w:rPr>
          <w:rFonts w:ascii="Cambria" w:eastAsia="Calibri" w:hAnsi="Cambria"/>
          <w:sz w:val="20"/>
          <w:szCs w:val="20"/>
          <w:lang w:val="pt-BR"/>
        </w:rPr>
        <w:t xml:space="preserve"> e </w:t>
      </w:r>
      <w:r w:rsidR="000E3FE6" w:rsidRPr="005D6E61">
        <w:rPr>
          <w:rFonts w:ascii="Cambria" w:eastAsia="Calibri" w:hAnsi="Cambria"/>
          <w:sz w:val="20"/>
          <w:szCs w:val="20"/>
          <w:lang w:val="pt-BR"/>
        </w:rPr>
        <w:t xml:space="preserve">se </w:t>
      </w:r>
      <w:r w:rsidR="00E10B26" w:rsidRPr="005D6E61">
        <w:rPr>
          <w:rFonts w:ascii="Cambria" w:eastAsia="Calibri" w:hAnsi="Cambria"/>
          <w:sz w:val="20"/>
          <w:szCs w:val="20"/>
          <w:lang w:val="pt-BR"/>
        </w:rPr>
        <w:t>faça</w:t>
      </w:r>
      <w:r w:rsidR="000E3FE6" w:rsidRPr="005D6E61">
        <w:rPr>
          <w:rFonts w:ascii="Cambria" w:eastAsia="Calibri" w:hAnsi="Cambria"/>
          <w:sz w:val="20"/>
          <w:szCs w:val="20"/>
          <w:lang w:val="pt-BR"/>
        </w:rPr>
        <w:t xml:space="preserve"> tanto</w:t>
      </w:r>
      <w:r w:rsidR="00275A65" w:rsidRPr="005D6E61">
        <w:rPr>
          <w:rFonts w:ascii="Cambria" w:eastAsia="Calibri" w:hAnsi="Cambria"/>
          <w:sz w:val="20"/>
          <w:szCs w:val="20"/>
          <w:lang w:val="pt-BR"/>
        </w:rPr>
        <w:t xml:space="preserve"> um </w:t>
      </w:r>
      <w:r w:rsidR="000E3FE6" w:rsidRPr="005D6E61">
        <w:rPr>
          <w:rFonts w:ascii="Cambria" w:eastAsia="Calibri" w:hAnsi="Cambria"/>
          <w:sz w:val="20"/>
          <w:szCs w:val="20"/>
          <w:lang w:val="pt-BR"/>
        </w:rPr>
        <w:t xml:space="preserve">pedido de </w:t>
      </w:r>
      <w:r w:rsidRPr="005D6E61">
        <w:rPr>
          <w:rFonts w:ascii="Cambria" w:eastAsia="Calibri" w:hAnsi="Cambria"/>
          <w:sz w:val="20"/>
          <w:szCs w:val="20"/>
          <w:lang w:val="pt-BR"/>
        </w:rPr>
        <w:t>desculpas</w:t>
      </w:r>
      <w:r w:rsidR="000E3FE6" w:rsidRPr="005D6E61">
        <w:rPr>
          <w:rFonts w:ascii="Cambria" w:eastAsia="Calibri" w:hAnsi="Cambria"/>
          <w:sz w:val="20"/>
          <w:szCs w:val="20"/>
          <w:lang w:val="pt-BR"/>
        </w:rPr>
        <w:t xml:space="preserve"> públicas como</w:t>
      </w:r>
      <w:r w:rsidR="00275A65" w:rsidRPr="005D6E61">
        <w:rPr>
          <w:rFonts w:ascii="Cambria" w:eastAsia="Calibri" w:hAnsi="Cambria"/>
          <w:sz w:val="20"/>
          <w:szCs w:val="20"/>
          <w:lang w:val="pt-BR"/>
        </w:rPr>
        <w:t xml:space="preserve"> um </w:t>
      </w:r>
      <w:r w:rsidRPr="005D6E61">
        <w:rPr>
          <w:rFonts w:ascii="Cambria" w:eastAsia="Calibri" w:hAnsi="Cambria"/>
          <w:sz w:val="20"/>
          <w:szCs w:val="20"/>
          <w:lang w:val="pt-BR"/>
        </w:rPr>
        <w:t>reconhecimento</w:t>
      </w:r>
      <w:r w:rsidR="00675058" w:rsidRPr="005D6E61">
        <w:rPr>
          <w:rFonts w:ascii="Cambria" w:eastAsia="Calibri" w:hAnsi="Cambria"/>
          <w:sz w:val="20"/>
          <w:szCs w:val="20"/>
          <w:lang w:val="pt-BR"/>
        </w:rPr>
        <w:t xml:space="preserve"> da </w:t>
      </w:r>
      <w:r w:rsidR="000E3FE6" w:rsidRPr="005D6E61">
        <w:rPr>
          <w:rFonts w:ascii="Cambria" w:eastAsia="Calibri" w:hAnsi="Cambria"/>
          <w:sz w:val="20"/>
          <w:szCs w:val="20"/>
          <w:lang w:val="pt-BR"/>
        </w:rPr>
        <w:t>responsabili</w:t>
      </w:r>
      <w:r w:rsidR="00FB55C7" w:rsidRPr="005D6E61">
        <w:rPr>
          <w:rFonts w:ascii="Cambria" w:eastAsia="Calibri" w:hAnsi="Cambria"/>
          <w:sz w:val="20"/>
          <w:szCs w:val="20"/>
          <w:lang w:val="pt-BR"/>
        </w:rPr>
        <w:t xml:space="preserve">dade </w:t>
      </w:r>
      <w:r w:rsidR="00F77B7F" w:rsidRPr="005D6E61">
        <w:rPr>
          <w:rFonts w:ascii="Cambria" w:eastAsia="Calibri" w:hAnsi="Cambria"/>
          <w:sz w:val="20"/>
          <w:szCs w:val="20"/>
          <w:lang w:val="pt-BR"/>
        </w:rPr>
        <w:t xml:space="preserve">do </w:t>
      </w:r>
      <w:r w:rsidR="000E3FE6" w:rsidRPr="005D6E61">
        <w:rPr>
          <w:rFonts w:ascii="Cambria" w:eastAsia="Calibri" w:hAnsi="Cambria"/>
          <w:sz w:val="20"/>
          <w:szCs w:val="20"/>
          <w:lang w:val="pt-BR"/>
        </w:rPr>
        <w:t>Estado</w:t>
      </w:r>
      <w:r w:rsidR="003B62AF" w:rsidRPr="005D6E61">
        <w:rPr>
          <w:rFonts w:ascii="Cambria" w:eastAsia="Calibri" w:hAnsi="Cambria"/>
          <w:sz w:val="20"/>
          <w:szCs w:val="20"/>
          <w:lang w:val="pt-BR"/>
        </w:rPr>
        <w:t xml:space="preserve"> pela </w:t>
      </w:r>
      <w:r w:rsidR="000E3FE6" w:rsidRPr="005D6E61">
        <w:rPr>
          <w:rFonts w:ascii="Cambria" w:eastAsia="Calibri" w:hAnsi="Cambria"/>
          <w:sz w:val="20"/>
          <w:szCs w:val="20"/>
          <w:lang w:val="pt-BR"/>
        </w:rPr>
        <w:t>demora proces</w:t>
      </w:r>
      <w:r w:rsidR="00E10B26" w:rsidRPr="005D6E61">
        <w:rPr>
          <w:rFonts w:ascii="Cambria" w:eastAsia="Calibri" w:hAnsi="Cambria"/>
          <w:sz w:val="20"/>
          <w:szCs w:val="20"/>
          <w:lang w:val="pt-BR"/>
        </w:rPr>
        <w:t>su</w:t>
      </w:r>
      <w:r w:rsidR="000E3FE6" w:rsidRPr="005D6E61">
        <w:rPr>
          <w:rFonts w:ascii="Cambria" w:eastAsia="Calibri" w:hAnsi="Cambria"/>
          <w:sz w:val="20"/>
          <w:szCs w:val="20"/>
          <w:lang w:val="pt-BR"/>
        </w:rPr>
        <w:t>al</w:t>
      </w:r>
      <w:r w:rsidR="00331E62" w:rsidRPr="005D6E61">
        <w:rPr>
          <w:rFonts w:ascii="Cambria" w:eastAsia="Calibri" w:hAnsi="Cambria"/>
          <w:sz w:val="20"/>
          <w:szCs w:val="20"/>
          <w:lang w:val="pt-BR"/>
        </w:rPr>
        <w:t xml:space="preserve"> no </w:t>
      </w:r>
      <w:r w:rsidR="008C4C7D" w:rsidRPr="005D6E61">
        <w:rPr>
          <w:rFonts w:ascii="Cambria" w:eastAsia="Calibri" w:hAnsi="Cambria"/>
          <w:sz w:val="20"/>
          <w:szCs w:val="20"/>
          <w:lang w:val="pt-BR"/>
        </w:rPr>
        <w:t>caso.</w:t>
      </w:r>
      <w:r w:rsidR="00331E62" w:rsidRPr="005D6E61">
        <w:rPr>
          <w:rFonts w:ascii="Cambria" w:eastAsia="Calibri" w:hAnsi="Cambria"/>
          <w:sz w:val="20"/>
          <w:szCs w:val="20"/>
          <w:lang w:val="pt-BR"/>
        </w:rPr>
        <w:t xml:space="preserve"> </w:t>
      </w:r>
      <w:r w:rsidR="00184F5F" w:rsidRPr="005D6E61">
        <w:rPr>
          <w:rFonts w:ascii="Cambria" w:eastAsia="Calibri" w:hAnsi="Cambria"/>
          <w:sz w:val="20"/>
          <w:szCs w:val="20"/>
          <w:lang w:val="pt-BR"/>
        </w:rPr>
        <w:t>O</w:t>
      </w:r>
      <w:r w:rsidR="00331E62" w:rsidRPr="005D6E61">
        <w:rPr>
          <w:rFonts w:ascii="Cambria" w:eastAsia="Calibri" w:hAnsi="Cambria"/>
          <w:sz w:val="20"/>
          <w:szCs w:val="20"/>
          <w:lang w:val="pt-BR"/>
        </w:rPr>
        <w:t xml:space="preserve"> </w:t>
      </w:r>
      <w:r w:rsidR="00872E93" w:rsidRPr="005D6E61">
        <w:rPr>
          <w:rFonts w:ascii="Cambria" w:eastAsia="Calibri" w:hAnsi="Cambria"/>
          <w:sz w:val="20"/>
          <w:szCs w:val="20"/>
          <w:lang w:val="pt-BR"/>
        </w:rPr>
        <w:t>Estado</w:t>
      </w:r>
      <w:r w:rsidR="00F77B7F" w:rsidRPr="005D6E61">
        <w:rPr>
          <w:rFonts w:ascii="Cambria" w:eastAsia="Calibri" w:hAnsi="Cambria"/>
          <w:sz w:val="20"/>
          <w:szCs w:val="20"/>
          <w:lang w:val="pt-BR"/>
        </w:rPr>
        <w:t xml:space="preserve"> não </w:t>
      </w:r>
      <w:r w:rsidR="00872E93" w:rsidRPr="005D6E61">
        <w:rPr>
          <w:rFonts w:ascii="Cambria" w:eastAsia="Calibri" w:hAnsi="Cambria"/>
          <w:sz w:val="20"/>
          <w:szCs w:val="20"/>
          <w:lang w:val="pt-BR"/>
        </w:rPr>
        <w:t>inform</w:t>
      </w:r>
      <w:r w:rsidR="00BF0B90" w:rsidRPr="005D6E61">
        <w:rPr>
          <w:rFonts w:ascii="Cambria" w:eastAsia="Calibri" w:hAnsi="Cambria"/>
          <w:sz w:val="20"/>
          <w:szCs w:val="20"/>
          <w:lang w:val="pt-BR"/>
        </w:rPr>
        <w:t xml:space="preserve">ou </w:t>
      </w:r>
      <w:r w:rsidR="00872E93" w:rsidRPr="005D6E61">
        <w:rPr>
          <w:rFonts w:ascii="Cambria" w:eastAsia="Calibri" w:hAnsi="Cambria"/>
          <w:sz w:val="20"/>
          <w:szCs w:val="20"/>
          <w:lang w:val="pt-BR"/>
        </w:rPr>
        <w:t>posteriormente sobre medidas concretas</w:t>
      </w:r>
      <w:r w:rsidR="00CD523F" w:rsidRPr="005D6E61">
        <w:rPr>
          <w:rFonts w:ascii="Cambria" w:eastAsia="Calibri" w:hAnsi="Cambria"/>
          <w:sz w:val="20"/>
          <w:szCs w:val="20"/>
          <w:lang w:val="pt-BR"/>
        </w:rPr>
        <w:t xml:space="preserve"> a </w:t>
      </w:r>
      <w:r w:rsidRPr="005D6E61">
        <w:rPr>
          <w:rFonts w:ascii="Cambria" w:eastAsia="Calibri" w:hAnsi="Cambria"/>
          <w:sz w:val="20"/>
          <w:szCs w:val="20"/>
          <w:lang w:val="pt-BR"/>
        </w:rPr>
        <w:t>respeito</w:t>
      </w:r>
      <w:r w:rsidR="00872E93" w:rsidRPr="005D6E61">
        <w:rPr>
          <w:rFonts w:ascii="Cambria" w:eastAsia="Calibri" w:hAnsi="Cambria"/>
          <w:sz w:val="20"/>
          <w:szCs w:val="20"/>
          <w:lang w:val="pt-BR"/>
        </w:rPr>
        <w:t xml:space="preserve">. </w:t>
      </w:r>
    </w:p>
    <w:p w14:paraId="3CE0A4E0" w14:textId="77777777" w:rsidR="003E4617" w:rsidRPr="005D6E61" w:rsidRDefault="003E4617" w:rsidP="003E4617">
      <w:pPr>
        <w:pStyle w:val="ListParagraph"/>
        <w:rPr>
          <w:rFonts w:eastAsia="Calibri"/>
          <w:sz w:val="20"/>
          <w:szCs w:val="20"/>
          <w:lang w:val="pt-BR"/>
        </w:rPr>
      </w:pPr>
    </w:p>
    <w:p w14:paraId="1121EB36" w14:textId="77777777" w:rsidR="00315C45" w:rsidRPr="005D6E61" w:rsidRDefault="008C4C7D" w:rsidP="00D55F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Calibri" w:hAnsi="Cambria"/>
          <w:sz w:val="20"/>
          <w:szCs w:val="20"/>
          <w:lang w:val="pt-BR"/>
        </w:rPr>
      </w:pPr>
      <w:r w:rsidRPr="005D6E61">
        <w:rPr>
          <w:rFonts w:ascii="Cambria" w:eastAsia="Calibri" w:hAnsi="Cambria"/>
          <w:sz w:val="20"/>
          <w:szCs w:val="20"/>
          <w:lang w:val="pt-BR"/>
        </w:rPr>
        <w:t xml:space="preserve"> Finalmente, indic</w:t>
      </w:r>
      <w:r w:rsidR="00BF0B90" w:rsidRPr="005D6E61">
        <w:rPr>
          <w:rFonts w:ascii="Cambria" w:eastAsia="Calibri" w:hAnsi="Cambria"/>
          <w:sz w:val="20"/>
          <w:szCs w:val="20"/>
          <w:lang w:val="pt-BR"/>
        </w:rPr>
        <w:t xml:space="preserve">ou </w:t>
      </w:r>
      <w:r w:rsidRPr="005D6E61">
        <w:rPr>
          <w:rFonts w:ascii="Cambria" w:eastAsia="Calibri" w:hAnsi="Cambria"/>
          <w:sz w:val="20"/>
          <w:szCs w:val="20"/>
          <w:lang w:val="pt-BR"/>
        </w:rPr>
        <w:t xml:space="preserve">que </w:t>
      </w:r>
      <w:r w:rsidR="00184F5F" w:rsidRPr="005D6E61">
        <w:rPr>
          <w:rFonts w:ascii="Cambria" w:eastAsia="Calibri" w:hAnsi="Cambria"/>
          <w:sz w:val="20"/>
          <w:szCs w:val="20"/>
          <w:lang w:val="pt-BR"/>
        </w:rPr>
        <w:t>foi</w:t>
      </w:r>
      <w:r w:rsidRPr="005D6E61">
        <w:rPr>
          <w:rFonts w:ascii="Cambria" w:eastAsia="Calibri" w:hAnsi="Cambria"/>
          <w:sz w:val="20"/>
          <w:szCs w:val="20"/>
          <w:lang w:val="pt-BR"/>
        </w:rPr>
        <w:t xml:space="preserve"> cr</w:t>
      </w:r>
      <w:r w:rsidR="00184F5F" w:rsidRPr="005D6E61">
        <w:rPr>
          <w:rFonts w:ascii="Cambria" w:eastAsia="Calibri" w:hAnsi="Cambria"/>
          <w:sz w:val="20"/>
          <w:szCs w:val="20"/>
          <w:lang w:val="pt-BR"/>
        </w:rPr>
        <w:t>iado</w:t>
      </w:r>
      <w:r w:rsidR="00BF0B90" w:rsidRPr="005D6E61">
        <w:rPr>
          <w:rFonts w:ascii="Cambria" w:eastAsia="Calibri" w:hAnsi="Cambria"/>
          <w:sz w:val="20"/>
          <w:szCs w:val="20"/>
          <w:lang w:val="pt-BR"/>
        </w:rPr>
        <w:t xml:space="preserve"> </w:t>
      </w:r>
      <w:r w:rsidR="00331E62" w:rsidRPr="005D6E61">
        <w:rPr>
          <w:rFonts w:ascii="Cambria" w:eastAsia="Calibri" w:hAnsi="Cambria"/>
          <w:sz w:val="20"/>
          <w:szCs w:val="20"/>
          <w:lang w:val="pt-BR"/>
        </w:rPr>
        <w:t xml:space="preserve">o </w:t>
      </w:r>
      <w:r w:rsidRPr="005D6E61">
        <w:rPr>
          <w:rFonts w:ascii="Cambria" w:eastAsia="Calibri" w:hAnsi="Cambria"/>
          <w:sz w:val="20"/>
          <w:szCs w:val="20"/>
          <w:lang w:val="pt-BR"/>
        </w:rPr>
        <w:t>Programa de Prote</w:t>
      </w:r>
      <w:r w:rsidR="00704E7B" w:rsidRPr="005D6E61">
        <w:rPr>
          <w:rFonts w:ascii="Cambria" w:eastAsia="Calibri" w:hAnsi="Cambria"/>
          <w:sz w:val="20"/>
          <w:szCs w:val="20"/>
          <w:lang w:val="pt-BR"/>
        </w:rPr>
        <w:t>ç</w:t>
      </w:r>
      <w:r w:rsidR="00A274D9" w:rsidRPr="005D6E61">
        <w:rPr>
          <w:rFonts w:ascii="Cambria" w:eastAsia="Calibri" w:hAnsi="Cambria"/>
          <w:sz w:val="20"/>
          <w:szCs w:val="20"/>
          <w:lang w:val="pt-BR"/>
        </w:rPr>
        <w:t>ão</w:t>
      </w:r>
      <w:r w:rsidRPr="005D6E61">
        <w:rPr>
          <w:rFonts w:ascii="Cambria" w:eastAsia="Calibri" w:hAnsi="Cambria"/>
          <w:sz w:val="20"/>
          <w:szCs w:val="20"/>
          <w:lang w:val="pt-BR"/>
        </w:rPr>
        <w:t xml:space="preserve"> para Defensores de </w:t>
      </w:r>
      <w:r w:rsidR="00675058" w:rsidRPr="005D6E61">
        <w:rPr>
          <w:rFonts w:ascii="Cambria" w:eastAsia="Calibri" w:hAnsi="Cambria"/>
          <w:sz w:val="20"/>
          <w:szCs w:val="20"/>
          <w:lang w:val="pt-BR"/>
        </w:rPr>
        <w:t>Direito</w:t>
      </w:r>
      <w:r w:rsidRPr="005D6E61">
        <w:rPr>
          <w:rFonts w:ascii="Cambria" w:eastAsia="Calibri" w:hAnsi="Cambria"/>
          <w:sz w:val="20"/>
          <w:szCs w:val="20"/>
          <w:lang w:val="pt-BR"/>
        </w:rPr>
        <w:t xml:space="preserve">s Humanos a </w:t>
      </w:r>
      <w:r w:rsidR="00EB4548" w:rsidRPr="005D6E61">
        <w:rPr>
          <w:rFonts w:ascii="Cambria" w:eastAsia="Calibri" w:hAnsi="Cambria"/>
          <w:sz w:val="20"/>
          <w:szCs w:val="20"/>
          <w:lang w:val="pt-BR"/>
        </w:rPr>
        <w:t>fim</w:t>
      </w:r>
      <w:r w:rsidRPr="005D6E61">
        <w:rPr>
          <w:rFonts w:ascii="Cambria" w:eastAsia="Calibri" w:hAnsi="Cambria"/>
          <w:sz w:val="20"/>
          <w:szCs w:val="20"/>
          <w:lang w:val="pt-BR"/>
        </w:rPr>
        <w:t xml:space="preserve"> de prevenir atentados</w:t>
      </w:r>
      <w:r w:rsidR="00F77B7F" w:rsidRPr="005D6E61">
        <w:rPr>
          <w:rFonts w:ascii="Cambria" w:eastAsia="Calibri" w:hAnsi="Cambria"/>
          <w:sz w:val="20"/>
          <w:szCs w:val="20"/>
          <w:lang w:val="pt-BR"/>
        </w:rPr>
        <w:t xml:space="preserve"> </w:t>
      </w:r>
      <w:r w:rsidRPr="005D6E61">
        <w:rPr>
          <w:rFonts w:ascii="Cambria" w:eastAsia="Calibri" w:hAnsi="Cambria"/>
          <w:sz w:val="20"/>
          <w:szCs w:val="20"/>
          <w:lang w:val="pt-BR"/>
        </w:rPr>
        <w:t>contra</w:t>
      </w:r>
      <w:r w:rsidR="00E10B26" w:rsidRPr="005D6E61">
        <w:rPr>
          <w:rFonts w:ascii="Cambria" w:eastAsia="Calibri" w:hAnsi="Cambria"/>
          <w:sz w:val="20"/>
          <w:szCs w:val="20"/>
          <w:lang w:val="pt-BR"/>
        </w:rPr>
        <w:t xml:space="preserve"> eles</w:t>
      </w:r>
      <w:r w:rsidRPr="005D6E61">
        <w:rPr>
          <w:rFonts w:ascii="Cambria" w:eastAsia="Calibri" w:hAnsi="Cambria"/>
          <w:sz w:val="20"/>
          <w:szCs w:val="20"/>
          <w:lang w:val="pt-BR"/>
        </w:rPr>
        <w:t>,</w:t>
      </w:r>
      <w:r w:rsidR="00331E62" w:rsidRPr="005D6E61">
        <w:rPr>
          <w:rFonts w:ascii="Cambria" w:eastAsia="Calibri" w:hAnsi="Cambria"/>
          <w:sz w:val="20"/>
          <w:szCs w:val="20"/>
          <w:lang w:val="pt-BR"/>
        </w:rPr>
        <w:t xml:space="preserve"> o </w:t>
      </w:r>
      <w:r w:rsidR="005A2381" w:rsidRPr="005D6E61">
        <w:rPr>
          <w:rFonts w:ascii="Cambria" w:eastAsia="Calibri" w:hAnsi="Cambria"/>
          <w:sz w:val="20"/>
          <w:szCs w:val="20"/>
          <w:lang w:val="pt-BR"/>
        </w:rPr>
        <w:t>qua</w:t>
      </w:r>
      <w:r w:rsidR="009E2717" w:rsidRPr="005D6E61">
        <w:rPr>
          <w:rFonts w:ascii="Cambria" w:eastAsia="Calibri" w:hAnsi="Cambria"/>
          <w:sz w:val="20"/>
          <w:szCs w:val="20"/>
          <w:lang w:val="pt-BR"/>
        </w:rPr>
        <w:t>l</w:t>
      </w:r>
      <w:r w:rsidRPr="005D6E61">
        <w:rPr>
          <w:rFonts w:ascii="Cambria" w:eastAsia="Calibri" w:hAnsi="Cambria"/>
          <w:sz w:val="20"/>
          <w:szCs w:val="20"/>
          <w:lang w:val="pt-BR"/>
        </w:rPr>
        <w:t xml:space="preserve"> inclu</w:t>
      </w:r>
      <w:r w:rsidR="00E10B26" w:rsidRPr="005D6E61">
        <w:rPr>
          <w:rFonts w:ascii="Cambria" w:eastAsia="Calibri" w:hAnsi="Cambria"/>
          <w:sz w:val="20"/>
          <w:szCs w:val="20"/>
          <w:lang w:val="pt-BR"/>
        </w:rPr>
        <w:t>i</w:t>
      </w:r>
      <w:r w:rsidR="00331E62" w:rsidRPr="005D6E61">
        <w:rPr>
          <w:rFonts w:ascii="Cambria" w:eastAsia="Calibri" w:hAnsi="Cambria"/>
          <w:sz w:val="20"/>
          <w:szCs w:val="20"/>
          <w:lang w:val="pt-BR"/>
        </w:rPr>
        <w:t xml:space="preserve"> a </w:t>
      </w:r>
      <w:r w:rsidR="00EB4548" w:rsidRPr="005D6E61">
        <w:rPr>
          <w:rFonts w:ascii="Cambria" w:eastAsia="Calibri" w:hAnsi="Cambria"/>
          <w:sz w:val="20"/>
          <w:szCs w:val="20"/>
          <w:lang w:val="pt-BR"/>
        </w:rPr>
        <w:t>coordenação</w:t>
      </w:r>
      <w:r w:rsidRPr="005D6E61">
        <w:rPr>
          <w:rFonts w:ascii="Cambria" w:eastAsia="Calibri" w:hAnsi="Cambria"/>
          <w:sz w:val="20"/>
          <w:szCs w:val="20"/>
          <w:lang w:val="pt-BR"/>
        </w:rPr>
        <w:t xml:space="preserve"> entre </w:t>
      </w:r>
      <w:r w:rsidR="00E37676" w:rsidRPr="005D6E61">
        <w:rPr>
          <w:rFonts w:ascii="Cambria" w:eastAsia="Calibri" w:hAnsi="Cambria"/>
          <w:sz w:val="20"/>
          <w:szCs w:val="20"/>
          <w:lang w:val="pt-BR"/>
        </w:rPr>
        <w:t>órgão</w:t>
      </w:r>
      <w:r w:rsidRPr="005D6E61">
        <w:rPr>
          <w:rFonts w:ascii="Cambria" w:eastAsia="Calibri" w:hAnsi="Cambria"/>
          <w:sz w:val="20"/>
          <w:szCs w:val="20"/>
          <w:lang w:val="pt-BR"/>
        </w:rPr>
        <w:t>s</w:t>
      </w:r>
      <w:r w:rsidR="006C5454" w:rsidRPr="005D6E61">
        <w:rPr>
          <w:rFonts w:ascii="Cambria" w:eastAsia="Calibri" w:hAnsi="Cambria"/>
          <w:sz w:val="20"/>
          <w:szCs w:val="20"/>
          <w:lang w:val="pt-BR"/>
        </w:rPr>
        <w:t xml:space="preserve"> e </w:t>
      </w:r>
      <w:r w:rsidRPr="005D6E61">
        <w:rPr>
          <w:rFonts w:ascii="Cambria" w:eastAsia="Calibri" w:hAnsi="Cambria"/>
          <w:sz w:val="20"/>
          <w:szCs w:val="20"/>
          <w:lang w:val="pt-BR"/>
        </w:rPr>
        <w:t>entidades g</w:t>
      </w:r>
      <w:r w:rsidR="00E10B26" w:rsidRPr="005D6E61">
        <w:rPr>
          <w:rFonts w:ascii="Cambria" w:eastAsia="Calibri" w:hAnsi="Cambria"/>
          <w:sz w:val="20"/>
          <w:szCs w:val="20"/>
          <w:lang w:val="pt-BR"/>
        </w:rPr>
        <w:t>ov</w:t>
      </w:r>
      <w:r w:rsidRPr="005D6E61">
        <w:rPr>
          <w:rFonts w:ascii="Cambria" w:eastAsia="Calibri" w:hAnsi="Cambria"/>
          <w:sz w:val="20"/>
          <w:szCs w:val="20"/>
          <w:lang w:val="pt-BR"/>
        </w:rPr>
        <w:t>ernament</w:t>
      </w:r>
      <w:r w:rsidR="00331E62" w:rsidRPr="005D6E61">
        <w:rPr>
          <w:rFonts w:ascii="Cambria" w:eastAsia="Calibri" w:hAnsi="Cambria"/>
          <w:sz w:val="20"/>
          <w:szCs w:val="20"/>
          <w:lang w:val="pt-BR"/>
        </w:rPr>
        <w:t>ais</w:t>
      </w:r>
      <w:r w:rsidR="006C5454" w:rsidRPr="005D6E61">
        <w:rPr>
          <w:rFonts w:ascii="Cambria" w:eastAsia="Calibri" w:hAnsi="Cambria"/>
          <w:sz w:val="20"/>
          <w:szCs w:val="20"/>
          <w:lang w:val="pt-BR"/>
        </w:rPr>
        <w:t xml:space="preserve"> e </w:t>
      </w:r>
      <w:r w:rsidR="00E10B26" w:rsidRPr="005D6E61">
        <w:rPr>
          <w:rFonts w:ascii="Cambria" w:eastAsia="Calibri" w:hAnsi="Cambria"/>
          <w:sz w:val="20"/>
          <w:szCs w:val="20"/>
          <w:lang w:val="pt-BR"/>
        </w:rPr>
        <w:t>civi</w:t>
      </w:r>
      <w:r w:rsidRPr="005D6E61">
        <w:rPr>
          <w:rFonts w:ascii="Cambria" w:eastAsia="Calibri" w:hAnsi="Cambria"/>
          <w:sz w:val="20"/>
          <w:szCs w:val="20"/>
          <w:lang w:val="pt-BR"/>
        </w:rPr>
        <w:t>s para que se res</w:t>
      </w:r>
      <w:r w:rsidR="00E10B26" w:rsidRPr="005D6E61">
        <w:rPr>
          <w:rFonts w:ascii="Cambria" w:eastAsia="Calibri" w:hAnsi="Cambria"/>
          <w:sz w:val="20"/>
          <w:szCs w:val="20"/>
          <w:lang w:val="pt-BR"/>
        </w:rPr>
        <w:t>o</w:t>
      </w:r>
      <w:r w:rsidRPr="005D6E61">
        <w:rPr>
          <w:rFonts w:ascii="Cambria" w:eastAsia="Calibri" w:hAnsi="Cambria"/>
          <w:sz w:val="20"/>
          <w:szCs w:val="20"/>
          <w:lang w:val="pt-BR"/>
        </w:rPr>
        <w:t>lva</w:t>
      </w:r>
      <w:r w:rsidR="00E10B26" w:rsidRPr="005D6E61">
        <w:rPr>
          <w:rFonts w:ascii="Cambria" w:eastAsia="Calibri" w:hAnsi="Cambria"/>
          <w:sz w:val="20"/>
          <w:szCs w:val="20"/>
          <w:lang w:val="pt-BR"/>
        </w:rPr>
        <w:t>m</w:t>
      </w:r>
      <w:r w:rsidRPr="005D6E61">
        <w:rPr>
          <w:rFonts w:ascii="Cambria" w:eastAsia="Calibri" w:hAnsi="Cambria"/>
          <w:sz w:val="20"/>
          <w:szCs w:val="20"/>
          <w:lang w:val="pt-BR"/>
        </w:rPr>
        <w:t xml:space="preserve"> </w:t>
      </w:r>
      <w:r w:rsidR="00EB4548" w:rsidRPr="005D6E61">
        <w:rPr>
          <w:rFonts w:ascii="Cambria" w:eastAsia="Calibri" w:hAnsi="Cambria"/>
          <w:sz w:val="20"/>
          <w:szCs w:val="20"/>
          <w:lang w:val="pt-BR"/>
        </w:rPr>
        <w:t>controvérsias</w:t>
      </w:r>
      <w:r w:rsidRPr="005D6E61">
        <w:rPr>
          <w:rFonts w:ascii="Cambria" w:eastAsia="Calibri" w:hAnsi="Cambria"/>
          <w:sz w:val="20"/>
          <w:szCs w:val="20"/>
          <w:lang w:val="pt-BR"/>
        </w:rPr>
        <w:t>.</w:t>
      </w:r>
    </w:p>
    <w:p w14:paraId="5D49352E" w14:textId="77777777" w:rsidR="00AA70A5" w:rsidRPr="005D6E61" w:rsidRDefault="00AA70A5" w:rsidP="00AA70A5">
      <w:pPr>
        <w:rPr>
          <w:lang w:val="pt-BR"/>
        </w:rPr>
      </w:pPr>
    </w:p>
    <w:p w14:paraId="5C8A1940" w14:textId="77777777" w:rsidR="00AA70A5" w:rsidRPr="005D6E61" w:rsidRDefault="00AA70A5" w:rsidP="00AA70A5">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color w:val="auto"/>
          <w:lang w:val="pt-BR"/>
        </w:rPr>
      </w:pPr>
      <w:bookmarkStart w:id="12" w:name="_Toc27990558"/>
      <w:r w:rsidRPr="005D6E61">
        <w:rPr>
          <w:color w:val="auto"/>
          <w:sz w:val="20"/>
          <w:szCs w:val="20"/>
          <w:lang w:val="pt-BR"/>
        </w:rPr>
        <w:t>DETERMINA</w:t>
      </w:r>
      <w:r w:rsidR="00F77B7F" w:rsidRPr="005D6E61">
        <w:rPr>
          <w:color w:val="auto"/>
          <w:sz w:val="20"/>
          <w:szCs w:val="20"/>
          <w:lang w:val="pt-BR"/>
        </w:rPr>
        <w:t>ÇÕES</w:t>
      </w:r>
      <w:r w:rsidR="00423C66" w:rsidRPr="005D6E61">
        <w:rPr>
          <w:color w:val="auto"/>
          <w:sz w:val="20"/>
          <w:szCs w:val="20"/>
          <w:lang w:val="pt-BR"/>
        </w:rPr>
        <w:t xml:space="preserve"> FÁ</w:t>
      </w:r>
      <w:r w:rsidRPr="005D6E61">
        <w:rPr>
          <w:color w:val="auto"/>
          <w:sz w:val="20"/>
          <w:szCs w:val="20"/>
          <w:lang w:val="pt-BR"/>
        </w:rPr>
        <w:t>TICAS</w:t>
      </w:r>
      <w:bookmarkEnd w:id="12"/>
    </w:p>
    <w:p w14:paraId="38F78989" w14:textId="77777777" w:rsidR="00AA70A5" w:rsidRPr="005D6E61" w:rsidRDefault="00AA70A5" w:rsidP="00592D32">
      <w:pPr>
        <w:pStyle w:val="Heading2"/>
        <w:numPr>
          <w:ilvl w:val="0"/>
          <w:numId w:val="59"/>
        </w:numPr>
        <w:ind w:left="1440" w:hanging="720"/>
        <w:rPr>
          <w:rFonts w:ascii="Cambria" w:hAnsi="Cambria"/>
          <w:i w:val="0"/>
          <w:sz w:val="20"/>
          <w:szCs w:val="20"/>
          <w:lang w:val="pt-BR"/>
        </w:rPr>
      </w:pPr>
      <w:bookmarkStart w:id="13" w:name="_Toc27990559"/>
      <w:r w:rsidRPr="005D6E61">
        <w:rPr>
          <w:rFonts w:ascii="Cambria" w:hAnsi="Cambria"/>
          <w:i w:val="0"/>
          <w:sz w:val="20"/>
          <w:szCs w:val="20"/>
          <w:lang w:val="pt-BR"/>
        </w:rPr>
        <w:t>Contexto de viol</w:t>
      </w:r>
      <w:r w:rsidR="00E37676" w:rsidRPr="005D6E61">
        <w:rPr>
          <w:rFonts w:ascii="Cambria" w:hAnsi="Cambria"/>
          <w:i w:val="0"/>
          <w:sz w:val="20"/>
          <w:szCs w:val="20"/>
          <w:lang w:val="pt-BR"/>
        </w:rPr>
        <w:t>ência</w:t>
      </w:r>
      <w:r w:rsidRPr="005D6E61">
        <w:rPr>
          <w:rFonts w:ascii="Cambria" w:hAnsi="Cambria"/>
          <w:i w:val="0"/>
          <w:sz w:val="20"/>
          <w:szCs w:val="20"/>
          <w:lang w:val="pt-BR"/>
        </w:rPr>
        <w:t xml:space="preserve"> contra defensoras</w:t>
      </w:r>
      <w:r w:rsidR="006C5454" w:rsidRPr="005D6E61">
        <w:rPr>
          <w:rFonts w:ascii="Cambria" w:hAnsi="Cambria"/>
          <w:i w:val="0"/>
          <w:sz w:val="20"/>
          <w:szCs w:val="20"/>
          <w:lang w:val="pt-BR"/>
        </w:rPr>
        <w:t xml:space="preserve"> e </w:t>
      </w:r>
      <w:r w:rsidRPr="005D6E61">
        <w:rPr>
          <w:rFonts w:ascii="Cambria" w:hAnsi="Cambria"/>
          <w:i w:val="0"/>
          <w:sz w:val="20"/>
          <w:szCs w:val="20"/>
          <w:lang w:val="pt-BR"/>
        </w:rPr>
        <w:t xml:space="preserve">defensores de </w:t>
      </w:r>
      <w:r w:rsidR="00675058" w:rsidRPr="005D6E61">
        <w:rPr>
          <w:rFonts w:ascii="Cambria" w:hAnsi="Cambria"/>
          <w:i w:val="0"/>
          <w:sz w:val="20"/>
          <w:szCs w:val="20"/>
          <w:lang w:val="pt-BR"/>
        </w:rPr>
        <w:t>direito</w:t>
      </w:r>
      <w:r w:rsidRPr="005D6E61">
        <w:rPr>
          <w:rFonts w:ascii="Cambria" w:hAnsi="Cambria"/>
          <w:i w:val="0"/>
          <w:sz w:val="20"/>
          <w:szCs w:val="20"/>
          <w:lang w:val="pt-BR"/>
        </w:rPr>
        <w:t xml:space="preserve">s </w:t>
      </w:r>
      <w:r w:rsidR="00E37676" w:rsidRPr="005D6E61">
        <w:rPr>
          <w:rFonts w:ascii="Cambria" w:hAnsi="Cambria"/>
          <w:i w:val="0"/>
          <w:sz w:val="20"/>
          <w:szCs w:val="20"/>
          <w:lang w:val="pt-BR"/>
        </w:rPr>
        <w:t>trabalhistas</w:t>
      </w:r>
      <w:r w:rsidR="00331E62" w:rsidRPr="005D6E61">
        <w:rPr>
          <w:rFonts w:ascii="Cambria" w:hAnsi="Cambria"/>
          <w:i w:val="0"/>
          <w:sz w:val="20"/>
          <w:szCs w:val="20"/>
          <w:lang w:val="pt-BR"/>
        </w:rPr>
        <w:t xml:space="preserve"> no </w:t>
      </w:r>
      <w:r w:rsidR="00EB4548" w:rsidRPr="005D6E61">
        <w:rPr>
          <w:rFonts w:ascii="Cambria" w:hAnsi="Cambria"/>
          <w:i w:val="0"/>
          <w:sz w:val="20"/>
          <w:szCs w:val="20"/>
          <w:lang w:val="pt-BR"/>
        </w:rPr>
        <w:t>âmbito</w:t>
      </w:r>
      <w:r w:rsidR="009C5F74" w:rsidRPr="005D6E61">
        <w:rPr>
          <w:rFonts w:ascii="Cambria" w:hAnsi="Cambria"/>
          <w:i w:val="0"/>
          <w:sz w:val="20"/>
          <w:szCs w:val="20"/>
          <w:lang w:val="pt-BR"/>
        </w:rPr>
        <w:t xml:space="preserve"> rural</w:t>
      </w:r>
      <w:r w:rsidR="008923B1" w:rsidRPr="005D6E61">
        <w:rPr>
          <w:rFonts w:ascii="Cambria" w:hAnsi="Cambria"/>
          <w:i w:val="0"/>
          <w:sz w:val="20"/>
          <w:szCs w:val="20"/>
          <w:lang w:val="pt-BR"/>
        </w:rPr>
        <w:t xml:space="preserve"> n</w:t>
      </w:r>
      <w:r w:rsidR="00CD523F" w:rsidRPr="005D6E61">
        <w:rPr>
          <w:rFonts w:ascii="Cambria" w:hAnsi="Cambria"/>
          <w:i w:val="0"/>
          <w:sz w:val="20"/>
          <w:szCs w:val="20"/>
          <w:lang w:val="pt-BR"/>
        </w:rPr>
        <w:t xml:space="preserve">o </w:t>
      </w:r>
      <w:r w:rsidRPr="005D6E61">
        <w:rPr>
          <w:rFonts w:ascii="Cambria" w:hAnsi="Cambria"/>
          <w:i w:val="0"/>
          <w:sz w:val="20"/>
          <w:szCs w:val="20"/>
          <w:lang w:val="pt-BR"/>
        </w:rPr>
        <w:t>momento</w:t>
      </w:r>
      <w:r w:rsidR="00331E62" w:rsidRPr="005D6E61">
        <w:rPr>
          <w:rFonts w:ascii="Cambria" w:hAnsi="Cambria"/>
          <w:i w:val="0"/>
          <w:sz w:val="20"/>
          <w:szCs w:val="20"/>
          <w:lang w:val="pt-BR"/>
        </w:rPr>
        <w:t xml:space="preserve"> dos </w:t>
      </w:r>
      <w:r w:rsidR="00BF0B90" w:rsidRPr="005D6E61">
        <w:rPr>
          <w:rFonts w:ascii="Cambria" w:hAnsi="Cambria"/>
          <w:i w:val="0"/>
          <w:sz w:val="20"/>
          <w:szCs w:val="20"/>
          <w:lang w:val="pt-BR"/>
        </w:rPr>
        <w:t>fato</w:t>
      </w:r>
      <w:r w:rsidRPr="005D6E61">
        <w:rPr>
          <w:rFonts w:ascii="Cambria" w:hAnsi="Cambria"/>
          <w:i w:val="0"/>
          <w:sz w:val="20"/>
          <w:szCs w:val="20"/>
          <w:lang w:val="pt-BR"/>
        </w:rPr>
        <w:t>s</w:t>
      </w:r>
      <w:r w:rsidR="009C5F74" w:rsidRPr="005D6E61">
        <w:rPr>
          <w:rFonts w:ascii="Cambria" w:hAnsi="Cambria"/>
          <w:i w:val="0"/>
          <w:sz w:val="20"/>
          <w:szCs w:val="20"/>
          <w:lang w:val="pt-BR"/>
        </w:rPr>
        <w:t xml:space="preserve"> inclu</w:t>
      </w:r>
      <w:r w:rsidR="00E37676" w:rsidRPr="005D6E61">
        <w:rPr>
          <w:rFonts w:ascii="Cambria" w:hAnsi="Cambria"/>
          <w:i w:val="0"/>
          <w:sz w:val="20"/>
          <w:szCs w:val="20"/>
          <w:lang w:val="pt-BR"/>
        </w:rPr>
        <w:t>i</w:t>
      </w:r>
      <w:r w:rsidR="009C5F74" w:rsidRPr="005D6E61">
        <w:rPr>
          <w:rFonts w:ascii="Cambria" w:hAnsi="Cambria"/>
          <w:i w:val="0"/>
          <w:sz w:val="20"/>
          <w:szCs w:val="20"/>
          <w:lang w:val="pt-BR"/>
        </w:rPr>
        <w:t>ndo</w:t>
      </w:r>
      <w:r w:rsidR="00331E62" w:rsidRPr="005D6E61">
        <w:rPr>
          <w:rFonts w:ascii="Cambria" w:hAnsi="Cambria"/>
          <w:i w:val="0"/>
          <w:sz w:val="20"/>
          <w:szCs w:val="20"/>
          <w:lang w:val="pt-BR"/>
        </w:rPr>
        <w:t xml:space="preserve"> o </w:t>
      </w:r>
      <w:r w:rsidR="00E37676" w:rsidRPr="005D6E61">
        <w:rPr>
          <w:rFonts w:ascii="Cambria" w:hAnsi="Cambria"/>
          <w:i w:val="0"/>
          <w:sz w:val="20"/>
          <w:szCs w:val="20"/>
          <w:lang w:val="pt-BR"/>
        </w:rPr>
        <w:t>N</w:t>
      </w:r>
      <w:r w:rsidR="009C5F74" w:rsidRPr="005D6E61">
        <w:rPr>
          <w:rFonts w:ascii="Cambria" w:hAnsi="Cambria"/>
          <w:i w:val="0"/>
          <w:sz w:val="20"/>
          <w:szCs w:val="20"/>
          <w:lang w:val="pt-BR"/>
        </w:rPr>
        <w:t>ordeste d</w:t>
      </w:r>
      <w:r w:rsidR="00E37676" w:rsidRPr="005D6E61">
        <w:rPr>
          <w:rFonts w:ascii="Cambria" w:hAnsi="Cambria"/>
          <w:i w:val="0"/>
          <w:sz w:val="20"/>
          <w:szCs w:val="20"/>
          <w:lang w:val="pt-BR"/>
        </w:rPr>
        <w:t>o</w:t>
      </w:r>
      <w:r w:rsidR="009C5F74" w:rsidRPr="005D6E61">
        <w:rPr>
          <w:rFonts w:ascii="Cambria" w:hAnsi="Cambria"/>
          <w:i w:val="0"/>
          <w:sz w:val="20"/>
          <w:szCs w:val="20"/>
          <w:lang w:val="pt-BR"/>
        </w:rPr>
        <w:t xml:space="preserve"> Brasil</w:t>
      </w:r>
      <w:bookmarkEnd w:id="13"/>
    </w:p>
    <w:p w14:paraId="0B642C15" w14:textId="77777777" w:rsidR="00AA70A5" w:rsidRPr="005D6E61" w:rsidRDefault="00AA70A5" w:rsidP="00AA70A5">
      <w:pPr>
        <w:rPr>
          <w:lang w:val="pt-BR"/>
        </w:rPr>
      </w:pPr>
    </w:p>
    <w:p w14:paraId="1CFBD6E8" w14:textId="77777777" w:rsidR="00AA70A5" w:rsidRPr="005D6E61" w:rsidRDefault="00184F5F"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eastAsia="Calibri" w:hAnsi="Cambria"/>
          <w:sz w:val="20"/>
          <w:szCs w:val="20"/>
          <w:lang w:val="pt-BR"/>
        </w:rPr>
        <w:t>A</w:t>
      </w:r>
      <w:r w:rsidR="00AA70A5" w:rsidRPr="005D6E61">
        <w:rPr>
          <w:rFonts w:ascii="Cambria" w:eastAsia="Calibri" w:hAnsi="Cambria"/>
          <w:sz w:val="20"/>
          <w:szCs w:val="20"/>
          <w:lang w:val="pt-BR"/>
        </w:rPr>
        <w:t xml:space="preserve"> CIDH</w:t>
      </w:r>
      <w:r w:rsidR="006C5454" w:rsidRPr="005D6E61">
        <w:rPr>
          <w:rFonts w:ascii="Cambria" w:eastAsia="Calibri" w:hAnsi="Cambria"/>
          <w:sz w:val="20"/>
          <w:szCs w:val="20"/>
          <w:lang w:val="pt-BR"/>
        </w:rPr>
        <w:t xml:space="preserve"> e </w:t>
      </w:r>
      <w:r w:rsidR="00EB4548" w:rsidRPr="005D6E61">
        <w:rPr>
          <w:rFonts w:ascii="Cambria" w:eastAsia="Calibri" w:hAnsi="Cambria"/>
          <w:sz w:val="20"/>
          <w:szCs w:val="20"/>
          <w:lang w:val="pt-BR"/>
        </w:rPr>
        <w:t>outros</w:t>
      </w:r>
      <w:r w:rsidR="00AA70A5" w:rsidRPr="005D6E61">
        <w:rPr>
          <w:rFonts w:ascii="Cambria" w:eastAsia="Calibri" w:hAnsi="Cambria"/>
          <w:sz w:val="20"/>
          <w:szCs w:val="20"/>
          <w:lang w:val="pt-BR"/>
        </w:rPr>
        <w:t xml:space="preserve"> organismos nacion</w:t>
      </w:r>
      <w:r w:rsidR="00331E62" w:rsidRPr="005D6E61">
        <w:rPr>
          <w:rFonts w:ascii="Cambria" w:eastAsia="Calibri" w:hAnsi="Cambria"/>
          <w:sz w:val="20"/>
          <w:szCs w:val="20"/>
          <w:lang w:val="pt-BR"/>
        </w:rPr>
        <w:t>ais</w:t>
      </w:r>
      <w:r w:rsidR="00AA70A5" w:rsidRPr="005D6E61">
        <w:rPr>
          <w:rFonts w:ascii="Cambria" w:eastAsia="Calibri" w:hAnsi="Cambria"/>
          <w:sz w:val="20"/>
          <w:szCs w:val="20"/>
          <w:lang w:val="pt-BR"/>
        </w:rPr>
        <w:t xml:space="preserve"> e internacion</w:t>
      </w:r>
      <w:r w:rsidR="00331E62" w:rsidRPr="005D6E61">
        <w:rPr>
          <w:rFonts w:ascii="Cambria" w:eastAsia="Calibri" w:hAnsi="Cambria"/>
          <w:sz w:val="20"/>
          <w:szCs w:val="20"/>
          <w:lang w:val="pt-BR"/>
        </w:rPr>
        <w:t>ais</w:t>
      </w:r>
      <w:r w:rsidR="00AA70A5" w:rsidRPr="005D6E61">
        <w:rPr>
          <w:rFonts w:ascii="Cambria" w:eastAsia="Calibri" w:hAnsi="Cambria"/>
          <w:sz w:val="20"/>
          <w:szCs w:val="20"/>
          <w:lang w:val="pt-BR"/>
        </w:rPr>
        <w:t xml:space="preserve"> constata</w:t>
      </w:r>
      <w:r w:rsidR="00423C66" w:rsidRPr="005D6E61">
        <w:rPr>
          <w:rFonts w:ascii="Cambria" w:eastAsia="Calibri" w:hAnsi="Cambria"/>
          <w:sz w:val="20"/>
          <w:szCs w:val="20"/>
          <w:lang w:val="pt-BR"/>
        </w:rPr>
        <w:t>ram</w:t>
      </w:r>
      <w:r w:rsidR="00331E62" w:rsidRPr="005D6E61">
        <w:rPr>
          <w:rFonts w:ascii="Cambria" w:eastAsia="Calibri" w:hAnsi="Cambria"/>
          <w:sz w:val="20"/>
          <w:szCs w:val="20"/>
          <w:lang w:val="pt-BR"/>
        </w:rPr>
        <w:t xml:space="preserve"> a </w:t>
      </w:r>
      <w:r w:rsidR="00AA70A5" w:rsidRPr="005D6E61">
        <w:rPr>
          <w:rFonts w:ascii="Cambria" w:eastAsia="Calibri" w:hAnsi="Cambria"/>
          <w:sz w:val="20"/>
          <w:szCs w:val="20"/>
          <w:lang w:val="pt-BR"/>
        </w:rPr>
        <w:t>exist</w:t>
      </w:r>
      <w:r w:rsidR="00E37676" w:rsidRPr="005D6E61">
        <w:rPr>
          <w:rFonts w:ascii="Cambria" w:eastAsia="Calibri" w:hAnsi="Cambria"/>
          <w:sz w:val="20"/>
          <w:szCs w:val="20"/>
          <w:lang w:val="pt-BR"/>
        </w:rPr>
        <w:t>ência</w:t>
      </w:r>
      <w:r w:rsidR="00AA70A5" w:rsidRPr="005D6E61">
        <w:rPr>
          <w:rFonts w:ascii="Cambria" w:eastAsia="Calibri" w:hAnsi="Cambria"/>
          <w:sz w:val="20"/>
          <w:szCs w:val="20"/>
          <w:lang w:val="pt-BR"/>
        </w:rPr>
        <w:t xml:space="preserve"> de</w:t>
      </w:r>
      <w:r w:rsidR="00275A65" w:rsidRPr="005D6E61">
        <w:rPr>
          <w:rFonts w:ascii="Cambria" w:eastAsia="Calibri" w:hAnsi="Cambria"/>
          <w:sz w:val="20"/>
          <w:szCs w:val="20"/>
          <w:lang w:val="pt-BR"/>
        </w:rPr>
        <w:t xml:space="preserve"> um </w:t>
      </w:r>
      <w:r w:rsidR="00AA70A5" w:rsidRPr="005D6E61">
        <w:rPr>
          <w:rFonts w:ascii="Cambria" w:eastAsia="Calibri" w:hAnsi="Cambria"/>
          <w:sz w:val="20"/>
          <w:szCs w:val="20"/>
          <w:lang w:val="pt-BR"/>
        </w:rPr>
        <w:t>contexto de viola</w:t>
      </w:r>
      <w:r w:rsidR="00F77B7F" w:rsidRPr="005D6E61">
        <w:rPr>
          <w:rFonts w:ascii="Cambria" w:eastAsia="Calibri" w:hAnsi="Cambria"/>
          <w:sz w:val="20"/>
          <w:szCs w:val="20"/>
          <w:lang w:val="pt-BR"/>
        </w:rPr>
        <w:t>ções</w:t>
      </w:r>
      <w:r w:rsidR="00AA70A5" w:rsidRPr="005D6E61">
        <w:rPr>
          <w:rFonts w:ascii="Cambria" w:eastAsia="Calibri" w:hAnsi="Cambria"/>
          <w:sz w:val="20"/>
          <w:szCs w:val="20"/>
          <w:lang w:val="pt-BR"/>
        </w:rPr>
        <w:t xml:space="preserve"> </w:t>
      </w:r>
      <w:r w:rsidR="00423C66" w:rsidRPr="005D6E61">
        <w:rPr>
          <w:rFonts w:ascii="Cambria" w:eastAsia="Calibri" w:hAnsi="Cambria"/>
          <w:sz w:val="20"/>
          <w:szCs w:val="20"/>
          <w:lang w:val="pt-BR"/>
        </w:rPr>
        <w:t>d</w:t>
      </w:r>
      <w:r w:rsidR="00F77B7F" w:rsidRPr="005D6E61">
        <w:rPr>
          <w:rFonts w:ascii="Cambria" w:eastAsia="Calibri" w:hAnsi="Cambria"/>
          <w:sz w:val="20"/>
          <w:szCs w:val="20"/>
          <w:lang w:val="pt-BR"/>
        </w:rPr>
        <w:t xml:space="preserve">os </w:t>
      </w:r>
      <w:r w:rsidR="00675058" w:rsidRPr="005D6E61">
        <w:rPr>
          <w:rFonts w:ascii="Cambria" w:eastAsia="Calibri" w:hAnsi="Cambria"/>
          <w:sz w:val="20"/>
          <w:szCs w:val="20"/>
          <w:lang w:val="pt-BR"/>
        </w:rPr>
        <w:t>direito</w:t>
      </w:r>
      <w:r w:rsidR="00AA70A5" w:rsidRPr="005D6E61">
        <w:rPr>
          <w:rFonts w:ascii="Cambria" w:eastAsia="Calibri" w:hAnsi="Cambria"/>
          <w:sz w:val="20"/>
          <w:szCs w:val="20"/>
          <w:lang w:val="pt-BR"/>
        </w:rPr>
        <w:t>s humanos de sindicalistas</w:t>
      </w:r>
      <w:r w:rsidR="006C5454" w:rsidRPr="005D6E61">
        <w:rPr>
          <w:rFonts w:ascii="Cambria" w:eastAsia="Calibri" w:hAnsi="Cambria"/>
          <w:sz w:val="20"/>
          <w:szCs w:val="20"/>
          <w:lang w:val="pt-BR"/>
        </w:rPr>
        <w:t xml:space="preserve"> e </w:t>
      </w:r>
      <w:r w:rsidR="00E37676" w:rsidRPr="005D6E61">
        <w:rPr>
          <w:rFonts w:ascii="Cambria" w:eastAsia="Calibri" w:hAnsi="Cambria"/>
          <w:sz w:val="20"/>
          <w:szCs w:val="20"/>
          <w:lang w:val="pt-BR"/>
        </w:rPr>
        <w:t>trabalh</w:t>
      </w:r>
      <w:r w:rsidR="00AA70A5" w:rsidRPr="005D6E61">
        <w:rPr>
          <w:rFonts w:ascii="Cambria" w:eastAsia="Calibri" w:hAnsi="Cambria"/>
          <w:sz w:val="20"/>
          <w:szCs w:val="20"/>
          <w:lang w:val="pt-BR"/>
        </w:rPr>
        <w:t xml:space="preserve">adores </w:t>
      </w:r>
      <w:r w:rsidR="005A2381" w:rsidRPr="005D6E61">
        <w:rPr>
          <w:rFonts w:ascii="Cambria" w:eastAsia="Calibri" w:hAnsi="Cambria"/>
          <w:sz w:val="20"/>
          <w:szCs w:val="20"/>
          <w:lang w:val="pt-BR"/>
        </w:rPr>
        <w:t>agrário</w:t>
      </w:r>
      <w:r w:rsidR="00AA70A5" w:rsidRPr="005D6E61">
        <w:rPr>
          <w:rFonts w:ascii="Cambria" w:eastAsia="Calibri" w:hAnsi="Cambria"/>
          <w:sz w:val="20"/>
          <w:szCs w:val="20"/>
          <w:lang w:val="pt-BR"/>
        </w:rPr>
        <w:t>s</w:t>
      </w:r>
      <w:r w:rsidR="00331E62" w:rsidRPr="005D6E61">
        <w:rPr>
          <w:rFonts w:ascii="Cambria" w:eastAsia="Calibri" w:hAnsi="Cambria"/>
          <w:sz w:val="20"/>
          <w:szCs w:val="20"/>
          <w:lang w:val="pt-BR"/>
        </w:rPr>
        <w:t xml:space="preserve"> no </w:t>
      </w:r>
      <w:r w:rsidR="00423C66" w:rsidRPr="005D6E61">
        <w:rPr>
          <w:rFonts w:ascii="Cambria" w:eastAsia="Calibri" w:hAnsi="Cambria"/>
          <w:sz w:val="20"/>
          <w:szCs w:val="20"/>
          <w:lang w:val="pt-BR"/>
        </w:rPr>
        <w:t>N</w:t>
      </w:r>
      <w:r w:rsidR="00AA70A5" w:rsidRPr="005D6E61">
        <w:rPr>
          <w:rFonts w:ascii="Cambria" w:hAnsi="Cambria"/>
          <w:sz w:val="20"/>
          <w:szCs w:val="20"/>
          <w:lang w:val="pt-BR"/>
        </w:rPr>
        <w:t>orte</w:t>
      </w:r>
      <w:r w:rsidR="006C5454" w:rsidRPr="005D6E61">
        <w:rPr>
          <w:rFonts w:ascii="Cambria" w:hAnsi="Cambria"/>
          <w:sz w:val="20"/>
          <w:szCs w:val="20"/>
          <w:lang w:val="pt-BR"/>
        </w:rPr>
        <w:t xml:space="preserve"> e </w:t>
      </w:r>
      <w:r w:rsidR="00423C66" w:rsidRPr="005D6E61">
        <w:rPr>
          <w:rFonts w:ascii="Cambria" w:hAnsi="Cambria"/>
          <w:sz w:val="20"/>
          <w:szCs w:val="20"/>
          <w:lang w:val="pt-BR"/>
        </w:rPr>
        <w:t>N</w:t>
      </w:r>
      <w:r w:rsidR="00423C66" w:rsidRPr="005D6E61">
        <w:rPr>
          <w:rFonts w:ascii="Cambria" w:eastAsia="Calibri" w:hAnsi="Cambria"/>
          <w:sz w:val="20"/>
          <w:szCs w:val="20"/>
          <w:lang w:val="pt-BR"/>
        </w:rPr>
        <w:t>ordeste do Brasil</w:t>
      </w:r>
      <w:r w:rsidR="00AA70A5" w:rsidRPr="005D6E61">
        <w:rPr>
          <w:rFonts w:ascii="Cambria" w:eastAsia="Calibri" w:hAnsi="Cambria"/>
          <w:sz w:val="20"/>
          <w:szCs w:val="20"/>
          <w:lang w:val="pt-BR"/>
        </w:rPr>
        <w:t xml:space="preserve"> durante</w:t>
      </w:r>
      <w:r w:rsidR="00331E62" w:rsidRPr="005D6E61">
        <w:rPr>
          <w:rFonts w:ascii="Cambria" w:eastAsia="Calibri" w:hAnsi="Cambria"/>
          <w:sz w:val="20"/>
          <w:szCs w:val="20"/>
          <w:lang w:val="pt-BR"/>
        </w:rPr>
        <w:t xml:space="preserve"> a</w:t>
      </w:r>
      <w:r w:rsidR="00423C66" w:rsidRPr="005D6E61">
        <w:rPr>
          <w:rFonts w:ascii="Cambria" w:eastAsia="Calibri" w:hAnsi="Cambria"/>
          <w:sz w:val="20"/>
          <w:szCs w:val="20"/>
          <w:lang w:val="pt-BR"/>
        </w:rPr>
        <w:t>s</w:t>
      </w:r>
      <w:r w:rsidR="00331E62" w:rsidRPr="005D6E61">
        <w:rPr>
          <w:rFonts w:ascii="Cambria" w:eastAsia="Calibri" w:hAnsi="Cambria"/>
          <w:sz w:val="20"/>
          <w:szCs w:val="20"/>
          <w:lang w:val="pt-BR"/>
        </w:rPr>
        <w:t xml:space="preserve"> </w:t>
      </w:r>
      <w:r w:rsidR="00AA70A5" w:rsidRPr="005D6E61">
        <w:rPr>
          <w:rFonts w:ascii="Cambria" w:eastAsia="Calibri" w:hAnsi="Cambria"/>
          <w:sz w:val="20"/>
          <w:szCs w:val="20"/>
          <w:lang w:val="pt-BR"/>
        </w:rPr>
        <w:t>década</w:t>
      </w:r>
      <w:r w:rsidR="00423C66" w:rsidRPr="005D6E61">
        <w:rPr>
          <w:rFonts w:ascii="Cambria" w:eastAsia="Calibri" w:hAnsi="Cambria"/>
          <w:sz w:val="20"/>
          <w:szCs w:val="20"/>
          <w:lang w:val="pt-BR"/>
        </w:rPr>
        <w:t>s</w:t>
      </w:r>
      <w:r w:rsidR="00331E62" w:rsidRPr="005D6E61">
        <w:rPr>
          <w:rFonts w:ascii="Cambria" w:eastAsia="Calibri" w:hAnsi="Cambria"/>
          <w:sz w:val="20"/>
          <w:szCs w:val="20"/>
          <w:lang w:val="pt-BR"/>
        </w:rPr>
        <w:t xml:space="preserve"> d</w:t>
      </w:r>
      <w:r w:rsidR="00423C66" w:rsidRPr="005D6E61">
        <w:rPr>
          <w:rFonts w:ascii="Cambria" w:eastAsia="Calibri" w:hAnsi="Cambria"/>
          <w:sz w:val="20"/>
          <w:szCs w:val="20"/>
          <w:lang w:val="pt-BR"/>
        </w:rPr>
        <w:t xml:space="preserve">e 80 </w:t>
      </w:r>
      <w:r w:rsidR="006C5454" w:rsidRPr="005D6E61">
        <w:rPr>
          <w:rFonts w:ascii="Cambria" w:eastAsia="Calibri" w:hAnsi="Cambria"/>
          <w:sz w:val="20"/>
          <w:szCs w:val="20"/>
          <w:lang w:val="pt-BR"/>
        </w:rPr>
        <w:t xml:space="preserve">e </w:t>
      </w:r>
      <w:r w:rsidR="00423C66" w:rsidRPr="005D6E61">
        <w:rPr>
          <w:rFonts w:ascii="Cambria" w:eastAsia="Calibri" w:hAnsi="Cambria"/>
          <w:sz w:val="20"/>
          <w:szCs w:val="20"/>
          <w:lang w:val="pt-BR"/>
        </w:rPr>
        <w:t>90</w:t>
      </w:r>
      <w:r w:rsidR="00AA70A5" w:rsidRPr="005D6E61">
        <w:rPr>
          <w:rFonts w:ascii="Cambria" w:eastAsia="Calibri" w:hAnsi="Cambria"/>
          <w:sz w:val="20"/>
          <w:szCs w:val="20"/>
          <w:lang w:val="pt-BR"/>
        </w:rPr>
        <w:t xml:space="preserve">, </w:t>
      </w:r>
      <w:r w:rsidR="00AA70A5" w:rsidRPr="005D6E61">
        <w:rPr>
          <w:rFonts w:ascii="Cambria" w:hAnsi="Cambria"/>
          <w:sz w:val="20"/>
          <w:szCs w:val="20"/>
          <w:lang w:val="pt-BR"/>
        </w:rPr>
        <w:t>relacionados</w:t>
      </w:r>
      <w:r w:rsidR="00F77B7F" w:rsidRPr="005D6E61">
        <w:rPr>
          <w:rFonts w:ascii="Cambria" w:hAnsi="Cambria"/>
          <w:sz w:val="20"/>
          <w:szCs w:val="20"/>
          <w:lang w:val="pt-BR"/>
        </w:rPr>
        <w:t xml:space="preserve"> com </w:t>
      </w:r>
      <w:r w:rsidR="00EB4548" w:rsidRPr="005D6E61">
        <w:rPr>
          <w:rFonts w:ascii="Cambria" w:eastAsia="Calibri" w:hAnsi="Cambria"/>
          <w:sz w:val="20"/>
          <w:szCs w:val="20"/>
          <w:lang w:val="pt-BR"/>
        </w:rPr>
        <w:t>conflitos</w:t>
      </w:r>
      <w:r w:rsidR="00AA70A5" w:rsidRPr="005D6E61">
        <w:rPr>
          <w:rFonts w:ascii="Cambria" w:eastAsia="Calibri" w:hAnsi="Cambria"/>
          <w:sz w:val="20"/>
          <w:szCs w:val="20"/>
          <w:lang w:val="pt-BR"/>
        </w:rPr>
        <w:t xml:space="preserve"> de </w:t>
      </w:r>
      <w:r w:rsidR="00EB4548" w:rsidRPr="005D6E61">
        <w:rPr>
          <w:rFonts w:ascii="Cambria" w:eastAsia="Calibri" w:hAnsi="Cambria"/>
          <w:sz w:val="20"/>
          <w:szCs w:val="20"/>
          <w:lang w:val="pt-BR"/>
        </w:rPr>
        <w:t>terras</w:t>
      </w:r>
      <w:r w:rsidR="00AA70A5" w:rsidRPr="005D6E61">
        <w:rPr>
          <w:rFonts w:ascii="Cambria" w:hAnsi="Cambria"/>
          <w:sz w:val="20"/>
          <w:szCs w:val="20"/>
          <w:vertAlign w:val="superscript"/>
          <w:lang w:val="pt-BR"/>
        </w:rPr>
        <w:footnoteReference w:id="4"/>
      </w:r>
      <w:r w:rsidR="00AA70A5" w:rsidRPr="005D6E61">
        <w:rPr>
          <w:rFonts w:ascii="Cambria" w:hAnsi="Cambria"/>
          <w:sz w:val="20"/>
          <w:szCs w:val="20"/>
          <w:lang w:val="pt-BR"/>
        </w:rPr>
        <w:t xml:space="preserve">. </w:t>
      </w:r>
      <w:r w:rsidR="00331E62" w:rsidRPr="005D6E61">
        <w:rPr>
          <w:rFonts w:ascii="Cambria" w:hAnsi="Cambria"/>
          <w:sz w:val="20"/>
          <w:szCs w:val="20"/>
          <w:lang w:val="pt-BR"/>
        </w:rPr>
        <w:t xml:space="preserve"> </w:t>
      </w:r>
      <w:r w:rsidR="00423C66" w:rsidRPr="005D6E61">
        <w:rPr>
          <w:rFonts w:ascii="Cambria" w:hAnsi="Cambria"/>
          <w:sz w:val="20"/>
          <w:szCs w:val="20"/>
          <w:lang w:val="pt-BR"/>
        </w:rPr>
        <w:t>A</w:t>
      </w:r>
      <w:r w:rsidR="00331E62" w:rsidRPr="005D6E61">
        <w:rPr>
          <w:rFonts w:ascii="Cambria" w:hAnsi="Cambria"/>
          <w:sz w:val="20"/>
          <w:szCs w:val="20"/>
          <w:lang w:val="pt-BR"/>
        </w:rPr>
        <w:t xml:space="preserve"> </w:t>
      </w:r>
      <w:r w:rsidR="00AA70A5" w:rsidRPr="005D6E61">
        <w:rPr>
          <w:rFonts w:ascii="Cambria" w:hAnsi="Cambria"/>
          <w:sz w:val="20"/>
          <w:szCs w:val="20"/>
          <w:lang w:val="pt-BR"/>
        </w:rPr>
        <w:t>CIDH indic</w:t>
      </w:r>
      <w:r w:rsidR="00423C66" w:rsidRPr="005D6E61">
        <w:rPr>
          <w:rFonts w:ascii="Cambria" w:hAnsi="Cambria"/>
          <w:sz w:val="20"/>
          <w:szCs w:val="20"/>
          <w:lang w:val="pt-BR"/>
        </w:rPr>
        <w:t>ou</w:t>
      </w:r>
      <w:r w:rsidR="00AA70A5" w:rsidRPr="005D6E61">
        <w:rPr>
          <w:rFonts w:ascii="Cambria" w:hAnsi="Cambria"/>
          <w:sz w:val="20"/>
          <w:szCs w:val="20"/>
          <w:lang w:val="pt-BR"/>
        </w:rPr>
        <w:t xml:space="preserve"> que tanto</w:t>
      </w:r>
      <w:r w:rsidR="00331E62" w:rsidRPr="005D6E61">
        <w:rPr>
          <w:rFonts w:ascii="Cambria" w:hAnsi="Cambria"/>
          <w:sz w:val="20"/>
          <w:szCs w:val="20"/>
          <w:lang w:val="pt-BR"/>
        </w:rPr>
        <w:t xml:space="preserve"> a </w:t>
      </w:r>
      <w:r w:rsidR="00AA70A5" w:rsidRPr="005D6E61">
        <w:rPr>
          <w:rFonts w:ascii="Cambria" w:hAnsi="Cambria"/>
          <w:sz w:val="20"/>
          <w:szCs w:val="20"/>
          <w:lang w:val="pt-BR"/>
        </w:rPr>
        <w:t>po</w:t>
      </w:r>
      <w:r w:rsidR="00423C66" w:rsidRPr="005D6E61">
        <w:rPr>
          <w:rFonts w:ascii="Cambria" w:hAnsi="Cambria"/>
          <w:sz w:val="20"/>
          <w:szCs w:val="20"/>
          <w:lang w:val="pt-BR"/>
        </w:rPr>
        <w:t>pu</w:t>
      </w:r>
      <w:r w:rsidR="00AA70A5" w:rsidRPr="005D6E61">
        <w:rPr>
          <w:rFonts w:ascii="Cambria" w:hAnsi="Cambria"/>
          <w:sz w:val="20"/>
          <w:szCs w:val="20"/>
          <w:lang w:val="pt-BR"/>
        </w:rPr>
        <w:t>la</w:t>
      </w:r>
      <w:r w:rsidR="00A274D9" w:rsidRPr="005D6E61">
        <w:rPr>
          <w:rFonts w:ascii="Cambria" w:hAnsi="Cambria"/>
          <w:sz w:val="20"/>
          <w:szCs w:val="20"/>
          <w:lang w:val="pt-BR"/>
        </w:rPr>
        <w:t>ção</w:t>
      </w:r>
      <w:r w:rsidR="00AA70A5" w:rsidRPr="005D6E61">
        <w:rPr>
          <w:rFonts w:ascii="Cambria" w:hAnsi="Cambria"/>
          <w:sz w:val="20"/>
          <w:szCs w:val="20"/>
          <w:lang w:val="pt-BR"/>
        </w:rPr>
        <w:t xml:space="preserve"> como mu</w:t>
      </w:r>
      <w:r w:rsidR="00423C66" w:rsidRPr="005D6E61">
        <w:rPr>
          <w:rFonts w:ascii="Cambria" w:hAnsi="Cambria"/>
          <w:sz w:val="20"/>
          <w:szCs w:val="20"/>
          <w:lang w:val="pt-BR"/>
        </w:rPr>
        <w:t>it</w:t>
      </w:r>
      <w:r w:rsidR="00AA70A5" w:rsidRPr="005D6E61">
        <w:rPr>
          <w:rFonts w:ascii="Cambria" w:hAnsi="Cambria"/>
          <w:sz w:val="20"/>
          <w:szCs w:val="20"/>
          <w:lang w:val="pt-BR"/>
        </w:rPr>
        <w:t xml:space="preserve">as autoridades </w:t>
      </w:r>
      <w:r w:rsidR="00EB4548" w:rsidRPr="005D6E61">
        <w:rPr>
          <w:rFonts w:ascii="Cambria" w:hAnsi="Cambria"/>
          <w:sz w:val="20"/>
          <w:szCs w:val="20"/>
          <w:lang w:val="pt-BR"/>
        </w:rPr>
        <w:t>atribuem</w:t>
      </w:r>
      <w:r w:rsidR="00F77B7F" w:rsidRPr="005D6E61">
        <w:rPr>
          <w:rFonts w:ascii="Cambria" w:hAnsi="Cambria"/>
          <w:sz w:val="20"/>
          <w:szCs w:val="20"/>
          <w:lang w:val="pt-BR"/>
        </w:rPr>
        <w:t xml:space="preserve"> as </w:t>
      </w:r>
      <w:r w:rsidR="00AA70A5" w:rsidRPr="005D6E61">
        <w:rPr>
          <w:rFonts w:ascii="Cambria" w:hAnsi="Cambria"/>
          <w:sz w:val="20"/>
          <w:szCs w:val="20"/>
          <w:lang w:val="pt-BR"/>
        </w:rPr>
        <w:t>viola</w:t>
      </w:r>
      <w:r w:rsidR="00F77B7F" w:rsidRPr="005D6E61">
        <w:rPr>
          <w:rFonts w:ascii="Cambria" w:hAnsi="Cambria"/>
          <w:sz w:val="20"/>
          <w:szCs w:val="20"/>
          <w:lang w:val="pt-BR"/>
        </w:rPr>
        <w:t>ções</w:t>
      </w:r>
      <w:r w:rsidR="00AA70A5" w:rsidRPr="005D6E61">
        <w:rPr>
          <w:rFonts w:ascii="Cambria" w:hAnsi="Cambria"/>
          <w:sz w:val="20"/>
          <w:szCs w:val="20"/>
          <w:lang w:val="pt-BR"/>
        </w:rPr>
        <w:t xml:space="preserve"> </w:t>
      </w:r>
      <w:r w:rsidR="00423C66" w:rsidRPr="005D6E61">
        <w:rPr>
          <w:rFonts w:ascii="Cambria" w:hAnsi="Cambria"/>
          <w:sz w:val="20"/>
          <w:szCs w:val="20"/>
          <w:lang w:val="pt-BR"/>
        </w:rPr>
        <w:t>de</w:t>
      </w:r>
      <w:r w:rsidR="00F77B7F" w:rsidRPr="005D6E61">
        <w:rPr>
          <w:rFonts w:ascii="Cambria" w:hAnsi="Cambria"/>
          <w:sz w:val="20"/>
          <w:szCs w:val="20"/>
          <w:lang w:val="pt-BR"/>
        </w:rPr>
        <w:t xml:space="preserve"> </w:t>
      </w:r>
      <w:r w:rsidR="00675058" w:rsidRPr="005D6E61">
        <w:rPr>
          <w:rFonts w:ascii="Cambria" w:hAnsi="Cambria"/>
          <w:sz w:val="20"/>
          <w:szCs w:val="20"/>
          <w:lang w:val="pt-BR"/>
        </w:rPr>
        <w:t>direito</w:t>
      </w:r>
      <w:r w:rsidR="00AA70A5" w:rsidRPr="005D6E61">
        <w:rPr>
          <w:rFonts w:ascii="Cambria" w:hAnsi="Cambria"/>
          <w:sz w:val="20"/>
          <w:szCs w:val="20"/>
          <w:lang w:val="pt-BR"/>
        </w:rPr>
        <w:t xml:space="preserve">s humanos </w:t>
      </w:r>
      <w:r w:rsidR="00423C66" w:rsidRPr="005D6E61">
        <w:rPr>
          <w:rFonts w:ascii="Cambria" w:hAnsi="Cambria"/>
          <w:sz w:val="20"/>
          <w:szCs w:val="20"/>
          <w:lang w:val="pt-BR"/>
        </w:rPr>
        <w:t>à</w:t>
      </w:r>
      <w:r w:rsidR="00AA70A5" w:rsidRPr="005D6E61">
        <w:rPr>
          <w:rFonts w:ascii="Cambria" w:hAnsi="Cambria"/>
          <w:sz w:val="20"/>
          <w:szCs w:val="20"/>
          <w:lang w:val="pt-BR"/>
        </w:rPr>
        <w:t xml:space="preserve"> “ina</w:t>
      </w:r>
      <w:r w:rsidR="00704E7B" w:rsidRPr="005D6E61">
        <w:rPr>
          <w:rFonts w:ascii="Cambria" w:hAnsi="Cambria"/>
          <w:sz w:val="20"/>
          <w:szCs w:val="20"/>
          <w:lang w:val="pt-BR"/>
        </w:rPr>
        <w:t>ç</w:t>
      </w:r>
      <w:r w:rsidR="00A274D9" w:rsidRPr="005D6E61">
        <w:rPr>
          <w:rFonts w:ascii="Cambria" w:hAnsi="Cambria"/>
          <w:sz w:val="20"/>
          <w:szCs w:val="20"/>
          <w:lang w:val="pt-BR"/>
        </w:rPr>
        <w:t>ão</w:t>
      </w:r>
      <w:r w:rsidR="00AA70A5" w:rsidRPr="005D6E61">
        <w:rPr>
          <w:rFonts w:ascii="Cambria" w:hAnsi="Cambria"/>
          <w:sz w:val="20"/>
          <w:szCs w:val="20"/>
          <w:lang w:val="pt-BR"/>
        </w:rPr>
        <w:t>, neglig</w:t>
      </w:r>
      <w:r w:rsidR="00E37676" w:rsidRPr="005D6E61">
        <w:rPr>
          <w:rFonts w:ascii="Cambria" w:hAnsi="Cambria"/>
          <w:sz w:val="20"/>
          <w:szCs w:val="20"/>
          <w:lang w:val="pt-BR"/>
        </w:rPr>
        <w:t>ência</w:t>
      </w:r>
      <w:r w:rsidR="00AA70A5" w:rsidRPr="005D6E61">
        <w:rPr>
          <w:rFonts w:ascii="Cambria" w:hAnsi="Cambria"/>
          <w:sz w:val="20"/>
          <w:szCs w:val="20"/>
          <w:lang w:val="pt-BR"/>
        </w:rPr>
        <w:t xml:space="preserve"> e </w:t>
      </w:r>
      <w:r w:rsidR="00AA70A5" w:rsidRPr="005D6E61">
        <w:rPr>
          <w:rFonts w:ascii="Cambria" w:hAnsi="Cambria"/>
          <w:sz w:val="20"/>
          <w:szCs w:val="20"/>
          <w:lang w:val="pt-BR"/>
        </w:rPr>
        <w:lastRenderedPageBreak/>
        <w:t>incapaci</w:t>
      </w:r>
      <w:r w:rsidR="00FB55C7" w:rsidRPr="005D6E61">
        <w:rPr>
          <w:rFonts w:ascii="Cambria" w:hAnsi="Cambria"/>
          <w:sz w:val="20"/>
          <w:szCs w:val="20"/>
          <w:lang w:val="pt-BR"/>
        </w:rPr>
        <w:t xml:space="preserve">dade </w:t>
      </w:r>
      <w:r w:rsidR="00F77B7F" w:rsidRPr="005D6E61">
        <w:rPr>
          <w:rFonts w:ascii="Cambria" w:hAnsi="Cambria"/>
          <w:sz w:val="20"/>
          <w:szCs w:val="20"/>
          <w:lang w:val="pt-BR"/>
        </w:rPr>
        <w:t xml:space="preserve">do </w:t>
      </w:r>
      <w:r w:rsidR="00AA70A5" w:rsidRPr="005D6E61">
        <w:rPr>
          <w:rFonts w:ascii="Cambria" w:hAnsi="Cambria"/>
          <w:sz w:val="20"/>
          <w:szCs w:val="20"/>
          <w:lang w:val="pt-BR"/>
        </w:rPr>
        <w:t>sistema policial</w:t>
      </w:r>
      <w:r w:rsidR="006C5454" w:rsidRPr="005D6E61">
        <w:rPr>
          <w:rFonts w:ascii="Cambria" w:hAnsi="Cambria"/>
          <w:sz w:val="20"/>
          <w:szCs w:val="20"/>
          <w:lang w:val="pt-BR"/>
        </w:rPr>
        <w:t xml:space="preserve"> e </w:t>
      </w:r>
      <w:r w:rsidR="00AA70A5" w:rsidRPr="005D6E61">
        <w:rPr>
          <w:rFonts w:ascii="Cambria" w:hAnsi="Cambria"/>
          <w:sz w:val="20"/>
          <w:szCs w:val="20"/>
          <w:lang w:val="pt-BR"/>
        </w:rPr>
        <w:t>judici</w:t>
      </w:r>
      <w:r w:rsidR="00423C66" w:rsidRPr="005D6E61">
        <w:rPr>
          <w:rFonts w:ascii="Cambria" w:hAnsi="Cambria"/>
          <w:sz w:val="20"/>
          <w:szCs w:val="20"/>
          <w:lang w:val="pt-BR"/>
        </w:rPr>
        <w:t>ário</w:t>
      </w:r>
      <w:r w:rsidR="00AA70A5" w:rsidRPr="005D6E61">
        <w:rPr>
          <w:rFonts w:ascii="Cambria" w:hAnsi="Cambria"/>
          <w:sz w:val="20"/>
          <w:szCs w:val="20"/>
          <w:lang w:val="pt-BR"/>
        </w:rPr>
        <w:t>,</w:t>
      </w:r>
      <w:r w:rsidR="006C5454" w:rsidRPr="005D6E61">
        <w:rPr>
          <w:rFonts w:ascii="Cambria" w:hAnsi="Cambria"/>
          <w:sz w:val="20"/>
          <w:szCs w:val="20"/>
          <w:lang w:val="pt-BR"/>
        </w:rPr>
        <w:t xml:space="preserve"> e</w:t>
      </w:r>
      <w:r w:rsidR="005A2381" w:rsidRPr="005D6E61">
        <w:rPr>
          <w:rFonts w:ascii="Cambria" w:hAnsi="Cambria"/>
          <w:sz w:val="20"/>
          <w:szCs w:val="20"/>
          <w:lang w:val="pt-BR"/>
        </w:rPr>
        <w:t xml:space="preserve"> às </w:t>
      </w:r>
      <w:r w:rsidR="00AA70A5" w:rsidRPr="005D6E61">
        <w:rPr>
          <w:rFonts w:ascii="Cambria" w:hAnsi="Cambria"/>
          <w:sz w:val="20"/>
          <w:szCs w:val="20"/>
          <w:lang w:val="pt-BR"/>
        </w:rPr>
        <w:t>obvias conex</w:t>
      </w:r>
      <w:r w:rsidR="00423C66" w:rsidRPr="005D6E61">
        <w:rPr>
          <w:rFonts w:ascii="Cambria" w:hAnsi="Cambria"/>
          <w:sz w:val="20"/>
          <w:szCs w:val="20"/>
          <w:lang w:val="pt-BR"/>
        </w:rPr>
        <w:t>õ</w:t>
      </w:r>
      <w:r w:rsidR="00AA70A5" w:rsidRPr="005D6E61">
        <w:rPr>
          <w:rFonts w:ascii="Cambria" w:hAnsi="Cambria"/>
          <w:sz w:val="20"/>
          <w:szCs w:val="20"/>
          <w:lang w:val="pt-BR"/>
        </w:rPr>
        <w:t>es entre</w:t>
      </w:r>
      <w:r w:rsidR="00F77B7F" w:rsidRPr="005D6E61">
        <w:rPr>
          <w:rFonts w:ascii="Cambria" w:hAnsi="Cambria"/>
          <w:sz w:val="20"/>
          <w:szCs w:val="20"/>
          <w:lang w:val="pt-BR"/>
        </w:rPr>
        <w:t xml:space="preserve"> os </w:t>
      </w:r>
      <w:r w:rsidR="00EB4548" w:rsidRPr="005D6E61">
        <w:rPr>
          <w:rFonts w:ascii="Cambria" w:hAnsi="Cambria"/>
          <w:sz w:val="20"/>
          <w:szCs w:val="20"/>
          <w:lang w:val="pt-BR"/>
        </w:rPr>
        <w:t>delinquentes</w:t>
      </w:r>
      <w:r w:rsidR="00F77B7F" w:rsidRPr="005D6E61">
        <w:rPr>
          <w:rFonts w:ascii="Cambria" w:hAnsi="Cambria"/>
          <w:sz w:val="20"/>
          <w:szCs w:val="20"/>
          <w:lang w:val="pt-BR"/>
        </w:rPr>
        <w:t xml:space="preserve"> </w:t>
      </w:r>
      <w:r w:rsidR="00423C66" w:rsidRPr="005D6E61">
        <w:rPr>
          <w:rFonts w:ascii="Cambria" w:hAnsi="Cambria"/>
          <w:sz w:val="20"/>
          <w:szCs w:val="20"/>
          <w:lang w:val="pt-BR"/>
        </w:rPr>
        <w:t>e</w:t>
      </w:r>
      <w:r w:rsidR="00F77B7F" w:rsidRPr="005D6E61">
        <w:rPr>
          <w:rFonts w:ascii="Cambria" w:hAnsi="Cambria"/>
          <w:sz w:val="20"/>
          <w:szCs w:val="20"/>
          <w:lang w:val="pt-BR"/>
        </w:rPr>
        <w:t xml:space="preserve"> as </w:t>
      </w:r>
      <w:r w:rsidR="00AA70A5" w:rsidRPr="005D6E61">
        <w:rPr>
          <w:rFonts w:ascii="Cambria" w:hAnsi="Cambria"/>
          <w:sz w:val="20"/>
          <w:szCs w:val="20"/>
          <w:lang w:val="pt-BR"/>
        </w:rPr>
        <w:t>autoridades</w:t>
      </w:r>
      <w:r w:rsidR="00331E62" w:rsidRPr="005D6E61">
        <w:rPr>
          <w:rFonts w:ascii="Cambria" w:hAnsi="Cambria"/>
          <w:sz w:val="20"/>
          <w:szCs w:val="20"/>
          <w:lang w:val="pt-BR"/>
        </w:rPr>
        <w:t xml:space="preserve"> dos </w:t>
      </w:r>
      <w:r w:rsidR="00AA70A5" w:rsidRPr="005D6E61">
        <w:rPr>
          <w:rFonts w:ascii="Cambria" w:hAnsi="Cambria"/>
          <w:sz w:val="20"/>
          <w:szCs w:val="20"/>
          <w:lang w:val="pt-BR"/>
        </w:rPr>
        <w:t>poderes”</w:t>
      </w:r>
      <w:r w:rsidR="00AA70A5" w:rsidRPr="005D6E61">
        <w:rPr>
          <w:rFonts w:ascii="Cambria" w:hAnsi="Cambria"/>
          <w:sz w:val="20"/>
          <w:szCs w:val="20"/>
          <w:vertAlign w:val="superscript"/>
          <w:lang w:val="pt-BR"/>
        </w:rPr>
        <w:footnoteReference w:id="5"/>
      </w:r>
      <w:r w:rsidR="00AA70A5" w:rsidRPr="005D6E61">
        <w:rPr>
          <w:rFonts w:ascii="Cambria" w:hAnsi="Cambria"/>
          <w:sz w:val="20"/>
          <w:szCs w:val="20"/>
          <w:lang w:val="pt-BR"/>
        </w:rPr>
        <w:t>.</w:t>
      </w:r>
    </w:p>
    <w:p w14:paraId="04703B61" w14:textId="77777777" w:rsidR="00AA70A5" w:rsidRPr="005D6E61" w:rsidRDefault="00AA70A5" w:rsidP="00AA70A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pt-BR"/>
        </w:rPr>
      </w:pPr>
    </w:p>
    <w:p w14:paraId="60A2BB73" w14:textId="77777777" w:rsidR="00AA70A5" w:rsidRPr="005D6E61"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Por su</w:t>
      </w:r>
      <w:r w:rsidR="000462C6" w:rsidRPr="005D6E61">
        <w:rPr>
          <w:rFonts w:ascii="Cambria" w:hAnsi="Cambria"/>
          <w:sz w:val="20"/>
          <w:szCs w:val="20"/>
          <w:lang w:val="pt-BR"/>
        </w:rPr>
        <w:t>a</w:t>
      </w:r>
      <w:r w:rsidRPr="005D6E61">
        <w:rPr>
          <w:rFonts w:ascii="Cambria" w:hAnsi="Cambria"/>
          <w:sz w:val="20"/>
          <w:szCs w:val="20"/>
          <w:lang w:val="pt-BR"/>
        </w:rPr>
        <w:t xml:space="preserve"> </w:t>
      </w:r>
      <w:r w:rsidR="000462C6" w:rsidRPr="005D6E61">
        <w:rPr>
          <w:rFonts w:ascii="Cambria" w:hAnsi="Cambria"/>
          <w:sz w:val="20"/>
          <w:szCs w:val="20"/>
          <w:lang w:val="pt-BR"/>
        </w:rPr>
        <w:t>vez</w:t>
      </w:r>
      <w:r w:rsidRPr="005D6E61">
        <w:rPr>
          <w:rFonts w:ascii="Cambria" w:hAnsi="Cambria"/>
          <w:sz w:val="20"/>
          <w:szCs w:val="20"/>
          <w:lang w:val="pt-BR"/>
        </w:rPr>
        <w:t xml:space="preserve">, </w:t>
      </w:r>
      <w:r w:rsidR="009E5AD2" w:rsidRPr="005D6E61">
        <w:rPr>
          <w:rFonts w:ascii="Cambria" w:hAnsi="Cambria"/>
          <w:sz w:val="20"/>
          <w:szCs w:val="20"/>
          <w:lang w:val="pt-BR"/>
        </w:rPr>
        <w:t xml:space="preserve">a </w:t>
      </w:r>
      <w:r w:rsidRPr="005D6E61">
        <w:rPr>
          <w:rFonts w:ascii="Cambria" w:hAnsi="Cambria"/>
          <w:sz w:val="20"/>
          <w:szCs w:val="20"/>
          <w:lang w:val="pt-BR"/>
        </w:rPr>
        <w:t>Anist</w:t>
      </w:r>
      <w:r w:rsidR="005A2381" w:rsidRPr="005D6E61">
        <w:rPr>
          <w:rFonts w:ascii="Cambria" w:hAnsi="Cambria"/>
          <w:sz w:val="20"/>
          <w:szCs w:val="20"/>
          <w:lang w:val="pt-BR"/>
        </w:rPr>
        <w:t>ia</w:t>
      </w:r>
      <w:r w:rsidRPr="005D6E61">
        <w:rPr>
          <w:rFonts w:ascii="Cambria" w:hAnsi="Cambria"/>
          <w:sz w:val="20"/>
          <w:szCs w:val="20"/>
          <w:lang w:val="pt-BR"/>
        </w:rPr>
        <w:t xml:space="preserve"> Internacional,</w:t>
      </w:r>
      <w:r w:rsidR="00F77B7F" w:rsidRPr="005D6E61">
        <w:rPr>
          <w:rFonts w:ascii="Cambria" w:hAnsi="Cambria"/>
          <w:sz w:val="20"/>
          <w:szCs w:val="20"/>
          <w:lang w:val="pt-BR"/>
        </w:rPr>
        <w:t xml:space="preserve"> em </w:t>
      </w:r>
      <w:r w:rsidRPr="005D6E61">
        <w:rPr>
          <w:rFonts w:ascii="Cambria" w:hAnsi="Cambria"/>
          <w:sz w:val="20"/>
          <w:szCs w:val="20"/>
          <w:lang w:val="pt-BR"/>
        </w:rPr>
        <w:t>s</w:t>
      </w:r>
      <w:r w:rsidR="00EC686B" w:rsidRPr="005D6E61">
        <w:rPr>
          <w:rFonts w:ascii="Cambria" w:hAnsi="Cambria"/>
          <w:sz w:val="20"/>
          <w:szCs w:val="20"/>
          <w:lang w:val="pt-BR"/>
        </w:rPr>
        <w:t>e</w:t>
      </w:r>
      <w:r w:rsidRPr="005D6E61">
        <w:rPr>
          <w:rFonts w:ascii="Cambria" w:hAnsi="Cambria"/>
          <w:sz w:val="20"/>
          <w:szCs w:val="20"/>
          <w:lang w:val="pt-BR"/>
        </w:rPr>
        <w:t xml:space="preserve">u </w:t>
      </w:r>
      <w:r w:rsidR="00704E7B" w:rsidRPr="005D6E61">
        <w:rPr>
          <w:rFonts w:ascii="Cambria" w:hAnsi="Cambria"/>
          <w:sz w:val="20"/>
          <w:szCs w:val="20"/>
          <w:lang w:val="pt-BR"/>
        </w:rPr>
        <w:t>relatório</w:t>
      </w:r>
      <w:r w:rsidRPr="005D6E61">
        <w:rPr>
          <w:rFonts w:ascii="Cambria" w:hAnsi="Cambria"/>
          <w:sz w:val="20"/>
          <w:szCs w:val="20"/>
          <w:lang w:val="pt-BR"/>
        </w:rPr>
        <w:t xml:space="preserve"> de 1983, </w:t>
      </w:r>
      <w:r w:rsidR="00EC686B" w:rsidRPr="005D6E61">
        <w:rPr>
          <w:rFonts w:ascii="Cambria" w:hAnsi="Cambria"/>
          <w:sz w:val="20"/>
          <w:szCs w:val="20"/>
          <w:lang w:val="pt-BR"/>
        </w:rPr>
        <w:t>ch</w:t>
      </w:r>
      <w:r w:rsidRPr="005D6E61">
        <w:rPr>
          <w:rFonts w:ascii="Cambria" w:hAnsi="Cambria"/>
          <w:sz w:val="20"/>
          <w:szCs w:val="20"/>
          <w:lang w:val="pt-BR"/>
        </w:rPr>
        <w:t>am</w:t>
      </w:r>
      <w:r w:rsidR="00BF0B90" w:rsidRPr="005D6E61">
        <w:rPr>
          <w:rFonts w:ascii="Cambria" w:hAnsi="Cambria"/>
          <w:sz w:val="20"/>
          <w:szCs w:val="20"/>
          <w:lang w:val="pt-BR"/>
        </w:rPr>
        <w:t xml:space="preserve">ou </w:t>
      </w:r>
      <w:r w:rsidR="00331E62" w:rsidRPr="005D6E61">
        <w:rPr>
          <w:rFonts w:ascii="Cambria" w:hAnsi="Cambria"/>
          <w:sz w:val="20"/>
          <w:szCs w:val="20"/>
          <w:lang w:val="pt-BR"/>
        </w:rPr>
        <w:t xml:space="preserve">a </w:t>
      </w:r>
      <w:r w:rsidRPr="005D6E61">
        <w:rPr>
          <w:rFonts w:ascii="Cambria" w:hAnsi="Cambria"/>
          <w:sz w:val="20"/>
          <w:szCs w:val="20"/>
          <w:lang w:val="pt-BR"/>
        </w:rPr>
        <w:t>aten</w:t>
      </w:r>
      <w:r w:rsidR="00A274D9" w:rsidRPr="005D6E61">
        <w:rPr>
          <w:rFonts w:ascii="Cambria" w:hAnsi="Cambria"/>
          <w:sz w:val="20"/>
          <w:szCs w:val="20"/>
          <w:lang w:val="pt-BR"/>
        </w:rPr>
        <w:t>ção</w:t>
      </w:r>
      <w:r w:rsidR="0054428F" w:rsidRPr="005D6E61">
        <w:rPr>
          <w:rFonts w:ascii="Cambria" w:hAnsi="Cambria"/>
          <w:sz w:val="20"/>
          <w:szCs w:val="20"/>
          <w:lang w:val="pt-BR"/>
        </w:rPr>
        <w:t xml:space="preserve"> das </w:t>
      </w:r>
      <w:r w:rsidRPr="005D6E61">
        <w:rPr>
          <w:rFonts w:ascii="Cambria" w:hAnsi="Cambria"/>
          <w:sz w:val="20"/>
          <w:szCs w:val="20"/>
          <w:lang w:val="pt-BR"/>
        </w:rPr>
        <w:t xml:space="preserve">autoridades </w:t>
      </w:r>
      <w:r w:rsidR="00EB4548" w:rsidRPr="005D6E61">
        <w:rPr>
          <w:rFonts w:ascii="Cambria" w:hAnsi="Cambria"/>
          <w:sz w:val="20"/>
          <w:szCs w:val="20"/>
          <w:lang w:val="pt-BR"/>
        </w:rPr>
        <w:t>brasileir</w:t>
      </w:r>
      <w:r w:rsidRPr="005D6E61">
        <w:rPr>
          <w:rFonts w:ascii="Cambria" w:hAnsi="Cambria"/>
          <w:sz w:val="20"/>
          <w:szCs w:val="20"/>
          <w:lang w:val="pt-BR"/>
        </w:rPr>
        <w:t>as</w:t>
      </w:r>
      <w:r w:rsidR="003B62AF" w:rsidRPr="005D6E61">
        <w:rPr>
          <w:rFonts w:ascii="Cambria" w:hAnsi="Cambria"/>
          <w:sz w:val="20"/>
          <w:szCs w:val="20"/>
          <w:lang w:val="pt-BR"/>
        </w:rPr>
        <w:t xml:space="preserve"> pela </w:t>
      </w:r>
      <w:r w:rsidRPr="005D6E61">
        <w:rPr>
          <w:rFonts w:ascii="Cambria" w:hAnsi="Cambria"/>
          <w:sz w:val="20"/>
          <w:szCs w:val="20"/>
          <w:lang w:val="pt-BR"/>
        </w:rPr>
        <w:t>falta de investiga</w:t>
      </w:r>
      <w:r w:rsidR="00A274D9" w:rsidRPr="005D6E61">
        <w:rPr>
          <w:rFonts w:ascii="Cambria" w:hAnsi="Cambria"/>
          <w:sz w:val="20"/>
          <w:szCs w:val="20"/>
          <w:lang w:val="pt-BR"/>
        </w:rPr>
        <w:t>ção</w:t>
      </w:r>
      <w:r w:rsidRPr="005D6E61">
        <w:rPr>
          <w:rFonts w:ascii="Cambria" w:hAnsi="Cambria"/>
          <w:sz w:val="20"/>
          <w:szCs w:val="20"/>
          <w:lang w:val="pt-BR"/>
        </w:rPr>
        <w:t xml:space="preserve"> de numerosos casos de </w:t>
      </w:r>
      <w:r w:rsidR="00EB52A1" w:rsidRPr="005D6E61">
        <w:rPr>
          <w:rFonts w:ascii="Cambria" w:hAnsi="Cambria"/>
          <w:sz w:val="20"/>
          <w:szCs w:val="20"/>
          <w:lang w:val="pt-BR"/>
        </w:rPr>
        <w:t>assassinato</w:t>
      </w:r>
      <w:r w:rsidRPr="005D6E61">
        <w:rPr>
          <w:rFonts w:ascii="Cambria" w:hAnsi="Cambria"/>
          <w:sz w:val="20"/>
          <w:szCs w:val="20"/>
          <w:lang w:val="pt-BR"/>
        </w:rPr>
        <w:t xml:space="preserve">s de </w:t>
      </w:r>
      <w:r w:rsidR="00EB4548" w:rsidRPr="005D6E61">
        <w:rPr>
          <w:rFonts w:ascii="Cambria" w:hAnsi="Cambria"/>
          <w:sz w:val="20"/>
          <w:szCs w:val="20"/>
          <w:lang w:val="pt-BR"/>
        </w:rPr>
        <w:t>membros</w:t>
      </w:r>
      <w:r w:rsidRPr="005D6E61">
        <w:rPr>
          <w:rFonts w:ascii="Cambria" w:hAnsi="Cambria"/>
          <w:sz w:val="20"/>
          <w:szCs w:val="20"/>
          <w:lang w:val="pt-BR"/>
        </w:rPr>
        <w:t xml:space="preserve"> de sindicatos</w:t>
      </w:r>
      <w:r w:rsidR="006C5454" w:rsidRPr="005D6E61">
        <w:rPr>
          <w:rFonts w:ascii="Cambria" w:hAnsi="Cambria"/>
          <w:sz w:val="20"/>
          <w:szCs w:val="20"/>
          <w:lang w:val="pt-BR"/>
        </w:rPr>
        <w:t xml:space="preserve"> e </w:t>
      </w:r>
      <w:r w:rsidR="00EB4548" w:rsidRPr="005D6E61">
        <w:rPr>
          <w:rFonts w:ascii="Cambria" w:hAnsi="Cambria"/>
          <w:sz w:val="20"/>
          <w:szCs w:val="20"/>
          <w:lang w:val="pt-BR"/>
        </w:rPr>
        <w:t>ativistas</w:t>
      </w:r>
      <w:r w:rsidRPr="005D6E61">
        <w:rPr>
          <w:rFonts w:ascii="Cambria" w:hAnsi="Cambria"/>
          <w:sz w:val="20"/>
          <w:szCs w:val="20"/>
          <w:lang w:val="pt-BR"/>
        </w:rPr>
        <w:t xml:space="preserve"> de </w:t>
      </w:r>
      <w:r w:rsidR="00675058" w:rsidRPr="005D6E61">
        <w:rPr>
          <w:rFonts w:ascii="Cambria" w:hAnsi="Cambria"/>
          <w:sz w:val="20"/>
          <w:szCs w:val="20"/>
          <w:lang w:val="pt-BR"/>
        </w:rPr>
        <w:t>direito</w:t>
      </w:r>
      <w:r w:rsidRPr="005D6E61">
        <w:rPr>
          <w:rFonts w:ascii="Cambria" w:hAnsi="Cambria"/>
          <w:sz w:val="20"/>
          <w:szCs w:val="20"/>
          <w:lang w:val="pt-BR"/>
        </w:rPr>
        <w:t>s humanos</w:t>
      </w:r>
      <w:r w:rsidR="00F77B7F" w:rsidRPr="005D6E61">
        <w:rPr>
          <w:rFonts w:ascii="Cambria" w:hAnsi="Cambria"/>
          <w:sz w:val="20"/>
          <w:szCs w:val="20"/>
          <w:lang w:val="pt-BR"/>
        </w:rPr>
        <w:t xml:space="preserve"> em </w:t>
      </w:r>
      <w:r w:rsidRPr="005D6E61">
        <w:rPr>
          <w:rFonts w:ascii="Cambria" w:hAnsi="Cambria"/>
          <w:sz w:val="20"/>
          <w:szCs w:val="20"/>
          <w:lang w:val="pt-BR"/>
        </w:rPr>
        <w:t>áreas rur</w:t>
      </w:r>
      <w:r w:rsidR="00331E62" w:rsidRPr="005D6E61">
        <w:rPr>
          <w:rFonts w:ascii="Cambria" w:hAnsi="Cambria"/>
          <w:sz w:val="20"/>
          <w:szCs w:val="20"/>
          <w:lang w:val="pt-BR"/>
        </w:rPr>
        <w:t>ais</w:t>
      </w:r>
      <w:r w:rsidRPr="005D6E61">
        <w:rPr>
          <w:rStyle w:val="FootnoteReference"/>
          <w:rFonts w:ascii="Cambria" w:hAnsi="Cambria"/>
          <w:sz w:val="20"/>
          <w:szCs w:val="20"/>
          <w:lang w:val="pt-BR"/>
        </w:rPr>
        <w:footnoteReference w:id="6"/>
      </w:r>
      <w:r w:rsidRPr="005D6E61">
        <w:rPr>
          <w:rFonts w:ascii="Cambria" w:hAnsi="Cambria"/>
          <w:sz w:val="20"/>
          <w:szCs w:val="20"/>
          <w:lang w:val="pt-BR"/>
        </w:rPr>
        <w:t>. A</w:t>
      </w:r>
      <w:r w:rsidR="00EC686B" w:rsidRPr="005D6E61">
        <w:rPr>
          <w:rFonts w:ascii="Cambria" w:hAnsi="Cambria"/>
          <w:sz w:val="20"/>
          <w:szCs w:val="20"/>
          <w:lang w:val="pt-BR"/>
        </w:rPr>
        <w:t>lém disso</w:t>
      </w:r>
      <w:r w:rsidRPr="005D6E61">
        <w:rPr>
          <w:rFonts w:ascii="Cambria" w:hAnsi="Cambria"/>
          <w:sz w:val="20"/>
          <w:szCs w:val="20"/>
          <w:lang w:val="pt-BR"/>
        </w:rPr>
        <w:t>,</w:t>
      </w:r>
      <w:r w:rsidR="00F77B7F" w:rsidRPr="005D6E61">
        <w:rPr>
          <w:rFonts w:ascii="Cambria" w:hAnsi="Cambria"/>
          <w:sz w:val="20"/>
          <w:szCs w:val="20"/>
          <w:lang w:val="pt-BR"/>
        </w:rPr>
        <w:t xml:space="preserve"> em </w:t>
      </w:r>
      <w:r w:rsidRPr="005D6E61">
        <w:rPr>
          <w:rFonts w:ascii="Cambria" w:hAnsi="Cambria"/>
          <w:sz w:val="20"/>
          <w:szCs w:val="20"/>
          <w:lang w:val="pt-BR"/>
        </w:rPr>
        <w:t>1984</w:t>
      </w:r>
      <w:r w:rsidR="00331E62" w:rsidRPr="005D6E61">
        <w:rPr>
          <w:rFonts w:ascii="Cambria" w:hAnsi="Cambria"/>
          <w:sz w:val="20"/>
          <w:szCs w:val="20"/>
          <w:lang w:val="pt-BR"/>
        </w:rPr>
        <w:t xml:space="preserve"> a </w:t>
      </w:r>
      <w:r w:rsidR="00EB4548" w:rsidRPr="005D6E61">
        <w:rPr>
          <w:rFonts w:ascii="Cambria" w:hAnsi="Cambria"/>
          <w:sz w:val="20"/>
          <w:szCs w:val="20"/>
          <w:lang w:val="pt-BR"/>
        </w:rPr>
        <w:t>mesma</w:t>
      </w:r>
      <w:r w:rsidRPr="005D6E61">
        <w:rPr>
          <w:rFonts w:ascii="Cambria" w:hAnsi="Cambria"/>
          <w:sz w:val="20"/>
          <w:szCs w:val="20"/>
          <w:lang w:val="pt-BR"/>
        </w:rPr>
        <w:t xml:space="preserve"> organiza</w:t>
      </w:r>
      <w:r w:rsidR="00A274D9" w:rsidRPr="005D6E61">
        <w:rPr>
          <w:rFonts w:ascii="Cambria" w:hAnsi="Cambria"/>
          <w:sz w:val="20"/>
          <w:szCs w:val="20"/>
          <w:lang w:val="pt-BR"/>
        </w:rPr>
        <w:t>ção</w:t>
      </w:r>
      <w:r w:rsidRPr="005D6E61">
        <w:rPr>
          <w:rFonts w:ascii="Cambria" w:hAnsi="Cambria"/>
          <w:sz w:val="20"/>
          <w:szCs w:val="20"/>
          <w:lang w:val="pt-BR"/>
        </w:rPr>
        <w:t xml:space="preserve"> </w:t>
      </w:r>
      <w:r w:rsidR="00EC686B" w:rsidRPr="005D6E61">
        <w:rPr>
          <w:rFonts w:ascii="Cambria" w:hAnsi="Cambria"/>
          <w:sz w:val="20"/>
          <w:szCs w:val="20"/>
          <w:lang w:val="pt-BR"/>
        </w:rPr>
        <w:t>ch</w:t>
      </w:r>
      <w:r w:rsidRPr="005D6E61">
        <w:rPr>
          <w:rFonts w:ascii="Cambria" w:hAnsi="Cambria"/>
          <w:sz w:val="20"/>
          <w:szCs w:val="20"/>
          <w:lang w:val="pt-BR"/>
        </w:rPr>
        <w:t>am</w:t>
      </w:r>
      <w:r w:rsidR="00BF0B90" w:rsidRPr="005D6E61">
        <w:rPr>
          <w:rFonts w:ascii="Cambria" w:hAnsi="Cambria"/>
          <w:sz w:val="20"/>
          <w:szCs w:val="20"/>
          <w:lang w:val="pt-BR"/>
        </w:rPr>
        <w:t xml:space="preserve">ou </w:t>
      </w:r>
      <w:r w:rsidR="00331E62" w:rsidRPr="005D6E61">
        <w:rPr>
          <w:rFonts w:ascii="Cambria" w:hAnsi="Cambria"/>
          <w:sz w:val="20"/>
          <w:szCs w:val="20"/>
          <w:lang w:val="pt-BR"/>
        </w:rPr>
        <w:t xml:space="preserve">a </w:t>
      </w:r>
      <w:r w:rsidRPr="005D6E61">
        <w:rPr>
          <w:rFonts w:ascii="Cambria" w:hAnsi="Cambria"/>
          <w:sz w:val="20"/>
          <w:szCs w:val="20"/>
          <w:lang w:val="pt-BR"/>
        </w:rPr>
        <w:t>aten</w:t>
      </w:r>
      <w:r w:rsidR="00A274D9" w:rsidRPr="005D6E61">
        <w:rPr>
          <w:rFonts w:ascii="Cambria" w:hAnsi="Cambria"/>
          <w:sz w:val="20"/>
          <w:szCs w:val="20"/>
          <w:lang w:val="pt-BR"/>
        </w:rPr>
        <w:t>ção</w:t>
      </w:r>
      <w:r w:rsidR="007612B9" w:rsidRPr="005D6E61">
        <w:rPr>
          <w:rFonts w:ascii="Cambria" w:hAnsi="Cambria"/>
          <w:sz w:val="20"/>
          <w:szCs w:val="20"/>
          <w:lang w:val="pt-BR"/>
        </w:rPr>
        <w:t xml:space="preserve"> p</w:t>
      </w:r>
      <w:r w:rsidR="00EC686B" w:rsidRPr="005D6E61">
        <w:rPr>
          <w:rFonts w:ascii="Cambria" w:hAnsi="Cambria"/>
          <w:sz w:val="20"/>
          <w:szCs w:val="20"/>
          <w:lang w:val="pt-BR"/>
        </w:rPr>
        <w:t xml:space="preserve">ara </w:t>
      </w:r>
      <w:r w:rsidR="007612B9" w:rsidRPr="005D6E61">
        <w:rPr>
          <w:rFonts w:ascii="Cambria" w:hAnsi="Cambria"/>
          <w:sz w:val="20"/>
          <w:szCs w:val="20"/>
          <w:lang w:val="pt-BR"/>
        </w:rPr>
        <w:t xml:space="preserve">o </w:t>
      </w:r>
      <w:r w:rsidRPr="005D6E61">
        <w:rPr>
          <w:rFonts w:ascii="Cambria" w:hAnsi="Cambria"/>
          <w:sz w:val="20"/>
          <w:szCs w:val="20"/>
          <w:lang w:val="pt-BR"/>
        </w:rPr>
        <w:t>gran</w:t>
      </w:r>
      <w:r w:rsidR="00EC686B" w:rsidRPr="005D6E61">
        <w:rPr>
          <w:rFonts w:ascii="Cambria" w:hAnsi="Cambria"/>
          <w:sz w:val="20"/>
          <w:szCs w:val="20"/>
          <w:lang w:val="pt-BR"/>
        </w:rPr>
        <w:t>de</w:t>
      </w:r>
      <w:r w:rsidRPr="005D6E61">
        <w:rPr>
          <w:rFonts w:ascii="Cambria" w:hAnsi="Cambria"/>
          <w:sz w:val="20"/>
          <w:szCs w:val="20"/>
          <w:lang w:val="pt-BR"/>
        </w:rPr>
        <w:t xml:space="preserve"> número de </w:t>
      </w:r>
      <w:r w:rsidR="00EB52A1" w:rsidRPr="005D6E61">
        <w:rPr>
          <w:rFonts w:ascii="Cambria" w:hAnsi="Cambria"/>
          <w:sz w:val="20"/>
          <w:szCs w:val="20"/>
          <w:lang w:val="pt-BR"/>
        </w:rPr>
        <w:t>assassinato</w:t>
      </w:r>
      <w:r w:rsidRPr="005D6E61">
        <w:rPr>
          <w:rFonts w:ascii="Cambria" w:hAnsi="Cambria"/>
          <w:sz w:val="20"/>
          <w:szCs w:val="20"/>
          <w:lang w:val="pt-BR"/>
        </w:rPr>
        <w:t xml:space="preserve">s de </w:t>
      </w:r>
      <w:r w:rsidR="0054428F" w:rsidRPr="005D6E61">
        <w:rPr>
          <w:rFonts w:ascii="Cambria" w:hAnsi="Cambria"/>
          <w:sz w:val="20"/>
          <w:szCs w:val="20"/>
          <w:lang w:val="pt-BR"/>
        </w:rPr>
        <w:t>pessoa</w:t>
      </w:r>
      <w:r w:rsidRPr="005D6E61">
        <w:rPr>
          <w:rFonts w:ascii="Cambria" w:hAnsi="Cambria"/>
          <w:sz w:val="20"/>
          <w:szCs w:val="20"/>
          <w:lang w:val="pt-BR"/>
        </w:rPr>
        <w:t>s relacionadas</w:t>
      </w:r>
      <w:r w:rsidR="00CD523F" w:rsidRPr="005D6E61">
        <w:rPr>
          <w:rFonts w:ascii="Cambria" w:hAnsi="Cambria"/>
          <w:sz w:val="20"/>
          <w:szCs w:val="20"/>
          <w:lang w:val="pt-BR"/>
        </w:rPr>
        <w:t xml:space="preserve"> ao </w:t>
      </w:r>
      <w:r w:rsidRPr="005D6E61">
        <w:rPr>
          <w:rFonts w:ascii="Cambria" w:hAnsi="Cambria"/>
          <w:sz w:val="20"/>
          <w:szCs w:val="20"/>
          <w:lang w:val="pt-BR"/>
        </w:rPr>
        <w:t>movi</w:t>
      </w:r>
      <w:r w:rsidR="00FB55C7" w:rsidRPr="005D6E61">
        <w:rPr>
          <w:rFonts w:ascii="Cambria" w:hAnsi="Cambria"/>
          <w:sz w:val="20"/>
          <w:szCs w:val="20"/>
          <w:lang w:val="pt-BR"/>
        </w:rPr>
        <w:t>mento</w:t>
      </w:r>
      <w:r w:rsidRPr="005D6E61">
        <w:rPr>
          <w:rFonts w:ascii="Cambria" w:hAnsi="Cambria"/>
          <w:sz w:val="20"/>
          <w:szCs w:val="20"/>
          <w:lang w:val="pt-BR"/>
        </w:rPr>
        <w:t xml:space="preserve"> sindical rural</w:t>
      </w:r>
      <w:r w:rsidR="006C5454" w:rsidRPr="005D6E61">
        <w:rPr>
          <w:rFonts w:ascii="Cambria" w:hAnsi="Cambria"/>
          <w:sz w:val="20"/>
          <w:szCs w:val="20"/>
          <w:lang w:val="pt-BR"/>
        </w:rPr>
        <w:t xml:space="preserve"> e </w:t>
      </w:r>
      <w:r w:rsidR="00EB4548" w:rsidRPr="005D6E61">
        <w:rPr>
          <w:rFonts w:ascii="Cambria" w:hAnsi="Cambria"/>
          <w:sz w:val="20"/>
          <w:szCs w:val="20"/>
          <w:lang w:val="pt-BR"/>
        </w:rPr>
        <w:t>ressaltou</w:t>
      </w:r>
      <w:r w:rsidR="00BF0B90" w:rsidRPr="005D6E61">
        <w:rPr>
          <w:rFonts w:ascii="Cambria" w:hAnsi="Cambria"/>
          <w:sz w:val="20"/>
          <w:szCs w:val="20"/>
          <w:lang w:val="pt-BR"/>
        </w:rPr>
        <w:t xml:space="preserve"> </w:t>
      </w:r>
      <w:r w:rsidR="00331E62" w:rsidRPr="005D6E61">
        <w:rPr>
          <w:rFonts w:ascii="Cambria" w:hAnsi="Cambria"/>
          <w:sz w:val="20"/>
          <w:szCs w:val="20"/>
          <w:lang w:val="pt-BR"/>
        </w:rPr>
        <w:t xml:space="preserve">a </w:t>
      </w:r>
      <w:r w:rsidRPr="005D6E61">
        <w:rPr>
          <w:rFonts w:ascii="Cambria" w:hAnsi="Cambria"/>
          <w:sz w:val="20"/>
          <w:szCs w:val="20"/>
          <w:lang w:val="pt-BR"/>
        </w:rPr>
        <w:t>aparente aquiesc</w:t>
      </w:r>
      <w:r w:rsidR="00E37676" w:rsidRPr="005D6E61">
        <w:rPr>
          <w:rFonts w:ascii="Cambria" w:hAnsi="Cambria"/>
          <w:sz w:val="20"/>
          <w:szCs w:val="20"/>
          <w:lang w:val="pt-BR"/>
        </w:rPr>
        <w:t>ência</w:t>
      </w:r>
      <w:r w:rsidRPr="005D6E61">
        <w:rPr>
          <w:rFonts w:ascii="Cambria" w:hAnsi="Cambria"/>
          <w:sz w:val="20"/>
          <w:szCs w:val="20"/>
          <w:lang w:val="pt-BR"/>
        </w:rPr>
        <w:t xml:space="preserve"> de autoridades loc</w:t>
      </w:r>
      <w:r w:rsidR="00331E62" w:rsidRPr="005D6E61">
        <w:rPr>
          <w:rFonts w:ascii="Cambria" w:hAnsi="Cambria"/>
          <w:sz w:val="20"/>
          <w:szCs w:val="20"/>
          <w:lang w:val="pt-BR"/>
        </w:rPr>
        <w:t>ais</w:t>
      </w:r>
      <w:r w:rsidR="00F77B7F" w:rsidRPr="005D6E61">
        <w:rPr>
          <w:rFonts w:ascii="Cambria" w:hAnsi="Cambria"/>
          <w:sz w:val="20"/>
          <w:szCs w:val="20"/>
          <w:lang w:val="pt-BR"/>
        </w:rPr>
        <w:t xml:space="preserve"> com os </w:t>
      </w:r>
      <w:r w:rsidRPr="005D6E61">
        <w:rPr>
          <w:rFonts w:ascii="Cambria" w:hAnsi="Cambria"/>
          <w:sz w:val="20"/>
          <w:szCs w:val="20"/>
          <w:lang w:val="pt-BR"/>
        </w:rPr>
        <w:t xml:space="preserve">perpetradores, </w:t>
      </w:r>
      <w:r w:rsidR="004642E3" w:rsidRPr="005D6E61">
        <w:rPr>
          <w:rFonts w:ascii="Cambria" w:hAnsi="Cambria"/>
          <w:sz w:val="20"/>
          <w:szCs w:val="20"/>
          <w:lang w:val="pt-BR"/>
        </w:rPr>
        <w:t>de</w:t>
      </w:r>
      <w:r w:rsidRPr="005D6E61">
        <w:rPr>
          <w:rFonts w:ascii="Cambria" w:hAnsi="Cambria"/>
          <w:sz w:val="20"/>
          <w:szCs w:val="20"/>
          <w:lang w:val="pt-BR"/>
        </w:rPr>
        <w:t>mo</w:t>
      </w:r>
      <w:r w:rsidR="004642E3" w:rsidRPr="005D6E61">
        <w:rPr>
          <w:rFonts w:ascii="Cambria" w:hAnsi="Cambria"/>
          <w:sz w:val="20"/>
          <w:szCs w:val="20"/>
          <w:lang w:val="pt-BR"/>
        </w:rPr>
        <w:t>n</w:t>
      </w:r>
      <w:r w:rsidRPr="005D6E61">
        <w:rPr>
          <w:rFonts w:ascii="Cambria" w:hAnsi="Cambria"/>
          <w:sz w:val="20"/>
          <w:szCs w:val="20"/>
          <w:lang w:val="pt-BR"/>
        </w:rPr>
        <w:t>strada</w:t>
      </w:r>
      <w:r w:rsidR="003B62AF" w:rsidRPr="005D6E61">
        <w:rPr>
          <w:rFonts w:ascii="Cambria" w:hAnsi="Cambria"/>
          <w:sz w:val="20"/>
          <w:szCs w:val="20"/>
          <w:lang w:val="pt-BR"/>
        </w:rPr>
        <w:t xml:space="preserve"> pela </w:t>
      </w:r>
      <w:r w:rsidRPr="005D6E61">
        <w:rPr>
          <w:rFonts w:ascii="Cambria" w:hAnsi="Cambria"/>
          <w:sz w:val="20"/>
          <w:szCs w:val="20"/>
          <w:lang w:val="pt-BR"/>
        </w:rPr>
        <w:t>falta de investiga</w:t>
      </w:r>
      <w:r w:rsidR="00A274D9" w:rsidRPr="005D6E61">
        <w:rPr>
          <w:rFonts w:ascii="Cambria" w:hAnsi="Cambria"/>
          <w:sz w:val="20"/>
          <w:szCs w:val="20"/>
          <w:lang w:val="pt-BR"/>
        </w:rPr>
        <w:t>ção</w:t>
      </w:r>
      <w:r w:rsidR="00331E62" w:rsidRPr="005D6E61">
        <w:rPr>
          <w:rFonts w:ascii="Cambria" w:hAnsi="Cambria"/>
          <w:sz w:val="20"/>
          <w:szCs w:val="20"/>
          <w:lang w:val="pt-BR"/>
        </w:rPr>
        <w:t xml:space="preserve"> dos </w:t>
      </w:r>
      <w:r w:rsidR="00EB4548" w:rsidRPr="005D6E61">
        <w:rPr>
          <w:rFonts w:ascii="Cambria" w:hAnsi="Cambria"/>
          <w:sz w:val="20"/>
          <w:szCs w:val="20"/>
          <w:lang w:val="pt-BR"/>
        </w:rPr>
        <w:t>crimes</w:t>
      </w:r>
      <w:r w:rsidRPr="005D6E61">
        <w:rPr>
          <w:rFonts w:ascii="Cambria" w:hAnsi="Cambria"/>
          <w:sz w:val="20"/>
          <w:szCs w:val="20"/>
          <w:lang w:val="pt-BR"/>
        </w:rPr>
        <w:t>,</w:t>
      </w:r>
      <w:r w:rsidR="006C5454" w:rsidRPr="005D6E61">
        <w:rPr>
          <w:rFonts w:ascii="Cambria" w:hAnsi="Cambria"/>
          <w:sz w:val="20"/>
          <w:szCs w:val="20"/>
          <w:lang w:val="pt-BR"/>
        </w:rPr>
        <w:t xml:space="preserve"> e </w:t>
      </w:r>
      <w:r w:rsidRPr="005D6E61">
        <w:rPr>
          <w:rFonts w:ascii="Cambria" w:hAnsi="Cambria"/>
          <w:sz w:val="20"/>
          <w:szCs w:val="20"/>
          <w:lang w:val="pt-BR"/>
        </w:rPr>
        <w:t>cit</w:t>
      </w:r>
      <w:r w:rsidR="00BF0B90" w:rsidRPr="005D6E61">
        <w:rPr>
          <w:rFonts w:ascii="Cambria" w:hAnsi="Cambria"/>
          <w:sz w:val="20"/>
          <w:szCs w:val="20"/>
          <w:lang w:val="pt-BR"/>
        </w:rPr>
        <w:t xml:space="preserve">ou </w:t>
      </w:r>
      <w:r w:rsidR="00331E62" w:rsidRPr="005D6E61">
        <w:rPr>
          <w:rFonts w:ascii="Cambria" w:hAnsi="Cambria"/>
          <w:sz w:val="20"/>
          <w:szCs w:val="20"/>
          <w:lang w:val="pt-BR"/>
        </w:rPr>
        <w:t xml:space="preserve">o </w:t>
      </w:r>
      <w:r w:rsidRPr="005D6E61">
        <w:rPr>
          <w:rFonts w:ascii="Cambria" w:hAnsi="Cambria"/>
          <w:sz w:val="20"/>
          <w:szCs w:val="20"/>
          <w:lang w:val="pt-BR"/>
        </w:rPr>
        <w:t>caso de Margarida Maria Alves como</w:t>
      </w:r>
      <w:r w:rsidR="00275A65" w:rsidRPr="005D6E61">
        <w:rPr>
          <w:rFonts w:ascii="Cambria" w:hAnsi="Cambria"/>
          <w:sz w:val="20"/>
          <w:szCs w:val="20"/>
          <w:lang w:val="pt-BR"/>
        </w:rPr>
        <w:t xml:space="preserve"> um </w:t>
      </w:r>
      <w:r w:rsidR="00EB4548" w:rsidRPr="005D6E61">
        <w:rPr>
          <w:rFonts w:ascii="Cambria" w:hAnsi="Cambria"/>
          <w:sz w:val="20"/>
          <w:szCs w:val="20"/>
          <w:lang w:val="pt-BR"/>
        </w:rPr>
        <w:t>exemplo</w:t>
      </w:r>
      <w:r w:rsidRPr="005D6E61">
        <w:rPr>
          <w:rFonts w:ascii="Cambria" w:hAnsi="Cambria"/>
          <w:sz w:val="20"/>
          <w:szCs w:val="20"/>
          <w:lang w:val="pt-BR"/>
        </w:rPr>
        <w:t xml:space="preserve"> </w:t>
      </w:r>
      <w:r w:rsidR="00EB4548" w:rsidRPr="005D6E61">
        <w:rPr>
          <w:rFonts w:ascii="Cambria" w:hAnsi="Cambria"/>
          <w:sz w:val="20"/>
          <w:szCs w:val="20"/>
          <w:lang w:val="pt-BR"/>
        </w:rPr>
        <w:t>desse</w:t>
      </w:r>
      <w:r w:rsidRPr="005D6E61">
        <w:rPr>
          <w:rFonts w:ascii="Cambria" w:hAnsi="Cambria"/>
          <w:sz w:val="20"/>
          <w:szCs w:val="20"/>
          <w:lang w:val="pt-BR"/>
        </w:rPr>
        <w:t xml:space="preserve"> contexto</w:t>
      </w:r>
      <w:r w:rsidRPr="005D6E61">
        <w:rPr>
          <w:rStyle w:val="FootnoteReference"/>
          <w:rFonts w:ascii="Cambria" w:hAnsi="Cambria"/>
          <w:sz w:val="20"/>
          <w:szCs w:val="20"/>
          <w:lang w:val="pt-BR"/>
        </w:rPr>
        <w:footnoteReference w:id="7"/>
      </w:r>
      <w:r w:rsidRPr="005D6E61">
        <w:rPr>
          <w:rFonts w:ascii="Cambria" w:hAnsi="Cambria"/>
          <w:sz w:val="20"/>
          <w:szCs w:val="20"/>
          <w:lang w:val="pt-BR"/>
        </w:rPr>
        <w:t>.</w:t>
      </w:r>
      <w:r w:rsidR="00331E62" w:rsidRPr="005D6E61">
        <w:rPr>
          <w:rFonts w:ascii="Cambria" w:hAnsi="Cambria"/>
          <w:sz w:val="20"/>
          <w:szCs w:val="20"/>
          <w:lang w:val="pt-BR"/>
        </w:rPr>
        <w:t xml:space="preserve"> </w:t>
      </w:r>
      <w:r w:rsidR="00EC686B" w:rsidRPr="005D6E61">
        <w:rPr>
          <w:rFonts w:ascii="Cambria" w:hAnsi="Cambria"/>
          <w:sz w:val="20"/>
          <w:szCs w:val="20"/>
          <w:lang w:val="pt-BR"/>
        </w:rPr>
        <w:t>A</w:t>
      </w:r>
      <w:r w:rsidR="00331E62" w:rsidRPr="005D6E61">
        <w:rPr>
          <w:rFonts w:ascii="Cambria" w:hAnsi="Cambria"/>
          <w:sz w:val="20"/>
          <w:szCs w:val="20"/>
          <w:lang w:val="pt-BR"/>
        </w:rPr>
        <w:t xml:space="preserve"> </w:t>
      </w:r>
      <w:r w:rsidR="00EB4548" w:rsidRPr="005D6E61">
        <w:rPr>
          <w:rFonts w:ascii="Cambria" w:hAnsi="Cambria"/>
          <w:sz w:val="20"/>
          <w:szCs w:val="20"/>
          <w:lang w:val="pt-BR"/>
        </w:rPr>
        <w:t>mesma</w:t>
      </w:r>
      <w:r w:rsidRPr="005D6E61">
        <w:rPr>
          <w:rFonts w:ascii="Cambria" w:hAnsi="Cambria"/>
          <w:sz w:val="20"/>
          <w:szCs w:val="20"/>
          <w:lang w:val="pt-BR"/>
        </w:rPr>
        <w:t xml:space="preserve"> problemática f</w:t>
      </w:r>
      <w:r w:rsidR="00EC686B" w:rsidRPr="005D6E61">
        <w:rPr>
          <w:rFonts w:ascii="Cambria" w:hAnsi="Cambria"/>
          <w:sz w:val="20"/>
          <w:szCs w:val="20"/>
          <w:lang w:val="pt-BR"/>
        </w:rPr>
        <w:t>oi</w:t>
      </w:r>
      <w:r w:rsidRPr="005D6E61">
        <w:rPr>
          <w:rFonts w:ascii="Cambria" w:hAnsi="Cambria"/>
          <w:sz w:val="20"/>
          <w:szCs w:val="20"/>
          <w:lang w:val="pt-BR"/>
        </w:rPr>
        <w:t xml:space="preserve"> </w:t>
      </w:r>
      <w:r w:rsidR="006C535C" w:rsidRPr="005D6E61">
        <w:rPr>
          <w:rFonts w:ascii="Cambria" w:hAnsi="Cambria"/>
          <w:sz w:val="20"/>
          <w:szCs w:val="20"/>
          <w:lang w:val="pt-BR"/>
        </w:rPr>
        <w:t>denunciada</w:t>
      </w:r>
      <w:r w:rsidRPr="005D6E61">
        <w:rPr>
          <w:rFonts w:ascii="Cambria" w:hAnsi="Cambria"/>
          <w:sz w:val="20"/>
          <w:szCs w:val="20"/>
          <w:lang w:val="pt-BR"/>
        </w:rPr>
        <w:t xml:space="preserve"> por </w:t>
      </w:r>
      <w:r w:rsidR="00EC686B" w:rsidRPr="005D6E61">
        <w:rPr>
          <w:rFonts w:ascii="Cambria" w:hAnsi="Cambria"/>
          <w:sz w:val="20"/>
          <w:szCs w:val="20"/>
          <w:lang w:val="pt-BR"/>
        </w:rPr>
        <w:t>ess</w:t>
      </w:r>
      <w:r w:rsidRPr="005D6E61">
        <w:rPr>
          <w:rFonts w:ascii="Cambria" w:hAnsi="Cambria"/>
          <w:sz w:val="20"/>
          <w:szCs w:val="20"/>
          <w:lang w:val="pt-BR"/>
        </w:rPr>
        <w:t>a organiza</w:t>
      </w:r>
      <w:r w:rsidR="00A274D9" w:rsidRPr="005D6E61">
        <w:rPr>
          <w:rFonts w:ascii="Cambria" w:hAnsi="Cambria"/>
          <w:sz w:val="20"/>
          <w:szCs w:val="20"/>
          <w:lang w:val="pt-BR"/>
        </w:rPr>
        <w:t>ção</w:t>
      </w:r>
      <w:r w:rsidR="00F77B7F" w:rsidRPr="005D6E61">
        <w:rPr>
          <w:rFonts w:ascii="Cambria" w:hAnsi="Cambria"/>
          <w:sz w:val="20"/>
          <w:szCs w:val="20"/>
          <w:lang w:val="pt-BR"/>
        </w:rPr>
        <w:t xml:space="preserve"> em </w:t>
      </w:r>
      <w:r w:rsidRPr="005D6E61">
        <w:rPr>
          <w:rFonts w:ascii="Cambria" w:hAnsi="Cambria"/>
          <w:sz w:val="20"/>
          <w:szCs w:val="20"/>
          <w:lang w:val="pt-BR"/>
        </w:rPr>
        <w:t>1985</w:t>
      </w:r>
      <w:r w:rsidRPr="005D6E61">
        <w:rPr>
          <w:rStyle w:val="FootnoteReference"/>
          <w:rFonts w:ascii="Cambria" w:hAnsi="Cambria"/>
          <w:sz w:val="20"/>
          <w:szCs w:val="20"/>
          <w:lang w:val="pt-BR"/>
        </w:rPr>
        <w:footnoteReference w:id="8"/>
      </w:r>
      <w:r w:rsidR="006C5454" w:rsidRPr="005D6E61">
        <w:rPr>
          <w:rFonts w:ascii="Cambria" w:hAnsi="Cambria"/>
          <w:sz w:val="20"/>
          <w:szCs w:val="20"/>
          <w:lang w:val="pt-BR"/>
        </w:rPr>
        <w:t xml:space="preserve"> e</w:t>
      </w:r>
      <w:r w:rsidR="00F77B7F" w:rsidRPr="005D6E61">
        <w:rPr>
          <w:rFonts w:ascii="Cambria" w:hAnsi="Cambria"/>
          <w:sz w:val="20"/>
          <w:szCs w:val="20"/>
          <w:lang w:val="pt-BR"/>
        </w:rPr>
        <w:t xml:space="preserve"> em </w:t>
      </w:r>
      <w:r w:rsidRPr="005D6E61">
        <w:rPr>
          <w:rFonts w:ascii="Cambria" w:hAnsi="Cambria"/>
          <w:sz w:val="20"/>
          <w:szCs w:val="20"/>
          <w:lang w:val="pt-BR"/>
        </w:rPr>
        <w:t>1990</w:t>
      </w:r>
      <w:r w:rsidR="009B2166" w:rsidRPr="005D6E61">
        <w:rPr>
          <w:rFonts w:ascii="Cambria" w:hAnsi="Cambria"/>
          <w:sz w:val="20"/>
          <w:szCs w:val="20"/>
          <w:lang w:val="pt-BR"/>
        </w:rPr>
        <w:t>,</w:t>
      </w:r>
      <w:r w:rsidRPr="005D6E61">
        <w:rPr>
          <w:rFonts w:ascii="Cambria" w:hAnsi="Cambria"/>
          <w:sz w:val="20"/>
          <w:szCs w:val="20"/>
          <w:lang w:val="pt-BR"/>
        </w:rPr>
        <w:t xml:space="preserve"> </w:t>
      </w:r>
      <w:r w:rsidR="00EC686B" w:rsidRPr="005D6E61">
        <w:rPr>
          <w:rFonts w:ascii="Cambria" w:hAnsi="Cambria"/>
          <w:sz w:val="20"/>
          <w:szCs w:val="20"/>
          <w:lang w:val="pt-BR"/>
        </w:rPr>
        <w:t>focaliz</w:t>
      </w:r>
      <w:r w:rsidR="00904EE8" w:rsidRPr="005D6E61">
        <w:rPr>
          <w:rFonts w:ascii="Cambria" w:hAnsi="Cambria"/>
          <w:sz w:val="20"/>
          <w:szCs w:val="20"/>
          <w:lang w:val="pt-BR"/>
        </w:rPr>
        <w:t>and</w:t>
      </w:r>
      <w:r w:rsidR="00BF0B90" w:rsidRPr="005D6E61">
        <w:rPr>
          <w:rFonts w:ascii="Cambria" w:hAnsi="Cambria"/>
          <w:sz w:val="20"/>
          <w:szCs w:val="20"/>
          <w:lang w:val="pt-BR"/>
        </w:rPr>
        <w:t xml:space="preserve">o </w:t>
      </w:r>
      <w:r w:rsidR="00EC686B" w:rsidRPr="005D6E61">
        <w:rPr>
          <w:rFonts w:ascii="Cambria" w:hAnsi="Cambria"/>
          <w:sz w:val="20"/>
          <w:szCs w:val="20"/>
          <w:lang w:val="pt-BR"/>
        </w:rPr>
        <w:t>o N</w:t>
      </w:r>
      <w:r w:rsidRPr="005D6E61">
        <w:rPr>
          <w:rFonts w:ascii="Cambria" w:hAnsi="Cambria"/>
          <w:sz w:val="20"/>
          <w:szCs w:val="20"/>
          <w:lang w:val="pt-BR"/>
        </w:rPr>
        <w:t>ordeste d</w:t>
      </w:r>
      <w:r w:rsidR="00EC686B" w:rsidRPr="005D6E61">
        <w:rPr>
          <w:rFonts w:ascii="Cambria" w:hAnsi="Cambria"/>
          <w:sz w:val="20"/>
          <w:szCs w:val="20"/>
          <w:lang w:val="pt-BR"/>
        </w:rPr>
        <w:t>o</w:t>
      </w:r>
      <w:r w:rsidRPr="005D6E61">
        <w:rPr>
          <w:rFonts w:ascii="Cambria" w:hAnsi="Cambria"/>
          <w:sz w:val="20"/>
          <w:szCs w:val="20"/>
          <w:lang w:val="pt-BR"/>
        </w:rPr>
        <w:t xml:space="preserve"> Brasil</w:t>
      </w:r>
      <w:r w:rsidRPr="005D6E61">
        <w:rPr>
          <w:rStyle w:val="FootnoteReference"/>
          <w:rFonts w:ascii="Cambria" w:hAnsi="Cambria"/>
          <w:sz w:val="20"/>
          <w:szCs w:val="20"/>
          <w:lang w:val="pt-BR"/>
        </w:rPr>
        <w:footnoteReference w:id="9"/>
      </w:r>
      <w:r w:rsidRPr="005D6E61">
        <w:rPr>
          <w:rFonts w:ascii="Cambria" w:hAnsi="Cambria"/>
          <w:sz w:val="20"/>
          <w:szCs w:val="20"/>
          <w:lang w:val="pt-BR"/>
        </w:rPr>
        <w:t xml:space="preserve">. </w:t>
      </w:r>
    </w:p>
    <w:p w14:paraId="5DFE01FE" w14:textId="77777777" w:rsidR="00AA70A5" w:rsidRPr="005D6E61" w:rsidRDefault="00AA70A5" w:rsidP="00AA70A5">
      <w:pPr>
        <w:pStyle w:val="ListParagraph"/>
        <w:rPr>
          <w:sz w:val="20"/>
          <w:szCs w:val="20"/>
          <w:lang w:val="pt-BR"/>
        </w:rPr>
      </w:pPr>
    </w:p>
    <w:p w14:paraId="749F5798" w14:textId="77777777" w:rsidR="00AA70A5" w:rsidRPr="005D6E61"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A</w:t>
      </w:r>
      <w:r w:rsidR="00184F5F" w:rsidRPr="005D6E61">
        <w:rPr>
          <w:rFonts w:ascii="Cambria" w:hAnsi="Cambria"/>
          <w:sz w:val="20"/>
          <w:szCs w:val="20"/>
          <w:lang w:val="pt-BR"/>
        </w:rPr>
        <w:t>lém disso</w:t>
      </w:r>
      <w:r w:rsidRPr="005D6E61">
        <w:rPr>
          <w:rFonts w:ascii="Cambria" w:hAnsi="Cambria"/>
          <w:sz w:val="20"/>
          <w:szCs w:val="20"/>
          <w:lang w:val="pt-BR"/>
        </w:rPr>
        <w:t>, Human Rights Watch,</w:t>
      </w:r>
      <w:r w:rsidR="00F77B7F" w:rsidRPr="005D6E61">
        <w:rPr>
          <w:rFonts w:ascii="Cambria" w:hAnsi="Cambria"/>
          <w:sz w:val="20"/>
          <w:szCs w:val="20"/>
          <w:lang w:val="pt-BR"/>
        </w:rPr>
        <w:t xml:space="preserve"> em </w:t>
      </w:r>
      <w:r w:rsidRPr="005D6E61">
        <w:rPr>
          <w:rFonts w:ascii="Cambria" w:hAnsi="Cambria"/>
          <w:sz w:val="20"/>
          <w:szCs w:val="20"/>
          <w:lang w:val="pt-BR"/>
        </w:rPr>
        <w:t>s</w:t>
      </w:r>
      <w:r w:rsidR="009E5AD2" w:rsidRPr="005D6E61">
        <w:rPr>
          <w:rFonts w:ascii="Cambria" w:hAnsi="Cambria"/>
          <w:sz w:val="20"/>
          <w:szCs w:val="20"/>
          <w:lang w:val="pt-BR"/>
        </w:rPr>
        <w:t>e</w:t>
      </w:r>
      <w:r w:rsidRPr="005D6E61">
        <w:rPr>
          <w:rFonts w:ascii="Cambria" w:hAnsi="Cambria"/>
          <w:sz w:val="20"/>
          <w:szCs w:val="20"/>
          <w:lang w:val="pt-BR"/>
        </w:rPr>
        <w:t xml:space="preserve">u </w:t>
      </w:r>
      <w:r w:rsidR="00704E7B" w:rsidRPr="005D6E61">
        <w:rPr>
          <w:rFonts w:ascii="Cambria" w:hAnsi="Cambria"/>
          <w:sz w:val="20"/>
          <w:szCs w:val="20"/>
          <w:lang w:val="pt-BR"/>
        </w:rPr>
        <w:t>relatório</w:t>
      </w:r>
      <w:r w:rsidRPr="005D6E61">
        <w:rPr>
          <w:rFonts w:ascii="Cambria" w:hAnsi="Cambria"/>
          <w:sz w:val="20"/>
          <w:szCs w:val="20"/>
          <w:lang w:val="pt-BR"/>
        </w:rPr>
        <w:t xml:space="preserve"> “</w:t>
      </w:r>
      <w:r w:rsidR="00184F5F" w:rsidRPr="005D6E61">
        <w:rPr>
          <w:rFonts w:ascii="Cambria" w:hAnsi="Cambria"/>
          <w:sz w:val="20"/>
          <w:szCs w:val="20"/>
          <w:lang w:val="pt-BR"/>
        </w:rPr>
        <w:t>A</w:t>
      </w:r>
      <w:r w:rsidRPr="005D6E61">
        <w:rPr>
          <w:rFonts w:ascii="Cambria" w:hAnsi="Cambria"/>
          <w:sz w:val="20"/>
          <w:szCs w:val="20"/>
          <w:lang w:val="pt-BR"/>
        </w:rPr>
        <w:t xml:space="preserve"> lu</w:t>
      </w:r>
      <w:r w:rsidR="009E5AD2" w:rsidRPr="005D6E61">
        <w:rPr>
          <w:rFonts w:ascii="Cambria" w:hAnsi="Cambria"/>
          <w:sz w:val="20"/>
          <w:szCs w:val="20"/>
          <w:lang w:val="pt-BR"/>
        </w:rPr>
        <w:t>t</w:t>
      </w:r>
      <w:r w:rsidRPr="005D6E61">
        <w:rPr>
          <w:rFonts w:ascii="Cambria" w:hAnsi="Cambria"/>
          <w:sz w:val="20"/>
          <w:szCs w:val="20"/>
          <w:lang w:val="pt-BR"/>
        </w:rPr>
        <w:t>a</w:t>
      </w:r>
      <w:r w:rsidR="003B62AF" w:rsidRPr="005D6E61">
        <w:rPr>
          <w:rFonts w:ascii="Cambria" w:hAnsi="Cambria"/>
          <w:sz w:val="20"/>
          <w:szCs w:val="20"/>
          <w:lang w:val="pt-BR"/>
        </w:rPr>
        <w:t xml:space="preserve"> pela </w:t>
      </w:r>
      <w:r w:rsidR="009E5AD2" w:rsidRPr="005D6E61">
        <w:rPr>
          <w:rFonts w:ascii="Cambria" w:hAnsi="Cambria"/>
          <w:sz w:val="20"/>
          <w:szCs w:val="20"/>
          <w:lang w:val="pt-BR"/>
        </w:rPr>
        <w:t>terra no</w:t>
      </w:r>
      <w:r w:rsidR="00F77B7F" w:rsidRPr="005D6E61">
        <w:rPr>
          <w:rFonts w:ascii="Cambria" w:hAnsi="Cambria"/>
          <w:sz w:val="20"/>
          <w:szCs w:val="20"/>
          <w:lang w:val="pt-BR"/>
        </w:rPr>
        <w:t xml:space="preserve"> </w:t>
      </w:r>
      <w:r w:rsidRPr="005D6E61">
        <w:rPr>
          <w:rFonts w:ascii="Cambria" w:hAnsi="Cambria"/>
          <w:sz w:val="20"/>
          <w:szCs w:val="20"/>
          <w:lang w:val="pt-BR"/>
        </w:rPr>
        <w:t xml:space="preserve">Brasil – </w:t>
      </w:r>
      <w:r w:rsidR="00642EDA" w:rsidRPr="005D6E61">
        <w:rPr>
          <w:rFonts w:ascii="Cambria" w:hAnsi="Cambria"/>
          <w:sz w:val="20"/>
          <w:szCs w:val="20"/>
          <w:lang w:val="pt-BR"/>
        </w:rPr>
        <w:t>A v</w:t>
      </w:r>
      <w:r w:rsidRPr="005D6E61">
        <w:rPr>
          <w:rFonts w:ascii="Cambria" w:hAnsi="Cambria"/>
          <w:sz w:val="20"/>
          <w:szCs w:val="20"/>
          <w:lang w:val="pt-BR"/>
        </w:rPr>
        <w:t>iol</w:t>
      </w:r>
      <w:r w:rsidR="00E37676" w:rsidRPr="005D6E61">
        <w:rPr>
          <w:rFonts w:ascii="Cambria" w:hAnsi="Cambria"/>
          <w:sz w:val="20"/>
          <w:szCs w:val="20"/>
          <w:lang w:val="pt-BR"/>
        </w:rPr>
        <w:t>ência</w:t>
      </w:r>
      <w:r w:rsidRPr="005D6E61">
        <w:rPr>
          <w:rFonts w:ascii="Cambria" w:hAnsi="Cambria"/>
          <w:sz w:val="20"/>
          <w:szCs w:val="20"/>
          <w:lang w:val="pt-BR"/>
        </w:rPr>
        <w:t xml:space="preserve"> rural continua”</w:t>
      </w:r>
      <w:r w:rsidR="009E5AD2" w:rsidRPr="005D6E61">
        <w:rPr>
          <w:rFonts w:ascii="Cambria" w:hAnsi="Cambria"/>
          <w:sz w:val="20"/>
          <w:szCs w:val="20"/>
          <w:lang w:val="pt-BR"/>
        </w:rPr>
        <w:t>,</w:t>
      </w:r>
      <w:r w:rsidRPr="005D6E61">
        <w:rPr>
          <w:rFonts w:ascii="Cambria" w:hAnsi="Cambria"/>
          <w:sz w:val="20"/>
          <w:szCs w:val="20"/>
          <w:lang w:val="pt-BR"/>
        </w:rPr>
        <w:t xml:space="preserve"> de 1992, indic</w:t>
      </w:r>
      <w:r w:rsidR="00BF0B90" w:rsidRPr="005D6E61">
        <w:rPr>
          <w:rFonts w:ascii="Cambria" w:hAnsi="Cambria"/>
          <w:sz w:val="20"/>
          <w:szCs w:val="20"/>
          <w:lang w:val="pt-BR"/>
        </w:rPr>
        <w:t xml:space="preserve">ou </w:t>
      </w:r>
      <w:r w:rsidRPr="005D6E61">
        <w:rPr>
          <w:rFonts w:ascii="Cambria" w:hAnsi="Cambria"/>
          <w:sz w:val="20"/>
          <w:szCs w:val="20"/>
          <w:lang w:val="pt-BR"/>
        </w:rPr>
        <w:t>que</w:t>
      </w:r>
      <w:r w:rsidR="00331E62" w:rsidRPr="005D6E61">
        <w:rPr>
          <w:rFonts w:ascii="Cambria" w:hAnsi="Cambria"/>
          <w:sz w:val="20"/>
          <w:szCs w:val="20"/>
          <w:lang w:val="pt-BR"/>
        </w:rPr>
        <w:t xml:space="preserve"> a </w:t>
      </w:r>
      <w:r w:rsidRPr="005D6E61">
        <w:rPr>
          <w:rFonts w:ascii="Cambria" w:hAnsi="Cambria"/>
          <w:sz w:val="20"/>
          <w:szCs w:val="20"/>
          <w:lang w:val="pt-BR"/>
        </w:rPr>
        <w:t>viol</w:t>
      </w:r>
      <w:r w:rsidR="00E37676" w:rsidRPr="005D6E61">
        <w:rPr>
          <w:rFonts w:ascii="Cambria" w:hAnsi="Cambria"/>
          <w:sz w:val="20"/>
          <w:szCs w:val="20"/>
          <w:lang w:val="pt-BR"/>
        </w:rPr>
        <w:t>ência</w:t>
      </w:r>
      <w:r w:rsidRPr="005D6E61">
        <w:rPr>
          <w:rFonts w:ascii="Cambria" w:hAnsi="Cambria"/>
          <w:sz w:val="20"/>
          <w:szCs w:val="20"/>
          <w:lang w:val="pt-BR"/>
        </w:rPr>
        <w:t xml:space="preserve"> rural</w:t>
      </w:r>
      <w:r w:rsidR="003B62AF" w:rsidRPr="005D6E61">
        <w:rPr>
          <w:rFonts w:ascii="Cambria" w:hAnsi="Cambria"/>
          <w:sz w:val="20"/>
          <w:szCs w:val="20"/>
          <w:lang w:val="pt-BR"/>
        </w:rPr>
        <w:t xml:space="preserve"> é </w:t>
      </w:r>
      <w:r w:rsidR="00275A65" w:rsidRPr="005D6E61">
        <w:rPr>
          <w:rFonts w:ascii="Cambria" w:hAnsi="Cambria"/>
          <w:sz w:val="20"/>
          <w:szCs w:val="20"/>
          <w:lang w:val="pt-BR"/>
        </w:rPr>
        <w:t xml:space="preserve">um </w:t>
      </w:r>
      <w:r w:rsidRPr="005D6E61">
        <w:rPr>
          <w:rFonts w:ascii="Cambria" w:hAnsi="Cambria"/>
          <w:sz w:val="20"/>
          <w:szCs w:val="20"/>
          <w:lang w:val="pt-BR"/>
        </w:rPr>
        <w:t>problema cr</w:t>
      </w:r>
      <w:r w:rsidR="009E5AD2" w:rsidRPr="005D6E61">
        <w:rPr>
          <w:rFonts w:ascii="Cambria" w:hAnsi="Cambria"/>
          <w:sz w:val="20"/>
          <w:szCs w:val="20"/>
          <w:lang w:val="pt-BR"/>
        </w:rPr>
        <w:t>ô</w:t>
      </w:r>
      <w:r w:rsidRPr="005D6E61">
        <w:rPr>
          <w:rFonts w:ascii="Cambria" w:hAnsi="Cambria"/>
          <w:sz w:val="20"/>
          <w:szCs w:val="20"/>
          <w:lang w:val="pt-BR"/>
        </w:rPr>
        <w:t>nico, agravado</w:t>
      </w:r>
      <w:r w:rsidR="003B62AF" w:rsidRPr="005D6E61">
        <w:rPr>
          <w:rFonts w:ascii="Cambria" w:hAnsi="Cambria"/>
          <w:sz w:val="20"/>
          <w:szCs w:val="20"/>
          <w:lang w:val="pt-BR"/>
        </w:rPr>
        <w:t xml:space="preserve"> pela </w:t>
      </w:r>
      <w:r w:rsidRPr="005D6E61">
        <w:rPr>
          <w:rFonts w:ascii="Cambria" w:hAnsi="Cambria"/>
          <w:sz w:val="20"/>
          <w:szCs w:val="20"/>
          <w:lang w:val="pt-BR"/>
        </w:rPr>
        <w:t>falta de dilig</w:t>
      </w:r>
      <w:r w:rsidR="00E37676" w:rsidRPr="005D6E61">
        <w:rPr>
          <w:rFonts w:ascii="Cambria" w:hAnsi="Cambria"/>
          <w:sz w:val="20"/>
          <w:szCs w:val="20"/>
          <w:lang w:val="pt-BR"/>
        </w:rPr>
        <w:t>ência</w:t>
      </w:r>
      <w:r w:rsidRPr="005D6E61">
        <w:rPr>
          <w:rFonts w:ascii="Cambria" w:hAnsi="Cambria"/>
          <w:sz w:val="20"/>
          <w:szCs w:val="20"/>
          <w:lang w:val="pt-BR"/>
        </w:rPr>
        <w:t xml:space="preserve"> </w:t>
      </w:r>
      <w:r w:rsidR="004642E3" w:rsidRPr="005D6E61">
        <w:rPr>
          <w:rFonts w:ascii="Cambria" w:hAnsi="Cambria"/>
          <w:sz w:val="20"/>
          <w:szCs w:val="20"/>
          <w:lang w:val="pt-BR"/>
        </w:rPr>
        <w:t>do Estado</w:t>
      </w:r>
      <w:r w:rsidR="00F77B7F" w:rsidRPr="005D6E61">
        <w:rPr>
          <w:rFonts w:ascii="Cambria" w:hAnsi="Cambria"/>
          <w:sz w:val="20"/>
          <w:szCs w:val="20"/>
          <w:lang w:val="pt-BR"/>
        </w:rPr>
        <w:t xml:space="preserve"> em </w:t>
      </w:r>
      <w:r w:rsidRPr="005D6E61">
        <w:rPr>
          <w:rFonts w:ascii="Cambria" w:hAnsi="Cambria"/>
          <w:sz w:val="20"/>
          <w:szCs w:val="20"/>
          <w:lang w:val="pt-BR"/>
        </w:rPr>
        <w:t>investigar</w:t>
      </w:r>
      <w:r w:rsidR="00F77B7F" w:rsidRPr="005D6E61">
        <w:rPr>
          <w:rFonts w:ascii="Cambria" w:hAnsi="Cambria"/>
          <w:sz w:val="20"/>
          <w:szCs w:val="20"/>
          <w:lang w:val="pt-BR"/>
        </w:rPr>
        <w:t xml:space="preserve"> os </w:t>
      </w:r>
      <w:r w:rsidRPr="005D6E61">
        <w:rPr>
          <w:rFonts w:ascii="Cambria" w:hAnsi="Cambria"/>
          <w:sz w:val="20"/>
          <w:szCs w:val="20"/>
          <w:lang w:val="pt-BR"/>
        </w:rPr>
        <w:t>casos registrados. Seg</w:t>
      </w:r>
      <w:r w:rsidR="009E5AD2" w:rsidRPr="005D6E61">
        <w:rPr>
          <w:rFonts w:ascii="Cambria" w:hAnsi="Cambria"/>
          <w:sz w:val="20"/>
          <w:szCs w:val="20"/>
          <w:lang w:val="pt-BR"/>
        </w:rPr>
        <w:t>undo esse</w:t>
      </w:r>
      <w:r w:rsidRPr="005D6E61">
        <w:rPr>
          <w:rFonts w:ascii="Cambria" w:hAnsi="Cambria"/>
          <w:sz w:val="20"/>
          <w:szCs w:val="20"/>
          <w:lang w:val="pt-BR"/>
        </w:rPr>
        <w:t xml:space="preserve"> </w:t>
      </w:r>
      <w:r w:rsidR="00704E7B" w:rsidRPr="005D6E61">
        <w:rPr>
          <w:rFonts w:ascii="Cambria" w:hAnsi="Cambria"/>
          <w:sz w:val="20"/>
          <w:szCs w:val="20"/>
          <w:lang w:val="pt-BR"/>
        </w:rPr>
        <w:t>relatório</w:t>
      </w:r>
      <w:r w:rsidRPr="005D6E61">
        <w:rPr>
          <w:rFonts w:ascii="Cambria" w:hAnsi="Cambria"/>
          <w:sz w:val="20"/>
          <w:szCs w:val="20"/>
          <w:lang w:val="pt-BR"/>
        </w:rPr>
        <w:t>,</w:t>
      </w:r>
      <w:r w:rsidR="00331E62" w:rsidRPr="005D6E61">
        <w:rPr>
          <w:rFonts w:ascii="Cambria" w:hAnsi="Cambria"/>
          <w:sz w:val="20"/>
          <w:szCs w:val="20"/>
          <w:lang w:val="pt-BR"/>
        </w:rPr>
        <w:t xml:space="preserve"> dos </w:t>
      </w:r>
      <w:r w:rsidRPr="005D6E61">
        <w:rPr>
          <w:rFonts w:ascii="Cambria" w:hAnsi="Cambria"/>
          <w:sz w:val="20"/>
          <w:szCs w:val="20"/>
          <w:lang w:val="pt-BR"/>
        </w:rPr>
        <w:t>1</w:t>
      </w:r>
      <w:r w:rsidR="009E5AD2" w:rsidRPr="005D6E61">
        <w:rPr>
          <w:rFonts w:ascii="Cambria" w:hAnsi="Cambria"/>
          <w:sz w:val="20"/>
          <w:szCs w:val="20"/>
          <w:lang w:val="pt-BR"/>
        </w:rPr>
        <w:t>.</w:t>
      </w:r>
      <w:r w:rsidRPr="005D6E61">
        <w:rPr>
          <w:rFonts w:ascii="Cambria" w:hAnsi="Cambria"/>
          <w:sz w:val="20"/>
          <w:szCs w:val="20"/>
          <w:lang w:val="pt-BR"/>
        </w:rPr>
        <w:t xml:space="preserve">681 </w:t>
      </w:r>
      <w:r w:rsidR="00EB52A1" w:rsidRPr="005D6E61">
        <w:rPr>
          <w:rFonts w:ascii="Cambria" w:hAnsi="Cambria"/>
          <w:sz w:val="20"/>
          <w:szCs w:val="20"/>
          <w:lang w:val="pt-BR"/>
        </w:rPr>
        <w:t>assassinato</w:t>
      </w:r>
      <w:r w:rsidRPr="005D6E61">
        <w:rPr>
          <w:rFonts w:ascii="Cambria" w:hAnsi="Cambria"/>
          <w:sz w:val="20"/>
          <w:szCs w:val="20"/>
          <w:lang w:val="pt-BR"/>
        </w:rPr>
        <w:t xml:space="preserve">s de </w:t>
      </w:r>
      <w:r w:rsidR="00E37676" w:rsidRPr="005D6E61">
        <w:rPr>
          <w:rFonts w:ascii="Cambria" w:hAnsi="Cambria"/>
          <w:sz w:val="20"/>
          <w:szCs w:val="20"/>
          <w:lang w:val="pt-BR"/>
        </w:rPr>
        <w:t>trabalh</w:t>
      </w:r>
      <w:r w:rsidRPr="005D6E61">
        <w:rPr>
          <w:rFonts w:ascii="Cambria" w:hAnsi="Cambria"/>
          <w:sz w:val="20"/>
          <w:szCs w:val="20"/>
          <w:lang w:val="pt-BR"/>
        </w:rPr>
        <w:t>adores rur</w:t>
      </w:r>
      <w:r w:rsidR="00331E62" w:rsidRPr="005D6E61">
        <w:rPr>
          <w:rFonts w:ascii="Cambria" w:hAnsi="Cambria"/>
          <w:sz w:val="20"/>
          <w:szCs w:val="20"/>
          <w:lang w:val="pt-BR"/>
        </w:rPr>
        <w:t>ais</w:t>
      </w:r>
      <w:r w:rsidRPr="005D6E61">
        <w:rPr>
          <w:rFonts w:ascii="Cambria" w:hAnsi="Cambria"/>
          <w:sz w:val="20"/>
          <w:szCs w:val="20"/>
          <w:lang w:val="pt-BR"/>
        </w:rPr>
        <w:t xml:space="preserve"> catalogados</w:t>
      </w:r>
      <w:r w:rsidR="003B62AF" w:rsidRPr="005D6E61">
        <w:rPr>
          <w:rFonts w:ascii="Cambria" w:hAnsi="Cambria"/>
          <w:sz w:val="20"/>
          <w:szCs w:val="20"/>
          <w:lang w:val="pt-BR"/>
        </w:rPr>
        <w:t xml:space="preserve"> pela </w:t>
      </w:r>
      <w:r w:rsidR="006C5454" w:rsidRPr="005D6E61">
        <w:rPr>
          <w:rFonts w:ascii="Cambria" w:hAnsi="Cambria"/>
          <w:sz w:val="20"/>
          <w:szCs w:val="20"/>
          <w:lang w:val="pt-BR"/>
        </w:rPr>
        <w:t>Comissão</w:t>
      </w:r>
      <w:r w:rsidRPr="005D6E61">
        <w:rPr>
          <w:rFonts w:ascii="Cambria" w:hAnsi="Cambria"/>
          <w:sz w:val="20"/>
          <w:szCs w:val="20"/>
          <w:lang w:val="pt-BR"/>
        </w:rPr>
        <w:t xml:space="preserve"> Pastoral</w:t>
      </w:r>
      <w:r w:rsidR="00675058" w:rsidRPr="005D6E61">
        <w:rPr>
          <w:rFonts w:ascii="Cambria" w:hAnsi="Cambria"/>
          <w:sz w:val="20"/>
          <w:szCs w:val="20"/>
          <w:lang w:val="pt-BR"/>
        </w:rPr>
        <w:t xml:space="preserve"> da </w:t>
      </w:r>
      <w:r w:rsidR="009E5AD2" w:rsidRPr="005D6E61">
        <w:rPr>
          <w:rFonts w:ascii="Cambria" w:hAnsi="Cambria"/>
          <w:sz w:val="20"/>
          <w:szCs w:val="20"/>
          <w:lang w:val="pt-BR"/>
        </w:rPr>
        <w:t>Terra</w:t>
      </w:r>
      <w:r w:rsidRPr="005D6E61">
        <w:rPr>
          <w:rFonts w:ascii="Cambria" w:hAnsi="Cambria"/>
          <w:sz w:val="20"/>
          <w:szCs w:val="20"/>
          <w:lang w:val="pt-BR"/>
        </w:rPr>
        <w:t xml:space="preserve"> de</w:t>
      </w:r>
      <w:r w:rsidR="00331E62" w:rsidRPr="005D6E61">
        <w:rPr>
          <w:rFonts w:ascii="Cambria" w:hAnsi="Cambria"/>
          <w:sz w:val="20"/>
          <w:szCs w:val="20"/>
          <w:lang w:val="pt-BR"/>
        </w:rPr>
        <w:t xml:space="preserve"> </w:t>
      </w:r>
      <w:r w:rsidRPr="005D6E61">
        <w:rPr>
          <w:rFonts w:ascii="Cambria" w:hAnsi="Cambria"/>
          <w:sz w:val="20"/>
          <w:szCs w:val="20"/>
          <w:lang w:val="pt-BR"/>
        </w:rPr>
        <w:t>1</w:t>
      </w:r>
      <w:r w:rsidR="009E5AD2" w:rsidRPr="005D6E61">
        <w:rPr>
          <w:rFonts w:ascii="Cambria" w:hAnsi="Cambria"/>
          <w:sz w:val="20"/>
          <w:szCs w:val="20"/>
          <w:lang w:val="pt-BR"/>
        </w:rPr>
        <w:t>º</w:t>
      </w:r>
      <w:r w:rsidRPr="005D6E61">
        <w:rPr>
          <w:rFonts w:ascii="Cambria" w:hAnsi="Cambria"/>
          <w:sz w:val="20"/>
          <w:szCs w:val="20"/>
          <w:lang w:val="pt-BR"/>
        </w:rPr>
        <w:t xml:space="preserve"> de </w:t>
      </w:r>
      <w:r w:rsidR="009E5AD2" w:rsidRPr="005D6E61">
        <w:rPr>
          <w:rFonts w:ascii="Cambria" w:hAnsi="Cambria"/>
          <w:sz w:val="20"/>
          <w:szCs w:val="20"/>
          <w:lang w:val="pt-BR"/>
        </w:rPr>
        <w:t>janeiro</w:t>
      </w:r>
      <w:r w:rsidRPr="005D6E61">
        <w:rPr>
          <w:rFonts w:ascii="Cambria" w:hAnsi="Cambria"/>
          <w:sz w:val="20"/>
          <w:szCs w:val="20"/>
          <w:lang w:val="pt-BR"/>
        </w:rPr>
        <w:t xml:space="preserve"> de 1964 </w:t>
      </w:r>
      <w:r w:rsidR="009E5AD2" w:rsidRPr="005D6E61">
        <w:rPr>
          <w:rFonts w:ascii="Cambria" w:hAnsi="Cambria"/>
          <w:sz w:val="20"/>
          <w:szCs w:val="20"/>
          <w:lang w:val="pt-BR"/>
        </w:rPr>
        <w:t>a</w:t>
      </w:r>
      <w:r w:rsidR="00331E62" w:rsidRPr="005D6E61">
        <w:rPr>
          <w:rFonts w:ascii="Cambria" w:hAnsi="Cambria"/>
          <w:sz w:val="20"/>
          <w:szCs w:val="20"/>
          <w:lang w:val="pt-BR"/>
        </w:rPr>
        <w:t xml:space="preserve"> </w:t>
      </w:r>
      <w:r w:rsidRPr="005D6E61">
        <w:rPr>
          <w:rFonts w:ascii="Cambria" w:hAnsi="Cambria"/>
          <w:sz w:val="20"/>
          <w:szCs w:val="20"/>
          <w:lang w:val="pt-BR"/>
        </w:rPr>
        <w:t xml:space="preserve">31 de </w:t>
      </w:r>
      <w:r w:rsidR="009E5AD2" w:rsidRPr="005D6E61">
        <w:rPr>
          <w:rFonts w:ascii="Cambria" w:hAnsi="Cambria"/>
          <w:sz w:val="20"/>
          <w:szCs w:val="20"/>
          <w:lang w:val="pt-BR"/>
        </w:rPr>
        <w:t>janeiro</w:t>
      </w:r>
      <w:r w:rsidRPr="005D6E61">
        <w:rPr>
          <w:rFonts w:ascii="Cambria" w:hAnsi="Cambria"/>
          <w:sz w:val="20"/>
          <w:szCs w:val="20"/>
          <w:lang w:val="pt-BR"/>
        </w:rPr>
        <w:t xml:space="preserve"> de 1992, s</w:t>
      </w:r>
      <w:r w:rsidR="009E5AD2" w:rsidRPr="005D6E61">
        <w:rPr>
          <w:rFonts w:ascii="Cambria" w:hAnsi="Cambria"/>
          <w:sz w:val="20"/>
          <w:szCs w:val="20"/>
          <w:lang w:val="pt-BR"/>
        </w:rPr>
        <w:t>omente</w:t>
      </w:r>
      <w:r w:rsidRPr="005D6E61">
        <w:rPr>
          <w:rFonts w:ascii="Cambria" w:hAnsi="Cambria"/>
          <w:sz w:val="20"/>
          <w:szCs w:val="20"/>
          <w:lang w:val="pt-BR"/>
        </w:rPr>
        <w:t xml:space="preserve"> </w:t>
      </w:r>
      <w:r w:rsidR="00405B71" w:rsidRPr="005D6E61">
        <w:rPr>
          <w:rFonts w:ascii="Cambria" w:hAnsi="Cambria"/>
          <w:sz w:val="20"/>
          <w:szCs w:val="20"/>
          <w:lang w:val="pt-BR"/>
        </w:rPr>
        <w:t>26</w:t>
      </w:r>
      <w:r w:rsidRPr="005D6E61">
        <w:rPr>
          <w:rFonts w:ascii="Cambria" w:hAnsi="Cambria"/>
          <w:sz w:val="20"/>
          <w:szCs w:val="20"/>
          <w:lang w:val="pt-BR"/>
        </w:rPr>
        <w:t xml:space="preserve"> casos f</w:t>
      </w:r>
      <w:r w:rsidR="009E5AD2" w:rsidRPr="005D6E61">
        <w:rPr>
          <w:rFonts w:ascii="Cambria" w:hAnsi="Cambria"/>
          <w:sz w:val="20"/>
          <w:szCs w:val="20"/>
          <w:lang w:val="pt-BR"/>
        </w:rPr>
        <w:t>oram</w:t>
      </w:r>
      <w:r w:rsidRPr="005D6E61">
        <w:rPr>
          <w:rFonts w:ascii="Cambria" w:hAnsi="Cambria"/>
          <w:sz w:val="20"/>
          <w:szCs w:val="20"/>
          <w:lang w:val="pt-BR"/>
        </w:rPr>
        <w:t xml:space="preserve"> levados a ju</w:t>
      </w:r>
      <w:r w:rsidR="009E5AD2" w:rsidRPr="005D6E61">
        <w:rPr>
          <w:rFonts w:ascii="Cambria" w:hAnsi="Cambria"/>
          <w:sz w:val="20"/>
          <w:szCs w:val="20"/>
          <w:lang w:val="pt-BR"/>
        </w:rPr>
        <w:t>lgament</w:t>
      </w:r>
      <w:r w:rsidRPr="005D6E61">
        <w:rPr>
          <w:rFonts w:ascii="Cambria" w:hAnsi="Cambria"/>
          <w:sz w:val="20"/>
          <w:szCs w:val="20"/>
          <w:lang w:val="pt-BR"/>
        </w:rPr>
        <w:t>o,</w:t>
      </w:r>
      <w:r w:rsidR="00F77B7F" w:rsidRPr="005D6E61">
        <w:rPr>
          <w:rFonts w:ascii="Cambria" w:hAnsi="Cambria"/>
          <w:sz w:val="20"/>
          <w:szCs w:val="20"/>
          <w:lang w:val="pt-BR"/>
        </w:rPr>
        <w:t xml:space="preserve"> com</w:t>
      </w:r>
      <w:r w:rsidR="00331E62" w:rsidRPr="005D6E61">
        <w:rPr>
          <w:rFonts w:ascii="Cambria" w:hAnsi="Cambria"/>
          <w:sz w:val="20"/>
          <w:szCs w:val="20"/>
          <w:lang w:val="pt-BR"/>
        </w:rPr>
        <w:t xml:space="preserve"> o </w:t>
      </w:r>
      <w:r w:rsidRPr="005D6E61">
        <w:rPr>
          <w:rFonts w:ascii="Cambria" w:hAnsi="Cambria"/>
          <w:sz w:val="20"/>
          <w:szCs w:val="20"/>
          <w:lang w:val="pt-BR"/>
        </w:rPr>
        <w:t xml:space="preserve">resultado de </w:t>
      </w:r>
      <w:r w:rsidR="00405B71" w:rsidRPr="005D6E61">
        <w:rPr>
          <w:rFonts w:ascii="Cambria" w:hAnsi="Cambria"/>
          <w:sz w:val="20"/>
          <w:szCs w:val="20"/>
          <w:lang w:val="pt-BR"/>
        </w:rPr>
        <w:t>15</w:t>
      </w:r>
      <w:r w:rsidRPr="005D6E61">
        <w:rPr>
          <w:rFonts w:ascii="Cambria" w:hAnsi="Cambria"/>
          <w:sz w:val="20"/>
          <w:szCs w:val="20"/>
          <w:lang w:val="pt-BR"/>
        </w:rPr>
        <w:t xml:space="preserve"> condena</w:t>
      </w:r>
      <w:r w:rsidR="009E5AD2" w:rsidRPr="005D6E61">
        <w:rPr>
          <w:rFonts w:ascii="Cambria" w:hAnsi="Cambria"/>
          <w:sz w:val="20"/>
          <w:szCs w:val="20"/>
          <w:lang w:val="pt-BR"/>
        </w:rPr>
        <w:t>çõe</w:t>
      </w:r>
      <w:r w:rsidRPr="005D6E61">
        <w:rPr>
          <w:rFonts w:ascii="Cambria" w:hAnsi="Cambria"/>
          <w:sz w:val="20"/>
          <w:szCs w:val="20"/>
          <w:lang w:val="pt-BR"/>
        </w:rPr>
        <w:t>s</w:t>
      </w:r>
      <w:r w:rsidRPr="005D6E61">
        <w:rPr>
          <w:rStyle w:val="FootnoteReference"/>
          <w:rFonts w:ascii="Cambria" w:hAnsi="Cambria"/>
          <w:sz w:val="20"/>
          <w:szCs w:val="20"/>
          <w:lang w:val="pt-BR"/>
        </w:rPr>
        <w:footnoteReference w:id="10"/>
      </w:r>
      <w:r w:rsidRPr="005D6E61">
        <w:rPr>
          <w:rFonts w:ascii="Cambria" w:hAnsi="Cambria"/>
          <w:sz w:val="20"/>
          <w:szCs w:val="20"/>
          <w:lang w:val="pt-BR"/>
        </w:rPr>
        <w:t>.</w:t>
      </w:r>
    </w:p>
    <w:p w14:paraId="1FF058C2" w14:textId="77777777" w:rsidR="00AA70A5" w:rsidRPr="005D6E61" w:rsidRDefault="00AA70A5" w:rsidP="00AA70A5">
      <w:pPr>
        <w:pStyle w:val="ListParagraph"/>
        <w:rPr>
          <w:sz w:val="20"/>
          <w:szCs w:val="20"/>
          <w:lang w:val="pt-BR"/>
        </w:rPr>
      </w:pPr>
    </w:p>
    <w:p w14:paraId="6289CBBD" w14:textId="77777777" w:rsidR="00AA70A5" w:rsidRPr="005D6E61" w:rsidRDefault="00184F5F"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A</w:t>
      </w:r>
      <w:r w:rsidR="00AA70A5" w:rsidRPr="005D6E61">
        <w:rPr>
          <w:rFonts w:ascii="Cambria" w:hAnsi="Cambria"/>
          <w:sz w:val="20"/>
          <w:szCs w:val="20"/>
          <w:lang w:val="pt-BR"/>
        </w:rPr>
        <w:t xml:space="preserve"> </w:t>
      </w:r>
      <w:r w:rsidR="006C5454" w:rsidRPr="005D6E61">
        <w:rPr>
          <w:rFonts w:ascii="Cambria" w:hAnsi="Cambria"/>
          <w:sz w:val="20"/>
          <w:szCs w:val="20"/>
          <w:lang w:val="pt-BR"/>
        </w:rPr>
        <w:t>Comissão</w:t>
      </w:r>
      <w:r w:rsidR="00AA70A5" w:rsidRPr="005D6E61">
        <w:rPr>
          <w:rFonts w:ascii="Cambria" w:hAnsi="Cambria"/>
          <w:sz w:val="20"/>
          <w:szCs w:val="20"/>
          <w:lang w:val="pt-BR"/>
        </w:rPr>
        <w:t xml:space="preserve"> </w:t>
      </w:r>
      <w:r w:rsidR="008923B1" w:rsidRPr="005D6E61">
        <w:rPr>
          <w:rFonts w:ascii="Cambria" w:hAnsi="Cambria"/>
          <w:sz w:val="20"/>
          <w:szCs w:val="20"/>
          <w:lang w:val="pt-BR"/>
        </w:rPr>
        <w:t>assinala</w:t>
      </w:r>
      <w:r w:rsidR="00AA70A5" w:rsidRPr="005D6E61">
        <w:rPr>
          <w:rFonts w:ascii="Cambria" w:hAnsi="Cambria"/>
          <w:sz w:val="20"/>
          <w:szCs w:val="20"/>
          <w:lang w:val="pt-BR"/>
        </w:rPr>
        <w:t xml:space="preserve"> que</w:t>
      </w:r>
      <w:r w:rsidR="008923B1" w:rsidRPr="005D6E61">
        <w:rPr>
          <w:rFonts w:ascii="Cambria" w:hAnsi="Cambria"/>
          <w:sz w:val="20"/>
          <w:szCs w:val="20"/>
          <w:lang w:val="pt-BR"/>
        </w:rPr>
        <w:t>,</w:t>
      </w:r>
      <w:r w:rsidR="00AA70A5" w:rsidRPr="005D6E61">
        <w:rPr>
          <w:rFonts w:ascii="Cambria" w:hAnsi="Cambria"/>
          <w:sz w:val="20"/>
          <w:szCs w:val="20"/>
          <w:lang w:val="pt-BR"/>
        </w:rPr>
        <w:t xml:space="preserve"> </w:t>
      </w:r>
      <w:r w:rsidR="008923B1" w:rsidRPr="005D6E61">
        <w:rPr>
          <w:rFonts w:ascii="Cambria" w:hAnsi="Cambria"/>
          <w:sz w:val="20"/>
          <w:szCs w:val="20"/>
          <w:lang w:val="pt-BR"/>
        </w:rPr>
        <w:t>segundo</w:t>
      </w:r>
      <w:r w:rsidR="00AA70A5" w:rsidRPr="005D6E61">
        <w:rPr>
          <w:rFonts w:ascii="Cambria" w:hAnsi="Cambria"/>
          <w:sz w:val="20"/>
          <w:szCs w:val="20"/>
          <w:lang w:val="pt-BR"/>
        </w:rPr>
        <w:t xml:space="preserve"> </w:t>
      </w:r>
      <w:r w:rsidR="008923B1" w:rsidRPr="005D6E61">
        <w:rPr>
          <w:rFonts w:ascii="Cambria" w:hAnsi="Cambria"/>
          <w:sz w:val="20"/>
          <w:szCs w:val="20"/>
          <w:lang w:val="pt-BR"/>
        </w:rPr>
        <w:t>os</w:t>
      </w:r>
      <w:r w:rsidR="00AA70A5" w:rsidRPr="005D6E61">
        <w:rPr>
          <w:rFonts w:ascii="Cambria" w:hAnsi="Cambria"/>
          <w:sz w:val="20"/>
          <w:szCs w:val="20"/>
          <w:lang w:val="pt-BR"/>
        </w:rPr>
        <w:t xml:space="preserve"> meios de informa</w:t>
      </w:r>
      <w:r w:rsidR="00A274D9" w:rsidRPr="005D6E61">
        <w:rPr>
          <w:rFonts w:ascii="Cambria" w:hAnsi="Cambria"/>
          <w:sz w:val="20"/>
          <w:szCs w:val="20"/>
          <w:lang w:val="pt-BR"/>
        </w:rPr>
        <w:t>ção</w:t>
      </w:r>
      <w:r w:rsidR="00AA70A5" w:rsidRPr="005D6E61">
        <w:rPr>
          <w:rFonts w:ascii="Cambria" w:hAnsi="Cambria"/>
          <w:sz w:val="20"/>
          <w:szCs w:val="20"/>
          <w:lang w:val="pt-BR"/>
        </w:rPr>
        <w:t xml:space="preserve"> pública,</w:t>
      </w:r>
      <w:r w:rsidR="00331E62" w:rsidRPr="005D6E61">
        <w:rPr>
          <w:rFonts w:ascii="Cambria" w:hAnsi="Cambria"/>
          <w:sz w:val="20"/>
          <w:szCs w:val="20"/>
          <w:lang w:val="pt-BR"/>
        </w:rPr>
        <w:t xml:space="preserve"> no </w:t>
      </w:r>
      <w:r w:rsidR="00AA70A5" w:rsidRPr="005D6E61">
        <w:rPr>
          <w:rFonts w:ascii="Cambria" w:hAnsi="Cambria"/>
          <w:sz w:val="20"/>
          <w:szCs w:val="20"/>
          <w:lang w:val="pt-BR"/>
        </w:rPr>
        <w:t>período entre 1980</w:t>
      </w:r>
      <w:r w:rsidR="006C5454" w:rsidRPr="005D6E61">
        <w:rPr>
          <w:rFonts w:ascii="Cambria" w:hAnsi="Cambria"/>
          <w:sz w:val="20"/>
          <w:szCs w:val="20"/>
          <w:lang w:val="pt-BR"/>
        </w:rPr>
        <w:t xml:space="preserve"> e </w:t>
      </w:r>
      <w:r w:rsidR="00AA70A5" w:rsidRPr="005D6E61">
        <w:rPr>
          <w:rFonts w:ascii="Cambria" w:hAnsi="Cambria"/>
          <w:sz w:val="20"/>
          <w:szCs w:val="20"/>
          <w:lang w:val="pt-BR"/>
        </w:rPr>
        <w:t>1983 f</w:t>
      </w:r>
      <w:r w:rsidR="008923B1" w:rsidRPr="005D6E61">
        <w:rPr>
          <w:rFonts w:ascii="Cambria" w:hAnsi="Cambria"/>
          <w:sz w:val="20"/>
          <w:szCs w:val="20"/>
          <w:lang w:val="pt-BR"/>
        </w:rPr>
        <w:t>oram</w:t>
      </w:r>
      <w:r w:rsidR="00AA70A5" w:rsidRPr="005D6E61">
        <w:rPr>
          <w:rFonts w:ascii="Cambria" w:hAnsi="Cambria"/>
          <w:sz w:val="20"/>
          <w:szCs w:val="20"/>
          <w:lang w:val="pt-BR"/>
        </w:rPr>
        <w:t xml:space="preserve"> as</w:t>
      </w:r>
      <w:r w:rsidR="008923B1" w:rsidRPr="005D6E61">
        <w:rPr>
          <w:rFonts w:ascii="Cambria" w:hAnsi="Cambria"/>
          <w:sz w:val="20"/>
          <w:szCs w:val="20"/>
          <w:lang w:val="pt-BR"/>
        </w:rPr>
        <w:t>sa</w:t>
      </w:r>
      <w:r w:rsidR="00AA70A5" w:rsidRPr="005D6E61">
        <w:rPr>
          <w:rFonts w:ascii="Cambria" w:hAnsi="Cambria"/>
          <w:sz w:val="20"/>
          <w:szCs w:val="20"/>
          <w:lang w:val="pt-BR"/>
        </w:rPr>
        <w:t>s</w:t>
      </w:r>
      <w:r w:rsidR="008923B1" w:rsidRPr="005D6E61">
        <w:rPr>
          <w:rFonts w:ascii="Cambria" w:hAnsi="Cambria"/>
          <w:sz w:val="20"/>
          <w:szCs w:val="20"/>
          <w:lang w:val="pt-BR"/>
        </w:rPr>
        <w:t>s</w:t>
      </w:r>
      <w:r w:rsidR="00AA70A5" w:rsidRPr="005D6E61">
        <w:rPr>
          <w:rFonts w:ascii="Cambria" w:hAnsi="Cambria"/>
          <w:sz w:val="20"/>
          <w:szCs w:val="20"/>
          <w:lang w:val="pt-BR"/>
        </w:rPr>
        <w:t>inados 28 agricultores</w:t>
      </w:r>
      <w:r w:rsidR="00AA70A5" w:rsidRPr="005D6E61">
        <w:rPr>
          <w:rFonts w:ascii="Cambria" w:hAnsi="Cambria"/>
          <w:sz w:val="20"/>
          <w:szCs w:val="20"/>
          <w:vertAlign w:val="superscript"/>
          <w:lang w:val="pt-BR"/>
        </w:rPr>
        <w:footnoteReference w:id="11"/>
      </w:r>
      <w:r w:rsidR="008923B1" w:rsidRPr="005D6E61">
        <w:rPr>
          <w:rFonts w:ascii="Cambria" w:hAnsi="Cambria"/>
          <w:sz w:val="20"/>
          <w:szCs w:val="20"/>
          <w:lang w:val="pt-BR"/>
        </w:rPr>
        <w:t xml:space="preserve"> so</w:t>
      </w:r>
      <w:r w:rsidR="00AA70A5" w:rsidRPr="005D6E61">
        <w:rPr>
          <w:rFonts w:ascii="Cambria" w:hAnsi="Cambria"/>
          <w:sz w:val="20"/>
          <w:szCs w:val="20"/>
          <w:lang w:val="pt-BR"/>
        </w:rPr>
        <w:t>mente</w:t>
      </w:r>
      <w:r w:rsidR="00331E62" w:rsidRPr="005D6E61">
        <w:rPr>
          <w:rFonts w:ascii="Cambria" w:hAnsi="Cambria"/>
          <w:sz w:val="20"/>
          <w:szCs w:val="20"/>
          <w:lang w:val="pt-BR"/>
        </w:rPr>
        <w:t xml:space="preserve"> no </w:t>
      </w:r>
      <w:r w:rsidR="008923B1" w:rsidRPr="005D6E61">
        <w:rPr>
          <w:rFonts w:ascii="Cambria" w:hAnsi="Cambria"/>
          <w:sz w:val="20"/>
          <w:szCs w:val="20"/>
          <w:lang w:val="pt-BR"/>
        </w:rPr>
        <w:t>N</w:t>
      </w:r>
      <w:r w:rsidR="00AA70A5" w:rsidRPr="005D6E61">
        <w:rPr>
          <w:rFonts w:ascii="Cambria" w:hAnsi="Cambria"/>
          <w:sz w:val="20"/>
          <w:szCs w:val="20"/>
          <w:lang w:val="pt-BR"/>
        </w:rPr>
        <w:t>ordeste</w:t>
      </w:r>
      <w:r w:rsidR="00F77B7F" w:rsidRPr="005D6E61">
        <w:rPr>
          <w:rFonts w:ascii="Cambria" w:hAnsi="Cambria"/>
          <w:sz w:val="20"/>
          <w:szCs w:val="20"/>
          <w:lang w:val="pt-BR"/>
        </w:rPr>
        <w:t xml:space="preserve"> do </w:t>
      </w:r>
      <w:r w:rsidR="00B32A58" w:rsidRPr="005D6E61">
        <w:rPr>
          <w:rFonts w:ascii="Cambria" w:hAnsi="Cambria"/>
          <w:sz w:val="20"/>
          <w:szCs w:val="20"/>
          <w:lang w:val="pt-BR"/>
        </w:rPr>
        <w:t>p</w:t>
      </w:r>
      <w:r w:rsidR="00AA70A5" w:rsidRPr="005D6E61">
        <w:rPr>
          <w:rFonts w:ascii="Cambria" w:hAnsi="Cambria"/>
          <w:sz w:val="20"/>
          <w:szCs w:val="20"/>
          <w:lang w:val="pt-BR"/>
        </w:rPr>
        <w:t xml:space="preserve">aís, </w:t>
      </w:r>
      <w:r w:rsidR="005A2381" w:rsidRPr="005D6E61">
        <w:rPr>
          <w:rFonts w:ascii="Cambria" w:hAnsi="Cambria"/>
          <w:sz w:val="20"/>
          <w:szCs w:val="20"/>
          <w:lang w:val="pt-BR"/>
        </w:rPr>
        <w:t>suposta</w:t>
      </w:r>
      <w:r w:rsidR="00AA70A5" w:rsidRPr="005D6E61">
        <w:rPr>
          <w:rFonts w:ascii="Cambria" w:hAnsi="Cambria"/>
          <w:sz w:val="20"/>
          <w:szCs w:val="20"/>
          <w:lang w:val="pt-BR"/>
        </w:rPr>
        <w:t>mente por orde</w:t>
      </w:r>
      <w:r w:rsidR="008923B1" w:rsidRPr="005D6E61">
        <w:rPr>
          <w:rFonts w:ascii="Cambria" w:hAnsi="Cambria"/>
          <w:sz w:val="20"/>
          <w:szCs w:val="20"/>
          <w:lang w:val="pt-BR"/>
        </w:rPr>
        <w:t>m</w:t>
      </w:r>
      <w:r w:rsidR="00AA70A5" w:rsidRPr="005D6E61">
        <w:rPr>
          <w:rFonts w:ascii="Cambria" w:hAnsi="Cambria"/>
          <w:sz w:val="20"/>
          <w:szCs w:val="20"/>
          <w:lang w:val="pt-BR"/>
        </w:rPr>
        <w:t xml:space="preserve"> de </w:t>
      </w:r>
      <w:r w:rsidR="008923B1" w:rsidRPr="005D6E61">
        <w:rPr>
          <w:rFonts w:ascii="Cambria" w:hAnsi="Cambria"/>
          <w:sz w:val="20"/>
          <w:szCs w:val="20"/>
          <w:lang w:val="pt-BR"/>
        </w:rPr>
        <w:t>proprietários</w:t>
      </w:r>
      <w:r w:rsidR="00AA70A5" w:rsidRPr="005D6E61">
        <w:rPr>
          <w:rFonts w:ascii="Cambria" w:hAnsi="Cambria"/>
          <w:sz w:val="20"/>
          <w:szCs w:val="20"/>
          <w:lang w:val="pt-BR"/>
        </w:rPr>
        <w:t xml:space="preserve"> loc</w:t>
      </w:r>
      <w:r w:rsidR="00331E62" w:rsidRPr="005D6E61">
        <w:rPr>
          <w:rFonts w:ascii="Cambria" w:hAnsi="Cambria"/>
          <w:sz w:val="20"/>
          <w:szCs w:val="20"/>
          <w:lang w:val="pt-BR"/>
        </w:rPr>
        <w:t>ais</w:t>
      </w:r>
      <w:r w:rsidR="00AA70A5" w:rsidRPr="005D6E61">
        <w:rPr>
          <w:rFonts w:ascii="Cambria" w:hAnsi="Cambria"/>
          <w:sz w:val="20"/>
          <w:szCs w:val="20"/>
          <w:lang w:val="pt-BR"/>
        </w:rPr>
        <w:t xml:space="preserve"> relacionados</w:t>
      </w:r>
      <w:r w:rsidR="00F77B7F" w:rsidRPr="005D6E61">
        <w:rPr>
          <w:rFonts w:ascii="Cambria" w:hAnsi="Cambria"/>
          <w:sz w:val="20"/>
          <w:szCs w:val="20"/>
          <w:lang w:val="pt-BR"/>
        </w:rPr>
        <w:t xml:space="preserve"> com as </w:t>
      </w:r>
      <w:r w:rsidR="00AA70A5" w:rsidRPr="005D6E61">
        <w:rPr>
          <w:rFonts w:ascii="Cambria" w:hAnsi="Cambria"/>
          <w:sz w:val="20"/>
          <w:szCs w:val="20"/>
          <w:lang w:val="pt-BR"/>
        </w:rPr>
        <w:t>princip</w:t>
      </w:r>
      <w:r w:rsidR="00331E62" w:rsidRPr="005D6E61">
        <w:rPr>
          <w:rFonts w:ascii="Cambria" w:hAnsi="Cambria"/>
          <w:sz w:val="20"/>
          <w:szCs w:val="20"/>
          <w:lang w:val="pt-BR"/>
        </w:rPr>
        <w:t>ais</w:t>
      </w:r>
      <w:r w:rsidR="00AA70A5" w:rsidRPr="005D6E61">
        <w:rPr>
          <w:rFonts w:ascii="Cambria" w:hAnsi="Cambria"/>
          <w:sz w:val="20"/>
          <w:szCs w:val="20"/>
          <w:lang w:val="pt-BR"/>
        </w:rPr>
        <w:t xml:space="preserve"> atividades econ</w:t>
      </w:r>
      <w:r w:rsidR="008923B1" w:rsidRPr="005D6E61">
        <w:rPr>
          <w:rFonts w:ascii="Cambria" w:hAnsi="Cambria"/>
          <w:sz w:val="20"/>
          <w:szCs w:val="20"/>
          <w:lang w:val="pt-BR"/>
        </w:rPr>
        <w:t>ô</w:t>
      </w:r>
      <w:r w:rsidR="00AA70A5" w:rsidRPr="005D6E61">
        <w:rPr>
          <w:rFonts w:ascii="Cambria" w:hAnsi="Cambria"/>
          <w:sz w:val="20"/>
          <w:szCs w:val="20"/>
          <w:lang w:val="pt-BR"/>
        </w:rPr>
        <w:t>micas de s</w:t>
      </w:r>
      <w:r w:rsidR="008923B1" w:rsidRPr="005D6E61">
        <w:rPr>
          <w:rFonts w:ascii="Cambria" w:hAnsi="Cambria"/>
          <w:sz w:val="20"/>
          <w:szCs w:val="20"/>
          <w:lang w:val="pt-BR"/>
        </w:rPr>
        <w:t>e</w:t>
      </w:r>
      <w:r w:rsidR="00AA70A5" w:rsidRPr="005D6E61">
        <w:rPr>
          <w:rFonts w:ascii="Cambria" w:hAnsi="Cambria"/>
          <w:sz w:val="20"/>
          <w:szCs w:val="20"/>
          <w:lang w:val="pt-BR"/>
        </w:rPr>
        <w:t xml:space="preserve">us estados. </w:t>
      </w:r>
    </w:p>
    <w:p w14:paraId="5B59F384" w14:textId="77777777" w:rsidR="00AA70A5" w:rsidRPr="005D6E61" w:rsidRDefault="00AA70A5" w:rsidP="00AA70A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pt-BR"/>
        </w:rPr>
      </w:pPr>
    </w:p>
    <w:p w14:paraId="24DFF156" w14:textId="77777777" w:rsidR="00AA70A5" w:rsidRPr="005D6E61" w:rsidRDefault="00184F5F"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A</w:t>
      </w:r>
      <w:r w:rsidR="00AA70A5" w:rsidRPr="005D6E61">
        <w:rPr>
          <w:rFonts w:ascii="Cambria" w:hAnsi="Cambria"/>
          <w:sz w:val="20"/>
          <w:szCs w:val="20"/>
          <w:lang w:val="pt-BR"/>
        </w:rPr>
        <w:t xml:space="preserve"> CIDH indic</w:t>
      </w:r>
      <w:r w:rsidR="008923B1" w:rsidRPr="005D6E61">
        <w:rPr>
          <w:rFonts w:ascii="Cambria" w:hAnsi="Cambria"/>
          <w:sz w:val="20"/>
          <w:szCs w:val="20"/>
          <w:lang w:val="pt-BR"/>
        </w:rPr>
        <w:t xml:space="preserve">ou </w:t>
      </w:r>
      <w:r w:rsidR="00AA70A5" w:rsidRPr="005D6E61">
        <w:rPr>
          <w:rFonts w:ascii="Cambria" w:hAnsi="Cambria"/>
          <w:sz w:val="20"/>
          <w:szCs w:val="20"/>
          <w:lang w:val="pt-BR"/>
        </w:rPr>
        <w:t>que</w:t>
      </w:r>
      <w:r w:rsidR="00F77B7F" w:rsidRPr="005D6E61">
        <w:rPr>
          <w:rFonts w:ascii="Cambria" w:hAnsi="Cambria"/>
          <w:sz w:val="20"/>
          <w:szCs w:val="20"/>
          <w:lang w:val="pt-BR"/>
        </w:rPr>
        <w:t xml:space="preserve"> </w:t>
      </w:r>
      <w:r w:rsidR="008923B1" w:rsidRPr="005D6E61">
        <w:rPr>
          <w:rFonts w:ascii="Cambria" w:hAnsi="Cambria"/>
          <w:sz w:val="20"/>
          <w:szCs w:val="20"/>
          <w:lang w:val="pt-BR"/>
        </w:rPr>
        <w:t>no</w:t>
      </w:r>
      <w:r w:rsidR="00F77B7F" w:rsidRPr="005D6E61">
        <w:rPr>
          <w:rFonts w:ascii="Cambria" w:hAnsi="Cambria"/>
          <w:sz w:val="20"/>
          <w:szCs w:val="20"/>
          <w:lang w:val="pt-BR"/>
        </w:rPr>
        <w:t xml:space="preserve"> </w:t>
      </w:r>
      <w:r w:rsidR="00AA70A5" w:rsidRPr="005D6E61">
        <w:rPr>
          <w:rFonts w:ascii="Cambria" w:hAnsi="Cambria"/>
          <w:sz w:val="20"/>
          <w:szCs w:val="20"/>
          <w:lang w:val="pt-BR"/>
        </w:rPr>
        <w:t>Brasil</w:t>
      </w:r>
      <w:r w:rsidR="00F77B7F" w:rsidRPr="005D6E61">
        <w:rPr>
          <w:rFonts w:ascii="Cambria" w:hAnsi="Cambria"/>
          <w:sz w:val="20"/>
          <w:szCs w:val="20"/>
          <w:lang w:val="pt-BR"/>
        </w:rPr>
        <w:t xml:space="preserve"> as </w:t>
      </w:r>
      <w:r w:rsidR="0054428F" w:rsidRPr="005D6E61">
        <w:rPr>
          <w:rFonts w:ascii="Cambria" w:hAnsi="Cambria"/>
          <w:sz w:val="20"/>
          <w:szCs w:val="20"/>
          <w:lang w:val="pt-BR"/>
        </w:rPr>
        <w:t>pessoa</w:t>
      </w:r>
      <w:r w:rsidR="00AA70A5" w:rsidRPr="005D6E61">
        <w:rPr>
          <w:rFonts w:ascii="Cambria" w:hAnsi="Cambria"/>
          <w:sz w:val="20"/>
          <w:szCs w:val="20"/>
          <w:lang w:val="pt-BR"/>
        </w:rPr>
        <w:t>s que prom</w:t>
      </w:r>
      <w:r w:rsidR="008923B1" w:rsidRPr="005D6E61">
        <w:rPr>
          <w:rFonts w:ascii="Cambria" w:hAnsi="Cambria"/>
          <w:sz w:val="20"/>
          <w:szCs w:val="20"/>
          <w:lang w:val="pt-BR"/>
        </w:rPr>
        <w:t>ovem</w:t>
      </w:r>
      <w:r w:rsidR="006C5454" w:rsidRPr="005D6E61">
        <w:rPr>
          <w:rFonts w:ascii="Cambria" w:hAnsi="Cambria"/>
          <w:sz w:val="20"/>
          <w:szCs w:val="20"/>
          <w:lang w:val="pt-BR"/>
        </w:rPr>
        <w:t xml:space="preserve"> e </w:t>
      </w:r>
      <w:r w:rsidR="008923B1" w:rsidRPr="005D6E61">
        <w:rPr>
          <w:rFonts w:ascii="Cambria" w:hAnsi="Cambria"/>
          <w:sz w:val="20"/>
          <w:szCs w:val="20"/>
          <w:lang w:val="pt-BR"/>
        </w:rPr>
        <w:t>lideram</w:t>
      </w:r>
      <w:r w:rsidR="00F77B7F" w:rsidRPr="005D6E61">
        <w:rPr>
          <w:rFonts w:ascii="Cambria" w:hAnsi="Cambria"/>
          <w:sz w:val="20"/>
          <w:szCs w:val="20"/>
          <w:lang w:val="pt-BR"/>
        </w:rPr>
        <w:t xml:space="preserve"> as </w:t>
      </w:r>
      <w:r w:rsidR="00AA70A5" w:rsidRPr="005D6E61">
        <w:rPr>
          <w:rFonts w:ascii="Cambria" w:hAnsi="Cambria"/>
          <w:sz w:val="20"/>
          <w:szCs w:val="20"/>
          <w:lang w:val="pt-BR"/>
        </w:rPr>
        <w:t>reivindica</w:t>
      </w:r>
      <w:r w:rsidR="00F77B7F" w:rsidRPr="005D6E61">
        <w:rPr>
          <w:rFonts w:ascii="Cambria" w:hAnsi="Cambria"/>
          <w:sz w:val="20"/>
          <w:szCs w:val="20"/>
          <w:lang w:val="pt-BR"/>
        </w:rPr>
        <w:t>ções</w:t>
      </w:r>
      <w:r w:rsidR="00AA70A5" w:rsidRPr="005D6E61">
        <w:rPr>
          <w:rFonts w:ascii="Cambria" w:hAnsi="Cambria"/>
          <w:sz w:val="20"/>
          <w:szCs w:val="20"/>
          <w:lang w:val="pt-BR"/>
        </w:rPr>
        <w:t xml:space="preserve"> relacionadas</w:t>
      </w:r>
      <w:r w:rsidR="00F77B7F" w:rsidRPr="005D6E61">
        <w:rPr>
          <w:rFonts w:ascii="Cambria" w:hAnsi="Cambria"/>
          <w:sz w:val="20"/>
          <w:szCs w:val="20"/>
          <w:lang w:val="pt-BR"/>
        </w:rPr>
        <w:t xml:space="preserve"> com os </w:t>
      </w:r>
      <w:r w:rsidR="00675058" w:rsidRPr="005D6E61">
        <w:rPr>
          <w:rFonts w:ascii="Cambria" w:hAnsi="Cambria"/>
          <w:sz w:val="20"/>
          <w:szCs w:val="20"/>
          <w:lang w:val="pt-BR"/>
        </w:rPr>
        <w:t>direito</w:t>
      </w:r>
      <w:r w:rsidR="00AA70A5" w:rsidRPr="005D6E61">
        <w:rPr>
          <w:rFonts w:ascii="Cambria" w:hAnsi="Cambria"/>
          <w:sz w:val="20"/>
          <w:szCs w:val="20"/>
          <w:lang w:val="pt-BR"/>
        </w:rPr>
        <w:t xml:space="preserve">s de </w:t>
      </w:r>
      <w:r w:rsidR="00E37676" w:rsidRPr="005D6E61">
        <w:rPr>
          <w:rFonts w:ascii="Cambria" w:hAnsi="Cambria"/>
          <w:sz w:val="20"/>
          <w:szCs w:val="20"/>
          <w:lang w:val="pt-BR"/>
        </w:rPr>
        <w:t>trabalh</w:t>
      </w:r>
      <w:r w:rsidR="00AA70A5" w:rsidRPr="005D6E61">
        <w:rPr>
          <w:rFonts w:ascii="Cambria" w:hAnsi="Cambria"/>
          <w:sz w:val="20"/>
          <w:szCs w:val="20"/>
          <w:lang w:val="pt-BR"/>
        </w:rPr>
        <w:t>adores rur</w:t>
      </w:r>
      <w:r w:rsidR="00331E62" w:rsidRPr="005D6E61">
        <w:rPr>
          <w:rFonts w:ascii="Cambria" w:hAnsi="Cambria"/>
          <w:sz w:val="20"/>
          <w:szCs w:val="20"/>
          <w:lang w:val="pt-BR"/>
        </w:rPr>
        <w:t>ais</w:t>
      </w:r>
      <w:r w:rsidR="00AA70A5" w:rsidRPr="005D6E61">
        <w:rPr>
          <w:rFonts w:ascii="Cambria" w:hAnsi="Cambria"/>
          <w:sz w:val="20"/>
          <w:szCs w:val="20"/>
          <w:lang w:val="pt-BR"/>
        </w:rPr>
        <w:t xml:space="preserve"> s</w:t>
      </w:r>
      <w:r w:rsidR="008923B1" w:rsidRPr="005D6E61">
        <w:rPr>
          <w:rFonts w:ascii="Cambria" w:hAnsi="Cambria"/>
          <w:sz w:val="20"/>
          <w:szCs w:val="20"/>
          <w:lang w:val="pt-BR"/>
        </w:rPr>
        <w:t>o</w:t>
      </w:r>
      <w:r w:rsidR="00AA70A5" w:rsidRPr="005D6E61">
        <w:rPr>
          <w:rFonts w:ascii="Cambria" w:hAnsi="Cambria"/>
          <w:sz w:val="20"/>
          <w:szCs w:val="20"/>
          <w:lang w:val="pt-BR"/>
        </w:rPr>
        <w:t>fre</w:t>
      </w:r>
      <w:r w:rsidR="008923B1" w:rsidRPr="005D6E61">
        <w:rPr>
          <w:rFonts w:ascii="Cambria" w:hAnsi="Cambria"/>
          <w:sz w:val="20"/>
          <w:szCs w:val="20"/>
          <w:lang w:val="pt-BR"/>
        </w:rPr>
        <w:t>m</w:t>
      </w:r>
      <w:r w:rsidR="00AA70A5" w:rsidRPr="005D6E61">
        <w:rPr>
          <w:rFonts w:ascii="Cambria" w:hAnsi="Cambria"/>
          <w:sz w:val="20"/>
          <w:szCs w:val="20"/>
          <w:lang w:val="pt-BR"/>
        </w:rPr>
        <w:t xml:space="preserve"> </w:t>
      </w:r>
      <w:r w:rsidR="00BF0B90" w:rsidRPr="005D6E61">
        <w:rPr>
          <w:rFonts w:ascii="Cambria" w:hAnsi="Cambria"/>
          <w:sz w:val="20"/>
          <w:szCs w:val="20"/>
          <w:lang w:val="pt-BR"/>
        </w:rPr>
        <w:t>ato</w:t>
      </w:r>
      <w:r w:rsidR="00AA70A5" w:rsidRPr="005D6E61">
        <w:rPr>
          <w:rFonts w:ascii="Cambria" w:hAnsi="Cambria"/>
          <w:sz w:val="20"/>
          <w:szCs w:val="20"/>
          <w:lang w:val="pt-BR"/>
        </w:rPr>
        <w:t>s de viol</w:t>
      </w:r>
      <w:r w:rsidR="00E37676" w:rsidRPr="005D6E61">
        <w:rPr>
          <w:rFonts w:ascii="Cambria" w:hAnsi="Cambria"/>
          <w:sz w:val="20"/>
          <w:szCs w:val="20"/>
          <w:lang w:val="pt-BR"/>
        </w:rPr>
        <w:t>ência</w:t>
      </w:r>
      <w:r w:rsidR="00AA70A5" w:rsidRPr="005D6E61">
        <w:rPr>
          <w:rFonts w:ascii="Cambria" w:hAnsi="Cambria"/>
          <w:sz w:val="20"/>
          <w:szCs w:val="20"/>
          <w:lang w:val="pt-BR"/>
        </w:rPr>
        <w:t xml:space="preserve"> dirigidos a causar temor generalizado </w:t>
      </w:r>
      <w:r w:rsidR="008923B1" w:rsidRPr="005D6E61">
        <w:rPr>
          <w:rFonts w:ascii="Cambria" w:hAnsi="Cambria"/>
          <w:sz w:val="20"/>
          <w:szCs w:val="20"/>
          <w:lang w:val="pt-BR"/>
        </w:rPr>
        <w:t>e</w:t>
      </w:r>
      <w:r w:rsidR="00412362" w:rsidRPr="005D6E61">
        <w:rPr>
          <w:rFonts w:ascii="Cambria" w:hAnsi="Cambria"/>
          <w:sz w:val="20"/>
          <w:szCs w:val="20"/>
          <w:lang w:val="pt-BR"/>
        </w:rPr>
        <w:t>,</w:t>
      </w:r>
      <w:r w:rsidR="00AA70A5" w:rsidRPr="005D6E61">
        <w:rPr>
          <w:rFonts w:ascii="Cambria" w:hAnsi="Cambria"/>
          <w:sz w:val="20"/>
          <w:szCs w:val="20"/>
          <w:lang w:val="pt-BR"/>
        </w:rPr>
        <w:t xml:space="preserve"> por cons</w:t>
      </w:r>
      <w:r w:rsidR="008923B1" w:rsidRPr="005D6E61">
        <w:rPr>
          <w:rFonts w:ascii="Cambria" w:hAnsi="Cambria"/>
          <w:sz w:val="20"/>
          <w:szCs w:val="20"/>
          <w:lang w:val="pt-BR"/>
        </w:rPr>
        <w:t>e</w:t>
      </w:r>
      <w:r w:rsidR="00AA70A5" w:rsidRPr="005D6E61">
        <w:rPr>
          <w:rFonts w:ascii="Cambria" w:hAnsi="Cambria"/>
          <w:sz w:val="20"/>
          <w:szCs w:val="20"/>
          <w:lang w:val="pt-BR"/>
        </w:rPr>
        <w:t>guinte, desanimar</w:t>
      </w:r>
      <w:r w:rsidR="005A2381" w:rsidRPr="005D6E61">
        <w:rPr>
          <w:rFonts w:ascii="Cambria" w:hAnsi="Cambria"/>
          <w:sz w:val="20"/>
          <w:szCs w:val="20"/>
          <w:lang w:val="pt-BR"/>
        </w:rPr>
        <w:t xml:space="preserve"> </w:t>
      </w:r>
      <w:r w:rsidR="008923B1" w:rsidRPr="005D6E61">
        <w:rPr>
          <w:rFonts w:ascii="Cambria" w:hAnsi="Cambria"/>
          <w:sz w:val="20"/>
          <w:szCs w:val="20"/>
          <w:lang w:val="pt-BR"/>
        </w:rPr>
        <w:t xml:space="preserve">os outros </w:t>
      </w:r>
      <w:r w:rsidR="00AA70A5" w:rsidRPr="005D6E61">
        <w:rPr>
          <w:rFonts w:ascii="Cambria" w:hAnsi="Cambria"/>
          <w:sz w:val="20"/>
          <w:szCs w:val="20"/>
          <w:lang w:val="pt-BR"/>
        </w:rPr>
        <w:t xml:space="preserve">defensores de </w:t>
      </w:r>
      <w:r w:rsidR="00675058" w:rsidRPr="005D6E61">
        <w:rPr>
          <w:rFonts w:ascii="Cambria" w:hAnsi="Cambria"/>
          <w:sz w:val="20"/>
          <w:szCs w:val="20"/>
          <w:lang w:val="pt-BR"/>
        </w:rPr>
        <w:t>direito</w:t>
      </w:r>
      <w:r w:rsidR="00AA70A5" w:rsidRPr="005D6E61">
        <w:rPr>
          <w:rFonts w:ascii="Cambria" w:hAnsi="Cambria"/>
          <w:sz w:val="20"/>
          <w:szCs w:val="20"/>
          <w:lang w:val="pt-BR"/>
        </w:rPr>
        <w:t xml:space="preserve">s humanos, </w:t>
      </w:r>
      <w:r w:rsidR="008923B1" w:rsidRPr="005D6E61">
        <w:rPr>
          <w:rFonts w:ascii="Cambria" w:hAnsi="Cambria"/>
          <w:sz w:val="20"/>
          <w:szCs w:val="20"/>
          <w:lang w:val="pt-BR"/>
        </w:rPr>
        <w:t>bem</w:t>
      </w:r>
      <w:r w:rsidR="00AA70A5" w:rsidRPr="005D6E61">
        <w:rPr>
          <w:rFonts w:ascii="Cambria" w:hAnsi="Cambria"/>
          <w:sz w:val="20"/>
          <w:szCs w:val="20"/>
          <w:lang w:val="pt-BR"/>
        </w:rPr>
        <w:t xml:space="preserve"> como atemorizar</w:t>
      </w:r>
      <w:r w:rsidR="006C5454" w:rsidRPr="005D6E61">
        <w:rPr>
          <w:rFonts w:ascii="Cambria" w:hAnsi="Cambria"/>
          <w:sz w:val="20"/>
          <w:szCs w:val="20"/>
          <w:lang w:val="pt-BR"/>
        </w:rPr>
        <w:t xml:space="preserve"> e </w:t>
      </w:r>
      <w:r w:rsidR="00AA70A5" w:rsidRPr="005D6E61">
        <w:rPr>
          <w:rFonts w:ascii="Cambria" w:hAnsi="Cambria"/>
          <w:sz w:val="20"/>
          <w:szCs w:val="20"/>
          <w:lang w:val="pt-BR"/>
        </w:rPr>
        <w:t>silenciar</w:t>
      </w:r>
      <w:r w:rsidR="00F77B7F" w:rsidRPr="005D6E61">
        <w:rPr>
          <w:rFonts w:ascii="Cambria" w:hAnsi="Cambria"/>
          <w:sz w:val="20"/>
          <w:szCs w:val="20"/>
          <w:lang w:val="pt-BR"/>
        </w:rPr>
        <w:t xml:space="preserve"> as </w:t>
      </w:r>
      <w:r w:rsidR="00AA70A5" w:rsidRPr="005D6E61">
        <w:rPr>
          <w:rFonts w:ascii="Cambria" w:hAnsi="Cambria"/>
          <w:sz w:val="20"/>
          <w:szCs w:val="20"/>
          <w:lang w:val="pt-BR"/>
        </w:rPr>
        <w:t>den</w:t>
      </w:r>
      <w:r w:rsidR="008923B1" w:rsidRPr="005D6E61">
        <w:rPr>
          <w:rFonts w:ascii="Cambria" w:hAnsi="Cambria"/>
          <w:sz w:val="20"/>
          <w:szCs w:val="20"/>
          <w:lang w:val="pt-BR"/>
        </w:rPr>
        <w:t>ú</w:t>
      </w:r>
      <w:r w:rsidR="00AA70A5" w:rsidRPr="005D6E61">
        <w:rPr>
          <w:rFonts w:ascii="Cambria" w:hAnsi="Cambria"/>
          <w:sz w:val="20"/>
          <w:szCs w:val="20"/>
          <w:lang w:val="pt-BR"/>
        </w:rPr>
        <w:t>ncias, reclam</w:t>
      </w:r>
      <w:r w:rsidR="008923B1" w:rsidRPr="005D6E61">
        <w:rPr>
          <w:rFonts w:ascii="Cambria" w:hAnsi="Cambria"/>
          <w:sz w:val="20"/>
          <w:szCs w:val="20"/>
          <w:lang w:val="pt-BR"/>
        </w:rPr>
        <w:t>açõe</w:t>
      </w:r>
      <w:r w:rsidR="00AA70A5" w:rsidRPr="005D6E61">
        <w:rPr>
          <w:rFonts w:ascii="Cambria" w:hAnsi="Cambria"/>
          <w:sz w:val="20"/>
          <w:szCs w:val="20"/>
          <w:lang w:val="pt-BR"/>
        </w:rPr>
        <w:t>s</w:t>
      </w:r>
      <w:r w:rsidR="006C5454" w:rsidRPr="005D6E61">
        <w:rPr>
          <w:rFonts w:ascii="Cambria" w:hAnsi="Cambria"/>
          <w:sz w:val="20"/>
          <w:szCs w:val="20"/>
          <w:lang w:val="pt-BR"/>
        </w:rPr>
        <w:t xml:space="preserve"> e </w:t>
      </w:r>
      <w:r w:rsidR="00AA70A5" w:rsidRPr="005D6E61">
        <w:rPr>
          <w:rFonts w:ascii="Cambria" w:hAnsi="Cambria"/>
          <w:sz w:val="20"/>
          <w:szCs w:val="20"/>
          <w:lang w:val="pt-BR"/>
        </w:rPr>
        <w:t>reivindica</w:t>
      </w:r>
      <w:r w:rsidR="00F77B7F" w:rsidRPr="005D6E61">
        <w:rPr>
          <w:rFonts w:ascii="Cambria" w:hAnsi="Cambria"/>
          <w:sz w:val="20"/>
          <w:szCs w:val="20"/>
          <w:lang w:val="pt-BR"/>
        </w:rPr>
        <w:t>ções</w:t>
      </w:r>
      <w:r w:rsidR="0054428F" w:rsidRPr="005D6E61">
        <w:rPr>
          <w:rFonts w:ascii="Cambria" w:hAnsi="Cambria"/>
          <w:sz w:val="20"/>
          <w:szCs w:val="20"/>
          <w:lang w:val="pt-BR"/>
        </w:rPr>
        <w:t xml:space="preserve"> das </w:t>
      </w:r>
      <w:r w:rsidR="003619A0" w:rsidRPr="005D6E61">
        <w:rPr>
          <w:rFonts w:ascii="Cambria" w:hAnsi="Cambria"/>
          <w:sz w:val="20"/>
          <w:szCs w:val="20"/>
          <w:lang w:val="pt-BR"/>
        </w:rPr>
        <w:t>vítima</w:t>
      </w:r>
      <w:r w:rsidR="00AA70A5" w:rsidRPr="005D6E61">
        <w:rPr>
          <w:rFonts w:ascii="Cambria" w:hAnsi="Cambria"/>
          <w:sz w:val="20"/>
          <w:szCs w:val="20"/>
          <w:lang w:val="pt-BR"/>
        </w:rPr>
        <w:t>s.</w:t>
      </w:r>
      <w:r w:rsidR="00331E62" w:rsidRPr="005D6E61">
        <w:rPr>
          <w:rFonts w:ascii="Cambria" w:hAnsi="Cambria"/>
          <w:sz w:val="20"/>
          <w:szCs w:val="20"/>
          <w:lang w:val="pt-BR"/>
        </w:rPr>
        <w:t xml:space="preserve"> </w:t>
      </w:r>
      <w:r w:rsidR="008923B1" w:rsidRPr="005D6E61">
        <w:rPr>
          <w:rFonts w:ascii="Cambria" w:hAnsi="Cambria"/>
          <w:sz w:val="20"/>
          <w:szCs w:val="20"/>
          <w:lang w:val="pt-BR"/>
        </w:rPr>
        <w:t>A</w:t>
      </w:r>
      <w:r w:rsidR="00331E62" w:rsidRPr="005D6E61">
        <w:rPr>
          <w:rFonts w:ascii="Cambria" w:hAnsi="Cambria"/>
          <w:sz w:val="20"/>
          <w:szCs w:val="20"/>
          <w:lang w:val="pt-BR"/>
        </w:rPr>
        <w:t xml:space="preserve"> </w:t>
      </w:r>
      <w:r w:rsidR="006C5454" w:rsidRPr="005D6E61">
        <w:rPr>
          <w:rFonts w:ascii="Cambria" w:hAnsi="Cambria"/>
          <w:sz w:val="20"/>
          <w:szCs w:val="20"/>
          <w:lang w:val="pt-BR"/>
        </w:rPr>
        <w:t>Comissão</w:t>
      </w:r>
      <w:r w:rsidR="00AA70A5" w:rsidRPr="005D6E61">
        <w:rPr>
          <w:rFonts w:ascii="Cambria" w:hAnsi="Cambria"/>
          <w:sz w:val="20"/>
          <w:szCs w:val="20"/>
          <w:lang w:val="pt-BR"/>
        </w:rPr>
        <w:t xml:space="preserve"> </w:t>
      </w:r>
      <w:r w:rsidR="008923B1" w:rsidRPr="005D6E61">
        <w:rPr>
          <w:rFonts w:ascii="Cambria" w:hAnsi="Cambria"/>
          <w:sz w:val="20"/>
          <w:szCs w:val="20"/>
          <w:lang w:val="pt-BR"/>
        </w:rPr>
        <w:t>indicou</w:t>
      </w:r>
      <w:r w:rsidR="00AA70A5" w:rsidRPr="005D6E61">
        <w:rPr>
          <w:rFonts w:ascii="Cambria" w:hAnsi="Cambria"/>
          <w:sz w:val="20"/>
          <w:szCs w:val="20"/>
          <w:lang w:val="pt-BR"/>
        </w:rPr>
        <w:t xml:space="preserve"> que</w:t>
      </w:r>
      <w:r w:rsidR="00331E62" w:rsidRPr="005D6E61">
        <w:rPr>
          <w:rFonts w:ascii="Cambria" w:hAnsi="Cambria"/>
          <w:sz w:val="20"/>
          <w:szCs w:val="20"/>
          <w:lang w:val="pt-BR"/>
        </w:rPr>
        <w:t xml:space="preserve"> a </w:t>
      </w:r>
      <w:r w:rsidR="00AA70A5" w:rsidRPr="005D6E61">
        <w:rPr>
          <w:rFonts w:ascii="Cambria" w:hAnsi="Cambria"/>
          <w:sz w:val="20"/>
          <w:szCs w:val="20"/>
          <w:lang w:val="pt-BR"/>
        </w:rPr>
        <w:t>estre</w:t>
      </w:r>
      <w:r w:rsidR="008923B1" w:rsidRPr="005D6E61">
        <w:rPr>
          <w:rFonts w:ascii="Cambria" w:hAnsi="Cambria"/>
          <w:sz w:val="20"/>
          <w:szCs w:val="20"/>
          <w:lang w:val="pt-BR"/>
        </w:rPr>
        <w:t>it</w:t>
      </w:r>
      <w:r w:rsidR="00AA70A5" w:rsidRPr="005D6E61">
        <w:rPr>
          <w:rFonts w:ascii="Cambria" w:hAnsi="Cambria"/>
          <w:sz w:val="20"/>
          <w:szCs w:val="20"/>
          <w:lang w:val="pt-BR"/>
        </w:rPr>
        <w:t>a rela</w:t>
      </w:r>
      <w:r w:rsidR="00A274D9" w:rsidRPr="005D6E61">
        <w:rPr>
          <w:rFonts w:ascii="Cambria" w:hAnsi="Cambria"/>
          <w:sz w:val="20"/>
          <w:szCs w:val="20"/>
          <w:lang w:val="pt-BR"/>
        </w:rPr>
        <w:t>ção</w:t>
      </w:r>
      <w:r w:rsidR="00AA70A5" w:rsidRPr="005D6E61">
        <w:rPr>
          <w:rFonts w:ascii="Cambria" w:hAnsi="Cambria"/>
          <w:sz w:val="20"/>
          <w:szCs w:val="20"/>
          <w:lang w:val="pt-BR"/>
        </w:rPr>
        <w:t xml:space="preserve"> entre</w:t>
      </w:r>
      <w:r w:rsidR="00F77B7F" w:rsidRPr="005D6E61">
        <w:rPr>
          <w:rFonts w:ascii="Cambria" w:hAnsi="Cambria"/>
          <w:sz w:val="20"/>
          <w:szCs w:val="20"/>
          <w:lang w:val="pt-BR"/>
        </w:rPr>
        <w:t xml:space="preserve"> os </w:t>
      </w:r>
      <w:r w:rsidR="008923B1" w:rsidRPr="005D6E61">
        <w:rPr>
          <w:rFonts w:ascii="Cambria" w:hAnsi="Cambria"/>
          <w:sz w:val="20"/>
          <w:szCs w:val="20"/>
          <w:lang w:val="pt-BR"/>
        </w:rPr>
        <w:t>mandantes</w:t>
      </w:r>
      <w:r w:rsidR="00331E62" w:rsidRPr="005D6E61">
        <w:rPr>
          <w:rFonts w:ascii="Cambria" w:hAnsi="Cambria"/>
          <w:sz w:val="20"/>
          <w:szCs w:val="20"/>
          <w:lang w:val="pt-BR"/>
        </w:rPr>
        <w:t xml:space="preserve"> dos </w:t>
      </w:r>
      <w:r w:rsidR="00AA70A5" w:rsidRPr="005D6E61">
        <w:rPr>
          <w:rFonts w:ascii="Cambria" w:hAnsi="Cambria"/>
          <w:sz w:val="20"/>
          <w:szCs w:val="20"/>
          <w:lang w:val="pt-BR"/>
        </w:rPr>
        <w:t>cr</w:t>
      </w:r>
      <w:r w:rsidR="008923B1" w:rsidRPr="005D6E61">
        <w:rPr>
          <w:rFonts w:ascii="Cambria" w:hAnsi="Cambria"/>
          <w:sz w:val="20"/>
          <w:szCs w:val="20"/>
          <w:lang w:val="pt-BR"/>
        </w:rPr>
        <w:t>i</w:t>
      </w:r>
      <w:r w:rsidR="00AA70A5" w:rsidRPr="005D6E61">
        <w:rPr>
          <w:rFonts w:ascii="Cambria" w:hAnsi="Cambria"/>
          <w:sz w:val="20"/>
          <w:szCs w:val="20"/>
          <w:lang w:val="pt-BR"/>
        </w:rPr>
        <w:t>mes</w:t>
      </w:r>
      <w:r w:rsidR="006C5454" w:rsidRPr="005D6E61">
        <w:rPr>
          <w:rFonts w:ascii="Cambria" w:hAnsi="Cambria"/>
          <w:sz w:val="20"/>
          <w:szCs w:val="20"/>
          <w:lang w:val="pt-BR"/>
        </w:rPr>
        <w:t xml:space="preserve"> e </w:t>
      </w:r>
      <w:r w:rsidR="004642E3" w:rsidRPr="005D6E61">
        <w:rPr>
          <w:rFonts w:ascii="Cambria" w:hAnsi="Cambria"/>
          <w:sz w:val="20"/>
          <w:szCs w:val="20"/>
          <w:lang w:val="pt-BR"/>
        </w:rPr>
        <w:t xml:space="preserve">as </w:t>
      </w:r>
      <w:r w:rsidR="00AA70A5" w:rsidRPr="005D6E61">
        <w:rPr>
          <w:rFonts w:ascii="Cambria" w:hAnsi="Cambria"/>
          <w:sz w:val="20"/>
          <w:szCs w:val="20"/>
          <w:lang w:val="pt-BR"/>
        </w:rPr>
        <w:t>estruturas loc</w:t>
      </w:r>
      <w:r w:rsidR="00331E62" w:rsidRPr="005D6E61">
        <w:rPr>
          <w:rFonts w:ascii="Cambria" w:hAnsi="Cambria"/>
          <w:sz w:val="20"/>
          <w:szCs w:val="20"/>
          <w:lang w:val="pt-BR"/>
        </w:rPr>
        <w:t>ais</w:t>
      </w:r>
      <w:r w:rsidR="00AA70A5" w:rsidRPr="005D6E61">
        <w:rPr>
          <w:rFonts w:ascii="Cambria" w:hAnsi="Cambria"/>
          <w:sz w:val="20"/>
          <w:szCs w:val="20"/>
          <w:lang w:val="pt-BR"/>
        </w:rPr>
        <w:t xml:space="preserve"> de poder garant</w:t>
      </w:r>
      <w:r w:rsidR="008923B1" w:rsidRPr="005D6E61">
        <w:rPr>
          <w:rFonts w:ascii="Cambria" w:hAnsi="Cambria"/>
          <w:sz w:val="20"/>
          <w:szCs w:val="20"/>
          <w:lang w:val="pt-BR"/>
        </w:rPr>
        <w:t>e</w:t>
      </w:r>
      <w:r w:rsidR="00331E62" w:rsidRPr="005D6E61">
        <w:rPr>
          <w:rFonts w:ascii="Cambria" w:hAnsi="Cambria"/>
          <w:sz w:val="20"/>
          <w:szCs w:val="20"/>
          <w:lang w:val="pt-BR"/>
        </w:rPr>
        <w:t xml:space="preserve"> a </w:t>
      </w:r>
      <w:r w:rsidR="00AA70A5" w:rsidRPr="005D6E61">
        <w:rPr>
          <w:rFonts w:ascii="Cambria" w:hAnsi="Cambria"/>
          <w:sz w:val="20"/>
          <w:szCs w:val="20"/>
          <w:lang w:val="pt-BR"/>
        </w:rPr>
        <w:t>impuni</w:t>
      </w:r>
      <w:r w:rsidR="00FB55C7" w:rsidRPr="005D6E61">
        <w:rPr>
          <w:rFonts w:ascii="Cambria" w:hAnsi="Cambria"/>
          <w:sz w:val="20"/>
          <w:szCs w:val="20"/>
          <w:lang w:val="pt-BR"/>
        </w:rPr>
        <w:t xml:space="preserve">dade </w:t>
      </w:r>
      <w:r w:rsidR="00F77B7F" w:rsidRPr="005D6E61">
        <w:rPr>
          <w:rFonts w:ascii="Cambria" w:hAnsi="Cambria"/>
          <w:sz w:val="20"/>
          <w:szCs w:val="20"/>
          <w:lang w:val="pt-BR"/>
        </w:rPr>
        <w:t xml:space="preserve">em </w:t>
      </w:r>
      <w:r w:rsidR="006C535C" w:rsidRPr="005D6E61">
        <w:rPr>
          <w:rFonts w:ascii="Cambria" w:hAnsi="Cambria"/>
          <w:sz w:val="20"/>
          <w:szCs w:val="20"/>
          <w:lang w:val="pt-BR"/>
        </w:rPr>
        <w:t>quase</w:t>
      </w:r>
      <w:r w:rsidR="00331E62" w:rsidRPr="005D6E61">
        <w:rPr>
          <w:rFonts w:ascii="Cambria" w:hAnsi="Cambria"/>
          <w:sz w:val="20"/>
          <w:szCs w:val="20"/>
          <w:lang w:val="pt-BR"/>
        </w:rPr>
        <w:t xml:space="preserve"> </w:t>
      </w:r>
      <w:r w:rsidR="008923B1" w:rsidRPr="005D6E61">
        <w:rPr>
          <w:rFonts w:ascii="Cambria" w:hAnsi="Cambria"/>
          <w:sz w:val="20"/>
          <w:szCs w:val="20"/>
          <w:lang w:val="pt-BR"/>
        </w:rPr>
        <w:t>to</w:t>
      </w:r>
      <w:r w:rsidR="00331E62" w:rsidRPr="005D6E61">
        <w:rPr>
          <w:rFonts w:ascii="Cambria" w:hAnsi="Cambria"/>
          <w:sz w:val="20"/>
          <w:szCs w:val="20"/>
          <w:lang w:val="pt-BR"/>
        </w:rPr>
        <w:t xml:space="preserve">dos </w:t>
      </w:r>
      <w:r w:rsidR="008923B1" w:rsidRPr="005D6E61">
        <w:rPr>
          <w:rFonts w:ascii="Cambria" w:hAnsi="Cambria"/>
          <w:sz w:val="20"/>
          <w:szCs w:val="20"/>
          <w:lang w:val="pt-BR"/>
        </w:rPr>
        <w:t xml:space="preserve">os </w:t>
      </w:r>
      <w:r w:rsidR="00AA70A5" w:rsidRPr="005D6E61">
        <w:rPr>
          <w:rFonts w:ascii="Cambria" w:hAnsi="Cambria"/>
          <w:sz w:val="20"/>
          <w:szCs w:val="20"/>
          <w:lang w:val="pt-BR"/>
        </w:rPr>
        <w:t>casos de viol</w:t>
      </w:r>
      <w:r w:rsidR="00E37676" w:rsidRPr="005D6E61">
        <w:rPr>
          <w:rFonts w:ascii="Cambria" w:hAnsi="Cambria"/>
          <w:sz w:val="20"/>
          <w:szCs w:val="20"/>
          <w:lang w:val="pt-BR"/>
        </w:rPr>
        <w:t>ência</w:t>
      </w:r>
      <w:r w:rsidR="00AA70A5" w:rsidRPr="005D6E61">
        <w:rPr>
          <w:rFonts w:ascii="Cambria" w:hAnsi="Cambria"/>
          <w:sz w:val="20"/>
          <w:szCs w:val="20"/>
          <w:lang w:val="pt-BR"/>
        </w:rPr>
        <w:t xml:space="preserve"> rural</w:t>
      </w:r>
      <w:r w:rsidR="00F77B7F" w:rsidRPr="005D6E61">
        <w:rPr>
          <w:rFonts w:ascii="Cambria" w:hAnsi="Cambria"/>
          <w:sz w:val="20"/>
          <w:szCs w:val="20"/>
          <w:lang w:val="pt-BR"/>
        </w:rPr>
        <w:t xml:space="preserve"> </w:t>
      </w:r>
      <w:r w:rsidR="008923B1" w:rsidRPr="005D6E61">
        <w:rPr>
          <w:rFonts w:ascii="Cambria" w:hAnsi="Cambria"/>
          <w:sz w:val="20"/>
          <w:szCs w:val="20"/>
          <w:lang w:val="pt-BR"/>
        </w:rPr>
        <w:t>no</w:t>
      </w:r>
      <w:r w:rsidR="00F77B7F" w:rsidRPr="005D6E61">
        <w:rPr>
          <w:rFonts w:ascii="Cambria" w:hAnsi="Cambria"/>
          <w:sz w:val="20"/>
          <w:szCs w:val="20"/>
          <w:lang w:val="pt-BR"/>
        </w:rPr>
        <w:t xml:space="preserve"> </w:t>
      </w:r>
      <w:r w:rsidR="00AA70A5" w:rsidRPr="005D6E61">
        <w:rPr>
          <w:rFonts w:ascii="Cambria" w:hAnsi="Cambria"/>
          <w:sz w:val="20"/>
          <w:szCs w:val="20"/>
          <w:lang w:val="pt-BR"/>
        </w:rPr>
        <w:t>Brasil</w:t>
      </w:r>
      <w:r w:rsidR="00AA70A5" w:rsidRPr="005D6E61">
        <w:rPr>
          <w:rStyle w:val="FootnoteReference"/>
          <w:rFonts w:ascii="Cambria" w:hAnsi="Cambria"/>
          <w:sz w:val="20"/>
          <w:szCs w:val="20"/>
          <w:lang w:val="pt-BR"/>
        </w:rPr>
        <w:footnoteReference w:id="12"/>
      </w:r>
      <w:r w:rsidR="00AA70A5" w:rsidRPr="005D6E61">
        <w:rPr>
          <w:rFonts w:ascii="Cambria" w:hAnsi="Cambria"/>
          <w:sz w:val="20"/>
          <w:szCs w:val="20"/>
          <w:lang w:val="pt-BR"/>
        </w:rPr>
        <w:t xml:space="preserve">. </w:t>
      </w:r>
    </w:p>
    <w:p w14:paraId="3E3A36AD" w14:textId="77777777" w:rsidR="00AA70A5" w:rsidRPr="005D6E61" w:rsidRDefault="00AA70A5" w:rsidP="00AA70A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pt-BR"/>
        </w:rPr>
      </w:pPr>
    </w:p>
    <w:p w14:paraId="5A505ACB" w14:textId="77777777" w:rsidR="009B2166" w:rsidRPr="005D6E61" w:rsidRDefault="00184F5F"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lang w:val="pt-BR"/>
        </w:rPr>
      </w:pPr>
      <w:r w:rsidRPr="005D6E61">
        <w:rPr>
          <w:rFonts w:ascii="Cambria" w:hAnsi="Cambria"/>
          <w:sz w:val="20"/>
          <w:szCs w:val="20"/>
          <w:lang w:val="pt-BR"/>
        </w:rPr>
        <w:t>A</w:t>
      </w:r>
      <w:r w:rsidR="00AA70A5" w:rsidRPr="005D6E61">
        <w:rPr>
          <w:rFonts w:ascii="Cambria" w:hAnsi="Cambria"/>
          <w:sz w:val="20"/>
          <w:szCs w:val="20"/>
          <w:lang w:val="pt-BR"/>
        </w:rPr>
        <w:t xml:space="preserve"> </w:t>
      </w:r>
      <w:r w:rsidR="006C5454" w:rsidRPr="005D6E61">
        <w:rPr>
          <w:rFonts w:ascii="Cambria" w:hAnsi="Cambria"/>
          <w:sz w:val="20"/>
          <w:szCs w:val="20"/>
          <w:lang w:val="pt-BR"/>
        </w:rPr>
        <w:t>Comissão</w:t>
      </w:r>
      <w:r w:rsidR="00AA70A5" w:rsidRPr="005D6E61">
        <w:rPr>
          <w:rFonts w:ascii="Cambria" w:hAnsi="Cambria"/>
          <w:sz w:val="20"/>
          <w:szCs w:val="20"/>
          <w:lang w:val="pt-BR"/>
        </w:rPr>
        <w:t xml:space="preserve"> també</w:t>
      </w:r>
      <w:r w:rsidR="008923B1" w:rsidRPr="005D6E61">
        <w:rPr>
          <w:rFonts w:ascii="Cambria" w:hAnsi="Cambria"/>
          <w:sz w:val="20"/>
          <w:szCs w:val="20"/>
          <w:lang w:val="pt-BR"/>
        </w:rPr>
        <w:t>m</w:t>
      </w:r>
      <w:r w:rsidR="00AA70A5" w:rsidRPr="005D6E61">
        <w:rPr>
          <w:rFonts w:ascii="Cambria" w:hAnsi="Cambria"/>
          <w:sz w:val="20"/>
          <w:szCs w:val="20"/>
          <w:lang w:val="pt-BR"/>
        </w:rPr>
        <w:t xml:space="preserve"> toma nota</w:t>
      </w:r>
      <w:r w:rsidR="00F77B7F" w:rsidRPr="005D6E61">
        <w:rPr>
          <w:rFonts w:ascii="Cambria" w:hAnsi="Cambria"/>
          <w:sz w:val="20"/>
          <w:szCs w:val="20"/>
          <w:lang w:val="pt-BR"/>
        </w:rPr>
        <w:t xml:space="preserve"> do </w:t>
      </w:r>
      <w:r w:rsidR="00704E7B" w:rsidRPr="005D6E61">
        <w:rPr>
          <w:rFonts w:ascii="Cambria" w:hAnsi="Cambria"/>
          <w:sz w:val="20"/>
          <w:szCs w:val="20"/>
          <w:lang w:val="pt-BR"/>
        </w:rPr>
        <w:t>Relatório</w:t>
      </w:r>
      <w:r w:rsidR="00AA70A5" w:rsidRPr="005D6E61">
        <w:rPr>
          <w:rFonts w:ascii="Cambria" w:hAnsi="Cambria"/>
          <w:sz w:val="20"/>
          <w:szCs w:val="20"/>
          <w:lang w:val="pt-BR"/>
        </w:rPr>
        <w:t xml:space="preserve"> de 2013</w:t>
      </w:r>
      <w:r w:rsidR="00675058" w:rsidRPr="005D6E61">
        <w:rPr>
          <w:rFonts w:ascii="Cambria" w:hAnsi="Cambria"/>
          <w:sz w:val="20"/>
          <w:szCs w:val="20"/>
          <w:lang w:val="pt-BR"/>
        </w:rPr>
        <w:t xml:space="preserve"> da </w:t>
      </w:r>
      <w:r w:rsidR="00AA70A5" w:rsidRPr="005D6E61">
        <w:rPr>
          <w:rFonts w:ascii="Cambria" w:hAnsi="Cambria"/>
          <w:sz w:val="20"/>
          <w:szCs w:val="20"/>
          <w:lang w:val="pt-BR"/>
        </w:rPr>
        <w:t>Secretar</w:t>
      </w:r>
      <w:r w:rsidR="005A2381" w:rsidRPr="005D6E61">
        <w:rPr>
          <w:rFonts w:ascii="Cambria" w:hAnsi="Cambria"/>
          <w:sz w:val="20"/>
          <w:szCs w:val="20"/>
          <w:lang w:val="pt-BR"/>
        </w:rPr>
        <w:t>ia</w:t>
      </w:r>
      <w:r w:rsidR="00AA70A5" w:rsidRPr="005D6E61">
        <w:rPr>
          <w:rFonts w:ascii="Cambria" w:hAnsi="Cambria"/>
          <w:sz w:val="20"/>
          <w:szCs w:val="20"/>
          <w:lang w:val="pt-BR"/>
        </w:rPr>
        <w:t xml:space="preserve"> de </w:t>
      </w:r>
      <w:r w:rsidR="00675058" w:rsidRPr="005D6E61">
        <w:rPr>
          <w:rFonts w:ascii="Cambria" w:hAnsi="Cambria"/>
          <w:sz w:val="20"/>
          <w:szCs w:val="20"/>
          <w:lang w:val="pt-BR"/>
        </w:rPr>
        <w:t>Direito</w:t>
      </w:r>
      <w:r w:rsidR="00AA70A5" w:rsidRPr="005D6E61">
        <w:rPr>
          <w:rFonts w:ascii="Cambria" w:hAnsi="Cambria"/>
          <w:sz w:val="20"/>
          <w:szCs w:val="20"/>
          <w:lang w:val="pt-BR"/>
        </w:rPr>
        <w:t>s Humanos</w:t>
      </w:r>
      <w:r w:rsidR="00675058" w:rsidRPr="005D6E61">
        <w:rPr>
          <w:rFonts w:ascii="Cambria" w:hAnsi="Cambria"/>
          <w:sz w:val="20"/>
          <w:szCs w:val="20"/>
          <w:lang w:val="pt-BR"/>
        </w:rPr>
        <w:t xml:space="preserve"> da </w:t>
      </w:r>
      <w:r w:rsidR="00AA70A5" w:rsidRPr="005D6E61">
        <w:rPr>
          <w:rFonts w:ascii="Cambria" w:hAnsi="Cambria"/>
          <w:sz w:val="20"/>
          <w:szCs w:val="20"/>
          <w:lang w:val="pt-BR"/>
        </w:rPr>
        <w:t>Presid</w:t>
      </w:r>
      <w:r w:rsidR="00E37676" w:rsidRPr="005D6E61">
        <w:rPr>
          <w:rFonts w:ascii="Cambria" w:hAnsi="Cambria"/>
          <w:sz w:val="20"/>
          <w:szCs w:val="20"/>
          <w:lang w:val="pt-BR"/>
        </w:rPr>
        <w:t>ência</w:t>
      </w:r>
      <w:r w:rsidR="00675058" w:rsidRPr="005D6E61">
        <w:rPr>
          <w:rFonts w:ascii="Cambria" w:hAnsi="Cambria"/>
          <w:sz w:val="20"/>
          <w:szCs w:val="20"/>
          <w:lang w:val="pt-BR"/>
        </w:rPr>
        <w:t xml:space="preserve"> da </w:t>
      </w:r>
      <w:r w:rsidR="00AA70A5" w:rsidRPr="005D6E61">
        <w:rPr>
          <w:rFonts w:ascii="Cambria" w:hAnsi="Cambria"/>
          <w:sz w:val="20"/>
          <w:szCs w:val="20"/>
          <w:lang w:val="pt-BR"/>
        </w:rPr>
        <w:t xml:space="preserve">República </w:t>
      </w:r>
      <w:r w:rsidR="008923B1" w:rsidRPr="005D6E61">
        <w:rPr>
          <w:rFonts w:ascii="Cambria" w:hAnsi="Cambria"/>
          <w:sz w:val="20"/>
          <w:szCs w:val="20"/>
          <w:lang w:val="pt-BR"/>
        </w:rPr>
        <w:t>in</w:t>
      </w:r>
      <w:r w:rsidR="00AA70A5" w:rsidRPr="005D6E61">
        <w:rPr>
          <w:rFonts w:ascii="Cambria" w:hAnsi="Cambria"/>
          <w:sz w:val="20"/>
          <w:szCs w:val="20"/>
          <w:lang w:val="pt-BR"/>
        </w:rPr>
        <w:t xml:space="preserve">titulado “Camponeses Mortos </w:t>
      </w:r>
      <w:r w:rsidR="008923B1" w:rsidRPr="005D6E61">
        <w:rPr>
          <w:rFonts w:ascii="Cambria" w:hAnsi="Cambria"/>
          <w:sz w:val="20"/>
          <w:szCs w:val="20"/>
          <w:lang w:val="pt-BR"/>
        </w:rPr>
        <w:t>e</w:t>
      </w:r>
      <w:r w:rsidR="00AA70A5" w:rsidRPr="005D6E61">
        <w:rPr>
          <w:rFonts w:ascii="Cambria" w:hAnsi="Cambria"/>
          <w:sz w:val="20"/>
          <w:szCs w:val="20"/>
          <w:lang w:val="pt-BR"/>
        </w:rPr>
        <w:t xml:space="preserve"> Desaparecidos: </w:t>
      </w:r>
      <w:r w:rsidR="00AA70A5" w:rsidRPr="005D6E61">
        <w:rPr>
          <w:rFonts w:ascii="Cambria" w:hAnsi="Cambria" w:cs="Cambria-Bold"/>
          <w:bCs/>
          <w:sz w:val="20"/>
          <w:szCs w:val="20"/>
          <w:lang w:val="pt-BR"/>
        </w:rPr>
        <w:t>Excluídos da Justiça de Transição”,</w:t>
      </w:r>
      <w:r w:rsidR="00331E62" w:rsidRPr="005D6E61">
        <w:rPr>
          <w:rFonts w:ascii="Cambria" w:hAnsi="Cambria" w:cs="Cambria-Bold"/>
          <w:bCs/>
          <w:sz w:val="20"/>
          <w:szCs w:val="20"/>
          <w:lang w:val="pt-BR"/>
        </w:rPr>
        <w:t xml:space="preserve"> o </w:t>
      </w:r>
      <w:r w:rsidR="005A2381" w:rsidRPr="005D6E61">
        <w:rPr>
          <w:rFonts w:ascii="Cambria" w:hAnsi="Cambria" w:cs="Cambria-Bold"/>
          <w:bCs/>
          <w:sz w:val="20"/>
          <w:szCs w:val="20"/>
          <w:lang w:val="pt-BR"/>
        </w:rPr>
        <w:t>qua</w:t>
      </w:r>
      <w:r w:rsidR="00AA70A5" w:rsidRPr="005D6E61">
        <w:rPr>
          <w:rFonts w:ascii="Cambria" w:hAnsi="Cambria" w:cs="Cambria-Bold"/>
          <w:bCs/>
          <w:sz w:val="20"/>
          <w:szCs w:val="20"/>
          <w:lang w:val="pt-BR"/>
        </w:rPr>
        <w:t>l document</w:t>
      </w:r>
      <w:r w:rsidR="00BF0B90" w:rsidRPr="005D6E61">
        <w:rPr>
          <w:rFonts w:ascii="Cambria" w:hAnsi="Cambria" w:cs="Cambria-Bold"/>
          <w:bCs/>
          <w:sz w:val="20"/>
          <w:szCs w:val="20"/>
          <w:lang w:val="pt-BR"/>
        </w:rPr>
        <w:t xml:space="preserve">ou </w:t>
      </w:r>
      <w:r w:rsidR="00331E62" w:rsidRPr="005D6E61">
        <w:rPr>
          <w:rFonts w:ascii="Cambria" w:hAnsi="Cambria" w:cs="Cambria-Bold"/>
          <w:bCs/>
          <w:sz w:val="20"/>
          <w:szCs w:val="20"/>
          <w:lang w:val="pt-BR"/>
        </w:rPr>
        <w:t xml:space="preserve">o </w:t>
      </w:r>
      <w:r w:rsidR="00EB52A1" w:rsidRPr="005D6E61">
        <w:rPr>
          <w:rFonts w:ascii="Cambria" w:hAnsi="Cambria" w:cs="Cambria-Bold"/>
          <w:bCs/>
          <w:sz w:val="20"/>
          <w:szCs w:val="20"/>
          <w:lang w:val="pt-BR"/>
        </w:rPr>
        <w:t>assassinato</w:t>
      </w:r>
      <w:r w:rsidR="00AA70A5" w:rsidRPr="005D6E61">
        <w:rPr>
          <w:rFonts w:ascii="Cambria" w:hAnsi="Cambria" w:cs="Cambria-Bold"/>
          <w:bCs/>
          <w:sz w:val="20"/>
          <w:szCs w:val="20"/>
          <w:lang w:val="pt-BR"/>
        </w:rPr>
        <w:t xml:space="preserve"> de 75 sindicalistas entre 1961 a 1988</w:t>
      </w:r>
      <w:r w:rsidR="00F77B7F" w:rsidRPr="005D6E61">
        <w:rPr>
          <w:rFonts w:ascii="Cambria" w:hAnsi="Cambria" w:cs="Cambria-Bold"/>
          <w:bCs/>
          <w:sz w:val="20"/>
          <w:szCs w:val="20"/>
          <w:lang w:val="pt-BR"/>
        </w:rPr>
        <w:t xml:space="preserve"> </w:t>
      </w:r>
      <w:r w:rsidR="008923B1" w:rsidRPr="005D6E61">
        <w:rPr>
          <w:rFonts w:ascii="Cambria" w:hAnsi="Cambria" w:cs="Cambria-Bold"/>
          <w:bCs/>
          <w:sz w:val="20"/>
          <w:szCs w:val="20"/>
          <w:lang w:val="pt-BR"/>
        </w:rPr>
        <w:t>no</w:t>
      </w:r>
      <w:r w:rsidR="00F77B7F" w:rsidRPr="005D6E61">
        <w:rPr>
          <w:rFonts w:ascii="Cambria" w:hAnsi="Cambria" w:cs="Cambria-Bold"/>
          <w:bCs/>
          <w:sz w:val="20"/>
          <w:szCs w:val="20"/>
          <w:lang w:val="pt-BR"/>
        </w:rPr>
        <w:t xml:space="preserve"> </w:t>
      </w:r>
      <w:r w:rsidR="00AA70A5" w:rsidRPr="005D6E61">
        <w:rPr>
          <w:rFonts w:ascii="Cambria" w:hAnsi="Cambria" w:cs="Cambria-Bold"/>
          <w:bCs/>
          <w:sz w:val="20"/>
          <w:szCs w:val="20"/>
          <w:lang w:val="pt-BR"/>
        </w:rPr>
        <w:t>Brasil, inclu</w:t>
      </w:r>
      <w:r w:rsidR="008923B1" w:rsidRPr="005D6E61">
        <w:rPr>
          <w:rFonts w:ascii="Cambria" w:hAnsi="Cambria" w:cs="Cambria-Bold"/>
          <w:bCs/>
          <w:sz w:val="20"/>
          <w:szCs w:val="20"/>
          <w:lang w:val="pt-BR"/>
        </w:rPr>
        <w:t>sive</w:t>
      </w:r>
      <w:r w:rsidR="00AA70A5" w:rsidRPr="005D6E61">
        <w:rPr>
          <w:rFonts w:ascii="Cambria" w:hAnsi="Cambria" w:cs="Cambria-Bold"/>
          <w:bCs/>
          <w:sz w:val="20"/>
          <w:szCs w:val="20"/>
          <w:lang w:val="pt-BR"/>
        </w:rPr>
        <w:t xml:space="preserve"> Margarida Maria Alves, </w:t>
      </w:r>
      <w:r w:rsidR="008923B1" w:rsidRPr="005D6E61">
        <w:rPr>
          <w:rFonts w:ascii="Cambria" w:hAnsi="Cambria" w:cs="Cambria-Bold"/>
          <w:bCs/>
          <w:sz w:val="20"/>
          <w:szCs w:val="20"/>
          <w:lang w:val="pt-BR"/>
        </w:rPr>
        <w:t>indicando</w:t>
      </w:r>
      <w:r w:rsidR="00AA70A5" w:rsidRPr="005D6E61">
        <w:rPr>
          <w:rFonts w:ascii="Cambria" w:hAnsi="Cambria" w:cs="Cambria-Bold"/>
          <w:bCs/>
          <w:sz w:val="20"/>
          <w:szCs w:val="20"/>
          <w:lang w:val="pt-BR"/>
        </w:rPr>
        <w:t xml:space="preserve"> que f</w:t>
      </w:r>
      <w:r w:rsidR="008923B1" w:rsidRPr="005D6E61">
        <w:rPr>
          <w:rFonts w:ascii="Cambria" w:hAnsi="Cambria" w:cs="Cambria-Bold"/>
          <w:bCs/>
          <w:sz w:val="20"/>
          <w:szCs w:val="20"/>
          <w:lang w:val="pt-BR"/>
        </w:rPr>
        <w:t>oi</w:t>
      </w:r>
      <w:r w:rsidR="00AA70A5" w:rsidRPr="005D6E61">
        <w:rPr>
          <w:rFonts w:ascii="Cambria" w:hAnsi="Cambria" w:cs="Cambria-Bold"/>
          <w:bCs/>
          <w:sz w:val="20"/>
          <w:szCs w:val="20"/>
          <w:lang w:val="pt-BR"/>
        </w:rPr>
        <w:t xml:space="preserve"> as</w:t>
      </w:r>
      <w:r w:rsidR="008923B1" w:rsidRPr="005D6E61">
        <w:rPr>
          <w:rFonts w:ascii="Cambria" w:hAnsi="Cambria" w:cs="Cambria-Bold"/>
          <w:bCs/>
          <w:sz w:val="20"/>
          <w:szCs w:val="20"/>
          <w:lang w:val="pt-BR"/>
        </w:rPr>
        <w:t>sa</w:t>
      </w:r>
      <w:r w:rsidR="00AA70A5" w:rsidRPr="005D6E61">
        <w:rPr>
          <w:rFonts w:ascii="Cambria" w:hAnsi="Cambria" w:cs="Cambria-Bold"/>
          <w:bCs/>
          <w:sz w:val="20"/>
          <w:szCs w:val="20"/>
          <w:lang w:val="pt-BR"/>
        </w:rPr>
        <w:t>s</w:t>
      </w:r>
      <w:r w:rsidR="008923B1" w:rsidRPr="005D6E61">
        <w:rPr>
          <w:rFonts w:ascii="Cambria" w:hAnsi="Cambria" w:cs="Cambria-Bold"/>
          <w:bCs/>
          <w:sz w:val="20"/>
          <w:szCs w:val="20"/>
          <w:lang w:val="pt-BR"/>
        </w:rPr>
        <w:t>s</w:t>
      </w:r>
      <w:r w:rsidR="00AA70A5" w:rsidRPr="005D6E61">
        <w:rPr>
          <w:rFonts w:ascii="Cambria" w:hAnsi="Cambria" w:cs="Cambria-Bold"/>
          <w:bCs/>
          <w:sz w:val="20"/>
          <w:szCs w:val="20"/>
          <w:lang w:val="pt-BR"/>
        </w:rPr>
        <w:t>inada</w:t>
      </w:r>
      <w:r w:rsidR="00331E62" w:rsidRPr="005D6E61">
        <w:rPr>
          <w:rFonts w:ascii="Cambria" w:hAnsi="Cambria" w:cs="Cambria-Bold"/>
          <w:bCs/>
          <w:sz w:val="20"/>
          <w:szCs w:val="20"/>
          <w:lang w:val="pt-BR"/>
        </w:rPr>
        <w:t xml:space="preserve"> </w:t>
      </w:r>
      <w:r w:rsidR="008923B1" w:rsidRPr="005D6E61">
        <w:rPr>
          <w:rFonts w:ascii="Cambria" w:hAnsi="Cambria" w:cs="Cambria-Bold"/>
          <w:bCs/>
          <w:sz w:val="20"/>
          <w:szCs w:val="20"/>
          <w:lang w:val="pt-BR"/>
        </w:rPr>
        <w:t>em</w:t>
      </w:r>
      <w:r w:rsidR="00331E62" w:rsidRPr="005D6E61">
        <w:rPr>
          <w:rFonts w:ascii="Cambria" w:hAnsi="Cambria" w:cs="Cambria-Bold"/>
          <w:bCs/>
          <w:sz w:val="20"/>
          <w:szCs w:val="20"/>
          <w:lang w:val="pt-BR"/>
        </w:rPr>
        <w:t xml:space="preserve"> </w:t>
      </w:r>
      <w:r w:rsidR="004642E3" w:rsidRPr="005D6E61">
        <w:rPr>
          <w:rFonts w:ascii="Cambria" w:hAnsi="Cambria" w:cs="Cambria-Bold"/>
          <w:bCs/>
          <w:sz w:val="20"/>
          <w:szCs w:val="20"/>
          <w:lang w:val="pt-BR"/>
        </w:rPr>
        <w:t xml:space="preserve">12 de agosto de 1983 por </w:t>
      </w:r>
      <w:r w:rsidR="00AA70A5" w:rsidRPr="005D6E61">
        <w:rPr>
          <w:rFonts w:ascii="Cambria" w:hAnsi="Cambria" w:cs="Cambria-Bold"/>
          <w:bCs/>
          <w:sz w:val="20"/>
          <w:szCs w:val="20"/>
          <w:lang w:val="pt-BR"/>
        </w:rPr>
        <w:t>pistoleiros</w:t>
      </w:r>
      <w:r w:rsidR="004642E3" w:rsidRPr="005D6E61">
        <w:rPr>
          <w:rFonts w:ascii="Cambria" w:hAnsi="Cambria" w:cs="Cambria-Bold"/>
          <w:bCs/>
          <w:sz w:val="20"/>
          <w:szCs w:val="20"/>
          <w:lang w:val="pt-BR"/>
        </w:rPr>
        <w:t xml:space="preserve"> contratados por grandes </w:t>
      </w:r>
      <w:r w:rsidR="00AA70A5" w:rsidRPr="005D6E61">
        <w:rPr>
          <w:rFonts w:ascii="Cambria" w:hAnsi="Cambria" w:cs="Cambria-Bold"/>
          <w:bCs/>
          <w:sz w:val="20"/>
          <w:szCs w:val="20"/>
          <w:lang w:val="pt-BR"/>
        </w:rPr>
        <w:t>fazendeiros.</w:t>
      </w:r>
      <w:r w:rsidR="00331E62" w:rsidRPr="005D6E61">
        <w:rPr>
          <w:rFonts w:ascii="Cambria" w:hAnsi="Cambria" w:cs="Cambria-Bold"/>
          <w:bCs/>
          <w:sz w:val="20"/>
          <w:szCs w:val="20"/>
          <w:lang w:val="pt-BR"/>
        </w:rPr>
        <w:t xml:space="preserve"> </w:t>
      </w:r>
      <w:r w:rsidR="008923B1" w:rsidRPr="005D6E61">
        <w:rPr>
          <w:rFonts w:ascii="Cambria" w:hAnsi="Cambria" w:cs="Cambria-Bold"/>
          <w:bCs/>
          <w:sz w:val="20"/>
          <w:szCs w:val="20"/>
          <w:lang w:val="pt-BR"/>
        </w:rPr>
        <w:t>O</w:t>
      </w:r>
      <w:r w:rsidR="00331E62" w:rsidRPr="005D6E61">
        <w:rPr>
          <w:rFonts w:ascii="Cambria" w:hAnsi="Cambria" w:cs="Cambria-Bold"/>
          <w:bCs/>
          <w:sz w:val="20"/>
          <w:szCs w:val="20"/>
          <w:lang w:val="pt-BR"/>
        </w:rPr>
        <w:t xml:space="preserve"> </w:t>
      </w:r>
      <w:r w:rsidR="00704E7B" w:rsidRPr="005D6E61">
        <w:rPr>
          <w:rFonts w:ascii="Cambria" w:hAnsi="Cambria" w:cs="Cambria-Bold"/>
          <w:bCs/>
          <w:sz w:val="20"/>
          <w:szCs w:val="20"/>
          <w:lang w:val="pt-BR"/>
        </w:rPr>
        <w:t>relatório</w:t>
      </w:r>
      <w:r w:rsidR="00AA70A5" w:rsidRPr="005D6E61">
        <w:rPr>
          <w:rFonts w:ascii="Cambria" w:hAnsi="Cambria" w:cs="Cambria-Bold"/>
          <w:bCs/>
          <w:sz w:val="20"/>
          <w:szCs w:val="20"/>
          <w:lang w:val="pt-BR"/>
        </w:rPr>
        <w:t xml:space="preserve"> </w:t>
      </w:r>
      <w:r w:rsidR="008923B1" w:rsidRPr="005D6E61">
        <w:rPr>
          <w:rFonts w:ascii="Cambria" w:hAnsi="Cambria" w:cs="Cambria-Bold"/>
          <w:bCs/>
          <w:sz w:val="20"/>
          <w:szCs w:val="20"/>
          <w:lang w:val="pt-BR"/>
        </w:rPr>
        <w:t>a</w:t>
      </w:r>
      <w:r w:rsidR="00AA70A5" w:rsidRPr="005D6E61">
        <w:rPr>
          <w:rFonts w:ascii="Cambria" w:hAnsi="Cambria" w:cs="Cambria-Bold"/>
          <w:bCs/>
          <w:sz w:val="20"/>
          <w:szCs w:val="20"/>
          <w:lang w:val="pt-BR"/>
        </w:rPr>
        <w:t>s</w:t>
      </w:r>
      <w:r w:rsidR="008923B1" w:rsidRPr="005D6E61">
        <w:rPr>
          <w:rFonts w:ascii="Cambria" w:hAnsi="Cambria" w:cs="Cambria-Bold"/>
          <w:bCs/>
          <w:sz w:val="20"/>
          <w:szCs w:val="20"/>
          <w:lang w:val="pt-BR"/>
        </w:rPr>
        <w:t>sin</w:t>
      </w:r>
      <w:r w:rsidR="00AA70A5" w:rsidRPr="005D6E61">
        <w:rPr>
          <w:rFonts w:ascii="Cambria" w:hAnsi="Cambria" w:cs="Cambria-Bold"/>
          <w:bCs/>
          <w:sz w:val="20"/>
          <w:szCs w:val="20"/>
          <w:lang w:val="pt-BR"/>
        </w:rPr>
        <w:t>ala també</w:t>
      </w:r>
      <w:r w:rsidR="008923B1" w:rsidRPr="005D6E61">
        <w:rPr>
          <w:rFonts w:ascii="Cambria" w:hAnsi="Cambria" w:cs="Cambria-Bold"/>
          <w:bCs/>
          <w:sz w:val="20"/>
          <w:szCs w:val="20"/>
          <w:lang w:val="pt-BR"/>
        </w:rPr>
        <w:t>m</w:t>
      </w:r>
      <w:r w:rsidR="00AA70A5" w:rsidRPr="005D6E61">
        <w:rPr>
          <w:rFonts w:ascii="Cambria" w:hAnsi="Cambria" w:cs="Cambria-Bold"/>
          <w:bCs/>
          <w:sz w:val="20"/>
          <w:szCs w:val="20"/>
          <w:lang w:val="pt-BR"/>
        </w:rPr>
        <w:t xml:space="preserve"> que</w:t>
      </w:r>
      <w:r w:rsidR="00331E62" w:rsidRPr="005D6E61">
        <w:rPr>
          <w:rFonts w:ascii="Cambria" w:hAnsi="Cambria" w:cs="Cambria-Bold"/>
          <w:bCs/>
          <w:sz w:val="20"/>
          <w:szCs w:val="20"/>
          <w:lang w:val="pt-BR"/>
        </w:rPr>
        <w:t xml:space="preserve"> a </w:t>
      </w:r>
      <w:r w:rsidR="00AA70A5" w:rsidRPr="005D6E61">
        <w:rPr>
          <w:rFonts w:ascii="Cambria" w:hAnsi="Cambria" w:cs="Cambria-Bold"/>
          <w:bCs/>
          <w:sz w:val="20"/>
          <w:szCs w:val="20"/>
          <w:lang w:val="pt-BR"/>
        </w:rPr>
        <w:t>amplitud</w:t>
      </w:r>
      <w:r w:rsidR="008923B1" w:rsidRPr="005D6E61">
        <w:rPr>
          <w:rFonts w:ascii="Cambria" w:hAnsi="Cambria" w:cs="Cambria-Bold"/>
          <w:bCs/>
          <w:sz w:val="20"/>
          <w:szCs w:val="20"/>
          <w:lang w:val="pt-BR"/>
        </w:rPr>
        <w:t>e</w:t>
      </w:r>
      <w:r w:rsidR="00AA70A5" w:rsidRPr="005D6E61">
        <w:rPr>
          <w:rFonts w:ascii="Cambria" w:hAnsi="Cambria" w:cs="Cambria-Bold"/>
          <w:bCs/>
          <w:sz w:val="20"/>
          <w:szCs w:val="20"/>
          <w:lang w:val="pt-BR"/>
        </w:rPr>
        <w:t xml:space="preserve"> territorial</w:t>
      </w:r>
      <w:r w:rsidR="006C5454" w:rsidRPr="005D6E61">
        <w:rPr>
          <w:rFonts w:ascii="Cambria" w:hAnsi="Cambria" w:cs="Cambria-Bold"/>
          <w:bCs/>
          <w:sz w:val="20"/>
          <w:szCs w:val="20"/>
          <w:lang w:val="pt-BR"/>
        </w:rPr>
        <w:t xml:space="preserve"> e </w:t>
      </w:r>
      <w:r w:rsidR="00AA70A5" w:rsidRPr="005D6E61">
        <w:rPr>
          <w:rFonts w:ascii="Cambria" w:hAnsi="Cambria" w:cs="Cambria-Bold"/>
          <w:bCs/>
          <w:sz w:val="20"/>
          <w:szCs w:val="20"/>
          <w:lang w:val="pt-BR"/>
        </w:rPr>
        <w:t>temporal</w:t>
      </w:r>
      <w:r w:rsidR="005A2381" w:rsidRPr="005D6E61">
        <w:rPr>
          <w:rFonts w:ascii="Cambria" w:hAnsi="Cambria" w:cs="Cambria-Bold"/>
          <w:bCs/>
          <w:sz w:val="20"/>
          <w:szCs w:val="20"/>
          <w:lang w:val="pt-BR"/>
        </w:rPr>
        <w:t xml:space="preserve"> </w:t>
      </w:r>
      <w:r w:rsidR="008923B1" w:rsidRPr="005D6E61">
        <w:rPr>
          <w:rFonts w:ascii="Cambria" w:hAnsi="Cambria" w:cs="Cambria-Bold"/>
          <w:bCs/>
          <w:sz w:val="20"/>
          <w:szCs w:val="20"/>
          <w:lang w:val="pt-BR"/>
        </w:rPr>
        <w:t>em</w:t>
      </w:r>
      <w:r w:rsidR="005A2381" w:rsidRPr="005D6E61">
        <w:rPr>
          <w:rFonts w:ascii="Cambria" w:hAnsi="Cambria" w:cs="Cambria-Bold"/>
          <w:bCs/>
          <w:sz w:val="20"/>
          <w:szCs w:val="20"/>
          <w:lang w:val="pt-BR"/>
        </w:rPr>
        <w:t xml:space="preserve"> </w:t>
      </w:r>
      <w:r w:rsidR="00AA70A5" w:rsidRPr="005D6E61">
        <w:rPr>
          <w:rFonts w:ascii="Cambria" w:hAnsi="Cambria" w:cs="Cambria-Bold"/>
          <w:bCs/>
          <w:sz w:val="20"/>
          <w:szCs w:val="20"/>
          <w:lang w:val="pt-BR"/>
        </w:rPr>
        <w:t>que</w:t>
      </w:r>
      <w:r w:rsidR="00F77B7F" w:rsidRPr="005D6E61">
        <w:rPr>
          <w:rFonts w:ascii="Cambria" w:hAnsi="Cambria" w:cs="Cambria-Bold"/>
          <w:bCs/>
          <w:sz w:val="20"/>
          <w:szCs w:val="20"/>
          <w:lang w:val="pt-BR"/>
        </w:rPr>
        <w:t xml:space="preserve"> os </w:t>
      </w:r>
      <w:r w:rsidR="00AA70A5" w:rsidRPr="005D6E61">
        <w:rPr>
          <w:rFonts w:ascii="Cambria" w:hAnsi="Cambria" w:cs="Cambria-Bold"/>
          <w:bCs/>
          <w:sz w:val="20"/>
          <w:szCs w:val="20"/>
          <w:lang w:val="pt-BR"/>
        </w:rPr>
        <w:t>delitos f</w:t>
      </w:r>
      <w:r w:rsidR="008923B1" w:rsidRPr="005D6E61">
        <w:rPr>
          <w:rFonts w:ascii="Cambria" w:hAnsi="Cambria" w:cs="Cambria-Bold"/>
          <w:bCs/>
          <w:sz w:val="20"/>
          <w:szCs w:val="20"/>
          <w:lang w:val="pt-BR"/>
        </w:rPr>
        <w:t>oram</w:t>
      </w:r>
      <w:r w:rsidR="00AA70A5" w:rsidRPr="005D6E61">
        <w:rPr>
          <w:rFonts w:ascii="Cambria" w:hAnsi="Cambria" w:cs="Cambria-Bold"/>
          <w:bCs/>
          <w:sz w:val="20"/>
          <w:szCs w:val="20"/>
          <w:lang w:val="pt-BR"/>
        </w:rPr>
        <w:t xml:space="preserve"> cometidos somente se explica</w:t>
      </w:r>
      <w:r w:rsidR="003B62AF" w:rsidRPr="005D6E61">
        <w:rPr>
          <w:rFonts w:ascii="Cambria" w:hAnsi="Cambria" w:cs="Cambria-Bold"/>
          <w:bCs/>
          <w:sz w:val="20"/>
          <w:szCs w:val="20"/>
          <w:lang w:val="pt-BR"/>
        </w:rPr>
        <w:t xml:space="preserve"> pela </w:t>
      </w:r>
      <w:r w:rsidR="00AA70A5" w:rsidRPr="005D6E61">
        <w:rPr>
          <w:rFonts w:ascii="Cambria" w:hAnsi="Cambria" w:cs="Cambria-Bold"/>
          <w:bCs/>
          <w:sz w:val="20"/>
          <w:szCs w:val="20"/>
          <w:lang w:val="pt-BR"/>
        </w:rPr>
        <w:t>participa</w:t>
      </w:r>
      <w:r w:rsidR="00A274D9" w:rsidRPr="005D6E61">
        <w:rPr>
          <w:rFonts w:ascii="Cambria" w:hAnsi="Cambria" w:cs="Cambria-Bold"/>
          <w:bCs/>
          <w:sz w:val="20"/>
          <w:szCs w:val="20"/>
          <w:lang w:val="pt-BR"/>
        </w:rPr>
        <w:t>ção</w:t>
      </w:r>
      <w:r w:rsidR="00AA70A5" w:rsidRPr="005D6E61">
        <w:rPr>
          <w:rFonts w:ascii="Cambria" w:hAnsi="Cambria" w:cs="Cambria-Bold"/>
          <w:bCs/>
          <w:sz w:val="20"/>
          <w:szCs w:val="20"/>
          <w:lang w:val="pt-BR"/>
        </w:rPr>
        <w:t xml:space="preserve"> </w:t>
      </w:r>
      <w:r w:rsidR="008923B1" w:rsidRPr="005D6E61">
        <w:rPr>
          <w:rFonts w:ascii="Cambria" w:hAnsi="Cambria" w:cs="Cambria-Bold"/>
          <w:bCs/>
          <w:sz w:val="20"/>
          <w:szCs w:val="20"/>
          <w:lang w:val="pt-BR"/>
        </w:rPr>
        <w:t>o</w:t>
      </w:r>
      <w:r w:rsidR="00AA70A5" w:rsidRPr="005D6E61">
        <w:rPr>
          <w:rFonts w:ascii="Cambria" w:hAnsi="Cambria" w:cs="Cambria-Bold"/>
          <w:bCs/>
          <w:sz w:val="20"/>
          <w:szCs w:val="20"/>
          <w:lang w:val="pt-BR"/>
        </w:rPr>
        <w:t>u omis</w:t>
      </w:r>
      <w:r w:rsidR="008923B1" w:rsidRPr="005D6E61">
        <w:rPr>
          <w:rFonts w:ascii="Cambria" w:hAnsi="Cambria" w:cs="Cambria-Bold"/>
          <w:bCs/>
          <w:sz w:val="20"/>
          <w:szCs w:val="20"/>
          <w:lang w:val="pt-BR"/>
        </w:rPr>
        <w:t>são</w:t>
      </w:r>
      <w:r w:rsidR="0054428F" w:rsidRPr="005D6E61">
        <w:rPr>
          <w:rFonts w:ascii="Cambria" w:hAnsi="Cambria" w:cs="Cambria-Bold"/>
          <w:bCs/>
          <w:sz w:val="20"/>
          <w:szCs w:val="20"/>
          <w:lang w:val="pt-BR"/>
        </w:rPr>
        <w:t xml:space="preserve"> das </w:t>
      </w:r>
      <w:r w:rsidR="00AA70A5" w:rsidRPr="005D6E61">
        <w:rPr>
          <w:rFonts w:ascii="Cambria" w:hAnsi="Cambria" w:cs="Cambria-Bold"/>
          <w:bCs/>
          <w:sz w:val="20"/>
          <w:szCs w:val="20"/>
          <w:lang w:val="pt-BR"/>
        </w:rPr>
        <w:t>institu</w:t>
      </w:r>
      <w:r w:rsidR="008923B1" w:rsidRPr="005D6E61">
        <w:rPr>
          <w:rFonts w:ascii="Cambria" w:hAnsi="Cambria" w:cs="Cambria-Bold"/>
          <w:bCs/>
          <w:sz w:val="20"/>
          <w:szCs w:val="20"/>
          <w:lang w:val="pt-BR"/>
        </w:rPr>
        <w:t>i</w:t>
      </w:r>
      <w:r w:rsidR="00F77B7F" w:rsidRPr="005D6E61">
        <w:rPr>
          <w:rFonts w:ascii="Cambria" w:hAnsi="Cambria" w:cs="Cambria-Bold"/>
          <w:bCs/>
          <w:sz w:val="20"/>
          <w:szCs w:val="20"/>
          <w:lang w:val="pt-BR"/>
        </w:rPr>
        <w:t xml:space="preserve">ções do </w:t>
      </w:r>
      <w:r w:rsidR="00AA70A5" w:rsidRPr="005D6E61">
        <w:rPr>
          <w:rFonts w:ascii="Cambria" w:hAnsi="Cambria" w:cs="Cambria-Bold"/>
          <w:bCs/>
          <w:sz w:val="20"/>
          <w:szCs w:val="20"/>
          <w:lang w:val="pt-BR"/>
        </w:rPr>
        <w:t>Estado</w:t>
      </w:r>
      <w:r w:rsidR="00AA70A5" w:rsidRPr="005D6E61">
        <w:rPr>
          <w:rStyle w:val="FootnoteReference"/>
          <w:rFonts w:ascii="Cambria" w:hAnsi="Cambria" w:cs="Cambria-Bold"/>
          <w:bCs/>
          <w:sz w:val="20"/>
          <w:szCs w:val="20"/>
          <w:lang w:val="pt-BR"/>
        </w:rPr>
        <w:footnoteReference w:id="13"/>
      </w:r>
      <w:r w:rsidR="00AA70A5" w:rsidRPr="005D6E61">
        <w:rPr>
          <w:rFonts w:ascii="Cambria" w:hAnsi="Cambria" w:cs="Cambria-Bold"/>
          <w:bCs/>
          <w:sz w:val="20"/>
          <w:szCs w:val="20"/>
          <w:lang w:val="pt-BR"/>
        </w:rPr>
        <w:t>.</w:t>
      </w:r>
    </w:p>
    <w:p w14:paraId="57B816AE" w14:textId="77777777" w:rsidR="009B2166" w:rsidRPr="005D6E61" w:rsidRDefault="009B2166" w:rsidP="009B2166">
      <w:pPr>
        <w:pStyle w:val="ListParagraph"/>
        <w:rPr>
          <w:rFonts w:cs="Cambria-Bold"/>
          <w:bCs/>
          <w:sz w:val="20"/>
          <w:szCs w:val="20"/>
          <w:lang w:val="pt-BR"/>
        </w:rPr>
      </w:pPr>
    </w:p>
    <w:p w14:paraId="4C4AF17E" w14:textId="77777777" w:rsidR="00AA70A5" w:rsidRPr="005D6E61" w:rsidRDefault="00331E62"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lang w:val="pt-BR"/>
        </w:rPr>
      </w:pPr>
      <w:r w:rsidRPr="005D6E61">
        <w:rPr>
          <w:rFonts w:ascii="Cambria" w:hAnsi="Cambria" w:cs="Cambria-Bold"/>
          <w:bCs/>
          <w:sz w:val="20"/>
          <w:szCs w:val="20"/>
          <w:lang w:val="pt-BR"/>
        </w:rPr>
        <w:t xml:space="preserve"> </w:t>
      </w:r>
      <w:r w:rsidR="004E5CDC" w:rsidRPr="005D6E61">
        <w:rPr>
          <w:rFonts w:ascii="Cambria" w:hAnsi="Cambria" w:cs="Cambria-Bold"/>
          <w:bCs/>
          <w:sz w:val="20"/>
          <w:szCs w:val="20"/>
          <w:lang w:val="pt-BR"/>
        </w:rPr>
        <w:t>O</w:t>
      </w:r>
      <w:r w:rsidRPr="005D6E61">
        <w:rPr>
          <w:rFonts w:ascii="Cambria" w:hAnsi="Cambria" w:cs="Cambria-Bold"/>
          <w:bCs/>
          <w:sz w:val="20"/>
          <w:szCs w:val="20"/>
          <w:lang w:val="pt-BR"/>
        </w:rPr>
        <w:t xml:space="preserve"> </w:t>
      </w:r>
      <w:r w:rsidR="00704E7B" w:rsidRPr="005D6E61">
        <w:rPr>
          <w:rFonts w:ascii="Cambria" w:hAnsi="Cambria" w:cs="Cambria-Bold"/>
          <w:bCs/>
          <w:sz w:val="20"/>
          <w:szCs w:val="20"/>
          <w:lang w:val="pt-BR"/>
        </w:rPr>
        <w:t>relatório</w:t>
      </w:r>
      <w:r w:rsidR="00AA70A5" w:rsidRPr="005D6E61">
        <w:rPr>
          <w:rFonts w:ascii="Cambria" w:hAnsi="Cambria" w:cs="Cambria-Bold"/>
          <w:bCs/>
          <w:sz w:val="20"/>
          <w:szCs w:val="20"/>
          <w:lang w:val="pt-BR"/>
        </w:rPr>
        <w:t xml:space="preserve"> final de 2014</w:t>
      </w:r>
      <w:r w:rsidR="00675058" w:rsidRPr="005D6E61">
        <w:rPr>
          <w:rFonts w:ascii="Cambria" w:hAnsi="Cambria" w:cs="Cambria-Bold"/>
          <w:bCs/>
          <w:sz w:val="20"/>
          <w:szCs w:val="20"/>
          <w:lang w:val="pt-BR"/>
        </w:rPr>
        <w:t xml:space="preserve"> da </w:t>
      </w:r>
      <w:r w:rsidR="00AA70A5" w:rsidRPr="005D6E61">
        <w:rPr>
          <w:rFonts w:ascii="Cambria" w:hAnsi="Cambria" w:cs="Cambria-Bold"/>
          <w:bCs/>
          <w:sz w:val="20"/>
          <w:szCs w:val="20"/>
          <w:lang w:val="pt-BR"/>
        </w:rPr>
        <w:t>“</w:t>
      </w:r>
      <w:r w:rsidR="00AA70A5" w:rsidRPr="005D6E61">
        <w:rPr>
          <w:rFonts w:ascii="Cambria" w:hAnsi="Cambria"/>
          <w:sz w:val="20"/>
          <w:szCs w:val="20"/>
          <w:lang w:val="pt-BR"/>
        </w:rPr>
        <w:t xml:space="preserve">Comissão Camponesa da Verdade (CCV)”, </w:t>
      </w:r>
      <w:r w:rsidR="00E37676" w:rsidRPr="005D6E61">
        <w:rPr>
          <w:rFonts w:ascii="Cambria" w:hAnsi="Cambria"/>
          <w:sz w:val="20"/>
          <w:szCs w:val="20"/>
          <w:lang w:val="pt-BR"/>
        </w:rPr>
        <w:t>órgão</w:t>
      </w:r>
      <w:r w:rsidR="00AA70A5" w:rsidRPr="005D6E61">
        <w:rPr>
          <w:rFonts w:ascii="Cambria" w:hAnsi="Cambria"/>
          <w:sz w:val="20"/>
          <w:szCs w:val="20"/>
          <w:lang w:val="pt-BR"/>
        </w:rPr>
        <w:t xml:space="preserve"> formado por diversas organiza</w:t>
      </w:r>
      <w:r w:rsidR="00F77B7F" w:rsidRPr="005D6E61">
        <w:rPr>
          <w:rFonts w:ascii="Cambria" w:hAnsi="Cambria"/>
          <w:sz w:val="20"/>
          <w:szCs w:val="20"/>
          <w:lang w:val="pt-BR"/>
        </w:rPr>
        <w:t>ções</w:t>
      </w:r>
      <w:r w:rsidR="00AA70A5" w:rsidRPr="005D6E61">
        <w:rPr>
          <w:rFonts w:ascii="Cambria" w:hAnsi="Cambria"/>
          <w:sz w:val="20"/>
          <w:szCs w:val="20"/>
          <w:lang w:val="pt-BR"/>
        </w:rPr>
        <w:t xml:space="preserve"> cu</w:t>
      </w:r>
      <w:r w:rsidR="004E5CDC" w:rsidRPr="005D6E61">
        <w:rPr>
          <w:rFonts w:ascii="Cambria" w:hAnsi="Cambria"/>
          <w:sz w:val="20"/>
          <w:szCs w:val="20"/>
          <w:lang w:val="pt-BR"/>
        </w:rPr>
        <w:t>j</w:t>
      </w:r>
      <w:r w:rsidR="00AA70A5" w:rsidRPr="005D6E61">
        <w:rPr>
          <w:rFonts w:ascii="Cambria" w:hAnsi="Cambria"/>
          <w:sz w:val="20"/>
          <w:szCs w:val="20"/>
          <w:lang w:val="pt-BR"/>
        </w:rPr>
        <w:t xml:space="preserve">o </w:t>
      </w:r>
      <w:r w:rsidR="00E37676" w:rsidRPr="005D6E61">
        <w:rPr>
          <w:rFonts w:ascii="Cambria" w:hAnsi="Cambria"/>
          <w:sz w:val="20"/>
          <w:szCs w:val="20"/>
          <w:lang w:val="pt-BR"/>
        </w:rPr>
        <w:t>trabalh</w:t>
      </w:r>
      <w:r w:rsidR="00AA70A5" w:rsidRPr="005D6E61">
        <w:rPr>
          <w:rFonts w:ascii="Cambria" w:hAnsi="Cambria"/>
          <w:sz w:val="20"/>
          <w:szCs w:val="20"/>
          <w:lang w:val="pt-BR"/>
        </w:rPr>
        <w:t xml:space="preserve">o </w:t>
      </w:r>
      <w:r w:rsidR="004E5CDC" w:rsidRPr="005D6E61">
        <w:rPr>
          <w:rFonts w:ascii="Cambria" w:hAnsi="Cambria"/>
          <w:sz w:val="20"/>
          <w:szCs w:val="20"/>
          <w:lang w:val="pt-BR"/>
        </w:rPr>
        <w:t xml:space="preserve">consistia em </w:t>
      </w:r>
      <w:r w:rsidR="00AA70A5" w:rsidRPr="005D6E61">
        <w:rPr>
          <w:rFonts w:ascii="Cambria" w:hAnsi="Cambria"/>
          <w:sz w:val="20"/>
          <w:szCs w:val="20"/>
          <w:lang w:val="pt-BR"/>
        </w:rPr>
        <w:t>auxiliar</w:t>
      </w:r>
      <w:r w:rsidR="00675058" w:rsidRPr="005D6E61">
        <w:rPr>
          <w:rFonts w:ascii="Cambria" w:hAnsi="Cambria"/>
          <w:sz w:val="20"/>
          <w:szCs w:val="20"/>
          <w:lang w:val="pt-BR"/>
        </w:rPr>
        <w:t xml:space="preserve"> a </w:t>
      </w:r>
      <w:r w:rsidR="006C5454" w:rsidRPr="005D6E61">
        <w:rPr>
          <w:rFonts w:ascii="Cambria" w:hAnsi="Cambria"/>
          <w:sz w:val="20"/>
          <w:szCs w:val="20"/>
          <w:lang w:val="pt-BR"/>
        </w:rPr>
        <w:t>Comissão</w:t>
      </w:r>
      <w:r w:rsidR="00AA70A5" w:rsidRPr="005D6E61">
        <w:rPr>
          <w:rFonts w:ascii="Cambria" w:hAnsi="Cambria"/>
          <w:sz w:val="20"/>
          <w:szCs w:val="20"/>
          <w:lang w:val="pt-BR"/>
        </w:rPr>
        <w:t xml:space="preserve"> Nacional</w:t>
      </w:r>
      <w:r w:rsidR="00675058" w:rsidRPr="005D6E61">
        <w:rPr>
          <w:rFonts w:ascii="Cambria" w:hAnsi="Cambria"/>
          <w:sz w:val="20"/>
          <w:szCs w:val="20"/>
          <w:lang w:val="pt-BR"/>
        </w:rPr>
        <w:t xml:space="preserve"> da </w:t>
      </w:r>
      <w:r w:rsidR="006B6453" w:rsidRPr="005D6E61">
        <w:rPr>
          <w:rFonts w:ascii="Cambria" w:hAnsi="Cambria"/>
          <w:sz w:val="20"/>
          <w:szCs w:val="20"/>
          <w:lang w:val="pt-BR"/>
        </w:rPr>
        <w:t>Ver</w:t>
      </w:r>
      <w:r w:rsidR="00FB55C7" w:rsidRPr="005D6E61">
        <w:rPr>
          <w:rFonts w:ascii="Cambria" w:hAnsi="Cambria"/>
          <w:sz w:val="20"/>
          <w:szCs w:val="20"/>
          <w:lang w:val="pt-BR"/>
        </w:rPr>
        <w:t>dade</w:t>
      </w:r>
      <w:r w:rsidR="004E5CDC" w:rsidRPr="005D6E61">
        <w:rPr>
          <w:rFonts w:ascii="Cambria" w:hAnsi="Cambria"/>
          <w:sz w:val="20"/>
          <w:szCs w:val="20"/>
          <w:lang w:val="pt-BR"/>
        </w:rPr>
        <w:t>,</w:t>
      </w:r>
      <w:r w:rsidR="00AA70A5" w:rsidRPr="005D6E61">
        <w:rPr>
          <w:rStyle w:val="FootnoteReference"/>
          <w:rFonts w:ascii="Cambria" w:hAnsi="Cambria"/>
          <w:sz w:val="20"/>
          <w:szCs w:val="20"/>
          <w:lang w:val="pt-BR"/>
        </w:rPr>
        <w:footnoteReference w:id="14"/>
      </w:r>
      <w:r w:rsidR="00AA70A5" w:rsidRPr="005D6E61">
        <w:rPr>
          <w:rFonts w:ascii="Cambria" w:hAnsi="Cambria"/>
          <w:sz w:val="20"/>
          <w:szCs w:val="20"/>
          <w:lang w:val="pt-BR"/>
        </w:rPr>
        <w:t xml:space="preserve"> també</w:t>
      </w:r>
      <w:r w:rsidR="004E5CDC" w:rsidRPr="005D6E61">
        <w:rPr>
          <w:rFonts w:ascii="Cambria" w:hAnsi="Cambria"/>
          <w:sz w:val="20"/>
          <w:szCs w:val="20"/>
          <w:lang w:val="pt-BR"/>
        </w:rPr>
        <w:t>m</w:t>
      </w:r>
      <w:r w:rsidR="00AA70A5" w:rsidRPr="005D6E61">
        <w:rPr>
          <w:rFonts w:ascii="Cambria" w:hAnsi="Cambria"/>
          <w:sz w:val="20"/>
          <w:szCs w:val="20"/>
          <w:lang w:val="pt-BR"/>
        </w:rPr>
        <w:t xml:space="preserve"> document</w:t>
      </w:r>
      <w:r w:rsidR="00BF0B90" w:rsidRPr="005D6E61">
        <w:rPr>
          <w:rFonts w:ascii="Cambria" w:hAnsi="Cambria"/>
          <w:sz w:val="20"/>
          <w:szCs w:val="20"/>
          <w:lang w:val="pt-BR"/>
        </w:rPr>
        <w:t xml:space="preserve">ou </w:t>
      </w:r>
      <w:r w:rsidRPr="005D6E61">
        <w:rPr>
          <w:rFonts w:ascii="Cambria" w:hAnsi="Cambria"/>
          <w:sz w:val="20"/>
          <w:szCs w:val="20"/>
          <w:lang w:val="pt-BR"/>
        </w:rPr>
        <w:t xml:space="preserve">o </w:t>
      </w:r>
      <w:r w:rsidR="00EB52A1" w:rsidRPr="005D6E61">
        <w:rPr>
          <w:rFonts w:ascii="Cambria" w:hAnsi="Cambria"/>
          <w:sz w:val="20"/>
          <w:szCs w:val="20"/>
          <w:lang w:val="pt-BR"/>
        </w:rPr>
        <w:t>assassinato</w:t>
      </w:r>
      <w:r w:rsidR="00675058" w:rsidRPr="005D6E61">
        <w:rPr>
          <w:rFonts w:ascii="Cambria" w:hAnsi="Cambria"/>
          <w:sz w:val="20"/>
          <w:szCs w:val="20"/>
          <w:lang w:val="pt-BR"/>
        </w:rPr>
        <w:t xml:space="preserve"> da </w:t>
      </w:r>
      <w:r w:rsidR="005A2381" w:rsidRPr="005D6E61">
        <w:rPr>
          <w:rFonts w:ascii="Cambria" w:hAnsi="Cambria"/>
          <w:sz w:val="20"/>
          <w:szCs w:val="20"/>
          <w:lang w:val="pt-BR"/>
        </w:rPr>
        <w:t>suposta</w:t>
      </w:r>
      <w:r w:rsidR="00AA70A5" w:rsidRPr="005D6E61">
        <w:rPr>
          <w:rFonts w:ascii="Cambria" w:hAnsi="Cambria"/>
          <w:sz w:val="20"/>
          <w:szCs w:val="20"/>
          <w:lang w:val="pt-BR"/>
        </w:rPr>
        <w:t xml:space="preserve"> </w:t>
      </w:r>
      <w:r w:rsidR="003619A0" w:rsidRPr="005D6E61">
        <w:rPr>
          <w:rFonts w:ascii="Cambria" w:hAnsi="Cambria"/>
          <w:sz w:val="20"/>
          <w:szCs w:val="20"/>
          <w:lang w:val="pt-BR"/>
        </w:rPr>
        <w:t>vítima</w:t>
      </w:r>
      <w:r w:rsidRPr="005D6E61">
        <w:rPr>
          <w:rFonts w:ascii="Cambria" w:hAnsi="Cambria"/>
          <w:sz w:val="20"/>
          <w:szCs w:val="20"/>
          <w:lang w:val="pt-BR"/>
        </w:rPr>
        <w:t xml:space="preserve"> n</w:t>
      </w:r>
      <w:r w:rsidR="005E3FAA" w:rsidRPr="005D6E61">
        <w:rPr>
          <w:rFonts w:ascii="Cambria" w:hAnsi="Cambria"/>
          <w:sz w:val="20"/>
          <w:szCs w:val="20"/>
          <w:lang w:val="pt-BR"/>
        </w:rPr>
        <w:t>este contexto de viol</w:t>
      </w:r>
      <w:r w:rsidR="00E37676" w:rsidRPr="005D6E61">
        <w:rPr>
          <w:rFonts w:ascii="Cambria" w:hAnsi="Cambria"/>
          <w:sz w:val="20"/>
          <w:szCs w:val="20"/>
          <w:lang w:val="pt-BR"/>
        </w:rPr>
        <w:t>ência</w:t>
      </w:r>
      <w:r w:rsidR="00AA70A5" w:rsidRPr="005D6E61">
        <w:rPr>
          <w:rStyle w:val="FootnoteReference"/>
          <w:rFonts w:ascii="Cambria" w:hAnsi="Cambria"/>
          <w:sz w:val="20"/>
          <w:szCs w:val="20"/>
          <w:lang w:val="pt-BR"/>
        </w:rPr>
        <w:footnoteReference w:id="15"/>
      </w:r>
      <w:r w:rsidR="00AA70A5" w:rsidRPr="005D6E61">
        <w:rPr>
          <w:rFonts w:ascii="Cambria" w:hAnsi="Cambria"/>
          <w:sz w:val="20"/>
          <w:szCs w:val="20"/>
          <w:lang w:val="pt-BR"/>
        </w:rPr>
        <w:t xml:space="preserve">.  </w:t>
      </w:r>
    </w:p>
    <w:p w14:paraId="721F5845" w14:textId="77777777" w:rsidR="00AA70A5" w:rsidRPr="005D6E61" w:rsidRDefault="00AA70A5" w:rsidP="00AA70A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libri" w:hAnsi="Calibri"/>
          <w:sz w:val="22"/>
          <w:szCs w:val="22"/>
          <w:lang w:val="pt-BR"/>
        </w:rPr>
      </w:pPr>
    </w:p>
    <w:p w14:paraId="378A45AE" w14:textId="77777777" w:rsidR="00AA70A5" w:rsidRPr="005D6E61"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lastRenderedPageBreak/>
        <w:t>Finalmente,</w:t>
      </w:r>
      <w:r w:rsidR="00331E62" w:rsidRPr="005D6E61">
        <w:rPr>
          <w:rFonts w:ascii="Cambria" w:hAnsi="Cambria"/>
          <w:sz w:val="20"/>
          <w:szCs w:val="20"/>
          <w:lang w:val="pt-BR"/>
        </w:rPr>
        <w:t xml:space="preserve"> o </w:t>
      </w:r>
      <w:r w:rsidR="00704E7B" w:rsidRPr="005D6E61">
        <w:rPr>
          <w:rFonts w:ascii="Cambria" w:hAnsi="Cambria"/>
          <w:sz w:val="20"/>
          <w:szCs w:val="20"/>
          <w:lang w:val="pt-BR"/>
        </w:rPr>
        <w:t>Relatório</w:t>
      </w:r>
      <w:r w:rsidRPr="005D6E61">
        <w:rPr>
          <w:rFonts w:ascii="Cambria" w:hAnsi="Cambria"/>
          <w:sz w:val="20"/>
          <w:szCs w:val="20"/>
          <w:lang w:val="pt-BR"/>
        </w:rPr>
        <w:t xml:space="preserve"> Final</w:t>
      </w:r>
      <w:r w:rsidR="00675058" w:rsidRPr="005D6E61">
        <w:rPr>
          <w:rFonts w:ascii="Cambria" w:hAnsi="Cambria"/>
          <w:sz w:val="20"/>
          <w:szCs w:val="20"/>
          <w:lang w:val="pt-BR"/>
        </w:rPr>
        <w:t xml:space="preserve"> da </w:t>
      </w:r>
      <w:r w:rsidR="006C5454" w:rsidRPr="005D6E61">
        <w:rPr>
          <w:rFonts w:ascii="Cambria" w:hAnsi="Cambria"/>
          <w:sz w:val="20"/>
          <w:szCs w:val="20"/>
          <w:lang w:val="pt-BR"/>
        </w:rPr>
        <w:t>Comissão</w:t>
      </w:r>
      <w:r w:rsidR="00497479" w:rsidRPr="005D6E61">
        <w:rPr>
          <w:rFonts w:ascii="Cambria" w:hAnsi="Cambria"/>
          <w:sz w:val="20"/>
          <w:szCs w:val="20"/>
          <w:lang w:val="pt-BR"/>
        </w:rPr>
        <w:t xml:space="preserve"> Parlamentar</w:t>
      </w:r>
      <w:r w:rsidRPr="005D6E61">
        <w:rPr>
          <w:rFonts w:ascii="Cambria" w:hAnsi="Cambria"/>
          <w:sz w:val="20"/>
          <w:szCs w:val="20"/>
          <w:lang w:val="pt-BR"/>
        </w:rPr>
        <w:t xml:space="preserve"> de In</w:t>
      </w:r>
      <w:r w:rsidR="00497479" w:rsidRPr="005D6E61">
        <w:rPr>
          <w:rFonts w:ascii="Cambria" w:hAnsi="Cambria"/>
          <w:sz w:val="20"/>
          <w:szCs w:val="20"/>
          <w:lang w:val="pt-BR"/>
        </w:rPr>
        <w:t>quérito</w:t>
      </w:r>
      <w:r w:rsidRPr="005D6E61">
        <w:rPr>
          <w:rFonts w:ascii="Cambria" w:hAnsi="Cambria"/>
          <w:sz w:val="20"/>
          <w:szCs w:val="20"/>
          <w:lang w:val="pt-BR"/>
        </w:rPr>
        <w:t xml:space="preserve"> destinada a continuar</w:t>
      </w:r>
      <w:r w:rsidR="00F77B7F" w:rsidRPr="005D6E61">
        <w:rPr>
          <w:rFonts w:ascii="Cambria" w:hAnsi="Cambria"/>
          <w:sz w:val="20"/>
          <w:szCs w:val="20"/>
          <w:lang w:val="pt-BR"/>
        </w:rPr>
        <w:t xml:space="preserve"> as </w:t>
      </w:r>
      <w:r w:rsidRPr="005D6E61">
        <w:rPr>
          <w:rFonts w:ascii="Cambria" w:hAnsi="Cambria"/>
          <w:sz w:val="20"/>
          <w:szCs w:val="20"/>
          <w:lang w:val="pt-BR"/>
        </w:rPr>
        <w:t>investiga</w:t>
      </w:r>
      <w:r w:rsidR="00F77B7F" w:rsidRPr="005D6E61">
        <w:rPr>
          <w:rFonts w:ascii="Cambria" w:hAnsi="Cambria"/>
          <w:sz w:val="20"/>
          <w:szCs w:val="20"/>
          <w:lang w:val="pt-BR"/>
        </w:rPr>
        <w:t xml:space="preserve">ções do </w:t>
      </w:r>
      <w:r w:rsidRPr="005D6E61">
        <w:rPr>
          <w:rFonts w:ascii="Cambria" w:hAnsi="Cambria"/>
          <w:sz w:val="20"/>
          <w:szCs w:val="20"/>
          <w:lang w:val="pt-BR"/>
        </w:rPr>
        <w:t>delito de “pistola</w:t>
      </w:r>
      <w:r w:rsidR="00497479" w:rsidRPr="005D6E61">
        <w:rPr>
          <w:rFonts w:ascii="Cambria" w:hAnsi="Cambria"/>
          <w:sz w:val="20"/>
          <w:szCs w:val="20"/>
          <w:lang w:val="pt-BR"/>
        </w:rPr>
        <w:t>gem</w:t>
      </w:r>
      <w:r w:rsidRPr="005D6E61">
        <w:rPr>
          <w:rFonts w:ascii="Cambria" w:hAnsi="Cambria"/>
          <w:sz w:val="20"/>
          <w:szCs w:val="20"/>
          <w:lang w:val="pt-BR"/>
        </w:rPr>
        <w:t>”</w:t>
      </w:r>
      <w:r w:rsidR="00331E62" w:rsidRPr="005D6E61">
        <w:rPr>
          <w:rFonts w:ascii="Cambria" w:hAnsi="Cambria"/>
          <w:sz w:val="20"/>
          <w:szCs w:val="20"/>
          <w:lang w:val="pt-BR"/>
        </w:rPr>
        <w:t xml:space="preserve"> nas </w:t>
      </w:r>
      <w:r w:rsidRPr="005D6E61">
        <w:rPr>
          <w:rFonts w:ascii="Cambria" w:hAnsi="Cambria"/>
          <w:sz w:val="20"/>
          <w:szCs w:val="20"/>
          <w:lang w:val="pt-BR"/>
        </w:rPr>
        <w:t>regi</w:t>
      </w:r>
      <w:r w:rsidR="00497479" w:rsidRPr="005D6E61">
        <w:rPr>
          <w:rFonts w:ascii="Cambria" w:hAnsi="Cambria"/>
          <w:sz w:val="20"/>
          <w:szCs w:val="20"/>
          <w:lang w:val="pt-BR"/>
        </w:rPr>
        <w:t>õ</w:t>
      </w:r>
      <w:r w:rsidRPr="005D6E61">
        <w:rPr>
          <w:rFonts w:ascii="Cambria" w:hAnsi="Cambria"/>
          <w:sz w:val="20"/>
          <w:szCs w:val="20"/>
          <w:lang w:val="pt-BR"/>
        </w:rPr>
        <w:t xml:space="preserve">es </w:t>
      </w:r>
      <w:r w:rsidR="00497479" w:rsidRPr="005D6E61">
        <w:rPr>
          <w:rFonts w:ascii="Cambria" w:hAnsi="Cambria"/>
          <w:sz w:val="20"/>
          <w:szCs w:val="20"/>
          <w:lang w:val="pt-BR"/>
        </w:rPr>
        <w:t>C</w:t>
      </w:r>
      <w:r w:rsidRPr="005D6E61">
        <w:rPr>
          <w:rFonts w:ascii="Cambria" w:hAnsi="Cambria"/>
          <w:sz w:val="20"/>
          <w:szCs w:val="20"/>
          <w:lang w:val="pt-BR"/>
        </w:rPr>
        <w:t>entro-</w:t>
      </w:r>
      <w:r w:rsidR="00497479" w:rsidRPr="005D6E61">
        <w:rPr>
          <w:rFonts w:ascii="Cambria" w:hAnsi="Cambria"/>
          <w:sz w:val="20"/>
          <w:szCs w:val="20"/>
          <w:lang w:val="pt-BR"/>
        </w:rPr>
        <w:t>O</w:t>
      </w:r>
      <w:r w:rsidRPr="005D6E61">
        <w:rPr>
          <w:rFonts w:ascii="Cambria" w:hAnsi="Cambria"/>
          <w:sz w:val="20"/>
          <w:szCs w:val="20"/>
          <w:lang w:val="pt-BR"/>
        </w:rPr>
        <w:t>este</w:t>
      </w:r>
      <w:r w:rsidR="006C5454" w:rsidRPr="005D6E61">
        <w:rPr>
          <w:rFonts w:ascii="Cambria" w:hAnsi="Cambria"/>
          <w:sz w:val="20"/>
          <w:szCs w:val="20"/>
          <w:lang w:val="pt-BR"/>
        </w:rPr>
        <w:t xml:space="preserve"> e </w:t>
      </w:r>
      <w:r w:rsidR="00497479" w:rsidRPr="005D6E61">
        <w:rPr>
          <w:rFonts w:ascii="Cambria" w:hAnsi="Cambria"/>
          <w:sz w:val="20"/>
          <w:szCs w:val="20"/>
          <w:lang w:val="pt-BR"/>
        </w:rPr>
        <w:t>N</w:t>
      </w:r>
      <w:r w:rsidRPr="005D6E61">
        <w:rPr>
          <w:rFonts w:ascii="Cambria" w:hAnsi="Cambria"/>
          <w:sz w:val="20"/>
          <w:szCs w:val="20"/>
          <w:lang w:val="pt-BR"/>
        </w:rPr>
        <w:t>orte</w:t>
      </w:r>
      <w:r w:rsidR="00497479" w:rsidRPr="005D6E61">
        <w:rPr>
          <w:rFonts w:ascii="Cambria" w:hAnsi="Cambria"/>
          <w:sz w:val="20"/>
          <w:szCs w:val="20"/>
          <w:lang w:val="pt-BR"/>
        </w:rPr>
        <w:t>,</w:t>
      </w:r>
      <w:r w:rsidRPr="005D6E61">
        <w:rPr>
          <w:rFonts w:ascii="Cambria" w:hAnsi="Cambria"/>
          <w:sz w:val="20"/>
          <w:szCs w:val="20"/>
          <w:lang w:val="pt-BR"/>
        </w:rPr>
        <w:t xml:space="preserve"> especialmente</w:t>
      </w:r>
      <w:r w:rsidR="005A2381" w:rsidRPr="005D6E61">
        <w:rPr>
          <w:rFonts w:ascii="Cambria" w:hAnsi="Cambria"/>
          <w:sz w:val="20"/>
          <w:szCs w:val="20"/>
          <w:lang w:val="pt-BR"/>
        </w:rPr>
        <w:t xml:space="preserve"> na </w:t>
      </w:r>
      <w:r w:rsidRPr="005D6E61">
        <w:rPr>
          <w:rFonts w:ascii="Cambria" w:hAnsi="Cambria"/>
          <w:sz w:val="20"/>
          <w:szCs w:val="20"/>
          <w:lang w:val="pt-BR"/>
        </w:rPr>
        <w:t>zona con</w:t>
      </w:r>
      <w:r w:rsidR="00497479" w:rsidRPr="005D6E61">
        <w:rPr>
          <w:rFonts w:ascii="Cambria" w:hAnsi="Cambria"/>
          <w:sz w:val="20"/>
          <w:szCs w:val="20"/>
          <w:lang w:val="pt-BR"/>
        </w:rPr>
        <w:t>he</w:t>
      </w:r>
      <w:r w:rsidRPr="005D6E61">
        <w:rPr>
          <w:rFonts w:ascii="Cambria" w:hAnsi="Cambria"/>
          <w:sz w:val="20"/>
          <w:szCs w:val="20"/>
          <w:lang w:val="pt-BR"/>
        </w:rPr>
        <w:t>cida como “Bico do Papagaio”</w:t>
      </w:r>
      <w:r w:rsidR="00497479" w:rsidRPr="005D6E61">
        <w:rPr>
          <w:rFonts w:ascii="Cambria" w:hAnsi="Cambria"/>
          <w:sz w:val="20"/>
          <w:szCs w:val="20"/>
          <w:lang w:val="pt-BR"/>
        </w:rPr>
        <w:t>,</w:t>
      </w:r>
      <w:r w:rsidRPr="005D6E61">
        <w:rPr>
          <w:rFonts w:ascii="Cambria" w:hAnsi="Cambria"/>
          <w:sz w:val="20"/>
          <w:szCs w:val="20"/>
          <w:lang w:val="pt-BR"/>
        </w:rPr>
        <w:t xml:space="preserve"> document</w:t>
      </w:r>
      <w:r w:rsidR="00BF0B90" w:rsidRPr="005D6E61">
        <w:rPr>
          <w:rFonts w:ascii="Cambria" w:hAnsi="Cambria"/>
          <w:sz w:val="20"/>
          <w:szCs w:val="20"/>
          <w:lang w:val="pt-BR"/>
        </w:rPr>
        <w:t xml:space="preserve">ou </w:t>
      </w:r>
      <w:r w:rsidR="00331E62" w:rsidRPr="005D6E61">
        <w:rPr>
          <w:rFonts w:ascii="Cambria" w:hAnsi="Cambria"/>
          <w:sz w:val="20"/>
          <w:szCs w:val="20"/>
          <w:lang w:val="pt-BR"/>
        </w:rPr>
        <w:t xml:space="preserve">o </w:t>
      </w:r>
      <w:r w:rsidRPr="005D6E61">
        <w:rPr>
          <w:rFonts w:ascii="Cambria" w:hAnsi="Cambria"/>
          <w:sz w:val="20"/>
          <w:szCs w:val="20"/>
          <w:lang w:val="pt-BR"/>
        </w:rPr>
        <w:t>caso de Margarida Maria Alves</w:t>
      </w:r>
      <w:r w:rsidR="0066444F" w:rsidRPr="005D6E61">
        <w:rPr>
          <w:rFonts w:ascii="Cambria" w:hAnsi="Cambria"/>
          <w:sz w:val="20"/>
          <w:szCs w:val="20"/>
          <w:lang w:val="pt-BR"/>
        </w:rPr>
        <w:t>,</w:t>
      </w:r>
      <w:r w:rsidRPr="005D6E61">
        <w:rPr>
          <w:rFonts w:ascii="Cambria" w:hAnsi="Cambria"/>
          <w:sz w:val="20"/>
          <w:szCs w:val="20"/>
          <w:lang w:val="pt-BR"/>
        </w:rPr>
        <w:t xml:space="preserve"> indicando que</w:t>
      </w:r>
      <w:r w:rsidR="00331E62" w:rsidRPr="005D6E61">
        <w:rPr>
          <w:rFonts w:ascii="Cambria" w:hAnsi="Cambria"/>
          <w:sz w:val="20"/>
          <w:szCs w:val="20"/>
          <w:lang w:val="pt-BR"/>
        </w:rPr>
        <w:t xml:space="preserve"> o </w:t>
      </w:r>
      <w:r w:rsidRPr="005D6E61">
        <w:rPr>
          <w:rFonts w:ascii="Cambria" w:hAnsi="Cambria"/>
          <w:sz w:val="20"/>
          <w:szCs w:val="20"/>
          <w:lang w:val="pt-BR"/>
        </w:rPr>
        <w:t>m</w:t>
      </w:r>
      <w:r w:rsidR="00497479" w:rsidRPr="005D6E61">
        <w:rPr>
          <w:rFonts w:ascii="Cambria" w:hAnsi="Cambria"/>
          <w:sz w:val="20"/>
          <w:szCs w:val="20"/>
          <w:lang w:val="pt-BR"/>
        </w:rPr>
        <w:t>otivo</w:t>
      </w:r>
      <w:r w:rsidR="00F77B7F" w:rsidRPr="005D6E61">
        <w:rPr>
          <w:rFonts w:ascii="Cambria" w:hAnsi="Cambria"/>
          <w:sz w:val="20"/>
          <w:szCs w:val="20"/>
          <w:lang w:val="pt-BR"/>
        </w:rPr>
        <w:t xml:space="preserve"> do </w:t>
      </w:r>
      <w:r w:rsidRPr="005D6E61">
        <w:rPr>
          <w:rFonts w:ascii="Cambria" w:hAnsi="Cambria"/>
          <w:sz w:val="20"/>
          <w:szCs w:val="20"/>
          <w:lang w:val="pt-BR"/>
        </w:rPr>
        <w:t>m</w:t>
      </w:r>
      <w:r w:rsidR="00497479" w:rsidRPr="005D6E61">
        <w:rPr>
          <w:rFonts w:ascii="Cambria" w:hAnsi="Cambria"/>
          <w:sz w:val="20"/>
          <w:szCs w:val="20"/>
          <w:lang w:val="pt-BR"/>
        </w:rPr>
        <w:t>e</w:t>
      </w:r>
      <w:r w:rsidRPr="005D6E61">
        <w:rPr>
          <w:rFonts w:ascii="Cambria" w:hAnsi="Cambria"/>
          <w:sz w:val="20"/>
          <w:szCs w:val="20"/>
          <w:lang w:val="pt-BR"/>
        </w:rPr>
        <w:t>smo f</w:t>
      </w:r>
      <w:r w:rsidR="00497479" w:rsidRPr="005D6E61">
        <w:rPr>
          <w:rFonts w:ascii="Cambria" w:hAnsi="Cambria"/>
          <w:sz w:val="20"/>
          <w:szCs w:val="20"/>
          <w:lang w:val="pt-BR"/>
        </w:rPr>
        <w:t>oi</w:t>
      </w:r>
      <w:r w:rsidRPr="005D6E61">
        <w:rPr>
          <w:rFonts w:ascii="Cambria" w:hAnsi="Cambria"/>
          <w:sz w:val="20"/>
          <w:szCs w:val="20"/>
          <w:lang w:val="pt-BR"/>
        </w:rPr>
        <w:t xml:space="preserve"> su</w:t>
      </w:r>
      <w:r w:rsidR="00497479" w:rsidRPr="005D6E61">
        <w:rPr>
          <w:rFonts w:ascii="Cambria" w:hAnsi="Cambria"/>
          <w:sz w:val="20"/>
          <w:szCs w:val="20"/>
          <w:lang w:val="pt-BR"/>
        </w:rPr>
        <w:t>a</w:t>
      </w:r>
      <w:r w:rsidRPr="005D6E61">
        <w:rPr>
          <w:rFonts w:ascii="Cambria" w:hAnsi="Cambria"/>
          <w:sz w:val="20"/>
          <w:szCs w:val="20"/>
          <w:lang w:val="pt-BR"/>
        </w:rPr>
        <w:t xml:space="preserve"> defesa</w:t>
      </w:r>
      <w:r w:rsidR="0054428F" w:rsidRPr="005D6E61">
        <w:rPr>
          <w:rFonts w:ascii="Cambria" w:hAnsi="Cambria"/>
          <w:sz w:val="20"/>
          <w:szCs w:val="20"/>
          <w:lang w:val="pt-BR"/>
        </w:rPr>
        <w:t xml:space="preserve"> das </w:t>
      </w:r>
      <w:r w:rsidRPr="005D6E61">
        <w:rPr>
          <w:rFonts w:ascii="Cambria" w:hAnsi="Cambria"/>
          <w:sz w:val="20"/>
          <w:szCs w:val="20"/>
          <w:lang w:val="pt-BR"/>
        </w:rPr>
        <w:t>causas</w:t>
      </w:r>
      <w:r w:rsidR="00331E62" w:rsidRPr="005D6E61">
        <w:rPr>
          <w:rFonts w:ascii="Cambria" w:hAnsi="Cambria"/>
          <w:sz w:val="20"/>
          <w:szCs w:val="20"/>
          <w:lang w:val="pt-BR"/>
        </w:rPr>
        <w:t xml:space="preserve"> dos </w:t>
      </w:r>
      <w:r w:rsidR="00E37676" w:rsidRPr="005D6E61">
        <w:rPr>
          <w:rFonts w:ascii="Cambria" w:hAnsi="Cambria"/>
          <w:sz w:val="20"/>
          <w:szCs w:val="20"/>
          <w:lang w:val="pt-BR"/>
        </w:rPr>
        <w:t>trabalh</w:t>
      </w:r>
      <w:r w:rsidRPr="005D6E61">
        <w:rPr>
          <w:rFonts w:ascii="Cambria" w:hAnsi="Cambria"/>
          <w:sz w:val="20"/>
          <w:szCs w:val="20"/>
          <w:lang w:val="pt-BR"/>
        </w:rPr>
        <w:t>adores e inst</w:t>
      </w:r>
      <w:r w:rsidR="00BF0B90" w:rsidRPr="005D6E61">
        <w:rPr>
          <w:rFonts w:ascii="Cambria" w:hAnsi="Cambria"/>
          <w:sz w:val="20"/>
          <w:szCs w:val="20"/>
          <w:lang w:val="pt-BR"/>
        </w:rPr>
        <w:t xml:space="preserve">ou </w:t>
      </w:r>
      <w:r w:rsidR="00CD523F" w:rsidRPr="005D6E61">
        <w:rPr>
          <w:rFonts w:ascii="Cambria" w:hAnsi="Cambria"/>
          <w:sz w:val="20"/>
          <w:szCs w:val="20"/>
          <w:lang w:val="pt-BR"/>
        </w:rPr>
        <w:t xml:space="preserve">o </w:t>
      </w:r>
      <w:r w:rsidRPr="005D6E61">
        <w:rPr>
          <w:rFonts w:ascii="Cambria" w:hAnsi="Cambria"/>
          <w:sz w:val="20"/>
          <w:szCs w:val="20"/>
          <w:lang w:val="pt-BR"/>
        </w:rPr>
        <w:t>Minist</w:t>
      </w:r>
      <w:r w:rsidR="00497479" w:rsidRPr="005D6E61">
        <w:rPr>
          <w:rFonts w:ascii="Cambria" w:hAnsi="Cambria"/>
          <w:sz w:val="20"/>
          <w:szCs w:val="20"/>
          <w:lang w:val="pt-BR"/>
        </w:rPr>
        <w:t>é</w:t>
      </w:r>
      <w:r w:rsidRPr="005D6E61">
        <w:rPr>
          <w:rFonts w:ascii="Cambria" w:hAnsi="Cambria"/>
          <w:sz w:val="20"/>
          <w:szCs w:val="20"/>
          <w:lang w:val="pt-BR"/>
        </w:rPr>
        <w:t>rio Público</w:t>
      </w:r>
      <w:r w:rsidR="006C5454" w:rsidRPr="005D6E61">
        <w:rPr>
          <w:rFonts w:ascii="Cambria" w:hAnsi="Cambria"/>
          <w:sz w:val="20"/>
          <w:szCs w:val="20"/>
          <w:lang w:val="pt-BR"/>
        </w:rPr>
        <w:t xml:space="preserve"> e</w:t>
      </w:r>
      <w:r w:rsidR="00275A65" w:rsidRPr="005D6E61">
        <w:rPr>
          <w:rFonts w:ascii="Cambria" w:hAnsi="Cambria"/>
          <w:sz w:val="20"/>
          <w:szCs w:val="20"/>
          <w:lang w:val="pt-BR"/>
        </w:rPr>
        <w:t xml:space="preserve"> </w:t>
      </w:r>
      <w:r w:rsidR="00497479" w:rsidRPr="005D6E61">
        <w:rPr>
          <w:rFonts w:ascii="Cambria" w:hAnsi="Cambria"/>
          <w:sz w:val="20"/>
          <w:szCs w:val="20"/>
          <w:lang w:val="pt-BR"/>
        </w:rPr>
        <w:t>a</w:t>
      </w:r>
      <w:r w:rsidR="00275A65" w:rsidRPr="005D6E61">
        <w:rPr>
          <w:rFonts w:ascii="Cambria" w:hAnsi="Cambria"/>
          <w:sz w:val="20"/>
          <w:szCs w:val="20"/>
          <w:lang w:val="pt-BR"/>
        </w:rPr>
        <w:t xml:space="preserve"> </w:t>
      </w:r>
      <w:r w:rsidRPr="005D6E61">
        <w:rPr>
          <w:rFonts w:ascii="Cambria" w:hAnsi="Cambria"/>
          <w:sz w:val="20"/>
          <w:szCs w:val="20"/>
          <w:lang w:val="pt-BR"/>
        </w:rPr>
        <w:t>Procurad</w:t>
      </w:r>
      <w:r w:rsidR="00497479" w:rsidRPr="005D6E61">
        <w:rPr>
          <w:rFonts w:ascii="Cambria" w:hAnsi="Cambria"/>
          <w:sz w:val="20"/>
          <w:szCs w:val="20"/>
          <w:lang w:val="pt-BR"/>
        </w:rPr>
        <w:t>o</w:t>
      </w:r>
      <w:r w:rsidRPr="005D6E61">
        <w:rPr>
          <w:rFonts w:ascii="Cambria" w:hAnsi="Cambria"/>
          <w:sz w:val="20"/>
          <w:szCs w:val="20"/>
          <w:lang w:val="pt-BR"/>
        </w:rPr>
        <w:t>r</w:t>
      </w:r>
      <w:r w:rsidR="005A2381" w:rsidRPr="005D6E61">
        <w:rPr>
          <w:rFonts w:ascii="Cambria" w:hAnsi="Cambria"/>
          <w:sz w:val="20"/>
          <w:szCs w:val="20"/>
          <w:lang w:val="pt-BR"/>
        </w:rPr>
        <w:t>ia</w:t>
      </w:r>
      <w:r w:rsidR="00497479" w:rsidRPr="005D6E61">
        <w:rPr>
          <w:rFonts w:ascii="Cambria" w:hAnsi="Cambria"/>
          <w:sz w:val="20"/>
          <w:szCs w:val="20"/>
          <w:lang w:val="pt-BR"/>
        </w:rPr>
        <w:t>-</w:t>
      </w:r>
      <w:r w:rsidRPr="005D6E61">
        <w:rPr>
          <w:rFonts w:ascii="Cambria" w:hAnsi="Cambria"/>
          <w:sz w:val="20"/>
          <w:szCs w:val="20"/>
          <w:lang w:val="pt-BR"/>
        </w:rPr>
        <w:t>Geral</w:t>
      </w:r>
      <w:r w:rsidR="00F77B7F" w:rsidRPr="005D6E61">
        <w:rPr>
          <w:rFonts w:ascii="Cambria" w:hAnsi="Cambria"/>
          <w:sz w:val="20"/>
          <w:szCs w:val="20"/>
          <w:lang w:val="pt-BR"/>
        </w:rPr>
        <w:t xml:space="preserve"> do </w:t>
      </w:r>
      <w:r w:rsidRPr="005D6E61">
        <w:rPr>
          <w:rFonts w:ascii="Cambria" w:hAnsi="Cambria"/>
          <w:sz w:val="20"/>
          <w:szCs w:val="20"/>
          <w:lang w:val="pt-BR"/>
        </w:rPr>
        <w:t>Estado a investigar</w:t>
      </w:r>
      <w:r w:rsidR="00331E62" w:rsidRPr="005D6E61">
        <w:rPr>
          <w:rFonts w:ascii="Cambria" w:hAnsi="Cambria"/>
          <w:sz w:val="20"/>
          <w:szCs w:val="20"/>
          <w:lang w:val="pt-BR"/>
        </w:rPr>
        <w:t xml:space="preserve"> o </w:t>
      </w:r>
      <w:r w:rsidR="004642E3" w:rsidRPr="005D6E61">
        <w:rPr>
          <w:rFonts w:ascii="Cambria" w:hAnsi="Cambria"/>
          <w:sz w:val="20"/>
          <w:szCs w:val="20"/>
          <w:lang w:val="pt-BR"/>
        </w:rPr>
        <w:t>crime</w:t>
      </w:r>
      <w:r w:rsidRPr="005D6E61">
        <w:rPr>
          <w:rStyle w:val="FootnoteReference"/>
          <w:rFonts w:ascii="Cambria" w:hAnsi="Cambria" w:cs="Courier"/>
          <w:color w:val="212121"/>
          <w:sz w:val="20"/>
          <w:szCs w:val="20"/>
          <w:bdr w:val="none" w:sz="0" w:space="0" w:color="auto"/>
          <w:lang w:val="pt-BR"/>
        </w:rPr>
        <w:footnoteReference w:id="16"/>
      </w:r>
      <w:r w:rsidRPr="005D6E61">
        <w:rPr>
          <w:rFonts w:ascii="Cambria" w:hAnsi="Cambria"/>
          <w:sz w:val="20"/>
          <w:szCs w:val="20"/>
          <w:lang w:val="pt-BR"/>
        </w:rPr>
        <w:t xml:space="preserve">. </w:t>
      </w:r>
    </w:p>
    <w:p w14:paraId="4E9FEC5E" w14:textId="77777777" w:rsidR="00AA70A5" w:rsidRPr="005D6E61" w:rsidRDefault="00AA70A5" w:rsidP="00AD7E89">
      <w:pPr>
        <w:pStyle w:val="Heading2"/>
        <w:numPr>
          <w:ilvl w:val="0"/>
          <w:numId w:val="59"/>
        </w:numPr>
        <w:ind w:left="1440" w:hanging="720"/>
        <w:jc w:val="both"/>
        <w:rPr>
          <w:rFonts w:ascii="Cambria" w:hAnsi="Cambria"/>
          <w:i w:val="0"/>
          <w:sz w:val="20"/>
          <w:szCs w:val="20"/>
          <w:lang w:val="pt-BR"/>
        </w:rPr>
      </w:pPr>
      <w:bookmarkStart w:id="14" w:name="_Toc27990560"/>
      <w:r w:rsidRPr="005D6E61">
        <w:rPr>
          <w:rFonts w:ascii="Cambria" w:hAnsi="Cambria"/>
          <w:i w:val="0"/>
          <w:sz w:val="20"/>
          <w:szCs w:val="20"/>
          <w:lang w:val="pt-BR"/>
        </w:rPr>
        <w:t>Sobre Margarida Maria Alves</w:t>
      </w:r>
      <w:r w:rsidR="006A46E5" w:rsidRPr="005D6E61">
        <w:rPr>
          <w:rFonts w:ascii="Cambria" w:hAnsi="Cambria"/>
          <w:i w:val="0"/>
          <w:sz w:val="20"/>
          <w:szCs w:val="20"/>
          <w:lang w:val="pt-BR"/>
        </w:rPr>
        <w:t xml:space="preserve">, </w:t>
      </w:r>
      <w:r w:rsidRPr="005D6E61">
        <w:rPr>
          <w:rFonts w:ascii="Cambria" w:hAnsi="Cambria"/>
          <w:i w:val="0"/>
          <w:sz w:val="20"/>
          <w:szCs w:val="20"/>
          <w:lang w:val="pt-BR"/>
        </w:rPr>
        <w:t>s</w:t>
      </w:r>
      <w:r w:rsidR="0066444F" w:rsidRPr="005D6E61">
        <w:rPr>
          <w:rFonts w:ascii="Cambria" w:hAnsi="Cambria"/>
          <w:i w:val="0"/>
          <w:sz w:val="20"/>
          <w:szCs w:val="20"/>
          <w:lang w:val="pt-BR"/>
        </w:rPr>
        <w:t>e</w:t>
      </w:r>
      <w:r w:rsidRPr="005D6E61">
        <w:rPr>
          <w:rFonts w:ascii="Cambria" w:hAnsi="Cambria"/>
          <w:i w:val="0"/>
          <w:sz w:val="20"/>
          <w:szCs w:val="20"/>
          <w:lang w:val="pt-BR"/>
        </w:rPr>
        <w:t xml:space="preserve">u </w:t>
      </w:r>
      <w:r w:rsidR="00E37676" w:rsidRPr="005D6E61">
        <w:rPr>
          <w:rFonts w:ascii="Cambria" w:hAnsi="Cambria"/>
          <w:i w:val="0"/>
          <w:sz w:val="20"/>
          <w:szCs w:val="20"/>
          <w:lang w:val="pt-BR"/>
        </w:rPr>
        <w:t>trabalh</w:t>
      </w:r>
      <w:r w:rsidRPr="005D6E61">
        <w:rPr>
          <w:rFonts w:ascii="Cambria" w:hAnsi="Cambria"/>
          <w:i w:val="0"/>
          <w:sz w:val="20"/>
          <w:szCs w:val="20"/>
          <w:lang w:val="pt-BR"/>
        </w:rPr>
        <w:t>o</w:t>
      </w:r>
      <w:r w:rsidR="00F77B7F" w:rsidRPr="005D6E61">
        <w:rPr>
          <w:rFonts w:ascii="Cambria" w:hAnsi="Cambria"/>
          <w:i w:val="0"/>
          <w:sz w:val="20"/>
          <w:szCs w:val="20"/>
          <w:lang w:val="pt-BR"/>
        </w:rPr>
        <w:t xml:space="preserve"> em </w:t>
      </w:r>
      <w:r w:rsidRPr="005D6E61">
        <w:rPr>
          <w:rFonts w:ascii="Cambria" w:hAnsi="Cambria"/>
          <w:i w:val="0"/>
          <w:sz w:val="20"/>
          <w:szCs w:val="20"/>
          <w:lang w:val="pt-BR"/>
        </w:rPr>
        <w:t>defesa</w:t>
      </w:r>
      <w:r w:rsidR="00331E62" w:rsidRPr="005D6E61">
        <w:rPr>
          <w:rFonts w:ascii="Cambria" w:hAnsi="Cambria"/>
          <w:i w:val="0"/>
          <w:sz w:val="20"/>
          <w:szCs w:val="20"/>
          <w:lang w:val="pt-BR"/>
        </w:rPr>
        <w:t xml:space="preserve"> dos </w:t>
      </w:r>
      <w:r w:rsidR="00675058" w:rsidRPr="005D6E61">
        <w:rPr>
          <w:rFonts w:ascii="Cambria" w:hAnsi="Cambria"/>
          <w:i w:val="0"/>
          <w:sz w:val="20"/>
          <w:szCs w:val="20"/>
          <w:lang w:val="pt-BR"/>
        </w:rPr>
        <w:t>direito</w:t>
      </w:r>
      <w:r w:rsidRPr="005D6E61">
        <w:rPr>
          <w:rFonts w:ascii="Cambria" w:hAnsi="Cambria"/>
          <w:i w:val="0"/>
          <w:sz w:val="20"/>
          <w:szCs w:val="20"/>
          <w:lang w:val="pt-BR"/>
        </w:rPr>
        <w:t>s</w:t>
      </w:r>
      <w:r w:rsidR="00331E62" w:rsidRPr="005D6E61">
        <w:rPr>
          <w:rFonts w:ascii="Cambria" w:hAnsi="Cambria"/>
          <w:i w:val="0"/>
          <w:sz w:val="20"/>
          <w:szCs w:val="20"/>
          <w:lang w:val="pt-BR"/>
        </w:rPr>
        <w:t xml:space="preserve"> dos </w:t>
      </w:r>
      <w:r w:rsidR="00E37676" w:rsidRPr="005D6E61">
        <w:rPr>
          <w:rFonts w:ascii="Cambria" w:hAnsi="Cambria"/>
          <w:i w:val="0"/>
          <w:sz w:val="20"/>
          <w:szCs w:val="20"/>
          <w:lang w:val="pt-BR"/>
        </w:rPr>
        <w:t>trabalh</w:t>
      </w:r>
      <w:r w:rsidRPr="005D6E61">
        <w:rPr>
          <w:rFonts w:ascii="Cambria" w:hAnsi="Cambria"/>
          <w:i w:val="0"/>
          <w:sz w:val="20"/>
          <w:szCs w:val="20"/>
          <w:lang w:val="pt-BR"/>
        </w:rPr>
        <w:t>adores rur</w:t>
      </w:r>
      <w:r w:rsidR="00331E62" w:rsidRPr="005D6E61">
        <w:rPr>
          <w:rFonts w:ascii="Cambria" w:hAnsi="Cambria"/>
          <w:i w:val="0"/>
          <w:sz w:val="20"/>
          <w:szCs w:val="20"/>
          <w:lang w:val="pt-BR"/>
        </w:rPr>
        <w:t>ais</w:t>
      </w:r>
      <w:r w:rsidR="006C5454" w:rsidRPr="005D6E61">
        <w:rPr>
          <w:rFonts w:ascii="Cambria" w:hAnsi="Cambria"/>
          <w:i w:val="0"/>
          <w:sz w:val="20"/>
          <w:szCs w:val="20"/>
          <w:lang w:val="pt-BR"/>
        </w:rPr>
        <w:t xml:space="preserve"> e </w:t>
      </w:r>
      <w:r w:rsidR="00AC0C17" w:rsidRPr="005D6E61">
        <w:rPr>
          <w:rFonts w:ascii="Cambria" w:hAnsi="Cambria"/>
          <w:i w:val="0"/>
          <w:sz w:val="20"/>
          <w:szCs w:val="20"/>
          <w:lang w:val="pt-BR"/>
        </w:rPr>
        <w:t>amea</w:t>
      </w:r>
      <w:r w:rsidR="0066444F" w:rsidRPr="005D6E61">
        <w:rPr>
          <w:rFonts w:ascii="Cambria" w:hAnsi="Cambria"/>
          <w:i w:val="0"/>
          <w:sz w:val="20"/>
          <w:szCs w:val="20"/>
          <w:lang w:val="pt-BR"/>
        </w:rPr>
        <w:t>ç</w:t>
      </w:r>
      <w:r w:rsidR="00AC0C17" w:rsidRPr="005D6E61">
        <w:rPr>
          <w:rFonts w:ascii="Cambria" w:hAnsi="Cambria"/>
          <w:i w:val="0"/>
          <w:sz w:val="20"/>
          <w:szCs w:val="20"/>
          <w:lang w:val="pt-BR"/>
        </w:rPr>
        <w:t>as</w:t>
      </w:r>
      <w:r w:rsidR="006C5454" w:rsidRPr="005D6E61">
        <w:rPr>
          <w:rFonts w:ascii="Cambria" w:hAnsi="Cambria"/>
          <w:i w:val="0"/>
          <w:sz w:val="20"/>
          <w:szCs w:val="20"/>
          <w:lang w:val="pt-BR"/>
        </w:rPr>
        <w:t xml:space="preserve"> e </w:t>
      </w:r>
      <w:r w:rsidR="00AC0C17" w:rsidRPr="005D6E61">
        <w:rPr>
          <w:rFonts w:ascii="Cambria" w:hAnsi="Cambria"/>
          <w:i w:val="0"/>
          <w:sz w:val="20"/>
          <w:szCs w:val="20"/>
          <w:lang w:val="pt-BR"/>
        </w:rPr>
        <w:t>agres</w:t>
      </w:r>
      <w:r w:rsidR="0066444F" w:rsidRPr="005D6E61">
        <w:rPr>
          <w:rFonts w:ascii="Cambria" w:hAnsi="Cambria"/>
          <w:i w:val="0"/>
          <w:sz w:val="20"/>
          <w:szCs w:val="20"/>
          <w:lang w:val="pt-BR"/>
        </w:rPr>
        <w:t>sõ</w:t>
      </w:r>
      <w:r w:rsidR="00AC0C17" w:rsidRPr="005D6E61">
        <w:rPr>
          <w:rFonts w:ascii="Cambria" w:hAnsi="Cambria"/>
          <w:i w:val="0"/>
          <w:sz w:val="20"/>
          <w:szCs w:val="20"/>
          <w:lang w:val="pt-BR"/>
        </w:rPr>
        <w:t xml:space="preserve">es </w:t>
      </w:r>
      <w:r w:rsidR="0066444F" w:rsidRPr="005D6E61">
        <w:rPr>
          <w:rFonts w:ascii="Cambria" w:hAnsi="Cambria"/>
          <w:i w:val="0"/>
          <w:sz w:val="20"/>
          <w:szCs w:val="20"/>
          <w:lang w:val="pt-BR"/>
        </w:rPr>
        <w:t>antes d</w:t>
      </w:r>
      <w:r w:rsidR="00AC0C17" w:rsidRPr="005D6E61">
        <w:rPr>
          <w:rFonts w:ascii="Cambria" w:hAnsi="Cambria"/>
          <w:i w:val="0"/>
          <w:sz w:val="20"/>
          <w:szCs w:val="20"/>
          <w:lang w:val="pt-BR"/>
        </w:rPr>
        <w:t>a su</w:t>
      </w:r>
      <w:r w:rsidR="0066444F" w:rsidRPr="005D6E61">
        <w:rPr>
          <w:rFonts w:ascii="Cambria" w:hAnsi="Cambria"/>
          <w:i w:val="0"/>
          <w:sz w:val="20"/>
          <w:szCs w:val="20"/>
          <w:lang w:val="pt-BR"/>
        </w:rPr>
        <w:t>a</w:t>
      </w:r>
      <w:r w:rsidR="00AC0C17" w:rsidRPr="005D6E61">
        <w:rPr>
          <w:rFonts w:ascii="Cambria" w:hAnsi="Cambria"/>
          <w:i w:val="0"/>
          <w:sz w:val="20"/>
          <w:szCs w:val="20"/>
          <w:lang w:val="pt-BR"/>
        </w:rPr>
        <w:t xml:space="preserve"> </w:t>
      </w:r>
      <w:r w:rsidR="003619A0" w:rsidRPr="005D6E61">
        <w:rPr>
          <w:rFonts w:ascii="Cambria" w:hAnsi="Cambria"/>
          <w:i w:val="0"/>
          <w:sz w:val="20"/>
          <w:szCs w:val="20"/>
          <w:lang w:val="pt-BR"/>
        </w:rPr>
        <w:t>morte</w:t>
      </w:r>
      <w:bookmarkEnd w:id="14"/>
    </w:p>
    <w:p w14:paraId="683BA8EA" w14:textId="77777777" w:rsidR="00AA70A5" w:rsidRPr="005D6E61" w:rsidRDefault="00AA70A5" w:rsidP="00AA70A5">
      <w:pPr>
        <w:rPr>
          <w:lang w:val="pt-BR"/>
        </w:rPr>
      </w:pPr>
    </w:p>
    <w:p w14:paraId="53CBFFE2" w14:textId="77777777" w:rsidR="00AA70A5" w:rsidRPr="005D6E61" w:rsidRDefault="00AA70A5" w:rsidP="000D7B1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Calibri" w:hAnsi="Cambria"/>
          <w:sz w:val="20"/>
          <w:szCs w:val="20"/>
          <w:lang w:val="pt-BR"/>
        </w:rPr>
      </w:pPr>
      <w:r w:rsidRPr="005D6E61">
        <w:rPr>
          <w:rFonts w:ascii="Cambria" w:hAnsi="Cambria" w:cs="Cambria-Bold"/>
          <w:bCs/>
          <w:sz w:val="20"/>
          <w:szCs w:val="20"/>
          <w:lang w:val="pt-BR"/>
        </w:rPr>
        <w:t>Margarida Maria Alves na</w:t>
      </w:r>
      <w:r w:rsidR="005B67BB" w:rsidRPr="005D6E61">
        <w:rPr>
          <w:rFonts w:ascii="Cambria" w:hAnsi="Cambria" w:cs="Cambria-Bold"/>
          <w:bCs/>
          <w:sz w:val="20"/>
          <w:szCs w:val="20"/>
          <w:lang w:val="pt-BR"/>
        </w:rPr>
        <w:t>s</w:t>
      </w:r>
      <w:r w:rsidRPr="005D6E61">
        <w:rPr>
          <w:rFonts w:ascii="Cambria" w:hAnsi="Cambria" w:cs="Cambria-Bold"/>
          <w:bCs/>
          <w:sz w:val="20"/>
          <w:szCs w:val="20"/>
          <w:lang w:val="pt-BR"/>
        </w:rPr>
        <w:t>c</w:t>
      </w:r>
      <w:r w:rsidR="005B67BB" w:rsidRPr="005D6E61">
        <w:rPr>
          <w:rFonts w:ascii="Cambria" w:hAnsi="Cambria" w:cs="Cambria-Bold"/>
          <w:bCs/>
          <w:sz w:val="20"/>
          <w:szCs w:val="20"/>
          <w:lang w:val="pt-BR"/>
        </w:rPr>
        <w:t>e</w:t>
      </w:r>
      <w:r w:rsidR="00BF0B90" w:rsidRPr="005D6E61">
        <w:rPr>
          <w:rFonts w:ascii="Cambria" w:hAnsi="Cambria" w:cs="Cambria-Bold"/>
          <w:bCs/>
          <w:sz w:val="20"/>
          <w:szCs w:val="20"/>
          <w:lang w:val="pt-BR"/>
        </w:rPr>
        <w:t xml:space="preserve">u </w:t>
      </w:r>
      <w:r w:rsidR="00F77B7F" w:rsidRPr="005D6E61">
        <w:rPr>
          <w:rFonts w:ascii="Cambria" w:hAnsi="Cambria" w:cs="Cambria-Bold"/>
          <w:bCs/>
          <w:sz w:val="20"/>
          <w:szCs w:val="20"/>
          <w:lang w:val="pt-BR"/>
        </w:rPr>
        <w:t xml:space="preserve">em </w:t>
      </w:r>
      <w:r w:rsidRPr="005D6E61">
        <w:rPr>
          <w:rFonts w:ascii="Cambria" w:hAnsi="Cambria" w:cs="Cambria-Bold"/>
          <w:bCs/>
          <w:sz w:val="20"/>
          <w:szCs w:val="20"/>
          <w:lang w:val="pt-BR"/>
        </w:rPr>
        <w:t>1933.</w:t>
      </w:r>
      <w:r w:rsidR="00CD523F" w:rsidRPr="005D6E61">
        <w:rPr>
          <w:rFonts w:ascii="Cambria" w:hAnsi="Cambria" w:cs="Cambria-Bold"/>
          <w:bCs/>
          <w:sz w:val="20"/>
          <w:szCs w:val="20"/>
          <w:lang w:val="pt-BR"/>
        </w:rPr>
        <w:t xml:space="preserve"> </w:t>
      </w:r>
      <w:r w:rsidR="005B67BB" w:rsidRPr="005D6E61">
        <w:rPr>
          <w:rFonts w:ascii="Cambria" w:hAnsi="Cambria" w:cs="Cambria-Bold"/>
          <w:bCs/>
          <w:sz w:val="20"/>
          <w:szCs w:val="20"/>
          <w:lang w:val="pt-BR"/>
        </w:rPr>
        <w:t>N</w:t>
      </w:r>
      <w:r w:rsidR="00CD523F" w:rsidRPr="005D6E61">
        <w:rPr>
          <w:rFonts w:ascii="Cambria" w:hAnsi="Cambria" w:cs="Cambria-Bold"/>
          <w:bCs/>
          <w:sz w:val="20"/>
          <w:szCs w:val="20"/>
          <w:lang w:val="pt-BR"/>
        </w:rPr>
        <w:t xml:space="preserve">o </w:t>
      </w:r>
      <w:r w:rsidRPr="005D6E61">
        <w:rPr>
          <w:rFonts w:ascii="Cambria" w:hAnsi="Cambria" w:cs="Cambria-Bold"/>
          <w:bCs/>
          <w:sz w:val="20"/>
          <w:szCs w:val="20"/>
          <w:lang w:val="pt-BR"/>
        </w:rPr>
        <w:t>momento</w:t>
      </w:r>
      <w:r w:rsidR="00331E62" w:rsidRPr="005D6E61">
        <w:rPr>
          <w:rFonts w:ascii="Cambria" w:hAnsi="Cambria" w:cs="Cambria-Bold"/>
          <w:bCs/>
          <w:sz w:val="20"/>
          <w:szCs w:val="20"/>
          <w:lang w:val="pt-BR"/>
        </w:rPr>
        <w:t xml:space="preserve"> dos </w:t>
      </w:r>
      <w:r w:rsidR="00BF0B90" w:rsidRPr="005D6E61">
        <w:rPr>
          <w:rFonts w:ascii="Cambria" w:hAnsi="Cambria" w:cs="Cambria-Bold"/>
          <w:bCs/>
          <w:sz w:val="20"/>
          <w:szCs w:val="20"/>
          <w:lang w:val="pt-BR"/>
        </w:rPr>
        <w:t>fato</w:t>
      </w:r>
      <w:r w:rsidRPr="005D6E61">
        <w:rPr>
          <w:rFonts w:ascii="Cambria" w:hAnsi="Cambria" w:cs="Cambria-Bold"/>
          <w:bCs/>
          <w:sz w:val="20"/>
          <w:szCs w:val="20"/>
          <w:lang w:val="pt-BR"/>
        </w:rPr>
        <w:t>s t</w:t>
      </w:r>
      <w:r w:rsidR="005B67BB" w:rsidRPr="005D6E61">
        <w:rPr>
          <w:rFonts w:ascii="Cambria" w:hAnsi="Cambria" w:cs="Cambria-Bold"/>
          <w:bCs/>
          <w:sz w:val="20"/>
          <w:szCs w:val="20"/>
          <w:lang w:val="pt-BR"/>
        </w:rPr>
        <w:t>inh</w:t>
      </w:r>
      <w:r w:rsidR="005A2381" w:rsidRPr="005D6E61">
        <w:rPr>
          <w:rFonts w:ascii="Cambria" w:hAnsi="Cambria" w:cs="Cambria-Bold"/>
          <w:bCs/>
          <w:sz w:val="20"/>
          <w:szCs w:val="20"/>
          <w:lang w:val="pt-BR"/>
        </w:rPr>
        <w:t>a</w:t>
      </w:r>
      <w:r w:rsidRPr="005D6E61">
        <w:rPr>
          <w:rFonts w:ascii="Cambria" w:hAnsi="Cambria" w:cs="Cambria-Bold"/>
          <w:bCs/>
          <w:sz w:val="20"/>
          <w:szCs w:val="20"/>
          <w:lang w:val="pt-BR"/>
        </w:rPr>
        <w:t xml:space="preserve"> 50 a</w:t>
      </w:r>
      <w:r w:rsidR="005B67BB" w:rsidRPr="005D6E61">
        <w:rPr>
          <w:rFonts w:ascii="Cambria" w:hAnsi="Cambria" w:cs="Cambria-Bold"/>
          <w:bCs/>
          <w:sz w:val="20"/>
          <w:szCs w:val="20"/>
          <w:lang w:val="pt-BR"/>
        </w:rPr>
        <w:t>n</w:t>
      </w:r>
      <w:r w:rsidRPr="005D6E61">
        <w:rPr>
          <w:rFonts w:ascii="Cambria" w:hAnsi="Cambria" w:cs="Cambria-Bold"/>
          <w:bCs/>
          <w:sz w:val="20"/>
          <w:szCs w:val="20"/>
          <w:lang w:val="pt-BR"/>
        </w:rPr>
        <w:t xml:space="preserve">os de </w:t>
      </w:r>
      <w:r w:rsidR="005B67BB" w:rsidRPr="005D6E61">
        <w:rPr>
          <w:rFonts w:ascii="Cambria" w:hAnsi="Cambria" w:cs="Cambria-Bold"/>
          <w:bCs/>
          <w:sz w:val="20"/>
          <w:szCs w:val="20"/>
          <w:lang w:val="pt-BR"/>
        </w:rPr>
        <w:t>i</w:t>
      </w:r>
      <w:r w:rsidR="00FB55C7" w:rsidRPr="005D6E61">
        <w:rPr>
          <w:rFonts w:ascii="Cambria" w:hAnsi="Cambria" w:cs="Cambria-Bold"/>
          <w:bCs/>
          <w:sz w:val="20"/>
          <w:szCs w:val="20"/>
          <w:lang w:val="pt-BR"/>
        </w:rPr>
        <w:t xml:space="preserve">dade </w:t>
      </w:r>
      <w:r w:rsidR="006C5454" w:rsidRPr="005D6E61">
        <w:rPr>
          <w:rFonts w:ascii="Cambria" w:hAnsi="Cambria" w:cs="Cambria-Bold"/>
          <w:bCs/>
          <w:sz w:val="20"/>
          <w:szCs w:val="20"/>
          <w:lang w:val="pt-BR"/>
        </w:rPr>
        <w:t xml:space="preserve">e </w:t>
      </w:r>
      <w:r w:rsidRPr="005D6E61">
        <w:rPr>
          <w:rFonts w:ascii="Cambria" w:hAnsi="Cambria" w:cs="Cambria-Bold"/>
          <w:bCs/>
          <w:sz w:val="20"/>
          <w:szCs w:val="20"/>
          <w:lang w:val="pt-BR"/>
        </w:rPr>
        <w:t>promov</w:t>
      </w:r>
      <w:r w:rsidR="005A2381" w:rsidRPr="005D6E61">
        <w:rPr>
          <w:rFonts w:ascii="Cambria" w:hAnsi="Cambria" w:cs="Cambria-Bold"/>
          <w:bCs/>
          <w:sz w:val="20"/>
          <w:szCs w:val="20"/>
          <w:lang w:val="pt-BR"/>
        </w:rPr>
        <w:t>ia</w:t>
      </w:r>
      <w:r w:rsidRPr="005D6E61">
        <w:rPr>
          <w:rFonts w:ascii="Cambria" w:hAnsi="Cambria" w:cs="Cambria-Bold"/>
          <w:bCs/>
          <w:sz w:val="20"/>
          <w:szCs w:val="20"/>
          <w:lang w:val="pt-BR"/>
        </w:rPr>
        <w:t xml:space="preserve"> campa</w:t>
      </w:r>
      <w:r w:rsidR="005B67BB" w:rsidRPr="005D6E61">
        <w:rPr>
          <w:rFonts w:ascii="Cambria" w:hAnsi="Cambria" w:cs="Cambria-Bold"/>
          <w:bCs/>
          <w:sz w:val="20"/>
          <w:szCs w:val="20"/>
          <w:lang w:val="pt-BR"/>
        </w:rPr>
        <w:t>nh</w:t>
      </w:r>
      <w:r w:rsidRPr="005D6E61">
        <w:rPr>
          <w:rFonts w:ascii="Cambria" w:hAnsi="Cambria" w:cs="Cambria-Bold"/>
          <w:bCs/>
          <w:sz w:val="20"/>
          <w:szCs w:val="20"/>
          <w:lang w:val="pt-BR"/>
        </w:rPr>
        <w:t>as</w:t>
      </w:r>
      <w:r w:rsidR="00F77B7F" w:rsidRPr="005D6E61">
        <w:rPr>
          <w:rFonts w:ascii="Cambria" w:hAnsi="Cambria" w:cs="Cambria-Bold"/>
          <w:bCs/>
          <w:sz w:val="20"/>
          <w:szCs w:val="20"/>
          <w:lang w:val="pt-BR"/>
        </w:rPr>
        <w:t xml:space="preserve"> em </w:t>
      </w:r>
      <w:r w:rsidRPr="005D6E61">
        <w:rPr>
          <w:rFonts w:ascii="Cambria" w:hAnsi="Cambria" w:cs="Cambria-Bold"/>
          <w:bCs/>
          <w:sz w:val="20"/>
          <w:szCs w:val="20"/>
          <w:lang w:val="pt-BR"/>
        </w:rPr>
        <w:t>favor</w:t>
      </w:r>
      <w:r w:rsidR="00331E62" w:rsidRPr="005D6E61">
        <w:rPr>
          <w:rFonts w:ascii="Cambria" w:hAnsi="Cambria" w:cs="Cambria-Bold"/>
          <w:bCs/>
          <w:sz w:val="20"/>
          <w:szCs w:val="20"/>
          <w:lang w:val="pt-BR"/>
        </w:rPr>
        <w:t xml:space="preserve"> dos </w:t>
      </w:r>
      <w:r w:rsidR="00675058" w:rsidRPr="005D6E61">
        <w:rPr>
          <w:rFonts w:ascii="Cambria" w:hAnsi="Cambria" w:cs="Cambria-Bold"/>
          <w:bCs/>
          <w:sz w:val="20"/>
          <w:szCs w:val="20"/>
          <w:lang w:val="pt-BR"/>
        </w:rPr>
        <w:t>direito</w:t>
      </w:r>
      <w:r w:rsidRPr="005D6E61">
        <w:rPr>
          <w:rFonts w:ascii="Cambria" w:hAnsi="Cambria" w:cs="Cambria-Bold"/>
          <w:bCs/>
          <w:sz w:val="20"/>
          <w:szCs w:val="20"/>
          <w:lang w:val="pt-BR"/>
        </w:rPr>
        <w:t>s</w:t>
      </w:r>
      <w:r w:rsidR="00331E62" w:rsidRPr="005D6E61">
        <w:rPr>
          <w:rFonts w:ascii="Cambria" w:hAnsi="Cambria" w:cs="Cambria-Bold"/>
          <w:bCs/>
          <w:sz w:val="20"/>
          <w:szCs w:val="20"/>
          <w:lang w:val="pt-BR"/>
        </w:rPr>
        <w:t xml:space="preserve"> dos </w:t>
      </w:r>
      <w:r w:rsidR="00E37676" w:rsidRPr="005D6E61">
        <w:rPr>
          <w:rFonts w:ascii="Cambria" w:hAnsi="Cambria" w:cs="Cambria-Bold"/>
          <w:bCs/>
          <w:sz w:val="20"/>
          <w:szCs w:val="20"/>
          <w:lang w:val="pt-BR"/>
        </w:rPr>
        <w:t>trabalh</w:t>
      </w:r>
      <w:r w:rsidRPr="005D6E61">
        <w:rPr>
          <w:rFonts w:ascii="Cambria" w:hAnsi="Cambria" w:cs="Cambria-Bold"/>
          <w:bCs/>
          <w:sz w:val="20"/>
          <w:szCs w:val="20"/>
          <w:lang w:val="pt-BR"/>
        </w:rPr>
        <w:t>adores rur</w:t>
      </w:r>
      <w:r w:rsidR="00331E62" w:rsidRPr="005D6E61">
        <w:rPr>
          <w:rFonts w:ascii="Cambria" w:hAnsi="Cambria" w:cs="Cambria-Bold"/>
          <w:bCs/>
          <w:sz w:val="20"/>
          <w:szCs w:val="20"/>
          <w:lang w:val="pt-BR"/>
        </w:rPr>
        <w:t>ais</w:t>
      </w:r>
      <w:r w:rsidR="005A2381" w:rsidRPr="005D6E61">
        <w:rPr>
          <w:rFonts w:ascii="Cambria" w:hAnsi="Cambria" w:cs="Cambria-Bold"/>
          <w:bCs/>
          <w:sz w:val="20"/>
          <w:szCs w:val="20"/>
          <w:lang w:val="pt-BR"/>
        </w:rPr>
        <w:t xml:space="preserve"> na </w:t>
      </w:r>
      <w:r w:rsidRPr="005D6E61">
        <w:rPr>
          <w:rFonts w:ascii="Cambria" w:hAnsi="Cambria" w:cs="Cambria-Bold"/>
          <w:bCs/>
          <w:sz w:val="20"/>
          <w:szCs w:val="20"/>
          <w:lang w:val="pt-BR"/>
        </w:rPr>
        <w:t>regi</w:t>
      </w:r>
      <w:r w:rsidR="005B67BB" w:rsidRPr="005D6E61">
        <w:rPr>
          <w:rFonts w:ascii="Cambria" w:hAnsi="Cambria" w:cs="Cambria-Bold"/>
          <w:bCs/>
          <w:sz w:val="20"/>
          <w:szCs w:val="20"/>
          <w:lang w:val="pt-BR"/>
        </w:rPr>
        <w:t>ão</w:t>
      </w:r>
      <w:r w:rsidRPr="005D6E61">
        <w:rPr>
          <w:rFonts w:ascii="Cambria" w:hAnsi="Cambria" w:cs="Cambria-Bold"/>
          <w:bCs/>
          <w:sz w:val="20"/>
          <w:szCs w:val="20"/>
          <w:lang w:val="pt-BR"/>
        </w:rPr>
        <w:t xml:space="preserve"> de Alagoa Grande, Paraíba</w:t>
      </w:r>
      <w:r w:rsidRPr="005D6E61">
        <w:rPr>
          <w:rFonts w:ascii="Cambria" w:hAnsi="Cambria" w:cs="Cambria-Bold"/>
          <w:bCs/>
          <w:sz w:val="20"/>
          <w:szCs w:val="20"/>
          <w:vertAlign w:val="superscript"/>
          <w:lang w:val="pt-BR"/>
        </w:rPr>
        <w:footnoteReference w:id="17"/>
      </w:r>
      <w:r w:rsidRPr="005D6E61">
        <w:rPr>
          <w:rFonts w:ascii="Cambria" w:hAnsi="Cambria" w:cs="Cambria-Bold"/>
          <w:bCs/>
          <w:sz w:val="20"/>
          <w:szCs w:val="20"/>
          <w:lang w:val="pt-BR"/>
        </w:rPr>
        <w:t xml:space="preserve">. </w:t>
      </w:r>
      <w:r w:rsidRPr="005D6E61">
        <w:rPr>
          <w:rFonts w:ascii="Cambria" w:hAnsi="Cambria"/>
          <w:sz w:val="20"/>
          <w:szCs w:val="20"/>
          <w:lang w:val="pt-BR"/>
        </w:rPr>
        <w:t>Seg</w:t>
      </w:r>
      <w:r w:rsidR="005B67BB" w:rsidRPr="005D6E61">
        <w:rPr>
          <w:rFonts w:ascii="Cambria" w:hAnsi="Cambria"/>
          <w:sz w:val="20"/>
          <w:szCs w:val="20"/>
          <w:lang w:val="pt-BR"/>
        </w:rPr>
        <w:t>undo</w:t>
      </w:r>
      <w:r w:rsidRPr="005D6E61">
        <w:rPr>
          <w:rFonts w:ascii="Cambria" w:hAnsi="Cambria"/>
          <w:sz w:val="20"/>
          <w:szCs w:val="20"/>
          <w:lang w:val="pt-BR"/>
        </w:rPr>
        <w:t xml:space="preserve"> consta</w:t>
      </w:r>
      <w:r w:rsidR="00331E62" w:rsidRPr="005D6E61">
        <w:rPr>
          <w:rFonts w:ascii="Cambria" w:hAnsi="Cambria"/>
          <w:sz w:val="20"/>
          <w:szCs w:val="20"/>
          <w:lang w:val="pt-BR"/>
        </w:rPr>
        <w:t xml:space="preserve"> no </w:t>
      </w:r>
      <w:r w:rsidR="005B67BB" w:rsidRPr="005D6E61">
        <w:rPr>
          <w:rFonts w:ascii="Cambria" w:hAnsi="Cambria"/>
          <w:sz w:val="20"/>
          <w:szCs w:val="20"/>
          <w:lang w:val="pt-BR"/>
        </w:rPr>
        <w:t>processo</w:t>
      </w:r>
      <w:r w:rsidR="00F77B7F" w:rsidRPr="005D6E61">
        <w:rPr>
          <w:rFonts w:ascii="Cambria" w:hAnsi="Cambria"/>
          <w:sz w:val="20"/>
          <w:szCs w:val="20"/>
          <w:lang w:val="pt-BR"/>
        </w:rPr>
        <w:t xml:space="preserve"> do </w:t>
      </w:r>
      <w:r w:rsidRPr="005D6E61">
        <w:rPr>
          <w:rFonts w:ascii="Cambria" w:hAnsi="Cambria"/>
          <w:sz w:val="20"/>
          <w:szCs w:val="20"/>
          <w:lang w:val="pt-BR"/>
        </w:rPr>
        <w:t>caso, s</w:t>
      </w:r>
      <w:r w:rsidR="005B67BB" w:rsidRPr="005D6E61">
        <w:rPr>
          <w:rFonts w:ascii="Cambria" w:hAnsi="Cambria"/>
          <w:sz w:val="20"/>
          <w:szCs w:val="20"/>
          <w:lang w:val="pt-BR"/>
        </w:rPr>
        <w:t>e</w:t>
      </w:r>
      <w:r w:rsidRPr="005D6E61">
        <w:rPr>
          <w:rFonts w:ascii="Cambria" w:hAnsi="Cambria"/>
          <w:sz w:val="20"/>
          <w:szCs w:val="20"/>
          <w:lang w:val="pt-BR"/>
        </w:rPr>
        <w:t>us familiares s</w:t>
      </w:r>
      <w:r w:rsidR="005B67BB" w:rsidRPr="005D6E61">
        <w:rPr>
          <w:rFonts w:ascii="Cambria" w:hAnsi="Cambria"/>
          <w:sz w:val="20"/>
          <w:szCs w:val="20"/>
          <w:lang w:val="pt-BR"/>
        </w:rPr>
        <w:t>ã</w:t>
      </w:r>
      <w:r w:rsidRPr="005D6E61">
        <w:rPr>
          <w:rFonts w:ascii="Cambria" w:hAnsi="Cambria"/>
          <w:sz w:val="20"/>
          <w:szCs w:val="20"/>
          <w:lang w:val="pt-BR"/>
        </w:rPr>
        <w:t>o: i) s</w:t>
      </w:r>
      <w:r w:rsidR="005B67BB" w:rsidRPr="005D6E61">
        <w:rPr>
          <w:rFonts w:ascii="Cambria" w:hAnsi="Cambria"/>
          <w:sz w:val="20"/>
          <w:szCs w:val="20"/>
          <w:lang w:val="pt-BR"/>
        </w:rPr>
        <w:t>e</w:t>
      </w:r>
      <w:r w:rsidRPr="005D6E61">
        <w:rPr>
          <w:rFonts w:ascii="Cambria" w:hAnsi="Cambria"/>
          <w:sz w:val="20"/>
          <w:szCs w:val="20"/>
          <w:lang w:val="pt-BR"/>
        </w:rPr>
        <w:t>u esposo Severino Cassemiro Alves</w:t>
      </w:r>
      <w:r w:rsidR="005B67BB" w:rsidRPr="005D6E61">
        <w:rPr>
          <w:rFonts w:ascii="Cambria" w:hAnsi="Cambria"/>
          <w:sz w:val="20"/>
          <w:szCs w:val="20"/>
          <w:lang w:val="pt-BR"/>
        </w:rPr>
        <w:t>,</w:t>
      </w:r>
      <w:r w:rsidRPr="005D6E61">
        <w:rPr>
          <w:rFonts w:ascii="Cambria" w:hAnsi="Cambria"/>
          <w:sz w:val="20"/>
          <w:szCs w:val="20"/>
          <w:lang w:val="pt-BR"/>
        </w:rPr>
        <w:t xml:space="preserve"> qu</w:t>
      </w:r>
      <w:r w:rsidR="005B67BB" w:rsidRPr="005D6E61">
        <w:rPr>
          <w:rFonts w:ascii="Cambria" w:hAnsi="Cambria"/>
          <w:sz w:val="20"/>
          <w:szCs w:val="20"/>
          <w:lang w:val="pt-BR"/>
        </w:rPr>
        <w:t>e</w:t>
      </w:r>
      <w:r w:rsidRPr="005D6E61">
        <w:rPr>
          <w:rFonts w:ascii="Cambria" w:hAnsi="Cambria"/>
          <w:sz w:val="20"/>
          <w:szCs w:val="20"/>
          <w:lang w:val="pt-BR"/>
        </w:rPr>
        <w:t xml:space="preserve"> falec</w:t>
      </w:r>
      <w:r w:rsidR="005B67BB" w:rsidRPr="005D6E61">
        <w:rPr>
          <w:rFonts w:ascii="Cambria" w:hAnsi="Cambria"/>
          <w:sz w:val="20"/>
          <w:szCs w:val="20"/>
          <w:lang w:val="pt-BR"/>
        </w:rPr>
        <w:t>e</w:t>
      </w:r>
      <w:r w:rsidR="00BF0B90" w:rsidRPr="005D6E61">
        <w:rPr>
          <w:rFonts w:ascii="Cambria" w:hAnsi="Cambria"/>
          <w:sz w:val="20"/>
          <w:szCs w:val="20"/>
          <w:lang w:val="pt-BR"/>
        </w:rPr>
        <w:t xml:space="preserve">u </w:t>
      </w:r>
      <w:r w:rsidR="00F77B7F" w:rsidRPr="005D6E61">
        <w:rPr>
          <w:rFonts w:ascii="Cambria" w:hAnsi="Cambria"/>
          <w:sz w:val="20"/>
          <w:szCs w:val="20"/>
          <w:lang w:val="pt-BR"/>
        </w:rPr>
        <w:t xml:space="preserve">em </w:t>
      </w:r>
      <w:r w:rsidRPr="005D6E61">
        <w:rPr>
          <w:rFonts w:ascii="Cambria" w:hAnsi="Cambria"/>
          <w:sz w:val="20"/>
          <w:szCs w:val="20"/>
          <w:lang w:val="pt-BR"/>
        </w:rPr>
        <w:t>agosto de 2012; ii) s</w:t>
      </w:r>
      <w:r w:rsidR="005B67BB" w:rsidRPr="005D6E61">
        <w:rPr>
          <w:rFonts w:ascii="Cambria" w:hAnsi="Cambria"/>
          <w:sz w:val="20"/>
          <w:szCs w:val="20"/>
          <w:lang w:val="pt-BR"/>
        </w:rPr>
        <w:t>e</w:t>
      </w:r>
      <w:r w:rsidRPr="005D6E61">
        <w:rPr>
          <w:rFonts w:ascii="Cambria" w:hAnsi="Cambria"/>
          <w:sz w:val="20"/>
          <w:szCs w:val="20"/>
          <w:lang w:val="pt-BR"/>
        </w:rPr>
        <w:t xml:space="preserve">u </w:t>
      </w:r>
      <w:r w:rsidR="005B67BB" w:rsidRPr="005D6E61">
        <w:rPr>
          <w:rFonts w:ascii="Cambria" w:hAnsi="Cambria"/>
          <w:sz w:val="20"/>
          <w:szCs w:val="20"/>
          <w:lang w:val="pt-BR"/>
        </w:rPr>
        <w:t>filho</w:t>
      </w:r>
      <w:r w:rsidRPr="005D6E61">
        <w:rPr>
          <w:rFonts w:ascii="Cambria" w:hAnsi="Cambria"/>
          <w:sz w:val="20"/>
          <w:szCs w:val="20"/>
          <w:lang w:val="pt-BR"/>
        </w:rPr>
        <w:t xml:space="preserve"> </w:t>
      </w:r>
      <w:r w:rsidRPr="005D6E61">
        <w:rPr>
          <w:rFonts w:ascii="Cambria" w:eastAsia="Calibri" w:hAnsi="Cambria"/>
          <w:sz w:val="20"/>
          <w:szCs w:val="20"/>
          <w:lang w:val="pt-BR"/>
        </w:rPr>
        <w:t>José de Arimatéia Alves;</w:t>
      </w:r>
      <w:r w:rsidR="006C5454" w:rsidRPr="005D6E61">
        <w:rPr>
          <w:rFonts w:ascii="Cambria" w:eastAsia="Calibri" w:hAnsi="Cambria"/>
          <w:sz w:val="20"/>
          <w:szCs w:val="20"/>
          <w:lang w:val="pt-BR"/>
        </w:rPr>
        <w:t xml:space="preserve"> e </w:t>
      </w:r>
      <w:r w:rsidRPr="005D6E61">
        <w:rPr>
          <w:rFonts w:ascii="Cambria" w:eastAsia="Calibri" w:hAnsi="Cambria"/>
          <w:sz w:val="20"/>
          <w:szCs w:val="20"/>
          <w:lang w:val="pt-BR"/>
        </w:rPr>
        <w:t>iii) su</w:t>
      </w:r>
      <w:r w:rsidR="005B67BB" w:rsidRPr="005D6E61">
        <w:rPr>
          <w:rFonts w:ascii="Cambria" w:eastAsia="Calibri" w:hAnsi="Cambria"/>
          <w:sz w:val="20"/>
          <w:szCs w:val="20"/>
          <w:lang w:val="pt-BR"/>
        </w:rPr>
        <w:t>a</w:t>
      </w:r>
      <w:r w:rsidRPr="005D6E61">
        <w:rPr>
          <w:rFonts w:ascii="Cambria" w:eastAsia="Calibri" w:hAnsi="Cambria"/>
          <w:sz w:val="20"/>
          <w:szCs w:val="20"/>
          <w:lang w:val="pt-BR"/>
        </w:rPr>
        <w:t xml:space="preserve"> </w:t>
      </w:r>
      <w:r w:rsidR="005B67BB" w:rsidRPr="005D6E61">
        <w:rPr>
          <w:rFonts w:ascii="Cambria" w:eastAsia="Calibri" w:hAnsi="Cambria"/>
          <w:sz w:val="20"/>
          <w:szCs w:val="20"/>
          <w:lang w:val="pt-BR"/>
        </w:rPr>
        <w:t>irmã</w:t>
      </w:r>
      <w:r w:rsidRPr="005D6E61">
        <w:rPr>
          <w:rFonts w:ascii="Cambria" w:eastAsia="Calibri" w:hAnsi="Cambria"/>
          <w:sz w:val="20"/>
          <w:szCs w:val="20"/>
          <w:lang w:val="pt-BR"/>
        </w:rPr>
        <w:t xml:space="preserve"> Joaquina Maria Marinho.</w:t>
      </w:r>
    </w:p>
    <w:p w14:paraId="54246A00" w14:textId="77777777" w:rsidR="00AA70A5" w:rsidRPr="005D6E61" w:rsidRDefault="00AA70A5" w:rsidP="00AA70A5">
      <w:pPr>
        <w:pStyle w:val="ListParagraph"/>
        <w:rPr>
          <w:rFonts w:eastAsia="Calibri"/>
          <w:sz w:val="20"/>
          <w:szCs w:val="20"/>
          <w:lang w:val="pt-BR"/>
        </w:rPr>
      </w:pPr>
    </w:p>
    <w:p w14:paraId="1403673B" w14:textId="77777777" w:rsidR="00AA70A5" w:rsidRPr="005D6E61"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Ambas </w:t>
      </w:r>
      <w:r w:rsidR="005B67BB" w:rsidRPr="005D6E61">
        <w:rPr>
          <w:rFonts w:ascii="Cambria" w:hAnsi="Cambria"/>
          <w:sz w:val="20"/>
          <w:szCs w:val="20"/>
          <w:lang w:val="pt-BR"/>
        </w:rPr>
        <w:t xml:space="preserve">as </w:t>
      </w:r>
      <w:r w:rsidRPr="005D6E61">
        <w:rPr>
          <w:rFonts w:ascii="Cambria" w:hAnsi="Cambria"/>
          <w:sz w:val="20"/>
          <w:szCs w:val="20"/>
          <w:lang w:val="pt-BR"/>
        </w:rPr>
        <w:t xml:space="preserve">partes </w:t>
      </w:r>
      <w:r w:rsidR="005B67BB" w:rsidRPr="005D6E61">
        <w:rPr>
          <w:rFonts w:ascii="Cambria" w:hAnsi="Cambria"/>
          <w:sz w:val="20"/>
          <w:szCs w:val="20"/>
          <w:lang w:val="pt-BR"/>
        </w:rPr>
        <w:t>afirmaram</w:t>
      </w:r>
      <w:r w:rsidRPr="005D6E61">
        <w:rPr>
          <w:rFonts w:ascii="Cambria" w:hAnsi="Cambria"/>
          <w:sz w:val="20"/>
          <w:szCs w:val="20"/>
          <w:lang w:val="pt-BR"/>
        </w:rPr>
        <w:t xml:space="preserve"> que</w:t>
      </w:r>
      <w:r w:rsidR="00331E62" w:rsidRPr="005D6E61">
        <w:rPr>
          <w:rFonts w:ascii="Cambria" w:hAnsi="Cambria"/>
          <w:sz w:val="20"/>
          <w:szCs w:val="20"/>
          <w:lang w:val="pt-BR"/>
        </w:rPr>
        <w:t xml:space="preserve"> o </w:t>
      </w:r>
      <w:r w:rsidR="00E37676" w:rsidRPr="005D6E61">
        <w:rPr>
          <w:rFonts w:ascii="Cambria" w:hAnsi="Cambria"/>
          <w:sz w:val="20"/>
          <w:szCs w:val="20"/>
          <w:lang w:val="pt-BR"/>
        </w:rPr>
        <w:t>trabalh</w:t>
      </w:r>
      <w:r w:rsidRPr="005D6E61">
        <w:rPr>
          <w:rFonts w:ascii="Cambria" w:hAnsi="Cambria"/>
          <w:sz w:val="20"/>
          <w:szCs w:val="20"/>
          <w:lang w:val="pt-BR"/>
        </w:rPr>
        <w:t>o</w:t>
      </w:r>
      <w:r w:rsidR="00675058" w:rsidRPr="005D6E61">
        <w:rPr>
          <w:rFonts w:ascii="Cambria" w:hAnsi="Cambria"/>
          <w:sz w:val="20"/>
          <w:szCs w:val="20"/>
          <w:lang w:val="pt-BR"/>
        </w:rPr>
        <w:t xml:space="preserve"> da </w:t>
      </w:r>
      <w:r w:rsidR="005A2381" w:rsidRPr="005D6E61">
        <w:rPr>
          <w:rFonts w:ascii="Cambria" w:hAnsi="Cambria"/>
          <w:sz w:val="20"/>
          <w:szCs w:val="20"/>
          <w:lang w:val="pt-BR"/>
        </w:rPr>
        <w:t>suposta</w:t>
      </w:r>
      <w:r w:rsidRPr="005D6E61">
        <w:rPr>
          <w:rFonts w:ascii="Cambria" w:hAnsi="Cambria"/>
          <w:sz w:val="20"/>
          <w:szCs w:val="20"/>
          <w:lang w:val="pt-BR"/>
        </w:rPr>
        <w:t xml:space="preserve"> </w:t>
      </w:r>
      <w:r w:rsidR="003619A0" w:rsidRPr="005D6E61">
        <w:rPr>
          <w:rFonts w:ascii="Cambria" w:hAnsi="Cambria"/>
          <w:sz w:val="20"/>
          <w:szCs w:val="20"/>
          <w:lang w:val="pt-BR"/>
        </w:rPr>
        <w:t>vítima</w:t>
      </w:r>
      <w:r w:rsidRPr="005D6E61">
        <w:rPr>
          <w:rFonts w:ascii="Cambria" w:hAnsi="Cambria"/>
          <w:sz w:val="20"/>
          <w:szCs w:val="20"/>
          <w:lang w:val="pt-BR"/>
        </w:rPr>
        <w:t xml:space="preserve"> </w:t>
      </w:r>
      <w:r w:rsidR="005B67BB" w:rsidRPr="005D6E61">
        <w:rPr>
          <w:rFonts w:ascii="Cambria" w:hAnsi="Cambria"/>
          <w:sz w:val="20"/>
          <w:szCs w:val="20"/>
          <w:lang w:val="pt-BR"/>
        </w:rPr>
        <w:t>era</w:t>
      </w:r>
      <w:r w:rsidR="00AD69D4" w:rsidRPr="005D6E61">
        <w:rPr>
          <w:rFonts w:ascii="Cambria" w:hAnsi="Cambria"/>
          <w:sz w:val="20"/>
          <w:szCs w:val="20"/>
          <w:lang w:val="pt-BR"/>
        </w:rPr>
        <w:t xml:space="preserve"> mu</w:t>
      </w:r>
      <w:r w:rsidR="005B67BB" w:rsidRPr="005D6E61">
        <w:rPr>
          <w:rFonts w:ascii="Cambria" w:hAnsi="Cambria"/>
          <w:sz w:val="20"/>
          <w:szCs w:val="20"/>
          <w:lang w:val="pt-BR"/>
        </w:rPr>
        <w:t>ito</w:t>
      </w:r>
      <w:r w:rsidR="00AD69D4" w:rsidRPr="005D6E61">
        <w:rPr>
          <w:rFonts w:ascii="Cambria" w:hAnsi="Cambria"/>
          <w:sz w:val="20"/>
          <w:szCs w:val="20"/>
          <w:lang w:val="pt-BR"/>
        </w:rPr>
        <w:t xml:space="preserve"> recon</w:t>
      </w:r>
      <w:r w:rsidR="005B67BB" w:rsidRPr="005D6E61">
        <w:rPr>
          <w:rFonts w:ascii="Cambria" w:hAnsi="Cambria"/>
          <w:sz w:val="20"/>
          <w:szCs w:val="20"/>
          <w:lang w:val="pt-BR"/>
        </w:rPr>
        <w:t>he</w:t>
      </w:r>
      <w:r w:rsidR="00AD69D4" w:rsidRPr="005D6E61">
        <w:rPr>
          <w:rFonts w:ascii="Cambria" w:hAnsi="Cambria"/>
          <w:sz w:val="20"/>
          <w:szCs w:val="20"/>
          <w:lang w:val="pt-BR"/>
        </w:rPr>
        <w:t>cido</w:t>
      </w:r>
      <w:r w:rsidR="005A2381" w:rsidRPr="005D6E61">
        <w:rPr>
          <w:rFonts w:ascii="Cambria" w:hAnsi="Cambria"/>
          <w:sz w:val="20"/>
          <w:szCs w:val="20"/>
          <w:lang w:val="pt-BR"/>
        </w:rPr>
        <w:t xml:space="preserve"> na </w:t>
      </w:r>
      <w:r w:rsidR="005B67BB" w:rsidRPr="005D6E61">
        <w:rPr>
          <w:rFonts w:ascii="Cambria" w:hAnsi="Cambria"/>
          <w:sz w:val="20"/>
          <w:szCs w:val="20"/>
          <w:lang w:val="pt-BR"/>
        </w:rPr>
        <w:t>região</w:t>
      </w:r>
      <w:r w:rsidRPr="005D6E61">
        <w:rPr>
          <w:rFonts w:ascii="Cambria" w:hAnsi="Cambria"/>
          <w:sz w:val="20"/>
          <w:szCs w:val="20"/>
          <w:lang w:val="pt-BR"/>
        </w:rPr>
        <w:t xml:space="preserve">, por autoridades </w:t>
      </w:r>
      <w:r w:rsidR="005B67BB" w:rsidRPr="005D6E61">
        <w:rPr>
          <w:rFonts w:ascii="Cambria" w:hAnsi="Cambria"/>
          <w:sz w:val="20"/>
          <w:szCs w:val="20"/>
          <w:lang w:val="pt-BR"/>
        </w:rPr>
        <w:t xml:space="preserve">tanto </w:t>
      </w:r>
      <w:r w:rsidRPr="005D6E61">
        <w:rPr>
          <w:rFonts w:ascii="Cambria" w:hAnsi="Cambria"/>
          <w:sz w:val="20"/>
          <w:szCs w:val="20"/>
          <w:lang w:val="pt-BR"/>
        </w:rPr>
        <w:t>feder</w:t>
      </w:r>
      <w:r w:rsidR="00331E62" w:rsidRPr="005D6E61">
        <w:rPr>
          <w:rFonts w:ascii="Cambria" w:hAnsi="Cambria"/>
          <w:sz w:val="20"/>
          <w:szCs w:val="20"/>
          <w:lang w:val="pt-BR"/>
        </w:rPr>
        <w:t>ais</w:t>
      </w:r>
      <w:r w:rsidRPr="005D6E61">
        <w:rPr>
          <w:rFonts w:ascii="Cambria" w:hAnsi="Cambria"/>
          <w:sz w:val="20"/>
          <w:szCs w:val="20"/>
          <w:lang w:val="pt-BR"/>
        </w:rPr>
        <w:t xml:space="preserve"> como loc</w:t>
      </w:r>
      <w:r w:rsidR="00331E62" w:rsidRPr="005D6E61">
        <w:rPr>
          <w:rFonts w:ascii="Cambria" w:hAnsi="Cambria"/>
          <w:sz w:val="20"/>
          <w:szCs w:val="20"/>
          <w:lang w:val="pt-BR"/>
        </w:rPr>
        <w:t>ais</w:t>
      </w:r>
      <w:r w:rsidRPr="005D6E61">
        <w:rPr>
          <w:rFonts w:ascii="Cambria" w:hAnsi="Cambria"/>
          <w:sz w:val="20"/>
          <w:szCs w:val="20"/>
          <w:lang w:val="pt-BR"/>
        </w:rPr>
        <w:t xml:space="preserve">. </w:t>
      </w:r>
    </w:p>
    <w:p w14:paraId="619C051E" w14:textId="77777777" w:rsidR="00AA70A5" w:rsidRPr="005D6E61" w:rsidRDefault="00AA70A5" w:rsidP="00AA70A5">
      <w:pPr>
        <w:pStyle w:val="ListParagraph"/>
        <w:jc w:val="both"/>
        <w:rPr>
          <w:rFonts w:cs="Times New Roman"/>
          <w:sz w:val="20"/>
          <w:szCs w:val="20"/>
          <w:lang w:val="pt-BR"/>
        </w:rPr>
      </w:pPr>
    </w:p>
    <w:p w14:paraId="397D4310" w14:textId="77777777" w:rsidR="00AA70A5" w:rsidRPr="005D6E61" w:rsidRDefault="000D7B11"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C</w:t>
      </w:r>
      <w:r w:rsidR="00AA70A5" w:rsidRPr="005D6E61">
        <w:rPr>
          <w:rFonts w:ascii="Cambria" w:hAnsi="Cambria"/>
          <w:sz w:val="20"/>
          <w:szCs w:val="20"/>
          <w:lang w:val="pt-BR"/>
        </w:rPr>
        <w:t>onsta</w:t>
      </w:r>
      <w:r w:rsidR="00331E62" w:rsidRPr="005D6E61">
        <w:rPr>
          <w:rFonts w:ascii="Cambria" w:hAnsi="Cambria"/>
          <w:sz w:val="20"/>
          <w:szCs w:val="20"/>
          <w:lang w:val="pt-BR"/>
        </w:rPr>
        <w:t xml:space="preserve"> no </w:t>
      </w:r>
      <w:r w:rsidR="005B67BB" w:rsidRPr="005D6E61">
        <w:rPr>
          <w:rFonts w:ascii="Cambria" w:hAnsi="Cambria"/>
          <w:sz w:val="20"/>
          <w:szCs w:val="20"/>
          <w:lang w:val="pt-BR"/>
        </w:rPr>
        <w:t>processo</w:t>
      </w:r>
      <w:r w:rsidRPr="005D6E61">
        <w:rPr>
          <w:rFonts w:ascii="Cambria" w:hAnsi="Cambria"/>
          <w:sz w:val="20"/>
          <w:szCs w:val="20"/>
          <w:lang w:val="pt-BR"/>
        </w:rPr>
        <w:t xml:space="preserve"> que</w:t>
      </w:r>
      <w:r w:rsidR="00AA70A5" w:rsidRPr="005D6E61">
        <w:rPr>
          <w:rFonts w:ascii="Cambria" w:hAnsi="Cambria"/>
          <w:sz w:val="20"/>
          <w:szCs w:val="20"/>
          <w:lang w:val="pt-BR"/>
        </w:rPr>
        <w:t xml:space="preserve"> antes de su</w:t>
      </w:r>
      <w:r w:rsidR="005B67BB" w:rsidRPr="005D6E61">
        <w:rPr>
          <w:rFonts w:ascii="Cambria" w:hAnsi="Cambria"/>
          <w:sz w:val="20"/>
          <w:szCs w:val="20"/>
          <w:lang w:val="pt-BR"/>
        </w:rPr>
        <w:t>a</w:t>
      </w:r>
      <w:r w:rsidR="00AA70A5" w:rsidRPr="005D6E61">
        <w:rPr>
          <w:rFonts w:ascii="Cambria" w:hAnsi="Cambria"/>
          <w:sz w:val="20"/>
          <w:szCs w:val="20"/>
          <w:lang w:val="pt-BR"/>
        </w:rPr>
        <w:t xml:space="preserve"> </w:t>
      </w:r>
      <w:r w:rsidR="003619A0" w:rsidRPr="005D6E61">
        <w:rPr>
          <w:rFonts w:ascii="Cambria" w:hAnsi="Cambria"/>
          <w:sz w:val="20"/>
          <w:szCs w:val="20"/>
          <w:lang w:val="pt-BR"/>
        </w:rPr>
        <w:t>morte</w:t>
      </w:r>
      <w:r w:rsidR="00331E62" w:rsidRPr="005D6E61">
        <w:rPr>
          <w:rFonts w:ascii="Cambria" w:hAnsi="Cambria"/>
          <w:sz w:val="20"/>
          <w:szCs w:val="20"/>
          <w:lang w:val="pt-BR"/>
        </w:rPr>
        <w:t xml:space="preserve"> a </w:t>
      </w:r>
      <w:r w:rsidR="005A2381" w:rsidRPr="005D6E61">
        <w:rPr>
          <w:rFonts w:ascii="Cambria" w:hAnsi="Cambria"/>
          <w:sz w:val="20"/>
          <w:szCs w:val="20"/>
          <w:lang w:val="pt-BR"/>
        </w:rPr>
        <w:t>suposta</w:t>
      </w:r>
      <w:r w:rsidR="00AA70A5" w:rsidRPr="005D6E61">
        <w:rPr>
          <w:rFonts w:ascii="Cambria" w:hAnsi="Cambria"/>
          <w:sz w:val="20"/>
          <w:szCs w:val="20"/>
          <w:lang w:val="pt-BR"/>
        </w:rPr>
        <w:t xml:space="preserve"> </w:t>
      </w:r>
      <w:r w:rsidR="003619A0" w:rsidRPr="005D6E61">
        <w:rPr>
          <w:rFonts w:ascii="Cambria" w:hAnsi="Cambria"/>
          <w:sz w:val="20"/>
          <w:szCs w:val="20"/>
          <w:lang w:val="pt-BR"/>
        </w:rPr>
        <w:t>vítima</w:t>
      </w:r>
      <w:r w:rsidR="00AA70A5" w:rsidRPr="005D6E61">
        <w:rPr>
          <w:rFonts w:ascii="Cambria" w:hAnsi="Cambria"/>
          <w:sz w:val="20"/>
          <w:szCs w:val="20"/>
          <w:lang w:val="pt-BR"/>
        </w:rPr>
        <w:t xml:space="preserve"> rec</w:t>
      </w:r>
      <w:r w:rsidR="005B67BB" w:rsidRPr="005D6E61">
        <w:rPr>
          <w:rFonts w:ascii="Cambria" w:hAnsi="Cambria"/>
          <w:sz w:val="20"/>
          <w:szCs w:val="20"/>
          <w:lang w:val="pt-BR"/>
        </w:rPr>
        <w:t>e</w:t>
      </w:r>
      <w:r w:rsidR="00AA70A5" w:rsidRPr="005D6E61">
        <w:rPr>
          <w:rFonts w:ascii="Cambria" w:hAnsi="Cambria"/>
          <w:sz w:val="20"/>
          <w:szCs w:val="20"/>
          <w:lang w:val="pt-BR"/>
        </w:rPr>
        <w:t>b</w:t>
      </w:r>
      <w:r w:rsidR="005B67BB" w:rsidRPr="005D6E61">
        <w:rPr>
          <w:rFonts w:ascii="Cambria" w:hAnsi="Cambria"/>
          <w:sz w:val="20"/>
          <w:szCs w:val="20"/>
          <w:lang w:val="pt-BR"/>
        </w:rPr>
        <w:t>e</w:t>
      </w:r>
      <w:r w:rsidR="00BF0B90" w:rsidRPr="005D6E61">
        <w:rPr>
          <w:rFonts w:ascii="Cambria" w:hAnsi="Cambria"/>
          <w:sz w:val="20"/>
          <w:szCs w:val="20"/>
          <w:lang w:val="pt-BR"/>
        </w:rPr>
        <w:t xml:space="preserve">u </w:t>
      </w:r>
      <w:r w:rsidR="006C5454" w:rsidRPr="005D6E61">
        <w:rPr>
          <w:rFonts w:ascii="Cambria" w:hAnsi="Cambria"/>
          <w:sz w:val="20"/>
          <w:szCs w:val="20"/>
          <w:lang w:val="pt-BR"/>
        </w:rPr>
        <w:t xml:space="preserve">uma </w:t>
      </w:r>
      <w:r w:rsidR="00AA70A5" w:rsidRPr="005D6E61">
        <w:rPr>
          <w:rFonts w:ascii="Cambria" w:hAnsi="Cambria"/>
          <w:sz w:val="20"/>
          <w:szCs w:val="20"/>
          <w:lang w:val="pt-BR"/>
        </w:rPr>
        <w:t>s</w:t>
      </w:r>
      <w:r w:rsidR="005B67BB" w:rsidRPr="005D6E61">
        <w:rPr>
          <w:rFonts w:ascii="Cambria" w:hAnsi="Cambria"/>
          <w:sz w:val="20"/>
          <w:szCs w:val="20"/>
          <w:lang w:val="pt-BR"/>
        </w:rPr>
        <w:t>é</w:t>
      </w:r>
      <w:r w:rsidR="00AA70A5" w:rsidRPr="005D6E61">
        <w:rPr>
          <w:rFonts w:ascii="Cambria" w:hAnsi="Cambria"/>
          <w:sz w:val="20"/>
          <w:szCs w:val="20"/>
          <w:lang w:val="pt-BR"/>
        </w:rPr>
        <w:t>rie de amea</w:t>
      </w:r>
      <w:r w:rsidR="005B67BB" w:rsidRPr="005D6E61">
        <w:rPr>
          <w:rFonts w:ascii="Cambria" w:hAnsi="Cambria"/>
          <w:sz w:val="20"/>
          <w:szCs w:val="20"/>
          <w:lang w:val="pt-BR"/>
        </w:rPr>
        <w:t>ç</w:t>
      </w:r>
      <w:r w:rsidR="00AA70A5" w:rsidRPr="005D6E61">
        <w:rPr>
          <w:rFonts w:ascii="Cambria" w:hAnsi="Cambria"/>
          <w:sz w:val="20"/>
          <w:szCs w:val="20"/>
          <w:lang w:val="pt-BR"/>
        </w:rPr>
        <w:t>as.</w:t>
      </w:r>
      <w:r w:rsidR="00CD523F" w:rsidRPr="005D6E61">
        <w:rPr>
          <w:rFonts w:ascii="Cambria" w:hAnsi="Cambria"/>
          <w:sz w:val="20"/>
          <w:szCs w:val="20"/>
          <w:lang w:val="pt-BR"/>
        </w:rPr>
        <w:t xml:space="preserve"> </w:t>
      </w:r>
      <w:r w:rsidR="005B67BB" w:rsidRPr="005D6E61">
        <w:rPr>
          <w:rFonts w:ascii="Cambria" w:hAnsi="Cambria"/>
          <w:sz w:val="20"/>
          <w:szCs w:val="20"/>
          <w:lang w:val="pt-BR"/>
        </w:rPr>
        <w:t xml:space="preserve">A </w:t>
      </w:r>
      <w:r w:rsidR="00AA70A5" w:rsidRPr="005D6E61">
        <w:rPr>
          <w:rFonts w:ascii="Cambria" w:hAnsi="Cambria"/>
          <w:sz w:val="20"/>
          <w:szCs w:val="20"/>
          <w:lang w:val="pt-BR"/>
        </w:rPr>
        <w:t>respe</w:t>
      </w:r>
      <w:r w:rsidR="005B67BB" w:rsidRPr="005D6E61">
        <w:rPr>
          <w:rFonts w:ascii="Cambria" w:hAnsi="Cambria"/>
          <w:sz w:val="20"/>
          <w:szCs w:val="20"/>
          <w:lang w:val="pt-BR"/>
        </w:rPr>
        <w:t>i</w:t>
      </w:r>
      <w:r w:rsidR="00AA70A5" w:rsidRPr="005D6E61">
        <w:rPr>
          <w:rFonts w:ascii="Cambria" w:hAnsi="Cambria"/>
          <w:sz w:val="20"/>
          <w:szCs w:val="20"/>
          <w:lang w:val="pt-BR"/>
        </w:rPr>
        <w:t>to, membros</w:t>
      </w:r>
      <w:r w:rsidR="00F77B7F" w:rsidRPr="005D6E61">
        <w:rPr>
          <w:rFonts w:ascii="Cambria" w:hAnsi="Cambria"/>
          <w:sz w:val="20"/>
          <w:szCs w:val="20"/>
          <w:lang w:val="pt-BR"/>
        </w:rPr>
        <w:t xml:space="preserve"> do </w:t>
      </w:r>
      <w:r w:rsidR="00AA70A5" w:rsidRPr="005D6E61">
        <w:rPr>
          <w:rFonts w:ascii="Cambria" w:hAnsi="Cambria"/>
          <w:sz w:val="20"/>
          <w:szCs w:val="20"/>
          <w:lang w:val="pt-BR"/>
        </w:rPr>
        <w:t>sindicato indicar</w:t>
      </w:r>
      <w:r w:rsidR="005B67BB" w:rsidRPr="005D6E61">
        <w:rPr>
          <w:rFonts w:ascii="Cambria" w:hAnsi="Cambria"/>
          <w:sz w:val="20"/>
          <w:szCs w:val="20"/>
          <w:lang w:val="pt-BR"/>
        </w:rPr>
        <w:t>am</w:t>
      </w:r>
      <w:r w:rsidR="00AA70A5" w:rsidRPr="005D6E61">
        <w:rPr>
          <w:rFonts w:ascii="Cambria" w:hAnsi="Cambria"/>
          <w:sz w:val="20"/>
          <w:szCs w:val="20"/>
          <w:lang w:val="pt-BR"/>
        </w:rPr>
        <w:t xml:space="preserve"> que f</w:t>
      </w:r>
      <w:r w:rsidR="005B67BB" w:rsidRPr="005D6E61">
        <w:rPr>
          <w:rFonts w:ascii="Cambria" w:hAnsi="Cambria"/>
          <w:sz w:val="20"/>
          <w:szCs w:val="20"/>
          <w:lang w:val="pt-BR"/>
        </w:rPr>
        <w:t>oi ame</w:t>
      </w:r>
      <w:r w:rsidR="00AA70A5" w:rsidRPr="005D6E61">
        <w:rPr>
          <w:rFonts w:ascii="Cambria" w:hAnsi="Cambria"/>
          <w:sz w:val="20"/>
          <w:szCs w:val="20"/>
          <w:lang w:val="pt-BR"/>
        </w:rPr>
        <w:t>a</w:t>
      </w:r>
      <w:r w:rsidR="005B67BB" w:rsidRPr="005D6E61">
        <w:rPr>
          <w:rFonts w:ascii="Cambria" w:hAnsi="Cambria"/>
          <w:sz w:val="20"/>
          <w:szCs w:val="20"/>
          <w:lang w:val="pt-BR"/>
        </w:rPr>
        <w:t>ç</w:t>
      </w:r>
      <w:r w:rsidR="00AA70A5" w:rsidRPr="005D6E61">
        <w:rPr>
          <w:rFonts w:ascii="Cambria" w:hAnsi="Cambria"/>
          <w:sz w:val="20"/>
          <w:szCs w:val="20"/>
          <w:lang w:val="pt-BR"/>
        </w:rPr>
        <w:t>ada por</w:t>
      </w:r>
      <w:r w:rsidR="00275A65" w:rsidRPr="005D6E61">
        <w:rPr>
          <w:rFonts w:ascii="Cambria" w:hAnsi="Cambria"/>
          <w:sz w:val="20"/>
          <w:szCs w:val="20"/>
          <w:lang w:val="pt-BR"/>
        </w:rPr>
        <w:t xml:space="preserve"> um </w:t>
      </w:r>
      <w:r w:rsidR="00AA70A5" w:rsidRPr="005D6E61">
        <w:rPr>
          <w:rFonts w:ascii="Cambria" w:hAnsi="Cambria"/>
          <w:sz w:val="20"/>
          <w:szCs w:val="20"/>
          <w:lang w:val="pt-BR"/>
        </w:rPr>
        <w:t>d</w:t>
      </w:r>
      <w:r w:rsidR="005B67BB" w:rsidRPr="005D6E61">
        <w:rPr>
          <w:rFonts w:ascii="Cambria" w:hAnsi="Cambria"/>
          <w:sz w:val="20"/>
          <w:szCs w:val="20"/>
          <w:lang w:val="pt-BR"/>
        </w:rPr>
        <w:t>e</w:t>
      </w:r>
      <w:r w:rsidR="00AA70A5" w:rsidRPr="005D6E61">
        <w:rPr>
          <w:rFonts w:ascii="Cambria" w:hAnsi="Cambria"/>
          <w:sz w:val="20"/>
          <w:szCs w:val="20"/>
          <w:lang w:val="pt-BR"/>
        </w:rPr>
        <w:t xml:space="preserve">putado estadual </w:t>
      </w:r>
      <w:r w:rsidR="005B67BB" w:rsidRPr="005D6E61">
        <w:rPr>
          <w:rFonts w:ascii="Cambria" w:hAnsi="Cambria"/>
          <w:sz w:val="20"/>
          <w:szCs w:val="20"/>
          <w:lang w:val="pt-BR"/>
        </w:rPr>
        <w:t>para</w:t>
      </w:r>
      <w:r w:rsidR="00AA70A5" w:rsidRPr="005D6E61">
        <w:rPr>
          <w:rFonts w:ascii="Cambria" w:hAnsi="Cambria"/>
          <w:sz w:val="20"/>
          <w:szCs w:val="20"/>
          <w:lang w:val="pt-BR"/>
        </w:rPr>
        <w:t xml:space="preserve"> que</w:t>
      </w:r>
      <w:r w:rsidR="00F77B7F" w:rsidRPr="005D6E61">
        <w:rPr>
          <w:rFonts w:ascii="Cambria" w:hAnsi="Cambria"/>
          <w:sz w:val="20"/>
          <w:szCs w:val="20"/>
          <w:lang w:val="pt-BR"/>
        </w:rPr>
        <w:t xml:space="preserve"> não </w:t>
      </w:r>
      <w:r w:rsidR="00AA70A5" w:rsidRPr="005D6E61">
        <w:rPr>
          <w:rFonts w:ascii="Cambria" w:hAnsi="Cambria"/>
          <w:sz w:val="20"/>
          <w:szCs w:val="20"/>
          <w:lang w:val="pt-BR"/>
        </w:rPr>
        <w:t>inicia</w:t>
      </w:r>
      <w:r w:rsidR="005B67BB" w:rsidRPr="005D6E61">
        <w:rPr>
          <w:rFonts w:ascii="Cambria" w:hAnsi="Cambria"/>
          <w:sz w:val="20"/>
          <w:szCs w:val="20"/>
          <w:lang w:val="pt-BR"/>
        </w:rPr>
        <w:t>sse</w:t>
      </w:r>
      <w:r w:rsidR="00AA70A5" w:rsidRPr="005D6E61">
        <w:rPr>
          <w:rFonts w:ascii="Cambria" w:hAnsi="Cambria"/>
          <w:sz w:val="20"/>
          <w:szCs w:val="20"/>
          <w:lang w:val="pt-BR"/>
        </w:rPr>
        <w:t xml:space="preserve"> a</w:t>
      </w:r>
      <w:r w:rsidR="0054428F" w:rsidRPr="005D6E61">
        <w:rPr>
          <w:rFonts w:ascii="Cambria" w:hAnsi="Cambria"/>
          <w:sz w:val="20"/>
          <w:szCs w:val="20"/>
          <w:lang w:val="pt-BR"/>
        </w:rPr>
        <w:t>ç</w:t>
      </w:r>
      <w:r w:rsidR="00F77B7F" w:rsidRPr="005D6E61">
        <w:rPr>
          <w:rFonts w:ascii="Cambria" w:hAnsi="Cambria"/>
          <w:sz w:val="20"/>
          <w:szCs w:val="20"/>
          <w:lang w:val="pt-BR"/>
        </w:rPr>
        <w:t>ões</w:t>
      </w:r>
      <w:r w:rsidR="00AA70A5" w:rsidRPr="005D6E61">
        <w:rPr>
          <w:rFonts w:ascii="Cambria" w:hAnsi="Cambria"/>
          <w:sz w:val="20"/>
          <w:szCs w:val="20"/>
          <w:lang w:val="pt-BR"/>
        </w:rPr>
        <w:t xml:space="preserve"> </w:t>
      </w:r>
      <w:r w:rsidR="005B67BB" w:rsidRPr="005D6E61">
        <w:rPr>
          <w:rFonts w:ascii="Cambria" w:hAnsi="Cambria"/>
          <w:sz w:val="20"/>
          <w:szCs w:val="20"/>
          <w:lang w:val="pt-BR"/>
        </w:rPr>
        <w:t>trabalhistas</w:t>
      </w:r>
      <w:r w:rsidR="00AA70A5" w:rsidRPr="005D6E61">
        <w:rPr>
          <w:rStyle w:val="FootnoteReference"/>
          <w:rFonts w:ascii="Cambria" w:hAnsi="Cambria"/>
          <w:sz w:val="20"/>
          <w:szCs w:val="20"/>
          <w:lang w:val="pt-BR"/>
        </w:rPr>
        <w:footnoteReference w:id="18"/>
      </w:r>
      <w:r w:rsidR="00333C3A" w:rsidRPr="005D6E61">
        <w:rPr>
          <w:rFonts w:ascii="Cambria" w:hAnsi="Cambria"/>
          <w:sz w:val="20"/>
          <w:szCs w:val="20"/>
          <w:lang w:val="pt-BR"/>
        </w:rPr>
        <w:t>.</w:t>
      </w:r>
      <w:r w:rsidR="00F77B7F" w:rsidRPr="005D6E61">
        <w:rPr>
          <w:rFonts w:ascii="Cambria" w:hAnsi="Cambria"/>
          <w:sz w:val="20"/>
          <w:szCs w:val="20"/>
          <w:lang w:val="pt-BR"/>
        </w:rPr>
        <w:t xml:space="preserve"> </w:t>
      </w:r>
      <w:r w:rsidR="005B67BB" w:rsidRPr="005D6E61">
        <w:rPr>
          <w:rFonts w:ascii="Cambria" w:hAnsi="Cambria"/>
          <w:sz w:val="20"/>
          <w:szCs w:val="20"/>
          <w:lang w:val="pt-BR"/>
        </w:rPr>
        <w:t>O</w:t>
      </w:r>
      <w:r w:rsidR="00F77B7F" w:rsidRPr="005D6E61">
        <w:rPr>
          <w:rFonts w:ascii="Cambria" w:hAnsi="Cambria"/>
          <w:sz w:val="20"/>
          <w:szCs w:val="20"/>
          <w:lang w:val="pt-BR"/>
        </w:rPr>
        <w:t xml:space="preserve">s </w:t>
      </w:r>
      <w:r w:rsidR="00CD523F" w:rsidRPr="005D6E61">
        <w:rPr>
          <w:rFonts w:ascii="Cambria" w:hAnsi="Cambria"/>
          <w:sz w:val="20"/>
          <w:szCs w:val="20"/>
          <w:lang w:val="pt-BR"/>
        </w:rPr>
        <w:t>peticionário</w:t>
      </w:r>
      <w:r w:rsidR="00AA70A5" w:rsidRPr="005D6E61">
        <w:rPr>
          <w:rFonts w:ascii="Cambria" w:hAnsi="Cambria"/>
          <w:sz w:val="20"/>
          <w:szCs w:val="20"/>
          <w:lang w:val="pt-BR"/>
        </w:rPr>
        <w:t xml:space="preserve">s </w:t>
      </w:r>
      <w:r w:rsidR="005B67BB" w:rsidRPr="005D6E61">
        <w:rPr>
          <w:rFonts w:ascii="Cambria" w:hAnsi="Cambria"/>
          <w:sz w:val="20"/>
          <w:szCs w:val="20"/>
          <w:lang w:val="pt-BR"/>
        </w:rPr>
        <w:t>afirmaram</w:t>
      </w:r>
      <w:r w:rsidR="00AA70A5" w:rsidRPr="005D6E61">
        <w:rPr>
          <w:rFonts w:ascii="Cambria" w:hAnsi="Cambria"/>
          <w:sz w:val="20"/>
          <w:szCs w:val="20"/>
          <w:lang w:val="pt-BR"/>
        </w:rPr>
        <w:t xml:space="preserve"> que s</w:t>
      </w:r>
      <w:r w:rsidR="005B67BB" w:rsidRPr="005D6E61">
        <w:rPr>
          <w:rFonts w:ascii="Cambria" w:hAnsi="Cambria"/>
          <w:sz w:val="20"/>
          <w:szCs w:val="20"/>
          <w:lang w:val="pt-BR"/>
        </w:rPr>
        <w:t>ofreu</w:t>
      </w:r>
      <w:r w:rsidR="00BF0B90" w:rsidRPr="005D6E61">
        <w:rPr>
          <w:rFonts w:ascii="Cambria" w:hAnsi="Cambria"/>
          <w:sz w:val="20"/>
          <w:szCs w:val="20"/>
          <w:lang w:val="pt-BR"/>
        </w:rPr>
        <w:t xml:space="preserve"> </w:t>
      </w:r>
      <w:r w:rsidR="00AA70A5" w:rsidRPr="005D6E61">
        <w:rPr>
          <w:rFonts w:ascii="Cambria" w:hAnsi="Cambria"/>
          <w:sz w:val="20"/>
          <w:szCs w:val="20"/>
          <w:lang w:val="pt-BR"/>
        </w:rPr>
        <w:t>agres</w:t>
      </w:r>
      <w:r w:rsidR="005B67BB" w:rsidRPr="005D6E61">
        <w:rPr>
          <w:rFonts w:ascii="Cambria" w:hAnsi="Cambria"/>
          <w:sz w:val="20"/>
          <w:szCs w:val="20"/>
          <w:lang w:val="pt-BR"/>
        </w:rPr>
        <w:t>sõ</w:t>
      </w:r>
      <w:r w:rsidR="00AA70A5" w:rsidRPr="005D6E61">
        <w:rPr>
          <w:rFonts w:ascii="Cambria" w:hAnsi="Cambria"/>
          <w:sz w:val="20"/>
          <w:szCs w:val="20"/>
          <w:lang w:val="pt-BR"/>
        </w:rPr>
        <w:t>es por parte</w:t>
      </w:r>
      <w:r w:rsidR="00F77B7F" w:rsidRPr="005D6E61">
        <w:rPr>
          <w:rFonts w:ascii="Cambria" w:hAnsi="Cambria"/>
          <w:sz w:val="20"/>
          <w:szCs w:val="20"/>
          <w:lang w:val="pt-BR"/>
        </w:rPr>
        <w:t xml:space="preserve"> do </w:t>
      </w:r>
      <w:r w:rsidR="00AA70A5" w:rsidRPr="005D6E61">
        <w:rPr>
          <w:rFonts w:ascii="Cambria" w:hAnsi="Cambria"/>
          <w:sz w:val="20"/>
          <w:szCs w:val="20"/>
          <w:lang w:val="pt-BR"/>
        </w:rPr>
        <w:t>d</w:t>
      </w:r>
      <w:r w:rsidR="005B67BB" w:rsidRPr="005D6E61">
        <w:rPr>
          <w:rFonts w:ascii="Cambria" w:hAnsi="Cambria"/>
          <w:sz w:val="20"/>
          <w:szCs w:val="20"/>
          <w:lang w:val="pt-BR"/>
        </w:rPr>
        <w:t>on</w:t>
      </w:r>
      <w:r w:rsidR="00AA70A5" w:rsidRPr="005D6E61">
        <w:rPr>
          <w:rFonts w:ascii="Cambria" w:hAnsi="Cambria"/>
          <w:sz w:val="20"/>
          <w:szCs w:val="20"/>
          <w:lang w:val="pt-BR"/>
        </w:rPr>
        <w:t>o de</w:t>
      </w:r>
      <w:r w:rsidR="00275A65" w:rsidRPr="005D6E61">
        <w:rPr>
          <w:rFonts w:ascii="Cambria" w:hAnsi="Cambria"/>
          <w:sz w:val="20"/>
          <w:szCs w:val="20"/>
          <w:lang w:val="pt-BR"/>
        </w:rPr>
        <w:t xml:space="preserve"> um </w:t>
      </w:r>
      <w:r w:rsidR="005B67BB" w:rsidRPr="005D6E61">
        <w:rPr>
          <w:rFonts w:ascii="Cambria" w:hAnsi="Cambria"/>
          <w:sz w:val="20"/>
          <w:szCs w:val="20"/>
          <w:lang w:val="pt-BR"/>
        </w:rPr>
        <w:t>engenho</w:t>
      </w:r>
      <w:r w:rsidR="00275A65" w:rsidRPr="005D6E61">
        <w:rPr>
          <w:rFonts w:ascii="Cambria" w:hAnsi="Cambria"/>
          <w:sz w:val="20"/>
          <w:szCs w:val="20"/>
          <w:lang w:val="pt-BR"/>
        </w:rPr>
        <w:t xml:space="preserve"> um </w:t>
      </w:r>
      <w:r w:rsidR="00AA70A5" w:rsidRPr="005D6E61">
        <w:rPr>
          <w:rFonts w:ascii="Cambria" w:hAnsi="Cambria"/>
          <w:sz w:val="20"/>
          <w:szCs w:val="20"/>
          <w:lang w:val="pt-BR"/>
        </w:rPr>
        <w:t>a</w:t>
      </w:r>
      <w:r w:rsidR="005B67BB" w:rsidRPr="005D6E61">
        <w:rPr>
          <w:rFonts w:ascii="Cambria" w:hAnsi="Cambria"/>
          <w:sz w:val="20"/>
          <w:szCs w:val="20"/>
          <w:lang w:val="pt-BR"/>
        </w:rPr>
        <w:t>n</w:t>
      </w:r>
      <w:r w:rsidR="00AA70A5" w:rsidRPr="005D6E61">
        <w:rPr>
          <w:rFonts w:ascii="Cambria" w:hAnsi="Cambria"/>
          <w:sz w:val="20"/>
          <w:szCs w:val="20"/>
          <w:lang w:val="pt-BR"/>
        </w:rPr>
        <w:t>o antes de su</w:t>
      </w:r>
      <w:r w:rsidR="005B67BB" w:rsidRPr="005D6E61">
        <w:rPr>
          <w:rFonts w:ascii="Cambria" w:hAnsi="Cambria"/>
          <w:sz w:val="20"/>
          <w:szCs w:val="20"/>
          <w:lang w:val="pt-BR"/>
        </w:rPr>
        <w:t>a</w:t>
      </w:r>
      <w:r w:rsidR="00AA70A5" w:rsidRPr="005D6E61">
        <w:rPr>
          <w:rFonts w:ascii="Cambria" w:hAnsi="Cambria"/>
          <w:sz w:val="20"/>
          <w:szCs w:val="20"/>
          <w:lang w:val="pt-BR"/>
        </w:rPr>
        <w:t xml:space="preserve"> </w:t>
      </w:r>
      <w:r w:rsidR="003619A0" w:rsidRPr="005D6E61">
        <w:rPr>
          <w:rFonts w:ascii="Cambria" w:hAnsi="Cambria"/>
          <w:sz w:val="20"/>
          <w:szCs w:val="20"/>
          <w:lang w:val="pt-BR"/>
        </w:rPr>
        <w:t>morte</w:t>
      </w:r>
      <w:r w:rsidR="00AA70A5" w:rsidRPr="005D6E61">
        <w:rPr>
          <w:rStyle w:val="FootnoteReference"/>
          <w:rFonts w:ascii="Cambria" w:hAnsi="Cambria"/>
          <w:sz w:val="20"/>
          <w:szCs w:val="20"/>
          <w:lang w:val="pt-BR"/>
        </w:rPr>
        <w:footnoteReference w:id="19"/>
      </w:r>
      <w:r w:rsidR="00333C3A" w:rsidRPr="005D6E61">
        <w:rPr>
          <w:rFonts w:ascii="Cambria" w:hAnsi="Cambria"/>
          <w:sz w:val="20"/>
          <w:szCs w:val="20"/>
          <w:lang w:val="pt-BR"/>
        </w:rPr>
        <w:t>.</w:t>
      </w:r>
      <w:r w:rsidR="00AA70A5" w:rsidRPr="005D6E61">
        <w:rPr>
          <w:rFonts w:ascii="Cambria" w:hAnsi="Cambria"/>
          <w:sz w:val="20"/>
          <w:szCs w:val="20"/>
          <w:lang w:val="pt-BR"/>
        </w:rPr>
        <w:t xml:space="preserve">  </w:t>
      </w:r>
      <w:r w:rsidR="00333C3A" w:rsidRPr="005D6E61">
        <w:rPr>
          <w:rFonts w:ascii="Cambria" w:hAnsi="Cambria"/>
          <w:sz w:val="20"/>
          <w:szCs w:val="20"/>
          <w:lang w:val="pt-BR"/>
        </w:rPr>
        <w:t>O</w:t>
      </w:r>
      <w:r w:rsidR="005B67BB" w:rsidRPr="005D6E61">
        <w:rPr>
          <w:rFonts w:ascii="Cambria" w:hAnsi="Cambria"/>
          <w:sz w:val="20"/>
          <w:szCs w:val="20"/>
          <w:lang w:val="pt-BR"/>
        </w:rPr>
        <w:t>u</w:t>
      </w:r>
      <w:r w:rsidR="00AA70A5" w:rsidRPr="005D6E61">
        <w:rPr>
          <w:rFonts w:ascii="Cambria" w:hAnsi="Cambria"/>
          <w:sz w:val="20"/>
          <w:szCs w:val="20"/>
          <w:lang w:val="pt-BR"/>
        </w:rPr>
        <w:t xml:space="preserve">tras </w:t>
      </w:r>
      <w:r w:rsidR="0054428F" w:rsidRPr="005D6E61">
        <w:rPr>
          <w:rFonts w:ascii="Cambria" w:hAnsi="Cambria"/>
          <w:sz w:val="20"/>
          <w:szCs w:val="20"/>
          <w:lang w:val="pt-BR"/>
        </w:rPr>
        <w:t>pessoa</w:t>
      </w:r>
      <w:r w:rsidR="00AA70A5" w:rsidRPr="005D6E61">
        <w:rPr>
          <w:rFonts w:ascii="Cambria" w:hAnsi="Cambria"/>
          <w:sz w:val="20"/>
          <w:szCs w:val="20"/>
          <w:lang w:val="pt-BR"/>
        </w:rPr>
        <w:t xml:space="preserve">s </w:t>
      </w:r>
      <w:r w:rsidR="005B67BB" w:rsidRPr="005D6E61">
        <w:rPr>
          <w:rFonts w:ascii="Cambria" w:hAnsi="Cambria"/>
          <w:sz w:val="20"/>
          <w:szCs w:val="20"/>
          <w:lang w:val="pt-BR"/>
        </w:rPr>
        <w:t>afirmaram</w:t>
      </w:r>
      <w:r w:rsidR="00AA70A5" w:rsidRPr="005D6E61">
        <w:rPr>
          <w:rFonts w:ascii="Cambria" w:hAnsi="Cambria"/>
          <w:sz w:val="20"/>
          <w:szCs w:val="20"/>
          <w:lang w:val="pt-BR"/>
        </w:rPr>
        <w:t xml:space="preserve"> que f</w:t>
      </w:r>
      <w:r w:rsidR="005B67BB" w:rsidRPr="005D6E61">
        <w:rPr>
          <w:rFonts w:ascii="Cambria" w:hAnsi="Cambria"/>
          <w:sz w:val="20"/>
          <w:szCs w:val="20"/>
          <w:lang w:val="pt-BR"/>
        </w:rPr>
        <w:t>oi ameaç</w:t>
      </w:r>
      <w:r w:rsidR="00AA70A5" w:rsidRPr="005D6E61">
        <w:rPr>
          <w:rFonts w:ascii="Cambria" w:hAnsi="Cambria"/>
          <w:sz w:val="20"/>
          <w:szCs w:val="20"/>
          <w:lang w:val="pt-BR"/>
        </w:rPr>
        <w:t>ada</w:t>
      </w:r>
      <w:r w:rsidR="007612B9" w:rsidRPr="005D6E61">
        <w:rPr>
          <w:rFonts w:ascii="Cambria" w:hAnsi="Cambria"/>
          <w:sz w:val="20"/>
          <w:szCs w:val="20"/>
          <w:lang w:val="pt-BR"/>
        </w:rPr>
        <w:t xml:space="preserve"> pelo </w:t>
      </w:r>
      <w:r w:rsidR="00AA70A5" w:rsidRPr="005D6E61">
        <w:rPr>
          <w:rFonts w:ascii="Cambria" w:hAnsi="Cambria"/>
          <w:sz w:val="20"/>
          <w:szCs w:val="20"/>
          <w:lang w:val="pt-BR"/>
        </w:rPr>
        <w:t>“Grupo d</w:t>
      </w:r>
      <w:r w:rsidR="005B67BB" w:rsidRPr="005D6E61">
        <w:rPr>
          <w:rFonts w:ascii="Cambria" w:hAnsi="Cambria"/>
          <w:sz w:val="20"/>
          <w:szCs w:val="20"/>
          <w:lang w:val="pt-BR"/>
        </w:rPr>
        <w:t>a</w:t>
      </w:r>
      <w:r w:rsidR="00AA70A5" w:rsidRPr="005D6E61">
        <w:rPr>
          <w:rFonts w:ascii="Cambria" w:hAnsi="Cambria"/>
          <w:sz w:val="20"/>
          <w:szCs w:val="20"/>
          <w:lang w:val="pt-BR"/>
        </w:rPr>
        <w:t xml:space="preserve"> V</w:t>
      </w:r>
      <w:r w:rsidR="005B67BB" w:rsidRPr="005D6E61">
        <w:rPr>
          <w:rFonts w:ascii="Cambria" w:hAnsi="Cambria"/>
          <w:sz w:val="20"/>
          <w:szCs w:val="20"/>
          <w:lang w:val="pt-BR"/>
        </w:rPr>
        <w:t>á</w:t>
      </w:r>
      <w:r w:rsidR="00AA70A5" w:rsidRPr="005D6E61">
        <w:rPr>
          <w:rFonts w:ascii="Cambria" w:hAnsi="Cambria"/>
          <w:sz w:val="20"/>
          <w:szCs w:val="20"/>
          <w:lang w:val="pt-BR"/>
        </w:rPr>
        <w:t>rzea”</w:t>
      </w:r>
      <w:r w:rsidR="004642E3" w:rsidRPr="005D6E61">
        <w:rPr>
          <w:rFonts w:ascii="Cambria" w:hAnsi="Cambria"/>
          <w:sz w:val="20"/>
          <w:szCs w:val="20"/>
          <w:lang w:val="pt-BR"/>
        </w:rPr>
        <w:t>,</w:t>
      </w:r>
      <w:r w:rsidR="003D52AC" w:rsidRPr="005D6E61">
        <w:rPr>
          <w:rFonts w:ascii="Cambria" w:hAnsi="Cambria"/>
          <w:sz w:val="20"/>
          <w:szCs w:val="20"/>
          <w:lang w:val="pt-BR"/>
        </w:rPr>
        <w:t xml:space="preserve"> que, como se indic</w:t>
      </w:r>
      <w:r w:rsidR="00BF0B90" w:rsidRPr="005D6E61">
        <w:rPr>
          <w:rFonts w:ascii="Cambria" w:hAnsi="Cambria"/>
          <w:sz w:val="20"/>
          <w:szCs w:val="20"/>
          <w:lang w:val="pt-BR"/>
        </w:rPr>
        <w:t xml:space="preserve">ou </w:t>
      </w:r>
      <w:r w:rsidR="005A2381" w:rsidRPr="005D6E61">
        <w:rPr>
          <w:rFonts w:ascii="Cambria" w:hAnsi="Cambria"/>
          <w:sz w:val="20"/>
          <w:szCs w:val="20"/>
          <w:lang w:val="pt-BR"/>
        </w:rPr>
        <w:t xml:space="preserve">na </w:t>
      </w:r>
      <w:r w:rsidR="003D52AC" w:rsidRPr="005D6E61">
        <w:rPr>
          <w:rFonts w:ascii="Cambria" w:hAnsi="Cambria"/>
          <w:sz w:val="20"/>
          <w:szCs w:val="20"/>
          <w:lang w:val="pt-BR"/>
        </w:rPr>
        <w:t>se</w:t>
      </w:r>
      <w:r w:rsidR="00704E7B" w:rsidRPr="005D6E61">
        <w:rPr>
          <w:rFonts w:ascii="Cambria" w:hAnsi="Cambria"/>
          <w:sz w:val="20"/>
          <w:szCs w:val="20"/>
          <w:lang w:val="pt-BR"/>
        </w:rPr>
        <w:t>ç</w:t>
      </w:r>
      <w:r w:rsidR="00A274D9" w:rsidRPr="005D6E61">
        <w:rPr>
          <w:rFonts w:ascii="Cambria" w:hAnsi="Cambria"/>
          <w:sz w:val="20"/>
          <w:szCs w:val="20"/>
          <w:lang w:val="pt-BR"/>
        </w:rPr>
        <w:t>ão</w:t>
      </w:r>
      <w:r w:rsidR="003D52AC" w:rsidRPr="005D6E61">
        <w:rPr>
          <w:rFonts w:ascii="Cambria" w:hAnsi="Cambria"/>
          <w:sz w:val="20"/>
          <w:szCs w:val="20"/>
          <w:lang w:val="pt-BR"/>
        </w:rPr>
        <w:t xml:space="preserve"> anterior, era recon</w:t>
      </w:r>
      <w:r w:rsidR="005B67BB" w:rsidRPr="005D6E61">
        <w:rPr>
          <w:rFonts w:ascii="Cambria" w:hAnsi="Cambria"/>
          <w:sz w:val="20"/>
          <w:szCs w:val="20"/>
          <w:lang w:val="pt-BR"/>
        </w:rPr>
        <w:t>he</w:t>
      </w:r>
      <w:r w:rsidR="003D52AC" w:rsidRPr="005D6E61">
        <w:rPr>
          <w:rFonts w:ascii="Cambria" w:hAnsi="Cambria"/>
          <w:sz w:val="20"/>
          <w:szCs w:val="20"/>
          <w:lang w:val="pt-BR"/>
        </w:rPr>
        <w:t xml:space="preserve">cido por </w:t>
      </w:r>
      <w:r w:rsidR="005B67BB" w:rsidRPr="005D6E61">
        <w:rPr>
          <w:rFonts w:ascii="Cambria" w:hAnsi="Cambria"/>
          <w:sz w:val="20"/>
          <w:szCs w:val="20"/>
          <w:lang w:val="pt-BR"/>
        </w:rPr>
        <w:t xml:space="preserve">se </w:t>
      </w:r>
      <w:r w:rsidR="003D52AC" w:rsidRPr="005D6E61">
        <w:rPr>
          <w:rFonts w:ascii="Cambria" w:hAnsi="Cambria"/>
          <w:sz w:val="20"/>
          <w:szCs w:val="20"/>
          <w:lang w:val="pt-BR"/>
        </w:rPr>
        <w:t>tratar de</w:t>
      </w:r>
      <w:r w:rsidR="00275A65" w:rsidRPr="005D6E61">
        <w:rPr>
          <w:rFonts w:ascii="Cambria" w:hAnsi="Cambria"/>
          <w:sz w:val="20"/>
          <w:szCs w:val="20"/>
          <w:lang w:val="pt-BR"/>
        </w:rPr>
        <w:t xml:space="preserve"> um </w:t>
      </w:r>
      <w:r w:rsidR="00AA70A5" w:rsidRPr="005D6E61">
        <w:rPr>
          <w:rFonts w:ascii="Cambria" w:hAnsi="Cambria"/>
          <w:sz w:val="20"/>
          <w:szCs w:val="20"/>
          <w:lang w:val="pt-BR"/>
        </w:rPr>
        <w:t>grupo político</w:t>
      </w:r>
      <w:r w:rsidR="005B67BB" w:rsidRPr="005D6E61">
        <w:rPr>
          <w:rFonts w:ascii="Cambria" w:hAnsi="Cambria"/>
          <w:sz w:val="20"/>
          <w:szCs w:val="20"/>
          <w:lang w:val="pt-BR"/>
        </w:rPr>
        <w:t xml:space="preserve"> e</w:t>
      </w:r>
      <w:r w:rsidR="00AA70A5" w:rsidRPr="005D6E61">
        <w:rPr>
          <w:rFonts w:ascii="Cambria" w:hAnsi="Cambria"/>
          <w:sz w:val="20"/>
          <w:szCs w:val="20"/>
          <w:lang w:val="pt-BR"/>
        </w:rPr>
        <w:t xml:space="preserve"> econ</w:t>
      </w:r>
      <w:r w:rsidR="005B67BB" w:rsidRPr="005D6E61">
        <w:rPr>
          <w:rFonts w:ascii="Cambria" w:hAnsi="Cambria"/>
          <w:sz w:val="20"/>
          <w:szCs w:val="20"/>
          <w:lang w:val="pt-BR"/>
        </w:rPr>
        <w:t>ô</w:t>
      </w:r>
      <w:r w:rsidR="00AA70A5" w:rsidRPr="005D6E61">
        <w:rPr>
          <w:rFonts w:ascii="Cambria" w:hAnsi="Cambria"/>
          <w:sz w:val="20"/>
          <w:szCs w:val="20"/>
          <w:lang w:val="pt-BR"/>
        </w:rPr>
        <w:t>mico formado por d</w:t>
      </w:r>
      <w:r w:rsidR="005B67BB" w:rsidRPr="005D6E61">
        <w:rPr>
          <w:rFonts w:ascii="Cambria" w:hAnsi="Cambria"/>
          <w:sz w:val="20"/>
          <w:szCs w:val="20"/>
          <w:lang w:val="pt-BR"/>
        </w:rPr>
        <w:t>e</w:t>
      </w:r>
      <w:r w:rsidR="00AA70A5" w:rsidRPr="005D6E61">
        <w:rPr>
          <w:rFonts w:ascii="Cambria" w:hAnsi="Cambria"/>
          <w:sz w:val="20"/>
          <w:szCs w:val="20"/>
          <w:lang w:val="pt-BR"/>
        </w:rPr>
        <w:t>putados estadu</w:t>
      </w:r>
      <w:r w:rsidR="00331E62" w:rsidRPr="005D6E61">
        <w:rPr>
          <w:rFonts w:ascii="Cambria" w:hAnsi="Cambria"/>
          <w:sz w:val="20"/>
          <w:szCs w:val="20"/>
          <w:lang w:val="pt-BR"/>
        </w:rPr>
        <w:t>ais</w:t>
      </w:r>
      <w:r w:rsidR="006C5454" w:rsidRPr="005D6E61">
        <w:rPr>
          <w:rFonts w:ascii="Cambria" w:hAnsi="Cambria"/>
          <w:sz w:val="20"/>
          <w:szCs w:val="20"/>
          <w:lang w:val="pt-BR"/>
        </w:rPr>
        <w:t xml:space="preserve"> e </w:t>
      </w:r>
      <w:r w:rsidR="00AA70A5" w:rsidRPr="005D6E61">
        <w:rPr>
          <w:rFonts w:ascii="Cambria" w:hAnsi="Cambria"/>
          <w:sz w:val="20"/>
          <w:szCs w:val="20"/>
          <w:lang w:val="pt-BR"/>
        </w:rPr>
        <w:t>feder</w:t>
      </w:r>
      <w:r w:rsidR="00331E62" w:rsidRPr="005D6E61">
        <w:rPr>
          <w:rFonts w:ascii="Cambria" w:hAnsi="Cambria"/>
          <w:sz w:val="20"/>
          <w:szCs w:val="20"/>
          <w:lang w:val="pt-BR"/>
        </w:rPr>
        <w:t>ais</w:t>
      </w:r>
      <w:r w:rsidR="00AA70A5" w:rsidRPr="005D6E61">
        <w:rPr>
          <w:rFonts w:ascii="Cambria" w:hAnsi="Cambria"/>
          <w:sz w:val="20"/>
          <w:szCs w:val="20"/>
          <w:lang w:val="pt-BR"/>
        </w:rPr>
        <w:t xml:space="preserve">, agentes de </w:t>
      </w:r>
      <w:r w:rsidR="005A2381" w:rsidRPr="005D6E61">
        <w:rPr>
          <w:rFonts w:ascii="Cambria" w:hAnsi="Cambria"/>
          <w:sz w:val="20"/>
          <w:szCs w:val="20"/>
          <w:lang w:val="pt-BR"/>
        </w:rPr>
        <w:t>segurança</w:t>
      </w:r>
      <w:r w:rsidR="00AA70A5" w:rsidRPr="005D6E61">
        <w:rPr>
          <w:rFonts w:ascii="Cambria" w:hAnsi="Cambria"/>
          <w:sz w:val="20"/>
          <w:szCs w:val="20"/>
          <w:lang w:val="pt-BR"/>
        </w:rPr>
        <w:t xml:space="preserve"> pública, </w:t>
      </w:r>
      <w:r w:rsidR="005B67BB" w:rsidRPr="005D6E61">
        <w:rPr>
          <w:rFonts w:ascii="Cambria" w:hAnsi="Cambria"/>
          <w:sz w:val="20"/>
          <w:szCs w:val="20"/>
          <w:lang w:val="pt-BR"/>
        </w:rPr>
        <w:t>fazendeiros</w:t>
      </w:r>
      <w:r w:rsidR="006C5454" w:rsidRPr="005D6E61">
        <w:rPr>
          <w:rFonts w:ascii="Cambria" w:hAnsi="Cambria"/>
          <w:sz w:val="20"/>
          <w:szCs w:val="20"/>
          <w:lang w:val="pt-BR"/>
        </w:rPr>
        <w:t xml:space="preserve"> e </w:t>
      </w:r>
      <w:r w:rsidR="00AA70A5" w:rsidRPr="005D6E61">
        <w:rPr>
          <w:rFonts w:ascii="Cambria" w:hAnsi="Cambria"/>
          <w:sz w:val="20"/>
          <w:szCs w:val="20"/>
          <w:lang w:val="pt-BR"/>
        </w:rPr>
        <w:t>o</w:t>
      </w:r>
      <w:r w:rsidR="005B67BB" w:rsidRPr="005D6E61">
        <w:rPr>
          <w:rFonts w:ascii="Cambria" w:hAnsi="Cambria"/>
          <w:sz w:val="20"/>
          <w:szCs w:val="20"/>
          <w:lang w:val="pt-BR"/>
        </w:rPr>
        <w:t>u</w:t>
      </w:r>
      <w:r w:rsidR="00AA70A5" w:rsidRPr="005D6E61">
        <w:rPr>
          <w:rFonts w:ascii="Cambria" w:hAnsi="Cambria"/>
          <w:sz w:val="20"/>
          <w:szCs w:val="20"/>
          <w:lang w:val="pt-BR"/>
        </w:rPr>
        <w:t xml:space="preserve">tras </w:t>
      </w:r>
      <w:r w:rsidR="0054428F" w:rsidRPr="005D6E61">
        <w:rPr>
          <w:rFonts w:ascii="Cambria" w:hAnsi="Cambria"/>
          <w:sz w:val="20"/>
          <w:szCs w:val="20"/>
          <w:lang w:val="pt-BR"/>
        </w:rPr>
        <w:t>pessoa</w:t>
      </w:r>
      <w:r w:rsidR="00AA70A5" w:rsidRPr="005D6E61">
        <w:rPr>
          <w:rFonts w:ascii="Cambria" w:hAnsi="Cambria"/>
          <w:sz w:val="20"/>
          <w:szCs w:val="20"/>
          <w:lang w:val="pt-BR"/>
        </w:rPr>
        <w:t>s</w:t>
      </w:r>
      <w:r w:rsidR="00AA70A5" w:rsidRPr="005D6E61">
        <w:rPr>
          <w:rStyle w:val="FootnoteReference"/>
          <w:rFonts w:ascii="Cambria" w:hAnsi="Cambria"/>
          <w:sz w:val="20"/>
          <w:szCs w:val="20"/>
          <w:lang w:val="pt-BR"/>
        </w:rPr>
        <w:footnoteReference w:id="20"/>
      </w:r>
      <w:r w:rsidR="00AA70A5" w:rsidRPr="005D6E61">
        <w:rPr>
          <w:rFonts w:ascii="Cambria" w:hAnsi="Cambria"/>
          <w:sz w:val="20"/>
          <w:szCs w:val="20"/>
          <w:lang w:val="pt-BR"/>
        </w:rPr>
        <w:t>.</w:t>
      </w:r>
    </w:p>
    <w:p w14:paraId="15829D9F" w14:textId="77777777" w:rsidR="000D7B11" w:rsidRPr="005D6E61" w:rsidRDefault="000D7B11" w:rsidP="00AD7E8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pt-BR"/>
        </w:rPr>
      </w:pPr>
    </w:p>
    <w:p w14:paraId="4EE5AA50" w14:textId="77777777" w:rsidR="002E2BF9" w:rsidRPr="005D6E61"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lang w:val="pt-BR"/>
        </w:rPr>
      </w:pPr>
      <w:r w:rsidRPr="005D6E61">
        <w:rPr>
          <w:rFonts w:ascii="Cambria" w:hAnsi="Cambria"/>
          <w:sz w:val="20"/>
          <w:szCs w:val="20"/>
          <w:lang w:val="pt-BR"/>
        </w:rPr>
        <w:t>A</w:t>
      </w:r>
      <w:r w:rsidR="005B67BB" w:rsidRPr="005D6E61">
        <w:rPr>
          <w:rFonts w:ascii="Cambria" w:hAnsi="Cambria"/>
          <w:sz w:val="20"/>
          <w:szCs w:val="20"/>
          <w:lang w:val="pt-BR"/>
        </w:rPr>
        <w:t>lém disso</w:t>
      </w:r>
      <w:r w:rsidRPr="005D6E61">
        <w:rPr>
          <w:rFonts w:ascii="Cambria" w:hAnsi="Cambria"/>
          <w:sz w:val="20"/>
          <w:szCs w:val="20"/>
          <w:lang w:val="pt-BR"/>
        </w:rPr>
        <w:t>, Severino Cassemiro Alves</w:t>
      </w:r>
      <w:r w:rsidR="008E5748" w:rsidRPr="005D6E61">
        <w:rPr>
          <w:rFonts w:ascii="Cambria" w:hAnsi="Cambria"/>
          <w:sz w:val="20"/>
          <w:szCs w:val="20"/>
          <w:lang w:val="pt-BR"/>
        </w:rPr>
        <w:t xml:space="preserve">, esposo de </w:t>
      </w:r>
      <w:r w:rsidRPr="005D6E61">
        <w:rPr>
          <w:rFonts w:ascii="Cambria" w:hAnsi="Cambria"/>
          <w:sz w:val="20"/>
          <w:szCs w:val="20"/>
          <w:lang w:val="pt-BR"/>
        </w:rPr>
        <w:t>Margarida Maria Alves</w:t>
      </w:r>
      <w:r w:rsidR="005B67BB" w:rsidRPr="005D6E61">
        <w:rPr>
          <w:rFonts w:ascii="Cambria" w:hAnsi="Cambria"/>
          <w:sz w:val="20"/>
          <w:szCs w:val="20"/>
          <w:lang w:val="pt-BR"/>
        </w:rPr>
        <w:t>,</w:t>
      </w:r>
      <w:r w:rsidR="008E5748" w:rsidRPr="005D6E61">
        <w:rPr>
          <w:rFonts w:ascii="Cambria" w:hAnsi="Cambria"/>
          <w:sz w:val="20"/>
          <w:szCs w:val="20"/>
          <w:lang w:val="pt-BR"/>
        </w:rPr>
        <w:t xml:space="preserve"> indic</w:t>
      </w:r>
      <w:r w:rsidR="00BF0B90" w:rsidRPr="005D6E61">
        <w:rPr>
          <w:rFonts w:ascii="Cambria" w:hAnsi="Cambria"/>
          <w:sz w:val="20"/>
          <w:szCs w:val="20"/>
          <w:lang w:val="pt-BR"/>
        </w:rPr>
        <w:t xml:space="preserve">ou </w:t>
      </w:r>
      <w:r w:rsidR="008E5748" w:rsidRPr="005D6E61">
        <w:rPr>
          <w:rFonts w:ascii="Cambria" w:hAnsi="Cambria"/>
          <w:sz w:val="20"/>
          <w:szCs w:val="20"/>
          <w:lang w:val="pt-BR"/>
        </w:rPr>
        <w:t xml:space="preserve">que ela </w:t>
      </w:r>
      <w:r w:rsidR="005B67BB" w:rsidRPr="005D6E61">
        <w:rPr>
          <w:rFonts w:ascii="Cambria" w:hAnsi="Cambria"/>
          <w:sz w:val="20"/>
          <w:szCs w:val="20"/>
          <w:lang w:val="pt-BR"/>
        </w:rPr>
        <w:t>já</w:t>
      </w:r>
      <w:r w:rsidRPr="005D6E61">
        <w:rPr>
          <w:rFonts w:ascii="Cambria" w:hAnsi="Cambria"/>
          <w:sz w:val="20"/>
          <w:szCs w:val="20"/>
          <w:lang w:val="pt-BR"/>
        </w:rPr>
        <w:t xml:space="preserve"> ha</w:t>
      </w:r>
      <w:r w:rsidR="005B67BB" w:rsidRPr="005D6E61">
        <w:rPr>
          <w:rFonts w:ascii="Cambria" w:hAnsi="Cambria"/>
          <w:sz w:val="20"/>
          <w:szCs w:val="20"/>
          <w:lang w:val="pt-BR"/>
        </w:rPr>
        <w:t>v</w:t>
      </w:r>
      <w:r w:rsidR="005A2381" w:rsidRPr="005D6E61">
        <w:rPr>
          <w:rFonts w:ascii="Cambria" w:hAnsi="Cambria"/>
          <w:sz w:val="20"/>
          <w:szCs w:val="20"/>
          <w:lang w:val="pt-BR"/>
        </w:rPr>
        <w:t>ia</w:t>
      </w:r>
      <w:r w:rsidRPr="005D6E61">
        <w:rPr>
          <w:rFonts w:ascii="Cambria" w:hAnsi="Cambria"/>
          <w:sz w:val="20"/>
          <w:szCs w:val="20"/>
          <w:lang w:val="pt-BR"/>
        </w:rPr>
        <w:t xml:space="preserve"> sido objeto de </w:t>
      </w:r>
      <w:r w:rsidR="005B67BB" w:rsidRPr="005D6E61">
        <w:rPr>
          <w:rFonts w:ascii="Cambria" w:hAnsi="Cambria"/>
          <w:sz w:val="20"/>
          <w:szCs w:val="20"/>
          <w:lang w:val="pt-BR"/>
        </w:rPr>
        <w:t>ameaças por algun</w:t>
      </w:r>
      <w:r w:rsidRPr="005D6E61">
        <w:rPr>
          <w:rFonts w:ascii="Cambria" w:hAnsi="Cambria"/>
          <w:sz w:val="20"/>
          <w:szCs w:val="20"/>
          <w:lang w:val="pt-BR"/>
        </w:rPr>
        <w:t xml:space="preserve">s </w:t>
      </w:r>
      <w:r w:rsidR="000A58CD" w:rsidRPr="005D6E61">
        <w:rPr>
          <w:rFonts w:ascii="Cambria" w:hAnsi="Cambria"/>
          <w:sz w:val="20"/>
          <w:szCs w:val="20"/>
          <w:lang w:val="pt-BR"/>
        </w:rPr>
        <w:t>proprietários de terras</w:t>
      </w:r>
      <w:r w:rsidRPr="005D6E61">
        <w:rPr>
          <w:rFonts w:ascii="Cambria" w:hAnsi="Cambria"/>
          <w:sz w:val="20"/>
          <w:szCs w:val="20"/>
          <w:lang w:val="pt-BR"/>
        </w:rPr>
        <w:t>, qu</w:t>
      </w:r>
      <w:r w:rsidR="005B67BB" w:rsidRPr="005D6E61">
        <w:rPr>
          <w:rFonts w:ascii="Cambria" w:hAnsi="Cambria"/>
          <w:sz w:val="20"/>
          <w:szCs w:val="20"/>
          <w:lang w:val="pt-BR"/>
        </w:rPr>
        <w:t>e</w:t>
      </w:r>
      <w:r w:rsidRPr="005D6E61">
        <w:rPr>
          <w:rFonts w:ascii="Cambria" w:hAnsi="Cambria"/>
          <w:sz w:val="20"/>
          <w:szCs w:val="20"/>
          <w:lang w:val="pt-BR"/>
        </w:rPr>
        <w:t xml:space="preserve"> afirma</w:t>
      </w:r>
      <w:r w:rsidR="005B67BB" w:rsidRPr="005D6E61">
        <w:rPr>
          <w:rFonts w:ascii="Cambria" w:hAnsi="Cambria"/>
          <w:sz w:val="20"/>
          <w:szCs w:val="20"/>
          <w:lang w:val="pt-BR"/>
        </w:rPr>
        <w:t>vam</w:t>
      </w:r>
      <w:r w:rsidRPr="005D6E61">
        <w:rPr>
          <w:rFonts w:ascii="Cambria" w:hAnsi="Cambria"/>
          <w:sz w:val="20"/>
          <w:szCs w:val="20"/>
          <w:lang w:val="pt-BR"/>
        </w:rPr>
        <w:t xml:space="preserve"> que</w:t>
      </w:r>
      <w:r w:rsidR="00331E62" w:rsidRPr="005D6E61">
        <w:rPr>
          <w:rFonts w:ascii="Cambria" w:hAnsi="Cambria"/>
          <w:sz w:val="20"/>
          <w:szCs w:val="20"/>
          <w:lang w:val="pt-BR"/>
        </w:rPr>
        <w:t xml:space="preserve"> a </w:t>
      </w:r>
      <w:r w:rsidRPr="005D6E61">
        <w:rPr>
          <w:rFonts w:ascii="Cambria" w:hAnsi="Cambria"/>
          <w:sz w:val="20"/>
          <w:szCs w:val="20"/>
          <w:lang w:val="pt-BR"/>
        </w:rPr>
        <w:t>sindicalista t</w:t>
      </w:r>
      <w:r w:rsidR="005B67BB" w:rsidRPr="005D6E61">
        <w:rPr>
          <w:rFonts w:ascii="Cambria" w:hAnsi="Cambria"/>
          <w:sz w:val="20"/>
          <w:szCs w:val="20"/>
          <w:lang w:val="pt-BR"/>
        </w:rPr>
        <w:t>inh</w:t>
      </w:r>
      <w:r w:rsidR="005A2381" w:rsidRPr="005D6E61">
        <w:rPr>
          <w:rFonts w:ascii="Cambria" w:hAnsi="Cambria"/>
          <w:sz w:val="20"/>
          <w:szCs w:val="20"/>
          <w:lang w:val="pt-BR"/>
        </w:rPr>
        <w:t>a</w:t>
      </w:r>
      <w:r w:rsidRPr="005D6E61">
        <w:rPr>
          <w:rFonts w:ascii="Cambria" w:hAnsi="Cambria"/>
          <w:sz w:val="20"/>
          <w:szCs w:val="20"/>
          <w:lang w:val="pt-BR"/>
        </w:rPr>
        <w:t xml:space="preserve"> s</w:t>
      </w:r>
      <w:r w:rsidR="005B67BB" w:rsidRPr="005D6E61">
        <w:rPr>
          <w:rFonts w:ascii="Cambria" w:hAnsi="Cambria"/>
          <w:sz w:val="20"/>
          <w:szCs w:val="20"/>
          <w:lang w:val="pt-BR"/>
        </w:rPr>
        <w:t>e</w:t>
      </w:r>
      <w:r w:rsidRPr="005D6E61">
        <w:rPr>
          <w:rFonts w:ascii="Cambria" w:hAnsi="Cambria"/>
          <w:sz w:val="20"/>
          <w:szCs w:val="20"/>
          <w:lang w:val="pt-BR"/>
        </w:rPr>
        <w:t>us d</w:t>
      </w:r>
      <w:r w:rsidR="005A2381" w:rsidRPr="005D6E61">
        <w:rPr>
          <w:rFonts w:ascii="Cambria" w:hAnsi="Cambria"/>
          <w:sz w:val="20"/>
          <w:szCs w:val="20"/>
          <w:lang w:val="pt-BR"/>
        </w:rPr>
        <w:t>ia</w:t>
      </w:r>
      <w:r w:rsidRPr="005D6E61">
        <w:rPr>
          <w:rFonts w:ascii="Cambria" w:hAnsi="Cambria"/>
          <w:sz w:val="20"/>
          <w:szCs w:val="20"/>
          <w:lang w:val="pt-BR"/>
        </w:rPr>
        <w:t>s contados</w:t>
      </w:r>
      <w:r w:rsidRPr="005D6E61">
        <w:rPr>
          <w:rStyle w:val="FootnoteReference"/>
          <w:rFonts w:ascii="Cambria" w:hAnsi="Cambria"/>
          <w:sz w:val="20"/>
          <w:szCs w:val="20"/>
          <w:lang w:val="pt-BR"/>
        </w:rPr>
        <w:footnoteReference w:id="21"/>
      </w:r>
      <w:r w:rsidRPr="005D6E61">
        <w:rPr>
          <w:rFonts w:ascii="Cambria" w:hAnsi="Cambria"/>
          <w:sz w:val="20"/>
          <w:szCs w:val="20"/>
          <w:lang w:val="pt-BR"/>
        </w:rPr>
        <w:t xml:space="preserve">. </w:t>
      </w:r>
      <w:r w:rsidR="002E2BF9" w:rsidRPr="005D6E61">
        <w:rPr>
          <w:rFonts w:ascii="Cambria" w:hAnsi="Cambria"/>
          <w:sz w:val="20"/>
          <w:szCs w:val="20"/>
          <w:lang w:val="pt-BR"/>
        </w:rPr>
        <w:t>Luiz Silva, qu</w:t>
      </w:r>
      <w:r w:rsidR="005B67BB" w:rsidRPr="005D6E61">
        <w:rPr>
          <w:rFonts w:ascii="Cambria" w:hAnsi="Cambria"/>
          <w:sz w:val="20"/>
          <w:szCs w:val="20"/>
          <w:lang w:val="pt-BR"/>
        </w:rPr>
        <w:t xml:space="preserve">e na data </w:t>
      </w:r>
      <w:r w:rsidR="00331E62" w:rsidRPr="005D6E61">
        <w:rPr>
          <w:rFonts w:ascii="Cambria" w:hAnsi="Cambria"/>
          <w:sz w:val="20"/>
          <w:szCs w:val="20"/>
          <w:lang w:val="pt-BR"/>
        </w:rPr>
        <w:t xml:space="preserve">dos </w:t>
      </w:r>
      <w:r w:rsidR="00BF0B90" w:rsidRPr="005D6E61">
        <w:rPr>
          <w:rFonts w:ascii="Cambria" w:hAnsi="Cambria"/>
          <w:sz w:val="20"/>
          <w:szCs w:val="20"/>
          <w:lang w:val="pt-BR"/>
        </w:rPr>
        <w:t>fato</w:t>
      </w:r>
      <w:r w:rsidR="002E2BF9" w:rsidRPr="005D6E61">
        <w:rPr>
          <w:rFonts w:ascii="Cambria" w:hAnsi="Cambria"/>
          <w:sz w:val="20"/>
          <w:szCs w:val="20"/>
          <w:lang w:val="pt-BR"/>
        </w:rPr>
        <w:t xml:space="preserve">s </w:t>
      </w:r>
      <w:r w:rsidR="005B67BB" w:rsidRPr="005D6E61">
        <w:rPr>
          <w:rFonts w:ascii="Cambria" w:hAnsi="Cambria"/>
          <w:sz w:val="20"/>
          <w:szCs w:val="20"/>
          <w:lang w:val="pt-BR"/>
        </w:rPr>
        <w:t>era</w:t>
      </w:r>
      <w:r w:rsidR="002E2BF9" w:rsidRPr="005D6E61">
        <w:rPr>
          <w:rFonts w:ascii="Cambria" w:hAnsi="Cambria"/>
          <w:sz w:val="20"/>
          <w:szCs w:val="20"/>
          <w:lang w:val="pt-BR"/>
        </w:rPr>
        <w:t xml:space="preserve"> Presidente</w:t>
      </w:r>
      <w:r w:rsidR="00F77B7F" w:rsidRPr="005D6E61">
        <w:rPr>
          <w:rFonts w:ascii="Cambria" w:hAnsi="Cambria"/>
          <w:sz w:val="20"/>
          <w:szCs w:val="20"/>
          <w:lang w:val="pt-BR"/>
        </w:rPr>
        <w:t xml:space="preserve"> do </w:t>
      </w:r>
      <w:r w:rsidR="002E2BF9" w:rsidRPr="005D6E61">
        <w:rPr>
          <w:rFonts w:ascii="Cambria" w:hAnsi="Cambria"/>
          <w:sz w:val="20"/>
          <w:szCs w:val="20"/>
          <w:lang w:val="pt-BR"/>
        </w:rPr>
        <w:t xml:space="preserve">Sindicato de </w:t>
      </w:r>
      <w:r w:rsidR="00E37676" w:rsidRPr="005D6E61">
        <w:rPr>
          <w:rFonts w:ascii="Cambria" w:hAnsi="Cambria"/>
          <w:sz w:val="20"/>
          <w:szCs w:val="20"/>
          <w:lang w:val="pt-BR"/>
        </w:rPr>
        <w:t>Trabalh</w:t>
      </w:r>
      <w:r w:rsidR="002E2BF9" w:rsidRPr="005D6E61">
        <w:rPr>
          <w:rFonts w:ascii="Cambria" w:hAnsi="Cambria"/>
          <w:sz w:val="20"/>
          <w:szCs w:val="20"/>
          <w:lang w:val="pt-BR"/>
        </w:rPr>
        <w:t>adores Rur</w:t>
      </w:r>
      <w:r w:rsidR="00331E62" w:rsidRPr="005D6E61">
        <w:rPr>
          <w:rFonts w:ascii="Cambria" w:hAnsi="Cambria"/>
          <w:sz w:val="20"/>
          <w:szCs w:val="20"/>
          <w:lang w:val="pt-BR"/>
        </w:rPr>
        <w:t>ais</w:t>
      </w:r>
      <w:r w:rsidR="00675058" w:rsidRPr="005D6E61">
        <w:rPr>
          <w:rFonts w:ascii="Cambria" w:hAnsi="Cambria"/>
          <w:sz w:val="20"/>
          <w:szCs w:val="20"/>
          <w:lang w:val="pt-BR"/>
        </w:rPr>
        <w:t xml:space="preserve"> da </w:t>
      </w:r>
      <w:r w:rsidR="002E2BF9" w:rsidRPr="005D6E61">
        <w:rPr>
          <w:rFonts w:ascii="Cambria" w:hAnsi="Cambria"/>
          <w:sz w:val="20"/>
          <w:szCs w:val="20"/>
          <w:lang w:val="pt-BR"/>
        </w:rPr>
        <w:t>ci</w:t>
      </w:r>
      <w:r w:rsidR="00FB55C7" w:rsidRPr="005D6E61">
        <w:rPr>
          <w:rFonts w:ascii="Cambria" w:hAnsi="Cambria"/>
          <w:sz w:val="20"/>
          <w:szCs w:val="20"/>
          <w:lang w:val="pt-BR"/>
        </w:rPr>
        <w:t xml:space="preserve">dade </w:t>
      </w:r>
      <w:r w:rsidR="002E2BF9" w:rsidRPr="005D6E61">
        <w:rPr>
          <w:rFonts w:ascii="Cambria" w:hAnsi="Cambria"/>
          <w:sz w:val="20"/>
          <w:szCs w:val="20"/>
          <w:lang w:val="pt-BR"/>
        </w:rPr>
        <w:t>de S</w:t>
      </w:r>
      <w:r w:rsidR="005B67BB" w:rsidRPr="005D6E61">
        <w:rPr>
          <w:rFonts w:ascii="Cambria" w:hAnsi="Cambria"/>
          <w:sz w:val="20"/>
          <w:szCs w:val="20"/>
          <w:lang w:val="pt-BR"/>
        </w:rPr>
        <w:t>ão</w:t>
      </w:r>
      <w:r w:rsidR="002E2BF9" w:rsidRPr="005D6E61">
        <w:rPr>
          <w:rFonts w:ascii="Cambria" w:hAnsi="Cambria"/>
          <w:sz w:val="20"/>
          <w:szCs w:val="20"/>
          <w:lang w:val="pt-BR"/>
        </w:rPr>
        <w:t xml:space="preserve"> Sebasti</w:t>
      </w:r>
      <w:r w:rsidR="005B67BB" w:rsidRPr="005D6E61">
        <w:rPr>
          <w:rFonts w:ascii="Cambria" w:hAnsi="Cambria"/>
          <w:sz w:val="20"/>
          <w:szCs w:val="20"/>
          <w:lang w:val="pt-BR"/>
        </w:rPr>
        <w:t>ão</w:t>
      </w:r>
      <w:r w:rsidR="002E2BF9" w:rsidRPr="005D6E61">
        <w:rPr>
          <w:rFonts w:ascii="Cambria" w:hAnsi="Cambria"/>
          <w:sz w:val="20"/>
          <w:szCs w:val="20"/>
          <w:lang w:val="pt-BR"/>
        </w:rPr>
        <w:t xml:space="preserve"> d</w:t>
      </w:r>
      <w:r w:rsidR="005B67BB" w:rsidRPr="005D6E61">
        <w:rPr>
          <w:rFonts w:ascii="Cambria" w:hAnsi="Cambria"/>
          <w:sz w:val="20"/>
          <w:szCs w:val="20"/>
          <w:lang w:val="pt-BR"/>
        </w:rPr>
        <w:t>o</w:t>
      </w:r>
      <w:r w:rsidR="002E2BF9" w:rsidRPr="005D6E61">
        <w:rPr>
          <w:rFonts w:ascii="Cambria" w:hAnsi="Cambria"/>
          <w:sz w:val="20"/>
          <w:szCs w:val="20"/>
          <w:lang w:val="pt-BR"/>
        </w:rPr>
        <w:t xml:space="preserve"> Umbuzeiro</w:t>
      </w:r>
      <w:r w:rsidR="006C5454" w:rsidRPr="005D6E61">
        <w:rPr>
          <w:rFonts w:ascii="Cambria" w:hAnsi="Cambria"/>
          <w:sz w:val="20"/>
          <w:szCs w:val="20"/>
          <w:lang w:val="pt-BR"/>
        </w:rPr>
        <w:t xml:space="preserve"> e </w:t>
      </w:r>
      <w:r w:rsidR="002E2BF9" w:rsidRPr="005D6E61">
        <w:rPr>
          <w:rFonts w:ascii="Cambria" w:hAnsi="Cambria"/>
          <w:sz w:val="20"/>
          <w:szCs w:val="20"/>
          <w:lang w:val="pt-BR"/>
        </w:rPr>
        <w:t>Diretor</w:t>
      </w:r>
      <w:r w:rsidR="00F77B7F" w:rsidRPr="005D6E61">
        <w:rPr>
          <w:rFonts w:ascii="Cambria" w:hAnsi="Cambria"/>
          <w:sz w:val="20"/>
          <w:szCs w:val="20"/>
          <w:lang w:val="pt-BR"/>
        </w:rPr>
        <w:t xml:space="preserve"> do </w:t>
      </w:r>
      <w:r w:rsidR="002E2BF9" w:rsidRPr="005D6E61">
        <w:rPr>
          <w:rFonts w:ascii="Cambria" w:hAnsi="Cambria"/>
          <w:sz w:val="20"/>
          <w:szCs w:val="20"/>
          <w:lang w:val="pt-BR"/>
        </w:rPr>
        <w:t>Centro de Educa</w:t>
      </w:r>
      <w:r w:rsidR="00A274D9" w:rsidRPr="005D6E61">
        <w:rPr>
          <w:rFonts w:ascii="Cambria" w:hAnsi="Cambria"/>
          <w:sz w:val="20"/>
          <w:szCs w:val="20"/>
          <w:lang w:val="pt-BR"/>
        </w:rPr>
        <w:t>ção</w:t>
      </w:r>
      <w:r w:rsidR="006C5454" w:rsidRPr="005D6E61">
        <w:rPr>
          <w:rFonts w:ascii="Cambria" w:hAnsi="Cambria"/>
          <w:sz w:val="20"/>
          <w:szCs w:val="20"/>
          <w:lang w:val="pt-BR"/>
        </w:rPr>
        <w:t xml:space="preserve"> </w:t>
      </w:r>
      <w:r w:rsidR="006C535C" w:rsidRPr="005D6E61">
        <w:rPr>
          <w:rFonts w:ascii="Cambria" w:hAnsi="Cambria"/>
          <w:sz w:val="20"/>
          <w:szCs w:val="20"/>
          <w:lang w:val="pt-BR"/>
        </w:rPr>
        <w:t>e Cultura</w:t>
      </w:r>
      <w:r w:rsidR="00331E62" w:rsidRPr="005D6E61">
        <w:rPr>
          <w:rFonts w:ascii="Cambria" w:hAnsi="Cambria"/>
          <w:sz w:val="20"/>
          <w:szCs w:val="20"/>
          <w:lang w:val="pt-BR"/>
        </w:rPr>
        <w:t xml:space="preserve"> dos </w:t>
      </w:r>
      <w:r w:rsidR="00E37676" w:rsidRPr="005D6E61">
        <w:rPr>
          <w:rFonts w:ascii="Cambria" w:hAnsi="Cambria"/>
          <w:sz w:val="20"/>
          <w:szCs w:val="20"/>
          <w:lang w:val="pt-BR"/>
        </w:rPr>
        <w:t>Trabalh</w:t>
      </w:r>
      <w:r w:rsidR="002E2BF9" w:rsidRPr="005D6E61">
        <w:rPr>
          <w:rFonts w:ascii="Cambria" w:hAnsi="Cambria"/>
          <w:sz w:val="20"/>
          <w:szCs w:val="20"/>
          <w:lang w:val="pt-BR"/>
        </w:rPr>
        <w:t>adores Rur</w:t>
      </w:r>
      <w:r w:rsidR="00331E62" w:rsidRPr="005D6E61">
        <w:rPr>
          <w:rFonts w:ascii="Cambria" w:hAnsi="Cambria"/>
          <w:sz w:val="20"/>
          <w:szCs w:val="20"/>
          <w:lang w:val="pt-BR"/>
        </w:rPr>
        <w:t>ais</w:t>
      </w:r>
      <w:r w:rsidR="002E2BF9" w:rsidRPr="005D6E61">
        <w:rPr>
          <w:rFonts w:ascii="Cambria" w:hAnsi="Cambria"/>
          <w:sz w:val="20"/>
          <w:szCs w:val="20"/>
          <w:lang w:val="pt-BR"/>
        </w:rPr>
        <w:t>, declar</w:t>
      </w:r>
      <w:r w:rsidR="00BF0B90" w:rsidRPr="005D6E61">
        <w:rPr>
          <w:rFonts w:ascii="Cambria" w:hAnsi="Cambria"/>
          <w:sz w:val="20"/>
          <w:szCs w:val="20"/>
          <w:lang w:val="pt-BR"/>
        </w:rPr>
        <w:t xml:space="preserve">ou </w:t>
      </w:r>
      <w:r w:rsidR="002E2BF9" w:rsidRPr="005D6E61">
        <w:rPr>
          <w:rFonts w:ascii="Cambria" w:hAnsi="Cambria"/>
          <w:sz w:val="20"/>
          <w:szCs w:val="20"/>
          <w:lang w:val="pt-BR"/>
        </w:rPr>
        <w:t>que</w:t>
      </w:r>
      <w:r w:rsidR="00331E62" w:rsidRPr="005D6E61">
        <w:rPr>
          <w:rFonts w:ascii="Cambria" w:hAnsi="Cambria"/>
          <w:sz w:val="20"/>
          <w:szCs w:val="20"/>
          <w:lang w:val="pt-BR"/>
        </w:rPr>
        <w:t xml:space="preserve"> </w:t>
      </w:r>
      <w:r w:rsidR="000A58CD" w:rsidRPr="005D6E61">
        <w:rPr>
          <w:rFonts w:ascii="Cambria" w:hAnsi="Cambria"/>
          <w:sz w:val="20"/>
          <w:szCs w:val="20"/>
          <w:lang w:val="pt-BR"/>
        </w:rPr>
        <w:t>n</w:t>
      </w:r>
      <w:r w:rsidR="00331E62" w:rsidRPr="005D6E61">
        <w:rPr>
          <w:rFonts w:ascii="Cambria" w:hAnsi="Cambria"/>
          <w:sz w:val="20"/>
          <w:szCs w:val="20"/>
          <w:lang w:val="pt-BR"/>
        </w:rPr>
        <w:t xml:space="preserve">o </w:t>
      </w:r>
      <w:r w:rsidR="002E2BF9" w:rsidRPr="005D6E61">
        <w:rPr>
          <w:rFonts w:ascii="Cambria" w:hAnsi="Cambria"/>
          <w:sz w:val="20"/>
          <w:szCs w:val="20"/>
          <w:lang w:val="pt-BR"/>
        </w:rPr>
        <w:t>d</w:t>
      </w:r>
      <w:r w:rsidR="005A2381" w:rsidRPr="005D6E61">
        <w:rPr>
          <w:rFonts w:ascii="Cambria" w:hAnsi="Cambria"/>
          <w:sz w:val="20"/>
          <w:szCs w:val="20"/>
          <w:lang w:val="pt-BR"/>
        </w:rPr>
        <w:t>ia</w:t>
      </w:r>
      <w:r w:rsidR="002E2BF9" w:rsidRPr="005D6E61">
        <w:rPr>
          <w:rFonts w:ascii="Cambria" w:hAnsi="Cambria"/>
          <w:sz w:val="20"/>
          <w:szCs w:val="20"/>
          <w:lang w:val="pt-BR"/>
        </w:rPr>
        <w:t xml:space="preserve"> anterior</w:t>
      </w:r>
      <w:r w:rsidR="00CD523F" w:rsidRPr="005D6E61">
        <w:rPr>
          <w:rFonts w:ascii="Cambria" w:hAnsi="Cambria"/>
          <w:sz w:val="20"/>
          <w:szCs w:val="20"/>
          <w:lang w:val="pt-BR"/>
        </w:rPr>
        <w:t xml:space="preserve"> ao </w:t>
      </w:r>
      <w:r w:rsidR="00EB52A1" w:rsidRPr="005D6E61">
        <w:rPr>
          <w:rFonts w:ascii="Cambria" w:hAnsi="Cambria"/>
          <w:sz w:val="20"/>
          <w:szCs w:val="20"/>
          <w:lang w:val="pt-BR"/>
        </w:rPr>
        <w:t>assassinato</w:t>
      </w:r>
      <w:r w:rsidR="00675058" w:rsidRPr="005D6E61">
        <w:rPr>
          <w:rFonts w:ascii="Cambria" w:hAnsi="Cambria"/>
          <w:sz w:val="20"/>
          <w:szCs w:val="20"/>
          <w:lang w:val="pt-BR"/>
        </w:rPr>
        <w:t xml:space="preserve"> da </w:t>
      </w:r>
      <w:r w:rsidR="005A2381" w:rsidRPr="005D6E61">
        <w:rPr>
          <w:rFonts w:ascii="Cambria" w:hAnsi="Cambria"/>
          <w:sz w:val="20"/>
          <w:szCs w:val="20"/>
          <w:lang w:val="pt-BR"/>
        </w:rPr>
        <w:t>suposta</w:t>
      </w:r>
      <w:r w:rsidR="002E2BF9" w:rsidRPr="005D6E61">
        <w:rPr>
          <w:rFonts w:ascii="Cambria" w:hAnsi="Cambria"/>
          <w:sz w:val="20"/>
          <w:szCs w:val="20"/>
          <w:lang w:val="pt-BR"/>
        </w:rPr>
        <w:t xml:space="preserve"> </w:t>
      </w:r>
      <w:r w:rsidR="003619A0" w:rsidRPr="005D6E61">
        <w:rPr>
          <w:rFonts w:ascii="Cambria" w:hAnsi="Cambria"/>
          <w:sz w:val="20"/>
          <w:szCs w:val="20"/>
          <w:lang w:val="pt-BR"/>
        </w:rPr>
        <w:t>vítima</w:t>
      </w:r>
      <w:r w:rsidR="002E2BF9" w:rsidRPr="005D6E61">
        <w:rPr>
          <w:rFonts w:ascii="Cambria" w:hAnsi="Cambria"/>
          <w:sz w:val="20"/>
          <w:szCs w:val="20"/>
          <w:lang w:val="pt-BR"/>
        </w:rPr>
        <w:t xml:space="preserve"> esta particip</w:t>
      </w:r>
      <w:r w:rsidR="00BF0B90" w:rsidRPr="005D6E61">
        <w:rPr>
          <w:rFonts w:ascii="Cambria" w:hAnsi="Cambria"/>
          <w:sz w:val="20"/>
          <w:szCs w:val="20"/>
          <w:lang w:val="pt-BR"/>
        </w:rPr>
        <w:t xml:space="preserve">ou </w:t>
      </w:r>
      <w:r w:rsidR="000A58CD" w:rsidRPr="005D6E61">
        <w:rPr>
          <w:rFonts w:ascii="Cambria" w:hAnsi="Cambria"/>
          <w:sz w:val="20"/>
          <w:szCs w:val="20"/>
          <w:lang w:val="pt-BR"/>
        </w:rPr>
        <w:t>d</w:t>
      </w:r>
      <w:r w:rsidR="00F77B7F" w:rsidRPr="005D6E61">
        <w:rPr>
          <w:rFonts w:ascii="Cambria" w:hAnsi="Cambria"/>
          <w:sz w:val="20"/>
          <w:szCs w:val="20"/>
          <w:lang w:val="pt-BR"/>
        </w:rPr>
        <w:t xml:space="preserve">e </w:t>
      </w:r>
      <w:r w:rsidR="006C5454" w:rsidRPr="005D6E61">
        <w:rPr>
          <w:rFonts w:ascii="Cambria" w:hAnsi="Cambria"/>
          <w:sz w:val="20"/>
          <w:szCs w:val="20"/>
          <w:lang w:val="pt-BR"/>
        </w:rPr>
        <w:t xml:space="preserve">uma </w:t>
      </w:r>
      <w:r w:rsidR="002E2BF9" w:rsidRPr="005D6E61">
        <w:rPr>
          <w:rFonts w:ascii="Cambria" w:hAnsi="Cambria"/>
          <w:sz w:val="20"/>
          <w:szCs w:val="20"/>
          <w:lang w:val="pt-BR"/>
        </w:rPr>
        <w:t>reuni</w:t>
      </w:r>
      <w:r w:rsidR="000A58CD" w:rsidRPr="005D6E61">
        <w:rPr>
          <w:rFonts w:ascii="Cambria" w:hAnsi="Cambria"/>
          <w:sz w:val="20"/>
          <w:szCs w:val="20"/>
          <w:lang w:val="pt-BR"/>
        </w:rPr>
        <w:t>ão</w:t>
      </w:r>
      <w:r w:rsidR="00F77B7F" w:rsidRPr="005D6E61">
        <w:rPr>
          <w:rFonts w:ascii="Cambria" w:hAnsi="Cambria"/>
          <w:sz w:val="20"/>
          <w:szCs w:val="20"/>
          <w:lang w:val="pt-BR"/>
        </w:rPr>
        <w:t xml:space="preserve"> do </w:t>
      </w:r>
      <w:r w:rsidR="002E2BF9" w:rsidRPr="005D6E61">
        <w:rPr>
          <w:rFonts w:ascii="Cambria" w:hAnsi="Cambria"/>
          <w:sz w:val="20"/>
          <w:szCs w:val="20"/>
          <w:lang w:val="pt-BR"/>
        </w:rPr>
        <w:t>centro</w:t>
      </w:r>
      <w:r w:rsidR="00F77B7F" w:rsidRPr="005D6E61">
        <w:rPr>
          <w:rFonts w:ascii="Cambria" w:hAnsi="Cambria"/>
          <w:sz w:val="20"/>
          <w:szCs w:val="20"/>
          <w:lang w:val="pt-BR"/>
        </w:rPr>
        <w:t xml:space="preserve"> </w:t>
      </w:r>
      <w:r w:rsidR="002E2BF9" w:rsidRPr="005D6E61">
        <w:rPr>
          <w:rFonts w:ascii="Cambria" w:hAnsi="Cambria"/>
          <w:sz w:val="20"/>
          <w:szCs w:val="20"/>
          <w:lang w:val="pt-BR"/>
        </w:rPr>
        <w:t>onde comunic</w:t>
      </w:r>
      <w:r w:rsidR="00BF0B90" w:rsidRPr="005D6E61">
        <w:rPr>
          <w:rFonts w:ascii="Cambria" w:hAnsi="Cambria"/>
          <w:sz w:val="20"/>
          <w:szCs w:val="20"/>
          <w:lang w:val="pt-BR"/>
        </w:rPr>
        <w:t xml:space="preserve">ou </w:t>
      </w:r>
      <w:r w:rsidR="002E2BF9" w:rsidRPr="005D6E61">
        <w:rPr>
          <w:rFonts w:ascii="Cambria" w:hAnsi="Cambria"/>
          <w:sz w:val="20"/>
          <w:szCs w:val="20"/>
          <w:lang w:val="pt-BR"/>
        </w:rPr>
        <w:t>a todos que esta</w:t>
      </w:r>
      <w:r w:rsidR="000A58CD" w:rsidRPr="005D6E61">
        <w:rPr>
          <w:rFonts w:ascii="Cambria" w:hAnsi="Cambria"/>
          <w:sz w:val="20"/>
          <w:szCs w:val="20"/>
          <w:lang w:val="pt-BR"/>
        </w:rPr>
        <w:t>v</w:t>
      </w:r>
      <w:r w:rsidR="002E2BF9" w:rsidRPr="005D6E61">
        <w:rPr>
          <w:rFonts w:ascii="Cambria" w:hAnsi="Cambria"/>
          <w:sz w:val="20"/>
          <w:szCs w:val="20"/>
          <w:lang w:val="pt-BR"/>
        </w:rPr>
        <w:t xml:space="preserve">a sendo objeto de </w:t>
      </w:r>
      <w:r w:rsidR="005B67BB" w:rsidRPr="005D6E61">
        <w:rPr>
          <w:rFonts w:ascii="Cambria" w:hAnsi="Cambria"/>
          <w:sz w:val="20"/>
          <w:szCs w:val="20"/>
          <w:lang w:val="pt-BR"/>
        </w:rPr>
        <w:t>ameaça</w:t>
      </w:r>
      <w:r w:rsidR="002E2BF9" w:rsidRPr="005D6E61">
        <w:rPr>
          <w:rFonts w:ascii="Cambria" w:hAnsi="Cambria"/>
          <w:sz w:val="20"/>
          <w:szCs w:val="20"/>
          <w:lang w:val="pt-BR"/>
        </w:rPr>
        <w:t>s</w:t>
      </w:r>
      <w:r w:rsidR="002E2BF9" w:rsidRPr="005D6E61">
        <w:rPr>
          <w:rStyle w:val="FootnoteReference"/>
          <w:rFonts w:ascii="Cambria" w:hAnsi="Cambria"/>
          <w:sz w:val="20"/>
          <w:szCs w:val="20"/>
          <w:lang w:val="pt-BR"/>
        </w:rPr>
        <w:footnoteReference w:id="22"/>
      </w:r>
      <w:r w:rsidR="002E2BF9" w:rsidRPr="005D6E61">
        <w:rPr>
          <w:rFonts w:ascii="Cambria" w:hAnsi="Cambria"/>
          <w:sz w:val="20"/>
          <w:szCs w:val="20"/>
          <w:lang w:val="pt-BR"/>
        </w:rPr>
        <w:t>.</w:t>
      </w:r>
    </w:p>
    <w:p w14:paraId="5BC398D3" w14:textId="77777777" w:rsidR="002E2BF9" w:rsidRPr="005D6E61" w:rsidRDefault="002E2BF9" w:rsidP="002E2BF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lang w:val="pt-BR"/>
        </w:rPr>
      </w:pPr>
    </w:p>
    <w:p w14:paraId="79CAC7B7" w14:textId="77777777" w:rsidR="00AA70A5" w:rsidRPr="005D6E61"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lang w:val="pt-BR"/>
        </w:rPr>
      </w:pPr>
      <w:r w:rsidRPr="005D6E61">
        <w:rPr>
          <w:rFonts w:ascii="Cambria" w:hAnsi="Cambria"/>
          <w:sz w:val="20"/>
          <w:szCs w:val="20"/>
          <w:lang w:val="pt-BR"/>
        </w:rPr>
        <w:t>Seg</w:t>
      </w:r>
      <w:r w:rsidR="000A58CD" w:rsidRPr="005D6E61">
        <w:rPr>
          <w:rFonts w:ascii="Cambria" w:hAnsi="Cambria"/>
          <w:sz w:val="20"/>
          <w:szCs w:val="20"/>
          <w:lang w:val="pt-BR"/>
        </w:rPr>
        <w:t>undo</w:t>
      </w:r>
      <w:r w:rsidRPr="005D6E61">
        <w:rPr>
          <w:rFonts w:ascii="Cambria" w:hAnsi="Cambria"/>
          <w:sz w:val="20"/>
          <w:szCs w:val="20"/>
          <w:lang w:val="pt-BR"/>
        </w:rPr>
        <w:t xml:space="preserve"> declar</w:t>
      </w:r>
      <w:r w:rsidR="00BF0B90" w:rsidRPr="005D6E61">
        <w:rPr>
          <w:rFonts w:ascii="Cambria" w:hAnsi="Cambria"/>
          <w:sz w:val="20"/>
          <w:szCs w:val="20"/>
          <w:lang w:val="pt-BR"/>
        </w:rPr>
        <w:t xml:space="preserve">ou </w:t>
      </w:r>
      <w:r w:rsidRPr="005D6E61">
        <w:rPr>
          <w:rFonts w:ascii="Cambria" w:hAnsi="Cambria"/>
          <w:sz w:val="20"/>
          <w:szCs w:val="20"/>
          <w:lang w:val="pt-BR"/>
        </w:rPr>
        <w:t>Severino Barbosa Sobrinho, habitante de Alagoa Grande,</w:t>
      </w:r>
      <w:r w:rsidR="00275A65" w:rsidRPr="005D6E61">
        <w:rPr>
          <w:rFonts w:ascii="Cambria" w:hAnsi="Cambria"/>
          <w:sz w:val="20"/>
          <w:szCs w:val="20"/>
          <w:lang w:val="pt-BR"/>
        </w:rPr>
        <w:t xml:space="preserve"> um </w:t>
      </w:r>
      <w:r w:rsidR="000A58CD" w:rsidRPr="005D6E61">
        <w:rPr>
          <w:rFonts w:ascii="Cambria" w:hAnsi="Cambria"/>
          <w:sz w:val="20"/>
          <w:szCs w:val="20"/>
          <w:lang w:val="pt-BR"/>
        </w:rPr>
        <w:t>guard</w:t>
      </w:r>
      <w:r w:rsidRPr="005D6E61">
        <w:rPr>
          <w:rFonts w:ascii="Cambria" w:hAnsi="Cambria"/>
          <w:sz w:val="20"/>
          <w:szCs w:val="20"/>
          <w:lang w:val="pt-BR"/>
        </w:rPr>
        <w:t>a</w:t>
      </w:r>
      <w:r w:rsidR="00675058" w:rsidRPr="005D6E61">
        <w:rPr>
          <w:rFonts w:ascii="Cambria" w:hAnsi="Cambria"/>
          <w:sz w:val="20"/>
          <w:szCs w:val="20"/>
          <w:lang w:val="pt-BR"/>
        </w:rPr>
        <w:t xml:space="preserve"> da </w:t>
      </w:r>
      <w:r w:rsidR="000A58CD" w:rsidRPr="005D6E61">
        <w:rPr>
          <w:rFonts w:ascii="Cambria" w:hAnsi="Cambria"/>
          <w:sz w:val="20"/>
          <w:szCs w:val="20"/>
          <w:lang w:val="pt-BR"/>
        </w:rPr>
        <w:t>faz</w:t>
      </w:r>
      <w:r w:rsidRPr="005D6E61">
        <w:rPr>
          <w:rFonts w:ascii="Cambria" w:hAnsi="Cambria"/>
          <w:sz w:val="20"/>
          <w:szCs w:val="20"/>
          <w:lang w:val="pt-BR"/>
        </w:rPr>
        <w:t>enda</w:t>
      </w:r>
      <w:r w:rsidR="00F77B7F" w:rsidRPr="005D6E61">
        <w:rPr>
          <w:rFonts w:ascii="Cambria" w:hAnsi="Cambria"/>
          <w:sz w:val="20"/>
          <w:szCs w:val="20"/>
          <w:lang w:val="pt-BR"/>
        </w:rPr>
        <w:t xml:space="preserve"> do </w:t>
      </w:r>
      <w:r w:rsidR="005B67BB" w:rsidRPr="005D6E61">
        <w:rPr>
          <w:rFonts w:ascii="Cambria" w:hAnsi="Cambria"/>
          <w:sz w:val="20"/>
          <w:szCs w:val="20"/>
          <w:lang w:val="pt-BR"/>
        </w:rPr>
        <w:t>filho</w:t>
      </w:r>
      <w:r w:rsidRPr="005D6E61">
        <w:rPr>
          <w:rFonts w:ascii="Cambria" w:hAnsi="Cambria"/>
          <w:sz w:val="20"/>
          <w:szCs w:val="20"/>
          <w:lang w:val="pt-BR"/>
        </w:rPr>
        <w:t xml:space="preserve"> de Aguinaldo Veloso Borges, </w:t>
      </w:r>
      <w:r w:rsidR="000A58CD" w:rsidRPr="005D6E61">
        <w:rPr>
          <w:rFonts w:ascii="Cambria" w:hAnsi="Cambria"/>
          <w:sz w:val="20"/>
          <w:szCs w:val="20"/>
          <w:lang w:val="pt-BR"/>
        </w:rPr>
        <w:t>proprietário</w:t>
      </w:r>
      <w:r w:rsidR="006C5454" w:rsidRPr="005D6E61">
        <w:rPr>
          <w:rFonts w:ascii="Cambria" w:hAnsi="Cambria"/>
          <w:sz w:val="20"/>
          <w:szCs w:val="20"/>
          <w:lang w:val="pt-BR"/>
        </w:rPr>
        <w:t xml:space="preserve"> e </w:t>
      </w:r>
      <w:r w:rsidRPr="005D6E61">
        <w:rPr>
          <w:rFonts w:ascii="Cambria" w:hAnsi="Cambria"/>
          <w:sz w:val="20"/>
          <w:szCs w:val="20"/>
          <w:lang w:val="pt-BR"/>
        </w:rPr>
        <w:t>ent</w:t>
      </w:r>
      <w:r w:rsidR="000A58CD" w:rsidRPr="005D6E61">
        <w:rPr>
          <w:rFonts w:ascii="Cambria" w:hAnsi="Cambria"/>
          <w:sz w:val="20"/>
          <w:szCs w:val="20"/>
          <w:lang w:val="pt-BR"/>
        </w:rPr>
        <w:t>ã</w:t>
      </w:r>
      <w:r w:rsidRPr="005D6E61">
        <w:rPr>
          <w:rFonts w:ascii="Cambria" w:hAnsi="Cambria"/>
          <w:sz w:val="20"/>
          <w:szCs w:val="20"/>
          <w:lang w:val="pt-BR"/>
        </w:rPr>
        <w:t>o</w:t>
      </w:r>
      <w:r w:rsidR="000A58CD" w:rsidRPr="005D6E61">
        <w:rPr>
          <w:rFonts w:ascii="Cambria" w:hAnsi="Cambria"/>
          <w:sz w:val="20"/>
          <w:szCs w:val="20"/>
          <w:lang w:val="pt-BR"/>
        </w:rPr>
        <w:t xml:space="preserve"> </w:t>
      </w:r>
      <w:r w:rsidRPr="005D6E61">
        <w:rPr>
          <w:rFonts w:ascii="Cambria" w:hAnsi="Cambria"/>
          <w:sz w:val="20"/>
          <w:szCs w:val="20"/>
          <w:lang w:val="pt-BR"/>
        </w:rPr>
        <w:t>d</w:t>
      </w:r>
      <w:r w:rsidR="000A58CD" w:rsidRPr="005D6E61">
        <w:rPr>
          <w:rFonts w:ascii="Cambria" w:hAnsi="Cambria"/>
          <w:sz w:val="20"/>
          <w:szCs w:val="20"/>
          <w:lang w:val="pt-BR"/>
        </w:rPr>
        <w:t>e</w:t>
      </w:r>
      <w:r w:rsidRPr="005D6E61">
        <w:rPr>
          <w:rFonts w:ascii="Cambria" w:hAnsi="Cambria"/>
          <w:sz w:val="20"/>
          <w:szCs w:val="20"/>
          <w:lang w:val="pt-BR"/>
        </w:rPr>
        <w:t>putado federal</w:t>
      </w:r>
      <w:r w:rsidR="006C5454" w:rsidRPr="005D6E61">
        <w:rPr>
          <w:rFonts w:ascii="Cambria" w:hAnsi="Cambria"/>
          <w:sz w:val="20"/>
          <w:szCs w:val="20"/>
          <w:lang w:val="pt-BR"/>
        </w:rPr>
        <w:t xml:space="preserve"> </w:t>
      </w:r>
      <w:r w:rsidR="008E5748" w:rsidRPr="005D6E61">
        <w:rPr>
          <w:rFonts w:ascii="Cambria" w:hAnsi="Cambria"/>
          <w:sz w:val="20"/>
          <w:szCs w:val="20"/>
          <w:lang w:val="pt-BR"/>
        </w:rPr>
        <w:t>que era identificado como membro</w:t>
      </w:r>
      <w:r w:rsidR="00F77B7F" w:rsidRPr="005D6E61">
        <w:rPr>
          <w:rFonts w:ascii="Cambria" w:hAnsi="Cambria"/>
          <w:sz w:val="20"/>
          <w:szCs w:val="20"/>
          <w:lang w:val="pt-BR"/>
        </w:rPr>
        <w:t xml:space="preserve"> do </w:t>
      </w:r>
      <w:r w:rsidR="008E5748" w:rsidRPr="005D6E61">
        <w:rPr>
          <w:rFonts w:ascii="Cambria" w:hAnsi="Cambria"/>
          <w:sz w:val="20"/>
          <w:szCs w:val="20"/>
          <w:lang w:val="pt-BR"/>
        </w:rPr>
        <w:t>“Grupo d</w:t>
      </w:r>
      <w:r w:rsidR="000A58CD" w:rsidRPr="005D6E61">
        <w:rPr>
          <w:rFonts w:ascii="Cambria" w:hAnsi="Cambria"/>
          <w:sz w:val="20"/>
          <w:szCs w:val="20"/>
          <w:lang w:val="pt-BR"/>
        </w:rPr>
        <w:t>a</w:t>
      </w:r>
      <w:r w:rsidR="008E5748" w:rsidRPr="005D6E61">
        <w:rPr>
          <w:rFonts w:ascii="Cambria" w:hAnsi="Cambria"/>
          <w:sz w:val="20"/>
          <w:szCs w:val="20"/>
          <w:lang w:val="pt-BR"/>
        </w:rPr>
        <w:t xml:space="preserve"> V</w:t>
      </w:r>
      <w:r w:rsidR="000A58CD" w:rsidRPr="005D6E61">
        <w:rPr>
          <w:rFonts w:ascii="Cambria" w:hAnsi="Cambria"/>
          <w:sz w:val="20"/>
          <w:szCs w:val="20"/>
          <w:lang w:val="pt-BR"/>
        </w:rPr>
        <w:t>á</w:t>
      </w:r>
      <w:r w:rsidR="008E5748" w:rsidRPr="005D6E61">
        <w:rPr>
          <w:rFonts w:ascii="Cambria" w:hAnsi="Cambria"/>
          <w:sz w:val="20"/>
          <w:szCs w:val="20"/>
          <w:lang w:val="pt-BR"/>
        </w:rPr>
        <w:t>rzea”,</w:t>
      </w:r>
      <w:r w:rsidRPr="005D6E61">
        <w:rPr>
          <w:rFonts w:ascii="Cambria" w:hAnsi="Cambria"/>
          <w:sz w:val="20"/>
          <w:szCs w:val="20"/>
          <w:lang w:val="pt-BR"/>
        </w:rPr>
        <w:t xml:space="preserve"> afirm</w:t>
      </w:r>
      <w:r w:rsidR="00BF0B90" w:rsidRPr="005D6E61">
        <w:rPr>
          <w:rFonts w:ascii="Cambria" w:hAnsi="Cambria"/>
          <w:sz w:val="20"/>
          <w:szCs w:val="20"/>
          <w:lang w:val="pt-BR"/>
        </w:rPr>
        <w:t xml:space="preserve">ou </w:t>
      </w:r>
      <w:r w:rsidRPr="005D6E61">
        <w:rPr>
          <w:rFonts w:ascii="Cambria" w:hAnsi="Cambria"/>
          <w:sz w:val="20"/>
          <w:szCs w:val="20"/>
          <w:lang w:val="pt-BR"/>
        </w:rPr>
        <w:t>n</w:t>
      </w:r>
      <w:r w:rsidR="000A58CD" w:rsidRPr="005D6E61">
        <w:rPr>
          <w:rFonts w:ascii="Cambria" w:hAnsi="Cambria"/>
          <w:sz w:val="20"/>
          <w:szCs w:val="20"/>
          <w:lang w:val="pt-BR"/>
        </w:rPr>
        <w:t>o</w:t>
      </w:r>
      <w:r w:rsidRPr="005D6E61">
        <w:rPr>
          <w:rFonts w:ascii="Cambria" w:hAnsi="Cambria"/>
          <w:sz w:val="20"/>
          <w:szCs w:val="20"/>
          <w:lang w:val="pt-BR"/>
        </w:rPr>
        <w:t>ve d</w:t>
      </w:r>
      <w:r w:rsidR="005A2381" w:rsidRPr="005D6E61">
        <w:rPr>
          <w:rFonts w:ascii="Cambria" w:hAnsi="Cambria"/>
          <w:sz w:val="20"/>
          <w:szCs w:val="20"/>
          <w:lang w:val="pt-BR"/>
        </w:rPr>
        <w:t>ia</w:t>
      </w:r>
      <w:r w:rsidRPr="005D6E61">
        <w:rPr>
          <w:rFonts w:ascii="Cambria" w:hAnsi="Cambria"/>
          <w:sz w:val="20"/>
          <w:szCs w:val="20"/>
          <w:lang w:val="pt-BR"/>
        </w:rPr>
        <w:t>s antes</w:t>
      </w:r>
      <w:r w:rsidR="00675058" w:rsidRPr="005D6E61">
        <w:rPr>
          <w:rFonts w:ascii="Cambria" w:hAnsi="Cambria"/>
          <w:sz w:val="20"/>
          <w:szCs w:val="20"/>
          <w:lang w:val="pt-BR"/>
        </w:rPr>
        <w:t xml:space="preserve"> da </w:t>
      </w:r>
      <w:r w:rsidR="003619A0" w:rsidRPr="005D6E61">
        <w:rPr>
          <w:rFonts w:ascii="Cambria" w:hAnsi="Cambria"/>
          <w:sz w:val="20"/>
          <w:szCs w:val="20"/>
          <w:lang w:val="pt-BR"/>
        </w:rPr>
        <w:t>morte</w:t>
      </w:r>
      <w:r w:rsidR="00675058" w:rsidRPr="005D6E61">
        <w:rPr>
          <w:rFonts w:ascii="Cambria" w:hAnsi="Cambria"/>
          <w:sz w:val="20"/>
          <w:szCs w:val="20"/>
          <w:lang w:val="pt-BR"/>
        </w:rPr>
        <w:t xml:space="preserve"> da </w:t>
      </w:r>
      <w:r w:rsidR="005A2381" w:rsidRPr="005D6E61">
        <w:rPr>
          <w:rFonts w:ascii="Cambria" w:hAnsi="Cambria"/>
          <w:sz w:val="20"/>
          <w:szCs w:val="20"/>
          <w:lang w:val="pt-BR"/>
        </w:rPr>
        <w:t>suposta</w:t>
      </w:r>
      <w:r w:rsidRPr="005D6E61">
        <w:rPr>
          <w:rFonts w:ascii="Cambria" w:hAnsi="Cambria"/>
          <w:sz w:val="20"/>
          <w:szCs w:val="20"/>
          <w:lang w:val="pt-BR"/>
        </w:rPr>
        <w:t xml:space="preserve"> </w:t>
      </w:r>
      <w:r w:rsidR="003619A0" w:rsidRPr="005D6E61">
        <w:rPr>
          <w:rFonts w:ascii="Cambria" w:hAnsi="Cambria"/>
          <w:sz w:val="20"/>
          <w:szCs w:val="20"/>
          <w:lang w:val="pt-BR"/>
        </w:rPr>
        <w:t>vítima</w:t>
      </w:r>
      <w:r w:rsidRPr="005D6E61">
        <w:rPr>
          <w:rFonts w:ascii="Cambria" w:hAnsi="Cambria"/>
          <w:sz w:val="20"/>
          <w:szCs w:val="20"/>
          <w:lang w:val="pt-BR"/>
        </w:rPr>
        <w:t xml:space="preserve"> que ter</w:t>
      </w:r>
      <w:r w:rsidR="005A2381" w:rsidRPr="005D6E61">
        <w:rPr>
          <w:rFonts w:ascii="Cambria" w:hAnsi="Cambria"/>
          <w:sz w:val="20"/>
          <w:szCs w:val="20"/>
          <w:lang w:val="pt-BR"/>
        </w:rPr>
        <w:t>ia</w:t>
      </w:r>
      <w:r w:rsidR="000A58CD" w:rsidRPr="005D6E61">
        <w:rPr>
          <w:rFonts w:ascii="Cambria" w:hAnsi="Cambria"/>
          <w:sz w:val="20"/>
          <w:szCs w:val="20"/>
          <w:lang w:val="pt-BR"/>
        </w:rPr>
        <w:t xml:space="preserve"> “um</w:t>
      </w:r>
      <w:r w:rsidRPr="005D6E61">
        <w:rPr>
          <w:rFonts w:ascii="Cambria" w:hAnsi="Cambria"/>
          <w:sz w:val="20"/>
          <w:szCs w:val="20"/>
          <w:lang w:val="pt-BR"/>
        </w:rPr>
        <w:t>a vida mu</w:t>
      </w:r>
      <w:r w:rsidR="000A58CD" w:rsidRPr="005D6E61">
        <w:rPr>
          <w:rFonts w:ascii="Cambria" w:hAnsi="Cambria"/>
          <w:sz w:val="20"/>
          <w:szCs w:val="20"/>
          <w:lang w:val="pt-BR"/>
        </w:rPr>
        <w:t>ito</w:t>
      </w:r>
      <w:r w:rsidRPr="005D6E61">
        <w:rPr>
          <w:rFonts w:ascii="Cambria" w:hAnsi="Cambria"/>
          <w:sz w:val="20"/>
          <w:szCs w:val="20"/>
          <w:lang w:val="pt-BR"/>
        </w:rPr>
        <w:t xml:space="preserve"> </w:t>
      </w:r>
      <w:r w:rsidRPr="005D6E61">
        <w:rPr>
          <w:rFonts w:ascii="Cambria" w:hAnsi="Cambria"/>
          <w:sz w:val="20"/>
          <w:szCs w:val="20"/>
          <w:lang w:val="pt-BR"/>
        </w:rPr>
        <w:lastRenderedPageBreak/>
        <w:t>c</w:t>
      </w:r>
      <w:r w:rsidR="000A58CD" w:rsidRPr="005D6E61">
        <w:rPr>
          <w:rFonts w:ascii="Cambria" w:hAnsi="Cambria"/>
          <w:sz w:val="20"/>
          <w:szCs w:val="20"/>
          <w:lang w:val="pt-BR"/>
        </w:rPr>
        <w:t>u</w:t>
      </w:r>
      <w:r w:rsidRPr="005D6E61">
        <w:rPr>
          <w:rFonts w:ascii="Cambria" w:hAnsi="Cambria"/>
          <w:sz w:val="20"/>
          <w:szCs w:val="20"/>
          <w:lang w:val="pt-BR"/>
        </w:rPr>
        <w:t>rta” por ha</w:t>
      </w:r>
      <w:r w:rsidR="000A58CD" w:rsidRPr="005D6E61">
        <w:rPr>
          <w:rFonts w:ascii="Cambria" w:hAnsi="Cambria"/>
          <w:sz w:val="20"/>
          <w:szCs w:val="20"/>
          <w:lang w:val="pt-BR"/>
        </w:rPr>
        <w:t>v</w:t>
      </w:r>
      <w:r w:rsidRPr="005D6E61">
        <w:rPr>
          <w:rFonts w:ascii="Cambria" w:hAnsi="Cambria"/>
          <w:sz w:val="20"/>
          <w:szCs w:val="20"/>
          <w:lang w:val="pt-BR"/>
        </w:rPr>
        <w:t>er provocado Aguinaldo Veloso Borges</w:t>
      </w:r>
      <w:r w:rsidR="00F77B7F" w:rsidRPr="005D6E61">
        <w:rPr>
          <w:rFonts w:ascii="Cambria" w:hAnsi="Cambria"/>
          <w:sz w:val="20"/>
          <w:szCs w:val="20"/>
          <w:lang w:val="pt-BR"/>
        </w:rPr>
        <w:t xml:space="preserve"> com </w:t>
      </w:r>
      <w:r w:rsidR="000A58CD" w:rsidRPr="005D6E61">
        <w:rPr>
          <w:rFonts w:ascii="Cambria" w:hAnsi="Cambria"/>
          <w:sz w:val="20"/>
          <w:szCs w:val="20"/>
          <w:lang w:val="pt-BR"/>
        </w:rPr>
        <w:t>denú</w:t>
      </w:r>
      <w:r w:rsidRPr="005D6E61">
        <w:rPr>
          <w:rFonts w:ascii="Cambria" w:hAnsi="Cambria"/>
          <w:sz w:val="20"/>
          <w:szCs w:val="20"/>
          <w:lang w:val="pt-BR"/>
        </w:rPr>
        <w:t>ncias</w:t>
      </w:r>
      <w:r w:rsidR="00275A65" w:rsidRPr="005D6E61">
        <w:rPr>
          <w:rFonts w:ascii="Cambria" w:hAnsi="Cambria"/>
          <w:sz w:val="20"/>
          <w:szCs w:val="20"/>
          <w:lang w:val="pt-BR"/>
        </w:rPr>
        <w:t xml:space="preserve"> à </w:t>
      </w:r>
      <w:r w:rsidR="000A58CD" w:rsidRPr="005D6E61">
        <w:rPr>
          <w:rFonts w:ascii="Cambria" w:hAnsi="Cambria"/>
          <w:sz w:val="20"/>
          <w:szCs w:val="20"/>
          <w:lang w:val="pt-BR"/>
        </w:rPr>
        <w:t>procuradoria</w:t>
      </w:r>
      <w:r w:rsidRPr="005D6E61">
        <w:rPr>
          <w:rFonts w:ascii="Cambria" w:hAnsi="Cambria"/>
          <w:sz w:val="20"/>
          <w:szCs w:val="20"/>
          <w:lang w:val="pt-BR"/>
        </w:rPr>
        <w:t xml:space="preserve"> acerca de irregularidades oc</w:t>
      </w:r>
      <w:r w:rsidR="000A58CD" w:rsidRPr="005D6E61">
        <w:rPr>
          <w:rFonts w:ascii="Cambria" w:hAnsi="Cambria"/>
          <w:sz w:val="20"/>
          <w:szCs w:val="20"/>
          <w:lang w:val="pt-BR"/>
        </w:rPr>
        <w:t>o</w:t>
      </w:r>
      <w:r w:rsidRPr="005D6E61">
        <w:rPr>
          <w:rFonts w:ascii="Cambria" w:hAnsi="Cambria"/>
          <w:sz w:val="20"/>
          <w:szCs w:val="20"/>
          <w:lang w:val="pt-BR"/>
        </w:rPr>
        <w:t>rridas</w:t>
      </w:r>
      <w:r w:rsidR="00F77B7F" w:rsidRPr="005D6E61">
        <w:rPr>
          <w:rFonts w:ascii="Cambria" w:hAnsi="Cambria"/>
          <w:sz w:val="20"/>
          <w:szCs w:val="20"/>
          <w:lang w:val="pt-BR"/>
        </w:rPr>
        <w:t xml:space="preserve"> em </w:t>
      </w:r>
      <w:r w:rsidRPr="005D6E61">
        <w:rPr>
          <w:rFonts w:ascii="Cambria" w:hAnsi="Cambria"/>
          <w:sz w:val="20"/>
          <w:szCs w:val="20"/>
          <w:lang w:val="pt-BR"/>
        </w:rPr>
        <w:t>su</w:t>
      </w:r>
      <w:r w:rsidR="000A58CD" w:rsidRPr="005D6E61">
        <w:rPr>
          <w:rFonts w:ascii="Cambria" w:hAnsi="Cambria"/>
          <w:sz w:val="20"/>
          <w:szCs w:val="20"/>
          <w:lang w:val="pt-BR"/>
        </w:rPr>
        <w:t>a</w:t>
      </w:r>
      <w:r w:rsidRPr="005D6E61">
        <w:rPr>
          <w:rFonts w:ascii="Cambria" w:hAnsi="Cambria"/>
          <w:sz w:val="20"/>
          <w:szCs w:val="20"/>
          <w:lang w:val="pt-BR"/>
        </w:rPr>
        <w:t xml:space="preserve"> usina de ca</w:t>
      </w:r>
      <w:r w:rsidR="000A58CD" w:rsidRPr="005D6E61">
        <w:rPr>
          <w:rFonts w:ascii="Cambria" w:hAnsi="Cambria"/>
          <w:sz w:val="20"/>
          <w:szCs w:val="20"/>
          <w:lang w:val="pt-BR"/>
        </w:rPr>
        <w:t>n</w:t>
      </w:r>
      <w:r w:rsidRPr="005D6E61">
        <w:rPr>
          <w:rFonts w:ascii="Cambria" w:hAnsi="Cambria"/>
          <w:sz w:val="20"/>
          <w:szCs w:val="20"/>
          <w:lang w:val="pt-BR"/>
        </w:rPr>
        <w:t>a</w:t>
      </w:r>
      <w:r w:rsidR="000A58CD" w:rsidRPr="005D6E61">
        <w:rPr>
          <w:rFonts w:ascii="Cambria" w:hAnsi="Cambria"/>
          <w:sz w:val="20"/>
          <w:szCs w:val="20"/>
          <w:lang w:val="pt-BR"/>
        </w:rPr>
        <w:t>-</w:t>
      </w:r>
      <w:r w:rsidRPr="005D6E61">
        <w:rPr>
          <w:rFonts w:ascii="Cambria" w:hAnsi="Cambria"/>
          <w:sz w:val="20"/>
          <w:szCs w:val="20"/>
          <w:lang w:val="pt-BR"/>
        </w:rPr>
        <w:t>de</w:t>
      </w:r>
      <w:r w:rsidR="000A58CD" w:rsidRPr="005D6E61">
        <w:rPr>
          <w:rFonts w:ascii="Cambria" w:hAnsi="Cambria"/>
          <w:sz w:val="20"/>
          <w:szCs w:val="20"/>
          <w:lang w:val="pt-BR"/>
        </w:rPr>
        <w:t>-</w:t>
      </w:r>
      <w:r w:rsidRPr="005D6E61">
        <w:rPr>
          <w:rFonts w:ascii="Cambria" w:hAnsi="Cambria"/>
          <w:sz w:val="20"/>
          <w:szCs w:val="20"/>
          <w:lang w:val="pt-BR"/>
        </w:rPr>
        <w:t>a</w:t>
      </w:r>
      <w:r w:rsidR="000A58CD" w:rsidRPr="005D6E61">
        <w:rPr>
          <w:rFonts w:ascii="Cambria" w:hAnsi="Cambria"/>
          <w:sz w:val="20"/>
          <w:szCs w:val="20"/>
          <w:lang w:val="pt-BR"/>
        </w:rPr>
        <w:t>ç</w:t>
      </w:r>
      <w:r w:rsidRPr="005D6E61">
        <w:rPr>
          <w:rFonts w:ascii="Cambria" w:hAnsi="Cambria"/>
          <w:sz w:val="20"/>
          <w:szCs w:val="20"/>
          <w:lang w:val="pt-BR"/>
        </w:rPr>
        <w:t>úcar</w:t>
      </w:r>
      <w:r w:rsidR="006C5454" w:rsidRPr="005D6E61">
        <w:rPr>
          <w:rFonts w:ascii="Cambria" w:hAnsi="Cambria"/>
          <w:sz w:val="20"/>
          <w:szCs w:val="20"/>
          <w:lang w:val="pt-BR"/>
        </w:rPr>
        <w:t xml:space="preserve"> e </w:t>
      </w:r>
      <w:r w:rsidRPr="005D6E61">
        <w:rPr>
          <w:rFonts w:ascii="Cambria" w:hAnsi="Cambria"/>
          <w:sz w:val="20"/>
          <w:szCs w:val="20"/>
          <w:lang w:val="pt-BR"/>
        </w:rPr>
        <w:t>su</w:t>
      </w:r>
      <w:r w:rsidR="000A58CD" w:rsidRPr="005D6E61">
        <w:rPr>
          <w:rFonts w:ascii="Cambria" w:hAnsi="Cambria"/>
          <w:sz w:val="20"/>
          <w:szCs w:val="20"/>
          <w:lang w:val="pt-BR"/>
        </w:rPr>
        <w:t>a</w:t>
      </w:r>
      <w:r w:rsidRPr="005D6E61">
        <w:rPr>
          <w:rFonts w:ascii="Cambria" w:hAnsi="Cambria"/>
          <w:sz w:val="20"/>
          <w:szCs w:val="20"/>
          <w:lang w:val="pt-BR"/>
        </w:rPr>
        <w:t xml:space="preserve"> pretens</w:t>
      </w:r>
      <w:r w:rsidR="000A58CD" w:rsidRPr="005D6E61">
        <w:rPr>
          <w:rFonts w:ascii="Cambria" w:hAnsi="Cambria"/>
          <w:sz w:val="20"/>
          <w:szCs w:val="20"/>
          <w:lang w:val="pt-BR"/>
        </w:rPr>
        <w:t>ão</w:t>
      </w:r>
      <w:r w:rsidRPr="005D6E61">
        <w:rPr>
          <w:rFonts w:ascii="Cambria" w:hAnsi="Cambria"/>
          <w:sz w:val="20"/>
          <w:szCs w:val="20"/>
          <w:lang w:val="pt-BR"/>
        </w:rPr>
        <w:t xml:space="preserve"> de que “se pague a</w:t>
      </w:r>
      <w:r w:rsidR="00F77B7F" w:rsidRPr="005D6E61">
        <w:rPr>
          <w:rFonts w:ascii="Cambria" w:hAnsi="Cambria"/>
          <w:sz w:val="20"/>
          <w:szCs w:val="20"/>
          <w:lang w:val="pt-BR"/>
        </w:rPr>
        <w:t xml:space="preserve">os </w:t>
      </w:r>
      <w:r w:rsidR="00E37676" w:rsidRPr="005D6E61">
        <w:rPr>
          <w:rFonts w:ascii="Cambria" w:hAnsi="Cambria"/>
          <w:sz w:val="20"/>
          <w:szCs w:val="20"/>
          <w:lang w:val="pt-BR"/>
        </w:rPr>
        <w:t>trabalh</w:t>
      </w:r>
      <w:r w:rsidRPr="005D6E61">
        <w:rPr>
          <w:rFonts w:ascii="Cambria" w:hAnsi="Cambria"/>
          <w:sz w:val="20"/>
          <w:szCs w:val="20"/>
          <w:lang w:val="pt-BR"/>
        </w:rPr>
        <w:t>adores s</w:t>
      </w:r>
      <w:r w:rsidR="000A58CD" w:rsidRPr="005D6E61">
        <w:rPr>
          <w:rFonts w:ascii="Cambria" w:hAnsi="Cambria"/>
          <w:sz w:val="20"/>
          <w:szCs w:val="20"/>
          <w:lang w:val="pt-BR"/>
        </w:rPr>
        <w:t>e</w:t>
      </w:r>
      <w:r w:rsidRPr="005D6E61">
        <w:rPr>
          <w:rFonts w:ascii="Cambria" w:hAnsi="Cambria"/>
          <w:sz w:val="20"/>
          <w:szCs w:val="20"/>
          <w:lang w:val="pt-BR"/>
        </w:rPr>
        <w:t xml:space="preserve">us </w:t>
      </w:r>
      <w:r w:rsidR="00675058" w:rsidRPr="005D6E61">
        <w:rPr>
          <w:rFonts w:ascii="Cambria" w:hAnsi="Cambria"/>
          <w:sz w:val="20"/>
          <w:szCs w:val="20"/>
          <w:lang w:val="pt-BR"/>
        </w:rPr>
        <w:t>direito</w:t>
      </w:r>
      <w:r w:rsidRPr="005D6E61">
        <w:rPr>
          <w:rFonts w:ascii="Cambria" w:hAnsi="Cambria"/>
          <w:sz w:val="20"/>
          <w:szCs w:val="20"/>
          <w:lang w:val="pt-BR"/>
        </w:rPr>
        <w:t>s”</w:t>
      </w:r>
      <w:r w:rsidRPr="005D6E61">
        <w:rPr>
          <w:rStyle w:val="FootnoteReference"/>
          <w:rFonts w:ascii="Cambria" w:hAnsi="Cambria"/>
          <w:sz w:val="20"/>
          <w:szCs w:val="20"/>
          <w:lang w:val="pt-BR"/>
        </w:rPr>
        <w:footnoteReference w:id="23"/>
      </w:r>
      <w:r w:rsidRPr="005D6E61">
        <w:rPr>
          <w:rFonts w:ascii="Cambria" w:hAnsi="Cambria"/>
          <w:sz w:val="20"/>
          <w:szCs w:val="20"/>
          <w:lang w:val="pt-BR"/>
        </w:rPr>
        <w:t xml:space="preserve">. </w:t>
      </w:r>
    </w:p>
    <w:p w14:paraId="735CBB5A" w14:textId="77777777" w:rsidR="00AA70A5" w:rsidRPr="005D6E61" w:rsidRDefault="00AA70A5" w:rsidP="00AA70A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lang w:val="pt-BR"/>
        </w:rPr>
      </w:pPr>
    </w:p>
    <w:p w14:paraId="478C5FE9" w14:textId="77777777" w:rsidR="00AA70A5" w:rsidRPr="005D6E61"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Evani Serafim da Silva, </w:t>
      </w:r>
      <w:r w:rsidR="00E37676" w:rsidRPr="005D6E61">
        <w:rPr>
          <w:rFonts w:ascii="Cambria" w:hAnsi="Cambria"/>
          <w:sz w:val="20"/>
          <w:szCs w:val="20"/>
          <w:lang w:val="pt-BR"/>
        </w:rPr>
        <w:t>trabalh</w:t>
      </w:r>
      <w:r w:rsidRPr="005D6E61">
        <w:rPr>
          <w:rFonts w:ascii="Cambria" w:hAnsi="Cambria"/>
          <w:sz w:val="20"/>
          <w:szCs w:val="20"/>
          <w:lang w:val="pt-BR"/>
        </w:rPr>
        <w:t>adora</w:t>
      </w:r>
      <w:r w:rsidR="00675058" w:rsidRPr="005D6E61">
        <w:rPr>
          <w:rFonts w:ascii="Cambria" w:hAnsi="Cambria"/>
          <w:sz w:val="20"/>
          <w:szCs w:val="20"/>
          <w:lang w:val="pt-BR"/>
        </w:rPr>
        <w:t xml:space="preserve"> da </w:t>
      </w:r>
      <w:r w:rsidRPr="005D6E61">
        <w:rPr>
          <w:rFonts w:ascii="Cambria" w:hAnsi="Cambria"/>
          <w:sz w:val="20"/>
          <w:szCs w:val="20"/>
          <w:lang w:val="pt-BR"/>
        </w:rPr>
        <w:t>usina de João Carlos de Melo</w:t>
      </w:r>
      <w:r w:rsidR="002B71BD" w:rsidRPr="005D6E61">
        <w:rPr>
          <w:rFonts w:ascii="Cambria" w:hAnsi="Cambria"/>
          <w:sz w:val="20"/>
          <w:szCs w:val="20"/>
          <w:lang w:val="pt-BR"/>
        </w:rPr>
        <w:t xml:space="preserve"> (</w:t>
      </w:r>
      <w:r w:rsidR="008E5748" w:rsidRPr="005D6E61">
        <w:rPr>
          <w:rFonts w:ascii="Cambria" w:hAnsi="Cambria"/>
          <w:sz w:val="20"/>
          <w:szCs w:val="20"/>
          <w:lang w:val="pt-BR"/>
        </w:rPr>
        <w:t>o</w:t>
      </w:r>
      <w:r w:rsidR="000A58CD" w:rsidRPr="005D6E61">
        <w:rPr>
          <w:rFonts w:ascii="Cambria" w:hAnsi="Cambria"/>
          <w:sz w:val="20"/>
          <w:szCs w:val="20"/>
          <w:lang w:val="pt-BR"/>
        </w:rPr>
        <w:t>u</w:t>
      </w:r>
      <w:r w:rsidR="008E5748" w:rsidRPr="005D6E61">
        <w:rPr>
          <w:rFonts w:ascii="Cambria" w:hAnsi="Cambria"/>
          <w:sz w:val="20"/>
          <w:szCs w:val="20"/>
          <w:lang w:val="pt-BR"/>
        </w:rPr>
        <w:t>tro</w:t>
      </w:r>
      <w:r w:rsidRPr="005D6E61">
        <w:rPr>
          <w:rFonts w:ascii="Cambria" w:hAnsi="Cambria"/>
          <w:sz w:val="20"/>
          <w:szCs w:val="20"/>
          <w:lang w:val="pt-BR"/>
        </w:rPr>
        <w:t xml:space="preserve"> </w:t>
      </w:r>
      <w:r w:rsidR="000A58CD" w:rsidRPr="005D6E61">
        <w:rPr>
          <w:rFonts w:ascii="Cambria" w:hAnsi="Cambria"/>
          <w:sz w:val="20"/>
          <w:szCs w:val="20"/>
          <w:lang w:val="pt-BR"/>
        </w:rPr>
        <w:t>suposto</w:t>
      </w:r>
      <w:r w:rsidRPr="005D6E61">
        <w:rPr>
          <w:rFonts w:ascii="Cambria" w:hAnsi="Cambria"/>
          <w:sz w:val="20"/>
          <w:szCs w:val="20"/>
          <w:lang w:val="pt-BR"/>
        </w:rPr>
        <w:t xml:space="preserve"> integrante</w:t>
      </w:r>
      <w:r w:rsidR="00F77B7F" w:rsidRPr="005D6E61">
        <w:rPr>
          <w:rFonts w:ascii="Cambria" w:hAnsi="Cambria"/>
          <w:sz w:val="20"/>
          <w:szCs w:val="20"/>
          <w:lang w:val="pt-BR"/>
        </w:rPr>
        <w:t xml:space="preserve"> do </w:t>
      </w:r>
      <w:r w:rsidRPr="005D6E61">
        <w:rPr>
          <w:rFonts w:ascii="Cambria" w:hAnsi="Cambria"/>
          <w:sz w:val="20"/>
          <w:szCs w:val="20"/>
          <w:lang w:val="pt-BR"/>
        </w:rPr>
        <w:t>Grupo d</w:t>
      </w:r>
      <w:r w:rsidR="000A58CD" w:rsidRPr="005D6E61">
        <w:rPr>
          <w:rFonts w:ascii="Cambria" w:hAnsi="Cambria"/>
          <w:sz w:val="20"/>
          <w:szCs w:val="20"/>
          <w:lang w:val="pt-BR"/>
        </w:rPr>
        <w:t>a</w:t>
      </w:r>
      <w:r w:rsidRPr="005D6E61">
        <w:rPr>
          <w:rFonts w:ascii="Cambria" w:hAnsi="Cambria"/>
          <w:sz w:val="20"/>
          <w:szCs w:val="20"/>
          <w:lang w:val="pt-BR"/>
        </w:rPr>
        <w:t xml:space="preserve"> Várzea</w:t>
      </w:r>
      <w:r w:rsidR="002B71BD" w:rsidRPr="005D6E61">
        <w:rPr>
          <w:rFonts w:ascii="Cambria" w:hAnsi="Cambria"/>
          <w:sz w:val="20"/>
          <w:szCs w:val="20"/>
          <w:lang w:val="pt-BR"/>
        </w:rPr>
        <w:t>)</w:t>
      </w:r>
      <w:r w:rsidRPr="005D6E61">
        <w:rPr>
          <w:rFonts w:ascii="Cambria" w:hAnsi="Cambria"/>
          <w:sz w:val="20"/>
          <w:szCs w:val="20"/>
          <w:lang w:val="pt-BR"/>
        </w:rPr>
        <w:t>, afirm</w:t>
      </w:r>
      <w:r w:rsidR="00BF0B90" w:rsidRPr="005D6E61">
        <w:rPr>
          <w:rFonts w:ascii="Cambria" w:hAnsi="Cambria"/>
          <w:sz w:val="20"/>
          <w:szCs w:val="20"/>
          <w:lang w:val="pt-BR"/>
        </w:rPr>
        <w:t xml:space="preserve">ou </w:t>
      </w:r>
      <w:r w:rsidR="00E42FCE" w:rsidRPr="005D6E61">
        <w:rPr>
          <w:rFonts w:ascii="Cambria" w:hAnsi="Cambria"/>
          <w:sz w:val="20"/>
          <w:szCs w:val="20"/>
          <w:lang w:val="pt-BR"/>
        </w:rPr>
        <w:t>t</w:t>
      </w:r>
      <w:r w:rsidRPr="005D6E61">
        <w:rPr>
          <w:rFonts w:ascii="Cambria" w:hAnsi="Cambria"/>
          <w:sz w:val="20"/>
          <w:szCs w:val="20"/>
          <w:lang w:val="pt-BR"/>
        </w:rPr>
        <w:t>er sido agredida f</w:t>
      </w:r>
      <w:r w:rsidR="00E42FCE" w:rsidRPr="005D6E61">
        <w:rPr>
          <w:rFonts w:ascii="Cambria" w:hAnsi="Cambria"/>
          <w:sz w:val="20"/>
          <w:szCs w:val="20"/>
          <w:lang w:val="pt-BR"/>
        </w:rPr>
        <w:t>i</w:t>
      </w:r>
      <w:r w:rsidRPr="005D6E61">
        <w:rPr>
          <w:rFonts w:ascii="Cambria" w:hAnsi="Cambria"/>
          <w:sz w:val="20"/>
          <w:szCs w:val="20"/>
          <w:lang w:val="pt-BR"/>
        </w:rPr>
        <w:t xml:space="preserve">sicamente por Fernando Antônio Pereira Cruz de Melo, </w:t>
      </w:r>
      <w:r w:rsidR="005B67BB" w:rsidRPr="005D6E61">
        <w:rPr>
          <w:rFonts w:ascii="Cambria" w:hAnsi="Cambria"/>
          <w:sz w:val="20"/>
          <w:szCs w:val="20"/>
          <w:lang w:val="pt-BR"/>
        </w:rPr>
        <w:t>filho</w:t>
      </w:r>
      <w:r w:rsidRPr="005D6E61">
        <w:rPr>
          <w:rFonts w:ascii="Cambria" w:hAnsi="Cambria"/>
          <w:sz w:val="20"/>
          <w:szCs w:val="20"/>
          <w:lang w:val="pt-BR"/>
        </w:rPr>
        <w:t xml:space="preserve"> de s</w:t>
      </w:r>
      <w:r w:rsidR="00E42FCE" w:rsidRPr="005D6E61">
        <w:rPr>
          <w:rFonts w:ascii="Cambria" w:hAnsi="Cambria"/>
          <w:sz w:val="20"/>
          <w:szCs w:val="20"/>
          <w:lang w:val="pt-BR"/>
        </w:rPr>
        <w:t>e</w:t>
      </w:r>
      <w:r w:rsidRPr="005D6E61">
        <w:rPr>
          <w:rFonts w:ascii="Cambria" w:hAnsi="Cambria"/>
          <w:sz w:val="20"/>
          <w:szCs w:val="20"/>
          <w:lang w:val="pt-BR"/>
        </w:rPr>
        <w:t>u patr</w:t>
      </w:r>
      <w:r w:rsidR="00E42FCE" w:rsidRPr="005D6E61">
        <w:rPr>
          <w:rFonts w:ascii="Cambria" w:hAnsi="Cambria"/>
          <w:sz w:val="20"/>
          <w:szCs w:val="20"/>
          <w:lang w:val="pt-BR"/>
        </w:rPr>
        <w:t>ão</w:t>
      </w:r>
      <w:r w:rsidRPr="005D6E61">
        <w:rPr>
          <w:rFonts w:ascii="Cambria" w:hAnsi="Cambria"/>
          <w:sz w:val="20"/>
          <w:szCs w:val="20"/>
          <w:lang w:val="pt-BR"/>
        </w:rPr>
        <w:t>, de</w:t>
      </w:r>
      <w:r w:rsidR="00A1065A" w:rsidRPr="005D6E61">
        <w:rPr>
          <w:rFonts w:ascii="Cambria" w:hAnsi="Cambria"/>
          <w:sz w:val="20"/>
          <w:szCs w:val="20"/>
          <w:lang w:val="pt-BR"/>
        </w:rPr>
        <w:t>pois</w:t>
      </w:r>
      <w:r w:rsidRPr="005D6E61">
        <w:rPr>
          <w:rFonts w:ascii="Cambria" w:hAnsi="Cambria"/>
          <w:sz w:val="20"/>
          <w:szCs w:val="20"/>
          <w:lang w:val="pt-BR"/>
        </w:rPr>
        <w:t xml:space="preserve"> que acudi</w:t>
      </w:r>
      <w:r w:rsidR="00BF0B90" w:rsidRPr="005D6E61">
        <w:rPr>
          <w:rFonts w:ascii="Cambria" w:hAnsi="Cambria"/>
          <w:sz w:val="20"/>
          <w:szCs w:val="20"/>
          <w:lang w:val="pt-BR"/>
        </w:rPr>
        <w:t xml:space="preserve">u </w:t>
      </w:r>
      <w:r w:rsidR="00CD523F" w:rsidRPr="005D6E61">
        <w:rPr>
          <w:rFonts w:ascii="Cambria" w:hAnsi="Cambria"/>
          <w:sz w:val="20"/>
          <w:szCs w:val="20"/>
          <w:lang w:val="pt-BR"/>
        </w:rPr>
        <w:t xml:space="preserve">ao </w:t>
      </w:r>
      <w:r w:rsidRPr="005D6E61">
        <w:rPr>
          <w:rFonts w:ascii="Cambria" w:hAnsi="Cambria"/>
          <w:sz w:val="20"/>
          <w:szCs w:val="20"/>
          <w:lang w:val="pt-BR"/>
        </w:rPr>
        <w:t xml:space="preserve">Sindicato de </w:t>
      </w:r>
      <w:r w:rsidR="00E37676" w:rsidRPr="005D6E61">
        <w:rPr>
          <w:rFonts w:ascii="Cambria" w:hAnsi="Cambria"/>
          <w:sz w:val="20"/>
          <w:szCs w:val="20"/>
          <w:lang w:val="pt-BR"/>
        </w:rPr>
        <w:t>Trabalh</w:t>
      </w:r>
      <w:r w:rsidRPr="005D6E61">
        <w:rPr>
          <w:rFonts w:ascii="Cambria" w:hAnsi="Cambria"/>
          <w:sz w:val="20"/>
          <w:szCs w:val="20"/>
          <w:lang w:val="pt-BR"/>
        </w:rPr>
        <w:t>adores Rur</w:t>
      </w:r>
      <w:r w:rsidR="00331E62" w:rsidRPr="005D6E61">
        <w:rPr>
          <w:rFonts w:ascii="Cambria" w:hAnsi="Cambria"/>
          <w:sz w:val="20"/>
          <w:szCs w:val="20"/>
          <w:lang w:val="pt-BR"/>
        </w:rPr>
        <w:t>ais</w:t>
      </w:r>
      <w:r w:rsidRPr="005D6E61">
        <w:rPr>
          <w:rFonts w:ascii="Cambria" w:hAnsi="Cambria"/>
          <w:sz w:val="20"/>
          <w:szCs w:val="20"/>
          <w:lang w:val="pt-BR"/>
        </w:rPr>
        <w:t xml:space="preserve"> para obter</w:t>
      </w:r>
      <w:r w:rsidR="00275A65" w:rsidRPr="005D6E61">
        <w:rPr>
          <w:rFonts w:ascii="Cambria" w:hAnsi="Cambria"/>
          <w:sz w:val="20"/>
          <w:szCs w:val="20"/>
          <w:lang w:val="pt-BR"/>
        </w:rPr>
        <w:t xml:space="preserve"> um </w:t>
      </w:r>
      <w:r w:rsidRPr="005D6E61">
        <w:rPr>
          <w:rFonts w:ascii="Cambria" w:hAnsi="Cambria"/>
          <w:sz w:val="20"/>
          <w:szCs w:val="20"/>
          <w:lang w:val="pt-BR"/>
        </w:rPr>
        <w:t>rem</w:t>
      </w:r>
      <w:r w:rsidR="00A1065A" w:rsidRPr="005D6E61">
        <w:rPr>
          <w:rFonts w:ascii="Cambria" w:hAnsi="Cambria"/>
          <w:sz w:val="20"/>
          <w:szCs w:val="20"/>
          <w:lang w:val="pt-BR"/>
        </w:rPr>
        <w:t>é</w:t>
      </w:r>
      <w:r w:rsidRPr="005D6E61">
        <w:rPr>
          <w:rFonts w:ascii="Cambria" w:hAnsi="Cambria"/>
          <w:sz w:val="20"/>
          <w:szCs w:val="20"/>
          <w:lang w:val="pt-BR"/>
        </w:rPr>
        <w:t>dio para su</w:t>
      </w:r>
      <w:r w:rsidR="00A1065A" w:rsidRPr="005D6E61">
        <w:rPr>
          <w:rFonts w:ascii="Cambria" w:hAnsi="Cambria"/>
          <w:sz w:val="20"/>
          <w:szCs w:val="20"/>
          <w:lang w:val="pt-BR"/>
        </w:rPr>
        <w:t>a</w:t>
      </w:r>
      <w:r w:rsidRPr="005D6E61">
        <w:rPr>
          <w:rFonts w:ascii="Cambria" w:hAnsi="Cambria"/>
          <w:sz w:val="20"/>
          <w:szCs w:val="20"/>
          <w:lang w:val="pt-BR"/>
        </w:rPr>
        <w:t xml:space="preserve"> </w:t>
      </w:r>
      <w:r w:rsidR="00A1065A" w:rsidRPr="005D6E61">
        <w:rPr>
          <w:rFonts w:ascii="Cambria" w:hAnsi="Cambria"/>
          <w:sz w:val="20"/>
          <w:szCs w:val="20"/>
          <w:lang w:val="pt-BR"/>
        </w:rPr>
        <w:t>filh</w:t>
      </w:r>
      <w:r w:rsidRPr="005D6E61">
        <w:rPr>
          <w:rFonts w:ascii="Cambria" w:hAnsi="Cambria"/>
          <w:sz w:val="20"/>
          <w:szCs w:val="20"/>
          <w:lang w:val="pt-BR"/>
        </w:rPr>
        <w:t>a. Indic</w:t>
      </w:r>
      <w:r w:rsidR="00BF0B90" w:rsidRPr="005D6E61">
        <w:rPr>
          <w:rFonts w:ascii="Cambria" w:hAnsi="Cambria"/>
          <w:sz w:val="20"/>
          <w:szCs w:val="20"/>
          <w:lang w:val="pt-BR"/>
        </w:rPr>
        <w:t xml:space="preserve">ou </w:t>
      </w:r>
      <w:r w:rsidRPr="005D6E61">
        <w:rPr>
          <w:rFonts w:ascii="Cambria" w:hAnsi="Cambria"/>
          <w:sz w:val="20"/>
          <w:szCs w:val="20"/>
          <w:lang w:val="pt-BR"/>
        </w:rPr>
        <w:t>que s</w:t>
      </w:r>
      <w:r w:rsidR="00A1065A" w:rsidRPr="005D6E61">
        <w:rPr>
          <w:rFonts w:ascii="Cambria" w:hAnsi="Cambria"/>
          <w:sz w:val="20"/>
          <w:szCs w:val="20"/>
          <w:lang w:val="pt-BR"/>
        </w:rPr>
        <w:t>e</w:t>
      </w:r>
      <w:r w:rsidRPr="005D6E61">
        <w:rPr>
          <w:rFonts w:ascii="Cambria" w:hAnsi="Cambria"/>
          <w:sz w:val="20"/>
          <w:szCs w:val="20"/>
          <w:lang w:val="pt-BR"/>
        </w:rPr>
        <w:t>u sup</w:t>
      </w:r>
      <w:r w:rsidR="00A1065A" w:rsidRPr="005D6E61">
        <w:rPr>
          <w:rFonts w:ascii="Cambria" w:hAnsi="Cambria"/>
          <w:sz w:val="20"/>
          <w:szCs w:val="20"/>
          <w:lang w:val="pt-BR"/>
        </w:rPr>
        <w:t>o</w:t>
      </w:r>
      <w:r w:rsidRPr="005D6E61">
        <w:rPr>
          <w:rFonts w:ascii="Cambria" w:hAnsi="Cambria"/>
          <w:sz w:val="20"/>
          <w:szCs w:val="20"/>
          <w:lang w:val="pt-BR"/>
        </w:rPr>
        <w:t>sto agre</w:t>
      </w:r>
      <w:r w:rsidR="00A1065A" w:rsidRPr="005D6E61">
        <w:rPr>
          <w:rFonts w:ascii="Cambria" w:hAnsi="Cambria"/>
          <w:sz w:val="20"/>
          <w:szCs w:val="20"/>
          <w:lang w:val="pt-BR"/>
        </w:rPr>
        <w:t>s</w:t>
      </w:r>
      <w:r w:rsidRPr="005D6E61">
        <w:rPr>
          <w:rFonts w:ascii="Cambria" w:hAnsi="Cambria"/>
          <w:sz w:val="20"/>
          <w:szCs w:val="20"/>
          <w:lang w:val="pt-BR"/>
        </w:rPr>
        <w:t>sor l</w:t>
      </w:r>
      <w:r w:rsidR="00A1065A" w:rsidRPr="005D6E61">
        <w:rPr>
          <w:rFonts w:ascii="Cambria" w:hAnsi="Cambria"/>
          <w:sz w:val="20"/>
          <w:szCs w:val="20"/>
          <w:lang w:val="pt-BR"/>
        </w:rPr>
        <w:t>h</w:t>
      </w:r>
      <w:r w:rsidRPr="005D6E61">
        <w:rPr>
          <w:rFonts w:ascii="Cambria" w:hAnsi="Cambria"/>
          <w:sz w:val="20"/>
          <w:szCs w:val="20"/>
          <w:lang w:val="pt-BR"/>
        </w:rPr>
        <w:t>e di</w:t>
      </w:r>
      <w:r w:rsidR="00A1065A" w:rsidRPr="005D6E61">
        <w:rPr>
          <w:rFonts w:ascii="Cambria" w:hAnsi="Cambria"/>
          <w:sz w:val="20"/>
          <w:szCs w:val="20"/>
          <w:lang w:val="pt-BR"/>
        </w:rPr>
        <w:t>sse</w:t>
      </w:r>
      <w:r w:rsidRPr="005D6E61">
        <w:rPr>
          <w:rFonts w:ascii="Cambria" w:hAnsi="Cambria"/>
          <w:sz w:val="20"/>
          <w:szCs w:val="20"/>
          <w:lang w:val="pt-BR"/>
        </w:rPr>
        <w:t xml:space="preserve"> que</w:t>
      </w:r>
      <w:r w:rsidR="00A1065A" w:rsidRPr="005D6E61">
        <w:rPr>
          <w:rFonts w:ascii="Cambria" w:hAnsi="Cambria"/>
          <w:sz w:val="20"/>
          <w:szCs w:val="20"/>
          <w:lang w:val="pt-BR"/>
        </w:rPr>
        <w:t>,</w:t>
      </w:r>
      <w:r w:rsidR="002508A0" w:rsidRPr="005D6E61">
        <w:rPr>
          <w:rFonts w:ascii="Cambria" w:hAnsi="Cambria"/>
          <w:sz w:val="20"/>
          <w:szCs w:val="20"/>
          <w:lang w:val="pt-BR"/>
        </w:rPr>
        <w:t xml:space="preserve"> se </w:t>
      </w:r>
      <w:r w:rsidRPr="005D6E61">
        <w:rPr>
          <w:rFonts w:ascii="Cambria" w:hAnsi="Cambria"/>
          <w:sz w:val="20"/>
          <w:szCs w:val="20"/>
          <w:lang w:val="pt-BR"/>
        </w:rPr>
        <w:t>vol</w:t>
      </w:r>
      <w:r w:rsidR="00A1065A" w:rsidRPr="005D6E61">
        <w:rPr>
          <w:rFonts w:ascii="Cambria" w:hAnsi="Cambria"/>
          <w:sz w:val="20"/>
          <w:szCs w:val="20"/>
          <w:lang w:val="pt-BR"/>
        </w:rPr>
        <w:t xml:space="preserve">tasse </w:t>
      </w:r>
      <w:r w:rsidRPr="005D6E61">
        <w:rPr>
          <w:rFonts w:ascii="Cambria" w:hAnsi="Cambria"/>
          <w:sz w:val="20"/>
          <w:szCs w:val="20"/>
          <w:lang w:val="pt-BR"/>
        </w:rPr>
        <w:t>a ter contato</w:t>
      </w:r>
      <w:r w:rsidR="00F77B7F" w:rsidRPr="005D6E61">
        <w:rPr>
          <w:rFonts w:ascii="Cambria" w:hAnsi="Cambria"/>
          <w:sz w:val="20"/>
          <w:szCs w:val="20"/>
          <w:lang w:val="pt-BR"/>
        </w:rPr>
        <w:t xml:space="preserve"> com </w:t>
      </w:r>
      <w:r w:rsidRPr="005D6E61">
        <w:rPr>
          <w:rFonts w:ascii="Cambria" w:hAnsi="Cambria"/>
          <w:sz w:val="20"/>
          <w:szCs w:val="20"/>
          <w:lang w:val="pt-BR"/>
        </w:rPr>
        <w:t>Margarida Maria Alves</w:t>
      </w:r>
      <w:r w:rsidR="00A1065A" w:rsidRPr="005D6E61">
        <w:rPr>
          <w:rFonts w:ascii="Cambria" w:hAnsi="Cambria"/>
          <w:sz w:val="20"/>
          <w:szCs w:val="20"/>
          <w:lang w:val="pt-BR"/>
        </w:rPr>
        <w:t>,</w:t>
      </w:r>
      <w:r w:rsidR="00F77B7F" w:rsidRPr="005D6E61">
        <w:rPr>
          <w:rFonts w:ascii="Cambria" w:hAnsi="Cambria"/>
          <w:sz w:val="20"/>
          <w:szCs w:val="20"/>
          <w:lang w:val="pt-BR"/>
        </w:rPr>
        <w:t xml:space="preserve"> </w:t>
      </w:r>
      <w:r w:rsidRPr="005D6E61">
        <w:rPr>
          <w:rFonts w:ascii="Cambria" w:hAnsi="Cambria"/>
          <w:sz w:val="20"/>
          <w:szCs w:val="20"/>
          <w:lang w:val="pt-BR"/>
        </w:rPr>
        <w:t>matar</w:t>
      </w:r>
      <w:r w:rsidR="005A2381" w:rsidRPr="005D6E61">
        <w:rPr>
          <w:rFonts w:ascii="Cambria" w:hAnsi="Cambria"/>
          <w:sz w:val="20"/>
          <w:szCs w:val="20"/>
          <w:lang w:val="pt-BR"/>
        </w:rPr>
        <w:t xml:space="preserve">ia </w:t>
      </w:r>
      <w:r w:rsidR="00A1065A" w:rsidRPr="005D6E61">
        <w:rPr>
          <w:rFonts w:ascii="Cambria" w:hAnsi="Cambria"/>
          <w:sz w:val="20"/>
          <w:szCs w:val="20"/>
          <w:lang w:val="pt-BR"/>
        </w:rPr>
        <w:t>a</w:t>
      </w:r>
      <w:r w:rsidR="005A2381" w:rsidRPr="005D6E61">
        <w:rPr>
          <w:rFonts w:ascii="Cambria" w:hAnsi="Cambria"/>
          <w:sz w:val="20"/>
          <w:szCs w:val="20"/>
          <w:lang w:val="pt-BR"/>
        </w:rPr>
        <w:t xml:space="preserve">s </w:t>
      </w:r>
      <w:r w:rsidRPr="005D6E61">
        <w:rPr>
          <w:rFonts w:ascii="Cambria" w:hAnsi="Cambria"/>
          <w:sz w:val="20"/>
          <w:szCs w:val="20"/>
          <w:lang w:val="pt-BR"/>
        </w:rPr>
        <w:t>d</w:t>
      </w:r>
      <w:r w:rsidR="00A1065A" w:rsidRPr="005D6E61">
        <w:rPr>
          <w:rFonts w:ascii="Cambria" w:hAnsi="Cambria"/>
          <w:sz w:val="20"/>
          <w:szCs w:val="20"/>
          <w:lang w:val="pt-BR"/>
        </w:rPr>
        <w:t>ua</w:t>
      </w:r>
      <w:r w:rsidRPr="005D6E61">
        <w:rPr>
          <w:rFonts w:ascii="Cambria" w:hAnsi="Cambria"/>
          <w:sz w:val="20"/>
          <w:szCs w:val="20"/>
          <w:lang w:val="pt-BR"/>
        </w:rPr>
        <w:t>s</w:t>
      </w:r>
      <w:r w:rsidRPr="005D6E61">
        <w:rPr>
          <w:rFonts w:ascii="Cambria" w:hAnsi="Cambria"/>
          <w:sz w:val="20"/>
          <w:szCs w:val="20"/>
          <w:vertAlign w:val="superscript"/>
          <w:lang w:val="pt-BR"/>
        </w:rPr>
        <w:footnoteReference w:id="24"/>
      </w:r>
      <w:r w:rsidRPr="005D6E61">
        <w:rPr>
          <w:rFonts w:ascii="Cambria" w:hAnsi="Cambria"/>
          <w:sz w:val="20"/>
          <w:szCs w:val="20"/>
          <w:lang w:val="pt-BR"/>
        </w:rPr>
        <w:t>.</w:t>
      </w:r>
    </w:p>
    <w:p w14:paraId="6F483CFE" w14:textId="77777777" w:rsidR="002E2BF9" w:rsidRPr="005D6E61" w:rsidRDefault="002E2BF9" w:rsidP="002E2BF9">
      <w:pPr>
        <w:pStyle w:val="ListParagraph"/>
        <w:rPr>
          <w:sz w:val="20"/>
          <w:szCs w:val="20"/>
          <w:lang w:val="pt-BR"/>
        </w:rPr>
      </w:pPr>
    </w:p>
    <w:p w14:paraId="4158C3D3" w14:textId="77777777" w:rsidR="002E2BF9" w:rsidRPr="005D6E61" w:rsidRDefault="002E2BF9" w:rsidP="002E2B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Seg</w:t>
      </w:r>
      <w:r w:rsidR="00A1065A" w:rsidRPr="005D6E61">
        <w:rPr>
          <w:rFonts w:ascii="Cambria" w:hAnsi="Cambria"/>
          <w:sz w:val="20"/>
          <w:szCs w:val="20"/>
          <w:lang w:val="pt-BR"/>
        </w:rPr>
        <w:t>undo</w:t>
      </w:r>
      <w:r w:rsidRPr="005D6E61">
        <w:rPr>
          <w:rFonts w:ascii="Cambria" w:hAnsi="Cambria"/>
          <w:sz w:val="20"/>
          <w:szCs w:val="20"/>
          <w:lang w:val="pt-BR"/>
        </w:rPr>
        <w:t xml:space="preserve"> consta</w:t>
      </w:r>
      <w:r w:rsidR="00F77B7F" w:rsidRPr="005D6E61">
        <w:rPr>
          <w:rFonts w:ascii="Cambria" w:hAnsi="Cambria"/>
          <w:sz w:val="20"/>
          <w:szCs w:val="20"/>
          <w:lang w:val="pt-BR"/>
        </w:rPr>
        <w:t xml:space="preserve"> em </w:t>
      </w:r>
      <w:r w:rsidRPr="005D6E61">
        <w:rPr>
          <w:rFonts w:ascii="Cambria" w:hAnsi="Cambria"/>
          <w:sz w:val="20"/>
          <w:szCs w:val="20"/>
          <w:lang w:val="pt-BR"/>
        </w:rPr>
        <w:t>informa</w:t>
      </w:r>
      <w:r w:rsidR="00A274D9" w:rsidRPr="005D6E61">
        <w:rPr>
          <w:rFonts w:ascii="Cambria" w:hAnsi="Cambria"/>
          <w:sz w:val="20"/>
          <w:szCs w:val="20"/>
          <w:lang w:val="pt-BR"/>
        </w:rPr>
        <w:t>ção</w:t>
      </w:r>
      <w:r w:rsidRPr="005D6E61">
        <w:rPr>
          <w:rFonts w:ascii="Cambria" w:hAnsi="Cambria"/>
          <w:sz w:val="20"/>
          <w:szCs w:val="20"/>
          <w:lang w:val="pt-BR"/>
        </w:rPr>
        <w:t xml:space="preserve"> de </w:t>
      </w:r>
      <w:r w:rsidR="00A1065A" w:rsidRPr="005D6E61">
        <w:rPr>
          <w:rFonts w:ascii="Cambria" w:hAnsi="Cambria"/>
          <w:sz w:val="20"/>
          <w:szCs w:val="20"/>
          <w:lang w:val="pt-BR"/>
        </w:rPr>
        <w:t xml:space="preserve">conhecimento </w:t>
      </w:r>
      <w:r w:rsidRPr="005D6E61">
        <w:rPr>
          <w:rFonts w:ascii="Cambria" w:hAnsi="Cambria"/>
          <w:sz w:val="20"/>
          <w:szCs w:val="20"/>
          <w:lang w:val="pt-BR"/>
        </w:rPr>
        <w:t>público</w:t>
      </w:r>
      <w:r w:rsidR="00A1065A" w:rsidRPr="005D6E61">
        <w:rPr>
          <w:rFonts w:ascii="Cambria" w:hAnsi="Cambria"/>
          <w:sz w:val="20"/>
          <w:szCs w:val="20"/>
          <w:lang w:val="pt-BR"/>
        </w:rPr>
        <w:t>,</w:t>
      </w:r>
      <w:r w:rsidRPr="005D6E61">
        <w:rPr>
          <w:rFonts w:ascii="Cambria" w:hAnsi="Cambria"/>
          <w:sz w:val="20"/>
          <w:szCs w:val="20"/>
          <w:lang w:val="pt-BR"/>
        </w:rPr>
        <w:t xml:space="preserve"> </w:t>
      </w:r>
      <w:r w:rsidR="002B71BD" w:rsidRPr="005D6E61">
        <w:rPr>
          <w:rFonts w:ascii="Cambria" w:hAnsi="Cambria"/>
          <w:sz w:val="20"/>
          <w:szCs w:val="20"/>
          <w:lang w:val="pt-BR"/>
        </w:rPr>
        <w:t xml:space="preserve">em maio de 1983 </w:t>
      </w:r>
      <w:r w:rsidR="00331E62" w:rsidRPr="005D6E61">
        <w:rPr>
          <w:rFonts w:ascii="Cambria" w:hAnsi="Cambria"/>
          <w:sz w:val="20"/>
          <w:szCs w:val="20"/>
          <w:lang w:val="pt-BR"/>
        </w:rPr>
        <w:t xml:space="preserve">a </w:t>
      </w:r>
      <w:r w:rsidR="005A2381" w:rsidRPr="005D6E61">
        <w:rPr>
          <w:rFonts w:ascii="Cambria" w:hAnsi="Cambria"/>
          <w:sz w:val="20"/>
          <w:szCs w:val="20"/>
          <w:lang w:val="pt-BR"/>
        </w:rPr>
        <w:t>suposta</w:t>
      </w:r>
      <w:r w:rsidRPr="005D6E61">
        <w:rPr>
          <w:rFonts w:ascii="Cambria" w:hAnsi="Cambria"/>
          <w:sz w:val="20"/>
          <w:szCs w:val="20"/>
          <w:lang w:val="pt-BR"/>
        </w:rPr>
        <w:t xml:space="preserve"> </w:t>
      </w:r>
      <w:r w:rsidR="003619A0" w:rsidRPr="005D6E61">
        <w:rPr>
          <w:rFonts w:ascii="Cambria" w:hAnsi="Cambria"/>
          <w:sz w:val="20"/>
          <w:szCs w:val="20"/>
          <w:lang w:val="pt-BR"/>
        </w:rPr>
        <w:t>vítima</w:t>
      </w:r>
      <w:r w:rsidRPr="005D6E61">
        <w:rPr>
          <w:rFonts w:ascii="Cambria" w:hAnsi="Cambria"/>
          <w:sz w:val="20"/>
          <w:szCs w:val="20"/>
          <w:lang w:val="pt-BR"/>
        </w:rPr>
        <w:t xml:space="preserve"> denunci</w:t>
      </w:r>
      <w:r w:rsidR="00BF0B90" w:rsidRPr="005D6E61">
        <w:rPr>
          <w:rFonts w:ascii="Cambria" w:hAnsi="Cambria"/>
          <w:sz w:val="20"/>
          <w:szCs w:val="20"/>
          <w:lang w:val="pt-BR"/>
        </w:rPr>
        <w:t xml:space="preserve">ou </w:t>
      </w:r>
      <w:r w:rsidR="00A1065A" w:rsidRPr="005D6E61">
        <w:rPr>
          <w:rFonts w:ascii="Cambria" w:hAnsi="Cambria"/>
          <w:sz w:val="20"/>
          <w:szCs w:val="20"/>
          <w:lang w:val="pt-BR"/>
        </w:rPr>
        <w:t>à</w:t>
      </w:r>
      <w:r w:rsidR="00331E62" w:rsidRPr="005D6E61">
        <w:rPr>
          <w:rFonts w:ascii="Cambria" w:hAnsi="Cambria"/>
          <w:sz w:val="20"/>
          <w:szCs w:val="20"/>
          <w:lang w:val="pt-BR"/>
        </w:rPr>
        <w:t xml:space="preserve"> </w:t>
      </w:r>
      <w:r w:rsidR="006C535C" w:rsidRPr="005D6E61">
        <w:rPr>
          <w:rFonts w:ascii="Cambria" w:hAnsi="Cambria"/>
          <w:sz w:val="20"/>
          <w:szCs w:val="20"/>
          <w:lang w:val="pt-BR"/>
        </w:rPr>
        <w:t>polícia</w:t>
      </w:r>
      <w:r w:rsidR="00F77B7F" w:rsidRPr="005D6E61">
        <w:rPr>
          <w:rFonts w:ascii="Cambria" w:hAnsi="Cambria"/>
          <w:sz w:val="20"/>
          <w:szCs w:val="20"/>
          <w:lang w:val="pt-BR"/>
        </w:rPr>
        <w:t xml:space="preserve"> </w:t>
      </w:r>
      <w:r w:rsidRPr="005D6E61">
        <w:rPr>
          <w:rFonts w:ascii="Cambria" w:hAnsi="Cambria"/>
          <w:sz w:val="20"/>
          <w:szCs w:val="20"/>
          <w:lang w:val="pt-BR"/>
        </w:rPr>
        <w:t>que esta</w:t>
      </w:r>
      <w:r w:rsidR="00A1065A" w:rsidRPr="005D6E61">
        <w:rPr>
          <w:rFonts w:ascii="Cambria" w:hAnsi="Cambria"/>
          <w:sz w:val="20"/>
          <w:szCs w:val="20"/>
          <w:lang w:val="pt-BR"/>
        </w:rPr>
        <w:t>v</w:t>
      </w:r>
      <w:r w:rsidRPr="005D6E61">
        <w:rPr>
          <w:rFonts w:ascii="Cambria" w:hAnsi="Cambria"/>
          <w:sz w:val="20"/>
          <w:szCs w:val="20"/>
          <w:lang w:val="pt-BR"/>
        </w:rPr>
        <w:t>a s</w:t>
      </w:r>
      <w:r w:rsidR="00A1065A" w:rsidRPr="005D6E61">
        <w:rPr>
          <w:rFonts w:ascii="Cambria" w:hAnsi="Cambria"/>
          <w:sz w:val="20"/>
          <w:szCs w:val="20"/>
          <w:lang w:val="pt-BR"/>
        </w:rPr>
        <w:t>o</w:t>
      </w:r>
      <w:r w:rsidRPr="005D6E61">
        <w:rPr>
          <w:rFonts w:ascii="Cambria" w:hAnsi="Cambria"/>
          <w:sz w:val="20"/>
          <w:szCs w:val="20"/>
          <w:lang w:val="pt-BR"/>
        </w:rPr>
        <w:t xml:space="preserve">frendo </w:t>
      </w:r>
      <w:r w:rsidR="005B67BB" w:rsidRPr="005D6E61">
        <w:rPr>
          <w:rFonts w:ascii="Cambria" w:hAnsi="Cambria"/>
          <w:sz w:val="20"/>
          <w:szCs w:val="20"/>
          <w:lang w:val="pt-BR"/>
        </w:rPr>
        <w:t>ameaça</w:t>
      </w:r>
      <w:r w:rsidRPr="005D6E61">
        <w:rPr>
          <w:rFonts w:ascii="Cambria" w:hAnsi="Cambria"/>
          <w:sz w:val="20"/>
          <w:szCs w:val="20"/>
          <w:lang w:val="pt-BR"/>
        </w:rPr>
        <w:t>s</w:t>
      </w:r>
      <w:r w:rsidR="00331E62" w:rsidRPr="005D6E61">
        <w:rPr>
          <w:rFonts w:ascii="Cambria" w:hAnsi="Cambria"/>
          <w:sz w:val="20"/>
          <w:szCs w:val="20"/>
          <w:lang w:val="pt-BR"/>
        </w:rPr>
        <w:t xml:space="preserve"> dos </w:t>
      </w:r>
      <w:r w:rsidRPr="005D6E61">
        <w:rPr>
          <w:rFonts w:ascii="Cambria" w:hAnsi="Cambria"/>
          <w:sz w:val="20"/>
          <w:szCs w:val="20"/>
          <w:lang w:val="pt-BR"/>
        </w:rPr>
        <w:t>d</w:t>
      </w:r>
      <w:r w:rsidR="00A1065A" w:rsidRPr="005D6E61">
        <w:rPr>
          <w:rFonts w:ascii="Cambria" w:hAnsi="Cambria"/>
          <w:sz w:val="20"/>
          <w:szCs w:val="20"/>
          <w:lang w:val="pt-BR"/>
        </w:rPr>
        <w:t>on</w:t>
      </w:r>
      <w:r w:rsidRPr="005D6E61">
        <w:rPr>
          <w:rFonts w:ascii="Cambria" w:hAnsi="Cambria"/>
          <w:sz w:val="20"/>
          <w:szCs w:val="20"/>
          <w:lang w:val="pt-BR"/>
        </w:rPr>
        <w:t>os</w:t>
      </w:r>
      <w:r w:rsidR="00F77B7F" w:rsidRPr="005D6E61">
        <w:rPr>
          <w:rFonts w:ascii="Cambria" w:hAnsi="Cambria"/>
          <w:sz w:val="20"/>
          <w:szCs w:val="20"/>
          <w:lang w:val="pt-BR"/>
        </w:rPr>
        <w:t xml:space="preserve"> do </w:t>
      </w:r>
      <w:r w:rsidR="00A1065A" w:rsidRPr="005D6E61">
        <w:rPr>
          <w:rFonts w:ascii="Cambria" w:hAnsi="Cambria"/>
          <w:sz w:val="20"/>
          <w:szCs w:val="20"/>
          <w:lang w:val="pt-BR"/>
        </w:rPr>
        <w:t>e</w:t>
      </w:r>
      <w:r w:rsidRPr="005D6E61">
        <w:rPr>
          <w:rFonts w:ascii="Cambria" w:hAnsi="Cambria"/>
          <w:sz w:val="20"/>
          <w:szCs w:val="20"/>
          <w:lang w:val="pt-BR"/>
        </w:rPr>
        <w:t>ngen</w:t>
      </w:r>
      <w:r w:rsidR="00A1065A" w:rsidRPr="005D6E61">
        <w:rPr>
          <w:rFonts w:ascii="Cambria" w:hAnsi="Cambria"/>
          <w:sz w:val="20"/>
          <w:szCs w:val="20"/>
          <w:lang w:val="pt-BR"/>
        </w:rPr>
        <w:t>h</w:t>
      </w:r>
      <w:r w:rsidRPr="005D6E61">
        <w:rPr>
          <w:rFonts w:ascii="Cambria" w:hAnsi="Cambria"/>
          <w:sz w:val="20"/>
          <w:szCs w:val="20"/>
          <w:lang w:val="pt-BR"/>
        </w:rPr>
        <w:t>o Ribeiro</w:t>
      </w:r>
      <w:r w:rsidR="006C5454" w:rsidRPr="005D6E61">
        <w:rPr>
          <w:rFonts w:ascii="Cambria" w:hAnsi="Cambria"/>
          <w:sz w:val="20"/>
          <w:szCs w:val="20"/>
          <w:lang w:val="pt-BR"/>
        </w:rPr>
        <w:t xml:space="preserve"> e </w:t>
      </w:r>
      <w:r w:rsidRPr="005D6E61">
        <w:rPr>
          <w:rFonts w:ascii="Cambria" w:hAnsi="Cambria"/>
          <w:sz w:val="20"/>
          <w:szCs w:val="20"/>
          <w:lang w:val="pt-BR"/>
        </w:rPr>
        <w:t xml:space="preserve">de </w:t>
      </w:r>
      <w:r w:rsidR="00A1065A" w:rsidRPr="005D6E61">
        <w:rPr>
          <w:rFonts w:ascii="Cambria" w:hAnsi="Cambria"/>
          <w:sz w:val="20"/>
          <w:szCs w:val="20"/>
          <w:lang w:val="pt-BR"/>
        </w:rPr>
        <w:t>outr</w:t>
      </w:r>
      <w:r w:rsidRPr="005D6E61">
        <w:rPr>
          <w:rFonts w:ascii="Cambria" w:hAnsi="Cambria"/>
          <w:sz w:val="20"/>
          <w:szCs w:val="20"/>
          <w:lang w:val="pt-BR"/>
        </w:rPr>
        <w:t xml:space="preserve">os </w:t>
      </w:r>
      <w:r w:rsidR="00A1065A" w:rsidRPr="005D6E61">
        <w:rPr>
          <w:rFonts w:ascii="Cambria" w:hAnsi="Cambria"/>
          <w:sz w:val="20"/>
          <w:szCs w:val="20"/>
          <w:lang w:val="pt-BR"/>
        </w:rPr>
        <w:t>e</w:t>
      </w:r>
      <w:r w:rsidRPr="005D6E61">
        <w:rPr>
          <w:rFonts w:ascii="Cambria" w:hAnsi="Cambria"/>
          <w:sz w:val="20"/>
          <w:szCs w:val="20"/>
          <w:lang w:val="pt-BR"/>
        </w:rPr>
        <w:t>ngen</w:t>
      </w:r>
      <w:r w:rsidR="00A1065A" w:rsidRPr="005D6E61">
        <w:rPr>
          <w:rFonts w:ascii="Cambria" w:hAnsi="Cambria"/>
          <w:sz w:val="20"/>
          <w:szCs w:val="20"/>
          <w:lang w:val="pt-BR"/>
        </w:rPr>
        <w:t>h</w:t>
      </w:r>
      <w:r w:rsidRPr="005D6E61">
        <w:rPr>
          <w:rFonts w:ascii="Cambria" w:hAnsi="Cambria"/>
          <w:sz w:val="20"/>
          <w:szCs w:val="20"/>
          <w:lang w:val="pt-BR"/>
        </w:rPr>
        <w:t>os</w:t>
      </w:r>
      <w:r w:rsidRPr="005D6E61">
        <w:rPr>
          <w:rStyle w:val="FootnoteReference"/>
          <w:rFonts w:ascii="Cambria" w:hAnsi="Cambria"/>
          <w:sz w:val="20"/>
          <w:szCs w:val="20"/>
          <w:lang w:val="pt-BR"/>
        </w:rPr>
        <w:footnoteReference w:id="25"/>
      </w:r>
      <w:r w:rsidRPr="005D6E61">
        <w:rPr>
          <w:rFonts w:ascii="Cambria" w:hAnsi="Cambria"/>
          <w:sz w:val="20"/>
          <w:szCs w:val="20"/>
          <w:lang w:val="pt-BR"/>
        </w:rPr>
        <w:t xml:space="preserve">. </w:t>
      </w:r>
    </w:p>
    <w:p w14:paraId="055D50B2" w14:textId="77777777" w:rsidR="002E2BF9" w:rsidRPr="005D6E61" w:rsidRDefault="002E2BF9" w:rsidP="002E2BF9">
      <w:pPr>
        <w:tabs>
          <w:tab w:val="left" w:pos="1440"/>
        </w:tabs>
        <w:ind w:left="720"/>
        <w:jc w:val="both"/>
        <w:rPr>
          <w:rFonts w:ascii="Cambria" w:hAnsi="Cambria"/>
          <w:sz w:val="20"/>
          <w:szCs w:val="20"/>
          <w:lang w:val="pt-BR"/>
        </w:rPr>
      </w:pPr>
    </w:p>
    <w:p w14:paraId="67ED6460" w14:textId="77777777" w:rsidR="002E2BF9" w:rsidRPr="005D6E61" w:rsidRDefault="002E2BF9" w:rsidP="002E2B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Por </w:t>
      </w:r>
      <w:r w:rsidR="00A1065A" w:rsidRPr="005D6E61">
        <w:rPr>
          <w:rFonts w:ascii="Cambria" w:hAnsi="Cambria"/>
          <w:sz w:val="20"/>
          <w:szCs w:val="20"/>
          <w:lang w:val="pt-BR"/>
        </w:rPr>
        <w:t>outr</w:t>
      </w:r>
      <w:r w:rsidR="003655B3" w:rsidRPr="005D6E61">
        <w:rPr>
          <w:rFonts w:ascii="Cambria" w:hAnsi="Cambria"/>
          <w:sz w:val="20"/>
          <w:szCs w:val="20"/>
          <w:lang w:val="pt-BR"/>
        </w:rPr>
        <w:t>o lado</w:t>
      </w:r>
      <w:r w:rsidRPr="005D6E61">
        <w:rPr>
          <w:rFonts w:ascii="Cambria" w:hAnsi="Cambria"/>
          <w:sz w:val="20"/>
          <w:szCs w:val="20"/>
          <w:lang w:val="pt-BR"/>
        </w:rPr>
        <w:t xml:space="preserve">, </w:t>
      </w:r>
      <w:r w:rsidR="003655B3" w:rsidRPr="005D6E61">
        <w:rPr>
          <w:rFonts w:ascii="Cambria" w:hAnsi="Cambria"/>
          <w:sz w:val="20"/>
          <w:szCs w:val="20"/>
          <w:lang w:val="pt-BR"/>
        </w:rPr>
        <w:t>segundo</w:t>
      </w:r>
      <w:r w:rsidRPr="005D6E61">
        <w:rPr>
          <w:rFonts w:ascii="Cambria" w:hAnsi="Cambria"/>
          <w:sz w:val="20"/>
          <w:szCs w:val="20"/>
          <w:lang w:val="pt-BR"/>
        </w:rPr>
        <w:t xml:space="preserve"> informa</w:t>
      </w:r>
      <w:r w:rsidR="00A274D9" w:rsidRPr="005D6E61">
        <w:rPr>
          <w:rFonts w:ascii="Cambria" w:hAnsi="Cambria"/>
          <w:sz w:val="20"/>
          <w:szCs w:val="20"/>
          <w:lang w:val="pt-BR"/>
        </w:rPr>
        <w:t>ção</w:t>
      </w:r>
      <w:r w:rsidRPr="005D6E61">
        <w:rPr>
          <w:rFonts w:ascii="Cambria" w:hAnsi="Cambria"/>
          <w:sz w:val="20"/>
          <w:szCs w:val="20"/>
          <w:lang w:val="pt-BR"/>
        </w:rPr>
        <w:t xml:space="preserve"> de </w:t>
      </w:r>
      <w:r w:rsidR="003655B3" w:rsidRPr="005D6E61">
        <w:rPr>
          <w:rFonts w:ascii="Cambria" w:hAnsi="Cambria"/>
          <w:sz w:val="20"/>
          <w:szCs w:val="20"/>
          <w:lang w:val="pt-BR"/>
        </w:rPr>
        <w:t xml:space="preserve">conhecimento </w:t>
      </w:r>
      <w:r w:rsidRPr="005D6E61">
        <w:rPr>
          <w:rFonts w:ascii="Cambria" w:hAnsi="Cambria"/>
          <w:sz w:val="20"/>
          <w:szCs w:val="20"/>
          <w:lang w:val="pt-BR"/>
        </w:rPr>
        <w:t>público,</w:t>
      </w:r>
      <w:r w:rsidR="00331E62" w:rsidRPr="005D6E61">
        <w:rPr>
          <w:rFonts w:ascii="Cambria" w:hAnsi="Cambria"/>
          <w:sz w:val="20"/>
          <w:szCs w:val="20"/>
          <w:lang w:val="pt-BR"/>
        </w:rPr>
        <w:t xml:space="preserve"> </w:t>
      </w:r>
      <w:r w:rsidR="003655B3" w:rsidRPr="005D6E61">
        <w:rPr>
          <w:rFonts w:ascii="Cambria" w:hAnsi="Cambria"/>
          <w:sz w:val="20"/>
          <w:szCs w:val="20"/>
          <w:lang w:val="pt-BR"/>
        </w:rPr>
        <w:t>em</w:t>
      </w:r>
      <w:r w:rsidR="00331E62" w:rsidRPr="005D6E61">
        <w:rPr>
          <w:rFonts w:ascii="Cambria" w:hAnsi="Cambria"/>
          <w:sz w:val="20"/>
          <w:szCs w:val="20"/>
          <w:lang w:val="pt-BR"/>
        </w:rPr>
        <w:t xml:space="preserve"> </w:t>
      </w:r>
      <w:r w:rsidRPr="005D6E61">
        <w:rPr>
          <w:rFonts w:ascii="Cambria" w:hAnsi="Cambria"/>
          <w:sz w:val="20"/>
          <w:szCs w:val="20"/>
          <w:lang w:val="pt-BR"/>
        </w:rPr>
        <w:t>1</w:t>
      </w:r>
      <w:r w:rsidR="003655B3" w:rsidRPr="005D6E61">
        <w:rPr>
          <w:rFonts w:ascii="Cambria" w:hAnsi="Cambria"/>
          <w:sz w:val="20"/>
          <w:szCs w:val="20"/>
          <w:lang w:val="pt-BR"/>
        </w:rPr>
        <w:t>º</w:t>
      </w:r>
      <w:r w:rsidRPr="005D6E61">
        <w:rPr>
          <w:rFonts w:ascii="Cambria" w:hAnsi="Cambria"/>
          <w:sz w:val="20"/>
          <w:szCs w:val="20"/>
          <w:lang w:val="pt-BR"/>
        </w:rPr>
        <w:t xml:space="preserve"> de ma</w:t>
      </w:r>
      <w:r w:rsidR="003655B3" w:rsidRPr="005D6E61">
        <w:rPr>
          <w:rFonts w:ascii="Cambria" w:hAnsi="Cambria"/>
          <w:sz w:val="20"/>
          <w:szCs w:val="20"/>
          <w:lang w:val="pt-BR"/>
        </w:rPr>
        <w:t>i</w:t>
      </w:r>
      <w:r w:rsidRPr="005D6E61">
        <w:rPr>
          <w:rFonts w:ascii="Cambria" w:hAnsi="Cambria"/>
          <w:sz w:val="20"/>
          <w:szCs w:val="20"/>
          <w:lang w:val="pt-BR"/>
        </w:rPr>
        <w:t>o de 1983</w:t>
      </w:r>
      <w:r w:rsidR="003655B3" w:rsidRPr="005D6E61">
        <w:rPr>
          <w:rFonts w:ascii="Cambria" w:hAnsi="Cambria"/>
          <w:sz w:val="20"/>
          <w:szCs w:val="20"/>
          <w:lang w:val="pt-BR"/>
        </w:rPr>
        <w:t>,</w:t>
      </w:r>
      <w:r w:rsidR="00F77B7F" w:rsidRPr="005D6E61">
        <w:rPr>
          <w:rFonts w:ascii="Cambria" w:hAnsi="Cambria"/>
          <w:sz w:val="20"/>
          <w:szCs w:val="20"/>
          <w:lang w:val="pt-BR"/>
        </w:rPr>
        <w:t xml:space="preserve"> em </w:t>
      </w:r>
      <w:r w:rsidRPr="005D6E61">
        <w:rPr>
          <w:rFonts w:ascii="Cambria" w:hAnsi="Cambria"/>
          <w:sz w:val="20"/>
          <w:szCs w:val="20"/>
          <w:lang w:val="pt-BR"/>
        </w:rPr>
        <w:t>s</w:t>
      </w:r>
      <w:r w:rsidR="003655B3" w:rsidRPr="005D6E61">
        <w:rPr>
          <w:rFonts w:ascii="Cambria" w:hAnsi="Cambria"/>
          <w:sz w:val="20"/>
          <w:szCs w:val="20"/>
          <w:lang w:val="pt-BR"/>
        </w:rPr>
        <w:t>e</w:t>
      </w:r>
      <w:r w:rsidRPr="005D6E61">
        <w:rPr>
          <w:rFonts w:ascii="Cambria" w:hAnsi="Cambria"/>
          <w:sz w:val="20"/>
          <w:szCs w:val="20"/>
          <w:lang w:val="pt-BR"/>
        </w:rPr>
        <w:t>u discurso</w:t>
      </w:r>
      <w:r w:rsidR="00F77B7F" w:rsidRPr="005D6E61">
        <w:rPr>
          <w:rFonts w:ascii="Cambria" w:hAnsi="Cambria"/>
          <w:sz w:val="20"/>
          <w:szCs w:val="20"/>
          <w:lang w:val="pt-BR"/>
        </w:rPr>
        <w:t xml:space="preserve"> do </w:t>
      </w:r>
      <w:r w:rsidRPr="005D6E61">
        <w:rPr>
          <w:rFonts w:ascii="Cambria" w:hAnsi="Cambria"/>
          <w:sz w:val="20"/>
          <w:szCs w:val="20"/>
          <w:lang w:val="pt-BR"/>
        </w:rPr>
        <w:t>d</w:t>
      </w:r>
      <w:r w:rsidR="005A2381" w:rsidRPr="005D6E61">
        <w:rPr>
          <w:rFonts w:ascii="Cambria" w:hAnsi="Cambria"/>
          <w:sz w:val="20"/>
          <w:szCs w:val="20"/>
          <w:lang w:val="pt-BR"/>
        </w:rPr>
        <w:t>ia</w:t>
      </w:r>
      <w:r w:rsidR="00F77B7F" w:rsidRPr="005D6E61">
        <w:rPr>
          <w:rFonts w:ascii="Cambria" w:hAnsi="Cambria"/>
          <w:sz w:val="20"/>
          <w:szCs w:val="20"/>
          <w:lang w:val="pt-BR"/>
        </w:rPr>
        <w:t xml:space="preserve"> do </w:t>
      </w:r>
      <w:r w:rsidR="00E37676" w:rsidRPr="005D6E61">
        <w:rPr>
          <w:rFonts w:ascii="Cambria" w:hAnsi="Cambria"/>
          <w:sz w:val="20"/>
          <w:szCs w:val="20"/>
          <w:lang w:val="pt-BR"/>
        </w:rPr>
        <w:t>trabalh</w:t>
      </w:r>
      <w:r w:rsidRPr="005D6E61">
        <w:rPr>
          <w:rFonts w:ascii="Cambria" w:hAnsi="Cambria"/>
          <w:sz w:val="20"/>
          <w:szCs w:val="20"/>
          <w:lang w:val="pt-BR"/>
        </w:rPr>
        <w:t>ador</w:t>
      </w:r>
      <w:r w:rsidR="005A2381" w:rsidRPr="005D6E61">
        <w:rPr>
          <w:rFonts w:ascii="Cambria" w:hAnsi="Cambria"/>
          <w:sz w:val="20"/>
          <w:szCs w:val="20"/>
          <w:lang w:val="pt-BR"/>
        </w:rPr>
        <w:t xml:space="preserve"> na </w:t>
      </w:r>
      <w:r w:rsidRPr="005D6E61">
        <w:rPr>
          <w:rFonts w:ascii="Cambria" w:hAnsi="Cambria"/>
          <w:sz w:val="20"/>
          <w:szCs w:val="20"/>
          <w:lang w:val="pt-BR"/>
        </w:rPr>
        <w:t>p</w:t>
      </w:r>
      <w:r w:rsidR="003655B3" w:rsidRPr="005D6E61">
        <w:rPr>
          <w:rFonts w:ascii="Cambria" w:hAnsi="Cambria"/>
          <w:sz w:val="20"/>
          <w:szCs w:val="20"/>
          <w:lang w:val="pt-BR"/>
        </w:rPr>
        <w:t>r</w:t>
      </w:r>
      <w:r w:rsidRPr="005D6E61">
        <w:rPr>
          <w:rFonts w:ascii="Cambria" w:hAnsi="Cambria"/>
          <w:sz w:val="20"/>
          <w:szCs w:val="20"/>
          <w:lang w:val="pt-BR"/>
        </w:rPr>
        <w:t>a</w:t>
      </w:r>
      <w:r w:rsidR="003655B3" w:rsidRPr="005D6E61">
        <w:rPr>
          <w:rFonts w:ascii="Cambria" w:hAnsi="Cambria"/>
          <w:sz w:val="20"/>
          <w:szCs w:val="20"/>
          <w:lang w:val="pt-BR"/>
        </w:rPr>
        <w:t>ç</w:t>
      </w:r>
      <w:r w:rsidRPr="005D6E61">
        <w:rPr>
          <w:rFonts w:ascii="Cambria" w:hAnsi="Cambria"/>
          <w:sz w:val="20"/>
          <w:szCs w:val="20"/>
          <w:lang w:val="pt-BR"/>
        </w:rPr>
        <w:t>a pública de Sapé</w:t>
      </w:r>
      <w:r w:rsidR="003655B3" w:rsidRPr="005D6E61">
        <w:rPr>
          <w:rFonts w:ascii="Cambria" w:hAnsi="Cambria"/>
          <w:sz w:val="20"/>
          <w:szCs w:val="20"/>
          <w:lang w:val="pt-BR"/>
        </w:rPr>
        <w:t xml:space="preserve"> (</w:t>
      </w:r>
      <w:r w:rsidRPr="005D6E61">
        <w:rPr>
          <w:rFonts w:ascii="Cambria" w:hAnsi="Cambria"/>
          <w:sz w:val="20"/>
          <w:szCs w:val="20"/>
          <w:lang w:val="pt-BR"/>
        </w:rPr>
        <w:t>PB</w:t>
      </w:r>
      <w:r w:rsidR="003655B3" w:rsidRPr="005D6E61">
        <w:rPr>
          <w:rFonts w:ascii="Cambria" w:hAnsi="Cambria"/>
          <w:sz w:val="20"/>
          <w:szCs w:val="20"/>
          <w:lang w:val="pt-BR"/>
        </w:rPr>
        <w:t>),</w:t>
      </w:r>
      <w:r w:rsidRPr="005D6E61">
        <w:rPr>
          <w:rStyle w:val="FootnoteReference"/>
          <w:rFonts w:ascii="Cambria" w:hAnsi="Cambria"/>
          <w:sz w:val="20"/>
          <w:szCs w:val="20"/>
          <w:lang w:val="pt-BR"/>
        </w:rPr>
        <w:footnoteReference w:id="26"/>
      </w:r>
      <w:r w:rsidRPr="005D6E61">
        <w:rPr>
          <w:rFonts w:ascii="Cambria" w:hAnsi="Cambria"/>
          <w:sz w:val="20"/>
          <w:szCs w:val="20"/>
          <w:lang w:val="pt-BR"/>
        </w:rPr>
        <w:t xml:space="preserve"> denunci</w:t>
      </w:r>
      <w:r w:rsidR="00BF0B90" w:rsidRPr="005D6E61">
        <w:rPr>
          <w:rFonts w:ascii="Cambria" w:hAnsi="Cambria"/>
          <w:sz w:val="20"/>
          <w:szCs w:val="20"/>
          <w:lang w:val="pt-BR"/>
        </w:rPr>
        <w:t xml:space="preserve">ou </w:t>
      </w:r>
      <w:r w:rsidRPr="005D6E61">
        <w:rPr>
          <w:rFonts w:ascii="Cambria" w:hAnsi="Cambria"/>
          <w:sz w:val="20"/>
          <w:szCs w:val="20"/>
          <w:lang w:val="pt-BR"/>
        </w:rPr>
        <w:t>que esta</w:t>
      </w:r>
      <w:r w:rsidR="003655B3" w:rsidRPr="005D6E61">
        <w:rPr>
          <w:rFonts w:ascii="Cambria" w:hAnsi="Cambria"/>
          <w:sz w:val="20"/>
          <w:szCs w:val="20"/>
          <w:lang w:val="pt-BR"/>
        </w:rPr>
        <w:t>v</w:t>
      </w:r>
      <w:r w:rsidRPr="005D6E61">
        <w:rPr>
          <w:rFonts w:ascii="Cambria" w:hAnsi="Cambria"/>
          <w:sz w:val="20"/>
          <w:szCs w:val="20"/>
          <w:lang w:val="pt-BR"/>
        </w:rPr>
        <w:t xml:space="preserve">a sendo objeto de </w:t>
      </w:r>
      <w:r w:rsidR="005B67BB" w:rsidRPr="005D6E61">
        <w:rPr>
          <w:rFonts w:ascii="Cambria" w:hAnsi="Cambria"/>
          <w:sz w:val="20"/>
          <w:szCs w:val="20"/>
          <w:lang w:val="pt-BR"/>
        </w:rPr>
        <w:t>ameaça</w:t>
      </w:r>
      <w:r w:rsidRPr="005D6E61">
        <w:rPr>
          <w:rFonts w:ascii="Cambria" w:hAnsi="Cambria"/>
          <w:sz w:val="20"/>
          <w:szCs w:val="20"/>
          <w:lang w:val="pt-BR"/>
        </w:rPr>
        <w:t>s</w:t>
      </w:r>
      <w:r w:rsidRPr="005D6E61">
        <w:rPr>
          <w:rStyle w:val="FootnoteReference"/>
          <w:rFonts w:ascii="Cambria" w:hAnsi="Cambria"/>
          <w:sz w:val="20"/>
          <w:szCs w:val="20"/>
          <w:lang w:val="pt-BR"/>
        </w:rPr>
        <w:footnoteReference w:id="27"/>
      </w:r>
      <w:r w:rsidRPr="005D6E61">
        <w:rPr>
          <w:rFonts w:ascii="Cambria" w:hAnsi="Cambria"/>
          <w:sz w:val="20"/>
          <w:szCs w:val="20"/>
          <w:lang w:val="pt-BR"/>
        </w:rPr>
        <w:t xml:space="preserve">. </w:t>
      </w:r>
    </w:p>
    <w:p w14:paraId="19309B0F" w14:textId="77777777" w:rsidR="002E2BF9" w:rsidRPr="005D6E61" w:rsidRDefault="002E2BF9" w:rsidP="002E2BF9">
      <w:pPr>
        <w:pStyle w:val="ListParagraph"/>
        <w:rPr>
          <w:sz w:val="20"/>
          <w:szCs w:val="20"/>
          <w:lang w:val="pt-BR"/>
        </w:rPr>
      </w:pPr>
    </w:p>
    <w:p w14:paraId="78B93C4D" w14:textId="77777777" w:rsidR="002E2BF9" w:rsidRPr="005D6E61" w:rsidRDefault="003655B3" w:rsidP="002E2B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cs="Cambria-Bold"/>
          <w:bCs/>
          <w:sz w:val="20"/>
          <w:szCs w:val="20"/>
          <w:lang w:val="pt-BR"/>
        </w:rPr>
        <w:t>Segundo</w:t>
      </w:r>
      <w:r w:rsidR="00331E62" w:rsidRPr="005D6E61">
        <w:rPr>
          <w:rFonts w:ascii="Cambria" w:hAnsi="Cambria" w:cs="Cambria-Bold"/>
          <w:bCs/>
          <w:sz w:val="20"/>
          <w:szCs w:val="20"/>
          <w:lang w:val="pt-BR"/>
        </w:rPr>
        <w:t xml:space="preserve"> o </w:t>
      </w:r>
      <w:r w:rsidR="006C535C" w:rsidRPr="005D6E61">
        <w:rPr>
          <w:rFonts w:ascii="Cambria" w:hAnsi="Cambria" w:cs="Cambria-Bold"/>
          <w:bCs/>
          <w:sz w:val="20"/>
          <w:szCs w:val="20"/>
          <w:lang w:val="pt-BR"/>
        </w:rPr>
        <w:t>relatório final</w:t>
      </w:r>
      <w:r w:rsidR="00675058" w:rsidRPr="005D6E61">
        <w:rPr>
          <w:rFonts w:ascii="Cambria" w:hAnsi="Cambria" w:cs="Cambria-Bold"/>
          <w:bCs/>
          <w:sz w:val="20"/>
          <w:szCs w:val="20"/>
          <w:lang w:val="pt-BR"/>
        </w:rPr>
        <w:t xml:space="preserve"> da </w:t>
      </w:r>
      <w:r w:rsidR="002E2BF9" w:rsidRPr="005D6E61">
        <w:rPr>
          <w:rFonts w:ascii="Cambria" w:hAnsi="Cambria"/>
          <w:sz w:val="20"/>
          <w:szCs w:val="20"/>
          <w:lang w:val="pt-BR"/>
        </w:rPr>
        <w:t>Comissão Camponesa da Verdade (CCV), antes de su</w:t>
      </w:r>
      <w:r w:rsidRPr="005D6E61">
        <w:rPr>
          <w:rFonts w:ascii="Cambria" w:hAnsi="Cambria"/>
          <w:sz w:val="20"/>
          <w:szCs w:val="20"/>
          <w:lang w:val="pt-BR"/>
        </w:rPr>
        <w:t>a</w:t>
      </w:r>
      <w:r w:rsidR="002E2BF9" w:rsidRPr="005D6E61">
        <w:rPr>
          <w:rFonts w:ascii="Cambria" w:hAnsi="Cambria"/>
          <w:sz w:val="20"/>
          <w:szCs w:val="20"/>
          <w:lang w:val="pt-BR"/>
        </w:rPr>
        <w:t xml:space="preserve"> </w:t>
      </w:r>
      <w:r w:rsidR="003619A0" w:rsidRPr="005D6E61">
        <w:rPr>
          <w:rFonts w:ascii="Cambria" w:hAnsi="Cambria"/>
          <w:sz w:val="20"/>
          <w:szCs w:val="20"/>
          <w:lang w:val="pt-BR"/>
        </w:rPr>
        <w:t>morte</w:t>
      </w:r>
      <w:r w:rsidR="002E2BF9" w:rsidRPr="005D6E61">
        <w:rPr>
          <w:rFonts w:ascii="Cambria" w:hAnsi="Cambria"/>
          <w:sz w:val="20"/>
          <w:szCs w:val="20"/>
          <w:lang w:val="pt-BR"/>
        </w:rPr>
        <w:t xml:space="preserve"> Margarida Alves ha</w:t>
      </w:r>
      <w:r w:rsidRPr="005D6E61">
        <w:rPr>
          <w:rFonts w:ascii="Cambria" w:hAnsi="Cambria"/>
          <w:sz w:val="20"/>
          <w:szCs w:val="20"/>
          <w:lang w:val="pt-BR"/>
        </w:rPr>
        <w:t>v</w:t>
      </w:r>
      <w:r w:rsidR="005A2381" w:rsidRPr="005D6E61">
        <w:rPr>
          <w:rFonts w:ascii="Cambria" w:hAnsi="Cambria"/>
          <w:sz w:val="20"/>
          <w:szCs w:val="20"/>
          <w:lang w:val="pt-BR"/>
        </w:rPr>
        <w:t>ia</w:t>
      </w:r>
      <w:r w:rsidR="002E2BF9" w:rsidRPr="005D6E61">
        <w:rPr>
          <w:rFonts w:ascii="Cambria" w:hAnsi="Cambria"/>
          <w:sz w:val="20"/>
          <w:szCs w:val="20"/>
          <w:lang w:val="pt-BR"/>
        </w:rPr>
        <w:t xml:space="preserve"> sido </w:t>
      </w:r>
      <w:r w:rsidR="003619A0" w:rsidRPr="005D6E61">
        <w:rPr>
          <w:rFonts w:ascii="Cambria" w:hAnsi="Cambria"/>
          <w:sz w:val="20"/>
          <w:szCs w:val="20"/>
          <w:lang w:val="pt-BR"/>
        </w:rPr>
        <w:t>vítima</w:t>
      </w:r>
      <w:r w:rsidR="002E2BF9" w:rsidRPr="005D6E61">
        <w:rPr>
          <w:rFonts w:ascii="Cambria" w:hAnsi="Cambria"/>
          <w:sz w:val="20"/>
          <w:szCs w:val="20"/>
          <w:lang w:val="pt-BR"/>
        </w:rPr>
        <w:t xml:space="preserve"> de constantes </w:t>
      </w:r>
      <w:r w:rsidR="005B67BB" w:rsidRPr="005D6E61">
        <w:rPr>
          <w:rFonts w:ascii="Cambria" w:hAnsi="Cambria"/>
          <w:sz w:val="20"/>
          <w:szCs w:val="20"/>
          <w:lang w:val="pt-BR"/>
        </w:rPr>
        <w:t>ameaça</w:t>
      </w:r>
      <w:r w:rsidR="002E2BF9" w:rsidRPr="005D6E61">
        <w:rPr>
          <w:rFonts w:ascii="Cambria" w:hAnsi="Cambria"/>
          <w:sz w:val="20"/>
          <w:szCs w:val="20"/>
          <w:lang w:val="pt-BR"/>
        </w:rPr>
        <w:t>s</w:t>
      </w:r>
      <w:r w:rsidR="00F77B7F" w:rsidRPr="005D6E61">
        <w:rPr>
          <w:rFonts w:ascii="Cambria" w:hAnsi="Cambria"/>
          <w:sz w:val="20"/>
          <w:szCs w:val="20"/>
          <w:lang w:val="pt-BR"/>
        </w:rPr>
        <w:t xml:space="preserve"> </w:t>
      </w:r>
      <w:r w:rsidRPr="005D6E61">
        <w:rPr>
          <w:rFonts w:ascii="Cambria" w:hAnsi="Cambria"/>
          <w:sz w:val="20"/>
          <w:szCs w:val="20"/>
          <w:lang w:val="pt-BR"/>
        </w:rPr>
        <w:t xml:space="preserve">para que deixasse </w:t>
      </w:r>
      <w:r w:rsidR="002E2BF9" w:rsidRPr="005D6E61">
        <w:rPr>
          <w:rFonts w:ascii="Cambria" w:hAnsi="Cambria"/>
          <w:sz w:val="20"/>
          <w:szCs w:val="20"/>
          <w:lang w:val="pt-BR"/>
        </w:rPr>
        <w:t>de atuar</w:t>
      </w:r>
      <w:r w:rsidR="00331E62" w:rsidRPr="005D6E61">
        <w:rPr>
          <w:rFonts w:ascii="Cambria" w:hAnsi="Cambria"/>
          <w:sz w:val="20"/>
          <w:szCs w:val="20"/>
          <w:lang w:val="pt-BR"/>
        </w:rPr>
        <w:t xml:space="preserve"> no </w:t>
      </w:r>
      <w:r w:rsidR="002E2BF9" w:rsidRPr="005D6E61">
        <w:rPr>
          <w:rFonts w:ascii="Cambria" w:hAnsi="Cambria"/>
          <w:sz w:val="20"/>
          <w:szCs w:val="20"/>
          <w:lang w:val="pt-BR"/>
        </w:rPr>
        <w:t xml:space="preserve">Sindicato de </w:t>
      </w:r>
      <w:r w:rsidR="00E37676" w:rsidRPr="005D6E61">
        <w:rPr>
          <w:rFonts w:ascii="Cambria" w:hAnsi="Cambria"/>
          <w:sz w:val="20"/>
          <w:szCs w:val="20"/>
          <w:lang w:val="pt-BR"/>
        </w:rPr>
        <w:t>Trabalh</w:t>
      </w:r>
      <w:r w:rsidR="002E2BF9" w:rsidRPr="005D6E61">
        <w:rPr>
          <w:rFonts w:ascii="Cambria" w:hAnsi="Cambria"/>
          <w:sz w:val="20"/>
          <w:szCs w:val="20"/>
          <w:lang w:val="pt-BR"/>
        </w:rPr>
        <w:t>adores.</w:t>
      </w:r>
      <w:r w:rsidR="00331E62" w:rsidRPr="005D6E61">
        <w:rPr>
          <w:rFonts w:ascii="Cambria" w:hAnsi="Cambria"/>
          <w:sz w:val="20"/>
          <w:szCs w:val="20"/>
          <w:lang w:val="pt-BR"/>
        </w:rPr>
        <w:t xml:space="preserve"> </w:t>
      </w:r>
      <w:r w:rsidRPr="005D6E61">
        <w:rPr>
          <w:rFonts w:ascii="Cambria" w:hAnsi="Cambria"/>
          <w:sz w:val="20"/>
          <w:szCs w:val="20"/>
          <w:lang w:val="pt-BR"/>
        </w:rPr>
        <w:t xml:space="preserve">O </w:t>
      </w:r>
      <w:r w:rsidR="00704E7B" w:rsidRPr="005D6E61">
        <w:rPr>
          <w:rFonts w:ascii="Cambria" w:hAnsi="Cambria"/>
          <w:sz w:val="20"/>
          <w:szCs w:val="20"/>
          <w:lang w:val="pt-BR"/>
        </w:rPr>
        <w:t>relatório</w:t>
      </w:r>
      <w:r w:rsidR="002E2BF9" w:rsidRPr="005D6E61">
        <w:rPr>
          <w:rFonts w:ascii="Cambria" w:hAnsi="Cambria"/>
          <w:sz w:val="20"/>
          <w:szCs w:val="20"/>
          <w:lang w:val="pt-BR"/>
        </w:rPr>
        <w:t xml:space="preserve"> indica:</w:t>
      </w:r>
    </w:p>
    <w:p w14:paraId="754B5C77" w14:textId="77777777" w:rsidR="002E2BF9" w:rsidRPr="005D6E61" w:rsidRDefault="002E2BF9" w:rsidP="002E2BF9">
      <w:pPr>
        <w:pStyle w:val="ListParagraph"/>
        <w:rPr>
          <w:rFonts w:cs="Arial"/>
          <w:color w:val="212121"/>
          <w:sz w:val="20"/>
          <w:szCs w:val="20"/>
          <w:shd w:val="clear" w:color="auto" w:fill="FFFFFF"/>
          <w:lang w:val="pt-BR"/>
        </w:rPr>
      </w:pPr>
    </w:p>
    <w:p w14:paraId="6727433B" w14:textId="77777777" w:rsidR="00AA70A5" w:rsidRPr="005D6E61" w:rsidRDefault="00184F5F" w:rsidP="002E2BF9">
      <w:pPr>
        <w:tabs>
          <w:tab w:val="left" w:pos="1440"/>
        </w:tabs>
        <w:ind w:left="720"/>
        <w:jc w:val="both"/>
        <w:rPr>
          <w:rFonts w:ascii="Cambria" w:hAnsi="Cambria"/>
          <w:sz w:val="20"/>
          <w:szCs w:val="20"/>
          <w:lang w:val="pt-BR"/>
        </w:rPr>
      </w:pPr>
      <w:r w:rsidRPr="005D6E61">
        <w:rPr>
          <w:rFonts w:ascii="Cambria" w:hAnsi="Cambria" w:cs="Arial"/>
          <w:sz w:val="20"/>
          <w:szCs w:val="20"/>
          <w:shd w:val="clear" w:color="auto" w:fill="FFFFFF"/>
          <w:lang w:val="pt-BR"/>
        </w:rPr>
        <w:t>A</w:t>
      </w:r>
      <w:r w:rsidR="002E2BF9" w:rsidRPr="005D6E61">
        <w:rPr>
          <w:rFonts w:ascii="Cambria" w:hAnsi="Cambria" w:cs="Arial"/>
          <w:sz w:val="20"/>
          <w:szCs w:val="20"/>
          <w:shd w:val="clear" w:color="auto" w:fill="FFFFFF"/>
          <w:lang w:val="pt-BR"/>
        </w:rPr>
        <w:t xml:space="preserve">s </w:t>
      </w:r>
      <w:r w:rsidR="005B67BB" w:rsidRPr="005D6E61">
        <w:rPr>
          <w:rFonts w:ascii="Cambria" w:hAnsi="Cambria" w:cs="Arial"/>
          <w:sz w:val="20"/>
          <w:szCs w:val="20"/>
          <w:shd w:val="clear" w:color="auto" w:fill="FFFFFF"/>
          <w:lang w:val="pt-BR"/>
        </w:rPr>
        <w:t>ameaça</w:t>
      </w:r>
      <w:r w:rsidR="002E2BF9" w:rsidRPr="005D6E61">
        <w:rPr>
          <w:rFonts w:ascii="Cambria" w:hAnsi="Cambria" w:cs="Arial"/>
          <w:sz w:val="20"/>
          <w:szCs w:val="20"/>
          <w:shd w:val="clear" w:color="auto" w:fill="FFFFFF"/>
          <w:lang w:val="pt-BR"/>
        </w:rPr>
        <w:t>s f</w:t>
      </w:r>
      <w:r w:rsidR="003655B3" w:rsidRPr="005D6E61">
        <w:rPr>
          <w:rFonts w:ascii="Cambria" w:hAnsi="Cambria" w:cs="Arial"/>
          <w:sz w:val="20"/>
          <w:szCs w:val="20"/>
          <w:shd w:val="clear" w:color="auto" w:fill="FFFFFF"/>
          <w:lang w:val="pt-BR"/>
        </w:rPr>
        <w:t>oram</w:t>
      </w:r>
      <w:r w:rsidR="002E2BF9" w:rsidRPr="005D6E61">
        <w:rPr>
          <w:rFonts w:ascii="Cambria" w:hAnsi="Cambria" w:cs="Arial"/>
          <w:sz w:val="20"/>
          <w:szCs w:val="20"/>
          <w:shd w:val="clear" w:color="auto" w:fill="FFFFFF"/>
          <w:lang w:val="pt-BR"/>
        </w:rPr>
        <w:t xml:space="preserve"> comunicadas</w:t>
      </w:r>
      <w:r w:rsidR="005A2381" w:rsidRPr="005D6E61">
        <w:rPr>
          <w:rFonts w:ascii="Cambria" w:hAnsi="Cambria" w:cs="Arial"/>
          <w:sz w:val="20"/>
          <w:szCs w:val="20"/>
          <w:shd w:val="clear" w:color="auto" w:fill="FFFFFF"/>
          <w:lang w:val="pt-BR"/>
        </w:rPr>
        <w:t xml:space="preserve"> às </w:t>
      </w:r>
      <w:r w:rsidR="002E2BF9" w:rsidRPr="005D6E61">
        <w:rPr>
          <w:rFonts w:ascii="Cambria" w:hAnsi="Cambria" w:cs="Arial"/>
          <w:sz w:val="20"/>
          <w:szCs w:val="20"/>
          <w:shd w:val="clear" w:color="auto" w:fill="FFFFFF"/>
          <w:lang w:val="pt-BR"/>
        </w:rPr>
        <w:t>autor</w:t>
      </w:r>
      <w:r w:rsidR="00AD69D4" w:rsidRPr="005D6E61">
        <w:rPr>
          <w:rFonts w:ascii="Cambria" w:hAnsi="Cambria" w:cs="Arial"/>
          <w:sz w:val="20"/>
          <w:szCs w:val="20"/>
          <w:shd w:val="clear" w:color="auto" w:fill="FFFFFF"/>
          <w:lang w:val="pt-BR"/>
        </w:rPr>
        <w:t>idades</w:t>
      </w:r>
      <w:r w:rsidR="006C5454" w:rsidRPr="005D6E61">
        <w:rPr>
          <w:rFonts w:ascii="Cambria" w:hAnsi="Cambria" w:cs="Arial"/>
          <w:sz w:val="20"/>
          <w:szCs w:val="20"/>
          <w:shd w:val="clear" w:color="auto" w:fill="FFFFFF"/>
          <w:lang w:val="pt-BR"/>
        </w:rPr>
        <w:t xml:space="preserve"> e </w:t>
      </w:r>
      <w:r w:rsidR="00AD69D4" w:rsidRPr="005D6E61">
        <w:rPr>
          <w:rFonts w:ascii="Cambria" w:hAnsi="Cambria" w:cs="Arial"/>
          <w:sz w:val="20"/>
          <w:szCs w:val="20"/>
          <w:shd w:val="clear" w:color="auto" w:fill="FFFFFF"/>
          <w:lang w:val="pt-BR"/>
        </w:rPr>
        <w:t>divulgadas por Margarid</w:t>
      </w:r>
      <w:r w:rsidR="002E2BF9" w:rsidRPr="005D6E61">
        <w:rPr>
          <w:rFonts w:ascii="Cambria" w:hAnsi="Cambria" w:cs="Arial"/>
          <w:sz w:val="20"/>
          <w:szCs w:val="20"/>
          <w:shd w:val="clear" w:color="auto" w:fill="FFFFFF"/>
          <w:lang w:val="pt-BR"/>
        </w:rPr>
        <w:t>a durante</w:t>
      </w:r>
      <w:r w:rsidR="00F77B7F" w:rsidRPr="005D6E61">
        <w:rPr>
          <w:rFonts w:ascii="Cambria" w:hAnsi="Cambria" w:cs="Arial"/>
          <w:sz w:val="20"/>
          <w:szCs w:val="20"/>
          <w:shd w:val="clear" w:color="auto" w:fill="FFFFFF"/>
          <w:lang w:val="pt-BR"/>
        </w:rPr>
        <w:t xml:space="preserve"> as </w:t>
      </w:r>
      <w:r w:rsidR="002E2BF9" w:rsidRPr="005D6E61">
        <w:rPr>
          <w:rFonts w:ascii="Cambria" w:hAnsi="Cambria" w:cs="Arial"/>
          <w:sz w:val="20"/>
          <w:szCs w:val="20"/>
          <w:shd w:val="clear" w:color="auto" w:fill="FFFFFF"/>
          <w:lang w:val="pt-BR"/>
        </w:rPr>
        <w:t>atividades</w:t>
      </w:r>
      <w:r w:rsidR="00675058" w:rsidRPr="005D6E61">
        <w:rPr>
          <w:rFonts w:ascii="Cambria" w:hAnsi="Cambria" w:cs="Arial"/>
          <w:sz w:val="20"/>
          <w:szCs w:val="20"/>
          <w:shd w:val="clear" w:color="auto" w:fill="FFFFFF"/>
          <w:lang w:val="pt-BR"/>
        </w:rPr>
        <w:t xml:space="preserve"> da </w:t>
      </w:r>
      <w:r w:rsidR="002E2BF9" w:rsidRPr="005D6E61">
        <w:rPr>
          <w:rFonts w:ascii="Cambria" w:hAnsi="Cambria" w:cs="Arial"/>
          <w:sz w:val="20"/>
          <w:szCs w:val="20"/>
          <w:shd w:val="clear" w:color="auto" w:fill="FFFFFF"/>
          <w:lang w:val="pt-BR"/>
        </w:rPr>
        <w:t>organiza</w:t>
      </w:r>
      <w:r w:rsidR="00A274D9" w:rsidRPr="005D6E61">
        <w:rPr>
          <w:rFonts w:ascii="Cambria" w:hAnsi="Cambria" w:cs="Arial"/>
          <w:sz w:val="20"/>
          <w:szCs w:val="20"/>
          <w:shd w:val="clear" w:color="auto" w:fill="FFFFFF"/>
          <w:lang w:val="pt-BR"/>
        </w:rPr>
        <w:t>ção</w:t>
      </w:r>
      <w:r w:rsidR="002E2BF9" w:rsidRPr="005D6E61">
        <w:rPr>
          <w:rFonts w:ascii="Cambria" w:hAnsi="Cambria" w:cs="Arial"/>
          <w:sz w:val="20"/>
          <w:szCs w:val="20"/>
          <w:shd w:val="clear" w:color="auto" w:fill="FFFFFF"/>
          <w:lang w:val="pt-BR"/>
        </w:rPr>
        <w:t xml:space="preserve"> sindical</w:t>
      </w:r>
      <w:r w:rsidR="006C5454" w:rsidRPr="005D6E61">
        <w:rPr>
          <w:rFonts w:ascii="Cambria" w:hAnsi="Cambria" w:cs="Arial"/>
          <w:sz w:val="20"/>
          <w:szCs w:val="20"/>
          <w:shd w:val="clear" w:color="auto" w:fill="FFFFFF"/>
          <w:lang w:val="pt-BR"/>
        </w:rPr>
        <w:t xml:space="preserve"> e</w:t>
      </w:r>
      <w:r w:rsidR="005A2381" w:rsidRPr="005D6E61">
        <w:rPr>
          <w:rFonts w:ascii="Cambria" w:hAnsi="Cambria" w:cs="Arial"/>
          <w:sz w:val="20"/>
          <w:szCs w:val="20"/>
          <w:shd w:val="clear" w:color="auto" w:fill="FFFFFF"/>
          <w:lang w:val="pt-BR"/>
        </w:rPr>
        <w:t xml:space="preserve"> na </w:t>
      </w:r>
      <w:r w:rsidR="003655B3" w:rsidRPr="005D6E61">
        <w:rPr>
          <w:rFonts w:ascii="Cambria" w:hAnsi="Cambria" w:cs="Arial"/>
          <w:sz w:val="20"/>
          <w:szCs w:val="20"/>
          <w:shd w:val="clear" w:color="auto" w:fill="FFFFFF"/>
          <w:lang w:val="pt-BR"/>
        </w:rPr>
        <w:t>im</w:t>
      </w:r>
      <w:r w:rsidR="002E2BF9" w:rsidRPr="005D6E61">
        <w:rPr>
          <w:rFonts w:ascii="Cambria" w:hAnsi="Cambria" w:cs="Arial"/>
          <w:sz w:val="20"/>
          <w:szCs w:val="20"/>
          <w:shd w:val="clear" w:color="auto" w:fill="FFFFFF"/>
          <w:lang w:val="pt-BR"/>
        </w:rPr>
        <w:t>prensa.</w:t>
      </w:r>
      <w:r w:rsidR="00331E62" w:rsidRPr="005D6E61">
        <w:rPr>
          <w:rFonts w:ascii="Cambria" w:hAnsi="Cambria" w:cs="Arial"/>
          <w:sz w:val="20"/>
          <w:szCs w:val="20"/>
          <w:shd w:val="clear" w:color="auto" w:fill="FFFFFF"/>
          <w:lang w:val="pt-BR"/>
        </w:rPr>
        <w:t xml:space="preserve"> </w:t>
      </w:r>
      <w:r w:rsidR="003655B3" w:rsidRPr="005D6E61">
        <w:rPr>
          <w:rFonts w:ascii="Cambria" w:hAnsi="Cambria" w:cs="Arial"/>
          <w:sz w:val="20"/>
          <w:szCs w:val="20"/>
          <w:shd w:val="clear" w:color="auto" w:fill="FFFFFF"/>
          <w:lang w:val="pt-BR"/>
        </w:rPr>
        <w:t>A</w:t>
      </w:r>
      <w:r w:rsidR="00331E62" w:rsidRPr="005D6E61">
        <w:rPr>
          <w:rFonts w:ascii="Cambria" w:hAnsi="Cambria" w:cs="Arial"/>
          <w:sz w:val="20"/>
          <w:szCs w:val="20"/>
          <w:shd w:val="clear" w:color="auto" w:fill="FFFFFF"/>
          <w:lang w:val="pt-BR"/>
        </w:rPr>
        <w:t xml:space="preserve"> </w:t>
      </w:r>
      <w:r w:rsidR="002E2BF9" w:rsidRPr="005D6E61">
        <w:rPr>
          <w:rFonts w:ascii="Cambria" w:hAnsi="Cambria" w:cs="Arial"/>
          <w:sz w:val="20"/>
          <w:szCs w:val="20"/>
          <w:shd w:val="clear" w:color="auto" w:fill="FFFFFF"/>
          <w:lang w:val="pt-BR"/>
        </w:rPr>
        <w:t>autor</w:t>
      </w:r>
      <w:r w:rsidR="005A2381" w:rsidRPr="005D6E61">
        <w:rPr>
          <w:rFonts w:ascii="Cambria" w:hAnsi="Cambria" w:cs="Arial"/>
          <w:sz w:val="20"/>
          <w:szCs w:val="20"/>
          <w:shd w:val="clear" w:color="auto" w:fill="FFFFFF"/>
          <w:lang w:val="pt-BR"/>
        </w:rPr>
        <w:t>ia</w:t>
      </w:r>
      <w:r w:rsidR="0054428F" w:rsidRPr="005D6E61">
        <w:rPr>
          <w:rFonts w:ascii="Cambria" w:hAnsi="Cambria" w:cs="Arial"/>
          <w:sz w:val="20"/>
          <w:szCs w:val="20"/>
          <w:shd w:val="clear" w:color="auto" w:fill="FFFFFF"/>
          <w:lang w:val="pt-BR"/>
        </w:rPr>
        <w:t xml:space="preserve"> das </w:t>
      </w:r>
      <w:r w:rsidR="005B67BB" w:rsidRPr="005D6E61">
        <w:rPr>
          <w:rFonts w:ascii="Cambria" w:hAnsi="Cambria" w:cs="Arial"/>
          <w:sz w:val="20"/>
          <w:szCs w:val="20"/>
          <w:shd w:val="clear" w:color="auto" w:fill="FFFFFF"/>
          <w:lang w:val="pt-BR"/>
        </w:rPr>
        <w:t>ameaça</w:t>
      </w:r>
      <w:r w:rsidR="002E2BF9" w:rsidRPr="005D6E61">
        <w:rPr>
          <w:rFonts w:ascii="Cambria" w:hAnsi="Cambria" w:cs="Arial"/>
          <w:sz w:val="20"/>
          <w:szCs w:val="20"/>
          <w:shd w:val="clear" w:color="auto" w:fill="FFFFFF"/>
          <w:lang w:val="pt-BR"/>
        </w:rPr>
        <w:t>s era atribu</w:t>
      </w:r>
      <w:r w:rsidR="003655B3" w:rsidRPr="005D6E61">
        <w:rPr>
          <w:rFonts w:ascii="Cambria" w:hAnsi="Cambria" w:cs="Arial"/>
          <w:sz w:val="20"/>
          <w:szCs w:val="20"/>
          <w:shd w:val="clear" w:color="auto" w:fill="FFFFFF"/>
          <w:lang w:val="pt-BR"/>
        </w:rPr>
        <w:t>í</w:t>
      </w:r>
      <w:r w:rsidR="002E2BF9" w:rsidRPr="005D6E61">
        <w:rPr>
          <w:rFonts w:ascii="Cambria" w:hAnsi="Cambria" w:cs="Arial"/>
          <w:sz w:val="20"/>
          <w:szCs w:val="20"/>
          <w:shd w:val="clear" w:color="auto" w:fill="FFFFFF"/>
          <w:lang w:val="pt-BR"/>
        </w:rPr>
        <w:t>da</w:t>
      </w:r>
      <w:r w:rsidR="00CD523F" w:rsidRPr="005D6E61">
        <w:rPr>
          <w:rFonts w:ascii="Cambria" w:hAnsi="Cambria" w:cs="Arial"/>
          <w:sz w:val="20"/>
          <w:szCs w:val="20"/>
          <w:shd w:val="clear" w:color="auto" w:fill="FFFFFF"/>
          <w:lang w:val="pt-BR"/>
        </w:rPr>
        <w:t xml:space="preserve"> ao </w:t>
      </w:r>
      <w:r w:rsidR="002E2BF9" w:rsidRPr="005D6E61">
        <w:rPr>
          <w:rFonts w:ascii="Cambria" w:hAnsi="Cambria" w:cs="Arial"/>
          <w:sz w:val="20"/>
          <w:szCs w:val="20"/>
          <w:shd w:val="clear" w:color="auto" w:fill="FFFFFF"/>
          <w:lang w:val="pt-BR"/>
        </w:rPr>
        <w:t>con</w:t>
      </w:r>
      <w:r w:rsidR="003655B3" w:rsidRPr="005D6E61">
        <w:rPr>
          <w:rFonts w:ascii="Cambria" w:hAnsi="Cambria" w:cs="Arial"/>
          <w:sz w:val="20"/>
          <w:szCs w:val="20"/>
          <w:shd w:val="clear" w:color="auto" w:fill="FFFFFF"/>
          <w:lang w:val="pt-BR"/>
        </w:rPr>
        <w:t>hecido Grupo da</w:t>
      </w:r>
      <w:r w:rsidR="002E2BF9" w:rsidRPr="005D6E61">
        <w:rPr>
          <w:rFonts w:ascii="Cambria" w:hAnsi="Cambria" w:cs="Arial"/>
          <w:sz w:val="20"/>
          <w:szCs w:val="20"/>
          <w:shd w:val="clear" w:color="auto" w:fill="FFFFFF"/>
          <w:lang w:val="pt-BR"/>
        </w:rPr>
        <w:t xml:space="preserve"> Várzea (…) que pos</w:t>
      </w:r>
      <w:r w:rsidR="003655B3" w:rsidRPr="005D6E61">
        <w:rPr>
          <w:rFonts w:ascii="Cambria" w:hAnsi="Cambria" w:cs="Arial"/>
          <w:sz w:val="20"/>
          <w:szCs w:val="20"/>
          <w:shd w:val="clear" w:color="auto" w:fill="FFFFFF"/>
          <w:lang w:val="pt-BR"/>
        </w:rPr>
        <w:t>sui</w:t>
      </w:r>
      <w:r w:rsidR="002E2BF9" w:rsidRPr="005D6E61">
        <w:rPr>
          <w:rFonts w:ascii="Cambria" w:hAnsi="Cambria" w:cs="Arial"/>
          <w:sz w:val="20"/>
          <w:szCs w:val="20"/>
          <w:shd w:val="clear" w:color="auto" w:fill="FFFFFF"/>
          <w:lang w:val="pt-BR"/>
        </w:rPr>
        <w:t xml:space="preserve"> mu</w:t>
      </w:r>
      <w:r w:rsidR="003655B3" w:rsidRPr="005D6E61">
        <w:rPr>
          <w:rFonts w:ascii="Cambria" w:hAnsi="Cambria" w:cs="Arial"/>
          <w:sz w:val="20"/>
          <w:szCs w:val="20"/>
          <w:shd w:val="clear" w:color="auto" w:fill="FFFFFF"/>
          <w:lang w:val="pt-BR"/>
        </w:rPr>
        <w:t>it</w:t>
      </w:r>
      <w:r w:rsidR="002E2BF9" w:rsidRPr="005D6E61">
        <w:rPr>
          <w:rFonts w:ascii="Cambria" w:hAnsi="Cambria" w:cs="Arial"/>
          <w:sz w:val="20"/>
          <w:szCs w:val="20"/>
          <w:shd w:val="clear" w:color="auto" w:fill="FFFFFF"/>
          <w:lang w:val="pt-BR"/>
        </w:rPr>
        <w:t>o poder político</w:t>
      </w:r>
      <w:r w:rsidR="00331E62" w:rsidRPr="005D6E61">
        <w:rPr>
          <w:rFonts w:ascii="Cambria" w:hAnsi="Cambria" w:cs="Arial"/>
          <w:sz w:val="20"/>
          <w:szCs w:val="20"/>
          <w:shd w:val="clear" w:color="auto" w:fill="FFFFFF"/>
          <w:lang w:val="pt-BR"/>
        </w:rPr>
        <w:t xml:space="preserve"> no </w:t>
      </w:r>
      <w:r w:rsidR="002E2BF9" w:rsidRPr="005D6E61">
        <w:rPr>
          <w:rFonts w:ascii="Cambria" w:hAnsi="Cambria" w:cs="Arial"/>
          <w:sz w:val="20"/>
          <w:szCs w:val="20"/>
          <w:shd w:val="clear" w:color="auto" w:fill="FFFFFF"/>
          <w:lang w:val="pt-BR"/>
        </w:rPr>
        <w:t xml:space="preserve">Estado </w:t>
      </w:r>
      <w:r w:rsidR="00287321" w:rsidRPr="005D6E61">
        <w:rPr>
          <w:rFonts w:ascii="Cambria" w:hAnsi="Cambria" w:cs="Arial"/>
          <w:sz w:val="20"/>
          <w:szCs w:val="20"/>
          <w:shd w:val="clear" w:color="auto" w:fill="FFFFFF"/>
          <w:lang w:val="pt-BR"/>
        </w:rPr>
        <w:t>da Paraíba</w:t>
      </w:r>
      <w:r w:rsidR="002E2BF9" w:rsidRPr="005D6E61">
        <w:rPr>
          <w:rStyle w:val="FootnoteReference"/>
          <w:rFonts w:ascii="Cambria" w:hAnsi="Cambria" w:cs="Arial"/>
          <w:sz w:val="20"/>
          <w:szCs w:val="20"/>
          <w:shd w:val="clear" w:color="auto" w:fill="FFFFFF"/>
          <w:lang w:val="pt-BR"/>
        </w:rPr>
        <w:footnoteReference w:id="28"/>
      </w:r>
      <w:r w:rsidR="002E2BF9" w:rsidRPr="005D6E61">
        <w:rPr>
          <w:rFonts w:ascii="Cambria" w:hAnsi="Cambria" w:cs="Arial"/>
          <w:sz w:val="20"/>
          <w:szCs w:val="20"/>
          <w:shd w:val="clear" w:color="auto" w:fill="FFFFFF"/>
          <w:lang w:val="pt-BR"/>
        </w:rPr>
        <w:t xml:space="preserve">. </w:t>
      </w:r>
    </w:p>
    <w:p w14:paraId="684B0DF7" w14:textId="77777777" w:rsidR="00AA70A5" w:rsidRPr="005D6E61" w:rsidRDefault="00AA70A5" w:rsidP="00AA70A5">
      <w:pPr>
        <w:pStyle w:val="ListParagraph"/>
        <w:ind w:left="0"/>
        <w:rPr>
          <w:sz w:val="20"/>
          <w:szCs w:val="20"/>
          <w:lang w:val="pt-BR"/>
        </w:rPr>
      </w:pPr>
    </w:p>
    <w:p w14:paraId="2263AD46" w14:textId="77777777" w:rsidR="00AA70A5" w:rsidRPr="005D6E61" w:rsidRDefault="003619A0"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O</w:t>
      </w:r>
      <w:r w:rsidR="00412229" w:rsidRPr="005D6E61">
        <w:rPr>
          <w:rFonts w:ascii="Cambria" w:hAnsi="Cambria"/>
          <w:sz w:val="20"/>
          <w:szCs w:val="20"/>
          <w:lang w:val="pt-BR"/>
        </w:rPr>
        <w:t xml:space="preserve"> Estado</w:t>
      </w:r>
      <w:r w:rsidR="00F77B7F" w:rsidRPr="005D6E61">
        <w:rPr>
          <w:rFonts w:ascii="Cambria" w:hAnsi="Cambria"/>
          <w:sz w:val="20"/>
          <w:szCs w:val="20"/>
          <w:lang w:val="pt-BR"/>
        </w:rPr>
        <w:t xml:space="preserve"> não </w:t>
      </w:r>
      <w:r w:rsidR="00412229" w:rsidRPr="005D6E61">
        <w:rPr>
          <w:rFonts w:ascii="Cambria" w:hAnsi="Cambria"/>
          <w:sz w:val="20"/>
          <w:szCs w:val="20"/>
          <w:lang w:val="pt-BR"/>
        </w:rPr>
        <w:t>inform</w:t>
      </w:r>
      <w:r w:rsidR="00BF0B90" w:rsidRPr="005D6E61">
        <w:rPr>
          <w:rFonts w:ascii="Cambria" w:hAnsi="Cambria"/>
          <w:sz w:val="20"/>
          <w:szCs w:val="20"/>
          <w:lang w:val="pt-BR"/>
        </w:rPr>
        <w:t xml:space="preserve">ou </w:t>
      </w:r>
      <w:r w:rsidR="00412229" w:rsidRPr="005D6E61">
        <w:rPr>
          <w:rFonts w:ascii="Cambria" w:hAnsi="Cambria"/>
          <w:sz w:val="20"/>
          <w:szCs w:val="20"/>
          <w:lang w:val="pt-BR"/>
        </w:rPr>
        <w:t>n</w:t>
      </w:r>
      <w:r w:rsidR="003655B3" w:rsidRPr="005D6E61">
        <w:rPr>
          <w:rFonts w:ascii="Cambria" w:hAnsi="Cambria"/>
          <w:sz w:val="20"/>
          <w:szCs w:val="20"/>
          <w:lang w:val="pt-BR"/>
        </w:rPr>
        <w:t>em</w:t>
      </w:r>
      <w:r w:rsidR="00412229" w:rsidRPr="005D6E61">
        <w:rPr>
          <w:rFonts w:ascii="Cambria" w:hAnsi="Cambria"/>
          <w:sz w:val="20"/>
          <w:szCs w:val="20"/>
          <w:lang w:val="pt-BR"/>
        </w:rPr>
        <w:t xml:space="preserve"> </w:t>
      </w:r>
      <w:r w:rsidR="00AA70A5" w:rsidRPr="005D6E61">
        <w:rPr>
          <w:rFonts w:ascii="Cambria" w:hAnsi="Cambria"/>
          <w:sz w:val="20"/>
          <w:szCs w:val="20"/>
          <w:lang w:val="pt-BR"/>
        </w:rPr>
        <w:t>consta</w:t>
      </w:r>
      <w:r w:rsidR="00331E62" w:rsidRPr="005D6E61">
        <w:rPr>
          <w:rFonts w:ascii="Cambria" w:hAnsi="Cambria"/>
          <w:sz w:val="20"/>
          <w:szCs w:val="20"/>
          <w:lang w:val="pt-BR"/>
        </w:rPr>
        <w:t xml:space="preserve"> no </w:t>
      </w:r>
      <w:r w:rsidR="003655B3" w:rsidRPr="005D6E61">
        <w:rPr>
          <w:rFonts w:ascii="Cambria" w:hAnsi="Cambria"/>
          <w:sz w:val="20"/>
          <w:szCs w:val="20"/>
          <w:lang w:val="pt-BR"/>
        </w:rPr>
        <w:t>processo</w:t>
      </w:r>
      <w:r w:rsidR="00AA70A5" w:rsidRPr="005D6E61">
        <w:rPr>
          <w:rFonts w:ascii="Cambria" w:hAnsi="Cambria"/>
          <w:sz w:val="20"/>
          <w:szCs w:val="20"/>
          <w:lang w:val="pt-BR"/>
        </w:rPr>
        <w:t xml:space="preserve"> que </w:t>
      </w:r>
      <w:r w:rsidR="00412229" w:rsidRPr="005D6E61">
        <w:rPr>
          <w:rFonts w:ascii="Cambria" w:hAnsi="Cambria"/>
          <w:sz w:val="20"/>
          <w:szCs w:val="20"/>
          <w:lang w:val="pt-BR"/>
        </w:rPr>
        <w:t xml:space="preserve">se </w:t>
      </w:r>
      <w:r w:rsidR="003655B3" w:rsidRPr="005D6E61">
        <w:rPr>
          <w:rFonts w:ascii="Cambria" w:hAnsi="Cambria"/>
          <w:sz w:val="20"/>
          <w:szCs w:val="20"/>
          <w:lang w:val="pt-BR"/>
        </w:rPr>
        <w:t>tenha</w:t>
      </w:r>
      <w:r w:rsidR="00412229" w:rsidRPr="005D6E61">
        <w:rPr>
          <w:rFonts w:ascii="Cambria" w:hAnsi="Cambria"/>
          <w:sz w:val="20"/>
          <w:szCs w:val="20"/>
          <w:lang w:val="pt-BR"/>
        </w:rPr>
        <w:t xml:space="preserve"> dado segui</w:t>
      </w:r>
      <w:r w:rsidR="00FB55C7" w:rsidRPr="005D6E61">
        <w:rPr>
          <w:rFonts w:ascii="Cambria" w:hAnsi="Cambria"/>
          <w:sz w:val="20"/>
          <w:szCs w:val="20"/>
          <w:lang w:val="pt-BR"/>
        </w:rPr>
        <w:t>mento</w:t>
      </w:r>
      <w:r w:rsidR="00412229" w:rsidRPr="005D6E61">
        <w:rPr>
          <w:rFonts w:ascii="Cambria" w:hAnsi="Cambria"/>
          <w:sz w:val="20"/>
          <w:szCs w:val="20"/>
          <w:lang w:val="pt-BR"/>
        </w:rPr>
        <w:t xml:space="preserve"> a </w:t>
      </w:r>
      <w:r w:rsidR="003655B3" w:rsidRPr="005D6E61">
        <w:rPr>
          <w:rFonts w:ascii="Cambria" w:hAnsi="Cambria"/>
          <w:sz w:val="20"/>
          <w:szCs w:val="20"/>
          <w:lang w:val="pt-BR"/>
        </w:rPr>
        <w:t>ess</w:t>
      </w:r>
      <w:r w:rsidR="00412229" w:rsidRPr="005D6E61">
        <w:rPr>
          <w:rFonts w:ascii="Cambria" w:hAnsi="Cambria"/>
          <w:sz w:val="20"/>
          <w:szCs w:val="20"/>
          <w:lang w:val="pt-BR"/>
        </w:rPr>
        <w:t>a informa</w:t>
      </w:r>
      <w:r w:rsidR="00A274D9" w:rsidRPr="005D6E61">
        <w:rPr>
          <w:rFonts w:ascii="Cambria" w:hAnsi="Cambria"/>
          <w:sz w:val="20"/>
          <w:szCs w:val="20"/>
          <w:lang w:val="pt-BR"/>
        </w:rPr>
        <w:t>ção</w:t>
      </w:r>
      <w:r w:rsidR="00412229" w:rsidRPr="005D6E61">
        <w:rPr>
          <w:rFonts w:ascii="Cambria" w:hAnsi="Cambria"/>
          <w:sz w:val="20"/>
          <w:szCs w:val="20"/>
          <w:lang w:val="pt-BR"/>
        </w:rPr>
        <w:t xml:space="preserve"> antes</w:t>
      </w:r>
      <w:r w:rsidR="00675058" w:rsidRPr="005D6E61">
        <w:rPr>
          <w:rFonts w:ascii="Cambria" w:hAnsi="Cambria"/>
          <w:sz w:val="20"/>
          <w:szCs w:val="20"/>
          <w:lang w:val="pt-BR"/>
        </w:rPr>
        <w:t xml:space="preserve"> da </w:t>
      </w:r>
      <w:r w:rsidRPr="005D6E61">
        <w:rPr>
          <w:rFonts w:ascii="Cambria" w:hAnsi="Cambria"/>
          <w:sz w:val="20"/>
          <w:szCs w:val="20"/>
          <w:lang w:val="pt-BR"/>
        </w:rPr>
        <w:t>morte</w:t>
      </w:r>
      <w:r w:rsidR="00412229" w:rsidRPr="005D6E61">
        <w:rPr>
          <w:rFonts w:ascii="Cambria" w:hAnsi="Cambria"/>
          <w:sz w:val="20"/>
          <w:szCs w:val="20"/>
          <w:lang w:val="pt-BR"/>
        </w:rPr>
        <w:t xml:space="preserve"> para identificar f</w:t>
      </w:r>
      <w:r w:rsidR="003655B3" w:rsidRPr="005D6E61">
        <w:rPr>
          <w:rFonts w:ascii="Cambria" w:hAnsi="Cambria"/>
          <w:sz w:val="20"/>
          <w:szCs w:val="20"/>
          <w:lang w:val="pt-BR"/>
        </w:rPr>
        <w:t>ontes de ri</w:t>
      </w:r>
      <w:r w:rsidR="00412229" w:rsidRPr="005D6E61">
        <w:rPr>
          <w:rFonts w:ascii="Cambria" w:hAnsi="Cambria"/>
          <w:sz w:val="20"/>
          <w:szCs w:val="20"/>
          <w:lang w:val="pt-BR"/>
        </w:rPr>
        <w:t>s</w:t>
      </w:r>
      <w:r w:rsidR="003655B3" w:rsidRPr="005D6E61">
        <w:rPr>
          <w:rFonts w:ascii="Cambria" w:hAnsi="Cambria"/>
          <w:sz w:val="20"/>
          <w:szCs w:val="20"/>
          <w:lang w:val="pt-BR"/>
        </w:rPr>
        <w:t>c</w:t>
      </w:r>
      <w:r w:rsidR="00412229" w:rsidRPr="005D6E61">
        <w:rPr>
          <w:rFonts w:ascii="Cambria" w:hAnsi="Cambria"/>
          <w:sz w:val="20"/>
          <w:szCs w:val="20"/>
          <w:lang w:val="pt-BR"/>
        </w:rPr>
        <w:t>o</w:t>
      </w:r>
      <w:r w:rsidR="006C5454" w:rsidRPr="005D6E61">
        <w:rPr>
          <w:rFonts w:ascii="Cambria" w:hAnsi="Cambria"/>
          <w:sz w:val="20"/>
          <w:szCs w:val="20"/>
          <w:lang w:val="pt-BR"/>
        </w:rPr>
        <w:t xml:space="preserve"> e </w:t>
      </w:r>
      <w:r w:rsidR="003655B3" w:rsidRPr="005D6E61">
        <w:rPr>
          <w:rFonts w:ascii="Cambria" w:hAnsi="Cambria"/>
          <w:sz w:val="20"/>
          <w:szCs w:val="20"/>
          <w:lang w:val="pt-BR"/>
        </w:rPr>
        <w:t>proporcionar</w:t>
      </w:r>
      <w:r w:rsidR="00412229" w:rsidRPr="005D6E61">
        <w:rPr>
          <w:rFonts w:ascii="Cambria" w:hAnsi="Cambria"/>
          <w:sz w:val="20"/>
          <w:szCs w:val="20"/>
          <w:lang w:val="pt-BR"/>
        </w:rPr>
        <w:t xml:space="preserve"> prote</w:t>
      </w:r>
      <w:r w:rsidR="00704E7B" w:rsidRPr="005D6E61">
        <w:rPr>
          <w:rFonts w:ascii="Cambria" w:hAnsi="Cambria"/>
          <w:sz w:val="20"/>
          <w:szCs w:val="20"/>
          <w:lang w:val="pt-BR"/>
        </w:rPr>
        <w:t>ç</w:t>
      </w:r>
      <w:r w:rsidR="00A274D9" w:rsidRPr="005D6E61">
        <w:rPr>
          <w:rFonts w:ascii="Cambria" w:hAnsi="Cambria"/>
          <w:sz w:val="20"/>
          <w:szCs w:val="20"/>
          <w:lang w:val="pt-BR"/>
        </w:rPr>
        <w:t>ão</w:t>
      </w:r>
      <w:r w:rsidR="00AA70A5" w:rsidRPr="005D6E61">
        <w:rPr>
          <w:rFonts w:ascii="Cambria" w:hAnsi="Cambria"/>
          <w:sz w:val="20"/>
          <w:szCs w:val="20"/>
          <w:lang w:val="pt-BR"/>
        </w:rPr>
        <w:t xml:space="preserve">. </w:t>
      </w:r>
    </w:p>
    <w:p w14:paraId="64FB2986" w14:textId="77777777" w:rsidR="00AA70A5" w:rsidRPr="005D6E61" w:rsidRDefault="00184F5F" w:rsidP="00AA70A5">
      <w:pPr>
        <w:pStyle w:val="Heading2"/>
        <w:numPr>
          <w:ilvl w:val="0"/>
          <w:numId w:val="59"/>
        </w:numPr>
        <w:ind w:firstLine="0"/>
        <w:rPr>
          <w:rFonts w:ascii="Cambria" w:hAnsi="Cambria"/>
          <w:i w:val="0"/>
          <w:sz w:val="20"/>
          <w:szCs w:val="20"/>
          <w:lang w:val="pt-BR"/>
        </w:rPr>
      </w:pPr>
      <w:bookmarkStart w:id="15" w:name="_Toc27990561"/>
      <w:r w:rsidRPr="005D6E61">
        <w:rPr>
          <w:rFonts w:ascii="Cambria" w:hAnsi="Cambria"/>
          <w:i w:val="0"/>
          <w:sz w:val="20"/>
          <w:szCs w:val="20"/>
          <w:lang w:val="pt-BR"/>
        </w:rPr>
        <w:t>A</w:t>
      </w:r>
      <w:r w:rsidR="00AA70A5" w:rsidRPr="005D6E61">
        <w:rPr>
          <w:rFonts w:ascii="Cambria" w:hAnsi="Cambria"/>
          <w:i w:val="0"/>
          <w:sz w:val="20"/>
          <w:szCs w:val="20"/>
          <w:lang w:val="pt-BR"/>
        </w:rPr>
        <w:t xml:space="preserve"> </w:t>
      </w:r>
      <w:r w:rsidR="003619A0" w:rsidRPr="005D6E61">
        <w:rPr>
          <w:rFonts w:ascii="Cambria" w:hAnsi="Cambria"/>
          <w:i w:val="0"/>
          <w:sz w:val="20"/>
          <w:szCs w:val="20"/>
          <w:lang w:val="pt-BR"/>
        </w:rPr>
        <w:t>morte</w:t>
      </w:r>
      <w:r w:rsidR="00675058" w:rsidRPr="005D6E61">
        <w:rPr>
          <w:rFonts w:ascii="Cambria" w:hAnsi="Cambria"/>
          <w:i w:val="0"/>
          <w:sz w:val="20"/>
          <w:szCs w:val="20"/>
          <w:lang w:val="pt-BR"/>
        </w:rPr>
        <w:t xml:space="preserve"> da </w:t>
      </w:r>
      <w:r w:rsidR="005A2381" w:rsidRPr="005D6E61">
        <w:rPr>
          <w:rFonts w:ascii="Cambria" w:hAnsi="Cambria"/>
          <w:i w:val="0"/>
          <w:sz w:val="20"/>
          <w:szCs w:val="20"/>
          <w:lang w:val="pt-BR"/>
        </w:rPr>
        <w:t>suposta</w:t>
      </w:r>
      <w:r w:rsidR="00AA70A5" w:rsidRPr="005D6E61">
        <w:rPr>
          <w:rFonts w:ascii="Cambria" w:hAnsi="Cambria"/>
          <w:i w:val="0"/>
          <w:sz w:val="20"/>
          <w:szCs w:val="20"/>
          <w:lang w:val="pt-BR"/>
        </w:rPr>
        <w:t xml:space="preserve"> </w:t>
      </w:r>
      <w:r w:rsidR="003619A0" w:rsidRPr="005D6E61">
        <w:rPr>
          <w:rFonts w:ascii="Cambria" w:hAnsi="Cambria"/>
          <w:i w:val="0"/>
          <w:sz w:val="20"/>
          <w:szCs w:val="20"/>
          <w:lang w:val="pt-BR"/>
        </w:rPr>
        <w:t>vítima</w:t>
      </w:r>
      <w:bookmarkEnd w:id="15"/>
    </w:p>
    <w:p w14:paraId="1274E461" w14:textId="77777777" w:rsidR="00AA70A5" w:rsidRPr="005D6E61" w:rsidRDefault="00AA70A5" w:rsidP="00AA70A5">
      <w:pPr>
        <w:pStyle w:val="ListParagraph"/>
        <w:ind w:left="360"/>
        <w:jc w:val="both"/>
        <w:rPr>
          <w:rFonts w:cs="Times New Roman"/>
          <w:sz w:val="20"/>
          <w:szCs w:val="20"/>
          <w:lang w:val="pt-BR"/>
        </w:rPr>
      </w:pPr>
    </w:p>
    <w:p w14:paraId="296A29E4" w14:textId="77777777" w:rsidR="00AA70A5" w:rsidRPr="005D6E61" w:rsidRDefault="00D1265A"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É</w:t>
      </w:r>
      <w:r w:rsidR="00275A65" w:rsidRPr="005D6E61">
        <w:rPr>
          <w:rFonts w:ascii="Cambria" w:hAnsi="Cambria"/>
          <w:sz w:val="20"/>
          <w:szCs w:val="20"/>
          <w:lang w:val="pt-BR"/>
        </w:rPr>
        <w:t xml:space="preserve"> um </w:t>
      </w:r>
      <w:r w:rsidR="00BF0B90" w:rsidRPr="005D6E61">
        <w:rPr>
          <w:rFonts w:ascii="Cambria" w:hAnsi="Cambria"/>
          <w:sz w:val="20"/>
          <w:szCs w:val="20"/>
          <w:lang w:val="pt-BR"/>
        </w:rPr>
        <w:t>fato</w:t>
      </w:r>
      <w:r w:rsidR="00F77B7F" w:rsidRPr="005D6E61">
        <w:rPr>
          <w:rFonts w:ascii="Cambria" w:hAnsi="Cambria"/>
          <w:sz w:val="20"/>
          <w:szCs w:val="20"/>
          <w:lang w:val="pt-BR"/>
        </w:rPr>
        <w:t xml:space="preserve"> não </w:t>
      </w:r>
      <w:r w:rsidR="00AA70A5" w:rsidRPr="005D6E61">
        <w:rPr>
          <w:rFonts w:ascii="Cambria" w:hAnsi="Cambria"/>
          <w:sz w:val="20"/>
          <w:szCs w:val="20"/>
          <w:lang w:val="pt-BR"/>
        </w:rPr>
        <w:t>controvertido que</w:t>
      </w:r>
      <w:r w:rsidR="00331E62" w:rsidRPr="005D6E61">
        <w:rPr>
          <w:rFonts w:ascii="Cambria" w:hAnsi="Cambria"/>
          <w:sz w:val="20"/>
          <w:szCs w:val="20"/>
          <w:lang w:val="pt-BR"/>
        </w:rPr>
        <w:t xml:space="preserve"> a </w:t>
      </w:r>
      <w:r w:rsidR="005A2381" w:rsidRPr="005D6E61">
        <w:rPr>
          <w:rFonts w:ascii="Cambria" w:hAnsi="Cambria"/>
          <w:sz w:val="20"/>
          <w:szCs w:val="20"/>
          <w:lang w:val="pt-BR"/>
        </w:rPr>
        <w:t>suposta</w:t>
      </w:r>
      <w:r w:rsidR="00AA70A5" w:rsidRPr="005D6E61">
        <w:rPr>
          <w:rFonts w:ascii="Cambria" w:hAnsi="Cambria"/>
          <w:sz w:val="20"/>
          <w:szCs w:val="20"/>
          <w:lang w:val="pt-BR"/>
        </w:rPr>
        <w:t xml:space="preserve"> </w:t>
      </w:r>
      <w:r w:rsidR="003619A0" w:rsidRPr="005D6E61">
        <w:rPr>
          <w:rFonts w:ascii="Cambria" w:hAnsi="Cambria"/>
          <w:sz w:val="20"/>
          <w:szCs w:val="20"/>
          <w:lang w:val="pt-BR"/>
        </w:rPr>
        <w:t>vítima</w:t>
      </w:r>
      <w:r w:rsidR="00AA70A5" w:rsidRPr="005D6E61">
        <w:rPr>
          <w:rFonts w:ascii="Cambria" w:hAnsi="Cambria"/>
          <w:sz w:val="20"/>
          <w:szCs w:val="20"/>
          <w:lang w:val="pt-BR"/>
        </w:rPr>
        <w:t xml:space="preserve"> falec</w:t>
      </w:r>
      <w:r w:rsidRPr="005D6E61">
        <w:rPr>
          <w:rFonts w:ascii="Cambria" w:hAnsi="Cambria"/>
          <w:sz w:val="20"/>
          <w:szCs w:val="20"/>
          <w:lang w:val="pt-BR"/>
        </w:rPr>
        <w:t>e</w:t>
      </w:r>
      <w:r w:rsidR="00BF0B90" w:rsidRPr="005D6E61">
        <w:rPr>
          <w:rFonts w:ascii="Cambria" w:hAnsi="Cambria"/>
          <w:sz w:val="20"/>
          <w:szCs w:val="20"/>
          <w:lang w:val="pt-BR"/>
        </w:rPr>
        <w:t xml:space="preserve">u </w:t>
      </w:r>
      <w:r w:rsidRPr="005D6E61">
        <w:rPr>
          <w:rFonts w:ascii="Cambria" w:hAnsi="Cambria"/>
          <w:sz w:val="20"/>
          <w:szCs w:val="20"/>
          <w:lang w:val="pt-BR"/>
        </w:rPr>
        <w:t>em</w:t>
      </w:r>
      <w:r w:rsidR="00331E62" w:rsidRPr="005D6E61">
        <w:rPr>
          <w:rFonts w:ascii="Cambria" w:hAnsi="Cambria"/>
          <w:sz w:val="20"/>
          <w:szCs w:val="20"/>
          <w:lang w:val="pt-BR"/>
        </w:rPr>
        <w:t xml:space="preserve"> </w:t>
      </w:r>
      <w:r w:rsidR="00AA70A5" w:rsidRPr="005D6E61">
        <w:rPr>
          <w:rFonts w:ascii="Cambria" w:hAnsi="Cambria"/>
          <w:sz w:val="20"/>
          <w:szCs w:val="20"/>
          <w:lang w:val="pt-BR"/>
        </w:rPr>
        <w:t xml:space="preserve">12 de agosto de 1983 </w:t>
      </w:r>
      <w:r w:rsidRPr="005D6E61">
        <w:rPr>
          <w:rFonts w:ascii="Cambria" w:hAnsi="Cambria"/>
          <w:sz w:val="20"/>
          <w:szCs w:val="20"/>
          <w:lang w:val="pt-BR"/>
        </w:rPr>
        <w:t>depois</w:t>
      </w:r>
      <w:r w:rsidR="00AA70A5" w:rsidRPr="005D6E61">
        <w:rPr>
          <w:rFonts w:ascii="Cambria" w:hAnsi="Cambria"/>
          <w:sz w:val="20"/>
          <w:szCs w:val="20"/>
          <w:lang w:val="pt-BR"/>
        </w:rPr>
        <w:t xml:space="preserve"> que</w:t>
      </w:r>
      <w:r w:rsidR="00275A65" w:rsidRPr="005D6E61">
        <w:rPr>
          <w:rFonts w:ascii="Cambria" w:hAnsi="Cambria"/>
          <w:sz w:val="20"/>
          <w:szCs w:val="20"/>
          <w:lang w:val="pt-BR"/>
        </w:rPr>
        <w:t xml:space="preserve"> um </w:t>
      </w:r>
      <w:r w:rsidR="00AA70A5" w:rsidRPr="005D6E61">
        <w:rPr>
          <w:rFonts w:ascii="Cambria" w:hAnsi="Cambria"/>
          <w:sz w:val="20"/>
          <w:szCs w:val="20"/>
          <w:lang w:val="pt-BR"/>
        </w:rPr>
        <w:t>indiv</w:t>
      </w:r>
      <w:r w:rsidR="003655B3" w:rsidRPr="005D6E61">
        <w:rPr>
          <w:rFonts w:ascii="Cambria" w:hAnsi="Cambria"/>
          <w:sz w:val="20"/>
          <w:szCs w:val="20"/>
          <w:lang w:val="pt-BR"/>
        </w:rPr>
        <w:t>í</w:t>
      </w:r>
      <w:r w:rsidR="00AA70A5" w:rsidRPr="005D6E61">
        <w:rPr>
          <w:rFonts w:ascii="Cambria" w:hAnsi="Cambria"/>
          <w:sz w:val="20"/>
          <w:szCs w:val="20"/>
          <w:lang w:val="pt-BR"/>
        </w:rPr>
        <w:t>duo dispar</w:t>
      </w:r>
      <w:r w:rsidRPr="005D6E61">
        <w:rPr>
          <w:rFonts w:ascii="Cambria" w:hAnsi="Cambria"/>
          <w:sz w:val="20"/>
          <w:szCs w:val="20"/>
          <w:lang w:val="pt-BR"/>
        </w:rPr>
        <w:t>ou</w:t>
      </w:r>
      <w:r w:rsidR="00F77B7F" w:rsidRPr="005D6E61">
        <w:rPr>
          <w:rFonts w:ascii="Cambria" w:hAnsi="Cambria"/>
          <w:sz w:val="20"/>
          <w:szCs w:val="20"/>
          <w:lang w:val="pt-BR"/>
        </w:rPr>
        <w:t xml:space="preserve"> </w:t>
      </w:r>
      <w:r w:rsidR="00AA70A5" w:rsidRPr="005D6E61">
        <w:rPr>
          <w:rFonts w:ascii="Cambria" w:hAnsi="Cambria"/>
          <w:sz w:val="20"/>
          <w:szCs w:val="20"/>
          <w:lang w:val="pt-BR"/>
        </w:rPr>
        <w:t>v</w:t>
      </w:r>
      <w:r w:rsidR="003655B3" w:rsidRPr="005D6E61">
        <w:rPr>
          <w:rFonts w:ascii="Cambria" w:hAnsi="Cambria"/>
          <w:sz w:val="20"/>
          <w:szCs w:val="20"/>
          <w:lang w:val="pt-BR"/>
        </w:rPr>
        <w:t>á</w:t>
      </w:r>
      <w:r w:rsidR="00AA70A5" w:rsidRPr="005D6E61">
        <w:rPr>
          <w:rFonts w:ascii="Cambria" w:hAnsi="Cambria"/>
          <w:sz w:val="20"/>
          <w:szCs w:val="20"/>
          <w:lang w:val="pt-BR"/>
        </w:rPr>
        <w:t xml:space="preserve">rias </w:t>
      </w:r>
      <w:r w:rsidRPr="005D6E61">
        <w:rPr>
          <w:rFonts w:ascii="Cambria" w:hAnsi="Cambria"/>
          <w:sz w:val="20"/>
          <w:szCs w:val="20"/>
          <w:lang w:val="pt-BR"/>
        </w:rPr>
        <w:t>vezes</w:t>
      </w:r>
      <w:r w:rsidR="00331E62" w:rsidRPr="005D6E61">
        <w:rPr>
          <w:rFonts w:ascii="Cambria" w:hAnsi="Cambria"/>
          <w:sz w:val="20"/>
          <w:szCs w:val="20"/>
          <w:lang w:val="pt-BR"/>
        </w:rPr>
        <w:t xml:space="preserve"> </w:t>
      </w:r>
      <w:r w:rsidRPr="005D6E61">
        <w:rPr>
          <w:rFonts w:ascii="Cambria" w:hAnsi="Cambria"/>
          <w:sz w:val="20"/>
          <w:szCs w:val="20"/>
          <w:lang w:val="pt-BR"/>
        </w:rPr>
        <w:t xml:space="preserve">contra </w:t>
      </w:r>
      <w:r w:rsidR="00331E62" w:rsidRPr="005D6E61">
        <w:rPr>
          <w:rFonts w:ascii="Cambria" w:hAnsi="Cambria"/>
          <w:sz w:val="20"/>
          <w:szCs w:val="20"/>
          <w:lang w:val="pt-BR"/>
        </w:rPr>
        <w:t xml:space="preserve">o </w:t>
      </w:r>
      <w:r w:rsidRPr="005D6E61">
        <w:rPr>
          <w:rFonts w:ascii="Cambria" w:hAnsi="Cambria"/>
          <w:sz w:val="20"/>
          <w:szCs w:val="20"/>
          <w:lang w:val="pt-BR"/>
        </w:rPr>
        <w:t xml:space="preserve">seu </w:t>
      </w:r>
      <w:r w:rsidR="00AA70A5" w:rsidRPr="005D6E61">
        <w:rPr>
          <w:rFonts w:ascii="Cambria" w:hAnsi="Cambria"/>
          <w:sz w:val="20"/>
          <w:szCs w:val="20"/>
          <w:lang w:val="pt-BR"/>
        </w:rPr>
        <w:t>rosto</w:t>
      </w:r>
      <w:r w:rsidR="00F77B7F" w:rsidRPr="005D6E61">
        <w:rPr>
          <w:rFonts w:ascii="Cambria" w:hAnsi="Cambria"/>
          <w:sz w:val="20"/>
          <w:szCs w:val="20"/>
          <w:lang w:val="pt-BR"/>
        </w:rPr>
        <w:t xml:space="preserve"> com</w:t>
      </w:r>
      <w:r w:rsidR="00275A65" w:rsidRPr="005D6E61">
        <w:rPr>
          <w:rFonts w:ascii="Cambria" w:hAnsi="Cambria"/>
          <w:sz w:val="20"/>
          <w:szCs w:val="20"/>
          <w:lang w:val="pt-BR"/>
        </w:rPr>
        <w:t xml:space="preserve"> um</w:t>
      </w:r>
      <w:r w:rsidRPr="005D6E61">
        <w:rPr>
          <w:rFonts w:ascii="Cambria" w:hAnsi="Cambria"/>
          <w:sz w:val="20"/>
          <w:szCs w:val="20"/>
          <w:lang w:val="pt-BR"/>
        </w:rPr>
        <w:t>a</w:t>
      </w:r>
      <w:r w:rsidR="00275A65" w:rsidRPr="005D6E61">
        <w:rPr>
          <w:rFonts w:ascii="Cambria" w:hAnsi="Cambria"/>
          <w:sz w:val="20"/>
          <w:szCs w:val="20"/>
          <w:lang w:val="pt-BR"/>
        </w:rPr>
        <w:t xml:space="preserve"> </w:t>
      </w:r>
      <w:r w:rsidR="00AA70A5" w:rsidRPr="005D6E61">
        <w:rPr>
          <w:rFonts w:ascii="Cambria" w:hAnsi="Cambria"/>
          <w:sz w:val="20"/>
          <w:szCs w:val="20"/>
          <w:lang w:val="pt-BR"/>
        </w:rPr>
        <w:t>arma de f</w:t>
      </w:r>
      <w:r w:rsidRPr="005D6E61">
        <w:rPr>
          <w:rFonts w:ascii="Cambria" w:hAnsi="Cambria"/>
          <w:sz w:val="20"/>
          <w:szCs w:val="20"/>
          <w:lang w:val="pt-BR"/>
        </w:rPr>
        <w:t>o</w:t>
      </w:r>
      <w:r w:rsidR="00AA70A5" w:rsidRPr="005D6E61">
        <w:rPr>
          <w:rFonts w:ascii="Cambria" w:hAnsi="Cambria"/>
          <w:sz w:val="20"/>
          <w:szCs w:val="20"/>
          <w:lang w:val="pt-BR"/>
        </w:rPr>
        <w:t xml:space="preserve">go, sendo encontradas seis </w:t>
      </w:r>
      <w:r w:rsidRPr="005D6E61">
        <w:rPr>
          <w:rFonts w:ascii="Cambria" w:hAnsi="Cambria"/>
          <w:sz w:val="20"/>
          <w:szCs w:val="20"/>
          <w:lang w:val="pt-BR"/>
        </w:rPr>
        <w:t>bal</w:t>
      </w:r>
      <w:r w:rsidR="00AA70A5" w:rsidRPr="005D6E61">
        <w:rPr>
          <w:rFonts w:ascii="Cambria" w:hAnsi="Cambria"/>
          <w:sz w:val="20"/>
          <w:szCs w:val="20"/>
          <w:lang w:val="pt-BR"/>
        </w:rPr>
        <w:t xml:space="preserve">as de </w:t>
      </w:r>
      <w:r w:rsidRPr="005D6E61">
        <w:rPr>
          <w:rFonts w:ascii="Cambria" w:hAnsi="Cambria"/>
          <w:sz w:val="20"/>
          <w:szCs w:val="20"/>
          <w:lang w:val="pt-BR"/>
        </w:rPr>
        <w:t>chumb</w:t>
      </w:r>
      <w:r w:rsidR="00AA70A5" w:rsidRPr="005D6E61">
        <w:rPr>
          <w:rFonts w:ascii="Cambria" w:hAnsi="Cambria"/>
          <w:sz w:val="20"/>
          <w:szCs w:val="20"/>
          <w:lang w:val="pt-BR"/>
        </w:rPr>
        <w:t>o</w:t>
      </w:r>
      <w:r w:rsidR="00F77B7F" w:rsidRPr="005D6E61">
        <w:rPr>
          <w:rFonts w:ascii="Cambria" w:hAnsi="Cambria"/>
          <w:sz w:val="20"/>
          <w:szCs w:val="20"/>
          <w:lang w:val="pt-BR"/>
        </w:rPr>
        <w:t xml:space="preserve"> em </w:t>
      </w:r>
      <w:r w:rsidR="00AA70A5" w:rsidRPr="005D6E61">
        <w:rPr>
          <w:rFonts w:ascii="Cambria" w:hAnsi="Cambria"/>
          <w:sz w:val="20"/>
          <w:szCs w:val="20"/>
          <w:lang w:val="pt-BR"/>
        </w:rPr>
        <w:t>s</w:t>
      </w:r>
      <w:r w:rsidRPr="005D6E61">
        <w:rPr>
          <w:rFonts w:ascii="Cambria" w:hAnsi="Cambria"/>
          <w:sz w:val="20"/>
          <w:szCs w:val="20"/>
          <w:lang w:val="pt-BR"/>
        </w:rPr>
        <w:t>e</w:t>
      </w:r>
      <w:r w:rsidR="00AA70A5" w:rsidRPr="005D6E61">
        <w:rPr>
          <w:rFonts w:ascii="Cambria" w:hAnsi="Cambria"/>
          <w:sz w:val="20"/>
          <w:szCs w:val="20"/>
          <w:lang w:val="pt-BR"/>
        </w:rPr>
        <w:t>u cr</w:t>
      </w:r>
      <w:r w:rsidR="003655B3" w:rsidRPr="005D6E61">
        <w:rPr>
          <w:rFonts w:ascii="Cambria" w:hAnsi="Cambria"/>
          <w:sz w:val="20"/>
          <w:szCs w:val="20"/>
          <w:lang w:val="pt-BR"/>
        </w:rPr>
        <w:t>â</w:t>
      </w:r>
      <w:r w:rsidR="00AA70A5" w:rsidRPr="005D6E61">
        <w:rPr>
          <w:rFonts w:ascii="Cambria" w:hAnsi="Cambria"/>
          <w:sz w:val="20"/>
          <w:szCs w:val="20"/>
          <w:lang w:val="pt-BR"/>
        </w:rPr>
        <w:t>neo</w:t>
      </w:r>
      <w:r w:rsidR="00AA70A5" w:rsidRPr="005D6E61">
        <w:rPr>
          <w:rStyle w:val="FootnoteReference"/>
          <w:rFonts w:ascii="Cambria" w:hAnsi="Cambria"/>
          <w:sz w:val="20"/>
          <w:szCs w:val="20"/>
          <w:lang w:val="pt-BR"/>
        </w:rPr>
        <w:footnoteReference w:id="29"/>
      </w:r>
      <w:r w:rsidR="00AA70A5" w:rsidRPr="005D6E61">
        <w:rPr>
          <w:rFonts w:ascii="Cambria" w:hAnsi="Cambria"/>
          <w:sz w:val="20"/>
          <w:szCs w:val="20"/>
          <w:lang w:val="pt-BR"/>
        </w:rPr>
        <w:t>.</w:t>
      </w:r>
    </w:p>
    <w:p w14:paraId="68D5E2B2" w14:textId="77777777" w:rsidR="006A5BAB" w:rsidRPr="005D6E61" w:rsidRDefault="006A5BAB" w:rsidP="006A5BA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pt-BR"/>
        </w:rPr>
      </w:pPr>
    </w:p>
    <w:p w14:paraId="7066C2D1" w14:textId="77777777" w:rsidR="00AA70A5" w:rsidRPr="005D6E61" w:rsidRDefault="003655B3"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libri" w:hAnsi="Calibri"/>
          <w:sz w:val="20"/>
          <w:szCs w:val="20"/>
          <w:lang w:val="pt-BR"/>
        </w:rPr>
      </w:pPr>
      <w:r w:rsidRPr="005D6E61">
        <w:rPr>
          <w:rFonts w:ascii="Cambria" w:hAnsi="Cambria"/>
          <w:sz w:val="20"/>
          <w:szCs w:val="20"/>
          <w:lang w:val="pt-BR"/>
        </w:rPr>
        <w:t>Q</w:t>
      </w:r>
      <w:r w:rsidR="005A2381" w:rsidRPr="005D6E61">
        <w:rPr>
          <w:rFonts w:ascii="Cambria" w:hAnsi="Cambria"/>
          <w:sz w:val="20"/>
          <w:szCs w:val="20"/>
          <w:lang w:val="pt-BR"/>
        </w:rPr>
        <w:t>ua</w:t>
      </w:r>
      <w:r w:rsidR="00AA70A5" w:rsidRPr="005D6E61">
        <w:rPr>
          <w:rFonts w:ascii="Cambria" w:hAnsi="Cambria"/>
          <w:sz w:val="20"/>
          <w:szCs w:val="20"/>
          <w:lang w:val="pt-BR"/>
        </w:rPr>
        <w:t>nto</w:t>
      </w:r>
      <w:r w:rsidR="005A2381" w:rsidRPr="005D6E61">
        <w:rPr>
          <w:rFonts w:ascii="Cambria" w:hAnsi="Cambria"/>
          <w:sz w:val="20"/>
          <w:szCs w:val="20"/>
          <w:lang w:val="pt-BR"/>
        </w:rPr>
        <w:t xml:space="preserve"> às </w:t>
      </w:r>
      <w:r w:rsidRPr="005D6E61">
        <w:rPr>
          <w:rFonts w:ascii="Cambria" w:hAnsi="Cambria"/>
          <w:sz w:val="20"/>
          <w:szCs w:val="20"/>
          <w:lang w:val="pt-BR"/>
        </w:rPr>
        <w:t>circunstâ</w:t>
      </w:r>
      <w:r w:rsidR="00AA70A5" w:rsidRPr="005D6E61">
        <w:rPr>
          <w:rFonts w:ascii="Cambria" w:hAnsi="Cambria"/>
          <w:sz w:val="20"/>
          <w:szCs w:val="20"/>
          <w:lang w:val="pt-BR"/>
        </w:rPr>
        <w:t>ncias</w:t>
      </w:r>
      <w:r w:rsidR="00F77B7F" w:rsidRPr="005D6E61">
        <w:rPr>
          <w:rFonts w:ascii="Cambria" w:hAnsi="Cambria"/>
          <w:sz w:val="20"/>
          <w:szCs w:val="20"/>
          <w:lang w:val="pt-BR"/>
        </w:rPr>
        <w:t xml:space="preserve"> do </w:t>
      </w:r>
      <w:r w:rsidR="00BF0B90" w:rsidRPr="005D6E61">
        <w:rPr>
          <w:rFonts w:ascii="Cambria" w:hAnsi="Cambria"/>
          <w:sz w:val="20"/>
          <w:szCs w:val="20"/>
          <w:lang w:val="pt-BR"/>
        </w:rPr>
        <w:t>fato</w:t>
      </w:r>
      <w:r w:rsidR="00AA70A5" w:rsidRPr="005D6E61">
        <w:rPr>
          <w:rFonts w:ascii="Cambria" w:hAnsi="Cambria"/>
          <w:sz w:val="20"/>
          <w:szCs w:val="20"/>
          <w:lang w:val="pt-BR"/>
        </w:rPr>
        <w:t>,</w:t>
      </w:r>
      <w:r w:rsidR="00331E62" w:rsidRPr="005D6E61">
        <w:rPr>
          <w:rFonts w:ascii="Cambria" w:hAnsi="Cambria"/>
          <w:sz w:val="20"/>
          <w:szCs w:val="20"/>
          <w:lang w:val="pt-BR"/>
        </w:rPr>
        <w:t xml:space="preserve"> o </w:t>
      </w:r>
      <w:r w:rsidR="00EB52A1" w:rsidRPr="005D6E61">
        <w:rPr>
          <w:rFonts w:ascii="Cambria" w:hAnsi="Cambria"/>
          <w:sz w:val="20"/>
          <w:szCs w:val="20"/>
          <w:lang w:val="pt-BR"/>
        </w:rPr>
        <w:t>assassinato</w:t>
      </w:r>
      <w:r w:rsidR="00AA70A5" w:rsidRPr="005D6E61">
        <w:rPr>
          <w:rFonts w:ascii="Cambria" w:hAnsi="Cambria"/>
          <w:sz w:val="20"/>
          <w:szCs w:val="20"/>
          <w:lang w:val="pt-BR"/>
        </w:rPr>
        <w:t xml:space="preserve"> oc</w:t>
      </w:r>
      <w:r w:rsidRPr="005D6E61">
        <w:rPr>
          <w:rFonts w:ascii="Cambria" w:hAnsi="Cambria"/>
          <w:sz w:val="20"/>
          <w:szCs w:val="20"/>
          <w:lang w:val="pt-BR"/>
        </w:rPr>
        <w:t>orreu</w:t>
      </w:r>
      <w:r w:rsidR="00BF0B90" w:rsidRPr="005D6E61">
        <w:rPr>
          <w:rFonts w:ascii="Cambria" w:hAnsi="Cambria"/>
          <w:sz w:val="20"/>
          <w:szCs w:val="20"/>
          <w:lang w:val="pt-BR"/>
        </w:rPr>
        <w:t xml:space="preserve"> </w:t>
      </w:r>
      <w:r w:rsidR="005A2381" w:rsidRPr="005D6E61">
        <w:rPr>
          <w:rFonts w:ascii="Cambria" w:hAnsi="Cambria"/>
          <w:sz w:val="20"/>
          <w:szCs w:val="20"/>
          <w:lang w:val="pt-BR"/>
        </w:rPr>
        <w:t xml:space="preserve">às </w:t>
      </w:r>
      <w:r w:rsidR="00AA70A5" w:rsidRPr="005D6E61">
        <w:rPr>
          <w:rFonts w:ascii="Cambria" w:hAnsi="Cambria"/>
          <w:sz w:val="20"/>
          <w:szCs w:val="20"/>
          <w:lang w:val="pt-BR"/>
        </w:rPr>
        <w:t>18:00 horas</w:t>
      </w:r>
      <w:r w:rsidR="00331E62" w:rsidRPr="005D6E61">
        <w:rPr>
          <w:rFonts w:ascii="Cambria" w:hAnsi="Cambria"/>
          <w:sz w:val="20"/>
          <w:szCs w:val="20"/>
          <w:lang w:val="pt-BR"/>
        </w:rPr>
        <w:t xml:space="preserve"> no </w:t>
      </w:r>
      <w:r w:rsidR="00AA70A5" w:rsidRPr="005D6E61">
        <w:rPr>
          <w:rFonts w:ascii="Cambria" w:hAnsi="Cambria"/>
          <w:sz w:val="20"/>
          <w:szCs w:val="20"/>
          <w:lang w:val="pt-BR"/>
        </w:rPr>
        <w:t>interior de su</w:t>
      </w:r>
      <w:r w:rsidRPr="005D6E61">
        <w:rPr>
          <w:rFonts w:ascii="Cambria" w:hAnsi="Cambria"/>
          <w:sz w:val="20"/>
          <w:szCs w:val="20"/>
          <w:lang w:val="pt-BR"/>
        </w:rPr>
        <w:t>a</w:t>
      </w:r>
      <w:r w:rsidR="00AA70A5" w:rsidRPr="005D6E61">
        <w:rPr>
          <w:rFonts w:ascii="Cambria" w:hAnsi="Cambria"/>
          <w:sz w:val="20"/>
          <w:szCs w:val="20"/>
          <w:lang w:val="pt-BR"/>
        </w:rPr>
        <w:t xml:space="preserve"> casa</w:t>
      </w:r>
      <w:r w:rsidR="00AA70A5" w:rsidRPr="005D6E61">
        <w:rPr>
          <w:rStyle w:val="FootnoteReference"/>
          <w:rFonts w:ascii="Cambria" w:hAnsi="Cambria"/>
          <w:sz w:val="20"/>
          <w:szCs w:val="20"/>
          <w:lang w:val="pt-BR"/>
        </w:rPr>
        <w:footnoteReference w:id="30"/>
      </w:r>
      <w:r w:rsidR="00AA70A5" w:rsidRPr="005D6E61">
        <w:rPr>
          <w:rFonts w:ascii="Cambria" w:hAnsi="Cambria"/>
          <w:sz w:val="20"/>
          <w:szCs w:val="20"/>
          <w:lang w:val="pt-BR"/>
        </w:rPr>
        <w:t xml:space="preserve">. </w:t>
      </w:r>
      <w:r w:rsidR="00331E62" w:rsidRPr="005D6E61">
        <w:rPr>
          <w:sz w:val="20"/>
          <w:szCs w:val="20"/>
          <w:lang w:val="pt-BR"/>
        </w:rPr>
        <w:t xml:space="preserve"> </w:t>
      </w:r>
      <w:r w:rsidRPr="005D6E61">
        <w:rPr>
          <w:sz w:val="20"/>
          <w:szCs w:val="20"/>
          <w:lang w:val="pt-BR"/>
        </w:rPr>
        <w:t>A</w:t>
      </w:r>
      <w:r w:rsidR="00331E62" w:rsidRPr="005D6E61">
        <w:rPr>
          <w:sz w:val="20"/>
          <w:szCs w:val="20"/>
          <w:lang w:val="pt-BR"/>
        </w:rPr>
        <w:t xml:space="preserve"> </w:t>
      </w:r>
      <w:r w:rsidR="005A2381" w:rsidRPr="005D6E61">
        <w:rPr>
          <w:rFonts w:ascii="Cambria" w:hAnsi="Cambria"/>
          <w:sz w:val="20"/>
          <w:szCs w:val="20"/>
          <w:lang w:val="pt-BR"/>
        </w:rPr>
        <w:t>suposta</w:t>
      </w:r>
      <w:r w:rsidR="00AA70A5" w:rsidRPr="005D6E61">
        <w:rPr>
          <w:rFonts w:ascii="Cambria" w:hAnsi="Cambria"/>
          <w:sz w:val="20"/>
          <w:szCs w:val="20"/>
          <w:lang w:val="pt-BR"/>
        </w:rPr>
        <w:t xml:space="preserve"> </w:t>
      </w:r>
      <w:r w:rsidR="003619A0" w:rsidRPr="005D6E61">
        <w:rPr>
          <w:rFonts w:ascii="Cambria" w:hAnsi="Cambria"/>
          <w:sz w:val="20"/>
          <w:szCs w:val="20"/>
          <w:lang w:val="pt-BR"/>
        </w:rPr>
        <w:t>vítima</w:t>
      </w:r>
      <w:r w:rsidR="00AA70A5" w:rsidRPr="005D6E61">
        <w:rPr>
          <w:rFonts w:ascii="Cambria" w:hAnsi="Cambria"/>
          <w:sz w:val="20"/>
          <w:szCs w:val="20"/>
          <w:lang w:val="pt-BR"/>
        </w:rPr>
        <w:t xml:space="preserve"> f</w:t>
      </w:r>
      <w:r w:rsidRPr="005D6E61">
        <w:rPr>
          <w:rFonts w:ascii="Cambria" w:hAnsi="Cambria"/>
          <w:sz w:val="20"/>
          <w:szCs w:val="20"/>
          <w:lang w:val="pt-BR"/>
        </w:rPr>
        <w:t>oi</w:t>
      </w:r>
      <w:r w:rsidR="00AA70A5" w:rsidRPr="005D6E61">
        <w:rPr>
          <w:rFonts w:ascii="Cambria" w:hAnsi="Cambria"/>
          <w:sz w:val="20"/>
          <w:szCs w:val="20"/>
          <w:lang w:val="pt-BR"/>
        </w:rPr>
        <w:t xml:space="preserve"> abordada por</w:t>
      </w:r>
      <w:r w:rsidR="00275A65" w:rsidRPr="005D6E61">
        <w:rPr>
          <w:rFonts w:ascii="Cambria" w:hAnsi="Cambria"/>
          <w:sz w:val="20"/>
          <w:szCs w:val="20"/>
          <w:lang w:val="pt-BR"/>
        </w:rPr>
        <w:t xml:space="preserve"> um </w:t>
      </w:r>
      <w:r w:rsidR="00AA70A5" w:rsidRPr="005D6E61">
        <w:rPr>
          <w:rFonts w:ascii="Cambria" w:hAnsi="Cambria"/>
          <w:sz w:val="20"/>
          <w:szCs w:val="20"/>
          <w:lang w:val="pt-BR"/>
        </w:rPr>
        <w:t>“pistole</w:t>
      </w:r>
      <w:r w:rsidRPr="005D6E61">
        <w:rPr>
          <w:rFonts w:ascii="Cambria" w:hAnsi="Cambria"/>
          <w:sz w:val="20"/>
          <w:szCs w:val="20"/>
          <w:lang w:val="pt-BR"/>
        </w:rPr>
        <w:t>i</w:t>
      </w:r>
      <w:r w:rsidR="00AA70A5" w:rsidRPr="005D6E61">
        <w:rPr>
          <w:rFonts w:ascii="Cambria" w:hAnsi="Cambria"/>
          <w:sz w:val="20"/>
          <w:szCs w:val="20"/>
          <w:lang w:val="pt-BR"/>
        </w:rPr>
        <w:t>ro” qu</w:t>
      </w:r>
      <w:r w:rsidRPr="005D6E61">
        <w:rPr>
          <w:rFonts w:ascii="Cambria" w:hAnsi="Cambria"/>
          <w:sz w:val="20"/>
          <w:szCs w:val="20"/>
          <w:lang w:val="pt-BR"/>
        </w:rPr>
        <w:t>e</w:t>
      </w:r>
      <w:r w:rsidR="00AA70A5" w:rsidRPr="005D6E61">
        <w:rPr>
          <w:rFonts w:ascii="Cambria" w:hAnsi="Cambria"/>
          <w:sz w:val="20"/>
          <w:szCs w:val="20"/>
          <w:lang w:val="pt-BR"/>
        </w:rPr>
        <w:t xml:space="preserve"> l</w:t>
      </w:r>
      <w:r w:rsidRPr="005D6E61">
        <w:rPr>
          <w:rFonts w:ascii="Cambria" w:hAnsi="Cambria"/>
          <w:sz w:val="20"/>
          <w:szCs w:val="20"/>
          <w:lang w:val="pt-BR"/>
        </w:rPr>
        <w:t>h</w:t>
      </w:r>
      <w:r w:rsidR="00AA70A5" w:rsidRPr="005D6E61">
        <w:rPr>
          <w:rFonts w:ascii="Cambria" w:hAnsi="Cambria"/>
          <w:sz w:val="20"/>
          <w:szCs w:val="20"/>
          <w:lang w:val="pt-BR"/>
        </w:rPr>
        <w:t>e pe</w:t>
      </w:r>
      <w:r w:rsidR="002B71BD" w:rsidRPr="005D6E61">
        <w:rPr>
          <w:rFonts w:ascii="Cambria" w:hAnsi="Cambria"/>
          <w:sz w:val="20"/>
          <w:szCs w:val="20"/>
          <w:lang w:val="pt-BR"/>
        </w:rPr>
        <w:t>r</w:t>
      </w:r>
      <w:r w:rsidR="00AA70A5" w:rsidRPr="005D6E61">
        <w:rPr>
          <w:rFonts w:ascii="Cambria" w:hAnsi="Cambria"/>
          <w:sz w:val="20"/>
          <w:szCs w:val="20"/>
          <w:lang w:val="pt-BR"/>
        </w:rPr>
        <w:t>gunt</w:t>
      </w:r>
      <w:r w:rsidR="00BF0B90" w:rsidRPr="005D6E61">
        <w:rPr>
          <w:rFonts w:ascii="Cambria" w:hAnsi="Cambria"/>
          <w:sz w:val="20"/>
          <w:szCs w:val="20"/>
          <w:lang w:val="pt-BR"/>
        </w:rPr>
        <w:t xml:space="preserve">ou </w:t>
      </w:r>
      <w:r w:rsidR="002508A0" w:rsidRPr="005D6E61">
        <w:rPr>
          <w:rFonts w:ascii="Cambria" w:hAnsi="Cambria"/>
          <w:sz w:val="20"/>
          <w:szCs w:val="20"/>
          <w:lang w:val="pt-BR"/>
        </w:rPr>
        <w:t xml:space="preserve">se </w:t>
      </w:r>
      <w:r w:rsidR="00AA70A5" w:rsidRPr="005D6E61">
        <w:rPr>
          <w:rFonts w:ascii="Cambria" w:hAnsi="Cambria"/>
          <w:sz w:val="20"/>
          <w:szCs w:val="20"/>
          <w:lang w:val="pt-BR"/>
        </w:rPr>
        <w:t>ela era “Margarida”</w:t>
      </w:r>
      <w:r w:rsidR="006C5454" w:rsidRPr="005D6E61">
        <w:rPr>
          <w:rFonts w:ascii="Cambria" w:hAnsi="Cambria"/>
          <w:sz w:val="20"/>
          <w:szCs w:val="20"/>
          <w:lang w:val="pt-BR"/>
        </w:rPr>
        <w:t xml:space="preserve"> e </w:t>
      </w:r>
      <w:r w:rsidRPr="005D6E61">
        <w:rPr>
          <w:rFonts w:ascii="Cambria" w:hAnsi="Cambria"/>
          <w:sz w:val="20"/>
          <w:szCs w:val="20"/>
          <w:lang w:val="pt-BR"/>
        </w:rPr>
        <w:t>após</w:t>
      </w:r>
      <w:r w:rsidR="00AA70A5" w:rsidRPr="005D6E61">
        <w:rPr>
          <w:rFonts w:ascii="Cambria" w:hAnsi="Cambria"/>
          <w:sz w:val="20"/>
          <w:szCs w:val="20"/>
          <w:lang w:val="pt-BR"/>
        </w:rPr>
        <w:t xml:space="preserve"> </w:t>
      </w:r>
      <w:r w:rsidR="002B71BD" w:rsidRPr="005D6E61">
        <w:rPr>
          <w:rFonts w:ascii="Cambria" w:hAnsi="Cambria"/>
          <w:sz w:val="20"/>
          <w:szCs w:val="20"/>
          <w:lang w:val="pt-BR"/>
        </w:rPr>
        <w:t>responder</w:t>
      </w:r>
      <w:r w:rsidR="00F77B7F" w:rsidRPr="005D6E61">
        <w:rPr>
          <w:rFonts w:ascii="Cambria" w:hAnsi="Cambria"/>
          <w:sz w:val="20"/>
          <w:szCs w:val="20"/>
          <w:lang w:val="pt-BR"/>
        </w:rPr>
        <w:t xml:space="preserve"> </w:t>
      </w:r>
      <w:r w:rsidR="00AA70A5" w:rsidRPr="005D6E61">
        <w:rPr>
          <w:rFonts w:ascii="Cambria" w:hAnsi="Cambria"/>
          <w:sz w:val="20"/>
          <w:szCs w:val="20"/>
          <w:lang w:val="pt-BR"/>
        </w:rPr>
        <w:t>afirmativa</w:t>
      </w:r>
      <w:r w:rsidRPr="005D6E61">
        <w:rPr>
          <w:rFonts w:ascii="Cambria" w:hAnsi="Cambria"/>
          <w:sz w:val="20"/>
          <w:szCs w:val="20"/>
          <w:lang w:val="pt-BR"/>
        </w:rPr>
        <w:t>mente</w:t>
      </w:r>
      <w:r w:rsidR="00331E62" w:rsidRPr="005D6E61">
        <w:rPr>
          <w:rFonts w:ascii="Cambria" w:hAnsi="Cambria"/>
          <w:sz w:val="20"/>
          <w:szCs w:val="20"/>
          <w:lang w:val="pt-BR"/>
        </w:rPr>
        <w:t xml:space="preserve"> o </w:t>
      </w:r>
      <w:r w:rsidR="00AA70A5" w:rsidRPr="005D6E61">
        <w:rPr>
          <w:rFonts w:ascii="Cambria" w:hAnsi="Cambria"/>
          <w:sz w:val="20"/>
          <w:szCs w:val="20"/>
          <w:lang w:val="pt-BR"/>
        </w:rPr>
        <w:t>pistole</w:t>
      </w:r>
      <w:r w:rsidR="006C535C" w:rsidRPr="005D6E61">
        <w:rPr>
          <w:rFonts w:ascii="Cambria" w:hAnsi="Cambria"/>
          <w:sz w:val="20"/>
          <w:szCs w:val="20"/>
          <w:lang w:val="pt-BR"/>
        </w:rPr>
        <w:t>i</w:t>
      </w:r>
      <w:r w:rsidR="00AA70A5" w:rsidRPr="005D6E61">
        <w:rPr>
          <w:rFonts w:ascii="Cambria" w:hAnsi="Cambria"/>
          <w:sz w:val="20"/>
          <w:szCs w:val="20"/>
          <w:lang w:val="pt-BR"/>
        </w:rPr>
        <w:t>ro retir</w:t>
      </w:r>
      <w:r w:rsidR="00BF0B90" w:rsidRPr="005D6E61">
        <w:rPr>
          <w:rFonts w:ascii="Cambria" w:hAnsi="Cambria"/>
          <w:sz w:val="20"/>
          <w:szCs w:val="20"/>
          <w:lang w:val="pt-BR"/>
        </w:rPr>
        <w:t xml:space="preserve">ou </w:t>
      </w:r>
      <w:r w:rsidR="00275A65" w:rsidRPr="005D6E61">
        <w:rPr>
          <w:rFonts w:ascii="Cambria" w:hAnsi="Cambria"/>
          <w:sz w:val="20"/>
          <w:szCs w:val="20"/>
          <w:lang w:val="pt-BR"/>
        </w:rPr>
        <w:t>um</w:t>
      </w:r>
      <w:r w:rsidRPr="005D6E61">
        <w:rPr>
          <w:rFonts w:ascii="Cambria" w:hAnsi="Cambria"/>
          <w:sz w:val="20"/>
          <w:szCs w:val="20"/>
          <w:lang w:val="pt-BR"/>
        </w:rPr>
        <w:t>a</w:t>
      </w:r>
      <w:r w:rsidR="00275A65" w:rsidRPr="005D6E61">
        <w:rPr>
          <w:rFonts w:ascii="Cambria" w:hAnsi="Cambria"/>
          <w:sz w:val="20"/>
          <w:szCs w:val="20"/>
          <w:lang w:val="pt-BR"/>
        </w:rPr>
        <w:t xml:space="preserve"> </w:t>
      </w:r>
      <w:r w:rsidR="00AA70A5" w:rsidRPr="005D6E61">
        <w:rPr>
          <w:rFonts w:ascii="Cambria" w:hAnsi="Cambria"/>
          <w:sz w:val="20"/>
          <w:szCs w:val="20"/>
          <w:lang w:val="pt-BR"/>
        </w:rPr>
        <w:t>arma de f</w:t>
      </w:r>
      <w:r w:rsidRPr="005D6E61">
        <w:rPr>
          <w:rFonts w:ascii="Cambria" w:hAnsi="Cambria"/>
          <w:sz w:val="20"/>
          <w:szCs w:val="20"/>
          <w:lang w:val="pt-BR"/>
        </w:rPr>
        <w:t>o</w:t>
      </w:r>
      <w:r w:rsidR="00AA70A5" w:rsidRPr="005D6E61">
        <w:rPr>
          <w:rFonts w:ascii="Cambria" w:hAnsi="Cambria"/>
          <w:sz w:val="20"/>
          <w:szCs w:val="20"/>
          <w:lang w:val="pt-BR"/>
        </w:rPr>
        <w:t>go</w:t>
      </w:r>
      <w:r w:rsidR="00675058" w:rsidRPr="005D6E61">
        <w:rPr>
          <w:rFonts w:ascii="Cambria" w:hAnsi="Cambria"/>
          <w:sz w:val="20"/>
          <w:szCs w:val="20"/>
          <w:lang w:val="pt-BR"/>
        </w:rPr>
        <w:t xml:space="preserve"> da </w:t>
      </w:r>
      <w:r w:rsidR="00AA70A5" w:rsidRPr="005D6E61">
        <w:rPr>
          <w:rFonts w:ascii="Cambria" w:hAnsi="Cambria"/>
          <w:sz w:val="20"/>
          <w:szCs w:val="20"/>
          <w:lang w:val="pt-BR"/>
        </w:rPr>
        <w:t>bolsa grande de te</w:t>
      </w:r>
      <w:r w:rsidRPr="005D6E61">
        <w:rPr>
          <w:rFonts w:ascii="Cambria" w:hAnsi="Cambria"/>
          <w:sz w:val="20"/>
          <w:szCs w:val="20"/>
          <w:lang w:val="pt-BR"/>
        </w:rPr>
        <w:t>c</w:t>
      </w:r>
      <w:r w:rsidR="00AA70A5" w:rsidRPr="005D6E61">
        <w:rPr>
          <w:rFonts w:ascii="Cambria" w:hAnsi="Cambria"/>
          <w:sz w:val="20"/>
          <w:szCs w:val="20"/>
          <w:lang w:val="pt-BR"/>
        </w:rPr>
        <w:t xml:space="preserve">ido que </w:t>
      </w:r>
      <w:r w:rsidRPr="005D6E61">
        <w:rPr>
          <w:rFonts w:ascii="Cambria" w:hAnsi="Cambria"/>
          <w:sz w:val="20"/>
          <w:szCs w:val="20"/>
          <w:lang w:val="pt-BR"/>
        </w:rPr>
        <w:t>levav</w:t>
      </w:r>
      <w:r w:rsidR="00AA70A5" w:rsidRPr="005D6E61">
        <w:rPr>
          <w:rFonts w:ascii="Cambria" w:hAnsi="Cambria"/>
          <w:sz w:val="20"/>
          <w:szCs w:val="20"/>
          <w:lang w:val="pt-BR"/>
        </w:rPr>
        <w:t>a</w:t>
      </w:r>
      <w:r w:rsidR="006C5454" w:rsidRPr="005D6E61">
        <w:rPr>
          <w:rFonts w:ascii="Cambria" w:hAnsi="Cambria"/>
          <w:sz w:val="20"/>
          <w:szCs w:val="20"/>
          <w:lang w:val="pt-BR"/>
        </w:rPr>
        <w:t xml:space="preserve"> e </w:t>
      </w:r>
      <w:r w:rsidR="00AA70A5" w:rsidRPr="005D6E61">
        <w:rPr>
          <w:rFonts w:ascii="Cambria" w:hAnsi="Cambria"/>
          <w:sz w:val="20"/>
          <w:szCs w:val="20"/>
          <w:lang w:val="pt-BR"/>
        </w:rPr>
        <w:t>dispar</w:t>
      </w:r>
      <w:r w:rsidR="00BF0B90" w:rsidRPr="005D6E61">
        <w:rPr>
          <w:rFonts w:ascii="Cambria" w:hAnsi="Cambria"/>
          <w:sz w:val="20"/>
          <w:szCs w:val="20"/>
          <w:lang w:val="pt-BR"/>
        </w:rPr>
        <w:t xml:space="preserve">ou </w:t>
      </w:r>
      <w:r w:rsidR="00AA70A5" w:rsidRPr="005D6E61">
        <w:rPr>
          <w:rFonts w:ascii="Cambria" w:hAnsi="Cambria"/>
          <w:sz w:val="20"/>
          <w:szCs w:val="20"/>
          <w:lang w:val="pt-BR"/>
        </w:rPr>
        <w:t>contra</w:t>
      </w:r>
      <w:r w:rsidR="00331E62" w:rsidRPr="005D6E61">
        <w:rPr>
          <w:rFonts w:ascii="Cambria" w:hAnsi="Cambria"/>
          <w:sz w:val="20"/>
          <w:szCs w:val="20"/>
          <w:lang w:val="pt-BR"/>
        </w:rPr>
        <w:t xml:space="preserve"> a </w:t>
      </w:r>
      <w:r w:rsidR="005A2381" w:rsidRPr="005D6E61">
        <w:rPr>
          <w:rFonts w:ascii="Cambria" w:hAnsi="Cambria"/>
          <w:sz w:val="20"/>
          <w:szCs w:val="20"/>
          <w:lang w:val="pt-BR"/>
        </w:rPr>
        <w:t>suposta</w:t>
      </w:r>
      <w:r w:rsidR="00AA70A5" w:rsidRPr="005D6E61">
        <w:rPr>
          <w:rFonts w:ascii="Cambria" w:hAnsi="Cambria"/>
          <w:sz w:val="20"/>
          <w:szCs w:val="20"/>
          <w:lang w:val="pt-BR"/>
        </w:rPr>
        <w:t xml:space="preserve"> </w:t>
      </w:r>
      <w:r w:rsidR="003619A0" w:rsidRPr="005D6E61">
        <w:rPr>
          <w:rFonts w:ascii="Cambria" w:hAnsi="Cambria"/>
          <w:sz w:val="20"/>
          <w:szCs w:val="20"/>
          <w:lang w:val="pt-BR"/>
        </w:rPr>
        <w:t>vítima</w:t>
      </w:r>
      <w:r w:rsidR="00AA70A5" w:rsidRPr="005D6E61">
        <w:rPr>
          <w:rStyle w:val="FootnoteReference"/>
          <w:rFonts w:ascii="Cambria" w:hAnsi="Cambria"/>
          <w:sz w:val="20"/>
          <w:szCs w:val="20"/>
          <w:lang w:val="pt-BR"/>
        </w:rPr>
        <w:footnoteReference w:id="31"/>
      </w:r>
      <w:r w:rsidR="00AA70A5" w:rsidRPr="005D6E61">
        <w:rPr>
          <w:rFonts w:ascii="Cambria" w:hAnsi="Cambria"/>
          <w:sz w:val="20"/>
          <w:szCs w:val="20"/>
          <w:lang w:val="pt-BR"/>
        </w:rPr>
        <w:t xml:space="preserve">. </w:t>
      </w:r>
    </w:p>
    <w:p w14:paraId="314CCB4E" w14:textId="77777777" w:rsidR="00AA70A5" w:rsidRPr="005D6E61" w:rsidRDefault="00AA70A5" w:rsidP="00AA70A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pt-BR"/>
        </w:rPr>
      </w:pPr>
    </w:p>
    <w:p w14:paraId="6A204115" w14:textId="77777777" w:rsidR="00AA70A5" w:rsidRPr="005D6E61" w:rsidRDefault="003655B3"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lastRenderedPageBreak/>
        <w:t>O</w:t>
      </w:r>
      <w:r w:rsidR="00AA70A5" w:rsidRPr="005D6E61">
        <w:rPr>
          <w:rFonts w:ascii="Cambria" w:hAnsi="Cambria"/>
          <w:sz w:val="20"/>
          <w:szCs w:val="20"/>
          <w:lang w:val="pt-BR"/>
        </w:rPr>
        <w:t xml:space="preserve"> </w:t>
      </w:r>
      <w:r w:rsidR="005B67BB" w:rsidRPr="005D6E61">
        <w:rPr>
          <w:rFonts w:ascii="Cambria" w:hAnsi="Cambria"/>
          <w:sz w:val="20"/>
          <w:szCs w:val="20"/>
          <w:lang w:val="pt-BR"/>
        </w:rPr>
        <w:t>filho</w:t>
      </w:r>
      <w:r w:rsidR="00675058" w:rsidRPr="005D6E61">
        <w:rPr>
          <w:rFonts w:ascii="Cambria" w:hAnsi="Cambria"/>
          <w:sz w:val="20"/>
          <w:szCs w:val="20"/>
          <w:lang w:val="pt-BR"/>
        </w:rPr>
        <w:t xml:space="preserve"> da </w:t>
      </w:r>
      <w:r w:rsidR="005A2381" w:rsidRPr="005D6E61">
        <w:rPr>
          <w:rFonts w:ascii="Cambria" w:hAnsi="Cambria"/>
          <w:sz w:val="20"/>
          <w:szCs w:val="20"/>
          <w:lang w:val="pt-BR"/>
        </w:rPr>
        <w:t>suposta</w:t>
      </w:r>
      <w:r w:rsidR="00AA70A5" w:rsidRPr="005D6E61">
        <w:rPr>
          <w:rFonts w:ascii="Cambria" w:hAnsi="Cambria"/>
          <w:sz w:val="20"/>
          <w:szCs w:val="20"/>
          <w:lang w:val="pt-BR"/>
        </w:rPr>
        <w:t xml:space="preserve"> </w:t>
      </w:r>
      <w:r w:rsidR="003619A0" w:rsidRPr="005D6E61">
        <w:rPr>
          <w:rFonts w:ascii="Cambria" w:hAnsi="Cambria"/>
          <w:sz w:val="20"/>
          <w:szCs w:val="20"/>
          <w:lang w:val="pt-BR"/>
        </w:rPr>
        <w:t>vítima</w:t>
      </w:r>
      <w:r w:rsidR="00AA70A5" w:rsidRPr="005D6E61">
        <w:rPr>
          <w:rFonts w:ascii="Cambria" w:hAnsi="Cambria"/>
          <w:sz w:val="20"/>
          <w:szCs w:val="20"/>
          <w:lang w:val="pt-BR"/>
        </w:rPr>
        <w:t>, José de Arimatéia Alves, qu</w:t>
      </w:r>
      <w:r w:rsidRPr="005D6E61">
        <w:rPr>
          <w:rFonts w:ascii="Cambria" w:hAnsi="Cambria"/>
          <w:sz w:val="20"/>
          <w:szCs w:val="20"/>
          <w:lang w:val="pt-BR"/>
        </w:rPr>
        <w:t>e</w:t>
      </w:r>
      <w:r w:rsidR="00AA70A5" w:rsidRPr="005D6E61">
        <w:rPr>
          <w:rFonts w:ascii="Cambria" w:hAnsi="Cambria"/>
          <w:sz w:val="20"/>
          <w:szCs w:val="20"/>
          <w:lang w:val="pt-BR"/>
        </w:rPr>
        <w:t xml:space="preserve"> ent</w:t>
      </w:r>
      <w:r w:rsidRPr="005D6E61">
        <w:rPr>
          <w:rFonts w:ascii="Cambria" w:hAnsi="Cambria"/>
          <w:sz w:val="20"/>
          <w:szCs w:val="20"/>
          <w:lang w:val="pt-BR"/>
        </w:rPr>
        <w:t>ã</w:t>
      </w:r>
      <w:r w:rsidR="00AA70A5" w:rsidRPr="005D6E61">
        <w:rPr>
          <w:rFonts w:ascii="Cambria" w:hAnsi="Cambria"/>
          <w:sz w:val="20"/>
          <w:szCs w:val="20"/>
          <w:lang w:val="pt-BR"/>
        </w:rPr>
        <w:t>o</w:t>
      </w:r>
      <w:r w:rsidRPr="005D6E61">
        <w:rPr>
          <w:rFonts w:ascii="Cambria" w:hAnsi="Cambria"/>
          <w:sz w:val="20"/>
          <w:szCs w:val="20"/>
          <w:lang w:val="pt-BR"/>
        </w:rPr>
        <w:t xml:space="preserve"> tinha oito </w:t>
      </w:r>
      <w:r w:rsidR="00AA70A5" w:rsidRPr="005D6E61">
        <w:rPr>
          <w:rFonts w:ascii="Cambria" w:hAnsi="Cambria"/>
          <w:sz w:val="20"/>
          <w:szCs w:val="20"/>
          <w:lang w:val="pt-BR"/>
        </w:rPr>
        <w:t>a</w:t>
      </w:r>
      <w:r w:rsidRPr="005D6E61">
        <w:rPr>
          <w:rFonts w:ascii="Cambria" w:hAnsi="Cambria"/>
          <w:sz w:val="20"/>
          <w:szCs w:val="20"/>
          <w:lang w:val="pt-BR"/>
        </w:rPr>
        <w:t>n</w:t>
      </w:r>
      <w:r w:rsidR="00AA70A5" w:rsidRPr="005D6E61">
        <w:rPr>
          <w:rFonts w:ascii="Cambria" w:hAnsi="Cambria"/>
          <w:sz w:val="20"/>
          <w:szCs w:val="20"/>
          <w:lang w:val="pt-BR"/>
        </w:rPr>
        <w:t xml:space="preserve">os de </w:t>
      </w:r>
      <w:r w:rsidRPr="005D6E61">
        <w:rPr>
          <w:rFonts w:ascii="Cambria" w:hAnsi="Cambria"/>
          <w:sz w:val="20"/>
          <w:szCs w:val="20"/>
          <w:lang w:val="pt-BR"/>
        </w:rPr>
        <w:t>i</w:t>
      </w:r>
      <w:r w:rsidR="00AA70A5" w:rsidRPr="005D6E61">
        <w:rPr>
          <w:rFonts w:ascii="Cambria" w:hAnsi="Cambria"/>
          <w:sz w:val="20"/>
          <w:szCs w:val="20"/>
          <w:lang w:val="pt-BR"/>
        </w:rPr>
        <w:t>dad</w:t>
      </w:r>
      <w:r w:rsidRPr="005D6E61">
        <w:rPr>
          <w:rFonts w:ascii="Cambria" w:hAnsi="Cambria"/>
          <w:sz w:val="20"/>
          <w:szCs w:val="20"/>
          <w:lang w:val="pt-BR"/>
        </w:rPr>
        <w:t>e</w:t>
      </w:r>
      <w:r w:rsidR="00AA70A5" w:rsidRPr="005D6E61">
        <w:rPr>
          <w:rFonts w:ascii="Cambria" w:hAnsi="Cambria"/>
          <w:sz w:val="20"/>
          <w:szCs w:val="20"/>
          <w:lang w:val="pt-BR"/>
        </w:rPr>
        <w:t xml:space="preserve">, </w:t>
      </w:r>
      <w:r w:rsidRPr="005D6E61">
        <w:rPr>
          <w:rFonts w:ascii="Cambria" w:hAnsi="Cambria"/>
          <w:sz w:val="20"/>
          <w:szCs w:val="20"/>
          <w:lang w:val="pt-BR"/>
        </w:rPr>
        <w:t>afirmou</w:t>
      </w:r>
      <w:r w:rsidR="002B71BD" w:rsidRPr="005D6E61">
        <w:rPr>
          <w:rFonts w:ascii="Cambria" w:hAnsi="Cambria"/>
          <w:sz w:val="20"/>
          <w:szCs w:val="20"/>
          <w:lang w:val="pt-BR"/>
        </w:rPr>
        <w:t>:</w:t>
      </w:r>
      <w:r w:rsidR="00BF0B90" w:rsidRPr="005D6E61">
        <w:rPr>
          <w:rFonts w:ascii="Cambria" w:hAnsi="Cambria"/>
          <w:sz w:val="20"/>
          <w:szCs w:val="20"/>
          <w:lang w:val="pt-BR"/>
        </w:rPr>
        <w:t xml:space="preserve"> </w:t>
      </w:r>
      <w:r w:rsidR="00AA70A5" w:rsidRPr="005D6E61">
        <w:rPr>
          <w:rFonts w:ascii="Cambria" w:hAnsi="Cambria"/>
          <w:sz w:val="20"/>
          <w:szCs w:val="20"/>
          <w:lang w:val="pt-BR"/>
        </w:rPr>
        <w:t>“a</w:t>
      </w:r>
      <w:r w:rsidRPr="005D6E61">
        <w:rPr>
          <w:rFonts w:ascii="Cambria" w:hAnsi="Cambria"/>
          <w:sz w:val="20"/>
          <w:szCs w:val="20"/>
          <w:lang w:val="pt-BR"/>
        </w:rPr>
        <w:t>inda</w:t>
      </w:r>
      <w:r w:rsidR="00AA70A5" w:rsidRPr="005D6E61">
        <w:rPr>
          <w:rFonts w:ascii="Cambria" w:hAnsi="Cambria"/>
          <w:sz w:val="20"/>
          <w:szCs w:val="20"/>
          <w:lang w:val="pt-BR"/>
        </w:rPr>
        <w:t xml:space="preserve"> ho</w:t>
      </w:r>
      <w:r w:rsidRPr="005D6E61">
        <w:rPr>
          <w:rFonts w:ascii="Cambria" w:hAnsi="Cambria"/>
          <w:sz w:val="20"/>
          <w:szCs w:val="20"/>
          <w:lang w:val="pt-BR"/>
        </w:rPr>
        <w:t>je</w:t>
      </w:r>
      <w:r w:rsidR="00AA70A5" w:rsidRPr="005D6E61">
        <w:rPr>
          <w:rFonts w:ascii="Cambria" w:hAnsi="Cambria"/>
          <w:sz w:val="20"/>
          <w:szCs w:val="20"/>
          <w:lang w:val="pt-BR"/>
        </w:rPr>
        <w:t xml:space="preserve"> v</w:t>
      </w:r>
      <w:r w:rsidR="002B71BD" w:rsidRPr="005D6E61">
        <w:rPr>
          <w:rFonts w:ascii="Cambria" w:hAnsi="Cambria"/>
          <w:sz w:val="20"/>
          <w:szCs w:val="20"/>
          <w:lang w:val="pt-BR"/>
        </w:rPr>
        <w:t>ej</w:t>
      </w:r>
      <w:r w:rsidR="00AA70A5" w:rsidRPr="005D6E61">
        <w:rPr>
          <w:rFonts w:ascii="Cambria" w:hAnsi="Cambria"/>
          <w:sz w:val="20"/>
          <w:szCs w:val="20"/>
          <w:lang w:val="pt-BR"/>
        </w:rPr>
        <w:t>o</w:t>
      </w:r>
      <w:r w:rsidR="00331E62" w:rsidRPr="005D6E61">
        <w:rPr>
          <w:rFonts w:ascii="Cambria" w:hAnsi="Cambria"/>
          <w:sz w:val="20"/>
          <w:szCs w:val="20"/>
          <w:lang w:val="pt-BR"/>
        </w:rPr>
        <w:t xml:space="preserve"> o </w:t>
      </w:r>
      <w:r w:rsidR="00AA70A5" w:rsidRPr="005D6E61">
        <w:rPr>
          <w:rFonts w:ascii="Cambria" w:hAnsi="Cambria"/>
          <w:sz w:val="20"/>
          <w:szCs w:val="20"/>
          <w:lang w:val="pt-BR"/>
        </w:rPr>
        <w:t>c</w:t>
      </w:r>
      <w:r w:rsidRPr="005D6E61">
        <w:rPr>
          <w:rFonts w:ascii="Cambria" w:hAnsi="Cambria"/>
          <w:sz w:val="20"/>
          <w:szCs w:val="20"/>
          <w:lang w:val="pt-BR"/>
        </w:rPr>
        <w:t>o</w:t>
      </w:r>
      <w:r w:rsidR="00AA70A5" w:rsidRPr="005D6E61">
        <w:rPr>
          <w:rFonts w:ascii="Cambria" w:hAnsi="Cambria"/>
          <w:sz w:val="20"/>
          <w:szCs w:val="20"/>
          <w:lang w:val="pt-BR"/>
        </w:rPr>
        <w:t>rpo ensang</w:t>
      </w:r>
      <w:r w:rsidRPr="005D6E61">
        <w:rPr>
          <w:rFonts w:ascii="Cambria" w:hAnsi="Cambria"/>
          <w:sz w:val="20"/>
          <w:szCs w:val="20"/>
          <w:lang w:val="pt-BR"/>
        </w:rPr>
        <w:t>u</w:t>
      </w:r>
      <w:r w:rsidR="00AA70A5" w:rsidRPr="005D6E61">
        <w:rPr>
          <w:rFonts w:ascii="Cambria" w:hAnsi="Cambria"/>
          <w:sz w:val="20"/>
          <w:szCs w:val="20"/>
          <w:lang w:val="pt-BR"/>
        </w:rPr>
        <w:t>entado de mi</w:t>
      </w:r>
      <w:r w:rsidRPr="005D6E61">
        <w:rPr>
          <w:rFonts w:ascii="Cambria" w:hAnsi="Cambria"/>
          <w:sz w:val="20"/>
          <w:szCs w:val="20"/>
          <w:lang w:val="pt-BR"/>
        </w:rPr>
        <w:t>nha</w:t>
      </w:r>
      <w:r w:rsidR="00AA70A5" w:rsidRPr="005D6E61">
        <w:rPr>
          <w:rFonts w:ascii="Cambria" w:hAnsi="Cambria"/>
          <w:sz w:val="20"/>
          <w:szCs w:val="20"/>
          <w:lang w:val="pt-BR"/>
        </w:rPr>
        <w:t xml:space="preserve"> m</w:t>
      </w:r>
      <w:r w:rsidRPr="005D6E61">
        <w:rPr>
          <w:rFonts w:ascii="Cambria" w:hAnsi="Cambria"/>
          <w:sz w:val="20"/>
          <w:szCs w:val="20"/>
          <w:lang w:val="pt-BR"/>
        </w:rPr>
        <w:t>ã</w:t>
      </w:r>
      <w:r w:rsidR="00AA70A5" w:rsidRPr="005D6E61">
        <w:rPr>
          <w:rFonts w:ascii="Cambria" w:hAnsi="Cambria"/>
          <w:sz w:val="20"/>
          <w:szCs w:val="20"/>
          <w:lang w:val="pt-BR"/>
        </w:rPr>
        <w:t>e, trauma qu</w:t>
      </w:r>
      <w:r w:rsidRPr="005D6E61">
        <w:rPr>
          <w:rFonts w:ascii="Cambria" w:hAnsi="Cambria"/>
          <w:sz w:val="20"/>
          <w:szCs w:val="20"/>
          <w:lang w:val="pt-BR"/>
        </w:rPr>
        <w:t>e</w:t>
      </w:r>
      <w:r w:rsidR="00AA70A5" w:rsidRPr="005D6E61">
        <w:rPr>
          <w:rFonts w:ascii="Cambria" w:hAnsi="Cambria"/>
          <w:sz w:val="20"/>
          <w:szCs w:val="20"/>
          <w:lang w:val="pt-BR"/>
        </w:rPr>
        <w:t xml:space="preserve"> car</w:t>
      </w:r>
      <w:r w:rsidRPr="005D6E61">
        <w:rPr>
          <w:rFonts w:ascii="Cambria" w:hAnsi="Cambria"/>
          <w:sz w:val="20"/>
          <w:szCs w:val="20"/>
          <w:lang w:val="pt-BR"/>
        </w:rPr>
        <w:t>re</w:t>
      </w:r>
      <w:r w:rsidR="00AA70A5" w:rsidRPr="005D6E61">
        <w:rPr>
          <w:rFonts w:ascii="Cambria" w:hAnsi="Cambria"/>
          <w:sz w:val="20"/>
          <w:szCs w:val="20"/>
          <w:lang w:val="pt-BR"/>
        </w:rPr>
        <w:t>go comigo mu</w:t>
      </w:r>
      <w:r w:rsidRPr="005D6E61">
        <w:rPr>
          <w:rFonts w:ascii="Cambria" w:hAnsi="Cambria"/>
          <w:sz w:val="20"/>
          <w:szCs w:val="20"/>
          <w:lang w:val="pt-BR"/>
        </w:rPr>
        <w:t>ito</w:t>
      </w:r>
      <w:r w:rsidR="00AA70A5" w:rsidRPr="005D6E61">
        <w:rPr>
          <w:rFonts w:ascii="Cambria" w:hAnsi="Cambria"/>
          <w:sz w:val="20"/>
          <w:szCs w:val="20"/>
          <w:lang w:val="pt-BR"/>
        </w:rPr>
        <w:t xml:space="preserve"> f</w:t>
      </w:r>
      <w:r w:rsidRPr="005D6E61">
        <w:rPr>
          <w:rFonts w:ascii="Cambria" w:hAnsi="Cambria"/>
          <w:sz w:val="20"/>
          <w:szCs w:val="20"/>
          <w:lang w:val="pt-BR"/>
        </w:rPr>
        <w:t>o</w:t>
      </w:r>
      <w:r w:rsidR="00AA70A5" w:rsidRPr="005D6E61">
        <w:rPr>
          <w:rFonts w:ascii="Cambria" w:hAnsi="Cambria"/>
          <w:sz w:val="20"/>
          <w:szCs w:val="20"/>
          <w:lang w:val="pt-BR"/>
        </w:rPr>
        <w:t>rtemente”</w:t>
      </w:r>
      <w:r w:rsidR="00AA70A5" w:rsidRPr="005D6E61">
        <w:rPr>
          <w:rStyle w:val="FootnoteReference"/>
          <w:rFonts w:ascii="Cambria" w:hAnsi="Cambria"/>
          <w:sz w:val="20"/>
          <w:szCs w:val="20"/>
          <w:lang w:val="pt-BR"/>
        </w:rPr>
        <w:footnoteReference w:id="32"/>
      </w:r>
      <w:r w:rsidR="00AA70A5" w:rsidRPr="005D6E61">
        <w:rPr>
          <w:rFonts w:ascii="Cambria" w:hAnsi="Cambria"/>
          <w:sz w:val="20"/>
          <w:szCs w:val="20"/>
          <w:lang w:val="pt-BR"/>
        </w:rPr>
        <w:t>. A</w:t>
      </w:r>
      <w:r w:rsidRPr="005D6E61">
        <w:rPr>
          <w:rFonts w:ascii="Cambria" w:hAnsi="Cambria"/>
          <w:sz w:val="20"/>
          <w:szCs w:val="20"/>
          <w:lang w:val="pt-BR"/>
        </w:rPr>
        <w:t>crescent</w:t>
      </w:r>
      <w:r w:rsidR="00BF0B90" w:rsidRPr="005D6E61">
        <w:rPr>
          <w:rFonts w:ascii="Cambria" w:hAnsi="Cambria"/>
          <w:sz w:val="20"/>
          <w:szCs w:val="20"/>
          <w:lang w:val="pt-BR"/>
        </w:rPr>
        <w:t>ou</w:t>
      </w:r>
      <w:r w:rsidR="00AA70A5" w:rsidRPr="005D6E61">
        <w:rPr>
          <w:rFonts w:ascii="Cambria" w:hAnsi="Cambria"/>
          <w:sz w:val="20"/>
          <w:szCs w:val="20"/>
          <w:lang w:val="pt-BR"/>
        </w:rPr>
        <w:t>: “m</w:t>
      </w:r>
      <w:r w:rsidR="00AA70A5" w:rsidRPr="005D6E61">
        <w:rPr>
          <w:rFonts w:ascii="Cambria" w:hAnsi="Cambria" w:cs="Courier"/>
          <w:sz w:val="20"/>
          <w:szCs w:val="20"/>
          <w:bdr w:val="none" w:sz="0" w:space="0" w:color="auto"/>
          <w:lang w:val="pt-BR"/>
        </w:rPr>
        <w:t xml:space="preserve">e </w:t>
      </w:r>
      <w:r w:rsidRPr="005D6E61">
        <w:rPr>
          <w:rFonts w:ascii="Cambria" w:hAnsi="Cambria" w:cs="Courier"/>
          <w:sz w:val="20"/>
          <w:szCs w:val="20"/>
          <w:bdr w:val="none" w:sz="0" w:space="0" w:color="auto"/>
          <w:lang w:val="pt-BR"/>
        </w:rPr>
        <w:t>lembro</w:t>
      </w:r>
      <w:r w:rsidR="00675058" w:rsidRPr="005D6E61">
        <w:rPr>
          <w:rFonts w:ascii="Cambria" w:hAnsi="Cambria" w:cs="Courier"/>
          <w:sz w:val="20"/>
          <w:szCs w:val="20"/>
          <w:bdr w:val="none" w:sz="0" w:space="0" w:color="auto"/>
          <w:lang w:val="pt-BR"/>
        </w:rPr>
        <w:t xml:space="preserve"> da </w:t>
      </w:r>
      <w:r w:rsidR="00AA70A5" w:rsidRPr="005D6E61">
        <w:rPr>
          <w:rFonts w:ascii="Cambria" w:hAnsi="Cambria" w:cs="Courier"/>
          <w:sz w:val="20"/>
          <w:szCs w:val="20"/>
          <w:bdr w:val="none" w:sz="0" w:space="0" w:color="auto"/>
          <w:lang w:val="pt-BR"/>
        </w:rPr>
        <w:t>perse</w:t>
      </w:r>
      <w:r w:rsidRPr="005D6E61">
        <w:rPr>
          <w:rFonts w:ascii="Cambria" w:hAnsi="Cambria" w:cs="Courier"/>
          <w:sz w:val="20"/>
          <w:szCs w:val="20"/>
          <w:bdr w:val="none" w:sz="0" w:space="0" w:color="auto"/>
          <w:lang w:val="pt-BR"/>
        </w:rPr>
        <w:t>gui</w:t>
      </w:r>
      <w:r w:rsidR="00A274D9" w:rsidRPr="005D6E61">
        <w:rPr>
          <w:rFonts w:ascii="Cambria" w:hAnsi="Cambria" w:cs="Courier"/>
          <w:sz w:val="20"/>
          <w:szCs w:val="20"/>
          <w:bdr w:val="none" w:sz="0" w:space="0" w:color="auto"/>
          <w:lang w:val="pt-BR"/>
        </w:rPr>
        <w:t>ção</w:t>
      </w:r>
      <w:r w:rsidR="00AA70A5" w:rsidRPr="005D6E61">
        <w:rPr>
          <w:rFonts w:ascii="Cambria" w:hAnsi="Cambria" w:cs="Courier"/>
          <w:sz w:val="20"/>
          <w:szCs w:val="20"/>
          <w:bdr w:val="none" w:sz="0" w:space="0" w:color="auto"/>
          <w:lang w:val="pt-BR"/>
        </w:rPr>
        <w:t xml:space="preserve"> que </w:t>
      </w:r>
      <w:r w:rsidRPr="005D6E61">
        <w:rPr>
          <w:rFonts w:ascii="Cambria" w:hAnsi="Cambria" w:cs="Courier"/>
          <w:sz w:val="20"/>
          <w:szCs w:val="20"/>
          <w:bdr w:val="none" w:sz="0" w:space="0" w:color="auto"/>
          <w:lang w:val="pt-BR"/>
        </w:rPr>
        <w:t>eu</w:t>
      </w:r>
      <w:r w:rsidR="006C5454" w:rsidRPr="005D6E61">
        <w:rPr>
          <w:rFonts w:ascii="Cambria" w:hAnsi="Cambria" w:cs="Courier"/>
          <w:sz w:val="20"/>
          <w:szCs w:val="20"/>
          <w:bdr w:val="none" w:sz="0" w:space="0" w:color="auto"/>
          <w:lang w:val="pt-BR"/>
        </w:rPr>
        <w:t xml:space="preserve"> e </w:t>
      </w:r>
      <w:r w:rsidR="00AA70A5" w:rsidRPr="005D6E61">
        <w:rPr>
          <w:rFonts w:ascii="Cambria" w:hAnsi="Cambria" w:cs="Courier"/>
          <w:sz w:val="20"/>
          <w:szCs w:val="20"/>
          <w:bdr w:val="none" w:sz="0" w:space="0" w:color="auto"/>
          <w:lang w:val="pt-BR"/>
        </w:rPr>
        <w:t>m</w:t>
      </w:r>
      <w:r w:rsidRPr="005D6E61">
        <w:rPr>
          <w:rFonts w:ascii="Cambria" w:hAnsi="Cambria" w:cs="Courier"/>
          <w:sz w:val="20"/>
          <w:szCs w:val="20"/>
          <w:bdr w:val="none" w:sz="0" w:space="0" w:color="auto"/>
          <w:lang w:val="pt-BR"/>
        </w:rPr>
        <w:t>eu</w:t>
      </w:r>
      <w:r w:rsidR="00AA70A5" w:rsidRPr="005D6E61">
        <w:rPr>
          <w:rFonts w:ascii="Cambria" w:hAnsi="Cambria" w:cs="Courier"/>
          <w:sz w:val="20"/>
          <w:szCs w:val="20"/>
          <w:bdr w:val="none" w:sz="0" w:space="0" w:color="auto"/>
          <w:lang w:val="pt-BR"/>
        </w:rPr>
        <w:t xml:space="preserve"> pa</w:t>
      </w:r>
      <w:r w:rsidRPr="005D6E61">
        <w:rPr>
          <w:rFonts w:ascii="Cambria" w:hAnsi="Cambria" w:cs="Courier"/>
          <w:sz w:val="20"/>
          <w:szCs w:val="20"/>
          <w:bdr w:val="none" w:sz="0" w:space="0" w:color="auto"/>
          <w:lang w:val="pt-BR"/>
        </w:rPr>
        <w:t>i sofrí</w:t>
      </w:r>
      <w:r w:rsidR="005A2381" w:rsidRPr="005D6E61">
        <w:rPr>
          <w:rFonts w:ascii="Cambria" w:hAnsi="Cambria" w:cs="Courier"/>
          <w:sz w:val="20"/>
          <w:szCs w:val="20"/>
          <w:bdr w:val="none" w:sz="0" w:space="0" w:color="auto"/>
          <w:lang w:val="pt-BR"/>
        </w:rPr>
        <w:t>a</w:t>
      </w:r>
      <w:r w:rsidR="00AA70A5" w:rsidRPr="005D6E61">
        <w:rPr>
          <w:rFonts w:ascii="Cambria" w:hAnsi="Cambria" w:cs="Courier"/>
          <w:sz w:val="20"/>
          <w:szCs w:val="20"/>
          <w:bdr w:val="none" w:sz="0" w:space="0" w:color="auto"/>
          <w:lang w:val="pt-BR"/>
        </w:rPr>
        <w:t>mos</w:t>
      </w:r>
      <w:r w:rsidR="005A2381" w:rsidRPr="005D6E61">
        <w:rPr>
          <w:rFonts w:ascii="Cambria" w:hAnsi="Cambria" w:cs="Courier"/>
          <w:sz w:val="20"/>
          <w:szCs w:val="20"/>
          <w:bdr w:val="none" w:sz="0" w:space="0" w:color="auto"/>
          <w:lang w:val="pt-BR"/>
        </w:rPr>
        <w:t xml:space="preserve"> na </w:t>
      </w:r>
      <w:r w:rsidR="00AA70A5" w:rsidRPr="005D6E61">
        <w:rPr>
          <w:rFonts w:ascii="Cambria" w:hAnsi="Cambria" w:cs="Courier"/>
          <w:sz w:val="20"/>
          <w:szCs w:val="20"/>
          <w:bdr w:val="none" w:sz="0" w:space="0" w:color="auto"/>
          <w:lang w:val="pt-BR"/>
        </w:rPr>
        <w:t>época,</w:t>
      </w:r>
      <w:r w:rsidR="00331E62" w:rsidRPr="005D6E61">
        <w:rPr>
          <w:rFonts w:ascii="Cambria" w:hAnsi="Cambria" w:cs="Courier"/>
          <w:sz w:val="20"/>
          <w:szCs w:val="20"/>
          <w:bdr w:val="none" w:sz="0" w:space="0" w:color="auto"/>
          <w:lang w:val="pt-BR"/>
        </w:rPr>
        <w:t xml:space="preserve"> o </w:t>
      </w:r>
      <w:r w:rsidR="00AA70A5" w:rsidRPr="005D6E61">
        <w:rPr>
          <w:rFonts w:ascii="Cambria" w:hAnsi="Cambria" w:cs="Courier"/>
          <w:sz w:val="20"/>
          <w:szCs w:val="20"/>
          <w:bdr w:val="none" w:sz="0" w:space="0" w:color="auto"/>
          <w:lang w:val="pt-BR"/>
        </w:rPr>
        <w:t>medo,</w:t>
      </w:r>
      <w:r w:rsidR="00331E62" w:rsidRPr="005D6E61">
        <w:rPr>
          <w:rFonts w:ascii="Cambria" w:hAnsi="Cambria" w:cs="Courier"/>
          <w:sz w:val="20"/>
          <w:szCs w:val="20"/>
          <w:bdr w:val="none" w:sz="0" w:space="0" w:color="auto"/>
          <w:lang w:val="pt-BR"/>
        </w:rPr>
        <w:t xml:space="preserve"> o </w:t>
      </w:r>
      <w:r w:rsidR="00AA70A5" w:rsidRPr="005D6E61">
        <w:rPr>
          <w:rFonts w:ascii="Cambria" w:hAnsi="Cambria" w:cs="Courier"/>
          <w:sz w:val="20"/>
          <w:szCs w:val="20"/>
          <w:bdr w:val="none" w:sz="0" w:space="0" w:color="auto"/>
          <w:lang w:val="pt-BR"/>
        </w:rPr>
        <w:t>pavor de ser</w:t>
      </w:r>
      <w:r w:rsidRPr="005D6E61">
        <w:rPr>
          <w:rFonts w:ascii="Cambria" w:hAnsi="Cambria" w:cs="Courier"/>
          <w:sz w:val="20"/>
          <w:szCs w:val="20"/>
          <w:bdr w:val="none" w:sz="0" w:space="0" w:color="auto"/>
          <w:lang w:val="pt-BR"/>
        </w:rPr>
        <w:t>mos</w:t>
      </w:r>
      <w:r w:rsidR="00F77B7F" w:rsidRPr="005D6E61">
        <w:rPr>
          <w:rFonts w:ascii="Cambria" w:hAnsi="Cambria" w:cs="Courier"/>
          <w:sz w:val="20"/>
          <w:szCs w:val="20"/>
          <w:bdr w:val="none" w:sz="0" w:space="0" w:color="auto"/>
          <w:lang w:val="pt-BR"/>
        </w:rPr>
        <w:t xml:space="preserve"> as </w:t>
      </w:r>
      <w:r w:rsidR="00AA70A5" w:rsidRPr="005D6E61">
        <w:rPr>
          <w:rFonts w:ascii="Cambria" w:hAnsi="Cambria" w:cs="Courier"/>
          <w:sz w:val="20"/>
          <w:szCs w:val="20"/>
          <w:bdr w:val="none" w:sz="0" w:space="0" w:color="auto"/>
          <w:lang w:val="pt-BR"/>
        </w:rPr>
        <w:t xml:space="preserve">próximas </w:t>
      </w:r>
      <w:r w:rsidR="003619A0" w:rsidRPr="005D6E61">
        <w:rPr>
          <w:rFonts w:ascii="Cambria" w:hAnsi="Cambria" w:cs="Courier"/>
          <w:sz w:val="20"/>
          <w:szCs w:val="20"/>
          <w:bdr w:val="none" w:sz="0" w:space="0" w:color="auto"/>
          <w:lang w:val="pt-BR"/>
        </w:rPr>
        <w:t>vítima</w:t>
      </w:r>
      <w:r w:rsidR="00AA70A5" w:rsidRPr="005D6E61">
        <w:rPr>
          <w:rFonts w:ascii="Cambria" w:hAnsi="Cambria" w:cs="Courier"/>
          <w:sz w:val="20"/>
          <w:szCs w:val="20"/>
          <w:bdr w:val="none" w:sz="0" w:space="0" w:color="auto"/>
          <w:lang w:val="pt-BR"/>
        </w:rPr>
        <w:t>s. Cre</w:t>
      </w:r>
      <w:r w:rsidRPr="005D6E61">
        <w:rPr>
          <w:rFonts w:ascii="Cambria" w:hAnsi="Cambria" w:cs="Courier"/>
          <w:sz w:val="20"/>
          <w:szCs w:val="20"/>
          <w:bdr w:val="none" w:sz="0" w:space="0" w:color="auto"/>
          <w:lang w:val="pt-BR"/>
        </w:rPr>
        <w:t>s</w:t>
      </w:r>
      <w:r w:rsidR="00AA70A5" w:rsidRPr="005D6E61">
        <w:rPr>
          <w:rFonts w:ascii="Cambria" w:hAnsi="Cambria" w:cs="Courier"/>
          <w:sz w:val="20"/>
          <w:szCs w:val="20"/>
          <w:bdr w:val="none" w:sz="0" w:space="0" w:color="auto"/>
          <w:lang w:val="pt-BR"/>
        </w:rPr>
        <w:t>c</w:t>
      </w:r>
      <w:r w:rsidRPr="005D6E61">
        <w:rPr>
          <w:rFonts w:ascii="Cambria" w:hAnsi="Cambria" w:cs="Courier"/>
          <w:sz w:val="20"/>
          <w:szCs w:val="20"/>
          <w:bdr w:val="none" w:sz="0" w:space="0" w:color="auto"/>
          <w:lang w:val="pt-BR"/>
        </w:rPr>
        <w:t>i</w:t>
      </w:r>
      <w:r w:rsidR="00F77B7F" w:rsidRPr="005D6E61">
        <w:rPr>
          <w:rFonts w:ascii="Cambria" w:hAnsi="Cambria" w:cs="Courier"/>
          <w:sz w:val="20"/>
          <w:szCs w:val="20"/>
          <w:bdr w:val="none" w:sz="0" w:space="0" w:color="auto"/>
          <w:lang w:val="pt-BR"/>
        </w:rPr>
        <w:t xml:space="preserve"> com</w:t>
      </w:r>
      <w:r w:rsidR="00275A65" w:rsidRPr="005D6E61">
        <w:rPr>
          <w:rFonts w:ascii="Cambria" w:hAnsi="Cambria" w:cs="Courier"/>
          <w:sz w:val="20"/>
          <w:szCs w:val="20"/>
          <w:bdr w:val="none" w:sz="0" w:space="0" w:color="auto"/>
          <w:lang w:val="pt-BR"/>
        </w:rPr>
        <w:t xml:space="preserve"> um </w:t>
      </w:r>
      <w:r w:rsidR="00AA70A5" w:rsidRPr="005D6E61">
        <w:rPr>
          <w:rFonts w:ascii="Cambria" w:hAnsi="Cambria" w:cs="Courier"/>
          <w:sz w:val="20"/>
          <w:szCs w:val="20"/>
          <w:bdr w:val="none" w:sz="0" w:space="0" w:color="auto"/>
          <w:lang w:val="pt-BR"/>
        </w:rPr>
        <w:t>dese</w:t>
      </w:r>
      <w:r w:rsidRPr="005D6E61">
        <w:rPr>
          <w:rFonts w:ascii="Cambria" w:hAnsi="Cambria" w:cs="Courier"/>
          <w:sz w:val="20"/>
          <w:szCs w:val="20"/>
          <w:bdr w:val="none" w:sz="0" w:space="0" w:color="auto"/>
          <w:lang w:val="pt-BR"/>
        </w:rPr>
        <w:t>jo muito</w:t>
      </w:r>
      <w:r w:rsidR="00AA70A5" w:rsidRPr="005D6E61">
        <w:rPr>
          <w:rFonts w:ascii="Cambria" w:hAnsi="Cambria" w:cs="Courier"/>
          <w:sz w:val="20"/>
          <w:szCs w:val="20"/>
          <w:bdr w:val="none" w:sz="0" w:space="0" w:color="auto"/>
          <w:lang w:val="pt-BR"/>
        </w:rPr>
        <w:t xml:space="preserve"> grande de v</w:t>
      </w:r>
      <w:r w:rsidRPr="005D6E61">
        <w:rPr>
          <w:rFonts w:ascii="Cambria" w:hAnsi="Cambria" w:cs="Courier"/>
          <w:sz w:val="20"/>
          <w:szCs w:val="20"/>
          <w:bdr w:val="none" w:sz="0" w:space="0" w:color="auto"/>
          <w:lang w:val="pt-BR"/>
        </w:rPr>
        <w:t>ingança</w:t>
      </w:r>
      <w:r w:rsidR="00AA70A5" w:rsidRPr="005D6E61">
        <w:rPr>
          <w:rFonts w:ascii="Cambria" w:hAnsi="Cambria" w:cs="Courier"/>
          <w:sz w:val="20"/>
          <w:szCs w:val="20"/>
          <w:bdr w:val="none" w:sz="0" w:space="0" w:color="auto"/>
          <w:lang w:val="pt-BR"/>
        </w:rPr>
        <w:t xml:space="preserve">, me </w:t>
      </w:r>
      <w:r w:rsidRPr="005D6E61">
        <w:rPr>
          <w:rFonts w:ascii="Cambria" w:hAnsi="Cambria" w:cs="Courier"/>
          <w:sz w:val="20"/>
          <w:szCs w:val="20"/>
          <w:bdr w:val="none" w:sz="0" w:space="0" w:color="auto"/>
          <w:lang w:val="pt-BR"/>
        </w:rPr>
        <w:t>tornei</w:t>
      </w:r>
      <w:r w:rsidR="00AA70A5" w:rsidRPr="005D6E61">
        <w:rPr>
          <w:rFonts w:ascii="Cambria" w:hAnsi="Cambria" w:cs="Courier"/>
          <w:sz w:val="20"/>
          <w:szCs w:val="20"/>
          <w:bdr w:val="none" w:sz="0" w:space="0" w:color="auto"/>
          <w:lang w:val="pt-BR"/>
        </w:rPr>
        <w:t xml:space="preserve"> </w:t>
      </w:r>
      <w:r w:rsidRPr="005D6E61">
        <w:rPr>
          <w:rFonts w:ascii="Cambria" w:hAnsi="Cambria" w:cs="Courier"/>
          <w:sz w:val="20"/>
          <w:szCs w:val="20"/>
          <w:bdr w:val="none" w:sz="0" w:space="0" w:color="auto"/>
          <w:lang w:val="pt-BR"/>
        </w:rPr>
        <w:t>dependente</w:t>
      </w:r>
      <w:r w:rsidR="00CD523F" w:rsidRPr="005D6E61">
        <w:rPr>
          <w:rFonts w:ascii="Cambria" w:hAnsi="Cambria" w:cs="Courier"/>
          <w:sz w:val="20"/>
          <w:szCs w:val="20"/>
          <w:bdr w:val="none" w:sz="0" w:space="0" w:color="auto"/>
          <w:lang w:val="pt-BR"/>
        </w:rPr>
        <w:t xml:space="preserve"> </w:t>
      </w:r>
      <w:r w:rsidRPr="005D6E61">
        <w:rPr>
          <w:rFonts w:ascii="Cambria" w:hAnsi="Cambria" w:cs="Courier"/>
          <w:sz w:val="20"/>
          <w:szCs w:val="20"/>
          <w:bdr w:val="none" w:sz="0" w:space="0" w:color="auto"/>
          <w:lang w:val="pt-BR"/>
        </w:rPr>
        <w:t>do á</w:t>
      </w:r>
      <w:r w:rsidR="00AA70A5" w:rsidRPr="005D6E61">
        <w:rPr>
          <w:rFonts w:ascii="Cambria" w:hAnsi="Cambria" w:cs="Courier"/>
          <w:sz w:val="20"/>
          <w:szCs w:val="20"/>
          <w:bdr w:val="none" w:sz="0" w:space="0" w:color="auto"/>
          <w:lang w:val="pt-BR"/>
        </w:rPr>
        <w:t>lcool</w:t>
      </w:r>
      <w:r w:rsidR="006C5454" w:rsidRPr="005D6E61">
        <w:rPr>
          <w:rFonts w:ascii="Cambria" w:hAnsi="Cambria" w:cs="Courier"/>
          <w:sz w:val="20"/>
          <w:szCs w:val="20"/>
          <w:bdr w:val="none" w:sz="0" w:space="0" w:color="auto"/>
          <w:lang w:val="pt-BR"/>
        </w:rPr>
        <w:t xml:space="preserve"> e </w:t>
      </w:r>
      <w:r w:rsidR="00AA70A5" w:rsidRPr="005D6E61">
        <w:rPr>
          <w:rFonts w:ascii="Cambria" w:hAnsi="Cambria" w:cs="Courier"/>
          <w:sz w:val="20"/>
          <w:szCs w:val="20"/>
          <w:bdr w:val="none" w:sz="0" w:space="0" w:color="auto"/>
          <w:lang w:val="pt-BR"/>
        </w:rPr>
        <w:t>por</w:t>
      </w:r>
      <w:r w:rsidR="00275A65" w:rsidRPr="005D6E61">
        <w:rPr>
          <w:rFonts w:ascii="Cambria" w:hAnsi="Cambria" w:cs="Courier"/>
          <w:sz w:val="20"/>
          <w:szCs w:val="20"/>
          <w:bdr w:val="none" w:sz="0" w:space="0" w:color="auto"/>
          <w:lang w:val="pt-BR"/>
        </w:rPr>
        <w:t xml:space="preserve"> um </w:t>
      </w:r>
      <w:r w:rsidR="00AA70A5" w:rsidRPr="005D6E61">
        <w:rPr>
          <w:rFonts w:ascii="Cambria" w:hAnsi="Cambria" w:cs="Courier"/>
          <w:sz w:val="20"/>
          <w:szCs w:val="20"/>
          <w:bdr w:val="none" w:sz="0" w:space="0" w:color="auto"/>
          <w:lang w:val="pt-BR"/>
        </w:rPr>
        <w:t>tempo</w:t>
      </w:r>
      <w:r w:rsidR="00F77B7F" w:rsidRPr="005D6E61">
        <w:rPr>
          <w:rFonts w:ascii="Cambria" w:hAnsi="Cambria" w:cs="Courier"/>
          <w:sz w:val="20"/>
          <w:szCs w:val="20"/>
          <w:bdr w:val="none" w:sz="0" w:space="0" w:color="auto"/>
          <w:lang w:val="pt-BR"/>
        </w:rPr>
        <w:t xml:space="preserve"> </w:t>
      </w:r>
      <w:r w:rsidR="00AA70A5" w:rsidRPr="005D6E61">
        <w:rPr>
          <w:rFonts w:ascii="Cambria" w:hAnsi="Cambria" w:cs="Courier"/>
          <w:sz w:val="20"/>
          <w:szCs w:val="20"/>
          <w:bdr w:val="none" w:sz="0" w:space="0" w:color="auto"/>
          <w:lang w:val="pt-BR"/>
        </w:rPr>
        <w:t>quis renunciar a viv</w:t>
      </w:r>
      <w:r w:rsidRPr="005D6E61">
        <w:rPr>
          <w:rFonts w:ascii="Cambria" w:hAnsi="Cambria" w:cs="Courier"/>
          <w:sz w:val="20"/>
          <w:szCs w:val="20"/>
          <w:bdr w:val="none" w:sz="0" w:space="0" w:color="auto"/>
          <w:lang w:val="pt-BR"/>
        </w:rPr>
        <w:t>e</w:t>
      </w:r>
      <w:r w:rsidR="00AA70A5" w:rsidRPr="005D6E61">
        <w:rPr>
          <w:rFonts w:ascii="Cambria" w:hAnsi="Cambria" w:cs="Courier"/>
          <w:sz w:val="20"/>
          <w:szCs w:val="20"/>
          <w:bdr w:val="none" w:sz="0" w:space="0" w:color="auto"/>
          <w:lang w:val="pt-BR"/>
        </w:rPr>
        <w:t>r,</w:t>
      </w:r>
      <w:r w:rsidR="00F77B7F" w:rsidRPr="005D6E61">
        <w:rPr>
          <w:rFonts w:ascii="Cambria" w:hAnsi="Cambria" w:cs="Courier"/>
          <w:sz w:val="20"/>
          <w:szCs w:val="20"/>
          <w:bdr w:val="none" w:sz="0" w:space="0" w:color="auto"/>
          <w:lang w:val="pt-BR"/>
        </w:rPr>
        <w:t xml:space="preserve"> não </w:t>
      </w:r>
      <w:r w:rsidR="00AA70A5" w:rsidRPr="005D6E61">
        <w:rPr>
          <w:rFonts w:ascii="Cambria" w:hAnsi="Cambria" w:cs="Courier"/>
          <w:sz w:val="20"/>
          <w:szCs w:val="20"/>
          <w:bdr w:val="none" w:sz="0" w:space="0" w:color="auto"/>
          <w:lang w:val="pt-BR"/>
        </w:rPr>
        <w:t>t</w:t>
      </w:r>
      <w:r w:rsidR="001E5EAD" w:rsidRPr="005D6E61">
        <w:rPr>
          <w:rFonts w:ascii="Cambria" w:hAnsi="Cambria" w:cs="Courier"/>
          <w:sz w:val="20"/>
          <w:szCs w:val="20"/>
          <w:bdr w:val="none" w:sz="0" w:space="0" w:color="auto"/>
          <w:lang w:val="pt-BR"/>
        </w:rPr>
        <w:t>i</w:t>
      </w:r>
      <w:r w:rsidR="00AA70A5" w:rsidRPr="005D6E61">
        <w:rPr>
          <w:rFonts w:ascii="Cambria" w:hAnsi="Cambria" w:cs="Courier"/>
          <w:sz w:val="20"/>
          <w:szCs w:val="20"/>
          <w:bdr w:val="none" w:sz="0" w:space="0" w:color="auto"/>
          <w:lang w:val="pt-BR"/>
        </w:rPr>
        <w:t>ve apo</w:t>
      </w:r>
      <w:r w:rsidR="001E5EAD" w:rsidRPr="005D6E61">
        <w:rPr>
          <w:rFonts w:ascii="Cambria" w:hAnsi="Cambria" w:cs="Courier"/>
          <w:sz w:val="20"/>
          <w:szCs w:val="20"/>
          <w:bdr w:val="none" w:sz="0" w:space="0" w:color="auto"/>
          <w:lang w:val="pt-BR"/>
        </w:rPr>
        <w:t>i</w:t>
      </w:r>
      <w:r w:rsidR="00AA70A5" w:rsidRPr="005D6E61">
        <w:rPr>
          <w:rFonts w:ascii="Cambria" w:hAnsi="Cambria" w:cs="Courier"/>
          <w:sz w:val="20"/>
          <w:szCs w:val="20"/>
          <w:bdr w:val="none" w:sz="0" w:space="0" w:color="auto"/>
          <w:lang w:val="pt-BR"/>
        </w:rPr>
        <w:t>o n</w:t>
      </w:r>
      <w:r w:rsidR="001E5EAD" w:rsidRPr="005D6E61">
        <w:rPr>
          <w:rFonts w:ascii="Cambria" w:hAnsi="Cambria" w:cs="Courier"/>
          <w:sz w:val="20"/>
          <w:szCs w:val="20"/>
          <w:bdr w:val="none" w:sz="0" w:space="0" w:color="auto"/>
          <w:lang w:val="pt-BR"/>
        </w:rPr>
        <w:t>em</w:t>
      </w:r>
      <w:r w:rsidR="00AA70A5" w:rsidRPr="005D6E61">
        <w:rPr>
          <w:rFonts w:ascii="Cambria" w:hAnsi="Cambria" w:cs="Courier"/>
          <w:sz w:val="20"/>
          <w:szCs w:val="20"/>
          <w:bdr w:val="none" w:sz="0" w:space="0" w:color="auto"/>
          <w:lang w:val="pt-BR"/>
        </w:rPr>
        <w:t xml:space="preserve"> orienta</w:t>
      </w:r>
      <w:r w:rsidR="00A274D9" w:rsidRPr="005D6E61">
        <w:rPr>
          <w:rFonts w:ascii="Cambria" w:hAnsi="Cambria" w:cs="Courier"/>
          <w:sz w:val="20"/>
          <w:szCs w:val="20"/>
          <w:bdr w:val="none" w:sz="0" w:space="0" w:color="auto"/>
          <w:lang w:val="pt-BR"/>
        </w:rPr>
        <w:t>ção</w:t>
      </w:r>
      <w:r w:rsidR="00AA70A5" w:rsidRPr="005D6E61">
        <w:rPr>
          <w:rFonts w:ascii="Cambria" w:hAnsi="Cambria" w:cs="Courier"/>
          <w:sz w:val="20"/>
          <w:szCs w:val="20"/>
          <w:bdr w:val="none" w:sz="0" w:space="0" w:color="auto"/>
          <w:lang w:val="pt-BR"/>
        </w:rPr>
        <w:t xml:space="preserve"> psicológica de n</w:t>
      </w:r>
      <w:r w:rsidR="001E5EAD" w:rsidRPr="005D6E61">
        <w:rPr>
          <w:rFonts w:ascii="Cambria" w:hAnsi="Cambria" w:cs="Courier"/>
          <w:sz w:val="20"/>
          <w:szCs w:val="20"/>
          <w:bdr w:val="none" w:sz="0" w:space="0" w:color="auto"/>
          <w:lang w:val="pt-BR"/>
        </w:rPr>
        <w:t>inguém</w:t>
      </w:r>
      <w:r w:rsidR="00AA70A5" w:rsidRPr="005D6E61">
        <w:rPr>
          <w:rFonts w:ascii="Cambria" w:hAnsi="Cambria" w:cs="Courier"/>
          <w:sz w:val="20"/>
          <w:szCs w:val="20"/>
          <w:bdr w:val="none" w:sz="0" w:space="0" w:color="auto"/>
          <w:lang w:val="pt-BR"/>
        </w:rPr>
        <w:t>, levo comigo</w:t>
      </w:r>
      <w:r w:rsidR="00F77B7F" w:rsidRPr="005D6E61">
        <w:rPr>
          <w:rFonts w:ascii="Cambria" w:hAnsi="Cambria" w:cs="Courier"/>
          <w:sz w:val="20"/>
          <w:szCs w:val="20"/>
          <w:bdr w:val="none" w:sz="0" w:space="0" w:color="auto"/>
          <w:lang w:val="pt-BR"/>
        </w:rPr>
        <w:t xml:space="preserve"> as </w:t>
      </w:r>
      <w:r w:rsidR="00AA70A5" w:rsidRPr="005D6E61">
        <w:rPr>
          <w:rFonts w:ascii="Cambria" w:hAnsi="Cambria" w:cs="Courier"/>
          <w:sz w:val="20"/>
          <w:szCs w:val="20"/>
          <w:bdr w:val="none" w:sz="0" w:space="0" w:color="auto"/>
          <w:lang w:val="pt-BR"/>
        </w:rPr>
        <w:t>profundas marcas deste epis</w:t>
      </w:r>
      <w:r w:rsidR="006B204E" w:rsidRPr="005D6E61">
        <w:rPr>
          <w:rFonts w:ascii="Cambria" w:hAnsi="Cambria" w:cs="Courier"/>
          <w:sz w:val="20"/>
          <w:szCs w:val="20"/>
          <w:bdr w:val="none" w:sz="0" w:space="0" w:color="auto"/>
          <w:lang w:val="pt-BR"/>
        </w:rPr>
        <w:t>ó</w:t>
      </w:r>
      <w:r w:rsidR="00AA70A5" w:rsidRPr="005D6E61">
        <w:rPr>
          <w:rFonts w:ascii="Cambria" w:hAnsi="Cambria" w:cs="Courier"/>
          <w:sz w:val="20"/>
          <w:szCs w:val="20"/>
          <w:bdr w:val="none" w:sz="0" w:space="0" w:color="auto"/>
          <w:lang w:val="pt-BR"/>
        </w:rPr>
        <w:t>dio horr</w:t>
      </w:r>
      <w:r w:rsidR="001E5EAD" w:rsidRPr="005D6E61">
        <w:rPr>
          <w:rFonts w:ascii="Cambria" w:hAnsi="Cambria" w:cs="Courier"/>
          <w:sz w:val="20"/>
          <w:szCs w:val="20"/>
          <w:bdr w:val="none" w:sz="0" w:space="0" w:color="auto"/>
          <w:lang w:val="pt-BR"/>
        </w:rPr>
        <w:t>ível</w:t>
      </w:r>
      <w:r w:rsidR="00AA70A5" w:rsidRPr="005D6E61">
        <w:rPr>
          <w:rFonts w:ascii="Cambria" w:hAnsi="Cambria" w:cs="Courier"/>
          <w:sz w:val="20"/>
          <w:szCs w:val="20"/>
          <w:bdr w:val="none" w:sz="0" w:space="0" w:color="auto"/>
          <w:lang w:val="pt-BR"/>
        </w:rPr>
        <w:t xml:space="preserve"> d</w:t>
      </w:r>
      <w:r w:rsidR="001E5EAD" w:rsidRPr="005D6E61">
        <w:rPr>
          <w:rFonts w:ascii="Cambria" w:hAnsi="Cambria" w:cs="Courier"/>
          <w:sz w:val="20"/>
          <w:szCs w:val="20"/>
          <w:bdr w:val="none" w:sz="0" w:space="0" w:color="auto"/>
          <w:lang w:val="pt-BR"/>
        </w:rPr>
        <w:t>a</w:t>
      </w:r>
      <w:r w:rsidR="00AA70A5" w:rsidRPr="005D6E61">
        <w:rPr>
          <w:rFonts w:ascii="Cambria" w:hAnsi="Cambria" w:cs="Courier"/>
          <w:sz w:val="20"/>
          <w:szCs w:val="20"/>
          <w:bdr w:val="none" w:sz="0" w:space="0" w:color="auto"/>
          <w:lang w:val="pt-BR"/>
        </w:rPr>
        <w:t xml:space="preserve"> mi</w:t>
      </w:r>
      <w:r w:rsidR="001E5EAD" w:rsidRPr="005D6E61">
        <w:rPr>
          <w:rFonts w:ascii="Cambria" w:hAnsi="Cambria" w:cs="Courier"/>
          <w:sz w:val="20"/>
          <w:szCs w:val="20"/>
          <w:bdr w:val="none" w:sz="0" w:space="0" w:color="auto"/>
          <w:lang w:val="pt-BR"/>
        </w:rPr>
        <w:t>nha</w:t>
      </w:r>
      <w:r w:rsidR="00AA70A5" w:rsidRPr="005D6E61">
        <w:rPr>
          <w:rFonts w:ascii="Cambria" w:hAnsi="Cambria" w:cs="Courier"/>
          <w:sz w:val="20"/>
          <w:szCs w:val="20"/>
          <w:bdr w:val="none" w:sz="0" w:space="0" w:color="auto"/>
          <w:lang w:val="pt-BR"/>
        </w:rPr>
        <w:t xml:space="preserve"> vida”</w:t>
      </w:r>
      <w:r w:rsidR="00AA70A5" w:rsidRPr="005D6E61">
        <w:rPr>
          <w:rStyle w:val="FootnoteReference"/>
          <w:rFonts w:ascii="Cambria" w:hAnsi="Cambria"/>
          <w:sz w:val="20"/>
          <w:szCs w:val="20"/>
          <w:lang w:val="pt-BR"/>
        </w:rPr>
        <w:t xml:space="preserve"> </w:t>
      </w:r>
      <w:r w:rsidR="00AA70A5" w:rsidRPr="005D6E61">
        <w:rPr>
          <w:rStyle w:val="FootnoteReference"/>
          <w:rFonts w:ascii="Cambria" w:hAnsi="Cambria"/>
          <w:sz w:val="20"/>
          <w:szCs w:val="20"/>
          <w:lang w:val="pt-BR"/>
        </w:rPr>
        <w:footnoteReference w:id="33"/>
      </w:r>
      <w:r w:rsidR="00AA70A5" w:rsidRPr="005D6E61">
        <w:rPr>
          <w:rFonts w:ascii="Cambria" w:hAnsi="Cambria" w:cs="Courier"/>
          <w:sz w:val="20"/>
          <w:szCs w:val="20"/>
          <w:bdr w:val="none" w:sz="0" w:space="0" w:color="auto"/>
          <w:lang w:val="pt-BR"/>
        </w:rPr>
        <w:t xml:space="preserve">. </w:t>
      </w:r>
    </w:p>
    <w:p w14:paraId="726DA2FC" w14:textId="77777777" w:rsidR="00AA70A5" w:rsidRPr="005D6E61" w:rsidRDefault="00AA70A5" w:rsidP="00AA70A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pt-BR"/>
        </w:rPr>
      </w:pPr>
    </w:p>
    <w:p w14:paraId="73128E03" w14:textId="77777777" w:rsidR="00AA70A5" w:rsidRPr="005D6E61"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V</w:t>
      </w:r>
      <w:r w:rsidR="006B204E" w:rsidRPr="005D6E61">
        <w:rPr>
          <w:rFonts w:ascii="Cambria" w:hAnsi="Cambria"/>
          <w:sz w:val="20"/>
          <w:szCs w:val="20"/>
          <w:lang w:val="pt-BR"/>
        </w:rPr>
        <w:t>á</w:t>
      </w:r>
      <w:r w:rsidRPr="005D6E61">
        <w:rPr>
          <w:rFonts w:ascii="Cambria" w:hAnsi="Cambria"/>
          <w:sz w:val="20"/>
          <w:szCs w:val="20"/>
          <w:lang w:val="pt-BR"/>
        </w:rPr>
        <w:t>rios v</w:t>
      </w:r>
      <w:r w:rsidR="006B204E" w:rsidRPr="005D6E61">
        <w:rPr>
          <w:rFonts w:ascii="Cambria" w:hAnsi="Cambria"/>
          <w:sz w:val="20"/>
          <w:szCs w:val="20"/>
          <w:lang w:val="pt-BR"/>
        </w:rPr>
        <w:t>iz</w:t>
      </w:r>
      <w:r w:rsidRPr="005D6E61">
        <w:rPr>
          <w:rFonts w:ascii="Cambria" w:hAnsi="Cambria"/>
          <w:sz w:val="20"/>
          <w:szCs w:val="20"/>
          <w:lang w:val="pt-BR"/>
        </w:rPr>
        <w:t>in</w:t>
      </w:r>
      <w:r w:rsidR="006B204E" w:rsidRPr="005D6E61">
        <w:rPr>
          <w:rFonts w:ascii="Cambria" w:hAnsi="Cambria"/>
          <w:sz w:val="20"/>
          <w:szCs w:val="20"/>
          <w:lang w:val="pt-BR"/>
        </w:rPr>
        <w:t>h</w:t>
      </w:r>
      <w:r w:rsidRPr="005D6E61">
        <w:rPr>
          <w:rFonts w:ascii="Cambria" w:hAnsi="Cambria"/>
          <w:sz w:val="20"/>
          <w:szCs w:val="20"/>
          <w:lang w:val="pt-BR"/>
        </w:rPr>
        <w:t>os, como Ivaldo Fernandes Chaves</w:t>
      </w:r>
      <w:r w:rsidRPr="005D6E61">
        <w:rPr>
          <w:rStyle w:val="FootnoteReference"/>
          <w:rFonts w:ascii="Cambria" w:hAnsi="Cambria"/>
          <w:sz w:val="20"/>
          <w:szCs w:val="20"/>
          <w:lang w:val="pt-BR"/>
        </w:rPr>
        <w:footnoteReference w:id="34"/>
      </w:r>
      <w:r w:rsidR="006C5454" w:rsidRPr="005D6E61">
        <w:rPr>
          <w:rFonts w:ascii="Cambria" w:hAnsi="Cambria"/>
          <w:sz w:val="20"/>
          <w:szCs w:val="20"/>
          <w:lang w:val="pt-BR"/>
        </w:rPr>
        <w:t xml:space="preserve"> e </w:t>
      </w:r>
      <w:r w:rsidRPr="005D6E61">
        <w:rPr>
          <w:rFonts w:ascii="Cambria" w:hAnsi="Cambria"/>
          <w:sz w:val="20"/>
          <w:szCs w:val="20"/>
          <w:lang w:val="pt-BR"/>
        </w:rPr>
        <w:t>Natanael Marinho</w:t>
      </w:r>
      <w:r w:rsidRPr="005D6E61">
        <w:rPr>
          <w:rStyle w:val="FootnoteReference"/>
          <w:rFonts w:ascii="Cambria" w:hAnsi="Cambria"/>
          <w:sz w:val="20"/>
          <w:szCs w:val="20"/>
          <w:lang w:val="pt-BR"/>
        </w:rPr>
        <w:footnoteReference w:id="35"/>
      </w:r>
      <w:r w:rsidRPr="005D6E61">
        <w:rPr>
          <w:rFonts w:ascii="Cambria" w:hAnsi="Cambria"/>
          <w:sz w:val="20"/>
          <w:szCs w:val="20"/>
          <w:lang w:val="pt-BR"/>
        </w:rPr>
        <w:t xml:space="preserve">, </w:t>
      </w:r>
      <w:r w:rsidR="006B204E" w:rsidRPr="005D6E61">
        <w:rPr>
          <w:rFonts w:ascii="Cambria" w:hAnsi="Cambria"/>
          <w:sz w:val="20"/>
          <w:szCs w:val="20"/>
          <w:lang w:val="pt-BR"/>
        </w:rPr>
        <w:t>afirmaram</w:t>
      </w:r>
      <w:r w:rsidRPr="005D6E61">
        <w:rPr>
          <w:rFonts w:ascii="Cambria" w:hAnsi="Cambria"/>
          <w:sz w:val="20"/>
          <w:szCs w:val="20"/>
          <w:lang w:val="pt-BR"/>
        </w:rPr>
        <w:t xml:space="preserve"> que</w:t>
      </w:r>
      <w:r w:rsidR="006B204E" w:rsidRPr="005D6E61">
        <w:rPr>
          <w:rFonts w:ascii="Cambria" w:hAnsi="Cambria"/>
          <w:sz w:val="20"/>
          <w:szCs w:val="20"/>
          <w:lang w:val="pt-BR"/>
        </w:rPr>
        <w:t>,</w:t>
      </w:r>
      <w:r w:rsidRPr="005D6E61">
        <w:rPr>
          <w:rFonts w:ascii="Cambria" w:hAnsi="Cambria"/>
          <w:sz w:val="20"/>
          <w:szCs w:val="20"/>
          <w:lang w:val="pt-BR"/>
        </w:rPr>
        <w:t xml:space="preserve"> </w:t>
      </w:r>
      <w:r w:rsidR="006B204E" w:rsidRPr="005D6E61">
        <w:rPr>
          <w:rFonts w:ascii="Cambria" w:hAnsi="Cambria"/>
          <w:sz w:val="20"/>
          <w:szCs w:val="20"/>
          <w:lang w:val="pt-BR"/>
        </w:rPr>
        <w:t>após</w:t>
      </w:r>
      <w:r w:rsidRPr="005D6E61">
        <w:rPr>
          <w:rFonts w:ascii="Cambria" w:hAnsi="Cambria"/>
          <w:sz w:val="20"/>
          <w:szCs w:val="20"/>
          <w:lang w:val="pt-BR"/>
        </w:rPr>
        <w:t xml:space="preserve"> escu</w:t>
      </w:r>
      <w:r w:rsidR="006B204E" w:rsidRPr="005D6E61">
        <w:rPr>
          <w:rFonts w:ascii="Cambria" w:hAnsi="Cambria"/>
          <w:sz w:val="20"/>
          <w:szCs w:val="20"/>
          <w:lang w:val="pt-BR"/>
        </w:rPr>
        <w:t>t</w:t>
      </w:r>
      <w:r w:rsidRPr="005D6E61">
        <w:rPr>
          <w:rFonts w:ascii="Cambria" w:hAnsi="Cambria"/>
          <w:sz w:val="20"/>
          <w:szCs w:val="20"/>
          <w:lang w:val="pt-BR"/>
        </w:rPr>
        <w:t>ar</w:t>
      </w:r>
      <w:r w:rsidR="00331E62" w:rsidRPr="005D6E61">
        <w:rPr>
          <w:rFonts w:ascii="Cambria" w:hAnsi="Cambria"/>
          <w:sz w:val="20"/>
          <w:szCs w:val="20"/>
          <w:lang w:val="pt-BR"/>
        </w:rPr>
        <w:t xml:space="preserve"> o </w:t>
      </w:r>
      <w:r w:rsidRPr="005D6E61">
        <w:rPr>
          <w:rFonts w:ascii="Cambria" w:hAnsi="Cambria"/>
          <w:sz w:val="20"/>
          <w:szCs w:val="20"/>
          <w:lang w:val="pt-BR"/>
        </w:rPr>
        <w:t>disparo</w:t>
      </w:r>
      <w:r w:rsidR="00F77B7F" w:rsidRPr="005D6E61">
        <w:rPr>
          <w:rFonts w:ascii="Cambria" w:hAnsi="Cambria"/>
          <w:sz w:val="20"/>
          <w:szCs w:val="20"/>
          <w:lang w:val="pt-BR"/>
        </w:rPr>
        <w:t xml:space="preserve"> com </w:t>
      </w:r>
      <w:r w:rsidRPr="005D6E61">
        <w:rPr>
          <w:rFonts w:ascii="Cambria" w:hAnsi="Cambria"/>
          <w:sz w:val="20"/>
          <w:szCs w:val="20"/>
          <w:lang w:val="pt-BR"/>
        </w:rPr>
        <w:t>arma de f</w:t>
      </w:r>
      <w:r w:rsidR="006B204E" w:rsidRPr="005D6E61">
        <w:rPr>
          <w:rFonts w:ascii="Cambria" w:hAnsi="Cambria"/>
          <w:sz w:val="20"/>
          <w:szCs w:val="20"/>
          <w:lang w:val="pt-BR"/>
        </w:rPr>
        <w:t>o</w:t>
      </w:r>
      <w:r w:rsidRPr="005D6E61">
        <w:rPr>
          <w:rFonts w:ascii="Cambria" w:hAnsi="Cambria"/>
          <w:sz w:val="20"/>
          <w:szCs w:val="20"/>
          <w:lang w:val="pt-BR"/>
        </w:rPr>
        <w:t>go, se dirigi</w:t>
      </w:r>
      <w:r w:rsidR="006B204E" w:rsidRPr="005D6E61">
        <w:rPr>
          <w:rFonts w:ascii="Cambria" w:hAnsi="Cambria"/>
          <w:sz w:val="20"/>
          <w:szCs w:val="20"/>
          <w:lang w:val="pt-BR"/>
        </w:rPr>
        <w:t xml:space="preserve">ram </w:t>
      </w:r>
      <w:r w:rsidR="00275A65" w:rsidRPr="005D6E61">
        <w:rPr>
          <w:rFonts w:ascii="Cambria" w:hAnsi="Cambria"/>
          <w:sz w:val="20"/>
          <w:szCs w:val="20"/>
          <w:lang w:val="pt-BR"/>
        </w:rPr>
        <w:t xml:space="preserve">à </w:t>
      </w:r>
      <w:r w:rsidR="006B204E" w:rsidRPr="005D6E61">
        <w:rPr>
          <w:rFonts w:ascii="Cambria" w:hAnsi="Cambria"/>
          <w:sz w:val="20"/>
          <w:szCs w:val="20"/>
          <w:lang w:val="pt-BR"/>
        </w:rPr>
        <w:t>casa</w:t>
      </w:r>
      <w:r w:rsidR="00675058" w:rsidRPr="005D6E61">
        <w:rPr>
          <w:rFonts w:ascii="Cambria" w:hAnsi="Cambria"/>
          <w:sz w:val="20"/>
          <w:szCs w:val="20"/>
          <w:lang w:val="pt-BR"/>
        </w:rPr>
        <w:t xml:space="preserve"> da </w:t>
      </w:r>
      <w:r w:rsidR="005A2381" w:rsidRPr="005D6E61">
        <w:rPr>
          <w:rFonts w:ascii="Cambria" w:hAnsi="Cambria"/>
          <w:sz w:val="20"/>
          <w:szCs w:val="20"/>
          <w:lang w:val="pt-BR"/>
        </w:rPr>
        <w:t>suposta</w:t>
      </w:r>
      <w:r w:rsidRPr="005D6E61">
        <w:rPr>
          <w:rFonts w:ascii="Cambria" w:hAnsi="Cambria"/>
          <w:sz w:val="20"/>
          <w:szCs w:val="20"/>
          <w:lang w:val="pt-BR"/>
        </w:rPr>
        <w:t xml:space="preserve"> </w:t>
      </w:r>
      <w:r w:rsidR="003619A0" w:rsidRPr="005D6E61">
        <w:rPr>
          <w:rFonts w:ascii="Cambria" w:hAnsi="Cambria"/>
          <w:sz w:val="20"/>
          <w:szCs w:val="20"/>
          <w:lang w:val="pt-BR"/>
        </w:rPr>
        <w:t>vítima</w:t>
      </w:r>
      <w:r w:rsidR="006C5454" w:rsidRPr="005D6E61">
        <w:rPr>
          <w:rFonts w:ascii="Cambria" w:hAnsi="Cambria"/>
          <w:sz w:val="20"/>
          <w:szCs w:val="20"/>
          <w:lang w:val="pt-BR"/>
        </w:rPr>
        <w:t xml:space="preserve"> e </w:t>
      </w:r>
      <w:r w:rsidR="006B204E" w:rsidRPr="005D6E61">
        <w:rPr>
          <w:rFonts w:ascii="Cambria" w:hAnsi="Cambria"/>
          <w:sz w:val="20"/>
          <w:szCs w:val="20"/>
          <w:lang w:val="pt-BR"/>
        </w:rPr>
        <w:t>viram</w:t>
      </w:r>
      <w:r w:rsidR="00CD523F" w:rsidRPr="005D6E61">
        <w:rPr>
          <w:rFonts w:ascii="Cambria" w:hAnsi="Cambria"/>
          <w:sz w:val="20"/>
          <w:szCs w:val="20"/>
          <w:lang w:val="pt-BR"/>
        </w:rPr>
        <w:t xml:space="preserve"> o </w:t>
      </w:r>
      <w:r w:rsidRPr="005D6E61">
        <w:rPr>
          <w:rFonts w:ascii="Cambria" w:hAnsi="Cambria"/>
          <w:sz w:val="20"/>
          <w:szCs w:val="20"/>
          <w:lang w:val="pt-BR"/>
        </w:rPr>
        <w:t>as</w:t>
      </w:r>
      <w:r w:rsidR="006B204E" w:rsidRPr="005D6E61">
        <w:rPr>
          <w:rFonts w:ascii="Cambria" w:hAnsi="Cambria"/>
          <w:sz w:val="20"/>
          <w:szCs w:val="20"/>
          <w:lang w:val="pt-BR"/>
        </w:rPr>
        <w:t>sas</w:t>
      </w:r>
      <w:r w:rsidRPr="005D6E61">
        <w:rPr>
          <w:rFonts w:ascii="Cambria" w:hAnsi="Cambria"/>
          <w:sz w:val="20"/>
          <w:szCs w:val="20"/>
          <w:lang w:val="pt-BR"/>
        </w:rPr>
        <w:t xml:space="preserve">sino </w:t>
      </w:r>
      <w:r w:rsidR="006B204E" w:rsidRPr="005D6E61">
        <w:rPr>
          <w:rFonts w:ascii="Cambria" w:hAnsi="Cambria"/>
          <w:sz w:val="20"/>
          <w:szCs w:val="20"/>
          <w:lang w:val="pt-BR"/>
        </w:rPr>
        <w:t>quando</w:t>
      </w:r>
      <w:r w:rsidRPr="005D6E61">
        <w:rPr>
          <w:rFonts w:ascii="Cambria" w:hAnsi="Cambria"/>
          <w:sz w:val="20"/>
          <w:szCs w:val="20"/>
          <w:lang w:val="pt-BR"/>
        </w:rPr>
        <w:t xml:space="preserve"> e</w:t>
      </w:r>
      <w:r w:rsidR="006B204E" w:rsidRPr="005D6E61">
        <w:rPr>
          <w:rFonts w:ascii="Cambria" w:hAnsi="Cambria"/>
          <w:sz w:val="20"/>
          <w:szCs w:val="20"/>
          <w:lang w:val="pt-BR"/>
        </w:rPr>
        <w:t>le</w:t>
      </w:r>
      <w:r w:rsidRPr="005D6E61">
        <w:rPr>
          <w:rFonts w:ascii="Cambria" w:hAnsi="Cambria"/>
          <w:sz w:val="20"/>
          <w:szCs w:val="20"/>
          <w:lang w:val="pt-BR"/>
        </w:rPr>
        <w:t xml:space="preserve"> </w:t>
      </w:r>
      <w:r w:rsidR="006B204E" w:rsidRPr="005D6E61">
        <w:rPr>
          <w:rFonts w:ascii="Cambria" w:hAnsi="Cambria"/>
          <w:sz w:val="20"/>
          <w:szCs w:val="20"/>
          <w:lang w:val="pt-BR"/>
        </w:rPr>
        <w:t>fugia</w:t>
      </w:r>
      <w:r w:rsidR="00F77B7F" w:rsidRPr="005D6E61">
        <w:rPr>
          <w:rFonts w:ascii="Cambria" w:hAnsi="Cambria"/>
          <w:sz w:val="20"/>
          <w:szCs w:val="20"/>
          <w:lang w:val="pt-BR"/>
        </w:rPr>
        <w:t xml:space="preserve"> com </w:t>
      </w:r>
      <w:r w:rsidR="00A1065A" w:rsidRPr="005D6E61">
        <w:rPr>
          <w:rFonts w:ascii="Cambria" w:hAnsi="Cambria"/>
          <w:sz w:val="20"/>
          <w:szCs w:val="20"/>
          <w:lang w:val="pt-BR"/>
        </w:rPr>
        <w:t>outr</w:t>
      </w:r>
      <w:r w:rsidR="00AD69D4" w:rsidRPr="005D6E61">
        <w:rPr>
          <w:rFonts w:ascii="Cambria" w:hAnsi="Cambria"/>
          <w:sz w:val="20"/>
          <w:szCs w:val="20"/>
          <w:lang w:val="pt-BR"/>
        </w:rPr>
        <w:t xml:space="preserve">as </w:t>
      </w:r>
      <w:r w:rsidR="0054428F" w:rsidRPr="005D6E61">
        <w:rPr>
          <w:rFonts w:ascii="Cambria" w:hAnsi="Cambria"/>
          <w:sz w:val="20"/>
          <w:szCs w:val="20"/>
          <w:lang w:val="pt-BR"/>
        </w:rPr>
        <w:t>pessoa</w:t>
      </w:r>
      <w:r w:rsidR="00AD69D4" w:rsidRPr="005D6E61">
        <w:rPr>
          <w:rFonts w:ascii="Cambria" w:hAnsi="Cambria"/>
          <w:sz w:val="20"/>
          <w:szCs w:val="20"/>
          <w:lang w:val="pt-BR"/>
        </w:rPr>
        <w:t>s que o espera</w:t>
      </w:r>
      <w:r w:rsidR="006B204E" w:rsidRPr="005D6E61">
        <w:rPr>
          <w:rFonts w:ascii="Cambria" w:hAnsi="Cambria"/>
          <w:sz w:val="20"/>
          <w:szCs w:val="20"/>
          <w:lang w:val="pt-BR"/>
        </w:rPr>
        <w:t>vam</w:t>
      </w:r>
      <w:r w:rsidR="00F77B7F" w:rsidRPr="005D6E61">
        <w:rPr>
          <w:rFonts w:ascii="Cambria" w:hAnsi="Cambria"/>
          <w:sz w:val="20"/>
          <w:szCs w:val="20"/>
          <w:lang w:val="pt-BR"/>
        </w:rPr>
        <w:t xml:space="preserve"> em</w:t>
      </w:r>
      <w:r w:rsidR="00275A65" w:rsidRPr="005D6E61">
        <w:rPr>
          <w:rFonts w:ascii="Cambria" w:hAnsi="Cambria"/>
          <w:sz w:val="20"/>
          <w:szCs w:val="20"/>
          <w:lang w:val="pt-BR"/>
        </w:rPr>
        <w:t xml:space="preserve"> um </w:t>
      </w:r>
      <w:r w:rsidR="00AD69D4" w:rsidRPr="005D6E61">
        <w:rPr>
          <w:rFonts w:ascii="Cambria" w:hAnsi="Cambria"/>
          <w:sz w:val="20"/>
          <w:szCs w:val="20"/>
          <w:lang w:val="pt-BR"/>
        </w:rPr>
        <w:t>veículo</w:t>
      </w:r>
      <w:r w:rsidRPr="005D6E61">
        <w:rPr>
          <w:rStyle w:val="FootnoteReference"/>
          <w:rFonts w:ascii="Cambria" w:hAnsi="Cambria"/>
          <w:sz w:val="20"/>
          <w:szCs w:val="20"/>
          <w:lang w:val="pt-BR"/>
        </w:rPr>
        <w:footnoteReference w:id="36"/>
      </w:r>
      <w:r w:rsidRPr="005D6E61">
        <w:rPr>
          <w:rFonts w:ascii="Cambria" w:hAnsi="Cambria"/>
          <w:sz w:val="20"/>
          <w:szCs w:val="20"/>
          <w:lang w:val="pt-BR"/>
        </w:rPr>
        <w:t xml:space="preserve">. </w:t>
      </w:r>
    </w:p>
    <w:p w14:paraId="29DEFBA8" w14:textId="77777777" w:rsidR="00AA70A5" w:rsidRPr="005D6E61" w:rsidRDefault="00AA70A5" w:rsidP="00AA70A5">
      <w:pPr>
        <w:pStyle w:val="ListParagraph"/>
        <w:ind w:left="0"/>
        <w:rPr>
          <w:sz w:val="20"/>
          <w:szCs w:val="20"/>
          <w:lang w:val="pt-BR"/>
        </w:rPr>
      </w:pPr>
    </w:p>
    <w:p w14:paraId="6A692B87" w14:textId="77777777" w:rsidR="00AA70A5" w:rsidRPr="005D6E61" w:rsidRDefault="003655B3"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Segundo</w:t>
      </w:r>
      <w:r w:rsidR="00AA70A5" w:rsidRPr="005D6E61">
        <w:rPr>
          <w:rFonts w:ascii="Cambria" w:hAnsi="Cambria"/>
          <w:sz w:val="20"/>
          <w:szCs w:val="20"/>
          <w:lang w:val="pt-BR"/>
        </w:rPr>
        <w:t xml:space="preserve"> consta</w:t>
      </w:r>
      <w:r w:rsidR="005A2381" w:rsidRPr="005D6E61">
        <w:rPr>
          <w:rFonts w:ascii="Cambria" w:hAnsi="Cambria"/>
          <w:sz w:val="20"/>
          <w:szCs w:val="20"/>
          <w:lang w:val="pt-BR"/>
        </w:rPr>
        <w:t xml:space="preserve"> na </w:t>
      </w:r>
      <w:r w:rsidR="00AA70A5" w:rsidRPr="005D6E61">
        <w:rPr>
          <w:rFonts w:ascii="Cambria" w:hAnsi="Cambria"/>
          <w:sz w:val="20"/>
          <w:szCs w:val="20"/>
          <w:lang w:val="pt-BR"/>
        </w:rPr>
        <w:t>den</w:t>
      </w:r>
      <w:r w:rsidR="006B204E" w:rsidRPr="005D6E61">
        <w:rPr>
          <w:rFonts w:ascii="Cambria" w:hAnsi="Cambria"/>
          <w:sz w:val="20"/>
          <w:szCs w:val="20"/>
          <w:lang w:val="pt-BR"/>
        </w:rPr>
        <w:t>ú</w:t>
      </w:r>
      <w:r w:rsidR="00AA70A5" w:rsidRPr="005D6E61">
        <w:rPr>
          <w:rFonts w:ascii="Cambria" w:hAnsi="Cambria"/>
          <w:sz w:val="20"/>
          <w:szCs w:val="20"/>
          <w:lang w:val="pt-BR"/>
        </w:rPr>
        <w:t>ncia que</w:t>
      </w:r>
      <w:r w:rsidR="00331E62" w:rsidRPr="005D6E61">
        <w:rPr>
          <w:rFonts w:ascii="Cambria" w:hAnsi="Cambria"/>
          <w:sz w:val="20"/>
          <w:szCs w:val="20"/>
          <w:lang w:val="pt-BR"/>
        </w:rPr>
        <w:t xml:space="preserve"> o </w:t>
      </w:r>
      <w:r w:rsidR="006B204E" w:rsidRPr="005D6E61">
        <w:rPr>
          <w:rFonts w:ascii="Cambria" w:hAnsi="Cambria"/>
          <w:sz w:val="20"/>
          <w:szCs w:val="20"/>
          <w:lang w:val="pt-BR"/>
        </w:rPr>
        <w:t>Ministério</w:t>
      </w:r>
      <w:r w:rsidR="00AA70A5" w:rsidRPr="005D6E61">
        <w:rPr>
          <w:rFonts w:ascii="Cambria" w:hAnsi="Cambria"/>
          <w:sz w:val="20"/>
          <w:szCs w:val="20"/>
          <w:lang w:val="pt-BR"/>
        </w:rPr>
        <w:t xml:space="preserve"> Público </w:t>
      </w:r>
      <w:r w:rsidR="006B204E" w:rsidRPr="005D6E61">
        <w:rPr>
          <w:rFonts w:ascii="Cambria" w:hAnsi="Cambria"/>
          <w:sz w:val="20"/>
          <w:szCs w:val="20"/>
          <w:lang w:val="pt-BR"/>
        </w:rPr>
        <w:t>a</w:t>
      </w:r>
      <w:r w:rsidR="00AA70A5" w:rsidRPr="005D6E61">
        <w:rPr>
          <w:rFonts w:ascii="Cambria" w:hAnsi="Cambria"/>
          <w:sz w:val="20"/>
          <w:szCs w:val="20"/>
          <w:lang w:val="pt-BR"/>
        </w:rPr>
        <w:t>present</w:t>
      </w:r>
      <w:r w:rsidR="00BF0B90" w:rsidRPr="005D6E61">
        <w:rPr>
          <w:rFonts w:ascii="Cambria" w:hAnsi="Cambria"/>
          <w:sz w:val="20"/>
          <w:szCs w:val="20"/>
          <w:lang w:val="pt-BR"/>
        </w:rPr>
        <w:t xml:space="preserve">ou </w:t>
      </w:r>
      <w:r w:rsidR="006B204E" w:rsidRPr="005D6E61">
        <w:rPr>
          <w:rFonts w:ascii="Cambria" w:hAnsi="Cambria"/>
          <w:sz w:val="20"/>
          <w:szCs w:val="20"/>
          <w:lang w:val="pt-BR"/>
        </w:rPr>
        <w:t>a</w:t>
      </w:r>
      <w:r w:rsidR="00331E62" w:rsidRPr="005D6E61">
        <w:rPr>
          <w:rFonts w:ascii="Cambria" w:hAnsi="Cambria"/>
          <w:sz w:val="20"/>
          <w:szCs w:val="20"/>
          <w:lang w:val="pt-BR"/>
        </w:rPr>
        <w:t xml:space="preserve">o </w:t>
      </w:r>
      <w:r w:rsidR="00AA70A5" w:rsidRPr="005D6E61">
        <w:rPr>
          <w:rFonts w:ascii="Cambria" w:hAnsi="Cambria"/>
          <w:sz w:val="20"/>
          <w:szCs w:val="20"/>
          <w:lang w:val="pt-BR"/>
        </w:rPr>
        <w:t>Poder Judici</w:t>
      </w:r>
      <w:r w:rsidR="006B204E" w:rsidRPr="005D6E61">
        <w:rPr>
          <w:rFonts w:ascii="Cambria" w:hAnsi="Cambria"/>
          <w:sz w:val="20"/>
          <w:szCs w:val="20"/>
          <w:lang w:val="pt-BR"/>
        </w:rPr>
        <w:t>ário</w:t>
      </w:r>
      <w:r w:rsidR="00AA70A5" w:rsidRPr="005D6E61">
        <w:rPr>
          <w:rFonts w:ascii="Cambria" w:hAnsi="Cambria"/>
          <w:sz w:val="20"/>
          <w:szCs w:val="20"/>
          <w:lang w:val="pt-BR"/>
        </w:rPr>
        <w:t xml:space="preserve"> </w:t>
      </w:r>
      <w:r w:rsidR="00287321" w:rsidRPr="005D6E61">
        <w:rPr>
          <w:rFonts w:ascii="Cambria" w:hAnsi="Cambria"/>
          <w:sz w:val="20"/>
          <w:szCs w:val="20"/>
          <w:lang w:val="pt-BR"/>
        </w:rPr>
        <w:t>da Paraíba</w:t>
      </w:r>
      <w:r w:rsidR="00AA70A5" w:rsidRPr="005D6E61">
        <w:rPr>
          <w:rFonts w:ascii="Cambria" w:hAnsi="Cambria"/>
          <w:sz w:val="20"/>
          <w:szCs w:val="20"/>
          <w:lang w:val="pt-BR"/>
        </w:rPr>
        <w:t>,</w:t>
      </w:r>
      <w:r w:rsidR="00331E62" w:rsidRPr="005D6E61">
        <w:rPr>
          <w:rFonts w:ascii="Cambria" w:hAnsi="Cambria"/>
          <w:sz w:val="20"/>
          <w:szCs w:val="20"/>
          <w:lang w:val="pt-BR"/>
        </w:rPr>
        <w:t xml:space="preserve"> o </w:t>
      </w:r>
      <w:r w:rsidR="006B204E" w:rsidRPr="005D6E61">
        <w:rPr>
          <w:rFonts w:ascii="Cambria" w:hAnsi="Cambria"/>
          <w:sz w:val="20"/>
          <w:szCs w:val="20"/>
          <w:lang w:val="pt-BR"/>
        </w:rPr>
        <w:t>assassino</w:t>
      </w:r>
      <w:r w:rsidR="00675058" w:rsidRPr="005D6E61">
        <w:rPr>
          <w:rFonts w:ascii="Cambria" w:hAnsi="Cambria"/>
          <w:sz w:val="20"/>
          <w:szCs w:val="20"/>
          <w:lang w:val="pt-BR"/>
        </w:rPr>
        <w:t xml:space="preserve"> da </w:t>
      </w:r>
      <w:r w:rsidR="005A2381" w:rsidRPr="005D6E61">
        <w:rPr>
          <w:rFonts w:ascii="Cambria" w:hAnsi="Cambria"/>
          <w:sz w:val="20"/>
          <w:szCs w:val="20"/>
          <w:lang w:val="pt-BR"/>
        </w:rPr>
        <w:t>suposta</w:t>
      </w:r>
      <w:r w:rsidR="00AA70A5" w:rsidRPr="005D6E61">
        <w:rPr>
          <w:rFonts w:ascii="Cambria" w:hAnsi="Cambria"/>
          <w:sz w:val="20"/>
          <w:szCs w:val="20"/>
          <w:lang w:val="pt-BR"/>
        </w:rPr>
        <w:t xml:space="preserve"> </w:t>
      </w:r>
      <w:r w:rsidR="003619A0" w:rsidRPr="005D6E61">
        <w:rPr>
          <w:rFonts w:ascii="Cambria" w:hAnsi="Cambria"/>
          <w:sz w:val="20"/>
          <w:szCs w:val="20"/>
          <w:lang w:val="pt-BR"/>
        </w:rPr>
        <w:t>vítima</w:t>
      </w:r>
      <w:r w:rsidR="00AA70A5" w:rsidRPr="005D6E61">
        <w:rPr>
          <w:rFonts w:ascii="Cambria" w:hAnsi="Cambria"/>
          <w:sz w:val="20"/>
          <w:szCs w:val="20"/>
          <w:lang w:val="pt-BR"/>
        </w:rPr>
        <w:t xml:space="preserve"> </w:t>
      </w:r>
      <w:r w:rsidR="00315E42" w:rsidRPr="005D6E61">
        <w:rPr>
          <w:rFonts w:ascii="Cambria" w:hAnsi="Cambria"/>
          <w:sz w:val="20"/>
          <w:szCs w:val="20"/>
          <w:lang w:val="pt-BR"/>
        </w:rPr>
        <w:t>te</w:t>
      </w:r>
      <w:r w:rsidR="00AA70A5" w:rsidRPr="005D6E61">
        <w:rPr>
          <w:rFonts w:ascii="Cambria" w:hAnsi="Cambria"/>
          <w:sz w:val="20"/>
          <w:szCs w:val="20"/>
          <w:lang w:val="pt-BR"/>
        </w:rPr>
        <w:t>r</w:t>
      </w:r>
      <w:r w:rsidR="005A2381" w:rsidRPr="005D6E61">
        <w:rPr>
          <w:rFonts w:ascii="Cambria" w:hAnsi="Cambria"/>
          <w:sz w:val="20"/>
          <w:szCs w:val="20"/>
          <w:lang w:val="pt-BR"/>
        </w:rPr>
        <w:t>ia</w:t>
      </w:r>
      <w:r w:rsidR="00AA70A5" w:rsidRPr="005D6E61">
        <w:rPr>
          <w:rFonts w:ascii="Cambria" w:hAnsi="Cambria"/>
          <w:sz w:val="20"/>
          <w:szCs w:val="20"/>
          <w:lang w:val="pt-BR"/>
        </w:rPr>
        <w:t xml:space="preserve"> escapado</w:t>
      </w:r>
      <w:r w:rsidR="00F77B7F" w:rsidRPr="005D6E61">
        <w:rPr>
          <w:rFonts w:ascii="Cambria" w:hAnsi="Cambria"/>
          <w:sz w:val="20"/>
          <w:szCs w:val="20"/>
          <w:lang w:val="pt-BR"/>
        </w:rPr>
        <w:t xml:space="preserve"> em</w:t>
      </w:r>
      <w:r w:rsidR="00275A65" w:rsidRPr="005D6E61">
        <w:rPr>
          <w:rFonts w:ascii="Cambria" w:hAnsi="Cambria"/>
          <w:sz w:val="20"/>
          <w:szCs w:val="20"/>
          <w:lang w:val="pt-BR"/>
        </w:rPr>
        <w:t xml:space="preserve"> um </w:t>
      </w:r>
      <w:r w:rsidR="00AA70A5" w:rsidRPr="005D6E61">
        <w:rPr>
          <w:rFonts w:ascii="Cambria" w:hAnsi="Cambria"/>
          <w:sz w:val="20"/>
          <w:szCs w:val="20"/>
          <w:lang w:val="pt-BR"/>
        </w:rPr>
        <w:t xml:space="preserve">carro Opala </w:t>
      </w:r>
      <w:r w:rsidR="00315E42" w:rsidRPr="005D6E61">
        <w:rPr>
          <w:rFonts w:ascii="Cambria" w:hAnsi="Cambria"/>
          <w:sz w:val="20"/>
          <w:szCs w:val="20"/>
          <w:lang w:val="pt-BR"/>
        </w:rPr>
        <w:t>vermelho</w:t>
      </w:r>
      <w:r w:rsidR="00AA70A5" w:rsidRPr="005D6E61">
        <w:rPr>
          <w:rFonts w:ascii="Cambria" w:hAnsi="Cambria"/>
          <w:sz w:val="20"/>
          <w:szCs w:val="20"/>
          <w:lang w:val="pt-BR"/>
        </w:rPr>
        <w:t xml:space="preserve">, </w:t>
      </w:r>
      <w:r w:rsidR="004D0AA1" w:rsidRPr="005D6E61">
        <w:rPr>
          <w:rFonts w:ascii="Cambria" w:hAnsi="Cambria"/>
          <w:sz w:val="20"/>
          <w:szCs w:val="20"/>
          <w:lang w:val="pt-BR"/>
        </w:rPr>
        <w:t>plac</w:t>
      </w:r>
      <w:r w:rsidR="00315E42" w:rsidRPr="005D6E61">
        <w:rPr>
          <w:rFonts w:ascii="Cambria" w:hAnsi="Cambria"/>
          <w:sz w:val="20"/>
          <w:szCs w:val="20"/>
          <w:lang w:val="pt-BR"/>
        </w:rPr>
        <w:t>a</w:t>
      </w:r>
      <w:r w:rsidR="00AA70A5" w:rsidRPr="005D6E61">
        <w:rPr>
          <w:rFonts w:ascii="Cambria" w:hAnsi="Cambria"/>
          <w:sz w:val="20"/>
          <w:szCs w:val="20"/>
          <w:lang w:val="pt-BR"/>
        </w:rPr>
        <w:t xml:space="preserve"> EX0690,</w:t>
      </w:r>
      <w:r w:rsidR="00675058" w:rsidRPr="005D6E61">
        <w:rPr>
          <w:rFonts w:ascii="Cambria" w:hAnsi="Cambria"/>
          <w:sz w:val="20"/>
          <w:szCs w:val="20"/>
          <w:lang w:val="pt-BR"/>
        </w:rPr>
        <w:t xml:space="preserve"> da </w:t>
      </w:r>
      <w:r w:rsidR="00AA70A5" w:rsidRPr="005D6E61">
        <w:rPr>
          <w:rFonts w:ascii="Cambria" w:hAnsi="Cambria"/>
          <w:sz w:val="20"/>
          <w:szCs w:val="20"/>
          <w:lang w:val="pt-BR"/>
        </w:rPr>
        <w:t>locali</w:t>
      </w:r>
      <w:r w:rsidR="00FB55C7" w:rsidRPr="005D6E61">
        <w:rPr>
          <w:rFonts w:ascii="Cambria" w:hAnsi="Cambria"/>
          <w:sz w:val="20"/>
          <w:szCs w:val="20"/>
          <w:lang w:val="pt-BR"/>
        </w:rPr>
        <w:t xml:space="preserve">dade </w:t>
      </w:r>
      <w:r w:rsidR="00AA70A5" w:rsidRPr="005D6E61">
        <w:rPr>
          <w:rFonts w:ascii="Cambria" w:hAnsi="Cambria"/>
          <w:sz w:val="20"/>
          <w:szCs w:val="20"/>
          <w:lang w:val="pt-BR"/>
        </w:rPr>
        <w:t xml:space="preserve">de Nova Cruz, </w:t>
      </w:r>
      <w:r w:rsidR="00315E42" w:rsidRPr="005D6E61">
        <w:rPr>
          <w:rFonts w:ascii="Cambria" w:hAnsi="Cambria"/>
          <w:sz w:val="20"/>
          <w:szCs w:val="20"/>
          <w:lang w:val="pt-BR"/>
        </w:rPr>
        <w:t>E</w:t>
      </w:r>
      <w:r w:rsidR="00AA70A5" w:rsidRPr="005D6E61">
        <w:rPr>
          <w:rFonts w:ascii="Cambria" w:hAnsi="Cambria"/>
          <w:sz w:val="20"/>
          <w:szCs w:val="20"/>
          <w:lang w:val="pt-BR"/>
        </w:rPr>
        <w:t>stado d</w:t>
      </w:r>
      <w:r w:rsidR="00315E42" w:rsidRPr="005D6E61">
        <w:rPr>
          <w:rFonts w:ascii="Cambria" w:hAnsi="Cambria"/>
          <w:sz w:val="20"/>
          <w:szCs w:val="20"/>
          <w:lang w:val="pt-BR"/>
        </w:rPr>
        <w:t>o</w:t>
      </w:r>
      <w:r w:rsidR="00F81C54" w:rsidRPr="005D6E61">
        <w:rPr>
          <w:rFonts w:ascii="Cambria" w:hAnsi="Cambria"/>
          <w:sz w:val="20"/>
          <w:szCs w:val="20"/>
          <w:lang w:val="pt-BR"/>
        </w:rPr>
        <w:t xml:space="preserve"> Rio Grande do Norte, acompanh</w:t>
      </w:r>
      <w:r w:rsidR="00AA70A5" w:rsidRPr="005D6E61">
        <w:rPr>
          <w:rFonts w:ascii="Cambria" w:hAnsi="Cambria"/>
          <w:sz w:val="20"/>
          <w:szCs w:val="20"/>
          <w:lang w:val="pt-BR"/>
        </w:rPr>
        <w:t xml:space="preserve">ado de </w:t>
      </w:r>
      <w:r w:rsidR="00A1065A" w:rsidRPr="005D6E61">
        <w:rPr>
          <w:rFonts w:ascii="Cambria" w:hAnsi="Cambria"/>
          <w:sz w:val="20"/>
          <w:szCs w:val="20"/>
          <w:lang w:val="pt-BR"/>
        </w:rPr>
        <w:t>outr</w:t>
      </w:r>
      <w:r w:rsidR="00AA70A5" w:rsidRPr="005D6E61">
        <w:rPr>
          <w:rFonts w:ascii="Cambria" w:hAnsi="Cambria"/>
          <w:sz w:val="20"/>
          <w:szCs w:val="20"/>
          <w:lang w:val="pt-BR"/>
        </w:rPr>
        <w:t>as d</w:t>
      </w:r>
      <w:r w:rsidR="00F81C54" w:rsidRPr="005D6E61">
        <w:rPr>
          <w:rFonts w:ascii="Cambria" w:hAnsi="Cambria"/>
          <w:sz w:val="20"/>
          <w:szCs w:val="20"/>
          <w:lang w:val="pt-BR"/>
        </w:rPr>
        <w:t>ua</w:t>
      </w:r>
      <w:r w:rsidR="00AA70A5" w:rsidRPr="005D6E61">
        <w:rPr>
          <w:rFonts w:ascii="Cambria" w:hAnsi="Cambria"/>
          <w:sz w:val="20"/>
          <w:szCs w:val="20"/>
          <w:lang w:val="pt-BR"/>
        </w:rPr>
        <w:t xml:space="preserve">s </w:t>
      </w:r>
      <w:r w:rsidR="0054428F" w:rsidRPr="005D6E61">
        <w:rPr>
          <w:rFonts w:ascii="Cambria" w:hAnsi="Cambria"/>
          <w:sz w:val="20"/>
          <w:szCs w:val="20"/>
          <w:lang w:val="pt-BR"/>
        </w:rPr>
        <w:t>pessoa</w:t>
      </w:r>
      <w:r w:rsidR="00AA70A5" w:rsidRPr="005D6E61">
        <w:rPr>
          <w:rFonts w:ascii="Cambria" w:hAnsi="Cambria"/>
          <w:sz w:val="20"/>
          <w:szCs w:val="20"/>
          <w:lang w:val="pt-BR"/>
        </w:rPr>
        <w:t>s qu</w:t>
      </w:r>
      <w:r w:rsidR="00F81C54" w:rsidRPr="005D6E61">
        <w:rPr>
          <w:rFonts w:ascii="Cambria" w:hAnsi="Cambria"/>
          <w:sz w:val="20"/>
          <w:szCs w:val="20"/>
          <w:lang w:val="pt-BR"/>
        </w:rPr>
        <w:t>e o</w:t>
      </w:r>
      <w:r w:rsidR="00AA70A5" w:rsidRPr="005D6E61">
        <w:rPr>
          <w:rFonts w:ascii="Cambria" w:hAnsi="Cambria"/>
          <w:sz w:val="20"/>
          <w:szCs w:val="20"/>
          <w:lang w:val="pt-BR"/>
        </w:rPr>
        <w:t xml:space="preserve"> espera</w:t>
      </w:r>
      <w:r w:rsidR="00F81C54" w:rsidRPr="005D6E61">
        <w:rPr>
          <w:rFonts w:ascii="Cambria" w:hAnsi="Cambria"/>
          <w:sz w:val="20"/>
          <w:szCs w:val="20"/>
          <w:lang w:val="pt-BR"/>
        </w:rPr>
        <w:t>vam</w:t>
      </w:r>
      <w:r w:rsidR="00331E62" w:rsidRPr="005D6E61">
        <w:rPr>
          <w:rFonts w:ascii="Cambria" w:hAnsi="Cambria"/>
          <w:sz w:val="20"/>
          <w:szCs w:val="20"/>
          <w:lang w:val="pt-BR"/>
        </w:rPr>
        <w:t xml:space="preserve"> no </w:t>
      </w:r>
      <w:r w:rsidR="00AA70A5" w:rsidRPr="005D6E61">
        <w:rPr>
          <w:rFonts w:ascii="Cambria" w:hAnsi="Cambria"/>
          <w:sz w:val="20"/>
          <w:szCs w:val="20"/>
          <w:lang w:val="pt-BR"/>
        </w:rPr>
        <w:t xml:space="preserve">veículo. </w:t>
      </w:r>
      <w:r w:rsidR="00DC2BF3" w:rsidRPr="005D6E61">
        <w:rPr>
          <w:rFonts w:ascii="Cambria" w:hAnsi="Cambria"/>
          <w:sz w:val="20"/>
          <w:szCs w:val="20"/>
          <w:lang w:val="pt-BR"/>
        </w:rPr>
        <w:t>Segundo</w:t>
      </w:r>
      <w:r w:rsidR="00CD523F" w:rsidRPr="005D6E61">
        <w:rPr>
          <w:rFonts w:ascii="Cambria" w:hAnsi="Cambria"/>
          <w:sz w:val="20"/>
          <w:szCs w:val="20"/>
          <w:lang w:val="pt-BR"/>
        </w:rPr>
        <w:t xml:space="preserve"> o </w:t>
      </w:r>
      <w:r w:rsidR="006B204E" w:rsidRPr="005D6E61">
        <w:rPr>
          <w:rFonts w:ascii="Cambria" w:hAnsi="Cambria"/>
          <w:sz w:val="20"/>
          <w:szCs w:val="20"/>
          <w:lang w:val="pt-BR"/>
        </w:rPr>
        <w:t>Ministério</w:t>
      </w:r>
      <w:r w:rsidR="00AA70A5" w:rsidRPr="005D6E61">
        <w:rPr>
          <w:rFonts w:ascii="Cambria" w:hAnsi="Cambria"/>
          <w:sz w:val="20"/>
          <w:szCs w:val="20"/>
          <w:lang w:val="pt-BR"/>
        </w:rPr>
        <w:t xml:space="preserve"> Público, u</w:t>
      </w:r>
      <w:r w:rsidR="00DC2BF3" w:rsidRPr="005D6E61">
        <w:rPr>
          <w:rFonts w:ascii="Cambria" w:hAnsi="Cambria"/>
          <w:sz w:val="20"/>
          <w:szCs w:val="20"/>
          <w:lang w:val="pt-BR"/>
        </w:rPr>
        <w:t>m</w:t>
      </w:r>
      <w:r w:rsidR="00AA70A5" w:rsidRPr="005D6E61">
        <w:rPr>
          <w:rFonts w:ascii="Cambria" w:hAnsi="Cambria"/>
          <w:sz w:val="20"/>
          <w:szCs w:val="20"/>
          <w:lang w:val="pt-BR"/>
        </w:rPr>
        <w:t xml:space="preserve"> de</w:t>
      </w:r>
      <w:r w:rsidR="00DC2BF3" w:rsidRPr="005D6E61">
        <w:rPr>
          <w:rFonts w:ascii="Cambria" w:hAnsi="Cambria"/>
          <w:sz w:val="20"/>
          <w:szCs w:val="20"/>
          <w:lang w:val="pt-BR"/>
        </w:rPr>
        <w:t>sses</w:t>
      </w:r>
      <w:r w:rsidR="00AA70A5" w:rsidRPr="005D6E61">
        <w:rPr>
          <w:rFonts w:ascii="Cambria" w:hAnsi="Cambria"/>
          <w:sz w:val="20"/>
          <w:szCs w:val="20"/>
          <w:lang w:val="pt-BR"/>
        </w:rPr>
        <w:t xml:space="preserve"> tr</w:t>
      </w:r>
      <w:r w:rsidR="00DC2BF3" w:rsidRPr="005D6E61">
        <w:rPr>
          <w:rFonts w:ascii="Cambria" w:hAnsi="Cambria"/>
          <w:sz w:val="20"/>
          <w:szCs w:val="20"/>
          <w:lang w:val="pt-BR"/>
        </w:rPr>
        <w:t>ê</w:t>
      </w:r>
      <w:r w:rsidR="00AA70A5" w:rsidRPr="005D6E61">
        <w:rPr>
          <w:rFonts w:ascii="Cambria" w:hAnsi="Cambria"/>
          <w:sz w:val="20"/>
          <w:szCs w:val="20"/>
          <w:lang w:val="pt-BR"/>
        </w:rPr>
        <w:t>s indiv</w:t>
      </w:r>
      <w:r w:rsidR="00DC2BF3" w:rsidRPr="005D6E61">
        <w:rPr>
          <w:rFonts w:ascii="Cambria" w:hAnsi="Cambria"/>
          <w:sz w:val="20"/>
          <w:szCs w:val="20"/>
          <w:lang w:val="pt-BR"/>
        </w:rPr>
        <w:t>í</w:t>
      </w:r>
      <w:r w:rsidR="00AA70A5" w:rsidRPr="005D6E61">
        <w:rPr>
          <w:rFonts w:ascii="Cambria" w:hAnsi="Cambria"/>
          <w:sz w:val="20"/>
          <w:szCs w:val="20"/>
          <w:lang w:val="pt-BR"/>
        </w:rPr>
        <w:t>duos ser</w:t>
      </w:r>
      <w:r w:rsidR="005A2381" w:rsidRPr="005D6E61">
        <w:rPr>
          <w:rFonts w:ascii="Cambria" w:hAnsi="Cambria"/>
          <w:sz w:val="20"/>
          <w:szCs w:val="20"/>
          <w:lang w:val="pt-BR"/>
        </w:rPr>
        <w:t>ia</w:t>
      </w:r>
      <w:r w:rsidR="00AA70A5" w:rsidRPr="005D6E61">
        <w:rPr>
          <w:rFonts w:ascii="Cambria" w:hAnsi="Cambria"/>
          <w:sz w:val="20"/>
          <w:szCs w:val="20"/>
          <w:lang w:val="pt-BR"/>
        </w:rPr>
        <w:t xml:space="preserve"> Amauri José do Rego</w:t>
      </w:r>
      <w:r w:rsidR="00AA70A5" w:rsidRPr="005D6E61">
        <w:rPr>
          <w:rStyle w:val="FootnoteReference"/>
          <w:rFonts w:ascii="Cambria" w:hAnsi="Cambria"/>
          <w:sz w:val="20"/>
          <w:szCs w:val="20"/>
          <w:lang w:val="pt-BR"/>
        </w:rPr>
        <w:footnoteReference w:id="37"/>
      </w:r>
      <w:r w:rsidR="00AA70A5" w:rsidRPr="005D6E61">
        <w:rPr>
          <w:rFonts w:ascii="Cambria" w:hAnsi="Cambria"/>
          <w:sz w:val="20"/>
          <w:szCs w:val="20"/>
          <w:lang w:val="pt-BR"/>
        </w:rPr>
        <w:t>.</w:t>
      </w:r>
      <w:r w:rsidR="00F77B7F" w:rsidRPr="005D6E61">
        <w:rPr>
          <w:rFonts w:ascii="Cambria" w:hAnsi="Cambria"/>
          <w:sz w:val="20"/>
          <w:szCs w:val="20"/>
          <w:lang w:val="pt-BR"/>
        </w:rPr>
        <w:t xml:space="preserve"> </w:t>
      </w:r>
      <w:r w:rsidR="00DC2BF3" w:rsidRPr="005D6E61">
        <w:rPr>
          <w:rFonts w:ascii="Cambria" w:hAnsi="Cambria"/>
          <w:sz w:val="20"/>
          <w:szCs w:val="20"/>
          <w:lang w:val="pt-BR"/>
        </w:rPr>
        <w:t>P</w:t>
      </w:r>
      <w:r w:rsidR="00AA70A5" w:rsidRPr="005D6E61">
        <w:rPr>
          <w:rFonts w:ascii="Cambria" w:hAnsi="Cambria"/>
          <w:sz w:val="20"/>
          <w:szCs w:val="20"/>
          <w:lang w:val="pt-BR"/>
        </w:rPr>
        <w:t>osterior</w:t>
      </w:r>
      <w:r w:rsidR="00DC2BF3" w:rsidRPr="005D6E61">
        <w:rPr>
          <w:rFonts w:ascii="Cambria" w:hAnsi="Cambria"/>
          <w:sz w:val="20"/>
          <w:szCs w:val="20"/>
          <w:lang w:val="pt-BR"/>
        </w:rPr>
        <w:t>mente</w:t>
      </w:r>
      <w:r w:rsidR="00AA70A5" w:rsidRPr="005D6E61">
        <w:rPr>
          <w:rFonts w:ascii="Cambria" w:hAnsi="Cambria"/>
          <w:sz w:val="20"/>
          <w:szCs w:val="20"/>
          <w:lang w:val="pt-BR"/>
        </w:rPr>
        <w:t>,</w:t>
      </w:r>
      <w:r w:rsidR="00331E62" w:rsidRPr="005D6E61">
        <w:rPr>
          <w:rFonts w:ascii="Cambria" w:hAnsi="Cambria"/>
          <w:sz w:val="20"/>
          <w:szCs w:val="20"/>
          <w:lang w:val="pt-BR"/>
        </w:rPr>
        <w:t xml:space="preserve"> </w:t>
      </w:r>
      <w:r w:rsidR="00DC2BF3" w:rsidRPr="005D6E61">
        <w:rPr>
          <w:rFonts w:ascii="Cambria" w:hAnsi="Cambria"/>
          <w:sz w:val="20"/>
          <w:szCs w:val="20"/>
          <w:lang w:val="pt-BR"/>
        </w:rPr>
        <w:t xml:space="preserve">o </w:t>
      </w:r>
      <w:r w:rsidR="00AA70A5" w:rsidRPr="005D6E61">
        <w:rPr>
          <w:rFonts w:ascii="Cambria" w:hAnsi="Cambria"/>
          <w:sz w:val="20"/>
          <w:szCs w:val="20"/>
          <w:lang w:val="pt-BR"/>
        </w:rPr>
        <w:t>in</w:t>
      </w:r>
      <w:r w:rsidR="00DC2BF3" w:rsidRPr="005D6E61">
        <w:rPr>
          <w:rFonts w:ascii="Cambria" w:hAnsi="Cambria"/>
          <w:sz w:val="20"/>
          <w:szCs w:val="20"/>
          <w:lang w:val="pt-BR"/>
        </w:rPr>
        <w:t>quérito</w:t>
      </w:r>
      <w:r w:rsidR="00AA70A5" w:rsidRPr="005D6E61">
        <w:rPr>
          <w:rFonts w:ascii="Cambria" w:hAnsi="Cambria"/>
          <w:sz w:val="20"/>
          <w:szCs w:val="20"/>
          <w:lang w:val="pt-BR"/>
        </w:rPr>
        <w:t xml:space="preserve"> policial conclu</w:t>
      </w:r>
      <w:r w:rsidR="00DC2BF3" w:rsidRPr="005D6E61">
        <w:rPr>
          <w:rFonts w:ascii="Cambria" w:hAnsi="Cambria"/>
          <w:sz w:val="20"/>
          <w:szCs w:val="20"/>
          <w:lang w:val="pt-BR"/>
        </w:rPr>
        <w:t>i</w:t>
      </w:r>
      <w:r w:rsidR="00BF0B90" w:rsidRPr="005D6E61">
        <w:rPr>
          <w:rFonts w:ascii="Cambria" w:hAnsi="Cambria"/>
          <w:sz w:val="20"/>
          <w:szCs w:val="20"/>
          <w:lang w:val="pt-BR"/>
        </w:rPr>
        <w:t xml:space="preserve">u </w:t>
      </w:r>
      <w:r w:rsidR="00DC2BF3" w:rsidRPr="005D6E61">
        <w:rPr>
          <w:rFonts w:ascii="Cambria" w:hAnsi="Cambria"/>
          <w:sz w:val="20"/>
          <w:szCs w:val="20"/>
          <w:lang w:val="pt-BR"/>
        </w:rPr>
        <w:t>que se tratav</w:t>
      </w:r>
      <w:r w:rsidR="00AA70A5" w:rsidRPr="005D6E61">
        <w:rPr>
          <w:rFonts w:ascii="Cambria" w:hAnsi="Cambria"/>
          <w:sz w:val="20"/>
          <w:szCs w:val="20"/>
          <w:lang w:val="pt-BR"/>
        </w:rPr>
        <w:t>a de</w:t>
      </w:r>
      <w:r w:rsidR="006C5454" w:rsidRPr="005D6E61">
        <w:rPr>
          <w:rFonts w:ascii="Cambria" w:hAnsi="Cambria"/>
          <w:sz w:val="20"/>
          <w:szCs w:val="20"/>
          <w:lang w:val="pt-BR"/>
        </w:rPr>
        <w:t xml:space="preserve"> uma </w:t>
      </w:r>
      <w:r w:rsidR="00DC2BF3" w:rsidRPr="005D6E61">
        <w:rPr>
          <w:rFonts w:ascii="Cambria" w:hAnsi="Cambria"/>
          <w:sz w:val="20"/>
          <w:szCs w:val="20"/>
          <w:lang w:val="pt-BR"/>
        </w:rPr>
        <w:t>placa</w:t>
      </w:r>
      <w:r w:rsidR="00AA70A5" w:rsidRPr="005D6E61">
        <w:rPr>
          <w:rFonts w:ascii="Cambria" w:hAnsi="Cambria"/>
          <w:sz w:val="20"/>
          <w:szCs w:val="20"/>
          <w:lang w:val="pt-BR"/>
        </w:rPr>
        <w:t xml:space="preserve"> “fr</w:t>
      </w:r>
      <w:r w:rsidR="005A2381" w:rsidRPr="005D6E61">
        <w:rPr>
          <w:rFonts w:ascii="Cambria" w:hAnsi="Cambria"/>
          <w:sz w:val="20"/>
          <w:szCs w:val="20"/>
          <w:lang w:val="pt-BR"/>
        </w:rPr>
        <w:t>ia</w:t>
      </w:r>
      <w:r w:rsidR="00AA70A5" w:rsidRPr="005D6E61">
        <w:rPr>
          <w:rFonts w:ascii="Cambria" w:hAnsi="Cambria"/>
          <w:sz w:val="20"/>
          <w:szCs w:val="20"/>
          <w:lang w:val="pt-BR"/>
        </w:rPr>
        <w:t>” o</w:t>
      </w:r>
      <w:r w:rsidR="00DC2BF3" w:rsidRPr="005D6E61">
        <w:rPr>
          <w:rFonts w:ascii="Cambria" w:hAnsi="Cambria"/>
          <w:sz w:val="20"/>
          <w:szCs w:val="20"/>
          <w:lang w:val="pt-BR"/>
        </w:rPr>
        <w:t>u</w:t>
      </w:r>
      <w:r w:rsidR="00AA70A5" w:rsidRPr="005D6E61">
        <w:rPr>
          <w:rFonts w:ascii="Cambria" w:hAnsi="Cambria"/>
          <w:sz w:val="20"/>
          <w:szCs w:val="20"/>
          <w:lang w:val="pt-BR"/>
        </w:rPr>
        <w:t xml:space="preserve"> falsa,</w:t>
      </w:r>
      <w:r w:rsidR="003B62AF" w:rsidRPr="005D6E61">
        <w:rPr>
          <w:rFonts w:ascii="Cambria" w:hAnsi="Cambria"/>
          <w:sz w:val="20"/>
          <w:szCs w:val="20"/>
          <w:lang w:val="pt-BR"/>
        </w:rPr>
        <w:t xml:space="preserve"> </w:t>
      </w:r>
      <w:r w:rsidR="00DC2BF3" w:rsidRPr="005D6E61">
        <w:rPr>
          <w:rFonts w:ascii="Cambria" w:hAnsi="Cambria"/>
          <w:sz w:val="20"/>
          <w:szCs w:val="20"/>
          <w:lang w:val="pt-BR"/>
        </w:rPr>
        <w:t xml:space="preserve">quer dizer, </w:t>
      </w:r>
      <w:r w:rsidR="00331E62" w:rsidRPr="005D6E61">
        <w:rPr>
          <w:rFonts w:ascii="Cambria" w:hAnsi="Cambria"/>
          <w:sz w:val="20"/>
          <w:szCs w:val="20"/>
          <w:lang w:val="pt-BR"/>
        </w:rPr>
        <w:t xml:space="preserve">o </w:t>
      </w:r>
      <w:r w:rsidR="00AA70A5" w:rsidRPr="005D6E61">
        <w:rPr>
          <w:rFonts w:ascii="Cambria" w:hAnsi="Cambria"/>
          <w:sz w:val="20"/>
          <w:szCs w:val="20"/>
          <w:lang w:val="pt-BR"/>
        </w:rPr>
        <w:t>número correspond</w:t>
      </w:r>
      <w:r w:rsidR="005A2381" w:rsidRPr="005D6E61">
        <w:rPr>
          <w:rFonts w:ascii="Cambria" w:hAnsi="Cambria"/>
          <w:sz w:val="20"/>
          <w:szCs w:val="20"/>
          <w:lang w:val="pt-BR"/>
        </w:rPr>
        <w:t>ia</w:t>
      </w:r>
      <w:r w:rsidR="00AA70A5" w:rsidRPr="005D6E61">
        <w:rPr>
          <w:rFonts w:ascii="Cambria" w:hAnsi="Cambria"/>
          <w:sz w:val="20"/>
          <w:szCs w:val="20"/>
          <w:lang w:val="pt-BR"/>
        </w:rPr>
        <w:t xml:space="preserve"> a </w:t>
      </w:r>
      <w:r w:rsidR="00A1065A" w:rsidRPr="005D6E61">
        <w:rPr>
          <w:rFonts w:ascii="Cambria" w:hAnsi="Cambria"/>
          <w:sz w:val="20"/>
          <w:szCs w:val="20"/>
          <w:lang w:val="pt-BR"/>
        </w:rPr>
        <w:t>outr</w:t>
      </w:r>
      <w:r w:rsidR="00AA70A5" w:rsidRPr="005D6E61">
        <w:rPr>
          <w:rFonts w:ascii="Cambria" w:hAnsi="Cambria"/>
          <w:sz w:val="20"/>
          <w:szCs w:val="20"/>
          <w:lang w:val="pt-BR"/>
        </w:rPr>
        <w:t xml:space="preserve">o </w:t>
      </w:r>
      <w:r w:rsidR="00DC2BF3" w:rsidRPr="005D6E61">
        <w:rPr>
          <w:rFonts w:ascii="Cambria" w:hAnsi="Cambria"/>
          <w:sz w:val="20"/>
          <w:szCs w:val="20"/>
          <w:lang w:val="pt-BR"/>
        </w:rPr>
        <w:t>ve</w:t>
      </w:r>
      <w:r w:rsidR="00AA70A5" w:rsidRPr="005D6E61">
        <w:rPr>
          <w:rFonts w:ascii="Cambria" w:hAnsi="Cambria"/>
          <w:sz w:val="20"/>
          <w:szCs w:val="20"/>
          <w:lang w:val="pt-BR"/>
        </w:rPr>
        <w:t>ículo</w:t>
      </w:r>
      <w:r w:rsidR="00AA70A5" w:rsidRPr="005D6E61">
        <w:rPr>
          <w:rStyle w:val="FootnoteReference"/>
          <w:rFonts w:ascii="Cambria" w:hAnsi="Cambria"/>
          <w:sz w:val="20"/>
          <w:szCs w:val="20"/>
          <w:lang w:val="pt-BR"/>
        </w:rPr>
        <w:footnoteReference w:id="38"/>
      </w:r>
      <w:r w:rsidR="00AA70A5" w:rsidRPr="005D6E61">
        <w:rPr>
          <w:rFonts w:ascii="Cambria" w:hAnsi="Cambria"/>
          <w:sz w:val="20"/>
          <w:szCs w:val="20"/>
          <w:lang w:val="pt-BR"/>
        </w:rPr>
        <w:t>.</w:t>
      </w:r>
    </w:p>
    <w:p w14:paraId="5FB7CF87" w14:textId="77777777" w:rsidR="00AA70A5" w:rsidRPr="005D6E61" w:rsidRDefault="00AA70A5" w:rsidP="00AA70A5">
      <w:pPr>
        <w:pStyle w:val="ListParagraph"/>
        <w:ind w:left="0"/>
        <w:rPr>
          <w:sz w:val="20"/>
          <w:szCs w:val="20"/>
          <w:lang w:val="pt-BR"/>
        </w:rPr>
      </w:pPr>
    </w:p>
    <w:p w14:paraId="29A1670E" w14:textId="77777777" w:rsidR="00AA70A5" w:rsidRPr="005D6E61" w:rsidRDefault="000D7F6D"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lang w:val="pt-BR"/>
        </w:rPr>
      </w:pPr>
      <w:r w:rsidRPr="005D6E61">
        <w:rPr>
          <w:rFonts w:ascii="Cambria" w:hAnsi="Cambria"/>
          <w:sz w:val="20"/>
          <w:szCs w:val="20"/>
          <w:lang w:val="pt-BR"/>
        </w:rPr>
        <w:t>M</w:t>
      </w:r>
      <w:r w:rsidR="00AA70A5" w:rsidRPr="005D6E61">
        <w:rPr>
          <w:rFonts w:ascii="Cambria" w:hAnsi="Cambria"/>
          <w:sz w:val="20"/>
          <w:szCs w:val="20"/>
          <w:lang w:val="pt-BR"/>
        </w:rPr>
        <w:t>arinete da Fonseca Chave</w:t>
      </w:r>
      <w:r w:rsidR="002B71BD" w:rsidRPr="005D6E61">
        <w:rPr>
          <w:rFonts w:ascii="Cambria" w:hAnsi="Cambria"/>
          <w:sz w:val="20"/>
          <w:szCs w:val="20"/>
          <w:lang w:val="pt-BR"/>
        </w:rPr>
        <w:t>s</w:t>
      </w:r>
      <w:r w:rsidR="00AA70A5" w:rsidRPr="005D6E61">
        <w:rPr>
          <w:rFonts w:ascii="Cambria" w:hAnsi="Cambria"/>
          <w:sz w:val="20"/>
          <w:szCs w:val="20"/>
          <w:lang w:val="pt-BR"/>
        </w:rPr>
        <w:t>, test</w:t>
      </w:r>
      <w:r w:rsidR="00D00E6D" w:rsidRPr="005D6E61">
        <w:rPr>
          <w:rFonts w:ascii="Cambria" w:hAnsi="Cambria"/>
          <w:sz w:val="20"/>
          <w:szCs w:val="20"/>
          <w:lang w:val="pt-BR"/>
        </w:rPr>
        <w:t>emunha</w:t>
      </w:r>
      <w:r w:rsidR="00AA70A5" w:rsidRPr="005D6E61">
        <w:rPr>
          <w:rFonts w:ascii="Cambria" w:hAnsi="Cambria"/>
          <w:sz w:val="20"/>
          <w:szCs w:val="20"/>
          <w:lang w:val="pt-BR"/>
        </w:rPr>
        <w:t xml:space="preserve"> ocular</w:t>
      </w:r>
      <w:r w:rsidR="00331E62" w:rsidRPr="005D6E61">
        <w:rPr>
          <w:rFonts w:ascii="Cambria" w:hAnsi="Cambria"/>
          <w:sz w:val="20"/>
          <w:szCs w:val="20"/>
          <w:lang w:val="pt-BR"/>
        </w:rPr>
        <w:t xml:space="preserve"> dos </w:t>
      </w:r>
      <w:r w:rsidR="00BF0B90" w:rsidRPr="005D6E61">
        <w:rPr>
          <w:rFonts w:ascii="Cambria" w:hAnsi="Cambria"/>
          <w:sz w:val="20"/>
          <w:szCs w:val="20"/>
          <w:lang w:val="pt-BR"/>
        </w:rPr>
        <w:t>fato</w:t>
      </w:r>
      <w:r w:rsidR="00AA70A5" w:rsidRPr="005D6E61">
        <w:rPr>
          <w:rFonts w:ascii="Cambria" w:hAnsi="Cambria"/>
          <w:sz w:val="20"/>
          <w:szCs w:val="20"/>
          <w:lang w:val="pt-BR"/>
        </w:rPr>
        <w:t>s, indic</w:t>
      </w:r>
      <w:r w:rsidR="00BF0B90" w:rsidRPr="005D6E61">
        <w:rPr>
          <w:rFonts w:ascii="Cambria" w:hAnsi="Cambria"/>
          <w:sz w:val="20"/>
          <w:szCs w:val="20"/>
          <w:lang w:val="pt-BR"/>
        </w:rPr>
        <w:t xml:space="preserve">ou </w:t>
      </w:r>
      <w:r w:rsidR="00AA70A5" w:rsidRPr="005D6E61">
        <w:rPr>
          <w:rFonts w:ascii="Cambria" w:hAnsi="Cambria"/>
          <w:sz w:val="20"/>
          <w:szCs w:val="20"/>
          <w:lang w:val="pt-BR"/>
        </w:rPr>
        <w:t>que</w:t>
      </w:r>
      <w:r w:rsidR="00331E62" w:rsidRPr="005D6E61">
        <w:rPr>
          <w:rFonts w:ascii="Cambria" w:hAnsi="Cambria"/>
          <w:sz w:val="20"/>
          <w:szCs w:val="20"/>
          <w:lang w:val="pt-BR"/>
        </w:rPr>
        <w:t xml:space="preserve"> o </w:t>
      </w:r>
      <w:r w:rsidR="00AA70A5" w:rsidRPr="005D6E61">
        <w:rPr>
          <w:rFonts w:ascii="Cambria" w:hAnsi="Cambria"/>
          <w:sz w:val="20"/>
          <w:szCs w:val="20"/>
          <w:lang w:val="pt-BR"/>
        </w:rPr>
        <w:t>veículo</w:t>
      </w:r>
      <w:r w:rsidR="00331E62" w:rsidRPr="005D6E61">
        <w:rPr>
          <w:rFonts w:ascii="Cambria" w:hAnsi="Cambria"/>
          <w:sz w:val="20"/>
          <w:szCs w:val="20"/>
          <w:lang w:val="pt-BR"/>
        </w:rPr>
        <w:t xml:space="preserve"> </w:t>
      </w:r>
      <w:r w:rsidR="00AA70A5" w:rsidRPr="005D6E61">
        <w:rPr>
          <w:rFonts w:ascii="Cambria" w:hAnsi="Cambria"/>
          <w:sz w:val="20"/>
          <w:szCs w:val="20"/>
          <w:lang w:val="pt-BR"/>
        </w:rPr>
        <w:t>que transporta</w:t>
      </w:r>
      <w:r w:rsidR="00D00E6D" w:rsidRPr="005D6E61">
        <w:rPr>
          <w:rFonts w:ascii="Cambria" w:hAnsi="Cambria"/>
          <w:sz w:val="20"/>
          <w:szCs w:val="20"/>
          <w:lang w:val="pt-BR"/>
        </w:rPr>
        <w:t>va</w:t>
      </w:r>
      <w:r w:rsidR="00F77B7F" w:rsidRPr="005D6E61">
        <w:rPr>
          <w:rFonts w:ascii="Cambria" w:hAnsi="Cambria"/>
          <w:sz w:val="20"/>
          <w:szCs w:val="20"/>
          <w:lang w:val="pt-BR"/>
        </w:rPr>
        <w:t xml:space="preserve"> os </w:t>
      </w:r>
      <w:r w:rsidR="006B204E" w:rsidRPr="005D6E61">
        <w:rPr>
          <w:rFonts w:ascii="Cambria" w:hAnsi="Cambria"/>
          <w:sz w:val="20"/>
          <w:szCs w:val="20"/>
          <w:lang w:val="pt-BR"/>
        </w:rPr>
        <w:t>assassino</w:t>
      </w:r>
      <w:r w:rsidR="00AA70A5" w:rsidRPr="005D6E61">
        <w:rPr>
          <w:rFonts w:ascii="Cambria" w:hAnsi="Cambria"/>
          <w:sz w:val="20"/>
          <w:szCs w:val="20"/>
          <w:lang w:val="pt-BR"/>
        </w:rPr>
        <w:t>s</w:t>
      </w:r>
      <w:r w:rsidR="00675058" w:rsidRPr="005D6E61">
        <w:rPr>
          <w:rFonts w:ascii="Cambria" w:hAnsi="Cambria"/>
          <w:sz w:val="20"/>
          <w:szCs w:val="20"/>
          <w:lang w:val="pt-BR"/>
        </w:rPr>
        <w:t xml:space="preserve"> da </w:t>
      </w:r>
      <w:r w:rsidR="005A2381" w:rsidRPr="005D6E61">
        <w:rPr>
          <w:rFonts w:ascii="Cambria" w:hAnsi="Cambria"/>
          <w:sz w:val="20"/>
          <w:szCs w:val="20"/>
          <w:lang w:val="pt-BR"/>
        </w:rPr>
        <w:t>suposta</w:t>
      </w:r>
      <w:r w:rsidR="00AA70A5" w:rsidRPr="005D6E61">
        <w:rPr>
          <w:rFonts w:ascii="Cambria" w:hAnsi="Cambria"/>
          <w:sz w:val="20"/>
          <w:szCs w:val="20"/>
          <w:lang w:val="pt-BR"/>
        </w:rPr>
        <w:t xml:space="preserve"> </w:t>
      </w:r>
      <w:r w:rsidR="003619A0" w:rsidRPr="005D6E61">
        <w:rPr>
          <w:rFonts w:ascii="Cambria" w:hAnsi="Cambria"/>
          <w:sz w:val="20"/>
          <w:szCs w:val="20"/>
          <w:lang w:val="pt-BR"/>
        </w:rPr>
        <w:t>vítima</w:t>
      </w:r>
      <w:r w:rsidR="00AA70A5" w:rsidRPr="005D6E61">
        <w:rPr>
          <w:rFonts w:ascii="Cambria" w:hAnsi="Cambria"/>
          <w:sz w:val="20"/>
          <w:szCs w:val="20"/>
          <w:lang w:val="pt-BR"/>
        </w:rPr>
        <w:t xml:space="preserve"> </w:t>
      </w:r>
      <w:r w:rsidR="00D00E6D" w:rsidRPr="005D6E61">
        <w:rPr>
          <w:rFonts w:ascii="Cambria" w:hAnsi="Cambria"/>
          <w:sz w:val="20"/>
          <w:szCs w:val="20"/>
          <w:lang w:val="pt-BR"/>
        </w:rPr>
        <w:t>passou</w:t>
      </w:r>
      <w:r w:rsidR="00AA70A5" w:rsidRPr="005D6E61">
        <w:rPr>
          <w:rFonts w:ascii="Cambria" w:hAnsi="Cambria"/>
          <w:sz w:val="20"/>
          <w:szCs w:val="20"/>
          <w:lang w:val="pt-BR"/>
        </w:rPr>
        <w:t xml:space="preserve"> </w:t>
      </w:r>
      <w:r w:rsidR="00D00E6D" w:rsidRPr="005D6E61">
        <w:rPr>
          <w:rFonts w:ascii="Cambria" w:hAnsi="Cambria"/>
          <w:sz w:val="20"/>
          <w:szCs w:val="20"/>
          <w:lang w:val="pt-BR"/>
        </w:rPr>
        <w:t xml:space="preserve">em </w:t>
      </w:r>
      <w:r w:rsidR="00AA70A5" w:rsidRPr="005D6E61">
        <w:rPr>
          <w:rFonts w:ascii="Cambria" w:hAnsi="Cambria"/>
          <w:sz w:val="20"/>
          <w:szCs w:val="20"/>
          <w:lang w:val="pt-BR"/>
        </w:rPr>
        <w:t>frente</w:t>
      </w:r>
      <w:r w:rsidR="00675058" w:rsidRPr="005D6E61">
        <w:rPr>
          <w:rFonts w:ascii="Cambria" w:hAnsi="Cambria"/>
          <w:sz w:val="20"/>
          <w:szCs w:val="20"/>
          <w:lang w:val="pt-BR"/>
        </w:rPr>
        <w:t xml:space="preserve"> da </w:t>
      </w:r>
      <w:r w:rsidR="00AA70A5" w:rsidRPr="005D6E61">
        <w:rPr>
          <w:rFonts w:ascii="Cambria" w:hAnsi="Cambria"/>
          <w:sz w:val="20"/>
          <w:szCs w:val="20"/>
          <w:lang w:val="pt-BR"/>
        </w:rPr>
        <w:t>casa</w:t>
      </w:r>
      <w:r w:rsidR="00675058" w:rsidRPr="005D6E61">
        <w:rPr>
          <w:rFonts w:ascii="Cambria" w:hAnsi="Cambria"/>
          <w:sz w:val="20"/>
          <w:szCs w:val="20"/>
          <w:lang w:val="pt-BR"/>
        </w:rPr>
        <w:t xml:space="preserve"> da </w:t>
      </w:r>
      <w:r w:rsidR="005A2381" w:rsidRPr="005D6E61">
        <w:rPr>
          <w:rFonts w:ascii="Cambria" w:hAnsi="Cambria"/>
          <w:sz w:val="20"/>
          <w:szCs w:val="20"/>
          <w:lang w:val="pt-BR"/>
        </w:rPr>
        <w:t>suposta</w:t>
      </w:r>
      <w:r w:rsidR="00AA70A5" w:rsidRPr="005D6E61">
        <w:rPr>
          <w:rFonts w:ascii="Cambria" w:hAnsi="Cambria"/>
          <w:sz w:val="20"/>
          <w:szCs w:val="20"/>
          <w:lang w:val="pt-BR"/>
        </w:rPr>
        <w:t xml:space="preserve"> </w:t>
      </w:r>
      <w:r w:rsidR="003619A0" w:rsidRPr="005D6E61">
        <w:rPr>
          <w:rFonts w:ascii="Cambria" w:hAnsi="Cambria"/>
          <w:sz w:val="20"/>
          <w:szCs w:val="20"/>
          <w:lang w:val="pt-BR"/>
        </w:rPr>
        <w:t>vítima</w:t>
      </w:r>
      <w:r w:rsidR="00331E62" w:rsidRPr="005D6E61">
        <w:rPr>
          <w:rFonts w:ascii="Cambria" w:hAnsi="Cambria"/>
          <w:sz w:val="20"/>
          <w:szCs w:val="20"/>
          <w:lang w:val="pt-BR"/>
        </w:rPr>
        <w:t xml:space="preserve"> </w:t>
      </w:r>
      <w:r w:rsidR="00D00E6D" w:rsidRPr="005D6E61">
        <w:rPr>
          <w:rFonts w:ascii="Cambria" w:hAnsi="Cambria"/>
          <w:sz w:val="20"/>
          <w:szCs w:val="20"/>
          <w:lang w:val="pt-BR"/>
        </w:rPr>
        <w:t>n</w:t>
      </w:r>
      <w:r w:rsidR="00331E62" w:rsidRPr="005D6E61">
        <w:rPr>
          <w:rFonts w:ascii="Cambria" w:hAnsi="Cambria"/>
          <w:sz w:val="20"/>
          <w:szCs w:val="20"/>
          <w:lang w:val="pt-BR"/>
        </w:rPr>
        <w:t xml:space="preserve">o </w:t>
      </w:r>
      <w:r w:rsidR="00AA70A5" w:rsidRPr="005D6E61">
        <w:rPr>
          <w:rFonts w:ascii="Cambria" w:hAnsi="Cambria"/>
          <w:sz w:val="20"/>
          <w:szCs w:val="20"/>
          <w:lang w:val="pt-BR"/>
        </w:rPr>
        <w:t>d</w:t>
      </w:r>
      <w:r w:rsidR="005A2381" w:rsidRPr="005D6E61">
        <w:rPr>
          <w:rFonts w:ascii="Cambria" w:hAnsi="Cambria"/>
          <w:sz w:val="20"/>
          <w:szCs w:val="20"/>
          <w:lang w:val="pt-BR"/>
        </w:rPr>
        <w:t>ia</w:t>
      </w:r>
      <w:r w:rsidR="00AA70A5" w:rsidRPr="005D6E61">
        <w:rPr>
          <w:rFonts w:ascii="Cambria" w:hAnsi="Cambria"/>
          <w:sz w:val="20"/>
          <w:szCs w:val="20"/>
          <w:lang w:val="pt-BR"/>
        </w:rPr>
        <w:t xml:space="preserve"> anterior, </w:t>
      </w:r>
      <w:r w:rsidR="00D00E6D" w:rsidRPr="005D6E61">
        <w:rPr>
          <w:rFonts w:ascii="Cambria" w:hAnsi="Cambria"/>
          <w:sz w:val="20"/>
          <w:szCs w:val="20"/>
          <w:lang w:val="pt-BR"/>
        </w:rPr>
        <w:t>ch</w:t>
      </w:r>
      <w:r w:rsidR="00AA70A5" w:rsidRPr="005D6E61">
        <w:rPr>
          <w:rFonts w:ascii="Cambria" w:hAnsi="Cambria"/>
          <w:sz w:val="20"/>
          <w:szCs w:val="20"/>
          <w:lang w:val="pt-BR"/>
        </w:rPr>
        <w:t>egando a pa</w:t>
      </w:r>
      <w:r w:rsidR="00D00E6D" w:rsidRPr="005D6E61">
        <w:rPr>
          <w:rFonts w:ascii="Cambria" w:hAnsi="Cambria"/>
          <w:sz w:val="20"/>
          <w:szCs w:val="20"/>
          <w:lang w:val="pt-BR"/>
        </w:rPr>
        <w:t>s</w:t>
      </w:r>
      <w:r w:rsidR="00AA70A5" w:rsidRPr="005D6E61">
        <w:rPr>
          <w:rFonts w:ascii="Cambria" w:hAnsi="Cambria"/>
          <w:sz w:val="20"/>
          <w:szCs w:val="20"/>
          <w:lang w:val="pt-BR"/>
        </w:rPr>
        <w:t>sar por al</w:t>
      </w:r>
      <w:r w:rsidR="00D00E6D" w:rsidRPr="005D6E61">
        <w:rPr>
          <w:rFonts w:ascii="Cambria" w:hAnsi="Cambria"/>
          <w:sz w:val="20"/>
          <w:szCs w:val="20"/>
          <w:lang w:val="pt-BR"/>
        </w:rPr>
        <w:t>i</w:t>
      </w:r>
      <w:r w:rsidR="00AA70A5" w:rsidRPr="005D6E61">
        <w:rPr>
          <w:rFonts w:ascii="Cambria" w:hAnsi="Cambria"/>
          <w:sz w:val="20"/>
          <w:szCs w:val="20"/>
          <w:lang w:val="pt-BR"/>
        </w:rPr>
        <w:t xml:space="preserve"> tr</w:t>
      </w:r>
      <w:r w:rsidR="00D00E6D" w:rsidRPr="005D6E61">
        <w:rPr>
          <w:rFonts w:ascii="Cambria" w:hAnsi="Cambria"/>
          <w:sz w:val="20"/>
          <w:szCs w:val="20"/>
          <w:lang w:val="pt-BR"/>
        </w:rPr>
        <w:t>ê</w:t>
      </w:r>
      <w:r w:rsidR="00AA70A5" w:rsidRPr="005D6E61">
        <w:rPr>
          <w:rFonts w:ascii="Cambria" w:hAnsi="Cambria"/>
          <w:sz w:val="20"/>
          <w:szCs w:val="20"/>
          <w:lang w:val="pt-BR"/>
        </w:rPr>
        <w:t>s ve</w:t>
      </w:r>
      <w:r w:rsidR="00D00E6D" w:rsidRPr="005D6E61">
        <w:rPr>
          <w:rFonts w:ascii="Cambria" w:hAnsi="Cambria"/>
          <w:sz w:val="20"/>
          <w:szCs w:val="20"/>
          <w:lang w:val="pt-BR"/>
        </w:rPr>
        <w:t>z</w:t>
      </w:r>
      <w:r w:rsidR="00AA70A5" w:rsidRPr="005D6E61">
        <w:rPr>
          <w:rFonts w:ascii="Cambria" w:hAnsi="Cambria"/>
          <w:sz w:val="20"/>
          <w:szCs w:val="20"/>
          <w:lang w:val="pt-BR"/>
        </w:rPr>
        <w:t>es</w:t>
      </w:r>
      <w:r w:rsidR="00AA70A5" w:rsidRPr="005D6E61">
        <w:rPr>
          <w:rStyle w:val="FootnoteReference"/>
          <w:rFonts w:ascii="Cambria" w:hAnsi="Cambria"/>
          <w:sz w:val="20"/>
          <w:szCs w:val="20"/>
          <w:lang w:val="pt-BR"/>
        </w:rPr>
        <w:footnoteReference w:id="39"/>
      </w:r>
      <w:r w:rsidR="00AA70A5" w:rsidRPr="005D6E61">
        <w:rPr>
          <w:rFonts w:ascii="Cambria" w:hAnsi="Cambria"/>
          <w:sz w:val="20"/>
          <w:szCs w:val="20"/>
          <w:lang w:val="pt-BR"/>
        </w:rPr>
        <w:t>.</w:t>
      </w:r>
      <w:r w:rsidR="00331E62" w:rsidRPr="005D6E61">
        <w:rPr>
          <w:lang w:val="pt-BR"/>
        </w:rPr>
        <w:t xml:space="preserve"> </w:t>
      </w:r>
      <w:r w:rsidR="00D00E6D" w:rsidRPr="005D6E61">
        <w:rPr>
          <w:rFonts w:ascii="Cambria" w:hAnsi="Cambria"/>
          <w:sz w:val="20"/>
          <w:szCs w:val="20"/>
          <w:lang w:val="pt-BR"/>
        </w:rPr>
        <w:t>O e</w:t>
      </w:r>
      <w:r w:rsidR="00AA70A5" w:rsidRPr="005D6E61">
        <w:rPr>
          <w:rFonts w:ascii="Cambria" w:hAnsi="Cambria"/>
          <w:sz w:val="20"/>
          <w:szCs w:val="20"/>
          <w:lang w:val="pt-BR"/>
        </w:rPr>
        <w:t>sposo</w:t>
      </w:r>
      <w:r w:rsidR="00675058" w:rsidRPr="005D6E61">
        <w:rPr>
          <w:rFonts w:ascii="Cambria" w:hAnsi="Cambria"/>
          <w:sz w:val="20"/>
          <w:szCs w:val="20"/>
          <w:lang w:val="pt-BR"/>
        </w:rPr>
        <w:t xml:space="preserve"> da </w:t>
      </w:r>
      <w:r w:rsidR="005A2381" w:rsidRPr="005D6E61">
        <w:rPr>
          <w:rFonts w:ascii="Cambria" w:hAnsi="Cambria"/>
          <w:sz w:val="20"/>
          <w:szCs w:val="20"/>
          <w:lang w:val="pt-BR"/>
        </w:rPr>
        <w:t>suposta</w:t>
      </w:r>
      <w:r w:rsidR="00AA70A5" w:rsidRPr="005D6E61">
        <w:rPr>
          <w:rFonts w:ascii="Cambria" w:hAnsi="Cambria"/>
          <w:sz w:val="20"/>
          <w:szCs w:val="20"/>
          <w:lang w:val="pt-BR"/>
        </w:rPr>
        <w:t xml:space="preserve"> </w:t>
      </w:r>
      <w:r w:rsidR="003619A0" w:rsidRPr="005D6E61">
        <w:rPr>
          <w:rFonts w:ascii="Cambria" w:hAnsi="Cambria"/>
          <w:sz w:val="20"/>
          <w:szCs w:val="20"/>
          <w:lang w:val="pt-BR"/>
        </w:rPr>
        <w:t>vítima</w:t>
      </w:r>
      <w:r w:rsidR="00AA70A5" w:rsidRPr="005D6E61">
        <w:rPr>
          <w:rFonts w:ascii="Cambria" w:hAnsi="Cambria"/>
          <w:sz w:val="20"/>
          <w:szCs w:val="20"/>
          <w:lang w:val="pt-BR"/>
        </w:rPr>
        <w:t xml:space="preserve"> confirm</w:t>
      </w:r>
      <w:r w:rsidR="00BF0B90" w:rsidRPr="005D6E61">
        <w:rPr>
          <w:rFonts w:ascii="Cambria" w:hAnsi="Cambria"/>
          <w:sz w:val="20"/>
          <w:szCs w:val="20"/>
          <w:lang w:val="pt-BR"/>
        </w:rPr>
        <w:t xml:space="preserve">ou </w:t>
      </w:r>
      <w:r w:rsidR="00D00E6D" w:rsidRPr="005D6E61">
        <w:rPr>
          <w:rFonts w:ascii="Cambria" w:hAnsi="Cambria"/>
          <w:sz w:val="20"/>
          <w:szCs w:val="20"/>
          <w:lang w:val="pt-BR"/>
        </w:rPr>
        <w:t>a</w:t>
      </w:r>
      <w:r w:rsidR="00AA70A5" w:rsidRPr="005D6E61">
        <w:rPr>
          <w:rFonts w:ascii="Cambria" w:hAnsi="Cambria"/>
          <w:sz w:val="20"/>
          <w:szCs w:val="20"/>
          <w:lang w:val="pt-BR"/>
        </w:rPr>
        <w:t xml:space="preserve"> declara</w:t>
      </w:r>
      <w:r w:rsidR="00D00E6D" w:rsidRPr="005D6E61">
        <w:rPr>
          <w:rFonts w:ascii="Cambria" w:hAnsi="Cambria"/>
          <w:sz w:val="20"/>
          <w:szCs w:val="20"/>
          <w:lang w:val="pt-BR"/>
        </w:rPr>
        <w:t>çã</w:t>
      </w:r>
      <w:r w:rsidR="00AA70A5" w:rsidRPr="005D6E61">
        <w:rPr>
          <w:rFonts w:ascii="Cambria" w:hAnsi="Cambria"/>
          <w:sz w:val="20"/>
          <w:szCs w:val="20"/>
          <w:lang w:val="pt-BR"/>
        </w:rPr>
        <w:t xml:space="preserve">o </w:t>
      </w:r>
      <w:r w:rsidR="00D00E6D" w:rsidRPr="005D6E61">
        <w:rPr>
          <w:rFonts w:ascii="Cambria" w:hAnsi="Cambria"/>
          <w:sz w:val="20"/>
          <w:szCs w:val="20"/>
          <w:lang w:val="pt-BR"/>
        </w:rPr>
        <w:t>de</w:t>
      </w:r>
      <w:r w:rsidR="00AA70A5" w:rsidRPr="005D6E61">
        <w:rPr>
          <w:rFonts w:ascii="Cambria" w:hAnsi="Cambria"/>
          <w:sz w:val="20"/>
          <w:szCs w:val="20"/>
          <w:lang w:val="pt-BR"/>
        </w:rPr>
        <w:t xml:space="preserve"> Marinete da Fonseca</w:t>
      </w:r>
      <w:r w:rsidR="00AA70A5" w:rsidRPr="005D6E61">
        <w:rPr>
          <w:rStyle w:val="FootnoteReference"/>
          <w:rFonts w:ascii="Cambria" w:hAnsi="Cambria"/>
          <w:sz w:val="20"/>
          <w:szCs w:val="20"/>
          <w:lang w:val="pt-BR"/>
        </w:rPr>
        <w:footnoteReference w:id="40"/>
      </w:r>
      <w:r w:rsidR="00AA70A5" w:rsidRPr="005D6E61">
        <w:rPr>
          <w:rFonts w:ascii="Cambria" w:hAnsi="Cambria"/>
          <w:sz w:val="20"/>
          <w:szCs w:val="20"/>
          <w:lang w:val="pt-BR"/>
        </w:rPr>
        <w:t>.</w:t>
      </w:r>
    </w:p>
    <w:p w14:paraId="2FFB44FA" w14:textId="77777777" w:rsidR="00AA70A5" w:rsidRPr="005D6E61" w:rsidRDefault="00AA70A5" w:rsidP="00AA70A5">
      <w:pPr>
        <w:pStyle w:val="ListParagraph"/>
        <w:rPr>
          <w:sz w:val="20"/>
          <w:szCs w:val="20"/>
          <w:lang w:val="pt-BR"/>
        </w:rPr>
      </w:pPr>
    </w:p>
    <w:p w14:paraId="5591E9D6" w14:textId="77777777" w:rsidR="00AA70A5" w:rsidRPr="005D6E61" w:rsidRDefault="003619A0"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O</w:t>
      </w:r>
      <w:r w:rsidR="00AA70A5" w:rsidRPr="005D6E61">
        <w:rPr>
          <w:rFonts w:ascii="Cambria" w:hAnsi="Cambria"/>
          <w:sz w:val="20"/>
          <w:szCs w:val="20"/>
          <w:lang w:val="pt-BR"/>
        </w:rPr>
        <w:t xml:space="preserve"> Ar</w:t>
      </w:r>
      <w:r w:rsidRPr="005D6E61">
        <w:rPr>
          <w:rFonts w:ascii="Cambria" w:hAnsi="Cambria"/>
          <w:sz w:val="20"/>
          <w:szCs w:val="20"/>
          <w:lang w:val="pt-BR"/>
        </w:rPr>
        <w:t>ce</w:t>
      </w:r>
      <w:r w:rsidR="00AA70A5" w:rsidRPr="005D6E61">
        <w:rPr>
          <w:rFonts w:ascii="Cambria" w:hAnsi="Cambria"/>
          <w:sz w:val="20"/>
          <w:szCs w:val="20"/>
          <w:lang w:val="pt-BR"/>
        </w:rPr>
        <w:t>bispo Marcelo Pinto Carvalheira declar</w:t>
      </w:r>
      <w:r w:rsidR="00BF0B90" w:rsidRPr="005D6E61">
        <w:rPr>
          <w:rFonts w:ascii="Cambria" w:hAnsi="Cambria"/>
          <w:sz w:val="20"/>
          <w:szCs w:val="20"/>
          <w:lang w:val="pt-BR"/>
        </w:rPr>
        <w:t xml:space="preserve">ou </w:t>
      </w:r>
      <w:r w:rsidR="00AA70A5" w:rsidRPr="005D6E61">
        <w:rPr>
          <w:rFonts w:ascii="Cambria" w:hAnsi="Cambria"/>
          <w:sz w:val="20"/>
          <w:szCs w:val="20"/>
          <w:lang w:val="pt-BR"/>
        </w:rPr>
        <w:t>que</w:t>
      </w:r>
      <w:r w:rsidR="00CD523F" w:rsidRPr="005D6E61">
        <w:rPr>
          <w:rFonts w:ascii="Cambria" w:hAnsi="Cambria"/>
          <w:sz w:val="20"/>
          <w:szCs w:val="20"/>
          <w:lang w:val="pt-BR"/>
        </w:rPr>
        <w:t xml:space="preserve"> </w:t>
      </w:r>
      <w:r w:rsidR="00D00E6D" w:rsidRPr="005D6E61">
        <w:rPr>
          <w:rFonts w:ascii="Cambria" w:hAnsi="Cambria"/>
          <w:sz w:val="20"/>
          <w:szCs w:val="20"/>
          <w:lang w:val="pt-BR"/>
        </w:rPr>
        <w:t>n</w:t>
      </w:r>
      <w:r w:rsidR="00CD523F" w:rsidRPr="005D6E61">
        <w:rPr>
          <w:rFonts w:ascii="Cambria" w:hAnsi="Cambria"/>
          <w:sz w:val="20"/>
          <w:szCs w:val="20"/>
          <w:lang w:val="pt-BR"/>
        </w:rPr>
        <w:t xml:space="preserve">o </w:t>
      </w:r>
      <w:r w:rsidR="00AA70A5" w:rsidRPr="005D6E61">
        <w:rPr>
          <w:rFonts w:ascii="Cambria" w:hAnsi="Cambria"/>
          <w:sz w:val="20"/>
          <w:szCs w:val="20"/>
          <w:lang w:val="pt-BR"/>
        </w:rPr>
        <w:t>d</w:t>
      </w:r>
      <w:r w:rsidR="005A2381" w:rsidRPr="005D6E61">
        <w:rPr>
          <w:rFonts w:ascii="Cambria" w:hAnsi="Cambria"/>
          <w:sz w:val="20"/>
          <w:szCs w:val="20"/>
          <w:lang w:val="pt-BR"/>
        </w:rPr>
        <w:t>ia</w:t>
      </w:r>
      <w:r w:rsidR="00AA70A5" w:rsidRPr="005D6E61">
        <w:rPr>
          <w:rFonts w:ascii="Cambria" w:hAnsi="Cambria"/>
          <w:sz w:val="20"/>
          <w:szCs w:val="20"/>
          <w:lang w:val="pt-BR"/>
        </w:rPr>
        <w:t xml:space="preserve"> s</w:t>
      </w:r>
      <w:r w:rsidR="00D00E6D" w:rsidRPr="005D6E61">
        <w:rPr>
          <w:rFonts w:ascii="Cambria" w:hAnsi="Cambria"/>
          <w:sz w:val="20"/>
          <w:szCs w:val="20"/>
          <w:lang w:val="pt-BR"/>
        </w:rPr>
        <w:t>e</w:t>
      </w:r>
      <w:r w:rsidR="00AA70A5" w:rsidRPr="005D6E61">
        <w:rPr>
          <w:rFonts w:ascii="Cambria" w:hAnsi="Cambria"/>
          <w:sz w:val="20"/>
          <w:szCs w:val="20"/>
          <w:lang w:val="pt-BR"/>
        </w:rPr>
        <w:t>guinte</w:t>
      </w:r>
      <w:r w:rsidR="00F77B7F" w:rsidRPr="005D6E61">
        <w:rPr>
          <w:rFonts w:ascii="Cambria" w:hAnsi="Cambria"/>
          <w:sz w:val="20"/>
          <w:szCs w:val="20"/>
          <w:lang w:val="pt-BR"/>
        </w:rPr>
        <w:t xml:space="preserve"> </w:t>
      </w:r>
      <w:r w:rsidR="00D00E6D" w:rsidRPr="005D6E61">
        <w:rPr>
          <w:rFonts w:ascii="Cambria" w:hAnsi="Cambria"/>
          <w:sz w:val="20"/>
          <w:szCs w:val="20"/>
          <w:lang w:val="pt-BR"/>
        </w:rPr>
        <w:t>a</w:t>
      </w:r>
      <w:r w:rsidR="00F77B7F" w:rsidRPr="005D6E61">
        <w:rPr>
          <w:rFonts w:ascii="Cambria" w:hAnsi="Cambria"/>
          <w:sz w:val="20"/>
          <w:szCs w:val="20"/>
          <w:lang w:val="pt-BR"/>
        </w:rPr>
        <w:t xml:space="preserve">o </w:t>
      </w:r>
      <w:r w:rsidR="00EB52A1" w:rsidRPr="005D6E61">
        <w:rPr>
          <w:rFonts w:ascii="Cambria" w:hAnsi="Cambria"/>
          <w:sz w:val="20"/>
          <w:szCs w:val="20"/>
          <w:lang w:val="pt-BR"/>
        </w:rPr>
        <w:t>assassinato</w:t>
      </w:r>
      <w:r w:rsidR="00675058" w:rsidRPr="005D6E61">
        <w:rPr>
          <w:rFonts w:ascii="Cambria" w:hAnsi="Cambria"/>
          <w:sz w:val="20"/>
          <w:szCs w:val="20"/>
          <w:lang w:val="pt-BR"/>
        </w:rPr>
        <w:t xml:space="preserve"> da </w:t>
      </w:r>
      <w:r w:rsidR="005A2381" w:rsidRPr="005D6E61">
        <w:rPr>
          <w:rFonts w:ascii="Cambria" w:hAnsi="Cambria"/>
          <w:sz w:val="20"/>
          <w:szCs w:val="20"/>
          <w:lang w:val="pt-BR"/>
        </w:rPr>
        <w:t>suposta</w:t>
      </w:r>
      <w:r w:rsidR="00AA70A5" w:rsidRPr="005D6E61">
        <w:rPr>
          <w:rFonts w:ascii="Cambria" w:hAnsi="Cambria"/>
          <w:sz w:val="20"/>
          <w:szCs w:val="20"/>
          <w:lang w:val="pt-BR"/>
        </w:rPr>
        <w:t xml:space="preserve"> </w:t>
      </w:r>
      <w:r w:rsidRPr="005D6E61">
        <w:rPr>
          <w:rFonts w:ascii="Cambria" w:hAnsi="Cambria"/>
          <w:sz w:val="20"/>
          <w:szCs w:val="20"/>
          <w:lang w:val="pt-BR"/>
        </w:rPr>
        <w:t>vítima</w:t>
      </w:r>
      <w:r w:rsidR="00AA70A5" w:rsidRPr="005D6E61">
        <w:rPr>
          <w:rFonts w:ascii="Cambria" w:hAnsi="Cambria"/>
          <w:sz w:val="20"/>
          <w:szCs w:val="20"/>
          <w:lang w:val="pt-BR"/>
        </w:rPr>
        <w:t xml:space="preserve"> se comenta</w:t>
      </w:r>
      <w:r w:rsidR="00D00E6D" w:rsidRPr="005D6E61">
        <w:rPr>
          <w:rFonts w:ascii="Cambria" w:hAnsi="Cambria"/>
          <w:sz w:val="20"/>
          <w:szCs w:val="20"/>
          <w:lang w:val="pt-BR"/>
        </w:rPr>
        <w:t>v</w:t>
      </w:r>
      <w:r w:rsidR="00AA70A5" w:rsidRPr="005D6E61">
        <w:rPr>
          <w:rFonts w:ascii="Cambria" w:hAnsi="Cambria"/>
          <w:sz w:val="20"/>
          <w:szCs w:val="20"/>
          <w:lang w:val="pt-BR"/>
        </w:rPr>
        <w:t>a</w:t>
      </w:r>
      <w:r w:rsidR="005A2381" w:rsidRPr="005D6E61">
        <w:rPr>
          <w:rFonts w:ascii="Cambria" w:hAnsi="Cambria"/>
          <w:sz w:val="20"/>
          <w:szCs w:val="20"/>
          <w:lang w:val="pt-BR"/>
        </w:rPr>
        <w:t xml:space="preserve"> na </w:t>
      </w:r>
      <w:r w:rsidR="00AA70A5" w:rsidRPr="005D6E61">
        <w:rPr>
          <w:rFonts w:ascii="Cambria" w:hAnsi="Cambria"/>
          <w:sz w:val="20"/>
          <w:szCs w:val="20"/>
          <w:lang w:val="pt-BR"/>
        </w:rPr>
        <w:t>ci</w:t>
      </w:r>
      <w:r w:rsidR="00FB55C7" w:rsidRPr="005D6E61">
        <w:rPr>
          <w:rFonts w:ascii="Cambria" w:hAnsi="Cambria"/>
          <w:sz w:val="20"/>
          <w:szCs w:val="20"/>
          <w:lang w:val="pt-BR"/>
        </w:rPr>
        <w:t xml:space="preserve">dade </w:t>
      </w:r>
      <w:r w:rsidR="00AA70A5" w:rsidRPr="005D6E61">
        <w:rPr>
          <w:rFonts w:ascii="Cambria" w:hAnsi="Cambria"/>
          <w:sz w:val="20"/>
          <w:szCs w:val="20"/>
          <w:lang w:val="pt-BR"/>
        </w:rPr>
        <w:t xml:space="preserve">que </w:t>
      </w:r>
      <w:r w:rsidR="00D00E6D" w:rsidRPr="005D6E61">
        <w:rPr>
          <w:rFonts w:ascii="Cambria" w:hAnsi="Cambria"/>
          <w:sz w:val="20"/>
          <w:szCs w:val="20"/>
          <w:lang w:val="pt-BR"/>
        </w:rPr>
        <w:t xml:space="preserve">as pessoas </w:t>
      </w:r>
      <w:r w:rsidR="00AA70A5" w:rsidRPr="005D6E61">
        <w:rPr>
          <w:rFonts w:ascii="Cambria" w:hAnsi="Cambria"/>
          <w:sz w:val="20"/>
          <w:szCs w:val="20"/>
          <w:lang w:val="pt-BR"/>
        </w:rPr>
        <w:t>qu</w:t>
      </w:r>
      <w:r w:rsidR="00D00E6D" w:rsidRPr="005D6E61">
        <w:rPr>
          <w:rFonts w:ascii="Cambria" w:hAnsi="Cambria"/>
          <w:sz w:val="20"/>
          <w:szCs w:val="20"/>
          <w:lang w:val="pt-BR"/>
        </w:rPr>
        <w:t>e</w:t>
      </w:r>
      <w:r w:rsidR="00AA70A5" w:rsidRPr="005D6E61">
        <w:rPr>
          <w:rFonts w:ascii="Cambria" w:hAnsi="Cambria"/>
          <w:sz w:val="20"/>
          <w:szCs w:val="20"/>
          <w:lang w:val="pt-BR"/>
        </w:rPr>
        <w:t xml:space="preserve"> ordenar</w:t>
      </w:r>
      <w:r w:rsidR="00D00E6D" w:rsidRPr="005D6E61">
        <w:rPr>
          <w:rFonts w:ascii="Cambria" w:hAnsi="Cambria"/>
          <w:sz w:val="20"/>
          <w:szCs w:val="20"/>
          <w:lang w:val="pt-BR"/>
        </w:rPr>
        <w:t>am</w:t>
      </w:r>
      <w:r w:rsidR="00331E62" w:rsidRPr="005D6E61">
        <w:rPr>
          <w:rFonts w:ascii="Cambria" w:hAnsi="Cambria"/>
          <w:sz w:val="20"/>
          <w:szCs w:val="20"/>
          <w:lang w:val="pt-BR"/>
        </w:rPr>
        <w:t xml:space="preserve"> o </w:t>
      </w:r>
      <w:r w:rsidR="00EB52A1" w:rsidRPr="005D6E61">
        <w:rPr>
          <w:rFonts w:ascii="Cambria" w:hAnsi="Cambria"/>
          <w:sz w:val="20"/>
          <w:szCs w:val="20"/>
          <w:lang w:val="pt-BR"/>
        </w:rPr>
        <w:t>assassinato</w:t>
      </w:r>
      <w:r w:rsidR="00AA70A5" w:rsidRPr="005D6E61">
        <w:rPr>
          <w:rFonts w:ascii="Cambria" w:hAnsi="Cambria"/>
          <w:sz w:val="20"/>
          <w:szCs w:val="20"/>
          <w:lang w:val="pt-BR"/>
        </w:rPr>
        <w:t xml:space="preserve"> era</w:t>
      </w:r>
      <w:r w:rsidR="00D00E6D" w:rsidRPr="005D6E61">
        <w:rPr>
          <w:rFonts w:ascii="Cambria" w:hAnsi="Cambria"/>
          <w:sz w:val="20"/>
          <w:szCs w:val="20"/>
          <w:lang w:val="pt-BR"/>
        </w:rPr>
        <w:t>m</w:t>
      </w:r>
      <w:r w:rsidR="00AA70A5" w:rsidRPr="005D6E61">
        <w:rPr>
          <w:rFonts w:ascii="Cambria" w:hAnsi="Cambria"/>
          <w:sz w:val="20"/>
          <w:szCs w:val="20"/>
          <w:lang w:val="pt-BR"/>
        </w:rPr>
        <w:t xml:space="preserve"> Aguinaldo Veloso Borges, s</w:t>
      </w:r>
      <w:r w:rsidR="00D00E6D" w:rsidRPr="005D6E61">
        <w:rPr>
          <w:rFonts w:ascii="Cambria" w:hAnsi="Cambria"/>
          <w:sz w:val="20"/>
          <w:szCs w:val="20"/>
          <w:lang w:val="pt-BR"/>
        </w:rPr>
        <w:t>e</w:t>
      </w:r>
      <w:r w:rsidR="00AA70A5" w:rsidRPr="005D6E61">
        <w:rPr>
          <w:rFonts w:ascii="Cambria" w:hAnsi="Cambria"/>
          <w:sz w:val="20"/>
          <w:szCs w:val="20"/>
          <w:lang w:val="pt-BR"/>
        </w:rPr>
        <w:t xml:space="preserve">u </w:t>
      </w:r>
      <w:r w:rsidR="00D00E6D" w:rsidRPr="005D6E61">
        <w:rPr>
          <w:rFonts w:ascii="Cambria" w:hAnsi="Cambria"/>
          <w:sz w:val="20"/>
          <w:szCs w:val="20"/>
          <w:lang w:val="pt-BR"/>
        </w:rPr>
        <w:t>genro</w:t>
      </w:r>
      <w:r w:rsidR="00AA70A5" w:rsidRPr="005D6E61">
        <w:rPr>
          <w:rFonts w:ascii="Cambria" w:hAnsi="Cambria"/>
          <w:sz w:val="20"/>
          <w:szCs w:val="20"/>
          <w:lang w:val="pt-BR"/>
        </w:rPr>
        <w:t xml:space="preserve"> José Buarque de Gusmão</w:t>
      </w:r>
      <w:r w:rsidR="006C5454" w:rsidRPr="005D6E61">
        <w:rPr>
          <w:rFonts w:ascii="Cambria" w:hAnsi="Cambria"/>
          <w:sz w:val="20"/>
          <w:szCs w:val="20"/>
          <w:lang w:val="pt-BR"/>
        </w:rPr>
        <w:t xml:space="preserve"> e </w:t>
      </w:r>
      <w:r w:rsidR="00A1065A" w:rsidRPr="005D6E61">
        <w:rPr>
          <w:rFonts w:ascii="Cambria" w:hAnsi="Cambria"/>
          <w:sz w:val="20"/>
          <w:szCs w:val="20"/>
          <w:lang w:val="pt-BR"/>
        </w:rPr>
        <w:t>outr</w:t>
      </w:r>
      <w:r w:rsidR="00AA70A5" w:rsidRPr="005D6E61">
        <w:rPr>
          <w:rFonts w:ascii="Cambria" w:hAnsi="Cambria"/>
          <w:sz w:val="20"/>
          <w:szCs w:val="20"/>
          <w:lang w:val="pt-BR"/>
        </w:rPr>
        <w:t>os integrantes</w:t>
      </w:r>
      <w:r w:rsidR="00F77B7F" w:rsidRPr="005D6E61">
        <w:rPr>
          <w:rFonts w:ascii="Cambria" w:hAnsi="Cambria"/>
          <w:sz w:val="20"/>
          <w:szCs w:val="20"/>
          <w:lang w:val="pt-BR"/>
        </w:rPr>
        <w:t xml:space="preserve"> do </w:t>
      </w:r>
      <w:r w:rsidR="00AA70A5" w:rsidRPr="005D6E61">
        <w:rPr>
          <w:rFonts w:ascii="Cambria" w:hAnsi="Cambria"/>
          <w:sz w:val="20"/>
          <w:szCs w:val="20"/>
          <w:lang w:val="pt-BR"/>
        </w:rPr>
        <w:t>“Grupo da Várzea”</w:t>
      </w:r>
      <w:r w:rsidR="00AA70A5" w:rsidRPr="005D6E61">
        <w:rPr>
          <w:rStyle w:val="FootnoteReference"/>
          <w:rFonts w:ascii="Cambria" w:hAnsi="Cambria"/>
          <w:sz w:val="20"/>
          <w:szCs w:val="20"/>
          <w:lang w:val="pt-BR"/>
        </w:rPr>
        <w:footnoteReference w:id="41"/>
      </w:r>
      <w:r w:rsidR="00AA70A5" w:rsidRPr="005D6E61">
        <w:rPr>
          <w:rFonts w:ascii="Cambria" w:hAnsi="Cambria"/>
          <w:sz w:val="20"/>
          <w:szCs w:val="20"/>
          <w:lang w:val="pt-BR"/>
        </w:rPr>
        <w:t>.</w:t>
      </w:r>
    </w:p>
    <w:p w14:paraId="59C4875D" w14:textId="77777777" w:rsidR="00AA70A5" w:rsidRPr="005D6E61" w:rsidRDefault="00AA70A5" w:rsidP="00AA70A5">
      <w:pPr>
        <w:pStyle w:val="ListParagraph"/>
        <w:rPr>
          <w:sz w:val="20"/>
          <w:szCs w:val="20"/>
          <w:lang w:val="pt-BR"/>
        </w:rPr>
      </w:pPr>
    </w:p>
    <w:p w14:paraId="6389E5B5" w14:textId="77777777" w:rsidR="00AA70A5" w:rsidRPr="005D6E61"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V</w:t>
      </w:r>
      <w:r w:rsidR="00D00E6D" w:rsidRPr="005D6E61">
        <w:rPr>
          <w:rFonts w:ascii="Cambria" w:hAnsi="Cambria"/>
          <w:sz w:val="20"/>
          <w:szCs w:val="20"/>
          <w:lang w:val="pt-BR"/>
        </w:rPr>
        <w:t>á</w:t>
      </w:r>
      <w:r w:rsidRPr="005D6E61">
        <w:rPr>
          <w:rFonts w:ascii="Cambria" w:hAnsi="Cambria"/>
          <w:sz w:val="20"/>
          <w:szCs w:val="20"/>
          <w:lang w:val="pt-BR"/>
        </w:rPr>
        <w:t>rios test</w:t>
      </w:r>
      <w:r w:rsidR="00D00E6D" w:rsidRPr="005D6E61">
        <w:rPr>
          <w:rFonts w:ascii="Cambria" w:hAnsi="Cambria"/>
          <w:sz w:val="20"/>
          <w:szCs w:val="20"/>
          <w:lang w:val="pt-BR"/>
        </w:rPr>
        <w:t>e</w:t>
      </w:r>
      <w:r w:rsidRPr="005D6E61">
        <w:rPr>
          <w:rFonts w:ascii="Cambria" w:hAnsi="Cambria"/>
          <w:sz w:val="20"/>
          <w:szCs w:val="20"/>
          <w:lang w:val="pt-BR"/>
        </w:rPr>
        <w:t>m</w:t>
      </w:r>
      <w:r w:rsidR="00D00E6D" w:rsidRPr="005D6E61">
        <w:rPr>
          <w:rFonts w:ascii="Cambria" w:hAnsi="Cambria"/>
          <w:sz w:val="20"/>
          <w:szCs w:val="20"/>
          <w:lang w:val="pt-BR"/>
        </w:rPr>
        <w:t>u</w:t>
      </w:r>
      <w:r w:rsidRPr="005D6E61">
        <w:rPr>
          <w:rFonts w:ascii="Cambria" w:hAnsi="Cambria"/>
          <w:sz w:val="20"/>
          <w:szCs w:val="20"/>
          <w:lang w:val="pt-BR"/>
        </w:rPr>
        <w:t>n</w:t>
      </w:r>
      <w:r w:rsidR="00D00E6D" w:rsidRPr="005D6E61">
        <w:rPr>
          <w:rFonts w:ascii="Cambria" w:hAnsi="Cambria"/>
          <w:sz w:val="20"/>
          <w:szCs w:val="20"/>
          <w:lang w:val="pt-BR"/>
        </w:rPr>
        <w:t>h</w:t>
      </w:r>
      <w:r w:rsidRPr="005D6E61">
        <w:rPr>
          <w:rFonts w:ascii="Cambria" w:hAnsi="Cambria"/>
          <w:sz w:val="20"/>
          <w:szCs w:val="20"/>
          <w:lang w:val="pt-BR"/>
        </w:rPr>
        <w:t>os re</w:t>
      </w:r>
      <w:r w:rsidR="00D00E6D" w:rsidRPr="005D6E61">
        <w:rPr>
          <w:rFonts w:ascii="Cambria" w:hAnsi="Cambria"/>
          <w:sz w:val="20"/>
          <w:szCs w:val="20"/>
          <w:lang w:val="pt-BR"/>
        </w:rPr>
        <w:t>afirmaram</w:t>
      </w:r>
      <w:r w:rsidRPr="005D6E61">
        <w:rPr>
          <w:rFonts w:ascii="Cambria" w:hAnsi="Cambria"/>
          <w:sz w:val="20"/>
          <w:szCs w:val="20"/>
          <w:lang w:val="pt-BR"/>
        </w:rPr>
        <w:t xml:space="preserve"> que</w:t>
      </w:r>
      <w:r w:rsidR="00F77B7F" w:rsidRPr="005D6E61">
        <w:rPr>
          <w:rFonts w:ascii="Cambria" w:hAnsi="Cambria"/>
          <w:sz w:val="20"/>
          <w:szCs w:val="20"/>
          <w:lang w:val="pt-BR"/>
        </w:rPr>
        <w:t xml:space="preserve"> os </w:t>
      </w:r>
      <w:r w:rsidRPr="005D6E61">
        <w:rPr>
          <w:rFonts w:ascii="Cambria" w:hAnsi="Cambria"/>
          <w:sz w:val="20"/>
          <w:szCs w:val="20"/>
          <w:lang w:val="pt-BR"/>
        </w:rPr>
        <w:t>autores</w:t>
      </w:r>
      <w:r w:rsidR="00F77B7F" w:rsidRPr="005D6E61">
        <w:rPr>
          <w:rFonts w:ascii="Cambria" w:hAnsi="Cambria"/>
          <w:sz w:val="20"/>
          <w:szCs w:val="20"/>
          <w:lang w:val="pt-BR"/>
        </w:rPr>
        <w:t xml:space="preserve"> do </w:t>
      </w:r>
      <w:r w:rsidRPr="005D6E61">
        <w:rPr>
          <w:rFonts w:ascii="Cambria" w:hAnsi="Cambria"/>
          <w:sz w:val="20"/>
          <w:szCs w:val="20"/>
          <w:lang w:val="pt-BR"/>
        </w:rPr>
        <w:t xml:space="preserve">crime </w:t>
      </w:r>
      <w:r w:rsidR="006C535C" w:rsidRPr="005D6E61">
        <w:rPr>
          <w:rFonts w:ascii="Cambria" w:hAnsi="Cambria"/>
          <w:sz w:val="20"/>
          <w:szCs w:val="20"/>
          <w:lang w:val="pt-BR"/>
        </w:rPr>
        <w:t>seriam</w:t>
      </w:r>
      <w:r w:rsidRPr="005D6E61">
        <w:rPr>
          <w:rFonts w:ascii="Cambria" w:hAnsi="Cambria"/>
          <w:sz w:val="20"/>
          <w:szCs w:val="20"/>
          <w:lang w:val="pt-BR"/>
        </w:rPr>
        <w:t xml:space="preserve"> </w:t>
      </w:r>
      <w:r w:rsidR="00AA0930" w:rsidRPr="005D6E61">
        <w:rPr>
          <w:rFonts w:ascii="Cambria" w:hAnsi="Cambria"/>
          <w:sz w:val="20"/>
          <w:szCs w:val="20"/>
          <w:lang w:val="pt-BR"/>
        </w:rPr>
        <w:t>Antônio</w:t>
      </w:r>
      <w:r w:rsidRPr="005D6E61">
        <w:rPr>
          <w:rFonts w:ascii="Cambria" w:hAnsi="Cambria"/>
          <w:sz w:val="20"/>
          <w:szCs w:val="20"/>
          <w:lang w:val="pt-BR"/>
        </w:rPr>
        <w:t xml:space="preserve"> de Almeida Regis</w:t>
      </w:r>
      <w:r w:rsidR="006C5454" w:rsidRPr="005D6E61">
        <w:rPr>
          <w:rFonts w:ascii="Cambria" w:hAnsi="Cambria"/>
          <w:sz w:val="20"/>
          <w:szCs w:val="20"/>
          <w:lang w:val="pt-BR"/>
        </w:rPr>
        <w:t xml:space="preserve"> e</w:t>
      </w:r>
      <w:r w:rsidR="00F77B7F" w:rsidRPr="005D6E61">
        <w:rPr>
          <w:rFonts w:ascii="Cambria" w:hAnsi="Cambria"/>
          <w:sz w:val="20"/>
          <w:szCs w:val="20"/>
          <w:lang w:val="pt-BR"/>
        </w:rPr>
        <w:t xml:space="preserve"> os </w:t>
      </w:r>
      <w:r w:rsidR="00D00E6D" w:rsidRPr="005D6E61">
        <w:rPr>
          <w:rFonts w:ascii="Cambria" w:hAnsi="Cambria"/>
          <w:sz w:val="20"/>
          <w:szCs w:val="20"/>
          <w:lang w:val="pt-BR"/>
        </w:rPr>
        <w:t>irmã</w:t>
      </w:r>
      <w:r w:rsidRPr="005D6E61">
        <w:rPr>
          <w:rFonts w:ascii="Cambria" w:hAnsi="Cambria"/>
          <w:sz w:val="20"/>
          <w:szCs w:val="20"/>
          <w:lang w:val="pt-BR"/>
        </w:rPr>
        <w:t>os Amaro</w:t>
      </w:r>
      <w:r w:rsidR="006C5454" w:rsidRPr="005D6E61">
        <w:rPr>
          <w:rFonts w:ascii="Cambria" w:hAnsi="Cambria"/>
          <w:sz w:val="20"/>
          <w:szCs w:val="20"/>
          <w:lang w:val="pt-BR"/>
        </w:rPr>
        <w:t xml:space="preserve"> e </w:t>
      </w:r>
      <w:r w:rsidRPr="005D6E61">
        <w:rPr>
          <w:rFonts w:ascii="Cambria" w:hAnsi="Cambria"/>
          <w:sz w:val="20"/>
          <w:szCs w:val="20"/>
          <w:lang w:val="pt-BR"/>
        </w:rPr>
        <w:t>Amauri José do Rego</w:t>
      </w:r>
      <w:r w:rsidRPr="005D6E61">
        <w:rPr>
          <w:rStyle w:val="FootnoteReference"/>
          <w:rFonts w:ascii="Cambria" w:hAnsi="Cambria"/>
          <w:sz w:val="20"/>
          <w:szCs w:val="20"/>
          <w:lang w:val="pt-BR"/>
        </w:rPr>
        <w:footnoteReference w:id="42"/>
      </w:r>
      <w:r w:rsidR="006C5454" w:rsidRPr="005D6E61">
        <w:rPr>
          <w:rFonts w:ascii="Cambria" w:hAnsi="Cambria"/>
          <w:sz w:val="20"/>
          <w:szCs w:val="20"/>
          <w:lang w:val="pt-BR"/>
        </w:rPr>
        <w:t xml:space="preserve"> e </w:t>
      </w:r>
      <w:r w:rsidRPr="005D6E61">
        <w:rPr>
          <w:rFonts w:ascii="Cambria" w:hAnsi="Cambria"/>
          <w:sz w:val="20"/>
          <w:szCs w:val="20"/>
          <w:lang w:val="pt-BR"/>
        </w:rPr>
        <w:t xml:space="preserve">que </w:t>
      </w:r>
      <w:r w:rsidR="00D00E6D" w:rsidRPr="005D6E61">
        <w:rPr>
          <w:rFonts w:ascii="Cambria" w:hAnsi="Cambria"/>
          <w:sz w:val="20"/>
          <w:szCs w:val="20"/>
          <w:lang w:val="pt-BR"/>
        </w:rPr>
        <w:t>após</w:t>
      </w:r>
      <w:r w:rsidRPr="005D6E61">
        <w:rPr>
          <w:rFonts w:ascii="Cambria" w:hAnsi="Cambria"/>
          <w:sz w:val="20"/>
          <w:szCs w:val="20"/>
          <w:lang w:val="pt-BR"/>
        </w:rPr>
        <w:t xml:space="preserve"> cometer</w:t>
      </w:r>
      <w:r w:rsidR="00331E62" w:rsidRPr="005D6E61">
        <w:rPr>
          <w:rFonts w:ascii="Cambria" w:hAnsi="Cambria"/>
          <w:sz w:val="20"/>
          <w:szCs w:val="20"/>
          <w:lang w:val="pt-BR"/>
        </w:rPr>
        <w:t xml:space="preserve"> o </w:t>
      </w:r>
      <w:r w:rsidR="002B71BD" w:rsidRPr="005D6E61">
        <w:rPr>
          <w:rFonts w:ascii="Cambria" w:hAnsi="Cambria"/>
          <w:sz w:val="20"/>
          <w:szCs w:val="20"/>
          <w:lang w:val="pt-BR"/>
        </w:rPr>
        <w:t>crime</w:t>
      </w:r>
      <w:r w:rsidRPr="005D6E61">
        <w:rPr>
          <w:rFonts w:ascii="Cambria" w:hAnsi="Cambria"/>
          <w:sz w:val="20"/>
          <w:szCs w:val="20"/>
          <w:lang w:val="pt-BR"/>
        </w:rPr>
        <w:t xml:space="preserve"> estas </w:t>
      </w:r>
      <w:r w:rsidR="0054428F" w:rsidRPr="005D6E61">
        <w:rPr>
          <w:rFonts w:ascii="Cambria" w:hAnsi="Cambria"/>
          <w:sz w:val="20"/>
          <w:szCs w:val="20"/>
          <w:lang w:val="pt-BR"/>
        </w:rPr>
        <w:t>pessoa</w:t>
      </w:r>
      <w:r w:rsidRPr="005D6E61">
        <w:rPr>
          <w:rFonts w:ascii="Cambria" w:hAnsi="Cambria"/>
          <w:sz w:val="20"/>
          <w:szCs w:val="20"/>
          <w:lang w:val="pt-BR"/>
        </w:rPr>
        <w:t>s escapar</w:t>
      </w:r>
      <w:r w:rsidR="00D00E6D" w:rsidRPr="005D6E61">
        <w:rPr>
          <w:rFonts w:ascii="Cambria" w:hAnsi="Cambria"/>
          <w:sz w:val="20"/>
          <w:szCs w:val="20"/>
          <w:lang w:val="pt-BR"/>
        </w:rPr>
        <w:t>am</w:t>
      </w:r>
      <w:r w:rsidRPr="005D6E61">
        <w:rPr>
          <w:rFonts w:ascii="Cambria" w:hAnsi="Cambria"/>
          <w:sz w:val="20"/>
          <w:szCs w:val="20"/>
          <w:lang w:val="pt-BR"/>
        </w:rPr>
        <w:t xml:space="preserve"> rumo</w:t>
      </w:r>
      <w:r w:rsidR="00CD523F" w:rsidRPr="005D6E61">
        <w:rPr>
          <w:rFonts w:ascii="Cambria" w:hAnsi="Cambria"/>
          <w:sz w:val="20"/>
          <w:szCs w:val="20"/>
          <w:lang w:val="pt-BR"/>
        </w:rPr>
        <w:t xml:space="preserve"> ao </w:t>
      </w:r>
      <w:r w:rsidRPr="005D6E61">
        <w:rPr>
          <w:rFonts w:ascii="Cambria" w:hAnsi="Cambria"/>
          <w:sz w:val="20"/>
          <w:szCs w:val="20"/>
          <w:lang w:val="pt-BR"/>
        </w:rPr>
        <w:t>p</w:t>
      </w:r>
      <w:r w:rsidR="00D00E6D" w:rsidRPr="005D6E61">
        <w:rPr>
          <w:rFonts w:ascii="Cambria" w:hAnsi="Cambria"/>
          <w:sz w:val="20"/>
          <w:szCs w:val="20"/>
          <w:lang w:val="pt-BR"/>
        </w:rPr>
        <w:t>ovoado</w:t>
      </w:r>
      <w:r w:rsidRPr="005D6E61">
        <w:rPr>
          <w:rFonts w:ascii="Cambria" w:hAnsi="Cambria"/>
          <w:sz w:val="20"/>
          <w:szCs w:val="20"/>
          <w:lang w:val="pt-BR"/>
        </w:rPr>
        <w:t xml:space="preserve"> de Rio Tinto onde </w:t>
      </w:r>
      <w:r w:rsidR="00D00E6D" w:rsidRPr="005D6E61">
        <w:rPr>
          <w:rFonts w:ascii="Cambria" w:hAnsi="Cambria"/>
          <w:sz w:val="20"/>
          <w:szCs w:val="20"/>
          <w:lang w:val="pt-BR"/>
        </w:rPr>
        <w:t>jantaram</w:t>
      </w:r>
      <w:r w:rsidR="00F77B7F" w:rsidRPr="005D6E61">
        <w:rPr>
          <w:rFonts w:ascii="Cambria" w:hAnsi="Cambria"/>
          <w:sz w:val="20"/>
          <w:szCs w:val="20"/>
          <w:lang w:val="pt-BR"/>
        </w:rPr>
        <w:t xml:space="preserve"> com</w:t>
      </w:r>
      <w:r w:rsidR="00331E62" w:rsidRPr="005D6E61">
        <w:rPr>
          <w:rFonts w:ascii="Cambria" w:hAnsi="Cambria"/>
          <w:sz w:val="20"/>
          <w:szCs w:val="20"/>
          <w:lang w:val="pt-BR"/>
        </w:rPr>
        <w:t xml:space="preserve"> a </w:t>
      </w:r>
      <w:r w:rsidRPr="005D6E61">
        <w:rPr>
          <w:rFonts w:ascii="Cambria" w:hAnsi="Cambria"/>
          <w:sz w:val="20"/>
          <w:szCs w:val="20"/>
          <w:lang w:val="pt-BR"/>
        </w:rPr>
        <w:t xml:space="preserve">amante de Amauri José do Rego. </w:t>
      </w:r>
      <w:r w:rsidR="006C535C" w:rsidRPr="005D6E61">
        <w:rPr>
          <w:rFonts w:ascii="Cambria" w:hAnsi="Cambria"/>
          <w:sz w:val="20"/>
          <w:szCs w:val="20"/>
          <w:lang w:val="pt-BR"/>
        </w:rPr>
        <w:t>Indicaram</w:t>
      </w:r>
      <w:r w:rsidRPr="005D6E61">
        <w:rPr>
          <w:rFonts w:ascii="Cambria" w:hAnsi="Cambria"/>
          <w:sz w:val="20"/>
          <w:szCs w:val="20"/>
          <w:lang w:val="pt-BR"/>
        </w:rPr>
        <w:t xml:space="preserve"> que </w:t>
      </w:r>
      <w:r w:rsidR="00D00E6D" w:rsidRPr="005D6E61">
        <w:rPr>
          <w:rFonts w:ascii="Cambria" w:hAnsi="Cambria"/>
          <w:sz w:val="20"/>
          <w:szCs w:val="20"/>
          <w:lang w:val="pt-BR"/>
        </w:rPr>
        <w:t>ess</w:t>
      </w:r>
      <w:r w:rsidRPr="005D6E61">
        <w:rPr>
          <w:rFonts w:ascii="Cambria" w:hAnsi="Cambria"/>
          <w:sz w:val="20"/>
          <w:szCs w:val="20"/>
          <w:lang w:val="pt-BR"/>
        </w:rPr>
        <w:t xml:space="preserve">as </w:t>
      </w:r>
      <w:r w:rsidR="0054428F" w:rsidRPr="005D6E61">
        <w:rPr>
          <w:rFonts w:ascii="Cambria" w:hAnsi="Cambria"/>
          <w:sz w:val="20"/>
          <w:szCs w:val="20"/>
          <w:lang w:val="pt-BR"/>
        </w:rPr>
        <w:t>pessoa</w:t>
      </w:r>
      <w:r w:rsidRPr="005D6E61">
        <w:rPr>
          <w:rFonts w:ascii="Cambria" w:hAnsi="Cambria"/>
          <w:sz w:val="20"/>
          <w:szCs w:val="20"/>
          <w:lang w:val="pt-BR"/>
        </w:rPr>
        <w:t>s rec</w:t>
      </w:r>
      <w:r w:rsidR="00D00E6D" w:rsidRPr="005D6E61">
        <w:rPr>
          <w:rFonts w:ascii="Cambria" w:hAnsi="Cambria"/>
          <w:sz w:val="20"/>
          <w:szCs w:val="20"/>
          <w:lang w:val="pt-BR"/>
        </w:rPr>
        <w:t>e</w:t>
      </w:r>
      <w:r w:rsidRPr="005D6E61">
        <w:rPr>
          <w:rFonts w:ascii="Cambria" w:hAnsi="Cambria"/>
          <w:sz w:val="20"/>
          <w:szCs w:val="20"/>
          <w:lang w:val="pt-BR"/>
        </w:rPr>
        <w:t>b</w:t>
      </w:r>
      <w:r w:rsidR="00D00E6D" w:rsidRPr="005D6E61">
        <w:rPr>
          <w:rFonts w:ascii="Cambria" w:hAnsi="Cambria"/>
          <w:sz w:val="20"/>
          <w:szCs w:val="20"/>
          <w:lang w:val="pt-BR"/>
        </w:rPr>
        <w:t>eram</w:t>
      </w:r>
      <w:r w:rsidR="00331E62" w:rsidRPr="005D6E61">
        <w:rPr>
          <w:rFonts w:ascii="Cambria" w:hAnsi="Cambria"/>
          <w:sz w:val="20"/>
          <w:szCs w:val="20"/>
          <w:lang w:val="pt-BR"/>
        </w:rPr>
        <w:t xml:space="preserve"> a </w:t>
      </w:r>
      <w:r w:rsidR="00D00E6D" w:rsidRPr="005D6E61">
        <w:rPr>
          <w:rFonts w:ascii="Cambria" w:hAnsi="Cambria"/>
          <w:sz w:val="20"/>
          <w:szCs w:val="20"/>
          <w:lang w:val="pt-BR"/>
        </w:rPr>
        <w:t>quantia</w:t>
      </w:r>
      <w:r w:rsidR="00FB55C7" w:rsidRPr="005D6E61">
        <w:rPr>
          <w:rFonts w:ascii="Cambria" w:hAnsi="Cambria"/>
          <w:sz w:val="20"/>
          <w:szCs w:val="20"/>
          <w:lang w:val="pt-BR"/>
        </w:rPr>
        <w:t xml:space="preserve"> </w:t>
      </w:r>
      <w:r w:rsidR="00D00E6D" w:rsidRPr="005D6E61">
        <w:rPr>
          <w:rFonts w:ascii="Cambria" w:hAnsi="Cambria"/>
          <w:sz w:val="20"/>
          <w:szCs w:val="20"/>
          <w:lang w:val="pt-BR"/>
        </w:rPr>
        <w:t>de quinh</w:t>
      </w:r>
      <w:r w:rsidRPr="005D6E61">
        <w:rPr>
          <w:rFonts w:ascii="Cambria" w:hAnsi="Cambria"/>
          <w:sz w:val="20"/>
          <w:szCs w:val="20"/>
          <w:lang w:val="pt-BR"/>
        </w:rPr>
        <w:t>entos mil cruzeiros,</w:t>
      </w:r>
      <w:r w:rsidR="006C5454" w:rsidRPr="005D6E61">
        <w:rPr>
          <w:rFonts w:ascii="Cambria" w:hAnsi="Cambria"/>
          <w:sz w:val="20"/>
          <w:szCs w:val="20"/>
          <w:lang w:val="pt-BR"/>
        </w:rPr>
        <w:t xml:space="preserve"> uma </w:t>
      </w:r>
      <w:r w:rsidRPr="005D6E61">
        <w:rPr>
          <w:rFonts w:ascii="Cambria" w:hAnsi="Cambria"/>
          <w:sz w:val="20"/>
          <w:szCs w:val="20"/>
          <w:lang w:val="pt-BR"/>
        </w:rPr>
        <w:t>es</w:t>
      </w:r>
      <w:r w:rsidR="00D00E6D" w:rsidRPr="005D6E61">
        <w:rPr>
          <w:rFonts w:ascii="Cambria" w:hAnsi="Cambria"/>
          <w:sz w:val="20"/>
          <w:szCs w:val="20"/>
          <w:lang w:val="pt-BR"/>
        </w:rPr>
        <w:t>pingarda</w:t>
      </w:r>
      <w:r w:rsidR="006C5454" w:rsidRPr="005D6E61">
        <w:rPr>
          <w:rFonts w:ascii="Cambria" w:hAnsi="Cambria"/>
          <w:sz w:val="20"/>
          <w:szCs w:val="20"/>
          <w:lang w:val="pt-BR"/>
        </w:rPr>
        <w:t xml:space="preserve"> e</w:t>
      </w:r>
      <w:r w:rsidR="00275A65" w:rsidRPr="005D6E61">
        <w:rPr>
          <w:rFonts w:ascii="Cambria" w:hAnsi="Cambria"/>
          <w:sz w:val="20"/>
          <w:szCs w:val="20"/>
          <w:lang w:val="pt-BR"/>
        </w:rPr>
        <w:t xml:space="preserve"> um </w:t>
      </w:r>
      <w:r w:rsidRPr="005D6E61">
        <w:rPr>
          <w:rFonts w:ascii="Cambria" w:hAnsi="Cambria"/>
          <w:sz w:val="20"/>
          <w:szCs w:val="20"/>
          <w:lang w:val="pt-BR"/>
        </w:rPr>
        <w:t>automóv</w:t>
      </w:r>
      <w:r w:rsidR="00D00E6D" w:rsidRPr="005D6E61">
        <w:rPr>
          <w:rFonts w:ascii="Cambria" w:hAnsi="Cambria"/>
          <w:sz w:val="20"/>
          <w:szCs w:val="20"/>
          <w:lang w:val="pt-BR"/>
        </w:rPr>
        <w:t>e</w:t>
      </w:r>
      <w:r w:rsidRPr="005D6E61">
        <w:rPr>
          <w:rFonts w:ascii="Cambria" w:hAnsi="Cambria"/>
          <w:sz w:val="20"/>
          <w:szCs w:val="20"/>
          <w:lang w:val="pt-BR"/>
        </w:rPr>
        <w:t>l Opala co</w:t>
      </w:r>
      <w:r w:rsidR="00D00E6D" w:rsidRPr="005D6E61">
        <w:rPr>
          <w:rFonts w:ascii="Cambria" w:hAnsi="Cambria"/>
          <w:sz w:val="20"/>
          <w:szCs w:val="20"/>
          <w:lang w:val="pt-BR"/>
        </w:rPr>
        <w:t>r</w:t>
      </w:r>
      <w:r w:rsidRPr="005D6E61">
        <w:rPr>
          <w:rFonts w:ascii="Cambria" w:hAnsi="Cambria"/>
          <w:sz w:val="20"/>
          <w:szCs w:val="20"/>
          <w:lang w:val="pt-BR"/>
        </w:rPr>
        <w:t xml:space="preserve"> vin</w:t>
      </w:r>
      <w:r w:rsidR="00D00E6D" w:rsidRPr="005D6E61">
        <w:rPr>
          <w:rFonts w:ascii="Cambria" w:hAnsi="Cambria"/>
          <w:sz w:val="20"/>
          <w:szCs w:val="20"/>
          <w:lang w:val="pt-BR"/>
        </w:rPr>
        <w:t>h</w:t>
      </w:r>
      <w:r w:rsidRPr="005D6E61">
        <w:rPr>
          <w:rFonts w:ascii="Cambria" w:hAnsi="Cambria"/>
          <w:sz w:val="20"/>
          <w:szCs w:val="20"/>
          <w:lang w:val="pt-BR"/>
        </w:rPr>
        <w:t>o para cometer</w:t>
      </w:r>
      <w:r w:rsidR="00331E62" w:rsidRPr="005D6E61">
        <w:rPr>
          <w:rFonts w:ascii="Cambria" w:hAnsi="Cambria"/>
          <w:sz w:val="20"/>
          <w:szCs w:val="20"/>
          <w:lang w:val="pt-BR"/>
        </w:rPr>
        <w:t xml:space="preserve"> o </w:t>
      </w:r>
      <w:r w:rsidRPr="005D6E61">
        <w:rPr>
          <w:rFonts w:ascii="Cambria" w:hAnsi="Cambria"/>
          <w:sz w:val="20"/>
          <w:szCs w:val="20"/>
          <w:lang w:val="pt-BR"/>
        </w:rPr>
        <w:t>crime</w:t>
      </w:r>
      <w:r w:rsidRPr="005D6E61">
        <w:rPr>
          <w:rStyle w:val="FootnoteReference"/>
          <w:rFonts w:ascii="Cambria" w:hAnsi="Cambria"/>
          <w:sz w:val="20"/>
          <w:szCs w:val="20"/>
          <w:lang w:val="pt-BR"/>
        </w:rPr>
        <w:footnoteReference w:id="43"/>
      </w:r>
      <w:r w:rsidRPr="005D6E61">
        <w:rPr>
          <w:rFonts w:ascii="Cambria" w:hAnsi="Cambria"/>
          <w:sz w:val="20"/>
          <w:szCs w:val="20"/>
          <w:lang w:val="pt-BR"/>
        </w:rPr>
        <w:t xml:space="preserve">. </w:t>
      </w:r>
    </w:p>
    <w:p w14:paraId="3C3E3250" w14:textId="77777777" w:rsidR="00AA70A5" w:rsidRPr="005D6E61" w:rsidRDefault="00AA70A5" w:rsidP="00AA70A5">
      <w:pPr>
        <w:pStyle w:val="ListParagraph"/>
        <w:ind w:left="0"/>
        <w:rPr>
          <w:sz w:val="20"/>
          <w:szCs w:val="20"/>
          <w:lang w:val="pt-BR"/>
        </w:rPr>
      </w:pPr>
    </w:p>
    <w:p w14:paraId="391CED92" w14:textId="77777777" w:rsidR="00AA70A5" w:rsidRPr="005D6E61" w:rsidRDefault="00AA70A5" w:rsidP="00AA70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As</w:t>
      </w:r>
      <w:r w:rsidR="00DA7534" w:rsidRPr="005D6E61">
        <w:rPr>
          <w:rFonts w:ascii="Cambria" w:hAnsi="Cambria"/>
          <w:sz w:val="20"/>
          <w:szCs w:val="20"/>
          <w:lang w:val="pt-BR"/>
        </w:rPr>
        <w:t>sim,</w:t>
      </w:r>
      <w:r w:rsidRPr="005D6E61">
        <w:rPr>
          <w:rFonts w:ascii="Cambria" w:hAnsi="Cambria"/>
          <w:sz w:val="20"/>
          <w:szCs w:val="20"/>
          <w:lang w:val="pt-BR"/>
        </w:rPr>
        <w:t xml:space="preserve"> por e</w:t>
      </w:r>
      <w:r w:rsidR="00DA7534" w:rsidRPr="005D6E61">
        <w:rPr>
          <w:rFonts w:ascii="Cambria" w:hAnsi="Cambria"/>
          <w:sz w:val="20"/>
          <w:szCs w:val="20"/>
          <w:lang w:val="pt-BR"/>
        </w:rPr>
        <w:t>x</w:t>
      </w:r>
      <w:r w:rsidRPr="005D6E61">
        <w:rPr>
          <w:rFonts w:ascii="Cambria" w:hAnsi="Cambria"/>
          <w:sz w:val="20"/>
          <w:szCs w:val="20"/>
          <w:lang w:val="pt-BR"/>
        </w:rPr>
        <w:t>emplo,</w:t>
      </w:r>
      <w:r w:rsidR="00331E62" w:rsidRPr="005D6E61">
        <w:rPr>
          <w:rFonts w:ascii="Cambria" w:hAnsi="Cambria"/>
          <w:sz w:val="20"/>
          <w:szCs w:val="20"/>
          <w:lang w:val="pt-BR"/>
        </w:rPr>
        <w:t xml:space="preserve"> </w:t>
      </w:r>
      <w:r w:rsidR="00DA7534" w:rsidRPr="005D6E61">
        <w:rPr>
          <w:rFonts w:ascii="Cambria" w:hAnsi="Cambria"/>
          <w:sz w:val="20"/>
          <w:szCs w:val="20"/>
          <w:lang w:val="pt-BR"/>
        </w:rPr>
        <w:t>em</w:t>
      </w:r>
      <w:r w:rsidR="00331E62" w:rsidRPr="005D6E61">
        <w:rPr>
          <w:rFonts w:ascii="Cambria" w:hAnsi="Cambria"/>
          <w:sz w:val="20"/>
          <w:szCs w:val="20"/>
          <w:lang w:val="pt-BR"/>
        </w:rPr>
        <w:t xml:space="preserve"> </w:t>
      </w:r>
      <w:r w:rsidRPr="005D6E61">
        <w:rPr>
          <w:rFonts w:ascii="Cambria" w:hAnsi="Cambria"/>
          <w:sz w:val="20"/>
          <w:szCs w:val="20"/>
          <w:lang w:val="pt-BR"/>
        </w:rPr>
        <w:t xml:space="preserve">17 de </w:t>
      </w:r>
      <w:r w:rsidR="00287321" w:rsidRPr="005D6E61">
        <w:rPr>
          <w:rFonts w:ascii="Cambria" w:hAnsi="Cambria"/>
          <w:sz w:val="20"/>
          <w:szCs w:val="20"/>
          <w:lang w:val="pt-BR"/>
        </w:rPr>
        <w:t>outubro</w:t>
      </w:r>
      <w:r w:rsidRPr="005D6E61">
        <w:rPr>
          <w:rFonts w:ascii="Cambria" w:hAnsi="Cambria"/>
          <w:sz w:val="20"/>
          <w:szCs w:val="20"/>
          <w:lang w:val="pt-BR"/>
        </w:rPr>
        <w:t xml:space="preserve"> de 1983 </w:t>
      </w:r>
      <w:r w:rsidR="00DA7534" w:rsidRPr="005D6E61">
        <w:rPr>
          <w:rFonts w:ascii="Cambria" w:hAnsi="Cambria"/>
          <w:sz w:val="20"/>
          <w:szCs w:val="20"/>
          <w:lang w:val="pt-BR"/>
        </w:rPr>
        <w:t>prestou</w:t>
      </w:r>
      <w:r w:rsidR="00BF0B90" w:rsidRPr="005D6E61">
        <w:rPr>
          <w:rFonts w:ascii="Cambria" w:hAnsi="Cambria"/>
          <w:sz w:val="20"/>
          <w:szCs w:val="20"/>
          <w:lang w:val="pt-BR"/>
        </w:rPr>
        <w:t xml:space="preserve"> </w:t>
      </w:r>
      <w:r w:rsidRPr="005D6E61">
        <w:rPr>
          <w:rFonts w:ascii="Cambria" w:hAnsi="Cambria"/>
          <w:sz w:val="20"/>
          <w:szCs w:val="20"/>
          <w:lang w:val="pt-BR"/>
        </w:rPr>
        <w:t>declara</w:t>
      </w:r>
      <w:r w:rsidR="00A274D9" w:rsidRPr="005D6E61">
        <w:rPr>
          <w:rFonts w:ascii="Cambria" w:hAnsi="Cambria"/>
          <w:sz w:val="20"/>
          <w:szCs w:val="20"/>
          <w:lang w:val="pt-BR"/>
        </w:rPr>
        <w:t>ção</w:t>
      </w:r>
      <w:r w:rsidRPr="005D6E61">
        <w:rPr>
          <w:rFonts w:ascii="Cambria" w:hAnsi="Cambria"/>
          <w:sz w:val="20"/>
          <w:szCs w:val="20"/>
          <w:lang w:val="pt-BR"/>
        </w:rPr>
        <w:t xml:space="preserve"> Djailton Hugo dos Santos,</w:t>
      </w:r>
      <w:r w:rsidR="005A2381" w:rsidRPr="005D6E61">
        <w:rPr>
          <w:rFonts w:ascii="Cambria" w:hAnsi="Cambria"/>
          <w:sz w:val="20"/>
          <w:szCs w:val="20"/>
          <w:lang w:val="pt-BR"/>
        </w:rPr>
        <w:t xml:space="preserve"> na qua</w:t>
      </w:r>
      <w:r w:rsidRPr="005D6E61">
        <w:rPr>
          <w:rFonts w:ascii="Cambria" w:hAnsi="Cambria"/>
          <w:sz w:val="20"/>
          <w:szCs w:val="20"/>
          <w:lang w:val="pt-BR"/>
        </w:rPr>
        <w:t>l afirm</w:t>
      </w:r>
      <w:r w:rsidR="00BF0B90" w:rsidRPr="005D6E61">
        <w:rPr>
          <w:rFonts w:ascii="Cambria" w:hAnsi="Cambria"/>
          <w:sz w:val="20"/>
          <w:szCs w:val="20"/>
          <w:lang w:val="pt-BR"/>
        </w:rPr>
        <w:t xml:space="preserve">ou </w:t>
      </w:r>
      <w:r w:rsidR="00DA7534" w:rsidRPr="005D6E61">
        <w:rPr>
          <w:rFonts w:ascii="Cambria" w:hAnsi="Cambria"/>
          <w:sz w:val="20"/>
          <w:szCs w:val="20"/>
          <w:lang w:val="pt-BR"/>
        </w:rPr>
        <w:t>t</w:t>
      </w:r>
      <w:r w:rsidRPr="005D6E61">
        <w:rPr>
          <w:rFonts w:ascii="Cambria" w:hAnsi="Cambria"/>
          <w:sz w:val="20"/>
          <w:szCs w:val="20"/>
          <w:lang w:val="pt-BR"/>
        </w:rPr>
        <w:t>er visto Amauri José do Rego</w:t>
      </w:r>
      <w:r w:rsidR="005A2381" w:rsidRPr="005D6E61">
        <w:rPr>
          <w:rFonts w:ascii="Cambria" w:hAnsi="Cambria"/>
          <w:sz w:val="20"/>
          <w:szCs w:val="20"/>
          <w:lang w:val="pt-BR"/>
        </w:rPr>
        <w:t xml:space="preserve"> na </w:t>
      </w:r>
      <w:r w:rsidRPr="005D6E61">
        <w:rPr>
          <w:rFonts w:ascii="Cambria" w:hAnsi="Cambria"/>
          <w:sz w:val="20"/>
          <w:szCs w:val="20"/>
          <w:lang w:val="pt-BR"/>
        </w:rPr>
        <w:t>v</w:t>
      </w:r>
      <w:r w:rsidR="00DA7534" w:rsidRPr="005D6E61">
        <w:rPr>
          <w:rFonts w:ascii="Cambria" w:hAnsi="Cambria"/>
          <w:sz w:val="20"/>
          <w:szCs w:val="20"/>
          <w:lang w:val="pt-BR"/>
        </w:rPr>
        <w:t>é</w:t>
      </w:r>
      <w:r w:rsidRPr="005D6E61">
        <w:rPr>
          <w:rFonts w:ascii="Cambria" w:hAnsi="Cambria"/>
          <w:sz w:val="20"/>
          <w:szCs w:val="20"/>
          <w:lang w:val="pt-BR"/>
        </w:rPr>
        <w:t>spera</w:t>
      </w:r>
      <w:r w:rsidR="00F77B7F" w:rsidRPr="005D6E61">
        <w:rPr>
          <w:rFonts w:ascii="Cambria" w:hAnsi="Cambria"/>
          <w:sz w:val="20"/>
          <w:szCs w:val="20"/>
          <w:lang w:val="pt-BR"/>
        </w:rPr>
        <w:t xml:space="preserve"> do </w:t>
      </w:r>
      <w:r w:rsidR="00DA7534" w:rsidRPr="005D6E61">
        <w:rPr>
          <w:rFonts w:ascii="Cambria" w:hAnsi="Cambria"/>
          <w:sz w:val="20"/>
          <w:szCs w:val="20"/>
          <w:lang w:val="pt-BR"/>
        </w:rPr>
        <w:t>crime</w:t>
      </w:r>
      <w:r w:rsidR="005A2381" w:rsidRPr="005D6E61">
        <w:rPr>
          <w:rFonts w:ascii="Cambria" w:hAnsi="Cambria"/>
          <w:sz w:val="20"/>
          <w:szCs w:val="20"/>
          <w:lang w:val="pt-BR"/>
        </w:rPr>
        <w:t xml:space="preserve"> na </w:t>
      </w:r>
      <w:r w:rsidRPr="005D6E61">
        <w:rPr>
          <w:rFonts w:ascii="Cambria" w:hAnsi="Cambria"/>
          <w:sz w:val="20"/>
          <w:szCs w:val="20"/>
          <w:lang w:val="pt-BR"/>
        </w:rPr>
        <w:t>ci</w:t>
      </w:r>
      <w:r w:rsidR="00FB55C7" w:rsidRPr="005D6E61">
        <w:rPr>
          <w:rFonts w:ascii="Cambria" w:hAnsi="Cambria"/>
          <w:sz w:val="20"/>
          <w:szCs w:val="20"/>
          <w:lang w:val="pt-BR"/>
        </w:rPr>
        <w:t xml:space="preserve">dade </w:t>
      </w:r>
      <w:r w:rsidR="00DA7534" w:rsidRPr="005D6E61">
        <w:rPr>
          <w:rFonts w:ascii="Cambria" w:hAnsi="Cambria"/>
          <w:sz w:val="20"/>
          <w:szCs w:val="20"/>
          <w:lang w:val="pt-BR"/>
        </w:rPr>
        <w:t>de Alagoa Grande, acompanh</w:t>
      </w:r>
      <w:r w:rsidRPr="005D6E61">
        <w:rPr>
          <w:rFonts w:ascii="Cambria" w:hAnsi="Cambria"/>
          <w:sz w:val="20"/>
          <w:szCs w:val="20"/>
          <w:lang w:val="pt-BR"/>
        </w:rPr>
        <w:t xml:space="preserve">ado </w:t>
      </w:r>
      <w:r w:rsidRPr="005D6E61">
        <w:rPr>
          <w:rFonts w:ascii="Cambria" w:hAnsi="Cambria"/>
          <w:sz w:val="20"/>
          <w:szCs w:val="20"/>
          <w:lang w:val="pt-BR"/>
        </w:rPr>
        <w:lastRenderedPageBreak/>
        <w:t xml:space="preserve">por </w:t>
      </w:r>
      <w:r w:rsidR="00AA0930" w:rsidRPr="005D6E61">
        <w:rPr>
          <w:rFonts w:ascii="Cambria" w:hAnsi="Cambria"/>
          <w:sz w:val="20"/>
          <w:szCs w:val="20"/>
          <w:lang w:val="pt-BR"/>
        </w:rPr>
        <w:t>Antônio</w:t>
      </w:r>
      <w:r w:rsidRPr="005D6E61">
        <w:rPr>
          <w:rFonts w:ascii="Cambria" w:hAnsi="Cambria"/>
          <w:sz w:val="20"/>
          <w:szCs w:val="20"/>
          <w:lang w:val="pt-BR"/>
        </w:rPr>
        <w:t xml:space="preserve"> Carlos Coutinho Regis</w:t>
      </w:r>
      <w:r w:rsidR="006C5454" w:rsidRPr="005D6E61">
        <w:rPr>
          <w:rFonts w:ascii="Cambria" w:hAnsi="Cambria"/>
          <w:sz w:val="20"/>
          <w:szCs w:val="20"/>
          <w:lang w:val="pt-BR"/>
        </w:rPr>
        <w:t xml:space="preserve"> e </w:t>
      </w:r>
      <w:r w:rsidRPr="005D6E61">
        <w:rPr>
          <w:rFonts w:ascii="Cambria" w:hAnsi="Cambria"/>
          <w:sz w:val="20"/>
          <w:szCs w:val="20"/>
          <w:lang w:val="pt-BR"/>
        </w:rPr>
        <w:t>a bordo de</w:t>
      </w:r>
      <w:r w:rsidR="00275A65" w:rsidRPr="005D6E61">
        <w:rPr>
          <w:rFonts w:ascii="Cambria" w:hAnsi="Cambria"/>
          <w:sz w:val="20"/>
          <w:szCs w:val="20"/>
          <w:lang w:val="pt-BR"/>
        </w:rPr>
        <w:t xml:space="preserve"> um </w:t>
      </w:r>
      <w:r w:rsidRPr="005D6E61">
        <w:rPr>
          <w:rFonts w:ascii="Cambria" w:hAnsi="Cambria"/>
          <w:sz w:val="20"/>
          <w:szCs w:val="20"/>
          <w:lang w:val="pt-BR"/>
        </w:rPr>
        <w:t xml:space="preserve">veículo Opala </w:t>
      </w:r>
      <w:r w:rsidR="00DA7534" w:rsidRPr="005D6E61">
        <w:rPr>
          <w:rFonts w:ascii="Cambria" w:hAnsi="Cambria"/>
          <w:sz w:val="20"/>
          <w:szCs w:val="20"/>
          <w:lang w:val="pt-BR"/>
        </w:rPr>
        <w:t>vermelho</w:t>
      </w:r>
      <w:r w:rsidRPr="005D6E61">
        <w:rPr>
          <w:rStyle w:val="FootnoteReference"/>
          <w:rFonts w:ascii="Cambria" w:hAnsi="Cambria"/>
          <w:sz w:val="20"/>
          <w:szCs w:val="20"/>
          <w:lang w:val="pt-BR"/>
        </w:rPr>
        <w:footnoteReference w:id="44"/>
      </w:r>
      <w:r w:rsidRPr="005D6E61">
        <w:rPr>
          <w:rFonts w:ascii="Cambria" w:hAnsi="Cambria"/>
          <w:sz w:val="20"/>
          <w:szCs w:val="20"/>
          <w:lang w:val="pt-BR"/>
        </w:rPr>
        <w:t>.  Manoel Josué de Barros declar</w:t>
      </w:r>
      <w:r w:rsidR="00BF0B90" w:rsidRPr="005D6E61">
        <w:rPr>
          <w:rFonts w:ascii="Cambria" w:hAnsi="Cambria"/>
          <w:sz w:val="20"/>
          <w:szCs w:val="20"/>
          <w:lang w:val="pt-BR"/>
        </w:rPr>
        <w:t xml:space="preserve">ou </w:t>
      </w:r>
      <w:r w:rsidR="00DA7534" w:rsidRPr="005D6E61">
        <w:rPr>
          <w:rFonts w:ascii="Cambria" w:hAnsi="Cambria"/>
          <w:sz w:val="20"/>
          <w:szCs w:val="20"/>
          <w:lang w:val="pt-BR"/>
        </w:rPr>
        <w:t>em</w:t>
      </w:r>
      <w:r w:rsidR="00331E62" w:rsidRPr="005D6E61">
        <w:rPr>
          <w:rFonts w:ascii="Cambria" w:hAnsi="Cambria"/>
          <w:sz w:val="20"/>
          <w:szCs w:val="20"/>
          <w:lang w:val="pt-BR"/>
        </w:rPr>
        <w:t xml:space="preserve"> </w:t>
      </w:r>
      <w:r w:rsidR="00DA7534" w:rsidRPr="005D6E61">
        <w:rPr>
          <w:rFonts w:ascii="Cambria" w:hAnsi="Cambria"/>
          <w:sz w:val="20"/>
          <w:szCs w:val="20"/>
          <w:lang w:val="pt-BR"/>
        </w:rPr>
        <w:t>22 de nov</w:t>
      </w:r>
      <w:r w:rsidRPr="005D6E61">
        <w:rPr>
          <w:rFonts w:ascii="Cambria" w:hAnsi="Cambria"/>
          <w:sz w:val="20"/>
          <w:szCs w:val="20"/>
          <w:lang w:val="pt-BR"/>
        </w:rPr>
        <w:t>embr</w:t>
      </w:r>
      <w:r w:rsidR="00DA7534" w:rsidRPr="005D6E61">
        <w:rPr>
          <w:rFonts w:ascii="Cambria" w:hAnsi="Cambria"/>
          <w:sz w:val="20"/>
          <w:szCs w:val="20"/>
          <w:lang w:val="pt-BR"/>
        </w:rPr>
        <w:t>o</w:t>
      </w:r>
      <w:r w:rsidRPr="005D6E61">
        <w:rPr>
          <w:rFonts w:ascii="Cambria" w:hAnsi="Cambria"/>
          <w:sz w:val="20"/>
          <w:szCs w:val="20"/>
          <w:lang w:val="pt-BR"/>
        </w:rPr>
        <w:t xml:space="preserve"> de 1983 que Amauri José </w:t>
      </w:r>
      <w:r w:rsidR="00DA7534" w:rsidRPr="005D6E61">
        <w:rPr>
          <w:rFonts w:ascii="Cambria" w:hAnsi="Cambria"/>
          <w:sz w:val="20"/>
          <w:szCs w:val="20"/>
          <w:lang w:val="pt-BR"/>
        </w:rPr>
        <w:t>d</w:t>
      </w:r>
      <w:r w:rsidRPr="005D6E61">
        <w:rPr>
          <w:rFonts w:ascii="Cambria" w:hAnsi="Cambria"/>
          <w:sz w:val="20"/>
          <w:szCs w:val="20"/>
          <w:lang w:val="pt-BR"/>
        </w:rPr>
        <w:t>o Rego</w:t>
      </w:r>
      <w:r w:rsidR="006C5454" w:rsidRPr="005D6E61">
        <w:rPr>
          <w:rFonts w:ascii="Cambria" w:hAnsi="Cambria"/>
          <w:sz w:val="20"/>
          <w:szCs w:val="20"/>
          <w:lang w:val="pt-BR"/>
        </w:rPr>
        <w:t xml:space="preserve"> e </w:t>
      </w:r>
      <w:r w:rsidRPr="005D6E61">
        <w:rPr>
          <w:rFonts w:ascii="Cambria" w:hAnsi="Cambria"/>
          <w:sz w:val="20"/>
          <w:szCs w:val="20"/>
          <w:lang w:val="pt-BR"/>
        </w:rPr>
        <w:t>s</w:t>
      </w:r>
      <w:r w:rsidR="00DA7534" w:rsidRPr="005D6E61">
        <w:rPr>
          <w:rFonts w:ascii="Cambria" w:hAnsi="Cambria"/>
          <w:sz w:val="20"/>
          <w:szCs w:val="20"/>
          <w:lang w:val="pt-BR"/>
        </w:rPr>
        <w:t>e</w:t>
      </w:r>
      <w:r w:rsidRPr="005D6E61">
        <w:rPr>
          <w:rFonts w:ascii="Cambria" w:hAnsi="Cambria"/>
          <w:sz w:val="20"/>
          <w:szCs w:val="20"/>
          <w:lang w:val="pt-BR"/>
        </w:rPr>
        <w:t xml:space="preserve">u </w:t>
      </w:r>
      <w:r w:rsidR="00DA7534" w:rsidRPr="005D6E61">
        <w:rPr>
          <w:rFonts w:ascii="Cambria" w:hAnsi="Cambria"/>
          <w:sz w:val="20"/>
          <w:szCs w:val="20"/>
          <w:lang w:val="pt-BR"/>
        </w:rPr>
        <w:t>irmão</w:t>
      </w:r>
      <w:r w:rsidRPr="005D6E61">
        <w:rPr>
          <w:rFonts w:ascii="Cambria" w:hAnsi="Cambria"/>
          <w:sz w:val="20"/>
          <w:szCs w:val="20"/>
          <w:lang w:val="pt-BR"/>
        </w:rPr>
        <w:t xml:space="preserve"> Amaro José do Rego vend</w:t>
      </w:r>
      <w:r w:rsidR="00DA7534" w:rsidRPr="005D6E61">
        <w:rPr>
          <w:rFonts w:ascii="Cambria" w:hAnsi="Cambria"/>
          <w:sz w:val="20"/>
          <w:szCs w:val="20"/>
          <w:lang w:val="pt-BR"/>
        </w:rPr>
        <w:t>eram</w:t>
      </w:r>
      <w:r w:rsidR="00275A65" w:rsidRPr="005D6E61">
        <w:rPr>
          <w:rFonts w:ascii="Cambria" w:hAnsi="Cambria"/>
          <w:sz w:val="20"/>
          <w:szCs w:val="20"/>
          <w:lang w:val="pt-BR"/>
        </w:rPr>
        <w:t xml:space="preserve"> um </w:t>
      </w:r>
      <w:r w:rsidRPr="005D6E61">
        <w:rPr>
          <w:rFonts w:ascii="Cambria" w:hAnsi="Cambria"/>
          <w:sz w:val="20"/>
          <w:szCs w:val="20"/>
          <w:lang w:val="pt-BR"/>
        </w:rPr>
        <w:t>veículo marca Opala co</w:t>
      </w:r>
      <w:r w:rsidR="00DA7534" w:rsidRPr="005D6E61">
        <w:rPr>
          <w:rFonts w:ascii="Cambria" w:hAnsi="Cambria"/>
          <w:sz w:val="20"/>
          <w:szCs w:val="20"/>
          <w:lang w:val="pt-BR"/>
        </w:rPr>
        <w:t>r</w:t>
      </w:r>
      <w:r w:rsidRPr="005D6E61">
        <w:rPr>
          <w:rFonts w:ascii="Cambria" w:hAnsi="Cambria"/>
          <w:sz w:val="20"/>
          <w:szCs w:val="20"/>
          <w:lang w:val="pt-BR"/>
        </w:rPr>
        <w:t xml:space="preserve"> vin</w:t>
      </w:r>
      <w:r w:rsidR="00DA7534" w:rsidRPr="005D6E61">
        <w:rPr>
          <w:rFonts w:ascii="Cambria" w:hAnsi="Cambria"/>
          <w:sz w:val="20"/>
          <w:szCs w:val="20"/>
          <w:lang w:val="pt-BR"/>
        </w:rPr>
        <w:t>h</w:t>
      </w:r>
      <w:r w:rsidRPr="005D6E61">
        <w:rPr>
          <w:rFonts w:ascii="Cambria" w:hAnsi="Cambria"/>
          <w:sz w:val="20"/>
          <w:szCs w:val="20"/>
          <w:lang w:val="pt-BR"/>
        </w:rPr>
        <w:t>o</w:t>
      </w:r>
      <w:r w:rsidR="006C5454" w:rsidRPr="005D6E61">
        <w:rPr>
          <w:rFonts w:ascii="Cambria" w:hAnsi="Cambria"/>
          <w:sz w:val="20"/>
          <w:szCs w:val="20"/>
          <w:lang w:val="pt-BR"/>
        </w:rPr>
        <w:t xml:space="preserve"> e </w:t>
      </w:r>
      <w:r w:rsidR="00DA7534" w:rsidRPr="005D6E61">
        <w:rPr>
          <w:rFonts w:ascii="Cambria" w:hAnsi="Cambria"/>
          <w:sz w:val="20"/>
          <w:szCs w:val="20"/>
          <w:lang w:val="pt-BR"/>
        </w:rPr>
        <w:t>compraram</w:t>
      </w:r>
      <w:r w:rsidR="00275A65" w:rsidRPr="005D6E61">
        <w:rPr>
          <w:rFonts w:ascii="Cambria" w:hAnsi="Cambria"/>
          <w:sz w:val="20"/>
          <w:szCs w:val="20"/>
          <w:lang w:val="pt-BR"/>
        </w:rPr>
        <w:t xml:space="preserve"> um </w:t>
      </w:r>
      <w:r w:rsidRPr="005D6E61">
        <w:rPr>
          <w:rFonts w:ascii="Cambria" w:hAnsi="Cambria"/>
          <w:sz w:val="20"/>
          <w:szCs w:val="20"/>
          <w:lang w:val="pt-BR"/>
        </w:rPr>
        <w:t>n</w:t>
      </w:r>
      <w:r w:rsidR="00DA7534" w:rsidRPr="005D6E61">
        <w:rPr>
          <w:rFonts w:ascii="Cambria" w:hAnsi="Cambria"/>
          <w:sz w:val="20"/>
          <w:szCs w:val="20"/>
          <w:lang w:val="pt-BR"/>
        </w:rPr>
        <w:t>o</w:t>
      </w:r>
      <w:r w:rsidRPr="005D6E61">
        <w:rPr>
          <w:rFonts w:ascii="Cambria" w:hAnsi="Cambria"/>
          <w:sz w:val="20"/>
          <w:szCs w:val="20"/>
          <w:lang w:val="pt-BR"/>
        </w:rPr>
        <w:t>vo veículo</w:t>
      </w:r>
      <w:r w:rsidR="005A2381" w:rsidRPr="005D6E61">
        <w:rPr>
          <w:rFonts w:ascii="Cambria" w:hAnsi="Cambria"/>
          <w:sz w:val="20"/>
          <w:szCs w:val="20"/>
          <w:lang w:val="pt-BR"/>
        </w:rPr>
        <w:t xml:space="preserve"> na </w:t>
      </w:r>
      <w:r w:rsidRPr="005D6E61">
        <w:rPr>
          <w:rFonts w:ascii="Cambria" w:hAnsi="Cambria"/>
          <w:sz w:val="20"/>
          <w:szCs w:val="20"/>
          <w:lang w:val="pt-BR"/>
        </w:rPr>
        <w:t>ci</w:t>
      </w:r>
      <w:r w:rsidR="00FB55C7" w:rsidRPr="005D6E61">
        <w:rPr>
          <w:rFonts w:ascii="Cambria" w:hAnsi="Cambria"/>
          <w:sz w:val="20"/>
          <w:szCs w:val="20"/>
          <w:lang w:val="pt-BR"/>
        </w:rPr>
        <w:t xml:space="preserve">dade </w:t>
      </w:r>
      <w:r w:rsidRPr="005D6E61">
        <w:rPr>
          <w:rFonts w:ascii="Cambria" w:hAnsi="Cambria"/>
          <w:sz w:val="20"/>
          <w:szCs w:val="20"/>
          <w:lang w:val="pt-BR"/>
        </w:rPr>
        <w:t>de Nazaré da Mata</w:t>
      </w:r>
      <w:r w:rsidRPr="005D6E61">
        <w:rPr>
          <w:rStyle w:val="FootnoteReference"/>
          <w:rFonts w:ascii="Cambria" w:hAnsi="Cambria"/>
          <w:sz w:val="20"/>
          <w:szCs w:val="20"/>
          <w:lang w:val="pt-BR"/>
        </w:rPr>
        <w:footnoteReference w:id="45"/>
      </w:r>
      <w:r w:rsidRPr="005D6E61">
        <w:rPr>
          <w:rFonts w:ascii="Cambria" w:hAnsi="Cambria"/>
          <w:sz w:val="20"/>
          <w:szCs w:val="20"/>
          <w:lang w:val="pt-BR"/>
        </w:rPr>
        <w:t xml:space="preserve">. </w:t>
      </w:r>
    </w:p>
    <w:p w14:paraId="25D2D0F5" w14:textId="77777777" w:rsidR="00AA70A5" w:rsidRPr="005D6E61" w:rsidRDefault="00AA70A5" w:rsidP="00AA70A5">
      <w:pPr>
        <w:pStyle w:val="ListParagraph"/>
        <w:rPr>
          <w:sz w:val="20"/>
          <w:szCs w:val="20"/>
          <w:lang w:val="pt-BR"/>
        </w:rPr>
      </w:pPr>
    </w:p>
    <w:p w14:paraId="23A71575" w14:textId="77777777" w:rsidR="003E10E6" w:rsidRPr="005D6E61" w:rsidRDefault="00AA70A5"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Josirene Mendes de Oliveira Rego, esposa de Amauri José do Rego, </w:t>
      </w:r>
      <w:r w:rsidR="003619A0" w:rsidRPr="005D6E61">
        <w:rPr>
          <w:rFonts w:ascii="Cambria" w:hAnsi="Cambria"/>
          <w:sz w:val="20"/>
          <w:szCs w:val="20"/>
          <w:lang w:val="pt-BR"/>
        </w:rPr>
        <w:t>prestou</w:t>
      </w:r>
      <w:r w:rsidR="00BF0B90" w:rsidRPr="005D6E61">
        <w:rPr>
          <w:rFonts w:ascii="Cambria" w:hAnsi="Cambria"/>
          <w:sz w:val="20"/>
          <w:szCs w:val="20"/>
          <w:lang w:val="pt-BR"/>
        </w:rPr>
        <w:t xml:space="preserve"> </w:t>
      </w:r>
      <w:r w:rsidRPr="005D6E61">
        <w:rPr>
          <w:rFonts w:ascii="Cambria" w:hAnsi="Cambria"/>
          <w:sz w:val="20"/>
          <w:szCs w:val="20"/>
          <w:lang w:val="pt-BR"/>
        </w:rPr>
        <w:t>declara</w:t>
      </w:r>
      <w:r w:rsidR="00A274D9" w:rsidRPr="005D6E61">
        <w:rPr>
          <w:rFonts w:ascii="Cambria" w:hAnsi="Cambria"/>
          <w:sz w:val="20"/>
          <w:szCs w:val="20"/>
          <w:lang w:val="pt-BR"/>
        </w:rPr>
        <w:t>ção</w:t>
      </w:r>
      <w:r w:rsidR="00331E62" w:rsidRPr="005D6E61">
        <w:rPr>
          <w:rFonts w:ascii="Cambria" w:hAnsi="Cambria"/>
          <w:sz w:val="20"/>
          <w:szCs w:val="20"/>
          <w:lang w:val="pt-BR"/>
        </w:rPr>
        <w:t xml:space="preserve"> </w:t>
      </w:r>
      <w:r w:rsidR="003619A0" w:rsidRPr="005D6E61">
        <w:rPr>
          <w:rFonts w:ascii="Cambria" w:hAnsi="Cambria"/>
          <w:sz w:val="20"/>
          <w:szCs w:val="20"/>
          <w:lang w:val="pt-BR"/>
        </w:rPr>
        <w:t>em</w:t>
      </w:r>
      <w:r w:rsidR="00331E62" w:rsidRPr="005D6E61">
        <w:rPr>
          <w:rFonts w:ascii="Cambria" w:hAnsi="Cambria"/>
          <w:sz w:val="20"/>
          <w:szCs w:val="20"/>
          <w:lang w:val="pt-BR"/>
        </w:rPr>
        <w:t xml:space="preserve"> </w:t>
      </w:r>
      <w:r w:rsidRPr="005D6E61">
        <w:rPr>
          <w:rFonts w:ascii="Cambria" w:hAnsi="Cambria"/>
          <w:sz w:val="20"/>
          <w:szCs w:val="20"/>
          <w:lang w:val="pt-BR"/>
        </w:rPr>
        <w:t xml:space="preserve">6 de </w:t>
      </w:r>
      <w:r w:rsidR="003619A0" w:rsidRPr="005D6E61">
        <w:rPr>
          <w:rFonts w:ascii="Cambria" w:hAnsi="Cambria"/>
          <w:sz w:val="20"/>
          <w:szCs w:val="20"/>
          <w:lang w:val="pt-BR"/>
        </w:rPr>
        <w:t>dezembro</w:t>
      </w:r>
      <w:r w:rsidRPr="005D6E61">
        <w:rPr>
          <w:rFonts w:ascii="Cambria" w:hAnsi="Cambria"/>
          <w:sz w:val="20"/>
          <w:szCs w:val="20"/>
          <w:lang w:val="pt-BR"/>
        </w:rPr>
        <w:t xml:space="preserve"> de 1983, indicando que s</w:t>
      </w:r>
      <w:r w:rsidR="00DA7534" w:rsidRPr="005D6E61">
        <w:rPr>
          <w:rFonts w:ascii="Cambria" w:hAnsi="Cambria"/>
          <w:sz w:val="20"/>
          <w:szCs w:val="20"/>
          <w:lang w:val="pt-BR"/>
        </w:rPr>
        <w:t>e</w:t>
      </w:r>
      <w:r w:rsidRPr="005D6E61">
        <w:rPr>
          <w:rFonts w:ascii="Cambria" w:hAnsi="Cambria"/>
          <w:sz w:val="20"/>
          <w:szCs w:val="20"/>
          <w:lang w:val="pt-BR"/>
        </w:rPr>
        <w:t>u esposo t</w:t>
      </w:r>
      <w:r w:rsidR="00DA7534" w:rsidRPr="005D6E61">
        <w:rPr>
          <w:rFonts w:ascii="Cambria" w:hAnsi="Cambria"/>
          <w:sz w:val="20"/>
          <w:szCs w:val="20"/>
          <w:lang w:val="pt-BR"/>
        </w:rPr>
        <w:t>inh</w:t>
      </w:r>
      <w:r w:rsidR="005A2381" w:rsidRPr="005D6E61">
        <w:rPr>
          <w:rFonts w:ascii="Cambria" w:hAnsi="Cambria"/>
          <w:sz w:val="20"/>
          <w:szCs w:val="20"/>
          <w:lang w:val="pt-BR"/>
        </w:rPr>
        <w:t>a</w:t>
      </w:r>
      <w:r w:rsidR="00331E62" w:rsidRPr="005D6E61">
        <w:rPr>
          <w:rFonts w:ascii="Cambria" w:hAnsi="Cambria"/>
          <w:sz w:val="20"/>
          <w:szCs w:val="20"/>
          <w:lang w:val="pt-BR"/>
        </w:rPr>
        <w:t xml:space="preserve"> a </w:t>
      </w:r>
      <w:r w:rsidRPr="005D6E61">
        <w:rPr>
          <w:rFonts w:ascii="Cambria" w:hAnsi="Cambria"/>
          <w:sz w:val="20"/>
          <w:szCs w:val="20"/>
          <w:lang w:val="pt-BR"/>
        </w:rPr>
        <w:t>inten</w:t>
      </w:r>
      <w:r w:rsidR="00A274D9" w:rsidRPr="005D6E61">
        <w:rPr>
          <w:rFonts w:ascii="Cambria" w:hAnsi="Cambria"/>
          <w:sz w:val="20"/>
          <w:szCs w:val="20"/>
          <w:lang w:val="pt-BR"/>
        </w:rPr>
        <w:t>ção</w:t>
      </w:r>
      <w:r w:rsidRPr="005D6E61">
        <w:rPr>
          <w:rFonts w:ascii="Cambria" w:hAnsi="Cambria"/>
          <w:sz w:val="20"/>
          <w:szCs w:val="20"/>
          <w:lang w:val="pt-BR"/>
        </w:rPr>
        <w:t xml:space="preserve"> de </w:t>
      </w:r>
      <w:r w:rsidR="00DA7534" w:rsidRPr="005D6E61">
        <w:rPr>
          <w:rFonts w:ascii="Cambria" w:hAnsi="Cambria"/>
          <w:sz w:val="20"/>
          <w:szCs w:val="20"/>
          <w:lang w:val="pt-BR"/>
        </w:rPr>
        <w:t>fugir</w:t>
      </w:r>
      <w:r w:rsidR="00675058" w:rsidRPr="005D6E61">
        <w:rPr>
          <w:rFonts w:ascii="Cambria" w:hAnsi="Cambria"/>
          <w:sz w:val="20"/>
          <w:szCs w:val="20"/>
          <w:lang w:val="pt-BR"/>
        </w:rPr>
        <w:t xml:space="preserve"> da </w:t>
      </w:r>
      <w:r w:rsidRPr="005D6E61">
        <w:rPr>
          <w:rFonts w:ascii="Cambria" w:hAnsi="Cambria"/>
          <w:sz w:val="20"/>
          <w:szCs w:val="20"/>
          <w:lang w:val="pt-BR"/>
        </w:rPr>
        <w:t>cidad</w:t>
      </w:r>
      <w:r w:rsidR="00DA7534" w:rsidRPr="005D6E61">
        <w:rPr>
          <w:rFonts w:ascii="Cambria" w:hAnsi="Cambria"/>
          <w:sz w:val="20"/>
          <w:szCs w:val="20"/>
          <w:lang w:val="pt-BR"/>
        </w:rPr>
        <w:t>e</w:t>
      </w:r>
      <w:r w:rsidRPr="005D6E61">
        <w:rPr>
          <w:rFonts w:ascii="Cambria" w:hAnsi="Cambria"/>
          <w:sz w:val="20"/>
          <w:szCs w:val="20"/>
          <w:lang w:val="pt-BR"/>
        </w:rPr>
        <w:t xml:space="preserve">, </w:t>
      </w:r>
      <w:r w:rsidR="003A65BF" w:rsidRPr="005D6E61">
        <w:rPr>
          <w:rFonts w:ascii="Cambria" w:hAnsi="Cambria"/>
          <w:sz w:val="20"/>
          <w:szCs w:val="20"/>
          <w:lang w:val="pt-BR"/>
        </w:rPr>
        <w:t>já</w:t>
      </w:r>
      <w:r w:rsidRPr="005D6E61">
        <w:rPr>
          <w:rFonts w:ascii="Cambria" w:hAnsi="Cambria"/>
          <w:sz w:val="20"/>
          <w:szCs w:val="20"/>
          <w:lang w:val="pt-BR"/>
        </w:rPr>
        <w:t xml:space="preserve"> que </w:t>
      </w:r>
      <w:r w:rsidR="003A65BF" w:rsidRPr="005D6E61">
        <w:rPr>
          <w:rFonts w:ascii="Cambria" w:hAnsi="Cambria"/>
          <w:sz w:val="20"/>
          <w:szCs w:val="20"/>
          <w:lang w:val="pt-BR"/>
        </w:rPr>
        <w:t>a</w:t>
      </w:r>
      <w:r w:rsidRPr="005D6E61">
        <w:rPr>
          <w:rFonts w:ascii="Cambria" w:hAnsi="Cambria"/>
          <w:sz w:val="20"/>
          <w:szCs w:val="20"/>
          <w:lang w:val="pt-BR"/>
        </w:rPr>
        <w:t xml:space="preserve"> </w:t>
      </w:r>
      <w:r w:rsidR="00730CDD" w:rsidRPr="005D6E61">
        <w:rPr>
          <w:rFonts w:ascii="Cambria" w:hAnsi="Cambria"/>
          <w:sz w:val="20"/>
          <w:szCs w:val="20"/>
          <w:lang w:val="pt-BR"/>
        </w:rPr>
        <w:t>ch</w:t>
      </w:r>
      <w:r w:rsidRPr="005D6E61">
        <w:rPr>
          <w:rFonts w:ascii="Cambria" w:hAnsi="Cambria"/>
          <w:sz w:val="20"/>
          <w:szCs w:val="20"/>
          <w:lang w:val="pt-BR"/>
        </w:rPr>
        <w:t>am</w:t>
      </w:r>
      <w:r w:rsidR="00BF0B90" w:rsidRPr="005D6E61">
        <w:rPr>
          <w:rFonts w:ascii="Cambria" w:hAnsi="Cambria"/>
          <w:sz w:val="20"/>
          <w:szCs w:val="20"/>
          <w:lang w:val="pt-BR"/>
        </w:rPr>
        <w:t xml:space="preserve">ou </w:t>
      </w:r>
      <w:r w:rsidR="00730CDD" w:rsidRPr="005D6E61">
        <w:rPr>
          <w:rFonts w:ascii="Cambria" w:hAnsi="Cambria"/>
          <w:sz w:val="20"/>
          <w:szCs w:val="20"/>
          <w:lang w:val="pt-BR"/>
        </w:rPr>
        <w:t>na</w:t>
      </w:r>
      <w:r w:rsidR="00275A65" w:rsidRPr="005D6E61">
        <w:rPr>
          <w:rFonts w:ascii="Cambria" w:hAnsi="Cambria"/>
          <w:sz w:val="20"/>
          <w:szCs w:val="20"/>
          <w:lang w:val="pt-BR"/>
        </w:rPr>
        <w:t xml:space="preserve"> </w:t>
      </w:r>
      <w:r w:rsidRPr="005D6E61">
        <w:rPr>
          <w:rFonts w:ascii="Cambria" w:hAnsi="Cambria"/>
          <w:sz w:val="20"/>
          <w:szCs w:val="20"/>
          <w:lang w:val="pt-BR"/>
        </w:rPr>
        <w:t>casa onde viv</w:t>
      </w:r>
      <w:r w:rsidR="005A2381" w:rsidRPr="005D6E61">
        <w:rPr>
          <w:rFonts w:ascii="Cambria" w:hAnsi="Cambria"/>
          <w:sz w:val="20"/>
          <w:szCs w:val="20"/>
          <w:lang w:val="pt-BR"/>
        </w:rPr>
        <w:t>ia</w:t>
      </w:r>
      <w:r w:rsidR="006C5454" w:rsidRPr="005D6E61">
        <w:rPr>
          <w:rFonts w:ascii="Cambria" w:hAnsi="Cambria"/>
          <w:sz w:val="20"/>
          <w:szCs w:val="20"/>
          <w:lang w:val="pt-BR"/>
        </w:rPr>
        <w:t xml:space="preserve"> e </w:t>
      </w:r>
      <w:r w:rsidRPr="005D6E61">
        <w:rPr>
          <w:rFonts w:ascii="Cambria" w:hAnsi="Cambria"/>
          <w:sz w:val="20"/>
          <w:szCs w:val="20"/>
          <w:lang w:val="pt-BR"/>
        </w:rPr>
        <w:t>indic</w:t>
      </w:r>
      <w:r w:rsidR="00BF0B90" w:rsidRPr="005D6E61">
        <w:rPr>
          <w:rFonts w:ascii="Cambria" w:hAnsi="Cambria"/>
          <w:sz w:val="20"/>
          <w:szCs w:val="20"/>
          <w:lang w:val="pt-BR"/>
        </w:rPr>
        <w:t xml:space="preserve">ou </w:t>
      </w:r>
      <w:r w:rsidR="003A65BF" w:rsidRPr="005D6E61">
        <w:rPr>
          <w:rFonts w:ascii="Cambria" w:hAnsi="Cambria"/>
          <w:sz w:val="20"/>
          <w:szCs w:val="20"/>
          <w:lang w:val="pt-BR"/>
        </w:rPr>
        <w:t>que jamai</w:t>
      </w:r>
      <w:r w:rsidRPr="005D6E61">
        <w:rPr>
          <w:rFonts w:ascii="Cambria" w:hAnsi="Cambria"/>
          <w:sz w:val="20"/>
          <w:szCs w:val="20"/>
          <w:lang w:val="pt-BR"/>
        </w:rPr>
        <w:t>s vol</w:t>
      </w:r>
      <w:r w:rsidR="003A65BF" w:rsidRPr="005D6E61">
        <w:rPr>
          <w:rFonts w:ascii="Cambria" w:hAnsi="Cambria"/>
          <w:sz w:val="20"/>
          <w:szCs w:val="20"/>
          <w:lang w:val="pt-BR"/>
        </w:rPr>
        <w:t>ta</w:t>
      </w:r>
      <w:r w:rsidRPr="005D6E61">
        <w:rPr>
          <w:rFonts w:ascii="Cambria" w:hAnsi="Cambria"/>
          <w:sz w:val="20"/>
          <w:szCs w:val="20"/>
          <w:lang w:val="pt-BR"/>
        </w:rPr>
        <w:t>r</w:t>
      </w:r>
      <w:r w:rsidR="005A2381" w:rsidRPr="005D6E61">
        <w:rPr>
          <w:rFonts w:ascii="Cambria" w:hAnsi="Cambria"/>
          <w:sz w:val="20"/>
          <w:szCs w:val="20"/>
          <w:lang w:val="pt-BR"/>
        </w:rPr>
        <w:t>ia</w:t>
      </w:r>
      <w:r w:rsidR="006C5454" w:rsidRPr="005D6E61">
        <w:rPr>
          <w:rFonts w:ascii="Cambria" w:hAnsi="Cambria"/>
          <w:sz w:val="20"/>
          <w:szCs w:val="20"/>
          <w:lang w:val="pt-BR"/>
        </w:rPr>
        <w:t xml:space="preserve"> e </w:t>
      </w:r>
      <w:r w:rsidRPr="005D6E61">
        <w:rPr>
          <w:rFonts w:ascii="Cambria" w:hAnsi="Cambria"/>
          <w:sz w:val="20"/>
          <w:szCs w:val="20"/>
          <w:lang w:val="pt-BR"/>
        </w:rPr>
        <w:t>que ela pod</w:t>
      </w:r>
      <w:r w:rsidR="005A2381" w:rsidRPr="005D6E61">
        <w:rPr>
          <w:rFonts w:ascii="Cambria" w:hAnsi="Cambria"/>
          <w:sz w:val="20"/>
          <w:szCs w:val="20"/>
          <w:lang w:val="pt-BR"/>
        </w:rPr>
        <w:t>ia</w:t>
      </w:r>
      <w:r w:rsidRPr="005D6E61">
        <w:rPr>
          <w:rFonts w:ascii="Cambria" w:hAnsi="Cambria"/>
          <w:sz w:val="20"/>
          <w:szCs w:val="20"/>
          <w:lang w:val="pt-BR"/>
        </w:rPr>
        <w:t xml:space="preserve"> </w:t>
      </w:r>
      <w:r w:rsidR="003A65BF" w:rsidRPr="005D6E61">
        <w:rPr>
          <w:rFonts w:ascii="Cambria" w:hAnsi="Cambria"/>
          <w:sz w:val="20"/>
          <w:szCs w:val="20"/>
          <w:lang w:val="pt-BR"/>
        </w:rPr>
        <w:t xml:space="preserve">se </w:t>
      </w:r>
      <w:r w:rsidRPr="005D6E61">
        <w:rPr>
          <w:rFonts w:ascii="Cambria" w:hAnsi="Cambria"/>
          <w:sz w:val="20"/>
          <w:szCs w:val="20"/>
          <w:lang w:val="pt-BR"/>
        </w:rPr>
        <w:t>casar</w:t>
      </w:r>
      <w:r w:rsidR="002B71BD" w:rsidRPr="005D6E61">
        <w:rPr>
          <w:rFonts w:ascii="Cambria" w:hAnsi="Cambria"/>
          <w:sz w:val="20"/>
          <w:szCs w:val="20"/>
          <w:lang w:val="pt-BR"/>
        </w:rPr>
        <w:t xml:space="preserve"> de novo</w:t>
      </w:r>
      <w:r w:rsidRPr="005D6E61">
        <w:rPr>
          <w:rFonts w:ascii="Cambria" w:hAnsi="Cambria"/>
          <w:sz w:val="20"/>
          <w:szCs w:val="20"/>
          <w:lang w:val="pt-BR"/>
        </w:rPr>
        <w:t>. A</w:t>
      </w:r>
      <w:r w:rsidR="003A65BF" w:rsidRPr="005D6E61">
        <w:rPr>
          <w:rFonts w:ascii="Cambria" w:hAnsi="Cambria"/>
          <w:sz w:val="20"/>
          <w:szCs w:val="20"/>
          <w:lang w:val="pt-BR"/>
        </w:rPr>
        <w:t>crescent</w:t>
      </w:r>
      <w:r w:rsidR="00BF0B90" w:rsidRPr="005D6E61">
        <w:rPr>
          <w:rFonts w:ascii="Cambria" w:hAnsi="Cambria"/>
          <w:sz w:val="20"/>
          <w:szCs w:val="20"/>
          <w:lang w:val="pt-BR"/>
        </w:rPr>
        <w:t xml:space="preserve">ou </w:t>
      </w:r>
      <w:r w:rsidRPr="005D6E61">
        <w:rPr>
          <w:rFonts w:ascii="Cambria" w:hAnsi="Cambria"/>
          <w:sz w:val="20"/>
          <w:szCs w:val="20"/>
          <w:lang w:val="pt-BR"/>
        </w:rPr>
        <w:t>que l</w:t>
      </w:r>
      <w:r w:rsidR="003A65BF" w:rsidRPr="005D6E61">
        <w:rPr>
          <w:rFonts w:ascii="Cambria" w:hAnsi="Cambria"/>
          <w:sz w:val="20"/>
          <w:szCs w:val="20"/>
          <w:lang w:val="pt-BR"/>
        </w:rPr>
        <w:t>h</w:t>
      </w:r>
      <w:r w:rsidRPr="005D6E61">
        <w:rPr>
          <w:rFonts w:ascii="Cambria" w:hAnsi="Cambria"/>
          <w:sz w:val="20"/>
          <w:szCs w:val="20"/>
          <w:lang w:val="pt-BR"/>
        </w:rPr>
        <w:t>e parec</w:t>
      </w:r>
      <w:r w:rsidR="003A65BF" w:rsidRPr="005D6E61">
        <w:rPr>
          <w:rFonts w:ascii="Cambria" w:hAnsi="Cambria"/>
          <w:sz w:val="20"/>
          <w:szCs w:val="20"/>
          <w:lang w:val="pt-BR"/>
        </w:rPr>
        <w:t>e</w:t>
      </w:r>
      <w:r w:rsidR="00BF0B90" w:rsidRPr="005D6E61">
        <w:rPr>
          <w:rFonts w:ascii="Cambria" w:hAnsi="Cambria"/>
          <w:sz w:val="20"/>
          <w:szCs w:val="20"/>
          <w:lang w:val="pt-BR"/>
        </w:rPr>
        <w:t xml:space="preserve">u </w:t>
      </w:r>
      <w:r w:rsidR="003A65BF" w:rsidRPr="005D6E61">
        <w:rPr>
          <w:rFonts w:ascii="Cambria" w:hAnsi="Cambria"/>
          <w:sz w:val="20"/>
          <w:szCs w:val="20"/>
          <w:lang w:val="pt-BR"/>
        </w:rPr>
        <w:t>est</w:t>
      </w:r>
      <w:r w:rsidRPr="005D6E61">
        <w:rPr>
          <w:rFonts w:ascii="Cambria" w:hAnsi="Cambria"/>
          <w:sz w:val="20"/>
          <w:szCs w:val="20"/>
          <w:lang w:val="pt-BR"/>
        </w:rPr>
        <w:t>ra</w:t>
      </w:r>
      <w:r w:rsidR="003A65BF" w:rsidRPr="005D6E61">
        <w:rPr>
          <w:rFonts w:ascii="Cambria" w:hAnsi="Cambria"/>
          <w:sz w:val="20"/>
          <w:szCs w:val="20"/>
          <w:lang w:val="pt-BR"/>
        </w:rPr>
        <w:t>nh</w:t>
      </w:r>
      <w:r w:rsidRPr="005D6E61">
        <w:rPr>
          <w:rFonts w:ascii="Cambria" w:hAnsi="Cambria"/>
          <w:sz w:val="20"/>
          <w:szCs w:val="20"/>
          <w:lang w:val="pt-BR"/>
        </w:rPr>
        <w:t xml:space="preserve">o que </w:t>
      </w:r>
      <w:r w:rsidR="003A65BF" w:rsidRPr="005D6E61">
        <w:rPr>
          <w:rFonts w:ascii="Cambria" w:hAnsi="Cambria"/>
          <w:sz w:val="20"/>
          <w:szCs w:val="20"/>
          <w:lang w:val="pt-BR"/>
        </w:rPr>
        <w:t xml:space="preserve">dissesse tudo isso </w:t>
      </w:r>
      <w:r w:rsidRPr="005D6E61">
        <w:rPr>
          <w:rFonts w:ascii="Cambria" w:hAnsi="Cambria"/>
          <w:sz w:val="20"/>
          <w:szCs w:val="20"/>
          <w:lang w:val="pt-BR"/>
        </w:rPr>
        <w:t>por tel</w:t>
      </w:r>
      <w:r w:rsidR="003A65BF" w:rsidRPr="005D6E61">
        <w:rPr>
          <w:rFonts w:ascii="Cambria" w:hAnsi="Cambria"/>
          <w:sz w:val="20"/>
          <w:szCs w:val="20"/>
          <w:lang w:val="pt-BR"/>
        </w:rPr>
        <w:t>e</w:t>
      </w:r>
      <w:r w:rsidRPr="005D6E61">
        <w:rPr>
          <w:rFonts w:ascii="Cambria" w:hAnsi="Cambria"/>
          <w:sz w:val="20"/>
          <w:szCs w:val="20"/>
          <w:lang w:val="pt-BR"/>
        </w:rPr>
        <w:t>fon</w:t>
      </w:r>
      <w:r w:rsidR="003A65BF" w:rsidRPr="005D6E61">
        <w:rPr>
          <w:rFonts w:ascii="Cambria" w:hAnsi="Cambria"/>
          <w:sz w:val="20"/>
          <w:szCs w:val="20"/>
          <w:lang w:val="pt-BR"/>
        </w:rPr>
        <w:t>e, mas</w:t>
      </w:r>
      <w:r w:rsidR="00730CDD" w:rsidRPr="005D6E61">
        <w:rPr>
          <w:rFonts w:ascii="Cambria" w:hAnsi="Cambria"/>
          <w:sz w:val="20"/>
          <w:szCs w:val="20"/>
          <w:lang w:val="pt-BR"/>
        </w:rPr>
        <w:t>,</w:t>
      </w:r>
      <w:r w:rsidR="003A65BF" w:rsidRPr="005D6E61">
        <w:rPr>
          <w:rFonts w:ascii="Cambria" w:hAnsi="Cambria"/>
          <w:sz w:val="20"/>
          <w:szCs w:val="20"/>
          <w:lang w:val="pt-BR"/>
        </w:rPr>
        <w:t xml:space="preserve"> depoi</w:t>
      </w:r>
      <w:r w:rsidR="00730CDD" w:rsidRPr="005D6E61">
        <w:rPr>
          <w:rFonts w:ascii="Cambria" w:hAnsi="Cambria"/>
          <w:sz w:val="20"/>
          <w:szCs w:val="20"/>
          <w:lang w:val="pt-BR"/>
        </w:rPr>
        <w:t xml:space="preserve">s </w:t>
      </w:r>
      <w:r w:rsidRPr="005D6E61">
        <w:rPr>
          <w:rFonts w:ascii="Cambria" w:hAnsi="Cambria"/>
          <w:sz w:val="20"/>
          <w:szCs w:val="20"/>
          <w:lang w:val="pt-BR"/>
        </w:rPr>
        <w:t xml:space="preserve">de </w:t>
      </w:r>
      <w:r w:rsidR="00730CDD" w:rsidRPr="005D6E61">
        <w:rPr>
          <w:rFonts w:ascii="Cambria" w:hAnsi="Cambria"/>
          <w:sz w:val="20"/>
          <w:szCs w:val="20"/>
          <w:lang w:val="pt-BR"/>
        </w:rPr>
        <w:t>t</w:t>
      </w:r>
      <w:r w:rsidRPr="005D6E61">
        <w:rPr>
          <w:rFonts w:ascii="Cambria" w:hAnsi="Cambria"/>
          <w:sz w:val="20"/>
          <w:szCs w:val="20"/>
          <w:lang w:val="pt-BR"/>
        </w:rPr>
        <w:t>er l</w:t>
      </w:r>
      <w:r w:rsidR="00730CDD" w:rsidRPr="005D6E61">
        <w:rPr>
          <w:rFonts w:ascii="Cambria" w:hAnsi="Cambria"/>
          <w:sz w:val="20"/>
          <w:szCs w:val="20"/>
          <w:lang w:val="pt-BR"/>
        </w:rPr>
        <w:t>i</w:t>
      </w:r>
      <w:r w:rsidRPr="005D6E61">
        <w:rPr>
          <w:rFonts w:ascii="Cambria" w:hAnsi="Cambria"/>
          <w:sz w:val="20"/>
          <w:szCs w:val="20"/>
          <w:lang w:val="pt-BR"/>
        </w:rPr>
        <w:t>do</w:t>
      </w:r>
      <w:r w:rsidR="00CD523F" w:rsidRPr="005D6E61">
        <w:rPr>
          <w:rFonts w:ascii="Cambria" w:hAnsi="Cambria"/>
          <w:sz w:val="20"/>
          <w:szCs w:val="20"/>
          <w:lang w:val="pt-BR"/>
        </w:rPr>
        <w:t xml:space="preserve"> nos </w:t>
      </w:r>
      <w:r w:rsidR="003A65BF" w:rsidRPr="005D6E61">
        <w:rPr>
          <w:rFonts w:ascii="Cambria" w:hAnsi="Cambria"/>
          <w:sz w:val="20"/>
          <w:szCs w:val="20"/>
          <w:lang w:val="pt-BR"/>
        </w:rPr>
        <w:t>jornais</w:t>
      </w:r>
      <w:r w:rsidRPr="005D6E61">
        <w:rPr>
          <w:rFonts w:ascii="Cambria" w:hAnsi="Cambria"/>
          <w:sz w:val="20"/>
          <w:szCs w:val="20"/>
          <w:lang w:val="pt-BR"/>
        </w:rPr>
        <w:t xml:space="preserve"> acerca de su</w:t>
      </w:r>
      <w:r w:rsidR="00730CDD" w:rsidRPr="005D6E61">
        <w:rPr>
          <w:rFonts w:ascii="Cambria" w:hAnsi="Cambria"/>
          <w:sz w:val="20"/>
          <w:szCs w:val="20"/>
          <w:lang w:val="pt-BR"/>
        </w:rPr>
        <w:t>a</w:t>
      </w:r>
      <w:r w:rsidRPr="005D6E61">
        <w:rPr>
          <w:rFonts w:ascii="Cambria" w:hAnsi="Cambria"/>
          <w:sz w:val="20"/>
          <w:szCs w:val="20"/>
          <w:lang w:val="pt-BR"/>
        </w:rPr>
        <w:t xml:space="preserve"> participa</w:t>
      </w:r>
      <w:r w:rsidR="00A274D9" w:rsidRPr="005D6E61">
        <w:rPr>
          <w:rFonts w:ascii="Cambria" w:hAnsi="Cambria"/>
          <w:sz w:val="20"/>
          <w:szCs w:val="20"/>
          <w:lang w:val="pt-BR"/>
        </w:rPr>
        <w:t>ção</w:t>
      </w:r>
      <w:r w:rsidR="005A2381" w:rsidRPr="005D6E61">
        <w:rPr>
          <w:rFonts w:ascii="Cambria" w:hAnsi="Cambria"/>
          <w:sz w:val="20"/>
          <w:szCs w:val="20"/>
          <w:lang w:val="pt-BR"/>
        </w:rPr>
        <w:t xml:space="preserve"> na </w:t>
      </w:r>
      <w:r w:rsidR="003619A0" w:rsidRPr="005D6E61">
        <w:rPr>
          <w:rFonts w:ascii="Cambria" w:hAnsi="Cambria"/>
          <w:sz w:val="20"/>
          <w:szCs w:val="20"/>
          <w:lang w:val="pt-BR"/>
        </w:rPr>
        <w:t>morte</w:t>
      </w:r>
      <w:r w:rsidRPr="005D6E61">
        <w:rPr>
          <w:rFonts w:ascii="Cambria" w:hAnsi="Cambria"/>
          <w:sz w:val="20"/>
          <w:szCs w:val="20"/>
          <w:lang w:val="pt-BR"/>
        </w:rPr>
        <w:t xml:space="preserve"> de</w:t>
      </w:r>
      <w:r w:rsidR="006C5454" w:rsidRPr="005D6E61">
        <w:rPr>
          <w:rFonts w:ascii="Cambria" w:hAnsi="Cambria"/>
          <w:sz w:val="20"/>
          <w:szCs w:val="20"/>
          <w:lang w:val="pt-BR"/>
        </w:rPr>
        <w:t xml:space="preserve"> uma </w:t>
      </w:r>
      <w:r w:rsidR="00E37676" w:rsidRPr="005D6E61">
        <w:rPr>
          <w:rFonts w:ascii="Cambria" w:hAnsi="Cambria"/>
          <w:sz w:val="20"/>
          <w:szCs w:val="20"/>
          <w:lang w:val="pt-BR"/>
        </w:rPr>
        <w:t>mulher</w:t>
      </w:r>
      <w:r w:rsidRPr="005D6E61">
        <w:rPr>
          <w:rFonts w:ascii="Cambria" w:hAnsi="Cambria"/>
          <w:sz w:val="20"/>
          <w:szCs w:val="20"/>
          <w:lang w:val="pt-BR"/>
        </w:rPr>
        <w:t xml:space="preserve"> de Alagoa Grande </w:t>
      </w:r>
      <w:r w:rsidR="00730CDD" w:rsidRPr="005D6E61">
        <w:rPr>
          <w:rFonts w:ascii="Cambria" w:hAnsi="Cambria"/>
          <w:sz w:val="20"/>
          <w:szCs w:val="20"/>
          <w:lang w:val="pt-BR"/>
        </w:rPr>
        <w:t>ch</w:t>
      </w:r>
      <w:r w:rsidRPr="005D6E61">
        <w:rPr>
          <w:rFonts w:ascii="Cambria" w:hAnsi="Cambria"/>
          <w:sz w:val="20"/>
          <w:szCs w:val="20"/>
          <w:lang w:val="pt-BR"/>
        </w:rPr>
        <w:t>amada Margarida, compre</w:t>
      </w:r>
      <w:r w:rsidR="00730CDD" w:rsidRPr="005D6E61">
        <w:rPr>
          <w:rFonts w:ascii="Cambria" w:hAnsi="Cambria"/>
          <w:sz w:val="20"/>
          <w:szCs w:val="20"/>
          <w:lang w:val="pt-BR"/>
        </w:rPr>
        <w:t>e</w:t>
      </w:r>
      <w:r w:rsidRPr="005D6E61">
        <w:rPr>
          <w:rFonts w:ascii="Cambria" w:hAnsi="Cambria"/>
          <w:sz w:val="20"/>
          <w:szCs w:val="20"/>
          <w:lang w:val="pt-BR"/>
        </w:rPr>
        <w:t>nd</w:t>
      </w:r>
      <w:r w:rsidR="00730CDD" w:rsidRPr="005D6E61">
        <w:rPr>
          <w:rFonts w:ascii="Cambria" w:hAnsi="Cambria"/>
          <w:sz w:val="20"/>
          <w:szCs w:val="20"/>
          <w:lang w:val="pt-BR"/>
        </w:rPr>
        <w:t>e</w:t>
      </w:r>
      <w:r w:rsidR="00BF0B90" w:rsidRPr="005D6E61">
        <w:rPr>
          <w:rFonts w:ascii="Cambria" w:hAnsi="Cambria"/>
          <w:sz w:val="20"/>
          <w:szCs w:val="20"/>
          <w:lang w:val="pt-BR"/>
        </w:rPr>
        <w:t xml:space="preserve">u </w:t>
      </w:r>
      <w:r w:rsidRPr="005D6E61">
        <w:rPr>
          <w:rFonts w:ascii="Cambria" w:hAnsi="Cambria"/>
          <w:sz w:val="20"/>
          <w:szCs w:val="20"/>
          <w:lang w:val="pt-BR"/>
        </w:rPr>
        <w:t>t</w:t>
      </w:r>
      <w:r w:rsidR="00730CDD" w:rsidRPr="005D6E61">
        <w:rPr>
          <w:rFonts w:ascii="Cambria" w:hAnsi="Cambria"/>
          <w:sz w:val="20"/>
          <w:szCs w:val="20"/>
          <w:lang w:val="pt-BR"/>
        </w:rPr>
        <w:t>u</w:t>
      </w:r>
      <w:r w:rsidRPr="005D6E61">
        <w:rPr>
          <w:rFonts w:ascii="Cambria" w:hAnsi="Cambria"/>
          <w:sz w:val="20"/>
          <w:szCs w:val="20"/>
          <w:lang w:val="pt-BR"/>
        </w:rPr>
        <w:t>do</w:t>
      </w:r>
      <w:r w:rsidRPr="005D6E61">
        <w:rPr>
          <w:rStyle w:val="FootnoteReference"/>
          <w:rFonts w:ascii="Cambria" w:hAnsi="Cambria"/>
          <w:sz w:val="20"/>
          <w:szCs w:val="20"/>
          <w:lang w:val="pt-BR"/>
        </w:rPr>
        <w:footnoteReference w:id="46"/>
      </w:r>
      <w:r w:rsidRPr="005D6E61">
        <w:rPr>
          <w:rFonts w:ascii="Cambria" w:hAnsi="Cambria"/>
          <w:sz w:val="20"/>
          <w:szCs w:val="20"/>
          <w:lang w:val="pt-BR"/>
        </w:rPr>
        <w:t>.</w:t>
      </w:r>
    </w:p>
    <w:p w14:paraId="5BEEE3CC" w14:textId="77777777" w:rsidR="003E10E6" w:rsidRPr="005D6E61" w:rsidRDefault="00730CDD" w:rsidP="003E10E6">
      <w:pPr>
        <w:pStyle w:val="Heading2"/>
        <w:numPr>
          <w:ilvl w:val="0"/>
          <w:numId w:val="59"/>
        </w:numPr>
        <w:ind w:firstLine="0"/>
        <w:rPr>
          <w:rFonts w:ascii="Cambria" w:hAnsi="Cambria"/>
          <w:i w:val="0"/>
          <w:sz w:val="20"/>
          <w:szCs w:val="20"/>
          <w:lang w:val="pt-BR"/>
        </w:rPr>
      </w:pPr>
      <w:bookmarkStart w:id="16" w:name="_Toc27990562"/>
      <w:r w:rsidRPr="005D6E61">
        <w:rPr>
          <w:rFonts w:ascii="Cambria" w:hAnsi="Cambria"/>
          <w:i w:val="0"/>
          <w:sz w:val="20"/>
          <w:szCs w:val="20"/>
          <w:lang w:val="pt-BR"/>
        </w:rPr>
        <w:t>O</w:t>
      </w:r>
      <w:r w:rsidR="003E10E6" w:rsidRPr="005D6E61">
        <w:rPr>
          <w:rFonts w:ascii="Cambria" w:hAnsi="Cambria"/>
          <w:i w:val="0"/>
          <w:sz w:val="20"/>
          <w:szCs w:val="20"/>
          <w:lang w:val="pt-BR"/>
        </w:rPr>
        <w:t xml:space="preserve">s </w:t>
      </w:r>
      <w:r w:rsidRPr="005D6E61">
        <w:rPr>
          <w:rFonts w:ascii="Cambria" w:hAnsi="Cambria"/>
          <w:i w:val="0"/>
          <w:sz w:val="20"/>
          <w:szCs w:val="20"/>
          <w:lang w:val="pt-BR"/>
        </w:rPr>
        <w:t>processo</w:t>
      </w:r>
      <w:r w:rsidR="003E10E6" w:rsidRPr="005D6E61">
        <w:rPr>
          <w:rFonts w:ascii="Cambria" w:hAnsi="Cambria"/>
          <w:i w:val="0"/>
          <w:sz w:val="20"/>
          <w:szCs w:val="20"/>
          <w:lang w:val="pt-BR"/>
        </w:rPr>
        <w:t>s internos para investigar</w:t>
      </w:r>
      <w:r w:rsidR="00331E62" w:rsidRPr="005D6E61">
        <w:rPr>
          <w:rFonts w:ascii="Cambria" w:hAnsi="Cambria"/>
          <w:i w:val="0"/>
          <w:sz w:val="20"/>
          <w:szCs w:val="20"/>
          <w:lang w:val="pt-BR"/>
        </w:rPr>
        <w:t xml:space="preserve"> a </w:t>
      </w:r>
      <w:r w:rsidR="003619A0" w:rsidRPr="005D6E61">
        <w:rPr>
          <w:rFonts w:ascii="Cambria" w:hAnsi="Cambria"/>
          <w:i w:val="0"/>
          <w:sz w:val="20"/>
          <w:szCs w:val="20"/>
          <w:lang w:val="pt-BR"/>
        </w:rPr>
        <w:t>morte</w:t>
      </w:r>
      <w:r w:rsidR="00675058" w:rsidRPr="005D6E61">
        <w:rPr>
          <w:rFonts w:ascii="Cambria" w:hAnsi="Cambria"/>
          <w:i w:val="0"/>
          <w:sz w:val="20"/>
          <w:szCs w:val="20"/>
          <w:lang w:val="pt-BR"/>
        </w:rPr>
        <w:t xml:space="preserve"> da </w:t>
      </w:r>
      <w:r w:rsidR="005A2381" w:rsidRPr="005D6E61">
        <w:rPr>
          <w:rFonts w:ascii="Cambria" w:hAnsi="Cambria"/>
          <w:i w:val="0"/>
          <w:sz w:val="20"/>
          <w:szCs w:val="20"/>
          <w:lang w:val="pt-BR"/>
        </w:rPr>
        <w:t>suposta</w:t>
      </w:r>
      <w:r w:rsidR="003E10E6" w:rsidRPr="005D6E61">
        <w:rPr>
          <w:rFonts w:ascii="Cambria" w:hAnsi="Cambria"/>
          <w:i w:val="0"/>
          <w:sz w:val="20"/>
          <w:szCs w:val="20"/>
          <w:lang w:val="pt-BR"/>
        </w:rPr>
        <w:t xml:space="preserve"> </w:t>
      </w:r>
      <w:r w:rsidR="003619A0" w:rsidRPr="005D6E61">
        <w:rPr>
          <w:rFonts w:ascii="Cambria" w:hAnsi="Cambria"/>
          <w:i w:val="0"/>
          <w:sz w:val="20"/>
          <w:szCs w:val="20"/>
          <w:lang w:val="pt-BR"/>
        </w:rPr>
        <w:t>vítima</w:t>
      </w:r>
      <w:bookmarkEnd w:id="16"/>
    </w:p>
    <w:p w14:paraId="76A5EF15" w14:textId="77777777" w:rsidR="003E10E6" w:rsidRPr="005D6E61" w:rsidRDefault="003E10E6" w:rsidP="003E10E6">
      <w:pPr>
        <w:pStyle w:val="Heading3"/>
        <w:numPr>
          <w:ilvl w:val="1"/>
          <w:numId w:val="54"/>
        </w:numPr>
        <w:tabs>
          <w:tab w:val="clear" w:pos="1800"/>
          <w:tab w:val="num" w:pos="1440"/>
        </w:tabs>
        <w:ind w:hanging="1080"/>
        <w:rPr>
          <w:rFonts w:asciiTheme="majorHAnsi" w:hAnsiTheme="majorHAnsi"/>
          <w:sz w:val="20"/>
          <w:szCs w:val="20"/>
          <w:lang w:val="pt-BR"/>
        </w:rPr>
      </w:pPr>
      <w:bookmarkStart w:id="17" w:name="_Toc27990563"/>
      <w:r w:rsidRPr="005D6E61">
        <w:rPr>
          <w:rFonts w:asciiTheme="majorHAnsi" w:hAnsiTheme="majorHAnsi"/>
          <w:sz w:val="20"/>
          <w:szCs w:val="20"/>
          <w:lang w:val="pt-BR"/>
        </w:rPr>
        <w:t>Investiga</w:t>
      </w:r>
      <w:r w:rsidR="00F77B7F" w:rsidRPr="005D6E61">
        <w:rPr>
          <w:rFonts w:asciiTheme="majorHAnsi" w:hAnsiTheme="majorHAnsi"/>
          <w:sz w:val="20"/>
          <w:szCs w:val="20"/>
          <w:lang w:val="pt-BR"/>
        </w:rPr>
        <w:t>ções</w:t>
      </w:r>
      <w:r w:rsidRPr="005D6E61">
        <w:rPr>
          <w:rFonts w:asciiTheme="majorHAnsi" w:hAnsiTheme="majorHAnsi"/>
          <w:sz w:val="20"/>
          <w:szCs w:val="20"/>
          <w:lang w:val="pt-BR"/>
        </w:rPr>
        <w:t xml:space="preserve"> realizadas</w:t>
      </w:r>
      <w:r w:rsidR="003B62AF" w:rsidRPr="005D6E61">
        <w:rPr>
          <w:rFonts w:asciiTheme="majorHAnsi" w:hAnsiTheme="majorHAnsi"/>
          <w:sz w:val="20"/>
          <w:szCs w:val="20"/>
          <w:lang w:val="pt-BR"/>
        </w:rPr>
        <w:t xml:space="preserve"> pela </w:t>
      </w:r>
      <w:r w:rsidR="006166DA" w:rsidRPr="005D6E61">
        <w:rPr>
          <w:rFonts w:asciiTheme="majorHAnsi" w:hAnsiTheme="majorHAnsi"/>
          <w:sz w:val="20"/>
          <w:szCs w:val="20"/>
          <w:lang w:val="pt-BR"/>
        </w:rPr>
        <w:t xml:space="preserve">Polícia </w:t>
      </w:r>
      <w:r w:rsidRPr="005D6E61">
        <w:rPr>
          <w:rFonts w:asciiTheme="majorHAnsi" w:hAnsiTheme="majorHAnsi"/>
          <w:sz w:val="20"/>
          <w:szCs w:val="20"/>
          <w:lang w:val="pt-BR"/>
        </w:rPr>
        <w:t>Civil</w:t>
      </w:r>
      <w:bookmarkEnd w:id="17"/>
    </w:p>
    <w:p w14:paraId="56D200FF" w14:textId="77777777" w:rsidR="003E10E6" w:rsidRPr="005D6E61" w:rsidRDefault="003E10E6" w:rsidP="003E10E6">
      <w:pPr>
        <w:pStyle w:val="ListParagraph"/>
        <w:jc w:val="both"/>
        <w:rPr>
          <w:rFonts w:cs="Times New Roman"/>
          <w:sz w:val="20"/>
          <w:szCs w:val="20"/>
          <w:lang w:val="pt-BR"/>
        </w:rPr>
      </w:pPr>
    </w:p>
    <w:p w14:paraId="517D26F4" w14:textId="77777777" w:rsidR="003E10E6" w:rsidRPr="005D6E61" w:rsidRDefault="003E10E6" w:rsidP="000D48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E</w:t>
      </w:r>
      <w:r w:rsidR="003619A0" w:rsidRPr="005D6E61">
        <w:rPr>
          <w:rFonts w:ascii="Cambria" w:hAnsi="Cambria"/>
          <w:sz w:val="20"/>
          <w:szCs w:val="20"/>
          <w:lang w:val="pt-BR"/>
        </w:rPr>
        <w:t>m</w:t>
      </w:r>
      <w:r w:rsidRPr="005D6E61">
        <w:rPr>
          <w:rFonts w:ascii="Cambria" w:hAnsi="Cambria"/>
          <w:sz w:val="20"/>
          <w:szCs w:val="20"/>
          <w:lang w:val="pt-BR"/>
        </w:rPr>
        <w:t xml:space="preserve"> 31 de </w:t>
      </w:r>
      <w:r w:rsidR="00287321" w:rsidRPr="005D6E61">
        <w:rPr>
          <w:rFonts w:ascii="Cambria" w:hAnsi="Cambria"/>
          <w:sz w:val="20"/>
          <w:szCs w:val="20"/>
          <w:lang w:val="pt-BR"/>
        </w:rPr>
        <w:t>outubro</w:t>
      </w:r>
      <w:r w:rsidRPr="005D6E61">
        <w:rPr>
          <w:rFonts w:ascii="Cambria" w:hAnsi="Cambria"/>
          <w:sz w:val="20"/>
          <w:szCs w:val="20"/>
          <w:lang w:val="pt-BR"/>
        </w:rPr>
        <w:t xml:space="preserve"> de 1983</w:t>
      </w:r>
      <w:r w:rsidR="00331E62" w:rsidRPr="005D6E61">
        <w:rPr>
          <w:rFonts w:ascii="Cambria" w:hAnsi="Cambria"/>
          <w:sz w:val="20"/>
          <w:szCs w:val="20"/>
          <w:lang w:val="pt-BR"/>
        </w:rPr>
        <w:t xml:space="preserve"> a </w:t>
      </w:r>
      <w:r w:rsidRPr="005D6E61">
        <w:rPr>
          <w:rFonts w:ascii="Cambria" w:hAnsi="Cambria"/>
          <w:sz w:val="20"/>
          <w:szCs w:val="20"/>
          <w:lang w:val="pt-BR"/>
        </w:rPr>
        <w:t>Pol</w:t>
      </w:r>
      <w:r w:rsidR="0031191B" w:rsidRPr="005D6E61">
        <w:rPr>
          <w:rFonts w:ascii="Cambria" w:hAnsi="Cambria"/>
          <w:sz w:val="20"/>
          <w:szCs w:val="20"/>
          <w:lang w:val="pt-BR"/>
        </w:rPr>
        <w:t>í</w:t>
      </w:r>
      <w:r w:rsidRPr="005D6E61">
        <w:rPr>
          <w:rFonts w:ascii="Cambria" w:hAnsi="Cambria"/>
          <w:sz w:val="20"/>
          <w:szCs w:val="20"/>
          <w:lang w:val="pt-BR"/>
        </w:rPr>
        <w:t>c</w:t>
      </w:r>
      <w:r w:rsidR="005A2381" w:rsidRPr="005D6E61">
        <w:rPr>
          <w:rFonts w:ascii="Cambria" w:hAnsi="Cambria"/>
          <w:sz w:val="20"/>
          <w:szCs w:val="20"/>
          <w:lang w:val="pt-BR"/>
        </w:rPr>
        <w:t>ia</w:t>
      </w:r>
      <w:r w:rsidRPr="005D6E61">
        <w:rPr>
          <w:rFonts w:ascii="Cambria" w:hAnsi="Cambria"/>
          <w:sz w:val="20"/>
          <w:szCs w:val="20"/>
          <w:lang w:val="pt-BR"/>
        </w:rPr>
        <w:t xml:space="preserve"> Civil</w:t>
      </w:r>
      <w:r w:rsidR="00F77B7F" w:rsidRPr="005D6E61">
        <w:rPr>
          <w:rFonts w:ascii="Cambria" w:hAnsi="Cambria"/>
          <w:sz w:val="20"/>
          <w:szCs w:val="20"/>
          <w:lang w:val="pt-BR"/>
        </w:rPr>
        <w:t xml:space="preserve"> do </w:t>
      </w:r>
      <w:r w:rsidR="0031191B" w:rsidRPr="005D6E61">
        <w:rPr>
          <w:rFonts w:ascii="Cambria" w:hAnsi="Cambria"/>
          <w:sz w:val="20"/>
          <w:szCs w:val="20"/>
          <w:lang w:val="pt-BR"/>
        </w:rPr>
        <w:t>E</w:t>
      </w:r>
      <w:r w:rsidRPr="005D6E61">
        <w:rPr>
          <w:rFonts w:ascii="Cambria" w:hAnsi="Cambria"/>
          <w:sz w:val="20"/>
          <w:szCs w:val="20"/>
          <w:lang w:val="pt-BR"/>
        </w:rPr>
        <w:t xml:space="preserve">stado </w:t>
      </w:r>
      <w:r w:rsidR="00287321" w:rsidRPr="005D6E61">
        <w:rPr>
          <w:rFonts w:ascii="Cambria" w:hAnsi="Cambria"/>
          <w:sz w:val="20"/>
          <w:szCs w:val="20"/>
          <w:lang w:val="pt-BR"/>
        </w:rPr>
        <w:t>da Paraíba</w:t>
      </w:r>
      <w:r w:rsidRPr="005D6E61">
        <w:rPr>
          <w:rFonts w:ascii="Cambria" w:hAnsi="Cambria"/>
          <w:sz w:val="20"/>
          <w:szCs w:val="20"/>
          <w:lang w:val="pt-BR"/>
        </w:rPr>
        <w:t xml:space="preserve"> inici</w:t>
      </w:r>
      <w:r w:rsidR="00BF0B90" w:rsidRPr="005D6E61">
        <w:rPr>
          <w:rFonts w:ascii="Cambria" w:hAnsi="Cambria"/>
          <w:sz w:val="20"/>
          <w:szCs w:val="20"/>
          <w:lang w:val="pt-BR"/>
        </w:rPr>
        <w:t xml:space="preserve">ou </w:t>
      </w:r>
      <w:r w:rsidR="006C5454" w:rsidRPr="005D6E61">
        <w:rPr>
          <w:rFonts w:ascii="Cambria" w:hAnsi="Cambria"/>
          <w:sz w:val="20"/>
          <w:szCs w:val="20"/>
          <w:lang w:val="pt-BR"/>
        </w:rPr>
        <w:t xml:space="preserve">um </w:t>
      </w:r>
      <w:r w:rsidRPr="005D6E61">
        <w:rPr>
          <w:rFonts w:ascii="Cambria" w:hAnsi="Cambria"/>
          <w:sz w:val="20"/>
          <w:szCs w:val="20"/>
          <w:lang w:val="pt-BR"/>
        </w:rPr>
        <w:t>in</w:t>
      </w:r>
      <w:r w:rsidR="0031191B" w:rsidRPr="005D6E61">
        <w:rPr>
          <w:rFonts w:ascii="Cambria" w:hAnsi="Cambria"/>
          <w:sz w:val="20"/>
          <w:szCs w:val="20"/>
          <w:lang w:val="pt-BR"/>
        </w:rPr>
        <w:t>quérito,</w:t>
      </w:r>
      <w:r w:rsidR="004844A3" w:rsidRPr="005D6E61">
        <w:rPr>
          <w:rFonts w:ascii="Cambria" w:hAnsi="Cambria"/>
          <w:sz w:val="20"/>
          <w:szCs w:val="20"/>
          <w:lang w:val="pt-BR"/>
        </w:rPr>
        <w:t xml:space="preserve"> </w:t>
      </w:r>
      <w:r w:rsidR="0031191B" w:rsidRPr="005D6E61">
        <w:rPr>
          <w:rFonts w:ascii="Cambria" w:hAnsi="Cambria"/>
          <w:sz w:val="20"/>
          <w:szCs w:val="20"/>
          <w:lang w:val="pt-BR"/>
        </w:rPr>
        <w:t>proced</w:t>
      </w:r>
      <w:r w:rsidRPr="005D6E61">
        <w:rPr>
          <w:rFonts w:ascii="Cambria" w:hAnsi="Cambria"/>
          <w:sz w:val="20"/>
          <w:szCs w:val="20"/>
          <w:lang w:val="pt-BR"/>
        </w:rPr>
        <w:t>endo a realizar</w:t>
      </w:r>
      <w:r w:rsidR="006C5454" w:rsidRPr="005D6E61">
        <w:rPr>
          <w:rFonts w:ascii="Cambria" w:hAnsi="Cambria"/>
          <w:sz w:val="20"/>
          <w:szCs w:val="20"/>
          <w:lang w:val="pt-BR"/>
        </w:rPr>
        <w:t xml:space="preserve"> uma </w:t>
      </w:r>
      <w:r w:rsidRPr="005D6E61">
        <w:rPr>
          <w:rFonts w:ascii="Cambria" w:hAnsi="Cambria"/>
          <w:sz w:val="20"/>
          <w:szCs w:val="20"/>
          <w:lang w:val="pt-BR"/>
        </w:rPr>
        <w:t>s</w:t>
      </w:r>
      <w:r w:rsidR="0031191B" w:rsidRPr="005D6E61">
        <w:rPr>
          <w:rFonts w:ascii="Cambria" w:hAnsi="Cambria"/>
          <w:sz w:val="20"/>
          <w:szCs w:val="20"/>
          <w:lang w:val="pt-BR"/>
        </w:rPr>
        <w:t>é</w:t>
      </w:r>
      <w:r w:rsidRPr="005D6E61">
        <w:rPr>
          <w:rFonts w:ascii="Cambria" w:hAnsi="Cambria"/>
          <w:sz w:val="20"/>
          <w:szCs w:val="20"/>
          <w:lang w:val="pt-BR"/>
        </w:rPr>
        <w:t>rie de dilig</w:t>
      </w:r>
      <w:r w:rsidR="00E37676" w:rsidRPr="005D6E61">
        <w:rPr>
          <w:rFonts w:ascii="Cambria" w:hAnsi="Cambria"/>
          <w:sz w:val="20"/>
          <w:szCs w:val="20"/>
          <w:lang w:val="pt-BR"/>
        </w:rPr>
        <w:t>ência</w:t>
      </w:r>
      <w:r w:rsidRPr="005D6E61">
        <w:rPr>
          <w:rFonts w:ascii="Cambria" w:hAnsi="Cambria"/>
          <w:sz w:val="20"/>
          <w:szCs w:val="20"/>
          <w:lang w:val="pt-BR"/>
        </w:rPr>
        <w:t>s</w:t>
      </w:r>
      <w:r w:rsidR="006C5454" w:rsidRPr="005D6E61">
        <w:rPr>
          <w:rFonts w:ascii="Cambria" w:hAnsi="Cambria"/>
          <w:sz w:val="20"/>
          <w:szCs w:val="20"/>
          <w:lang w:val="pt-BR"/>
        </w:rPr>
        <w:t xml:space="preserve"> e </w:t>
      </w:r>
      <w:r w:rsidRPr="005D6E61">
        <w:rPr>
          <w:rFonts w:ascii="Cambria" w:hAnsi="Cambria"/>
          <w:sz w:val="20"/>
          <w:szCs w:val="20"/>
          <w:lang w:val="pt-BR"/>
        </w:rPr>
        <w:t>rec</w:t>
      </w:r>
      <w:r w:rsidR="0031191B" w:rsidRPr="005D6E61">
        <w:rPr>
          <w:rFonts w:ascii="Cambria" w:hAnsi="Cambria"/>
          <w:sz w:val="20"/>
          <w:szCs w:val="20"/>
          <w:lang w:val="pt-BR"/>
        </w:rPr>
        <w:t>e</w:t>
      </w:r>
      <w:r w:rsidRPr="005D6E61">
        <w:rPr>
          <w:rFonts w:ascii="Cambria" w:hAnsi="Cambria"/>
          <w:sz w:val="20"/>
          <w:szCs w:val="20"/>
          <w:lang w:val="pt-BR"/>
        </w:rPr>
        <w:t>b</w:t>
      </w:r>
      <w:r w:rsidR="0031191B" w:rsidRPr="005D6E61">
        <w:rPr>
          <w:rFonts w:ascii="Cambria" w:hAnsi="Cambria"/>
          <w:sz w:val="20"/>
          <w:szCs w:val="20"/>
          <w:lang w:val="pt-BR"/>
        </w:rPr>
        <w:t>e</w:t>
      </w:r>
      <w:r w:rsidRPr="005D6E61">
        <w:rPr>
          <w:rFonts w:ascii="Cambria" w:hAnsi="Cambria"/>
          <w:sz w:val="20"/>
          <w:szCs w:val="20"/>
          <w:lang w:val="pt-BR"/>
        </w:rPr>
        <w:t>r declara</w:t>
      </w:r>
      <w:r w:rsidR="00F77B7F" w:rsidRPr="005D6E61">
        <w:rPr>
          <w:rFonts w:ascii="Cambria" w:hAnsi="Cambria"/>
          <w:sz w:val="20"/>
          <w:szCs w:val="20"/>
          <w:lang w:val="pt-BR"/>
        </w:rPr>
        <w:t>ções</w:t>
      </w:r>
      <w:r w:rsidRPr="005D6E61">
        <w:rPr>
          <w:rFonts w:ascii="Cambria" w:hAnsi="Cambria"/>
          <w:sz w:val="20"/>
          <w:szCs w:val="20"/>
          <w:lang w:val="pt-BR"/>
        </w:rPr>
        <w:t xml:space="preserve"> test</w:t>
      </w:r>
      <w:r w:rsidR="0031191B" w:rsidRPr="005D6E61">
        <w:rPr>
          <w:rFonts w:ascii="Cambria" w:hAnsi="Cambria"/>
          <w:sz w:val="20"/>
          <w:szCs w:val="20"/>
          <w:lang w:val="pt-BR"/>
        </w:rPr>
        <w:t>e</w:t>
      </w:r>
      <w:r w:rsidRPr="005D6E61">
        <w:rPr>
          <w:rFonts w:ascii="Cambria" w:hAnsi="Cambria"/>
          <w:sz w:val="20"/>
          <w:szCs w:val="20"/>
          <w:lang w:val="pt-BR"/>
        </w:rPr>
        <w:t>m</w:t>
      </w:r>
      <w:r w:rsidR="0031191B" w:rsidRPr="005D6E61">
        <w:rPr>
          <w:rFonts w:ascii="Cambria" w:hAnsi="Cambria"/>
          <w:sz w:val="20"/>
          <w:szCs w:val="20"/>
          <w:lang w:val="pt-BR"/>
        </w:rPr>
        <w:t>u</w:t>
      </w:r>
      <w:r w:rsidRPr="005D6E61">
        <w:rPr>
          <w:rFonts w:ascii="Cambria" w:hAnsi="Cambria"/>
          <w:sz w:val="20"/>
          <w:szCs w:val="20"/>
          <w:lang w:val="pt-BR"/>
        </w:rPr>
        <w:t>n</w:t>
      </w:r>
      <w:r w:rsidR="0031191B" w:rsidRPr="005D6E61">
        <w:rPr>
          <w:rFonts w:ascii="Cambria" w:hAnsi="Cambria"/>
          <w:sz w:val="20"/>
          <w:szCs w:val="20"/>
          <w:lang w:val="pt-BR"/>
        </w:rPr>
        <w:t>h</w:t>
      </w:r>
      <w:r w:rsidR="00331E62" w:rsidRPr="005D6E61">
        <w:rPr>
          <w:rFonts w:ascii="Cambria" w:hAnsi="Cambria"/>
          <w:sz w:val="20"/>
          <w:szCs w:val="20"/>
          <w:lang w:val="pt-BR"/>
        </w:rPr>
        <w:t>ais</w:t>
      </w:r>
      <w:r w:rsidR="004844A3" w:rsidRPr="005D6E61">
        <w:rPr>
          <w:rStyle w:val="FootnoteReference"/>
          <w:rFonts w:ascii="Cambria" w:hAnsi="Cambria"/>
          <w:sz w:val="20"/>
          <w:szCs w:val="20"/>
          <w:lang w:val="pt-BR"/>
        </w:rPr>
        <w:footnoteReference w:id="47"/>
      </w:r>
      <w:r w:rsidRPr="005D6E61">
        <w:rPr>
          <w:rFonts w:ascii="Cambria" w:hAnsi="Cambria"/>
          <w:sz w:val="20"/>
          <w:szCs w:val="20"/>
          <w:lang w:val="pt-BR"/>
        </w:rPr>
        <w:t xml:space="preserve">. </w:t>
      </w:r>
      <w:r w:rsidR="0031191B" w:rsidRPr="005D6E61">
        <w:rPr>
          <w:rFonts w:ascii="Cambria" w:hAnsi="Cambria"/>
          <w:sz w:val="20"/>
          <w:szCs w:val="20"/>
          <w:lang w:val="pt-BR"/>
        </w:rPr>
        <w:t>D</w:t>
      </w:r>
      <w:r w:rsidRPr="005D6E61">
        <w:rPr>
          <w:rFonts w:ascii="Cambria" w:hAnsi="Cambria"/>
          <w:sz w:val="20"/>
          <w:szCs w:val="20"/>
          <w:lang w:val="pt-BR"/>
        </w:rPr>
        <w:t>etermin</w:t>
      </w:r>
      <w:r w:rsidR="00BF0B90" w:rsidRPr="005D6E61">
        <w:rPr>
          <w:rFonts w:ascii="Cambria" w:hAnsi="Cambria"/>
          <w:sz w:val="20"/>
          <w:szCs w:val="20"/>
          <w:lang w:val="pt-BR"/>
        </w:rPr>
        <w:t>ou</w:t>
      </w:r>
      <w:r w:rsidR="0031191B" w:rsidRPr="005D6E61">
        <w:rPr>
          <w:rFonts w:ascii="Cambria" w:hAnsi="Cambria"/>
          <w:sz w:val="20"/>
          <w:szCs w:val="20"/>
          <w:lang w:val="pt-BR"/>
        </w:rPr>
        <w:t>-se</w:t>
      </w:r>
      <w:r w:rsidR="00BF0B90" w:rsidRPr="005D6E61">
        <w:rPr>
          <w:rFonts w:ascii="Cambria" w:hAnsi="Cambria"/>
          <w:sz w:val="20"/>
          <w:szCs w:val="20"/>
          <w:lang w:val="pt-BR"/>
        </w:rPr>
        <w:t xml:space="preserve"> </w:t>
      </w:r>
      <w:r w:rsidRPr="005D6E61">
        <w:rPr>
          <w:rFonts w:ascii="Cambria" w:hAnsi="Cambria"/>
          <w:sz w:val="20"/>
          <w:szCs w:val="20"/>
          <w:lang w:val="pt-BR"/>
        </w:rPr>
        <w:t>que</w:t>
      </w:r>
      <w:r w:rsidR="00331E62" w:rsidRPr="005D6E61">
        <w:rPr>
          <w:rFonts w:ascii="Cambria" w:hAnsi="Cambria"/>
          <w:sz w:val="20"/>
          <w:szCs w:val="20"/>
          <w:lang w:val="pt-BR"/>
        </w:rPr>
        <w:t xml:space="preserve"> a </w:t>
      </w:r>
      <w:r w:rsidR="0031191B" w:rsidRPr="005D6E61">
        <w:rPr>
          <w:rFonts w:ascii="Cambria" w:hAnsi="Cambria"/>
          <w:sz w:val="20"/>
          <w:szCs w:val="20"/>
          <w:lang w:val="pt-BR"/>
        </w:rPr>
        <w:t>placa d</w:t>
      </w:r>
      <w:r w:rsidR="00CD523F" w:rsidRPr="005D6E61">
        <w:rPr>
          <w:rFonts w:ascii="Cambria" w:hAnsi="Cambria"/>
          <w:sz w:val="20"/>
          <w:szCs w:val="20"/>
          <w:lang w:val="pt-BR"/>
        </w:rPr>
        <w:t xml:space="preserve">o </w:t>
      </w:r>
      <w:r w:rsidRPr="005D6E61">
        <w:rPr>
          <w:rFonts w:ascii="Cambria" w:hAnsi="Cambria"/>
          <w:sz w:val="20"/>
          <w:szCs w:val="20"/>
          <w:lang w:val="pt-BR"/>
        </w:rPr>
        <w:t>carro utilizado</w:t>
      </w:r>
      <w:r w:rsidR="002508A0" w:rsidRPr="005D6E61">
        <w:rPr>
          <w:rFonts w:ascii="Cambria" w:hAnsi="Cambria"/>
          <w:sz w:val="20"/>
          <w:szCs w:val="20"/>
          <w:lang w:val="pt-BR"/>
        </w:rPr>
        <w:t xml:space="preserve"> pelos </w:t>
      </w:r>
      <w:r w:rsidRPr="005D6E61">
        <w:rPr>
          <w:rFonts w:ascii="Cambria" w:hAnsi="Cambria"/>
          <w:sz w:val="20"/>
          <w:szCs w:val="20"/>
          <w:lang w:val="pt-BR"/>
        </w:rPr>
        <w:t>perpetradores era</w:t>
      </w:r>
      <w:r w:rsidR="006C5454" w:rsidRPr="005D6E61">
        <w:rPr>
          <w:rFonts w:ascii="Cambria" w:hAnsi="Cambria"/>
          <w:sz w:val="20"/>
          <w:szCs w:val="20"/>
          <w:lang w:val="pt-BR"/>
        </w:rPr>
        <w:t xml:space="preserve"> uma </w:t>
      </w:r>
      <w:r w:rsidR="0031191B" w:rsidRPr="005D6E61">
        <w:rPr>
          <w:rFonts w:ascii="Cambria" w:hAnsi="Cambria"/>
          <w:sz w:val="20"/>
          <w:szCs w:val="20"/>
          <w:lang w:val="pt-BR"/>
        </w:rPr>
        <w:t>placa</w:t>
      </w:r>
      <w:r w:rsidRPr="005D6E61">
        <w:rPr>
          <w:rFonts w:ascii="Cambria" w:hAnsi="Cambria"/>
          <w:sz w:val="20"/>
          <w:szCs w:val="20"/>
          <w:lang w:val="pt-BR"/>
        </w:rPr>
        <w:t xml:space="preserve"> “fr</w:t>
      </w:r>
      <w:r w:rsidR="005A2381" w:rsidRPr="005D6E61">
        <w:rPr>
          <w:rFonts w:ascii="Cambria" w:hAnsi="Cambria"/>
          <w:sz w:val="20"/>
          <w:szCs w:val="20"/>
          <w:lang w:val="pt-BR"/>
        </w:rPr>
        <w:t>ia</w:t>
      </w:r>
      <w:r w:rsidRPr="005D6E61">
        <w:rPr>
          <w:rFonts w:ascii="Cambria" w:hAnsi="Cambria"/>
          <w:sz w:val="20"/>
          <w:szCs w:val="20"/>
          <w:lang w:val="pt-BR"/>
        </w:rPr>
        <w:t>” o</w:t>
      </w:r>
      <w:r w:rsidR="0031191B" w:rsidRPr="005D6E61">
        <w:rPr>
          <w:rFonts w:ascii="Cambria" w:hAnsi="Cambria"/>
          <w:sz w:val="20"/>
          <w:szCs w:val="20"/>
          <w:lang w:val="pt-BR"/>
        </w:rPr>
        <w:t>u</w:t>
      </w:r>
      <w:r w:rsidRPr="005D6E61">
        <w:rPr>
          <w:rFonts w:ascii="Cambria" w:hAnsi="Cambria"/>
          <w:sz w:val="20"/>
          <w:szCs w:val="20"/>
          <w:lang w:val="pt-BR"/>
        </w:rPr>
        <w:t xml:space="preserve"> adulterada</w:t>
      </w:r>
      <w:r w:rsidRPr="005D6E61">
        <w:rPr>
          <w:rStyle w:val="FootnoteReference"/>
          <w:rFonts w:ascii="Cambria" w:hAnsi="Cambria"/>
          <w:sz w:val="20"/>
          <w:szCs w:val="20"/>
          <w:lang w:val="pt-BR"/>
        </w:rPr>
        <w:footnoteReference w:id="48"/>
      </w:r>
      <w:r w:rsidRPr="005D6E61">
        <w:rPr>
          <w:rFonts w:ascii="Cambria" w:hAnsi="Cambria"/>
          <w:sz w:val="20"/>
          <w:szCs w:val="20"/>
          <w:lang w:val="pt-BR"/>
        </w:rPr>
        <w:t>.</w:t>
      </w:r>
    </w:p>
    <w:p w14:paraId="494C4332" w14:textId="77777777" w:rsidR="003E10E6" w:rsidRPr="005D6E61" w:rsidRDefault="003E10E6" w:rsidP="003E10E6">
      <w:pPr>
        <w:pStyle w:val="ListParagraph"/>
        <w:rPr>
          <w:sz w:val="20"/>
          <w:szCs w:val="20"/>
          <w:lang w:val="pt-BR"/>
        </w:rPr>
      </w:pPr>
    </w:p>
    <w:p w14:paraId="0DBAA5DD" w14:textId="77777777" w:rsidR="003E10E6" w:rsidRPr="005D6E61" w:rsidRDefault="003619A0"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Em</w:t>
      </w:r>
      <w:r w:rsidR="003E10E6" w:rsidRPr="005D6E61">
        <w:rPr>
          <w:rFonts w:ascii="Cambria" w:hAnsi="Cambria"/>
          <w:sz w:val="20"/>
          <w:szCs w:val="20"/>
          <w:lang w:val="pt-BR"/>
        </w:rPr>
        <w:t xml:space="preserve"> 3 de </w:t>
      </w:r>
      <w:r w:rsidR="0031191B" w:rsidRPr="005D6E61">
        <w:rPr>
          <w:rFonts w:ascii="Cambria" w:hAnsi="Cambria"/>
          <w:sz w:val="20"/>
          <w:szCs w:val="20"/>
          <w:lang w:val="pt-BR"/>
        </w:rPr>
        <w:t>setembro</w:t>
      </w:r>
      <w:r w:rsidR="003E10E6" w:rsidRPr="005D6E61">
        <w:rPr>
          <w:rFonts w:ascii="Cambria" w:hAnsi="Cambria"/>
          <w:sz w:val="20"/>
          <w:szCs w:val="20"/>
          <w:lang w:val="pt-BR"/>
        </w:rPr>
        <w:t xml:space="preserve"> de 1983 </w:t>
      </w:r>
      <w:r w:rsidR="0031191B" w:rsidRPr="005D6E61">
        <w:rPr>
          <w:rFonts w:ascii="Cambria" w:hAnsi="Cambria"/>
          <w:sz w:val="20"/>
          <w:szCs w:val="20"/>
          <w:lang w:val="pt-BR"/>
        </w:rPr>
        <w:t>prest</w:t>
      </w:r>
      <w:r w:rsidR="00BF0B90" w:rsidRPr="005D6E61">
        <w:rPr>
          <w:rFonts w:ascii="Cambria" w:hAnsi="Cambria"/>
          <w:sz w:val="20"/>
          <w:szCs w:val="20"/>
          <w:lang w:val="pt-BR"/>
        </w:rPr>
        <w:t xml:space="preserve">ou </w:t>
      </w:r>
      <w:r w:rsidR="003E10E6" w:rsidRPr="005D6E61">
        <w:rPr>
          <w:rFonts w:ascii="Cambria" w:hAnsi="Cambria"/>
          <w:sz w:val="20"/>
          <w:szCs w:val="20"/>
          <w:lang w:val="pt-BR"/>
        </w:rPr>
        <w:t>declara</w:t>
      </w:r>
      <w:r w:rsidR="00A274D9" w:rsidRPr="005D6E61">
        <w:rPr>
          <w:rFonts w:ascii="Cambria" w:hAnsi="Cambria"/>
          <w:sz w:val="20"/>
          <w:szCs w:val="20"/>
          <w:lang w:val="pt-BR"/>
        </w:rPr>
        <w:t>ção</w:t>
      </w:r>
      <w:r w:rsidR="003E10E6" w:rsidRPr="005D6E61">
        <w:rPr>
          <w:rFonts w:ascii="Cambria" w:hAnsi="Cambria"/>
          <w:sz w:val="20"/>
          <w:szCs w:val="20"/>
          <w:lang w:val="pt-BR"/>
        </w:rPr>
        <w:t xml:space="preserve"> Aguinaldo Veloso Borges, </w:t>
      </w:r>
      <w:r w:rsidR="0031191B" w:rsidRPr="005D6E61">
        <w:rPr>
          <w:rFonts w:ascii="Cambria" w:hAnsi="Cambria"/>
          <w:sz w:val="20"/>
          <w:szCs w:val="20"/>
          <w:lang w:val="pt-BR"/>
        </w:rPr>
        <w:t xml:space="preserve">o </w:t>
      </w:r>
      <w:r w:rsidR="003E10E6" w:rsidRPr="005D6E61">
        <w:rPr>
          <w:rFonts w:ascii="Cambria" w:hAnsi="Cambria"/>
          <w:sz w:val="20"/>
          <w:szCs w:val="20"/>
          <w:lang w:val="pt-BR"/>
        </w:rPr>
        <w:t>qu</w:t>
      </w:r>
      <w:r w:rsidR="0031191B" w:rsidRPr="005D6E61">
        <w:rPr>
          <w:rFonts w:ascii="Cambria" w:hAnsi="Cambria"/>
          <w:sz w:val="20"/>
          <w:szCs w:val="20"/>
          <w:lang w:val="pt-BR"/>
        </w:rPr>
        <w:t>al</w:t>
      </w:r>
      <w:r w:rsidR="003E10E6" w:rsidRPr="005D6E61">
        <w:rPr>
          <w:rFonts w:ascii="Cambria" w:hAnsi="Cambria"/>
          <w:sz w:val="20"/>
          <w:szCs w:val="20"/>
          <w:lang w:val="pt-BR"/>
        </w:rPr>
        <w:t xml:space="preserve"> </w:t>
      </w:r>
      <w:r w:rsidR="00852FF0" w:rsidRPr="005D6E61">
        <w:rPr>
          <w:rFonts w:ascii="Cambria" w:hAnsi="Cambria"/>
          <w:sz w:val="20"/>
          <w:szCs w:val="20"/>
          <w:lang w:val="pt-BR"/>
        </w:rPr>
        <w:t>indic</w:t>
      </w:r>
      <w:r w:rsidR="00BF0B90" w:rsidRPr="005D6E61">
        <w:rPr>
          <w:rFonts w:ascii="Cambria" w:hAnsi="Cambria"/>
          <w:sz w:val="20"/>
          <w:szCs w:val="20"/>
          <w:lang w:val="pt-BR"/>
        </w:rPr>
        <w:t xml:space="preserve">ou </w:t>
      </w:r>
      <w:r w:rsidR="003E10E6" w:rsidRPr="005D6E61">
        <w:rPr>
          <w:rFonts w:ascii="Cambria" w:hAnsi="Cambria"/>
          <w:sz w:val="20"/>
          <w:szCs w:val="20"/>
          <w:lang w:val="pt-BR"/>
        </w:rPr>
        <w:t>que</w:t>
      </w:r>
      <w:r w:rsidR="00F77B7F" w:rsidRPr="005D6E61">
        <w:rPr>
          <w:rFonts w:ascii="Cambria" w:hAnsi="Cambria"/>
          <w:sz w:val="20"/>
          <w:szCs w:val="20"/>
          <w:lang w:val="pt-BR"/>
        </w:rPr>
        <w:t xml:space="preserve"> não </w:t>
      </w:r>
      <w:r w:rsidR="003E10E6" w:rsidRPr="005D6E61">
        <w:rPr>
          <w:rFonts w:ascii="Cambria" w:hAnsi="Cambria"/>
          <w:sz w:val="20"/>
          <w:szCs w:val="20"/>
          <w:lang w:val="pt-BR"/>
        </w:rPr>
        <w:t>con</w:t>
      </w:r>
      <w:r w:rsidR="0031191B" w:rsidRPr="005D6E61">
        <w:rPr>
          <w:rFonts w:ascii="Cambria" w:hAnsi="Cambria"/>
          <w:sz w:val="20"/>
          <w:szCs w:val="20"/>
          <w:lang w:val="pt-BR"/>
        </w:rPr>
        <w:t>he</w:t>
      </w:r>
      <w:r w:rsidR="003E10E6" w:rsidRPr="005D6E61">
        <w:rPr>
          <w:rFonts w:ascii="Cambria" w:hAnsi="Cambria"/>
          <w:sz w:val="20"/>
          <w:szCs w:val="20"/>
          <w:lang w:val="pt-BR"/>
        </w:rPr>
        <w:t>c</w:t>
      </w:r>
      <w:r w:rsidR="005A2381" w:rsidRPr="005D6E61">
        <w:rPr>
          <w:rFonts w:ascii="Cambria" w:hAnsi="Cambria"/>
          <w:sz w:val="20"/>
          <w:szCs w:val="20"/>
          <w:lang w:val="pt-BR"/>
        </w:rPr>
        <w:t>ia</w:t>
      </w:r>
      <w:r w:rsidR="003E10E6" w:rsidRPr="005D6E61">
        <w:rPr>
          <w:rFonts w:ascii="Cambria" w:hAnsi="Cambria"/>
          <w:sz w:val="20"/>
          <w:szCs w:val="20"/>
          <w:lang w:val="pt-BR"/>
        </w:rPr>
        <w:t xml:space="preserve"> Margarida Maria Alves</w:t>
      </w:r>
      <w:r w:rsidR="006C5454" w:rsidRPr="005D6E61">
        <w:rPr>
          <w:rFonts w:ascii="Cambria" w:hAnsi="Cambria"/>
          <w:sz w:val="20"/>
          <w:szCs w:val="20"/>
          <w:lang w:val="pt-BR"/>
        </w:rPr>
        <w:t xml:space="preserve"> e </w:t>
      </w:r>
      <w:r w:rsidR="003E10E6" w:rsidRPr="005D6E61">
        <w:rPr>
          <w:rFonts w:ascii="Cambria" w:hAnsi="Cambria"/>
          <w:sz w:val="20"/>
          <w:szCs w:val="20"/>
          <w:lang w:val="pt-BR"/>
        </w:rPr>
        <w:t>que nunca t</w:t>
      </w:r>
      <w:r w:rsidR="0031191B" w:rsidRPr="005D6E61">
        <w:rPr>
          <w:rFonts w:ascii="Cambria" w:hAnsi="Cambria"/>
          <w:sz w:val="20"/>
          <w:szCs w:val="20"/>
          <w:lang w:val="pt-BR"/>
        </w:rPr>
        <w:t>e</w:t>
      </w:r>
      <w:r w:rsidR="003E10E6" w:rsidRPr="005D6E61">
        <w:rPr>
          <w:rFonts w:ascii="Cambria" w:hAnsi="Cambria"/>
          <w:sz w:val="20"/>
          <w:szCs w:val="20"/>
          <w:lang w:val="pt-BR"/>
        </w:rPr>
        <w:t>v</w:t>
      </w:r>
      <w:r w:rsidR="0031191B" w:rsidRPr="005D6E61">
        <w:rPr>
          <w:rFonts w:ascii="Cambria" w:hAnsi="Cambria"/>
          <w:sz w:val="20"/>
          <w:szCs w:val="20"/>
          <w:lang w:val="pt-BR"/>
        </w:rPr>
        <w:t>e</w:t>
      </w:r>
      <w:r w:rsidR="003E10E6" w:rsidRPr="005D6E61">
        <w:rPr>
          <w:rFonts w:ascii="Cambria" w:hAnsi="Cambria"/>
          <w:sz w:val="20"/>
          <w:szCs w:val="20"/>
          <w:lang w:val="pt-BR"/>
        </w:rPr>
        <w:t xml:space="preserve"> rela</w:t>
      </w:r>
      <w:r w:rsidR="00A274D9" w:rsidRPr="005D6E61">
        <w:rPr>
          <w:rFonts w:ascii="Cambria" w:hAnsi="Cambria"/>
          <w:sz w:val="20"/>
          <w:szCs w:val="20"/>
          <w:lang w:val="pt-BR"/>
        </w:rPr>
        <w:t>ção</w:t>
      </w:r>
      <w:r w:rsidR="003E10E6" w:rsidRPr="005D6E61">
        <w:rPr>
          <w:rFonts w:ascii="Cambria" w:hAnsi="Cambria"/>
          <w:sz w:val="20"/>
          <w:szCs w:val="20"/>
          <w:lang w:val="pt-BR"/>
        </w:rPr>
        <w:t xml:space="preserve"> direta o</w:t>
      </w:r>
      <w:r w:rsidR="0031191B" w:rsidRPr="005D6E61">
        <w:rPr>
          <w:rFonts w:ascii="Cambria" w:hAnsi="Cambria"/>
          <w:sz w:val="20"/>
          <w:szCs w:val="20"/>
          <w:lang w:val="pt-BR"/>
        </w:rPr>
        <w:t>u</w:t>
      </w:r>
      <w:r w:rsidR="003E10E6" w:rsidRPr="005D6E61">
        <w:rPr>
          <w:rFonts w:ascii="Cambria" w:hAnsi="Cambria"/>
          <w:sz w:val="20"/>
          <w:szCs w:val="20"/>
          <w:lang w:val="pt-BR"/>
        </w:rPr>
        <w:t xml:space="preserve"> indireta</w:t>
      </w:r>
      <w:r w:rsidR="00F77B7F" w:rsidRPr="005D6E61">
        <w:rPr>
          <w:rFonts w:ascii="Cambria" w:hAnsi="Cambria"/>
          <w:sz w:val="20"/>
          <w:szCs w:val="20"/>
          <w:lang w:val="pt-BR"/>
        </w:rPr>
        <w:t xml:space="preserve"> com </w:t>
      </w:r>
      <w:r w:rsidR="003E10E6" w:rsidRPr="005D6E61">
        <w:rPr>
          <w:rFonts w:ascii="Cambria" w:hAnsi="Cambria"/>
          <w:sz w:val="20"/>
          <w:szCs w:val="20"/>
          <w:lang w:val="pt-BR"/>
        </w:rPr>
        <w:t>ela</w:t>
      </w:r>
      <w:r w:rsidR="003E10E6" w:rsidRPr="005D6E61">
        <w:rPr>
          <w:rStyle w:val="FootnoteReference"/>
          <w:rFonts w:ascii="Cambria" w:hAnsi="Cambria"/>
          <w:sz w:val="20"/>
          <w:szCs w:val="20"/>
          <w:lang w:val="pt-BR"/>
        </w:rPr>
        <w:footnoteReference w:id="49"/>
      </w:r>
      <w:r w:rsidR="003E10E6" w:rsidRPr="005D6E61">
        <w:rPr>
          <w:rFonts w:ascii="Cambria" w:hAnsi="Cambria"/>
          <w:sz w:val="20"/>
          <w:szCs w:val="20"/>
          <w:lang w:val="pt-BR"/>
        </w:rPr>
        <w:t xml:space="preserve">.  </w:t>
      </w:r>
    </w:p>
    <w:p w14:paraId="4C79DAD0" w14:textId="77777777" w:rsidR="003E10E6" w:rsidRPr="005D6E61"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pt-BR"/>
        </w:rPr>
      </w:pPr>
    </w:p>
    <w:p w14:paraId="79CC3AFF" w14:textId="77777777" w:rsidR="003E10E6" w:rsidRPr="005D6E61" w:rsidRDefault="003619A0"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Em</w:t>
      </w:r>
      <w:r w:rsidR="003E10E6" w:rsidRPr="005D6E61">
        <w:rPr>
          <w:rFonts w:ascii="Cambria" w:hAnsi="Cambria"/>
          <w:sz w:val="20"/>
          <w:szCs w:val="20"/>
          <w:lang w:val="pt-BR"/>
        </w:rPr>
        <w:t xml:space="preserve"> 13 de </w:t>
      </w:r>
      <w:r w:rsidR="0031191B" w:rsidRPr="005D6E61">
        <w:rPr>
          <w:rFonts w:ascii="Cambria" w:hAnsi="Cambria"/>
          <w:sz w:val="20"/>
          <w:szCs w:val="20"/>
          <w:lang w:val="pt-BR"/>
        </w:rPr>
        <w:t>setembro</w:t>
      </w:r>
      <w:r w:rsidR="003E10E6" w:rsidRPr="005D6E61">
        <w:rPr>
          <w:rFonts w:ascii="Cambria" w:hAnsi="Cambria"/>
          <w:sz w:val="20"/>
          <w:szCs w:val="20"/>
          <w:lang w:val="pt-BR"/>
        </w:rPr>
        <w:t xml:space="preserve"> de 1983 ampli</w:t>
      </w:r>
      <w:r w:rsidR="00BF0B90" w:rsidRPr="005D6E61">
        <w:rPr>
          <w:rFonts w:ascii="Cambria" w:hAnsi="Cambria"/>
          <w:sz w:val="20"/>
          <w:szCs w:val="20"/>
          <w:lang w:val="pt-BR"/>
        </w:rPr>
        <w:t>ou</w:t>
      </w:r>
      <w:r w:rsidR="0031191B" w:rsidRPr="005D6E61">
        <w:rPr>
          <w:rFonts w:ascii="Cambria" w:hAnsi="Cambria"/>
          <w:sz w:val="20"/>
          <w:szCs w:val="20"/>
          <w:lang w:val="pt-BR"/>
        </w:rPr>
        <w:t>-se</w:t>
      </w:r>
      <w:r w:rsidR="00BF0B90" w:rsidRPr="005D6E61">
        <w:rPr>
          <w:rFonts w:ascii="Cambria" w:hAnsi="Cambria"/>
          <w:sz w:val="20"/>
          <w:szCs w:val="20"/>
          <w:lang w:val="pt-BR"/>
        </w:rPr>
        <w:t xml:space="preserve"> </w:t>
      </w:r>
      <w:r w:rsidR="00331E62" w:rsidRPr="005D6E61">
        <w:rPr>
          <w:rFonts w:ascii="Cambria" w:hAnsi="Cambria"/>
          <w:sz w:val="20"/>
          <w:szCs w:val="20"/>
          <w:lang w:val="pt-BR"/>
        </w:rPr>
        <w:t xml:space="preserve">o </w:t>
      </w:r>
      <w:r w:rsidR="00180344" w:rsidRPr="005D6E61">
        <w:rPr>
          <w:rFonts w:ascii="Cambria" w:hAnsi="Cambria"/>
          <w:sz w:val="20"/>
          <w:szCs w:val="20"/>
          <w:lang w:val="pt-BR"/>
        </w:rPr>
        <w:t>prazo</w:t>
      </w:r>
      <w:r w:rsidR="00675058" w:rsidRPr="005D6E61">
        <w:rPr>
          <w:rFonts w:ascii="Cambria" w:hAnsi="Cambria"/>
          <w:sz w:val="20"/>
          <w:szCs w:val="20"/>
          <w:lang w:val="pt-BR"/>
        </w:rPr>
        <w:t xml:space="preserve"> d</w:t>
      </w:r>
      <w:r w:rsidR="0031191B" w:rsidRPr="005D6E61">
        <w:rPr>
          <w:rFonts w:ascii="Cambria" w:hAnsi="Cambria"/>
          <w:sz w:val="20"/>
          <w:szCs w:val="20"/>
          <w:lang w:val="pt-BR"/>
        </w:rPr>
        <w:t>o</w:t>
      </w:r>
      <w:r w:rsidR="00675058" w:rsidRPr="005D6E61">
        <w:rPr>
          <w:rFonts w:ascii="Cambria" w:hAnsi="Cambria"/>
          <w:sz w:val="20"/>
          <w:szCs w:val="20"/>
          <w:lang w:val="pt-BR"/>
        </w:rPr>
        <w:t xml:space="preserve"> </w:t>
      </w:r>
      <w:r w:rsidR="003E10E6" w:rsidRPr="005D6E61">
        <w:rPr>
          <w:rFonts w:ascii="Cambria" w:hAnsi="Cambria"/>
          <w:sz w:val="20"/>
          <w:szCs w:val="20"/>
          <w:lang w:val="pt-BR"/>
        </w:rPr>
        <w:t>in</w:t>
      </w:r>
      <w:r w:rsidR="0031191B" w:rsidRPr="005D6E61">
        <w:rPr>
          <w:rFonts w:ascii="Cambria" w:hAnsi="Cambria"/>
          <w:sz w:val="20"/>
          <w:szCs w:val="20"/>
          <w:lang w:val="pt-BR"/>
        </w:rPr>
        <w:t>quérito</w:t>
      </w:r>
      <w:r w:rsidR="003E10E6" w:rsidRPr="005D6E61">
        <w:rPr>
          <w:rStyle w:val="FootnoteReference"/>
          <w:rFonts w:ascii="Cambria" w:hAnsi="Cambria"/>
          <w:sz w:val="20"/>
          <w:szCs w:val="20"/>
          <w:lang w:val="pt-BR"/>
        </w:rPr>
        <w:footnoteReference w:id="50"/>
      </w:r>
      <w:r w:rsidR="003E10E6" w:rsidRPr="005D6E61">
        <w:rPr>
          <w:rFonts w:ascii="Cambria" w:hAnsi="Cambria"/>
          <w:sz w:val="20"/>
          <w:szCs w:val="20"/>
          <w:lang w:val="pt-BR"/>
        </w:rPr>
        <w:t>.</w:t>
      </w:r>
      <w:r w:rsidR="00331E62" w:rsidRPr="005D6E61">
        <w:rPr>
          <w:rFonts w:ascii="Cambria" w:hAnsi="Cambria"/>
          <w:sz w:val="20"/>
          <w:szCs w:val="20"/>
          <w:lang w:val="pt-BR"/>
        </w:rPr>
        <w:t xml:space="preserve"> </w:t>
      </w:r>
      <w:r w:rsidR="0031191B" w:rsidRPr="005D6E61">
        <w:rPr>
          <w:rFonts w:ascii="Cambria" w:hAnsi="Cambria"/>
          <w:sz w:val="20"/>
          <w:szCs w:val="20"/>
          <w:lang w:val="pt-BR"/>
        </w:rPr>
        <w:t>Em</w:t>
      </w:r>
      <w:r w:rsidR="00331E62" w:rsidRPr="005D6E61">
        <w:rPr>
          <w:rFonts w:ascii="Cambria" w:hAnsi="Cambria"/>
          <w:sz w:val="20"/>
          <w:szCs w:val="20"/>
          <w:lang w:val="pt-BR"/>
        </w:rPr>
        <w:t xml:space="preserve"> </w:t>
      </w:r>
      <w:r w:rsidR="003E10E6" w:rsidRPr="005D6E61">
        <w:rPr>
          <w:rFonts w:ascii="Cambria" w:hAnsi="Cambria"/>
          <w:sz w:val="20"/>
          <w:szCs w:val="20"/>
          <w:lang w:val="pt-BR"/>
        </w:rPr>
        <w:t xml:space="preserve">29 de </w:t>
      </w:r>
      <w:r w:rsidR="0031191B" w:rsidRPr="005D6E61">
        <w:rPr>
          <w:rFonts w:ascii="Cambria" w:hAnsi="Cambria"/>
          <w:sz w:val="20"/>
          <w:szCs w:val="20"/>
          <w:lang w:val="pt-BR"/>
        </w:rPr>
        <w:t>setembro</w:t>
      </w:r>
      <w:r w:rsidR="003E10E6" w:rsidRPr="005D6E61">
        <w:rPr>
          <w:rFonts w:ascii="Cambria" w:hAnsi="Cambria"/>
          <w:sz w:val="20"/>
          <w:szCs w:val="20"/>
          <w:lang w:val="pt-BR"/>
        </w:rPr>
        <w:t xml:space="preserve"> de 1983 proced</w:t>
      </w:r>
      <w:r w:rsidR="0031191B" w:rsidRPr="005D6E61">
        <w:rPr>
          <w:rFonts w:ascii="Cambria" w:hAnsi="Cambria"/>
          <w:sz w:val="20"/>
          <w:szCs w:val="20"/>
          <w:lang w:val="pt-BR"/>
        </w:rPr>
        <w:t>e</w:t>
      </w:r>
      <w:r w:rsidR="00BF0B90" w:rsidRPr="005D6E61">
        <w:rPr>
          <w:rFonts w:ascii="Cambria" w:hAnsi="Cambria"/>
          <w:sz w:val="20"/>
          <w:szCs w:val="20"/>
          <w:lang w:val="pt-BR"/>
        </w:rPr>
        <w:t>u</w:t>
      </w:r>
      <w:r w:rsidR="0031191B" w:rsidRPr="005D6E61">
        <w:rPr>
          <w:rFonts w:ascii="Cambria" w:hAnsi="Cambria"/>
          <w:sz w:val="20"/>
          <w:szCs w:val="20"/>
          <w:lang w:val="pt-BR"/>
        </w:rPr>
        <w:t>-se</w:t>
      </w:r>
      <w:r w:rsidR="00BF0B90" w:rsidRPr="005D6E61">
        <w:rPr>
          <w:rFonts w:ascii="Cambria" w:hAnsi="Cambria"/>
          <w:sz w:val="20"/>
          <w:szCs w:val="20"/>
          <w:lang w:val="pt-BR"/>
        </w:rPr>
        <w:t xml:space="preserve"> </w:t>
      </w:r>
      <w:r w:rsidR="00275A65" w:rsidRPr="005D6E61">
        <w:rPr>
          <w:rFonts w:ascii="Cambria" w:hAnsi="Cambria"/>
          <w:sz w:val="20"/>
          <w:szCs w:val="20"/>
          <w:lang w:val="pt-BR"/>
        </w:rPr>
        <w:t xml:space="preserve">à </w:t>
      </w:r>
      <w:r w:rsidR="003E10E6" w:rsidRPr="005D6E61">
        <w:rPr>
          <w:rFonts w:ascii="Cambria" w:hAnsi="Cambria"/>
          <w:sz w:val="20"/>
          <w:szCs w:val="20"/>
          <w:lang w:val="pt-BR"/>
        </w:rPr>
        <w:t xml:space="preserve">captura de diversas </w:t>
      </w:r>
      <w:r w:rsidR="0054428F" w:rsidRPr="005D6E61">
        <w:rPr>
          <w:rFonts w:ascii="Cambria" w:hAnsi="Cambria"/>
          <w:sz w:val="20"/>
          <w:szCs w:val="20"/>
          <w:lang w:val="pt-BR"/>
        </w:rPr>
        <w:t>pessoa</w:t>
      </w:r>
      <w:r w:rsidR="003E10E6" w:rsidRPr="005D6E61">
        <w:rPr>
          <w:rFonts w:ascii="Cambria" w:hAnsi="Cambria"/>
          <w:sz w:val="20"/>
          <w:szCs w:val="20"/>
          <w:lang w:val="pt-BR"/>
        </w:rPr>
        <w:t xml:space="preserve">s que </w:t>
      </w:r>
      <w:r w:rsidR="0031191B" w:rsidRPr="005D6E61">
        <w:rPr>
          <w:rFonts w:ascii="Cambria" w:hAnsi="Cambria"/>
          <w:sz w:val="20"/>
          <w:szCs w:val="20"/>
          <w:lang w:val="pt-BR"/>
        </w:rPr>
        <w:t>correspondiam à</w:t>
      </w:r>
      <w:r w:rsidR="00331E62" w:rsidRPr="005D6E61">
        <w:rPr>
          <w:rFonts w:ascii="Cambria" w:hAnsi="Cambria"/>
          <w:sz w:val="20"/>
          <w:szCs w:val="20"/>
          <w:lang w:val="pt-BR"/>
        </w:rPr>
        <w:t xml:space="preserve">s </w:t>
      </w:r>
      <w:r w:rsidR="003E10E6" w:rsidRPr="005D6E61">
        <w:rPr>
          <w:rFonts w:ascii="Cambria" w:hAnsi="Cambria"/>
          <w:sz w:val="20"/>
          <w:szCs w:val="20"/>
          <w:lang w:val="pt-BR"/>
        </w:rPr>
        <w:t>descri</w:t>
      </w:r>
      <w:r w:rsidR="00F77B7F" w:rsidRPr="005D6E61">
        <w:rPr>
          <w:rFonts w:ascii="Cambria" w:hAnsi="Cambria"/>
          <w:sz w:val="20"/>
          <w:szCs w:val="20"/>
          <w:lang w:val="pt-BR"/>
        </w:rPr>
        <w:t>ções</w:t>
      </w:r>
      <w:r w:rsidR="003E10E6" w:rsidRPr="005D6E61">
        <w:rPr>
          <w:rFonts w:ascii="Cambria" w:hAnsi="Cambria"/>
          <w:sz w:val="20"/>
          <w:szCs w:val="20"/>
          <w:lang w:val="pt-BR"/>
        </w:rPr>
        <w:t xml:space="preserve"> </w:t>
      </w:r>
      <w:r w:rsidR="0031191B" w:rsidRPr="005D6E61">
        <w:rPr>
          <w:rFonts w:ascii="Cambria" w:hAnsi="Cambria"/>
          <w:sz w:val="20"/>
          <w:szCs w:val="20"/>
          <w:lang w:val="pt-BR"/>
        </w:rPr>
        <w:t xml:space="preserve">feitas </w:t>
      </w:r>
      <w:r w:rsidR="002508A0" w:rsidRPr="005D6E61">
        <w:rPr>
          <w:rFonts w:ascii="Cambria" w:hAnsi="Cambria"/>
          <w:sz w:val="20"/>
          <w:szCs w:val="20"/>
          <w:lang w:val="pt-BR"/>
        </w:rPr>
        <w:t>pel</w:t>
      </w:r>
      <w:r w:rsidR="0031191B" w:rsidRPr="005D6E61">
        <w:rPr>
          <w:rFonts w:ascii="Cambria" w:hAnsi="Cambria"/>
          <w:sz w:val="20"/>
          <w:szCs w:val="20"/>
          <w:lang w:val="pt-BR"/>
        </w:rPr>
        <w:t>a</w:t>
      </w:r>
      <w:r w:rsidR="002508A0" w:rsidRPr="005D6E61">
        <w:rPr>
          <w:rFonts w:ascii="Cambria" w:hAnsi="Cambria"/>
          <w:sz w:val="20"/>
          <w:szCs w:val="20"/>
          <w:lang w:val="pt-BR"/>
        </w:rPr>
        <w:t xml:space="preserve">s </w:t>
      </w:r>
      <w:r w:rsidR="003E10E6" w:rsidRPr="005D6E61">
        <w:rPr>
          <w:rFonts w:ascii="Cambria" w:hAnsi="Cambria"/>
          <w:sz w:val="20"/>
          <w:szCs w:val="20"/>
          <w:lang w:val="pt-BR"/>
        </w:rPr>
        <w:t>test</w:t>
      </w:r>
      <w:r w:rsidR="0031191B" w:rsidRPr="005D6E61">
        <w:rPr>
          <w:rFonts w:ascii="Cambria" w:hAnsi="Cambria"/>
          <w:sz w:val="20"/>
          <w:szCs w:val="20"/>
          <w:lang w:val="pt-BR"/>
        </w:rPr>
        <w:t>emunha</w:t>
      </w:r>
      <w:r w:rsidR="003E10E6" w:rsidRPr="005D6E61">
        <w:rPr>
          <w:rFonts w:ascii="Cambria" w:hAnsi="Cambria"/>
          <w:sz w:val="20"/>
          <w:szCs w:val="20"/>
          <w:lang w:val="pt-BR"/>
        </w:rPr>
        <w:t>s</w:t>
      </w:r>
      <w:r w:rsidR="003E10E6" w:rsidRPr="005D6E61">
        <w:rPr>
          <w:rStyle w:val="FootnoteReference"/>
          <w:rFonts w:ascii="Cambria" w:hAnsi="Cambria"/>
          <w:sz w:val="20"/>
          <w:szCs w:val="20"/>
          <w:lang w:val="pt-BR"/>
        </w:rPr>
        <w:footnoteReference w:id="51"/>
      </w:r>
      <w:r w:rsidR="003E10E6" w:rsidRPr="005D6E61">
        <w:rPr>
          <w:rFonts w:ascii="Cambria" w:hAnsi="Cambria"/>
          <w:sz w:val="20"/>
          <w:szCs w:val="20"/>
          <w:lang w:val="pt-BR"/>
        </w:rPr>
        <w:t>.</w:t>
      </w:r>
      <w:r w:rsidR="00F77B7F" w:rsidRPr="005D6E61">
        <w:rPr>
          <w:rFonts w:ascii="Cambria" w:hAnsi="Cambria"/>
          <w:sz w:val="20"/>
          <w:szCs w:val="20"/>
          <w:lang w:val="pt-BR"/>
        </w:rPr>
        <w:t xml:space="preserve"> </w:t>
      </w:r>
      <w:r w:rsidR="0031191B" w:rsidRPr="005D6E61">
        <w:rPr>
          <w:rFonts w:ascii="Cambria" w:hAnsi="Cambria"/>
          <w:sz w:val="20"/>
          <w:szCs w:val="20"/>
          <w:lang w:val="pt-BR"/>
        </w:rPr>
        <w:t>O</w:t>
      </w:r>
      <w:r w:rsidR="00F77B7F" w:rsidRPr="005D6E61">
        <w:rPr>
          <w:rFonts w:ascii="Cambria" w:hAnsi="Cambria"/>
          <w:sz w:val="20"/>
          <w:szCs w:val="20"/>
          <w:lang w:val="pt-BR"/>
        </w:rPr>
        <w:t xml:space="preserve">s </w:t>
      </w:r>
      <w:r w:rsidR="003E10E6" w:rsidRPr="005D6E61">
        <w:rPr>
          <w:rFonts w:ascii="Cambria" w:hAnsi="Cambria"/>
          <w:sz w:val="20"/>
          <w:szCs w:val="20"/>
          <w:lang w:val="pt-BR"/>
        </w:rPr>
        <w:t>s</w:t>
      </w:r>
      <w:r w:rsidR="0031191B" w:rsidRPr="005D6E61">
        <w:rPr>
          <w:rFonts w:ascii="Cambria" w:hAnsi="Cambria"/>
          <w:sz w:val="20"/>
          <w:szCs w:val="20"/>
          <w:lang w:val="pt-BR"/>
        </w:rPr>
        <w:t>uspeitos</w:t>
      </w:r>
      <w:r w:rsidR="003E10E6" w:rsidRPr="005D6E61">
        <w:rPr>
          <w:rFonts w:ascii="Cambria" w:hAnsi="Cambria"/>
          <w:sz w:val="20"/>
          <w:szCs w:val="20"/>
          <w:lang w:val="pt-BR"/>
        </w:rPr>
        <w:t xml:space="preserve"> f</w:t>
      </w:r>
      <w:r w:rsidR="0031191B" w:rsidRPr="005D6E61">
        <w:rPr>
          <w:rFonts w:ascii="Cambria" w:hAnsi="Cambria"/>
          <w:sz w:val="20"/>
          <w:szCs w:val="20"/>
          <w:lang w:val="pt-BR"/>
        </w:rPr>
        <w:t>oram</w:t>
      </w:r>
      <w:r w:rsidR="003E10E6" w:rsidRPr="005D6E61">
        <w:rPr>
          <w:rFonts w:ascii="Cambria" w:hAnsi="Cambria"/>
          <w:sz w:val="20"/>
          <w:szCs w:val="20"/>
          <w:lang w:val="pt-BR"/>
        </w:rPr>
        <w:t xml:space="preserve"> s</w:t>
      </w:r>
      <w:r w:rsidR="0031191B" w:rsidRPr="005D6E61">
        <w:rPr>
          <w:rFonts w:ascii="Cambria" w:hAnsi="Cambria"/>
          <w:sz w:val="20"/>
          <w:szCs w:val="20"/>
          <w:lang w:val="pt-BR"/>
        </w:rPr>
        <w:t>ub</w:t>
      </w:r>
      <w:r w:rsidR="003E10E6" w:rsidRPr="005D6E61">
        <w:rPr>
          <w:rFonts w:ascii="Cambria" w:hAnsi="Cambria"/>
          <w:sz w:val="20"/>
          <w:szCs w:val="20"/>
          <w:lang w:val="pt-BR"/>
        </w:rPr>
        <w:t>metidos a recon</w:t>
      </w:r>
      <w:r w:rsidR="0031191B" w:rsidRPr="005D6E61">
        <w:rPr>
          <w:rFonts w:ascii="Cambria" w:hAnsi="Cambria"/>
          <w:sz w:val="20"/>
          <w:szCs w:val="20"/>
          <w:lang w:val="pt-BR"/>
        </w:rPr>
        <w:t>he</w:t>
      </w:r>
      <w:r w:rsidR="003E10E6" w:rsidRPr="005D6E61">
        <w:rPr>
          <w:rFonts w:ascii="Cambria" w:hAnsi="Cambria"/>
          <w:sz w:val="20"/>
          <w:szCs w:val="20"/>
          <w:lang w:val="pt-BR"/>
        </w:rPr>
        <w:t>ci</w:t>
      </w:r>
      <w:r w:rsidR="00FB55C7" w:rsidRPr="005D6E61">
        <w:rPr>
          <w:rFonts w:ascii="Cambria" w:hAnsi="Cambria"/>
          <w:sz w:val="20"/>
          <w:szCs w:val="20"/>
          <w:lang w:val="pt-BR"/>
        </w:rPr>
        <w:t>mento</w:t>
      </w:r>
      <w:r w:rsidR="003E10E6" w:rsidRPr="005D6E61">
        <w:rPr>
          <w:rFonts w:ascii="Cambria" w:hAnsi="Cambria"/>
          <w:sz w:val="20"/>
          <w:szCs w:val="20"/>
          <w:lang w:val="pt-BR"/>
        </w:rPr>
        <w:t xml:space="preserve"> por parte de test</w:t>
      </w:r>
      <w:r w:rsidR="0031191B" w:rsidRPr="005D6E61">
        <w:rPr>
          <w:rFonts w:ascii="Cambria" w:hAnsi="Cambria"/>
          <w:sz w:val="20"/>
          <w:szCs w:val="20"/>
          <w:lang w:val="pt-BR"/>
        </w:rPr>
        <w:t>emunha</w:t>
      </w:r>
      <w:r w:rsidR="003E10E6" w:rsidRPr="005D6E61">
        <w:rPr>
          <w:rFonts w:ascii="Cambria" w:hAnsi="Cambria"/>
          <w:sz w:val="20"/>
          <w:szCs w:val="20"/>
          <w:lang w:val="pt-BR"/>
        </w:rPr>
        <w:t>s oculares</w:t>
      </w:r>
      <w:r w:rsidR="0031191B" w:rsidRPr="005D6E61">
        <w:rPr>
          <w:rFonts w:ascii="Cambria" w:hAnsi="Cambria"/>
          <w:sz w:val="20"/>
          <w:szCs w:val="20"/>
          <w:lang w:val="pt-BR"/>
        </w:rPr>
        <w:t>; contudo</w:t>
      </w:r>
      <w:r w:rsidR="003E10E6" w:rsidRPr="005D6E61">
        <w:rPr>
          <w:rFonts w:ascii="Cambria" w:hAnsi="Cambria"/>
          <w:sz w:val="20"/>
          <w:szCs w:val="20"/>
          <w:lang w:val="pt-BR"/>
        </w:rPr>
        <w:t>, por</w:t>
      </w:r>
      <w:r w:rsidR="00F77B7F" w:rsidRPr="005D6E61">
        <w:rPr>
          <w:rFonts w:ascii="Cambria" w:hAnsi="Cambria"/>
          <w:sz w:val="20"/>
          <w:szCs w:val="20"/>
          <w:lang w:val="pt-BR"/>
        </w:rPr>
        <w:t xml:space="preserve"> não </w:t>
      </w:r>
      <w:r w:rsidR="003E10E6" w:rsidRPr="005D6E61">
        <w:rPr>
          <w:rFonts w:ascii="Cambria" w:hAnsi="Cambria"/>
          <w:sz w:val="20"/>
          <w:szCs w:val="20"/>
          <w:lang w:val="pt-BR"/>
        </w:rPr>
        <w:t>ser</w:t>
      </w:r>
      <w:r w:rsidR="0031191B" w:rsidRPr="005D6E61">
        <w:rPr>
          <w:rFonts w:ascii="Cambria" w:hAnsi="Cambria"/>
          <w:sz w:val="20"/>
          <w:szCs w:val="20"/>
          <w:lang w:val="pt-BR"/>
        </w:rPr>
        <w:t>em</w:t>
      </w:r>
      <w:r w:rsidR="003E10E6" w:rsidRPr="005D6E61">
        <w:rPr>
          <w:rFonts w:ascii="Cambria" w:hAnsi="Cambria"/>
          <w:sz w:val="20"/>
          <w:szCs w:val="20"/>
          <w:lang w:val="pt-BR"/>
        </w:rPr>
        <w:t xml:space="preserve"> recon</w:t>
      </w:r>
      <w:r w:rsidR="0031191B" w:rsidRPr="005D6E61">
        <w:rPr>
          <w:rFonts w:ascii="Cambria" w:hAnsi="Cambria"/>
          <w:sz w:val="20"/>
          <w:szCs w:val="20"/>
          <w:lang w:val="pt-BR"/>
        </w:rPr>
        <w:t>he</w:t>
      </w:r>
      <w:r w:rsidR="003E10E6" w:rsidRPr="005D6E61">
        <w:rPr>
          <w:rFonts w:ascii="Cambria" w:hAnsi="Cambria"/>
          <w:sz w:val="20"/>
          <w:szCs w:val="20"/>
          <w:lang w:val="pt-BR"/>
        </w:rPr>
        <w:t xml:space="preserve">cidos como </w:t>
      </w:r>
      <w:r w:rsidR="0031191B" w:rsidRPr="005D6E61">
        <w:rPr>
          <w:rFonts w:ascii="Cambria" w:hAnsi="Cambria"/>
          <w:sz w:val="20"/>
          <w:szCs w:val="20"/>
          <w:lang w:val="pt-BR"/>
        </w:rPr>
        <w:t>supostos</w:t>
      </w:r>
      <w:r w:rsidR="003E10E6" w:rsidRPr="005D6E61">
        <w:rPr>
          <w:rFonts w:ascii="Cambria" w:hAnsi="Cambria"/>
          <w:sz w:val="20"/>
          <w:szCs w:val="20"/>
          <w:lang w:val="pt-BR"/>
        </w:rPr>
        <w:t xml:space="preserve"> autores</w:t>
      </w:r>
      <w:r w:rsidR="0031191B" w:rsidRPr="005D6E61">
        <w:rPr>
          <w:rFonts w:ascii="Cambria" w:hAnsi="Cambria"/>
          <w:sz w:val="20"/>
          <w:szCs w:val="20"/>
          <w:lang w:val="pt-BR"/>
        </w:rPr>
        <w:t>,</w:t>
      </w:r>
      <w:r w:rsidR="003E10E6" w:rsidRPr="005D6E61">
        <w:rPr>
          <w:rStyle w:val="FootnoteReference"/>
          <w:rFonts w:ascii="Cambria" w:hAnsi="Cambria"/>
          <w:sz w:val="20"/>
          <w:szCs w:val="20"/>
          <w:lang w:val="pt-BR"/>
        </w:rPr>
        <w:footnoteReference w:id="52"/>
      </w:r>
      <w:r w:rsidR="003E10E6" w:rsidRPr="005D6E61">
        <w:rPr>
          <w:rFonts w:ascii="Cambria" w:hAnsi="Cambria"/>
          <w:sz w:val="20"/>
          <w:szCs w:val="20"/>
          <w:lang w:val="pt-BR"/>
        </w:rPr>
        <w:t xml:space="preserve"> </w:t>
      </w:r>
      <w:r w:rsidR="0031191B" w:rsidRPr="005D6E61">
        <w:rPr>
          <w:rFonts w:ascii="Cambria" w:hAnsi="Cambria"/>
          <w:sz w:val="20"/>
          <w:szCs w:val="20"/>
          <w:lang w:val="pt-BR"/>
        </w:rPr>
        <w:t xml:space="preserve">foram </w:t>
      </w:r>
      <w:r w:rsidR="003E10E6" w:rsidRPr="005D6E61">
        <w:rPr>
          <w:rFonts w:ascii="Cambria" w:hAnsi="Cambria"/>
          <w:sz w:val="20"/>
          <w:szCs w:val="20"/>
          <w:lang w:val="pt-BR"/>
        </w:rPr>
        <w:t>libera</w:t>
      </w:r>
      <w:r w:rsidR="0031191B" w:rsidRPr="005D6E61">
        <w:rPr>
          <w:rFonts w:ascii="Cambria" w:hAnsi="Cambria"/>
          <w:sz w:val="20"/>
          <w:szCs w:val="20"/>
          <w:lang w:val="pt-BR"/>
        </w:rPr>
        <w:t>dos</w:t>
      </w:r>
      <w:r w:rsidR="003E10E6" w:rsidRPr="005D6E61">
        <w:rPr>
          <w:rStyle w:val="FootnoteReference"/>
          <w:rFonts w:ascii="Cambria" w:hAnsi="Cambria"/>
          <w:sz w:val="20"/>
          <w:szCs w:val="20"/>
          <w:lang w:val="pt-BR"/>
        </w:rPr>
        <w:footnoteReference w:id="53"/>
      </w:r>
      <w:r w:rsidR="003E10E6" w:rsidRPr="005D6E61">
        <w:rPr>
          <w:rFonts w:ascii="Cambria" w:hAnsi="Cambria"/>
          <w:sz w:val="20"/>
          <w:szCs w:val="20"/>
          <w:lang w:val="pt-BR"/>
        </w:rPr>
        <w:t>.</w:t>
      </w:r>
    </w:p>
    <w:p w14:paraId="2B0035E2" w14:textId="77777777" w:rsidR="003E10E6" w:rsidRPr="005D6E61"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pt-BR"/>
        </w:rPr>
      </w:pPr>
    </w:p>
    <w:p w14:paraId="421FF2A6" w14:textId="77777777" w:rsidR="003E10E6" w:rsidRPr="005D6E61" w:rsidRDefault="00EC647E"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Em</w:t>
      </w:r>
      <w:r w:rsidR="003E10E6" w:rsidRPr="005D6E61">
        <w:rPr>
          <w:rFonts w:ascii="Cambria" w:hAnsi="Cambria"/>
          <w:sz w:val="20"/>
          <w:szCs w:val="20"/>
          <w:lang w:val="pt-BR"/>
        </w:rPr>
        <w:t xml:space="preserve"> 8 de </w:t>
      </w:r>
      <w:r w:rsidR="0031191B" w:rsidRPr="005D6E61">
        <w:rPr>
          <w:rFonts w:ascii="Cambria" w:hAnsi="Cambria"/>
          <w:sz w:val="20"/>
          <w:szCs w:val="20"/>
          <w:lang w:val="pt-BR"/>
        </w:rPr>
        <w:t>novembro</w:t>
      </w:r>
      <w:r w:rsidR="003E10E6" w:rsidRPr="005D6E61">
        <w:rPr>
          <w:rFonts w:ascii="Cambria" w:hAnsi="Cambria"/>
          <w:sz w:val="20"/>
          <w:szCs w:val="20"/>
          <w:lang w:val="pt-BR"/>
        </w:rPr>
        <w:t xml:space="preserve"> de 1983 ampli</w:t>
      </w:r>
      <w:r w:rsidR="00BF0B90" w:rsidRPr="005D6E61">
        <w:rPr>
          <w:rFonts w:ascii="Cambria" w:hAnsi="Cambria"/>
          <w:sz w:val="20"/>
          <w:szCs w:val="20"/>
          <w:lang w:val="pt-BR"/>
        </w:rPr>
        <w:t>ou</w:t>
      </w:r>
      <w:r w:rsidR="0031191B" w:rsidRPr="005D6E61">
        <w:rPr>
          <w:rFonts w:ascii="Cambria" w:hAnsi="Cambria"/>
          <w:sz w:val="20"/>
          <w:szCs w:val="20"/>
          <w:lang w:val="pt-BR"/>
        </w:rPr>
        <w:t>-se</w:t>
      </w:r>
      <w:r w:rsidR="00BF0B90" w:rsidRPr="005D6E61">
        <w:rPr>
          <w:rFonts w:ascii="Cambria" w:hAnsi="Cambria"/>
          <w:sz w:val="20"/>
          <w:szCs w:val="20"/>
          <w:lang w:val="pt-BR"/>
        </w:rPr>
        <w:t xml:space="preserve"> </w:t>
      </w:r>
      <w:r w:rsidR="003E10E6" w:rsidRPr="005D6E61">
        <w:rPr>
          <w:rFonts w:ascii="Cambria" w:hAnsi="Cambria"/>
          <w:sz w:val="20"/>
          <w:szCs w:val="20"/>
          <w:lang w:val="pt-BR"/>
        </w:rPr>
        <w:t>n</w:t>
      </w:r>
      <w:r w:rsidR="0031191B" w:rsidRPr="005D6E61">
        <w:rPr>
          <w:rFonts w:ascii="Cambria" w:hAnsi="Cambria"/>
          <w:sz w:val="20"/>
          <w:szCs w:val="20"/>
          <w:lang w:val="pt-BR"/>
        </w:rPr>
        <w:t>o</w:t>
      </w:r>
      <w:r w:rsidR="003E10E6" w:rsidRPr="005D6E61">
        <w:rPr>
          <w:rFonts w:ascii="Cambria" w:hAnsi="Cambria"/>
          <w:sz w:val="20"/>
          <w:szCs w:val="20"/>
          <w:lang w:val="pt-BR"/>
        </w:rPr>
        <w:t>vamente</w:t>
      </w:r>
      <w:r w:rsidR="00331E62" w:rsidRPr="005D6E61">
        <w:rPr>
          <w:rFonts w:ascii="Cambria" w:hAnsi="Cambria"/>
          <w:sz w:val="20"/>
          <w:szCs w:val="20"/>
          <w:lang w:val="pt-BR"/>
        </w:rPr>
        <w:t xml:space="preserve"> o </w:t>
      </w:r>
      <w:r w:rsidR="00180344" w:rsidRPr="005D6E61">
        <w:rPr>
          <w:rFonts w:ascii="Cambria" w:hAnsi="Cambria"/>
          <w:sz w:val="20"/>
          <w:szCs w:val="20"/>
          <w:lang w:val="pt-BR"/>
        </w:rPr>
        <w:t>prazo</w:t>
      </w:r>
      <w:r w:rsidR="003E10E6" w:rsidRPr="005D6E61">
        <w:rPr>
          <w:rFonts w:ascii="Cambria" w:hAnsi="Cambria"/>
          <w:sz w:val="20"/>
          <w:szCs w:val="20"/>
          <w:lang w:val="pt-BR"/>
        </w:rPr>
        <w:t xml:space="preserve"> d</w:t>
      </w:r>
      <w:r w:rsidR="0031191B" w:rsidRPr="005D6E61">
        <w:rPr>
          <w:rFonts w:ascii="Cambria" w:hAnsi="Cambria"/>
          <w:sz w:val="20"/>
          <w:szCs w:val="20"/>
          <w:lang w:val="pt-BR"/>
        </w:rPr>
        <w:t xml:space="preserve">o </w:t>
      </w:r>
      <w:r w:rsidR="003E10E6" w:rsidRPr="005D6E61">
        <w:rPr>
          <w:rFonts w:ascii="Cambria" w:hAnsi="Cambria"/>
          <w:sz w:val="20"/>
          <w:szCs w:val="20"/>
          <w:lang w:val="pt-BR"/>
        </w:rPr>
        <w:t>in</w:t>
      </w:r>
      <w:r w:rsidR="0031191B" w:rsidRPr="005D6E61">
        <w:rPr>
          <w:rFonts w:ascii="Cambria" w:hAnsi="Cambria"/>
          <w:sz w:val="20"/>
          <w:szCs w:val="20"/>
          <w:lang w:val="pt-BR"/>
        </w:rPr>
        <w:t>quérito</w:t>
      </w:r>
      <w:r w:rsidR="003E10E6" w:rsidRPr="005D6E61">
        <w:rPr>
          <w:rFonts w:ascii="Cambria" w:hAnsi="Cambria"/>
          <w:sz w:val="20"/>
          <w:szCs w:val="20"/>
          <w:lang w:val="pt-BR"/>
        </w:rPr>
        <w:t>.</w:t>
      </w:r>
      <w:r w:rsidR="00331E62" w:rsidRPr="005D6E61">
        <w:rPr>
          <w:rFonts w:ascii="Cambria" w:hAnsi="Cambria"/>
          <w:sz w:val="20"/>
          <w:szCs w:val="20"/>
          <w:lang w:val="pt-BR"/>
        </w:rPr>
        <w:t xml:space="preserve"> </w:t>
      </w:r>
      <w:r w:rsidR="0031191B" w:rsidRPr="005D6E61">
        <w:rPr>
          <w:rFonts w:ascii="Cambria" w:hAnsi="Cambria"/>
          <w:sz w:val="20"/>
          <w:szCs w:val="20"/>
          <w:lang w:val="pt-BR"/>
        </w:rPr>
        <w:t>A</w:t>
      </w:r>
      <w:r w:rsidR="00331E62" w:rsidRPr="005D6E61">
        <w:rPr>
          <w:rFonts w:ascii="Cambria" w:hAnsi="Cambria"/>
          <w:sz w:val="20"/>
          <w:szCs w:val="20"/>
          <w:lang w:val="pt-BR"/>
        </w:rPr>
        <w:t xml:space="preserve"> </w:t>
      </w:r>
      <w:r w:rsidR="003E10E6" w:rsidRPr="005D6E61">
        <w:rPr>
          <w:rFonts w:ascii="Cambria" w:hAnsi="Cambria"/>
          <w:sz w:val="20"/>
          <w:szCs w:val="20"/>
          <w:lang w:val="pt-BR"/>
        </w:rPr>
        <w:t>Pol</w:t>
      </w:r>
      <w:r w:rsidR="0031191B" w:rsidRPr="005D6E61">
        <w:rPr>
          <w:rFonts w:ascii="Cambria" w:hAnsi="Cambria"/>
          <w:sz w:val="20"/>
          <w:szCs w:val="20"/>
          <w:lang w:val="pt-BR"/>
        </w:rPr>
        <w:t>í</w:t>
      </w:r>
      <w:r w:rsidR="003E10E6" w:rsidRPr="005D6E61">
        <w:rPr>
          <w:rFonts w:ascii="Cambria" w:hAnsi="Cambria"/>
          <w:sz w:val="20"/>
          <w:szCs w:val="20"/>
          <w:lang w:val="pt-BR"/>
        </w:rPr>
        <w:t>c</w:t>
      </w:r>
      <w:r w:rsidR="005A2381" w:rsidRPr="005D6E61">
        <w:rPr>
          <w:rFonts w:ascii="Cambria" w:hAnsi="Cambria"/>
          <w:sz w:val="20"/>
          <w:szCs w:val="20"/>
          <w:lang w:val="pt-BR"/>
        </w:rPr>
        <w:t>ia</w:t>
      </w:r>
      <w:r w:rsidR="003E10E6" w:rsidRPr="005D6E61">
        <w:rPr>
          <w:rFonts w:ascii="Cambria" w:hAnsi="Cambria"/>
          <w:sz w:val="20"/>
          <w:szCs w:val="20"/>
          <w:lang w:val="pt-BR"/>
        </w:rPr>
        <w:t xml:space="preserve"> ent</w:t>
      </w:r>
      <w:r w:rsidR="0031191B" w:rsidRPr="005D6E61">
        <w:rPr>
          <w:rFonts w:ascii="Cambria" w:hAnsi="Cambria"/>
          <w:sz w:val="20"/>
          <w:szCs w:val="20"/>
          <w:lang w:val="pt-BR"/>
        </w:rPr>
        <w:t>ã</w:t>
      </w:r>
      <w:r w:rsidR="003E10E6" w:rsidRPr="005D6E61">
        <w:rPr>
          <w:rFonts w:ascii="Cambria" w:hAnsi="Cambria"/>
          <w:sz w:val="20"/>
          <w:szCs w:val="20"/>
          <w:lang w:val="pt-BR"/>
        </w:rPr>
        <w:t>o</w:t>
      </w:r>
      <w:r w:rsidR="0031191B" w:rsidRPr="005D6E61">
        <w:rPr>
          <w:rFonts w:ascii="Cambria" w:hAnsi="Cambria"/>
          <w:sz w:val="20"/>
          <w:szCs w:val="20"/>
          <w:lang w:val="pt-BR"/>
        </w:rPr>
        <w:t xml:space="preserve"> volt</w:t>
      </w:r>
      <w:r w:rsidR="00BF0B90" w:rsidRPr="005D6E61">
        <w:rPr>
          <w:rFonts w:ascii="Cambria" w:hAnsi="Cambria"/>
          <w:sz w:val="20"/>
          <w:szCs w:val="20"/>
          <w:lang w:val="pt-BR"/>
        </w:rPr>
        <w:t xml:space="preserve">ou </w:t>
      </w:r>
      <w:r w:rsidR="003E10E6" w:rsidRPr="005D6E61">
        <w:rPr>
          <w:rFonts w:ascii="Cambria" w:hAnsi="Cambria"/>
          <w:sz w:val="20"/>
          <w:szCs w:val="20"/>
          <w:lang w:val="pt-BR"/>
        </w:rPr>
        <w:t>su</w:t>
      </w:r>
      <w:r w:rsidR="0031191B" w:rsidRPr="005D6E61">
        <w:rPr>
          <w:rFonts w:ascii="Cambria" w:hAnsi="Cambria"/>
          <w:sz w:val="20"/>
          <w:szCs w:val="20"/>
          <w:lang w:val="pt-BR"/>
        </w:rPr>
        <w:t>a</w:t>
      </w:r>
      <w:r w:rsidR="003E10E6" w:rsidRPr="005D6E61">
        <w:rPr>
          <w:rFonts w:ascii="Cambria" w:hAnsi="Cambria"/>
          <w:sz w:val="20"/>
          <w:szCs w:val="20"/>
          <w:lang w:val="pt-BR"/>
        </w:rPr>
        <w:t xml:space="preserve"> aten</w:t>
      </w:r>
      <w:r w:rsidR="00A274D9" w:rsidRPr="005D6E61">
        <w:rPr>
          <w:rFonts w:ascii="Cambria" w:hAnsi="Cambria"/>
          <w:sz w:val="20"/>
          <w:szCs w:val="20"/>
          <w:lang w:val="pt-BR"/>
        </w:rPr>
        <w:t>ção</w:t>
      </w:r>
      <w:r w:rsidR="00CD523F" w:rsidRPr="005D6E61">
        <w:rPr>
          <w:rFonts w:ascii="Cambria" w:hAnsi="Cambria"/>
          <w:sz w:val="20"/>
          <w:szCs w:val="20"/>
          <w:lang w:val="pt-BR"/>
        </w:rPr>
        <w:t xml:space="preserve"> </w:t>
      </w:r>
      <w:r w:rsidR="0031191B" w:rsidRPr="005D6E61">
        <w:rPr>
          <w:rFonts w:ascii="Cambria" w:hAnsi="Cambria"/>
          <w:sz w:val="20"/>
          <w:szCs w:val="20"/>
          <w:lang w:val="pt-BR"/>
        </w:rPr>
        <w:t>par</w:t>
      </w:r>
      <w:r w:rsidR="00CD523F" w:rsidRPr="005D6E61">
        <w:rPr>
          <w:rFonts w:ascii="Cambria" w:hAnsi="Cambria"/>
          <w:sz w:val="20"/>
          <w:szCs w:val="20"/>
          <w:lang w:val="pt-BR"/>
        </w:rPr>
        <w:t>a</w:t>
      </w:r>
      <w:r w:rsidR="0031191B" w:rsidRPr="005D6E61">
        <w:rPr>
          <w:rFonts w:ascii="Cambria" w:hAnsi="Cambria"/>
          <w:sz w:val="20"/>
          <w:szCs w:val="20"/>
          <w:lang w:val="pt-BR"/>
        </w:rPr>
        <w:t xml:space="preserve"> </w:t>
      </w:r>
      <w:r w:rsidR="00CD523F" w:rsidRPr="005D6E61">
        <w:rPr>
          <w:rFonts w:ascii="Cambria" w:hAnsi="Cambria"/>
          <w:sz w:val="20"/>
          <w:szCs w:val="20"/>
          <w:lang w:val="pt-BR"/>
        </w:rPr>
        <w:t xml:space="preserve">o </w:t>
      </w:r>
      <w:r w:rsidR="003E10E6" w:rsidRPr="005D6E61">
        <w:rPr>
          <w:rFonts w:ascii="Cambria" w:hAnsi="Cambria"/>
          <w:sz w:val="20"/>
          <w:szCs w:val="20"/>
          <w:lang w:val="pt-BR"/>
        </w:rPr>
        <w:t>grupo formado por Amauri José do Rego, Amaro José do Rego</w:t>
      </w:r>
      <w:r w:rsidR="006C5454" w:rsidRPr="005D6E61">
        <w:rPr>
          <w:rFonts w:ascii="Cambria" w:hAnsi="Cambria"/>
          <w:sz w:val="20"/>
          <w:szCs w:val="20"/>
          <w:lang w:val="pt-BR"/>
        </w:rPr>
        <w:t xml:space="preserve"> e um </w:t>
      </w:r>
      <w:r w:rsidR="003E10E6" w:rsidRPr="005D6E61">
        <w:rPr>
          <w:rFonts w:ascii="Cambria" w:hAnsi="Cambria"/>
          <w:sz w:val="20"/>
          <w:szCs w:val="20"/>
          <w:lang w:val="pt-BR"/>
        </w:rPr>
        <w:t>terce</w:t>
      </w:r>
      <w:r w:rsidR="0031191B" w:rsidRPr="005D6E61">
        <w:rPr>
          <w:rFonts w:ascii="Cambria" w:hAnsi="Cambria"/>
          <w:sz w:val="20"/>
          <w:szCs w:val="20"/>
          <w:lang w:val="pt-BR"/>
        </w:rPr>
        <w:t xml:space="preserve">iro </w:t>
      </w:r>
      <w:r w:rsidR="003E10E6" w:rsidRPr="005D6E61">
        <w:rPr>
          <w:rFonts w:ascii="Cambria" w:hAnsi="Cambria"/>
          <w:sz w:val="20"/>
          <w:szCs w:val="20"/>
          <w:lang w:val="pt-BR"/>
        </w:rPr>
        <w:t>con</w:t>
      </w:r>
      <w:r w:rsidR="0031191B" w:rsidRPr="005D6E61">
        <w:rPr>
          <w:rFonts w:ascii="Cambria" w:hAnsi="Cambria"/>
          <w:sz w:val="20"/>
          <w:szCs w:val="20"/>
          <w:lang w:val="pt-BR"/>
        </w:rPr>
        <w:t>he</w:t>
      </w:r>
      <w:r w:rsidR="003E10E6" w:rsidRPr="005D6E61">
        <w:rPr>
          <w:rFonts w:ascii="Cambria" w:hAnsi="Cambria"/>
          <w:sz w:val="20"/>
          <w:szCs w:val="20"/>
          <w:lang w:val="pt-BR"/>
        </w:rPr>
        <w:t>cid</w:t>
      </w:r>
      <w:r w:rsidR="0031191B" w:rsidRPr="005D6E61">
        <w:rPr>
          <w:rFonts w:ascii="Cambria" w:hAnsi="Cambria"/>
          <w:sz w:val="20"/>
          <w:szCs w:val="20"/>
          <w:lang w:val="pt-BR"/>
        </w:rPr>
        <w:t>o</w:t>
      </w:r>
      <w:r w:rsidR="003E10E6" w:rsidRPr="005D6E61">
        <w:rPr>
          <w:rFonts w:ascii="Cambria" w:hAnsi="Cambria"/>
          <w:sz w:val="20"/>
          <w:szCs w:val="20"/>
          <w:lang w:val="pt-BR"/>
        </w:rPr>
        <w:t xml:space="preserve"> como “Toinho” o</w:t>
      </w:r>
      <w:r w:rsidR="0031191B" w:rsidRPr="005D6E61">
        <w:rPr>
          <w:rFonts w:ascii="Cambria" w:hAnsi="Cambria"/>
          <w:sz w:val="20"/>
          <w:szCs w:val="20"/>
          <w:lang w:val="pt-BR"/>
        </w:rPr>
        <w:t>u</w:t>
      </w:r>
      <w:r w:rsidR="003E10E6" w:rsidRPr="005D6E61">
        <w:rPr>
          <w:rFonts w:ascii="Cambria" w:hAnsi="Cambria"/>
          <w:sz w:val="20"/>
          <w:szCs w:val="20"/>
          <w:lang w:val="pt-BR"/>
        </w:rPr>
        <w:t xml:space="preserve"> “José”, a</w:t>
      </w:r>
      <w:r w:rsidR="0031191B" w:rsidRPr="005D6E61">
        <w:rPr>
          <w:rFonts w:ascii="Cambria" w:hAnsi="Cambria"/>
          <w:sz w:val="20"/>
          <w:szCs w:val="20"/>
          <w:lang w:val="pt-BR"/>
        </w:rPr>
        <w:t>lém</w:t>
      </w:r>
      <w:r w:rsidR="003E10E6" w:rsidRPr="005D6E61">
        <w:rPr>
          <w:rFonts w:ascii="Cambria" w:hAnsi="Cambria"/>
          <w:sz w:val="20"/>
          <w:szCs w:val="20"/>
          <w:lang w:val="pt-BR"/>
        </w:rPr>
        <w:t xml:space="preserve"> de Antônio Carlos Coutinho Régis, </w:t>
      </w:r>
      <w:r w:rsidR="0031191B" w:rsidRPr="005D6E61">
        <w:rPr>
          <w:rFonts w:ascii="Cambria" w:hAnsi="Cambria"/>
          <w:sz w:val="20"/>
          <w:szCs w:val="20"/>
          <w:lang w:val="pt-BR"/>
        </w:rPr>
        <w:t>suposto</w:t>
      </w:r>
      <w:r w:rsidR="003E10E6" w:rsidRPr="005D6E61">
        <w:rPr>
          <w:rFonts w:ascii="Cambria" w:hAnsi="Cambria"/>
          <w:sz w:val="20"/>
          <w:szCs w:val="20"/>
          <w:lang w:val="pt-BR"/>
        </w:rPr>
        <w:t xml:space="preserve"> autor intelectual</w:t>
      </w:r>
      <w:r w:rsidR="003E10E6" w:rsidRPr="005D6E61">
        <w:rPr>
          <w:rStyle w:val="FootnoteReference"/>
          <w:rFonts w:ascii="Cambria" w:hAnsi="Cambria"/>
          <w:sz w:val="20"/>
          <w:szCs w:val="20"/>
          <w:lang w:val="pt-BR"/>
        </w:rPr>
        <w:footnoteReference w:id="54"/>
      </w:r>
      <w:r w:rsidR="003E10E6" w:rsidRPr="005D6E61">
        <w:rPr>
          <w:rFonts w:ascii="Cambria" w:hAnsi="Cambria"/>
          <w:sz w:val="20"/>
          <w:szCs w:val="20"/>
          <w:lang w:val="pt-BR"/>
        </w:rPr>
        <w:t>.</w:t>
      </w:r>
    </w:p>
    <w:p w14:paraId="5EAC9216" w14:textId="77777777" w:rsidR="003E10E6" w:rsidRPr="005D6E61"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pt-BR"/>
        </w:rPr>
      </w:pPr>
    </w:p>
    <w:p w14:paraId="1D6D3049" w14:textId="77777777" w:rsidR="003E10E6" w:rsidRPr="005D6E61" w:rsidRDefault="0031191B"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lang w:val="pt-BR"/>
        </w:rPr>
      </w:pPr>
      <w:r w:rsidRPr="005D6E61">
        <w:rPr>
          <w:rFonts w:ascii="Cambria" w:hAnsi="Cambria"/>
          <w:sz w:val="20"/>
          <w:szCs w:val="20"/>
          <w:lang w:val="pt-BR"/>
        </w:rPr>
        <w:t>O</w:t>
      </w:r>
      <w:r w:rsidR="003E10E6" w:rsidRPr="005D6E61">
        <w:rPr>
          <w:rFonts w:ascii="Cambria" w:hAnsi="Cambria"/>
          <w:sz w:val="20"/>
          <w:szCs w:val="20"/>
          <w:lang w:val="pt-BR"/>
        </w:rPr>
        <w:t xml:space="preserve"> in</w:t>
      </w:r>
      <w:r w:rsidRPr="005D6E61">
        <w:rPr>
          <w:rFonts w:ascii="Cambria" w:hAnsi="Cambria"/>
          <w:sz w:val="20"/>
          <w:szCs w:val="20"/>
          <w:lang w:val="pt-BR"/>
        </w:rPr>
        <w:t>quérito</w:t>
      </w:r>
      <w:r w:rsidR="003E10E6" w:rsidRPr="005D6E61">
        <w:rPr>
          <w:rFonts w:ascii="Cambria" w:hAnsi="Cambria"/>
          <w:sz w:val="20"/>
          <w:szCs w:val="20"/>
          <w:lang w:val="pt-BR"/>
        </w:rPr>
        <w:t xml:space="preserve"> policial conclu</w:t>
      </w:r>
      <w:r w:rsidRPr="005D6E61">
        <w:rPr>
          <w:rFonts w:ascii="Cambria" w:hAnsi="Cambria"/>
          <w:sz w:val="20"/>
          <w:szCs w:val="20"/>
          <w:lang w:val="pt-BR"/>
        </w:rPr>
        <w:t xml:space="preserve">iu em </w:t>
      </w:r>
      <w:r w:rsidR="003E10E6" w:rsidRPr="005D6E61">
        <w:rPr>
          <w:rFonts w:ascii="Cambria" w:hAnsi="Cambria"/>
          <w:sz w:val="20"/>
          <w:szCs w:val="20"/>
          <w:lang w:val="pt-BR"/>
        </w:rPr>
        <w:t xml:space="preserve">8 de </w:t>
      </w:r>
      <w:r w:rsidR="003619A0" w:rsidRPr="005D6E61">
        <w:rPr>
          <w:rFonts w:ascii="Cambria" w:hAnsi="Cambria"/>
          <w:sz w:val="20"/>
          <w:szCs w:val="20"/>
          <w:lang w:val="pt-BR"/>
        </w:rPr>
        <w:t>dezembro</w:t>
      </w:r>
      <w:r w:rsidR="003E10E6" w:rsidRPr="005D6E61">
        <w:rPr>
          <w:rFonts w:ascii="Cambria" w:hAnsi="Cambria"/>
          <w:sz w:val="20"/>
          <w:szCs w:val="20"/>
          <w:lang w:val="pt-BR"/>
        </w:rPr>
        <w:t xml:space="preserve"> de 1983 que</w:t>
      </w:r>
      <w:r w:rsidR="00F77B7F" w:rsidRPr="005D6E61">
        <w:rPr>
          <w:rFonts w:ascii="Cambria" w:hAnsi="Cambria"/>
          <w:sz w:val="20"/>
          <w:szCs w:val="20"/>
          <w:lang w:val="pt-BR"/>
        </w:rPr>
        <w:t xml:space="preserve"> os </w:t>
      </w:r>
      <w:r w:rsidR="003E10E6" w:rsidRPr="005D6E61">
        <w:rPr>
          <w:rFonts w:ascii="Cambria" w:hAnsi="Cambria"/>
          <w:sz w:val="20"/>
          <w:szCs w:val="20"/>
          <w:lang w:val="pt-BR"/>
        </w:rPr>
        <w:t>autores materi</w:t>
      </w:r>
      <w:r w:rsidR="00331E62" w:rsidRPr="005D6E61">
        <w:rPr>
          <w:rFonts w:ascii="Cambria" w:hAnsi="Cambria"/>
          <w:sz w:val="20"/>
          <w:szCs w:val="20"/>
          <w:lang w:val="pt-BR"/>
        </w:rPr>
        <w:t>ais</w:t>
      </w:r>
      <w:r w:rsidR="00F77B7F" w:rsidRPr="005D6E61">
        <w:rPr>
          <w:rFonts w:ascii="Cambria" w:hAnsi="Cambria"/>
          <w:sz w:val="20"/>
          <w:szCs w:val="20"/>
          <w:lang w:val="pt-BR"/>
        </w:rPr>
        <w:t xml:space="preserve"> do </w:t>
      </w:r>
      <w:r w:rsidR="003E10E6" w:rsidRPr="005D6E61">
        <w:rPr>
          <w:rFonts w:ascii="Cambria" w:hAnsi="Cambria"/>
          <w:sz w:val="20"/>
          <w:szCs w:val="20"/>
          <w:lang w:val="pt-BR"/>
        </w:rPr>
        <w:t>homic</w:t>
      </w:r>
      <w:r w:rsidRPr="005D6E61">
        <w:rPr>
          <w:rFonts w:ascii="Cambria" w:hAnsi="Cambria"/>
          <w:sz w:val="20"/>
          <w:szCs w:val="20"/>
          <w:lang w:val="pt-BR"/>
        </w:rPr>
        <w:t>í</w:t>
      </w:r>
      <w:r w:rsidR="003E10E6" w:rsidRPr="005D6E61">
        <w:rPr>
          <w:rFonts w:ascii="Cambria" w:hAnsi="Cambria"/>
          <w:sz w:val="20"/>
          <w:szCs w:val="20"/>
          <w:lang w:val="pt-BR"/>
        </w:rPr>
        <w:t>d</w:t>
      </w:r>
      <w:r w:rsidRPr="005D6E61">
        <w:rPr>
          <w:rFonts w:ascii="Cambria" w:hAnsi="Cambria"/>
          <w:sz w:val="20"/>
          <w:szCs w:val="20"/>
          <w:lang w:val="pt-BR"/>
        </w:rPr>
        <w:t>io de Margarida Maria Alves eram</w:t>
      </w:r>
      <w:r w:rsidR="003E10E6" w:rsidRPr="005D6E61">
        <w:rPr>
          <w:rFonts w:ascii="Cambria" w:hAnsi="Cambria"/>
          <w:sz w:val="20"/>
          <w:szCs w:val="20"/>
          <w:lang w:val="pt-BR"/>
        </w:rPr>
        <w:t xml:space="preserve"> Amauri José do Rego, Amaro José do Rego, “Toinho” o</w:t>
      </w:r>
      <w:r w:rsidRPr="005D6E61">
        <w:rPr>
          <w:rFonts w:ascii="Cambria" w:hAnsi="Cambria"/>
          <w:sz w:val="20"/>
          <w:szCs w:val="20"/>
          <w:lang w:val="pt-BR"/>
        </w:rPr>
        <w:t>u</w:t>
      </w:r>
      <w:r w:rsidR="003E10E6" w:rsidRPr="005D6E61">
        <w:rPr>
          <w:rFonts w:ascii="Cambria" w:hAnsi="Cambria"/>
          <w:sz w:val="20"/>
          <w:szCs w:val="20"/>
          <w:lang w:val="pt-BR"/>
        </w:rPr>
        <w:t xml:space="preserve"> “José” (n</w:t>
      </w:r>
      <w:r w:rsidRPr="005D6E61">
        <w:rPr>
          <w:rFonts w:ascii="Cambria" w:hAnsi="Cambria"/>
          <w:sz w:val="20"/>
          <w:szCs w:val="20"/>
          <w:lang w:val="pt-BR"/>
        </w:rPr>
        <w:t>ã</w:t>
      </w:r>
      <w:r w:rsidR="003E10E6" w:rsidRPr="005D6E61">
        <w:rPr>
          <w:rFonts w:ascii="Cambria" w:hAnsi="Cambria"/>
          <w:sz w:val="20"/>
          <w:szCs w:val="20"/>
          <w:lang w:val="pt-BR"/>
        </w:rPr>
        <w:t>o identificado)</w:t>
      </w:r>
      <w:r w:rsidR="006C5454" w:rsidRPr="005D6E61">
        <w:rPr>
          <w:rFonts w:ascii="Cambria" w:hAnsi="Cambria"/>
          <w:sz w:val="20"/>
          <w:szCs w:val="20"/>
          <w:lang w:val="pt-BR"/>
        </w:rPr>
        <w:t xml:space="preserve"> </w:t>
      </w:r>
      <w:r w:rsidR="006C5454" w:rsidRPr="005D6E61">
        <w:rPr>
          <w:rFonts w:ascii="Cambria" w:hAnsi="Cambria"/>
          <w:sz w:val="20"/>
          <w:szCs w:val="20"/>
          <w:lang w:val="pt-BR"/>
        </w:rPr>
        <w:lastRenderedPageBreak/>
        <w:t xml:space="preserve">e </w:t>
      </w:r>
      <w:r w:rsidR="003E10E6" w:rsidRPr="005D6E61">
        <w:rPr>
          <w:rFonts w:ascii="Cambria" w:hAnsi="Cambria"/>
          <w:sz w:val="20"/>
          <w:szCs w:val="20"/>
          <w:lang w:val="pt-BR"/>
        </w:rPr>
        <w:t>Antônio Carlos Coutinho Regis (como autor intelectual)</w:t>
      </w:r>
      <w:r w:rsidR="006C5454" w:rsidRPr="005D6E61">
        <w:rPr>
          <w:rFonts w:ascii="Cambria" w:hAnsi="Cambria"/>
          <w:sz w:val="20"/>
          <w:szCs w:val="20"/>
          <w:lang w:val="pt-BR"/>
        </w:rPr>
        <w:t xml:space="preserve"> e </w:t>
      </w:r>
      <w:r w:rsidR="003E10E6" w:rsidRPr="005D6E61">
        <w:rPr>
          <w:rFonts w:ascii="Cambria" w:hAnsi="Cambria"/>
          <w:sz w:val="20"/>
          <w:szCs w:val="20"/>
          <w:lang w:val="pt-BR"/>
        </w:rPr>
        <w:t>orden</w:t>
      </w:r>
      <w:r w:rsidR="00BF0B90" w:rsidRPr="005D6E61">
        <w:rPr>
          <w:rFonts w:ascii="Cambria" w:hAnsi="Cambria"/>
          <w:sz w:val="20"/>
          <w:szCs w:val="20"/>
          <w:lang w:val="pt-BR"/>
        </w:rPr>
        <w:t xml:space="preserve">ou </w:t>
      </w:r>
      <w:r w:rsidR="00331E62" w:rsidRPr="005D6E61">
        <w:rPr>
          <w:rFonts w:ascii="Cambria" w:hAnsi="Cambria"/>
          <w:sz w:val="20"/>
          <w:szCs w:val="20"/>
          <w:lang w:val="pt-BR"/>
        </w:rPr>
        <w:t xml:space="preserve">a </w:t>
      </w:r>
      <w:r w:rsidR="003E10E6" w:rsidRPr="005D6E61">
        <w:rPr>
          <w:rFonts w:ascii="Cambria" w:hAnsi="Cambria"/>
          <w:sz w:val="20"/>
          <w:szCs w:val="20"/>
          <w:lang w:val="pt-BR"/>
        </w:rPr>
        <w:t>deten</w:t>
      </w:r>
      <w:r w:rsidR="00A274D9" w:rsidRPr="005D6E61">
        <w:rPr>
          <w:rFonts w:ascii="Cambria" w:hAnsi="Cambria"/>
          <w:sz w:val="20"/>
          <w:szCs w:val="20"/>
          <w:lang w:val="pt-BR"/>
        </w:rPr>
        <w:t>ção</w:t>
      </w:r>
      <w:r w:rsidR="003E10E6" w:rsidRPr="005D6E61">
        <w:rPr>
          <w:rFonts w:ascii="Cambria" w:hAnsi="Cambria"/>
          <w:sz w:val="20"/>
          <w:szCs w:val="20"/>
          <w:lang w:val="pt-BR"/>
        </w:rPr>
        <w:t xml:space="preserve"> preventiva de</w:t>
      </w:r>
      <w:r w:rsidRPr="005D6E61">
        <w:rPr>
          <w:rFonts w:ascii="Cambria" w:hAnsi="Cambria"/>
          <w:sz w:val="20"/>
          <w:szCs w:val="20"/>
          <w:lang w:val="pt-BR"/>
        </w:rPr>
        <w:t>ss</w:t>
      </w:r>
      <w:r w:rsidR="003E10E6" w:rsidRPr="005D6E61">
        <w:rPr>
          <w:rFonts w:ascii="Cambria" w:hAnsi="Cambria"/>
          <w:sz w:val="20"/>
          <w:szCs w:val="20"/>
          <w:lang w:val="pt-BR"/>
        </w:rPr>
        <w:t xml:space="preserve">as </w:t>
      </w:r>
      <w:r w:rsidR="0054428F" w:rsidRPr="005D6E61">
        <w:rPr>
          <w:rFonts w:ascii="Cambria" w:hAnsi="Cambria"/>
          <w:sz w:val="20"/>
          <w:szCs w:val="20"/>
          <w:lang w:val="pt-BR"/>
        </w:rPr>
        <w:t>pessoa</w:t>
      </w:r>
      <w:r w:rsidR="003E10E6" w:rsidRPr="005D6E61">
        <w:rPr>
          <w:rFonts w:ascii="Cambria" w:hAnsi="Cambria"/>
          <w:sz w:val="20"/>
          <w:szCs w:val="20"/>
          <w:lang w:val="pt-BR"/>
        </w:rPr>
        <w:t>s</w:t>
      </w:r>
      <w:r w:rsidR="003E10E6" w:rsidRPr="005D6E61">
        <w:rPr>
          <w:rFonts w:ascii="Cambria" w:hAnsi="Cambria"/>
          <w:sz w:val="20"/>
          <w:szCs w:val="20"/>
          <w:vertAlign w:val="superscript"/>
          <w:lang w:val="pt-BR"/>
        </w:rPr>
        <w:footnoteReference w:id="55"/>
      </w:r>
      <w:r w:rsidR="008066E9" w:rsidRPr="005D6E61">
        <w:rPr>
          <w:rFonts w:ascii="Cambria" w:hAnsi="Cambria"/>
          <w:sz w:val="20"/>
          <w:szCs w:val="20"/>
          <w:lang w:val="pt-BR"/>
        </w:rPr>
        <w:t>.</w:t>
      </w:r>
      <w:r w:rsidR="003E10E6" w:rsidRPr="005D6E61">
        <w:rPr>
          <w:rFonts w:ascii="Cambria" w:hAnsi="Cambria"/>
          <w:sz w:val="20"/>
          <w:szCs w:val="20"/>
          <w:lang w:val="pt-BR"/>
        </w:rPr>
        <w:t xml:space="preserve"> </w:t>
      </w:r>
      <w:r w:rsidRPr="005D6E61">
        <w:rPr>
          <w:rFonts w:ascii="Cambria" w:hAnsi="Cambria"/>
          <w:sz w:val="20"/>
          <w:szCs w:val="20"/>
          <w:lang w:val="pt-BR"/>
        </w:rPr>
        <w:t xml:space="preserve">Contudo, </w:t>
      </w:r>
      <w:r w:rsidR="00F77B7F" w:rsidRPr="005D6E61">
        <w:rPr>
          <w:rFonts w:ascii="Cambria" w:hAnsi="Cambria"/>
          <w:sz w:val="20"/>
          <w:szCs w:val="20"/>
          <w:lang w:val="pt-BR"/>
        </w:rPr>
        <w:t xml:space="preserve">não </w:t>
      </w:r>
      <w:r w:rsidR="003E10E6" w:rsidRPr="005D6E61">
        <w:rPr>
          <w:rFonts w:ascii="Cambria" w:hAnsi="Cambria"/>
          <w:sz w:val="20"/>
          <w:szCs w:val="20"/>
          <w:lang w:val="pt-BR"/>
        </w:rPr>
        <w:t>f</w:t>
      </w:r>
      <w:r w:rsidRPr="005D6E61">
        <w:rPr>
          <w:rFonts w:ascii="Cambria" w:hAnsi="Cambria"/>
          <w:sz w:val="20"/>
          <w:szCs w:val="20"/>
          <w:lang w:val="pt-BR"/>
        </w:rPr>
        <w:t>oi</w:t>
      </w:r>
      <w:r w:rsidR="003E10E6" w:rsidRPr="005D6E61">
        <w:rPr>
          <w:rFonts w:ascii="Cambria" w:hAnsi="Cambria"/>
          <w:sz w:val="20"/>
          <w:szCs w:val="20"/>
          <w:lang w:val="pt-BR"/>
        </w:rPr>
        <w:t xml:space="preserve"> pos</w:t>
      </w:r>
      <w:r w:rsidRPr="005D6E61">
        <w:rPr>
          <w:rFonts w:ascii="Cambria" w:hAnsi="Cambria"/>
          <w:sz w:val="20"/>
          <w:szCs w:val="20"/>
          <w:lang w:val="pt-BR"/>
        </w:rPr>
        <w:t>sível</w:t>
      </w:r>
      <w:r w:rsidR="00331E62" w:rsidRPr="005D6E61">
        <w:rPr>
          <w:rFonts w:ascii="Cambria" w:hAnsi="Cambria"/>
          <w:sz w:val="20"/>
          <w:szCs w:val="20"/>
          <w:lang w:val="pt-BR"/>
        </w:rPr>
        <w:t xml:space="preserve"> </w:t>
      </w:r>
      <w:r w:rsidR="003E10E6" w:rsidRPr="005D6E61">
        <w:rPr>
          <w:rFonts w:ascii="Cambria" w:hAnsi="Cambria"/>
          <w:sz w:val="20"/>
          <w:szCs w:val="20"/>
          <w:lang w:val="pt-BR"/>
        </w:rPr>
        <w:t>localiza</w:t>
      </w:r>
      <w:r w:rsidRPr="005D6E61">
        <w:rPr>
          <w:rFonts w:ascii="Cambria" w:hAnsi="Cambria"/>
          <w:sz w:val="20"/>
          <w:szCs w:val="20"/>
          <w:lang w:val="pt-BR"/>
        </w:rPr>
        <w:t xml:space="preserve">r </w:t>
      </w:r>
      <w:r w:rsidR="00331E62" w:rsidRPr="005D6E61">
        <w:rPr>
          <w:rFonts w:ascii="Cambria" w:hAnsi="Cambria"/>
          <w:sz w:val="20"/>
          <w:szCs w:val="20"/>
          <w:lang w:val="pt-BR"/>
        </w:rPr>
        <w:t xml:space="preserve">os </w:t>
      </w:r>
      <w:r w:rsidR="003E10E6" w:rsidRPr="005D6E61">
        <w:rPr>
          <w:rFonts w:ascii="Cambria" w:hAnsi="Cambria"/>
          <w:sz w:val="20"/>
          <w:szCs w:val="20"/>
          <w:lang w:val="pt-BR"/>
        </w:rPr>
        <w:t>autores materi</w:t>
      </w:r>
      <w:r w:rsidR="00331E62" w:rsidRPr="005D6E61">
        <w:rPr>
          <w:rFonts w:ascii="Cambria" w:hAnsi="Cambria"/>
          <w:sz w:val="20"/>
          <w:szCs w:val="20"/>
          <w:lang w:val="pt-BR"/>
        </w:rPr>
        <w:t>ais</w:t>
      </w:r>
      <w:r w:rsidR="003E10E6" w:rsidRPr="005D6E61">
        <w:rPr>
          <w:rFonts w:ascii="Cambria" w:hAnsi="Cambria"/>
          <w:sz w:val="20"/>
          <w:szCs w:val="20"/>
          <w:vertAlign w:val="superscript"/>
          <w:lang w:val="pt-BR"/>
        </w:rPr>
        <w:footnoteReference w:id="56"/>
      </w:r>
      <w:r w:rsidR="003E10E6" w:rsidRPr="005D6E61">
        <w:rPr>
          <w:rFonts w:ascii="Cambria" w:hAnsi="Cambria"/>
          <w:sz w:val="20"/>
          <w:szCs w:val="20"/>
          <w:lang w:val="pt-BR"/>
        </w:rPr>
        <w:t>.</w:t>
      </w:r>
      <w:r w:rsidR="00F77B7F" w:rsidRPr="005D6E61">
        <w:rPr>
          <w:rFonts w:ascii="Cambria" w:hAnsi="Cambria"/>
          <w:sz w:val="20"/>
          <w:szCs w:val="20"/>
          <w:lang w:val="pt-BR"/>
        </w:rPr>
        <w:t xml:space="preserve"> </w:t>
      </w:r>
      <w:r w:rsidRPr="005D6E61">
        <w:rPr>
          <w:rFonts w:ascii="Cambria" w:hAnsi="Cambria"/>
          <w:sz w:val="20"/>
          <w:szCs w:val="20"/>
          <w:lang w:val="pt-BR"/>
        </w:rPr>
        <w:t>O</w:t>
      </w:r>
      <w:r w:rsidR="003E10E6" w:rsidRPr="005D6E61">
        <w:rPr>
          <w:rFonts w:ascii="Cambria" w:hAnsi="Cambria"/>
          <w:sz w:val="20"/>
          <w:szCs w:val="20"/>
          <w:lang w:val="pt-BR"/>
        </w:rPr>
        <w:t xml:space="preserve"> </w:t>
      </w:r>
      <w:r w:rsidR="00704E7B" w:rsidRPr="005D6E61">
        <w:rPr>
          <w:rFonts w:ascii="Cambria" w:hAnsi="Cambria"/>
          <w:sz w:val="20"/>
          <w:szCs w:val="20"/>
          <w:lang w:val="pt-BR"/>
        </w:rPr>
        <w:t>relatório</w:t>
      </w:r>
      <w:r w:rsidR="003E10E6" w:rsidRPr="005D6E61">
        <w:rPr>
          <w:rFonts w:ascii="Cambria" w:hAnsi="Cambria"/>
          <w:sz w:val="20"/>
          <w:szCs w:val="20"/>
          <w:lang w:val="pt-BR"/>
        </w:rPr>
        <w:t xml:space="preserve"> </w:t>
      </w:r>
      <w:r w:rsidRPr="005D6E61">
        <w:rPr>
          <w:rFonts w:ascii="Cambria" w:hAnsi="Cambria"/>
          <w:sz w:val="20"/>
          <w:szCs w:val="20"/>
          <w:lang w:val="pt-BR"/>
        </w:rPr>
        <w:t>a</w:t>
      </w:r>
      <w:r w:rsidR="003E10E6" w:rsidRPr="005D6E61">
        <w:rPr>
          <w:rFonts w:ascii="Cambria" w:hAnsi="Cambria"/>
          <w:sz w:val="20"/>
          <w:szCs w:val="20"/>
          <w:lang w:val="pt-BR"/>
        </w:rPr>
        <w:t>ss</w:t>
      </w:r>
      <w:r w:rsidRPr="005D6E61">
        <w:rPr>
          <w:rFonts w:ascii="Cambria" w:hAnsi="Cambria"/>
          <w:sz w:val="20"/>
          <w:szCs w:val="20"/>
          <w:lang w:val="pt-BR"/>
        </w:rPr>
        <w:t>in</w:t>
      </w:r>
      <w:r w:rsidR="003E10E6" w:rsidRPr="005D6E61">
        <w:rPr>
          <w:rFonts w:ascii="Cambria" w:hAnsi="Cambria"/>
          <w:sz w:val="20"/>
          <w:szCs w:val="20"/>
          <w:lang w:val="pt-BR"/>
        </w:rPr>
        <w:t xml:space="preserve">ala: </w:t>
      </w:r>
    </w:p>
    <w:p w14:paraId="00E20F47" w14:textId="77777777" w:rsidR="003E10E6" w:rsidRPr="005D6E61"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lang w:val="pt-BR"/>
        </w:rPr>
      </w:pPr>
    </w:p>
    <w:p w14:paraId="7B70D774" w14:textId="77777777" w:rsidR="003E10E6" w:rsidRPr="005D6E61" w:rsidRDefault="003E10E6" w:rsidP="003E10E6">
      <w:pPr>
        <w:pStyle w:val="ListParagraph"/>
        <w:jc w:val="both"/>
        <w:rPr>
          <w:rFonts w:eastAsia="Times New Roman" w:cs="Courier New"/>
          <w:color w:val="auto"/>
          <w:sz w:val="20"/>
          <w:szCs w:val="20"/>
          <w:bdr w:val="none" w:sz="0" w:space="0" w:color="auto"/>
          <w:lang w:val="pt-BR"/>
        </w:rPr>
      </w:pPr>
      <w:r w:rsidRPr="005D6E61">
        <w:rPr>
          <w:color w:val="auto"/>
          <w:sz w:val="20"/>
          <w:szCs w:val="20"/>
          <w:lang w:val="pt-BR"/>
        </w:rPr>
        <w:t>(…)sobra</w:t>
      </w:r>
      <w:r w:rsidR="0031191B" w:rsidRPr="005D6E61">
        <w:rPr>
          <w:color w:val="auto"/>
          <w:sz w:val="20"/>
          <w:szCs w:val="20"/>
          <w:lang w:val="pt-BR"/>
        </w:rPr>
        <w:t>m</w:t>
      </w:r>
      <w:r w:rsidR="00F77B7F" w:rsidRPr="005D6E61">
        <w:rPr>
          <w:color w:val="auto"/>
          <w:sz w:val="20"/>
          <w:szCs w:val="20"/>
          <w:lang w:val="pt-BR"/>
        </w:rPr>
        <w:t xml:space="preserve"> as </w:t>
      </w:r>
      <w:r w:rsidRPr="005D6E61">
        <w:rPr>
          <w:color w:val="auto"/>
          <w:sz w:val="20"/>
          <w:szCs w:val="20"/>
          <w:lang w:val="pt-BR"/>
        </w:rPr>
        <w:t>pr</w:t>
      </w:r>
      <w:r w:rsidR="0031191B" w:rsidRPr="005D6E61">
        <w:rPr>
          <w:color w:val="auto"/>
          <w:sz w:val="20"/>
          <w:szCs w:val="20"/>
          <w:lang w:val="pt-BR"/>
        </w:rPr>
        <w:t>ov</w:t>
      </w:r>
      <w:r w:rsidRPr="005D6E61">
        <w:rPr>
          <w:color w:val="auto"/>
          <w:sz w:val="20"/>
          <w:szCs w:val="20"/>
          <w:lang w:val="pt-BR"/>
        </w:rPr>
        <w:t xml:space="preserve">as </w:t>
      </w:r>
      <w:r w:rsidR="003655B3" w:rsidRPr="005D6E61">
        <w:rPr>
          <w:color w:val="auto"/>
          <w:sz w:val="20"/>
          <w:szCs w:val="20"/>
          <w:lang w:val="pt-BR"/>
        </w:rPr>
        <w:t>segundo</w:t>
      </w:r>
      <w:r w:rsidR="00F77B7F" w:rsidRPr="005D6E61">
        <w:rPr>
          <w:color w:val="auto"/>
          <w:sz w:val="20"/>
          <w:szCs w:val="20"/>
          <w:lang w:val="pt-BR"/>
        </w:rPr>
        <w:t xml:space="preserve"> as </w:t>
      </w:r>
      <w:r w:rsidR="005A2381" w:rsidRPr="005D6E61">
        <w:rPr>
          <w:color w:val="auto"/>
          <w:sz w:val="20"/>
          <w:szCs w:val="20"/>
          <w:lang w:val="pt-BR"/>
        </w:rPr>
        <w:t>qua</w:t>
      </w:r>
      <w:r w:rsidR="00331E62" w:rsidRPr="005D6E61">
        <w:rPr>
          <w:color w:val="auto"/>
          <w:sz w:val="20"/>
          <w:szCs w:val="20"/>
          <w:lang w:val="pt-BR"/>
        </w:rPr>
        <w:t>is</w:t>
      </w:r>
      <w:r w:rsidRPr="005D6E61">
        <w:rPr>
          <w:color w:val="auto"/>
          <w:sz w:val="20"/>
          <w:szCs w:val="20"/>
          <w:lang w:val="pt-BR"/>
        </w:rPr>
        <w:t xml:space="preserve"> </w:t>
      </w:r>
      <w:r w:rsidRPr="005D6E61">
        <w:rPr>
          <w:rFonts w:eastAsia="Times New Roman" w:cs="Courier New"/>
          <w:color w:val="auto"/>
          <w:sz w:val="20"/>
          <w:szCs w:val="20"/>
          <w:bdr w:val="none" w:sz="0" w:space="0" w:color="auto"/>
          <w:lang w:val="pt-BR"/>
        </w:rPr>
        <w:t>Amauri José</w:t>
      </w:r>
      <w:r w:rsidR="00F77B7F" w:rsidRPr="005D6E61">
        <w:rPr>
          <w:rFonts w:eastAsia="Times New Roman" w:cs="Courier New"/>
          <w:color w:val="auto"/>
          <w:sz w:val="20"/>
          <w:szCs w:val="20"/>
          <w:bdr w:val="none" w:sz="0" w:space="0" w:color="auto"/>
          <w:lang w:val="pt-BR"/>
        </w:rPr>
        <w:t xml:space="preserve"> do </w:t>
      </w:r>
      <w:r w:rsidRPr="005D6E61">
        <w:rPr>
          <w:rFonts w:eastAsia="Times New Roman" w:cs="Courier New"/>
          <w:color w:val="auto"/>
          <w:sz w:val="20"/>
          <w:szCs w:val="20"/>
          <w:bdr w:val="none" w:sz="0" w:space="0" w:color="auto"/>
          <w:lang w:val="pt-BR"/>
        </w:rPr>
        <w:t>Rego est</w:t>
      </w:r>
      <w:r w:rsidR="0031191B" w:rsidRPr="005D6E61">
        <w:rPr>
          <w:rFonts w:eastAsia="Times New Roman" w:cs="Courier New"/>
          <w:color w:val="auto"/>
          <w:sz w:val="20"/>
          <w:szCs w:val="20"/>
          <w:bdr w:val="none" w:sz="0" w:space="0" w:color="auto"/>
          <w:lang w:val="pt-BR"/>
        </w:rPr>
        <w:t>e</w:t>
      </w:r>
      <w:r w:rsidRPr="005D6E61">
        <w:rPr>
          <w:rFonts w:eastAsia="Times New Roman" w:cs="Courier New"/>
          <w:color w:val="auto"/>
          <w:sz w:val="20"/>
          <w:szCs w:val="20"/>
          <w:bdr w:val="none" w:sz="0" w:space="0" w:color="auto"/>
          <w:lang w:val="pt-BR"/>
        </w:rPr>
        <w:t>v</w:t>
      </w:r>
      <w:r w:rsidR="0031191B" w:rsidRPr="005D6E61">
        <w:rPr>
          <w:rFonts w:eastAsia="Times New Roman" w:cs="Courier New"/>
          <w:color w:val="auto"/>
          <w:sz w:val="20"/>
          <w:szCs w:val="20"/>
          <w:bdr w:val="none" w:sz="0" w:space="0" w:color="auto"/>
          <w:lang w:val="pt-BR"/>
        </w:rPr>
        <w:t>e</w:t>
      </w:r>
      <w:r w:rsidR="005A2381" w:rsidRPr="005D6E61">
        <w:rPr>
          <w:rFonts w:eastAsia="Times New Roman" w:cs="Courier New"/>
          <w:color w:val="auto"/>
          <w:sz w:val="20"/>
          <w:szCs w:val="20"/>
          <w:bdr w:val="none" w:sz="0" w:space="0" w:color="auto"/>
          <w:lang w:val="pt-BR"/>
        </w:rPr>
        <w:t xml:space="preserve"> na </w:t>
      </w:r>
      <w:r w:rsidR="0031191B" w:rsidRPr="005D6E61">
        <w:rPr>
          <w:rFonts w:eastAsia="Times New Roman" w:cs="Courier New"/>
          <w:color w:val="auto"/>
          <w:sz w:val="20"/>
          <w:szCs w:val="20"/>
          <w:bdr w:val="none" w:sz="0" w:space="0" w:color="auto"/>
          <w:lang w:val="pt-BR"/>
        </w:rPr>
        <w:t>cidade</w:t>
      </w:r>
      <w:r w:rsidR="00FB55C7" w:rsidRPr="005D6E61">
        <w:rPr>
          <w:rFonts w:eastAsia="Times New Roman" w:cs="Courier New"/>
          <w:color w:val="auto"/>
          <w:sz w:val="20"/>
          <w:szCs w:val="20"/>
          <w:bdr w:val="none" w:sz="0" w:space="0" w:color="auto"/>
          <w:lang w:val="pt-BR"/>
        </w:rPr>
        <w:t xml:space="preserve"> </w:t>
      </w:r>
      <w:r w:rsidRPr="005D6E61">
        <w:rPr>
          <w:rFonts w:eastAsia="Times New Roman" w:cs="Courier New"/>
          <w:color w:val="auto"/>
          <w:sz w:val="20"/>
          <w:szCs w:val="20"/>
          <w:bdr w:val="none" w:sz="0" w:space="0" w:color="auto"/>
          <w:lang w:val="pt-BR"/>
        </w:rPr>
        <w:t>de Alagoa Grande p</w:t>
      </w:r>
      <w:r w:rsidR="0031191B" w:rsidRPr="005D6E61">
        <w:rPr>
          <w:rFonts w:eastAsia="Times New Roman" w:cs="Courier New"/>
          <w:color w:val="auto"/>
          <w:sz w:val="20"/>
          <w:szCs w:val="20"/>
          <w:bdr w:val="none" w:sz="0" w:space="0" w:color="auto"/>
          <w:lang w:val="pt-BR"/>
        </w:rPr>
        <w:t>e</w:t>
      </w:r>
      <w:r w:rsidRPr="005D6E61">
        <w:rPr>
          <w:rFonts w:eastAsia="Times New Roman" w:cs="Courier New"/>
          <w:color w:val="auto"/>
          <w:sz w:val="20"/>
          <w:szCs w:val="20"/>
          <w:bdr w:val="none" w:sz="0" w:space="0" w:color="auto"/>
          <w:lang w:val="pt-BR"/>
        </w:rPr>
        <w:t>lo menos</w:t>
      </w:r>
      <w:r w:rsidR="005A2381" w:rsidRPr="005D6E61">
        <w:rPr>
          <w:rFonts w:eastAsia="Times New Roman" w:cs="Courier New"/>
          <w:color w:val="auto"/>
          <w:sz w:val="20"/>
          <w:szCs w:val="20"/>
          <w:bdr w:val="none" w:sz="0" w:space="0" w:color="auto"/>
          <w:lang w:val="pt-BR"/>
        </w:rPr>
        <w:t xml:space="preserve"> na </w:t>
      </w:r>
      <w:r w:rsidRPr="005D6E61">
        <w:rPr>
          <w:rFonts w:eastAsia="Times New Roman" w:cs="Courier New"/>
          <w:color w:val="auto"/>
          <w:sz w:val="20"/>
          <w:szCs w:val="20"/>
          <w:bdr w:val="none" w:sz="0" w:space="0" w:color="auto"/>
          <w:lang w:val="pt-BR"/>
        </w:rPr>
        <w:t>v</w:t>
      </w:r>
      <w:r w:rsidR="0031191B" w:rsidRPr="005D6E61">
        <w:rPr>
          <w:rFonts w:eastAsia="Times New Roman" w:cs="Courier New"/>
          <w:color w:val="auto"/>
          <w:sz w:val="20"/>
          <w:szCs w:val="20"/>
          <w:bdr w:val="none" w:sz="0" w:space="0" w:color="auto"/>
          <w:lang w:val="pt-BR"/>
        </w:rPr>
        <w:t>é</w:t>
      </w:r>
      <w:r w:rsidRPr="005D6E61">
        <w:rPr>
          <w:rFonts w:eastAsia="Times New Roman" w:cs="Courier New"/>
          <w:color w:val="auto"/>
          <w:sz w:val="20"/>
          <w:szCs w:val="20"/>
          <w:bdr w:val="none" w:sz="0" w:space="0" w:color="auto"/>
          <w:lang w:val="pt-BR"/>
        </w:rPr>
        <w:t>spera</w:t>
      </w:r>
      <w:r w:rsidR="00F77B7F" w:rsidRPr="005D6E61">
        <w:rPr>
          <w:rFonts w:eastAsia="Times New Roman" w:cs="Courier New"/>
          <w:color w:val="auto"/>
          <w:sz w:val="20"/>
          <w:szCs w:val="20"/>
          <w:bdr w:val="none" w:sz="0" w:space="0" w:color="auto"/>
          <w:lang w:val="pt-BR"/>
        </w:rPr>
        <w:t xml:space="preserve"> do </w:t>
      </w:r>
      <w:r w:rsidRPr="005D6E61">
        <w:rPr>
          <w:rFonts w:eastAsia="Times New Roman" w:cs="Courier New"/>
          <w:color w:val="auto"/>
          <w:sz w:val="20"/>
          <w:szCs w:val="20"/>
          <w:bdr w:val="none" w:sz="0" w:space="0" w:color="auto"/>
          <w:lang w:val="pt-BR"/>
        </w:rPr>
        <w:t>crime; que</w:t>
      </w:r>
      <w:r w:rsidR="003B62AF" w:rsidRPr="005D6E61">
        <w:rPr>
          <w:rFonts w:eastAsia="Times New Roman" w:cs="Courier New"/>
          <w:color w:val="auto"/>
          <w:sz w:val="20"/>
          <w:szCs w:val="20"/>
          <w:bdr w:val="none" w:sz="0" w:space="0" w:color="auto"/>
          <w:lang w:val="pt-BR"/>
        </w:rPr>
        <w:t xml:space="preserve"> é </w:t>
      </w:r>
      <w:r w:rsidRPr="005D6E61">
        <w:rPr>
          <w:rFonts w:eastAsia="Times New Roman" w:cs="Courier New"/>
          <w:color w:val="auto"/>
          <w:sz w:val="20"/>
          <w:szCs w:val="20"/>
          <w:bdr w:val="none" w:sz="0" w:space="0" w:color="auto"/>
          <w:lang w:val="pt-BR"/>
        </w:rPr>
        <w:t>de su</w:t>
      </w:r>
      <w:r w:rsidR="0031191B" w:rsidRPr="005D6E61">
        <w:rPr>
          <w:rFonts w:eastAsia="Times New Roman" w:cs="Courier New"/>
          <w:color w:val="auto"/>
          <w:sz w:val="20"/>
          <w:szCs w:val="20"/>
          <w:bdr w:val="none" w:sz="0" w:space="0" w:color="auto"/>
          <w:lang w:val="pt-BR"/>
        </w:rPr>
        <w:t>a</w:t>
      </w:r>
      <w:r w:rsidRPr="005D6E61">
        <w:rPr>
          <w:rFonts w:eastAsia="Times New Roman" w:cs="Courier New"/>
          <w:color w:val="auto"/>
          <w:sz w:val="20"/>
          <w:szCs w:val="20"/>
          <w:bdr w:val="none" w:sz="0" w:space="0" w:color="auto"/>
          <w:lang w:val="pt-BR"/>
        </w:rPr>
        <w:t xml:space="preserve"> prop</w:t>
      </w:r>
      <w:r w:rsidR="0031191B" w:rsidRPr="005D6E61">
        <w:rPr>
          <w:rFonts w:eastAsia="Times New Roman" w:cs="Courier New"/>
          <w:color w:val="auto"/>
          <w:sz w:val="20"/>
          <w:szCs w:val="20"/>
          <w:bdr w:val="none" w:sz="0" w:space="0" w:color="auto"/>
          <w:lang w:val="pt-BR"/>
        </w:rPr>
        <w:t>r</w:t>
      </w:r>
      <w:r w:rsidRPr="005D6E61">
        <w:rPr>
          <w:rFonts w:eastAsia="Times New Roman" w:cs="Courier New"/>
          <w:color w:val="auto"/>
          <w:sz w:val="20"/>
          <w:szCs w:val="20"/>
          <w:bdr w:val="none" w:sz="0" w:space="0" w:color="auto"/>
          <w:lang w:val="pt-BR"/>
        </w:rPr>
        <w:t>ie</w:t>
      </w:r>
      <w:r w:rsidR="00FB55C7" w:rsidRPr="005D6E61">
        <w:rPr>
          <w:rFonts w:eastAsia="Times New Roman" w:cs="Courier New"/>
          <w:color w:val="auto"/>
          <w:sz w:val="20"/>
          <w:szCs w:val="20"/>
          <w:bdr w:val="none" w:sz="0" w:space="0" w:color="auto"/>
          <w:lang w:val="pt-BR"/>
        </w:rPr>
        <w:t xml:space="preserve">dade </w:t>
      </w:r>
      <w:r w:rsidR="00275A65" w:rsidRPr="005D6E61">
        <w:rPr>
          <w:rFonts w:eastAsia="Times New Roman" w:cs="Courier New"/>
          <w:color w:val="auto"/>
          <w:sz w:val="20"/>
          <w:szCs w:val="20"/>
          <w:bdr w:val="none" w:sz="0" w:space="0" w:color="auto"/>
          <w:lang w:val="pt-BR"/>
        </w:rPr>
        <w:t xml:space="preserve">um </w:t>
      </w:r>
      <w:r w:rsidR="0031191B" w:rsidRPr="005D6E61">
        <w:rPr>
          <w:rFonts w:eastAsia="Times New Roman" w:cs="Courier New"/>
          <w:color w:val="auto"/>
          <w:sz w:val="20"/>
          <w:szCs w:val="20"/>
          <w:bdr w:val="none" w:sz="0" w:space="0" w:color="auto"/>
          <w:lang w:val="pt-BR"/>
        </w:rPr>
        <w:t>veículo</w:t>
      </w:r>
      <w:r w:rsidRPr="005D6E61">
        <w:rPr>
          <w:rFonts w:eastAsia="Times New Roman" w:cs="Courier New"/>
          <w:color w:val="auto"/>
          <w:sz w:val="20"/>
          <w:szCs w:val="20"/>
          <w:bdr w:val="none" w:sz="0" w:space="0" w:color="auto"/>
          <w:lang w:val="pt-BR"/>
        </w:rPr>
        <w:t xml:space="preserve"> Opala cor vin</w:t>
      </w:r>
      <w:r w:rsidR="0031191B" w:rsidRPr="005D6E61">
        <w:rPr>
          <w:rFonts w:eastAsia="Times New Roman" w:cs="Courier New"/>
          <w:color w:val="auto"/>
          <w:sz w:val="20"/>
          <w:szCs w:val="20"/>
          <w:bdr w:val="none" w:sz="0" w:space="0" w:color="auto"/>
          <w:lang w:val="pt-BR"/>
        </w:rPr>
        <w:t>h</w:t>
      </w:r>
      <w:r w:rsidRPr="005D6E61">
        <w:rPr>
          <w:rFonts w:eastAsia="Times New Roman" w:cs="Courier New"/>
          <w:color w:val="auto"/>
          <w:sz w:val="20"/>
          <w:szCs w:val="20"/>
          <w:bdr w:val="none" w:sz="0" w:space="0" w:color="auto"/>
          <w:lang w:val="pt-BR"/>
        </w:rPr>
        <w:t>o,</w:t>
      </w:r>
      <w:r w:rsidR="00F77B7F" w:rsidRPr="005D6E61">
        <w:rPr>
          <w:rFonts w:eastAsia="Times New Roman" w:cs="Courier New"/>
          <w:color w:val="auto"/>
          <w:sz w:val="20"/>
          <w:szCs w:val="20"/>
          <w:bdr w:val="none" w:sz="0" w:space="0" w:color="auto"/>
          <w:lang w:val="pt-BR"/>
        </w:rPr>
        <w:t xml:space="preserve"> com </w:t>
      </w:r>
      <w:r w:rsidRPr="005D6E61">
        <w:rPr>
          <w:rFonts w:eastAsia="Times New Roman" w:cs="Courier New"/>
          <w:color w:val="auto"/>
          <w:sz w:val="20"/>
          <w:szCs w:val="20"/>
          <w:bdr w:val="none" w:sz="0" w:space="0" w:color="auto"/>
          <w:lang w:val="pt-BR"/>
        </w:rPr>
        <w:t>id</w:t>
      </w:r>
      <w:r w:rsidR="0031191B" w:rsidRPr="005D6E61">
        <w:rPr>
          <w:rFonts w:eastAsia="Times New Roman" w:cs="Courier New"/>
          <w:color w:val="auto"/>
          <w:sz w:val="20"/>
          <w:szCs w:val="20"/>
          <w:bdr w:val="none" w:sz="0" w:space="0" w:color="auto"/>
          <w:lang w:val="pt-BR"/>
        </w:rPr>
        <w:t>ê</w:t>
      </w:r>
      <w:r w:rsidRPr="005D6E61">
        <w:rPr>
          <w:rFonts w:eastAsia="Times New Roman" w:cs="Courier New"/>
          <w:color w:val="auto"/>
          <w:sz w:val="20"/>
          <w:szCs w:val="20"/>
          <w:bdr w:val="none" w:sz="0" w:space="0" w:color="auto"/>
          <w:lang w:val="pt-BR"/>
        </w:rPr>
        <w:t>nticas características</w:t>
      </w:r>
      <w:r w:rsidR="00CD523F" w:rsidRPr="005D6E61">
        <w:rPr>
          <w:rFonts w:eastAsia="Times New Roman" w:cs="Courier New"/>
          <w:color w:val="auto"/>
          <w:sz w:val="20"/>
          <w:szCs w:val="20"/>
          <w:bdr w:val="none" w:sz="0" w:space="0" w:color="auto"/>
          <w:lang w:val="pt-BR"/>
        </w:rPr>
        <w:t xml:space="preserve"> ao </w:t>
      </w:r>
      <w:r w:rsidRPr="005D6E61">
        <w:rPr>
          <w:rFonts w:eastAsia="Times New Roman" w:cs="Courier New"/>
          <w:color w:val="auto"/>
          <w:sz w:val="20"/>
          <w:szCs w:val="20"/>
          <w:bdr w:val="none" w:sz="0" w:space="0" w:color="auto"/>
          <w:lang w:val="pt-BR"/>
        </w:rPr>
        <w:t>utilizado para cometer</w:t>
      </w:r>
      <w:r w:rsidR="00331E62" w:rsidRPr="005D6E61">
        <w:rPr>
          <w:rFonts w:eastAsia="Times New Roman" w:cs="Courier New"/>
          <w:color w:val="auto"/>
          <w:sz w:val="20"/>
          <w:szCs w:val="20"/>
          <w:bdr w:val="none" w:sz="0" w:space="0" w:color="auto"/>
          <w:lang w:val="pt-BR"/>
        </w:rPr>
        <w:t xml:space="preserve"> o </w:t>
      </w:r>
      <w:r w:rsidR="0031191B" w:rsidRPr="005D6E61">
        <w:rPr>
          <w:rFonts w:eastAsia="Times New Roman" w:cs="Courier New"/>
          <w:color w:val="auto"/>
          <w:sz w:val="20"/>
          <w:szCs w:val="20"/>
          <w:bdr w:val="none" w:sz="0" w:space="0" w:color="auto"/>
          <w:lang w:val="pt-BR"/>
        </w:rPr>
        <w:t>crime</w:t>
      </w:r>
      <w:r w:rsidRPr="005D6E61">
        <w:rPr>
          <w:rFonts w:eastAsia="Times New Roman" w:cs="Courier New"/>
          <w:color w:val="auto"/>
          <w:sz w:val="20"/>
          <w:szCs w:val="20"/>
          <w:bdr w:val="none" w:sz="0" w:space="0" w:color="auto"/>
          <w:lang w:val="pt-BR"/>
        </w:rPr>
        <w:t xml:space="preserve"> (…);</w:t>
      </w:r>
      <w:r w:rsidR="00F77B7F" w:rsidRPr="005D6E61">
        <w:rPr>
          <w:rFonts w:eastAsia="Times New Roman" w:cs="Courier New"/>
          <w:color w:val="auto"/>
          <w:sz w:val="20"/>
          <w:szCs w:val="20"/>
          <w:bdr w:val="none" w:sz="0" w:space="0" w:color="auto"/>
          <w:lang w:val="pt-BR"/>
        </w:rPr>
        <w:t xml:space="preserve"> as </w:t>
      </w:r>
      <w:r w:rsidRPr="005D6E61">
        <w:rPr>
          <w:rFonts w:eastAsia="Times New Roman" w:cs="Courier New"/>
          <w:color w:val="auto"/>
          <w:sz w:val="20"/>
          <w:szCs w:val="20"/>
          <w:bdr w:val="none" w:sz="0" w:space="0" w:color="auto"/>
          <w:lang w:val="pt-BR"/>
        </w:rPr>
        <w:t>declara</w:t>
      </w:r>
      <w:r w:rsidR="00F77B7F" w:rsidRPr="005D6E61">
        <w:rPr>
          <w:rFonts w:eastAsia="Times New Roman" w:cs="Courier New"/>
          <w:color w:val="auto"/>
          <w:sz w:val="20"/>
          <w:szCs w:val="20"/>
          <w:bdr w:val="none" w:sz="0" w:space="0" w:color="auto"/>
          <w:lang w:val="pt-BR"/>
        </w:rPr>
        <w:t>ções</w:t>
      </w:r>
      <w:r w:rsidRPr="005D6E61">
        <w:rPr>
          <w:rFonts w:eastAsia="Times New Roman" w:cs="Courier New"/>
          <w:color w:val="auto"/>
          <w:sz w:val="20"/>
          <w:szCs w:val="20"/>
          <w:bdr w:val="none" w:sz="0" w:space="0" w:color="auto"/>
          <w:lang w:val="pt-BR"/>
        </w:rPr>
        <w:t xml:space="preserve"> que se refere</w:t>
      </w:r>
      <w:r w:rsidR="0031191B" w:rsidRPr="005D6E61">
        <w:rPr>
          <w:rFonts w:eastAsia="Times New Roman" w:cs="Courier New"/>
          <w:color w:val="auto"/>
          <w:sz w:val="20"/>
          <w:szCs w:val="20"/>
          <w:bdr w:val="none" w:sz="0" w:space="0" w:color="auto"/>
          <w:lang w:val="pt-BR"/>
        </w:rPr>
        <w:t>m</w:t>
      </w:r>
      <w:r w:rsidRPr="005D6E61">
        <w:rPr>
          <w:rFonts w:eastAsia="Times New Roman" w:cs="Courier New"/>
          <w:color w:val="auto"/>
          <w:sz w:val="20"/>
          <w:szCs w:val="20"/>
          <w:bdr w:val="none" w:sz="0" w:space="0" w:color="auto"/>
          <w:lang w:val="pt-BR"/>
        </w:rPr>
        <w:t xml:space="preserve"> a que porta</w:t>
      </w:r>
      <w:r w:rsidR="0031191B" w:rsidRPr="005D6E61">
        <w:rPr>
          <w:rFonts w:eastAsia="Times New Roman" w:cs="Courier New"/>
          <w:color w:val="auto"/>
          <w:sz w:val="20"/>
          <w:szCs w:val="20"/>
          <w:bdr w:val="none" w:sz="0" w:space="0" w:color="auto"/>
          <w:lang w:val="pt-BR"/>
        </w:rPr>
        <w:t>v</w:t>
      </w:r>
      <w:r w:rsidRPr="005D6E61">
        <w:rPr>
          <w:rFonts w:eastAsia="Times New Roman" w:cs="Courier New"/>
          <w:color w:val="auto"/>
          <w:sz w:val="20"/>
          <w:szCs w:val="20"/>
          <w:bdr w:val="none" w:sz="0" w:space="0" w:color="auto"/>
          <w:lang w:val="pt-BR"/>
        </w:rPr>
        <w:t>a</w:t>
      </w:r>
      <w:r w:rsidR="006C5454" w:rsidRPr="005D6E61">
        <w:rPr>
          <w:rFonts w:eastAsia="Times New Roman" w:cs="Courier New"/>
          <w:color w:val="auto"/>
          <w:sz w:val="20"/>
          <w:szCs w:val="20"/>
          <w:bdr w:val="none" w:sz="0" w:space="0" w:color="auto"/>
          <w:lang w:val="pt-BR"/>
        </w:rPr>
        <w:t xml:space="preserve"> uma </w:t>
      </w:r>
      <w:r w:rsidRPr="005D6E61">
        <w:rPr>
          <w:rFonts w:eastAsia="Times New Roman" w:cs="Courier New"/>
          <w:color w:val="auto"/>
          <w:sz w:val="20"/>
          <w:szCs w:val="20"/>
          <w:bdr w:val="none" w:sz="0" w:space="0" w:color="auto"/>
          <w:lang w:val="pt-BR"/>
        </w:rPr>
        <w:t>es</w:t>
      </w:r>
      <w:r w:rsidR="0031191B" w:rsidRPr="005D6E61">
        <w:rPr>
          <w:rFonts w:eastAsia="Times New Roman" w:cs="Courier New"/>
          <w:color w:val="auto"/>
          <w:sz w:val="20"/>
          <w:szCs w:val="20"/>
          <w:bdr w:val="none" w:sz="0" w:space="0" w:color="auto"/>
          <w:lang w:val="pt-BR"/>
        </w:rPr>
        <w:t>pingarda</w:t>
      </w:r>
      <w:r w:rsidRPr="005D6E61">
        <w:rPr>
          <w:rFonts w:eastAsia="Times New Roman" w:cs="Courier New"/>
          <w:color w:val="auto"/>
          <w:sz w:val="20"/>
          <w:szCs w:val="20"/>
          <w:bdr w:val="none" w:sz="0" w:space="0" w:color="auto"/>
          <w:lang w:val="pt-BR"/>
        </w:rPr>
        <w:t xml:space="preserve"> calibre 12, env</w:t>
      </w:r>
      <w:r w:rsidR="0031191B" w:rsidRPr="005D6E61">
        <w:rPr>
          <w:rFonts w:eastAsia="Times New Roman" w:cs="Courier New"/>
          <w:color w:val="auto"/>
          <w:sz w:val="20"/>
          <w:szCs w:val="20"/>
          <w:bdr w:val="none" w:sz="0" w:space="0" w:color="auto"/>
          <w:lang w:val="pt-BR"/>
        </w:rPr>
        <w:t>o</w:t>
      </w:r>
      <w:r w:rsidRPr="005D6E61">
        <w:rPr>
          <w:rFonts w:eastAsia="Times New Roman" w:cs="Courier New"/>
          <w:color w:val="auto"/>
          <w:sz w:val="20"/>
          <w:szCs w:val="20"/>
          <w:bdr w:val="none" w:sz="0" w:space="0" w:color="auto"/>
          <w:lang w:val="pt-BR"/>
        </w:rPr>
        <w:t>lta</w:t>
      </w:r>
      <w:r w:rsidR="00F77B7F" w:rsidRPr="005D6E61">
        <w:rPr>
          <w:rFonts w:eastAsia="Times New Roman" w:cs="Courier New"/>
          <w:color w:val="auto"/>
          <w:sz w:val="20"/>
          <w:szCs w:val="20"/>
          <w:bdr w:val="none" w:sz="0" w:space="0" w:color="auto"/>
          <w:lang w:val="pt-BR"/>
        </w:rPr>
        <w:t xml:space="preserve"> </w:t>
      </w:r>
      <w:r w:rsidR="0031191B" w:rsidRPr="005D6E61">
        <w:rPr>
          <w:rFonts w:eastAsia="Times New Roman" w:cs="Courier New"/>
          <w:color w:val="auto"/>
          <w:sz w:val="20"/>
          <w:szCs w:val="20"/>
          <w:bdr w:val="none" w:sz="0" w:space="0" w:color="auto"/>
          <w:lang w:val="pt-BR"/>
        </w:rPr>
        <w:t>n</w:t>
      </w:r>
      <w:r w:rsidR="006C5454" w:rsidRPr="005D6E61">
        <w:rPr>
          <w:rFonts w:eastAsia="Times New Roman" w:cs="Courier New"/>
          <w:color w:val="auto"/>
          <w:sz w:val="20"/>
          <w:szCs w:val="20"/>
          <w:bdr w:val="none" w:sz="0" w:space="0" w:color="auto"/>
          <w:lang w:val="pt-BR"/>
        </w:rPr>
        <w:t xml:space="preserve">uma </w:t>
      </w:r>
      <w:r w:rsidRPr="005D6E61">
        <w:rPr>
          <w:rFonts w:eastAsia="Times New Roman" w:cs="Courier New"/>
          <w:color w:val="auto"/>
          <w:sz w:val="20"/>
          <w:szCs w:val="20"/>
          <w:bdr w:val="none" w:sz="0" w:space="0" w:color="auto"/>
          <w:lang w:val="pt-BR"/>
        </w:rPr>
        <w:t xml:space="preserve">bolsa de </w:t>
      </w:r>
      <w:r w:rsidR="00831912" w:rsidRPr="005D6E61">
        <w:rPr>
          <w:rFonts w:eastAsia="Times New Roman" w:cs="Courier New"/>
          <w:color w:val="auto"/>
          <w:sz w:val="20"/>
          <w:szCs w:val="20"/>
          <w:bdr w:val="none" w:sz="0" w:space="0" w:color="auto"/>
          <w:lang w:val="pt-BR"/>
        </w:rPr>
        <w:t>pano</w:t>
      </w:r>
      <w:r w:rsidRPr="005D6E61">
        <w:rPr>
          <w:rFonts w:eastAsia="Times New Roman" w:cs="Courier New"/>
          <w:color w:val="auto"/>
          <w:sz w:val="20"/>
          <w:szCs w:val="20"/>
          <w:bdr w:val="none" w:sz="0" w:space="0" w:color="auto"/>
          <w:lang w:val="pt-BR"/>
        </w:rPr>
        <w:t>, condi</w:t>
      </w:r>
      <w:r w:rsidR="00F77B7F" w:rsidRPr="005D6E61">
        <w:rPr>
          <w:rFonts w:eastAsia="Times New Roman" w:cs="Courier New"/>
          <w:color w:val="auto"/>
          <w:sz w:val="20"/>
          <w:szCs w:val="20"/>
          <w:bdr w:val="none" w:sz="0" w:space="0" w:color="auto"/>
          <w:lang w:val="pt-BR"/>
        </w:rPr>
        <w:t>ções</w:t>
      </w:r>
      <w:r w:rsidRPr="005D6E61">
        <w:rPr>
          <w:rFonts w:eastAsia="Times New Roman" w:cs="Courier New"/>
          <w:color w:val="auto"/>
          <w:sz w:val="20"/>
          <w:szCs w:val="20"/>
          <w:bdr w:val="none" w:sz="0" w:space="0" w:color="auto"/>
          <w:lang w:val="pt-BR"/>
        </w:rPr>
        <w:t xml:space="preserve"> id</w:t>
      </w:r>
      <w:r w:rsidR="0031191B" w:rsidRPr="005D6E61">
        <w:rPr>
          <w:rFonts w:eastAsia="Times New Roman" w:cs="Courier New"/>
          <w:color w:val="auto"/>
          <w:sz w:val="20"/>
          <w:szCs w:val="20"/>
          <w:bdr w:val="none" w:sz="0" w:space="0" w:color="auto"/>
          <w:lang w:val="pt-BR"/>
        </w:rPr>
        <w:t>ê</w:t>
      </w:r>
      <w:r w:rsidRPr="005D6E61">
        <w:rPr>
          <w:rFonts w:eastAsia="Times New Roman" w:cs="Courier New"/>
          <w:color w:val="auto"/>
          <w:sz w:val="20"/>
          <w:szCs w:val="20"/>
          <w:bdr w:val="none" w:sz="0" w:space="0" w:color="auto"/>
          <w:lang w:val="pt-BR"/>
        </w:rPr>
        <w:t>nticas</w:t>
      </w:r>
      <w:r w:rsidR="00F77B7F" w:rsidRPr="005D6E61">
        <w:rPr>
          <w:rFonts w:eastAsia="Times New Roman" w:cs="Courier New"/>
          <w:color w:val="auto"/>
          <w:sz w:val="20"/>
          <w:szCs w:val="20"/>
          <w:bdr w:val="none" w:sz="0" w:space="0" w:color="auto"/>
          <w:lang w:val="pt-BR"/>
        </w:rPr>
        <w:t xml:space="preserve"> em </w:t>
      </w:r>
      <w:r w:rsidRPr="005D6E61">
        <w:rPr>
          <w:rFonts w:eastAsia="Times New Roman" w:cs="Courier New"/>
          <w:color w:val="auto"/>
          <w:sz w:val="20"/>
          <w:szCs w:val="20"/>
          <w:bdr w:val="none" w:sz="0" w:space="0" w:color="auto"/>
          <w:lang w:val="pt-BR"/>
        </w:rPr>
        <w:t>que se utiliz</w:t>
      </w:r>
      <w:r w:rsidR="00BF0B90" w:rsidRPr="005D6E61">
        <w:rPr>
          <w:rFonts w:eastAsia="Times New Roman" w:cs="Courier New"/>
          <w:color w:val="auto"/>
          <w:sz w:val="20"/>
          <w:szCs w:val="20"/>
          <w:bdr w:val="none" w:sz="0" w:space="0" w:color="auto"/>
          <w:lang w:val="pt-BR"/>
        </w:rPr>
        <w:t xml:space="preserve">ou </w:t>
      </w:r>
      <w:r w:rsidR="0031191B" w:rsidRPr="005D6E61">
        <w:rPr>
          <w:rFonts w:eastAsia="Times New Roman" w:cs="Courier New"/>
          <w:color w:val="auto"/>
          <w:sz w:val="20"/>
          <w:szCs w:val="20"/>
          <w:bdr w:val="none" w:sz="0" w:space="0" w:color="auto"/>
          <w:lang w:val="pt-BR"/>
        </w:rPr>
        <w:t>a</w:t>
      </w:r>
      <w:r w:rsidR="00331E62" w:rsidRPr="005D6E61">
        <w:rPr>
          <w:rFonts w:eastAsia="Times New Roman" w:cs="Courier New"/>
          <w:color w:val="auto"/>
          <w:sz w:val="20"/>
          <w:szCs w:val="20"/>
          <w:bdr w:val="none" w:sz="0" w:space="0" w:color="auto"/>
          <w:lang w:val="pt-BR"/>
        </w:rPr>
        <w:t xml:space="preserve"> </w:t>
      </w:r>
      <w:r w:rsidRPr="005D6E61">
        <w:rPr>
          <w:rFonts w:eastAsia="Times New Roman" w:cs="Courier New"/>
          <w:color w:val="auto"/>
          <w:sz w:val="20"/>
          <w:szCs w:val="20"/>
          <w:bdr w:val="none" w:sz="0" w:space="0" w:color="auto"/>
          <w:lang w:val="pt-BR"/>
        </w:rPr>
        <w:t>arma</w:t>
      </w:r>
      <w:r w:rsidR="00275A65" w:rsidRPr="005D6E61">
        <w:rPr>
          <w:rFonts w:eastAsia="Times New Roman" w:cs="Courier New"/>
          <w:color w:val="auto"/>
          <w:sz w:val="20"/>
          <w:szCs w:val="20"/>
          <w:bdr w:val="none" w:sz="0" w:space="0" w:color="auto"/>
          <w:lang w:val="pt-BR"/>
        </w:rPr>
        <w:t xml:space="preserve"> </w:t>
      </w:r>
      <w:r w:rsidR="0031191B" w:rsidRPr="005D6E61">
        <w:rPr>
          <w:rFonts w:eastAsia="Times New Roman" w:cs="Courier New"/>
          <w:color w:val="auto"/>
          <w:sz w:val="20"/>
          <w:szCs w:val="20"/>
          <w:bdr w:val="none" w:sz="0" w:space="0" w:color="auto"/>
          <w:lang w:val="pt-BR"/>
        </w:rPr>
        <w:t>na</w:t>
      </w:r>
      <w:r w:rsidR="00275A65" w:rsidRPr="005D6E61">
        <w:rPr>
          <w:rFonts w:eastAsia="Times New Roman" w:cs="Courier New"/>
          <w:color w:val="auto"/>
          <w:sz w:val="20"/>
          <w:szCs w:val="20"/>
          <w:bdr w:val="none" w:sz="0" w:space="0" w:color="auto"/>
          <w:lang w:val="pt-BR"/>
        </w:rPr>
        <w:t xml:space="preserve"> </w:t>
      </w:r>
      <w:r w:rsidRPr="005D6E61">
        <w:rPr>
          <w:rFonts w:eastAsia="Times New Roman" w:cs="Courier New"/>
          <w:color w:val="auto"/>
          <w:sz w:val="20"/>
          <w:szCs w:val="20"/>
          <w:bdr w:val="none" w:sz="0" w:space="0" w:color="auto"/>
          <w:lang w:val="pt-BR"/>
        </w:rPr>
        <w:t>hora</w:t>
      </w:r>
      <w:r w:rsidR="00F77B7F" w:rsidRPr="005D6E61">
        <w:rPr>
          <w:rFonts w:eastAsia="Times New Roman" w:cs="Courier New"/>
          <w:color w:val="auto"/>
          <w:sz w:val="20"/>
          <w:szCs w:val="20"/>
          <w:bdr w:val="none" w:sz="0" w:space="0" w:color="auto"/>
          <w:lang w:val="pt-BR"/>
        </w:rPr>
        <w:t xml:space="preserve"> do </w:t>
      </w:r>
      <w:r w:rsidRPr="005D6E61">
        <w:rPr>
          <w:rFonts w:eastAsia="Times New Roman" w:cs="Courier New"/>
          <w:color w:val="auto"/>
          <w:sz w:val="20"/>
          <w:szCs w:val="20"/>
          <w:bdr w:val="none" w:sz="0" w:space="0" w:color="auto"/>
          <w:lang w:val="pt-BR"/>
        </w:rPr>
        <w:t>crime;</w:t>
      </w:r>
      <w:r w:rsidR="00331E62" w:rsidRPr="005D6E61">
        <w:rPr>
          <w:rFonts w:eastAsia="Times New Roman" w:cs="Courier New"/>
          <w:color w:val="auto"/>
          <w:sz w:val="20"/>
          <w:szCs w:val="20"/>
          <w:bdr w:val="none" w:sz="0" w:space="0" w:color="auto"/>
          <w:lang w:val="pt-BR"/>
        </w:rPr>
        <w:t xml:space="preserve"> a </w:t>
      </w:r>
      <w:r w:rsidRPr="005D6E61">
        <w:rPr>
          <w:rFonts w:eastAsia="Times New Roman" w:cs="Courier New"/>
          <w:color w:val="auto"/>
          <w:sz w:val="20"/>
          <w:szCs w:val="20"/>
          <w:bdr w:val="none" w:sz="0" w:space="0" w:color="auto"/>
          <w:lang w:val="pt-BR"/>
        </w:rPr>
        <w:t>narrativa</w:t>
      </w:r>
      <w:r w:rsidR="00331E62" w:rsidRPr="005D6E61">
        <w:rPr>
          <w:rFonts w:eastAsia="Times New Roman" w:cs="Courier New"/>
          <w:color w:val="auto"/>
          <w:sz w:val="20"/>
          <w:szCs w:val="20"/>
          <w:bdr w:val="none" w:sz="0" w:space="0" w:color="auto"/>
          <w:lang w:val="pt-BR"/>
        </w:rPr>
        <w:t xml:space="preserve"> d</w:t>
      </w:r>
      <w:r w:rsidR="0031191B" w:rsidRPr="005D6E61">
        <w:rPr>
          <w:rFonts w:eastAsia="Times New Roman" w:cs="Courier New"/>
          <w:color w:val="auto"/>
          <w:sz w:val="20"/>
          <w:szCs w:val="20"/>
          <w:bdr w:val="none" w:sz="0" w:space="0" w:color="auto"/>
          <w:lang w:val="pt-BR"/>
        </w:rPr>
        <w:t>a</w:t>
      </w:r>
      <w:r w:rsidR="00331E62" w:rsidRPr="005D6E61">
        <w:rPr>
          <w:rFonts w:eastAsia="Times New Roman" w:cs="Courier New"/>
          <w:color w:val="auto"/>
          <w:sz w:val="20"/>
          <w:szCs w:val="20"/>
          <w:bdr w:val="none" w:sz="0" w:space="0" w:color="auto"/>
          <w:lang w:val="pt-BR"/>
        </w:rPr>
        <w:t xml:space="preserve">s </w:t>
      </w:r>
      <w:r w:rsidRPr="005D6E61">
        <w:rPr>
          <w:rFonts w:eastAsia="Times New Roman" w:cs="Courier New"/>
          <w:color w:val="auto"/>
          <w:sz w:val="20"/>
          <w:szCs w:val="20"/>
          <w:bdr w:val="none" w:sz="0" w:space="0" w:color="auto"/>
          <w:lang w:val="pt-BR"/>
        </w:rPr>
        <w:t>test</w:t>
      </w:r>
      <w:r w:rsidR="0031191B" w:rsidRPr="005D6E61">
        <w:rPr>
          <w:rFonts w:eastAsia="Times New Roman" w:cs="Courier New"/>
          <w:color w:val="auto"/>
          <w:sz w:val="20"/>
          <w:szCs w:val="20"/>
          <w:bdr w:val="none" w:sz="0" w:space="0" w:color="auto"/>
          <w:lang w:val="pt-BR"/>
        </w:rPr>
        <w:t>emunhas (...) que afirmam</w:t>
      </w:r>
      <w:r w:rsidRPr="005D6E61">
        <w:rPr>
          <w:rFonts w:eastAsia="Times New Roman" w:cs="Courier New"/>
          <w:color w:val="auto"/>
          <w:sz w:val="20"/>
          <w:szCs w:val="20"/>
          <w:bdr w:val="none" w:sz="0" w:space="0" w:color="auto"/>
          <w:lang w:val="pt-BR"/>
        </w:rPr>
        <w:t xml:space="preserve"> que</w:t>
      </w:r>
      <w:r w:rsidR="00331E62" w:rsidRPr="005D6E61">
        <w:rPr>
          <w:rFonts w:eastAsia="Times New Roman" w:cs="Courier New"/>
          <w:color w:val="auto"/>
          <w:sz w:val="20"/>
          <w:szCs w:val="20"/>
          <w:bdr w:val="none" w:sz="0" w:space="0" w:color="auto"/>
          <w:lang w:val="pt-BR"/>
        </w:rPr>
        <w:t xml:space="preserve"> o </w:t>
      </w:r>
      <w:r w:rsidRPr="005D6E61">
        <w:rPr>
          <w:rFonts w:eastAsia="Times New Roman" w:cs="Courier New"/>
          <w:color w:val="auto"/>
          <w:sz w:val="20"/>
          <w:szCs w:val="20"/>
          <w:bdr w:val="none" w:sz="0" w:space="0" w:color="auto"/>
          <w:lang w:val="pt-BR"/>
        </w:rPr>
        <w:t>indiv</w:t>
      </w:r>
      <w:r w:rsidR="0031191B" w:rsidRPr="005D6E61">
        <w:rPr>
          <w:rFonts w:eastAsia="Times New Roman" w:cs="Courier New"/>
          <w:color w:val="auto"/>
          <w:sz w:val="20"/>
          <w:szCs w:val="20"/>
          <w:bdr w:val="none" w:sz="0" w:space="0" w:color="auto"/>
          <w:lang w:val="pt-BR"/>
        </w:rPr>
        <w:t>í</w:t>
      </w:r>
      <w:r w:rsidRPr="005D6E61">
        <w:rPr>
          <w:rFonts w:eastAsia="Times New Roman" w:cs="Courier New"/>
          <w:color w:val="auto"/>
          <w:sz w:val="20"/>
          <w:szCs w:val="20"/>
          <w:bdr w:val="none" w:sz="0" w:space="0" w:color="auto"/>
          <w:lang w:val="pt-BR"/>
        </w:rPr>
        <w:t>duo Toinho indic</w:t>
      </w:r>
      <w:r w:rsidR="00BF0B90" w:rsidRPr="005D6E61">
        <w:rPr>
          <w:rFonts w:eastAsia="Times New Roman" w:cs="Courier New"/>
          <w:color w:val="auto"/>
          <w:sz w:val="20"/>
          <w:szCs w:val="20"/>
          <w:bdr w:val="none" w:sz="0" w:space="0" w:color="auto"/>
          <w:lang w:val="pt-BR"/>
        </w:rPr>
        <w:t xml:space="preserve">ou </w:t>
      </w:r>
      <w:r w:rsidRPr="005D6E61">
        <w:rPr>
          <w:rFonts w:eastAsia="Times New Roman" w:cs="Courier New"/>
          <w:color w:val="auto"/>
          <w:sz w:val="20"/>
          <w:szCs w:val="20"/>
          <w:bdr w:val="none" w:sz="0" w:space="0" w:color="auto"/>
          <w:lang w:val="pt-BR"/>
        </w:rPr>
        <w:t>que</w:t>
      </w:r>
      <w:r w:rsidR="00331E62" w:rsidRPr="005D6E61">
        <w:rPr>
          <w:rFonts w:eastAsia="Times New Roman" w:cs="Courier New"/>
          <w:color w:val="auto"/>
          <w:sz w:val="20"/>
          <w:szCs w:val="20"/>
          <w:bdr w:val="none" w:sz="0" w:space="0" w:color="auto"/>
          <w:lang w:val="pt-BR"/>
        </w:rPr>
        <w:t xml:space="preserve"> o </w:t>
      </w:r>
      <w:r w:rsidR="0031191B" w:rsidRPr="005D6E61">
        <w:rPr>
          <w:rFonts w:eastAsia="Times New Roman" w:cs="Courier New"/>
          <w:color w:val="auto"/>
          <w:sz w:val="20"/>
          <w:szCs w:val="20"/>
          <w:bdr w:val="none" w:sz="0" w:space="0" w:color="auto"/>
          <w:lang w:val="pt-BR"/>
        </w:rPr>
        <w:t>grupo hav</w:t>
      </w:r>
      <w:r w:rsidR="005A2381" w:rsidRPr="005D6E61">
        <w:rPr>
          <w:rFonts w:eastAsia="Times New Roman" w:cs="Courier New"/>
          <w:color w:val="auto"/>
          <w:sz w:val="20"/>
          <w:szCs w:val="20"/>
          <w:bdr w:val="none" w:sz="0" w:space="0" w:color="auto"/>
          <w:lang w:val="pt-BR"/>
        </w:rPr>
        <w:t>ia</w:t>
      </w:r>
      <w:r w:rsidRPr="005D6E61">
        <w:rPr>
          <w:rFonts w:eastAsia="Times New Roman" w:cs="Courier New"/>
          <w:color w:val="auto"/>
          <w:sz w:val="20"/>
          <w:szCs w:val="20"/>
          <w:bdr w:val="none" w:sz="0" w:space="0" w:color="auto"/>
          <w:lang w:val="pt-BR"/>
        </w:rPr>
        <w:t xml:space="preserve"> rec</w:t>
      </w:r>
      <w:r w:rsidR="0031191B" w:rsidRPr="005D6E61">
        <w:rPr>
          <w:rFonts w:eastAsia="Times New Roman" w:cs="Courier New"/>
          <w:color w:val="auto"/>
          <w:sz w:val="20"/>
          <w:szCs w:val="20"/>
          <w:bdr w:val="none" w:sz="0" w:space="0" w:color="auto"/>
          <w:lang w:val="pt-BR"/>
        </w:rPr>
        <w:t>e</w:t>
      </w:r>
      <w:r w:rsidRPr="005D6E61">
        <w:rPr>
          <w:rFonts w:eastAsia="Times New Roman" w:cs="Courier New"/>
          <w:color w:val="auto"/>
          <w:sz w:val="20"/>
          <w:szCs w:val="20"/>
          <w:bdr w:val="none" w:sz="0" w:space="0" w:color="auto"/>
          <w:lang w:val="pt-BR"/>
        </w:rPr>
        <w:t>bido</w:t>
      </w:r>
      <w:r w:rsidR="00331E62" w:rsidRPr="005D6E61">
        <w:rPr>
          <w:rFonts w:eastAsia="Times New Roman" w:cs="Courier New"/>
          <w:color w:val="auto"/>
          <w:sz w:val="20"/>
          <w:szCs w:val="20"/>
          <w:bdr w:val="none" w:sz="0" w:space="0" w:color="auto"/>
          <w:lang w:val="pt-BR"/>
        </w:rPr>
        <w:t xml:space="preserve"> a </w:t>
      </w:r>
      <w:r w:rsidR="0031191B" w:rsidRPr="005D6E61">
        <w:rPr>
          <w:rFonts w:eastAsia="Times New Roman" w:cs="Courier New"/>
          <w:color w:val="auto"/>
          <w:sz w:val="20"/>
          <w:szCs w:val="20"/>
          <w:bdr w:val="none" w:sz="0" w:space="0" w:color="auto"/>
          <w:lang w:val="pt-BR"/>
        </w:rPr>
        <w:t>quantia</w:t>
      </w:r>
      <w:r w:rsidR="00FB55C7" w:rsidRPr="005D6E61">
        <w:rPr>
          <w:rFonts w:eastAsia="Times New Roman" w:cs="Courier New"/>
          <w:color w:val="auto"/>
          <w:sz w:val="20"/>
          <w:szCs w:val="20"/>
          <w:bdr w:val="none" w:sz="0" w:space="0" w:color="auto"/>
          <w:lang w:val="pt-BR"/>
        </w:rPr>
        <w:t xml:space="preserve"> </w:t>
      </w:r>
      <w:r w:rsidRPr="005D6E61">
        <w:rPr>
          <w:rFonts w:eastAsia="Times New Roman" w:cs="Courier New"/>
          <w:color w:val="auto"/>
          <w:sz w:val="20"/>
          <w:szCs w:val="20"/>
          <w:bdr w:val="none" w:sz="0" w:space="0" w:color="auto"/>
          <w:lang w:val="pt-BR"/>
        </w:rPr>
        <w:t>de quin</w:t>
      </w:r>
      <w:r w:rsidR="0031191B" w:rsidRPr="005D6E61">
        <w:rPr>
          <w:rFonts w:eastAsia="Times New Roman" w:cs="Courier New"/>
          <w:color w:val="auto"/>
          <w:sz w:val="20"/>
          <w:szCs w:val="20"/>
          <w:bdr w:val="none" w:sz="0" w:space="0" w:color="auto"/>
          <w:lang w:val="pt-BR"/>
        </w:rPr>
        <w:t>h</w:t>
      </w:r>
      <w:r w:rsidRPr="005D6E61">
        <w:rPr>
          <w:rFonts w:eastAsia="Times New Roman" w:cs="Courier New"/>
          <w:color w:val="auto"/>
          <w:sz w:val="20"/>
          <w:szCs w:val="20"/>
          <w:bdr w:val="none" w:sz="0" w:space="0" w:color="auto"/>
          <w:lang w:val="pt-BR"/>
        </w:rPr>
        <w:t>entos mil cru</w:t>
      </w:r>
      <w:r w:rsidR="0031191B" w:rsidRPr="005D6E61">
        <w:rPr>
          <w:rFonts w:eastAsia="Times New Roman" w:cs="Courier New"/>
          <w:color w:val="auto"/>
          <w:sz w:val="20"/>
          <w:szCs w:val="20"/>
          <w:bdr w:val="none" w:sz="0" w:space="0" w:color="auto"/>
          <w:lang w:val="pt-BR"/>
        </w:rPr>
        <w:t>z</w:t>
      </w:r>
      <w:r w:rsidRPr="005D6E61">
        <w:rPr>
          <w:rFonts w:eastAsia="Times New Roman" w:cs="Courier New"/>
          <w:color w:val="auto"/>
          <w:sz w:val="20"/>
          <w:szCs w:val="20"/>
          <w:bdr w:val="none" w:sz="0" w:space="0" w:color="auto"/>
          <w:lang w:val="pt-BR"/>
        </w:rPr>
        <w:t>e</w:t>
      </w:r>
      <w:r w:rsidR="0031191B" w:rsidRPr="005D6E61">
        <w:rPr>
          <w:rFonts w:eastAsia="Times New Roman" w:cs="Courier New"/>
          <w:color w:val="auto"/>
          <w:sz w:val="20"/>
          <w:szCs w:val="20"/>
          <w:bdr w:val="none" w:sz="0" w:space="0" w:color="auto"/>
          <w:lang w:val="pt-BR"/>
        </w:rPr>
        <w:t>i</w:t>
      </w:r>
      <w:r w:rsidRPr="005D6E61">
        <w:rPr>
          <w:rFonts w:eastAsia="Times New Roman" w:cs="Courier New"/>
          <w:color w:val="auto"/>
          <w:sz w:val="20"/>
          <w:szCs w:val="20"/>
          <w:bdr w:val="none" w:sz="0" w:space="0" w:color="auto"/>
          <w:lang w:val="pt-BR"/>
        </w:rPr>
        <w:t>ros para</w:t>
      </w:r>
      <w:r w:rsidR="00331E62" w:rsidRPr="005D6E61">
        <w:rPr>
          <w:rFonts w:eastAsia="Times New Roman" w:cs="Courier New"/>
          <w:color w:val="auto"/>
          <w:sz w:val="20"/>
          <w:szCs w:val="20"/>
          <w:bdr w:val="none" w:sz="0" w:space="0" w:color="auto"/>
          <w:lang w:val="pt-BR"/>
        </w:rPr>
        <w:t xml:space="preserve"> a </w:t>
      </w:r>
      <w:r w:rsidR="0031191B" w:rsidRPr="005D6E61">
        <w:rPr>
          <w:rFonts w:eastAsia="Times New Roman" w:cs="Courier New"/>
          <w:color w:val="auto"/>
          <w:sz w:val="20"/>
          <w:szCs w:val="20"/>
          <w:bdr w:val="none" w:sz="0" w:space="0" w:color="auto"/>
          <w:lang w:val="pt-BR"/>
        </w:rPr>
        <w:t>prá</w:t>
      </w:r>
      <w:r w:rsidRPr="005D6E61">
        <w:rPr>
          <w:rFonts w:eastAsia="Times New Roman" w:cs="Courier New"/>
          <w:color w:val="auto"/>
          <w:sz w:val="20"/>
          <w:szCs w:val="20"/>
          <w:bdr w:val="none" w:sz="0" w:space="0" w:color="auto"/>
          <w:lang w:val="pt-BR"/>
        </w:rPr>
        <w:t>tica</w:t>
      </w:r>
      <w:r w:rsidR="00F77B7F" w:rsidRPr="005D6E61">
        <w:rPr>
          <w:rFonts w:eastAsia="Times New Roman" w:cs="Courier New"/>
          <w:color w:val="auto"/>
          <w:sz w:val="20"/>
          <w:szCs w:val="20"/>
          <w:bdr w:val="none" w:sz="0" w:space="0" w:color="auto"/>
          <w:lang w:val="pt-BR"/>
        </w:rPr>
        <w:t xml:space="preserve"> do </w:t>
      </w:r>
      <w:r w:rsidR="0031191B" w:rsidRPr="005D6E61">
        <w:rPr>
          <w:rFonts w:eastAsia="Times New Roman" w:cs="Courier New"/>
          <w:color w:val="auto"/>
          <w:sz w:val="20"/>
          <w:szCs w:val="20"/>
          <w:bdr w:val="none" w:sz="0" w:space="0" w:color="auto"/>
          <w:lang w:val="pt-BR"/>
        </w:rPr>
        <w:t>crime</w:t>
      </w:r>
      <w:r w:rsidRPr="005D6E61">
        <w:rPr>
          <w:rFonts w:eastAsia="Times New Roman" w:cs="Courier New"/>
          <w:color w:val="auto"/>
          <w:sz w:val="20"/>
          <w:szCs w:val="20"/>
          <w:bdr w:val="none" w:sz="0" w:space="0" w:color="auto"/>
          <w:lang w:val="pt-BR"/>
        </w:rPr>
        <w:t xml:space="preserve"> (…).</w:t>
      </w:r>
      <w:r w:rsidR="005A2381" w:rsidRPr="005D6E61">
        <w:rPr>
          <w:rFonts w:eastAsia="Times New Roman" w:cs="Courier New"/>
          <w:color w:val="auto"/>
          <w:sz w:val="20"/>
          <w:szCs w:val="20"/>
          <w:bdr w:val="none" w:sz="0" w:space="0" w:color="auto"/>
          <w:lang w:val="pt-BR"/>
        </w:rPr>
        <w:t>qua</w:t>
      </w:r>
      <w:r w:rsidRPr="005D6E61">
        <w:rPr>
          <w:rFonts w:eastAsia="Times New Roman" w:cs="Courier New"/>
          <w:color w:val="auto"/>
          <w:sz w:val="20"/>
          <w:szCs w:val="20"/>
          <w:bdr w:val="none" w:sz="0" w:space="0" w:color="auto"/>
          <w:lang w:val="pt-BR"/>
        </w:rPr>
        <w:t>nto</w:t>
      </w:r>
      <w:r w:rsidR="00275A65" w:rsidRPr="005D6E61">
        <w:rPr>
          <w:rFonts w:eastAsia="Times New Roman" w:cs="Courier New"/>
          <w:color w:val="auto"/>
          <w:sz w:val="20"/>
          <w:szCs w:val="20"/>
          <w:bdr w:val="none" w:sz="0" w:space="0" w:color="auto"/>
          <w:lang w:val="pt-BR"/>
        </w:rPr>
        <w:t xml:space="preserve"> à </w:t>
      </w:r>
      <w:r w:rsidRPr="005D6E61">
        <w:rPr>
          <w:rFonts w:eastAsia="Times New Roman" w:cs="Courier New"/>
          <w:color w:val="auto"/>
          <w:sz w:val="20"/>
          <w:szCs w:val="20"/>
          <w:bdr w:val="none" w:sz="0" w:space="0" w:color="auto"/>
          <w:lang w:val="pt-BR"/>
        </w:rPr>
        <w:t>participa</w:t>
      </w:r>
      <w:r w:rsidR="00A274D9" w:rsidRPr="005D6E61">
        <w:rPr>
          <w:rFonts w:eastAsia="Times New Roman" w:cs="Courier New"/>
          <w:color w:val="auto"/>
          <w:sz w:val="20"/>
          <w:szCs w:val="20"/>
          <w:bdr w:val="none" w:sz="0" w:space="0" w:color="auto"/>
          <w:lang w:val="pt-BR"/>
        </w:rPr>
        <w:t>ção</w:t>
      </w:r>
      <w:r w:rsidRPr="005D6E61">
        <w:rPr>
          <w:rFonts w:eastAsia="Times New Roman" w:cs="Courier New"/>
          <w:color w:val="auto"/>
          <w:sz w:val="20"/>
          <w:szCs w:val="20"/>
          <w:bdr w:val="none" w:sz="0" w:space="0" w:color="auto"/>
          <w:lang w:val="pt-BR"/>
        </w:rPr>
        <w:t xml:space="preserve"> de </w:t>
      </w:r>
      <w:r w:rsidR="00AA0930" w:rsidRPr="005D6E61">
        <w:rPr>
          <w:rFonts w:eastAsia="Times New Roman" w:cs="Courier New"/>
          <w:color w:val="auto"/>
          <w:sz w:val="20"/>
          <w:szCs w:val="20"/>
          <w:bdr w:val="none" w:sz="0" w:space="0" w:color="auto"/>
          <w:lang w:val="pt-BR"/>
        </w:rPr>
        <w:t>Antônio</w:t>
      </w:r>
      <w:r w:rsidRPr="005D6E61">
        <w:rPr>
          <w:rFonts w:eastAsia="Times New Roman" w:cs="Courier New"/>
          <w:color w:val="auto"/>
          <w:sz w:val="20"/>
          <w:szCs w:val="20"/>
          <w:bdr w:val="none" w:sz="0" w:space="0" w:color="auto"/>
          <w:lang w:val="pt-BR"/>
        </w:rPr>
        <w:t xml:space="preserve"> Carlos Coutinho Regis, a</w:t>
      </w:r>
      <w:r w:rsidR="000324C8" w:rsidRPr="005D6E61">
        <w:rPr>
          <w:rFonts w:eastAsia="Times New Roman" w:cs="Courier New"/>
          <w:color w:val="auto"/>
          <w:sz w:val="20"/>
          <w:szCs w:val="20"/>
          <w:bdr w:val="none" w:sz="0" w:space="0" w:color="auto"/>
          <w:lang w:val="pt-BR"/>
        </w:rPr>
        <w:t>lém</w:t>
      </w:r>
      <w:r w:rsidRPr="005D6E61">
        <w:rPr>
          <w:rFonts w:eastAsia="Times New Roman" w:cs="Courier New"/>
          <w:color w:val="auto"/>
          <w:sz w:val="20"/>
          <w:szCs w:val="20"/>
          <w:bdr w:val="none" w:sz="0" w:space="0" w:color="auto"/>
          <w:lang w:val="pt-BR"/>
        </w:rPr>
        <w:t xml:space="preserve"> de </w:t>
      </w:r>
      <w:r w:rsidR="000324C8" w:rsidRPr="005D6E61">
        <w:rPr>
          <w:rFonts w:eastAsia="Times New Roman" w:cs="Courier New"/>
          <w:color w:val="auto"/>
          <w:sz w:val="20"/>
          <w:szCs w:val="20"/>
          <w:bdr w:val="none" w:sz="0" w:space="0" w:color="auto"/>
          <w:lang w:val="pt-BR"/>
        </w:rPr>
        <w:t>t</w:t>
      </w:r>
      <w:r w:rsidRPr="005D6E61">
        <w:rPr>
          <w:rFonts w:eastAsia="Times New Roman" w:cs="Courier New"/>
          <w:color w:val="auto"/>
          <w:sz w:val="20"/>
          <w:szCs w:val="20"/>
          <w:bdr w:val="none" w:sz="0" w:space="0" w:color="auto"/>
          <w:lang w:val="pt-BR"/>
        </w:rPr>
        <w:t>er sido visto</w:t>
      </w:r>
      <w:r w:rsidR="005A2381" w:rsidRPr="005D6E61">
        <w:rPr>
          <w:rFonts w:eastAsia="Times New Roman" w:cs="Courier New"/>
          <w:color w:val="auto"/>
          <w:sz w:val="20"/>
          <w:szCs w:val="20"/>
          <w:bdr w:val="none" w:sz="0" w:space="0" w:color="auto"/>
          <w:lang w:val="pt-BR"/>
        </w:rPr>
        <w:t xml:space="preserve"> na </w:t>
      </w:r>
      <w:r w:rsidR="0031191B" w:rsidRPr="005D6E61">
        <w:rPr>
          <w:rFonts w:eastAsia="Times New Roman" w:cs="Courier New"/>
          <w:color w:val="auto"/>
          <w:sz w:val="20"/>
          <w:szCs w:val="20"/>
          <w:bdr w:val="none" w:sz="0" w:space="0" w:color="auto"/>
          <w:lang w:val="pt-BR"/>
        </w:rPr>
        <w:t>cidade</w:t>
      </w:r>
      <w:r w:rsidR="00FB55C7" w:rsidRPr="005D6E61">
        <w:rPr>
          <w:rFonts w:eastAsia="Times New Roman" w:cs="Courier New"/>
          <w:color w:val="auto"/>
          <w:sz w:val="20"/>
          <w:szCs w:val="20"/>
          <w:bdr w:val="none" w:sz="0" w:space="0" w:color="auto"/>
          <w:lang w:val="pt-BR"/>
        </w:rPr>
        <w:t xml:space="preserve"> </w:t>
      </w:r>
      <w:r w:rsidRPr="005D6E61">
        <w:rPr>
          <w:rFonts w:eastAsia="Times New Roman" w:cs="Courier New"/>
          <w:color w:val="auto"/>
          <w:sz w:val="20"/>
          <w:szCs w:val="20"/>
          <w:bdr w:val="none" w:sz="0" w:space="0" w:color="auto"/>
          <w:lang w:val="pt-BR"/>
        </w:rPr>
        <w:t>de Alagoa Grande</w:t>
      </w:r>
      <w:r w:rsidR="005A2381" w:rsidRPr="005D6E61">
        <w:rPr>
          <w:rFonts w:eastAsia="Times New Roman" w:cs="Courier New"/>
          <w:color w:val="auto"/>
          <w:sz w:val="20"/>
          <w:szCs w:val="20"/>
          <w:bdr w:val="none" w:sz="0" w:space="0" w:color="auto"/>
          <w:lang w:val="pt-BR"/>
        </w:rPr>
        <w:t xml:space="preserve"> na </w:t>
      </w:r>
      <w:r w:rsidRPr="005D6E61">
        <w:rPr>
          <w:rFonts w:eastAsia="Times New Roman" w:cs="Courier New"/>
          <w:color w:val="auto"/>
          <w:sz w:val="20"/>
          <w:szCs w:val="20"/>
          <w:bdr w:val="none" w:sz="0" w:space="0" w:color="auto"/>
          <w:lang w:val="pt-BR"/>
        </w:rPr>
        <w:t>v</w:t>
      </w:r>
      <w:r w:rsidR="000324C8" w:rsidRPr="005D6E61">
        <w:rPr>
          <w:rFonts w:eastAsia="Times New Roman" w:cs="Courier New"/>
          <w:color w:val="auto"/>
          <w:sz w:val="20"/>
          <w:szCs w:val="20"/>
          <w:bdr w:val="none" w:sz="0" w:space="0" w:color="auto"/>
          <w:lang w:val="pt-BR"/>
        </w:rPr>
        <w:t>é</w:t>
      </w:r>
      <w:r w:rsidRPr="005D6E61">
        <w:rPr>
          <w:rFonts w:eastAsia="Times New Roman" w:cs="Courier New"/>
          <w:color w:val="auto"/>
          <w:sz w:val="20"/>
          <w:szCs w:val="20"/>
          <w:bdr w:val="none" w:sz="0" w:space="0" w:color="auto"/>
          <w:lang w:val="pt-BR"/>
        </w:rPr>
        <w:t>spera</w:t>
      </w:r>
      <w:r w:rsidR="00F77B7F" w:rsidRPr="005D6E61">
        <w:rPr>
          <w:rFonts w:eastAsia="Times New Roman" w:cs="Courier New"/>
          <w:color w:val="auto"/>
          <w:sz w:val="20"/>
          <w:szCs w:val="20"/>
          <w:bdr w:val="none" w:sz="0" w:space="0" w:color="auto"/>
          <w:lang w:val="pt-BR"/>
        </w:rPr>
        <w:t xml:space="preserve"> do </w:t>
      </w:r>
      <w:r w:rsidR="00BF0B90" w:rsidRPr="005D6E61">
        <w:rPr>
          <w:rFonts w:eastAsia="Times New Roman" w:cs="Courier New"/>
          <w:color w:val="auto"/>
          <w:sz w:val="20"/>
          <w:szCs w:val="20"/>
          <w:bdr w:val="none" w:sz="0" w:space="0" w:color="auto"/>
          <w:lang w:val="pt-BR"/>
        </w:rPr>
        <w:t>fato</w:t>
      </w:r>
      <w:r w:rsidR="00F77B7F" w:rsidRPr="005D6E61">
        <w:rPr>
          <w:rFonts w:eastAsia="Times New Roman" w:cs="Courier New"/>
          <w:color w:val="auto"/>
          <w:sz w:val="20"/>
          <w:szCs w:val="20"/>
          <w:bdr w:val="none" w:sz="0" w:space="0" w:color="auto"/>
          <w:lang w:val="pt-BR"/>
        </w:rPr>
        <w:t xml:space="preserve"> em </w:t>
      </w:r>
      <w:r w:rsidRPr="005D6E61">
        <w:rPr>
          <w:rFonts w:eastAsia="Times New Roman" w:cs="Courier New"/>
          <w:color w:val="auto"/>
          <w:sz w:val="20"/>
          <w:szCs w:val="20"/>
          <w:bdr w:val="none" w:sz="0" w:space="0" w:color="auto"/>
          <w:lang w:val="pt-BR"/>
        </w:rPr>
        <w:t>compa</w:t>
      </w:r>
      <w:r w:rsidR="000324C8" w:rsidRPr="005D6E61">
        <w:rPr>
          <w:rFonts w:eastAsia="Times New Roman" w:cs="Courier New"/>
          <w:color w:val="auto"/>
          <w:sz w:val="20"/>
          <w:szCs w:val="20"/>
          <w:bdr w:val="none" w:sz="0" w:space="0" w:color="auto"/>
          <w:lang w:val="pt-BR"/>
        </w:rPr>
        <w:t>nh</w:t>
      </w:r>
      <w:r w:rsidR="005A2381" w:rsidRPr="005D6E61">
        <w:rPr>
          <w:rFonts w:eastAsia="Times New Roman" w:cs="Courier New"/>
          <w:color w:val="auto"/>
          <w:sz w:val="20"/>
          <w:szCs w:val="20"/>
          <w:bdr w:val="none" w:sz="0" w:space="0" w:color="auto"/>
          <w:lang w:val="pt-BR"/>
        </w:rPr>
        <w:t>ia</w:t>
      </w:r>
      <w:r w:rsidRPr="005D6E61">
        <w:rPr>
          <w:rFonts w:eastAsia="Times New Roman" w:cs="Courier New"/>
          <w:color w:val="auto"/>
          <w:sz w:val="20"/>
          <w:szCs w:val="20"/>
          <w:bdr w:val="none" w:sz="0" w:space="0" w:color="auto"/>
          <w:lang w:val="pt-BR"/>
        </w:rPr>
        <w:t xml:space="preserve"> de Amauri, pesa</w:t>
      </w:r>
      <w:r w:rsidR="00831912" w:rsidRPr="005D6E61">
        <w:rPr>
          <w:rFonts w:eastAsia="Times New Roman" w:cs="Courier New"/>
          <w:color w:val="auto"/>
          <w:sz w:val="20"/>
          <w:szCs w:val="20"/>
          <w:bdr w:val="none" w:sz="0" w:space="0" w:color="auto"/>
          <w:lang w:val="pt-BR"/>
        </w:rPr>
        <w:t>m</w:t>
      </w:r>
      <w:r w:rsidRPr="005D6E61">
        <w:rPr>
          <w:rFonts w:eastAsia="Times New Roman" w:cs="Courier New"/>
          <w:color w:val="auto"/>
          <w:sz w:val="20"/>
          <w:szCs w:val="20"/>
          <w:bdr w:val="none" w:sz="0" w:space="0" w:color="auto"/>
          <w:lang w:val="pt-BR"/>
        </w:rPr>
        <w:t xml:space="preserve"> contra </w:t>
      </w:r>
      <w:r w:rsidR="000324C8" w:rsidRPr="005D6E61">
        <w:rPr>
          <w:rFonts w:eastAsia="Times New Roman" w:cs="Courier New"/>
          <w:color w:val="auto"/>
          <w:sz w:val="20"/>
          <w:szCs w:val="20"/>
          <w:bdr w:val="none" w:sz="0" w:space="0" w:color="auto"/>
          <w:lang w:val="pt-BR"/>
        </w:rPr>
        <w:t>e</w:t>
      </w:r>
      <w:r w:rsidRPr="005D6E61">
        <w:rPr>
          <w:rFonts w:eastAsia="Times New Roman" w:cs="Courier New"/>
          <w:color w:val="auto"/>
          <w:sz w:val="20"/>
          <w:szCs w:val="20"/>
          <w:bdr w:val="none" w:sz="0" w:space="0" w:color="auto"/>
          <w:lang w:val="pt-BR"/>
        </w:rPr>
        <w:t>l</w:t>
      </w:r>
      <w:r w:rsidR="000324C8" w:rsidRPr="005D6E61">
        <w:rPr>
          <w:rFonts w:eastAsia="Times New Roman" w:cs="Courier New"/>
          <w:color w:val="auto"/>
          <w:sz w:val="20"/>
          <w:szCs w:val="20"/>
          <w:bdr w:val="none" w:sz="0" w:space="0" w:color="auto"/>
          <w:lang w:val="pt-BR"/>
        </w:rPr>
        <w:t>e</w:t>
      </w:r>
      <w:r w:rsidR="00F77B7F" w:rsidRPr="005D6E61">
        <w:rPr>
          <w:rFonts w:eastAsia="Times New Roman" w:cs="Courier New"/>
          <w:color w:val="auto"/>
          <w:sz w:val="20"/>
          <w:szCs w:val="20"/>
          <w:bdr w:val="none" w:sz="0" w:space="0" w:color="auto"/>
          <w:lang w:val="pt-BR"/>
        </w:rPr>
        <w:t xml:space="preserve"> os </w:t>
      </w:r>
      <w:r w:rsidR="0031191B" w:rsidRPr="005D6E61">
        <w:rPr>
          <w:rFonts w:eastAsia="Times New Roman" w:cs="Courier New"/>
          <w:color w:val="auto"/>
          <w:sz w:val="20"/>
          <w:szCs w:val="20"/>
          <w:bdr w:val="none" w:sz="0" w:space="0" w:color="auto"/>
          <w:lang w:val="pt-BR"/>
        </w:rPr>
        <w:t>testemunho</w:t>
      </w:r>
      <w:r w:rsidRPr="005D6E61">
        <w:rPr>
          <w:rFonts w:eastAsia="Times New Roman" w:cs="Courier New"/>
          <w:color w:val="auto"/>
          <w:sz w:val="20"/>
          <w:szCs w:val="20"/>
          <w:bdr w:val="none" w:sz="0" w:space="0" w:color="auto"/>
          <w:lang w:val="pt-BR"/>
        </w:rPr>
        <w:t xml:space="preserve">s de fls 99 </w:t>
      </w:r>
      <w:r w:rsidR="00831912" w:rsidRPr="005D6E61">
        <w:rPr>
          <w:rFonts w:eastAsia="Times New Roman" w:cs="Courier New"/>
          <w:color w:val="auto"/>
          <w:sz w:val="20"/>
          <w:szCs w:val="20"/>
          <w:bdr w:val="none" w:sz="0" w:space="0" w:color="auto"/>
          <w:lang w:val="pt-BR"/>
        </w:rPr>
        <w:t>e</w:t>
      </w:r>
      <w:r w:rsidR="000324C8" w:rsidRPr="005D6E61">
        <w:rPr>
          <w:rFonts w:eastAsia="Times New Roman" w:cs="Courier New"/>
          <w:color w:val="auto"/>
          <w:sz w:val="20"/>
          <w:szCs w:val="20"/>
          <w:bdr w:val="none" w:sz="0" w:space="0" w:color="auto"/>
          <w:lang w:val="pt-BR"/>
        </w:rPr>
        <w:t xml:space="preserve"> </w:t>
      </w:r>
      <w:r w:rsidRPr="005D6E61">
        <w:rPr>
          <w:rFonts w:eastAsia="Times New Roman" w:cs="Courier New"/>
          <w:color w:val="auto"/>
          <w:sz w:val="20"/>
          <w:szCs w:val="20"/>
          <w:bdr w:val="none" w:sz="0" w:space="0" w:color="auto"/>
          <w:lang w:val="pt-BR"/>
        </w:rPr>
        <w:t>100, que afirma</w:t>
      </w:r>
      <w:r w:rsidR="000324C8" w:rsidRPr="005D6E61">
        <w:rPr>
          <w:rFonts w:eastAsia="Times New Roman" w:cs="Courier New"/>
          <w:color w:val="auto"/>
          <w:sz w:val="20"/>
          <w:szCs w:val="20"/>
          <w:bdr w:val="none" w:sz="0" w:space="0" w:color="auto"/>
          <w:lang w:val="pt-BR"/>
        </w:rPr>
        <w:t>m</w:t>
      </w:r>
      <w:r w:rsidRPr="005D6E61">
        <w:rPr>
          <w:rFonts w:eastAsia="Times New Roman" w:cs="Courier New"/>
          <w:color w:val="auto"/>
          <w:sz w:val="20"/>
          <w:szCs w:val="20"/>
          <w:bdr w:val="none" w:sz="0" w:space="0" w:color="auto"/>
          <w:lang w:val="pt-BR"/>
        </w:rPr>
        <w:t xml:space="preserve"> que</w:t>
      </w:r>
      <w:r w:rsidR="00331E62" w:rsidRPr="005D6E61">
        <w:rPr>
          <w:rFonts w:eastAsia="Times New Roman" w:cs="Courier New"/>
          <w:color w:val="auto"/>
          <w:sz w:val="20"/>
          <w:szCs w:val="20"/>
          <w:bdr w:val="none" w:sz="0" w:space="0" w:color="auto"/>
          <w:lang w:val="pt-BR"/>
        </w:rPr>
        <w:t xml:space="preserve"> o </w:t>
      </w:r>
      <w:r w:rsidRPr="005D6E61">
        <w:rPr>
          <w:rFonts w:eastAsia="Times New Roman" w:cs="Courier New"/>
          <w:color w:val="auto"/>
          <w:sz w:val="20"/>
          <w:szCs w:val="20"/>
          <w:bdr w:val="none" w:sz="0" w:space="0" w:color="auto"/>
          <w:lang w:val="pt-BR"/>
        </w:rPr>
        <w:t>m</w:t>
      </w:r>
      <w:r w:rsidR="000324C8" w:rsidRPr="005D6E61">
        <w:rPr>
          <w:rFonts w:eastAsia="Times New Roman" w:cs="Courier New"/>
          <w:color w:val="auto"/>
          <w:sz w:val="20"/>
          <w:szCs w:val="20"/>
          <w:bdr w:val="none" w:sz="0" w:space="0" w:color="auto"/>
          <w:lang w:val="pt-BR"/>
        </w:rPr>
        <w:t>e</w:t>
      </w:r>
      <w:r w:rsidRPr="005D6E61">
        <w:rPr>
          <w:rFonts w:eastAsia="Times New Roman" w:cs="Courier New"/>
          <w:color w:val="auto"/>
          <w:sz w:val="20"/>
          <w:szCs w:val="20"/>
          <w:bdr w:val="none" w:sz="0" w:space="0" w:color="auto"/>
          <w:lang w:val="pt-BR"/>
        </w:rPr>
        <w:t xml:space="preserve">smo </w:t>
      </w:r>
      <w:r w:rsidR="0031191B" w:rsidRPr="005D6E61">
        <w:rPr>
          <w:rFonts w:eastAsia="Times New Roman" w:cs="Courier New"/>
          <w:color w:val="auto"/>
          <w:sz w:val="20"/>
          <w:szCs w:val="20"/>
          <w:bdr w:val="none" w:sz="0" w:space="0" w:color="auto"/>
          <w:lang w:val="pt-BR"/>
        </w:rPr>
        <w:t>veículo</w:t>
      </w:r>
      <w:r w:rsidRPr="005D6E61">
        <w:rPr>
          <w:rFonts w:eastAsia="Times New Roman" w:cs="Courier New"/>
          <w:color w:val="auto"/>
          <w:sz w:val="20"/>
          <w:szCs w:val="20"/>
          <w:bdr w:val="none" w:sz="0" w:space="0" w:color="auto"/>
          <w:lang w:val="pt-BR"/>
        </w:rPr>
        <w:t xml:space="preserve"> era ocupado por d</w:t>
      </w:r>
      <w:r w:rsidR="000324C8" w:rsidRPr="005D6E61">
        <w:rPr>
          <w:rFonts w:eastAsia="Times New Roman" w:cs="Courier New"/>
          <w:color w:val="auto"/>
          <w:sz w:val="20"/>
          <w:szCs w:val="20"/>
          <w:bdr w:val="none" w:sz="0" w:space="0" w:color="auto"/>
          <w:lang w:val="pt-BR"/>
        </w:rPr>
        <w:t>ua</w:t>
      </w:r>
      <w:r w:rsidRPr="005D6E61">
        <w:rPr>
          <w:rFonts w:eastAsia="Times New Roman" w:cs="Courier New"/>
          <w:color w:val="auto"/>
          <w:sz w:val="20"/>
          <w:szCs w:val="20"/>
          <w:bdr w:val="none" w:sz="0" w:space="0" w:color="auto"/>
          <w:lang w:val="pt-BR"/>
        </w:rPr>
        <w:t xml:space="preserve">s </w:t>
      </w:r>
      <w:r w:rsidR="0054428F" w:rsidRPr="005D6E61">
        <w:rPr>
          <w:rFonts w:eastAsia="Times New Roman" w:cs="Courier New"/>
          <w:color w:val="auto"/>
          <w:sz w:val="20"/>
          <w:szCs w:val="20"/>
          <w:bdr w:val="none" w:sz="0" w:space="0" w:color="auto"/>
          <w:lang w:val="pt-BR"/>
        </w:rPr>
        <w:t>pessoa</w:t>
      </w:r>
      <w:r w:rsidRPr="005D6E61">
        <w:rPr>
          <w:rFonts w:eastAsia="Times New Roman" w:cs="Courier New"/>
          <w:color w:val="auto"/>
          <w:sz w:val="20"/>
          <w:szCs w:val="20"/>
          <w:bdr w:val="none" w:sz="0" w:space="0" w:color="auto"/>
          <w:lang w:val="pt-BR"/>
        </w:rPr>
        <w:t xml:space="preserve">s </w:t>
      </w:r>
      <w:r w:rsidR="000324C8" w:rsidRPr="005D6E61">
        <w:rPr>
          <w:rFonts w:eastAsia="Times New Roman" w:cs="Courier New"/>
          <w:color w:val="auto"/>
          <w:sz w:val="20"/>
          <w:szCs w:val="20"/>
          <w:bdr w:val="none" w:sz="0" w:space="0" w:color="auto"/>
          <w:lang w:val="pt-BR"/>
        </w:rPr>
        <w:t xml:space="preserve">e </w:t>
      </w:r>
      <w:r w:rsidRPr="005D6E61">
        <w:rPr>
          <w:rFonts w:eastAsia="Times New Roman" w:cs="Courier New"/>
          <w:color w:val="auto"/>
          <w:sz w:val="20"/>
          <w:szCs w:val="20"/>
          <w:bdr w:val="none" w:sz="0" w:space="0" w:color="auto"/>
          <w:lang w:val="pt-BR"/>
        </w:rPr>
        <w:t>que</w:t>
      </w:r>
      <w:r w:rsidR="005A2381" w:rsidRPr="005D6E61">
        <w:rPr>
          <w:rFonts w:eastAsia="Times New Roman" w:cs="Courier New"/>
          <w:color w:val="auto"/>
          <w:sz w:val="20"/>
          <w:szCs w:val="20"/>
          <w:bdr w:val="none" w:sz="0" w:space="0" w:color="auto"/>
          <w:lang w:val="pt-BR"/>
        </w:rPr>
        <w:t xml:space="preserve"> na </w:t>
      </w:r>
      <w:r w:rsidRPr="005D6E61">
        <w:rPr>
          <w:rFonts w:eastAsia="Times New Roman" w:cs="Courier New"/>
          <w:color w:val="auto"/>
          <w:sz w:val="20"/>
          <w:szCs w:val="20"/>
          <w:bdr w:val="none" w:sz="0" w:space="0" w:color="auto"/>
          <w:lang w:val="pt-BR"/>
        </w:rPr>
        <w:t>v</w:t>
      </w:r>
      <w:r w:rsidR="000324C8" w:rsidRPr="005D6E61">
        <w:rPr>
          <w:rFonts w:eastAsia="Times New Roman" w:cs="Courier New"/>
          <w:color w:val="auto"/>
          <w:sz w:val="20"/>
          <w:szCs w:val="20"/>
          <w:bdr w:val="none" w:sz="0" w:space="0" w:color="auto"/>
          <w:lang w:val="pt-BR"/>
        </w:rPr>
        <w:t>é</w:t>
      </w:r>
      <w:r w:rsidRPr="005D6E61">
        <w:rPr>
          <w:rFonts w:eastAsia="Times New Roman" w:cs="Courier New"/>
          <w:color w:val="auto"/>
          <w:sz w:val="20"/>
          <w:szCs w:val="20"/>
          <w:bdr w:val="none" w:sz="0" w:space="0" w:color="auto"/>
          <w:lang w:val="pt-BR"/>
        </w:rPr>
        <w:t>spera</w:t>
      </w:r>
      <w:r w:rsidR="00F77B7F" w:rsidRPr="005D6E61">
        <w:rPr>
          <w:rFonts w:eastAsia="Times New Roman" w:cs="Courier New"/>
          <w:color w:val="auto"/>
          <w:sz w:val="20"/>
          <w:szCs w:val="20"/>
          <w:bdr w:val="none" w:sz="0" w:space="0" w:color="auto"/>
          <w:lang w:val="pt-BR"/>
        </w:rPr>
        <w:t xml:space="preserve"> do </w:t>
      </w:r>
      <w:r w:rsidR="0031191B" w:rsidRPr="005D6E61">
        <w:rPr>
          <w:rFonts w:eastAsia="Times New Roman" w:cs="Courier New"/>
          <w:color w:val="auto"/>
          <w:sz w:val="20"/>
          <w:szCs w:val="20"/>
          <w:bdr w:val="none" w:sz="0" w:space="0" w:color="auto"/>
          <w:lang w:val="pt-BR"/>
        </w:rPr>
        <w:t>crime</w:t>
      </w:r>
      <w:r w:rsidRPr="005D6E61">
        <w:rPr>
          <w:rFonts w:eastAsia="Times New Roman" w:cs="Courier New"/>
          <w:color w:val="auto"/>
          <w:sz w:val="20"/>
          <w:szCs w:val="20"/>
          <w:bdr w:val="none" w:sz="0" w:space="0" w:color="auto"/>
          <w:lang w:val="pt-BR"/>
        </w:rPr>
        <w:t>, durante</w:t>
      </w:r>
      <w:r w:rsidR="00331E62" w:rsidRPr="005D6E61">
        <w:rPr>
          <w:rFonts w:eastAsia="Times New Roman" w:cs="Courier New"/>
          <w:color w:val="auto"/>
          <w:sz w:val="20"/>
          <w:szCs w:val="20"/>
          <w:bdr w:val="none" w:sz="0" w:space="0" w:color="auto"/>
          <w:lang w:val="pt-BR"/>
        </w:rPr>
        <w:t xml:space="preserve"> a </w:t>
      </w:r>
      <w:r w:rsidRPr="005D6E61">
        <w:rPr>
          <w:rFonts w:eastAsia="Times New Roman" w:cs="Courier New"/>
          <w:color w:val="auto"/>
          <w:sz w:val="20"/>
          <w:szCs w:val="20"/>
          <w:bdr w:val="none" w:sz="0" w:space="0" w:color="auto"/>
          <w:lang w:val="pt-BR"/>
        </w:rPr>
        <w:t>ma</w:t>
      </w:r>
      <w:r w:rsidR="000324C8" w:rsidRPr="005D6E61">
        <w:rPr>
          <w:rFonts w:eastAsia="Times New Roman" w:cs="Courier New"/>
          <w:color w:val="auto"/>
          <w:sz w:val="20"/>
          <w:szCs w:val="20"/>
          <w:bdr w:val="none" w:sz="0" w:space="0" w:color="auto"/>
          <w:lang w:val="pt-BR"/>
        </w:rPr>
        <w:t>nhã, este</w:t>
      </w:r>
      <w:r w:rsidRPr="005D6E61">
        <w:rPr>
          <w:rFonts w:eastAsia="Times New Roman" w:cs="Courier New"/>
          <w:color w:val="auto"/>
          <w:sz w:val="20"/>
          <w:szCs w:val="20"/>
          <w:bdr w:val="none" w:sz="0" w:space="0" w:color="auto"/>
          <w:lang w:val="pt-BR"/>
        </w:rPr>
        <w:t>v</w:t>
      </w:r>
      <w:r w:rsidR="000324C8" w:rsidRPr="005D6E61">
        <w:rPr>
          <w:rFonts w:eastAsia="Times New Roman" w:cs="Courier New"/>
          <w:color w:val="auto"/>
          <w:sz w:val="20"/>
          <w:szCs w:val="20"/>
          <w:bdr w:val="none" w:sz="0" w:space="0" w:color="auto"/>
          <w:lang w:val="pt-BR"/>
        </w:rPr>
        <w:t>e</w:t>
      </w:r>
      <w:r w:rsidR="005A2381" w:rsidRPr="005D6E61">
        <w:rPr>
          <w:rFonts w:eastAsia="Times New Roman" w:cs="Courier New"/>
          <w:color w:val="auto"/>
          <w:sz w:val="20"/>
          <w:szCs w:val="20"/>
          <w:bdr w:val="none" w:sz="0" w:space="0" w:color="auto"/>
          <w:lang w:val="pt-BR"/>
        </w:rPr>
        <w:t xml:space="preserve"> na </w:t>
      </w:r>
      <w:r w:rsidRPr="005D6E61">
        <w:rPr>
          <w:rFonts w:eastAsia="Times New Roman" w:cs="Courier New"/>
          <w:color w:val="auto"/>
          <w:sz w:val="20"/>
          <w:szCs w:val="20"/>
          <w:bdr w:val="none" w:sz="0" w:space="0" w:color="auto"/>
          <w:lang w:val="pt-BR"/>
        </w:rPr>
        <w:t>casa</w:t>
      </w:r>
      <w:r w:rsidR="00675058" w:rsidRPr="005D6E61">
        <w:rPr>
          <w:rFonts w:eastAsia="Times New Roman" w:cs="Courier New"/>
          <w:color w:val="auto"/>
          <w:sz w:val="20"/>
          <w:szCs w:val="20"/>
          <w:bdr w:val="none" w:sz="0" w:space="0" w:color="auto"/>
          <w:lang w:val="pt-BR"/>
        </w:rPr>
        <w:t xml:space="preserve"> da </w:t>
      </w:r>
      <w:r w:rsidR="000324C8" w:rsidRPr="005D6E61">
        <w:rPr>
          <w:rFonts w:eastAsia="Times New Roman" w:cs="Courier New"/>
          <w:color w:val="auto"/>
          <w:sz w:val="20"/>
          <w:szCs w:val="20"/>
          <w:bdr w:val="none" w:sz="0" w:space="0" w:color="auto"/>
          <w:lang w:val="pt-BR"/>
        </w:rPr>
        <w:t>f</w:t>
      </w:r>
      <w:r w:rsidRPr="005D6E61">
        <w:rPr>
          <w:rFonts w:eastAsia="Times New Roman" w:cs="Courier New"/>
          <w:color w:val="auto"/>
          <w:sz w:val="20"/>
          <w:szCs w:val="20"/>
          <w:bdr w:val="none" w:sz="0" w:space="0" w:color="auto"/>
          <w:lang w:val="pt-BR"/>
        </w:rPr>
        <w:t>a</w:t>
      </w:r>
      <w:r w:rsidR="000324C8" w:rsidRPr="005D6E61">
        <w:rPr>
          <w:rFonts w:eastAsia="Times New Roman" w:cs="Courier New"/>
          <w:color w:val="auto"/>
          <w:sz w:val="20"/>
          <w:szCs w:val="20"/>
          <w:bdr w:val="none" w:sz="0" w:space="0" w:color="auto"/>
          <w:lang w:val="pt-BR"/>
        </w:rPr>
        <w:t>z</w:t>
      </w:r>
      <w:r w:rsidRPr="005D6E61">
        <w:rPr>
          <w:rFonts w:eastAsia="Times New Roman" w:cs="Courier New"/>
          <w:color w:val="auto"/>
          <w:sz w:val="20"/>
          <w:szCs w:val="20"/>
          <w:bdr w:val="none" w:sz="0" w:space="0" w:color="auto"/>
          <w:lang w:val="pt-BR"/>
        </w:rPr>
        <w:t>enda</w:t>
      </w:r>
      <w:r w:rsidR="00F77B7F" w:rsidRPr="005D6E61">
        <w:rPr>
          <w:rFonts w:eastAsia="Times New Roman" w:cs="Courier New"/>
          <w:color w:val="auto"/>
          <w:sz w:val="20"/>
          <w:szCs w:val="20"/>
          <w:bdr w:val="none" w:sz="0" w:space="0" w:color="auto"/>
          <w:lang w:val="pt-BR"/>
        </w:rPr>
        <w:t xml:space="preserve"> do </w:t>
      </w:r>
      <w:r w:rsidRPr="005D6E61">
        <w:rPr>
          <w:rFonts w:eastAsia="Times New Roman" w:cs="Courier New"/>
          <w:color w:val="auto"/>
          <w:sz w:val="20"/>
          <w:szCs w:val="20"/>
          <w:bdr w:val="none" w:sz="0" w:space="0" w:color="auto"/>
          <w:lang w:val="pt-BR"/>
        </w:rPr>
        <w:t>pa</w:t>
      </w:r>
      <w:r w:rsidR="000324C8" w:rsidRPr="005D6E61">
        <w:rPr>
          <w:rFonts w:eastAsia="Times New Roman" w:cs="Courier New"/>
          <w:color w:val="auto"/>
          <w:sz w:val="20"/>
          <w:szCs w:val="20"/>
          <w:bdr w:val="none" w:sz="0" w:space="0" w:color="auto"/>
          <w:lang w:val="pt-BR"/>
        </w:rPr>
        <w:t>i</w:t>
      </w:r>
      <w:r w:rsidR="00F77B7F" w:rsidRPr="005D6E61">
        <w:rPr>
          <w:rFonts w:eastAsia="Times New Roman" w:cs="Courier New"/>
          <w:color w:val="auto"/>
          <w:sz w:val="20"/>
          <w:szCs w:val="20"/>
          <w:bdr w:val="none" w:sz="0" w:space="0" w:color="auto"/>
          <w:lang w:val="pt-BR"/>
        </w:rPr>
        <w:t xml:space="preserve"> do </w:t>
      </w:r>
      <w:r w:rsidRPr="005D6E61">
        <w:rPr>
          <w:rFonts w:eastAsia="Times New Roman" w:cs="Courier New"/>
          <w:color w:val="auto"/>
          <w:sz w:val="20"/>
          <w:szCs w:val="20"/>
          <w:bdr w:val="none" w:sz="0" w:space="0" w:color="auto"/>
          <w:lang w:val="pt-BR"/>
        </w:rPr>
        <w:t>acusado (…)</w:t>
      </w:r>
      <w:r w:rsidRPr="005D6E61">
        <w:rPr>
          <w:color w:val="auto"/>
          <w:sz w:val="20"/>
          <w:szCs w:val="20"/>
          <w:vertAlign w:val="superscript"/>
          <w:lang w:val="pt-BR"/>
        </w:rPr>
        <w:footnoteReference w:id="57"/>
      </w:r>
      <w:r w:rsidRPr="005D6E61">
        <w:rPr>
          <w:rFonts w:eastAsia="Times New Roman" w:cs="Courier New"/>
          <w:color w:val="auto"/>
          <w:sz w:val="20"/>
          <w:szCs w:val="20"/>
          <w:bdr w:val="none" w:sz="0" w:space="0" w:color="auto"/>
          <w:lang w:val="pt-BR"/>
        </w:rPr>
        <w:t>.</w:t>
      </w:r>
    </w:p>
    <w:p w14:paraId="330673FB" w14:textId="77777777" w:rsidR="003E10E6" w:rsidRPr="005D6E61" w:rsidRDefault="0031191B" w:rsidP="003E10E6">
      <w:pPr>
        <w:pStyle w:val="Heading3"/>
        <w:numPr>
          <w:ilvl w:val="1"/>
          <w:numId w:val="54"/>
        </w:numPr>
        <w:tabs>
          <w:tab w:val="clear" w:pos="1800"/>
          <w:tab w:val="num" w:pos="1440"/>
        </w:tabs>
        <w:ind w:hanging="1080"/>
        <w:rPr>
          <w:rFonts w:asciiTheme="majorHAnsi" w:hAnsiTheme="majorHAnsi"/>
          <w:sz w:val="20"/>
          <w:szCs w:val="20"/>
          <w:lang w:val="pt-BR"/>
        </w:rPr>
      </w:pPr>
      <w:bookmarkStart w:id="18" w:name="_Toc27990564"/>
      <w:r w:rsidRPr="005D6E61">
        <w:rPr>
          <w:rFonts w:asciiTheme="majorHAnsi" w:hAnsiTheme="majorHAnsi"/>
          <w:sz w:val="20"/>
          <w:szCs w:val="20"/>
          <w:lang w:val="pt-BR"/>
        </w:rPr>
        <w:t>O processo</w:t>
      </w:r>
      <w:r w:rsidR="003E10E6" w:rsidRPr="005D6E61">
        <w:rPr>
          <w:rFonts w:asciiTheme="majorHAnsi" w:hAnsiTheme="majorHAnsi"/>
          <w:sz w:val="20"/>
          <w:szCs w:val="20"/>
          <w:lang w:val="pt-BR"/>
        </w:rPr>
        <w:t xml:space="preserve"> judicial 003.1983.0000067 (1983)</w:t>
      </w:r>
      <w:bookmarkEnd w:id="18"/>
    </w:p>
    <w:p w14:paraId="199C2659" w14:textId="77777777" w:rsidR="003E10E6" w:rsidRPr="005D6E61" w:rsidRDefault="003E10E6" w:rsidP="003E10E6">
      <w:pPr>
        <w:pStyle w:val="ListParagraph"/>
        <w:ind w:left="360" w:firstLine="720"/>
        <w:jc w:val="both"/>
        <w:rPr>
          <w:rFonts w:cs="Times New Roman"/>
          <w:sz w:val="20"/>
          <w:szCs w:val="20"/>
          <w:lang w:val="pt-BR"/>
        </w:rPr>
      </w:pPr>
    </w:p>
    <w:p w14:paraId="1677E6B9" w14:textId="77777777" w:rsidR="003E10E6" w:rsidRPr="005D6E61" w:rsidRDefault="000324C8" w:rsidP="00AD7E8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Dando</w:t>
      </w:r>
      <w:r w:rsidR="003E10E6" w:rsidRPr="005D6E61">
        <w:rPr>
          <w:rFonts w:ascii="Cambria" w:hAnsi="Cambria"/>
          <w:sz w:val="20"/>
          <w:szCs w:val="20"/>
          <w:lang w:val="pt-BR"/>
        </w:rPr>
        <w:t xml:space="preserve"> segui</w:t>
      </w:r>
      <w:r w:rsidR="00FB55C7" w:rsidRPr="005D6E61">
        <w:rPr>
          <w:rFonts w:ascii="Cambria" w:hAnsi="Cambria"/>
          <w:sz w:val="20"/>
          <w:szCs w:val="20"/>
          <w:lang w:val="pt-BR"/>
        </w:rPr>
        <w:t>mento</w:t>
      </w:r>
      <w:r w:rsidR="00275A65" w:rsidRPr="005D6E61">
        <w:rPr>
          <w:rFonts w:ascii="Cambria" w:hAnsi="Cambria"/>
          <w:sz w:val="20"/>
          <w:szCs w:val="20"/>
          <w:lang w:val="pt-BR"/>
        </w:rPr>
        <w:t xml:space="preserve"> </w:t>
      </w:r>
      <w:r w:rsidRPr="005D6E61">
        <w:rPr>
          <w:rFonts w:ascii="Cambria" w:hAnsi="Cambria"/>
          <w:sz w:val="20"/>
          <w:szCs w:val="20"/>
          <w:lang w:val="pt-BR"/>
        </w:rPr>
        <w:t xml:space="preserve">ao </w:t>
      </w:r>
      <w:r w:rsidR="003E10E6" w:rsidRPr="005D6E61">
        <w:rPr>
          <w:rFonts w:ascii="Cambria" w:hAnsi="Cambria"/>
          <w:sz w:val="20"/>
          <w:szCs w:val="20"/>
          <w:lang w:val="pt-BR"/>
        </w:rPr>
        <w:t>in</w:t>
      </w:r>
      <w:r w:rsidRPr="005D6E61">
        <w:rPr>
          <w:rFonts w:ascii="Cambria" w:hAnsi="Cambria"/>
          <w:sz w:val="20"/>
          <w:szCs w:val="20"/>
          <w:lang w:val="pt-BR"/>
        </w:rPr>
        <w:t>quérito</w:t>
      </w:r>
      <w:r w:rsidR="003E10E6" w:rsidRPr="005D6E61">
        <w:rPr>
          <w:rFonts w:ascii="Cambria" w:hAnsi="Cambria"/>
          <w:sz w:val="20"/>
          <w:szCs w:val="20"/>
          <w:lang w:val="pt-BR"/>
        </w:rPr>
        <w:t xml:space="preserve"> policial,</w:t>
      </w:r>
      <w:r w:rsidR="00331E62" w:rsidRPr="005D6E61">
        <w:rPr>
          <w:rFonts w:ascii="Cambria" w:hAnsi="Cambria"/>
          <w:sz w:val="20"/>
          <w:szCs w:val="20"/>
          <w:lang w:val="pt-BR"/>
        </w:rPr>
        <w:t xml:space="preserve"> </w:t>
      </w:r>
      <w:r w:rsidRPr="005D6E61">
        <w:rPr>
          <w:rFonts w:ascii="Cambria" w:hAnsi="Cambria"/>
          <w:sz w:val="20"/>
          <w:szCs w:val="20"/>
          <w:lang w:val="pt-BR"/>
        </w:rPr>
        <w:t>em</w:t>
      </w:r>
      <w:r w:rsidR="00331E62" w:rsidRPr="005D6E61">
        <w:rPr>
          <w:rFonts w:ascii="Cambria" w:hAnsi="Cambria"/>
          <w:sz w:val="20"/>
          <w:szCs w:val="20"/>
          <w:lang w:val="pt-BR"/>
        </w:rPr>
        <w:t xml:space="preserve"> </w:t>
      </w:r>
      <w:r w:rsidR="003E10E6" w:rsidRPr="005D6E61">
        <w:rPr>
          <w:rFonts w:ascii="Cambria" w:hAnsi="Cambria"/>
          <w:sz w:val="20"/>
          <w:szCs w:val="20"/>
          <w:lang w:val="pt-BR"/>
        </w:rPr>
        <w:t xml:space="preserve">22 de </w:t>
      </w:r>
      <w:r w:rsidR="003619A0" w:rsidRPr="005D6E61">
        <w:rPr>
          <w:rFonts w:ascii="Cambria" w:hAnsi="Cambria"/>
          <w:sz w:val="20"/>
          <w:szCs w:val="20"/>
          <w:lang w:val="pt-BR"/>
        </w:rPr>
        <w:t>dezembro</w:t>
      </w:r>
      <w:r w:rsidR="003E10E6" w:rsidRPr="005D6E61">
        <w:rPr>
          <w:rFonts w:ascii="Cambria" w:hAnsi="Cambria"/>
          <w:sz w:val="20"/>
          <w:szCs w:val="20"/>
          <w:lang w:val="pt-BR"/>
        </w:rPr>
        <w:t xml:space="preserve"> de 1983</w:t>
      </w:r>
      <w:r w:rsidR="00331E62" w:rsidRPr="005D6E61">
        <w:rPr>
          <w:rFonts w:ascii="Cambria" w:hAnsi="Cambria"/>
          <w:sz w:val="20"/>
          <w:szCs w:val="20"/>
          <w:lang w:val="pt-BR"/>
        </w:rPr>
        <w:t xml:space="preserve"> o </w:t>
      </w:r>
      <w:r w:rsidR="006B204E" w:rsidRPr="005D6E61">
        <w:rPr>
          <w:rFonts w:ascii="Cambria" w:hAnsi="Cambria"/>
          <w:sz w:val="20"/>
          <w:szCs w:val="20"/>
          <w:lang w:val="pt-BR"/>
        </w:rPr>
        <w:t>Ministério</w:t>
      </w:r>
      <w:r w:rsidR="003E10E6" w:rsidRPr="005D6E61">
        <w:rPr>
          <w:rFonts w:ascii="Cambria" w:hAnsi="Cambria"/>
          <w:sz w:val="20"/>
          <w:szCs w:val="20"/>
          <w:lang w:val="pt-BR"/>
        </w:rPr>
        <w:t xml:space="preserve"> Público </w:t>
      </w:r>
      <w:r w:rsidRPr="005D6E61">
        <w:rPr>
          <w:rFonts w:ascii="Cambria" w:hAnsi="Cambria"/>
          <w:sz w:val="20"/>
          <w:szCs w:val="20"/>
          <w:lang w:val="pt-BR"/>
        </w:rPr>
        <w:t>a</w:t>
      </w:r>
      <w:r w:rsidR="003E10E6" w:rsidRPr="005D6E61">
        <w:rPr>
          <w:rFonts w:ascii="Cambria" w:hAnsi="Cambria"/>
          <w:sz w:val="20"/>
          <w:szCs w:val="20"/>
          <w:lang w:val="pt-BR"/>
        </w:rPr>
        <w:t>present</w:t>
      </w:r>
      <w:r w:rsidR="00BF0B90" w:rsidRPr="005D6E61">
        <w:rPr>
          <w:rFonts w:ascii="Cambria" w:hAnsi="Cambria"/>
          <w:sz w:val="20"/>
          <w:szCs w:val="20"/>
          <w:lang w:val="pt-BR"/>
        </w:rPr>
        <w:t xml:space="preserve">ou </w:t>
      </w:r>
      <w:r w:rsidR="0031191B" w:rsidRPr="005D6E61">
        <w:rPr>
          <w:rFonts w:ascii="Cambria" w:hAnsi="Cambria"/>
          <w:sz w:val="20"/>
          <w:szCs w:val="20"/>
          <w:lang w:val="pt-BR"/>
        </w:rPr>
        <w:t>denúncia</w:t>
      </w:r>
      <w:r w:rsidR="00F77B7F" w:rsidRPr="005D6E61">
        <w:rPr>
          <w:rFonts w:ascii="Cambria" w:hAnsi="Cambria"/>
          <w:sz w:val="20"/>
          <w:szCs w:val="20"/>
          <w:lang w:val="pt-BR"/>
        </w:rPr>
        <w:t xml:space="preserve"> </w:t>
      </w:r>
      <w:r w:rsidR="003E10E6" w:rsidRPr="005D6E61">
        <w:rPr>
          <w:rFonts w:ascii="Cambria" w:hAnsi="Cambria"/>
          <w:sz w:val="20"/>
          <w:szCs w:val="20"/>
          <w:lang w:val="pt-BR"/>
        </w:rPr>
        <w:t>contra Amauri José do Rego, Amaro José do Rego</w:t>
      </w:r>
      <w:r w:rsidR="006C5454" w:rsidRPr="005D6E61">
        <w:rPr>
          <w:rFonts w:ascii="Cambria" w:hAnsi="Cambria"/>
          <w:sz w:val="20"/>
          <w:szCs w:val="20"/>
          <w:lang w:val="pt-BR"/>
        </w:rPr>
        <w:t xml:space="preserve"> e </w:t>
      </w:r>
      <w:r w:rsidR="003E10E6" w:rsidRPr="005D6E61">
        <w:rPr>
          <w:rFonts w:ascii="Cambria" w:hAnsi="Cambria"/>
          <w:sz w:val="20"/>
          <w:szCs w:val="20"/>
          <w:lang w:val="pt-BR"/>
        </w:rPr>
        <w:t>Antônio Carlos Coutinho Regis “Carlinhos”,</w:t>
      </w:r>
      <w:r w:rsidR="007612B9" w:rsidRPr="005D6E61">
        <w:rPr>
          <w:rFonts w:ascii="Cambria" w:hAnsi="Cambria"/>
          <w:sz w:val="20"/>
          <w:szCs w:val="20"/>
          <w:lang w:val="pt-BR"/>
        </w:rPr>
        <w:t xml:space="preserve"> pelo </w:t>
      </w:r>
      <w:r w:rsidR="00831912" w:rsidRPr="005D6E61">
        <w:rPr>
          <w:rFonts w:ascii="Cambria" w:hAnsi="Cambria"/>
          <w:sz w:val="20"/>
          <w:szCs w:val="20"/>
          <w:lang w:val="pt-BR"/>
        </w:rPr>
        <w:t>crime</w:t>
      </w:r>
      <w:r w:rsidR="003E10E6" w:rsidRPr="005D6E61">
        <w:rPr>
          <w:rFonts w:ascii="Cambria" w:hAnsi="Cambria"/>
          <w:sz w:val="20"/>
          <w:szCs w:val="20"/>
          <w:lang w:val="pt-BR"/>
        </w:rPr>
        <w:t xml:space="preserve"> de </w:t>
      </w:r>
      <w:r w:rsidR="00EB52A1" w:rsidRPr="005D6E61">
        <w:rPr>
          <w:rFonts w:ascii="Cambria" w:hAnsi="Cambria"/>
          <w:sz w:val="20"/>
          <w:szCs w:val="20"/>
          <w:lang w:val="pt-BR"/>
        </w:rPr>
        <w:t>assassinato</w:t>
      </w:r>
      <w:r w:rsidR="003E10E6" w:rsidRPr="005D6E61">
        <w:rPr>
          <w:rFonts w:ascii="Cambria" w:hAnsi="Cambria"/>
          <w:sz w:val="20"/>
          <w:szCs w:val="20"/>
          <w:lang w:val="pt-BR"/>
        </w:rPr>
        <w:t>,</w:t>
      </w:r>
      <w:r w:rsidR="00F77B7F" w:rsidRPr="005D6E61">
        <w:rPr>
          <w:rFonts w:ascii="Cambria" w:hAnsi="Cambria"/>
          <w:sz w:val="20"/>
          <w:szCs w:val="20"/>
          <w:lang w:val="pt-BR"/>
        </w:rPr>
        <w:t xml:space="preserve"> </w:t>
      </w:r>
      <w:r w:rsidRPr="005D6E61">
        <w:rPr>
          <w:rFonts w:ascii="Cambria" w:hAnsi="Cambria"/>
          <w:sz w:val="20"/>
          <w:szCs w:val="20"/>
          <w:lang w:val="pt-BR"/>
        </w:rPr>
        <w:t>na</w:t>
      </w:r>
      <w:r w:rsidR="00F77B7F" w:rsidRPr="005D6E61">
        <w:rPr>
          <w:rFonts w:ascii="Cambria" w:hAnsi="Cambria"/>
          <w:sz w:val="20"/>
          <w:szCs w:val="20"/>
          <w:lang w:val="pt-BR"/>
        </w:rPr>
        <w:t xml:space="preserve"> </w:t>
      </w:r>
      <w:r w:rsidRPr="005D6E61">
        <w:rPr>
          <w:rFonts w:ascii="Cambria" w:hAnsi="Cambria"/>
          <w:sz w:val="20"/>
          <w:szCs w:val="20"/>
          <w:lang w:val="pt-BR"/>
        </w:rPr>
        <w:t>qu</w:t>
      </w:r>
      <w:r w:rsidR="003E10E6" w:rsidRPr="005D6E61">
        <w:rPr>
          <w:rFonts w:ascii="Cambria" w:hAnsi="Cambria"/>
          <w:sz w:val="20"/>
          <w:szCs w:val="20"/>
          <w:lang w:val="pt-BR"/>
        </w:rPr>
        <w:t>ali</w:t>
      </w:r>
      <w:r w:rsidR="00FB55C7" w:rsidRPr="005D6E61">
        <w:rPr>
          <w:rFonts w:ascii="Cambria" w:hAnsi="Cambria"/>
          <w:sz w:val="20"/>
          <w:szCs w:val="20"/>
          <w:lang w:val="pt-BR"/>
        </w:rPr>
        <w:t xml:space="preserve">dade </w:t>
      </w:r>
      <w:r w:rsidR="003E10E6" w:rsidRPr="005D6E61">
        <w:rPr>
          <w:rFonts w:ascii="Cambria" w:hAnsi="Cambria"/>
          <w:sz w:val="20"/>
          <w:szCs w:val="20"/>
          <w:lang w:val="pt-BR"/>
        </w:rPr>
        <w:t>de autores materi</w:t>
      </w:r>
      <w:r w:rsidR="00331E62" w:rsidRPr="005D6E61">
        <w:rPr>
          <w:rFonts w:ascii="Cambria" w:hAnsi="Cambria"/>
          <w:sz w:val="20"/>
          <w:szCs w:val="20"/>
          <w:lang w:val="pt-BR"/>
        </w:rPr>
        <w:t>ais</w:t>
      </w:r>
      <w:r w:rsidR="003E10E6" w:rsidRPr="005D6E61">
        <w:rPr>
          <w:rStyle w:val="FootnoteReference"/>
          <w:rFonts w:ascii="Cambria" w:hAnsi="Cambria"/>
          <w:sz w:val="20"/>
          <w:szCs w:val="20"/>
          <w:lang w:val="pt-BR"/>
        </w:rPr>
        <w:footnoteReference w:id="58"/>
      </w:r>
      <w:r w:rsidR="00BA1757" w:rsidRPr="005D6E61">
        <w:rPr>
          <w:rFonts w:ascii="Cambria" w:hAnsi="Cambria"/>
          <w:sz w:val="20"/>
          <w:szCs w:val="20"/>
          <w:lang w:val="pt-BR"/>
        </w:rPr>
        <w:t>;</w:t>
      </w:r>
      <w:r w:rsidR="00F77B7F" w:rsidRPr="005D6E61">
        <w:rPr>
          <w:rFonts w:ascii="Cambria" w:hAnsi="Cambria"/>
          <w:sz w:val="20"/>
          <w:szCs w:val="20"/>
          <w:lang w:val="pt-BR"/>
        </w:rPr>
        <w:t xml:space="preserve"> não </w:t>
      </w:r>
      <w:r w:rsidR="003E10E6" w:rsidRPr="005D6E61">
        <w:rPr>
          <w:rFonts w:ascii="Cambria" w:hAnsi="Cambria"/>
          <w:sz w:val="20"/>
          <w:szCs w:val="20"/>
          <w:lang w:val="pt-BR"/>
        </w:rPr>
        <w:t>obstante</w:t>
      </w:r>
      <w:r w:rsidR="00BA1757" w:rsidRPr="005D6E61">
        <w:rPr>
          <w:rFonts w:ascii="Cambria" w:hAnsi="Cambria"/>
          <w:sz w:val="20"/>
          <w:szCs w:val="20"/>
          <w:lang w:val="pt-BR"/>
        </w:rPr>
        <w:t>,</w:t>
      </w:r>
      <w:r w:rsidR="00331E62" w:rsidRPr="005D6E61">
        <w:rPr>
          <w:rFonts w:ascii="Cambria" w:hAnsi="Cambria"/>
          <w:sz w:val="20"/>
          <w:szCs w:val="20"/>
          <w:lang w:val="pt-BR"/>
        </w:rPr>
        <w:t xml:space="preserve"> o </w:t>
      </w:r>
      <w:r w:rsidR="00730CDD" w:rsidRPr="005D6E61">
        <w:rPr>
          <w:rFonts w:ascii="Cambria" w:hAnsi="Cambria"/>
          <w:sz w:val="20"/>
          <w:szCs w:val="20"/>
          <w:lang w:val="pt-BR"/>
        </w:rPr>
        <w:t>processo</w:t>
      </w:r>
      <w:r w:rsidR="003E10E6" w:rsidRPr="005D6E61">
        <w:rPr>
          <w:rFonts w:ascii="Cambria" w:hAnsi="Cambria"/>
          <w:sz w:val="20"/>
          <w:szCs w:val="20"/>
          <w:lang w:val="pt-BR"/>
        </w:rPr>
        <w:t xml:space="preserve"> judicial</w:t>
      </w:r>
      <w:r w:rsidR="00F77B7F" w:rsidRPr="005D6E61">
        <w:rPr>
          <w:rFonts w:ascii="Cambria" w:hAnsi="Cambria"/>
          <w:sz w:val="20"/>
          <w:szCs w:val="20"/>
          <w:lang w:val="pt-BR"/>
        </w:rPr>
        <w:t xml:space="preserve"> </w:t>
      </w:r>
      <w:r w:rsidR="003E10E6" w:rsidRPr="005D6E61">
        <w:rPr>
          <w:rFonts w:ascii="Cambria" w:hAnsi="Cambria"/>
          <w:sz w:val="20"/>
          <w:szCs w:val="20"/>
          <w:lang w:val="pt-BR"/>
        </w:rPr>
        <w:t>contra Amauri José do Rego</w:t>
      </w:r>
      <w:r w:rsidR="006C5454" w:rsidRPr="005D6E61">
        <w:rPr>
          <w:rFonts w:ascii="Cambria" w:hAnsi="Cambria"/>
          <w:sz w:val="20"/>
          <w:szCs w:val="20"/>
          <w:lang w:val="pt-BR"/>
        </w:rPr>
        <w:t xml:space="preserve"> e </w:t>
      </w:r>
      <w:r w:rsidR="003E10E6" w:rsidRPr="005D6E61">
        <w:rPr>
          <w:rFonts w:ascii="Cambria" w:hAnsi="Cambria"/>
          <w:sz w:val="20"/>
          <w:szCs w:val="20"/>
          <w:lang w:val="pt-BR"/>
        </w:rPr>
        <w:t xml:space="preserve">Amaro José do Rego </w:t>
      </w:r>
      <w:r w:rsidR="00BA1757" w:rsidRPr="005D6E61">
        <w:rPr>
          <w:rFonts w:ascii="Cambria" w:hAnsi="Cambria"/>
          <w:sz w:val="20"/>
          <w:szCs w:val="20"/>
          <w:lang w:val="pt-BR"/>
        </w:rPr>
        <w:t>foi</w:t>
      </w:r>
      <w:r w:rsidR="00BF0B90" w:rsidRPr="005D6E61">
        <w:rPr>
          <w:rFonts w:ascii="Cambria" w:hAnsi="Cambria"/>
          <w:sz w:val="20"/>
          <w:szCs w:val="20"/>
          <w:lang w:val="pt-BR"/>
        </w:rPr>
        <w:t xml:space="preserve"> </w:t>
      </w:r>
      <w:r w:rsidR="003E10E6" w:rsidRPr="005D6E61">
        <w:rPr>
          <w:rFonts w:ascii="Cambria" w:hAnsi="Cambria"/>
          <w:sz w:val="20"/>
          <w:szCs w:val="20"/>
          <w:lang w:val="pt-BR"/>
        </w:rPr>
        <w:t>suspen</w:t>
      </w:r>
      <w:r w:rsidR="00BA1757" w:rsidRPr="005D6E61">
        <w:rPr>
          <w:rFonts w:ascii="Cambria" w:hAnsi="Cambria"/>
          <w:sz w:val="20"/>
          <w:szCs w:val="20"/>
          <w:lang w:val="pt-BR"/>
        </w:rPr>
        <w:t>s</w:t>
      </w:r>
      <w:r w:rsidR="003E10E6" w:rsidRPr="005D6E61">
        <w:rPr>
          <w:rFonts w:ascii="Cambria" w:hAnsi="Cambria"/>
          <w:sz w:val="20"/>
          <w:szCs w:val="20"/>
          <w:lang w:val="pt-BR"/>
        </w:rPr>
        <w:t>o porque ambos e</w:t>
      </w:r>
      <w:r w:rsidR="0031191B" w:rsidRPr="005D6E61">
        <w:rPr>
          <w:rFonts w:ascii="Cambria" w:hAnsi="Cambria"/>
          <w:sz w:val="20"/>
          <w:szCs w:val="20"/>
          <w:lang w:val="pt-BR"/>
        </w:rPr>
        <w:t>stavam foragidos</w:t>
      </w:r>
      <w:r w:rsidR="003E10E6" w:rsidRPr="005D6E61">
        <w:rPr>
          <w:rStyle w:val="FootnoteReference"/>
          <w:rFonts w:ascii="Cambria" w:hAnsi="Cambria"/>
          <w:sz w:val="20"/>
          <w:szCs w:val="20"/>
          <w:lang w:val="pt-BR"/>
        </w:rPr>
        <w:footnoteReference w:id="59"/>
      </w:r>
      <w:r w:rsidR="003E10E6" w:rsidRPr="005D6E61">
        <w:rPr>
          <w:rFonts w:ascii="Cambria" w:hAnsi="Cambria"/>
          <w:sz w:val="20"/>
          <w:szCs w:val="20"/>
          <w:lang w:val="pt-BR"/>
        </w:rPr>
        <w:t>. Entre 1985</w:t>
      </w:r>
      <w:r w:rsidR="006C5454" w:rsidRPr="005D6E61">
        <w:rPr>
          <w:rFonts w:ascii="Cambria" w:hAnsi="Cambria"/>
          <w:sz w:val="20"/>
          <w:szCs w:val="20"/>
          <w:lang w:val="pt-BR"/>
        </w:rPr>
        <w:t xml:space="preserve"> e </w:t>
      </w:r>
      <w:r w:rsidR="003E10E6" w:rsidRPr="005D6E61">
        <w:rPr>
          <w:rFonts w:ascii="Cambria" w:hAnsi="Cambria"/>
          <w:sz w:val="20"/>
          <w:szCs w:val="20"/>
          <w:lang w:val="pt-BR"/>
        </w:rPr>
        <w:t>1999 f</w:t>
      </w:r>
      <w:r w:rsidR="00BA1757" w:rsidRPr="005D6E61">
        <w:rPr>
          <w:rFonts w:ascii="Cambria" w:hAnsi="Cambria"/>
          <w:sz w:val="20"/>
          <w:szCs w:val="20"/>
          <w:lang w:val="pt-BR"/>
        </w:rPr>
        <w:t>oram</w:t>
      </w:r>
      <w:r w:rsidR="003E10E6" w:rsidRPr="005D6E61">
        <w:rPr>
          <w:rFonts w:ascii="Cambria" w:hAnsi="Cambria"/>
          <w:sz w:val="20"/>
          <w:szCs w:val="20"/>
          <w:lang w:val="pt-BR"/>
        </w:rPr>
        <w:t xml:space="preserve"> expedidas v</w:t>
      </w:r>
      <w:r w:rsidR="00BA1757" w:rsidRPr="005D6E61">
        <w:rPr>
          <w:rFonts w:ascii="Cambria" w:hAnsi="Cambria"/>
          <w:sz w:val="20"/>
          <w:szCs w:val="20"/>
          <w:lang w:val="pt-BR"/>
        </w:rPr>
        <w:t>á</w:t>
      </w:r>
      <w:r w:rsidR="003E10E6" w:rsidRPr="005D6E61">
        <w:rPr>
          <w:rFonts w:ascii="Cambria" w:hAnsi="Cambria"/>
          <w:sz w:val="20"/>
          <w:szCs w:val="20"/>
          <w:lang w:val="pt-BR"/>
        </w:rPr>
        <w:t xml:space="preserve">rias </w:t>
      </w:r>
      <w:r w:rsidR="00BA1757" w:rsidRPr="005D6E61">
        <w:rPr>
          <w:rFonts w:ascii="Cambria" w:hAnsi="Cambria"/>
          <w:sz w:val="20"/>
          <w:szCs w:val="20"/>
          <w:lang w:val="pt-BR"/>
        </w:rPr>
        <w:t>o</w:t>
      </w:r>
      <w:r w:rsidR="003E10E6" w:rsidRPr="005D6E61">
        <w:rPr>
          <w:rFonts w:ascii="Cambria" w:hAnsi="Cambria"/>
          <w:sz w:val="20"/>
          <w:szCs w:val="20"/>
          <w:lang w:val="pt-BR"/>
        </w:rPr>
        <w:t>rdens de deten</w:t>
      </w:r>
      <w:r w:rsidR="00A274D9" w:rsidRPr="005D6E61">
        <w:rPr>
          <w:rFonts w:ascii="Cambria" w:hAnsi="Cambria"/>
          <w:sz w:val="20"/>
          <w:szCs w:val="20"/>
          <w:lang w:val="pt-BR"/>
        </w:rPr>
        <w:t>ção</w:t>
      </w:r>
      <w:r w:rsidR="00F77B7F" w:rsidRPr="005D6E61">
        <w:rPr>
          <w:rFonts w:ascii="Cambria" w:hAnsi="Cambria"/>
          <w:sz w:val="20"/>
          <w:szCs w:val="20"/>
          <w:lang w:val="pt-BR"/>
        </w:rPr>
        <w:t xml:space="preserve"> </w:t>
      </w:r>
      <w:r w:rsidR="003E10E6" w:rsidRPr="005D6E61">
        <w:rPr>
          <w:rFonts w:ascii="Cambria" w:hAnsi="Cambria"/>
          <w:sz w:val="20"/>
          <w:szCs w:val="20"/>
          <w:lang w:val="pt-BR"/>
        </w:rPr>
        <w:t>contra Amauri José do Rego</w:t>
      </w:r>
      <w:r w:rsidR="003E10E6" w:rsidRPr="005D6E61">
        <w:rPr>
          <w:rStyle w:val="FootnoteReference"/>
          <w:rFonts w:ascii="Cambria" w:hAnsi="Cambria"/>
          <w:sz w:val="20"/>
          <w:szCs w:val="20"/>
          <w:lang w:val="pt-BR"/>
        </w:rPr>
        <w:footnoteReference w:id="60"/>
      </w:r>
      <w:r w:rsidR="006C5454" w:rsidRPr="005D6E61">
        <w:rPr>
          <w:rFonts w:ascii="Cambria" w:hAnsi="Cambria"/>
          <w:sz w:val="20"/>
          <w:szCs w:val="20"/>
          <w:lang w:val="pt-BR"/>
        </w:rPr>
        <w:t xml:space="preserve"> e </w:t>
      </w:r>
      <w:r w:rsidR="003E10E6" w:rsidRPr="005D6E61">
        <w:rPr>
          <w:rFonts w:ascii="Cambria" w:hAnsi="Cambria"/>
          <w:sz w:val="20"/>
          <w:szCs w:val="20"/>
          <w:lang w:val="pt-BR"/>
        </w:rPr>
        <w:t>Amaro José do Rego</w:t>
      </w:r>
      <w:r w:rsidR="003E10E6" w:rsidRPr="005D6E61">
        <w:rPr>
          <w:rStyle w:val="FootnoteReference"/>
          <w:rFonts w:ascii="Cambria" w:hAnsi="Cambria"/>
          <w:sz w:val="20"/>
          <w:szCs w:val="20"/>
          <w:lang w:val="pt-BR"/>
        </w:rPr>
        <w:footnoteReference w:id="61"/>
      </w:r>
      <w:r w:rsidR="003E10E6" w:rsidRPr="005D6E61">
        <w:rPr>
          <w:rFonts w:ascii="Cambria" w:hAnsi="Cambria"/>
          <w:sz w:val="20"/>
          <w:szCs w:val="20"/>
          <w:lang w:val="pt-BR"/>
        </w:rPr>
        <w:t>.</w:t>
      </w:r>
    </w:p>
    <w:p w14:paraId="10DAF823" w14:textId="77777777" w:rsidR="003E10E6" w:rsidRPr="005D6E61"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pt-BR"/>
        </w:rPr>
      </w:pPr>
    </w:p>
    <w:p w14:paraId="3B6E21A5" w14:textId="77777777" w:rsidR="00E2165C" w:rsidRPr="005D6E61" w:rsidRDefault="00EC647E" w:rsidP="006E725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Em</w:t>
      </w:r>
      <w:r w:rsidR="003E10E6" w:rsidRPr="005D6E61">
        <w:rPr>
          <w:rFonts w:ascii="Cambria" w:hAnsi="Cambria"/>
          <w:sz w:val="20"/>
          <w:szCs w:val="20"/>
          <w:lang w:val="pt-BR"/>
        </w:rPr>
        <w:t xml:space="preserve"> 5 de jul</w:t>
      </w:r>
      <w:r w:rsidR="008E599F" w:rsidRPr="005D6E61">
        <w:rPr>
          <w:rFonts w:ascii="Cambria" w:hAnsi="Cambria"/>
          <w:sz w:val="20"/>
          <w:szCs w:val="20"/>
          <w:lang w:val="pt-BR"/>
        </w:rPr>
        <w:t>h</w:t>
      </w:r>
      <w:r w:rsidR="003E10E6" w:rsidRPr="005D6E61">
        <w:rPr>
          <w:rFonts w:ascii="Cambria" w:hAnsi="Cambria"/>
          <w:sz w:val="20"/>
          <w:szCs w:val="20"/>
          <w:lang w:val="pt-BR"/>
        </w:rPr>
        <w:t>o de 1988</w:t>
      </w:r>
      <w:r w:rsidR="00331E62" w:rsidRPr="005D6E61">
        <w:rPr>
          <w:rFonts w:ascii="Cambria" w:hAnsi="Cambria"/>
          <w:sz w:val="20"/>
          <w:szCs w:val="20"/>
          <w:lang w:val="pt-BR"/>
        </w:rPr>
        <w:t xml:space="preserve"> o </w:t>
      </w:r>
      <w:r w:rsidR="003E10E6" w:rsidRPr="005D6E61">
        <w:rPr>
          <w:rFonts w:ascii="Cambria" w:hAnsi="Cambria"/>
          <w:sz w:val="20"/>
          <w:szCs w:val="20"/>
          <w:lang w:val="pt-BR"/>
        </w:rPr>
        <w:t>Tribunal d</w:t>
      </w:r>
      <w:r w:rsidR="008E599F" w:rsidRPr="005D6E61">
        <w:rPr>
          <w:rFonts w:ascii="Cambria" w:hAnsi="Cambria"/>
          <w:sz w:val="20"/>
          <w:szCs w:val="20"/>
          <w:lang w:val="pt-BR"/>
        </w:rPr>
        <w:t>o</w:t>
      </w:r>
      <w:r w:rsidR="003E10E6" w:rsidRPr="005D6E61">
        <w:rPr>
          <w:rFonts w:ascii="Cambria" w:hAnsi="Cambria"/>
          <w:sz w:val="20"/>
          <w:szCs w:val="20"/>
          <w:lang w:val="pt-BR"/>
        </w:rPr>
        <w:t xml:space="preserve"> </w:t>
      </w:r>
      <w:r w:rsidR="006C535C" w:rsidRPr="005D6E61">
        <w:rPr>
          <w:rFonts w:ascii="Cambria" w:hAnsi="Cambria"/>
          <w:sz w:val="20"/>
          <w:szCs w:val="20"/>
          <w:lang w:val="pt-BR"/>
        </w:rPr>
        <w:t>Júri absolveu</w:t>
      </w:r>
      <w:r w:rsidR="00BF0B90" w:rsidRPr="005D6E61">
        <w:rPr>
          <w:rFonts w:ascii="Cambria" w:hAnsi="Cambria"/>
          <w:sz w:val="20"/>
          <w:szCs w:val="20"/>
          <w:lang w:val="pt-BR"/>
        </w:rPr>
        <w:t xml:space="preserve"> </w:t>
      </w:r>
      <w:r w:rsidR="00CD523F" w:rsidRPr="005D6E61">
        <w:rPr>
          <w:rFonts w:ascii="Cambria" w:hAnsi="Cambria"/>
          <w:sz w:val="20"/>
          <w:szCs w:val="20"/>
          <w:lang w:val="pt-BR"/>
        </w:rPr>
        <w:t xml:space="preserve">o </w:t>
      </w:r>
      <w:r w:rsidR="003E10E6" w:rsidRPr="005D6E61">
        <w:rPr>
          <w:rFonts w:ascii="Cambria" w:hAnsi="Cambria"/>
          <w:sz w:val="20"/>
          <w:szCs w:val="20"/>
          <w:lang w:val="pt-BR"/>
        </w:rPr>
        <w:t>se</w:t>
      </w:r>
      <w:r w:rsidR="008E599F" w:rsidRPr="005D6E61">
        <w:rPr>
          <w:rFonts w:ascii="Cambria" w:hAnsi="Cambria"/>
          <w:sz w:val="20"/>
          <w:szCs w:val="20"/>
          <w:lang w:val="pt-BR"/>
        </w:rPr>
        <w:t>nh</w:t>
      </w:r>
      <w:r w:rsidR="003E10E6" w:rsidRPr="005D6E61">
        <w:rPr>
          <w:rFonts w:ascii="Cambria" w:hAnsi="Cambria"/>
          <w:sz w:val="20"/>
          <w:szCs w:val="20"/>
          <w:lang w:val="pt-BR"/>
        </w:rPr>
        <w:t>or Antônio Carlos Coutinho Régis</w:t>
      </w:r>
      <w:r w:rsidR="00CD523F" w:rsidRPr="005D6E61">
        <w:rPr>
          <w:rFonts w:ascii="Cambria" w:hAnsi="Cambria"/>
          <w:sz w:val="20"/>
          <w:szCs w:val="20"/>
          <w:lang w:val="pt-BR"/>
        </w:rPr>
        <w:t xml:space="preserve"> ao </w:t>
      </w:r>
      <w:r w:rsidR="003E10E6" w:rsidRPr="005D6E61">
        <w:rPr>
          <w:rFonts w:ascii="Cambria" w:hAnsi="Cambria"/>
          <w:sz w:val="20"/>
          <w:szCs w:val="20"/>
          <w:lang w:val="pt-BR"/>
        </w:rPr>
        <w:t>considerar que</w:t>
      </w:r>
      <w:r w:rsidR="00F77B7F" w:rsidRPr="005D6E61">
        <w:rPr>
          <w:rFonts w:ascii="Cambria" w:hAnsi="Cambria"/>
          <w:sz w:val="20"/>
          <w:szCs w:val="20"/>
          <w:lang w:val="pt-BR"/>
        </w:rPr>
        <w:t xml:space="preserve"> não </w:t>
      </w:r>
      <w:r w:rsidR="003E10E6" w:rsidRPr="005D6E61">
        <w:rPr>
          <w:rFonts w:ascii="Cambria" w:hAnsi="Cambria"/>
          <w:sz w:val="20"/>
          <w:szCs w:val="20"/>
          <w:lang w:val="pt-BR"/>
        </w:rPr>
        <w:t>t</w:t>
      </w:r>
      <w:r w:rsidR="008E599F" w:rsidRPr="005D6E61">
        <w:rPr>
          <w:rFonts w:ascii="Cambria" w:hAnsi="Cambria"/>
          <w:sz w:val="20"/>
          <w:szCs w:val="20"/>
          <w:lang w:val="pt-BR"/>
        </w:rPr>
        <w:t>e</w:t>
      </w:r>
      <w:r w:rsidR="003E10E6" w:rsidRPr="005D6E61">
        <w:rPr>
          <w:rFonts w:ascii="Cambria" w:hAnsi="Cambria"/>
          <w:sz w:val="20"/>
          <w:szCs w:val="20"/>
          <w:lang w:val="pt-BR"/>
        </w:rPr>
        <w:t>v</w:t>
      </w:r>
      <w:r w:rsidR="008E599F" w:rsidRPr="005D6E61">
        <w:rPr>
          <w:rFonts w:ascii="Cambria" w:hAnsi="Cambria"/>
          <w:sz w:val="20"/>
          <w:szCs w:val="20"/>
          <w:lang w:val="pt-BR"/>
        </w:rPr>
        <w:t>e</w:t>
      </w:r>
      <w:r w:rsidR="003E10E6" w:rsidRPr="005D6E61">
        <w:rPr>
          <w:rFonts w:ascii="Cambria" w:hAnsi="Cambria"/>
          <w:sz w:val="20"/>
          <w:szCs w:val="20"/>
          <w:lang w:val="pt-BR"/>
        </w:rPr>
        <w:t xml:space="preserve"> n</w:t>
      </w:r>
      <w:r w:rsidR="008E599F" w:rsidRPr="005D6E61">
        <w:rPr>
          <w:rFonts w:ascii="Cambria" w:hAnsi="Cambria"/>
          <w:sz w:val="20"/>
          <w:szCs w:val="20"/>
          <w:lang w:val="pt-BR"/>
        </w:rPr>
        <w:t>enhuma</w:t>
      </w:r>
      <w:r w:rsidR="003E10E6" w:rsidRPr="005D6E61">
        <w:rPr>
          <w:rFonts w:ascii="Cambria" w:hAnsi="Cambria"/>
          <w:sz w:val="20"/>
          <w:szCs w:val="20"/>
          <w:lang w:val="pt-BR"/>
        </w:rPr>
        <w:t xml:space="preserve"> participa</w:t>
      </w:r>
      <w:r w:rsidR="00A274D9" w:rsidRPr="005D6E61">
        <w:rPr>
          <w:rFonts w:ascii="Cambria" w:hAnsi="Cambria"/>
          <w:sz w:val="20"/>
          <w:szCs w:val="20"/>
          <w:lang w:val="pt-BR"/>
        </w:rPr>
        <w:t>ção</w:t>
      </w:r>
      <w:r w:rsidR="00331E62" w:rsidRPr="005D6E61">
        <w:rPr>
          <w:rFonts w:ascii="Cambria" w:hAnsi="Cambria"/>
          <w:sz w:val="20"/>
          <w:szCs w:val="20"/>
          <w:lang w:val="pt-BR"/>
        </w:rPr>
        <w:t xml:space="preserve"> no </w:t>
      </w:r>
      <w:r w:rsidR="0031191B" w:rsidRPr="005D6E61">
        <w:rPr>
          <w:rFonts w:ascii="Cambria" w:hAnsi="Cambria"/>
          <w:sz w:val="20"/>
          <w:szCs w:val="20"/>
          <w:lang w:val="pt-BR"/>
        </w:rPr>
        <w:t>crime</w:t>
      </w:r>
      <w:r w:rsidR="003E10E6" w:rsidRPr="005D6E61">
        <w:rPr>
          <w:rFonts w:ascii="Cambria" w:hAnsi="Cambria"/>
          <w:sz w:val="20"/>
          <w:szCs w:val="20"/>
          <w:vertAlign w:val="superscript"/>
          <w:lang w:val="pt-BR"/>
        </w:rPr>
        <w:footnoteReference w:id="62"/>
      </w:r>
      <w:r w:rsidR="003E10E6" w:rsidRPr="005D6E61">
        <w:rPr>
          <w:rFonts w:ascii="Cambria" w:hAnsi="Cambria"/>
          <w:sz w:val="20"/>
          <w:szCs w:val="20"/>
          <w:lang w:val="pt-BR"/>
        </w:rPr>
        <w:t xml:space="preserve">. </w:t>
      </w:r>
      <w:r w:rsidR="003655B3" w:rsidRPr="005D6E61">
        <w:rPr>
          <w:rFonts w:ascii="Cambria" w:hAnsi="Cambria"/>
          <w:sz w:val="20"/>
          <w:szCs w:val="20"/>
          <w:lang w:val="pt-BR"/>
        </w:rPr>
        <w:t>Segundo</w:t>
      </w:r>
      <w:r w:rsidR="003E10E6" w:rsidRPr="005D6E61">
        <w:rPr>
          <w:rFonts w:ascii="Cambria" w:hAnsi="Cambria"/>
          <w:sz w:val="20"/>
          <w:szCs w:val="20"/>
          <w:lang w:val="pt-BR"/>
        </w:rPr>
        <w:t xml:space="preserve"> consta</w:t>
      </w:r>
      <w:r w:rsidR="005A2381" w:rsidRPr="005D6E61">
        <w:rPr>
          <w:rFonts w:ascii="Cambria" w:hAnsi="Cambria"/>
          <w:sz w:val="20"/>
          <w:szCs w:val="20"/>
          <w:lang w:val="pt-BR"/>
        </w:rPr>
        <w:t xml:space="preserve"> na </w:t>
      </w:r>
      <w:r w:rsidR="003E10E6" w:rsidRPr="005D6E61">
        <w:rPr>
          <w:rFonts w:ascii="Cambria" w:hAnsi="Cambria"/>
          <w:sz w:val="20"/>
          <w:szCs w:val="20"/>
          <w:lang w:val="pt-BR"/>
        </w:rPr>
        <w:t>decis</w:t>
      </w:r>
      <w:r w:rsidR="008E599F" w:rsidRPr="005D6E61">
        <w:rPr>
          <w:rFonts w:ascii="Cambria" w:hAnsi="Cambria"/>
          <w:sz w:val="20"/>
          <w:szCs w:val="20"/>
          <w:lang w:val="pt-BR"/>
        </w:rPr>
        <w:t>ão</w:t>
      </w:r>
      <w:r w:rsidR="003E10E6" w:rsidRPr="005D6E61">
        <w:rPr>
          <w:rFonts w:ascii="Cambria" w:hAnsi="Cambria"/>
          <w:sz w:val="20"/>
          <w:szCs w:val="20"/>
          <w:lang w:val="pt-BR"/>
        </w:rPr>
        <w:t>,</w:t>
      </w:r>
      <w:r w:rsidR="00331E62" w:rsidRPr="005D6E61">
        <w:rPr>
          <w:rFonts w:ascii="Cambria" w:hAnsi="Cambria"/>
          <w:sz w:val="20"/>
          <w:szCs w:val="20"/>
          <w:lang w:val="pt-BR"/>
        </w:rPr>
        <w:t xml:space="preserve"> o </w:t>
      </w:r>
      <w:r w:rsidR="003E10E6" w:rsidRPr="005D6E61">
        <w:rPr>
          <w:rFonts w:ascii="Cambria" w:hAnsi="Cambria"/>
          <w:sz w:val="20"/>
          <w:szCs w:val="20"/>
          <w:lang w:val="pt-BR"/>
        </w:rPr>
        <w:t>Tribunal</w:t>
      </w:r>
      <w:r w:rsidR="00F77B7F" w:rsidRPr="005D6E61">
        <w:rPr>
          <w:rFonts w:ascii="Cambria" w:hAnsi="Cambria"/>
          <w:sz w:val="20"/>
          <w:szCs w:val="20"/>
          <w:lang w:val="pt-BR"/>
        </w:rPr>
        <w:t xml:space="preserve"> não </w:t>
      </w:r>
      <w:r w:rsidR="003E10E6" w:rsidRPr="005D6E61">
        <w:rPr>
          <w:rFonts w:ascii="Cambria" w:hAnsi="Cambria"/>
          <w:sz w:val="20"/>
          <w:szCs w:val="20"/>
          <w:lang w:val="pt-BR"/>
        </w:rPr>
        <w:t>detal</w:t>
      </w:r>
      <w:r w:rsidR="008E599F" w:rsidRPr="005D6E61">
        <w:rPr>
          <w:rFonts w:ascii="Cambria" w:hAnsi="Cambria"/>
          <w:sz w:val="20"/>
          <w:szCs w:val="20"/>
          <w:lang w:val="pt-BR"/>
        </w:rPr>
        <w:t>h</w:t>
      </w:r>
      <w:r w:rsidR="00BF0B90" w:rsidRPr="005D6E61">
        <w:rPr>
          <w:rFonts w:ascii="Cambria" w:hAnsi="Cambria"/>
          <w:sz w:val="20"/>
          <w:szCs w:val="20"/>
          <w:lang w:val="pt-BR"/>
        </w:rPr>
        <w:t xml:space="preserve">ou </w:t>
      </w:r>
      <w:r w:rsidR="00F77B7F" w:rsidRPr="005D6E61">
        <w:rPr>
          <w:rFonts w:ascii="Cambria" w:hAnsi="Cambria"/>
          <w:sz w:val="20"/>
          <w:szCs w:val="20"/>
          <w:lang w:val="pt-BR"/>
        </w:rPr>
        <w:t xml:space="preserve">as </w:t>
      </w:r>
      <w:r w:rsidR="003E10E6" w:rsidRPr="005D6E61">
        <w:rPr>
          <w:rFonts w:ascii="Cambria" w:hAnsi="Cambria"/>
          <w:sz w:val="20"/>
          <w:szCs w:val="20"/>
          <w:lang w:val="pt-BR"/>
        </w:rPr>
        <w:t>raz</w:t>
      </w:r>
      <w:r w:rsidR="008E599F" w:rsidRPr="005D6E61">
        <w:rPr>
          <w:rFonts w:ascii="Cambria" w:hAnsi="Cambria"/>
          <w:sz w:val="20"/>
          <w:szCs w:val="20"/>
          <w:lang w:val="pt-BR"/>
        </w:rPr>
        <w:t>õ</w:t>
      </w:r>
      <w:r w:rsidR="003E10E6" w:rsidRPr="005D6E61">
        <w:rPr>
          <w:rFonts w:ascii="Cambria" w:hAnsi="Cambria"/>
          <w:sz w:val="20"/>
          <w:szCs w:val="20"/>
          <w:lang w:val="pt-BR"/>
        </w:rPr>
        <w:t>es p</w:t>
      </w:r>
      <w:r w:rsidR="008E599F" w:rsidRPr="005D6E61">
        <w:rPr>
          <w:rFonts w:ascii="Cambria" w:hAnsi="Cambria"/>
          <w:sz w:val="20"/>
          <w:szCs w:val="20"/>
          <w:lang w:val="pt-BR"/>
        </w:rPr>
        <w:t>el</w:t>
      </w:r>
      <w:r w:rsidR="00F77B7F" w:rsidRPr="005D6E61">
        <w:rPr>
          <w:rFonts w:ascii="Cambria" w:hAnsi="Cambria"/>
          <w:sz w:val="20"/>
          <w:szCs w:val="20"/>
          <w:lang w:val="pt-BR"/>
        </w:rPr>
        <w:t xml:space="preserve">as </w:t>
      </w:r>
      <w:r w:rsidR="003E10E6" w:rsidRPr="005D6E61">
        <w:rPr>
          <w:rFonts w:ascii="Cambria" w:hAnsi="Cambria"/>
          <w:sz w:val="20"/>
          <w:szCs w:val="20"/>
          <w:lang w:val="pt-BR"/>
        </w:rPr>
        <w:t>qu</w:t>
      </w:r>
      <w:r w:rsidR="008E599F" w:rsidRPr="005D6E61">
        <w:rPr>
          <w:rFonts w:ascii="Cambria" w:hAnsi="Cambria"/>
          <w:sz w:val="20"/>
          <w:szCs w:val="20"/>
          <w:lang w:val="pt-BR"/>
        </w:rPr>
        <w:t>ais</w:t>
      </w:r>
      <w:r w:rsidR="003E10E6" w:rsidRPr="005D6E61">
        <w:rPr>
          <w:rFonts w:ascii="Cambria" w:hAnsi="Cambria"/>
          <w:sz w:val="20"/>
          <w:szCs w:val="20"/>
          <w:lang w:val="pt-BR"/>
        </w:rPr>
        <w:t xml:space="preserve"> considera</w:t>
      </w:r>
      <w:r w:rsidR="008E599F" w:rsidRPr="005D6E61">
        <w:rPr>
          <w:rFonts w:ascii="Cambria" w:hAnsi="Cambria"/>
          <w:sz w:val="20"/>
          <w:szCs w:val="20"/>
          <w:lang w:val="pt-BR"/>
        </w:rPr>
        <w:t>v</w:t>
      </w:r>
      <w:r w:rsidR="003E10E6" w:rsidRPr="005D6E61">
        <w:rPr>
          <w:rFonts w:ascii="Cambria" w:hAnsi="Cambria"/>
          <w:sz w:val="20"/>
          <w:szCs w:val="20"/>
          <w:lang w:val="pt-BR"/>
        </w:rPr>
        <w:t>a inocente</w:t>
      </w:r>
      <w:r w:rsidR="00CD523F" w:rsidRPr="005D6E61">
        <w:rPr>
          <w:rFonts w:ascii="Cambria" w:hAnsi="Cambria"/>
          <w:sz w:val="20"/>
          <w:szCs w:val="20"/>
          <w:lang w:val="pt-BR"/>
        </w:rPr>
        <w:t xml:space="preserve"> o </w:t>
      </w:r>
      <w:r w:rsidR="003E10E6" w:rsidRPr="005D6E61">
        <w:rPr>
          <w:rFonts w:ascii="Cambria" w:hAnsi="Cambria"/>
          <w:sz w:val="20"/>
          <w:szCs w:val="20"/>
          <w:lang w:val="pt-BR"/>
        </w:rPr>
        <w:t>acusado</w:t>
      </w:r>
      <w:r w:rsidR="003E10E6" w:rsidRPr="005D6E61">
        <w:rPr>
          <w:rStyle w:val="FootnoteReference"/>
          <w:rFonts w:ascii="Cambria" w:hAnsi="Cambria"/>
          <w:sz w:val="20"/>
          <w:szCs w:val="20"/>
          <w:lang w:val="pt-BR"/>
        </w:rPr>
        <w:footnoteReference w:id="63"/>
      </w:r>
      <w:r w:rsidR="003E10E6" w:rsidRPr="005D6E61">
        <w:rPr>
          <w:rFonts w:ascii="Cambria" w:hAnsi="Cambria"/>
          <w:sz w:val="20"/>
          <w:szCs w:val="20"/>
          <w:lang w:val="pt-BR"/>
        </w:rPr>
        <w:t>.</w:t>
      </w:r>
      <w:r w:rsidR="00331E62" w:rsidRPr="005D6E61">
        <w:rPr>
          <w:rFonts w:ascii="Cambria" w:hAnsi="Cambria"/>
          <w:sz w:val="20"/>
          <w:szCs w:val="20"/>
          <w:lang w:val="pt-BR"/>
        </w:rPr>
        <w:t xml:space="preserve"> </w:t>
      </w:r>
      <w:r w:rsidR="008E599F" w:rsidRPr="005D6E61">
        <w:rPr>
          <w:rFonts w:ascii="Cambria" w:hAnsi="Cambria"/>
          <w:sz w:val="20"/>
          <w:szCs w:val="20"/>
          <w:lang w:val="pt-BR"/>
        </w:rPr>
        <w:t>Em</w:t>
      </w:r>
      <w:r w:rsidR="00331E62" w:rsidRPr="005D6E61">
        <w:rPr>
          <w:rFonts w:ascii="Cambria" w:hAnsi="Cambria"/>
          <w:sz w:val="20"/>
          <w:szCs w:val="20"/>
          <w:lang w:val="pt-BR"/>
        </w:rPr>
        <w:t xml:space="preserve"> </w:t>
      </w:r>
      <w:r w:rsidR="003E10E6" w:rsidRPr="005D6E61">
        <w:rPr>
          <w:rFonts w:ascii="Cambria" w:hAnsi="Cambria"/>
          <w:sz w:val="20"/>
          <w:szCs w:val="20"/>
          <w:lang w:val="pt-BR"/>
        </w:rPr>
        <w:t>7 de jul</w:t>
      </w:r>
      <w:r w:rsidR="008E599F" w:rsidRPr="005D6E61">
        <w:rPr>
          <w:rFonts w:ascii="Cambria" w:hAnsi="Cambria"/>
          <w:sz w:val="20"/>
          <w:szCs w:val="20"/>
          <w:lang w:val="pt-BR"/>
        </w:rPr>
        <w:t>h</w:t>
      </w:r>
      <w:r w:rsidR="003E10E6" w:rsidRPr="005D6E61">
        <w:rPr>
          <w:rFonts w:ascii="Cambria" w:hAnsi="Cambria"/>
          <w:sz w:val="20"/>
          <w:szCs w:val="20"/>
          <w:lang w:val="pt-BR"/>
        </w:rPr>
        <w:t>o de 1988</w:t>
      </w:r>
      <w:r w:rsidR="00331E62" w:rsidRPr="005D6E61">
        <w:rPr>
          <w:rFonts w:ascii="Cambria" w:hAnsi="Cambria"/>
          <w:sz w:val="20"/>
          <w:szCs w:val="20"/>
          <w:lang w:val="pt-BR"/>
        </w:rPr>
        <w:t xml:space="preserve"> o </w:t>
      </w:r>
      <w:r w:rsidR="006B204E" w:rsidRPr="005D6E61">
        <w:rPr>
          <w:rFonts w:ascii="Cambria" w:hAnsi="Cambria"/>
          <w:sz w:val="20"/>
          <w:szCs w:val="20"/>
          <w:lang w:val="pt-BR"/>
        </w:rPr>
        <w:t>Ministério</w:t>
      </w:r>
      <w:r w:rsidR="003E10E6" w:rsidRPr="005D6E61">
        <w:rPr>
          <w:rFonts w:ascii="Cambria" w:hAnsi="Cambria"/>
          <w:sz w:val="20"/>
          <w:szCs w:val="20"/>
          <w:lang w:val="pt-BR"/>
        </w:rPr>
        <w:t xml:space="preserve"> Público </w:t>
      </w:r>
      <w:r w:rsidR="008E599F" w:rsidRPr="005D6E61">
        <w:rPr>
          <w:rFonts w:ascii="Cambria" w:hAnsi="Cambria"/>
          <w:sz w:val="20"/>
          <w:szCs w:val="20"/>
          <w:lang w:val="pt-BR"/>
        </w:rPr>
        <w:t>a</w:t>
      </w:r>
      <w:r w:rsidR="003E10E6" w:rsidRPr="005D6E61">
        <w:rPr>
          <w:rFonts w:ascii="Cambria" w:hAnsi="Cambria"/>
          <w:sz w:val="20"/>
          <w:szCs w:val="20"/>
          <w:lang w:val="pt-BR"/>
        </w:rPr>
        <w:t>present</w:t>
      </w:r>
      <w:r w:rsidR="00BF0B90" w:rsidRPr="005D6E61">
        <w:rPr>
          <w:rFonts w:ascii="Cambria" w:hAnsi="Cambria"/>
          <w:sz w:val="20"/>
          <w:szCs w:val="20"/>
          <w:lang w:val="pt-BR"/>
        </w:rPr>
        <w:t xml:space="preserve">ou </w:t>
      </w:r>
      <w:r w:rsidR="003E10E6" w:rsidRPr="005D6E61">
        <w:rPr>
          <w:rFonts w:ascii="Cambria" w:hAnsi="Cambria"/>
          <w:sz w:val="20"/>
          <w:szCs w:val="20"/>
          <w:lang w:val="pt-BR"/>
        </w:rPr>
        <w:lastRenderedPageBreak/>
        <w:t>recurso de apela</w:t>
      </w:r>
      <w:r w:rsidR="00A274D9" w:rsidRPr="005D6E61">
        <w:rPr>
          <w:rFonts w:ascii="Cambria" w:hAnsi="Cambria"/>
          <w:sz w:val="20"/>
          <w:szCs w:val="20"/>
          <w:lang w:val="pt-BR"/>
        </w:rPr>
        <w:t>ção</w:t>
      </w:r>
      <w:r w:rsidR="00F77B7F" w:rsidRPr="005D6E61">
        <w:rPr>
          <w:rFonts w:ascii="Cambria" w:hAnsi="Cambria"/>
          <w:sz w:val="20"/>
          <w:szCs w:val="20"/>
          <w:lang w:val="pt-BR"/>
        </w:rPr>
        <w:t xml:space="preserve"> </w:t>
      </w:r>
      <w:r w:rsidR="003E10E6" w:rsidRPr="005D6E61">
        <w:rPr>
          <w:rFonts w:ascii="Cambria" w:hAnsi="Cambria"/>
          <w:sz w:val="20"/>
          <w:szCs w:val="20"/>
          <w:lang w:val="pt-BR"/>
        </w:rPr>
        <w:t xml:space="preserve">contra </w:t>
      </w:r>
      <w:r w:rsidR="008E599F" w:rsidRPr="005D6E61">
        <w:rPr>
          <w:rFonts w:ascii="Cambria" w:hAnsi="Cambria"/>
          <w:sz w:val="20"/>
          <w:szCs w:val="20"/>
          <w:lang w:val="pt-BR"/>
        </w:rPr>
        <w:t>essa</w:t>
      </w:r>
      <w:r w:rsidR="003E10E6" w:rsidRPr="005D6E61">
        <w:rPr>
          <w:rFonts w:ascii="Cambria" w:hAnsi="Cambria"/>
          <w:sz w:val="20"/>
          <w:szCs w:val="20"/>
          <w:lang w:val="pt-BR"/>
        </w:rPr>
        <w:t xml:space="preserve"> decis</w:t>
      </w:r>
      <w:r w:rsidR="008E599F" w:rsidRPr="005D6E61">
        <w:rPr>
          <w:rFonts w:ascii="Cambria" w:hAnsi="Cambria"/>
          <w:sz w:val="20"/>
          <w:szCs w:val="20"/>
          <w:lang w:val="pt-BR"/>
        </w:rPr>
        <w:t>ão</w:t>
      </w:r>
      <w:r w:rsidR="003E10E6" w:rsidRPr="005D6E61">
        <w:rPr>
          <w:rFonts w:ascii="Cambria" w:hAnsi="Cambria"/>
          <w:sz w:val="20"/>
          <w:szCs w:val="20"/>
          <w:lang w:val="pt-BR"/>
        </w:rPr>
        <w:t>, argumentando que</w:t>
      </w:r>
      <w:r w:rsidR="003B62AF" w:rsidRPr="005D6E61">
        <w:rPr>
          <w:rFonts w:ascii="Cambria" w:hAnsi="Cambria"/>
          <w:sz w:val="20"/>
          <w:szCs w:val="20"/>
          <w:lang w:val="pt-BR"/>
        </w:rPr>
        <w:t xml:space="preserve"> é </w:t>
      </w:r>
      <w:r w:rsidR="003E10E6" w:rsidRPr="005D6E61">
        <w:rPr>
          <w:rFonts w:ascii="Cambria" w:hAnsi="Cambria"/>
          <w:sz w:val="20"/>
          <w:szCs w:val="20"/>
          <w:lang w:val="pt-BR"/>
        </w:rPr>
        <w:t>contr</w:t>
      </w:r>
      <w:r w:rsidR="00831912" w:rsidRPr="005D6E61">
        <w:rPr>
          <w:rFonts w:ascii="Cambria" w:hAnsi="Cambria"/>
          <w:sz w:val="20"/>
          <w:szCs w:val="20"/>
          <w:lang w:val="pt-BR"/>
        </w:rPr>
        <w:t>á</w:t>
      </w:r>
      <w:r w:rsidR="003E10E6" w:rsidRPr="005D6E61">
        <w:rPr>
          <w:rFonts w:ascii="Cambria" w:hAnsi="Cambria"/>
          <w:sz w:val="20"/>
          <w:szCs w:val="20"/>
          <w:lang w:val="pt-BR"/>
        </w:rPr>
        <w:t>ria</w:t>
      </w:r>
      <w:r w:rsidR="005A2381" w:rsidRPr="005D6E61">
        <w:rPr>
          <w:rFonts w:ascii="Cambria" w:hAnsi="Cambria"/>
          <w:sz w:val="20"/>
          <w:szCs w:val="20"/>
          <w:lang w:val="pt-BR"/>
        </w:rPr>
        <w:t xml:space="preserve"> às </w:t>
      </w:r>
      <w:r w:rsidR="003E10E6" w:rsidRPr="005D6E61">
        <w:rPr>
          <w:rFonts w:ascii="Cambria" w:hAnsi="Cambria"/>
          <w:sz w:val="20"/>
          <w:szCs w:val="20"/>
          <w:lang w:val="pt-BR"/>
        </w:rPr>
        <w:t>pr</w:t>
      </w:r>
      <w:r w:rsidR="008E599F" w:rsidRPr="005D6E61">
        <w:rPr>
          <w:rFonts w:ascii="Cambria" w:hAnsi="Cambria"/>
          <w:sz w:val="20"/>
          <w:szCs w:val="20"/>
          <w:lang w:val="pt-BR"/>
        </w:rPr>
        <w:t>ov</w:t>
      </w:r>
      <w:r w:rsidR="003E10E6" w:rsidRPr="005D6E61">
        <w:rPr>
          <w:rFonts w:ascii="Cambria" w:hAnsi="Cambria"/>
          <w:sz w:val="20"/>
          <w:szCs w:val="20"/>
          <w:lang w:val="pt-BR"/>
        </w:rPr>
        <w:t xml:space="preserve">as </w:t>
      </w:r>
      <w:r w:rsidR="008E599F" w:rsidRPr="005D6E61">
        <w:rPr>
          <w:rFonts w:ascii="Cambria" w:hAnsi="Cambria"/>
          <w:sz w:val="20"/>
          <w:szCs w:val="20"/>
          <w:lang w:val="pt-BR"/>
        </w:rPr>
        <w:t>incluídas</w:t>
      </w:r>
      <w:r w:rsidR="00331E62" w:rsidRPr="005D6E61">
        <w:rPr>
          <w:rFonts w:ascii="Cambria" w:hAnsi="Cambria"/>
          <w:sz w:val="20"/>
          <w:szCs w:val="20"/>
          <w:lang w:val="pt-BR"/>
        </w:rPr>
        <w:t xml:space="preserve"> no </w:t>
      </w:r>
      <w:r w:rsidR="008E599F" w:rsidRPr="005D6E61">
        <w:rPr>
          <w:rFonts w:ascii="Cambria" w:hAnsi="Cambria"/>
          <w:sz w:val="20"/>
          <w:szCs w:val="20"/>
          <w:lang w:val="pt-BR"/>
        </w:rPr>
        <w:t>processo</w:t>
      </w:r>
      <w:r w:rsidR="003E10E6" w:rsidRPr="005D6E61">
        <w:rPr>
          <w:rFonts w:ascii="Cambria" w:hAnsi="Cambria"/>
          <w:sz w:val="20"/>
          <w:szCs w:val="20"/>
          <w:lang w:val="pt-BR"/>
        </w:rPr>
        <w:t xml:space="preserve">, </w:t>
      </w:r>
      <w:r w:rsidR="008E599F" w:rsidRPr="005D6E61">
        <w:rPr>
          <w:rFonts w:ascii="Cambria" w:hAnsi="Cambria"/>
          <w:sz w:val="20"/>
          <w:szCs w:val="20"/>
          <w:lang w:val="pt-BR"/>
        </w:rPr>
        <w:t xml:space="preserve">motivo pelo qual </w:t>
      </w:r>
      <w:r w:rsidR="003E10E6" w:rsidRPr="005D6E61">
        <w:rPr>
          <w:rFonts w:ascii="Cambria" w:hAnsi="Cambria"/>
          <w:sz w:val="20"/>
          <w:szCs w:val="20"/>
          <w:lang w:val="pt-BR"/>
        </w:rPr>
        <w:t>solicit</w:t>
      </w:r>
      <w:r w:rsidR="00BF0B90" w:rsidRPr="005D6E61">
        <w:rPr>
          <w:rFonts w:ascii="Cambria" w:hAnsi="Cambria"/>
          <w:sz w:val="20"/>
          <w:szCs w:val="20"/>
          <w:lang w:val="pt-BR"/>
        </w:rPr>
        <w:t xml:space="preserve">ou </w:t>
      </w:r>
      <w:r w:rsidR="00275A65" w:rsidRPr="005D6E61">
        <w:rPr>
          <w:rFonts w:ascii="Cambria" w:hAnsi="Cambria"/>
          <w:sz w:val="20"/>
          <w:szCs w:val="20"/>
          <w:lang w:val="pt-BR"/>
        </w:rPr>
        <w:t xml:space="preserve">um </w:t>
      </w:r>
      <w:r w:rsidR="003E10E6" w:rsidRPr="005D6E61">
        <w:rPr>
          <w:rFonts w:ascii="Cambria" w:hAnsi="Cambria"/>
          <w:sz w:val="20"/>
          <w:szCs w:val="20"/>
          <w:lang w:val="pt-BR"/>
        </w:rPr>
        <w:t>n</w:t>
      </w:r>
      <w:r w:rsidR="008E599F" w:rsidRPr="005D6E61">
        <w:rPr>
          <w:rFonts w:ascii="Cambria" w:hAnsi="Cambria"/>
          <w:sz w:val="20"/>
          <w:szCs w:val="20"/>
          <w:lang w:val="pt-BR"/>
        </w:rPr>
        <w:t>o</w:t>
      </w:r>
      <w:r w:rsidR="003E10E6" w:rsidRPr="005D6E61">
        <w:rPr>
          <w:rFonts w:ascii="Cambria" w:hAnsi="Cambria"/>
          <w:sz w:val="20"/>
          <w:szCs w:val="20"/>
          <w:lang w:val="pt-BR"/>
        </w:rPr>
        <w:t>vo ju</w:t>
      </w:r>
      <w:r w:rsidR="008E599F" w:rsidRPr="005D6E61">
        <w:rPr>
          <w:rFonts w:ascii="Cambria" w:hAnsi="Cambria"/>
          <w:sz w:val="20"/>
          <w:szCs w:val="20"/>
          <w:lang w:val="pt-BR"/>
        </w:rPr>
        <w:t>lgament</w:t>
      </w:r>
      <w:r w:rsidR="003E10E6" w:rsidRPr="005D6E61">
        <w:rPr>
          <w:rFonts w:ascii="Cambria" w:hAnsi="Cambria"/>
          <w:sz w:val="20"/>
          <w:szCs w:val="20"/>
          <w:lang w:val="pt-BR"/>
        </w:rPr>
        <w:t>o</w:t>
      </w:r>
      <w:r w:rsidR="00F77B7F" w:rsidRPr="005D6E61">
        <w:rPr>
          <w:rFonts w:ascii="Cambria" w:hAnsi="Cambria"/>
          <w:sz w:val="20"/>
          <w:szCs w:val="20"/>
          <w:lang w:val="pt-BR"/>
        </w:rPr>
        <w:t xml:space="preserve"> com </w:t>
      </w:r>
      <w:r w:rsidR="00A1065A" w:rsidRPr="005D6E61">
        <w:rPr>
          <w:rFonts w:ascii="Cambria" w:hAnsi="Cambria"/>
          <w:sz w:val="20"/>
          <w:szCs w:val="20"/>
          <w:lang w:val="pt-BR"/>
        </w:rPr>
        <w:t>outr</w:t>
      </w:r>
      <w:r w:rsidR="003E10E6" w:rsidRPr="005D6E61">
        <w:rPr>
          <w:rFonts w:ascii="Cambria" w:hAnsi="Cambria"/>
          <w:sz w:val="20"/>
          <w:szCs w:val="20"/>
          <w:lang w:val="pt-BR"/>
        </w:rPr>
        <w:t>o Conse</w:t>
      </w:r>
      <w:r w:rsidR="008E599F" w:rsidRPr="005D6E61">
        <w:rPr>
          <w:rFonts w:ascii="Cambria" w:hAnsi="Cambria"/>
          <w:sz w:val="20"/>
          <w:szCs w:val="20"/>
          <w:lang w:val="pt-BR"/>
        </w:rPr>
        <w:t>lh</w:t>
      </w:r>
      <w:r w:rsidR="003E10E6" w:rsidRPr="005D6E61">
        <w:rPr>
          <w:rFonts w:ascii="Cambria" w:hAnsi="Cambria"/>
          <w:sz w:val="20"/>
          <w:szCs w:val="20"/>
          <w:lang w:val="pt-BR"/>
        </w:rPr>
        <w:t xml:space="preserve">o de </w:t>
      </w:r>
      <w:r w:rsidR="00586C28" w:rsidRPr="005D6E61">
        <w:rPr>
          <w:rFonts w:ascii="Cambria" w:hAnsi="Cambria"/>
          <w:sz w:val="20"/>
          <w:szCs w:val="20"/>
          <w:lang w:val="pt-BR"/>
        </w:rPr>
        <w:t>Sentença</w:t>
      </w:r>
      <w:r w:rsidR="003E10E6" w:rsidRPr="005D6E61">
        <w:rPr>
          <w:rFonts w:ascii="Cambria" w:hAnsi="Cambria"/>
          <w:sz w:val="20"/>
          <w:szCs w:val="20"/>
          <w:vertAlign w:val="superscript"/>
          <w:lang w:val="pt-BR"/>
        </w:rPr>
        <w:footnoteReference w:id="64"/>
      </w:r>
      <w:r w:rsidR="003E10E6" w:rsidRPr="005D6E61">
        <w:rPr>
          <w:rFonts w:ascii="Cambria" w:hAnsi="Cambria"/>
          <w:sz w:val="20"/>
          <w:szCs w:val="20"/>
          <w:lang w:val="pt-BR"/>
        </w:rPr>
        <w:t>.</w:t>
      </w:r>
    </w:p>
    <w:p w14:paraId="0B0D82FF" w14:textId="77777777" w:rsidR="003E10E6" w:rsidRPr="005D6E61" w:rsidRDefault="003E10E6" w:rsidP="00AD7E8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pt-BR"/>
        </w:rPr>
      </w:pPr>
      <w:r w:rsidRPr="005D6E61">
        <w:rPr>
          <w:rFonts w:ascii="Cambria" w:hAnsi="Cambria"/>
          <w:sz w:val="20"/>
          <w:szCs w:val="20"/>
          <w:lang w:val="pt-BR"/>
        </w:rPr>
        <w:t xml:space="preserve"> </w:t>
      </w:r>
    </w:p>
    <w:p w14:paraId="20673220" w14:textId="77777777" w:rsidR="003E10E6" w:rsidRPr="005D6E61" w:rsidRDefault="00EC647E"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Em</w:t>
      </w:r>
      <w:r w:rsidR="003E10E6" w:rsidRPr="005D6E61">
        <w:rPr>
          <w:rFonts w:ascii="Cambria" w:hAnsi="Cambria"/>
          <w:sz w:val="20"/>
          <w:szCs w:val="20"/>
          <w:lang w:val="pt-BR"/>
        </w:rPr>
        <w:t xml:space="preserve"> 17 de ma</w:t>
      </w:r>
      <w:r w:rsidR="001B6B3E" w:rsidRPr="005D6E61">
        <w:rPr>
          <w:rFonts w:ascii="Cambria" w:hAnsi="Cambria"/>
          <w:sz w:val="20"/>
          <w:szCs w:val="20"/>
          <w:lang w:val="pt-BR"/>
        </w:rPr>
        <w:t>i</w:t>
      </w:r>
      <w:r w:rsidR="003E10E6" w:rsidRPr="005D6E61">
        <w:rPr>
          <w:rFonts w:ascii="Cambria" w:hAnsi="Cambria"/>
          <w:sz w:val="20"/>
          <w:szCs w:val="20"/>
          <w:lang w:val="pt-BR"/>
        </w:rPr>
        <w:t>o de 1990</w:t>
      </w:r>
      <w:r w:rsidR="00331E62" w:rsidRPr="005D6E61">
        <w:rPr>
          <w:rFonts w:ascii="Cambria" w:hAnsi="Cambria"/>
          <w:sz w:val="20"/>
          <w:szCs w:val="20"/>
          <w:lang w:val="pt-BR"/>
        </w:rPr>
        <w:t xml:space="preserve"> o </w:t>
      </w:r>
      <w:r w:rsidR="003E10E6" w:rsidRPr="005D6E61">
        <w:rPr>
          <w:rFonts w:ascii="Cambria" w:hAnsi="Cambria"/>
          <w:sz w:val="20"/>
          <w:szCs w:val="20"/>
          <w:lang w:val="pt-BR"/>
        </w:rPr>
        <w:t xml:space="preserve">Tribunal de </w:t>
      </w:r>
      <w:r w:rsidR="00275A65" w:rsidRPr="005D6E61">
        <w:rPr>
          <w:rFonts w:ascii="Cambria" w:hAnsi="Cambria"/>
          <w:sz w:val="20"/>
          <w:szCs w:val="20"/>
          <w:lang w:val="pt-BR"/>
        </w:rPr>
        <w:t>Justiça</w:t>
      </w:r>
      <w:r w:rsidR="003E10E6" w:rsidRPr="005D6E61">
        <w:rPr>
          <w:rFonts w:ascii="Cambria" w:hAnsi="Cambria"/>
          <w:sz w:val="20"/>
          <w:szCs w:val="20"/>
          <w:lang w:val="pt-BR"/>
        </w:rPr>
        <w:t xml:space="preserve"> </w:t>
      </w:r>
      <w:r w:rsidR="00287321" w:rsidRPr="005D6E61">
        <w:rPr>
          <w:rFonts w:ascii="Cambria" w:hAnsi="Cambria"/>
          <w:sz w:val="20"/>
          <w:szCs w:val="20"/>
          <w:lang w:val="pt-BR"/>
        </w:rPr>
        <w:t>da Paraíba</w:t>
      </w:r>
      <w:r w:rsidR="003E10E6" w:rsidRPr="005D6E61">
        <w:rPr>
          <w:rFonts w:ascii="Cambria" w:hAnsi="Cambria"/>
          <w:sz w:val="20"/>
          <w:szCs w:val="20"/>
          <w:lang w:val="pt-BR"/>
        </w:rPr>
        <w:t xml:space="preserve"> </w:t>
      </w:r>
      <w:r w:rsidR="001B6B3E" w:rsidRPr="005D6E61">
        <w:rPr>
          <w:rFonts w:ascii="Cambria" w:hAnsi="Cambria"/>
          <w:sz w:val="20"/>
          <w:szCs w:val="20"/>
          <w:lang w:val="pt-BR"/>
        </w:rPr>
        <w:t>aceito</w:t>
      </w:r>
      <w:r w:rsidR="00831912" w:rsidRPr="005D6E61">
        <w:rPr>
          <w:rFonts w:ascii="Cambria" w:hAnsi="Cambria"/>
          <w:sz w:val="20"/>
          <w:szCs w:val="20"/>
          <w:lang w:val="pt-BR"/>
        </w:rPr>
        <w:t>u</w:t>
      </w:r>
      <w:r w:rsidR="00331E62" w:rsidRPr="005D6E61">
        <w:rPr>
          <w:rFonts w:ascii="Cambria" w:hAnsi="Cambria"/>
          <w:sz w:val="20"/>
          <w:szCs w:val="20"/>
          <w:lang w:val="pt-BR"/>
        </w:rPr>
        <w:t xml:space="preserve"> o </w:t>
      </w:r>
      <w:r w:rsidR="006C535C" w:rsidRPr="005D6E61">
        <w:rPr>
          <w:rFonts w:ascii="Cambria" w:hAnsi="Cambria"/>
          <w:sz w:val="20"/>
          <w:szCs w:val="20"/>
          <w:lang w:val="pt-BR"/>
        </w:rPr>
        <w:t>recurso, indicando</w:t>
      </w:r>
      <w:r w:rsidR="003E10E6" w:rsidRPr="005D6E61">
        <w:rPr>
          <w:rFonts w:ascii="Cambria" w:hAnsi="Cambria"/>
          <w:sz w:val="20"/>
          <w:szCs w:val="20"/>
          <w:lang w:val="pt-BR"/>
        </w:rPr>
        <w:t xml:space="preserve"> </w:t>
      </w:r>
      <w:r w:rsidR="009123D9" w:rsidRPr="005D6E61">
        <w:rPr>
          <w:rFonts w:ascii="Cambria" w:hAnsi="Cambria"/>
          <w:sz w:val="20"/>
          <w:szCs w:val="20"/>
          <w:lang w:val="pt-BR"/>
        </w:rPr>
        <w:t>que</w:t>
      </w:r>
      <w:r w:rsidR="00331E62" w:rsidRPr="005D6E61">
        <w:rPr>
          <w:rFonts w:ascii="Cambria" w:hAnsi="Cambria"/>
          <w:sz w:val="20"/>
          <w:szCs w:val="20"/>
          <w:lang w:val="pt-BR"/>
        </w:rPr>
        <w:t xml:space="preserve"> a </w:t>
      </w:r>
      <w:r w:rsidR="009123D9" w:rsidRPr="005D6E61">
        <w:rPr>
          <w:rFonts w:ascii="Cambria" w:hAnsi="Cambria"/>
          <w:sz w:val="20"/>
          <w:szCs w:val="20"/>
          <w:lang w:val="pt-BR"/>
        </w:rPr>
        <w:t>decis</w:t>
      </w:r>
      <w:r w:rsidR="001B6B3E" w:rsidRPr="005D6E61">
        <w:rPr>
          <w:rFonts w:ascii="Cambria" w:hAnsi="Cambria"/>
          <w:sz w:val="20"/>
          <w:szCs w:val="20"/>
          <w:lang w:val="pt-BR"/>
        </w:rPr>
        <w:t>ão</w:t>
      </w:r>
      <w:r w:rsidR="003B62AF" w:rsidRPr="005D6E61">
        <w:rPr>
          <w:rFonts w:ascii="Cambria" w:hAnsi="Cambria"/>
          <w:sz w:val="20"/>
          <w:szCs w:val="20"/>
          <w:lang w:val="pt-BR"/>
        </w:rPr>
        <w:t xml:space="preserve"> </w:t>
      </w:r>
      <w:r w:rsidR="003E10E6" w:rsidRPr="005D6E61">
        <w:rPr>
          <w:rFonts w:ascii="Cambria" w:hAnsi="Cambria"/>
          <w:sz w:val="20"/>
          <w:szCs w:val="20"/>
          <w:lang w:val="pt-BR"/>
        </w:rPr>
        <w:t xml:space="preserve">contraria frontalmente </w:t>
      </w:r>
      <w:r w:rsidR="00F77B7F" w:rsidRPr="005D6E61">
        <w:rPr>
          <w:rFonts w:ascii="Cambria" w:hAnsi="Cambria"/>
          <w:sz w:val="20"/>
          <w:szCs w:val="20"/>
          <w:lang w:val="pt-BR"/>
        </w:rPr>
        <w:t xml:space="preserve">os </w:t>
      </w:r>
      <w:r w:rsidR="0031191B" w:rsidRPr="005D6E61">
        <w:rPr>
          <w:rFonts w:ascii="Cambria" w:hAnsi="Cambria"/>
          <w:sz w:val="20"/>
          <w:szCs w:val="20"/>
          <w:lang w:val="pt-BR"/>
        </w:rPr>
        <w:t>testemunho</w:t>
      </w:r>
      <w:r w:rsidR="003E10E6" w:rsidRPr="005D6E61">
        <w:rPr>
          <w:rFonts w:ascii="Cambria" w:hAnsi="Cambria"/>
          <w:sz w:val="20"/>
          <w:szCs w:val="20"/>
          <w:lang w:val="pt-BR"/>
        </w:rPr>
        <w:t>s</w:t>
      </w:r>
      <w:r w:rsidR="006C5454" w:rsidRPr="005D6E61">
        <w:rPr>
          <w:rFonts w:ascii="Cambria" w:hAnsi="Cambria"/>
          <w:sz w:val="20"/>
          <w:szCs w:val="20"/>
          <w:lang w:val="pt-BR"/>
        </w:rPr>
        <w:t xml:space="preserve"> e </w:t>
      </w:r>
      <w:r w:rsidR="003E10E6" w:rsidRPr="005D6E61">
        <w:rPr>
          <w:rFonts w:ascii="Cambria" w:hAnsi="Cambria"/>
          <w:sz w:val="20"/>
          <w:szCs w:val="20"/>
          <w:lang w:val="pt-BR"/>
        </w:rPr>
        <w:t>coli</w:t>
      </w:r>
      <w:r w:rsidR="001B6B3E" w:rsidRPr="005D6E61">
        <w:rPr>
          <w:rFonts w:ascii="Cambria" w:hAnsi="Cambria"/>
          <w:sz w:val="20"/>
          <w:szCs w:val="20"/>
          <w:lang w:val="pt-BR"/>
        </w:rPr>
        <w:t>de</w:t>
      </w:r>
      <w:r w:rsidR="00F77B7F" w:rsidRPr="005D6E61">
        <w:rPr>
          <w:rFonts w:ascii="Cambria" w:hAnsi="Cambria"/>
          <w:sz w:val="20"/>
          <w:szCs w:val="20"/>
          <w:lang w:val="pt-BR"/>
        </w:rPr>
        <w:t xml:space="preserve"> com</w:t>
      </w:r>
      <w:r w:rsidR="00331E62" w:rsidRPr="005D6E61">
        <w:rPr>
          <w:rFonts w:ascii="Cambria" w:hAnsi="Cambria"/>
          <w:sz w:val="20"/>
          <w:szCs w:val="20"/>
          <w:lang w:val="pt-BR"/>
        </w:rPr>
        <w:t xml:space="preserve"> o </w:t>
      </w:r>
      <w:r w:rsidR="003E10E6" w:rsidRPr="005D6E61">
        <w:rPr>
          <w:rFonts w:ascii="Cambria" w:hAnsi="Cambria"/>
          <w:sz w:val="20"/>
          <w:szCs w:val="20"/>
          <w:lang w:val="pt-BR"/>
        </w:rPr>
        <w:t>acervo probat</w:t>
      </w:r>
      <w:r w:rsidR="001B6B3E" w:rsidRPr="005D6E61">
        <w:rPr>
          <w:rFonts w:ascii="Cambria" w:hAnsi="Cambria"/>
          <w:sz w:val="20"/>
          <w:szCs w:val="20"/>
          <w:lang w:val="pt-BR"/>
        </w:rPr>
        <w:t>ó</w:t>
      </w:r>
      <w:r w:rsidR="003E10E6" w:rsidRPr="005D6E61">
        <w:rPr>
          <w:rFonts w:ascii="Cambria" w:hAnsi="Cambria"/>
          <w:sz w:val="20"/>
          <w:szCs w:val="20"/>
          <w:lang w:val="pt-BR"/>
        </w:rPr>
        <w:t>rio que convence absolutamente</w:t>
      </w:r>
      <w:r w:rsidR="00675058" w:rsidRPr="005D6E61">
        <w:rPr>
          <w:rFonts w:ascii="Cambria" w:hAnsi="Cambria"/>
          <w:sz w:val="20"/>
          <w:szCs w:val="20"/>
          <w:lang w:val="pt-BR"/>
        </w:rPr>
        <w:t xml:space="preserve"> </w:t>
      </w:r>
      <w:r w:rsidR="001B6B3E" w:rsidRPr="005D6E61">
        <w:rPr>
          <w:rFonts w:ascii="Cambria" w:hAnsi="Cambria"/>
          <w:sz w:val="20"/>
          <w:szCs w:val="20"/>
          <w:lang w:val="pt-BR"/>
        </w:rPr>
        <w:t xml:space="preserve">acerca </w:t>
      </w:r>
      <w:r w:rsidR="00675058" w:rsidRPr="005D6E61">
        <w:rPr>
          <w:rFonts w:ascii="Cambria" w:hAnsi="Cambria"/>
          <w:sz w:val="20"/>
          <w:szCs w:val="20"/>
          <w:lang w:val="pt-BR"/>
        </w:rPr>
        <w:t xml:space="preserve">da </w:t>
      </w:r>
      <w:r w:rsidR="006C535C" w:rsidRPr="005D6E61">
        <w:rPr>
          <w:rFonts w:ascii="Cambria" w:hAnsi="Cambria"/>
          <w:sz w:val="20"/>
          <w:szCs w:val="20"/>
          <w:lang w:val="pt-BR"/>
        </w:rPr>
        <w:t>coautoria</w:t>
      </w:r>
      <w:r w:rsidR="00F77B7F" w:rsidRPr="005D6E61">
        <w:rPr>
          <w:rFonts w:ascii="Cambria" w:hAnsi="Cambria"/>
          <w:sz w:val="20"/>
          <w:szCs w:val="20"/>
          <w:lang w:val="pt-BR"/>
        </w:rPr>
        <w:t xml:space="preserve"> do </w:t>
      </w:r>
      <w:r w:rsidR="003E10E6" w:rsidRPr="005D6E61">
        <w:rPr>
          <w:rFonts w:ascii="Cambria" w:hAnsi="Cambria"/>
          <w:sz w:val="20"/>
          <w:szCs w:val="20"/>
          <w:lang w:val="pt-BR"/>
        </w:rPr>
        <w:t>acusado negada</w:t>
      </w:r>
      <w:r w:rsidR="007612B9" w:rsidRPr="005D6E61">
        <w:rPr>
          <w:rFonts w:ascii="Cambria" w:hAnsi="Cambria"/>
          <w:sz w:val="20"/>
          <w:szCs w:val="20"/>
          <w:lang w:val="pt-BR"/>
        </w:rPr>
        <w:t xml:space="preserve"> pelo </w:t>
      </w:r>
      <w:r w:rsidR="003E10E6" w:rsidRPr="005D6E61">
        <w:rPr>
          <w:rFonts w:ascii="Cambria" w:hAnsi="Cambria"/>
          <w:sz w:val="20"/>
          <w:szCs w:val="20"/>
          <w:lang w:val="pt-BR"/>
        </w:rPr>
        <w:t>j</w:t>
      </w:r>
      <w:r w:rsidR="001B6B3E" w:rsidRPr="005D6E61">
        <w:rPr>
          <w:rFonts w:ascii="Cambria" w:hAnsi="Cambria"/>
          <w:sz w:val="20"/>
          <w:szCs w:val="20"/>
          <w:lang w:val="pt-BR"/>
        </w:rPr>
        <w:t>úri</w:t>
      </w:r>
      <w:r w:rsidR="003E10E6" w:rsidRPr="005D6E61">
        <w:rPr>
          <w:rFonts w:ascii="Cambria" w:hAnsi="Cambria"/>
          <w:sz w:val="20"/>
          <w:szCs w:val="20"/>
          <w:lang w:val="pt-BR"/>
        </w:rPr>
        <w:t>.</w:t>
      </w:r>
      <w:r w:rsidR="00F77B7F" w:rsidRPr="005D6E61">
        <w:rPr>
          <w:rFonts w:ascii="Cambria" w:hAnsi="Cambria"/>
          <w:sz w:val="20"/>
          <w:szCs w:val="20"/>
          <w:lang w:val="pt-BR"/>
        </w:rPr>
        <w:t xml:space="preserve"> </w:t>
      </w:r>
      <w:r w:rsidR="001B6B3E" w:rsidRPr="005D6E61">
        <w:rPr>
          <w:rFonts w:ascii="Cambria" w:hAnsi="Cambria"/>
          <w:sz w:val="20"/>
          <w:szCs w:val="20"/>
          <w:lang w:val="pt-BR"/>
        </w:rPr>
        <w:t>E</w:t>
      </w:r>
      <w:r w:rsidR="00F77B7F" w:rsidRPr="005D6E61">
        <w:rPr>
          <w:rFonts w:ascii="Cambria" w:hAnsi="Cambria"/>
          <w:sz w:val="20"/>
          <w:szCs w:val="20"/>
          <w:lang w:val="pt-BR"/>
        </w:rPr>
        <w:t xml:space="preserve">m </w:t>
      </w:r>
      <w:r w:rsidR="003E10E6" w:rsidRPr="005D6E61">
        <w:rPr>
          <w:rFonts w:ascii="Cambria" w:hAnsi="Cambria"/>
          <w:sz w:val="20"/>
          <w:szCs w:val="20"/>
          <w:lang w:val="pt-BR"/>
        </w:rPr>
        <w:t>virtud</w:t>
      </w:r>
      <w:r w:rsidR="001B6B3E" w:rsidRPr="005D6E61">
        <w:rPr>
          <w:rFonts w:ascii="Cambria" w:hAnsi="Cambria"/>
          <w:sz w:val="20"/>
          <w:szCs w:val="20"/>
          <w:lang w:val="pt-BR"/>
        </w:rPr>
        <w:t>e</w:t>
      </w:r>
      <w:r w:rsidR="003E10E6" w:rsidRPr="005D6E61">
        <w:rPr>
          <w:rFonts w:ascii="Cambria" w:hAnsi="Cambria"/>
          <w:sz w:val="20"/>
          <w:szCs w:val="20"/>
          <w:lang w:val="pt-BR"/>
        </w:rPr>
        <w:t xml:space="preserve"> d</w:t>
      </w:r>
      <w:r w:rsidR="001B6B3E" w:rsidRPr="005D6E61">
        <w:rPr>
          <w:rFonts w:ascii="Cambria" w:hAnsi="Cambria"/>
          <w:sz w:val="20"/>
          <w:szCs w:val="20"/>
          <w:lang w:val="pt-BR"/>
        </w:rPr>
        <w:t>iss</w:t>
      </w:r>
      <w:r w:rsidR="003E10E6" w:rsidRPr="005D6E61">
        <w:rPr>
          <w:rFonts w:ascii="Cambria" w:hAnsi="Cambria"/>
          <w:sz w:val="20"/>
          <w:szCs w:val="20"/>
          <w:lang w:val="pt-BR"/>
        </w:rPr>
        <w:t>o</w:t>
      </w:r>
      <w:r w:rsidR="001B6B3E" w:rsidRPr="005D6E61">
        <w:rPr>
          <w:rFonts w:ascii="Cambria" w:hAnsi="Cambria"/>
          <w:sz w:val="20"/>
          <w:szCs w:val="20"/>
          <w:lang w:val="pt-BR"/>
        </w:rPr>
        <w:t>,</w:t>
      </w:r>
      <w:r w:rsidR="003E10E6" w:rsidRPr="005D6E61">
        <w:rPr>
          <w:rFonts w:ascii="Cambria" w:hAnsi="Cambria"/>
          <w:sz w:val="20"/>
          <w:szCs w:val="20"/>
          <w:lang w:val="pt-BR"/>
        </w:rPr>
        <w:t xml:space="preserve"> orden</w:t>
      </w:r>
      <w:r w:rsidR="00BF0B90" w:rsidRPr="005D6E61">
        <w:rPr>
          <w:rFonts w:ascii="Cambria" w:hAnsi="Cambria"/>
          <w:sz w:val="20"/>
          <w:szCs w:val="20"/>
          <w:lang w:val="pt-BR"/>
        </w:rPr>
        <w:t xml:space="preserve">ou </w:t>
      </w:r>
      <w:r w:rsidR="003E10E6" w:rsidRPr="005D6E61">
        <w:rPr>
          <w:rFonts w:ascii="Cambria" w:hAnsi="Cambria"/>
          <w:sz w:val="20"/>
          <w:szCs w:val="20"/>
          <w:lang w:val="pt-BR"/>
        </w:rPr>
        <w:t>que</w:t>
      </w:r>
      <w:r w:rsidR="00331E62" w:rsidRPr="005D6E61">
        <w:rPr>
          <w:rFonts w:ascii="Cambria" w:hAnsi="Cambria"/>
          <w:sz w:val="20"/>
          <w:szCs w:val="20"/>
          <w:lang w:val="pt-BR"/>
        </w:rPr>
        <w:t xml:space="preserve"> o </w:t>
      </w:r>
      <w:r w:rsidR="003E10E6" w:rsidRPr="005D6E61">
        <w:rPr>
          <w:rFonts w:ascii="Cambria" w:hAnsi="Cambria"/>
          <w:sz w:val="20"/>
          <w:szCs w:val="20"/>
          <w:lang w:val="pt-BR"/>
        </w:rPr>
        <w:t>acusado Antônio Carlos Coutinho Régis f</w:t>
      </w:r>
      <w:r w:rsidR="001B6B3E" w:rsidRPr="005D6E61">
        <w:rPr>
          <w:rFonts w:ascii="Cambria" w:hAnsi="Cambria"/>
          <w:sz w:val="20"/>
          <w:szCs w:val="20"/>
          <w:lang w:val="pt-BR"/>
        </w:rPr>
        <w:t>osse</w:t>
      </w:r>
      <w:r w:rsidR="003E10E6" w:rsidRPr="005D6E61">
        <w:rPr>
          <w:rFonts w:ascii="Cambria" w:hAnsi="Cambria"/>
          <w:sz w:val="20"/>
          <w:szCs w:val="20"/>
          <w:lang w:val="pt-BR"/>
        </w:rPr>
        <w:t xml:space="preserve"> s</w:t>
      </w:r>
      <w:r w:rsidR="001B6B3E" w:rsidRPr="005D6E61">
        <w:rPr>
          <w:rFonts w:ascii="Cambria" w:hAnsi="Cambria"/>
          <w:sz w:val="20"/>
          <w:szCs w:val="20"/>
          <w:lang w:val="pt-BR"/>
        </w:rPr>
        <w:t>ub</w:t>
      </w:r>
      <w:r w:rsidR="003E10E6" w:rsidRPr="005D6E61">
        <w:rPr>
          <w:rFonts w:ascii="Cambria" w:hAnsi="Cambria"/>
          <w:sz w:val="20"/>
          <w:szCs w:val="20"/>
          <w:lang w:val="pt-BR"/>
        </w:rPr>
        <w:t>metido a</w:t>
      </w:r>
      <w:r w:rsidR="00275A65" w:rsidRPr="005D6E61">
        <w:rPr>
          <w:rFonts w:ascii="Cambria" w:hAnsi="Cambria"/>
          <w:sz w:val="20"/>
          <w:szCs w:val="20"/>
          <w:lang w:val="pt-BR"/>
        </w:rPr>
        <w:t xml:space="preserve"> um </w:t>
      </w:r>
      <w:r w:rsidR="003E10E6" w:rsidRPr="005D6E61">
        <w:rPr>
          <w:rFonts w:ascii="Cambria" w:hAnsi="Cambria"/>
          <w:sz w:val="20"/>
          <w:szCs w:val="20"/>
          <w:lang w:val="pt-BR"/>
        </w:rPr>
        <w:t>n</w:t>
      </w:r>
      <w:r w:rsidR="001B6B3E" w:rsidRPr="005D6E61">
        <w:rPr>
          <w:rFonts w:ascii="Cambria" w:hAnsi="Cambria"/>
          <w:sz w:val="20"/>
          <w:szCs w:val="20"/>
          <w:lang w:val="pt-BR"/>
        </w:rPr>
        <w:t>o</w:t>
      </w:r>
      <w:r w:rsidR="003E10E6" w:rsidRPr="005D6E61">
        <w:rPr>
          <w:rFonts w:ascii="Cambria" w:hAnsi="Cambria"/>
          <w:sz w:val="20"/>
          <w:szCs w:val="20"/>
          <w:lang w:val="pt-BR"/>
        </w:rPr>
        <w:t>vo ju</w:t>
      </w:r>
      <w:r w:rsidR="001B6B3E" w:rsidRPr="005D6E61">
        <w:rPr>
          <w:rFonts w:ascii="Cambria" w:hAnsi="Cambria"/>
          <w:sz w:val="20"/>
          <w:szCs w:val="20"/>
          <w:lang w:val="pt-BR"/>
        </w:rPr>
        <w:t>lgament</w:t>
      </w:r>
      <w:r w:rsidR="003E10E6" w:rsidRPr="005D6E61">
        <w:rPr>
          <w:rFonts w:ascii="Cambria" w:hAnsi="Cambria"/>
          <w:sz w:val="20"/>
          <w:szCs w:val="20"/>
          <w:lang w:val="pt-BR"/>
        </w:rPr>
        <w:t xml:space="preserve">o </w:t>
      </w:r>
      <w:r w:rsidR="001B6B3E" w:rsidRPr="005D6E61">
        <w:rPr>
          <w:rFonts w:ascii="Cambria" w:hAnsi="Cambria"/>
          <w:sz w:val="20"/>
          <w:szCs w:val="20"/>
          <w:lang w:val="pt-BR"/>
        </w:rPr>
        <w:t xml:space="preserve">pelo </w:t>
      </w:r>
      <w:r w:rsidR="003E10E6" w:rsidRPr="005D6E61">
        <w:rPr>
          <w:rFonts w:ascii="Cambria" w:hAnsi="Cambria"/>
          <w:sz w:val="20"/>
          <w:szCs w:val="20"/>
          <w:lang w:val="pt-BR"/>
        </w:rPr>
        <w:t>Tribunal d</w:t>
      </w:r>
      <w:r w:rsidR="001B6B3E" w:rsidRPr="005D6E61">
        <w:rPr>
          <w:rFonts w:ascii="Cambria" w:hAnsi="Cambria"/>
          <w:sz w:val="20"/>
          <w:szCs w:val="20"/>
          <w:lang w:val="pt-BR"/>
        </w:rPr>
        <w:t xml:space="preserve">o </w:t>
      </w:r>
      <w:r w:rsidR="003E10E6" w:rsidRPr="005D6E61">
        <w:rPr>
          <w:rFonts w:ascii="Cambria" w:hAnsi="Cambria"/>
          <w:sz w:val="20"/>
          <w:szCs w:val="20"/>
          <w:lang w:val="pt-BR"/>
        </w:rPr>
        <w:t>J</w:t>
      </w:r>
      <w:r w:rsidR="001B6B3E" w:rsidRPr="005D6E61">
        <w:rPr>
          <w:rFonts w:ascii="Cambria" w:hAnsi="Cambria"/>
          <w:sz w:val="20"/>
          <w:szCs w:val="20"/>
          <w:lang w:val="pt-BR"/>
        </w:rPr>
        <w:t>úri</w:t>
      </w:r>
      <w:r w:rsidR="003E10E6" w:rsidRPr="005D6E61">
        <w:rPr>
          <w:rStyle w:val="FootnoteReference"/>
          <w:rFonts w:ascii="Cambria" w:hAnsi="Cambria"/>
          <w:sz w:val="20"/>
          <w:szCs w:val="20"/>
          <w:lang w:val="pt-BR"/>
        </w:rPr>
        <w:footnoteReference w:id="65"/>
      </w:r>
      <w:r w:rsidR="003E10E6" w:rsidRPr="005D6E61">
        <w:rPr>
          <w:rFonts w:ascii="Cambria" w:hAnsi="Cambria"/>
          <w:sz w:val="20"/>
          <w:szCs w:val="20"/>
          <w:lang w:val="pt-BR"/>
        </w:rPr>
        <w:t xml:space="preserve">. </w:t>
      </w:r>
    </w:p>
    <w:p w14:paraId="31FAC606" w14:textId="77777777" w:rsidR="003E10E6" w:rsidRPr="005D6E61" w:rsidRDefault="003E10E6" w:rsidP="003E10E6">
      <w:pPr>
        <w:tabs>
          <w:tab w:val="left" w:pos="1440"/>
        </w:tabs>
        <w:jc w:val="both"/>
        <w:rPr>
          <w:rFonts w:ascii="Cambria" w:hAnsi="Cambria"/>
          <w:sz w:val="20"/>
          <w:szCs w:val="20"/>
          <w:lang w:val="pt-BR"/>
        </w:rPr>
      </w:pPr>
    </w:p>
    <w:p w14:paraId="7C8BAA32" w14:textId="77777777" w:rsidR="003E10E6" w:rsidRPr="005D6E61" w:rsidRDefault="001B6B3E"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eastAsia="Calibri" w:hAnsi="Cambria"/>
          <w:sz w:val="20"/>
          <w:szCs w:val="20"/>
          <w:lang w:val="pt-BR"/>
        </w:rPr>
      </w:pPr>
      <w:r w:rsidRPr="005D6E61">
        <w:rPr>
          <w:rFonts w:ascii="Cambria" w:hAnsi="Cambria"/>
          <w:sz w:val="20"/>
          <w:szCs w:val="20"/>
          <w:lang w:val="pt-BR"/>
        </w:rPr>
        <w:t>P</w:t>
      </w:r>
      <w:r w:rsidR="003E10E6" w:rsidRPr="005D6E61">
        <w:rPr>
          <w:rFonts w:ascii="Cambria" w:hAnsi="Cambria"/>
          <w:sz w:val="20"/>
          <w:szCs w:val="20"/>
          <w:lang w:val="pt-BR"/>
        </w:rPr>
        <w:t>osterior</w:t>
      </w:r>
      <w:r w:rsidRPr="005D6E61">
        <w:rPr>
          <w:rFonts w:ascii="Cambria" w:hAnsi="Cambria"/>
          <w:sz w:val="20"/>
          <w:szCs w:val="20"/>
          <w:lang w:val="pt-BR"/>
        </w:rPr>
        <w:t>mente</w:t>
      </w:r>
      <w:r w:rsidR="003E10E6" w:rsidRPr="005D6E61">
        <w:rPr>
          <w:rFonts w:ascii="Cambria" w:hAnsi="Cambria"/>
          <w:sz w:val="20"/>
          <w:szCs w:val="20"/>
          <w:lang w:val="pt-BR"/>
        </w:rPr>
        <w:t>,</w:t>
      </w:r>
      <w:r w:rsidR="00331E62" w:rsidRPr="005D6E61">
        <w:rPr>
          <w:rFonts w:ascii="Cambria" w:hAnsi="Cambria"/>
          <w:sz w:val="20"/>
          <w:szCs w:val="20"/>
          <w:lang w:val="pt-BR"/>
        </w:rPr>
        <w:t xml:space="preserve"> o </w:t>
      </w:r>
      <w:r w:rsidR="003E10E6" w:rsidRPr="005D6E61">
        <w:rPr>
          <w:rFonts w:ascii="Cambria" w:hAnsi="Cambria"/>
          <w:sz w:val="20"/>
          <w:szCs w:val="20"/>
          <w:lang w:val="pt-BR"/>
        </w:rPr>
        <w:t>esposo</w:t>
      </w:r>
      <w:r w:rsidR="00675058" w:rsidRPr="005D6E61">
        <w:rPr>
          <w:rFonts w:ascii="Cambria" w:hAnsi="Cambria"/>
          <w:sz w:val="20"/>
          <w:szCs w:val="20"/>
          <w:lang w:val="pt-BR"/>
        </w:rPr>
        <w:t xml:space="preserve"> da </w:t>
      </w:r>
      <w:r w:rsidR="005A2381" w:rsidRPr="005D6E61">
        <w:rPr>
          <w:rFonts w:ascii="Cambria" w:hAnsi="Cambria"/>
          <w:sz w:val="20"/>
          <w:szCs w:val="20"/>
          <w:lang w:val="pt-BR"/>
        </w:rPr>
        <w:t>suposta</w:t>
      </w:r>
      <w:r w:rsidR="003E10E6" w:rsidRPr="005D6E61">
        <w:rPr>
          <w:rFonts w:ascii="Cambria" w:hAnsi="Cambria"/>
          <w:sz w:val="20"/>
          <w:szCs w:val="20"/>
          <w:lang w:val="pt-BR"/>
        </w:rPr>
        <w:t xml:space="preserve"> </w:t>
      </w:r>
      <w:r w:rsidR="003619A0" w:rsidRPr="005D6E61">
        <w:rPr>
          <w:rFonts w:ascii="Cambria" w:hAnsi="Cambria"/>
          <w:sz w:val="20"/>
          <w:szCs w:val="20"/>
          <w:lang w:val="pt-BR"/>
        </w:rPr>
        <w:t>vítima</w:t>
      </w:r>
      <w:r w:rsidR="003E10E6" w:rsidRPr="005D6E61">
        <w:rPr>
          <w:rFonts w:ascii="Cambria" w:hAnsi="Cambria"/>
          <w:sz w:val="20"/>
          <w:szCs w:val="20"/>
          <w:lang w:val="pt-BR"/>
        </w:rPr>
        <w:t xml:space="preserve"> solicit</w:t>
      </w:r>
      <w:r w:rsidR="00BF0B90" w:rsidRPr="005D6E61">
        <w:rPr>
          <w:rFonts w:ascii="Cambria" w:hAnsi="Cambria"/>
          <w:sz w:val="20"/>
          <w:szCs w:val="20"/>
          <w:lang w:val="pt-BR"/>
        </w:rPr>
        <w:t xml:space="preserve">ou </w:t>
      </w:r>
      <w:r w:rsidRPr="005D6E61">
        <w:rPr>
          <w:rFonts w:ascii="Cambria" w:hAnsi="Cambria"/>
          <w:sz w:val="20"/>
          <w:szCs w:val="20"/>
          <w:lang w:val="pt-BR"/>
        </w:rPr>
        <w:t>que</w:t>
      </w:r>
      <w:r w:rsidR="00331E62" w:rsidRPr="005D6E61">
        <w:rPr>
          <w:rFonts w:ascii="Cambria" w:hAnsi="Cambria"/>
          <w:sz w:val="20"/>
          <w:szCs w:val="20"/>
          <w:lang w:val="pt-BR"/>
        </w:rPr>
        <w:t xml:space="preserve"> o </w:t>
      </w:r>
      <w:r w:rsidR="003E10E6" w:rsidRPr="005D6E61">
        <w:rPr>
          <w:rFonts w:ascii="Cambria" w:hAnsi="Cambria"/>
          <w:sz w:val="20"/>
          <w:szCs w:val="20"/>
          <w:lang w:val="pt-BR"/>
        </w:rPr>
        <w:t xml:space="preserve">caso </w:t>
      </w:r>
      <w:r w:rsidRPr="005D6E61">
        <w:rPr>
          <w:rFonts w:ascii="Cambria" w:hAnsi="Cambria"/>
          <w:sz w:val="20"/>
          <w:szCs w:val="20"/>
          <w:lang w:val="pt-BR"/>
        </w:rPr>
        <w:t xml:space="preserve">fosse transferido para </w:t>
      </w:r>
      <w:r w:rsidR="00A1065A" w:rsidRPr="005D6E61">
        <w:rPr>
          <w:rFonts w:ascii="Cambria" w:hAnsi="Cambria"/>
          <w:sz w:val="20"/>
          <w:szCs w:val="20"/>
          <w:lang w:val="pt-BR"/>
        </w:rPr>
        <w:t>outr</w:t>
      </w:r>
      <w:r w:rsidR="003E10E6" w:rsidRPr="005D6E61">
        <w:rPr>
          <w:rFonts w:ascii="Cambria" w:hAnsi="Cambria"/>
          <w:sz w:val="20"/>
          <w:szCs w:val="20"/>
          <w:lang w:val="pt-BR"/>
        </w:rPr>
        <w:t>o j</w:t>
      </w:r>
      <w:r w:rsidRPr="005D6E61">
        <w:rPr>
          <w:rFonts w:ascii="Cambria" w:hAnsi="Cambria"/>
          <w:sz w:val="20"/>
          <w:szCs w:val="20"/>
          <w:lang w:val="pt-BR"/>
        </w:rPr>
        <w:t>úri</w:t>
      </w:r>
      <w:r w:rsidR="003E10E6" w:rsidRPr="005D6E61">
        <w:rPr>
          <w:rFonts w:ascii="Cambria" w:hAnsi="Cambria"/>
          <w:sz w:val="20"/>
          <w:szCs w:val="20"/>
          <w:lang w:val="pt-BR"/>
        </w:rPr>
        <w:t>, alegando que</w:t>
      </w:r>
      <w:r w:rsidR="00F77B7F" w:rsidRPr="005D6E61">
        <w:rPr>
          <w:rFonts w:ascii="Cambria" w:hAnsi="Cambria"/>
          <w:sz w:val="20"/>
          <w:szCs w:val="20"/>
          <w:lang w:val="pt-BR"/>
        </w:rPr>
        <w:t xml:space="preserve"> os </w:t>
      </w:r>
      <w:r w:rsidRPr="005D6E61">
        <w:rPr>
          <w:rFonts w:ascii="Cambria" w:hAnsi="Cambria"/>
          <w:sz w:val="20"/>
          <w:szCs w:val="20"/>
          <w:lang w:val="pt-BR"/>
        </w:rPr>
        <w:t>m</w:t>
      </w:r>
      <w:r w:rsidR="003E10E6" w:rsidRPr="005D6E61">
        <w:rPr>
          <w:rFonts w:ascii="Cambria" w:hAnsi="Cambria"/>
          <w:sz w:val="20"/>
          <w:szCs w:val="20"/>
          <w:lang w:val="pt-BR"/>
        </w:rPr>
        <w:t>embros</w:t>
      </w:r>
      <w:r w:rsidR="00F77B7F" w:rsidRPr="005D6E61">
        <w:rPr>
          <w:rFonts w:ascii="Cambria" w:hAnsi="Cambria"/>
          <w:sz w:val="20"/>
          <w:szCs w:val="20"/>
          <w:lang w:val="pt-BR"/>
        </w:rPr>
        <w:t xml:space="preserve"> do </w:t>
      </w:r>
      <w:r w:rsidR="003E10E6" w:rsidRPr="005D6E61">
        <w:rPr>
          <w:rFonts w:ascii="Cambria" w:hAnsi="Cambria"/>
          <w:sz w:val="20"/>
          <w:szCs w:val="20"/>
          <w:lang w:val="pt-BR"/>
        </w:rPr>
        <w:t>j</w:t>
      </w:r>
      <w:r w:rsidRPr="005D6E61">
        <w:rPr>
          <w:rFonts w:ascii="Cambria" w:hAnsi="Cambria"/>
          <w:sz w:val="20"/>
          <w:szCs w:val="20"/>
          <w:lang w:val="pt-BR"/>
        </w:rPr>
        <w:t>úri</w:t>
      </w:r>
      <w:r w:rsidR="003E10E6" w:rsidRPr="005D6E61">
        <w:rPr>
          <w:rFonts w:ascii="Cambria" w:hAnsi="Cambria"/>
          <w:sz w:val="20"/>
          <w:szCs w:val="20"/>
          <w:lang w:val="pt-BR"/>
        </w:rPr>
        <w:t xml:space="preserve"> estar</w:t>
      </w:r>
      <w:r w:rsidR="005A2381" w:rsidRPr="005D6E61">
        <w:rPr>
          <w:rFonts w:ascii="Cambria" w:hAnsi="Cambria"/>
          <w:sz w:val="20"/>
          <w:szCs w:val="20"/>
          <w:lang w:val="pt-BR"/>
        </w:rPr>
        <w:t>ia</w:t>
      </w:r>
      <w:r w:rsidRPr="005D6E61">
        <w:rPr>
          <w:rFonts w:ascii="Cambria" w:hAnsi="Cambria"/>
          <w:sz w:val="20"/>
          <w:szCs w:val="20"/>
          <w:lang w:val="pt-BR"/>
        </w:rPr>
        <w:t>m sob</w:t>
      </w:r>
      <w:r w:rsidR="00331E62" w:rsidRPr="005D6E61">
        <w:rPr>
          <w:rFonts w:ascii="Cambria" w:hAnsi="Cambria"/>
          <w:sz w:val="20"/>
          <w:szCs w:val="20"/>
          <w:lang w:val="pt-BR"/>
        </w:rPr>
        <w:t xml:space="preserve"> a </w:t>
      </w:r>
      <w:r w:rsidR="003E10E6" w:rsidRPr="005D6E61">
        <w:rPr>
          <w:rFonts w:ascii="Cambria" w:hAnsi="Cambria"/>
          <w:sz w:val="20"/>
          <w:szCs w:val="20"/>
          <w:lang w:val="pt-BR"/>
        </w:rPr>
        <w:t>influ</w:t>
      </w:r>
      <w:r w:rsidR="00E37676" w:rsidRPr="005D6E61">
        <w:rPr>
          <w:rFonts w:ascii="Cambria" w:hAnsi="Cambria"/>
          <w:sz w:val="20"/>
          <w:szCs w:val="20"/>
          <w:lang w:val="pt-BR"/>
        </w:rPr>
        <w:t>ência</w:t>
      </w:r>
      <w:r w:rsidR="00F77B7F" w:rsidRPr="005D6E61">
        <w:rPr>
          <w:rFonts w:ascii="Cambria" w:hAnsi="Cambria"/>
          <w:sz w:val="20"/>
          <w:szCs w:val="20"/>
          <w:lang w:val="pt-BR"/>
        </w:rPr>
        <w:t xml:space="preserve"> do </w:t>
      </w:r>
      <w:r w:rsidR="003E10E6" w:rsidRPr="005D6E61">
        <w:rPr>
          <w:rFonts w:ascii="Cambria" w:hAnsi="Cambria"/>
          <w:sz w:val="20"/>
          <w:szCs w:val="20"/>
          <w:lang w:val="pt-BR"/>
        </w:rPr>
        <w:t>acusado Antônio Carlos Coutinho Régis</w:t>
      </w:r>
      <w:r w:rsidR="006C5454" w:rsidRPr="005D6E61">
        <w:rPr>
          <w:rFonts w:ascii="Cambria" w:hAnsi="Cambria"/>
          <w:sz w:val="20"/>
          <w:szCs w:val="20"/>
          <w:lang w:val="pt-BR"/>
        </w:rPr>
        <w:t xml:space="preserve"> e </w:t>
      </w:r>
      <w:r w:rsidR="003E10E6" w:rsidRPr="005D6E61">
        <w:rPr>
          <w:rFonts w:ascii="Cambria" w:hAnsi="Cambria"/>
          <w:sz w:val="20"/>
          <w:szCs w:val="20"/>
          <w:lang w:val="pt-BR"/>
        </w:rPr>
        <w:t>su</w:t>
      </w:r>
      <w:r w:rsidR="00CC2D66" w:rsidRPr="005D6E61">
        <w:rPr>
          <w:rFonts w:ascii="Cambria" w:hAnsi="Cambria"/>
          <w:sz w:val="20"/>
          <w:szCs w:val="20"/>
          <w:lang w:val="pt-BR"/>
        </w:rPr>
        <w:t>a</w:t>
      </w:r>
      <w:r w:rsidR="003E10E6" w:rsidRPr="005D6E61">
        <w:rPr>
          <w:rFonts w:ascii="Cambria" w:hAnsi="Cambria"/>
          <w:sz w:val="20"/>
          <w:szCs w:val="20"/>
          <w:lang w:val="pt-BR"/>
        </w:rPr>
        <w:t xml:space="preserve"> </w:t>
      </w:r>
      <w:r w:rsidR="006C535C" w:rsidRPr="005D6E61">
        <w:rPr>
          <w:rFonts w:ascii="Cambria" w:hAnsi="Cambria"/>
          <w:sz w:val="20"/>
          <w:szCs w:val="20"/>
          <w:lang w:val="pt-BR"/>
        </w:rPr>
        <w:t>família</w:t>
      </w:r>
      <w:r w:rsidR="003E10E6" w:rsidRPr="005D6E61">
        <w:rPr>
          <w:rStyle w:val="FootnoteReference"/>
          <w:rFonts w:ascii="Cambria" w:hAnsi="Cambria"/>
          <w:sz w:val="20"/>
          <w:szCs w:val="20"/>
          <w:lang w:val="pt-BR"/>
        </w:rPr>
        <w:footnoteReference w:id="66"/>
      </w:r>
      <w:r w:rsidR="006C5454" w:rsidRPr="005D6E61">
        <w:rPr>
          <w:rFonts w:ascii="Cambria" w:hAnsi="Cambria"/>
          <w:sz w:val="20"/>
          <w:szCs w:val="20"/>
          <w:lang w:val="pt-BR"/>
        </w:rPr>
        <w:t xml:space="preserve"> e </w:t>
      </w:r>
      <w:r w:rsidR="003E10E6" w:rsidRPr="005D6E61">
        <w:rPr>
          <w:rFonts w:ascii="Cambria" w:hAnsi="Cambria"/>
          <w:sz w:val="20"/>
          <w:szCs w:val="20"/>
          <w:lang w:val="pt-BR"/>
        </w:rPr>
        <w:t>que “h</w:t>
      </w:r>
      <w:r w:rsidR="00CC2D66" w:rsidRPr="005D6E61">
        <w:rPr>
          <w:rFonts w:ascii="Cambria" w:hAnsi="Cambria"/>
          <w:sz w:val="20"/>
          <w:szCs w:val="20"/>
          <w:lang w:val="pt-BR"/>
        </w:rPr>
        <w:t>á</w:t>
      </w:r>
      <w:r w:rsidR="002E2BF9" w:rsidRPr="005D6E61">
        <w:rPr>
          <w:rFonts w:ascii="Cambria" w:hAnsi="Cambria"/>
          <w:sz w:val="20"/>
          <w:szCs w:val="20"/>
          <w:lang w:val="pt-BR"/>
        </w:rPr>
        <w:t xml:space="preserve"> certo consenso entre</w:t>
      </w:r>
      <w:r w:rsidR="00F77B7F" w:rsidRPr="005D6E61">
        <w:rPr>
          <w:rFonts w:ascii="Cambria" w:hAnsi="Cambria"/>
          <w:sz w:val="20"/>
          <w:szCs w:val="20"/>
          <w:lang w:val="pt-BR"/>
        </w:rPr>
        <w:t xml:space="preserve"> os </w:t>
      </w:r>
      <w:r w:rsidR="002E2BF9" w:rsidRPr="005D6E61">
        <w:rPr>
          <w:rFonts w:ascii="Cambria" w:hAnsi="Cambria"/>
          <w:sz w:val="20"/>
          <w:szCs w:val="20"/>
          <w:lang w:val="pt-BR"/>
        </w:rPr>
        <w:t>int</w:t>
      </w:r>
      <w:r w:rsidR="003E10E6" w:rsidRPr="005D6E61">
        <w:rPr>
          <w:rFonts w:ascii="Cambria" w:hAnsi="Cambria"/>
          <w:sz w:val="20"/>
          <w:szCs w:val="20"/>
          <w:lang w:val="pt-BR"/>
        </w:rPr>
        <w:t>egrantes</w:t>
      </w:r>
      <w:r w:rsidR="00F77B7F" w:rsidRPr="005D6E61">
        <w:rPr>
          <w:rFonts w:ascii="Cambria" w:hAnsi="Cambria"/>
          <w:sz w:val="20"/>
          <w:szCs w:val="20"/>
          <w:lang w:val="pt-BR"/>
        </w:rPr>
        <w:t xml:space="preserve"> do </w:t>
      </w:r>
      <w:r w:rsidRPr="005D6E61">
        <w:rPr>
          <w:rFonts w:ascii="Cambria" w:hAnsi="Cambria"/>
          <w:sz w:val="20"/>
          <w:szCs w:val="20"/>
          <w:lang w:val="pt-BR"/>
        </w:rPr>
        <w:t>júri</w:t>
      </w:r>
      <w:r w:rsidR="003E10E6" w:rsidRPr="005D6E61">
        <w:rPr>
          <w:rFonts w:ascii="Cambria" w:hAnsi="Cambria"/>
          <w:sz w:val="20"/>
          <w:szCs w:val="20"/>
          <w:lang w:val="pt-BR"/>
        </w:rPr>
        <w:t xml:space="preserve"> de que</w:t>
      </w:r>
      <w:r w:rsidR="00331E62" w:rsidRPr="005D6E61">
        <w:rPr>
          <w:rFonts w:ascii="Cambria" w:hAnsi="Cambria"/>
          <w:sz w:val="20"/>
          <w:szCs w:val="20"/>
          <w:lang w:val="pt-BR"/>
        </w:rPr>
        <w:t xml:space="preserve"> o </w:t>
      </w:r>
      <w:r w:rsidR="003E10E6" w:rsidRPr="005D6E61">
        <w:rPr>
          <w:rFonts w:ascii="Cambria" w:hAnsi="Cambria"/>
          <w:sz w:val="20"/>
          <w:szCs w:val="20"/>
          <w:lang w:val="pt-BR"/>
        </w:rPr>
        <w:t>r</w:t>
      </w:r>
      <w:r w:rsidR="00CC2D66" w:rsidRPr="005D6E61">
        <w:rPr>
          <w:rFonts w:ascii="Cambria" w:hAnsi="Cambria"/>
          <w:sz w:val="20"/>
          <w:szCs w:val="20"/>
          <w:lang w:val="pt-BR"/>
        </w:rPr>
        <w:t>éu, por te</w:t>
      </w:r>
      <w:r w:rsidR="003E10E6" w:rsidRPr="005D6E61">
        <w:rPr>
          <w:rFonts w:ascii="Cambria" w:hAnsi="Cambria"/>
          <w:sz w:val="20"/>
          <w:szCs w:val="20"/>
          <w:lang w:val="pt-BR"/>
        </w:rPr>
        <w:t>r</w:t>
      </w:r>
      <w:r w:rsidR="006C5454" w:rsidRPr="005D6E61">
        <w:rPr>
          <w:rFonts w:ascii="Cambria" w:hAnsi="Cambria"/>
          <w:sz w:val="20"/>
          <w:szCs w:val="20"/>
          <w:lang w:val="pt-BR"/>
        </w:rPr>
        <w:t xml:space="preserve"> uma </w:t>
      </w:r>
      <w:r w:rsidR="003E10E6" w:rsidRPr="005D6E61">
        <w:rPr>
          <w:rFonts w:ascii="Cambria" w:hAnsi="Cambria"/>
          <w:sz w:val="20"/>
          <w:szCs w:val="20"/>
          <w:lang w:val="pt-BR"/>
        </w:rPr>
        <w:t>participa</w:t>
      </w:r>
      <w:r w:rsidR="00A274D9" w:rsidRPr="005D6E61">
        <w:rPr>
          <w:rFonts w:ascii="Cambria" w:hAnsi="Cambria"/>
          <w:sz w:val="20"/>
          <w:szCs w:val="20"/>
          <w:lang w:val="pt-BR"/>
        </w:rPr>
        <w:t>ção</w:t>
      </w:r>
      <w:r w:rsidR="003E10E6" w:rsidRPr="005D6E61">
        <w:rPr>
          <w:rFonts w:ascii="Cambria" w:hAnsi="Cambria"/>
          <w:sz w:val="20"/>
          <w:szCs w:val="20"/>
          <w:lang w:val="pt-BR"/>
        </w:rPr>
        <w:t xml:space="preserve"> de meno</w:t>
      </w:r>
      <w:r w:rsidR="00CF40C5" w:rsidRPr="005D6E61">
        <w:rPr>
          <w:rFonts w:ascii="Cambria" w:hAnsi="Cambria"/>
          <w:sz w:val="20"/>
          <w:szCs w:val="20"/>
          <w:lang w:val="pt-BR"/>
        </w:rPr>
        <w:t>r</w:t>
      </w:r>
      <w:r w:rsidR="003E10E6" w:rsidRPr="005D6E61">
        <w:rPr>
          <w:rFonts w:ascii="Cambria" w:hAnsi="Cambria"/>
          <w:sz w:val="20"/>
          <w:szCs w:val="20"/>
          <w:lang w:val="pt-BR"/>
        </w:rPr>
        <w:t xml:space="preserve"> </w:t>
      </w:r>
      <w:r w:rsidR="006C535C" w:rsidRPr="005D6E61">
        <w:rPr>
          <w:rFonts w:ascii="Cambria" w:hAnsi="Cambria"/>
          <w:sz w:val="20"/>
          <w:szCs w:val="20"/>
          <w:lang w:val="pt-BR"/>
        </w:rPr>
        <w:t>importância</w:t>
      </w:r>
      <w:r w:rsidR="003E10E6" w:rsidRPr="005D6E61">
        <w:rPr>
          <w:rFonts w:ascii="Cambria" w:hAnsi="Cambria"/>
          <w:sz w:val="20"/>
          <w:szCs w:val="20"/>
          <w:lang w:val="pt-BR"/>
        </w:rPr>
        <w:t>, de</w:t>
      </w:r>
      <w:r w:rsidR="00CC2D66" w:rsidRPr="005D6E61">
        <w:rPr>
          <w:rFonts w:ascii="Cambria" w:hAnsi="Cambria"/>
          <w:sz w:val="20"/>
          <w:szCs w:val="20"/>
          <w:lang w:val="pt-BR"/>
        </w:rPr>
        <w:t>v</w:t>
      </w:r>
      <w:r w:rsidR="003E10E6" w:rsidRPr="005D6E61">
        <w:rPr>
          <w:rFonts w:ascii="Cambria" w:hAnsi="Cambria"/>
          <w:sz w:val="20"/>
          <w:szCs w:val="20"/>
          <w:lang w:val="pt-BR"/>
        </w:rPr>
        <w:t>er</w:t>
      </w:r>
      <w:r w:rsidR="005A2381" w:rsidRPr="005D6E61">
        <w:rPr>
          <w:rFonts w:ascii="Cambria" w:hAnsi="Cambria"/>
          <w:sz w:val="20"/>
          <w:szCs w:val="20"/>
          <w:lang w:val="pt-BR"/>
        </w:rPr>
        <w:t>ia</w:t>
      </w:r>
      <w:r w:rsidR="003E10E6" w:rsidRPr="005D6E61">
        <w:rPr>
          <w:rFonts w:ascii="Cambria" w:hAnsi="Cambria"/>
          <w:sz w:val="20"/>
          <w:szCs w:val="20"/>
          <w:lang w:val="pt-BR"/>
        </w:rPr>
        <w:t xml:space="preserve"> ser declarado inocente n</w:t>
      </w:r>
      <w:r w:rsidR="00CC2D66" w:rsidRPr="005D6E61">
        <w:rPr>
          <w:rFonts w:ascii="Cambria" w:hAnsi="Cambria"/>
          <w:sz w:val="20"/>
          <w:szCs w:val="20"/>
          <w:lang w:val="pt-BR"/>
        </w:rPr>
        <w:t>o</w:t>
      </w:r>
      <w:r w:rsidR="003E10E6" w:rsidRPr="005D6E61">
        <w:rPr>
          <w:rFonts w:ascii="Cambria" w:hAnsi="Cambria"/>
          <w:sz w:val="20"/>
          <w:szCs w:val="20"/>
          <w:lang w:val="pt-BR"/>
        </w:rPr>
        <w:t>vamente”</w:t>
      </w:r>
      <w:r w:rsidR="003E10E6" w:rsidRPr="005D6E61">
        <w:rPr>
          <w:rStyle w:val="FootnoteReference"/>
          <w:rFonts w:ascii="Cambria" w:hAnsi="Cambria"/>
          <w:sz w:val="20"/>
          <w:szCs w:val="20"/>
          <w:lang w:val="pt-BR"/>
        </w:rPr>
        <w:footnoteReference w:id="67"/>
      </w:r>
      <w:r w:rsidR="003E10E6" w:rsidRPr="005D6E61">
        <w:rPr>
          <w:rFonts w:ascii="Cambria" w:eastAsia="Times New Roman" w:hAnsi="Cambria" w:cs="Courier New"/>
          <w:sz w:val="20"/>
          <w:szCs w:val="20"/>
          <w:bdr w:val="none" w:sz="0" w:space="0" w:color="auto"/>
          <w:lang w:val="pt-BR"/>
        </w:rPr>
        <w:t>.</w:t>
      </w:r>
    </w:p>
    <w:p w14:paraId="150D2E16" w14:textId="77777777" w:rsidR="003E10E6" w:rsidRPr="005D6E61"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pt-BR"/>
        </w:rPr>
      </w:pPr>
    </w:p>
    <w:p w14:paraId="35ADC774" w14:textId="77777777" w:rsidR="003E10E6" w:rsidRPr="005D6E61" w:rsidRDefault="00EC647E"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Em</w:t>
      </w:r>
      <w:r w:rsidR="003E10E6" w:rsidRPr="005D6E61">
        <w:rPr>
          <w:rFonts w:ascii="Cambria" w:hAnsi="Cambria"/>
          <w:sz w:val="20"/>
          <w:szCs w:val="20"/>
          <w:lang w:val="pt-BR"/>
        </w:rPr>
        <w:t xml:space="preserve"> 25 de </w:t>
      </w:r>
      <w:r w:rsidR="0031191B" w:rsidRPr="005D6E61">
        <w:rPr>
          <w:rFonts w:ascii="Cambria" w:hAnsi="Cambria"/>
          <w:sz w:val="20"/>
          <w:szCs w:val="20"/>
          <w:lang w:val="pt-BR"/>
        </w:rPr>
        <w:t>setembro</w:t>
      </w:r>
      <w:r w:rsidR="003E10E6" w:rsidRPr="005D6E61">
        <w:rPr>
          <w:rFonts w:ascii="Cambria" w:hAnsi="Cambria"/>
          <w:sz w:val="20"/>
          <w:szCs w:val="20"/>
          <w:lang w:val="pt-BR"/>
        </w:rPr>
        <w:t xml:space="preserve"> de 1991 </w:t>
      </w:r>
      <w:r w:rsidR="00CC2D66" w:rsidRPr="005D6E61">
        <w:rPr>
          <w:rFonts w:ascii="Cambria" w:hAnsi="Cambria"/>
          <w:sz w:val="20"/>
          <w:szCs w:val="20"/>
          <w:lang w:val="pt-BR"/>
        </w:rPr>
        <w:t xml:space="preserve">foi negado o pedido </w:t>
      </w:r>
      <w:r w:rsidR="003E10E6" w:rsidRPr="005D6E61">
        <w:rPr>
          <w:rFonts w:ascii="Cambria" w:hAnsi="Cambria"/>
          <w:sz w:val="20"/>
          <w:szCs w:val="20"/>
          <w:lang w:val="pt-BR"/>
        </w:rPr>
        <w:t>de Severino Cassemiro Alves</w:t>
      </w:r>
      <w:r w:rsidR="00CF40C5" w:rsidRPr="005D6E61">
        <w:rPr>
          <w:rFonts w:ascii="Cambria" w:hAnsi="Cambria"/>
          <w:sz w:val="20"/>
          <w:szCs w:val="20"/>
          <w:lang w:val="pt-BR"/>
        </w:rPr>
        <w:t>,</w:t>
      </w:r>
      <w:r w:rsidR="003E10E6" w:rsidRPr="005D6E61">
        <w:rPr>
          <w:rFonts w:ascii="Cambria" w:hAnsi="Cambria"/>
          <w:sz w:val="20"/>
          <w:szCs w:val="20"/>
          <w:lang w:val="pt-BR"/>
        </w:rPr>
        <w:t xml:space="preserve"> </w:t>
      </w:r>
      <w:r w:rsidR="00CC2D66" w:rsidRPr="005D6E61">
        <w:rPr>
          <w:rFonts w:ascii="Cambria" w:hAnsi="Cambria"/>
          <w:sz w:val="20"/>
          <w:szCs w:val="20"/>
          <w:lang w:val="pt-BR"/>
        </w:rPr>
        <w:t>alega</w:t>
      </w:r>
      <w:r w:rsidR="003E10E6" w:rsidRPr="005D6E61">
        <w:rPr>
          <w:rFonts w:ascii="Cambria" w:hAnsi="Cambria"/>
          <w:sz w:val="20"/>
          <w:szCs w:val="20"/>
          <w:lang w:val="pt-BR"/>
        </w:rPr>
        <w:t>ndo</w:t>
      </w:r>
      <w:r w:rsidR="00CC2D66" w:rsidRPr="005D6E61">
        <w:rPr>
          <w:rFonts w:ascii="Cambria" w:hAnsi="Cambria"/>
          <w:sz w:val="20"/>
          <w:szCs w:val="20"/>
          <w:lang w:val="pt-BR"/>
        </w:rPr>
        <w:t>-</w:t>
      </w:r>
      <w:r w:rsidR="003E10E6" w:rsidRPr="005D6E61">
        <w:rPr>
          <w:rFonts w:ascii="Cambria" w:hAnsi="Cambria"/>
          <w:sz w:val="20"/>
          <w:szCs w:val="20"/>
          <w:lang w:val="pt-BR"/>
        </w:rPr>
        <w:t>se que</w:t>
      </w:r>
      <w:r w:rsidR="00331E62" w:rsidRPr="005D6E61">
        <w:rPr>
          <w:rFonts w:ascii="Cambria" w:hAnsi="Cambria"/>
          <w:sz w:val="20"/>
          <w:szCs w:val="20"/>
          <w:lang w:val="pt-BR"/>
        </w:rPr>
        <w:t xml:space="preserve"> o </w:t>
      </w:r>
      <w:r w:rsidR="00CC2D66" w:rsidRPr="005D6E61">
        <w:rPr>
          <w:rFonts w:ascii="Cambria" w:hAnsi="Cambria"/>
          <w:sz w:val="20"/>
          <w:szCs w:val="20"/>
          <w:lang w:val="pt-BR"/>
        </w:rPr>
        <w:t>mesmo</w:t>
      </w:r>
      <w:r w:rsidR="003E10E6" w:rsidRPr="005D6E61">
        <w:rPr>
          <w:rFonts w:ascii="Cambria" w:hAnsi="Cambria"/>
          <w:sz w:val="20"/>
          <w:szCs w:val="20"/>
          <w:lang w:val="pt-BR"/>
        </w:rPr>
        <w:t xml:space="preserve"> se bas</w:t>
      </w:r>
      <w:r w:rsidR="00CC2D66" w:rsidRPr="005D6E61">
        <w:rPr>
          <w:rFonts w:ascii="Cambria" w:hAnsi="Cambria"/>
          <w:sz w:val="20"/>
          <w:szCs w:val="20"/>
          <w:lang w:val="pt-BR"/>
        </w:rPr>
        <w:t>e</w:t>
      </w:r>
      <w:r w:rsidR="00BF0B90" w:rsidRPr="005D6E61">
        <w:rPr>
          <w:rFonts w:ascii="Cambria" w:hAnsi="Cambria"/>
          <w:sz w:val="20"/>
          <w:szCs w:val="20"/>
          <w:lang w:val="pt-BR"/>
        </w:rPr>
        <w:t xml:space="preserve">ou </w:t>
      </w:r>
      <w:r w:rsidR="00F77B7F" w:rsidRPr="005D6E61">
        <w:rPr>
          <w:rFonts w:ascii="Cambria" w:hAnsi="Cambria"/>
          <w:sz w:val="20"/>
          <w:szCs w:val="20"/>
          <w:lang w:val="pt-BR"/>
        </w:rPr>
        <w:t xml:space="preserve">em </w:t>
      </w:r>
      <w:r w:rsidR="003E10E6" w:rsidRPr="005D6E61">
        <w:rPr>
          <w:rFonts w:ascii="Cambria" w:hAnsi="Cambria"/>
          <w:sz w:val="20"/>
          <w:szCs w:val="20"/>
          <w:lang w:val="pt-BR"/>
        </w:rPr>
        <w:t>meras conje</w:t>
      </w:r>
      <w:r w:rsidR="00CC2D66" w:rsidRPr="005D6E61">
        <w:rPr>
          <w:rFonts w:ascii="Cambria" w:hAnsi="Cambria"/>
          <w:sz w:val="20"/>
          <w:szCs w:val="20"/>
          <w:lang w:val="pt-BR"/>
        </w:rPr>
        <w:t>c</w:t>
      </w:r>
      <w:r w:rsidR="003E10E6" w:rsidRPr="005D6E61">
        <w:rPr>
          <w:rFonts w:ascii="Cambria" w:hAnsi="Cambria"/>
          <w:sz w:val="20"/>
          <w:szCs w:val="20"/>
          <w:lang w:val="pt-BR"/>
        </w:rPr>
        <w:t>turas provenientes sup</w:t>
      </w:r>
      <w:r w:rsidR="00CC2D66" w:rsidRPr="005D6E61">
        <w:rPr>
          <w:rFonts w:ascii="Cambria" w:hAnsi="Cambria"/>
          <w:sz w:val="20"/>
          <w:szCs w:val="20"/>
          <w:lang w:val="pt-BR"/>
        </w:rPr>
        <w:t>o</w:t>
      </w:r>
      <w:r w:rsidR="003E10E6" w:rsidRPr="005D6E61">
        <w:rPr>
          <w:rFonts w:ascii="Cambria" w:hAnsi="Cambria"/>
          <w:sz w:val="20"/>
          <w:szCs w:val="20"/>
          <w:lang w:val="pt-BR"/>
        </w:rPr>
        <w:t>stamente</w:t>
      </w:r>
      <w:r w:rsidR="00F77B7F" w:rsidRPr="005D6E61">
        <w:rPr>
          <w:rFonts w:ascii="Cambria" w:hAnsi="Cambria"/>
          <w:sz w:val="20"/>
          <w:szCs w:val="20"/>
          <w:lang w:val="pt-BR"/>
        </w:rPr>
        <w:t xml:space="preserve"> do </w:t>
      </w:r>
      <w:r w:rsidR="0045573A" w:rsidRPr="005D6E61">
        <w:rPr>
          <w:rFonts w:ascii="Cambria" w:hAnsi="Cambria"/>
          <w:sz w:val="20"/>
          <w:szCs w:val="20"/>
          <w:lang w:val="pt-BR"/>
        </w:rPr>
        <w:t>juiz</w:t>
      </w:r>
      <w:r w:rsidR="00675058" w:rsidRPr="005D6E61">
        <w:rPr>
          <w:rFonts w:ascii="Cambria" w:hAnsi="Cambria"/>
          <w:sz w:val="20"/>
          <w:szCs w:val="20"/>
          <w:lang w:val="pt-BR"/>
        </w:rPr>
        <w:t xml:space="preserve"> da </w:t>
      </w:r>
      <w:r w:rsidR="003E10E6" w:rsidRPr="005D6E61">
        <w:rPr>
          <w:rFonts w:ascii="Cambria" w:hAnsi="Cambria"/>
          <w:sz w:val="20"/>
          <w:szCs w:val="20"/>
          <w:lang w:val="pt-BR"/>
        </w:rPr>
        <w:t>causa</w:t>
      </w:r>
      <w:r w:rsidR="00CC2D66" w:rsidRPr="005D6E61">
        <w:rPr>
          <w:rFonts w:ascii="Cambria" w:hAnsi="Cambria"/>
          <w:sz w:val="20"/>
          <w:szCs w:val="20"/>
          <w:lang w:val="pt-BR"/>
        </w:rPr>
        <w:t>; contudo</w:t>
      </w:r>
      <w:r w:rsidR="003E10E6" w:rsidRPr="005D6E61">
        <w:rPr>
          <w:rFonts w:ascii="Cambria" w:hAnsi="Cambria"/>
          <w:sz w:val="20"/>
          <w:szCs w:val="20"/>
          <w:lang w:val="pt-BR"/>
        </w:rPr>
        <w:t xml:space="preserve">, </w:t>
      </w:r>
      <w:r w:rsidR="00CC2D66" w:rsidRPr="005D6E61">
        <w:rPr>
          <w:rFonts w:ascii="Cambria" w:hAnsi="Cambria"/>
          <w:sz w:val="20"/>
          <w:szCs w:val="20"/>
          <w:lang w:val="pt-BR"/>
        </w:rPr>
        <w:t>esse</w:t>
      </w:r>
      <w:r w:rsidR="003E10E6" w:rsidRPr="005D6E61">
        <w:rPr>
          <w:rFonts w:ascii="Cambria" w:hAnsi="Cambria"/>
          <w:sz w:val="20"/>
          <w:szCs w:val="20"/>
          <w:lang w:val="pt-BR"/>
        </w:rPr>
        <w:t xml:space="preserve"> </w:t>
      </w:r>
      <w:r w:rsidR="0045573A" w:rsidRPr="005D6E61">
        <w:rPr>
          <w:rFonts w:ascii="Cambria" w:hAnsi="Cambria"/>
          <w:sz w:val="20"/>
          <w:szCs w:val="20"/>
          <w:lang w:val="pt-BR"/>
        </w:rPr>
        <w:t>juiz</w:t>
      </w:r>
      <w:r w:rsidR="003E10E6" w:rsidRPr="005D6E61">
        <w:rPr>
          <w:rFonts w:ascii="Cambria" w:hAnsi="Cambria"/>
          <w:sz w:val="20"/>
          <w:szCs w:val="20"/>
          <w:lang w:val="pt-BR"/>
        </w:rPr>
        <w:t xml:space="preserve"> descart</w:t>
      </w:r>
      <w:r w:rsidR="00BF0B90" w:rsidRPr="005D6E61">
        <w:rPr>
          <w:rFonts w:ascii="Cambria" w:hAnsi="Cambria"/>
          <w:sz w:val="20"/>
          <w:szCs w:val="20"/>
          <w:lang w:val="pt-BR"/>
        </w:rPr>
        <w:t xml:space="preserve">ou </w:t>
      </w:r>
      <w:r w:rsidR="00F77B7F" w:rsidRPr="005D6E61">
        <w:rPr>
          <w:rFonts w:ascii="Cambria" w:hAnsi="Cambria"/>
          <w:sz w:val="20"/>
          <w:szCs w:val="20"/>
          <w:lang w:val="pt-BR"/>
        </w:rPr>
        <w:t xml:space="preserve">as </w:t>
      </w:r>
      <w:r w:rsidR="003E10E6" w:rsidRPr="005D6E61">
        <w:rPr>
          <w:rFonts w:ascii="Cambria" w:hAnsi="Cambria"/>
          <w:sz w:val="20"/>
          <w:szCs w:val="20"/>
          <w:lang w:val="pt-BR"/>
        </w:rPr>
        <w:t>declara</w:t>
      </w:r>
      <w:r w:rsidR="00F77B7F" w:rsidRPr="005D6E61">
        <w:rPr>
          <w:rFonts w:ascii="Cambria" w:hAnsi="Cambria"/>
          <w:sz w:val="20"/>
          <w:szCs w:val="20"/>
          <w:lang w:val="pt-BR"/>
        </w:rPr>
        <w:t>ções</w:t>
      </w:r>
      <w:r w:rsidR="003E10E6" w:rsidRPr="005D6E61">
        <w:rPr>
          <w:rFonts w:ascii="Cambria" w:hAnsi="Cambria"/>
          <w:sz w:val="20"/>
          <w:szCs w:val="20"/>
          <w:lang w:val="pt-BR"/>
        </w:rPr>
        <w:t xml:space="preserve"> </w:t>
      </w:r>
      <w:r w:rsidR="006C535C" w:rsidRPr="005D6E61">
        <w:rPr>
          <w:rFonts w:ascii="Cambria" w:hAnsi="Cambria"/>
          <w:sz w:val="20"/>
          <w:szCs w:val="20"/>
          <w:lang w:val="pt-BR"/>
        </w:rPr>
        <w:t>atribuídas</w:t>
      </w:r>
      <w:r w:rsidR="003E10E6" w:rsidRPr="005D6E61">
        <w:rPr>
          <w:rFonts w:ascii="Cambria" w:hAnsi="Cambria"/>
          <w:sz w:val="20"/>
          <w:szCs w:val="20"/>
          <w:lang w:val="pt-BR"/>
        </w:rPr>
        <w:t xml:space="preserve"> </w:t>
      </w:r>
      <w:r w:rsidR="00CF40C5" w:rsidRPr="005D6E61">
        <w:rPr>
          <w:rFonts w:ascii="Cambria" w:hAnsi="Cambria"/>
          <w:sz w:val="20"/>
          <w:szCs w:val="20"/>
          <w:lang w:val="pt-BR"/>
        </w:rPr>
        <w:t>à</w:t>
      </w:r>
      <w:r w:rsidR="003E10E6" w:rsidRPr="005D6E61">
        <w:rPr>
          <w:rFonts w:ascii="Cambria" w:hAnsi="Cambria"/>
          <w:sz w:val="20"/>
          <w:szCs w:val="20"/>
          <w:lang w:val="pt-BR"/>
        </w:rPr>
        <w:t xml:space="preserve"> su</w:t>
      </w:r>
      <w:r w:rsidR="00CC2D66" w:rsidRPr="005D6E61">
        <w:rPr>
          <w:rFonts w:ascii="Cambria" w:hAnsi="Cambria"/>
          <w:sz w:val="20"/>
          <w:szCs w:val="20"/>
          <w:lang w:val="pt-BR"/>
        </w:rPr>
        <w:t>a</w:t>
      </w:r>
      <w:r w:rsidR="003E10E6" w:rsidRPr="005D6E61">
        <w:rPr>
          <w:rFonts w:ascii="Cambria" w:hAnsi="Cambria"/>
          <w:sz w:val="20"/>
          <w:szCs w:val="20"/>
          <w:lang w:val="pt-BR"/>
        </w:rPr>
        <w:t xml:space="preserve"> </w:t>
      </w:r>
      <w:r w:rsidR="0054428F" w:rsidRPr="005D6E61">
        <w:rPr>
          <w:rFonts w:ascii="Cambria" w:hAnsi="Cambria"/>
          <w:sz w:val="20"/>
          <w:szCs w:val="20"/>
          <w:lang w:val="pt-BR"/>
        </w:rPr>
        <w:t>pessoa</w:t>
      </w:r>
      <w:r w:rsidR="003E10E6" w:rsidRPr="005D6E61">
        <w:rPr>
          <w:rFonts w:ascii="Cambria" w:hAnsi="Cambria"/>
          <w:sz w:val="20"/>
          <w:szCs w:val="20"/>
          <w:lang w:val="pt-BR"/>
        </w:rPr>
        <w:t xml:space="preserve"> sobre</w:t>
      </w:r>
      <w:r w:rsidR="00331E62" w:rsidRPr="005D6E61">
        <w:rPr>
          <w:rFonts w:ascii="Cambria" w:hAnsi="Cambria"/>
          <w:sz w:val="20"/>
          <w:szCs w:val="20"/>
          <w:lang w:val="pt-BR"/>
        </w:rPr>
        <w:t xml:space="preserve"> a </w:t>
      </w:r>
      <w:r w:rsidR="003E10E6" w:rsidRPr="005D6E61">
        <w:rPr>
          <w:rFonts w:ascii="Cambria" w:hAnsi="Cambria"/>
          <w:sz w:val="20"/>
          <w:szCs w:val="20"/>
          <w:lang w:val="pt-BR"/>
        </w:rPr>
        <w:t>parciali</w:t>
      </w:r>
      <w:r w:rsidR="00FB55C7" w:rsidRPr="005D6E61">
        <w:rPr>
          <w:rFonts w:ascii="Cambria" w:hAnsi="Cambria"/>
          <w:sz w:val="20"/>
          <w:szCs w:val="20"/>
          <w:lang w:val="pt-BR"/>
        </w:rPr>
        <w:t xml:space="preserve">dade </w:t>
      </w:r>
      <w:r w:rsidR="00F77B7F" w:rsidRPr="005D6E61">
        <w:rPr>
          <w:rFonts w:ascii="Cambria" w:hAnsi="Cambria"/>
          <w:sz w:val="20"/>
          <w:szCs w:val="20"/>
          <w:lang w:val="pt-BR"/>
        </w:rPr>
        <w:t xml:space="preserve">do </w:t>
      </w:r>
      <w:r w:rsidR="001B6B3E" w:rsidRPr="005D6E61">
        <w:rPr>
          <w:rFonts w:ascii="Cambria" w:hAnsi="Cambria"/>
          <w:sz w:val="20"/>
          <w:szCs w:val="20"/>
          <w:lang w:val="pt-BR"/>
        </w:rPr>
        <w:t>júri</w:t>
      </w:r>
      <w:r w:rsidR="003E10E6" w:rsidRPr="005D6E61">
        <w:rPr>
          <w:rStyle w:val="FootnoteReference"/>
          <w:rFonts w:ascii="Cambria" w:hAnsi="Cambria"/>
          <w:sz w:val="20"/>
          <w:szCs w:val="20"/>
          <w:lang w:val="pt-BR"/>
        </w:rPr>
        <w:footnoteReference w:id="68"/>
      </w:r>
      <w:r w:rsidR="003E10E6" w:rsidRPr="005D6E61">
        <w:rPr>
          <w:rFonts w:ascii="Cambria" w:hAnsi="Cambria"/>
          <w:sz w:val="20"/>
          <w:szCs w:val="20"/>
          <w:lang w:val="pt-BR"/>
        </w:rPr>
        <w:t>.</w:t>
      </w:r>
    </w:p>
    <w:p w14:paraId="66C96F3A" w14:textId="77777777" w:rsidR="003E10E6" w:rsidRPr="005D6E61" w:rsidRDefault="003E10E6" w:rsidP="003E10E6">
      <w:pPr>
        <w:pStyle w:val="ListParagraph"/>
        <w:rPr>
          <w:sz w:val="20"/>
          <w:szCs w:val="20"/>
          <w:lang w:val="pt-BR"/>
        </w:rPr>
      </w:pPr>
    </w:p>
    <w:p w14:paraId="58BCE5DA" w14:textId="77777777" w:rsidR="003E10E6" w:rsidRPr="005D6E61" w:rsidRDefault="00CC2D6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A</w:t>
      </w:r>
      <w:r w:rsidR="00331E62" w:rsidRPr="005D6E61">
        <w:rPr>
          <w:rFonts w:ascii="Cambria" w:hAnsi="Cambria"/>
          <w:sz w:val="20"/>
          <w:szCs w:val="20"/>
          <w:lang w:val="pt-BR"/>
        </w:rPr>
        <w:t xml:space="preserve"> </w:t>
      </w:r>
      <w:r w:rsidR="00AA7EA9" w:rsidRPr="005D6E61">
        <w:rPr>
          <w:rFonts w:ascii="Cambria" w:hAnsi="Cambria"/>
          <w:sz w:val="20"/>
          <w:szCs w:val="20"/>
          <w:lang w:val="pt-BR"/>
        </w:rPr>
        <w:t>informa</w:t>
      </w:r>
      <w:r w:rsidR="00A274D9" w:rsidRPr="005D6E61">
        <w:rPr>
          <w:rFonts w:ascii="Cambria" w:hAnsi="Cambria"/>
          <w:sz w:val="20"/>
          <w:szCs w:val="20"/>
          <w:lang w:val="pt-BR"/>
        </w:rPr>
        <w:t>ção</w:t>
      </w:r>
      <w:r w:rsidR="00AA7EA9" w:rsidRPr="005D6E61">
        <w:rPr>
          <w:rFonts w:ascii="Cambria" w:hAnsi="Cambria"/>
          <w:sz w:val="20"/>
          <w:szCs w:val="20"/>
          <w:lang w:val="pt-BR"/>
        </w:rPr>
        <w:t xml:space="preserve"> dispon</w:t>
      </w:r>
      <w:r w:rsidRPr="005D6E61">
        <w:rPr>
          <w:rFonts w:ascii="Cambria" w:hAnsi="Cambria"/>
          <w:sz w:val="20"/>
          <w:szCs w:val="20"/>
          <w:lang w:val="pt-BR"/>
        </w:rPr>
        <w:t>ível no processo</w:t>
      </w:r>
      <w:r w:rsidR="00AA7EA9" w:rsidRPr="005D6E61">
        <w:rPr>
          <w:rFonts w:ascii="Cambria" w:hAnsi="Cambria"/>
          <w:sz w:val="20"/>
          <w:szCs w:val="20"/>
          <w:lang w:val="pt-BR"/>
        </w:rPr>
        <w:t xml:space="preserve"> </w:t>
      </w:r>
      <w:r w:rsidRPr="005D6E61">
        <w:rPr>
          <w:rFonts w:ascii="Cambria" w:hAnsi="Cambria"/>
          <w:sz w:val="20"/>
          <w:szCs w:val="20"/>
          <w:lang w:val="pt-BR"/>
        </w:rPr>
        <w:t>indica</w:t>
      </w:r>
      <w:r w:rsidR="002801CF" w:rsidRPr="005D6E61">
        <w:rPr>
          <w:rFonts w:ascii="Cambria" w:hAnsi="Cambria"/>
          <w:sz w:val="20"/>
          <w:szCs w:val="20"/>
          <w:lang w:val="pt-BR"/>
        </w:rPr>
        <w:t xml:space="preserve"> que </w:t>
      </w:r>
      <w:r w:rsidR="003E10E6" w:rsidRPr="005D6E61">
        <w:rPr>
          <w:rFonts w:ascii="Cambria" w:hAnsi="Cambria"/>
          <w:sz w:val="20"/>
          <w:szCs w:val="20"/>
          <w:lang w:val="pt-BR"/>
        </w:rPr>
        <w:t>durante</w:t>
      </w:r>
      <w:r w:rsidR="00275A65" w:rsidRPr="005D6E61">
        <w:rPr>
          <w:rFonts w:ascii="Cambria" w:hAnsi="Cambria"/>
          <w:sz w:val="20"/>
          <w:szCs w:val="20"/>
          <w:lang w:val="pt-BR"/>
        </w:rPr>
        <w:t xml:space="preserve"> um </w:t>
      </w:r>
      <w:r w:rsidR="003E10E6" w:rsidRPr="005D6E61">
        <w:rPr>
          <w:rFonts w:ascii="Cambria" w:hAnsi="Cambria"/>
          <w:sz w:val="20"/>
          <w:szCs w:val="20"/>
          <w:lang w:val="pt-BR"/>
        </w:rPr>
        <w:t xml:space="preserve">período de </w:t>
      </w:r>
      <w:r w:rsidRPr="005D6E61">
        <w:rPr>
          <w:rFonts w:ascii="Cambria" w:hAnsi="Cambria"/>
          <w:sz w:val="20"/>
          <w:szCs w:val="20"/>
          <w:lang w:val="pt-BR"/>
        </w:rPr>
        <w:t>qu</w:t>
      </w:r>
      <w:r w:rsidR="003E10E6" w:rsidRPr="005D6E61">
        <w:rPr>
          <w:rFonts w:ascii="Cambria" w:hAnsi="Cambria"/>
          <w:sz w:val="20"/>
          <w:szCs w:val="20"/>
          <w:lang w:val="pt-BR"/>
        </w:rPr>
        <w:t>as</w:t>
      </w:r>
      <w:r w:rsidRPr="005D6E61">
        <w:rPr>
          <w:rFonts w:ascii="Cambria" w:hAnsi="Cambria"/>
          <w:sz w:val="20"/>
          <w:szCs w:val="20"/>
          <w:lang w:val="pt-BR"/>
        </w:rPr>
        <w:t>e</w:t>
      </w:r>
      <w:r w:rsidR="003E10E6" w:rsidRPr="005D6E61">
        <w:rPr>
          <w:rFonts w:ascii="Cambria" w:hAnsi="Cambria"/>
          <w:sz w:val="20"/>
          <w:szCs w:val="20"/>
          <w:lang w:val="pt-BR"/>
        </w:rPr>
        <w:t xml:space="preserve"> </w:t>
      </w:r>
      <w:r w:rsidR="005A2381" w:rsidRPr="005D6E61">
        <w:rPr>
          <w:rFonts w:ascii="Cambria" w:hAnsi="Cambria"/>
          <w:sz w:val="20"/>
          <w:szCs w:val="20"/>
          <w:lang w:val="pt-BR"/>
        </w:rPr>
        <w:t>qua</w:t>
      </w:r>
      <w:r w:rsidR="003E10E6" w:rsidRPr="005D6E61">
        <w:rPr>
          <w:rFonts w:ascii="Cambria" w:hAnsi="Cambria"/>
          <w:sz w:val="20"/>
          <w:szCs w:val="20"/>
          <w:lang w:val="pt-BR"/>
        </w:rPr>
        <w:t>tro a</w:t>
      </w:r>
      <w:r w:rsidRPr="005D6E61">
        <w:rPr>
          <w:rFonts w:ascii="Cambria" w:hAnsi="Cambria"/>
          <w:sz w:val="20"/>
          <w:szCs w:val="20"/>
          <w:lang w:val="pt-BR"/>
        </w:rPr>
        <w:t>n</w:t>
      </w:r>
      <w:r w:rsidR="003E10E6" w:rsidRPr="005D6E61">
        <w:rPr>
          <w:rFonts w:ascii="Cambria" w:hAnsi="Cambria"/>
          <w:sz w:val="20"/>
          <w:szCs w:val="20"/>
          <w:lang w:val="pt-BR"/>
        </w:rPr>
        <w:t>os</w:t>
      </w:r>
      <w:r w:rsidR="00F77B7F" w:rsidRPr="005D6E61">
        <w:rPr>
          <w:rFonts w:ascii="Cambria" w:hAnsi="Cambria"/>
          <w:sz w:val="20"/>
          <w:szCs w:val="20"/>
          <w:lang w:val="pt-BR"/>
        </w:rPr>
        <w:t xml:space="preserve"> não </w:t>
      </w:r>
      <w:r w:rsidR="003E10E6" w:rsidRPr="005D6E61">
        <w:rPr>
          <w:rFonts w:ascii="Cambria" w:hAnsi="Cambria"/>
          <w:sz w:val="20"/>
          <w:szCs w:val="20"/>
          <w:lang w:val="pt-BR"/>
        </w:rPr>
        <w:t>se registr</w:t>
      </w:r>
      <w:r w:rsidR="00BF0B90" w:rsidRPr="005D6E61">
        <w:rPr>
          <w:rFonts w:ascii="Cambria" w:hAnsi="Cambria"/>
          <w:sz w:val="20"/>
          <w:szCs w:val="20"/>
          <w:lang w:val="pt-BR"/>
        </w:rPr>
        <w:t xml:space="preserve">ou </w:t>
      </w:r>
      <w:r w:rsidR="003E10E6" w:rsidRPr="005D6E61">
        <w:rPr>
          <w:rFonts w:ascii="Cambria" w:hAnsi="Cambria"/>
          <w:sz w:val="20"/>
          <w:szCs w:val="20"/>
          <w:lang w:val="pt-BR"/>
        </w:rPr>
        <w:t>n</w:t>
      </w:r>
      <w:r w:rsidRPr="005D6E61">
        <w:rPr>
          <w:rFonts w:ascii="Cambria" w:hAnsi="Cambria"/>
          <w:sz w:val="20"/>
          <w:szCs w:val="20"/>
          <w:lang w:val="pt-BR"/>
        </w:rPr>
        <w:t>enhum</w:t>
      </w:r>
      <w:r w:rsidR="003E10E6" w:rsidRPr="005D6E61">
        <w:rPr>
          <w:rFonts w:ascii="Cambria" w:hAnsi="Cambria"/>
          <w:sz w:val="20"/>
          <w:szCs w:val="20"/>
          <w:lang w:val="pt-BR"/>
        </w:rPr>
        <w:t>a ativi</w:t>
      </w:r>
      <w:r w:rsidR="00FB55C7" w:rsidRPr="005D6E61">
        <w:rPr>
          <w:rFonts w:ascii="Cambria" w:hAnsi="Cambria"/>
          <w:sz w:val="20"/>
          <w:szCs w:val="20"/>
          <w:lang w:val="pt-BR"/>
        </w:rPr>
        <w:t xml:space="preserve">dade </w:t>
      </w:r>
      <w:r w:rsidR="003E10E6" w:rsidRPr="005D6E61">
        <w:rPr>
          <w:rFonts w:ascii="Cambria" w:hAnsi="Cambria"/>
          <w:sz w:val="20"/>
          <w:szCs w:val="20"/>
          <w:lang w:val="pt-BR"/>
        </w:rPr>
        <w:t>proces</w:t>
      </w:r>
      <w:r w:rsidRPr="005D6E61">
        <w:rPr>
          <w:rFonts w:ascii="Cambria" w:hAnsi="Cambria"/>
          <w:sz w:val="20"/>
          <w:szCs w:val="20"/>
          <w:lang w:val="pt-BR"/>
        </w:rPr>
        <w:t>su</w:t>
      </w:r>
      <w:r w:rsidR="003E10E6" w:rsidRPr="005D6E61">
        <w:rPr>
          <w:rFonts w:ascii="Cambria" w:hAnsi="Cambria"/>
          <w:sz w:val="20"/>
          <w:szCs w:val="20"/>
          <w:lang w:val="pt-BR"/>
        </w:rPr>
        <w:t xml:space="preserve">al. </w:t>
      </w:r>
    </w:p>
    <w:p w14:paraId="61CAB79B" w14:textId="77777777" w:rsidR="00333A4A" w:rsidRPr="005D6E61" w:rsidRDefault="00333A4A" w:rsidP="00333A4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pt-BR"/>
        </w:rPr>
      </w:pPr>
    </w:p>
    <w:p w14:paraId="38F2A63A" w14:textId="77777777" w:rsidR="003E10E6" w:rsidRPr="005D6E61" w:rsidRDefault="00EC647E"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Em</w:t>
      </w:r>
      <w:r w:rsidR="003E10E6" w:rsidRPr="005D6E61">
        <w:rPr>
          <w:rFonts w:ascii="Cambria" w:hAnsi="Cambria"/>
          <w:sz w:val="20"/>
          <w:szCs w:val="20"/>
          <w:lang w:val="pt-BR"/>
        </w:rPr>
        <w:t xml:space="preserve"> 13 de </w:t>
      </w:r>
      <w:r w:rsidR="00CC2D66" w:rsidRPr="005D6E61">
        <w:rPr>
          <w:rFonts w:ascii="Cambria" w:hAnsi="Cambria"/>
          <w:sz w:val="20"/>
          <w:szCs w:val="20"/>
          <w:lang w:val="pt-BR"/>
        </w:rPr>
        <w:t>julho</w:t>
      </w:r>
      <w:r w:rsidR="003E10E6" w:rsidRPr="005D6E61">
        <w:rPr>
          <w:rFonts w:ascii="Cambria" w:hAnsi="Cambria"/>
          <w:sz w:val="20"/>
          <w:szCs w:val="20"/>
          <w:lang w:val="pt-BR"/>
        </w:rPr>
        <w:t xml:space="preserve"> de 1995</w:t>
      </w:r>
      <w:r w:rsidR="00331E62" w:rsidRPr="005D6E61">
        <w:rPr>
          <w:rFonts w:ascii="Cambria" w:hAnsi="Cambria"/>
          <w:sz w:val="20"/>
          <w:szCs w:val="20"/>
          <w:lang w:val="pt-BR"/>
        </w:rPr>
        <w:t xml:space="preserve"> a </w:t>
      </w:r>
      <w:r w:rsidR="003E10E6" w:rsidRPr="005D6E61">
        <w:rPr>
          <w:rFonts w:ascii="Cambria" w:hAnsi="Cambria"/>
          <w:sz w:val="20"/>
          <w:szCs w:val="20"/>
          <w:lang w:val="pt-BR"/>
        </w:rPr>
        <w:t>Presid</w:t>
      </w:r>
      <w:r w:rsidR="00E37676" w:rsidRPr="005D6E61">
        <w:rPr>
          <w:rFonts w:ascii="Cambria" w:hAnsi="Cambria"/>
          <w:sz w:val="20"/>
          <w:szCs w:val="20"/>
          <w:lang w:val="pt-BR"/>
        </w:rPr>
        <w:t>ência</w:t>
      </w:r>
      <w:r w:rsidR="00F77B7F" w:rsidRPr="005D6E61">
        <w:rPr>
          <w:rFonts w:ascii="Cambria" w:hAnsi="Cambria"/>
          <w:sz w:val="20"/>
          <w:szCs w:val="20"/>
          <w:lang w:val="pt-BR"/>
        </w:rPr>
        <w:t xml:space="preserve"> do </w:t>
      </w:r>
      <w:r w:rsidR="003E10E6" w:rsidRPr="005D6E61">
        <w:rPr>
          <w:rFonts w:ascii="Cambria" w:hAnsi="Cambria"/>
          <w:sz w:val="20"/>
          <w:szCs w:val="20"/>
          <w:lang w:val="pt-BR"/>
        </w:rPr>
        <w:t xml:space="preserve">Tribunal de </w:t>
      </w:r>
      <w:r w:rsidR="00275A65" w:rsidRPr="005D6E61">
        <w:rPr>
          <w:rFonts w:ascii="Cambria" w:hAnsi="Cambria"/>
          <w:sz w:val="20"/>
          <w:szCs w:val="20"/>
          <w:lang w:val="pt-BR"/>
        </w:rPr>
        <w:t>Justiça</w:t>
      </w:r>
      <w:r w:rsidR="003E10E6" w:rsidRPr="005D6E61">
        <w:rPr>
          <w:rFonts w:ascii="Cambria" w:hAnsi="Cambria"/>
          <w:sz w:val="20"/>
          <w:szCs w:val="20"/>
          <w:lang w:val="pt-BR"/>
        </w:rPr>
        <w:t xml:space="preserve"> </w:t>
      </w:r>
      <w:r w:rsidR="00287321" w:rsidRPr="005D6E61">
        <w:rPr>
          <w:rFonts w:ascii="Cambria" w:hAnsi="Cambria"/>
          <w:sz w:val="20"/>
          <w:szCs w:val="20"/>
          <w:lang w:val="pt-BR"/>
        </w:rPr>
        <w:t>da Paraíba</w:t>
      </w:r>
      <w:r w:rsidR="003E10E6" w:rsidRPr="005D6E61">
        <w:rPr>
          <w:rFonts w:ascii="Cambria" w:hAnsi="Cambria"/>
          <w:sz w:val="20"/>
          <w:szCs w:val="20"/>
          <w:lang w:val="pt-BR"/>
        </w:rPr>
        <w:t xml:space="preserve"> </w:t>
      </w:r>
      <w:r w:rsidR="00084EE1" w:rsidRPr="005D6E61">
        <w:rPr>
          <w:rFonts w:ascii="Cambria" w:hAnsi="Cambria"/>
          <w:sz w:val="20"/>
          <w:szCs w:val="20"/>
          <w:lang w:val="pt-BR"/>
        </w:rPr>
        <w:t>as</w:t>
      </w:r>
      <w:r w:rsidR="00CC2D66" w:rsidRPr="005D6E61">
        <w:rPr>
          <w:rFonts w:ascii="Cambria" w:hAnsi="Cambria"/>
          <w:sz w:val="20"/>
          <w:szCs w:val="20"/>
          <w:lang w:val="pt-BR"/>
        </w:rPr>
        <w:t>s</w:t>
      </w:r>
      <w:r w:rsidR="00084EE1" w:rsidRPr="005D6E61">
        <w:rPr>
          <w:rFonts w:ascii="Cambria" w:hAnsi="Cambria"/>
          <w:sz w:val="20"/>
          <w:szCs w:val="20"/>
          <w:lang w:val="pt-BR"/>
        </w:rPr>
        <w:t>umi</w:t>
      </w:r>
      <w:r w:rsidR="00BF0B90" w:rsidRPr="005D6E61">
        <w:rPr>
          <w:rFonts w:ascii="Cambria" w:hAnsi="Cambria"/>
          <w:sz w:val="20"/>
          <w:szCs w:val="20"/>
          <w:lang w:val="pt-BR"/>
        </w:rPr>
        <w:t xml:space="preserve">u </w:t>
      </w:r>
      <w:r w:rsidR="00331E62" w:rsidRPr="005D6E61">
        <w:rPr>
          <w:rFonts w:ascii="Cambria" w:hAnsi="Cambria"/>
          <w:sz w:val="20"/>
          <w:szCs w:val="20"/>
          <w:lang w:val="pt-BR"/>
        </w:rPr>
        <w:t xml:space="preserve">o </w:t>
      </w:r>
      <w:r w:rsidR="003E10E6" w:rsidRPr="005D6E61">
        <w:rPr>
          <w:rFonts w:ascii="Cambria" w:hAnsi="Cambria"/>
          <w:sz w:val="20"/>
          <w:szCs w:val="20"/>
          <w:lang w:val="pt-BR"/>
        </w:rPr>
        <w:t>ju</w:t>
      </w:r>
      <w:r w:rsidR="00CC2D66" w:rsidRPr="005D6E61">
        <w:rPr>
          <w:rFonts w:ascii="Cambria" w:hAnsi="Cambria"/>
          <w:sz w:val="20"/>
          <w:szCs w:val="20"/>
          <w:lang w:val="pt-BR"/>
        </w:rPr>
        <w:t>lgament</w:t>
      </w:r>
      <w:r w:rsidR="003E10E6" w:rsidRPr="005D6E61">
        <w:rPr>
          <w:rFonts w:ascii="Cambria" w:hAnsi="Cambria"/>
          <w:sz w:val="20"/>
          <w:szCs w:val="20"/>
          <w:lang w:val="pt-BR"/>
        </w:rPr>
        <w:t>o a fi</w:t>
      </w:r>
      <w:r w:rsidR="00CC2D66" w:rsidRPr="005D6E61">
        <w:rPr>
          <w:rFonts w:ascii="Cambria" w:hAnsi="Cambria"/>
          <w:sz w:val="20"/>
          <w:szCs w:val="20"/>
          <w:lang w:val="pt-BR"/>
        </w:rPr>
        <w:t>m</w:t>
      </w:r>
      <w:r w:rsidR="003E10E6" w:rsidRPr="005D6E61">
        <w:rPr>
          <w:rFonts w:ascii="Cambria" w:hAnsi="Cambria"/>
          <w:sz w:val="20"/>
          <w:szCs w:val="20"/>
          <w:lang w:val="pt-BR"/>
        </w:rPr>
        <w:t xml:space="preserve"> de examinar</w:t>
      </w:r>
      <w:r w:rsidR="00F77B7F" w:rsidRPr="005D6E61">
        <w:rPr>
          <w:rFonts w:ascii="Cambria" w:hAnsi="Cambria"/>
          <w:sz w:val="20"/>
          <w:szCs w:val="20"/>
          <w:lang w:val="pt-BR"/>
        </w:rPr>
        <w:t xml:space="preserve"> as </w:t>
      </w:r>
      <w:r w:rsidR="003E10E6" w:rsidRPr="005D6E61">
        <w:rPr>
          <w:rFonts w:ascii="Cambria" w:hAnsi="Cambria"/>
          <w:sz w:val="20"/>
          <w:szCs w:val="20"/>
          <w:lang w:val="pt-BR"/>
        </w:rPr>
        <w:t>raz</w:t>
      </w:r>
      <w:r w:rsidR="00CC2D66" w:rsidRPr="005D6E61">
        <w:rPr>
          <w:rFonts w:ascii="Cambria" w:hAnsi="Cambria"/>
          <w:sz w:val="20"/>
          <w:szCs w:val="20"/>
          <w:lang w:val="pt-BR"/>
        </w:rPr>
        <w:t>õ</w:t>
      </w:r>
      <w:r w:rsidR="003E10E6" w:rsidRPr="005D6E61">
        <w:rPr>
          <w:rFonts w:ascii="Cambria" w:hAnsi="Cambria"/>
          <w:sz w:val="20"/>
          <w:szCs w:val="20"/>
          <w:lang w:val="pt-BR"/>
        </w:rPr>
        <w:t>es p</w:t>
      </w:r>
      <w:r w:rsidR="00CC2D66" w:rsidRPr="005D6E61">
        <w:rPr>
          <w:rFonts w:ascii="Cambria" w:hAnsi="Cambria"/>
          <w:sz w:val="20"/>
          <w:szCs w:val="20"/>
          <w:lang w:val="pt-BR"/>
        </w:rPr>
        <w:t>el</w:t>
      </w:r>
      <w:r w:rsidR="00F77B7F" w:rsidRPr="005D6E61">
        <w:rPr>
          <w:rFonts w:ascii="Cambria" w:hAnsi="Cambria"/>
          <w:sz w:val="20"/>
          <w:szCs w:val="20"/>
          <w:lang w:val="pt-BR"/>
        </w:rPr>
        <w:t xml:space="preserve">as </w:t>
      </w:r>
      <w:r w:rsidR="005A2381" w:rsidRPr="005D6E61">
        <w:rPr>
          <w:rFonts w:ascii="Cambria" w:hAnsi="Cambria"/>
          <w:sz w:val="20"/>
          <w:szCs w:val="20"/>
          <w:lang w:val="pt-BR"/>
        </w:rPr>
        <w:t>qua</w:t>
      </w:r>
      <w:r w:rsidR="00331E62" w:rsidRPr="005D6E61">
        <w:rPr>
          <w:rFonts w:ascii="Cambria" w:hAnsi="Cambria"/>
          <w:sz w:val="20"/>
          <w:szCs w:val="20"/>
          <w:lang w:val="pt-BR"/>
        </w:rPr>
        <w:t>is</w:t>
      </w:r>
      <w:r w:rsidR="003E10E6" w:rsidRPr="005D6E61">
        <w:rPr>
          <w:rFonts w:ascii="Cambria" w:hAnsi="Cambria"/>
          <w:sz w:val="20"/>
          <w:szCs w:val="20"/>
          <w:lang w:val="pt-BR"/>
        </w:rPr>
        <w:t xml:space="preserve"> </w:t>
      </w:r>
      <w:r w:rsidR="00084EE1" w:rsidRPr="005D6E61">
        <w:rPr>
          <w:rFonts w:ascii="Cambria" w:hAnsi="Cambria"/>
          <w:sz w:val="20"/>
          <w:szCs w:val="20"/>
          <w:lang w:val="pt-BR"/>
        </w:rPr>
        <w:t>esta</w:t>
      </w:r>
      <w:r w:rsidR="00CC2D66" w:rsidRPr="005D6E61">
        <w:rPr>
          <w:rFonts w:ascii="Cambria" w:hAnsi="Cambria"/>
          <w:sz w:val="20"/>
          <w:szCs w:val="20"/>
          <w:lang w:val="pt-BR"/>
        </w:rPr>
        <w:t>v</w:t>
      </w:r>
      <w:r w:rsidR="00084EE1" w:rsidRPr="005D6E61">
        <w:rPr>
          <w:rFonts w:ascii="Cambria" w:hAnsi="Cambria"/>
          <w:sz w:val="20"/>
          <w:szCs w:val="20"/>
          <w:lang w:val="pt-BR"/>
        </w:rPr>
        <w:t xml:space="preserve">a </w:t>
      </w:r>
      <w:r w:rsidR="006A4F86" w:rsidRPr="005D6E61">
        <w:rPr>
          <w:rFonts w:ascii="Cambria" w:hAnsi="Cambria"/>
          <w:sz w:val="20"/>
          <w:szCs w:val="20"/>
          <w:lang w:val="pt-BR"/>
        </w:rPr>
        <w:t>paralis</w:t>
      </w:r>
      <w:r w:rsidR="003E10E6" w:rsidRPr="005D6E61">
        <w:rPr>
          <w:rFonts w:ascii="Cambria" w:hAnsi="Cambria"/>
          <w:sz w:val="20"/>
          <w:szCs w:val="20"/>
          <w:lang w:val="pt-BR"/>
        </w:rPr>
        <w:t xml:space="preserve">ado – o </w:t>
      </w:r>
      <w:r w:rsidR="005A2381" w:rsidRPr="005D6E61">
        <w:rPr>
          <w:rFonts w:ascii="Cambria" w:hAnsi="Cambria"/>
          <w:sz w:val="20"/>
          <w:szCs w:val="20"/>
          <w:lang w:val="pt-BR"/>
        </w:rPr>
        <w:t>qu</w:t>
      </w:r>
      <w:r w:rsidR="00CC2D66" w:rsidRPr="005D6E61">
        <w:rPr>
          <w:rFonts w:ascii="Cambria" w:hAnsi="Cambria"/>
          <w:sz w:val="20"/>
          <w:szCs w:val="20"/>
          <w:lang w:val="pt-BR"/>
        </w:rPr>
        <w:t>e</w:t>
      </w:r>
      <w:r w:rsidR="003E10E6" w:rsidRPr="005D6E61">
        <w:rPr>
          <w:rFonts w:ascii="Cambria" w:hAnsi="Cambria"/>
          <w:sz w:val="20"/>
          <w:szCs w:val="20"/>
          <w:lang w:val="pt-BR"/>
        </w:rPr>
        <w:t xml:space="preserve"> </w:t>
      </w:r>
      <w:r w:rsidR="006A4F86" w:rsidRPr="005D6E61">
        <w:rPr>
          <w:rFonts w:ascii="Cambria" w:hAnsi="Cambria"/>
          <w:sz w:val="20"/>
          <w:szCs w:val="20"/>
          <w:lang w:val="pt-BR"/>
        </w:rPr>
        <w:t>te</w:t>
      </w:r>
      <w:r w:rsidR="003E10E6" w:rsidRPr="005D6E61">
        <w:rPr>
          <w:rFonts w:ascii="Cambria" w:hAnsi="Cambria"/>
          <w:sz w:val="20"/>
          <w:szCs w:val="20"/>
          <w:lang w:val="pt-BR"/>
        </w:rPr>
        <w:t>r</w:t>
      </w:r>
      <w:r w:rsidR="005A2381" w:rsidRPr="005D6E61">
        <w:rPr>
          <w:rFonts w:ascii="Cambria" w:hAnsi="Cambria"/>
          <w:sz w:val="20"/>
          <w:szCs w:val="20"/>
          <w:lang w:val="pt-BR"/>
        </w:rPr>
        <w:t>ia</w:t>
      </w:r>
      <w:r w:rsidR="006A4F86" w:rsidRPr="005D6E61">
        <w:rPr>
          <w:rFonts w:ascii="Cambria" w:hAnsi="Cambria"/>
          <w:sz w:val="20"/>
          <w:szCs w:val="20"/>
          <w:lang w:val="pt-BR"/>
        </w:rPr>
        <w:t xml:space="preserve"> oco</w:t>
      </w:r>
      <w:r w:rsidR="003E10E6" w:rsidRPr="005D6E61">
        <w:rPr>
          <w:rFonts w:ascii="Cambria" w:hAnsi="Cambria"/>
          <w:sz w:val="20"/>
          <w:szCs w:val="20"/>
          <w:lang w:val="pt-BR"/>
        </w:rPr>
        <w:t>rrido</w:t>
      </w:r>
      <w:r w:rsidR="00F77B7F" w:rsidRPr="005D6E61">
        <w:rPr>
          <w:rFonts w:ascii="Cambria" w:hAnsi="Cambria"/>
          <w:sz w:val="20"/>
          <w:szCs w:val="20"/>
          <w:lang w:val="pt-BR"/>
        </w:rPr>
        <w:t xml:space="preserve"> em </w:t>
      </w:r>
      <w:r w:rsidR="003E10E6" w:rsidRPr="005D6E61">
        <w:rPr>
          <w:rFonts w:ascii="Cambria" w:hAnsi="Cambria"/>
          <w:sz w:val="20"/>
          <w:szCs w:val="20"/>
          <w:lang w:val="pt-BR"/>
        </w:rPr>
        <w:t>fun</w:t>
      </w:r>
      <w:r w:rsidR="00A274D9" w:rsidRPr="005D6E61">
        <w:rPr>
          <w:rFonts w:ascii="Cambria" w:hAnsi="Cambria"/>
          <w:sz w:val="20"/>
          <w:szCs w:val="20"/>
          <w:lang w:val="pt-BR"/>
        </w:rPr>
        <w:t>ção</w:t>
      </w:r>
      <w:r w:rsidR="00F77B7F" w:rsidRPr="005D6E61">
        <w:rPr>
          <w:rFonts w:ascii="Cambria" w:hAnsi="Cambria"/>
          <w:sz w:val="20"/>
          <w:szCs w:val="20"/>
          <w:lang w:val="pt-BR"/>
        </w:rPr>
        <w:t xml:space="preserve"> do </w:t>
      </w:r>
      <w:r w:rsidR="003E10E6" w:rsidRPr="005D6E61">
        <w:rPr>
          <w:rFonts w:ascii="Cambria" w:hAnsi="Cambria"/>
          <w:sz w:val="20"/>
          <w:szCs w:val="20"/>
          <w:lang w:val="pt-BR"/>
        </w:rPr>
        <w:t>atraso por parte de</w:t>
      </w:r>
      <w:r w:rsidR="00275A65" w:rsidRPr="005D6E61">
        <w:rPr>
          <w:rFonts w:ascii="Cambria" w:hAnsi="Cambria"/>
          <w:sz w:val="20"/>
          <w:szCs w:val="20"/>
          <w:lang w:val="pt-BR"/>
        </w:rPr>
        <w:t xml:space="preserve"> um </w:t>
      </w:r>
      <w:r w:rsidR="0045573A" w:rsidRPr="005D6E61">
        <w:rPr>
          <w:rFonts w:ascii="Cambria" w:hAnsi="Cambria"/>
          <w:sz w:val="20"/>
          <w:szCs w:val="20"/>
          <w:lang w:val="pt-BR"/>
        </w:rPr>
        <w:t>juiz</w:t>
      </w:r>
      <w:r w:rsidR="00675058" w:rsidRPr="005D6E61">
        <w:rPr>
          <w:rFonts w:ascii="Cambria" w:hAnsi="Cambria"/>
          <w:sz w:val="20"/>
          <w:szCs w:val="20"/>
          <w:lang w:val="pt-BR"/>
        </w:rPr>
        <w:t xml:space="preserve"> da </w:t>
      </w:r>
      <w:r w:rsidR="003E10E6" w:rsidRPr="005D6E61">
        <w:rPr>
          <w:rFonts w:ascii="Cambria" w:hAnsi="Cambria"/>
          <w:sz w:val="20"/>
          <w:szCs w:val="20"/>
          <w:lang w:val="pt-BR"/>
        </w:rPr>
        <w:t>Comarca de Alagoa Grande</w:t>
      </w:r>
      <w:r w:rsidR="003E10E6" w:rsidRPr="005D6E61">
        <w:rPr>
          <w:rStyle w:val="FootnoteReference"/>
          <w:rFonts w:ascii="Cambria" w:hAnsi="Cambria"/>
          <w:sz w:val="20"/>
          <w:szCs w:val="20"/>
          <w:lang w:val="pt-BR"/>
        </w:rPr>
        <w:footnoteReference w:id="69"/>
      </w:r>
      <w:r w:rsidR="003E10E6" w:rsidRPr="005D6E61">
        <w:rPr>
          <w:rFonts w:ascii="Cambria" w:hAnsi="Cambria"/>
          <w:sz w:val="20"/>
          <w:szCs w:val="20"/>
          <w:lang w:val="pt-BR"/>
        </w:rPr>
        <w:t xml:space="preserve">. </w:t>
      </w:r>
    </w:p>
    <w:p w14:paraId="4FDFCEA5" w14:textId="77777777" w:rsidR="003E10E6" w:rsidRPr="005D6E61" w:rsidRDefault="003E10E6" w:rsidP="003E10E6">
      <w:pPr>
        <w:rPr>
          <w:rFonts w:ascii="Cambria" w:hAnsi="Cambria"/>
          <w:sz w:val="20"/>
          <w:szCs w:val="20"/>
          <w:lang w:val="pt-BR"/>
        </w:rPr>
      </w:pPr>
    </w:p>
    <w:p w14:paraId="58076608" w14:textId="77777777" w:rsidR="003E10E6" w:rsidRPr="005D6E61" w:rsidRDefault="00EC647E"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Em</w:t>
      </w:r>
      <w:r w:rsidR="003E10E6" w:rsidRPr="005D6E61">
        <w:rPr>
          <w:rFonts w:ascii="Cambria" w:hAnsi="Cambria"/>
          <w:sz w:val="20"/>
          <w:szCs w:val="20"/>
          <w:lang w:val="pt-BR"/>
        </w:rPr>
        <w:t xml:space="preserve"> 17 de </w:t>
      </w:r>
      <w:r w:rsidR="00CC2D66" w:rsidRPr="005D6E61">
        <w:rPr>
          <w:rFonts w:ascii="Cambria" w:hAnsi="Cambria"/>
          <w:sz w:val="20"/>
          <w:szCs w:val="20"/>
          <w:lang w:val="pt-BR"/>
        </w:rPr>
        <w:t>julho</w:t>
      </w:r>
      <w:r w:rsidR="003E10E6" w:rsidRPr="005D6E61">
        <w:rPr>
          <w:rFonts w:ascii="Cambria" w:hAnsi="Cambria"/>
          <w:sz w:val="20"/>
          <w:szCs w:val="20"/>
          <w:lang w:val="pt-BR"/>
        </w:rPr>
        <w:t xml:space="preserve"> de 1995</w:t>
      </w:r>
      <w:r w:rsidR="00331E62" w:rsidRPr="005D6E61">
        <w:rPr>
          <w:rFonts w:ascii="Cambria" w:hAnsi="Cambria"/>
          <w:sz w:val="20"/>
          <w:szCs w:val="20"/>
          <w:lang w:val="pt-BR"/>
        </w:rPr>
        <w:t xml:space="preserve"> o </w:t>
      </w:r>
      <w:r w:rsidR="003E10E6" w:rsidRPr="005D6E61">
        <w:rPr>
          <w:rFonts w:ascii="Cambria" w:hAnsi="Cambria"/>
          <w:sz w:val="20"/>
          <w:szCs w:val="20"/>
          <w:lang w:val="pt-BR"/>
        </w:rPr>
        <w:t>Presidente</w:t>
      </w:r>
      <w:r w:rsidR="00F77B7F" w:rsidRPr="005D6E61">
        <w:rPr>
          <w:rFonts w:ascii="Cambria" w:hAnsi="Cambria"/>
          <w:sz w:val="20"/>
          <w:szCs w:val="20"/>
          <w:lang w:val="pt-BR"/>
        </w:rPr>
        <w:t xml:space="preserve"> do </w:t>
      </w:r>
      <w:r w:rsidR="003E10E6" w:rsidRPr="005D6E61">
        <w:rPr>
          <w:rFonts w:ascii="Cambria" w:hAnsi="Cambria"/>
          <w:sz w:val="20"/>
          <w:szCs w:val="20"/>
          <w:lang w:val="pt-BR"/>
        </w:rPr>
        <w:t xml:space="preserve">Tribunal de </w:t>
      </w:r>
      <w:r w:rsidR="00275A65" w:rsidRPr="005D6E61">
        <w:rPr>
          <w:rFonts w:ascii="Cambria" w:hAnsi="Cambria"/>
          <w:sz w:val="20"/>
          <w:szCs w:val="20"/>
          <w:lang w:val="pt-BR"/>
        </w:rPr>
        <w:t>Justiça</w:t>
      </w:r>
      <w:r w:rsidR="003E10E6" w:rsidRPr="005D6E61">
        <w:rPr>
          <w:rFonts w:ascii="Cambria" w:hAnsi="Cambria"/>
          <w:sz w:val="20"/>
          <w:szCs w:val="20"/>
          <w:lang w:val="pt-BR"/>
        </w:rPr>
        <w:t xml:space="preserve"> </w:t>
      </w:r>
      <w:r w:rsidR="00287321" w:rsidRPr="005D6E61">
        <w:rPr>
          <w:rFonts w:ascii="Cambria" w:hAnsi="Cambria"/>
          <w:sz w:val="20"/>
          <w:szCs w:val="20"/>
          <w:lang w:val="pt-BR"/>
        </w:rPr>
        <w:t>da Paraíba</w:t>
      </w:r>
      <w:r w:rsidR="003E10E6" w:rsidRPr="005D6E61">
        <w:rPr>
          <w:rFonts w:ascii="Cambria" w:hAnsi="Cambria"/>
          <w:sz w:val="20"/>
          <w:szCs w:val="20"/>
          <w:lang w:val="pt-BR"/>
        </w:rPr>
        <w:t xml:space="preserve"> indic</w:t>
      </w:r>
      <w:r w:rsidR="00BF0B90" w:rsidRPr="005D6E61">
        <w:rPr>
          <w:rFonts w:ascii="Cambria" w:hAnsi="Cambria"/>
          <w:sz w:val="20"/>
          <w:szCs w:val="20"/>
          <w:lang w:val="pt-BR"/>
        </w:rPr>
        <w:t>ou</w:t>
      </w:r>
      <w:r w:rsidR="003E10E6" w:rsidRPr="005D6E61">
        <w:rPr>
          <w:rFonts w:ascii="Cambria" w:hAnsi="Cambria"/>
          <w:sz w:val="20"/>
          <w:szCs w:val="20"/>
          <w:lang w:val="pt-BR"/>
        </w:rPr>
        <w:t xml:space="preserve">:  “(..) </w:t>
      </w:r>
      <w:r w:rsidR="006A4F86" w:rsidRPr="005D6E61">
        <w:rPr>
          <w:rFonts w:ascii="Cambria" w:hAnsi="Cambria"/>
          <w:sz w:val="20"/>
          <w:szCs w:val="20"/>
          <w:lang w:val="pt-BR"/>
        </w:rPr>
        <w:t>após</w:t>
      </w:r>
      <w:r w:rsidR="003E10E6" w:rsidRPr="005D6E61">
        <w:rPr>
          <w:rFonts w:ascii="Cambria" w:hAnsi="Cambria"/>
          <w:sz w:val="20"/>
          <w:szCs w:val="20"/>
          <w:lang w:val="pt-BR"/>
        </w:rPr>
        <w:t xml:space="preserve"> </w:t>
      </w:r>
      <w:r w:rsidR="006A4F86" w:rsidRPr="005D6E61">
        <w:rPr>
          <w:rFonts w:ascii="Cambria" w:hAnsi="Cambria"/>
          <w:sz w:val="20"/>
          <w:szCs w:val="20"/>
          <w:lang w:val="pt-BR"/>
        </w:rPr>
        <w:t>examin</w:t>
      </w:r>
      <w:r w:rsidR="003E10E6" w:rsidRPr="005D6E61">
        <w:rPr>
          <w:rFonts w:ascii="Cambria" w:hAnsi="Cambria"/>
          <w:sz w:val="20"/>
          <w:szCs w:val="20"/>
          <w:lang w:val="pt-BR"/>
        </w:rPr>
        <w:t>ar</w:t>
      </w:r>
      <w:r w:rsidR="00F77B7F" w:rsidRPr="005D6E61">
        <w:rPr>
          <w:rFonts w:ascii="Cambria" w:hAnsi="Cambria"/>
          <w:sz w:val="20"/>
          <w:szCs w:val="20"/>
          <w:lang w:val="pt-BR"/>
        </w:rPr>
        <w:t xml:space="preserve"> os </w:t>
      </w:r>
      <w:r w:rsidR="003E10E6" w:rsidRPr="005D6E61">
        <w:rPr>
          <w:rFonts w:ascii="Cambria" w:hAnsi="Cambria"/>
          <w:sz w:val="20"/>
          <w:szCs w:val="20"/>
          <w:lang w:val="pt-BR"/>
        </w:rPr>
        <w:t>autos</w:t>
      </w:r>
      <w:r w:rsidR="00F77B7F" w:rsidRPr="005D6E61">
        <w:rPr>
          <w:rFonts w:ascii="Cambria" w:hAnsi="Cambria"/>
          <w:sz w:val="20"/>
          <w:szCs w:val="20"/>
          <w:lang w:val="pt-BR"/>
        </w:rPr>
        <w:t xml:space="preserve"> do </w:t>
      </w:r>
      <w:r w:rsidR="00730CDD" w:rsidRPr="005D6E61">
        <w:rPr>
          <w:rFonts w:ascii="Cambria" w:hAnsi="Cambria"/>
          <w:sz w:val="20"/>
          <w:szCs w:val="20"/>
          <w:lang w:val="pt-BR"/>
        </w:rPr>
        <w:t>processo</w:t>
      </w:r>
      <w:r w:rsidR="003E10E6" w:rsidRPr="005D6E61">
        <w:rPr>
          <w:rFonts w:ascii="Cambria" w:hAnsi="Cambria"/>
          <w:sz w:val="20"/>
          <w:szCs w:val="20"/>
          <w:lang w:val="pt-BR"/>
        </w:rPr>
        <w:t>, constat</w:t>
      </w:r>
      <w:r w:rsidR="006A4F86" w:rsidRPr="005D6E61">
        <w:rPr>
          <w:rFonts w:ascii="Cambria" w:hAnsi="Cambria"/>
          <w:sz w:val="20"/>
          <w:szCs w:val="20"/>
          <w:lang w:val="pt-BR"/>
        </w:rPr>
        <w:t>ei</w:t>
      </w:r>
      <w:r w:rsidR="003E10E6" w:rsidRPr="005D6E61">
        <w:rPr>
          <w:rFonts w:ascii="Cambria" w:hAnsi="Cambria"/>
          <w:sz w:val="20"/>
          <w:szCs w:val="20"/>
          <w:lang w:val="pt-BR"/>
        </w:rPr>
        <w:t xml:space="preserve"> que, evidentemente,</w:t>
      </w:r>
      <w:r w:rsidR="00331E62" w:rsidRPr="005D6E61">
        <w:rPr>
          <w:rFonts w:ascii="Cambria" w:hAnsi="Cambria"/>
          <w:sz w:val="20"/>
          <w:szCs w:val="20"/>
          <w:lang w:val="pt-BR"/>
        </w:rPr>
        <w:t xml:space="preserve"> o </w:t>
      </w:r>
      <w:r w:rsidR="00B66316" w:rsidRPr="005D6E61">
        <w:rPr>
          <w:rFonts w:ascii="Cambria" w:hAnsi="Cambria"/>
          <w:sz w:val="20"/>
          <w:szCs w:val="20"/>
          <w:lang w:val="pt-BR"/>
        </w:rPr>
        <w:t>j</w:t>
      </w:r>
      <w:r w:rsidR="0045573A" w:rsidRPr="005D6E61">
        <w:rPr>
          <w:rFonts w:ascii="Cambria" w:hAnsi="Cambria"/>
          <w:sz w:val="20"/>
          <w:szCs w:val="20"/>
          <w:lang w:val="pt-BR"/>
        </w:rPr>
        <w:t>uiz</w:t>
      </w:r>
      <w:r w:rsidR="003E10E6" w:rsidRPr="005D6E61">
        <w:rPr>
          <w:rFonts w:ascii="Cambria" w:hAnsi="Cambria"/>
          <w:sz w:val="20"/>
          <w:szCs w:val="20"/>
          <w:lang w:val="pt-BR"/>
        </w:rPr>
        <w:t>,</w:t>
      </w:r>
      <w:r w:rsidR="00331E62" w:rsidRPr="005D6E61">
        <w:rPr>
          <w:rFonts w:ascii="Cambria" w:hAnsi="Cambria"/>
          <w:sz w:val="20"/>
          <w:szCs w:val="20"/>
          <w:lang w:val="pt-BR"/>
        </w:rPr>
        <w:t xml:space="preserve"> </w:t>
      </w:r>
      <w:r w:rsidR="003E10E6" w:rsidRPr="005D6E61">
        <w:rPr>
          <w:rFonts w:ascii="Cambria" w:hAnsi="Cambria"/>
          <w:sz w:val="20"/>
          <w:szCs w:val="20"/>
          <w:lang w:val="pt-BR"/>
        </w:rPr>
        <w:t xml:space="preserve">Dr. Gutemberg Cardoso Pereira, </w:t>
      </w:r>
      <w:r w:rsidR="006A4F86" w:rsidRPr="005D6E61">
        <w:rPr>
          <w:rFonts w:ascii="Cambria" w:hAnsi="Cambria"/>
          <w:sz w:val="20"/>
          <w:szCs w:val="20"/>
          <w:lang w:val="pt-BR"/>
        </w:rPr>
        <w:t>sob</w:t>
      </w:r>
      <w:r w:rsidR="00331E62" w:rsidRPr="005D6E61">
        <w:rPr>
          <w:rFonts w:ascii="Cambria" w:hAnsi="Cambria"/>
          <w:sz w:val="20"/>
          <w:szCs w:val="20"/>
          <w:lang w:val="pt-BR"/>
        </w:rPr>
        <w:t xml:space="preserve"> o </w:t>
      </w:r>
      <w:r w:rsidR="003E10E6" w:rsidRPr="005D6E61">
        <w:rPr>
          <w:rFonts w:ascii="Cambria" w:hAnsi="Cambria"/>
          <w:sz w:val="20"/>
          <w:szCs w:val="20"/>
          <w:lang w:val="pt-BR"/>
        </w:rPr>
        <w:t>pálido argumento de exce</w:t>
      </w:r>
      <w:r w:rsidR="006A4F86" w:rsidRPr="005D6E61">
        <w:rPr>
          <w:rFonts w:ascii="Cambria" w:hAnsi="Cambria"/>
          <w:sz w:val="20"/>
          <w:szCs w:val="20"/>
          <w:lang w:val="pt-BR"/>
        </w:rPr>
        <w:t>s</w:t>
      </w:r>
      <w:r w:rsidR="003E10E6" w:rsidRPr="005D6E61">
        <w:rPr>
          <w:rFonts w:ascii="Cambria" w:hAnsi="Cambria"/>
          <w:sz w:val="20"/>
          <w:szCs w:val="20"/>
          <w:lang w:val="pt-BR"/>
        </w:rPr>
        <w:t>so de servi</w:t>
      </w:r>
      <w:r w:rsidR="006A4F86" w:rsidRPr="005D6E61">
        <w:rPr>
          <w:rFonts w:ascii="Cambria" w:hAnsi="Cambria"/>
          <w:sz w:val="20"/>
          <w:szCs w:val="20"/>
          <w:lang w:val="pt-BR"/>
        </w:rPr>
        <w:t>ç</w:t>
      </w:r>
      <w:r w:rsidR="003E10E6" w:rsidRPr="005D6E61">
        <w:rPr>
          <w:rFonts w:ascii="Cambria" w:hAnsi="Cambria"/>
          <w:sz w:val="20"/>
          <w:szCs w:val="20"/>
          <w:lang w:val="pt-BR"/>
        </w:rPr>
        <w:t>o forense</w:t>
      </w:r>
      <w:r w:rsidR="005A2381" w:rsidRPr="005D6E61">
        <w:rPr>
          <w:rFonts w:ascii="Cambria" w:hAnsi="Cambria"/>
          <w:sz w:val="20"/>
          <w:szCs w:val="20"/>
          <w:lang w:val="pt-BR"/>
        </w:rPr>
        <w:t xml:space="preserve"> na </w:t>
      </w:r>
      <w:r w:rsidR="003E10E6" w:rsidRPr="005D6E61">
        <w:rPr>
          <w:rFonts w:ascii="Cambria" w:hAnsi="Cambria"/>
          <w:sz w:val="20"/>
          <w:szCs w:val="20"/>
          <w:lang w:val="pt-BR"/>
        </w:rPr>
        <w:t>Comarca,</w:t>
      </w:r>
      <w:r w:rsidR="00F77B7F" w:rsidRPr="005D6E61">
        <w:rPr>
          <w:rFonts w:ascii="Cambria" w:hAnsi="Cambria"/>
          <w:sz w:val="20"/>
          <w:szCs w:val="20"/>
          <w:lang w:val="pt-BR"/>
        </w:rPr>
        <w:t xml:space="preserve"> não </w:t>
      </w:r>
      <w:r w:rsidR="003E10E6" w:rsidRPr="005D6E61">
        <w:rPr>
          <w:rFonts w:ascii="Cambria" w:hAnsi="Cambria"/>
          <w:sz w:val="20"/>
          <w:szCs w:val="20"/>
          <w:lang w:val="pt-BR"/>
        </w:rPr>
        <w:t>despacha</w:t>
      </w:r>
      <w:r w:rsidR="00331E62" w:rsidRPr="005D6E61">
        <w:rPr>
          <w:rFonts w:ascii="Cambria" w:hAnsi="Cambria"/>
          <w:sz w:val="20"/>
          <w:szCs w:val="20"/>
          <w:lang w:val="pt-BR"/>
        </w:rPr>
        <w:t xml:space="preserve"> o </w:t>
      </w:r>
      <w:r w:rsidR="00730CDD" w:rsidRPr="005D6E61">
        <w:rPr>
          <w:rFonts w:ascii="Cambria" w:hAnsi="Cambria"/>
          <w:sz w:val="20"/>
          <w:szCs w:val="20"/>
          <w:lang w:val="pt-BR"/>
        </w:rPr>
        <w:t>processo</w:t>
      </w:r>
      <w:r w:rsidR="003E10E6" w:rsidRPr="005D6E61">
        <w:rPr>
          <w:rFonts w:ascii="Cambria" w:hAnsi="Cambria"/>
          <w:sz w:val="20"/>
          <w:szCs w:val="20"/>
          <w:lang w:val="pt-BR"/>
        </w:rPr>
        <w:t xml:space="preserve"> identificado</w:t>
      </w:r>
      <w:r w:rsidR="00331E62" w:rsidRPr="005D6E61">
        <w:rPr>
          <w:rFonts w:ascii="Cambria" w:hAnsi="Cambria"/>
          <w:sz w:val="20"/>
          <w:szCs w:val="20"/>
          <w:lang w:val="pt-BR"/>
        </w:rPr>
        <w:t xml:space="preserve"> </w:t>
      </w:r>
      <w:r w:rsidR="003E10E6" w:rsidRPr="005D6E61">
        <w:rPr>
          <w:rFonts w:ascii="Cambria" w:hAnsi="Cambria"/>
          <w:sz w:val="20"/>
          <w:szCs w:val="20"/>
          <w:lang w:val="pt-BR"/>
        </w:rPr>
        <w:t>h</w:t>
      </w:r>
      <w:r w:rsidR="006A4F86" w:rsidRPr="005D6E61">
        <w:rPr>
          <w:rFonts w:ascii="Cambria" w:hAnsi="Cambria"/>
          <w:sz w:val="20"/>
          <w:szCs w:val="20"/>
          <w:lang w:val="pt-BR"/>
        </w:rPr>
        <w:t>á</w:t>
      </w:r>
      <w:r w:rsidR="00275A65" w:rsidRPr="005D6E61">
        <w:rPr>
          <w:rFonts w:ascii="Cambria" w:hAnsi="Cambria"/>
          <w:sz w:val="20"/>
          <w:szCs w:val="20"/>
          <w:lang w:val="pt-BR"/>
        </w:rPr>
        <w:t xml:space="preserve"> um </w:t>
      </w:r>
      <w:r w:rsidR="003E10E6" w:rsidRPr="005D6E61">
        <w:rPr>
          <w:rFonts w:ascii="Cambria" w:hAnsi="Cambria"/>
          <w:sz w:val="20"/>
          <w:szCs w:val="20"/>
          <w:lang w:val="pt-BR"/>
        </w:rPr>
        <w:t>a</w:t>
      </w:r>
      <w:r w:rsidR="006A4F86" w:rsidRPr="005D6E61">
        <w:rPr>
          <w:rFonts w:ascii="Cambria" w:hAnsi="Cambria"/>
          <w:sz w:val="20"/>
          <w:szCs w:val="20"/>
          <w:lang w:val="pt-BR"/>
        </w:rPr>
        <w:t>n</w:t>
      </w:r>
      <w:r w:rsidR="003E10E6" w:rsidRPr="005D6E61">
        <w:rPr>
          <w:rFonts w:ascii="Cambria" w:hAnsi="Cambria"/>
          <w:sz w:val="20"/>
          <w:szCs w:val="20"/>
          <w:lang w:val="pt-BR"/>
        </w:rPr>
        <w:t>o</w:t>
      </w:r>
      <w:r w:rsidR="006C5454" w:rsidRPr="005D6E61">
        <w:rPr>
          <w:rFonts w:ascii="Cambria" w:hAnsi="Cambria"/>
          <w:sz w:val="20"/>
          <w:szCs w:val="20"/>
          <w:lang w:val="pt-BR"/>
        </w:rPr>
        <w:t xml:space="preserve"> e </w:t>
      </w:r>
      <w:r w:rsidR="005A2381" w:rsidRPr="005D6E61">
        <w:rPr>
          <w:rFonts w:ascii="Cambria" w:hAnsi="Cambria"/>
          <w:sz w:val="20"/>
          <w:szCs w:val="20"/>
          <w:lang w:val="pt-BR"/>
        </w:rPr>
        <w:t>qua</w:t>
      </w:r>
      <w:r w:rsidR="003E10E6" w:rsidRPr="005D6E61">
        <w:rPr>
          <w:rFonts w:ascii="Cambria" w:hAnsi="Cambria"/>
          <w:sz w:val="20"/>
          <w:szCs w:val="20"/>
          <w:lang w:val="pt-BR"/>
        </w:rPr>
        <w:t>tro meses”</w:t>
      </w:r>
      <w:r w:rsidR="003E10E6" w:rsidRPr="005D6E61">
        <w:rPr>
          <w:rStyle w:val="FootnoteReference"/>
          <w:rFonts w:ascii="Cambria" w:hAnsi="Cambria"/>
          <w:sz w:val="20"/>
          <w:szCs w:val="20"/>
          <w:lang w:val="pt-BR"/>
        </w:rPr>
        <w:footnoteReference w:id="70"/>
      </w:r>
      <w:r w:rsidR="003E10E6" w:rsidRPr="005D6E61">
        <w:rPr>
          <w:rFonts w:ascii="Cambria" w:hAnsi="Cambria"/>
          <w:sz w:val="20"/>
          <w:szCs w:val="20"/>
          <w:lang w:val="pt-BR"/>
        </w:rPr>
        <w:t>. A</w:t>
      </w:r>
      <w:r w:rsidR="006A4F86" w:rsidRPr="005D6E61">
        <w:rPr>
          <w:rFonts w:ascii="Cambria" w:hAnsi="Cambria"/>
          <w:sz w:val="20"/>
          <w:szCs w:val="20"/>
          <w:lang w:val="pt-BR"/>
        </w:rPr>
        <w:t>crescent</w:t>
      </w:r>
      <w:r w:rsidR="00BF0B90" w:rsidRPr="005D6E61">
        <w:rPr>
          <w:rFonts w:ascii="Cambria" w:hAnsi="Cambria"/>
          <w:sz w:val="20"/>
          <w:szCs w:val="20"/>
          <w:lang w:val="pt-BR"/>
        </w:rPr>
        <w:t xml:space="preserve">ou </w:t>
      </w:r>
      <w:r w:rsidR="003E10E6" w:rsidRPr="005D6E61">
        <w:rPr>
          <w:rFonts w:ascii="Cambria" w:hAnsi="Cambria"/>
          <w:sz w:val="20"/>
          <w:szCs w:val="20"/>
          <w:lang w:val="pt-BR"/>
        </w:rPr>
        <w:t>que “u</w:t>
      </w:r>
      <w:r w:rsidR="006A4F86" w:rsidRPr="005D6E61">
        <w:rPr>
          <w:rFonts w:ascii="Cambria" w:hAnsi="Cambria"/>
          <w:sz w:val="20"/>
          <w:szCs w:val="20"/>
          <w:lang w:val="pt-BR"/>
        </w:rPr>
        <w:t>m</w:t>
      </w:r>
      <w:r w:rsidR="003E10E6" w:rsidRPr="005D6E61">
        <w:rPr>
          <w:rFonts w:ascii="Cambria" w:hAnsi="Cambria"/>
          <w:sz w:val="20"/>
          <w:szCs w:val="20"/>
          <w:lang w:val="pt-BR"/>
        </w:rPr>
        <w:t>a amplia</w:t>
      </w:r>
      <w:r w:rsidR="00A274D9" w:rsidRPr="005D6E61">
        <w:rPr>
          <w:rFonts w:ascii="Cambria" w:hAnsi="Cambria"/>
          <w:sz w:val="20"/>
          <w:szCs w:val="20"/>
          <w:lang w:val="pt-BR"/>
        </w:rPr>
        <w:t>ção</w:t>
      </w:r>
      <w:r w:rsidR="003E10E6" w:rsidRPr="005D6E61">
        <w:rPr>
          <w:rFonts w:ascii="Cambria" w:hAnsi="Cambria"/>
          <w:sz w:val="20"/>
          <w:szCs w:val="20"/>
          <w:lang w:val="pt-BR"/>
        </w:rPr>
        <w:t xml:space="preserve"> d</w:t>
      </w:r>
      <w:r w:rsidR="006A4F86" w:rsidRPr="005D6E61">
        <w:rPr>
          <w:rFonts w:ascii="Cambria" w:hAnsi="Cambria"/>
          <w:sz w:val="20"/>
          <w:szCs w:val="20"/>
          <w:lang w:val="pt-BR"/>
        </w:rPr>
        <w:t>a</w:t>
      </w:r>
      <w:r w:rsidR="003E10E6" w:rsidRPr="005D6E61">
        <w:rPr>
          <w:rFonts w:ascii="Cambria" w:hAnsi="Cambria"/>
          <w:sz w:val="20"/>
          <w:szCs w:val="20"/>
          <w:lang w:val="pt-BR"/>
        </w:rPr>
        <w:t xml:space="preserve"> </w:t>
      </w:r>
      <w:r w:rsidR="0031191B" w:rsidRPr="005D6E61">
        <w:rPr>
          <w:rFonts w:ascii="Cambria" w:hAnsi="Cambria"/>
          <w:sz w:val="20"/>
          <w:szCs w:val="20"/>
          <w:lang w:val="pt-BR"/>
        </w:rPr>
        <w:t>denúncia</w:t>
      </w:r>
      <w:r w:rsidR="006A4F86" w:rsidRPr="005D6E61">
        <w:rPr>
          <w:rFonts w:ascii="Cambria" w:hAnsi="Cambria"/>
          <w:sz w:val="20"/>
          <w:szCs w:val="20"/>
          <w:lang w:val="pt-BR"/>
        </w:rPr>
        <w:t>,</w:t>
      </w:r>
      <w:r w:rsidR="003E10E6" w:rsidRPr="005D6E61">
        <w:rPr>
          <w:rFonts w:ascii="Cambria" w:hAnsi="Cambria"/>
          <w:sz w:val="20"/>
          <w:szCs w:val="20"/>
          <w:lang w:val="pt-BR"/>
        </w:rPr>
        <w:t xml:space="preserve"> contra apenas do</w:t>
      </w:r>
      <w:r w:rsidR="006A4F86" w:rsidRPr="005D6E61">
        <w:rPr>
          <w:rFonts w:ascii="Cambria" w:hAnsi="Cambria"/>
          <w:sz w:val="20"/>
          <w:szCs w:val="20"/>
          <w:lang w:val="pt-BR"/>
        </w:rPr>
        <w:t>i</w:t>
      </w:r>
      <w:r w:rsidR="003E10E6" w:rsidRPr="005D6E61">
        <w:rPr>
          <w:rFonts w:ascii="Cambria" w:hAnsi="Cambria"/>
          <w:sz w:val="20"/>
          <w:szCs w:val="20"/>
          <w:lang w:val="pt-BR"/>
        </w:rPr>
        <w:t>s r</w:t>
      </w:r>
      <w:r w:rsidR="006A4F86" w:rsidRPr="005D6E61">
        <w:rPr>
          <w:rFonts w:ascii="Cambria" w:hAnsi="Cambria"/>
          <w:sz w:val="20"/>
          <w:szCs w:val="20"/>
          <w:lang w:val="pt-BR"/>
        </w:rPr>
        <w:t>éu</w:t>
      </w:r>
      <w:r w:rsidR="003E10E6" w:rsidRPr="005D6E61">
        <w:rPr>
          <w:rFonts w:ascii="Cambria" w:hAnsi="Cambria"/>
          <w:sz w:val="20"/>
          <w:szCs w:val="20"/>
          <w:lang w:val="pt-BR"/>
        </w:rPr>
        <w:t>s, of</w:t>
      </w:r>
      <w:r w:rsidR="006A4F86" w:rsidRPr="005D6E61">
        <w:rPr>
          <w:rFonts w:ascii="Cambria" w:hAnsi="Cambria"/>
          <w:sz w:val="20"/>
          <w:szCs w:val="20"/>
          <w:lang w:val="pt-BR"/>
        </w:rPr>
        <w:t>e</w:t>
      </w:r>
      <w:r w:rsidR="003E10E6" w:rsidRPr="005D6E61">
        <w:rPr>
          <w:rFonts w:ascii="Cambria" w:hAnsi="Cambria"/>
          <w:sz w:val="20"/>
          <w:szCs w:val="20"/>
          <w:lang w:val="pt-BR"/>
        </w:rPr>
        <w:t>recida</w:t>
      </w:r>
      <w:r w:rsidR="00331E62" w:rsidRPr="005D6E61">
        <w:rPr>
          <w:rFonts w:ascii="Cambria" w:hAnsi="Cambria"/>
          <w:sz w:val="20"/>
          <w:szCs w:val="20"/>
          <w:lang w:val="pt-BR"/>
        </w:rPr>
        <w:t xml:space="preserve"> </w:t>
      </w:r>
      <w:r w:rsidR="006A4F86" w:rsidRPr="005D6E61">
        <w:rPr>
          <w:rFonts w:ascii="Cambria" w:hAnsi="Cambria"/>
          <w:sz w:val="20"/>
          <w:szCs w:val="20"/>
          <w:lang w:val="pt-BR"/>
        </w:rPr>
        <w:t>em</w:t>
      </w:r>
      <w:r w:rsidR="00331E62" w:rsidRPr="005D6E61">
        <w:rPr>
          <w:rFonts w:ascii="Cambria" w:hAnsi="Cambria"/>
          <w:sz w:val="20"/>
          <w:szCs w:val="20"/>
          <w:lang w:val="pt-BR"/>
        </w:rPr>
        <w:t xml:space="preserve"> </w:t>
      </w:r>
      <w:r w:rsidR="003E10E6" w:rsidRPr="005D6E61">
        <w:rPr>
          <w:rFonts w:ascii="Cambria" w:hAnsi="Cambria"/>
          <w:sz w:val="20"/>
          <w:szCs w:val="20"/>
          <w:lang w:val="pt-BR"/>
        </w:rPr>
        <w:t>5 de mar</w:t>
      </w:r>
      <w:r w:rsidR="006A4F86" w:rsidRPr="005D6E61">
        <w:rPr>
          <w:rFonts w:ascii="Cambria" w:hAnsi="Cambria"/>
          <w:sz w:val="20"/>
          <w:szCs w:val="20"/>
          <w:lang w:val="pt-BR"/>
        </w:rPr>
        <w:t>ç</w:t>
      </w:r>
      <w:r w:rsidR="003E10E6" w:rsidRPr="005D6E61">
        <w:rPr>
          <w:rFonts w:ascii="Cambria" w:hAnsi="Cambria"/>
          <w:sz w:val="20"/>
          <w:szCs w:val="20"/>
          <w:lang w:val="pt-BR"/>
        </w:rPr>
        <w:t xml:space="preserve">o de 1994, </w:t>
      </w:r>
      <w:r w:rsidR="006A4F86" w:rsidRPr="005D6E61">
        <w:rPr>
          <w:rFonts w:ascii="Cambria" w:hAnsi="Cambria"/>
          <w:sz w:val="20"/>
          <w:szCs w:val="20"/>
          <w:lang w:val="pt-BR"/>
        </w:rPr>
        <w:t xml:space="preserve">até agora </w:t>
      </w:r>
      <w:r w:rsidR="00F77B7F" w:rsidRPr="005D6E61">
        <w:rPr>
          <w:rFonts w:ascii="Cambria" w:hAnsi="Cambria"/>
          <w:sz w:val="20"/>
          <w:szCs w:val="20"/>
          <w:lang w:val="pt-BR"/>
        </w:rPr>
        <w:t xml:space="preserve">não </w:t>
      </w:r>
      <w:r w:rsidR="003E10E6" w:rsidRPr="005D6E61">
        <w:rPr>
          <w:rFonts w:ascii="Cambria" w:hAnsi="Cambria"/>
          <w:sz w:val="20"/>
          <w:szCs w:val="20"/>
          <w:lang w:val="pt-BR"/>
        </w:rPr>
        <w:t>f</w:t>
      </w:r>
      <w:r w:rsidR="006A4F86" w:rsidRPr="005D6E61">
        <w:rPr>
          <w:rFonts w:ascii="Cambria" w:hAnsi="Cambria"/>
          <w:sz w:val="20"/>
          <w:szCs w:val="20"/>
          <w:lang w:val="pt-BR"/>
        </w:rPr>
        <w:t>oi</w:t>
      </w:r>
      <w:r w:rsidR="003E10E6" w:rsidRPr="005D6E61">
        <w:rPr>
          <w:rFonts w:ascii="Cambria" w:hAnsi="Cambria"/>
          <w:sz w:val="20"/>
          <w:szCs w:val="20"/>
          <w:lang w:val="pt-BR"/>
        </w:rPr>
        <w:t xml:space="preserve"> rec</w:t>
      </w:r>
      <w:r w:rsidR="006A4F86" w:rsidRPr="005D6E61">
        <w:rPr>
          <w:rFonts w:ascii="Cambria" w:hAnsi="Cambria"/>
          <w:sz w:val="20"/>
          <w:szCs w:val="20"/>
          <w:lang w:val="pt-BR"/>
        </w:rPr>
        <w:t>e</w:t>
      </w:r>
      <w:r w:rsidR="003E10E6" w:rsidRPr="005D6E61">
        <w:rPr>
          <w:rFonts w:ascii="Cambria" w:hAnsi="Cambria"/>
          <w:sz w:val="20"/>
          <w:szCs w:val="20"/>
          <w:lang w:val="pt-BR"/>
        </w:rPr>
        <w:t>bida</w:t>
      </w:r>
      <w:r w:rsidR="007612B9" w:rsidRPr="005D6E61">
        <w:rPr>
          <w:rFonts w:ascii="Cambria" w:hAnsi="Cambria"/>
          <w:sz w:val="20"/>
          <w:szCs w:val="20"/>
          <w:lang w:val="pt-BR"/>
        </w:rPr>
        <w:t xml:space="preserve"> pelo </w:t>
      </w:r>
      <w:r w:rsidR="00B66316" w:rsidRPr="005D6E61">
        <w:rPr>
          <w:rFonts w:ascii="Cambria" w:hAnsi="Cambria"/>
          <w:sz w:val="20"/>
          <w:szCs w:val="20"/>
          <w:lang w:val="pt-BR"/>
        </w:rPr>
        <w:t>j</w:t>
      </w:r>
      <w:r w:rsidR="0045573A" w:rsidRPr="005D6E61">
        <w:rPr>
          <w:rFonts w:ascii="Cambria" w:hAnsi="Cambria"/>
          <w:sz w:val="20"/>
          <w:szCs w:val="20"/>
          <w:lang w:val="pt-BR"/>
        </w:rPr>
        <w:t>uiz</w:t>
      </w:r>
      <w:r w:rsidR="003E10E6" w:rsidRPr="005D6E61">
        <w:rPr>
          <w:rFonts w:ascii="Cambria" w:hAnsi="Cambria"/>
          <w:sz w:val="20"/>
          <w:szCs w:val="20"/>
          <w:lang w:val="pt-BR"/>
        </w:rPr>
        <w:t>”</w:t>
      </w:r>
      <w:r w:rsidR="003E10E6" w:rsidRPr="005D6E61">
        <w:rPr>
          <w:rStyle w:val="FootnoteReference"/>
          <w:rFonts w:ascii="Cambria" w:hAnsi="Cambria"/>
          <w:sz w:val="20"/>
          <w:szCs w:val="20"/>
          <w:lang w:val="pt-BR"/>
        </w:rPr>
        <w:t xml:space="preserve"> </w:t>
      </w:r>
      <w:r w:rsidR="003E10E6" w:rsidRPr="005D6E61">
        <w:rPr>
          <w:rStyle w:val="FootnoteReference"/>
          <w:rFonts w:ascii="Cambria" w:hAnsi="Cambria"/>
          <w:sz w:val="20"/>
          <w:szCs w:val="20"/>
          <w:lang w:val="pt-BR"/>
        </w:rPr>
        <w:footnoteReference w:id="71"/>
      </w:r>
      <w:r w:rsidR="003E10E6" w:rsidRPr="005D6E61">
        <w:rPr>
          <w:rFonts w:ascii="Cambria" w:hAnsi="Cambria"/>
          <w:sz w:val="20"/>
          <w:szCs w:val="20"/>
          <w:lang w:val="pt-BR"/>
        </w:rPr>
        <w:t>.</w:t>
      </w:r>
    </w:p>
    <w:p w14:paraId="2EE235CC" w14:textId="77777777" w:rsidR="003E10E6" w:rsidRPr="005D6E61" w:rsidRDefault="003E10E6" w:rsidP="003E10E6">
      <w:pPr>
        <w:tabs>
          <w:tab w:val="left" w:pos="1440"/>
        </w:tabs>
        <w:jc w:val="both"/>
        <w:rPr>
          <w:rFonts w:ascii="Cambria" w:hAnsi="Cambria"/>
          <w:sz w:val="20"/>
          <w:szCs w:val="20"/>
          <w:lang w:val="pt-BR"/>
        </w:rPr>
      </w:pPr>
    </w:p>
    <w:p w14:paraId="3736945F" w14:textId="77777777" w:rsidR="003E10E6" w:rsidRPr="005D6E61" w:rsidRDefault="00EC647E"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Em</w:t>
      </w:r>
      <w:r w:rsidR="003E10E6" w:rsidRPr="005D6E61">
        <w:rPr>
          <w:rFonts w:ascii="Cambria" w:hAnsi="Cambria"/>
          <w:sz w:val="20"/>
          <w:szCs w:val="20"/>
          <w:lang w:val="pt-BR"/>
        </w:rPr>
        <w:t xml:space="preserve"> 1</w:t>
      </w:r>
      <w:r w:rsidR="006A4F86" w:rsidRPr="005D6E61">
        <w:rPr>
          <w:rFonts w:ascii="Cambria" w:hAnsi="Cambria"/>
          <w:sz w:val="20"/>
          <w:szCs w:val="20"/>
          <w:lang w:val="pt-BR"/>
        </w:rPr>
        <w:t>º</w:t>
      </w:r>
      <w:r w:rsidR="003E10E6" w:rsidRPr="005D6E61">
        <w:rPr>
          <w:rFonts w:ascii="Cambria" w:hAnsi="Cambria"/>
          <w:sz w:val="20"/>
          <w:szCs w:val="20"/>
          <w:lang w:val="pt-BR"/>
        </w:rPr>
        <w:t xml:space="preserve"> de agosto de 1995</w:t>
      </w:r>
      <w:r w:rsidR="00331E62" w:rsidRPr="005D6E61">
        <w:rPr>
          <w:rFonts w:ascii="Cambria" w:hAnsi="Cambria"/>
          <w:sz w:val="20"/>
          <w:szCs w:val="20"/>
          <w:lang w:val="pt-BR"/>
        </w:rPr>
        <w:t xml:space="preserve"> o </w:t>
      </w:r>
      <w:r w:rsidR="00B66316" w:rsidRPr="005D6E61">
        <w:rPr>
          <w:rFonts w:ascii="Cambria" w:hAnsi="Cambria"/>
          <w:sz w:val="20"/>
          <w:szCs w:val="20"/>
          <w:lang w:val="pt-BR"/>
        </w:rPr>
        <w:t>j</w:t>
      </w:r>
      <w:r w:rsidR="0045573A" w:rsidRPr="005D6E61">
        <w:rPr>
          <w:rFonts w:ascii="Cambria" w:hAnsi="Cambria"/>
          <w:sz w:val="20"/>
          <w:szCs w:val="20"/>
          <w:lang w:val="pt-BR"/>
        </w:rPr>
        <w:t>uiz</w:t>
      </w:r>
      <w:r w:rsidR="003E10E6" w:rsidRPr="005D6E61">
        <w:rPr>
          <w:rFonts w:ascii="Cambria" w:hAnsi="Cambria"/>
          <w:sz w:val="20"/>
          <w:szCs w:val="20"/>
          <w:lang w:val="pt-BR"/>
        </w:rPr>
        <w:t xml:space="preserve"> Gutemberg Cardoso se ref</w:t>
      </w:r>
      <w:r w:rsidR="006A4F86" w:rsidRPr="005D6E61">
        <w:rPr>
          <w:rFonts w:ascii="Cambria" w:hAnsi="Cambria"/>
          <w:sz w:val="20"/>
          <w:szCs w:val="20"/>
          <w:lang w:val="pt-BR"/>
        </w:rPr>
        <w:t>e</w:t>
      </w:r>
      <w:r w:rsidR="003E10E6" w:rsidRPr="005D6E61">
        <w:rPr>
          <w:rFonts w:ascii="Cambria" w:hAnsi="Cambria"/>
          <w:sz w:val="20"/>
          <w:szCs w:val="20"/>
          <w:lang w:val="pt-BR"/>
        </w:rPr>
        <w:t>ri</w:t>
      </w:r>
      <w:r w:rsidR="00BF0B90" w:rsidRPr="005D6E61">
        <w:rPr>
          <w:rFonts w:ascii="Cambria" w:hAnsi="Cambria"/>
          <w:sz w:val="20"/>
          <w:szCs w:val="20"/>
          <w:lang w:val="pt-BR"/>
        </w:rPr>
        <w:t xml:space="preserve">u </w:t>
      </w:r>
      <w:r w:rsidR="00CD523F" w:rsidRPr="005D6E61">
        <w:rPr>
          <w:rFonts w:ascii="Cambria" w:hAnsi="Cambria"/>
          <w:sz w:val="20"/>
          <w:szCs w:val="20"/>
          <w:lang w:val="pt-BR"/>
        </w:rPr>
        <w:t xml:space="preserve">ao </w:t>
      </w:r>
      <w:r w:rsidR="003E10E6" w:rsidRPr="005D6E61">
        <w:rPr>
          <w:rFonts w:ascii="Cambria" w:hAnsi="Cambria"/>
          <w:sz w:val="20"/>
          <w:szCs w:val="20"/>
          <w:lang w:val="pt-BR"/>
        </w:rPr>
        <w:t>atraso</w:t>
      </w:r>
      <w:r w:rsidR="00331E62" w:rsidRPr="005D6E61">
        <w:rPr>
          <w:rFonts w:ascii="Cambria" w:hAnsi="Cambria"/>
          <w:sz w:val="20"/>
          <w:szCs w:val="20"/>
          <w:lang w:val="pt-BR"/>
        </w:rPr>
        <w:t xml:space="preserve"> no </w:t>
      </w:r>
      <w:r w:rsidR="006A4F86" w:rsidRPr="005D6E61">
        <w:rPr>
          <w:rFonts w:ascii="Cambria" w:hAnsi="Cambria"/>
          <w:sz w:val="20"/>
          <w:szCs w:val="20"/>
          <w:lang w:val="pt-BR"/>
        </w:rPr>
        <w:t>processo</w:t>
      </w:r>
      <w:r w:rsidR="003E10E6" w:rsidRPr="005D6E61">
        <w:rPr>
          <w:rFonts w:ascii="Cambria" w:hAnsi="Cambria"/>
          <w:sz w:val="20"/>
          <w:szCs w:val="20"/>
          <w:lang w:val="pt-BR"/>
        </w:rPr>
        <w:t>, indicando que 1994 era a</w:t>
      </w:r>
      <w:r w:rsidR="006A4F86" w:rsidRPr="005D6E61">
        <w:rPr>
          <w:rFonts w:ascii="Cambria" w:hAnsi="Cambria"/>
          <w:sz w:val="20"/>
          <w:szCs w:val="20"/>
          <w:lang w:val="pt-BR"/>
        </w:rPr>
        <w:t>n</w:t>
      </w:r>
      <w:r w:rsidR="003E10E6" w:rsidRPr="005D6E61">
        <w:rPr>
          <w:rFonts w:ascii="Cambria" w:hAnsi="Cambria"/>
          <w:sz w:val="20"/>
          <w:szCs w:val="20"/>
          <w:lang w:val="pt-BR"/>
        </w:rPr>
        <w:t>o ele</w:t>
      </w:r>
      <w:r w:rsidR="006A4F86" w:rsidRPr="005D6E61">
        <w:rPr>
          <w:rFonts w:ascii="Cambria" w:hAnsi="Cambria"/>
          <w:sz w:val="20"/>
          <w:szCs w:val="20"/>
          <w:lang w:val="pt-BR"/>
        </w:rPr>
        <w:t>i</w:t>
      </w:r>
      <w:r w:rsidR="003E10E6" w:rsidRPr="005D6E61">
        <w:rPr>
          <w:rFonts w:ascii="Cambria" w:hAnsi="Cambria"/>
          <w:sz w:val="20"/>
          <w:szCs w:val="20"/>
          <w:lang w:val="pt-BR"/>
        </w:rPr>
        <w:t>toral</w:t>
      </w:r>
      <w:r w:rsidR="006C5454" w:rsidRPr="005D6E61">
        <w:rPr>
          <w:rFonts w:ascii="Cambria" w:hAnsi="Cambria"/>
          <w:sz w:val="20"/>
          <w:szCs w:val="20"/>
          <w:lang w:val="pt-BR"/>
        </w:rPr>
        <w:t xml:space="preserve"> e </w:t>
      </w:r>
      <w:r w:rsidR="003E10E6" w:rsidRPr="005D6E61">
        <w:rPr>
          <w:rFonts w:ascii="Cambria" w:hAnsi="Cambria"/>
          <w:sz w:val="20"/>
          <w:szCs w:val="20"/>
          <w:lang w:val="pt-BR"/>
        </w:rPr>
        <w:t>que “durante</w:t>
      </w:r>
      <w:r w:rsidR="00331E62" w:rsidRPr="005D6E61">
        <w:rPr>
          <w:rFonts w:ascii="Cambria" w:hAnsi="Cambria"/>
          <w:sz w:val="20"/>
          <w:szCs w:val="20"/>
          <w:lang w:val="pt-BR"/>
        </w:rPr>
        <w:t xml:space="preserve"> o </w:t>
      </w:r>
      <w:r w:rsidR="003E10E6" w:rsidRPr="005D6E61">
        <w:rPr>
          <w:rFonts w:ascii="Cambria" w:hAnsi="Cambria"/>
          <w:sz w:val="20"/>
          <w:szCs w:val="20"/>
          <w:lang w:val="pt-BR"/>
        </w:rPr>
        <w:t>per</w:t>
      </w:r>
      <w:r w:rsidR="006A4F86" w:rsidRPr="005D6E61">
        <w:rPr>
          <w:rFonts w:ascii="Cambria" w:hAnsi="Cambria"/>
          <w:sz w:val="20"/>
          <w:szCs w:val="20"/>
          <w:lang w:val="pt-BR"/>
        </w:rPr>
        <w:t>í</w:t>
      </w:r>
      <w:r w:rsidR="003E10E6" w:rsidRPr="005D6E61">
        <w:rPr>
          <w:rFonts w:ascii="Cambria" w:hAnsi="Cambria"/>
          <w:sz w:val="20"/>
          <w:szCs w:val="20"/>
          <w:lang w:val="pt-BR"/>
        </w:rPr>
        <w:t>odo ele</w:t>
      </w:r>
      <w:r w:rsidR="006A4F86" w:rsidRPr="005D6E61">
        <w:rPr>
          <w:rFonts w:ascii="Cambria" w:hAnsi="Cambria"/>
          <w:sz w:val="20"/>
          <w:szCs w:val="20"/>
          <w:lang w:val="pt-BR"/>
        </w:rPr>
        <w:t>i</w:t>
      </w:r>
      <w:r w:rsidR="003E10E6" w:rsidRPr="005D6E61">
        <w:rPr>
          <w:rFonts w:ascii="Cambria" w:hAnsi="Cambria"/>
          <w:sz w:val="20"/>
          <w:szCs w:val="20"/>
          <w:lang w:val="pt-BR"/>
        </w:rPr>
        <w:t>toral</w:t>
      </w:r>
      <w:r w:rsidR="006A4F86" w:rsidRPr="005D6E61">
        <w:rPr>
          <w:rFonts w:ascii="Cambria" w:hAnsi="Cambria"/>
          <w:sz w:val="20"/>
          <w:szCs w:val="20"/>
          <w:lang w:val="pt-BR"/>
        </w:rPr>
        <w:t>,</w:t>
      </w:r>
      <w:r w:rsidR="003E10E6" w:rsidRPr="005D6E61">
        <w:rPr>
          <w:rFonts w:ascii="Cambria" w:hAnsi="Cambria"/>
          <w:sz w:val="20"/>
          <w:szCs w:val="20"/>
          <w:lang w:val="pt-BR"/>
        </w:rPr>
        <w:t xml:space="preserve"> que por f</w:t>
      </w:r>
      <w:r w:rsidR="006A4F86" w:rsidRPr="005D6E61">
        <w:rPr>
          <w:rFonts w:ascii="Cambria" w:hAnsi="Cambria"/>
          <w:sz w:val="20"/>
          <w:szCs w:val="20"/>
          <w:lang w:val="pt-BR"/>
        </w:rPr>
        <w:t>o</w:t>
      </w:r>
      <w:r w:rsidR="003E10E6" w:rsidRPr="005D6E61">
        <w:rPr>
          <w:rFonts w:ascii="Cambria" w:hAnsi="Cambria"/>
          <w:sz w:val="20"/>
          <w:szCs w:val="20"/>
          <w:lang w:val="pt-BR"/>
        </w:rPr>
        <w:t>r</w:t>
      </w:r>
      <w:r w:rsidR="006A4F86" w:rsidRPr="005D6E61">
        <w:rPr>
          <w:rFonts w:ascii="Cambria" w:hAnsi="Cambria"/>
          <w:sz w:val="20"/>
          <w:szCs w:val="20"/>
          <w:lang w:val="pt-BR"/>
        </w:rPr>
        <w:t>ç</w:t>
      </w:r>
      <w:r w:rsidR="003E10E6" w:rsidRPr="005D6E61">
        <w:rPr>
          <w:rFonts w:ascii="Cambria" w:hAnsi="Cambria"/>
          <w:sz w:val="20"/>
          <w:szCs w:val="20"/>
          <w:lang w:val="pt-BR"/>
        </w:rPr>
        <w:t>a</w:t>
      </w:r>
      <w:r w:rsidR="00675058" w:rsidRPr="005D6E61">
        <w:rPr>
          <w:rFonts w:ascii="Cambria" w:hAnsi="Cambria"/>
          <w:sz w:val="20"/>
          <w:szCs w:val="20"/>
          <w:lang w:val="pt-BR"/>
        </w:rPr>
        <w:t xml:space="preserve"> da </w:t>
      </w:r>
      <w:r w:rsidR="003E10E6" w:rsidRPr="005D6E61">
        <w:rPr>
          <w:rFonts w:ascii="Cambria" w:hAnsi="Cambria"/>
          <w:sz w:val="20"/>
          <w:szCs w:val="20"/>
          <w:lang w:val="pt-BR"/>
        </w:rPr>
        <w:t>le</w:t>
      </w:r>
      <w:r w:rsidR="006A4F86" w:rsidRPr="005D6E61">
        <w:rPr>
          <w:rFonts w:ascii="Cambria" w:hAnsi="Cambria"/>
          <w:sz w:val="20"/>
          <w:szCs w:val="20"/>
          <w:lang w:val="pt-BR"/>
        </w:rPr>
        <w:t>i goza de privilé</w:t>
      </w:r>
      <w:r w:rsidR="003E10E6" w:rsidRPr="005D6E61">
        <w:rPr>
          <w:rFonts w:ascii="Cambria" w:hAnsi="Cambria"/>
          <w:sz w:val="20"/>
          <w:szCs w:val="20"/>
          <w:lang w:val="pt-BR"/>
        </w:rPr>
        <w:t>gio,</w:t>
      </w:r>
      <w:r w:rsidR="00331E62" w:rsidRPr="005D6E61">
        <w:rPr>
          <w:rFonts w:ascii="Cambria" w:hAnsi="Cambria"/>
          <w:sz w:val="20"/>
          <w:szCs w:val="20"/>
          <w:lang w:val="pt-BR"/>
        </w:rPr>
        <w:t xml:space="preserve"> a </w:t>
      </w:r>
      <w:r w:rsidR="00275A65" w:rsidRPr="005D6E61">
        <w:rPr>
          <w:rFonts w:ascii="Cambria" w:hAnsi="Cambria"/>
          <w:sz w:val="20"/>
          <w:szCs w:val="20"/>
          <w:lang w:val="pt-BR"/>
        </w:rPr>
        <w:t>justiça</w:t>
      </w:r>
      <w:r w:rsidR="006A4F86" w:rsidRPr="005D6E61">
        <w:rPr>
          <w:rFonts w:ascii="Cambria" w:hAnsi="Cambria"/>
          <w:sz w:val="20"/>
          <w:szCs w:val="20"/>
          <w:lang w:val="pt-BR"/>
        </w:rPr>
        <w:t xml:space="preserve"> comum</w:t>
      </w:r>
      <w:r w:rsidR="003E10E6" w:rsidRPr="005D6E61">
        <w:rPr>
          <w:rFonts w:ascii="Cambria" w:hAnsi="Cambria"/>
          <w:sz w:val="20"/>
          <w:szCs w:val="20"/>
          <w:lang w:val="pt-BR"/>
        </w:rPr>
        <w:t xml:space="preserve"> pr</w:t>
      </w:r>
      <w:r w:rsidR="006A4F86" w:rsidRPr="005D6E61">
        <w:rPr>
          <w:rFonts w:ascii="Cambria" w:hAnsi="Cambria"/>
          <w:sz w:val="20"/>
          <w:szCs w:val="20"/>
          <w:lang w:val="pt-BR"/>
        </w:rPr>
        <w:t>a</w:t>
      </w:r>
      <w:r w:rsidR="003E10E6" w:rsidRPr="005D6E61">
        <w:rPr>
          <w:rFonts w:ascii="Cambria" w:hAnsi="Cambria"/>
          <w:sz w:val="20"/>
          <w:szCs w:val="20"/>
          <w:lang w:val="pt-BR"/>
        </w:rPr>
        <w:t>ticamente se parali</w:t>
      </w:r>
      <w:r w:rsidR="006A4F86" w:rsidRPr="005D6E61">
        <w:rPr>
          <w:rFonts w:ascii="Cambria" w:hAnsi="Cambria"/>
          <w:sz w:val="20"/>
          <w:szCs w:val="20"/>
          <w:lang w:val="pt-BR"/>
        </w:rPr>
        <w:t>sa, permiti</w:t>
      </w:r>
      <w:r w:rsidR="003E10E6" w:rsidRPr="005D6E61">
        <w:rPr>
          <w:rFonts w:ascii="Cambria" w:hAnsi="Cambria"/>
          <w:sz w:val="20"/>
          <w:szCs w:val="20"/>
          <w:lang w:val="pt-BR"/>
        </w:rPr>
        <w:t>ndo apenas</w:t>
      </w:r>
      <w:r w:rsidR="00331E62" w:rsidRPr="005D6E61">
        <w:rPr>
          <w:rFonts w:ascii="Cambria" w:hAnsi="Cambria"/>
          <w:sz w:val="20"/>
          <w:szCs w:val="20"/>
          <w:lang w:val="pt-BR"/>
        </w:rPr>
        <w:t xml:space="preserve"> a </w:t>
      </w:r>
      <w:r w:rsidR="003E10E6" w:rsidRPr="005D6E61">
        <w:rPr>
          <w:rFonts w:ascii="Cambria" w:hAnsi="Cambria"/>
          <w:sz w:val="20"/>
          <w:szCs w:val="20"/>
          <w:lang w:val="pt-BR"/>
        </w:rPr>
        <w:t>tramita</w:t>
      </w:r>
      <w:r w:rsidR="00A274D9" w:rsidRPr="005D6E61">
        <w:rPr>
          <w:rFonts w:ascii="Cambria" w:hAnsi="Cambria"/>
          <w:sz w:val="20"/>
          <w:szCs w:val="20"/>
          <w:lang w:val="pt-BR"/>
        </w:rPr>
        <w:t>ção</w:t>
      </w:r>
      <w:r w:rsidR="00331E62" w:rsidRPr="005D6E61">
        <w:rPr>
          <w:rFonts w:ascii="Cambria" w:hAnsi="Cambria"/>
          <w:sz w:val="20"/>
          <w:szCs w:val="20"/>
          <w:lang w:val="pt-BR"/>
        </w:rPr>
        <w:t xml:space="preserve"> dos </w:t>
      </w:r>
      <w:r w:rsidR="00730CDD" w:rsidRPr="005D6E61">
        <w:rPr>
          <w:rFonts w:ascii="Cambria" w:hAnsi="Cambria"/>
          <w:sz w:val="20"/>
          <w:szCs w:val="20"/>
          <w:lang w:val="pt-BR"/>
        </w:rPr>
        <w:t>processo</w:t>
      </w:r>
      <w:r w:rsidR="003E10E6" w:rsidRPr="005D6E61">
        <w:rPr>
          <w:rFonts w:ascii="Cambria" w:hAnsi="Cambria"/>
          <w:sz w:val="20"/>
          <w:szCs w:val="20"/>
          <w:lang w:val="pt-BR"/>
        </w:rPr>
        <w:t xml:space="preserve">s concernentes a </w:t>
      </w:r>
      <w:r w:rsidR="0054428F" w:rsidRPr="005D6E61">
        <w:rPr>
          <w:rFonts w:ascii="Cambria" w:hAnsi="Cambria"/>
          <w:sz w:val="20"/>
          <w:szCs w:val="20"/>
          <w:lang w:val="pt-BR"/>
        </w:rPr>
        <w:t>pessoa</w:t>
      </w:r>
      <w:r w:rsidR="006A4F86" w:rsidRPr="005D6E61">
        <w:rPr>
          <w:rFonts w:ascii="Cambria" w:hAnsi="Cambria"/>
          <w:sz w:val="20"/>
          <w:szCs w:val="20"/>
          <w:lang w:val="pt-BR"/>
        </w:rPr>
        <w:t>s privadas de liberd</w:t>
      </w:r>
      <w:r w:rsidR="003E10E6" w:rsidRPr="005D6E61">
        <w:rPr>
          <w:rFonts w:ascii="Cambria" w:hAnsi="Cambria"/>
          <w:sz w:val="20"/>
          <w:szCs w:val="20"/>
          <w:lang w:val="pt-BR"/>
        </w:rPr>
        <w:t>ad</w:t>
      </w:r>
      <w:r w:rsidR="006A4F86" w:rsidRPr="005D6E61">
        <w:rPr>
          <w:rFonts w:ascii="Cambria" w:hAnsi="Cambria"/>
          <w:sz w:val="20"/>
          <w:szCs w:val="20"/>
          <w:lang w:val="pt-BR"/>
        </w:rPr>
        <w:t>e</w:t>
      </w:r>
      <w:r w:rsidR="003E10E6" w:rsidRPr="005D6E61">
        <w:rPr>
          <w:rFonts w:ascii="Cambria" w:hAnsi="Cambria"/>
          <w:sz w:val="20"/>
          <w:szCs w:val="20"/>
          <w:lang w:val="pt-BR"/>
        </w:rPr>
        <w:t>, demandas de alimentos</w:t>
      </w:r>
      <w:r w:rsidR="006C5454" w:rsidRPr="005D6E61">
        <w:rPr>
          <w:rFonts w:ascii="Cambria" w:hAnsi="Cambria"/>
          <w:sz w:val="20"/>
          <w:szCs w:val="20"/>
          <w:lang w:val="pt-BR"/>
        </w:rPr>
        <w:t xml:space="preserve"> e </w:t>
      </w:r>
      <w:r w:rsidR="003E10E6" w:rsidRPr="005D6E61">
        <w:rPr>
          <w:rFonts w:ascii="Cambria" w:hAnsi="Cambria"/>
          <w:sz w:val="20"/>
          <w:szCs w:val="20"/>
          <w:lang w:val="pt-BR"/>
        </w:rPr>
        <w:t>pedidos preliminares”</w:t>
      </w:r>
      <w:r w:rsidR="003E10E6" w:rsidRPr="005D6E61">
        <w:rPr>
          <w:rStyle w:val="FootnoteReference"/>
          <w:rFonts w:ascii="Cambria" w:hAnsi="Cambria"/>
          <w:sz w:val="20"/>
          <w:szCs w:val="20"/>
          <w:lang w:val="pt-BR"/>
        </w:rPr>
        <w:footnoteReference w:id="72"/>
      </w:r>
      <w:r w:rsidR="003E10E6" w:rsidRPr="005D6E61">
        <w:rPr>
          <w:rFonts w:ascii="Cambria" w:hAnsi="Cambria"/>
          <w:sz w:val="20"/>
          <w:szCs w:val="20"/>
          <w:lang w:val="pt-BR"/>
        </w:rPr>
        <w:t>. A</w:t>
      </w:r>
      <w:r w:rsidR="006A4F86" w:rsidRPr="005D6E61">
        <w:rPr>
          <w:rFonts w:ascii="Cambria" w:hAnsi="Cambria"/>
          <w:sz w:val="20"/>
          <w:szCs w:val="20"/>
          <w:lang w:val="pt-BR"/>
        </w:rPr>
        <w:t>crescent</w:t>
      </w:r>
      <w:r w:rsidR="00BF0B90" w:rsidRPr="005D6E61">
        <w:rPr>
          <w:rFonts w:ascii="Cambria" w:hAnsi="Cambria"/>
          <w:sz w:val="20"/>
          <w:szCs w:val="20"/>
          <w:lang w:val="pt-BR"/>
        </w:rPr>
        <w:t xml:space="preserve">ou </w:t>
      </w:r>
      <w:r w:rsidR="003E10E6" w:rsidRPr="005D6E61">
        <w:rPr>
          <w:rFonts w:ascii="Cambria" w:hAnsi="Cambria"/>
          <w:sz w:val="20"/>
          <w:szCs w:val="20"/>
          <w:lang w:val="pt-BR"/>
        </w:rPr>
        <w:t>que</w:t>
      </w:r>
      <w:r w:rsidR="006A4F86" w:rsidRPr="005D6E61">
        <w:rPr>
          <w:rFonts w:ascii="Cambria" w:hAnsi="Cambria"/>
          <w:sz w:val="20"/>
          <w:szCs w:val="20"/>
          <w:lang w:val="pt-BR"/>
        </w:rPr>
        <w:t>,</w:t>
      </w:r>
      <w:r w:rsidR="003E10E6" w:rsidRPr="005D6E61">
        <w:rPr>
          <w:rFonts w:ascii="Cambria" w:hAnsi="Cambria"/>
          <w:sz w:val="20"/>
          <w:szCs w:val="20"/>
          <w:lang w:val="pt-BR"/>
        </w:rPr>
        <w:t xml:space="preserve"> </w:t>
      </w:r>
      <w:r w:rsidR="006A4F86" w:rsidRPr="005D6E61">
        <w:rPr>
          <w:rFonts w:ascii="Cambria" w:hAnsi="Cambria"/>
          <w:sz w:val="20"/>
          <w:szCs w:val="20"/>
          <w:lang w:val="pt-BR"/>
        </w:rPr>
        <w:t>após o término</w:t>
      </w:r>
      <w:r w:rsidR="003E10E6" w:rsidRPr="005D6E61">
        <w:rPr>
          <w:rFonts w:ascii="Cambria" w:hAnsi="Cambria"/>
          <w:sz w:val="20"/>
          <w:szCs w:val="20"/>
          <w:lang w:val="pt-BR"/>
        </w:rPr>
        <w:t xml:space="preserve"> </w:t>
      </w:r>
      <w:r w:rsidR="006A4F86" w:rsidRPr="005D6E61">
        <w:rPr>
          <w:rFonts w:ascii="Cambria" w:hAnsi="Cambria"/>
          <w:sz w:val="20"/>
          <w:szCs w:val="20"/>
          <w:lang w:val="pt-BR"/>
        </w:rPr>
        <w:t>d</w:t>
      </w:r>
      <w:r w:rsidR="00331E62" w:rsidRPr="005D6E61">
        <w:rPr>
          <w:rFonts w:ascii="Cambria" w:hAnsi="Cambria"/>
          <w:sz w:val="20"/>
          <w:szCs w:val="20"/>
          <w:lang w:val="pt-BR"/>
        </w:rPr>
        <w:t xml:space="preserve">o </w:t>
      </w:r>
      <w:r w:rsidR="003E10E6" w:rsidRPr="005D6E61">
        <w:rPr>
          <w:rFonts w:ascii="Cambria" w:hAnsi="Cambria"/>
          <w:sz w:val="20"/>
          <w:szCs w:val="20"/>
          <w:lang w:val="pt-BR"/>
        </w:rPr>
        <w:t>a</w:t>
      </w:r>
      <w:r w:rsidR="006A4F86" w:rsidRPr="005D6E61">
        <w:rPr>
          <w:rFonts w:ascii="Cambria" w:hAnsi="Cambria"/>
          <w:sz w:val="20"/>
          <w:szCs w:val="20"/>
          <w:lang w:val="pt-BR"/>
        </w:rPr>
        <w:t>n</w:t>
      </w:r>
      <w:r w:rsidR="003E10E6" w:rsidRPr="005D6E61">
        <w:rPr>
          <w:rFonts w:ascii="Cambria" w:hAnsi="Cambria"/>
          <w:sz w:val="20"/>
          <w:szCs w:val="20"/>
          <w:lang w:val="pt-BR"/>
        </w:rPr>
        <w:t>o ele</w:t>
      </w:r>
      <w:r w:rsidR="006A4F86" w:rsidRPr="005D6E61">
        <w:rPr>
          <w:rFonts w:ascii="Cambria" w:hAnsi="Cambria"/>
          <w:sz w:val="20"/>
          <w:szCs w:val="20"/>
          <w:lang w:val="pt-BR"/>
        </w:rPr>
        <w:t>i</w:t>
      </w:r>
      <w:r w:rsidR="003E10E6" w:rsidRPr="005D6E61">
        <w:rPr>
          <w:rFonts w:ascii="Cambria" w:hAnsi="Cambria"/>
          <w:sz w:val="20"/>
          <w:szCs w:val="20"/>
          <w:lang w:val="pt-BR"/>
        </w:rPr>
        <w:t>toral</w:t>
      </w:r>
      <w:r w:rsidR="00B66316" w:rsidRPr="005D6E61">
        <w:rPr>
          <w:rFonts w:ascii="Cambria" w:hAnsi="Cambria"/>
          <w:sz w:val="20"/>
          <w:szCs w:val="20"/>
          <w:lang w:val="pt-BR"/>
        </w:rPr>
        <w:t>,</w:t>
      </w:r>
      <w:r w:rsidR="003E10E6" w:rsidRPr="005D6E61">
        <w:rPr>
          <w:rFonts w:ascii="Cambria" w:hAnsi="Cambria"/>
          <w:sz w:val="20"/>
          <w:szCs w:val="20"/>
          <w:lang w:val="pt-BR"/>
        </w:rPr>
        <w:t xml:space="preserve"> “es</w:t>
      </w:r>
      <w:r w:rsidR="00B66316" w:rsidRPr="005D6E61">
        <w:rPr>
          <w:rFonts w:ascii="Cambria" w:hAnsi="Cambria"/>
          <w:sz w:val="20"/>
          <w:szCs w:val="20"/>
          <w:lang w:val="pt-BR"/>
        </w:rPr>
        <w:t>s</w:t>
      </w:r>
      <w:r w:rsidR="003E10E6" w:rsidRPr="005D6E61">
        <w:rPr>
          <w:rFonts w:ascii="Cambria" w:hAnsi="Cambria"/>
          <w:sz w:val="20"/>
          <w:szCs w:val="20"/>
          <w:lang w:val="pt-BR"/>
        </w:rPr>
        <w:t>e magistrado d</w:t>
      </w:r>
      <w:r w:rsidR="006A4F86" w:rsidRPr="005D6E61">
        <w:rPr>
          <w:rFonts w:ascii="Cambria" w:hAnsi="Cambria"/>
          <w:sz w:val="20"/>
          <w:szCs w:val="20"/>
          <w:lang w:val="pt-BR"/>
        </w:rPr>
        <w:t>eu</w:t>
      </w:r>
      <w:r w:rsidR="003E10E6" w:rsidRPr="005D6E61">
        <w:rPr>
          <w:rFonts w:ascii="Cambria" w:hAnsi="Cambria"/>
          <w:sz w:val="20"/>
          <w:szCs w:val="20"/>
          <w:lang w:val="pt-BR"/>
        </w:rPr>
        <w:t xml:space="preserve"> prefer</w:t>
      </w:r>
      <w:r w:rsidR="00E37676" w:rsidRPr="005D6E61">
        <w:rPr>
          <w:rFonts w:ascii="Cambria" w:hAnsi="Cambria"/>
          <w:sz w:val="20"/>
          <w:szCs w:val="20"/>
          <w:lang w:val="pt-BR"/>
        </w:rPr>
        <w:t>ência</w:t>
      </w:r>
      <w:r w:rsidR="005A2381" w:rsidRPr="005D6E61">
        <w:rPr>
          <w:rFonts w:ascii="Cambria" w:hAnsi="Cambria"/>
          <w:sz w:val="20"/>
          <w:szCs w:val="20"/>
          <w:lang w:val="pt-BR"/>
        </w:rPr>
        <w:t xml:space="preserve"> às </w:t>
      </w:r>
      <w:r w:rsidR="003E10E6" w:rsidRPr="005D6E61">
        <w:rPr>
          <w:rFonts w:ascii="Cambria" w:hAnsi="Cambria"/>
          <w:sz w:val="20"/>
          <w:szCs w:val="20"/>
          <w:lang w:val="pt-BR"/>
        </w:rPr>
        <w:t>causas</w:t>
      </w:r>
      <w:r w:rsidR="00331E62" w:rsidRPr="005D6E61">
        <w:rPr>
          <w:rFonts w:ascii="Cambria" w:hAnsi="Cambria"/>
          <w:sz w:val="20"/>
          <w:szCs w:val="20"/>
          <w:lang w:val="pt-BR"/>
        </w:rPr>
        <w:t xml:space="preserve"> dos </w:t>
      </w:r>
      <w:r w:rsidR="003E10E6" w:rsidRPr="005D6E61">
        <w:rPr>
          <w:rFonts w:ascii="Cambria" w:hAnsi="Cambria"/>
          <w:sz w:val="20"/>
          <w:szCs w:val="20"/>
          <w:lang w:val="pt-BR"/>
        </w:rPr>
        <w:t>m</w:t>
      </w:r>
      <w:r w:rsidR="006A4F86" w:rsidRPr="005D6E61">
        <w:rPr>
          <w:rFonts w:ascii="Cambria" w:hAnsi="Cambria"/>
          <w:sz w:val="20"/>
          <w:szCs w:val="20"/>
          <w:lang w:val="pt-BR"/>
        </w:rPr>
        <w:t>ai</w:t>
      </w:r>
      <w:r w:rsidR="003E10E6" w:rsidRPr="005D6E61">
        <w:rPr>
          <w:rFonts w:ascii="Cambria" w:hAnsi="Cambria"/>
          <w:sz w:val="20"/>
          <w:szCs w:val="20"/>
          <w:lang w:val="pt-BR"/>
        </w:rPr>
        <w:t>s nece</w:t>
      </w:r>
      <w:r w:rsidR="006A4F86" w:rsidRPr="005D6E61">
        <w:rPr>
          <w:rFonts w:ascii="Cambria" w:hAnsi="Cambria"/>
          <w:sz w:val="20"/>
          <w:szCs w:val="20"/>
          <w:lang w:val="pt-BR"/>
        </w:rPr>
        <w:t>s</w:t>
      </w:r>
      <w:r w:rsidR="003E10E6" w:rsidRPr="005D6E61">
        <w:rPr>
          <w:rFonts w:ascii="Cambria" w:hAnsi="Cambria"/>
          <w:sz w:val="20"/>
          <w:szCs w:val="20"/>
          <w:lang w:val="pt-BR"/>
        </w:rPr>
        <w:t>sitados</w:t>
      </w:r>
      <w:r w:rsidR="00D03691" w:rsidRPr="005D6E61">
        <w:rPr>
          <w:rFonts w:ascii="Cambria" w:hAnsi="Cambria"/>
          <w:sz w:val="20"/>
          <w:szCs w:val="20"/>
          <w:lang w:val="pt-BR"/>
        </w:rPr>
        <w:t>”</w:t>
      </w:r>
      <w:r w:rsidR="003E10E6" w:rsidRPr="005D6E61">
        <w:rPr>
          <w:rStyle w:val="FootnoteReference"/>
          <w:rFonts w:ascii="Cambria" w:hAnsi="Cambria"/>
          <w:sz w:val="20"/>
          <w:szCs w:val="20"/>
          <w:lang w:val="pt-BR"/>
        </w:rPr>
        <w:footnoteReference w:id="73"/>
      </w:r>
      <w:r w:rsidR="003E10E6" w:rsidRPr="005D6E61">
        <w:rPr>
          <w:rFonts w:ascii="Cambria" w:hAnsi="Cambria"/>
          <w:sz w:val="20"/>
          <w:szCs w:val="20"/>
          <w:lang w:val="pt-BR"/>
        </w:rPr>
        <w:t>. Indic</w:t>
      </w:r>
      <w:r w:rsidR="00BF0B90" w:rsidRPr="005D6E61">
        <w:rPr>
          <w:rFonts w:ascii="Cambria" w:hAnsi="Cambria"/>
          <w:sz w:val="20"/>
          <w:szCs w:val="20"/>
          <w:lang w:val="pt-BR"/>
        </w:rPr>
        <w:t xml:space="preserve">ou </w:t>
      </w:r>
      <w:r w:rsidR="003E10E6" w:rsidRPr="005D6E61">
        <w:rPr>
          <w:rFonts w:ascii="Cambria" w:hAnsi="Cambria"/>
          <w:sz w:val="20"/>
          <w:szCs w:val="20"/>
          <w:lang w:val="pt-BR"/>
        </w:rPr>
        <w:t>que</w:t>
      </w:r>
      <w:r w:rsidR="00B66316" w:rsidRPr="005D6E61">
        <w:rPr>
          <w:rFonts w:ascii="Cambria" w:hAnsi="Cambria"/>
          <w:sz w:val="20"/>
          <w:szCs w:val="20"/>
          <w:lang w:val="pt-BR"/>
        </w:rPr>
        <w:t>,</w:t>
      </w:r>
      <w:r w:rsidR="003E10E6" w:rsidRPr="005D6E61">
        <w:rPr>
          <w:rFonts w:ascii="Cambria" w:hAnsi="Cambria"/>
          <w:sz w:val="20"/>
          <w:szCs w:val="20"/>
          <w:lang w:val="pt-BR"/>
        </w:rPr>
        <w:t xml:space="preserve"> </w:t>
      </w:r>
      <w:r w:rsidR="006C535C" w:rsidRPr="005D6E61">
        <w:rPr>
          <w:rFonts w:ascii="Cambria" w:hAnsi="Cambria"/>
          <w:sz w:val="20"/>
          <w:szCs w:val="20"/>
          <w:lang w:val="pt-BR"/>
        </w:rPr>
        <w:t>além</w:t>
      </w:r>
      <w:r w:rsidR="006A4F86" w:rsidRPr="005D6E61">
        <w:rPr>
          <w:rFonts w:ascii="Cambria" w:hAnsi="Cambria"/>
          <w:sz w:val="20"/>
          <w:szCs w:val="20"/>
          <w:lang w:val="pt-BR"/>
        </w:rPr>
        <w:t xml:space="preserve"> disso</w:t>
      </w:r>
      <w:r w:rsidR="00B66316" w:rsidRPr="005D6E61">
        <w:rPr>
          <w:rFonts w:ascii="Cambria" w:hAnsi="Cambria"/>
          <w:sz w:val="20"/>
          <w:szCs w:val="20"/>
          <w:lang w:val="pt-BR"/>
        </w:rPr>
        <w:t>,</w:t>
      </w:r>
      <w:r w:rsidR="003E10E6" w:rsidRPr="005D6E61">
        <w:rPr>
          <w:rFonts w:ascii="Cambria" w:hAnsi="Cambria"/>
          <w:sz w:val="20"/>
          <w:szCs w:val="20"/>
          <w:lang w:val="pt-BR"/>
        </w:rPr>
        <w:t xml:space="preserve"> </w:t>
      </w:r>
      <w:r w:rsidR="003E10E6" w:rsidRPr="005D6E61">
        <w:rPr>
          <w:rFonts w:ascii="Cambria" w:hAnsi="Cambria"/>
          <w:sz w:val="20"/>
          <w:szCs w:val="20"/>
          <w:lang w:val="pt-BR"/>
        </w:rPr>
        <w:lastRenderedPageBreak/>
        <w:t>existe</w:t>
      </w:r>
      <w:r w:rsidR="00331E62" w:rsidRPr="005D6E61">
        <w:rPr>
          <w:rFonts w:ascii="Cambria" w:hAnsi="Cambria"/>
          <w:sz w:val="20"/>
          <w:szCs w:val="20"/>
          <w:lang w:val="pt-BR"/>
        </w:rPr>
        <w:t xml:space="preserve"> a </w:t>
      </w:r>
      <w:r w:rsidR="003E10E6" w:rsidRPr="005D6E61">
        <w:rPr>
          <w:rFonts w:ascii="Cambria" w:hAnsi="Cambria"/>
          <w:sz w:val="20"/>
          <w:szCs w:val="20"/>
          <w:lang w:val="pt-BR"/>
        </w:rPr>
        <w:t>dificul</w:t>
      </w:r>
      <w:r w:rsidR="006A4F86" w:rsidRPr="005D6E61">
        <w:rPr>
          <w:rFonts w:ascii="Cambria" w:hAnsi="Cambria"/>
          <w:sz w:val="20"/>
          <w:szCs w:val="20"/>
          <w:lang w:val="pt-BR"/>
        </w:rPr>
        <w:t>d</w:t>
      </w:r>
      <w:r w:rsidR="003E10E6" w:rsidRPr="005D6E61">
        <w:rPr>
          <w:rFonts w:ascii="Cambria" w:hAnsi="Cambria"/>
          <w:sz w:val="20"/>
          <w:szCs w:val="20"/>
          <w:lang w:val="pt-BR"/>
        </w:rPr>
        <w:t>ad</w:t>
      </w:r>
      <w:r w:rsidR="006A4F86" w:rsidRPr="005D6E61">
        <w:rPr>
          <w:rFonts w:ascii="Cambria" w:hAnsi="Cambria"/>
          <w:sz w:val="20"/>
          <w:szCs w:val="20"/>
          <w:lang w:val="pt-BR"/>
        </w:rPr>
        <w:t>e</w:t>
      </w:r>
      <w:r w:rsidR="003E10E6" w:rsidRPr="005D6E61">
        <w:rPr>
          <w:rFonts w:ascii="Cambria" w:hAnsi="Cambria"/>
          <w:sz w:val="20"/>
          <w:szCs w:val="20"/>
          <w:lang w:val="pt-BR"/>
        </w:rPr>
        <w:t xml:space="preserve"> técnica de que</w:t>
      </w:r>
      <w:r w:rsidR="00F77B7F" w:rsidRPr="005D6E61">
        <w:rPr>
          <w:rFonts w:ascii="Cambria" w:hAnsi="Cambria"/>
          <w:sz w:val="20"/>
          <w:szCs w:val="20"/>
          <w:lang w:val="pt-BR"/>
        </w:rPr>
        <w:t xml:space="preserve"> não </w:t>
      </w:r>
      <w:r w:rsidR="003E10E6" w:rsidRPr="005D6E61">
        <w:rPr>
          <w:rFonts w:ascii="Cambria" w:hAnsi="Cambria"/>
          <w:sz w:val="20"/>
          <w:szCs w:val="20"/>
          <w:lang w:val="pt-BR"/>
        </w:rPr>
        <w:t>está claro</w:t>
      </w:r>
      <w:r w:rsidR="002508A0" w:rsidRPr="005D6E61">
        <w:rPr>
          <w:rFonts w:ascii="Cambria" w:hAnsi="Cambria"/>
          <w:sz w:val="20"/>
          <w:szCs w:val="20"/>
          <w:lang w:val="pt-BR"/>
        </w:rPr>
        <w:t xml:space="preserve"> se </w:t>
      </w:r>
      <w:r w:rsidR="003B62AF" w:rsidRPr="005D6E61">
        <w:rPr>
          <w:rFonts w:ascii="Cambria" w:hAnsi="Cambria"/>
          <w:sz w:val="20"/>
          <w:szCs w:val="20"/>
          <w:lang w:val="pt-BR"/>
        </w:rPr>
        <w:t xml:space="preserve">é </w:t>
      </w:r>
      <w:r w:rsidR="003E10E6" w:rsidRPr="005D6E61">
        <w:rPr>
          <w:rFonts w:ascii="Cambria" w:hAnsi="Cambria"/>
          <w:sz w:val="20"/>
          <w:szCs w:val="20"/>
          <w:lang w:val="pt-BR"/>
        </w:rPr>
        <w:t>pos</w:t>
      </w:r>
      <w:r w:rsidR="006A4F86" w:rsidRPr="005D6E61">
        <w:rPr>
          <w:rFonts w:ascii="Cambria" w:hAnsi="Cambria"/>
          <w:sz w:val="20"/>
          <w:szCs w:val="20"/>
          <w:lang w:val="pt-BR"/>
        </w:rPr>
        <w:t>sível</w:t>
      </w:r>
      <w:r w:rsidR="003E10E6" w:rsidRPr="005D6E61">
        <w:rPr>
          <w:rFonts w:ascii="Cambria" w:hAnsi="Cambria"/>
          <w:sz w:val="20"/>
          <w:szCs w:val="20"/>
          <w:lang w:val="pt-BR"/>
        </w:rPr>
        <w:t xml:space="preserve"> ampliar</w:t>
      </w:r>
      <w:r w:rsidR="006C5454" w:rsidRPr="005D6E61">
        <w:rPr>
          <w:rFonts w:ascii="Cambria" w:hAnsi="Cambria"/>
          <w:sz w:val="20"/>
          <w:szCs w:val="20"/>
          <w:lang w:val="pt-BR"/>
        </w:rPr>
        <w:t xml:space="preserve"> uma </w:t>
      </w:r>
      <w:r w:rsidR="0031191B" w:rsidRPr="005D6E61">
        <w:rPr>
          <w:rFonts w:ascii="Cambria" w:hAnsi="Cambria"/>
          <w:sz w:val="20"/>
          <w:szCs w:val="20"/>
          <w:lang w:val="pt-BR"/>
        </w:rPr>
        <w:t>denúncia</w:t>
      </w:r>
      <w:r w:rsidR="003E10E6" w:rsidRPr="005D6E61">
        <w:rPr>
          <w:rFonts w:ascii="Cambria" w:hAnsi="Cambria"/>
          <w:sz w:val="20"/>
          <w:szCs w:val="20"/>
          <w:lang w:val="pt-BR"/>
        </w:rPr>
        <w:t xml:space="preserve"> inclu</w:t>
      </w:r>
      <w:r w:rsidR="006A4F86" w:rsidRPr="005D6E61">
        <w:rPr>
          <w:rFonts w:ascii="Cambria" w:hAnsi="Cambria"/>
          <w:sz w:val="20"/>
          <w:szCs w:val="20"/>
          <w:lang w:val="pt-BR"/>
        </w:rPr>
        <w:t>i</w:t>
      </w:r>
      <w:r w:rsidR="003E10E6" w:rsidRPr="005D6E61">
        <w:rPr>
          <w:rFonts w:ascii="Cambria" w:hAnsi="Cambria"/>
          <w:sz w:val="20"/>
          <w:szCs w:val="20"/>
          <w:lang w:val="pt-BR"/>
        </w:rPr>
        <w:t>ndo n</w:t>
      </w:r>
      <w:r w:rsidR="006A4F86" w:rsidRPr="005D6E61">
        <w:rPr>
          <w:rFonts w:ascii="Cambria" w:hAnsi="Cambria"/>
          <w:sz w:val="20"/>
          <w:szCs w:val="20"/>
          <w:lang w:val="pt-BR"/>
        </w:rPr>
        <w:t>o</w:t>
      </w:r>
      <w:r w:rsidR="003E10E6" w:rsidRPr="005D6E61">
        <w:rPr>
          <w:rFonts w:ascii="Cambria" w:hAnsi="Cambria"/>
          <w:sz w:val="20"/>
          <w:szCs w:val="20"/>
          <w:lang w:val="pt-BR"/>
        </w:rPr>
        <w:t xml:space="preserve">vos acusados, </w:t>
      </w:r>
      <w:r w:rsidR="006A4F86" w:rsidRPr="005D6E61">
        <w:rPr>
          <w:rFonts w:ascii="Cambria" w:hAnsi="Cambria"/>
          <w:sz w:val="20"/>
          <w:szCs w:val="20"/>
          <w:lang w:val="pt-BR"/>
        </w:rPr>
        <w:t>já</w:t>
      </w:r>
      <w:r w:rsidR="003E10E6" w:rsidRPr="005D6E61">
        <w:rPr>
          <w:rFonts w:ascii="Cambria" w:hAnsi="Cambria"/>
          <w:sz w:val="20"/>
          <w:szCs w:val="20"/>
          <w:lang w:val="pt-BR"/>
        </w:rPr>
        <w:t xml:space="preserve"> existindo</w:t>
      </w:r>
      <w:r w:rsidR="006C5454" w:rsidRPr="005D6E61">
        <w:rPr>
          <w:rFonts w:ascii="Cambria" w:hAnsi="Cambria"/>
          <w:sz w:val="20"/>
          <w:szCs w:val="20"/>
          <w:lang w:val="pt-BR"/>
        </w:rPr>
        <w:t xml:space="preserve"> uma </w:t>
      </w:r>
      <w:r w:rsidR="00586C28" w:rsidRPr="005D6E61">
        <w:rPr>
          <w:rFonts w:ascii="Cambria" w:hAnsi="Cambria"/>
          <w:sz w:val="20"/>
          <w:szCs w:val="20"/>
          <w:lang w:val="pt-BR"/>
        </w:rPr>
        <w:t>sentença</w:t>
      </w:r>
      <w:r w:rsidR="00331E62" w:rsidRPr="005D6E61">
        <w:rPr>
          <w:rFonts w:ascii="Cambria" w:hAnsi="Cambria"/>
          <w:sz w:val="20"/>
          <w:szCs w:val="20"/>
          <w:lang w:val="pt-BR"/>
        </w:rPr>
        <w:t xml:space="preserve"> no </w:t>
      </w:r>
      <w:r w:rsidR="00730CDD" w:rsidRPr="005D6E61">
        <w:rPr>
          <w:rFonts w:ascii="Cambria" w:hAnsi="Cambria"/>
          <w:sz w:val="20"/>
          <w:szCs w:val="20"/>
          <w:lang w:val="pt-BR"/>
        </w:rPr>
        <w:t>processo</w:t>
      </w:r>
      <w:r w:rsidR="003E10E6" w:rsidRPr="005D6E61">
        <w:rPr>
          <w:rStyle w:val="FootnoteReference"/>
          <w:rFonts w:ascii="Cambria" w:hAnsi="Cambria"/>
          <w:sz w:val="20"/>
          <w:szCs w:val="20"/>
          <w:lang w:val="pt-BR"/>
        </w:rPr>
        <w:footnoteReference w:id="74"/>
      </w:r>
      <w:r w:rsidR="003E10E6" w:rsidRPr="005D6E61">
        <w:rPr>
          <w:rFonts w:ascii="Cambria" w:hAnsi="Cambria"/>
          <w:sz w:val="20"/>
          <w:szCs w:val="20"/>
          <w:lang w:val="pt-BR"/>
        </w:rPr>
        <w:t xml:space="preserve">. </w:t>
      </w:r>
    </w:p>
    <w:p w14:paraId="43E6E25E" w14:textId="77777777" w:rsidR="003E10E6" w:rsidRPr="005D6E61" w:rsidRDefault="003E10E6" w:rsidP="003E10E6">
      <w:pPr>
        <w:pStyle w:val="ListParagraph"/>
        <w:rPr>
          <w:sz w:val="20"/>
          <w:szCs w:val="20"/>
          <w:lang w:val="pt-BR"/>
        </w:rPr>
      </w:pPr>
    </w:p>
    <w:p w14:paraId="0B871288" w14:textId="77777777" w:rsidR="003E10E6" w:rsidRPr="005D6E61" w:rsidRDefault="00EC647E"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Em</w:t>
      </w:r>
      <w:r w:rsidR="003E10E6" w:rsidRPr="005D6E61">
        <w:rPr>
          <w:rFonts w:ascii="Cambria" w:hAnsi="Cambria"/>
          <w:sz w:val="20"/>
          <w:szCs w:val="20"/>
          <w:lang w:val="pt-BR"/>
        </w:rPr>
        <w:t xml:space="preserve"> 2 de agosto de 1995</w:t>
      </w:r>
      <w:r w:rsidR="00331E62" w:rsidRPr="005D6E61">
        <w:rPr>
          <w:rFonts w:ascii="Cambria" w:hAnsi="Cambria"/>
          <w:sz w:val="20"/>
          <w:szCs w:val="20"/>
          <w:lang w:val="pt-BR"/>
        </w:rPr>
        <w:t xml:space="preserve"> o </w:t>
      </w:r>
      <w:r w:rsidR="003E10E6" w:rsidRPr="005D6E61">
        <w:rPr>
          <w:rFonts w:ascii="Cambria" w:hAnsi="Cambria"/>
          <w:sz w:val="20"/>
          <w:szCs w:val="20"/>
          <w:lang w:val="pt-BR"/>
        </w:rPr>
        <w:t>referido tribunal opt</w:t>
      </w:r>
      <w:r w:rsidR="00BF0B90" w:rsidRPr="005D6E61">
        <w:rPr>
          <w:rFonts w:ascii="Cambria" w:hAnsi="Cambria"/>
          <w:sz w:val="20"/>
          <w:szCs w:val="20"/>
          <w:lang w:val="pt-BR"/>
        </w:rPr>
        <w:t xml:space="preserve">ou </w:t>
      </w:r>
      <w:r w:rsidR="003E10E6" w:rsidRPr="005D6E61">
        <w:rPr>
          <w:rFonts w:ascii="Cambria" w:hAnsi="Cambria"/>
          <w:sz w:val="20"/>
          <w:szCs w:val="20"/>
          <w:lang w:val="pt-BR"/>
        </w:rPr>
        <w:t>por instaurar</w:t>
      </w:r>
      <w:r w:rsidR="00275A65" w:rsidRPr="005D6E61">
        <w:rPr>
          <w:rFonts w:ascii="Cambria" w:hAnsi="Cambria"/>
          <w:sz w:val="20"/>
          <w:szCs w:val="20"/>
          <w:lang w:val="pt-BR"/>
        </w:rPr>
        <w:t xml:space="preserve"> um </w:t>
      </w:r>
      <w:r w:rsidR="003E10E6" w:rsidRPr="005D6E61">
        <w:rPr>
          <w:rFonts w:ascii="Cambria" w:hAnsi="Cambria"/>
          <w:sz w:val="20"/>
          <w:szCs w:val="20"/>
          <w:lang w:val="pt-BR"/>
        </w:rPr>
        <w:t>n</w:t>
      </w:r>
      <w:r w:rsidR="003C3535" w:rsidRPr="005D6E61">
        <w:rPr>
          <w:rFonts w:ascii="Cambria" w:hAnsi="Cambria"/>
          <w:sz w:val="20"/>
          <w:szCs w:val="20"/>
          <w:lang w:val="pt-BR"/>
        </w:rPr>
        <w:t>o</w:t>
      </w:r>
      <w:r w:rsidR="003E10E6" w:rsidRPr="005D6E61">
        <w:rPr>
          <w:rFonts w:ascii="Cambria" w:hAnsi="Cambria"/>
          <w:sz w:val="20"/>
          <w:szCs w:val="20"/>
          <w:lang w:val="pt-BR"/>
        </w:rPr>
        <w:t xml:space="preserve">vo </w:t>
      </w:r>
      <w:r w:rsidR="00730CDD" w:rsidRPr="005D6E61">
        <w:rPr>
          <w:rFonts w:ascii="Cambria" w:hAnsi="Cambria"/>
          <w:sz w:val="20"/>
          <w:szCs w:val="20"/>
          <w:lang w:val="pt-BR"/>
        </w:rPr>
        <w:t>processo</w:t>
      </w:r>
      <w:r w:rsidR="003E10E6" w:rsidRPr="005D6E61">
        <w:rPr>
          <w:rFonts w:ascii="Cambria" w:hAnsi="Cambria"/>
          <w:sz w:val="20"/>
          <w:szCs w:val="20"/>
          <w:lang w:val="pt-BR"/>
        </w:rPr>
        <w:t xml:space="preserve"> judicial</w:t>
      </w:r>
      <w:r w:rsidR="003C3535" w:rsidRPr="005D6E61">
        <w:rPr>
          <w:rFonts w:ascii="Cambria" w:hAnsi="Cambria"/>
          <w:sz w:val="20"/>
          <w:szCs w:val="20"/>
          <w:lang w:val="pt-BR"/>
        </w:rPr>
        <w:t>,</w:t>
      </w:r>
      <w:r w:rsidR="003E10E6" w:rsidRPr="005D6E61">
        <w:rPr>
          <w:rFonts w:ascii="Cambria" w:hAnsi="Cambria"/>
          <w:sz w:val="20"/>
          <w:szCs w:val="20"/>
          <w:lang w:val="pt-BR"/>
        </w:rPr>
        <w:t xml:space="preserve"> </w:t>
      </w:r>
      <w:r w:rsidR="003C3535" w:rsidRPr="005D6E61">
        <w:rPr>
          <w:rFonts w:ascii="Cambria" w:hAnsi="Cambria"/>
          <w:sz w:val="20"/>
          <w:szCs w:val="20"/>
          <w:lang w:val="pt-BR"/>
        </w:rPr>
        <w:t>leva</w:t>
      </w:r>
      <w:r w:rsidR="003E10E6" w:rsidRPr="005D6E61">
        <w:rPr>
          <w:rFonts w:ascii="Cambria" w:hAnsi="Cambria"/>
          <w:sz w:val="20"/>
          <w:szCs w:val="20"/>
          <w:lang w:val="pt-BR"/>
        </w:rPr>
        <w:t>ndo</w:t>
      </w:r>
      <w:r w:rsidR="00F77B7F" w:rsidRPr="005D6E61">
        <w:rPr>
          <w:rFonts w:ascii="Cambria" w:hAnsi="Cambria"/>
          <w:sz w:val="20"/>
          <w:szCs w:val="20"/>
          <w:lang w:val="pt-BR"/>
        </w:rPr>
        <w:t xml:space="preserve"> em </w:t>
      </w:r>
      <w:r w:rsidR="003E10E6" w:rsidRPr="005D6E61">
        <w:rPr>
          <w:rFonts w:ascii="Cambria" w:hAnsi="Cambria"/>
          <w:sz w:val="20"/>
          <w:szCs w:val="20"/>
          <w:lang w:val="pt-BR"/>
        </w:rPr>
        <w:t>c</w:t>
      </w:r>
      <w:r w:rsidR="003C3535" w:rsidRPr="005D6E61">
        <w:rPr>
          <w:rFonts w:ascii="Cambria" w:hAnsi="Cambria"/>
          <w:sz w:val="20"/>
          <w:szCs w:val="20"/>
          <w:lang w:val="pt-BR"/>
        </w:rPr>
        <w:t>o</w:t>
      </w:r>
      <w:r w:rsidR="003E10E6" w:rsidRPr="005D6E61">
        <w:rPr>
          <w:rFonts w:ascii="Cambria" w:hAnsi="Cambria"/>
          <w:sz w:val="20"/>
          <w:szCs w:val="20"/>
          <w:lang w:val="pt-BR"/>
        </w:rPr>
        <w:t>nta que</w:t>
      </w:r>
      <w:r w:rsidR="00331E62" w:rsidRPr="005D6E61">
        <w:rPr>
          <w:rFonts w:ascii="Cambria" w:hAnsi="Cambria"/>
          <w:sz w:val="20"/>
          <w:szCs w:val="20"/>
          <w:lang w:val="pt-BR"/>
        </w:rPr>
        <w:t xml:space="preserve"> a </w:t>
      </w:r>
      <w:r w:rsidR="00586C28" w:rsidRPr="005D6E61">
        <w:rPr>
          <w:rFonts w:ascii="Cambria" w:hAnsi="Cambria"/>
          <w:sz w:val="20"/>
          <w:szCs w:val="20"/>
          <w:lang w:val="pt-BR"/>
        </w:rPr>
        <w:t>sentença</w:t>
      </w:r>
      <w:r w:rsidR="00331E62" w:rsidRPr="005D6E61">
        <w:rPr>
          <w:rFonts w:ascii="Cambria" w:hAnsi="Cambria"/>
          <w:sz w:val="20"/>
          <w:szCs w:val="20"/>
          <w:lang w:val="pt-BR"/>
        </w:rPr>
        <w:t xml:space="preserve"> dos </w:t>
      </w:r>
      <w:r w:rsidR="003E10E6" w:rsidRPr="005D6E61">
        <w:rPr>
          <w:rFonts w:ascii="Cambria" w:hAnsi="Cambria"/>
          <w:sz w:val="20"/>
          <w:szCs w:val="20"/>
          <w:lang w:val="pt-BR"/>
        </w:rPr>
        <w:t>do</w:t>
      </w:r>
      <w:r w:rsidR="003C3535" w:rsidRPr="005D6E61">
        <w:rPr>
          <w:rFonts w:ascii="Cambria" w:hAnsi="Cambria"/>
          <w:sz w:val="20"/>
          <w:szCs w:val="20"/>
          <w:lang w:val="pt-BR"/>
        </w:rPr>
        <w:t>i</w:t>
      </w:r>
      <w:r w:rsidR="003E10E6" w:rsidRPr="005D6E61">
        <w:rPr>
          <w:rFonts w:ascii="Cambria" w:hAnsi="Cambria"/>
          <w:sz w:val="20"/>
          <w:szCs w:val="20"/>
          <w:lang w:val="pt-BR"/>
        </w:rPr>
        <w:t>s acusados</w:t>
      </w:r>
      <w:r w:rsidR="00675058" w:rsidRPr="005D6E61">
        <w:rPr>
          <w:rFonts w:ascii="Cambria" w:hAnsi="Cambria"/>
          <w:sz w:val="20"/>
          <w:szCs w:val="20"/>
          <w:lang w:val="pt-BR"/>
        </w:rPr>
        <w:t xml:space="preserve"> da </w:t>
      </w:r>
      <w:r w:rsidR="003E10E6" w:rsidRPr="005D6E61">
        <w:rPr>
          <w:rFonts w:ascii="Cambria" w:hAnsi="Cambria"/>
          <w:sz w:val="20"/>
          <w:szCs w:val="20"/>
          <w:lang w:val="pt-BR"/>
        </w:rPr>
        <w:t>prime</w:t>
      </w:r>
      <w:r w:rsidR="003C3535" w:rsidRPr="005D6E61">
        <w:rPr>
          <w:rFonts w:ascii="Cambria" w:hAnsi="Cambria"/>
          <w:sz w:val="20"/>
          <w:szCs w:val="20"/>
          <w:lang w:val="pt-BR"/>
        </w:rPr>
        <w:t>i</w:t>
      </w:r>
      <w:r w:rsidR="003E10E6" w:rsidRPr="005D6E61">
        <w:rPr>
          <w:rFonts w:ascii="Cambria" w:hAnsi="Cambria"/>
          <w:sz w:val="20"/>
          <w:szCs w:val="20"/>
          <w:lang w:val="pt-BR"/>
        </w:rPr>
        <w:t>ra a</w:t>
      </w:r>
      <w:r w:rsidR="00704E7B" w:rsidRPr="005D6E61">
        <w:rPr>
          <w:rFonts w:ascii="Cambria" w:hAnsi="Cambria"/>
          <w:sz w:val="20"/>
          <w:szCs w:val="20"/>
          <w:lang w:val="pt-BR"/>
        </w:rPr>
        <w:t>ç</w:t>
      </w:r>
      <w:r w:rsidR="00A274D9" w:rsidRPr="005D6E61">
        <w:rPr>
          <w:rFonts w:ascii="Cambria" w:hAnsi="Cambria"/>
          <w:sz w:val="20"/>
          <w:szCs w:val="20"/>
          <w:lang w:val="pt-BR"/>
        </w:rPr>
        <w:t>ão</w:t>
      </w:r>
      <w:r w:rsidR="003E10E6" w:rsidRPr="005D6E61">
        <w:rPr>
          <w:rFonts w:ascii="Cambria" w:hAnsi="Cambria"/>
          <w:sz w:val="20"/>
          <w:szCs w:val="20"/>
          <w:lang w:val="pt-BR"/>
        </w:rPr>
        <w:t xml:space="preserve"> ha</w:t>
      </w:r>
      <w:r w:rsidR="003C3535" w:rsidRPr="005D6E61">
        <w:rPr>
          <w:rFonts w:ascii="Cambria" w:hAnsi="Cambria"/>
          <w:sz w:val="20"/>
          <w:szCs w:val="20"/>
          <w:lang w:val="pt-BR"/>
        </w:rPr>
        <w:t>v</w:t>
      </w:r>
      <w:r w:rsidR="005A2381" w:rsidRPr="005D6E61">
        <w:rPr>
          <w:rFonts w:ascii="Cambria" w:hAnsi="Cambria"/>
          <w:sz w:val="20"/>
          <w:szCs w:val="20"/>
          <w:lang w:val="pt-BR"/>
        </w:rPr>
        <w:t>ia</w:t>
      </w:r>
      <w:r w:rsidR="003E10E6" w:rsidRPr="005D6E61">
        <w:rPr>
          <w:rFonts w:ascii="Cambria" w:hAnsi="Cambria"/>
          <w:sz w:val="20"/>
          <w:szCs w:val="20"/>
          <w:lang w:val="pt-BR"/>
        </w:rPr>
        <w:t xml:space="preserve"> </w:t>
      </w:r>
      <w:r w:rsidR="003C3535" w:rsidRPr="005D6E61">
        <w:rPr>
          <w:rFonts w:ascii="Cambria" w:hAnsi="Cambria"/>
          <w:sz w:val="20"/>
          <w:szCs w:val="20"/>
          <w:lang w:val="pt-BR"/>
        </w:rPr>
        <w:t xml:space="preserve">sido </w:t>
      </w:r>
      <w:r w:rsidR="006C535C" w:rsidRPr="005D6E61">
        <w:rPr>
          <w:rFonts w:ascii="Cambria" w:hAnsi="Cambria"/>
          <w:sz w:val="20"/>
          <w:szCs w:val="20"/>
          <w:lang w:val="pt-BR"/>
        </w:rPr>
        <w:t>proferida</w:t>
      </w:r>
      <w:r w:rsidR="003C3535" w:rsidRPr="005D6E61">
        <w:rPr>
          <w:rFonts w:ascii="Cambria" w:hAnsi="Cambria"/>
          <w:sz w:val="20"/>
          <w:szCs w:val="20"/>
          <w:lang w:val="pt-BR"/>
        </w:rPr>
        <w:t xml:space="preserve"> há</w:t>
      </w:r>
      <w:r w:rsidR="003E10E6" w:rsidRPr="005D6E61">
        <w:rPr>
          <w:rFonts w:ascii="Cambria" w:hAnsi="Cambria"/>
          <w:sz w:val="20"/>
          <w:szCs w:val="20"/>
          <w:lang w:val="pt-BR"/>
        </w:rPr>
        <w:t xml:space="preserve"> m</w:t>
      </w:r>
      <w:r w:rsidR="003C3535" w:rsidRPr="005D6E61">
        <w:rPr>
          <w:rFonts w:ascii="Cambria" w:hAnsi="Cambria"/>
          <w:sz w:val="20"/>
          <w:szCs w:val="20"/>
          <w:lang w:val="pt-BR"/>
        </w:rPr>
        <w:t>ai</w:t>
      </w:r>
      <w:r w:rsidR="003E10E6" w:rsidRPr="005D6E61">
        <w:rPr>
          <w:rFonts w:ascii="Cambria" w:hAnsi="Cambria"/>
          <w:sz w:val="20"/>
          <w:szCs w:val="20"/>
          <w:lang w:val="pt-BR"/>
        </w:rPr>
        <w:t>s de dez a</w:t>
      </w:r>
      <w:r w:rsidR="003C3535" w:rsidRPr="005D6E61">
        <w:rPr>
          <w:rFonts w:ascii="Cambria" w:hAnsi="Cambria"/>
          <w:sz w:val="20"/>
          <w:szCs w:val="20"/>
          <w:lang w:val="pt-BR"/>
        </w:rPr>
        <w:t>n</w:t>
      </w:r>
      <w:r w:rsidR="003E10E6" w:rsidRPr="005D6E61">
        <w:rPr>
          <w:rFonts w:ascii="Cambria" w:hAnsi="Cambria"/>
          <w:sz w:val="20"/>
          <w:szCs w:val="20"/>
          <w:lang w:val="pt-BR"/>
        </w:rPr>
        <w:t>os</w:t>
      </w:r>
      <w:r w:rsidR="003E10E6" w:rsidRPr="005D6E61">
        <w:rPr>
          <w:rStyle w:val="FootnoteReference"/>
          <w:rFonts w:ascii="Cambria" w:hAnsi="Cambria"/>
          <w:sz w:val="20"/>
          <w:szCs w:val="20"/>
          <w:lang w:val="pt-BR"/>
        </w:rPr>
        <w:footnoteReference w:id="75"/>
      </w:r>
      <w:r w:rsidR="003E10E6" w:rsidRPr="005D6E61">
        <w:rPr>
          <w:rFonts w:ascii="Cambria" w:hAnsi="Cambria"/>
          <w:sz w:val="20"/>
          <w:szCs w:val="20"/>
          <w:lang w:val="pt-BR"/>
        </w:rPr>
        <w:t xml:space="preserve">. </w:t>
      </w:r>
    </w:p>
    <w:p w14:paraId="57DEB1D6" w14:textId="77777777" w:rsidR="003E10E6" w:rsidRPr="005D6E61" w:rsidRDefault="003E10E6" w:rsidP="003E10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lang w:val="pt-BR"/>
        </w:rPr>
      </w:pPr>
    </w:p>
    <w:p w14:paraId="1559550F" w14:textId="77777777" w:rsidR="003E10E6" w:rsidRPr="005D6E61" w:rsidRDefault="00EC647E"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Em</w:t>
      </w:r>
      <w:r w:rsidR="003E10E6" w:rsidRPr="005D6E61">
        <w:rPr>
          <w:rFonts w:ascii="Cambria" w:hAnsi="Cambria"/>
          <w:sz w:val="20"/>
          <w:szCs w:val="20"/>
          <w:lang w:val="pt-BR"/>
        </w:rPr>
        <w:t xml:space="preserve"> 8 de agosto de 1995</w:t>
      </w:r>
      <w:r w:rsidR="00331E62" w:rsidRPr="005D6E61">
        <w:rPr>
          <w:rFonts w:ascii="Cambria" w:hAnsi="Cambria"/>
          <w:sz w:val="20"/>
          <w:szCs w:val="20"/>
          <w:lang w:val="pt-BR"/>
        </w:rPr>
        <w:t xml:space="preserve"> o </w:t>
      </w:r>
      <w:r w:rsidR="0045573A" w:rsidRPr="005D6E61">
        <w:rPr>
          <w:rFonts w:ascii="Cambria" w:hAnsi="Cambria"/>
          <w:sz w:val="20"/>
          <w:szCs w:val="20"/>
          <w:lang w:val="pt-BR"/>
        </w:rPr>
        <w:t>Juiz</w:t>
      </w:r>
      <w:r w:rsidR="00675058" w:rsidRPr="005D6E61">
        <w:rPr>
          <w:rFonts w:ascii="Cambria" w:hAnsi="Cambria"/>
          <w:sz w:val="20"/>
          <w:szCs w:val="20"/>
          <w:lang w:val="pt-BR"/>
        </w:rPr>
        <w:t xml:space="preserve"> da </w:t>
      </w:r>
      <w:r w:rsidR="003E10E6" w:rsidRPr="005D6E61">
        <w:rPr>
          <w:rFonts w:ascii="Cambria" w:hAnsi="Cambria"/>
          <w:sz w:val="20"/>
          <w:szCs w:val="20"/>
          <w:lang w:val="pt-BR"/>
        </w:rPr>
        <w:t xml:space="preserve">Comarca de Alagoa Grande </w:t>
      </w:r>
      <w:r w:rsidR="006C535C" w:rsidRPr="005D6E61">
        <w:rPr>
          <w:rFonts w:ascii="Cambria" w:hAnsi="Cambria"/>
          <w:sz w:val="20"/>
          <w:szCs w:val="20"/>
          <w:lang w:val="pt-BR"/>
        </w:rPr>
        <w:t>resolveu</w:t>
      </w:r>
      <w:r w:rsidR="00B66316" w:rsidRPr="005D6E61">
        <w:rPr>
          <w:rFonts w:ascii="Cambria" w:hAnsi="Cambria"/>
          <w:sz w:val="20"/>
          <w:szCs w:val="20"/>
          <w:lang w:val="pt-BR"/>
        </w:rPr>
        <w:t>,</w:t>
      </w:r>
      <w:r w:rsidR="00BF0B90" w:rsidRPr="005D6E61">
        <w:rPr>
          <w:rFonts w:ascii="Cambria" w:hAnsi="Cambria"/>
          <w:sz w:val="20"/>
          <w:szCs w:val="20"/>
          <w:lang w:val="pt-BR"/>
        </w:rPr>
        <w:t xml:space="preserve"> </w:t>
      </w:r>
      <w:r w:rsidR="00E24072" w:rsidRPr="005D6E61">
        <w:rPr>
          <w:rFonts w:ascii="Cambria" w:hAnsi="Cambria"/>
          <w:sz w:val="20"/>
          <w:szCs w:val="20"/>
          <w:lang w:val="pt-BR"/>
        </w:rPr>
        <w:t>a</w:t>
      </w:r>
      <w:r w:rsidR="003E10E6" w:rsidRPr="005D6E61">
        <w:rPr>
          <w:rFonts w:ascii="Cambria" w:hAnsi="Cambria"/>
          <w:sz w:val="20"/>
          <w:szCs w:val="20"/>
          <w:lang w:val="pt-BR"/>
        </w:rPr>
        <w:t>través de</w:t>
      </w:r>
      <w:r w:rsidR="00275A65" w:rsidRPr="005D6E61">
        <w:rPr>
          <w:rFonts w:ascii="Cambria" w:hAnsi="Cambria"/>
          <w:sz w:val="20"/>
          <w:szCs w:val="20"/>
          <w:lang w:val="pt-BR"/>
        </w:rPr>
        <w:t xml:space="preserve"> um </w:t>
      </w:r>
      <w:r w:rsidR="00287321" w:rsidRPr="005D6E61">
        <w:rPr>
          <w:rFonts w:ascii="Cambria" w:hAnsi="Cambria"/>
          <w:sz w:val="20"/>
          <w:szCs w:val="20"/>
          <w:lang w:val="pt-BR"/>
        </w:rPr>
        <w:t>ofício</w:t>
      </w:r>
      <w:r w:rsidR="00831912" w:rsidRPr="005D6E61">
        <w:rPr>
          <w:rFonts w:ascii="Cambria" w:hAnsi="Cambria"/>
          <w:sz w:val="20"/>
          <w:szCs w:val="20"/>
          <w:lang w:val="pt-BR"/>
        </w:rPr>
        <w:t>:</w:t>
      </w:r>
      <w:r w:rsidR="003E10E6" w:rsidRPr="005D6E61">
        <w:rPr>
          <w:rFonts w:ascii="Cambria" w:hAnsi="Cambria"/>
          <w:sz w:val="20"/>
          <w:szCs w:val="20"/>
          <w:lang w:val="pt-BR"/>
        </w:rPr>
        <w:t xml:space="preserve"> “</w:t>
      </w:r>
      <w:r w:rsidR="00E24072" w:rsidRPr="005D6E61">
        <w:rPr>
          <w:rFonts w:ascii="Cambria" w:hAnsi="Cambria"/>
          <w:sz w:val="20"/>
          <w:szCs w:val="20"/>
          <w:lang w:val="pt-BR"/>
        </w:rPr>
        <w:t>é</w:t>
      </w:r>
      <w:r w:rsidR="003E10E6" w:rsidRPr="005D6E61">
        <w:rPr>
          <w:rFonts w:ascii="Cambria" w:hAnsi="Cambria"/>
          <w:sz w:val="20"/>
          <w:szCs w:val="20"/>
          <w:lang w:val="pt-BR"/>
        </w:rPr>
        <w:t xml:space="preserve"> completamente inadmis</w:t>
      </w:r>
      <w:r w:rsidR="00E24072" w:rsidRPr="005D6E61">
        <w:rPr>
          <w:rFonts w:ascii="Cambria" w:hAnsi="Cambria"/>
          <w:sz w:val="20"/>
          <w:szCs w:val="20"/>
          <w:lang w:val="pt-BR"/>
        </w:rPr>
        <w:t>sível</w:t>
      </w:r>
      <w:r w:rsidR="003E10E6" w:rsidRPr="005D6E61">
        <w:rPr>
          <w:rFonts w:ascii="Cambria" w:hAnsi="Cambria"/>
          <w:sz w:val="20"/>
          <w:szCs w:val="20"/>
          <w:lang w:val="pt-BR"/>
        </w:rPr>
        <w:t xml:space="preserve"> que</w:t>
      </w:r>
      <w:r w:rsidR="00F77B7F" w:rsidRPr="005D6E61">
        <w:rPr>
          <w:rFonts w:ascii="Cambria" w:hAnsi="Cambria"/>
          <w:sz w:val="20"/>
          <w:szCs w:val="20"/>
          <w:lang w:val="pt-BR"/>
        </w:rPr>
        <w:t xml:space="preserve"> as </w:t>
      </w:r>
      <w:r w:rsidR="00E4214C" w:rsidRPr="005D6E61">
        <w:rPr>
          <w:rFonts w:ascii="Cambria" w:hAnsi="Cambria"/>
          <w:sz w:val="20"/>
          <w:szCs w:val="20"/>
          <w:lang w:val="pt-BR"/>
        </w:rPr>
        <w:t>ordens</w:t>
      </w:r>
      <w:r w:rsidR="003E10E6" w:rsidRPr="005D6E61">
        <w:rPr>
          <w:rFonts w:ascii="Cambria" w:hAnsi="Cambria"/>
          <w:sz w:val="20"/>
          <w:szCs w:val="20"/>
          <w:lang w:val="pt-BR"/>
        </w:rPr>
        <w:t xml:space="preserve"> de deten</w:t>
      </w:r>
      <w:r w:rsidR="00A274D9" w:rsidRPr="005D6E61">
        <w:rPr>
          <w:rFonts w:ascii="Cambria" w:hAnsi="Cambria"/>
          <w:sz w:val="20"/>
          <w:szCs w:val="20"/>
          <w:lang w:val="pt-BR"/>
        </w:rPr>
        <w:t>ção</w:t>
      </w:r>
      <w:r w:rsidR="003E10E6" w:rsidRPr="005D6E61">
        <w:rPr>
          <w:rFonts w:ascii="Cambria" w:hAnsi="Cambria"/>
          <w:sz w:val="20"/>
          <w:szCs w:val="20"/>
          <w:lang w:val="pt-BR"/>
        </w:rPr>
        <w:t xml:space="preserve"> decreta</w:t>
      </w:r>
      <w:r w:rsidR="00811395" w:rsidRPr="005D6E61">
        <w:rPr>
          <w:rFonts w:ascii="Cambria" w:hAnsi="Cambria"/>
          <w:sz w:val="20"/>
          <w:szCs w:val="20"/>
          <w:lang w:val="pt-BR"/>
        </w:rPr>
        <w:t>da</w:t>
      </w:r>
      <w:r w:rsidR="003E10E6" w:rsidRPr="005D6E61">
        <w:rPr>
          <w:rFonts w:ascii="Cambria" w:hAnsi="Cambria"/>
          <w:sz w:val="20"/>
          <w:szCs w:val="20"/>
          <w:lang w:val="pt-BR"/>
        </w:rPr>
        <w:t>s</w:t>
      </w:r>
      <w:r w:rsidR="00F77B7F" w:rsidRPr="005D6E61">
        <w:rPr>
          <w:rFonts w:ascii="Cambria" w:hAnsi="Cambria"/>
          <w:sz w:val="20"/>
          <w:szCs w:val="20"/>
          <w:lang w:val="pt-BR"/>
        </w:rPr>
        <w:t xml:space="preserve"> em </w:t>
      </w:r>
      <w:r w:rsidR="003619A0" w:rsidRPr="005D6E61">
        <w:rPr>
          <w:rFonts w:ascii="Cambria" w:hAnsi="Cambria"/>
          <w:sz w:val="20"/>
          <w:szCs w:val="20"/>
          <w:lang w:val="pt-BR"/>
        </w:rPr>
        <w:t>dezembro</w:t>
      </w:r>
      <w:r w:rsidR="003E10E6" w:rsidRPr="005D6E61">
        <w:rPr>
          <w:rFonts w:ascii="Cambria" w:hAnsi="Cambria"/>
          <w:sz w:val="20"/>
          <w:szCs w:val="20"/>
          <w:lang w:val="pt-BR"/>
        </w:rPr>
        <w:t xml:space="preserve"> de 1985, contra</w:t>
      </w:r>
      <w:r w:rsidR="00F77B7F" w:rsidRPr="005D6E61">
        <w:rPr>
          <w:rFonts w:ascii="Cambria" w:hAnsi="Cambria"/>
          <w:sz w:val="20"/>
          <w:szCs w:val="20"/>
          <w:lang w:val="pt-BR"/>
        </w:rPr>
        <w:t xml:space="preserve"> os </w:t>
      </w:r>
      <w:r w:rsidR="003E10E6" w:rsidRPr="005D6E61">
        <w:rPr>
          <w:rFonts w:ascii="Cambria" w:hAnsi="Cambria"/>
          <w:sz w:val="20"/>
          <w:szCs w:val="20"/>
          <w:lang w:val="pt-BR"/>
        </w:rPr>
        <w:t>acusados Amaro</w:t>
      </w:r>
      <w:r w:rsidR="006C5454" w:rsidRPr="005D6E61">
        <w:rPr>
          <w:rFonts w:ascii="Cambria" w:hAnsi="Cambria"/>
          <w:sz w:val="20"/>
          <w:szCs w:val="20"/>
          <w:lang w:val="pt-BR"/>
        </w:rPr>
        <w:t xml:space="preserve"> e </w:t>
      </w:r>
      <w:r w:rsidR="003E10E6" w:rsidRPr="005D6E61">
        <w:rPr>
          <w:rFonts w:ascii="Cambria" w:hAnsi="Cambria"/>
          <w:sz w:val="20"/>
          <w:szCs w:val="20"/>
          <w:lang w:val="pt-BR"/>
        </w:rPr>
        <w:t>Amauri José do Rego, est</w:t>
      </w:r>
      <w:r w:rsidR="00E24072" w:rsidRPr="005D6E61">
        <w:rPr>
          <w:rFonts w:ascii="Cambria" w:hAnsi="Cambria"/>
          <w:sz w:val="20"/>
          <w:szCs w:val="20"/>
          <w:lang w:val="pt-BR"/>
        </w:rPr>
        <w:t>ejam sem</w:t>
      </w:r>
      <w:r w:rsidR="003E10E6" w:rsidRPr="005D6E61">
        <w:rPr>
          <w:rFonts w:ascii="Cambria" w:hAnsi="Cambria"/>
          <w:sz w:val="20"/>
          <w:szCs w:val="20"/>
          <w:lang w:val="pt-BR"/>
        </w:rPr>
        <w:t xml:space="preserve"> renova</w:t>
      </w:r>
      <w:r w:rsidR="00A274D9" w:rsidRPr="005D6E61">
        <w:rPr>
          <w:rFonts w:ascii="Cambria" w:hAnsi="Cambria"/>
          <w:sz w:val="20"/>
          <w:szCs w:val="20"/>
          <w:lang w:val="pt-BR"/>
        </w:rPr>
        <w:t>ção</w:t>
      </w:r>
      <w:r w:rsidR="003E10E6" w:rsidRPr="005D6E61">
        <w:rPr>
          <w:rFonts w:ascii="Cambria" w:hAnsi="Cambria"/>
          <w:sz w:val="20"/>
          <w:szCs w:val="20"/>
          <w:lang w:val="pt-BR"/>
        </w:rPr>
        <w:t xml:space="preserve"> desde ent</w:t>
      </w:r>
      <w:r w:rsidR="00E24072" w:rsidRPr="005D6E61">
        <w:rPr>
          <w:rFonts w:ascii="Cambria" w:hAnsi="Cambria"/>
          <w:sz w:val="20"/>
          <w:szCs w:val="20"/>
          <w:lang w:val="pt-BR"/>
        </w:rPr>
        <w:t>ã</w:t>
      </w:r>
      <w:r w:rsidR="003E10E6" w:rsidRPr="005D6E61">
        <w:rPr>
          <w:rFonts w:ascii="Cambria" w:hAnsi="Cambria"/>
          <w:sz w:val="20"/>
          <w:szCs w:val="20"/>
          <w:lang w:val="pt-BR"/>
        </w:rPr>
        <w:t xml:space="preserve">o, o </w:t>
      </w:r>
      <w:r w:rsidR="005A2381" w:rsidRPr="005D6E61">
        <w:rPr>
          <w:rFonts w:ascii="Cambria" w:hAnsi="Cambria"/>
          <w:sz w:val="20"/>
          <w:szCs w:val="20"/>
          <w:lang w:val="pt-BR"/>
        </w:rPr>
        <w:t>qu</w:t>
      </w:r>
      <w:r w:rsidR="00E24072" w:rsidRPr="005D6E61">
        <w:rPr>
          <w:rFonts w:ascii="Cambria" w:hAnsi="Cambria"/>
          <w:sz w:val="20"/>
          <w:szCs w:val="20"/>
          <w:lang w:val="pt-BR"/>
        </w:rPr>
        <w:t>e</w:t>
      </w:r>
      <w:r w:rsidR="003E10E6" w:rsidRPr="005D6E61">
        <w:rPr>
          <w:rFonts w:ascii="Cambria" w:hAnsi="Cambria"/>
          <w:sz w:val="20"/>
          <w:szCs w:val="20"/>
          <w:lang w:val="pt-BR"/>
        </w:rPr>
        <w:t xml:space="preserve"> </w:t>
      </w:r>
      <w:r w:rsidR="00E4214C" w:rsidRPr="005D6E61">
        <w:rPr>
          <w:rFonts w:ascii="Cambria" w:hAnsi="Cambria"/>
          <w:sz w:val="20"/>
          <w:szCs w:val="20"/>
          <w:lang w:val="pt-BR"/>
        </w:rPr>
        <w:t>deve</w:t>
      </w:r>
      <w:r w:rsidR="003E10E6" w:rsidRPr="005D6E61">
        <w:rPr>
          <w:rFonts w:ascii="Cambria" w:hAnsi="Cambria"/>
          <w:sz w:val="20"/>
          <w:szCs w:val="20"/>
          <w:lang w:val="pt-BR"/>
        </w:rPr>
        <w:t xml:space="preserve"> </w:t>
      </w:r>
      <w:r w:rsidR="00E4214C" w:rsidRPr="005D6E61">
        <w:rPr>
          <w:rFonts w:ascii="Cambria" w:hAnsi="Cambria"/>
          <w:sz w:val="20"/>
          <w:szCs w:val="20"/>
          <w:lang w:val="pt-BR"/>
        </w:rPr>
        <w:t>ocorrer</w:t>
      </w:r>
      <w:r w:rsidR="003E10E6" w:rsidRPr="005D6E61">
        <w:rPr>
          <w:rFonts w:ascii="Cambria" w:hAnsi="Cambria"/>
          <w:sz w:val="20"/>
          <w:szCs w:val="20"/>
          <w:lang w:val="pt-BR"/>
        </w:rPr>
        <w:t xml:space="preserve"> anualmente. </w:t>
      </w:r>
      <w:r w:rsidR="00E24072" w:rsidRPr="005D6E61">
        <w:rPr>
          <w:rFonts w:ascii="Cambria" w:hAnsi="Cambria"/>
          <w:sz w:val="20"/>
          <w:szCs w:val="20"/>
          <w:lang w:val="pt-BR"/>
        </w:rPr>
        <w:t>Renovam-s</w:t>
      </w:r>
      <w:r w:rsidR="003E10E6" w:rsidRPr="005D6E61">
        <w:rPr>
          <w:rFonts w:ascii="Cambria" w:hAnsi="Cambria"/>
          <w:sz w:val="20"/>
          <w:szCs w:val="20"/>
          <w:lang w:val="pt-BR"/>
        </w:rPr>
        <w:t xml:space="preserve">e </w:t>
      </w:r>
      <w:r w:rsidR="00F77B7F" w:rsidRPr="005D6E61">
        <w:rPr>
          <w:rFonts w:ascii="Cambria" w:hAnsi="Cambria"/>
          <w:sz w:val="20"/>
          <w:szCs w:val="20"/>
          <w:lang w:val="pt-BR"/>
        </w:rPr>
        <w:t xml:space="preserve">os </w:t>
      </w:r>
      <w:r w:rsidR="003E10E6" w:rsidRPr="005D6E61">
        <w:rPr>
          <w:rFonts w:ascii="Cambria" w:hAnsi="Cambria"/>
          <w:sz w:val="20"/>
          <w:szCs w:val="20"/>
          <w:lang w:val="pt-BR"/>
        </w:rPr>
        <w:t>mandatos de deten</w:t>
      </w:r>
      <w:r w:rsidR="00A274D9" w:rsidRPr="005D6E61">
        <w:rPr>
          <w:rFonts w:ascii="Cambria" w:hAnsi="Cambria"/>
          <w:sz w:val="20"/>
          <w:szCs w:val="20"/>
          <w:lang w:val="pt-BR"/>
        </w:rPr>
        <w:t>ção</w:t>
      </w:r>
      <w:r w:rsidR="003E10E6" w:rsidRPr="005D6E61">
        <w:rPr>
          <w:rFonts w:ascii="Cambria" w:hAnsi="Cambria"/>
          <w:sz w:val="20"/>
          <w:szCs w:val="20"/>
          <w:lang w:val="pt-BR"/>
        </w:rPr>
        <w:t>, de</w:t>
      </w:r>
      <w:r w:rsidR="00E24072" w:rsidRPr="005D6E61">
        <w:rPr>
          <w:rFonts w:ascii="Cambria" w:hAnsi="Cambria"/>
          <w:sz w:val="20"/>
          <w:szCs w:val="20"/>
          <w:lang w:val="pt-BR"/>
        </w:rPr>
        <w:t>v</w:t>
      </w:r>
      <w:r w:rsidR="003E10E6" w:rsidRPr="005D6E61">
        <w:rPr>
          <w:rFonts w:ascii="Cambria" w:hAnsi="Cambria"/>
          <w:sz w:val="20"/>
          <w:szCs w:val="20"/>
          <w:lang w:val="pt-BR"/>
        </w:rPr>
        <w:t>endo renovar</w:t>
      </w:r>
      <w:r w:rsidR="00E24072" w:rsidRPr="005D6E61">
        <w:rPr>
          <w:rFonts w:ascii="Cambria" w:hAnsi="Cambria"/>
          <w:sz w:val="20"/>
          <w:szCs w:val="20"/>
          <w:lang w:val="pt-BR"/>
        </w:rPr>
        <w:t>-</w:t>
      </w:r>
      <w:r w:rsidR="003E10E6" w:rsidRPr="005D6E61">
        <w:rPr>
          <w:rFonts w:ascii="Cambria" w:hAnsi="Cambria"/>
          <w:sz w:val="20"/>
          <w:szCs w:val="20"/>
          <w:lang w:val="pt-BR"/>
        </w:rPr>
        <w:t>se de a</w:t>
      </w:r>
      <w:r w:rsidR="00E24072" w:rsidRPr="005D6E61">
        <w:rPr>
          <w:rFonts w:ascii="Cambria" w:hAnsi="Cambria"/>
          <w:sz w:val="20"/>
          <w:szCs w:val="20"/>
          <w:lang w:val="pt-BR"/>
        </w:rPr>
        <w:t>g</w:t>
      </w:r>
      <w:r w:rsidR="003E10E6" w:rsidRPr="005D6E61">
        <w:rPr>
          <w:rFonts w:ascii="Cambria" w:hAnsi="Cambria"/>
          <w:sz w:val="20"/>
          <w:szCs w:val="20"/>
          <w:lang w:val="pt-BR"/>
        </w:rPr>
        <w:t>ora</w:t>
      </w:r>
      <w:r w:rsidR="00F77B7F" w:rsidRPr="005D6E61">
        <w:rPr>
          <w:rFonts w:ascii="Cambria" w:hAnsi="Cambria"/>
          <w:sz w:val="20"/>
          <w:szCs w:val="20"/>
          <w:lang w:val="pt-BR"/>
        </w:rPr>
        <w:t xml:space="preserve"> em </w:t>
      </w:r>
      <w:r w:rsidR="003E10E6" w:rsidRPr="005D6E61">
        <w:rPr>
          <w:rFonts w:ascii="Cambria" w:hAnsi="Cambria"/>
          <w:sz w:val="20"/>
          <w:szCs w:val="20"/>
          <w:lang w:val="pt-BR"/>
        </w:rPr>
        <w:t>d</w:t>
      </w:r>
      <w:r w:rsidR="00E24072" w:rsidRPr="005D6E61">
        <w:rPr>
          <w:rFonts w:ascii="Cambria" w:hAnsi="Cambria"/>
          <w:sz w:val="20"/>
          <w:szCs w:val="20"/>
          <w:lang w:val="pt-BR"/>
        </w:rPr>
        <w:t>i</w:t>
      </w:r>
      <w:r w:rsidR="003E10E6" w:rsidRPr="005D6E61">
        <w:rPr>
          <w:rFonts w:ascii="Cambria" w:hAnsi="Cambria"/>
          <w:sz w:val="20"/>
          <w:szCs w:val="20"/>
          <w:lang w:val="pt-BR"/>
        </w:rPr>
        <w:t>ante</w:t>
      </w:r>
      <w:r w:rsidR="00B66316" w:rsidRPr="005D6E61">
        <w:rPr>
          <w:rFonts w:ascii="Cambria" w:hAnsi="Cambria"/>
          <w:sz w:val="20"/>
          <w:szCs w:val="20"/>
          <w:lang w:val="pt-BR"/>
        </w:rPr>
        <w:t xml:space="preserve"> a</w:t>
      </w:r>
      <w:r w:rsidR="003E10E6" w:rsidRPr="005D6E61">
        <w:rPr>
          <w:rFonts w:ascii="Cambria" w:hAnsi="Cambria"/>
          <w:sz w:val="20"/>
          <w:szCs w:val="20"/>
          <w:lang w:val="pt-BR"/>
        </w:rPr>
        <w:t xml:space="preserve"> cada </w:t>
      </w:r>
      <w:r w:rsidR="00E4214C" w:rsidRPr="005D6E61">
        <w:rPr>
          <w:rFonts w:ascii="Cambria" w:hAnsi="Cambria"/>
          <w:sz w:val="20"/>
          <w:szCs w:val="20"/>
          <w:lang w:val="pt-BR"/>
        </w:rPr>
        <w:t>ano</w:t>
      </w:r>
      <w:r w:rsidR="003E10E6" w:rsidRPr="005D6E61">
        <w:rPr>
          <w:rFonts w:ascii="Cambria" w:hAnsi="Cambria"/>
          <w:sz w:val="20"/>
          <w:szCs w:val="20"/>
          <w:lang w:val="pt-BR"/>
        </w:rPr>
        <w:t xml:space="preserve">, </w:t>
      </w:r>
      <w:r w:rsidR="00E24072" w:rsidRPr="005D6E61">
        <w:rPr>
          <w:rFonts w:ascii="Cambria" w:hAnsi="Cambria"/>
          <w:sz w:val="20"/>
          <w:szCs w:val="20"/>
          <w:lang w:val="pt-BR"/>
        </w:rPr>
        <w:t>remetendo-</w:t>
      </w:r>
      <w:r w:rsidR="003E10E6" w:rsidRPr="005D6E61">
        <w:rPr>
          <w:rFonts w:ascii="Cambria" w:hAnsi="Cambria"/>
          <w:sz w:val="20"/>
          <w:szCs w:val="20"/>
          <w:lang w:val="pt-BR"/>
        </w:rPr>
        <w:t xml:space="preserve">se </w:t>
      </w:r>
      <w:r w:rsidR="00E4214C" w:rsidRPr="005D6E61">
        <w:rPr>
          <w:rFonts w:ascii="Cambria" w:hAnsi="Cambria"/>
          <w:sz w:val="20"/>
          <w:szCs w:val="20"/>
          <w:lang w:val="pt-BR"/>
        </w:rPr>
        <w:t>cópia</w:t>
      </w:r>
      <w:r w:rsidR="005A2381" w:rsidRPr="005D6E61">
        <w:rPr>
          <w:rFonts w:ascii="Cambria" w:hAnsi="Cambria"/>
          <w:sz w:val="20"/>
          <w:szCs w:val="20"/>
          <w:lang w:val="pt-BR"/>
        </w:rPr>
        <w:t xml:space="preserve"> às </w:t>
      </w:r>
      <w:r w:rsidR="003E10E6" w:rsidRPr="005D6E61">
        <w:rPr>
          <w:rFonts w:ascii="Cambria" w:hAnsi="Cambria"/>
          <w:sz w:val="20"/>
          <w:szCs w:val="20"/>
          <w:lang w:val="pt-BR"/>
        </w:rPr>
        <w:t>autoridades competentes”. De</w:t>
      </w:r>
      <w:r w:rsidR="00E24072" w:rsidRPr="005D6E61">
        <w:rPr>
          <w:rFonts w:ascii="Cambria" w:hAnsi="Cambria"/>
          <w:sz w:val="20"/>
          <w:szCs w:val="20"/>
          <w:lang w:val="pt-BR"/>
        </w:rPr>
        <w:t>pois disso</w:t>
      </w:r>
      <w:r w:rsidR="003E10E6" w:rsidRPr="005D6E61">
        <w:rPr>
          <w:rFonts w:ascii="Cambria" w:hAnsi="Cambria"/>
          <w:sz w:val="20"/>
          <w:szCs w:val="20"/>
          <w:lang w:val="pt-BR"/>
        </w:rPr>
        <w:t>, orden</w:t>
      </w:r>
      <w:r w:rsidR="00BF0B90" w:rsidRPr="005D6E61">
        <w:rPr>
          <w:rFonts w:ascii="Cambria" w:hAnsi="Cambria"/>
          <w:sz w:val="20"/>
          <w:szCs w:val="20"/>
          <w:lang w:val="pt-BR"/>
        </w:rPr>
        <w:t>ou</w:t>
      </w:r>
      <w:r w:rsidR="00831912" w:rsidRPr="005D6E61">
        <w:rPr>
          <w:rFonts w:ascii="Cambria" w:hAnsi="Cambria"/>
          <w:sz w:val="20"/>
          <w:szCs w:val="20"/>
          <w:lang w:val="pt-BR"/>
        </w:rPr>
        <w:t>:</w:t>
      </w:r>
      <w:r w:rsidR="003E10E6" w:rsidRPr="005D6E61">
        <w:rPr>
          <w:rFonts w:ascii="Cambria" w:hAnsi="Cambria"/>
          <w:sz w:val="20"/>
          <w:szCs w:val="20"/>
          <w:lang w:val="pt-BR"/>
        </w:rPr>
        <w:t xml:space="preserve"> “abra vista</w:t>
      </w:r>
      <w:r w:rsidR="00CD523F" w:rsidRPr="005D6E61">
        <w:rPr>
          <w:rFonts w:ascii="Cambria" w:hAnsi="Cambria"/>
          <w:sz w:val="20"/>
          <w:szCs w:val="20"/>
          <w:lang w:val="pt-BR"/>
        </w:rPr>
        <w:t xml:space="preserve"> ao </w:t>
      </w:r>
      <w:r w:rsidR="003E10E6" w:rsidRPr="005D6E61">
        <w:rPr>
          <w:rFonts w:ascii="Cambria" w:hAnsi="Cambria"/>
          <w:sz w:val="20"/>
          <w:szCs w:val="20"/>
          <w:lang w:val="pt-BR"/>
        </w:rPr>
        <w:t>MP (…)</w:t>
      </w:r>
      <w:r w:rsidR="00F77B7F" w:rsidRPr="005D6E61">
        <w:rPr>
          <w:rFonts w:ascii="Cambria" w:hAnsi="Cambria"/>
          <w:sz w:val="20"/>
          <w:szCs w:val="20"/>
          <w:lang w:val="pt-BR"/>
        </w:rPr>
        <w:t xml:space="preserve"> com </w:t>
      </w:r>
      <w:r w:rsidR="003E10E6" w:rsidRPr="005D6E61">
        <w:rPr>
          <w:rFonts w:ascii="Cambria" w:hAnsi="Cambria"/>
          <w:sz w:val="20"/>
          <w:szCs w:val="20"/>
          <w:lang w:val="pt-BR"/>
        </w:rPr>
        <w:t xml:space="preserve">este </w:t>
      </w:r>
      <w:r w:rsidR="00730CDD" w:rsidRPr="005D6E61">
        <w:rPr>
          <w:rFonts w:ascii="Cambria" w:hAnsi="Cambria"/>
          <w:sz w:val="20"/>
          <w:szCs w:val="20"/>
          <w:lang w:val="pt-BR"/>
        </w:rPr>
        <w:t>processo</w:t>
      </w:r>
      <w:r w:rsidR="003E10E6" w:rsidRPr="005D6E61">
        <w:rPr>
          <w:rFonts w:ascii="Cambria" w:hAnsi="Cambria"/>
          <w:sz w:val="20"/>
          <w:szCs w:val="20"/>
          <w:lang w:val="pt-BR"/>
        </w:rPr>
        <w:t xml:space="preserve"> </w:t>
      </w:r>
      <w:r w:rsidR="00E4214C" w:rsidRPr="005D6E61">
        <w:rPr>
          <w:rFonts w:ascii="Cambria" w:hAnsi="Cambria"/>
          <w:sz w:val="20"/>
          <w:szCs w:val="20"/>
          <w:lang w:val="pt-BR"/>
        </w:rPr>
        <w:t>quase</w:t>
      </w:r>
      <w:r w:rsidR="003E10E6" w:rsidRPr="005D6E61">
        <w:rPr>
          <w:rFonts w:ascii="Cambria" w:hAnsi="Cambria"/>
          <w:sz w:val="20"/>
          <w:szCs w:val="20"/>
          <w:lang w:val="pt-BR"/>
        </w:rPr>
        <w:t xml:space="preserve"> </w:t>
      </w:r>
      <w:r w:rsidR="00E24072" w:rsidRPr="005D6E61">
        <w:rPr>
          <w:rFonts w:ascii="Cambria" w:hAnsi="Cambria"/>
          <w:sz w:val="20"/>
          <w:szCs w:val="20"/>
          <w:lang w:val="pt-BR"/>
        </w:rPr>
        <w:t>pron</w:t>
      </w:r>
      <w:r w:rsidR="003E10E6" w:rsidRPr="005D6E61">
        <w:rPr>
          <w:rFonts w:ascii="Cambria" w:hAnsi="Cambria"/>
          <w:sz w:val="20"/>
          <w:szCs w:val="20"/>
          <w:lang w:val="pt-BR"/>
        </w:rPr>
        <w:t>to para</w:t>
      </w:r>
      <w:r w:rsidR="00275A65" w:rsidRPr="005D6E61">
        <w:rPr>
          <w:rFonts w:ascii="Cambria" w:hAnsi="Cambria"/>
          <w:sz w:val="20"/>
          <w:szCs w:val="20"/>
          <w:lang w:val="pt-BR"/>
        </w:rPr>
        <w:t xml:space="preserve"> um </w:t>
      </w:r>
      <w:r w:rsidR="00E4214C" w:rsidRPr="005D6E61">
        <w:rPr>
          <w:rFonts w:ascii="Cambria" w:hAnsi="Cambria"/>
          <w:sz w:val="20"/>
          <w:szCs w:val="20"/>
          <w:lang w:val="pt-BR"/>
        </w:rPr>
        <w:t>novo</w:t>
      </w:r>
      <w:r w:rsidR="003E10E6" w:rsidRPr="005D6E61">
        <w:rPr>
          <w:rFonts w:ascii="Cambria" w:hAnsi="Cambria"/>
          <w:sz w:val="20"/>
          <w:szCs w:val="20"/>
          <w:lang w:val="pt-BR"/>
        </w:rPr>
        <w:t xml:space="preserve"> </w:t>
      </w:r>
      <w:r w:rsidR="0029786D" w:rsidRPr="005D6E61">
        <w:rPr>
          <w:rFonts w:ascii="Cambria" w:hAnsi="Cambria"/>
          <w:sz w:val="20"/>
          <w:szCs w:val="20"/>
          <w:lang w:val="pt-BR"/>
        </w:rPr>
        <w:t>julgamento</w:t>
      </w:r>
      <w:r w:rsidR="003E10E6" w:rsidRPr="005D6E61">
        <w:rPr>
          <w:rFonts w:ascii="Cambria" w:hAnsi="Cambria"/>
          <w:sz w:val="20"/>
          <w:szCs w:val="20"/>
          <w:lang w:val="pt-BR"/>
        </w:rPr>
        <w:t xml:space="preserve"> desde</w:t>
      </w:r>
      <w:r w:rsidR="00331E62" w:rsidRPr="005D6E61">
        <w:rPr>
          <w:rFonts w:ascii="Cambria" w:hAnsi="Cambria"/>
          <w:sz w:val="20"/>
          <w:szCs w:val="20"/>
          <w:lang w:val="pt-BR"/>
        </w:rPr>
        <w:t xml:space="preserve"> </w:t>
      </w:r>
      <w:r w:rsidR="003E10E6" w:rsidRPr="005D6E61">
        <w:rPr>
          <w:rFonts w:ascii="Cambria" w:hAnsi="Cambria"/>
          <w:sz w:val="20"/>
          <w:szCs w:val="20"/>
          <w:lang w:val="pt-BR"/>
        </w:rPr>
        <w:t>29.10.91, s</w:t>
      </w:r>
      <w:r w:rsidR="00E24072" w:rsidRPr="005D6E61">
        <w:rPr>
          <w:rFonts w:ascii="Cambria" w:hAnsi="Cambria"/>
          <w:sz w:val="20"/>
          <w:szCs w:val="20"/>
          <w:lang w:val="pt-BR"/>
        </w:rPr>
        <w:t>em</w:t>
      </w:r>
      <w:r w:rsidR="003E10E6" w:rsidRPr="005D6E61">
        <w:rPr>
          <w:rFonts w:ascii="Cambria" w:hAnsi="Cambria"/>
          <w:sz w:val="20"/>
          <w:szCs w:val="20"/>
          <w:lang w:val="pt-BR"/>
        </w:rPr>
        <w:t xml:space="preserve"> </w:t>
      </w:r>
      <w:r w:rsidR="00E4214C" w:rsidRPr="005D6E61">
        <w:rPr>
          <w:rFonts w:ascii="Cambria" w:hAnsi="Cambria"/>
          <w:sz w:val="20"/>
          <w:szCs w:val="20"/>
          <w:lang w:val="pt-BR"/>
        </w:rPr>
        <w:t>qualquer</w:t>
      </w:r>
      <w:r w:rsidR="003E10E6" w:rsidRPr="005D6E61">
        <w:rPr>
          <w:rFonts w:ascii="Cambria" w:hAnsi="Cambria"/>
          <w:sz w:val="20"/>
          <w:szCs w:val="20"/>
          <w:lang w:val="pt-BR"/>
        </w:rPr>
        <w:t xml:space="preserve"> decis</w:t>
      </w:r>
      <w:r w:rsidR="00E24072" w:rsidRPr="005D6E61">
        <w:rPr>
          <w:rFonts w:ascii="Cambria" w:hAnsi="Cambria"/>
          <w:sz w:val="20"/>
          <w:szCs w:val="20"/>
          <w:lang w:val="pt-BR"/>
        </w:rPr>
        <w:t>ão</w:t>
      </w:r>
      <w:r w:rsidR="003E10E6" w:rsidRPr="005D6E61">
        <w:rPr>
          <w:rFonts w:ascii="Cambria" w:hAnsi="Cambria"/>
          <w:sz w:val="20"/>
          <w:szCs w:val="20"/>
          <w:lang w:val="pt-BR"/>
        </w:rPr>
        <w:t>”</w:t>
      </w:r>
      <w:r w:rsidR="003E10E6" w:rsidRPr="005D6E61">
        <w:rPr>
          <w:rStyle w:val="FootnoteReference"/>
          <w:rFonts w:ascii="Cambria" w:hAnsi="Cambria"/>
          <w:sz w:val="20"/>
          <w:szCs w:val="20"/>
          <w:lang w:val="pt-BR"/>
        </w:rPr>
        <w:footnoteReference w:id="76"/>
      </w:r>
      <w:r w:rsidR="003E10E6" w:rsidRPr="005D6E61">
        <w:rPr>
          <w:rFonts w:ascii="Cambria" w:hAnsi="Cambria"/>
          <w:sz w:val="20"/>
          <w:szCs w:val="20"/>
          <w:lang w:val="pt-BR"/>
        </w:rPr>
        <w:t xml:space="preserve">. </w:t>
      </w:r>
    </w:p>
    <w:p w14:paraId="1F20CCA9" w14:textId="77777777" w:rsidR="003E10E6" w:rsidRPr="005D6E61" w:rsidRDefault="003E10E6" w:rsidP="003E10E6">
      <w:pPr>
        <w:pStyle w:val="ListParagraph"/>
        <w:rPr>
          <w:sz w:val="20"/>
          <w:szCs w:val="20"/>
          <w:lang w:val="pt-BR"/>
        </w:rPr>
      </w:pPr>
    </w:p>
    <w:p w14:paraId="48582950" w14:textId="77777777" w:rsidR="003E10E6" w:rsidRPr="005D6E61"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A</w:t>
      </w:r>
      <w:r w:rsidR="00E4214C" w:rsidRPr="005D6E61">
        <w:rPr>
          <w:rFonts w:ascii="Cambria" w:hAnsi="Cambria"/>
          <w:sz w:val="20"/>
          <w:szCs w:val="20"/>
          <w:lang w:val="pt-BR"/>
        </w:rPr>
        <w:t>diante</w:t>
      </w:r>
      <w:r w:rsidRPr="005D6E61">
        <w:rPr>
          <w:rFonts w:ascii="Cambria" w:hAnsi="Cambria"/>
          <w:sz w:val="20"/>
          <w:szCs w:val="20"/>
          <w:lang w:val="pt-BR"/>
        </w:rPr>
        <w:t xml:space="preserve"> </w:t>
      </w:r>
      <w:r w:rsidR="00E4214C" w:rsidRPr="005D6E61">
        <w:rPr>
          <w:rFonts w:ascii="Cambria" w:hAnsi="Cambria"/>
          <w:sz w:val="20"/>
          <w:szCs w:val="20"/>
          <w:lang w:val="pt-BR"/>
        </w:rPr>
        <w:t>descrevem-se</w:t>
      </w:r>
      <w:r w:rsidR="00F77B7F" w:rsidRPr="005D6E61">
        <w:rPr>
          <w:rFonts w:ascii="Cambria" w:hAnsi="Cambria"/>
          <w:sz w:val="20"/>
          <w:szCs w:val="20"/>
          <w:lang w:val="pt-BR"/>
        </w:rPr>
        <w:t xml:space="preserve"> as </w:t>
      </w:r>
      <w:r w:rsidRPr="005D6E61">
        <w:rPr>
          <w:rFonts w:ascii="Cambria" w:hAnsi="Cambria"/>
          <w:sz w:val="20"/>
          <w:szCs w:val="20"/>
          <w:lang w:val="pt-BR"/>
        </w:rPr>
        <w:t>investiga</w:t>
      </w:r>
      <w:r w:rsidR="00F77B7F" w:rsidRPr="005D6E61">
        <w:rPr>
          <w:rFonts w:ascii="Cambria" w:hAnsi="Cambria"/>
          <w:sz w:val="20"/>
          <w:szCs w:val="20"/>
          <w:lang w:val="pt-BR"/>
        </w:rPr>
        <w:t>ções</w:t>
      </w:r>
      <w:r w:rsidR="00E4214C" w:rsidRPr="005D6E61">
        <w:rPr>
          <w:rFonts w:ascii="Cambria" w:hAnsi="Cambria"/>
          <w:sz w:val="20"/>
          <w:szCs w:val="20"/>
          <w:lang w:val="pt-BR"/>
        </w:rPr>
        <w:t xml:space="preserve"> complementare</w:t>
      </w:r>
      <w:r w:rsidRPr="005D6E61">
        <w:rPr>
          <w:rFonts w:ascii="Cambria" w:hAnsi="Cambria"/>
          <w:sz w:val="20"/>
          <w:szCs w:val="20"/>
          <w:lang w:val="pt-BR"/>
        </w:rPr>
        <w:t xml:space="preserve">s </w:t>
      </w:r>
      <w:r w:rsidR="00E4214C" w:rsidRPr="005D6E61">
        <w:rPr>
          <w:rFonts w:ascii="Cambria" w:hAnsi="Cambria"/>
          <w:sz w:val="20"/>
          <w:szCs w:val="20"/>
          <w:lang w:val="pt-BR"/>
        </w:rPr>
        <w:t xml:space="preserve">e </w:t>
      </w:r>
      <w:r w:rsidR="00331E62" w:rsidRPr="005D6E61">
        <w:rPr>
          <w:rFonts w:ascii="Cambria" w:hAnsi="Cambria"/>
          <w:sz w:val="20"/>
          <w:szCs w:val="20"/>
          <w:lang w:val="pt-BR"/>
        </w:rPr>
        <w:t xml:space="preserve">o </w:t>
      </w:r>
      <w:r w:rsidRPr="005D6E61">
        <w:rPr>
          <w:rFonts w:ascii="Cambria" w:hAnsi="Cambria"/>
          <w:sz w:val="20"/>
          <w:szCs w:val="20"/>
          <w:lang w:val="pt-BR"/>
        </w:rPr>
        <w:t>n</w:t>
      </w:r>
      <w:r w:rsidR="00E4214C" w:rsidRPr="005D6E61">
        <w:rPr>
          <w:rFonts w:ascii="Cambria" w:hAnsi="Cambria"/>
          <w:sz w:val="20"/>
          <w:szCs w:val="20"/>
          <w:lang w:val="pt-BR"/>
        </w:rPr>
        <w:t>o</w:t>
      </w:r>
      <w:r w:rsidRPr="005D6E61">
        <w:rPr>
          <w:rFonts w:ascii="Cambria" w:hAnsi="Cambria"/>
          <w:sz w:val="20"/>
          <w:szCs w:val="20"/>
          <w:lang w:val="pt-BR"/>
        </w:rPr>
        <w:t xml:space="preserve">vo </w:t>
      </w:r>
      <w:r w:rsidR="00730CDD" w:rsidRPr="005D6E61">
        <w:rPr>
          <w:rFonts w:ascii="Cambria" w:hAnsi="Cambria"/>
          <w:sz w:val="20"/>
          <w:szCs w:val="20"/>
          <w:lang w:val="pt-BR"/>
        </w:rPr>
        <w:t>processo</w:t>
      </w:r>
      <w:r w:rsidRPr="005D6E61">
        <w:rPr>
          <w:rFonts w:ascii="Cambria" w:hAnsi="Cambria"/>
          <w:sz w:val="20"/>
          <w:szCs w:val="20"/>
          <w:lang w:val="pt-BR"/>
        </w:rPr>
        <w:t xml:space="preserve"> judicial. </w:t>
      </w:r>
    </w:p>
    <w:p w14:paraId="7935CB8F" w14:textId="77777777" w:rsidR="003E10E6" w:rsidRPr="005D6E61" w:rsidRDefault="003E10E6" w:rsidP="003E10E6">
      <w:pPr>
        <w:pStyle w:val="ListParagraph"/>
        <w:rPr>
          <w:sz w:val="20"/>
          <w:szCs w:val="20"/>
          <w:lang w:val="pt-BR"/>
        </w:rPr>
      </w:pPr>
    </w:p>
    <w:p w14:paraId="1FCF2390" w14:textId="77777777" w:rsidR="003E10E6" w:rsidRPr="005D6E61" w:rsidRDefault="003E10E6"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E</w:t>
      </w:r>
      <w:r w:rsidR="00E4214C" w:rsidRPr="005D6E61">
        <w:rPr>
          <w:rFonts w:ascii="Cambria" w:hAnsi="Cambria"/>
          <w:sz w:val="20"/>
          <w:szCs w:val="20"/>
          <w:lang w:val="pt-BR"/>
        </w:rPr>
        <w:t>m</w:t>
      </w:r>
      <w:r w:rsidRPr="005D6E61">
        <w:rPr>
          <w:rFonts w:ascii="Cambria" w:hAnsi="Cambria"/>
          <w:sz w:val="20"/>
          <w:szCs w:val="20"/>
          <w:lang w:val="pt-BR"/>
        </w:rPr>
        <w:t xml:space="preserve"> agosto de 1995 solicit</w:t>
      </w:r>
      <w:r w:rsidR="00BF0B90" w:rsidRPr="005D6E61">
        <w:rPr>
          <w:rFonts w:ascii="Cambria" w:hAnsi="Cambria"/>
          <w:sz w:val="20"/>
          <w:szCs w:val="20"/>
          <w:lang w:val="pt-BR"/>
        </w:rPr>
        <w:t>ou</w:t>
      </w:r>
      <w:r w:rsidR="00E4214C" w:rsidRPr="005D6E61">
        <w:rPr>
          <w:rFonts w:ascii="Cambria" w:hAnsi="Cambria"/>
          <w:sz w:val="20"/>
          <w:szCs w:val="20"/>
          <w:lang w:val="pt-BR"/>
        </w:rPr>
        <w:t>-se</w:t>
      </w:r>
      <w:r w:rsidR="00BF0B90" w:rsidRPr="005D6E61">
        <w:rPr>
          <w:rFonts w:ascii="Cambria" w:hAnsi="Cambria"/>
          <w:sz w:val="20"/>
          <w:szCs w:val="20"/>
          <w:lang w:val="pt-BR"/>
        </w:rPr>
        <w:t xml:space="preserve"> </w:t>
      </w:r>
      <w:r w:rsidR="00331E62" w:rsidRPr="005D6E61">
        <w:rPr>
          <w:rFonts w:ascii="Cambria" w:hAnsi="Cambria"/>
          <w:sz w:val="20"/>
          <w:szCs w:val="20"/>
          <w:lang w:val="pt-BR"/>
        </w:rPr>
        <w:t xml:space="preserve">a </w:t>
      </w:r>
      <w:r w:rsidRPr="005D6E61">
        <w:rPr>
          <w:rFonts w:ascii="Cambria" w:hAnsi="Cambria"/>
          <w:sz w:val="20"/>
          <w:szCs w:val="20"/>
          <w:lang w:val="pt-BR"/>
        </w:rPr>
        <w:t>separa</w:t>
      </w:r>
      <w:r w:rsidR="00A274D9" w:rsidRPr="005D6E61">
        <w:rPr>
          <w:rFonts w:ascii="Cambria" w:hAnsi="Cambria"/>
          <w:sz w:val="20"/>
          <w:szCs w:val="20"/>
          <w:lang w:val="pt-BR"/>
        </w:rPr>
        <w:t>ção</w:t>
      </w:r>
      <w:r w:rsidR="00F77B7F" w:rsidRPr="005D6E61">
        <w:rPr>
          <w:rFonts w:ascii="Cambria" w:hAnsi="Cambria"/>
          <w:sz w:val="20"/>
          <w:szCs w:val="20"/>
          <w:lang w:val="pt-BR"/>
        </w:rPr>
        <w:t xml:space="preserve"> do </w:t>
      </w:r>
      <w:r w:rsidR="0045573A" w:rsidRPr="005D6E61">
        <w:rPr>
          <w:rFonts w:ascii="Cambria" w:hAnsi="Cambria"/>
          <w:sz w:val="20"/>
          <w:szCs w:val="20"/>
          <w:lang w:val="pt-BR"/>
        </w:rPr>
        <w:t>juiz</w:t>
      </w:r>
      <w:r w:rsidRPr="005D6E61">
        <w:rPr>
          <w:rFonts w:ascii="Cambria" w:hAnsi="Cambria"/>
          <w:sz w:val="20"/>
          <w:szCs w:val="20"/>
          <w:lang w:val="pt-BR"/>
        </w:rPr>
        <w:t xml:space="preserve"> a cargo</w:t>
      </w:r>
      <w:r w:rsidR="00F77B7F" w:rsidRPr="005D6E61">
        <w:rPr>
          <w:rFonts w:ascii="Cambria" w:hAnsi="Cambria"/>
          <w:sz w:val="20"/>
          <w:szCs w:val="20"/>
          <w:lang w:val="pt-BR"/>
        </w:rPr>
        <w:t xml:space="preserve"> do </w:t>
      </w:r>
      <w:r w:rsidRPr="005D6E61">
        <w:rPr>
          <w:rFonts w:ascii="Cambria" w:hAnsi="Cambria"/>
          <w:sz w:val="20"/>
          <w:szCs w:val="20"/>
          <w:lang w:val="pt-BR"/>
        </w:rPr>
        <w:t>caso</w:t>
      </w:r>
      <w:r w:rsidRPr="005D6E61">
        <w:rPr>
          <w:rStyle w:val="FootnoteReference"/>
          <w:rFonts w:ascii="Cambria" w:hAnsi="Cambria"/>
          <w:sz w:val="20"/>
          <w:szCs w:val="20"/>
          <w:lang w:val="pt-BR"/>
        </w:rPr>
        <w:footnoteReference w:id="77"/>
      </w:r>
      <w:r w:rsidR="00E4214C" w:rsidRPr="005D6E61">
        <w:rPr>
          <w:rFonts w:ascii="Cambria" w:hAnsi="Cambria"/>
          <w:sz w:val="20"/>
          <w:szCs w:val="20"/>
          <w:lang w:val="pt-BR"/>
        </w:rPr>
        <w:t>;</w:t>
      </w:r>
      <w:r w:rsidRPr="005D6E61">
        <w:rPr>
          <w:rFonts w:ascii="Cambria" w:hAnsi="Cambria"/>
          <w:sz w:val="20"/>
          <w:szCs w:val="20"/>
          <w:lang w:val="pt-BR"/>
        </w:rPr>
        <w:t xml:space="preserve"> </w:t>
      </w:r>
      <w:r w:rsidR="00E4214C" w:rsidRPr="005D6E61">
        <w:rPr>
          <w:rFonts w:ascii="Cambria" w:hAnsi="Cambria"/>
          <w:sz w:val="20"/>
          <w:szCs w:val="20"/>
          <w:lang w:val="pt-BR"/>
        </w:rPr>
        <w:t>contudo</w:t>
      </w:r>
      <w:r w:rsidRPr="005D6E61">
        <w:rPr>
          <w:rFonts w:ascii="Cambria" w:hAnsi="Cambria"/>
          <w:sz w:val="20"/>
          <w:szCs w:val="20"/>
          <w:lang w:val="pt-BR"/>
        </w:rPr>
        <w:t xml:space="preserve">, </w:t>
      </w:r>
      <w:r w:rsidR="003655B3" w:rsidRPr="005D6E61">
        <w:rPr>
          <w:rFonts w:ascii="Cambria" w:hAnsi="Cambria"/>
          <w:sz w:val="20"/>
          <w:szCs w:val="20"/>
          <w:lang w:val="pt-BR"/>
        </w:rPr>
        <w:t>segundo</w:t>
      </w:r>
      <w:r w:rsidRPr="005D6E61">
        <w:rPr>
          <w:rFonts w:ascii="Cambria" w:hAnsi="Cambria"/>
          <w:sz w:val="20"/>
          <w:szCs w:val="20"/>
          <w:lang w:val="pt-BR"/>
        </w:rPr>
        <w:t xml:space="preserve"> informar</w:t>
      </w:r>
      <w:r w:rsidR="00E4214C" w:rsidRPr="005D6E61">
        <w:rPr>
          <w:rFonts w:ascii="Cambria" w:hAnsi="Cambria"/>
          <w:sz w:val="20"/>
          <w:szCs w:val="20"/>
          <w:lang w:val="pt-BR"/>
        </w:rPr>
        <w:t>am</w:t>
      </w:r>
      <w:r w:rsidR="00F77B7F" w:rsidRPr="005D6E61">
        <w:rPr>
          <w:rFonts w:ascii="Cambria" w:hAnsi="Cambria"/>
          <w:sz w:val="20"/>
          <w:szCs w:val="20"/>
          <w:lang w:val="pt-BR"/>
        </w:rPr>
        <w:t xml:space="preserve"> os </w:t>
      </w:r>
      <w:r w:rsidR="00CD523F" w:rsidRPr="005D6E61">
        <w:rPr>
          <w:rFonts w:ascii="Cambria" w:hAnsi="Cambria"/>
          <w:sz w:val="20"/>
          <w:szCs w:val="20"/>
          <w:lang w:val="pt-BR"/>
        </w:rPr>
        <w:t>peticionário</w:t>
      </w:r>
      <w:r w:rsidRPr="005D6E61">
        <w:rPr>
          <w:rFonts w:ascii="Cambria" w:hAnsi="Cambria"/>
          <w:sz w:val="20"/>
          <w:szCs w:val="20"/>
          <w:lang w:val="pt-BR"/>
        </w:rPr>
        <w:t xml:space="preserve">s, </w:t>
      </w:r>
      <w:r w:rsidR="00E4214C" w:rsidRPr="005D6E61">
        <w:rPr>
          <w:rFonts w:ascii="Cambria" w:hAnsi="Cambria"/>
          <w:sz w:val="20"/>
          <w:szCs w:val="20"/>
          <w:lang w:val="pt-BR"/>
        </w:rPr>
        <w:t xml:space="preserve">esse pedido </w:t>
      </w:r>
      <w:r w:rsidRPr="005D6E61">
        <w:rPr>
          <w:rFonts w:ascii="Cambria" w:hAnsi="Cambria"/>
          <w:sz w:val="20"/>
          <w:szCs w:val="20"/>
          <w:lang w:val="pt-BR"/>
        </w:rPr>
        <w:t>f</w:t>
      </w:r>
      <w:r w:rsidR="00E4214C" w:rsidRPr="005D6E61">
        <w:rPr>
          <w:rFonts w:ascii="Cambria" w:hAnsi="Cambria"/>
          <w:sz w:val="20"/>
          <w:szCs w:val="20"/>
          <w:lang w:val="pt-BR"/>
        </w:rPr>
        <w:t>oi declarado</w:t>
      </w:r>
      <w:r w:rsidRPr="005D6E61">
        <w:rPr>
          <w:rFonts w:ascii="Cambria" w:hAnsi="Cambria"/>
          <w:sz w:val="20"/>
          <w:szCs w:val="20"/>
          <w:lang w:val="pt-BR"/>
        </w:rPr>
        <w:t xml:space="preserve"> improcedente</w:t>
      </w:r>
      <w:r w:rsidR="007612B9" w:rsidRPr="005D6E61">
        <w:rPr>
          <w:rFonts w:ascii="Cambria" w:hAnsi="Cambria"/>
          <w:sz w:val="20"/>
          <w:szCs w:val="20"/>
          <w:lang w:val="pt-BR"/>
        </w:rPr>
        <w:t xml:space="preserve"> pelo </w:t>
      </w:r>
      <w:r w:rsidRPr="005D6E61">
        <w:rPr>
          <w:rFonts w:ascii="Cambria" w:hAnsi="Cambria"/>
          <w:sz w:val="20"/>
          <w:szCs w:val="20"/>
          <w:lang w:val="pt-BR"/>
        </w:rPr>
        <w:t xml:space="preserve">Superior Tribunal de </w:t>
      </w:r>
      <w:r w:rsidR="00275A65" w:rsidRPr="005D6E61">
        <w:rPr>
          <w:rFonts w:ascii="Cambria" w:hAnsi="Cambria"/>
          <w:sz w:val="20"/>
          <w:szCs w:val="20"/>
          <w:lang w:val="pt-BR"/>
        </w:rPr>
        <w:t>Justiça</w:t>
      </w:r>
      <w:r w:rsidRPr="005D6E61">
        <w:rPr>
          <w:rStyle w:val="FootnoteReference"/>
          <w:rFonts w:ascii="Cambria" w:hAnsi="Cambria"/>
          <w:sz w:val="20"/>
          <w:szCs w:val="20"/>
          <w:lang w:val="pt-BR"/>
        </w:rPr>
        <w:footnoteReference w:id="78"/>
      </w:r>
      <w:r w:rsidRPr="005D6E61">
        <w:rPr>
          <w:rFonts w:ascii="Cambria" w:hAnsi="Cambria"/>
          <w:sz w:val="20"/>
          <w:szCs w:val="20"/>
          <w:lang w:val="pt-BR"/>
        </w:rPr>
        <w:t>.</w:t>
      </w:r>
      <w:r w:rsidR="00F77B7F" w:rsidRPr="005D6E61">
        <w:rPr>
          <w:rFonts w:ascii="Cambria" w:hAnsi="Cambria"/>
          <w:sz w:val="20"/>
          <w:szCs w:val="20"/>
          <w:lang w:val="pt-BR"/>
        </w:rPr>
        <w:t xml:space="preserve"> </w:t>
      </w:r>
      <w:r w:rsidR="00E4214C" w:rsidRPr="005D6E61">
        <w:rPr>
          <w:rFonts w:ascii="Cambria" w:hAnsi="Cambria"/>
          <w:sz w:val="20"/>
          <w:szCs w:val="20"/>
          <w:lang w:val="pt-BR"/>
        </w:rPr>
        <w:t>E</w:t>
      </w:r>
      <w:r w:rsidR="00F77B7F" w:rsidRPr="005D6E61">
        <w:rPr>
          <w:rFonts w:ascii="Cambria" w:hAnsi="Cambria"/>
          <w:sz w:val="20"/>
          <w:szCs w:val="20"/>
          <w:lang w:val="pt-BR"/>
        </w:rPr>
        <w:t xml:space="preserve">m </w:t>
      </w:r>
      <w:r w:rsidRPr="005D6E61">
        <w:rPr>
          <w:rFonts w:ascii="Cambria" w:hAnsi="Cambria"/>
          <w:sz w:val="20"/>
          <w:szCs w:val="20"/>
          <w:lang w:val="pt-BR"/>
        </w:rPr>
        <w:t>1995</w:t>
      </w:r>
      <w:r w:rsidR="00397588" w:rsidRPr="005D6E61">
        <w:rPr>
          <w:rFonts w:ascii="Cambria" w:hAnsi="Cambria"/>
          <w:sz w:val="20"/>
          <w:szCs w:val="20"/>
          <w:lang w:val="pt-BR"/>
        </w:rPr>
        <w:t>,</w:t>
      </w:r>
      <w:r w:rsidR="00331E62" w:rsidRPr="005D6E61">
        <w:rPr>
          <w:rFonts w:ascii="Cambria" w:hAnsi="Cambria"/>
          <w:sz w:val="20"/>
          <w:szCs w:val="20"/>
          <w:lang w:val="pt-BR"/>
        </w:rPr>
        <w:t xml:space="preserve"> no </w:t>
      </w:r>
      <w:r w:rsidR="00E4214C" w:rsidRPr="005D6E61">
        <w:rPr>
          <w:rFonts w:ascii="Cambria" w:hAnsi="Cambria"/>
          <w:sz w:val="20"/>
          <w:szCs w:val="20"/>
          <w:lang w:val="pt-BR"/>
        </w:rPr>
        <w:t>âmbito</w:t>
      </w:r>
      <w:r w:rsidR="00F77B7F" w:rsidRPr="005D6E61">
        <w:rPr>
          <w:rFonts w:ascii="Cambria" w:hAnsi="Cambria"/>
          <w:sz w:val="20"/>
          <w:szCs w:val="20"/>
          <w:lang w:val="pt-BR"/>
        </w:rPr>
        <w:t xml:space="preserve"> do </w:t>
      </w:r>
      <w:r w:rsidR="00730CDD" w:rsidRPr="005D6E61">
        <w:rPr>
          <w:rFonts w:ascii="Cambria" w:hAnsi="Cambria"/>
          <w:sz w:val="20"/>
          <w:szCs w:val="20"/>
          <w:lang w:val="pt-BR"/>
        </w:rPr>
        <w:t>processo</w:t>
      </w:r>
      <w:r w:rsidR="00397588" w:rsidRPr="005D6E61">
        <w:rPr>
          <w:rFonts w:ascii="Cambria" w:hAnsi="Cambria"/>
          <w:sz w:val="20"/>
          <w:szCs w:val="20"/>
          <w:lang w:val="pt-BR"/>
        </w:rPr>
        <w:t>,</w:t>
      </w:r>
      <w:r w:rsidRPr="005D6E61">
        <w:rPr>
          <w:rFonts w:ascii="Cambria" w:hAnsi="Cambria"/>
          <w:sz w:val="20"/>
          <w:szCs w:val="20"/>
          <w:lang w:val="pt-BR"/>
        </w:rPr>
        <w:t xml:space="preserve"> </w:t>
      </w:r>
      <w:r w:rsidR="006A5764" w:rsidRPr="005D6E61">
        <w:rPr>
          <w:rFonts w:ascii="Cambria" w:hAnsi="Cambria"/>
          <w:sz w:val="20"/>
          <w:szCs w:val="20"/>
          <w:lang w:val="pt-BR"/>
        </w:rPr>
        <w:t>efetuaram-se vários pedidos</w:t>
      </w:r>
      <w:r w:rsidRPr="005D6E61">
        <w:rPr>
          <w:rFonts w:ascii="Cambria" w:hAnsi="Cambria"/>
          <w:sz w:val="20"/>
          <w:szCs w:val="20"/>
          <w:lang w:val="pt-BR"/>
        </w:rPr>
        <w:t xml:space="preserve"> de informa</w:t>
      </w:r>
      <w:r w:rsidR="00A274D9" w:rsidRPr="005D6E61">
        <w:rPr>
          <w:rFonts w:ascii="Cambria" w:hAnsi="Cambria"/>
          <w:sz w:val="20"/>
          <w:szCs w:val="20"/>
          <w:lang w:val="pt-BR"/>
        </w:rPr>
        <w:t>ção</w:t>
      </w:r>
      <w:r w:rsidRPr="005D6E61">
        <w:rPr>
          <w:rFonts w:ascii="Cambria" w:hAnsi="Cambria"/>
          <w:sz w:val="20"/>
          <w:szCs w:val="20"/>
          <w:lang w:val="pt-BR"/>
        </w:rPr>
        <w:t xml:space="preserve"> para d</w:t>
      </w:r>
      <w:r w:rsidR="006A5764" w:rsidRPr="005D6E61">
        <w:rPr>
          <w:rFonts w:ascii="Cambria" w:hAnsi="Cambria"/>
          <w:sz w:val="20"/>
          <w:szCs w:val="20"/>
          <w:lang w:val="pt-BR"/>
        </w:rPr>
        <w:t>escobrir</w:t>
      </w:r>
      <w:r w:rsidR="00331E62" w:rsidRPr="005D6E61">
        <w:rPr>
          <w:rFonts w:ascii="Cambria" w:hAnsi="Cambria"/>
          <w:sz w:val="20"/>
          <w:szCs w:val="20"/>
          <w:lang w:val="pt-BR"/>
        </w:rPr>
        <w:t xml:space="preserve"> o </w:t>
      </w:r>
      <w:r w:rsidRPr="005D6E61">
        <w:rPr>
          <w:rFonts w:ascii="Cambria" w:hAnsi="Cambria"/>
          <w:sz w:val="20"/>
          <w:szCs w:val="20"/>
          <w:lang w:val="pt-BR"/>
        </w:rPr>
        <w:t>parade</w:t>
      </w:r>
      <w:r w:rsidR="006A5764" w:rsidRPr="005D6E61">
        <w:rPr>
          <w:rFonts w:ascii="Cambria" w:hAnsi="Cambria"/>
          <w:sz w:val="20"/>
          <w:szCs w:val="20"/>
          <w:lang w:val="pt-BR"/>
        </w:rPr>
        <w:t>i</w:t>
      </w:r>
      <w:r w:rsidRPr="005D6E61">
        <w:rPr>
          <w:rFonts w:ascii="Cambria" w:hAnsi="Cambria"/>
          <w:sz w:val="20"/>
          <w:szCs w:val="20"/>
          <w:lang w:val="pt-BR"/>
        </w:rPr>
        <w:t>ro de Amaro José do Rego</w:t>
      </w:r>
      <w:r w:rsidR="006C5454" w:rsidRPr="005D6E61">
        <w:rPr>
          <w:rFonts w:ascii="Cambria" w:hAnsi="Cambria"/>
          <w:sz w:val="20"/>
          <w:szCs w:val="20"/>
          <w:lang w:val="pt-BR"/>
        </w:rPr>
        <w:t xml:space="preserve"> e </w:t>
      </w:r>
      <w:r w:rsidRPr="005D6E61">
        <w:rPr>
          <w:rFonts w:ascii="Cambria" w:hAnsi="Cambria"/>
          <w:sz w:val="20"/>
          <w:szCs w:val="20"/>
          <w:lang w:val="pt-BR"/>
        </w:rPr>
        <w:t>Amauri José do Rego,</w:t>
      </w:r>
      <w:r w:rsidR="00B66AE6" w:rsidRPr="005D6E61">
        <w:rPr>
          <w:rFonts w:ascii="Cambria" w:hAnsi="Cambria"/>
          <w:sz w:val="20"/>
          <w:szCs w:val="20"/>
          <w:lang w:val="pt-BR"/>
        </w:rPr>
        <w:t xml:space="preserve"> </w:t>
      </w:r>
      <w:r w:rsidR="006A5764" w:rsidRPr="005D6E61">
        <w:rPr>
          <w:rFonts w:ascii="Cambria" w:hAnsi="Cambria"/>
          <w:sz w:val="20"/>
          <w:szCs w:val="20"/>
          <w:lang w:val="pt-BR"/>
        </w:rPr>
        <w:t>mas</w:t>
      </w:r>
      <w:r w:rsidR="00F77B7F" w:rsidRPr="005D6E61">
        <w:rPr>
          <w:rFonts w:ascii="Cambria" w:hAnsi="Cambria"/>
          <w:sz w:val="20"/>
          <w:szCs w:val="20"/>
          <w:lang w:val="pt-BR"/>
        </w:rPr>
        <w:t xml:space="preserve"> </w:t>
      </w:r>
      <w:r w:rsidRPr="005D6E61">
        <w:rPr>
          <w:rFonts w:ascii="Cambria" w:hAnsi="Cambria"/>
          <w:sz w:val="20"/>
          <w:szCs w:val="20"/>
          <w:lang w:val="pt-BR"/>
        </w:rPr>
        <w:t>f</w:t>
      </w:r>
      <w:r w:rsidR="006A5764" w:rsidRPr="005D6E61">
        <w:rPr>
          <w:rFonts w:ascii="Cambria" w:hAnsi="Cambria"/>
          <w:sz w:val="20"/>
          <w:szCs w:val="20"/>
          <w:lang w:val="pt-BR"/>
        </w:rPr>
        <w:t>oram</w:t>
      </w:r>
      <w:r w:rsidRPr="005D6E61">
        <w:rPr>
          <w:rFonts w:ascii="Cambria" w:hAnsi="Cambria"/>
          <w:sz w:val="20"/>
          <w:szCs w:val="20"/>
          <w:lang w:val="pt-BR"/>
        </w:rPr>
        <w:t xml:space="preserve"> infrut</w:t>
      </w:r>
      <w:r w:rsidR="006A5764" w:rsidRPr="005D6E61">
        <w:rPr>
          <w:rFonts w:ascii="Cambria" w:hAnsi="Cambria"/>
          <w:sz w:val="20"/>
          <w:szCs w:val="20"/>
          <w:lang w:val="pt-BR"/>
        </w:rPr>
        <w:t>ífero</w:t>
      </w:r>
      <w:r w:rsidRPr="005D6E61">
        <w:rPr>
          <w:rFonts w:ascii="Cambria" w:hAnsi="Cambria"/>
          <w:sz w:val="20"/>
          <w:szCs w:val="20"/>
          <w:lang w:val="pt-BR"/>
        </w:rPr>
        <w:t>s</w:t>
      </w:r>
      <w:r w:rsidRPr="005D6E61">
        <w:rPr>
          <w:rStyle w:val="FootnoteReference"/>
          <w:rFonts w:ascii="Cambria" w:hAnsi="Cambria"/>
          <w:sz w:val="20"/>
          <w:szCs w:val="20"/>
          <w:lang w:val="pt-BR"/>
        </w:rPr>
        <w:footnoteReference w:id="79"/>
      </w:r>
      <w:r w:rsidRPr="005D6E61">
        <w:rPr>
          <w:rFonts w:ascii="Cambria" w:hAnsi="Cambria"/>
          <w:sz w:val="20"/>
          <w:szCs w:val="20"/>
          <w:lang w:val="pt-BR"/>
        </w:rPr>
        <w:t>.</w:t>
      </w:r>
    </w:p>
    <w:p w14:paraId="68941377" w14:textId="77777777" w:rsidR="00333A4A" w:rsidRPr="005D6E61" w:rsidRDefault="00333A4A" w:rsidP="00333A4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pt-BR"/>
        </w:rPr>
      </w:pPr>
    </w:p>
    <w:p w14:paraId="13BBB95D" w14:textId="77777777" w:rsidR="003E10E6" w:rsidRPr="005D6E61" w:rsidRDefault="00EC647E"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Em</w:t>
      </w:r>
      <w:r w:rsidR="003E10E6" w:rsidRPr="005D6E61">
        <w:rPr>
          <w:rFonts w:ascii="Cambria" w:hAnsi="Cambria"/>
          <w:sz w:val="20"/>
          <w:szCs w:val="20"/>
          <w:lang w:val="pt-BR"/>
        </w:rPr>
        <w:t xml:space="preserve"> 3 de </w:t>
      </w:r>
      <w:r w:rsidR="0031191B" w:rsidRPr="005D6E61">
        <w:rPr>
          <w:rFonts w:ascii="Cambria" w:hAnsi="Cambria"/>
          <w:sz w:val="20"/>
          <w:szCs w:val="20"/>
          <w:lang w:val="pt-BR"/>
        </w:rPr>
        <w:t>setembro</w:t>
      </w:r>
      <w:r w:rsidR="003E10E6" w:rsidRPr="005D6E61">
        <w:rPr>
          <w:rFonts w:ascii="Cambria" w:hAnsi="Cambria"/>
          <w:sz w:val="20"/>
          <w:szCs w:val="20"/>
          <w:lang w:val="pt-BR"/>
        </w:rPr>
        <w:t xml:space="preserve"> de 1998</w:t>
      </w:r>
      <w:r w:rsidR="00831912" w:rsidRPr="005D6E61">
        <w:rPr>
          <w:rFonts w:ascii="Cambria" w:hAnsi="Cambria"/>
          <w:sz w:val="20"/>
          <w:szCs w:val="20"/>
          <w:lang w:val="pt-BR"/>
        </w:rPr>
        <w:t>,</w:t>
      </w:r>
      <w:r w:rsidR="003E10E6" w:rsidRPr="005D6E61">
        <w:rPr>
          <w:rFonts w:ascii="Cambria" w:hAnsi="Cambria"/>
          <w:sz w:val="20"/>
          <w:szCs w:val="20"/>
          <w:lang w:val="pt-BR"/>
        </w:rPr>
        <w:t xml:space="preserve"> Antônio Carlos Coutinho Régis f</w:t>
      </w:r>
      <w:r w:rsidR="00E13C76" w:rsidRPr="005D6E61">
        <w:rPr>
          <w:rFonts w:ascii="Cambria" w:hAnsi="Cambria"/>
          <w:sz w:val="20"/>
          <w:szCs w:val="20"/>
          <w:lang w:val="pt-BR"/>
        </w:rPr>
        <w:t>oi</w:t>
      </w:r>
      <w:r w:rsidR="003E10E6" w:rsidRPr="005D6E61">
        <w:rPr>
          <w:rFonts w:ascii="Cambria" w:hAnsi="Cambria"/>
          <w:sz w:val="20"/>
          <w:szCs w:val="20"/>
          <w:lang w:val="pt-BR"/>
        </w:rPr>
        <w:t xml:space="preserve"> n</w:t>
      </w:r>
      <w:r w:rsidR="006A5764" w:rsidRPr="005D6E61">
        <w:rPr>
          <w:rFonts w:ascii="Cambria" w:hAnsi="Cambria"/>
          <w:sz w:val="20"/>
          <w:szCs w:val="20"/>
          <w:lang w:val="pt-BR"/>
        </w:rPr>
        <w:t>o</w:t>
      </w:r>
      <w:r w:rsidR="003E10E6" w:rsidRPr="005D6E61">
        <w:rPr>
          <w:rFonts w:ascii="Cambria" w:hAnsi="Cambria"/>
          <w:sz w:val="20"/>
          <w:szCs w:val="20"/>
          <w:lang w:val="pt-BR"/>
        </w:rPr>
        <w:t>vamente ju</w:t>
      </w:r>
      <w:r w:rsidR="006A5764" w:rsidRPr="005D6E61">
        <w:rPr>
          <w:rFonts w:ascii="Cambria" w:hAnsi="Cambria"/>
          <w:sz w:val="20"/>
          <w:szCs w:val="20"/>
          <w:lang w:val="pt-BR"/>
        </w:rPr>
        <w:t>l</w:t>
      </w:r>
      <w:r w:rsidR="003E10E6" w:rsidRPr="005D6E61">
        <w:rPr>
          <w:rFonts w:ascii="Cambria" w:hAnsi="Cambria"/>
          <w:sz w:val="20"/>
          <w:szCs w:val="20"/>
          <w:lang w:val="pt-BR"/>
        </w:rPr>
        <w:t>gado</w:t>
      </w:r>
      <w:r w:rsidR="007612B9" w:rsidRPr="005D6E61">
        <w:rPr>
          <w:rFonts w:ascii="Cambria" w:hAnsi="Cambria"/>
          <w:sz w:val="20"/>
          <w:szCs w:val="20"/>
          <w:lang w:val="pt-BR"/>
        </w:rPr>
        <w:t xml:space="preserve"> pelo </w:t>
      </w:r>
      <w:r w:rsidR="003E10E6" w:rsidRPr="005D6E61">
        <w:rPr>
          <w:rFonts w:ascii="Cambria" w:hAnsi="Cambria"/>
          <w:sz w:val="20"/>
          <w:szCs w:val="20"/>
          <w:lang w:val="pt-BR"/>
        </w:rPr>
        <w:t>Tribunal d</w:t>
      </w:r>
      <w:r w:rsidR="00E13C76" w:rsidRPr="005D6E61">
        <w:rPr>
          <w:rFonts w:ascii="Cambria" w:hAnsi="Cambria"/>
          <w:sz w:val="20"/>
          <w:szCs w:val="20"/>
          <w:lang w:val="pt-BR"/>
        </w:rPr>
        <w:t xml:space="preserve">o </w:t>
      </w:r>
      <w:r w:rsidR="003E10E6" w:rsidRPr="005D6E61">
        <w:rPr>
          <w:rFonts w:ascii="Cambria" w:hAnsi="Cambria"/>
          <w:sz w:val="20"/>
          <w:szCs w:val="20"/>
          <w:lang w:val="pt-BR"/>
        </w:rPr>
        <w:t>J</w:t>
      </w:r>
      <w:r w:rsidR="00E13C76" w:rsidRPr="005D6E61">
        <w:rPr>
          <w:rFonts w:ascii="Cambria" w:hAnsi="Cambria"/>
          <w:sz w:val="20"/>
          <w:szCs w:val="20"/>
          <w:lang w:val="pt-BR"/>
        </w:rPr>
        <w:t>úri</w:t>
      </w:r>
      <w:r w:rsidR="003E10E6" w:rsidRPr="005D6E61">
        <w:rPr>
          <w:rFonts w:ascii="Cambria" w:hAnsi="Cambria"/>
          <w:sz w:val="20"/>
          <w:szCs w:val="20"/>
          <w:lang w:val="pt-BR"/>
        </w:rPr>
        <w:t xml:space="preserve">, </w:t>
      </w:r>
      <w:r w:rsidR="00072FC2" w:rsidRPr="005D6E61">
        <w:rPr>
          <w:rFonts w:ascii="Cambria" w:hAnsi="Cambria"/>
          <w:sz w:val="20"/>
          <w:szCs w:val="20"/>
          <w:lang w:val="pt-BR"/>
        </w:rPr>
        <w:t xml:space="preserve">sendo </w:t>
      </w:r>
      <w:r w:rsidR="003E10E6" w:rsidRPr="005D6E61">
        <w:rPr>
          <w:rFonts w:ascii="Cambria" w:hAnsi="Cambria"/>
          <w:sz w:val="20"/>
          <w:szCs w:val="20"/>
          <w:lang w:val="pt-BR"/>
        </w:rPr>
        <w:t>n</w:t>
      </w:r>
      <w:r w:rsidR="00E13C76" w:rsidRPr="005D6E61">
        <w:rPr>
          <w:rFonts w:ascii="Cambria" w:hAnsi="Cambria"/>
          <w:sz w:val="20"/>
          <w:szCs w:val="20"/>
          <w:lang w:val="pt-BR"/>
        </w:rPr>
        <w:t>o</w:t>
      </w:r>
      <w:r w:rsidR="003E10E6" w:rsidRPr="005D6E61">
        <w:rPr>
          <w:rFonts w:ascii="Cambria" w:hAnsi="Cambria"/>
          <w:sz w:val="20"/>
          <w:szCs w:val="20"/>
          <w:lang w:val="pt-BR"/>
        </w:rPr>
        <w:t>vamente abs</w:t>
      </w:r>
      <w:r w:rsidR="00E13C76" w:rsidRPr="005D6E61">
        <w:rPr>
          <w:rFonts w:ascii="Cambria" w:hAnsi="Cambria"/>
          <w:sz w:val="20"/>
          <w:szCs w:val="20"/>
          <w:lang w:val="pt-BR"/>
        </w:rPr>
        <w:t>olvid</w:t>
      </w:r>
      <w:r w:rsidR="003E10E6" w:rsidRPr="005D6E61">
        <w:rPr>
          <w:rFonts w:ascii="Cambria" w:hAnsi="Cambria"/>
          <w:sz w:val="20"/>
          <w:szCs w:val="20"/>
          <w:lang w:val="pt-BR"/>
        </w:rPr>
        <w:t>o, por decis</w:t>
      </w:r>
      <w:r w:rsidR="006A5764" w:rsidRPr="005D6E61">
        <w:rPr>
          <w:rFonts w:ascii="Cambria" w:hAnsi="Cambria"/>
          <w:sz w:val="20"/>
          <w:szCs w:val="20"/>
          <w:lang w:val="pt-BR"/>
        </w:rPr>
        <w:t>ão</w:t>
      </w:r>
      <w:r w:rsidR="003E10E6" w:rsidRPr="005D6E61">
        <w:rPr>
          <w:rFonts w:ascii="Cambria" w:hAnsi="Cambria"/>
          <w:sz w:val="20"/>
          <w:szCs w:val="20"/>
          <w:lang w:val="pt-BR"/>
        </w:rPr>
        <w:t xml:space="preserve"> </w:t>
      </w:r>
      <w:r w:rsidR="006A5764" w:rsidRPr="005D6E61">
        <w:rPr>
          <w:rFonts w:ascii="Cambria" w:hAnsi="Cambria"/>
          <w:sz w:val="20"/>
          <w:szCs w:val="20"/>
          <w:lang w:val="pt-BR"/>
        </w:rPr>
        <w:t>unânime</w:t>
      </w:r>
      <w:r w:rsidR="003E10E6" w:rsidRPr="005D6E61">
        <w:rPr>
          <w:rStyle w:val="FootnoteReference"/>
          <w:rFonts w:ascii="Cambria" w:hAnsi="Cambria"/>
          <w:sz w:val="20"/>
          <w:szCs w:val="20"/>
          <w:lang w:val="pt-BR"/>
        </w:rPr>
        <w:footnoteReference w:id="80"/>
      </w:r>
      <w:r w:rsidR="003E10E6" w:rsidRPr="005D6E61">
        <w:rPr>
          <w:rFonts w:ascii="Cambria" w:hAnsi="Cambria"/>
          <w:sz w:val="20"/>
          <w:szCs w:val="20"/>
          <w:lang w:val="pt-BR"/>
        </w:rPr>
        <w:t xml:space="preserve">. </w:t>
      </w:r>
    </w:p>
    <w:p w14:paraId="23C2E54D" w14:textId="77777777" w:rsidR="003B42CF" w:rsidRPr="005D6E61" w:rsidRDefault="003B42CF" w:rsidP="00AD7E8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pt-BR"/>
        </w:rPr>
      </w:pPr>
    </w:p>
    <w:p w14:paraId="06E37D83" w14:textId="77777777" w:rsidR="003B42CF" w:rsidRPr="005D6E61" w:rsidRDefault="00EC647E" w:rsidP="003B42C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lang w:val="pt-BR"/>
        </w:rPr>
      </w:pPr>
      <w:r w:rsidRPr="005D6E61">
        <w:rPr>
          <w:rFonts w:ascii="Cambria" w:hAnsi="Cambria"/>
          <w:sz w:val="20"/>
          <w:szCs w:val="20"/>
          <w:lang w:val="pt-BR"/>
        </w:rPr>
        <w:t>Em</w:t>
      </w:r>
      <w:r w:rsidR="003B42CF" w:rsidRPr="005D6E61">
        <w:rPr>
          <w:rFonts w:ascii="Cambria" w:hAnsi="Cambria"/>
          <w:sz w:val="20"/>
          <w:szCs w:val="20"/>
          <w:lang w:val="pt-BR"/>
        </w:rPr>
        <w:t xml:space="preserve"> 30 de </w:t>
      </w:r>
      <w:r w:rsidR="003619A0" w:rsidRPr="005D6E61">
        <w:rPr>
          <w:rFonts w:ascii="Cambria" w:hAnsi="Cambria"/>
          <w:sz w:val="20"/>
          <w:szCs w:val="20"/>
          <w:lang w:val="pt-BR"/>
        </w:rPr>
        <w:t>dezembro</w:t>
      </w:r>
      <w:r w:rsidR="003B42CF" w:rsidRPr="005D6E61">
        <w:rPr>
          <w:rFonts w:ascii="Cambria" w:hAnsi="Cambria"/>
          <w:sz w:val="20"/>
          <w:szCs w:val="20"/>
          <w:lang w:val="pt-BR"/>
        </w:rPr>
        <w:t xml:space="preserve"> de 1999</w:t>
      </w:r>
      <w:r w:rsidR="00331E62" w:rsidRPr="005D6E61">
        <w:rPr>
          <w:rFonts w:ascii="Cambria" w:hAnsi="Cambria"/>
          <w:sz w:val="20"/>
          <w:szCs w:val="20"/>
          <w:lang w:val="pt-BR"/>
        </w:rPr>
        <w:t xml:space="preserve"> o </w:t>
      </w:r>
      <w:r w:rsidR="00397588" w:rsidRPr="005D6E61">
        <w:rPr>
          <w:rFonts w:ascii="Cambria" w:hAnsi="Cambria"/>
          <w:sz w:val="20"/>
          <w:szCs w:val="20"/>
          <w:lang w:val="pt-BR"/>
        </w:rPr>
        <w:t>j</w:t>
      </w:r>
      <w:r w:rsidR="0045573A" w:rsidRPr="005D6E61">
        <w:rPr>
          <w:rFonts w:ascii="Cambria" w:hAnsi="Cambria"/>
          <w:sz w:val="20"/>
          <w:szCs w:val="20"/>
          <w:lang w:val="pt-BR"/>
        </w:rPr>
        <w:t>uiz</w:t>
      </w:r>
      <w:r w:rsidR="003B42CF" w:rsidRPr="005D6E61">
        <w:rPr>
          <w:rFonts w:ascii="Cambria" w:hAnsi="Cambria"/>
          <w:sz w:val="20"/>
          <w:szCs w:val="20"/>
          <w:lang w:val="pt-BR"/>
        </w:rPr>
        <w:t xml:space="preserve"> Gutemberg se ref</w:t>
      </w:r>
      <w:r w:rsidR="006A5764" w:rsidRPr="005D6E61">
        <w:rPr>
          <w:rFonts w:ascii="Cambria" w:hAnsi="Cambria"/>
          <w:sz w:val="20"/>
          <w:szCs w:val="20"/>
          <w:lang w:val="pt-BR"/>
        </w:rPr>
        <w:t>e</w:t>
      </w:r>
      <w:r w:rsidR="003B42CF" w:rsidRPr="005D6E61">
        <w:rPr>
          <w:rFonts w:ascii="Cambria" w:hAnsi="Cambria"/>
          <w:sz w:val="20"/>
          <w:szCs w:val="20"/>
          <w:lang w:val="pt-BR"/>
        </w:rPr>
        <w:t>ri</w:t>
      </w:r>
      <w:r w:rsidR="00BF0B90" w:rsidRPr="005D6E61">
        <w:rPr>
          <w:rFonts w:ascii="Cambria" w:hAnsi="Cambria"/>
          <w:sz w:val="20"/>
          <w:szCs w:val="20"/>
          <w:lang w:val="pt-BR"/>
        </w:rPr>
        <w:t xml:space="preserve">u </w:t>
      </w:r>
      <w:r w:rsidR="00275A65" w:rsidRPr="005D6E61">
        <w:rPr>
          <w:rFonts w:ascii="Cambria" w:hAnsi="Cambria"/>
          <w:sz w:val="20"/>
          <w:szCs w:val="20"/>
          <w:lang w:val="pt-BR"/>
        </w:rPr>
        <w:t xml:space="preserve">à </w:t>
      </w:r>
      <w:r w:rsidR="003B42CF" w:rsidRPr="005D6E61">
        <w:rPr>
          <w:rFonts w:ascii="Cambria" w:hAnsi="Cambria"/>
          <w:sz w:val="20"/>
          <w:szCs w:val="20"/>
          <w:lang w:val="pt-BR"/>
        </w:rPr>
        <w:t>situa</w:t>
      </w:r>
      <w:r w:rsidR="00A274D9" w:rsidRPr="005D6E61">
        <w:rPr>
          <w:rFonts w:ascii="Cambria" w:hAnsi="Cambria"/>
          <w:sz w:val="20"/>
          <w:szCs w:val="20"/>
          <w:lang w:val="pt-BR"/>
        </w:rPr>
        <w:t>ção</w:t>
      </w:r>
      <w:r w:rsidR="00F77B7F" w:rsidRPr="005D6E61">
        <w:rPr>
          <w:rFonts w:ascii="Cambria" w:hAnsi="Cambria"/>
          <w:sz w:val="20"/>
          <w:szCs w:val="20"/>
          <w:lang w:val="pt-BR"/>
        </w:rPr>
        <w:t xml:space="preserve"> do </w:t>
      </w:r>
      <w:r w:rsidR="006A5764" w:rsidRPr="005D6E61">
        <w:rPr>
          <w:rFonts w:ascii="Cambria" w:hAnsi="Cambria"/>
          <w:sz w:val="20"/>
          <w:szCs w:val="20"/>
          <w:lang w:val="pt-BR"/>
        </w:rPr>
        <w:t>processo</w:t>
      </w:r>
      <w:r w:rsidR="003B42CF" w:rsidRPr="005D6E61">
        <w:rPr>
          <w:rFonts w:ascii="Cambria" w:hAnsi="Cambria"/>
          <w:sz w:val="20"/>
          <w:szCs w:val="20"/>
          <w:lang w:val="pt-BR"/>
        </w:rPr>
        <w:t xml:space="preserve"> </w:t>
      </w:r>
      <w:r w:rsidR="006A5764" w:rsidRPr="005D6E61">
        <w:rPr>
          <w:rFonts w:ascii="Cambria" w:hAnsi="Cambria"/>
          <w:sz w:val="20"/>
          <w:szCs w:val="20"/>
          <w:lang w:val="pt-BR"/>
        </w:rPr>
        <w:t xml:space="preserve">depois </w:t>
      </w:r>
      <w:r w:rsidR="003B42CF" w:rsidRPr="005D6E61">
        <w:rPr>
          <w:rFonts w:ascii="Cambria" w:hAnsi="Cambria"/>
          <w:sz w:val="20"/>
          <w:szCs w:val="20"/>
          <w:lang w:val="pt-BR"/>
        </w:rPr>
        <w:t xml:space="preserve">de </w:t>
      </w:r>
      <w:r w:rsidR="006A5764" w:rsidRPr="005D6E61">
        <w:rPr>
          <w:rFonts w:ascii="Cambria" w:hAnsi="Cambria"/>
          <w:sz w:val="20"/>
          <w:szCs w:val="20"/>
          <w:lang w:val="pt-BR"/>
        </w:rPr>
        <w:t>ter sido</w:t>
      </w:r>
      <w:r w:rsidR="003B42CF" w:rsidRPr="005D6E61">
        <w:rPr>
          <w:rFonts w:ascii="Cambria" w:hAnsi="Cambria"/>
          <w:sz w:val="20"/>
          <w:szCs w:val="20"/>
          <w:lang w:val="pt-BR"/>
        </w:rPr>
        <w:t xml:space="preserve"> removido</w:t>
      </w:r>
      <w:r w:rsidR="00F77B7F" w:rsidRPr="005D6E61">
        <w:rPr>
          <w:rFonts w:ascii="Cambria" w:hAnsi="Cambria"/>
          <w:sz w:val="20"/>
          <w:szCs w:val="20"/>
          <w:lang w:val="pt-BR"/>
        </w:rPr>
        <w:t xml:space="preserve"> do </w:t>
      </w:r>
      <w:r w:rsidR="003B42CF" w:rsidRPr="005D6E61">
        <w:rPr>
          <w:rFonts w:ascii="Cambria" w:hAnsi="Cambria"/>
          <w:sz w:val="20"/>
          <w:szCs w:val="20"/>
          <w:lang w:val="pt-BR"/>
        </w:rPr>
        <w:t>caso</w:t>
      </w:r>
      <w:r w:rsidR="006A5764" w:rsidRPr="005D6E61">
        <w:rPr>
          <w:rFonts w:ascii="Cambria" w:hAnsi="Cambria"/>
          <w:sz w:val="20"/>
          <w:szCs w:val="20"/>
          <w:lang w:val="pt-BR"/>
        </w:rPr>
        <w:t>,</w:t>
      </w:r>
      <w:r w:rsidR="003B42CF" w:rsidRPr="005D6E61">
        <w:rPr>
          <w:rFonts w:ascii="Cambria" w:hAnsi="Cambria"/>
          <w:sz w:val="20"/>
          <w:szCs w:val="20"/>
          <w:lang w:val="pt-BR"/>
        </w:rPr>
        <w:t xml:space="preserve"> indicando que t</w:t>
      </w:r>
      <w:r w:rsidR="006A5764" w:rsidRPr="005D6E61">
        <w:rPr>
          <w:rFonts w:ascii="Cambria" w:hAnsi="Cambria"/>
          <w:sz w:val="20"/>
          <w:szCs w:val="20"/>
          <w:lang w:val="pt-BR"/>
        </w:rPr>
        <w:t>u</w:t>
      </w:r>
      <w:r w:rsidR="003B42CF" w:rsidRPr="005D6E61">
        <w:rPr>
          <w:rFonts w:ascii="Cambria" w:hAnsi="Cambria"/>
          <w:sz w:val="20"/>
          <w:szCs w:val="20"/>
          <w:lang w:val="pt-BR"/>
        </w:rPr>
        <w:t>do está</w:t>
      </w:r>
      <w:r w:rsidR="005A2381" w:rsidRPr="005D6E61">
        <w:rPr>
          <w:rFonts w:ascii="Cambria" w:hAnsi="Cambria"/>
          <w:sz w:val="20"/>
          <w:szCs w:val="20"/>
          <w:lang w:val="pt-BR"/>
        </w:rPr>
        <w:t xml:space="preserve"> na </w:t>
      </w:r>
      <w:r w:rsidR="003B42CF" w:rsidRPr="005D6E61">
        <w:rPr>
          <w:rFonts w:ascii="Cambria" w:hAnsi="Cambria"/>
          <w:sz w:val="20"/>
          <w:szCs w:val="20"/>
          <w:lang w:val="pt-BR"/>
        </w:rPr>
        <w:t>m</w:t>
      </w:r>
      <w:r w:rsidR="006A5764" w:rsidRPr="005D6E61">
        <w:rPr>
          <w:rFonts w:ascii="Cambria" w:hAnsi="Cambria"/>
          <w:sz w:val="20"/>
          <w:szCs w:val="20"/>
          <w:lang w:val="pt-BR"/>
        </w:rPr>
        <w:t>e</w:t>
      </w:r>
      <w:r w:rsidR="003B42CF" w:rsidRPr="005D6E61">
        <w:rPr>
          <w:rFonts w:ascii="Cambria" w:hAnsi="Cambria"/>
          <w:sz w:val="20"/>
          <w:szCs w:val="20"/>
          <w:lang w:val="pt-BR"/>
        </w:rPr>
        <w:t>sma situa</w:t>
      </w:r>
      <w:r w:rsidR="00A274D9" w:rsidRPr="005D6E61">
        <w:rPr>
          <w:rFonts w:ascii="Cambria" w:hAnsi="Cambria"/>
          <w:sz w:val="20"/>
          <w:szCs w:val="20"/>
          <w:lang w:val="pt-BR"/>
        </w:rPr>
        <w:t>ção</w:t>
      </w:r>
      <w:r w:rsidR="006A5764" w:rsidRPr="005D6E61">
        <w:rPr>
          <w:rFonts w:ascii="Cambria" w:hAnsi="Cambria"/>
          <w:sz w:val="20"/>
          <w:szCs w:val="20"/>
          <w:lang w:val="pt-BR"/>
        </w:rPr>
        <w:t>,</w:t>
      </w:r>
      <w:r w:rsidR="003B42CF" w:rsidRPr="005D6E61">
        <w:rPr>
          <w:rFonts w:ascii="Cambria" w:hAnsi="Cambria"/>
          <w:sz w:val="20"/>
          <w:szCs w:val="20"/>
          <w:lang w:val="pt-BR"/>
        </w:rPr>
        <w:t xml:space="preserve"> “n</w:t>
      </w:r>
      <w:r w:rsidR="006A5764" w:rsidRPr="005D6E61">
        <w:rPr>
          <w:rFonts w:ascii="Cambria" w:hAnsi="Cambria"/>
          <w:sz w:val="20"/>
          <w:szCs w:val="20"/>
          <w:lang w:val="pt-BR"/>
        </w:rPr>
        <w:t>enhum</w:t>
      </w:r>
      <w:r w:rsidR="003B42CF" w:rsidRPr="005D6E61">
        <w:rPr>
          <w:rFonts w:ascii="Cambria" w:hAnsi="Cambria"/>
          <w:sz w:val="20"/>
          <w:szCs w:val="20"/>
          <w:lang w:val="pt-BR"/>
        </w:rPr>
        <w:t xml:space="preserve"> ju</w:t>
      </w:r>
      <w:r w:rsidR="006A5764" w:rsidRPr="005D6E61">
        <w:rPr>
          <w:rFonts w:ascii="Cambria" w:hAnsi="Cambria"/>
          <w:sz w:val="20"/>
          <w:szCs w:val="20"/>
          <w:lang w:val="pt-BR"/>
        </w:rPr>
        <w:t>l</w:t>
      </w:r>
      <w:r w:rsidR="003B42CF" w:rsidRPr="005D6E61">
        <w:rPr>
          <w:rFonts w:ascii="Cambria" w:hAnsi="Cambria"/>
          <w:sz w:val="20"/>
          <w:szCs w:val="20"/>
          <w:lang w:val="pt-BR"/>
        </w:rPr>
        <w:t>ga</w:t>
      </w:r>
      <w:r w:rsidR="006A5764" w:rsidRPr="005D6E61">
        <w:rPr>
          <w:rFonts w:ascii="Cambria" w:hAnsi="Cambria"/>
          <w:sz w:val="20"/>
          <w:szCs w:val="20"/>
          <w:lang w:val="pt-BR"/>
        </w:rPr>
        <w:t>ment</w:t>
      </w:r>
      <w:r w:rsidR="003B42CF" w:rsidRPr="005D6E61">
        <w:rPr>
          <w:rFonts w:ascii="Cambria" w:hAnsi="Cambria"/>
          <w:sz w:val="20"/>
          <w:szCs w:val="20"/>
          <w:lang w:val="pt-BR"/>
        </w:rPr>
        <w:t>o, n</w:t>
      </w:r>
      <w:r w:rsidR="006A5764" w:rsidRPr="005D6E61">
        <w:rPr>
          <w:rFonts w:ascii="Cambria" w:hAnsi="Cambria"/>
          <w:sz w:val="20"/>
          <w:szCs w:val="20"/>
          <w:lang w:val="pt-BR"/>
        </w:rPr>
        <w:t>enhum</w:t>
      </w:r>
      <w:r w:rsidR="003B42CF" w:rsidRPr="005D6E61">
        <w:rPr>
          <w:rFonts w:ascii="Cambria" w:hAnsi="Cambria"/>
          <w:sz w:val="20"/>
          <w:szCs w:val="20"/>
          <w:lang w:val="pt-BR"/>
        </w:rPr>
        <w:t xml:space="preserve"> condenado, n</w:t>
      </w:r>
      <w:r w:rsidR="006A5764" w:rsidRPr="005D6E61">
        <w:rPr>
          <w:rFonts w:ascii="Cambria" w:hAnsi="Cambria"/>
          <w:sz w:val="20"/>
          <w:szCs w:val="20"/>
          <w:lang w:val="pt-BR"/>
        </w:rPr>
        <w:t xml:space="preserve">enhum </w:t>
      </w:r>
      <w:r w:rsidR="003B42CF" w:rsidRPr="005D6E61">
        <w:rPr>
          <w:rFonts w:ascii="Cambria" w:hAnsi="Cambria"/>
          <w:sz w:val="20"/>
          <w:szCs w:val="20"/>
          <w:lang w:val="pt-BR"/>
        </w:rPr>
        <w:t>abs</w:t>
      </w:r>
      <w:r w:rsidR="006A5764" w:rsidRPr="005D6E61">
        <w:rPr>
          <w:rFonts w:ascii="Cambria" w:hAnsi="Cambria"/>
          <w:sz w:val="20"/>
          <w:szCs w:val="20"/>
          <w:lang w:val="pt-BR"/>
        </w:rPr>
        <w:t>olvid</w:t>
      </w:r>
      <w:r w:rsidR="003B42CF" w:rsidRPr="005D6E61">
        <w:rPr>
          <w:rFonts w:ascii="Cambria" w:hAnsi="Cambria"/>
          <w:sz w:val="20"/>
          <w:szCs w:val="20"/>
          <w:lang w:val="pt-BR"/>
        </w:rPr>
        <w:t>o”</w:t>
      </w:r>
      <w:r w:rsidR="003B42CF" w:rsidRPr="005D6E61">
        <w:rPr>
          <w:rStyle w:val="FootnoteReference"/>
          <w:rFonts w:ascii="Cambria" w:hAnsi="Cambria"/>
          <w:sz w:val="20"/>
          <w:szCs w:val="20"/>
          <w:lang w:val="pt-BR"/>
        </w:rPr>
        <w:footnoteReference w:id="81"/>
      </w:r>
      <w:r w:rsidR="003B42CF" w:rsidRPr="005D6E61">
        <w:rPr>
          <w:rFonts w:ascii="Cambria" w:hAnsi="Cambria"/>
          <w:sz w:val="20"/>
          <w:szCs w:val="20"/>
          <w:lang w:val="pt-BR"/>
        </w:rPr>
        <w:t xml:space="preserve">. </w:t>
      </w:r>
    </w:p>
    <w:p w14:paraId="6052C974" w14:textId="77777777" w:rsidR="003E10E6" w:rsidRPr="005D6E61" w:rsidRDefault="003E10E6" w:rsidP="00455EFD">
      <w:pPr>
        <w:rPr>
          <w:sz w:val="20"/>
          <w:szCs w:val="20"/>
          <w:lang w:val="pt-BR"/>
        </w:rPr>
      </w:pPr>
    </w:p>
    <w:p w14:paraId="63075030" w14:textId="77777777" w:rsidR="003E10E6" w:rsidRPr="005D6E61" w:rsidRDefault="002D3F95"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P</w:t>
      </w:r>
      <w:r w:rsidR="003E10E6" w:rsidRPr="005D6E61">
        <w:rPr>
          <w:rFonts w:ascii="Cambria" w:hAnsi="Cambria"/>
          <w:sz w:val="20"/>
          <w:szCs w:val="20"/>
          <w:lang w:val="pt-BR"/>
        </w:rPr>
        <w:t>osterior</w:t>
      </w:r>
      <w:r w:rsidRPr="005D6E61">
        <w:rPr>
          <w:rFonts w:ascii="Cambria" w:hAnsi="Cambria"/>
          <w:sz w:val="20"/>
          <w:szCs w:val="20"/>
          <w:lang w:val="pt-BR"/>
        </w:rPr>
        <w:t>ment</w:t>
      </w:r>
      <w:r w:rsidR="00FB55C7" w:rsidRPr="005D6E61">
        <w:rPr>
          <w:rFonts w:ascii="Cambria" w:hAnsi="Cambria"/>
          <w:sz w:val="20"/>
          <w:szCs w:val="20"/>
          <w:lang w:val="pt-BR"/>
        </w:rPr>
        <w:t>e</w:t>
      </w:r>
      <w:r w:rsidRPr="005D6E61">
        <w:rPr>
          <w:rFonts w:ascii="Cambria" w:hAnsi="Cambria"/>
          <w:sz w:val="20"/>
          <w:szCs w:val="20"/>
          <w:lang w:val="pt-BR"/>
        </w:rPr>
        <w:t>, em</w:t>
      </w:r>
      <w:r w:rsidR="003E10E6" w:rsidRPr="005D6E61">
        <w:rPr>
          <w:rFonts w:ascii="Cambria" w:hAnsi="Cambria"/>
          <w:sz w:val="20"/>
          <w:szCs w:val="20"/>
          <w:lang w:val="pt-BR"/>
        </w:rPr>
        <w:t xml:space="preserve"> 2003, f</w:t>
      </w:r>
      <w:r w:rsidRPr="005D6E61">
        <w:rPr>
          <w:rFonts w:ascii="Cambria" w:hAnsi="Cambria"/>
          <w:sz w:val="20"/>
          <w:szCs w:val="20"/>
          <w:lang w:val="pt-BR"/>
        </w:rPr>
        <w:t>oram</w:t>
      </w:r>
      <w:r w:rsidR="003E10E6" w:rsidRPr="005D6E61">
        <w:rPr>
          <w:rFonts w:ascii="Cambria" w:hAnsi="Cambria"/>
          <w:sz w:val="20"/>
          <w:szCs w:val="20"/>
          <w:lang w:val="pt-BR"/>
        </w:rPr>
        <w:t xml:space="preserve"> suces</w:t>
      </w:r>
      <w:r w:rsidRPr="005D6E61">
        <w:rPr>
          <w:rFonts w:ascii="Cambria" w:hAnsi="Cambria"/>
          <w:sz w:val="20"/>
          <w:szCs w:val="20"/>
          <w:lang w:val="pt-BR"/>
        </w:rPr>
        <w:t>s</w:t>
      </w:r>
      <w:r w:rsidR="003E10E6" w:rsidRPr="005D6E61">
        <w:rPr>
          <w:rFonts w:ascii="Cambria" w:hAnsi="Cambria"/>
          <w:sz w:val="20"/>
          <w:szCs w:val="20"/>
          <w:lang w:val="pt-BR"/>
        </w:rPr>
        <w:t>ivamente renovadas</w:t>
      </w:r>
      <w:r w:rsidR="00F77B7F" w:rsidRPr="005D6E61">
        <w:rPr>
          <w:rFonts w:ascii="Cambria" w:hAnsi="Cambria"/>
          <w:sz w:val="20"/>
          <w:szCs w:val="20"/>
          <w:lang w:val="pt-BR"/>
        </w:rPr>
        <w:t xml:space="preserve"> as </w:t>
      </w:r>
      <w:r w:rsidRPr="005D6E61">
        <w:rPr>
          <w:rFonts w:ascii="Cambria" w:hAnsi="Cambria"/>
          <w:sz w:val="20"/>
          <w:szCs w:val="20"/>
          <w:lang w:val="pt-BR"/>
        </w:rPr>
        <w:t>o</w:t>
      </w:r>
      <w:r w:rsidR="003E10E6" w:rsidRPr="005D6E61">
        <w:rPr>
          <w:rFonts w:ascii="Cambria" w:hAnsi="Cambria"/>
          <w:sz w:val="20"/>
          <w:szCs w:val="20"/>
          <w:lang w:val="pt-BR"/>
        </w:rPr>
        <w:t>rdens de deten</w:t>
      </w:r>
      <w:r w:rsidR="00A274D9" w:rsidRPr="005D6E61">
        <w:rPr>
          <w:rFonts w:ascii="Cambria" w:hAnsi="Cambria"/>
          <w:sz w:val="20"/>
          <w:szCs w:val="20"/>
          <w:lang w:val="pt-BR"/>
        </w:rPr>
        <w:t>ção</w:t>
      </w:r>
      <w:r w:rsidR="003E10E6" w:rsidRPr="005D6E61">
        <w:rPr>
          <w:rFonts w:ascii="Cambria" w:hAnsi="Cambria"/>
          <w:sz w:val="20"/>
          <w:szCs w:val="20"/>
          <w:lang w:val="pt-BR"/>
        </w:rPr>
        <w:t xml:space="preserve"> contra Amauri José do Rego</w:t>
      </w:r>
      <w:r w:rsidR="003E10E6" w:rsidRPr="005D6E61">
        <w:rPr>
          <w:rStyle w:val="FootnoteReference"/>
          <w:rFonts w:ascii="Cambria" w:hAnsi="Cambria"/>
          <w:sz w:val="20"/>
          <w:szCs w:val="20"/>
          <w:lang w:val="pt-BR"/>
        </w:rPr>
        <w:footnoteReference w:id="82"/>
      </w:r>
      <w:r w:rsidR="006C5454" w:rsidRPr="005D6E61">
        <w:rPr>
          <w:rFonts w:ascii="Cambria" w:hAnsi="Cambria"/>
          <w:sz w:val="20"/>
          <w:szCs w:val="20"/>
          <w:lang w:val="pt-BR"/>
        </w:rPr>
        <w:t xml:space="preserve"> e </w:t>
      </w:r>
      <w:r w:rsidR="003E10E6" w:rsidRPr="005D6E61">
        <w:rPr>
          <w:rFonts w:ascii="Cambria" w:hAnsi="Cambria"/>
          <w:sz w:val="20"/>
          <w:szCs w:val="20"/>
          <w:lang w:val="pt-BR"/>
        </w:rPr>
        <w:t>Amaro José do Rego</w:t>
      </w:r>
      <w:r w:rsidR="003E10E6" w:rsidRPr="005D6E61">
        <w:rPr>
          <w:rStyle w:val="FootnoteReference"/>
          <w:rFonts w:ascii="Cambria" w:hAnsi="Cambria"/>
          <w:sz w:val="20"/>
          <w:szCs w:val="20"/>
          <w:lang w:val="pt-BR"/>
        </w:rPr>
        <w:footnoteReference w:id="83"/>
      </w:r>
      <w:r w:rsidR="003E10E6" w:rsidRPr="005D6E61">
        <w:rPr>
          <w:rFonts w:ascii="Cambria" w:hAnsi="Cambria"/>
          <w:sz w:val="20"/>
          <w:szCs w:val="20"/>
          <w:lang w:val="pt-BR"/>
        </w:rPr>
        <w:t>.</w:t>
      </w:r>
    </w:p>
    <w:p w14:paraId="2A9C349B" w14:textId="77777777" w:rsidR="003E10E6" w:rsidRPr="005D6E61" w:rsidRDefault="003E10E6" w:rsidP="003E10E6">
      <w:pPr>
        <w:tabs>
          <w:tab w:val="left" w:pos="1440"/>
        </w:tabs>
        <w:jc w:val="both"/>
        <w:rPr>
          <w:sz w:val="22"/>
          <w:szCs w:val="22"/>
          <w:lang w:val="pt-BR"/>
        </w:rPr>
      </w:pPr>
    </w:p>
    <w:p w14:paraId="459AD8C1" w14:textId="77777777" w:rsidR="003E10E6" w:rsidRPr="005D6E61" w:rsidRDefault="0092336D"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D</w:t>
      </w:r>
      <w:r w:rsidR="00361DA9" w:rsidRPr="005D6E61">
        <w:rPr>
          <w:rFonts w:ascii="Cambria" w:hAnsi="Cambria"/>
          <w:sz w:val="20"/>
          <w:szCs w:val="20"/>
          <w:lang w:val="pt-BR"/>
        </w:rPr>
        <w:t>o processo</w:t>
      </w:r>
      <w:r w:rsidRPr="005D6E61">
        <w:rPr>
          <w:rFonts w:ascii="Cambria" w:hAnsi="Cambria"/>
          <w:sz w:val="20"/>
          <w:szCs w:val="20"/>
          <w:lang w:val="pt-BR"/>
        </w:rPr>
        <w:t xml:space="preserve"> surge que e</w:t>
      </w:r>
      <w:r w:rsidR="003E10E6" w:rsidRPr="005D6E61">
        <w:rPr>
          <w:rFonts w:ascii="Cambria" w:hAnsi="Cambria"/>
          <w:sz w:val="20"/>
          <w:szCs w:val="20"/>
          <w:lang w:val="pt-BR"/>
        </w:rPr>
        <w:t>ntre 2007</w:t>
      </w:r>
      <w:r w:rsidR="006C5454" w:rsidRPr="005D6E61">
        <w:rPr>
          <w:rFonts w:ascii="Cambria" w:hAnsi="Cambria"/>
          <w:sz w:val="20"/>
          <w:szCs w:val="20"/>
          <w:lang w:val="pt-BR"/>
        </w:rPr>
        <w:t xml:space="preserve"> e </w:t>
      </w:r>
      <w:r w:rsidR="0031191B" w:rsidRPr="005D6E61">
        <w:rPr>
          <w:rFonts w:ascii="Cambria" w:hAnsi="Cambria"/>
          <w:sz w:val="20"/>
          <w:szCs w:val="20"/>
          <w:lang w:val="pt-BR"/>
        </w:rPr>
        <w:t>novembro</w:t>
      </w:r>
      <w:r w:rsidR="003E10E6" w:rsidRPr="005D6E61">
        <w:rPr>
          <w:rFonts w:ascii="Cambria" w:hAnsi="Cambria"/>
          <w:sz w:val="20"/>
          <w:szCs w:val="20"/>
          <w:lang w:val="pt-BR"/>
        </w:rPr>
        <w:t xml:space="preserve"> de 2009</w:t>
      </w:r>
      <w:r w:rsidR="00F77B7F" w:rsidRPr="005D6E61">
        <w:rPr>
          <w:rFonts w:ascii="Cambria" w:hAnsi="Cambria"/>
          <w:sz w:val="20"/>
          <w:szCs w:val="20"/>
          <w:lang w:val="pt-BR"/>
        </w:rPr>
        <w:t xml:space="preserve"> não </w:t>
      </w:r>
      <w:r w:rsidR="003E10E6" w:rsidRPr="005D6E61">
        <w:rPr>
          <w:rFonts w:ascii="Cambria" w:hAnsi="Cambria"/>
          <w:sz w:val="20"/>
          <w:szCs w:val="20"/>
          <w:lang w:val="pt-BR"/>
        </w:rPr>
        <w:t>se registr</w:t>
      </w:r>
      <w:r w:rsidR="00BF0B90" w:rsidRPr="005D6E61">
        <w:rPr>
          <w:rFonts w:ascii="Cambria" w:hAnsi="Cambria"/>
          <w:sz w:val="20"/>
          <w:szCs w:val="20"/>
          <w:lang w:val="pt-BR"/>
        </w:rPr>
        <w:t xml:space="preserve">ou </w:t>
      </w:r>
      <w:r w:rsidR="003E10E6" w:rsidRPr="005D6E61">
        <w:rPr>
          <w:rFonts w:ascii="Cambria" w:hAnsi="Cambria"/>
          <w:sz w:val="20"/>
          <w:szCs w:val="20"/>
          <w:lang w:val="pt-BR"/>
        </w:rPr>
        <w:t>ativi</w:t>
      </w:r>
      <w:r w:rsidR="00FB55C7" w:rsidRPr="005D6E61">
        <w:rPr>
          <w:rFonts w:ascii="Cambria" w:hAnsi="Cambria"/>
          <w:sz w:val="20"/>
          <w:szCs w:val="20"/>
          <w:lang w:val="pt-BR"/>
        </w:rPr>
        <w:t xml:space="preserve">dade </w:t>
      </w:r>
      <w:r w:rsidR="003E10E6" w:rsidRPr="005D6E61">
        <w:rPr>
          <w:rFonts w:ascii="Cambria" w:hAnsi="Cambria"/>
          <w:sz w:val="20"/>
          <w:szCs w:val="20"/>
          <w:lang w:val="pt-BR"/>
        </w:rPr>
        <w:t>proces</w:t>
      </w:r>
      <w:r w:rsidR="00E93551" w:rsidRPr="005D6E61">
        <w:rPr>
          <w:rFonts w:ascii="Cambria" w:hAnsi="Cambria"/>
          <w:sz w:val="20"/>
          <w:szCs w:val="20"/>
          <w:lang w:val="pt-BR"/>
        </w:rPr>
        <w:t>su</w:t>
      </w:r>
      <w:r w:rsidR="003E10E6" w:rsidRPr="005D6E61">
        <w:rPr>
          <w:rFonts w:ascii="Cambria" w:hAnsi="Cambria"/>
          <w:sz w:val="20"/>
          <w:szCs w:val="20"/>
          <w:lang w:val="pt-BR"/>
        </w:rPr>
        <w:t xml:space="preserve">al. </w:t>
      </w:r>
    </w:p>
    <w:p w14:paraId="607A31AA" w14:textId="77777777" w:rsidR="003E10E6" w:rsidRPr="005D6E61" w:rsidRDefault="003E10E6" w:rsidP="003E10E6">
      <w:pPr>
        <w:pStyle w:val="ListParagraph"/>
        <w:rPr>
          <w:sz w:val="20"/>
          <w:szCs w:val="20"/>
          <w:lang w:val="pt-BR"/>
        </w:rPr>
      </w:pPr>
    </w:p>
    <w:p w14:paraId="4AD02086" w14:textId="77777777" w:rsidR="003E10E6" w:rsidRPr="005D6E61" w:rsidRDefault="00EC647E" w:rsidP="003E10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Em</w:t>
      </w:r>
      <w:r w:rsidR="003E10E6" w:rsidRPr="005D6E61">
        <w:rPr>
          <w:rFonts w:ascii="Cambria" w:hAnsi="Cambria"/>
          <w:sz w:val="20"/>
          <w:szCs w:val="20"/>
          <w:lang w:val="pt-BR"/>
        </w:rPr>
        <w:t xml:space="preserve"> 10 de </w:t>
      </w:r>
      <w:r w:rsidR="003619A0" w:rsidRPr="005D6E61">
        <w:rPr>
          <w:rFonts w:ascii="Cambria" w:hAnsi="Cambria"/>
          <w:sz w:val="20"/>
          <w:szCs w:val="20"/>
          <w:lang w:val="pt-BR"/>
        </w:rPr>
        <w:t>dezembro</w:t>
      </w:r>
      <w:r w:rsidR="003E10E6" w:rsidRPr="005D6E61">
        <w:rPr>
          <w:rFonts w:ascii="Cambria" w:hAnsi="Cambria"/>
          <w:sz w:val="20"/>
          <w:szCs w:val="20"/>
          <w:lang w:val="pt-BR"/>
        </w:rPr>
        <w:t xml:space="preserve"> de 2009 declar</w:t>
      </w:r>
      <w:r w:rsidR="00BF0B90" w:rsidRPr="005D6E61">
        <w:rPr>
          <w:rFonts w:ascii="Cambria" w:hAnsi="Cambria"/>
          <w:sz w:val="20"/>
          <w:szCs w:val="20"/>
          <w:lang w:val="pt-BR"/>
        </w:rPr>
        <w:t>ou</w:t>
      </w:r>
      <w:r w:rsidR="00E93551" w:rsidRPr="005D6E61">
        <w:rPr>
          <w:rFonts w:ascii="Cambria" w:hAnsi="Cambria"/>
          <w:sz w:val="20"/>
          <w:szCs w:val="20"/>
          <w:lang w:val="pt-BR"/>
        </w:rPr>
        <w:t>-se</w:t>
      </w:r>
      <w:r w:rsidR="00BF0B90" w:rsidRPr="005D6E61">
        <w:rPr>
          <w:rFonts w:ascii="Cambria" w:hAnsi="Cambria"/>
          <w:sz w:val="20"/>
          <w:szCs w:val="20"/>
          <w:lang w:val="pt-BR"/>
        </w:rPr>
        <w:t xml:space="preserve"> </w:t>
      </w:r>
      <w:r w:rsidR="00331E62" w:rsidRPr="005D6E61">
        <w:rPr>
          <w:rFonts w:ascii="Cambria" w:hAnsi="Cambria"/>
          <w:sz w:val="20"/>
          <w:szCs w:val="20"/>
          <w:lang w:val="pt-BR"/>
        </w:rPr>
        <w:t xml:space="preserve">a </w:t>
      </w:r>
      <w:r w:rsidR="003E10E6" w:rsidRPr="005D6E61">
        <w:rPr>
          <w:rFonts w:ascii="Cambria" w:hAnsi="Cambria"/>
          <w:sz w:val="20"/>
          <w:szCs w:val="20"/>
          <w:lang w:val="pt-BR"/>
        </w:rPr>
        <w:t>prescri</w:t>
      </w:r>
      <w:r w:rsidR="00A274D9" w:rsidRPr="005D6E61">
        <w:rPr>
          <w:rFonts w:ascii="Cambria" w:hAnsi="Cambria"/>
          <w:sz w:val="20"/>
          <w:szCs w:val="20"/>
          <w:lang w:val="pt-BR"/>
        </w:rPr>
        <w:t>ção</w:t>
      </w:r>
      <w:r w:rsidR="0029786D" w:rsidRPr="005D6E61">
        <w:rPr>
          <w:rFonts w:ascii="Cambria" w:hAnsi="Cambria"/>
          <w:sz w:val="20"/>
          <w:szCs w:val="20"/>
          <w:lang w:val="pt-BR"/>
        </w:rPr>
        <w:t xml:space="preserve"> da ação</w:t>
      </w:r>
      <w:r w:rsidR="003E10E6" w:rsidRPr="005D6E61">
        <w:rPr>
          <w:rFonts w:ascii="Cambria" w:hAnsi="Cambria"/>
          <w:sz w:val="20"/>
          <w:szCs w:val="20"/>
          <w:lang w:val="pt-BR"/>
        </w:rPr>
        <w:t xml:space="preserve"> contra Amauri José do Rego</w:t>
      </w:r>
      <w:r w:rsidR="006C5454" w:rsidRPr="005D6E61">
        <w:rPr>
          <w:rFonts w:ascii="Cambria" w:hAnsi="Cambria"/>
          <w:sz w:val="20"/>
          <w:szCs w:val="20"/>
          <w:lang w:val="pt-BR"/>
        </w:rPr>
        <w:t xml:space="preserve"> e </w:t>
      </w:r>
      <w:r w:rsidR="003E10E6" w:rsidRPr="005D6E61">
        <w:rPr>
          <w:rFonts w:ascii="Cambria" w:hAnsi="Cambria"/>
          <w:sz w:val="20"/>
          <w:szCs w:val="20"/>
          <w:lang w:val="pt-BR"/>
        </w:rPr>
        <w:t>Amaro José do Rego</w:t>
      </w:r>
      <w:r w:rsidR="003E10E6" w:rsidRPr="005D6E61">
        <w:rPr>
          <w:rStyle w:val="FootnoteReference"/>
          <w:rFonts w:ascii="Cambria" w:hAnsi="Cambria"/>
          <w:sz w:val="20"/>
          <w:szCs w:val="20"/>
          <w:lang w:val="pt-BR"/>
        </w:rPr>
        <w:footnoteReference w:id="84"/>
      </w:r>
      <w:r w:rsidR="003E10E6" w:rsidRPr="005D6E61">
        <w:rPr>
          <w:rFonts w:ascii="Cambria" w:hAnsi="Cambria"/>
          <w:sz w:val="20"/>
          <w:szCs w:val="20"/>
          <w:lang w:val="pt-BR"/>
        </w:rPr>
        <w:t>. Por cons</w:t>
      </w:r>
      <w:r w:rsidR="0074105E" w:rsidRPr="005D6E61">
        <w:rPr>
          <w:rFonts w:ascii="Cambria" w:hAnsi="Cambria"/>
          <w:sz w:val="20"/>
          <w:szCs w:val="20"/>
          <w:lang w:val="pt-BR"/>
        </w:rPr>
        <w:t>e</w:t>
      </w:r>
      <w:r w:rsidR="003E10E6" w:rsidRPr="005D6E61">
        <w:rPr>
          <w:rFonts w:ascii="Cambria" w:hAnsi="Cambria"/>
          <w:sz w:val="20"/>
          <w:szCs w:val="20"/>
          <w:lang w:val="pt-BR"/>
        </w:rPr>
        <w:t>guinte,</w:t>
      </w:r>
      <w:r w:rsidR="00331E62" w:rsidRPr="005D6E61">
        <w:rPr>
          <w:rFonts w:ascii="Cambria" w:hAnsi="Cambria"/>
          <w:sz w:val="20"/>
          <w:szCs w:val="20"/>
          <w:lang w:val="pt-BR"/>
        </w:rPr>
        <w:t xml:space="preserve"> o </w:t>
      </w:r>
      <w:r w:rsidR="0074105E" w:rsidRPr="005D6E61">
        <w:rPr>
          <w:rFonts w:ascii="Cambria" w:hAnsi="Cambria"/>
          <w:sz w:val="20"/>
          <w:szCs w:val="20"/>
          <w:lang w:val="pt-BR"/>
        </w:rPr>
        <w:t>processo</w:t>
      </w:r>
      <w:r w:rsidR="003E10E6" w:rsidRPr="005D6E61">
        <w:rPr>
          <w:rFonts w:ascii="Cambria" w:hAnsi="Cambria"/>
          <w:sz w:val="20"/>
          <w:szCs w:val="20"/>
          <w:lang w:val="pt-BR"/>
        </w:rPr>
        <w:t xml:space="preserve"> judicial f</w:t>
      </w:r>
      <w:r w:rsidR="0074105E" w:rsidRPr="005D6E61">
        <w:rPr>
          <w:rFonts w:ascii="Cambria" w:hAnsi="Cambria"/>
          <w:sz w:val="20"/>
          <w:szCs w:val="20"/>
          <w:lang w:val="pt-BR"/>
        </w:rPr>
        <w:t>oi</w:t>
      </w:r>
      <w:r w:rsidR="003E10E6" w:rsidRPr="005D6E61">
        <w:rPr>
          <w:rFonts w:ascii="Cambria" w:hAnsi="Cambria"/>
          <w:sz w:val="20"/>
          <w:szCs w:val="20"/>
          <w:lang w:val="pt-BR"/>
        </w:rPr>
        <w:t xml:space="preserve"> ar</w:t>
      </w:r>
      <w:r w:rsidR="00E93551" w:rsidRPr="005D6E61">
        <w:rPr>
          <w:rFonts w:ascii="Cambria" w:hAnsi="Cambria"/>
          <w:sz w:val="20"/>
          <w:szCs w:val="20"/>
          <w:lang w:val="pt-BR"/>
        </w:rPr>
        <w:t>qu</w:t>
      </w:r>
      <w:r w:rsidR="003E10E6" w:rsidRPr="005D6E61">
        <w:rPr>
          <w:rFonts w:ascii="Cambria" w:hAnsi="Cambria"/>
          <w:sz w:val="20"/>
          <w:szCs w:val="20"/>
          <w:lang w:val="pt-BR"/>
        </w:rPr>
        <w:t>ivado</w:t>
      </w:r>
      <w:r w:rsidR="003E10E6" w:rsidRPr="005D6E61">
        <w:rPr>
          <w:rStyle w:val="FootnoteReference"/>
          <w:rFonts w:ascii="Cambria" w:hAnsi="Cambria"/>
          <w:sz w:val="20"/>
          <w:szCs w:val="20"/>
          <w:lang w:val="pt-BR"/>
        </w:rPr>
        <w:footnoteReference w:id="85"/>
      </w:r>
      <w:r w:rsidR="003E10E6" w:rsidRPr="005D6E61">
        <w:rPr>
          <w:rFonts w:ascii="Cambria" w:hAnsi="Cambria"/>
          <w:sz w:val="20"/>
          <w:szCs w:val="20"/>
          <w:lang w:val="pt-BR"/>
        </w:rPr>
        <w:t>.</w:t>
      </w:r>
    </w:p>
    <w:p w14:paraId="2D7C7F62" w14:textId="77777777" w:rsidR="0074105E" w:rsidRPr="005D6E61" w:rsidRDefault="0074105E" w:rsidP="0074105E">
      <w:pPr>
        <w:pStyle w:val="Heading3"/>
        <w:numPr>
          <w:ilvl w:val="1"/>
          <w:numId w:val="54"/>
        </w:numPr>
        <w:tabs>
          <w:tab w:val="clear" w:pos="1800"/>
          <w:tab w:val="num" w:pos="1440"/>
        </w:tabs>
        <w:ind w:hanging="1080"/>
        <w:rPr>
          <w:sz w:val="20"/>
          <w:szCs w:val="20"/>
          <w:lang w:val="pt-BR"/>
        </w:rPr>
      </w:pPr>
      <w:bookmarkStart w:id="19" w:name="_Toc496103827"/>
      <w:bookmarkStart w:id="20" w:name="_Toc27990565"/>
      <w:r w:rsidRPr="005D6E61">
        <w:rPr>
          <w:rFonts w:asciiTheme="majorHAnsi" w:hAnsiTheme="majorHAnsi"/>
          <w:sz w:val="20"/>
          <w:szCs w:val="20"/>
          <w:lang w:val="pt-BR"/>
        </w:rPr>
        <w:t>Investigação complementar com base no testemunho de Maria do Socorro Neves</w:t>
      </w:r>
      <w:bookmarkEnd w:id="19"/>
      <w:bookmarkEnd w:id="20"/>
      <w:r w:rsidRPr="005D6E61">
        <w:rPr>
          <w:rFonts w:asciiTheme="majorHAnsi" w:hAnsiTheme="majorHAnsi"/>
          <w:sz w:val="20"/>
          <w:szCs w:val="20"/>
          <w:lang w:val="pt-BR"/>
        </w:rPr>
        <w:t xml:space="preserve"> </w:t>
      </w:r>
    </w:p>
    <w:p w14:paraId="1C2FB01D" w14:textId="77777777" w:rsidR="0074105E" w:rsidRPr="005D6E61" w:rsidRDefault="0074105E" w:rsidP="0074105E">
      <w:pPr>
        <w:rPr>
          <w:lang w:val="pt-BR"/>
        </w:rPr>
      </w:pPr>
    </w:p>
    <w:p w14:paraId="6C841662"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Em 1º de agosto de 1986 prestou testemunho </w:t>
      </w:r>
      <w:r w:rsidR="00361DA9" w:rsidRPr="005D6E61">
        <w:rPr>
          <w:rFonts w:ascii="Cambria" w:hAnsi="Cambria"/>
          <w:sz w:val="20"/>
          <w:szCs w:val="20"/>
          <w:lang w:val="pt-BR"/>
        </w:rPr>
        <w:t>à</w:t>
      </w:r>
      <w:r w:rsidRPr="005D6E61">
        <w:rPr>
          <w:rFonts w:ascii="Cambria" w:hAnsi="Cambria"/>
          <w:sz w:val="20"/>
          <w:szCs w:val="20"/>
          <w:lang w:val="pt-BR"/>
        </w:rPr>
        <w:t xml:space="preserve"> Polícia Civil de Alagoa Grande</w:t>
      </w:r>
      <w:r w:rsidR="00333A4A" w:rsidRPr="005D6E61">
        <w:rPr>
          <w:rFonts w:ascii="Cambria" w:hAnsi="Cambria"/>
          <w:sz w:val="20"/>
          <w:szCs w:val="20"/>
          <w:lang w:val="pt-BR"/>
        </w:rPr>
        <w:t>,</w:t>
      </w:r>
      <w:r w:rsidRPr="005D6E61">
        <w:rPr>
          <w:rFonts w:ascii="Cambria" w:hAnsi="Cambria"/>
          <w:sz w:val="20"/>
          <w:szCs w:val="20"/>
          <w:lang w:val="pt-BR"/>
        </w:rPr>
        <w:t xml:space="preserve"> Maria </w:t>
      </w:r>
      <w:r w:rsidR="00361DA9" w:rsidRPr="005D6E61">
        <w:rPr>
          <w:rFonts w:ascii="Cambria" w:hAnsi="Cambria"/>
          <w:sz w:val="20"/>
          <w:szCs w:val="20"/>
          <w:lang w:val="pt-BR"/>
        </w:rPr>
        <w:t>d</w:t>
      </w:r>
      <w:r w:rsidRPr="005D6E61">
        <w:rPr>
          <w:rFonts w:ascii="Cambria" w:hAnsi="Cambria"/>
          <w:sz w:val="20"/>
          <w:szCs w:val="20"/>
          <w:lang w:val="pt-BR"/>
        </w:rPr>
        <w:t>o Socorro Neves de Araújo, esposa de Severino de Genésio</w:t>
      </w:r>
      <w:r w:rsidR="00361DA9" w:rsidRPr="005D6E61">
        <w:rPr>
          <w:rFonts w:ascii="Cambria" w:hAnsi="Cambria"/>
          <w:sz w:val="20"/>
          <w:szCs w:val="20"/>
          <w:lang w:val="pt-BR"/>
        </w:rPr>
        <w:t>,</w:t>
      </w:r>
      <w:r w:rsidRPr="005D6E61">
        <w:rPr>
          <w:rFonts w:ascii="Cambria" w:hAnsi="Cambria"/>
          <w:sz w:val="20"/>
          <w:szCs w:val="20"/>
          <w:lang w:val="pt-BR"/>
        </w:rPr>
        <w:t xml:space="preserve"> supostamente envolvido no </w:t>
      </w:r>
      <w:r w:rsidR="00397588" w:rsidRPr="005D6E61">
        <w:rPr>
          <w:rFonts w:ascii="Cambria" w:hAnsi="Cambria"/>
          <w:sz w:val="20"/>
          <w:szCs w:val="20"/>
          <w:lang w:val="pt-BR"/>
        </w:rPr>
        <w:t>crime</w:t>
      </w:r>
      <w:r w:rsidRPr="005D6E61">
        <w:rPr>
          <w:rFonts w:ascii="Cambria" w:hAnsi="Cambria"/>
          <w:sz w:val="20"/>
          <w:szCs w:val="20"/>
          <w:lang w:val="pt-BR"/>
        </w:rPr>
        <w:t xml:space="preserve"> contra a suposta vítima</w:t>
      </w:r>
      <w:r w:rsidRPr="005D6E61">
        <w:rPr>
          <w:rFonts w:ascii="Cambria" w:hAnsi="Cambria"/>
          <w:sz w:val="20"/>
          <w:szCs w:val="20"/>
          <w:vertAlign w:val="superscript"/>
          <w:lang w:val="pt-BR"/>
        </w:rPr>
        <w:footnoteReference w:id="86"/>
      </w:r>
      <w:r w:rsidRPr="005D6E61">
        <w:rPr>
          <w:rFonts w:ascii="Cambria" w:hAnsi="Cambria"/>
          <w:sz w:val="20"/>
          <w:szCs w:val="20"/>
          <w:lang w:val="pt-BR"/>
        </w:rPr>
        <w:t>. Essa pessoa declarou que o assassinato foi planejado pelo Grupo da Várzea. Também</w:t>
      </w:r>
      <w:r w:rsidR="00361DA9" w:rsidRPr="005D6E61">
        <w:rPr>
          <w:rFonts w:ascii="Cambria" w:hAnsi="Cambria"/>
          <w:sz w:val="20"/>
          <w:szCs w:val="20"/>
          <w:lang w:val="pt-BR"/>
        </w:rPr>
        <w:t xml:space="preserve"> mencionou</w:t>
      </w:r>
      <w:r w:rsidRPr="005D6E61">
        <w:rPr>
          <w:rFonts w:ascii="Cambria" w:hAnsi="Cambria"/>
          <w:sz w:val="20"/>
          <w:szCs w:val="20"/>
          <w:lang w:val="pt-BR"/>
        </w:rPr>
        <w:t xml:space="preserve"> que seu esposo acompanhou Edmar Paes de Araújo, um </w:t>
      </w:r>
      <w:r w:rsidR="00361DA9" w:rsidRPr="005D6E61">
        <w:rPr>
          <w:rFonts w:ascii="Cambria" w:hAnsi="Cambria"/>
          <w:sz w:val="20"/>
          <w:szCs w:val="20"/>
          <w:lang w:val="pt-BR"/>
        </w:rPr>
        <w:t>fazendeiro,</w:t>
      </w:r>
      <w:r w:rsidRPr="005D6E61">
        <w:rPr>
          <w:rFonts w:ascii="Cambria" w:hAnsi="Cambria"/>
          <w:sz w:val="20"/>
          <w:szCs w:val="20"/>
          <w:lang w:val="pt-BR"/>
        </w:rPr>
        <w:t xml:space="preserve"> e o soldado Betâneo Carneiro dos Santos até a casa de Margarida </w:t>
      </w:r>
      <w:r w:rsidRPr="005D6E61">
        <w:rPr>
          <w:rFonts w:ascii="Cambria" w:eastAsia="Calibri" w:hAnsi="Cambria"/>
          <w:sz w:val="20"/>
          <w:szCs w:val="20"/>
          <w:lang w:val="pt-BR"/>
        </w:rPr>
        <w:t>Maria Alves</w:t>
      </w:r>
      <w:r w:rsidRPr="005D6E61">
        <w:rPr>
          <w:rFonts w:ascii="Cambria" w:hAnsi="Cambria"/>
          <w:sz w:val="20"/>
          <w:szCs w:val="20"/>
          <w:lang w:val="pt-BR"/>
        </w:rPr>
        <w:t xml:space="preserve"> na noite anterior a seu assassinato </w:t>
      </w:r>
      <w:r w:rsidR="00361DA9" w:rsidRPr="005D6E61">
        <w:rPr>
          <w:rFonts w:ascii="Cambria" w:hAnsi="Cambria"/>
          <w:sz w:val="20"/>
          <w:szCs w:val="20"/>
          <w:lang w:val="pt-BR"/>
        </w:rPr>
        <w:t>n</w:t>
      </w:r>
      <w:r w:rsidRPr="005D6E61">
        <w:rPr>
          <w:rFonts w:ascii="Cambria" w:hAnsi="Cambria"/>
          <w:sz w:val="20"/>
          <w:szCs w:val="20"/>
          <w:lang w:val="pt-BR"/>
        </w:rPr>
        <w:t>um carro Opala vermelh</w:t>
      </w:r>
      <w:r w:rsidR="00361DA9" w:rsidRPr="005D6E61">
        <w:rPr>
          <w:rFonts w:ascii="Cambria" w:hAnsi="Cambria"/>
          <w:sz w:val="20"/>
          <w:szCs w:val="20"/>
          <w:lang w:val="pt-BR"/>
        </w:rPr>
        <w:t>o</w:t>
      </w:r>
      <w:r w:rsidRPr="005D6E61">
        <w:rPr>
          <w:rStyle w:val="FootnoteReference"/>
          <w:rFonts w:ascii="Cambria" w:hAnsi="Cambria"/>
          <w:sz w:val="20"/>
          <w:szCs w:val="20"/>
          <w:lang w:val="pt-BR"/>
        </w:rPr>
        <w:footnoteReference w:id="87"/>
      </w:r>
      <w:r w:rsidRPr="005D6E61">
        <w:rPr>
          <w:rFonts w:ascii="Cambria" w:hAnsi="Cambria"/>
          <w:sz w:val="20"/>
          <w:szCs w:val="20"/>
          <w:lang w:val="pt-BR"/>
        </w:rPr>
        <w:t>.  Por outro lado, indicou que</w:t>
      </w:r>
      <w:r w:rsidR="00361DA9" w:rsidRPr="005D6E61">
        <w:rPr>
          <w:rFonts w:ascii="Cambria" w:hAnsi="Cambria"/>
          <w:sz w:val="20"/>
          <w:szCs w:val="20"/>
          <w:lang w:val="pt-BR"/>
        </w:rPr>
        <w:t>,</w:t>
      </w:r>
      <w:r w:rsidRPr="005D6E61">
        <w:rPr>
          <w:rFonts w:ascii="Cambria" w:hAnsi="Cambria"/>
          <w:sz w:val="20"/>
          <w:szCs w:val="20"/>
          <w:lang w:val="pt-BR"/>
        </w:rPr>
        <w:t xml:space="preserve"> quando seu esposo começou a falar do assassinato</w:t>
      </w:r>
      <w:r w:rsidR="00361DA9" w:rsidRPr="005D6E61">
        <w:rPr>
          <w:rFonts w:ascii="Cambria" w:hAnsi="Cambria"/>
          <w:sz w:val="20"/>
          <w:szCs w:val="20"/>
          <w:lang w:val="pt-BR"/>
        </w:rPr>
        <w:t>,</w:t>
      </w:r>
      <w:r w:rsidRPr="005D6E61">
        <w:rPr>
          <w:rFonts w:ascii="Cambria" w:hAnsi="Cambria"/>
          <w:sz w:val="20"/>
          <w:szCs w:val="20"/>
          <w:lang w:val="pt-BR"/>
        </w:rPr>
        <w:t xml:space="preserve"> foi ameaçado por Edmar Paes de Araújo</w:t>
      </w:r>
      <w:r w:rsidR="00361DA9" w:rsidRPr="005D6E61">
        <w:rPr>
          <w:rFonts w:ascii="Cambria" w:hAnsi="Cambria"/>
          <w:sz w:val="20"/>
          <w:szCs w:val="20"/>
          <w:lang w:val="pt-BR"/>
        </w:rPr>
        <w:t>,</w:t>
      </w:r>
      <w:r w:rsidRPr="005D6E61">
        <w:rPr>
          <w:rFonts w:ascii="Cambria" w:hAnsi="Cambria"/>
          <w:sz w:val="20"/>
          <w:szCs w:val="20"/>
          <w:lang w:val="pt-BR"/>
        </w:rPr>
        <w:t xml:space="preserve"> que lhe disse que se calasse ou “podia mandar queimá-lo”. </w:t>
      </w:r>
      <w:r w:rsidR="00361DA9" w:rsidRPr="005D6E61">
        <w:rPr>
          <w:rFonts w:ascii="Cambria" w:hAnsi="Cambria"/>
          <w:sz w:val="20"/>
          <w:szCs w:val="20"/>
          <w:lang w:val="pt-BR"/>
        </w:rPr>
        <w:t xml:space="preserve">Afirmou </w:t>
      </w:r>
      <w:r w:rsidRPr="005D6E61">
        <w:rPr>
          <w:rFonts w:ascii="Cambria" w:hAnsi="Cambria"/>
          <w:sz w:val="20"/>
          <w:szCs w:val="20"/>
          <w:lang w:val="pt-BR"/>
        </w:rPr>
        <w:t>que seu esposo foi encontrado morto fora de seu carro no dia 13 de janeiro de 1986</w:t>
      </w:r>
      <w:r w:rsidRPr="005D6E61">
        <w:rPr>
          <w:rStyle w:val="FootnoteReference"/>
          <w:rFonts w:ascii="Cambria" w:hAnsi="Cambria"/>
          <w:sz w:val="20"/>
          <w:szCs w:val="20"/>
          <w:lang w:val="pt-BR"/>
        </w:rPr>
        <w:footnoteReference w:id="88"/>
      </w:r>
      <w:r w:rsidRPr="005D6E61">
        <w:rPr>
          <w:rFonts w:ascii="Cambria" w:hAnsi="Cambria"/>
          <w:sz w:val="20"/>
          <w:szCs w:val="20"/>
          <w:lang w:val="pt-BR"/>
        </w:rPr>
        <w:t xml:space="preserve">.  </w:t>
      </w:r>
    </w:p>
    <w:p w14:paraId="225BA33E" w14:textId="77777777" w:rsidR="0074105E" w:rsidRPr="005D6E61" w:rsidRDefault="0074105E" w:rsidP="0074105E">
      <w:pPr>
        <w:tabs>
          <w:tab w:val="left" w:pos="1440"/>
          <w:tab w:val="num" w:pos="2040"/>
        </w:tabs>
        <w:ind w:left="720"/>
        <w:jc w:val="both"/>
        <w:rPr>
          <w:rFonts w:ascii="Cambria" w:hAnsi="Cambria"/>
          <w:sz w:val="20"/>
          <w:szCs w:val="20"/>
          <w:lang w:val="pt-BR"/>
        </w:rPr>
      </w:pPr>
    </w:p>
    <w:p w14:paraId="30923BE5" w14:textId="77777777" w:rsidR="0074105E" w:rsidRPr="005D6E61" w:rsidRDefault="00397588"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Indicou nesse testemunho que o s</w:t>
      </w:r>
      <w:r w:rsidR="0074105E" w:rsidRPr="005D6E61">
        <w:rPr>
          <w:rFonts w:ascii="Cambria" w:hAnsi="Cambria"/>
          <w:sz w:val="20"/>
          <w:szCs w:val="20"/>
          <w:lang w:val="pt-BR"/>
        </w:rPr>
        <w:t xml:space="preserve">argento Aldenis Cunha a </w:t>
      </w:r>
      <w:r w:rsidR="00361DA9" w:rsidRPr="005D6E61">
        <w:rPr>
          <w:rFonts w:ascii="Cambria" w:hAnsi="Cambria"/>
          <w:sz w:val="20"/>
          <w:szCs w:val="20"/>
          <w:lang w:val="pt-BR"/>
        </w:rPr>
        <w:t>procur</w:t>
      </w:r>
      <w:r w:rsidR="0074105E" w:rsidRPr="005D6E61">
        <w:rPr>
          <w:rFonts w:ascii="Cambria" w:hAnsi="Cambria"/>
          <w:sz w:val="20"/>
          <w:szCs w:val="20"/>
          <w:lang w:val="pt-BR"/>
        </w:rPr>
        <w:t xml:space="preserve">ou para dizer-lhe que o assassinato de seu esposo havia sido uma “queima de arquivo” e que Betâneo Carneiro foi o responsável </w:t>
      </w:r>
      <w:r w:rsidR="00361DA9" w:rsidRPr="005D6E61">
        <w:rPr>
          <w:rFonts w:ascii="Cambria" w:hAnsi="Cambria"/>
          <w:sz w:val="20"/>
          <w:szCs w:val="20"/>
          <w:lang w:val="pt-BR"/>
        </w:rPr>
        <w:t>por</w:t>
      </w:r>
      <w:r w:rsidR="0074105E" w:rsidRPr="005D6E61">
        <w:rPr>
          <w:rFonts w:ascii="Cambria" w:hAnsi="Cambria"/>
          <w:sz w:val="20"/>
          <w:szCs w:val="20"/>
          <w:lang w:val="pt-BR"/>
        </w:rPr>
        <w:t xml:space="preserve"> seu assassinato</w:t>
      </w:r>
      <w:r w:rsidR="0074105E" w:rsidRPr="005D6E61">
        <w:rPr>
          <w:rStyle w:val="FootnoteReference"/>
          <w:rFonts w:ascii="Cambria" w:hAnsi="Cambria"/>
          <w:sz w:val="20"/>
          <w:szCs w:val="20"/>
          <w:lang w:val="pt-BR"/>
        </w:rPr>
        <w:footnoteReference w:id="89"/>
      </w:r>
      <w:r w:rsidR="0074105E" w:rsidRPr="005D6E61">
        <w:rPr>
          <w:rFonts w:ascii="Cambria" w:hAnsi="Cambria"/>
          <w:sz w:val="20"/>
          <w:szCs w:val="20"/>
          <w:lang w:val="pt-BR"/>
        </w:rPr>
        <w:t>. Segundo informação de conhecimento</w:t>
      </w:r>
      <w:r w:rsidR="00361DA9" w:rsidRPr="005D6E61">
        <w:rPr>
          <w:rFonts w:ascii="Cambria" w:hAnsi="Cambria"/>
          <w:sz w:val="20"/>
          <w:szCs w:val="20"/>
          <w:lang w:val="pt-BR"/>
        </w:rPr>
        <w:t xml:space="preserve"> público</w:t>
      </w:r>
      <w:r w:rsidR="0074105E" w:rsidRPr="005D6E61">
        <w:rPr>
          <w:rFonts w:ascii="Cambria" w:hAnsi="Cambria"/>
          <w:sz w:val="20"/>
          <w:szCs w:val="20"/>
          <w:lang w:val="pt-BR"/>
        </w:rPr>
        <w:t>, em julho de 1986 o sargento Aldenis Cunha Lima foi assassinado</w:t>
      </w:r>
      <w:r w:rsidR="0074105E" w:rsidRPr="005D6E61">
        <w:rPr>
          <w:rStyle w:val="FootnoteReference"/>
          <w:rFonts w:ascii="Cambria" w:hAnsi="Cambria"/>
          <w:sz w:val="20"/>
          <w:szCs w:val="20"/>
          <w:lang w:val="pt-BR"/>
        </w:rPr>
        <w:footnoteReference w:id="90"/>
      </w:r>
      <w:r w:rsidR="0074105E" w:rsidRPr="005D6E61">
        <w:rPr>
          <w:rFonts w:ascii="Cambria" w:hAnsi="Cambria"/>
          <w:sz w:val="20"/>
          <w:szCs w:val="20"/>
          <w:lang w:val="pt-BR"/>
        </w:rPr>
        <w:t>.  Edmar Paes de Araújo faleceu em 1986</w:t>
      </w:r>
      <w:r w:rsidR="0074105E" w:rsidRPr="005D6E61">
        <w:rPr>
          <w:rStyle w:val="FootnoteReference"/>
          <w:rFonts w:ascii="Cambria" w:hAnsi="Cambria"/>
          <w:sz w:val="20"/>
          <w:szCs w:val="20"/>
          <w:lang w:val="pt-BR"/>
        </w:rPr>
        <w:footnoteReference w:id="91"/>
      </w:r>
      <w:r w:rsidR="0074105E" w:rsidRPr="005D6E61">
        <w:rPr>
          <w:rFonts w:ascii="Cambria" w:hAnsi="Cambria"/>
          <w:sz w:val="20"/>
          <w:szCs w:val="20"/>
          <w:lang w:val="pt-BR"/>
        </w:rPr>
        <w:t>.</w:t>
      </w:r>
    </w:p>
    <w:p w14:paraId="751086C5" w14:textId="77777777" w:rsidR="0074105E" w:rsidRPr="005D6E61" w:rsidRDefault="0074105E" w:rsidP="0074105E">
      <w:pPr>
        <w:tabs>
          <w:tab w:val="left" w:pos="1440"/>
          <w:tab w:val="num" w:pos="2040"/>
        </w:tabs>
        <w:jc w:val="both"/>
        <w:rPr>
          <w:rFonts w:ascii="Cambria" w:hAnsi="Cambria"/>
          <w:sz w:val="20"/>
          <w:szCs w:val="20"/>
          <w:lang w:val="pt-BR"/>
        </w:rPr>
      </w:pPr>
    </w:p>
    <w:p w14:paraId="160F37D1"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Em virtude desse testemunho, em 31 de outubro de 1991</w:t>
      </w:r>
      <w:r w:rsidR="00361DA9" w:rsidRPr="005D6E61">
        <w:rPr>
          <w:rFonts w:ascii="Cambria" w:hAnsi="Cambria"/>
          <w:sz w:val="20"/>
          <w:szCs w:val="20"/>
          <w:lang w:val="pt-BR"/>
        </w:rPr>
        <w:t>,</w:t>
      </w:r>
      <w:r w:rsidRPr="005D6E61">
        <w:rPr>
          <w:rFonts w:ascii="Cambria" w:hAnsi="Cambria"/>
          <w:sz w:val="20"/>
          <w:szCs w:val="20"/>
          <w:lang w:val="pt-BR"/>
        </w:rPr>
        <w:t xml:space="preserve"> por solicitação do Ministério Público</w:t>
      </w:r>
      <w:r w:rsidR="00361DA9" w:rsidRPr="005D6E61">
        <w:rPr>
          <w:rFonts w:ascii="Cambria" w:hAnsi="Cambria"/>
          <w:sz w:val="20"/>
          <w:szCs w:val="20"/>
          <w:lang w:val="pt-BR"/>
        </w:rPr>
        <w:t>,</w:t>
      </w:r>
      <w:r w:rsidRPr="005D6E61">
        <w:rPr>
          <w:rFonts w:ascii="Cambria" w:hAnsi="Cambria"/>
          <w:sz w:val="20"/>
          <w:szCs w:val="20"/>
          <w:lang w:val="pt-BR"/>
        </w:rPr>
        <w:t xml:space="preserve"> </w:t>
      </w:r>
      <w:r w:rsidR="00361DA9" w:rsidRPr="005D6E61">
        <w:rPr>
          <w:rFonts w:ascii="Cambria" w:hAnsi="Cambria"/>
          <w:sz w:val="20"/>
          <w:szCs w:val="20"/>
          <w:lang w:val="pt-BR"/>
        </w:rPr>
        <w:t>foram</w:t>
      </w:r>
      <w:r w:rsidRPr="005D6E61">
        <w:rPr>
          <w:rFonts w:ascii="Cambria" w:hAnsi="Cambria"/>
          <w:sz w:val="20"/>
          <w:szCs w:val="20"/>
          <w:lang w:val="pt-BR"/>
        </w:rPr>
        <w:t xml:space="preserve"> realiza</w:t>
      </w:r>
      <w:r w:rsidR="00361DA9" w:rsidRPr="005D6E61">
        <w:rPr>
          <w:rFonts w:ascii="Cambria" w:hAnsi="Cambria"/>
          <w:sz w:val="20"/>
          <w:szCs w:val="20"/>
          <w:lang w:val="pt-BR"/>
        </w:rPr>
        <w:t>das</w:t>
      </w:r>
      <w:r w:rsidRPr="005D6E61">
        <w:rPr>
          <w:rFonts w:ascii="Cambria" w:hAnsi="Cambria"/>
          <w:sz w:val="20"/>
          <w:szCs w:val="20"/>
          <w:lang w:val="pt-BR"/>
        </w:rPr>
        <w:t xml:space="preserve"> novas investigações na forma de autos complementares </w:t>
      </w:r>
      <w:r w:rsidR="00361DA9" w:rsidRPr="005D6E61">
        <w:rPr>
          <w:rFonts w:ascii="Cambria" w:hAnsi="Cambria"/>
          <w:sz w:val="20"/>
          <w:szCs w:val="20"/>
          <w:lang w:val="pt-BR"/>
        </w:rPr>
        <w:t>ao</w:t>
      </w:r>
      <w:r w:rsidRPr="005D6E61">
        <w:rPr>
          <w:rFonts w:ascii="Cambria" w:hAnsi="Cambria"/>
          <w:sz w:val="20"/>
          <w:szCs w:val="20"/>
          <w:lang w:val="pt-BR"/>
        </w:rPr>
        <w:t xml:space="preserve"> In</w:t>
      </w:r>
      <w:r w:rsidR="00361DA9" w:rsidRPr="005D6E61">
        <w:rPr>
          <w:rFonts w:ascii="Cambria" w:hAnsi="Cambria"/>
          <w:sz w:val="20"/>
          <w:szCs w:val="20"/>
          <w:lang w:val="pt-BR"/>
        </w:rPr>
        <w:t>quérito</w:t>
      </w:r>
      <w:r w:rsidRPr="005D6E61">
        <w:rPr>
          <w:rFonts w:ascii="Cambria" w:hAnsi="Cambria"/>
          <w:sz w:val="20"/>
          <w:szCs w:val="20"/>
          <w:lang w:val="pt-BR"/>
        </w:rPr>
        <w:t xml:space="preserve"> Policial 023/83, de 31 de outubro de 1991</w:t>
      </w:r>
      <w:r w:rsidRPr="005D6E61">
        <w:rPr>
          <w:rFonts w:ascii="Cambria" w:hAnsi="Cambria"/>
          <w:sz w:val="20"/>
          <w:szCs w:val="20"/>
          <w:vertAlign w:val="superscript"/>
          <w:lang w:val="pt-BR"/>
        </w:rPr>
        <w:footnoteReference w:id="92"/>
      </w:r>
      <w:r w:rsidRPr="005D6E61">
        <w:rPr>
          <w:rFonts w:ascii="Cambria" w:hAnsi="Cambria"/>
          <w:sz w:val="20"/>
          <w:szCs w:val="20"/>
          <w:lang w:val="pt-BR"/>
        </w:rPr>
        <w:t>.</w:t>
      </w:r>
    </w:p>
    <w:p w14:paraId="60DD1754" w14:textId="77777777" w:rsidR="0074105E" w:rsidRPr="005D6E61" w:rsidRDefault="0074105E" w:rsidP="0074105E">
      <w:pPr>
        <w:pStyle w:val="ListParagraph"/>
        <w:rPr>
          <w:sz w:val="20"/>
          <w:szCs w:val="20"/>
          <w:lang w:val="pt-BR"/>
        </w:rPr>
      </w:pPr>
    </w:p>
    <w:p w14:paraId="1CD4D985"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No dia 9 de setembro de 1991 prestou declaração Luiz Silva, trabalhador vinculado à Central Única dos Trabalhadores</w:t>
      </w:r>
      <w:r w:rsidR="00361DA9" w:rsidRPr="005D6E61">
        <w:rPr>
          <w:rFonts w:ascii="Cambria" w:hAnsi="Cambria"/>
          <w:sz w:val="20"/>
          <w:szCs w:val="20"/>
          <w:lang w:val="pt-BR"/>
        </w:rPr>
        <w:t>,</w:t>
      </w:r>
      <w:r w:rsidRPr="005D6E61">
        <w:rPr>
          <w:rFonts w:ascii="Cambria" w:hAnsi="Cambria"/>
          <w:sz w:val="20"/>
          <w:szCs w:val="20"/>
          <w:lang w:val="pt-BR"/>
        </w:rPr>
        <w:t xml:space="preserve"> que indicou que na época do crime </w:t>
      </w:r>
      <w:r w:rsidR="00361DA9" w:rsidRPr="005D6E61">
        <w:rPr>
          <w:rFonts w:ascii="Cambria" w:hAnsi="Cambria"/>
          <w:sz w:val="20"/>
          <w:szCs w:val="20"/>
          <w:lang w:val="pt-BR"/>
        </w:rPr>
        <w:t>houve</w:t>
      </w:r>
      <w:r w:rsidRPr="005D6E61">
        <w:rPr>
          <w:rFonts w:ascii="Cambria" w:hAnsi="Cambria"/>
          <w:sz w:val="20"/>
          <w:szCs w:val="20"/>
          <w:lang w:val="pt-BR"/>
        </w:rPr>
        <w:t xml:space="preserve"> uma reunião entre Aguinaldo Veloso Borges, Zito Buarque (s</w:t>
      </w:r>
      <w:r w:rsidR="00361DA9" w:rsidRPr="005D6E61">
        <w:rPr>
          <w:rFonts w:ascii="Cambria" w:hAnsi="Cambria"/>
          <w:sz w:val="20"/>
          <w:szCs w:val="20"/>
          <w:lang w:val="pt-BR"/>
        </w:rPr>
        <w:t>e</w:t>
      </w:r>
      <w:r w:rsidRPr="005D6E61">
        <w:rPr>
          <w:rFonts w:ascii="Cambria" w:hAnsi="Cambria"/>
          <w:sz w:val="20"/>
          <w:szCs w:val="20"/>
          <w:lang w:val="pt-BR"/>
        </w:rPr>
        <w:t xml:space="preserve">u </w:t>
      </w:r>
      <w:r w:rsidR="00361DA9" w:rsidRPr="005D6E61">
        <w:rPr>
          <w:rFonts w:ascii="Cambria" w:hAnsi="Cambria"/>
          <w:sz w:val="20"/>
          <w:szCs w:val="20"/>
          <w:lang w:val="pt-BR"/>
        </w:rPr>
        <w:t>genr</w:t>
      </w:r>
      <w:r w:rsidRPr="005D6E61">
        <w:rPr>
          <w:rFonts w:ascii="Cambria" w:hAnsi="Cambria"/>
          <w:sz w:val="20"/>
          <w:szCs w:val="20"/>
          <w:lang w:val="pt-BR"/>
        </w:rPr>
        <w:t xml:space="preserve">o), Edmar Paes de Araújo (conhecido como Maizinho), Branco </w:t>
      </w:r>
      <w:r w:rsidR="00824224" w:rsidRPr="005D6E61">
        <w:rPr>
          <w:rFonts w:ascii="Cambria" w:hAnsi="Cambria"/>
          <w:sz w:val="20"/>
          <w:szCs w:val="20"/>
          <w:lang w:val="pt-BR"/>
        </w:rPr>
        <w:t>Pereira e</w:t>
      </w:r>
      <w:r w:rsidRPr="005D6E61">
        <w:rPr>
          <w:rFonts w:ascii="Cambria" w:hAnsi="Cambria"/>
          <w:sz w:val="20"/>
          <w:szCs w:val="20"/>
          <w:lang w:val="pt-BR"/>
        </w:rPr>
        <w:t xml:space="preserve"> Ant</w:t>
      </w:r>
      <w:r w:rsidR="00397588" w:rsidRPr="005D6E61">
        <w:rPr>
          <w:rFonts w:ascii="Cambria" w:hAnsi="Cambria"/>
          <w:sz w:val="20"/>
          <w:szCs w:val="20"/>
          <w:lang w:val="pt-BR"/>
        </w:rPr>
        <w:t>ô</w:t>
      </w:r>
      <w:r w:rsidRPr="005D6E61">
        <w:rPr>
          <w:rFonts w:ascii="Cambria" w:hAnsi="Cambria"/>
          <w:sz w:val="20"/>
          <w:szCs w:val="20"/>
          <w:lang w:val="pt-BR"/>
        </w:rPr>
        <w:t xml:space="preserve">nio </w:t>
      </w:r>
      <w:r w:rsidRPr="005D6E61">
        <w:rPr>
          <w:rFonts w:ascii="Cambria" w:hAnsi="Cambria"/>
          <w:sz w:val="20"/>
          <w:szCs w:val="20"/>
          <w:lang w:val="pt-BR"/>
        </w:rPr>
        <w:lastRenderedPageBreak/>
        <w:t>de Almeida Régis, na qual se planejou o assassinato de Margarida Maria Alves. Indicou que Mazinho e Zito Buarque foram os articuladores do crime e que Severino de Genésio algum tempo depois do crime recebia dinheiro de Mazinho e de Zito Buarque e que quan</w:t>
      </w:r>
      <w:r w:rsidR="00361DA9" w:rsidRPr="005D6E61">
        <w:rPr>
          <w:rFonts w:ascii="Cambria" w:hAnsi="Cambria"/>
          <w:sz w:val="20"/>
          <w:szCs w:val="20"/>
          <w:lang w:val="pt-BR"/>
        </w:rPr>
        <w:t>do deixaram de lhe dar dinheiro</w:t>
      </w:r>
      <w:r w:rsidR="00781802" w:rsidRPr="005D6E61">
        <w:rPr>
          <w:rFonts w:ascii="Cambria" w:hAnsi="Cambria"/>
          <w:sz w:val="20"/>
          <w:szCs w:val="20"/>
          <w:lang w:val="pt-BR"/>
        </w:rPr>
        <w:t>,</w:t>
      </w:r>
      <w:r w:rsidRPr="005D6E61">
        <w:rPr>
          <w:rFonts w:ascii="Cambria" w:hAnsi="Cambria"/>
          <w:sz w:val="20"/>
          <w:szCs w:val="20"/>
          <w:lang w:val="pt-BR"/>
        </w:rPr>
        <w:t xml:space="preserve"> este começou a beber e ameaçar contar tudo o que sabia </w:t>
      </w:r>
      <w:r w:rsidR="00361DA9" w:rsidRPr="005D6E61">
        <w:rPr>
          <w:rFonts w:ascii="Cambria" w:hAnsi="Cambria"/>
          <w:sz w:val="20"/>
          <w:szCs w:val="20"/>
          <w:lang w:val="pt-BR"/>
        </w:rPr>
        <w:t xml:space="preserve">sobre </w:t>
      </w:r>
      <w:r w:rsidRPr="005D6E61">
        <w:rPr>
          <w:rFonts w:ascii="Cambria" w:hAnsi="Cambria"/>
          <w:sz w:val="20"/>
          <w:szCs w:val="20"/>
          <w:lang w:val="pt-BR"/>
        </w:rPr>
        <w:t xml:space="preserve">o </w:t>
      </w:r>
      <w:r w:rsidR="00361DA9" w:rsidRPr="005D6E61">
        <w:rPr>
          <w:rFonts w:ascii="Cambria" w:hAnsi="Cambria"/>
          <w:sz w:val="20"/>
          <w:szCs w:val="20"/>
          <w:lang w:val="pt-BR"/>
        </w:rPr>
        <w:t>crime</w:t>
      </w:r>
      <w:r w:rsidRPr="005D6E61">
        <w:rPr>
          <w:rFonts w:ascii="Cambria" w:hAnsi="Cambria"/>
          <w:sz w:val="20"/>
          <w:szCs w:val="20"/>
          <w:lang w:val="pt-BR"/>
        </w:rPr>
        <w:t>, até ser eliminado pelo soldado Betânio, por ordem de Mazinho</w:t>
      </w:r>
      <w:r w:rsidRPr="005D6E61">
        <w:rPr>
          <w:rStyle w:val="FootnoteReference"/>
          <w:rFonts w:ascii="Cambria" w:hAnsi="Cambria"/>
          <w:sz w:val="20"/>
          <w:szCs w:val="20"/>
          <w:lang w:val="pt-BR"/>
        </w:rPr>
        <w:footnoteReference w:id="93"/>
      </w:r>
      <w:r w:rsidRPr="005D6E61">
        <w:rPr>
          <w:rFonts w:ascii="Cambria" w:hAnsi="Cambria"/>
          <w:sz w:val="20"/>
          <w:szCs w:val="20"/>
          <w:lang w:val="pt-BR"/>
        </w:rPr>
        <w:t xml:space="preserve">. </w:t>
      </w:r>
      <w:r w:rsidR="00361DA9" w:rsidRPr="005D6E61">
        <w:rPr>
          <w:rFonts w:ascii="Cambria" w:hAnsi="Cambria"/>
          <w:sz w:val="20"/>
          <w:szCs w:val="20"/>
          <w:lang w:val="pt-BR"/>
        </w:rPr>
        <w:t>O</w:t>
      </w:r>
      <w:r w:rsidRPr="005D6E61">
        <w:rPr>
          <w:rFonts w:ascii="Cambria" w:hAnsi="Cambria"/>
          <w:sz w:val="20"/>
          <w:szCs w:val="20"/>
          <w:lang w:val="pt-BR"/>
        </w:rPr>
        <w:t>utras pessoas</w:t>
      </w:r>
      <w:r w:rsidR="00361DA9" w:rsidRPr="005D6E61">
        <w:rPr>
          <w:rFonts w:ascii="Cambria" w:hAnsi="Cambria"/>
          <w:sz w:val="20"/>
          <w:szCs w:val="20"/>
          <w:lang w:val="pt-BR"/>
        </w:rPr>
        <w:t xml:space="preserve"> fizeram declarações semelhantes</w:t>
      </w:r>
      <w:r w:rsidRPr="005D6E61">
        <w:rPr>
          <w:rStyle w:val="FootnoteReference"/>
          <w:rFonts w:ascii="Cambria" w:hAnsi="Cambria"/>
          <w:sz w:val="20"/>
          <w:szCs w:val="20"/>
          <w:lang w:val="pt-BR"/>
        </w:rPr>
        <w:footnoteReference w:id="94"/>
      </w:r>
      <w:r w:rsidRPr="005D6E61">
        <w:rPr>
          <w:rFonts w:ascii="Cambria" w:hAnsi="Cambria"/>
          <w:sz w:val="20"/>
          <w:szCs w:val="20"/>
          <w:lang w:val="pt-BR"/>
        </w:rPr>
        <w:t>.</w:t>
      </w:r>
    </w:p>
    <w:p w14:paraId="2CA97B4A"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pt-BR"/>
        </w:rPr>
      </w:pPr>
    </w:p>
    <w:p w14:paraId="7CEB93A8"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Consta também a declaração de Genilson Jorge Santos, funcionário municipal que trabalhava na Delega</w:t>
      </w:r>
      <w:r w:rsidR="00361DA9" w:rsidRPr="005D6E61">
        <w:rPr>
          <w:rFonts w:ascii="Cambria" w:hAnsi="Cambria"/>
          <w:sz w:val="20"/>
          <w:szCs w:val="20"/>
          <w:lang w:val="pt-BR"/>
        </w:rPr>
        <w:t>cia</w:t>
      </w:r>
      <w:r w:rsidRPr="005D6E61">
        <w:rPr>
          <w:rFonts w:ascii="Cambria" w:hAnsi="Cambria"/>
          <w:sz w:val="20"/>
          <w:szCs w:val="20"/>
          <w:lang w:val="pt-BR"/>
        </w:rPr>
        <w:t xml:space="preserve"> do soldado Betâneo Carneiro dos Santos na época dos </w:t>
      </w:r>
      <w:r w:rsidR="00923194" w:rsidRPr="005D6E61">
        <w:rPr>
          <w:rFonts w:ascii="Cambria" w:hAnsi="Cambria"/>
          <w:sz w:val="20"/>
          <w:szCs w:val="20"/>
          <w:lang w:val="pt-BR"/>
        </w:rPr>
        <w:t>f</w:t>
      </w:r>
      <w:r w:rsidRPr="005D6E61">
        <w:rPr>
          <w:rFonts w:ascii="Cambria" w:hAnsi="Cambria"/>
          <w:sz w:val="20"/>
          <w:szCs w:val="20"/>
          <w:lang w:val="pt-BR"/>
        </w:rPr>
        <w:t>atos</w:t>
      </w:r>
      <w:r w:rsidR="00361DA9" w:rsidRPr="005D6E61">
        <w:rPr>
          <w:rFonts w:ascii="Cambria" w:hAnsi="Cambria"/>
          <w:sz w:val="20"/>
          <w:szCs w:val="20"/>
          <w:lang w:val="pt-BR"/>
        </w:rPr>
        <w:t>,</w:t>
      </w:r>
      <w:r w:rsidRPr="005D6E61">
        <w:rPr>
          <w:rStyle w:val="FootnoteReference"/>
          <w:rFonts w:ascii="Cambria" w:hAnsi="Cambria"/>
          <w:sz w:val="20"/>
          <w:szCs w:val="20"/>
          <w:lang w:val="pt-BR"/>
        </w:rPr>
        <w:footnoteReference w:id="95"/>
      </w:r>
      <w:r w:rsidRPr="005D6E61">
        <w:rPr>
          <w:rFonts w:ascii="Cambria" w:hAnsi="Cambria"/>
          <w:sz w:val="20"/>
          <w:szCs w:val="20"/>
          <w:lang w:val="pt-BR"/>
        </w:rPr>
        <w:t xml:space="preserve"> que indicou que o soldado Betâneo Carneiro dos Santos e o </w:t>
      </w:r>
      <w:r w:rsidR="00397588" w:rsidRPr="005D6E61">
        <w:rPr>
          <w:rFonts w:ascii="Cambria" w:hAnsi="Cambria"/>
          <w:sz w:val="20"/>
          <w:szCs w:val="20"/>
          <w:lang w:val="pt-BR"/>
        </w:rPr>
        <w:t>s</w:t>
      </w:r>
      <w:r w:rsidRPr="005D6E61">
        <w:rPr>
          <w:rFonts w:ascii="Cambria" w:hAnsi="Cambria"/>
          <w:sz w:val="20"/>
          <w:szCs w:val="20"/>
          <w:lang w:val="pt-BR"/>
        </w:rPr>
        <w:t>argento Aldenis Cunha Lima estavam envolvidos na morte da líder camponesa Margarida Maria Alves</w:t>
      </w:r>
      <w:r w:rsidRPr="005D6E61">
        <w:rPr>
          <w:rStyle w:val="FootnoteReference"/>
          <w:rFonts w:ascii="Cambria" w:hAnsi="Cambria"/>
          <w:sz w:val="20"/>
          <w:szCs w:val="20"/>
          <w:lang w:val="pt-BR"/>
        </w:rPr>
        <w:footnoteReference w:id="96"/>
      </w:r>
      <w:r w:rsidRPr="005D6E61">
        <w:rPr>
          <w:rFonts w:ascii="Cambria" w:hAnsi="Cambria"/>
          <w:sz w:val="20"/>
          <w:szCs w:val="20"/>
          <w:lang w:val="pt-BR"/>
        </w:rPr>
        <w:t>.</w:t>
      </w:r>
    </w:p>
    <w:p w14:paraId="748C82B3" w14:textId="77777777" w:rsidR="0074105E" w:rsidRPr="005D6E61" w:rsidRDefault="0074105E" w:rsidP="0074105E">
      <w:pPr>
        <w:pStyle w:val="ListParagraph"/>
        <w:rPr>
          <w:sz w:val="20"/>
          <w:szCs w:val="20"/>
          <w:lang w:val="pt-BR"/>
        </w:rPr>
      </w:pPr>
    </w:p>
    <w:p w14:paraId="4D7EF1CE"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Em 31 de outubro de 1991 </w:t>
      </w:r>
      <w:r w:rsidR="00494EB0" w:rsidRPr="005D6E61">
        <w:rPr>
          <w:rFonts w:ascii="Cambria" w:hAnsi="Cambria"/>
          <w:sz w:val="20"/>
          <w:szCs w:val="20"/>
          <w:lang w:val="pt-BR"/>
        </w:rPr>
        <w:t>o</w:t>
      </w:r>
      <w:r w:rsidRPr="005D6E61">
        <w:rPr>
          <w:rFonts w:ascii="Cambria" w:hAnsi="Cambria"/>
          <w:sz w:val="20"/>
          <w:szCs w:val="20"/>
          <w:lang w:val="pt-BR"/>
        </w:rPr>
        <w:t xml:space="preserve"> in</w:t>
      </w:r>
      <w:r w:rsidR="00494EB0" w:rsidRPr="005D6E61">
        <w:rPr>
          <w:rFonts w:ascii="Cambria" w:hAnsi="Cambria"/>
          <w:sz w:val="20"/>
          <w:szCs w:val="20"/>
          <w:lang w:val="pt-BR"/>
        </w:rPr>
        <w:t>quérito</w:t>
      </w:r>
      <w:r w:rsidRPr="005D6E61">
        <w:rPr>
          <w:rFonts w:ascii="Cambria" w:hAnsi="Cambria"/>
          <w:sz w:val="20"/>
          <w:szCs w:val="20"/>
          <w:lang w:val="pt-BR"/>
        </w:rPr>
        <w:t xml:space="preserve"> 023/83 concluiu que quem ordenou o assassinato da suposta vítima fo</w:t>
      </w:r>
      <w:r w:rsidR="00923194" w:rsidRPr="005D6E61">
        <w:rPr>
          <w:rFonts w:ascii="Cambria" w:hAnsi="Cambria"/>
          <w:sz w:val="20"/>
          <w:szCs w:val="20"/>
          <w:lang w:val="pt-BR"/>
        </w:rPr>
        <w:t>i</w:t>
      </w:r>
      <w:r w:rsidRPr="005D6E61">
        <w:rPr>
          <w:rFonts w:ascii="Cambria" w:hAnsi="Cambria"/>
          <w:sz w:val="20"/>
          <w:szCs w:val="20"/>
          <w:lang w:val="pt-BR"/>
        </w:rPr>
        <w:t xml:space="preserve"> Aguinaldo Veloso Borges e seu </w:t>
      </w:r>
      <w:r w:rsidR="00494EB0" w:rsidRPr="005D6E61">
        <w:rPr>
          <w:rFonts w:ascii="Cambria" w:hAnsi="Cambria"/>
          <w:sz w:val="20"/>
          <w:szCs w:val="20"/>
          <w:lang w:val="pt-BR"/>
        </w:rPr>
        <w:t>genro</w:t>
      </w:r>
      <w:r w:rsidRPr="005D6E61">
        <w:rPr>
          <w:rFonts w:ascii="Cambria" w:hAnsi="Cambria"/>
          <w:sz w:val="20"/>
          <w:szCs w:val="20"/>
          <w:lang w:val="pt-BR"/>
        </w:rPr>
        <w:t xml:space="preserve"> José Buarque de Gusmão Neto, prop</w:t>
      </w:r>
      <w:r w:rsidR="00494EB0" w:rsidRPr="005D6E61">
        <w:rPr>
          <w:rFonts w:ascii="Cambria" w:hAnsi="Cambria"/>
          <w:sz w:val="20"/>
          <w:szCs w:val="20"/>
          <w:lang w:val="pt-BR"/>
        </w:rPr>
        <w:t>r</w:t>
      </w:r>
      <w:r w:rsidRPr="005D6E61">
        <w:rPr>
          <w:rFonts w:ascii="Cambria" w:hAnsi="Cambria"/>
          <w:sz w:val="20"/>
          <w:szCs w:val="20"/>
          <w:lang w:val="pt-BR"/>
        </w:rPr>
        <w:t>ietários da Usina Tanques. Somente o último foi processado, já que Aguinaldo Veloso Borges faleceu em 1990</w:t>
      </w:r>
      <w:r w:rsidRPr="005D6E61">
        <w:rPr>
          <w:rStyle w:val="FootnoteReference"/>
          <w:rFonts w:ascii="Cambria" w:hAnsi="Cambria"/>
          <w:sz w:val="20"/>
          <w:szCs w:val="20"/>
          <w:lang w:val="pt-BR"/>
        </w:rPr>
        <w:footnoteReference w:id="97"/>
      </w:r>
      <w:r w:rsidRPr="005D6E61">
        <w:rPr>
          <w:rFonts w:ascii="Cambria" w:hAnsi="Cambria"/>
          <w:sz w:val="20"/>
          <w:szCs w:val="20"/>
          <w:lang w:val="pt-BR"/>
        </w:rPr>
        <w:t xml:space="preserve">. </w:t>
      </w:r>
    </w:p>
    <w:p w14:paraId="1A0F5184" w14:textId="77777777" w:rsidR="0074105E" w:rsidRPr="005D6E61" w:rsidRDefault="0074105E" w:rsidP="0074105E">
      <w:pPr>
        <w:pStyle w:val="ListParagraph"/>
        <w:rPr>
          <w:sz w:val="20"/>
          <w:szCs w:val="20"/>
          <w:lang w:val="pt-BR"/>
        </w:rPr>
      </w:pPr>
    </w:p>
    <w:p w14:paraId="58B6FB16"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Em 12 de dezembro de 1991 o Delegado da Polícia Civil emitiu um Relatório Final sobre a investigação</w:t>
      </w:r>
      <w:r w:rsidR="00923194" w:rsidRPr="005D6E61">
        <w:rPr>
          <w:rFonts w:ascii="Cambria" w:hAnsi="Cambria"/>
          <w:sz w:val="20"/>
          <w:szCs w:val="20"/>
          <w:lang w:val="pt-BR"/>
        </w:rPr>
        <w:t>,</w:t>
      </w:r>
      <w:r w:rsidRPr="005D6E61">
        <w:rPr>
          <w:rFonts w:ascii="Cambria" w:hAnsi="Cambria"/>
          <w:sz w:val="20"/>
          <w:szCs w:val="20"/>
          <w:lang w:val="pt-BR"/>
        </w:rPr>
        <w:t xml:space="preserve"> concluindo que “Margarida Maria Alves foi executada pelo soldado e pistoleiro Betânio Carneiro dos Santos, sendo auxiliado pelo comerciante Severino Carneiro de Ara</w:t>
      </w:r>
      <w:r w:rsidR="00397588" w:rsidRPr="005D6E61">
        <w:rPr>
          <w:rFonts w:ascii="Cambria" w:hAnsi="Cambria"/>
          <w:sz w:val="20"/>
          <w:szCs w:val="20"/>
          <w:lang w:val="pt-BR"/>
        </w:rPr>
        <w:t>ú</w:t>
      </w:r>
      <w:r w:rsidRPr="005D6E61">
        <w:rPr>
          <w:rFonts w:ascii="Cambria" w:hAnsi="Cambria"/>
          <w:sz w:val="20"/>
          <w:szCs w:val="20"/>
          <w:lang w:val="pt-BR"/>
        </w:rPr>
        <w:t xml:space="preserve">jo, um ou dois pistoleiros, sob o comando de Aguinaldo Veloso Borges e seu </w:t>
      </w:r>
      <w:r w:rsidR="00494EB0" w:rsidRPr="005D6E61">
        <w:rPr>
          <w:rFonts w:ascii="Cambria" w:hAnsi="Cambria"/>
          <w:sz w:val="20"/>
          <w:szCs w:val="20"/>
          <w:lang w:val="pt-BR"/>
        </w:rPr>
        <w:t>genro</w:t>
      </w:r>
      <w:r w:rsidRPr="005D6E61">
        <w:rPr>
          <w:rFonts w:ascii="Cambria" w:hAnsi="Cambria"/>
          <w:sz w:val="20"/>
          <w:szCs w:val="20"/>
          <w:lang w:val="pt-BR"/>
        </w:rPr>
        <w:t xml:space="preserve"> José Buarque de Gusmão Neto”</w:t>
      </w:r>
      <w:r w:rsidRPr="005D6E61">
        <w:rPr>
          <w:rStyle w:val="FootnoteReference"/>
          <w:rFonts w:ascii="Cambria" w:hAnsi="Cambria"/>
          <w:sz w:val="20"/>
          <w:szCs w:val="20"/>
          <w:lang w:val="pt-BR"/>
        </w:rPr>
        <w:footnoteReference w:id="98"/>
      </w:r>
      <w:r w:rsidRPr="005D6E61">
        <w:rPr>
          <w:rFonts w:ascii="Cambria" w:hAnsi="Cambria"/>
          <w:sz w:val="20"/>
          <w:szCs w:val="20"/>
          <w:lang w:val="pt-BR"/>
        </w:rPr>
        <w:t xml:space="preserve">. </w:t>
      </w:r>
    </w:p>
    <w:p w14:paraId="7ECB556D" w14:textId="77777777" w:rsidR="0074105E" w:rsidRPr="005D6E61" w:rsidRDefault="0074105E" w:rsidP="0074105E">
      <w:pPr>
        <w:pStyle w:val="Heading3"/>
        <w:numPr>
          <w:ilvl w:val="1"/>
          <w:numId w:val="54"/>
        </w:numPr>
        <w:tabs>
          <w:tab w:val="clear" w:pos="1800"/>
          <w:tab w:val="num" w:pos="1440"/>
        </w:tabs>
        <w:ind w:hanging="1080"/>
        <w:rPr>
          <w:rFonts w:asciiTheme="majorHAnsi" w:hAnsiTheme="majorHAnsi"/>
          <w:sz w:val="20"/>
          <w:szCs w:val="20"/>
          <w:lang w:val="pt-BR"/>
        </w:rPr>
      </w:pPr>
      <w:bookmarkStart w:id="21" w:name="_Toc496103828"/>
      <w:bookmarkStart w:id="22" w:name="_Toc27990566"/>
      <w:r w:rsidRPr="005D6E61">
        <w:rPr>
          <w:rFonts w:asciiTheme="majorHAnsi" w:hAnsiTheme="majorHAnsi"/>
          <w:sz w:val="20"/>
          <w:szCs w:val="20"/>
          <w:lang w:val="pt-BR"/>
        </w:rPr>
        <w:t>O julgamento 003.1995.0001432 (1995)</w:t>
      </w:r>
      <w:bookmarkEnd w:id="21"/>
      <w:bookmarkEnd w:id="22"/>
    </w:p>
    <w:p w14:paraId="59994004" w14:textId="77777777" w:rsidR="0074105E" w:rsidRPr="005D6E61" w:rsidRDefault="0074105E" w:rsidP="0074105E">
      <w:pPr>
        <w:rPr>
          <w:lang w:val="pt-BR"/>
        </w:rPr>
      </w:pPr>
    </w:p>
    <w:p w14:paraId="6739B863"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Em 1º de agosto de 1995 o Ministério Público denunciou o sold</w:t>
      </w:r>
      <w:r w:rsidR="00494EB0" w:rsidRPr="005D6E61">
        <w:rPr>
          <w:rFonts w:ascii="Cambria" w:hAnsi="Cambria"/>
          <w:sz w:val="20"/>
          <w:szCs w:val="20"/>
          <w:lang w:val="pt-BR"/>
        </w:rPr>
        <w:t>ado Betâneo Carneiro dos Santos</w:t>
      </w:r>
      <w:r w:rsidRPr="005D6E61">
        <w:rPr>
          <w:rFonts w:ascii="Cambria" w:hAnsi="Cambria"/>
          <w:sz w:val="20"/>
          <w:szCs w:val="20"/>
          <w:lang w:val="pt-BR"/>
        </w:rPr>
        <w:t xml:space="preserve"> como autor material e José Buarque de Gusmão como autor intelectual do homicídio de Margarida Maria Alves</w:t>
      </w:r>
      <w:r w:rsidRPr="005D6E61">
        <w:rPr>
          <w:rStyle w:val="FootnoteReference"/>
          <w:rFonts w:ascii="Cambria" w:hAnsi="Cambria"/>
          <w:sz w:val="20"/>
          <w:szCs w:val="20"/>
          <w:lang w:val="pt-BR"/>
        </w:rPr>
        <w:footnoteReference w:id="99"/>
      </w:r>
      <w:r w:rsidRPr="005D6E61">
        <w:rPr>
          <w:rFonts w:ascii="Cambria" w:hAnsi="Cambria"/>
          <w:sz w:val="20"/>
          <w:szCs w:val="20"/>
          <w:lang w:val="pt-BR"/>
        </w:rPr>
        <w:t>. Em 8 de agosto de 1995 foi decretada sua prisão preventiva</w:t>
      </w:r>
      <w:r w:rsidRPr="005D6E61">
        <w:rPr>
          <w:rStyle w:val="FootnoteReference"/>
          <w:rFonts w:ascii="Cambria" w:hAnsi="Cambria"/>
          <w:sz w:val="20"/>
          <w:szCs w:val="20"/>
          <w:lang w:val="pt-BR"/>
        </w:rPr>
        <w:footnoteReference w:id="100"/>
      </w:r>
      <w:r w:rsidRPr="005D6E61">
        <w:rPr>
          <w:rFonts w:ascii="Cambria" w:hAnsi="Cambria"/>
          <w:sz w:val="20"/>
          <w:szCs w:val="20"/>
          <w:lang w:val="pt-BR"/>
        </w:rPr>
        <w:t xml:space="preserve"> e em 15 de março de 1996 </w:t>
      </w:r>
      <w:r w:rsidR="00494EB0" w:rsidRPr="005D6E61">
        <w:rPr>
          <w:rFonts w:ascii="Cambria" w:hAnsi="Cambria"/>
          <w:sz w:val="20"/>
          <w:szCs w:val="20"/>
          <w:lang w:val="pt-BR"/>
        </w:rPr>
        <w:t>decidiu-</w:t>
      </w:r>
      <w:r w:rsidRPr="005D6E61">
        <w:rPr>
          <w:rFonts w:ascii="Cambria" w:hAnsi="Cambria"/>
          <w:sz w:val="20"/>
          <w:szCs w:val="20"/>
          <w:lang w:val="pt-BR"/>
        </w:rPr>
        <w:t>se submetê-los a julgamento</w:t>
      </w:r>
      <w:r w:rsidRPr="005D6E61">
        <w:rPr>
          <w:rStyle w:val="FootnoteReference"/>
          <w:rFonts w:ascii="Cambria" w:hAnsi="Cambria"/>
          <w:sz w:val="20"/>
          <w:szCs w:val="20"/>
          <w:lang w:val="pt-BR"/>
        </w:rPr>
        <w:footnoteReference w:id="101"/>
      </w:r>
      <w:r w:rsidRPr="005D6E61">
        <w:rPr>
          <w:rFonts w:ascii="Cambria" w:hAnsi="Cambria"/>
          <w:sz w:val="20"/>
          <w:szCs w:val="20"/>
          <w:lang w:val="pt-BR"/>
        </w:rPr>
        <w:t xml:space="preserve">. </w:t>
      </w:r>
    </w:p>
    <w:p w14:paraId="2C638D20" w14:textId="77777777" w:rsidR="0074105E" w:rsidRPr="005D6E61" w:rsidRDefault="0074105E" w:rsidP="0074105E">
      <w:pPr>
        <w:tabs>
          <w:tab w:val="left" w:pos="1440"/>
          <w:tab w:val="num" w:pos="2040"/>
        </w:tabs>
        <w:jc w:val="both"/>
        <w:rPr>
          <w:rFonts w:ascii="Cambria" w:hAnsi="Cambria"/>
          <w:sz w:val="20"/>
          <w:szCs w:val="20"/>
          <w:lang w:val="pt-BR"/>
        </w:rPr>
      </w:pPr>
    </w:p>
    <w:p w14:paraId="0229D254"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Consta no </w:t>
      </w:r>
      <w:r w:rsidR="00494EB0" w:rsidRPr="005D6E61">
        <w:rPr>
          <w:rFonts w:ascii="Cambria" w:hAnsi="Cambria"/>
          <w:sz w:val="20"/>
          <w:szCs w:val="20"/>
          <w:lang w:val="pt-BR"/>
        </w:rPr>
        <w:t>processo</w:t>
      </w:r>
      <w:r w:rsidRPr="005D6E61">
        <w:rPr>
          <w:rFonts w:ascii="Cambria" w:hAnsi="Cambria"/>
          <w:sz w:val="20"/>
          <w:szCs w:val="20"/>
          <w:lang w:val="pt-BR"/>
        </w:rPr>
        <w:t xml:space="preserve"> que a Câmara </w:t>
      </w:r>
      <w:r w:rsidR="00A07DC0" w:rsidRPr="005D6E61">
        <w:rPr>
          <w:rFonts w:ascii="Cambria" w:hAnsi="Cambria"/>
          <w:sz w:val="20"/>
          <w:szCs w:val="20"/>
          <w:lang w:val="pt-BR"/>
        </w:rPr>
        <w:t>Crimin</w:t>
      </w:r>
      <w:r w:rsidRPr="005D6E61">
        <w:rPr>
          <w:rFonts w:ascii="Cambria" w:hAnsi="Cambria"/>
          <w:sz w:val="20"/>
          <w:szCs w:val="20"/>
          <w:lang w:val="pt-BR"/>
        </w:rPr>
        <w:t>al do Tribunal de Justiça da Paraíba decidiu, por unanimidade, trasladar o julgamento de José Buarque ao Primeiro Tribunal d</w:t>
      </w:r>
      <w:r w:rsidR="00A07DC0" w:rsidRPr="005D6E61">
        <w:rPr>
          <w:rFonts w:ascii="Cambria" w:hAnsi="Cambria"/>
          <w:sz w:val="20"/>
          <w:szCs w:val="20"/>
          <w:lang w:val="pt-BR"/>
        </w:rPr>
        <w:t>o</w:t>
      </w:r>
      <w:r w:rsidRPr="005D6E61">
        <w:rPr>
          <w:rFonts w:ascii="Cambria" w:hAnsi="Cambria"/>
          <w:sz w:val="20"/>
          <w:szCs w:val="20"/>
          <w:lang w:val="pt-BR"/>
        </w:rPr>
        <w:t xml:space="preserve"> J</w:t>
      </w:r>
      <w:r w:rsidR="00A07DC0" w:rsidRPr="005D6E61">
        <w:rPr>
          <w:rFonts w:ascii="Cambria" w:hAnsi="Cambria"/>
          <w:sz w:val="20"/>
          <w:szCs w:val="20"/>
          <w:lang w:val="pt-BR"/>
        </w:rPr>
        <w:t>úri</w:t>
      </w:r>
      <w:r w:rsidRPr="005D6E61">
        <w:rPr>
          <w:rFonts w:ascii="Cambria" w:hAnsi="Cambria"/>
          <w:sz w:val="20"/>
          <w:szCs w:val="20"/>
          <w:lang w:val="pt-BR"/>
        </w:rPr>
        <w:t xml:space="preserve"> da Comarca da Capital, levando em conta que o </w:t>
      </w:r>
      <w:r w:rsidR="00397588" w:rsidRPr="005D6E61">
        <w:rPr>
          <w:rFonts w:ascii="Cambria" w:hAnsi="Cambria"/>
          <w:sz w:val="20"/>
          <w:szCs w:val="20"/>
          <w:lang w:val="pt-BR"/>
        </w:rPr>
        <w:t>j</w:t>
      </w:r>
      <w:r w:rsidRPr="005D6E61">
        <w:rPr>
          <w:rFonts w:ascii="Cambria" w:hAnsi="Cambria"/>
          <w:sz w:val="20"/>
          <w:szCs w:val="20"/>
          <w:lang w:val="pt-BR"/>
        </w:rPr>
        <w:t>uiz Ricardo Vital de Almeida, magistrado substituto da Comarca</w:t>
      </w:r>
      <w:r w:rsidR="00A07DC0" w:rsidRPr="005D6E61">
        <w:rPr>
          <w:rFonts w:ascii="Cambria" w:hAnsi="Cambria"/>
          <w:sz w:val="20"/>
          <w:szCs w:val="20"/>
          <w:lang w:val="pt-BR"/>
        </w:rPr>
        <w:t>,</w:t>
      </w:r>
      <w:r w:rsidRPr="005D6E61">
        <w:rPr>
          <w:rFonts w:ascii="Cambria" w:hAnsi="Cambria"/>
          <w:sz w:val="20"/>
          <w:szCs w:val="20"/>
          <w:lang w:val="pt-BR"/>
        </w:rPr>
        <w:t xml:space="preserve"> indicou que “o acusado e seus aliados estão trabalhando em uma relação de 80 nomes para possíveis membros do j</w:t>
      </w:r>
      <w:r w:rsidR="00A07DC0" w:rsidRPr="005D6E61">
        <w:rPr>
          <w:rFonts w:ascii="Cambria" w:hAnsi="Cambria"/>
          <w:sz w:val="20"/>
          <w:szCs w:val="20"/>
          <w:lang w:val="pt-BR"/>
        </w:rPr>
        <w:t>úri</w:t>
      </w:r>
      <w:r w:rsidRPr="005D6E61">
        <w:rPr>
          <w:rFonts w:ascii="Cambria" w:hAnsi="Cambria"/>
          <w:sz w:val="20"/>
          <w:szCs w:val="20"/>
          <w:lang w:val="pt-BR"/>
        </w:rPr>
        <w:t xml:space="preserve">. Tudo isso influenciará a independência e imparcialidade do </w:t>
      </w:r>
      <w:r w:rsidR="00397588" w:rsidRPr="005D6E61">
        <w:rPr>
          <w:rFonts w:ascii="Cambria" w:hAnsi="Cambria"/>
          <w:sz w:val="20"/>
          <w:szCs w:val="20"/>
          <w:lang w:val="pt-BR"/>
        </w:rPr>
        <w:t>j</w:t>
      </w:r>
      <w:r w:rsidR="00A07DC0" w:rsidRPr="005D6E61">
        <w:rPr>
          <w:rFonts w:ascii="Cambria" w:hAnsi="Cambria"/>
          <w:sz w:val="20"/>
          <w:szCs w:val="20"/>
          <w:lang w:val="pt-BR"/>
        </w:rPr>
        <w:t>úri</w:t>
      </w:r>
      <w:r w:rsidRPr="005D6E61">
        <w:rPr>
          <w:rFonts w:ascii="Cambria" w:hAnsi="Cambria"/>
          <w:sz w:val="20"/>
          <w:szCs w:val="20"/>
          <w:lang w:val="pt-BR"/>
        </w:rPr>
        <w:t>”</w:t>
      </w:r>
      <w:r w:rsidRPr="005D6E61">
        <w:rPr>
          <w:rStyle w:val="FootnoteReference"/>
          <w:rFonts w:ascii="Cambria" w:hAnsi="Cambria"/>
          <w:sz w:val="20"/>
          <w:szCs w:val="20"/>
          <w:lang w:val="pt-BR"/>
        </w:rPr>
        <w:footnoteReference w:id="102"/>
      </w:r>
      <w:r w:rsidRPr="005D6E61">
        <w:rPr>
          <w:rFonts w:ascii="Cambria" w:hAnsi="Cambria"/>
          <w:sz w:val="20"/>
          <w:szCs w:val="20"/>
          <w:lang w:val="pt-BR"/>
        </w:rPr>
        <w:t xml:space="preserve">. </w:t>
      </w:r>
    </w:p>
    <w:p w14:paraId="1976A1DB"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pt-BR"/>
        </w:rPr>
      </w:pPr>
    </w:p>
    <w:p w14:paraId="772C1105"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Em 23 de abril de 1996 o Superior Tribunal de Justiça determinou aplicar a prescrição a respeito do soldado Betâneo Carneiro dos Santos</w:t>
      </w:r>
      <w:r w:rsidRPr="005D6E61">
        <w:rPr>
          <w:rStyle w:val="FootnoteReference"/>
          <w:rFonts w:ascii="Cambria" w:hAnsi="Cambria"/>
          <w:sz w:val="20"/>
          <w:szCs w:val="20"/>
          <w:lang w:val="pt-BR"/>
        </w:rPr>
        <w:footnoteReference w:id="103"/>
      </w:r>
      <w:r w:rsidRPr="005D6E61">
        <w:rPr>
          <w:rFonts w:ascii="Cambria" w:hAnsi="Cambria"/>
          <w:sz w:val="20"/>
          <w:szCs w:val="20"/>
          <w:lang w:val="pt-BR"/>
        </w:rPr>
        <w:t xml:space="preserve">. </w:t>
      </w:r>
    </w:p>
    <w:p w14:paraId="7095E214"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Cambria" w:hAnsi="Cambria"/>
          <w:sz w:val="20"/>
          <w:szCs w:val="20"/>
          <w:lang w:val="pt-BR"/>
        </w:rPr>
      </w:pPr>
    </w:p>
    <w:p w14:paraId="410EFD72"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lastRenderedPageBreak/>
        <w:t xml:space="preserve">Consta no </w:t>
      </w:r>
      <w:r w:rsidR="00341D78" w:rsidRPr="005D6E61">
        <w:rPr>
          <w:rFonts w:ascii="Cambria" w:hAnsi="Cambria"/>
          <w:sz w:val="20"/>
          <w:szCs w:val="20"/>
          <w:lang w:val="pt-BR"/>
        </w:rPr>
        <w:t>processo</w:t>
      </w:r>
      <w:r w:rsidRPr="005D6E61">
        <w:rPr>
          <w:rFonts w:ascii="Cambria" w:hAnsi="Cambria"/>
          <w:sz w:val="20"/>
          <w:szCs w:val="20"/>
          <w:lang w:val="pt-BR"/>
        </w:rPr>
        <w:t xml:space="preserve"> que José Buarque de Gusmão Neto impugnou a decisão de submetê-lo a julgamento e que no dia 24 de setembro de 1998 a Câmara </w:t>
      </w:r>
      <w:r w:rsidR="00341D78" w:rsidRPr="005D6E61">
        <w:rPr>
          <w:rFonts w:ascii="Cambria" w:hAnsi="Cambria"/>
          <w:sz w:val="20"/>
          <w:szCs w:val="20"/>
          <w:lang w:val="pt-BR"/>
        </w:rPr>
        <w:t>Crimin</w:t>
      </w:r>
      <w:r w:rsidRPr="005D6E61">
        <w:rPr>
          <w:rFonts w:ascii="Cambria" w:hAnsi="Cambria"/>
          <w:sz w:val="20"/>
          <w:szCs w:val="20"/>
          <w:lang w:val="pt-BR"/>
        </w:rPr>
        <w:t xml:space="preserve">al do Tribunal de Justiça do Estado da Paraíba negou a impugnação, ao </w:t>
      </w:r>
      <w:r w:rsidR="00397588" w:rsidRPr="005D6E61">
        <w:rPr>
          <w:rFonts w:ascii="Cambria" w:hAnsi="Cambria"/>
          <w:sz w:val="20"/>
          <w:szCs w:val="20"/>
          <w:lang w:val="pt-BR"/>
        </w:rPr>
        <w:t>consider</w:t>
      </w:r>
      <w:r w:rsidRPr="005D6E61">
        <w:rPr>
          <w:rFonts w:ascii="Cambria" w:hAnsi="Cambria"/>
          <w:sz w:val="20"/>
          <w:szCs w:val="20"/>
          <w:lang w:val="pt-BR"/>
        </w:rPr>
        <w:t>ar que não existiam fundamentos para conceder a apelação</w:t>
      </w:r>
      <w:r w:rsidRPr="005D6E61">
        <w:rPr>
          <w:rStyle w:val="FootnoteReference"/>
          <w:rFonts w:ascii="Cambria" w:hAnsi="Cambria"/>
          <w:sz w:val="20"/>
          <w:szCs w:val="20"/>
          <w:lang w:val="pt-BR"/>
        </w:rPr>
        <w:footnoteReference w:id="104"/>
      </w:r>
      <w:r w:rsidRPr="005D6E61">
        <w:rPr>
          <w:rFonts w:ascii="Cambria" w:hAnsi="Cambria"/>
          <w:sz w:val="20"/>
          <w:szCs w:val="20"/>
          <w:lang w:val="pt-BR"/>
        </w:rPr>
        <w:t xml:space="preserve">.  </w:t>
      </w:r>
    </w:p>
    <w:p w14:paraId="771DD2B5"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pt-BR"/>
        </w:rPr>
      </w:pPr>
    </w:p>
    <w:p w14:paraId="4E2950DB"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Em 1º de novembro de 2000 foram escolhidos os 21 membros do </w:t>
      </w:r>
      <w:r w:rsidR="00397588" w:rsidRPr="005D6E61">
        <w:rPr>
          <w:rFonts w:ascii="Cambria" w:hAnsi="Cambria"/>
          <w:sz w:val="20"/>
          <w:szCs w:val="20"/>
          <w:lang w:val="pt-BR"/>
        </w:rPr>
        <w:t>j</w:t>
      </w:r>
      <w:r w:rsidR="00A07DC0" w:rsidRPr="005D6E61">
        <w:rPr>
          <w:rFonts w:ascii="Cambria" w:hAnsi="Cambria"/>
          <w:sz w:val="20"/>
          <w:szCs w:val="20"/>
          <w:lang w:val="pt-BR"/>
        </w:rPr>
        <w:t>úri</w:t>
      </w:r>
      <w:r w:rsidRPr="005D6E61">
        <w:rPr>
          <w:rFonts w:ascii="Cambria" w:hAnsi="Cambria"/>
          <w:sz w:val="20"/>
          <w:szCs w:val="20"/>
          <w:lang w:val="pt-BR"/>
        </w:rPr>
        <w:t xml:space="preserve"> através de um sorteio</w:t>
      </w:r>
      <w:r w:rsidRPr="005D6E61">
        <w:rPr>
          <w:rStyle w:val="FootnoteReference"/>
          <w:rFonts w:ascii="Cambria" w:hAnsi="Cambria"/>
          <w:sz w:val="20"/>
          <w:szCs w:val="20"/>
          <w:lang w:val="pt-BR"/>
        </w:rPr>
        <w:footnoteReference w:id="105"/>
      </w:r>
      <w:r w:rsidRPr="005D6E61">
        <w:rPr>
          <w:rFonts w:ascii="Cambria" w:hAnsi="Cambria"/>
          <w:sz w:val="20"/>
          <w:szCs w:val="20"/>
          <w:lang w:val="pt-BR"/>
        </w:rPr>
        <w:t xml:space="preserve">. </w:t>
      </w:r>
    </w:p>
    <w:p w14:paraId="220FB901" w14:textId="77777777" w:rsidR="0074105E" w:rsidRPr="005D6E61" w:rsidRDefault="0074105E" w:rsidP="0074105E">
      <w:pPr>
        <w:pStyle w:val="ListParagraph"/>
        <w:rPr>
          <w:rFonts w:cs="Courier"/>
          <w:color w:val="212121"/>
          <w:sz w:val="20"/>
          <w:szCs w:val="20"/>
          <w:bdr w:val="none" w:sz="0" w:space="0" w:color="auto"/>
          <w:lang w:val="pt-BR"/>
        </w:rPr>
      </w:pPr>
    </w:p>
    <w:p w14:paraId="50390DDD"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rFonts w:ascii="Cambria" w:hAnsi="Cambria"/>
          <w:sz w:val="20"/>
          <w:szCs w:val="20"/>
          <w:lang w:val="pt-BR"/>
        </w:rPr>
      </w:pPr>
      <w:r w:rsidRPr="005D6E61">
        <w:rPr>
          <w:rFonts w:ascii="Cambria" w:hAnsi="Cambria" w:cs="Courier"/>
          <w:sz w:val="20"/>
          <w:szCs w:val="20"/>
          <w:bdr w:val="none" w:sz="0" w:space="0" w:color="auto"/>
          <w:lang w:val="pt-BR"/>
        </w:rPr>
        <w:t>Em 2 de agosto de 2000 um juiz declarou a prescrição da ação penal a favor de João Carlos de Melo, que tinha um in</w:t>
      </w:r>
      <w:r w:rsidR="00341D78" w:rsidRPr="005D6E61">
        <w:rPr>
          <w:rFonts w:ascii="Cambria" w:hAnsi="Cambria" w:cs="Courier"/>
          <w:sz w:val="20"/>
          <w:szCs w:val="20"/>
          <w:bdr w:val="none" w:sz="0" w:space="0" w:color="auto"/>
          <w:lang w:val="pt-BR"/>
        </w:rPr>
        <w:t>quérito policial aberto</w:t>
      </w:r>
      <w:r w:rsidRPr="005D6E61">
        <w:rPr>
          <w:rFonts w:ascii="Cambria" w:hAnsi="Cambria" w:cs="Courier"/>
          <w:sz w:val="20"/>
          <w:szCs w:val="20"/>
          <w:bdr w:val="none" w:sz="0" w:space="0" w:color="auto"/>
          <w:lang w:val="pt-BR"/>
        </w:rPr>
        <w:t xml:space="preserve"> como </w:t>
      </w:r>
      <w:r w:rsidR="00781802" w:rsidRPr="005D6E61">
        <w:rPr>
          <w:rFonts w:ascii="Cambria" w:hAnsi="Cambria" w:cs="Courier"/>
          <w:sz w:val="20"/>
          <w:szCs w:val="20"/>
          <w:bdr w:val="none" w:sz="0" w:space="0" w:color="auto"/>
          <w:lang w:val="pt-BR"/>
        </w:rPr>
        <w:t>partícipe</w:t>
      </w:r>
      <w:r w:rsidRPr="005D6E61">
        <w:rPr>
          <w:rFonts w:ascii="Cambria" w:hAnsi="Cambria" w:cs="Courier"/>
          <w:sz w:val="20"/>
          <w:szCs w:val="20"/>
          <w:bdr w:val="none" w:sz="0" w:space="0" w:color="auto"/>
          <w:lang w:val="pt-BR"/>
        </w:rPr>
        <w:t xml:space="preserve"> </w:t>
      </w:r>
      <w:r w:rsidR="00781802" w:rsidRPr="005D6E61">
        <w:rPr>
          <w:rFonts w:ascii="Cambria" w:hAnsi="Cambria" w:cs="Courier"/>
          <w:sz w:val="20"/>
          <w:szCs w:val="20"/>
          <w:bdr w:val="none" w:sz="0" w:space="0" w:color="auto"/>
          <w:lang w:val="pt-BR"/>
        </w:rPr>
        <w:t>na</w:t>
      </w:r>
      <w:r w:rsidRPr="005D6E61">
        <w:rPr>
          <w:rFonts w:ascii="Cambria" w:hAnsi="Cambria" w:cs="Courier"/>
          <w:sz w:val="20"/>
          <w:szCs w:val="20"/>
          <w:bdr w:val="none" w:sz="0" w:space="0" w:color="auto"/>
          <w:lang w:val="pt-BR"/>
        </w:rPr>
        <w:t xml:space="preserve"> morte de Margarida Maria Alves, dado que o </w:t>
      </w:r>
      <w:r w:rsidR="00397588" w:rsidRPr="005D6E61">
        <w:rPr>
          <w:rFonts w:ascii="Cambria" w:hAnsi="Cambria" w:cs="Courier"/>
          <w:sz w:val="20"/>
          <w:szCs w:val="20"/>
          <w:bdr w:val="none" w:sz="0" w:space="0" w:color="auto"/>
          <w:lang w:val="pt-BR"/>
        </w:rPr>
        <w:t>acus</w:t>
      </w:r>
      <w:r w:rsidRPr="005D6E61">
        <w:rPr>
          <w:rFonts w:ascii="Cambria" w:hAnsi="Cambria" w:cs="Courier"/>
          <w:sz w:val="20"/>
          <w:szCs w:val="20"/>
          <w:bdr w:val="none" w:sz="0" w:space="0" w:color="auto"/>
          <w:lang w:val="pt-BR"/>
        </w:rPr>
        <w:t>ado tinha mais de 70 anos e o artigo 109 do Código Penal estabelec</w:t>
      </w:r>
      <w:r w:rsidR="00397588" w:rsidRPr="005D6E61">
        <w:rPr>
          <w:rFonts w:ascii="Cambria" w:hAnsi="Cambria" w:cs="Courier"/>
          <w:sz w:val="20"/>
          <w:szCs w:val="20"/>
          <w:bdr w:val="none" w:sz="0" w:space="0" w:color="auto"/>
          <w:lang w:val="pt-BR"/>
        </w:rPr>
        <w:t>e</w:t>
      </w:r>
      <w:r w:rsidRPr="005D6E61">
        <w:rPr>
          <w:rFonts w:ascii="Cambria" w:hAnsi="Cambria" w:cs="Courier"/>
          <w:sz w:val="20"/>
          <w:szCs w:val="20"/>
          <w:bdr w:val="none" w:sz="0" w:space="0" w:color="auto"/>
          <w:lang w:val="pt-BR"/>
        </w:rPr>
        <w:t xml:space="preserve"> que para o delito em questão a prescrição acontece em vinte anos</w:t>
      </w:r>
      <w:r w:rsidR="00341D78" w:rsidRPr="005D6E61">
        <w:rPr>
          <w:rFonts w:ascii="Cambria" w:hAnsi="Cambria" w:cs="Courier"/>
          <w:sz w:val="20"/>
          <w:szCs w:val="20"/>
          <w:bdr w:val="none" w:sz="0" w:space="0" w:color="auto"/>
          <w:lang w:val="pt-BR"/>
        </w:rPr>
        <w:t>,</w:t>
      </w:r>
      <w:r w:rsidRPr="005D6E61">
        <w:rPr>
          <w:rFonts w:ascii="Cambria" w:hAnsi="Cambria" w:cs="Courier"/>
          <w:sz w:val="20"/>
          <w:szCs w:val="20"/>
          <w:bdr w:val="none" w:sz="0" w:space="0" w:color="auto"/>
          <w:lang w:val="pt-BR"/>
        </w:rPr>
        <w:t xml:space="preserve"> reduz</w:t>
      </w:r>
      <w:r w:rsidR="00341D78" w:rsidRPr="005D6E61">
        <w:rPr>
          <w:rFonts w:ascii="Cambria" w:hAnsi="Cambria" w:cs="Courier"/>
          <w:sz w:val="20"/>
          <w:szCs w:val="20"/>
          <w:bdr w:val="none" w:sz="0" w:space="0" w:color="auto"/>
          <w:lang w:val="pt-BR"/>
        </w:rPr>
        <w:t>idos pela</w:t>
      </w:r>
      <w:r w:rsidRPr="005D6E61">
        <w:rPr>
          <w:rFonts w:ascii="Cambria" w:hAnsi="Cambria" w:cs="Courier"/>
          <w:sz w:val="20"/>
          <w:szCs w:val="20"/>
          <w:bdr w:val="none" w:sz="0" w:space="0" w:color="auto"/>
          <w:lang w:val="pt-BR"/>
        </w:rPr>
        <w:t xml:space="preserve"> metade quando na data da sentença o </w:t>
      </w:r>
      <w:r w:rsidR="007F1215" w:rsidRPr="005D6E61">
        <w:rPr>
          <w:rFonts w:ascii="Cambria" w:hAnsi="Cambria" w:cs="Courier"/>
          <w:sz w:val="20"/>
          <w:szCs w:val="20"/>
          <w:bdr w:val="none" w:sz="0" w:space="0" w:color="auto"/>
          <w:lang w:val="pt-BR"/>
        </w:rPr>
        <w:t>acus</w:t>
      </w:r>
      <w:r w:rsidRPr="005D6E61">
        <w:rPr>
          <w:rFonts w:ascii="Cambria" w:hAnsi="Cambria" w:cs="Courier"/>
          <w:sz w:val="20"/>
          <w:szCs w:val="20"/>
          <w:bdr w:val="none" w:sz="0" w:space="0" w:color="auto"/>
          <w:lang w:val="pt-BR"/>
        </w:rPr>
        <w:t>ado tem mais de 70 anos, e neste caso o fato ocorreu há quase 17 anos</w:t>
      </w:r>
      <w:r w:rsidRPr="005D6E61">
        <w:rPr>
          <w:rStyle w:val="FootnoteReference"/>
          <w:rFonts w:ascii="Cambria" w:hAnsi="Cambria"/>
          <w:sz w:val="20"/>
          <w:szCs w:val="20"/>
          <w:lang w:val="pt-BR"/>
        </w:rPr>
        <w:footnoteReference w:id="106"/>
      </w:r>
      <w:r w:rsidRPr="005D6E61">
        <w:rPr>
          <w:rFonts w:ascii="Cambria" w:hAnsi="Cambria" w:cs="Courier"/>
          <w:sz w:val="20"/>
          <w:szCs w:val="20"/>
          <w:bdr w:val="none" w:sz="0" w:space="0" w:color="auto"/>
          <w:lang w:val="pt-BR"/>
        </w:rPr>
        <w:t xml:space="preserve">. </w:t>
      </w:r>
    </w:p>
    <w:p w14:paraId="37D5C176"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pt-BR"/>
        </w:rPr>
      </w:pPr>
    </w:p>
    <w:p w14:paraId="1E6B8E1B"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lang w:val="pt-BR"/>
        </w:rPr>
      </w:pPr>
      <w:r w:rsidRPr="005D6E61">
        <w:rPr>
          <w:rFonts w:ascii="Cambria" w:hAnsi="Cambria"/>
          <w:sz w:val="20"/>
          <w:szCs w:val="20"/>
          <w:lang w:val="pt-BR"/>
        </w:rPr>
        <w:t>Em 18 de junho de 2001 o único acusado restante, José Buarque de Gusmão, foi dec</w:t>
      </w:r>
      <w:r w:rsidR="00341D78" w:rsidRPr="005D6E61">
        <w:rPr>
          <w:rFonts w:ascii="Cambria" w:hAnsi="Cambria"/>
          <w:sz w:val="20"/>
          <w:szCs w:val="20"/>
          <w:lang w:val="pt-BR"/>
        </w:rPr>
        <w:t>larado inocente pelo Tribunal do</w:t>
      </w:r>
      <w:r w:rsidRPr="005D6E61">
        <w:rPr>
          <w:rFonts w:ascii="Cambria" w:hAnsi="Cambria"/>
          <w:sz w:val="20"/>
          <w:szCs w:val="20"/>
          <w:lang w:val="pt-BR"/>
        </w:rPr>
        <w:t xml:space="preserve"> </w:t>
      </w:r>
      <w:r w:rsidR="00A07DC0" w:rsidRPr="005D6E61">
        <w:rPr>
          <w:rFonts w:ascii="Cambria" w:hAnsi="Cambria"/>
          <w:sz w:val="20"/>
          <w:szCs w:val="20"/>
          <w:lang w:val="pt-BR"/>
        </w:rPr>
        <w:t>Júri</w:t>
      </w:r>
      <w:r w:rsidRPr="005D6E61">
        <w:rPr>
          <w:rFonts w:ascii="Cambria" w:hAnsi="Cambria"/>
          <w:sz w:val="20"/>
          <w:szCs w:val="20"/>
          <w:lang w:val="pt-BR"/>
        </w:rPr>
        <w:t xml:space="preserve"> por cinco votos a dois, ao considerar como certa a versão negativa de autoria </w:t>
      </w:r>
      <w:r w:rsidR="00341D78" w:rsidRPr="005D6E61">
        <w:rPr>
          <w:rFonts w:ascii="Cambria" w:hAnsi="Cambria"/>
          <w:sz w:val="20"/>
          <w:szCs w:val="20"/>
          <w:lang w:val="pt-BR"/>
        </w:rPr>
        <w:t>apresenta</w:t>
      </w:r>
      <w:r w:rsidRPr="005D6E61">
        <w:rPr>
          <w:rFonts w:ascii="Cambria" w:hAnsi="Cambria"/>
          <w:sz w:val="20"/>
          <w:szCs w:val="20"/>
          <w:lang w:val="pt-BR"/>
        </w:rPr>
        <w:t>da pela defesa</w:t>
      </w:r>
      <w:r w:rsidRPr="005D6E61">
        <w:rPr>
          <w:rStyle w:val="FootnoteReference"/>
          <w:rFonts w:ascii="Cambria" w:hAnsi="Cambria"/>
          <w:sz w:val="20"/>
          <w:szCs w:val="20"/>
          <w:lang w:val="pt-BR"/>
        </w:rPr>
        <w:footnoteReference w:id="107"/>
      </w:r>
      <w:r w:rsidRPr="005D6E61">
        <w:rPr>
          <w:rFonts w:ascii="Cambria" w:hAnsi="Cambria"/>
          <w:sz w:val="20"/>
          <w:szCs w:val="20"/>
          <w:lang w:val="pt-BR"/>
        </w:rPr>
        <w:t xml:space="preserve">. </w:t>
      </w:r>
    </w:p>
    <w:p w14:paraId="1F376B2A" w14:textId="77777777" w:rsidR="0074105E" w:rsidRPr="005D6E61" w:rsidRDefault="0074105E" w:rsidP="0074105E">
      <w:pPr>
        <w:pStyle w:val="ListParagraph"/>
        <w:rPr>
          <w:lang w:val="pt-BR"/>
        </w:rPr>
      </w:pPr>
    </w:p>
    <w:p w14:paraId="2C16FD6E"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lang w:val="pt-BR"/>
        </w:rPr>
      </w:pPr>
      <w:r w:rsidRPr="005D6E61">
        <w:rPr>
          <w:rFonts w:ascii="Cambria" w:hAnsi="Cambria"/>
          <w:sz w:val="20"/>
          <w:szCs w:val="20"/>
          <w:lang w:val="pt-BR"/>
        </w:rPr>
        <w:t>Em 22 de junho de 2001 o Ministério Público recorreu da decisão, alegando que esta era contrária às provas dos autos</w:t>
      </w:r>
      <w:r w:rsidR="00397588" w:rsidRPr="005D6E61">
        <w:rPr>
          <w:rFonts w:ascii="Cambria" w:hAnsi="Cambria"/>
          <w:sz w:val="20"/>
          <w:szCs w:val="20"/>
          <w:lang w:val="pt-BR"/>
        </w:rPr>
        <w:t xml:space="preserve"> e</w:t>
      </w:r>
      <w:r w:rsidRPr="005D6E61">
        <w:rPr>
          <w:rFonts w:ascii="Cambria" w:hAnsi="Cambria"/>
          <w:sz w:val="20"/>
          <w:szCs w:val="20"/>
          <w:lang w:val="pt-BR"/>
        </w:rPr>
        <w:t xml:space="preserve"> indicando que em um testemunho consta que o acusado confessou ter participado </w:t>
      </w:r>
      <w:r w:rsidR="007F1215" w:rsidRPr="005D6E61">
        <w:rPr>
          <w:rFonts w:ascii="Cambria" w:hAnsi="Cambria"/>
          <w:sz w:val="20"/>
          <w:szCs w:val="20"/>
          <w:lang w:val="pt-BR"/>
        </w:rPr>
        <w:t>d</w:t>
      </w:r>
      <w:r w:rsidRPr="005D6E61">
        <w:rPr>
          <w:rFonts w:ascii="Cambria" w:hAnsi="Cambria"/>
          <w:sz w:val="20"/>
          <w:szCs w:val="20"/>
          <w:lang w:val="pt-BR"/>
        </w:rPr>
        <w:t xml:space="preserve">o </w:t>
      </w:r>
      <w:r w:rsidR="00397588" w:rsidRPr="005D6E61">
        <w:rPr>
          <w:rFonts w:ascii="Cambria" w:hAnsi="Cambria"/>
          <w:sz w:val="20"/>
          <w:szCs w:val="20"/>
          <w:lang w:val="pt-BR"/>
        </w:rPr>
        <w:t>crime</w:t>
      </w:r>
      <w:r w:rsidRPr="005D6E61">
        <w:rPr>
          <w:rFonts w:ascii="Cambria" w:hAnsi="Cambria"/>
          <w:sz w:val="20"/>
          <w:szCs w:val="20"/>
          <w:lang w:val="pt-BR"/>
        </w:rPr>
        <w:t xml:space="preserve"> e que foi responsável pela contratação e pagamento dos autores intelectuais. A</w:t>
      </w:r>
      <w:r w:rsidR="007F1215" w:rsidRPr="005D6E61">
        <w:rPr>
          <w:rFonts w:ascii="Cambria" w:hAnsi="Cambria"/>
          <w:sz w:val="20"/>
          <w:szCs w:val="20"/>
          <w:lang w:val="pt-BR"/>
        </w:rPr>
        <w:t>crescent</w:t>
      </w:r>
      <w:r w:rsidRPr="005D6E61">
        <w:rPr>
          <w:rFonts w:ascii="Cambria" w:hAnsi="Cambria"/>
          <w:sz w:val="20"/>
          <w:szCs w:val="20"/>
          <w:lang w:val="pt-BR"/>
        </w:rPr>
        <w:t>ou que</w:t>
      </w:r>
      <w:r w:rsidRPr="005D6E61">
        <w:rPr>
          <w:rFonts w:ascii="Cambria" w:eastAsia="Times New Roman" w:hAnsi="Cambria" w:cs="Courier New"/>
          <w:sz w:val="20"/>
          <w:szCs w:val="20"/>
          <w:bdr w:val="none" w:sz="0" w:space="0" w:color="auto"/>
          <w:lang w:val="pt-BR"/>
        </w:rPr>
        <w:t xml:space="preserve"> “não existe outra versão nos autos além da conclusão lógica de que o a</w:t>
      </w:r>
      <w:r w:rsidR="007F1215" w:rsidRPr="005D6E61">
        <w:rPr>
          <w:rFonts w:ascii="Cambria" w:eastAsia="Times New Roman" w:hAnsi="Cambria" w:cs="Courier New"/>
          <w:sz w:val="20"/>
          <w:szCs w:val="20"/>
          <w:bdr w:val="none" w:sz="0" w:space="0" w:color="auto"/>
          <w:lang w:val="pt-BR"/>
        </w:rPr>
        <w:t>cus</w:t>
      </w:r>
      <w:r w:rsidRPr="005D6E61">
        <w:rPr>
          <w:rFonts w:ascii="Cambria" w:eastAsia="Times New Roman" w:hAnsi="Cambria" w:cs="Courier New"/>
          <w:sz w:val="20"/>
          <w:szCs w:val="20"/>
          <w:bdr w:val="none" w:sz="0" w:space="0" w:color="auto"/>
          <w:lang w:val="pt-BR"/>
        </w:rPr>
        <w:t xml:space="preserve">ado contribuiu, ao menos na forma de autor intelectual, para a morte de Margarida Maria Alves e por esta participação </w:t>
      </w:r>
      <w:r w:rsidR="007F1215" w:rsidRPr="005D6E61">
        <w:rPr>
          <w:rFonts w:ascii="Cambria" w:eastAsia="Times New Roman" w:hAnsi="Cambria" w:cs="Courier New"/>
          <w:sz w:val="20"/>
          <w:szCs w:val="20"/>
          <w:bdr w:val="none" w:sz="0" w:space="0" w:color="auto"/>
          <w:lang w:val="pt-BR"/>
        </w:rPr>
        <w:t>precisa</w:t>
      </w:r>
      <w:r w:rsidRPr="005D6E61">
        <w:rPr>
          <w:rFonts w:ascii="Cambria" w:eastAsia="Times New Roman" w:hAnsi="Cambria" w:cs="Courier New"/>
          <w:sz w:val="20"/>
          <w:szCs w:val="20"/>
          <w:bdr w:val="none" w:sz="0" w:space="0" w:color="auto"/>
          <w:lang w:val="pt-BR"/>
        </w:rPr>
        <w:t xml:space="preserve"> ser </w:t>
      </w:r>
      <w:r w:rsidR="007F1215" w:rsidRPr="005D6E61">
        <w:rPr>
          <w:rFonts w:ascii="Cambria" w:eastAsia="Times New Roman" w:hAnsi="Cambria" w:cs="Courier New"/>
          <w:sz w:val="20"/>
          <w:szCs w:val="20"/>
          <w:bdr w:val="none" w:sz="0" w:space="0" w:color="auto"/>
          <w:lang w:val="pt-BR"/>
        </w:rPr>
        <w:t>puni</w:t>
      </w:r>
      <w:r w:rsidRPr="005D6E61">
        <w:rPr>
          <w:rFonts w:ascii="Cambria" w:eastAsia="Times New Roman" w:hAnsi="Cambria" w:cs="Courier New"/>
          <w:sz w:val="20"/>
          <w:szCs w:val="20"/>
          <w:bdr w:val="none" w:sz="0" w:space="0" w:color="auto"/>
          <w:lang w:val="pt-BR"/>
        </w:rPr>
        <w:t>do</w:t>
      </w:r>
      <w:r w:rsidRPr="005D6E61">
        <w:rPr>
          <w:rFonts w:ascii="inherit" w:eastAsia="Times New Roman" w:hAnsi="inherit" w:cs="Courier New"/>
          <w:color w:val="212121"/>
          <w:sz w:val="20"/>
          <w:szCs w:val="20"/>
          <w:bdr w:val="none" w:sz="0" w:space="0" w:color="auto"/>
          <w:lang w:val="pt-BR"/>
        </w:rPr>
        <w:t>”</w:t>
      </w:r>
      <w:r w:rsidRPr="005D6E61">
        <w:rPr>
          <w:rStyle w:val="FootnoteReference"/>
          <w:rFonts w:ascii="Cambria" w:hAnsi="Cambria"/>
          <w:sz w:val="20"/>
          <w:szCs w:val="20"/>
          <w:lang w:val="pt-BR"/>
        </w:rPr>
        <w:footnoteReference w:id="108"/>
      </w:r>
      <w:r w:rsidRPr="005D6E61">
        <w:rPr>
          <w:rFonts w:ascii="Cambria" w:hAnsi="Cambria"/>
          <w:sz w:val="20"/>
          <w:szCs w:val="20"/>
          <w:lang w:val="pt-BR"/>
        </w:rPr>
        <w:t xml:space="preserve">. </w:t>
      </w:r>
    </w:p>
    <w:p w14:paraId="09053044" w14:textId="77777777" w:rsidR="0074105E" w:rsidRPr="005D6E61" w:rsidRDefault="0074105E" w:rsidP="0074105E">
      <w:pPr>
        <w:tabs>
          <w:tab w:val="left" w:pos="1440"/>
          <w:tab w:val="num" w:pos="2040"/>
        </w:tabs>
        <w:jc w:val="both"/>
        <w:rPr>
          <w:rFonts w:ascii="Calibri" w:hAnsi="Calibri"/>
          <w:sz w:val="22"/>
          <w:szCs w:val="22"/>
          <w:lang w:val="pt-BR"/>
        </w:rPr>
      </w:pPr>
    </w:p>
    <w:p w14:paraId="2719693C"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lang w:val="pt-BR"/>
        </w:rPr>
      </w:pPr>
      <w:r w:rsidRPr="005D6E61">
        <w:rPr>
          <w:rFonts w:ascii="Cambria" w:hAnsi="Cambria"/>
          <w:sz w:val="20"/>
          <w:szCs w:val="20"/>
          <w:lang w:val="pt-BR"/>
        </w:rPr>
        <w:t xml:space="preserve">Em 20 de dezembro de 2001 a Câmara </w:t>
      </w:r>
      <w:r w:rsidR="007F1215" w:rsidRPr="005D6E61">
        <w:rPr>
          <w:rFonts w:ascii="Cambria" w:hAnsi="Cambria"/>
          <w:sz w:val="20"/>
          <w:szCs w:val="20"/>
          <w:lang w:val="pt-BR"/>
        </w:rPr>
        <w:t>Crimin</w:t>
      </w:r>
      <w:r w:rsidRPr="005D6E61">
        <w:rPr>
          <w:rFonts w:ascii="Cambria" w:hAnsi="Cambria"/>
          <w:sz w:val="20"/>
          <w:szCs w:val="20"/>
          <w:lang w:val="pt-BR"/>
        </w:rPr>
        <w:t xml:space="preserve">al do Tribunal de Justiça da Paraíba declarou </w:t>
      </w:r>
      <w:r w:rsidR="007F1215" w:rsidRPr="005D6E61">
        <w:rPr>
          <w:rFonts w:ascii="Cambria" w:hAnsi="Cambria"/>
          <w:sz w:val="20"/>
          <w:szCs w:val="20"/>
          <w:lang w:val="pt-BR"/>
        </w:rPr>
        <w:t>procedente</w:t>
      </w:r>
      <w:r w:rsidRPr="005D6E61">
        <w:rPr>
          <w:rFonts w:ascii="Cambria" w:hAnsi="Cambria"/>
          <w:sz w:val="20"/>
          <w:szCs w:val="20"/>
          <w:lang w:val="pt-BR"/>
        </w:rPr>
        <w:t xml:space="preserve"> o recurso do Ministério Público e ordenou a realização de um novo julgamento por </w:t>
      </w:r>
      <w:r w:rsidR="007F1215" w:rsidRPr="005D6E61">
        <w:rPr>
          <w:rFonts w:ascii="Cambria" w:hAnsi="Cambria"/>
          <w:sz w:val="20"/>
          <w:szCs w:val="20"/>
          <w:lang w:val="pt-BR"/>
        </w:rPr>
        <w:t>consider</w:t>
      </w:r>
      <w:r w:rsidRPr="005D6E61">
        <w:rPr>
          <w:rFonts w:ascii="Cambria" w:hAnsi="Cambria"/>
          <w:sz w:val="20"/>
          <w:szCs w:val="20"/>
          <w:lang w:val="pt-BR"/>
        </w:rPr>
        <w:t>ar que a decisão emitida é contrária à</w:t>
      </w:r>
      <w:r w:rsidR="00397588" w:rsidRPr="005D6E61">
        <w:rPr>
          <w:rFonts w:ascii="Cambria" w:hAnsi="Cambria"/>
          <w:sz w:val="20"/>
          <w:szCs w:val="20"/>
          <w:lang w:val="pt-BR"/>
        </w:rPr>
        <w:t>s</w:t>
      </w:r>
      <w:r w:rsidRPr="005D6E61">
        <w:rPr>
          <w:rFonts w:ascii="Cambria" w:hAnsi="Cambria"/>
          <w:sz w:val="20"/>
          <w:szCs w:val="20"/>
          <w:lang w:val="pt-BR"/>
        </w:rPr>
        <w:t xml:space="preserve"> prova</w:t>
      </w:r>
      <w:r w:rsidR="00397588" w:rsidRPr="005D6E61">
        <w:rPr>
          <w:rFonts w:ascii="Cambria" w:hAnsi="Cambria"/>
          <w:sz w:val="20"/>
          <w:szCs w:val="20"/>
          <w:lang w:val="pt-BR"/>
        </w:rPr>
        <w:t>s</w:t>
      </w:r>
      <w:r w:rsidRPr="005D6E61">
        <w:rPr>
          <w:rFonts w:ascii="Cambria" w:hAnsi="Cambria"/>
          <w:sz w:val="20"/>
          <w:szCs w:val="20"/>
          <w:lang w:val="pt-BR"/>
        </w:rPr>
        <w:t xml:space="preserve"> que </w:t>
      </w:r>
      <w:r w:rsidR="007F1215" w:rsidRPr="005D6E61">
        <w:rPr>
          <w:rFonts w:ascii="Cambria" w:hAnsi="Cambria"/>
          <w:sz w:val="20"/>
          <w:szCs w:val="20"/>
          <w:lang w:val="pt-BR"/>
        </w:rPr>
        <w:t xml:space="preserve">se </w:t>
      </w:r>
      <w:r w:rsidRPr="005D6E61">
        <w:rPr>
          <w:rFonts w:ascii="Cambria" w:hAnsi="Cambria"/>
          <w:sz w:val="20"/>
          <w:szCs w:val="20"/>
          <w:lang w:val="pt-BR"/>
        </w:rPr>
        <w:t>encontra</w:t>
      </w:r>
      <w:r w:rsidR="00397588" w:rsidRPr="005D6E61">
        <w:rPr>
          <w:rFonts w:ascii="Cambria" w:hAnsi="Cambria"/>
          <w:sz w:val="20"/>
          <w:szCs w:val="20"/>
          <w:lang w:val="pt-BR"/>
        </w:rPr>
        <w:t>m</w:t>
      </w:r>
      <w:r w:rsidRPr="005D6E61">
        <w:rPr>
          <w:rFonts w:ascii="Cambria" w:hAnsi="Cambria"/>
          <w:sz w:val="20"/>
          <w:szCs w:val="20"/>
          <w:lang w:val="pt-BR"/>
        </w:rPr>
        <w:t xml:space="preserve"> no </w:t>
      </w:r>
      <w:r w:rsidR="007F1215" w:rsidRPr="005D6E61">
        <w:rPr>
          <w:rFonts w:ascii="Cambria" w:hAnsi="Cambria"/>
          <w:sz w:val="20"/>
          <w:szCs w:val="20"/>
          <w:lang w:val="pt-BR"/>
        </w:rPr>
        <w:t>processo</w:t>
      </w:r>
      <w:r w:rsidRPr="005D6E61">
        <w:rPr>
          <w:rStyle w:val="FootnoteReference"/>
          <w:rFonts w:ascii="Cambria" w:hAnsi="Cambria"/>
          <w:sz w:val="20"/>
          <w:szCs w:val="20"/>
          <w:lang w:val="pt-BR"/>
        </w:rPr>
        <w:footnoteReference w:id="109"/>
      </w:r>
      <w:r w:rsidRPr="005D6E61">
        <w:rPr>
          <w:rFonts w:ascii="Cambria" w:hAnsi="Cambria"/>
          <w:sz w:val="20"/>
          <w:szCs w:val="20"/>
          <w:lang w:val="pt-BR"/>
        </w:rPr>
        <w:t>.</w:t>
      </w:r>
    </w:p>
    <w:p w14:paraId="14E6F60C"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libri" w:hAnsi="Calibri"/>
          <w:sz w:val="22"/>
          <w:szCs w:val="22"/>
          <w:lang w:val="pt-BR"/>
        </w:rPr>
      </w:pPr>
    </w:p>
    <w:p w14:paraId="7B79D644"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sz w:val="20"/>
          <w:szCs w:val="20"/>
          <w:lang w:val="pt-BR"/>
        </w:rPr>
      </w:pPr>
      <w:r w:rsidRPr="005D6E61">
        <w:rPr>
          <w:rFonts w:ascii="Cambria" w:hAnsi="Cambria"/>
          <w:sz w:val="20"/>
          <w:szCs w:val="20"/>
          <w:lang w:val="pt-BR"/>
        </w:rPr>
        <w:t xml:space="preserve">Em 9 de abril de 2002 o </w:t>
      </w:r>
      <w:r w:rsidR="008C083F" w:rsidRPr="005D6E61">
        <w:rPr>
          <w:rFonts w:ascii="Cambria" w:hAnsi="Cambria"/>
          <w:sz w:val="20"/>
          <w:szCs w:val="20"/>
          <w:lang w:val="pt-BR"/>
        </w:rPr>
        <w:t>acus</w:t>
      </w:r>
      <w:r w:rsidRPr="005D6E61">
        <w:rPr>
          <w:rFonts w:ascii="Cambria" w:hAnsi="Cambria"/>
          <w:sz w:val="20"/>
          <w:szCs w:val="20"/>
          <w:lang w:val="pt-BR"/>
        </w:rPr>
        <w:t xml:space="preserve">ado </w:t>
      </w:r>
      <w:r w:rsidR="005D36AB" w:rsidRPr="005D6E61">
        <w:rPr>
          <w:rFonts w:ascii="Cambria" w:hAnsi="Cambria"/>
          <w:sz w:val="20"/>
          <w:szCs w:val="20"/>
          <w:lang w:val="pt-BR"/>
        </w:rPr>
        <w:t>impetr</w:t>
      </w:r>
      <w:r w:rsidR="008C083F" w:rsidRPr="005D6E61">
        <w:rPr>
          <w:rFonts w:ascii="Cambria" w:hAnsi="Cambria"/>
          <w:sz w:val="20"/>
          <w:szCs w:val="20"/>
          <w:lang w:val="pt-BR"/>
        </w:rPr>
        <w:t>ou um ha</w:t>
      </w:r>
      <w:r w:rsidRPr="005D6E61">
        <w:rPr>
          <w:rFonts w:ascii="Cambria" w:hAnsi="Cambria"/>
          <w:sz w:val="20"/>
          <w:szCs w:val="20"/>
          <w:lang w:val="pt-BR"/>
        </w:rPr>
        <w:t>beas corpus solicitando a suspensão do curso da ação penal e do novo julgamento programado, enquanto não se resolvesse o recurso.</w:t>
      </w:r>
    </w:p>
    <w:p w14:paraId="0C1DD97B"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sz w:val="20"/>
          <w:szCs w:val="20"/>
          <w:lang w:val="pt-BR"/>
        </w:rPr>
      </w:pPr>
    </w:p>
    <w:p w14:paraId="702CF103"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Em 12 de novembro de 2002 o Superior Tribunal de Justiça ordenou o restabelecimento da decisão do Tribunal do </w:t>
      </w:r>
      <w:r w:rsidR="008C083F" w:rsidRPr="005D6E61">
        <w:rPr>
          <w:rFonts w:ascii="Cambria" w:hAnsi="Cambria"/>
          <w:sz w:val="20"/>
          <w:szCs w:val="20"/>
          <w:lang w:val="pt-BR"/>
        </w:rPr>
        <w:t>Júri</w:t>
      </w:r>
      <w:r w:rsidRPr="005D6E61">
        <w:rPr>
          <w:rFonts w:ascii="Cambria" w:hAnsi="Cambria"/>
          <w:sz w:val="20"/>
          <w:szCs w:val="20"/>
          <w:lang w:val="pt-BR"/>
        </w:rPr>
        <w:t xml:space="preserve"> de junho de 2001, que havia absolvido o acusado</w:t>
      </w:r>
      <w:r w:rsidRPr="005D6E61">
        <w:rPr>
          <w:rStyle w:val="FootnoteReference"/>
          <w:rFonts w:ascii="Cambria" w:hAnsi="Cambria"/>
          <w:sz w:val="20"/>
          <w:szCs w:val="20"/>
          <w:lang w:val="pt-BR"/>
        </w:rPr>
        <w:footnoteReference w:id="110"/>
      </w:r>
      <w:r w:rsidRPr="005D6E61">
        <w:rPr>
          <w:rFonts w:ascii="Cambria" w:hAnsi="Cambria"/>
          <w:sz w:val="20"/>
          <w:szCs w:val="20"/>
          <w:lang w:val="pt-BR"/>
        </w:rPr>
        <w:t xml:space="preserve">. O Tribunal indicou que havia duas versões acerca do ocorrido, sendo uma delas a que </w:t>
      </w:r>
      <w:r w:rsidR="008C083F" w:rsidRPr="005D6E61">
        <w:rPr>
          <w:rFonts w:ascii="Cambria" w:hAnsi="Cambria"/>
          <w:sz w:val="20"/>
          <w:szCs w:val="20"/>
          <w:lang w:val="pt-BR"/>
        </w:rPr>
        <w:t>indi</w:t>
      </w:r>
      <w:r w:rsidRPr="005D6E61">
        <w:rPr>
          <w:rFonts w:ascii="Cambria" w:hAnsi="Cambria"/>
          <w:sz w:val="20"/>
          <w:szCs w:val="20"/>
          <w:lang w:val="pt-BR"/>
        </w:rPr>
        <w:t xml:space="preserve">cava a inexistência de elementos que sustentassem a participação do acusado no </w:t>
      </w:r>
      <w:r w:rsidR="008C083F" w:rsidRPr="005D6E61">
        <w:rPr>
          <w:rFonts w:ascii="Cambria" w:hAnsi="Cambria"/>
          <w:sz w:val="20"/>
          <w:szCs w:val="20"/>
          <w:lang w:val="pt-BR"/>
        </w:rPr>
        <w:t>crime</w:t>
      </w:r>
      <w:r w:rsidRPr="005D6E61">
        <w:rPr>
          <w:rFonts w:ascii="Cambria" w:hAnsi="Cambria"/>
          <w:sz w:val="20"/>
          <w:szCs w:val="20"/>
          <w:lang w:val="pt-BR"/>
        </w:rPr>
        <w:t xml:space="preserve">, o que significaria que a decisão do Tribunal do </w:t>
      </w:r>
      <w:r w:rsidR="007F1215" w:rsidRPr="005D6E61">
        <w:rPr>
          <w:rFonts w:ascii="Cambria" w:hAnsi="Cambria"/>
          <w:sz w:val="20"/>
          <w:szCs w:val="20"/>
          <w:lang w:val="pt-BR"/>
        </w:rPr>
        <w:t>Júri</w:t>
      </w:r>
      <w:r w:rsidRPr="005D6E61">
        <w:rPr>
          <w:rFonts w:ascii="Cambria" w:hAnsi="Cambria"/>
          <w:sz w:val="20"/>
          <w:szCs w:val="20"/>
          <w:lang w:val="pt-BR"/>
        </w:rPr>
        <w:t xml:space="preserve"> acolheu a versão mais verossímil, não havendo arbitrariedade a ser questionada</w:t>
      </w:r>
      <w:r w:rsidRPr="005D6E61">
        <w:rPr>
          <w:rStyle w:val="FootnoteReference"/>
          <w:rFonts w:ascii="Cambria" w:hAnsi="Cambria"/>
          <w:sz w:val="20"/>
          <w:szCs w:val="20"/>
          <w:lang w:val="pt-BR"/>
        </w:rPr>
        <w:footnoteReference w:id="111"/>
      </w:r>
      <w:r w:rsidRPr="005D6E61">
        <w:rPr>
          <w:rFonts w:ascii="Cambria" w:hAnsi="Cambria"/>
          <w:sz w:val="20"/>
          <w:szCs w:val="20"/>
          <w:lang w:val="pt-BR"/>
        </w:rPr>
        <w:t>.</w:t>
      </w:r>
    </w:p>
    <w:p w14:paraId="0726FC2D" w14:textId="77777777" w:rsidR="0074105E" w:rsidRPr="005D6E61" w:rsidRDefault="0074105E" w:rsidP="0074105E">
      <w:pPr>
        <w:pStyle w:val="ListParagraph"/>
        <w:rPr>
          <w:sz w:val="20"/>
          <w:szCs w:val="20"/>
          <w:lang w:val="pt-BR"/>
        </w:rPr>
      </w:pPr>
    </w:p>
    <w:p w14:paraId="7DA4F607" w14:textId="77777777" w:rsidR="0074105E" w:rsidRPr="005D6E61" w:rsidRDefault="008C083F"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sz w:val="20"/>
          <w:szCs w:val="20"/>
          <w:lang w:val="pt-BR"/>
        </w:rPr>
      </w:pPr>
      <w:r w:rsidRPr="005D6E61">
        <w:rPr>
          <w:rFonts w:ascii="Cambria" w:hAnsi="Cambria"/>
          <w:sz w:val="20"/>
          <w:szCs w:val="20"/>
          <w:lang w:val="pt-BR"/>
        </w:rPr>
        <w:lastRenderedPageBreak/>
        <w:t>P</w:t>
      </w:r>
      <w:r w:rsidR="0074105E" w:rsidRPr="005D6E61">
        <w:rPr>
          <w:rFonts w:ascii="Cambria" w:hAnsi="Cambria"/>
          <w:sz w:val="20"/>
          <w:szCs w:val="20"/>
          <w:lang w:val="pt-BR"/>
        </w:rPr>
        <w:t>osterior</w:t>
      </w:r>
      <w:r w:rsidRPr="005D6E61">
        <w:rPr>
          <w:rFonts w:ascii="Cambria" w:hAnsi="Cambria"/>
          <w:sz w:val="20"/>
          <w:szCs w:val="20"/>
          <w:lang w:val="pt-BR"/>
        </w:rPr>
        <w:t>ment</w:t>
      </w:r>
      <w:r w:rsidR="0074105E" w:rsidRPr="005D6E61">
        <w:rPr>
          <w:rFonts w:ascii="Cambria" w:hAnsi="Cambria"/>
          <w:sz w:val="20"/>
          <w:szCs w:val="20"/>
          <w:lang w:val="pt-BR"/>
        </w:rPr>
        <w:t>e, o Ministério Público Federal interpôs um recurso extraordinário contra essa decisão, que foi declarado inadmissível no dia 13 de março de 2003</w:t>
      </w:r>
      <w:r w:rsidR="0074105E" w:rsidRPr="005D6E61">
        <w:rPr>
          <w:rStyle w:val="FootnoteReference"/>
          <w:rFonts w:ascii="Cambria" w:hAnsi="Cambria"/>
          <w:sz w:val="20"/>
          <w:szCs w:val="20"/>
          <w:lang w:val="pt-BR"/>
        </w:rPr>
        <w:footnoteReference w:id="112"/>
      </w:r>
      <w:r w:rsidR="0074105E" w:rsidRPr="005D6E61">
        <w:rPr>
          <w:rFonts w:ascii="Cambria" w:hAnsi="Cambria"/>
          <w:sz w:val="20"/>
          <w:szCs w:val="20"/>
          <w:lang w:val="pt-BR"/>
        </w:rPr>
        <w:t>.</w:t>
      </w:r>
      <w:r w:rsidR="0074105E" w:rsidRPr="005D6E61">
        <w:rPr>
          <w:sz w:val="20"/>
          <w:szCs w:val="20"/>
          <w:lang w:val="pt-BR"/>
        </w:rPr>
        <w:t xml:space="preserve"> </w:t>
      </w:r>
      <w:r w:rsidR="0074105E" w:rsidRPr="005D6E61">
        <w:rPr>
          <w:rFonts w:ascii="Cambria" w:hAnsi="Cambria"/>
          <w:sz w:val="20"/>
          <w:szCs w:val="20"/>
          <w:lang w:val="pt-BR"/>
        </w:rPr>
        <w:t>Em 2 de setembro de 2003 os autos foram arquivados permanentemente</w:t>
      </w:r>
      <w:r w:rsidR="0074105E" w:rsidRPr="005D6E61">
        <w:rPr>
          <w:rStyle w:val="FootnoteReference"/>
          <w:rFonts w:ascii="Cambria" w:hAnsi="Cambria"/>
          <w:sz w:val="20"/>
          <w:szCs w:val="20"/>
          <w:lang w:val="pt-BR"/>
        </w:rPr>
        <w:footnoteReference w:id="113"/>
      </w:r>
      <w:r w:rsidR="0074105E" w:rsidRPr="005D6E61">
        <w:rPr>
          <w:rFonts w:ascii="Cambria" w:hAnsi="Cambria"/>
          <w:sz w:val="20"/>
          <w:szCs w:val="20"/>
          <w:lang w:val="pt-BR"/>
        </w:rPr>
        <w:t>.</w:t>
      </w:r>
    </w:p>
    <w:p w14:paraId="3C7F66C6" w14:textId="77777777" w:rsidR="0074105E" w:rsidRPr="005D6E61" w:rsidRDefault="0074105E" w:rsidP="0074105E">
      <w:pPr>
        <w:pStyle w:val="Heading3"/>
        <w:numPr>
          <w:ilvl w:val="1"/>
          <w:numId w:val="54"/>
        </w:numPr>
        <w:tabs>
          <w:tab w:val="clear" w:pos="1800"/>
          <w:tab w:val="num" w:pos="1440"/>
        </w:tabs>
        <w:ind w:hanging="1080"/>
        <w:rPr>
          <w:rFonts w:asciiTheme="majorHAnsi" w:hAnsiTheme="majorHAnsi"/>
          <w:sz w:val="20"/>
          <w:szCs w:val="20"/>
          <w:lang w:val="pt-BR"/>
        </w:rPr>
      </w:pPr>
      <w:bookmarkStart w:id="23" w:name="_Toc496103829"/>
      <w:bookmarkStart w:id="24" w:name="_Toc27990567"/>
      <w:r w:rsidRPr="005D6E61">
        <w:rPr>
          <w:rFonts w:asciiTheme="majorHAnsi" w:hAnsiTheme="majorHAnsi"/>
          <w:sz w:val="20"/>
          <w:szCs w:val="20"/>
          <w:lang w:val="pt-BR"/>
        </w:rPr>
        <w:t xml:space="preserve">O relatório do Conselho de Defesa </w:t>
      </w:r>
      <w:r w:rsidR="0075264A" w:rsidRPr="005D6E61">
        <w:rPr>
          <w:rFonts w:asciiTheme="majorHAnsi" w:hAnsiTheme="majorHAnsi"/>
          <w:sz w:val="20"/>
          <w:szCs w:val="20"/>
          <w:lang w:val="pt-BR"/>
        </w:rPr>
        <w:t xml:space="preserve">dos Direitos </w:t>
      </w:r>
      <w:r w:rsidRPr="005D6E61">
        <w:rPr>
          <w:rFonts w:asciiTheme="majorHAnsi" w:hAnsiTheme="majorHAnsi"/>
          <w:sz w:val="20"/>
          <w:szCs w:val="20"/>
          <w:lang w:val="pt-BR"/>
        </w:rPr>
        <w:t xml:space="preserve">da </w:t>
      </w:r>
      <w:r w:rsidR="0075264A" w:rsidRPr="005D6E61">
        <w:rPr>
          <w:rFonts w:asciiTheme="majorHAnsi" w:hAnsiTheme="majorHAnsi"/>
          <w:sz w:val="20"/>
          <w:szCs w:val="20"/>
          <w:lang w:val="pt-BR"/>
        </w:rPr>
        <w:t>P</w:t>
      </w:r>
      <w:r w:rsidRPr="005D6E61">
        <w:rPr>
          <w:rFonts w:asciiTheme="majorHAnsi" w:hAnsiTheme="majorHAnsi"/>
          <w:sz w:val="20"/>
          <w:szCs w:val="20"/>
          <w:lang w:val="pt-BR"/>
        </w:rPr>
        <w:t xml:space="preserve">essoa </w:t>
      </w:r>
      <w:r w:rsidR="0075264A" w:rsidRPr="005D6E61">
        <w:rPr>
          <w:rFonts w:asciiTheme="majorHAnsi" w:hAnsiTheme="majorHAnsi"/>
          <w:sz w:val="20"/>
          <w:szCs w:val="20"/>
          <w:lang w:val="pt-BR"/>
        </w:rPr>
        <w:t>H</w:t>
      </w:r>
      <w:r w:rsidRPr="005D6E61">
        <w:rPr>
          <w:rFonts w:asciiTheme="majorHAnsi" w:hAnsiTheme="majorHAnsi"/>
          <w:sz w:val="20"/>
          <w:szCs w:val="20"/>
          <w:lang w:val="pt-BR"/>
        </w:rPr>
        <w:t>um</w:t>
      </w:r>
      <w:bookmarkEnd w:id="23"/>
      <w:r w:rsidRPr="005D6E61">
        <w:rPr>
          <w:rFonts w:asciiTheme="majorHAnsi" w:hAnsiTheme="majorHAnsi"/>
          <w:sz w:val="20"/>
          <w:szCs w:val="20"/>
          <w:lang w:val="pt-BR"/>
        </w:rPr>
        <w:t>ana</w:t>
      </w:r>
      <w:bookmarkEnd w:id="24"/>
      <w:r w:rsidRPr="005D6E61">
        <w:rPr>
          <w:rFonts w:asciiTheme="majorHAnsi" w:hAnsiTheme="majorHAnsi"/>
          <w:sz w:val="20"/>
          <w:szCs w:val="20"/>
          <w:lang w:val="pt-BR"/>
        </w:rPr>
        <w:t xml:space="preserve"> </w:t>
      </w:r>
    </w:p>
    <w:p w14:paraId="7E969A0F" w14:textId="77777777" w:rsidR="0074105E" w:rsidRPr="005D6E61" w:rsidRDefault="0074105E" w:rsidP="0074105E">
      <w:pPr>
        <w:rPr>
          <w:lang w:val="pt-BR"/>
        </w:rPr>
      </w:pPr>
    </w:p>
    <w:p w14:paraId="72A1335F"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Em 22 de agosto de 2001 o Conselho de Defesa dos </w:t>
      </w:r>
      <w:r w:rsidR="0075264A" w:rsidRPr="005D6E61">
        <w:rPr>
          <w:rFonts w:ascii="Cambria" w:hAnsi="Cambria"/>
          <w:sz w:val="20"/>
          <w:szCs w:val="20"/>
          <w:lang w:val="pt-BR"/>
        </w:rPr>
        <w:t>D</w:t>
      </w:r>
      <w:r w:rsidRPr="005D6E61">
        <w:rPr>
          <w:rFonts w:ascii="Cambria" w:hAnsi="Cambria"/>
          <w:sz w:val="20"/>
          <w:szCs w:val="20"/>
          <w:lang w:val="pt-BR"/>
        </w:rPr>
        <w:t xml:space="preserve">ireitos da </w:t>
      </w:r>
      <w:r w:rsidR="0075264A" w:rsidRPr="005D6E61">
        <w:rPr>
          <w:rFonts w:ascii="Cambria" w:hAnsi="Cambria"/>
          <w:sz w:val="20"/>
          <w:szCs w:val="20"/>
          <w:lang w:val="pt-BR"/>
        </w:rPr>
        <w:t>P</w:t>
      </w:r>
      <w:r w:rsidRPr="005D6E61">
        <w:rPr>
          <w:rFonts w:ascii="Cambria" w:hAnsi="Cambria"/>
          <w:sz w:val="20"/>
          <w:szCs w:val="20"/>
          <w:lang w:val="pt-BR"/>
        </w:rPr>
        <w:t xml:space="preserve">essoa </w:t>
      </w:r>
      <w:r w:rsidR="0075264A" w:rsidRPr="005D6E61">
        <w:rPr>
          <w:rFonts w:ascii="Cambria" w:hAnsi="Cambria"/>
          <w:sz w:val="20"/>
          <w:szCs w:val="20"/>
          <w:lang w:val="pt-BR"/>
        </w:rPr>
        <w:t>H</w:t>
      </w:r>
      <w:r w:rsidRPr="005D6E61">
        <w:rPr>
          <w:rFonts w:ascii="Cambria" w:hAnsi="Cambria"/>
          <w:sz w:val="20"/>
          <w:szCs w:val="20"/>
          <w:lang w:val="pt-BR"/>
        </w:rPr>
        <w:t>umana do Ministério da Justiça do Brasil apresentou um relatório a respeito de seu acompanhamento do processo contra os supostos autores intelectuais da morte da suposta vítima</w:t>
      </w:r>
      <w:r w:rsidRPr="005D6E61">
        <w:rPr>
          <w:rStyle w:val="FootnoteReference"/>
          <w:rFonts w:ascii="Cambria" w:hAnsi="Cambria" w:cs="Courier"/>
          <w:color w:val="212121"/>
          <w:sz w:val="20"/>
          <w:szCs w:val="20"/>
          <w:bdr w:val="none" w:sz="0" w:space="0" w:color="auto"/>
          <w:lang w:val="pt-BR"/>
        </w:rPr>
        <w:footnoteReference w:id="114"/>
      </w:r>
      <w:r w:rsidRPr="005D6E61">
        <w:rPr>
          <w:rFonts w:ascii="Cambria" w:hAnsi="Cambria"/>
          <w:sz w:val="20"/>
          <w:szCs w:val="20"/>
          <w:lang w:val="pt-BR"/>
        </w:rPr>
        <w:t>.</w:t>
      </w:r>
    </w:p>
    <w:p w14:paraId="2D3CC284"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lang w:val="pt-BR"/>
        </w:rPr>
      </w:pPr>
    </w:p>
    <w:p w14:paraId="0EFF174D"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Nesse relatório</w:t>
      </w:r>
      <w:r w:rsidR="005D36AB" w:rsidRPr="005D6E61">
        <w:rPr>
          <w:rFonts w:ascii="Cambria" w:hAnsi="Cambria"/>
          <w:sz w:val="20"/>
          <w:szCs w:val="20"/>
          <w:lang w:val="pt-BR"/>
        </w:rPr>
        <w:t>,</w:t>
      </w:r>
      <w:r w:rsidRPr="005D6E61">
        <w:rPr>
          <w:rFonts w:ascii="Cambria" w:hAnsi="Cambria"/>
          <w:sz w:val="20"/>
          <w:szCs w:val="20"/>
          <w:lang w:val="pt-BR"/>
        </w:rPr>
        <w:t xml:space="preserve"> indicou</w:t>
      </w:r>
      <w:r w:rsidR="00EB35B3" w:rsidRPr="005D6E61">
        <w:rPr>
          <w:rFonts w:ascii="Cambria" w:hAnsi="Cambria"/>
          <w:sz w:val="20"/>
          <w:szCs w:val="20"/>
          <w:lang w:val="pt-BR"/>
        </w:rPr>
        <w:t xml:space="preserve"> que</w:t>
      </w:r>
      <w:r w:rsidRPr="005D6E61">
        <w:rPr>
          <w:rFonts w:ascii="Cambria" w:hAnsi="Cambria"/>
          <w:sz w:val="20"/>
          <w:szCs w:val="20"/>
          <w:lang w:val="pt-BR"/>
        </w:rPr>
        <w:t xml:space="preserve"> “o homicídio</w:t>
      </w:r>
      <w:r w:rsidR="00EB35B3" w:rsidRPr="005D6E61">
        <w:rPr>
          <w:rFonts w:ascii="Cambria" w:hAnsi="Cambria"/>
          <w:sz w:val="20"/>
          <w:szCs w:val="20"/>
          <w:lang w:val="pt-BR"/>
        </w:rPr>
        <w:t>,</w:t>
      </w:r>
      <w:r w:rsidRPr="005D6E61">
        <w:rPr>
          <w:rFonts w:ascii="Cambria" w:hAnsi="Cambria"/>
          <w:sz w:val="20"/>
          <w:szCs w:val="20"/>
          <w:lang w:val="pt-BR"/>
        </w:rPr>
        <w:t xml:space="preserve"> cuja perpetração obedeceu ao clássico modelo de execução encomendada ou pistolagem</w:t>
      </w:r>
      <w:r w:rsidR="00EB35B3" w:rsidRPr="005D6E61">
        <w:rPr>
          <w:rFonts w:ascii="Cambria" w:hAnsi="Cambria"/>
          <w:sz w:val="20"/>
          <w:szCs w:val="20"/>
          <w:lang w:val="pt-BR"/>
        </w:rPr>
        <w:t>,</w:t>
      </w:r>
      <w:r w:rsidRPr="005D6E61">
        <w:rPr>
          <w:rFonts w:ascii="Cambria" w:hAnsi="Cambria"/>
          <w:sz w:val="20"/>
          <w:szCs w:val="20"/>
          <w:lang w:val="pt-BR"/>
        </w:rPr>
        <w:t xml:space="preserve"> foi desde cedo atribuíd</w:t>
      </w:r>
      <w:r w:rsidR="00A85EC5" w:rsidRPr="005D6E61">
        <w:rPr>
          <w:rFonts w:ascii="Cambria" w:hAnsi="Cambria"/>
          <w:sz w:val="20"/>
          <w:szCs w:val="20"/>
          <w:lang w:val="pt-BR"/>
        </w:rPr>
        <w:t>o</w:t>
      </w:r>
      <w:r w:rsidRPr="005D6E61">
        <w:rPr>
          <w:rFonts w:ascii="Cambria" w:hAnsi="Cambria"/>
          <w:sz w:val="20"/>
          <w:szCs w:val="20"/>
          <w:lang w:val="pt-BR"/>
        </w:rPr>
        <w:t xml:space="preserve"> à luta pela terra e ao coronelismo então vigente no sistema fundiário nordestino”. </w:t>
      </w:r>
      <w:r w:rsidR="00EB35B3" w:rsidRPr="005D6E61">
        <w:rPr>
          <w:rFonts w:ascii="Cambria" w:hAnsi="Cambria"/>
          <w:sz w:val="20"/>
          <w:szCs w:val="20"/>
          <w:lang w:val="pt-BR"/>
        </w:rPr>
        <w:t>Mencionou</w:t>
      </w:r>
      <w:r w:rsidRPr="005D6E61">
        <w:rPr>
          <w:rFonts w:ascii="Cambria" w:hAnsi="Cambria"/>
          <w:sz w:val="20"/>
          <w:szCs w:val="20"/>
          <w:lang w:val="pt-BR"/>
        </w:rPr>
        <w:t xml:space="preserve"> que “as forças d</w:t>
      </w:r>
      <w:r w:rsidR="00A85EC5" w:rsidRPr="005D6E61">
        <w:rPr>
          <w:rFonts w:ascii="Cambria" w:hAnsi="Cambria"/>
          <w:sz w:val="20"/>
          <w:szCs w:val="20"/>
          <w:lang w:val="pt-BR"/>
        </w:rPr>
        <w:t>o</w:t>
      </w:r>
      <w:r w:rsidRPr="005D6E61">
        <w:rPr>
          <w:rFonts w:ascii="Cambria" w:hAnsi="Cambria"/>
          <w:sz w:val="20"/>
          <w:szCs w:val="20"/>
          <w:lang w:val="pt-BR"/>
        </w:rPr>
        <w:t xml:space="preserve"> atraso que caracterizaram o coronelismo rural certamente influíram na comprovação do ato, na demora insuportável da conclusão do processo criminal e dos julgamentos”</w:t>
      </w:r>
      <w:r w:rsidRPr="005D6E61">
        <w:rPr>
          <w:rStyle w:val="FootnoteReference"/>
          <w:rFonts w:ascii="Cambria" w:hAnsi="Cambria" w:cs="Courier"/>
          <w:color w:val="212121"/>
          <w:sz w:val="20"/>
          <w:szCs w:val="20"/>
          <w:bdr w:val="none" w:sz="0" w:space="0" w:color="auto"/>
          <w:lang w:val="pt-BR"/>
        </w:rPr>
        <w:t xml:space="preserve"> </w:t>
      </w:r>
      <w:r w:rsidRPr="005D6E61">
        <w:rPr>
          <w:rStyle w:val="FootnoteReference"/>
          <w:rFonts w:ascii="Cambria" w:hAnsi="Cambria" w:cs="Courier"/>
          <w:color w:val="212121"/>
          <w:sz w:val="20"/>
          <w:szCs w:val="20"/>
          <w:bdr w:val="none" w:sz="0" w:space="0" w:color="auto"/>
          <w:lang w:val="pt-BR"/>
        </w:rPr>
        <w:footnoteReference w:id="115"/>
      </w:r>
      <w:r w:rsidRPr="005D6E61">
        <w:rPr>
          <w:rFonts w:ascii="Cambria" w:hAnsi="Cambria"/>
          <w:sz w:val="20"/>
          <w:szCs w:val="20"/>
          <w:lang w:val="pt-BR"/>
        </w:rPr>
        <w:t xml:space="preserve">. </w:t>
      </w:r>
    </w:p>
    <w:p w14:paraId="6B2D942D"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pt-BR"/>
        </w:rPr>
      </w:pPr>
    </w:p>
    <w:p w14:paraId="4E9A6CD2" w14:textId="77777777" w:rsidR="0074105E" w:rsidRPr="005D6E61" w:rsidRDefault="005D36AB"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O</w:t>
      </w:r>
      <w:r w:rsidR="0074105E" w:rsidRPr="005D6E61">
        <w:rPr>
          <w:rFonts w:ascii="Cambria" w:hAnsi="Cambria"/>
          <w:sz w:val="20"/>
          <w:szCs w:val="20"/>
          <w:lang w:val="pt-BR"/>
        </w:rPr>
        <w:t xml:space="preserve"> relatório também indica</w:t>
      </w:r>
      <w:r w:rsidR="00085760" w:rsidRPr="005D6E61">
        <w:rPr>
          <w:rFonts w:ascii="Cambria" w:hAnsi="Cambria"/>
          <w:sz w:val="20"/>
          <w:szCs w:val="20"/>
          <w:lang w:val="pt-BR"/>
        </w:rPr>
        <w:t xml:space="preserve"> que</w:t>
      </w:r>
      <w:r w:rsidR="0074105E" w:rsidRPr="005D6E61">
        <w:rPr>
          <w:rFonts w:ascii="Cambria" w:hAnsi="Cambria"/>
          <w:sz w:val="20"/>
          <w:szCs w:val="20"/>
          <w:lang w:val="pt-BR"/>
        </w:rPr>
        <w:t xml:space="preserve"> “foi </w:t>
      </w:r>
      <w:r w:rsidR="00085760" w:rsidRPr="005D6E61">
        <w:rPr>
          <w:rFonts w:ascii="Cambria" w:hAnsi="Cambria"/>
          <w:sz w:val="20"/>
          <w:szCs w:val="20"/>
          <w:lang w:val="pt-BR"/>
        </w:rPr>
        <w:t xml:space="preserve">somente </w:t>
      </w:r>
      <w:r w:rsidR="00A85EC5" w:rsidRPr="005D6E61">
        <w:rPr>
          <w:rFonts w:ascii="Cambria" w:hAnsi="Cambria"/>
          <w:sz w:val="20"/>
          <w:szCs w:val="20"/>
          <w:lang w:val="pt-BR"/>
        </w:rPr>
        <w:t>17</w:t>
      </w:r>
      <w:r w:rsidR="0074105E" w:rsidRPr="005D6E61">
        <w:rPr>
          <w:rFonts w:ascii="Cambria" w:hAnsi="Cambria"/>
          <w:sz w:val="20"/>
          <w:szCs w:val="20"/>
          <w:lang w:val="pt-BR"/>
        </w:rPr>
        <w:t xml:space="preserve"> anos depois do crime que se realizou o julgamento do médico e </w:t>
      </w:r>
      <w:r w:rsidR="00397588" w:rsidRPr="005D6E61">
        <w:rPr>
          <w:rFonts w:ascii="Cambria" w:hAnsi="Cambria"/>
          <w:sz w:val="20"/>
          <w:szCs w:val="20"/>
          <w:lang w:val="pt-BR"/>
        </w:rPr>
        <w:t>fazendeiro</w:t>
      </w:r>
      <w:r w:rsidR="0074105E" w:rsidRPr="005D6E61">
        <w:rPr>
          <w:rFonts w:ascii="Cambria" w:hAnsi="Cambria"/>
          <w:sz w:val="20"/>
          <w:szCs w:val="20"/>
          <w:lang w:val="pt-BR"/>
        </w:rPr>
        <w:t xml:space="preserve"> </w:t>
      </w:r>
      <w:r w:rsidR="0074105E" w:rsidRPr="005D6E61">
        <w:rPr>
          <w:rFonts w:ascii="Cambria" w:hAnsi="Cambria" w:cs="Courier"/>
          <w:sz w:val="20"/>
          <w:szCs w:val="20"/>
          <w:bdr w:val="none" w:sz="0" w:space="0" w:color="auto"/>
          <w:lang w:val="pt-BR"/>
        </w:rPr>
        <w:t>José Buarque de Gusmão Neto ("Zito Buarque")</w:t>
      </w:r>
      <w:r w:rsidR="00A85EC5" w:rsidRPr="005D6E61">
        <w:rPr>
          <w:rFonts w:ascii="Cambria" w:hAnsi="Cambria" w:cs="Courier"/>
          <w:sz w:val="20"/>
          <w:szCs w:val="20"/>
          <w:bdr w:val="none" w:sz="0" w:space="0" w:color="auto"/>
          <w:lang w:val="pt-BR"/>
        </w:rPr>
        <w:t>,</w:t>
      </w:r>
      <w:r w:rsidR="0074105E" w:rsidRPr="005D6E61">
        <w:rPr>
          <w:rFonts w:ascii="Cambria" w:hAnsi="Cambria" w:cs="Courier"/>
          <w:sz w:val="20"/>
          <w:szCs w:val="20"/>
          <w:bdr w:val="none" w:sz="0" w:space="0" w:color="auto"/>
          <w:lang w:val="pt-BR"/>
        </w:rPr>
        <w:t xml:space="preserve"> acusado como autor intelectual d</w:t>
      </w:r>
      <w:r w:rsidR="00A85EC5" w:rsidRPr="005D6E61">
        <w:rPr>
          <w:rFonts w:ascii="Cambria" w:hAnsi="Cambria" w:cs="Courier"/>
          <w:sz w:val="20"/>
          <w:szCs w:val="20"/>
          <w:bdr w:val="none" w:sz="0" w:space="0" w:color="auto"/>
          <w:lang w:val="pt-BR"/>
        </w:rPr>
        <w:t>o</w:t>
      </w:r>
      <w:r w:rsidR="0074105E" w:rsidRPr="005D6E61">
        <w:rPr>
          <w:rFonts w:ascii="Cambria" w:hAnsi="Cambria" w:cs="Courier"/>
          <w:sz w:val="20"/>
          <w:szCs w:val="20"/>
          <w:bdr w:val="none" w:sz="0" w:space="0" w:color="auto"/>
          <w:lang w:val="pt-BR"/>
        </w:rPr>
        <w:t xml:space="preserve"> assassinato (o outro acusado de </w:t>
      </w:r>
      <w:r w:rsidR="00085760" w:rsidRPr="005D6E61">
        <w:rPr>
          <w:rFonts w:ascii="Cambria" w:hAnsi="Cambria" w:cs="Courier"/>
          <w:sz w:val="20"/>
          <w:szCs w:val="20"/>
          <w:bdr w:val="none" w:sz="0" w:space="0" w:color="auto"/>
          <w:lang w:val="pt-BR"/>
        </w:rPr>
        <w:t xml:space="preserve">ser </w:t>
      </w:r>
      <w:r w:rsidR="0074105E" w:rsidRPr="005D6E61">
        <w:rPr>
          <w:rFonts w:ascii="Cambria" w:hAnsi="Cambria" w:cs="Courier"/>
          <w:sz w:val="20"/>
          <w:szCs w:val="20"/>
          <w:bdr w:val="none" w:sz="0" w:space="0" w:color="auto"/>
          <w:lang w:val="pt-BR"/>
        </w:rPr>
        <w:t xml:space="preserve">autor intelectual, o </w:t>
      </w:r>
      <w:r w:rsidR="00A85EC5" w:rsidRPr="005D6E61">
        <w:rPr>
          <w:rFonts w:ascii="Cambria" w:hAnsi="Cambria" w:cs="Courier"/>
          <w:sz w:val="20"/>
          <w:szCs w:val="20"/>
          <w:bdr w:val="none" w:sz="0" w:space="0" w:color="auto"/>
          <w:lang w:val="pt-BR"/>
        </w:rPr>
        <w:t>fazendeiro</w:t>
      </w:r>
      <w:r w:rsidR="0074105E" w:rsidRPr="005D6E61">
        <w:rPr>
          <w:rFonts w:ascii="Cambria" w:hAnsi="Cambria" w:cs="Courier"/>
          <w:sz w:val="20"/>
          <w:szCs w:val="20"/>
          <w:bdr w:val="none" w:sz="0" w:space="0" w:color="auto"/>
          <w:lang w:val="pt-BR"/>
        </w:rPr>
        <w:t xml:space="preserve"> Aguinaldo Veloso Borges, sogro de Zito, faleceu). Finalmente</w:t>
      </w:r>
      <w:r w:rsidR="00A85EC5" w:rsidRPr="005D6E61">
        <w:rPr>
          <w:rFonts w:ascii="Cambria" w:hAnsi="Cambria" w:cs="Courier"/>
          <w:sz w:val="20"/>
          <w:szCs w:val="20"/>
          <w:bdr w:val="none" w:sz="0" w:space="0" w:color="auto"/>
          <w:lang w:val="pt-BR"/>
        </w:rPr>
        <w:t>,</w:t>
      </w:r>
      <w:r w:rsidR="0074105E" w:rsidRPr="005D6E61">
        <w:rPr>
          <w:rFonts w:ascii="Cambria" w:hAnsi="Cambria" w:cs="Courier"/>
          <w:sz w:val="20"/>
          <w:szCs w:val="20"/>
          <w:bdr w:val="none" w:sz="0" w:space="0" w:color="auto"/>
          <w:lang w:val="pt-BR"/>
        </w:rPr>
        <w:t xml:space="preserve"> reconheceu-se “a fragilidade da</w:t>
      </w:r>
      <w:r w:rsidR="00397588" w:rsidRPr="005D6E61">
        <w:rPr>
          <w:rFonts w:ascii="Cambria" w:hAnsi="Cambria" w:cs="Courier"/>
          <w:sz w:val="20"/>
          <w:szCs w:val="20"/>
          <w:bdr w:val="none" w:sz="0" w:space="0" w:color="auto"/>
          <w:lang w:val="pt-BR"/>
        </w:rPr>
        <w:t>s</w:t>
      </w:r>
      <w:r w:rsidR="0074105E" w:rsidRPr="005D6E61">
        <w:rPr>
          <w:rFonts w:ascii="Cambria" w:hAnsi="Cambria" w:cs="Courier"/>
          <w:sz w:val="20"/>
          <w:szCs w:val="20"/>
          <w:bdr w:val="none" w:sz="0" w:space="0" w:color="auto"/>
          <w:lang w:val="pt-BR"/>
        </w:rPr>
        <w:t xml:space="preserve"> prova</w:t>
      </w:r>
      <w:r w:rsidR="00397588" w:rsidRPr="005D6E61">
        <w:rPr>
          <w:rFonts w:ascii="Cambria" w:hAnsi="Cambria" w:cs="Courier"/>
          <w:sz w:val="20"/>
          <w:szCs w:val="20"/>
          <w:bdr w:val="none" w:sz="0" w:space="0" w:color="auto"/>
          <w:lang w:val="pt-BR"/>
        </w:rPr>
        <w:t>s</w:t>
      </w:r>
      <w:r w:rsidR="0074105E" w:rsidRPr="005D6E61">
        <w:rPr>
          <w:rFonts w:ascii="Cambria" w:hAnsi="Cambria" w:cs="Courier"/>
          <w:sz w:val="20"/>
          <w:szCs w:val="20"/>
          <w:bdr w:val="none" w:sz="0" w:space="0" w:color="auto"/>
          <w:lang w:val="pt-BR"/>
        </w:rPr>
        <w:t xml:space="preserve"> formada</w:t>
      </w:r>
      <w:r w:rsidR="00397588" w:rsidRPr="005D6E61">
        <w:rPr>
          <w:rFonts w:ascii="Cambria" w:hAnsi="Cambria" w:cs="Courier"/>
          <w:sz w:val="20"/>
          <w:szCs w:val="20"/>
          <w:bdr w:val="none" w:sz="0" w:space="0" w:color="auto"/>
          <w:lang w:val="pt-BR"/>
        </w:rPr>
        <w:t>s</w:t>
      </w:r>
      <w:r w:rsidR="0074105E" w:rsidRPr="005D6E61">
        <w:rPr>
          <w:rFonts w:ascii="Cambria" w:hAnsi="Cambria" w:cs="Courier"/>
          <w:sz w:val="20"/>
          <w:szCs w:val="20"/>
          <w:bdr w:val="none" w:sz="0" w:space="0" w:color="auto"/>
          <w:lang w:val="pt-BR"/>
        </w:rPr>
        <w:t xml:space="preserve"> no processo criminal, possivelmente por deficiências (omissões) anteriores na condução d</w:t>
      </w:r>
      <w:r w:rsidR="00A85EC5" w:rsidRPr="005D6E61">
        <w:rPr>
          <w:rFonts w:ascii="Cambria" w:hAnsi="Cambria" w:cs="Courier"/>
          <w:sz w:val="20"/>
          <w:szCs w:val="20"/>
          <w:bdr w:val="none" w:sz="0" w:space="0" w:color="auto"/>
          <w:lang w:val="pt-BR"/>
        </w:rPr>
        <w:t>o</w:t>
      </w:r>
      <w:r w:rsidR="0074105E" w:rsidRPr="005D6E61">
        <w:rPr>
          <w:rFonts w:ascii="Cambria" w:hAnsi="Cambria" w:cs="Courier"/>
          <w:sz w:val="20"/>
          <w:szCs w:val="20"/>
          <w:bdr w:val="none" w:sz="0" w:space="0" w:color="auto"/>
          <w:lang w:val="pt-BR"/>
        </w:rPr>
        <w:t xml:space="preserve"> in</w:t>
      </w:r>
      <w:r w:rsidR="00A85EC5" w:rsidRPr="005D6E61">
        <w:rPr>
          <w:rFonts w:ascii="Cambria" w:hAnsi="Cambria" w:cs="Courier"/>
          <w:sz w:val="20"/>
          <w:szCs w:val="20"/>
          <w:bdr w:val="none" w:sz="0" w:space="0" w:color="auto"/>
          <w:lang w:val="pt-BR"/>
        </w:rPr>
        <w:t>quérito</w:t>
      </w:r>
      <w:r w:rsidR="0074105E" w:rsidRPr="005D6E61">
        <w:rPr>
          <w:rFonts w:ascii="Cambria" w:hAnsi="Cambria" w:cs="Courier"/>
          <w:sz w:val="20"/>
          <w:szCs w:val="20"/>
          <w:bdr w:val="none" w:sz="0" w:space="0" w:color="auto"/>
          <w:lang w:val="pt-BR"/>
        </w:rPr>
        <w:t xml:space="preserve"> policial e na instrução criminal” e indicou-se que “a versão popular sobre o homicídio, </w:t>
      </w:r>
      <w:r w:rsidR="00A85EC5" w:rsidRPr="005D6E61">
        <w:rPr>
          <w:rFonts w:ascii="Cambria" w:hAnsi="Cambria" w:cs="Courier"/>
          <w:sz w:val="20"/>
          <w:szCs w:val="20"/>
          <w:bdr w:val="none" w:sz="0" w:space="0" w:color="auto"/>
          <w:lang w:val="pt-BR"/>
        </w:rPr>
        <w:t>con</w:t>
      </w:r>
      <w:r w:rsidR="0074105E" w:rsidRPr="005D6E61">
        <w:rPr>
          <w:rFonts w:ascii="Cambria" w:hAnsi="Cambria" w:cs="Courier"/>
          <w:sz w:val="20"/>
          <w:szCs w:val="20"/>
          <w:bdr w:val="none" w:sz="0" w:space="0" w:color="auto"/>
          <w:lang w:val="pt-BR"/>
        </w:rPr>
        <w:t xml:space="preserve">centrada na personalidade do falecido </w:t>
      </w:r>
      <w:r w:rsidRPr="005D6E61">
        <w:rPr>
          <w:rFonts w:ascii="Cambria" w:hAnsi="Cambria" w:cs="Courier"/>
          <w:sz w:val="20"/>
          <w:szCs w:val="20"/>
          <w:bdr w:val="none" w:sz="0" w:space="0" w:color="auto"/>
          <w:lang w:val="pt-BR"/>
        </w:rPr>
        <w:t xml:space="preserve">fazendeiro </w:t>
      </w:r>
      <w:r w:rsidR="0074105E" w:rsidRPr="005D6E61">
        <w:rPr>
          <w:rFonts w:ascii="Cambria" w:hAnsi="Cambria" w:cs="Courier"/>
          <w:sz w:val="20"/>
          <w:szCs w:val="20"/>
          <w:bdr w:val="none" w:sz="0" w:space="0" w:color="auto"/>
          <w:lang w:val="pt-BR"/>
        </w:rPr>
        <w:t>Aguinaldo Veloso Borges (sogro do acusado), que lhe valeu a atribuição de outros crimes de ordem de homicídio, não se refletiu na instrução criminal e não conseguiu estabelecer a configuração de indícios suficientes para configurar como p</w:t>
      </w:r>
      <w:r w:rsidR="00A85EC5" w:rsidRPr="005D6E61">
        <w:rPr>
          <w:rFonts w:ascii="Cambria" w:hAnsi="Cambria" w:cs="Courier"/>
          <w:sz w:val="20"/>
          <w:szCs w:val="20"/>
          <w:bdr w:val="none" w:sz="0" w:space="0" w:color="auto"/>
          <w:lang w:val="pt-BR"/>
        </w:rPr>
        <w:t xml:space="preserve">rocedente a imputação objeto do </w:t>
      </w:r>
      <w:r w:rsidR="0074105E" w:rsidRPr="005D6E61">
        <w:rPr>
          <w:rFonts w:ascii="Cambria" w:hAnsi="Cambria" w:cs="Courier"/>
          <w:sz w:val="20"/>
          <w:szCs w:val="20"/>
          <w:bdr w:val="none" w:sz="0" w:space="0" w:color="auto"/>
          <w:lang w:val="pt-BR"/>
        </w:rPr>
        <w:t>julgamento”</w:t>
      </w:r>
      <w:r w:rsidR="0074105E" w:rsidRPr="005D6E61">
        <w:rPr>
          <w:rStyle w:val="FootnoteReference"/>
          <w:rFonts w:ascii="Cambria" w:hAnsi="Cambria" w:cs="Courier"/>
          <w:sz w:val="20"/>
          <w:szCs w:val="20"/>
          <w:bdr w:val="none" w:sz="0" w:space="0" w:color="auto"/>
          <w:lang w:val="pt-BR"/>
        </w:rPr>
        <w:footnoteReference w:id="116"/>
      </w:r>
      <w:r w:rsidR="0074105E" w:rsidRPr="005D6E61">
        <w:rPr>
          <w:rFonts w:ascii="Cambria" w:hAnsi="Cambria" w:cs="Courier"/>
          <w:sz w:val="20"/>
          <w:szCs w:val="20"/>
          <w:bdr w:val="none" w:sz="0" w:space="0" w:color="auto"/>
          <w:lang w:val="pt-BR"/>
        </w:rPr>
        <w:t>.</w:t>
      </w:r>
    </w:p>
    <w:p w14:paraId="154D927A"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cs="Calibri"/>
          <w:color w:val="808080" w:themeColor="background1" w:themeShade="80"/>
          <w:sz w:val="20"/>
          <w:szCs w:val="20"/>
          <w:lang w:val="pt-BR"/>
        </w:rPr>
      </w:pPr>
    </w:p>
    <w:p w14:paraId="5BF91228" w14:textId="77777777" w:rsidR="0074105E" w:rsidRPr="005D6E61" w:rsidRDefault="0074105E" w:rsidP="0074105E">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Times New Roman" w:cs="Times New Roman"/>
          <w:bCs w:val="0"/>
          <w:color w:val="auto"/>
          <w:sz w:val="20"/>
          <w:szCs w:val="20"/>
          <w:bdr w:val="none" w:sz="0" w:space="0" w:color="auto"/>
          <w:lang w:val="pt-BR"/>
        </w:rPr>
      </w:pPr>
      <w:bookmarkStart w:id="25" w:name="_Toc496103830"/>
      <w:bookmarkStart w:id="26" w:name="_Toc27990568"/>
      <w:r w:rsidRPr="005D6E61">
        <w:rPr>
          <w:rFonts w:eastAsia="Times New Roman" w:cs="Times New Roman"/>
          <w:bCs w:val="0"/>
          <w:color w:val="auto"/>
          <w:sz w:val="20"/>
          <w:szCs w:val="20"/>
          <w:bdr w:val="none" w:sz="0" w:space="0" w:color="auto"/>
          <w:lang w:val="pt-BR"/>
        </w:rPr>
        <w:t>ANÁLISE DE DIREITO</w:t>
      </w:r>
      <w:bookmarkEnd w:id="25"/>
      <w:bookmarkEnd w:id="26"/>
    </w:p>
    <w:p w14:paraId="7D3A7F70" w14:textId="77777777" w:rsidR="0074105E" w:rsidRPr="005D6E61" w:rsidRDefault="0074105E" w:rsidP="0074105E">
      <w:pPr>
        <w:jc w:val="both"/>
        <w:rPr>
          <w:rFonts w:ascii="Cambria" w:hAnsi="Cambria"/>
          <w:b/>
          <w:sz w:val="20"/>
          <w:szCs w:val="20"/>
          <w:lang w:val="pt-BR"/>
        </w:rPr>
      </w:pPr>
    </w:p>
    <w:p w14:paraId="4837F601"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A Comissão destaca que um grupo de fatos do presente caso, como a morte de Margarida Maria Alves no dia 12 de agosto de 1983, e uma parte das investigações ocorreram antes que o Brasil </w:t>
      </w:r>
      <w:r w:rsidR="00A85EC5" w:rsidRPr="005D6E61">
        <w:rPr>
          <w:rFonts w:ascii="Cambria" w:hAnsi="Cambria"/>
          <w:sz w:val="20"/>
          <w:szCs w:val="20"/>
          <w:lang w:val="pt-BR"/>
        </w:rPr>
        <w:t>aderisse à</w:t>
      </w:r>
      <w:r w:rsidRPr="005D6E61">
        <w:rPr>
          <w:rFonts w:ascii="Cambria" w:hAnsi="Cambria"/>
          <w:sz w:val="20"/>
          <w:szCs w:val="20"/>
          <w:lang w:val="pt-BR"/>
        </w:rPr>
        <w:t xml:space="preserve"> Convenção Americana, em 25 de setembro de 1992. Em virtude disso, para </w:t>
      </w:r>
      <w:r w:rsidR="00A85EC5" w:rsidRPr="005D6E61">
        <w:rPr>
          <w:rFonts w:ascii="Cambria" w:hAnsi="Cambria"/>
          <w:sz w:val="20"/>
          <w:szCs w:val="20"/>
          <w:lang w:val="pt-BR"/>
        </w:rPr>
        <w:t>fins</w:t>
      </w:r>
      <w:r w:rsidRPr="005D6E61">
        <w:rPr>
          <w:rFonts w:ascii="Cambria" w:hAnsi="Cambria"/>
          <w:sz w:val="20"/>
          <w:szCs w:val="20"/>
          <w:lang w:val="pt-BR"/>
        </w:rPr>
        <w:t xml:space="preserve"> de determinar a responsabilidade do Estado, a Comissão levará em conta tanto a Declaração Americana como a Convenção Americana. </w:t>
      </w:r>
    </w:p>
    <w:p w14:paraId="25E56A31"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pt-BR"/>
        </w:rPr>
      </w:pPr>
    </w:p>
    <w:p w14:paraId="6D27ADDE" w14:textId="77777777" w:rsidR="0074105E" w:rsidRPr="005D6E61" w:rsidRDefault="0074105E" w:rsidP="0074105E">
      <w:pPr>
        <w:pStyle w:val="Heading2"/>
        <w:numPr>
          <w:ilvl w:val="0"/>
          <w:numId w:val="61"/>
        </w:numPr>
        <w:spacing w:before="0" w:after="0"/>
        <w:ind w:left="1440" w:hanging="720"/>
        <w:jc w:val="both"/>
        <w:rPr>
          <w:rFonts w:ascii="Cambria" w:hAnsi="Cambria" w:cs="Times New Roman"/>
          <w:bCs w:val="0"/>
          <w:i w:val="0"/>
          <w:iCs w:val="0"/>
          <w:sz w:val="20"/>
          <w:szCs w:val="20"/>
          <w:lang w:val="pt-BR" w:eastAsia="es-ES"/>
        </w:rPr>
      </w:pPr>
      <w:bookmarkStart w:id="27" w:name="_Toc496103831"/>
      <w:bookmarkStart w:id="28" w:name="_Toc27990569"/>
      <w:r w:rsidRPr="005D6E61">
        <w:rPr>
          <w:rFonts w:ascii="Cambria" w:hAnsi="Cambria" w:cs="Times New Roman"/>
          <w:bCs w:val="0"/>
          <w:i w:val="0"/>
          <w:iCs w:val="0"/>
          <w:sz w:val="20"/>
          <w:szCs w:val="20"/>
          <w:lang w:val="pt-BR" w:eastAsia="es-ES"/>
        </w:rPr>
        <w:lastRenderedPageBreak/>
        <w:t xml:space="preserve">Direito </w:t>
      </w:r>
      <w:r w:rsidR="00CF259F" w:rsidRPr="005D6E61">
        <w:rPr>
          <w:rFonts w:ascii="Cambria" w:hAnsi="Cambria" w:cs="Times New Roman"/>
          <w:bCs w:val="0"/>
          <w:i w:val="0"/>
          <w:iCs w:val="0"/>
          <w:sz w:val="20"/>
          <w:szCs w:val="20"/>
          <w:lang w:val="pt-BR" w:eastAsia="es-ES"/>
        </w:rPr>
        <w:t xml:space="preserve">à </w:t>
      </w:r>
      <w:r w:rsidRPr="005D6E61">
        <w:rPr>
          <w:rFonts w:ascii="Cambria" w:hAnsi="Cambria" w:cs="Times New Roman"/>
          <w:bCs w:val="0"/>
          <w:i w:val="0"/>
          <w:iCs w:val="0"/>
          <w:sz w:val="20"/>
          <w:szCs w:val="20"/>
          <w:lang w:val="pt-BR" w:eastAsia="es-ES"/>
        </w:rPr>
        <w:t>justiça (Artigo XVIII</w:t>
      </w:r>
      <w:r w:rsidRPr="005D6E61">
        <w:rPr>
          <w:rStyle w:val="FootnoteReference"/>
          <w:rFonts w:ascii="Cambria" w:eastAsia="Trebuchet MS" w:hAnsi="Cambria" w:cs="Times New Roman"/>
          <w:bCs w:val="0"/>
          <w:i w:val="0"/>
          <w:iCs w:val="0"/>
          <w:sz w:val="20"/>
          <w:szCs w:val="20"/>
          <w:lang w:val="pt-BR" w:eastAsia="es-ES"/>
        </w:rPr>
        <w:footnoteReference w:id="117"/>
      </w:r>
      <w:r w:rsidR="00A85EC5" w:rsidRPr="005D6E61">
        <w:rPr>
          <w:rFonts w:ascii="Cambria" w:hAnsi="Cambria" w:cs="Times New Roman"/>
          <w:bCs w:val="0"/>
          <w:i w:val="0"/>
          <w:iCs w:val="0"/>
          <w:sz w:val="20"/>
          <w:szCs w:val="20"/>
          <w:lang w:val="pt-BR" w:eastAsia="es-ES"/>
        </w:rPr>
        <w:t xml:space="preserve"> da Declaração Americana)</w:t>
      </w:r>
      <w:r w:rsidRPr="005D6E61">
        <w:rPr>
          <w:rFonts w:ascii="Cambria" w:hAnsi="Cambria" w:cs="Times New Roman"/>
          <w:bCs w:val="0"/>
          <w:i w:val="0"/>
          <w:iCs w:val="0"/>
          <w:sz w:val="20"/>
          <w:szCs w:val="20"/>
          <w:lang w:val="pt-BR" w:eastAsia="es-ES"/>
        </w:rPr>
        <w:t xml:space="preserve"> e direito às garantias judiciais e proteção judicial (Artigos 8.1</w:t>
      </w:r>
      <w:r w:rsidRPr="005D6E61">
        <w:rPr>
          <w:rStyle w:val="FootnoteReference"/>
          <w:rFonts w:ascii="Cambria" w:eastAsia="Trebuchet MS" w:hAnsi="Cambria" w:cs="Times New Roman"/>
          <w:bCs w:val="0"/>
          <w:i w:val="0"/>
          <w:iCs w:val="0"/>
          <w:sz w:val="20"/>
          <w:szCs w:val="20"/>
          <w:lang w:val="pt-BR" w:eastAsia="es-ES"/>
        </w:rPr>
        <w:footnoteReference w:id="118"/>
      </w:r>
      <w:r w:rsidRPr="005D6E61">
        <w:rPr>
          <w:rFonts w:ascii="Cambria" w:hAnsi="Cambria" w:cs="Times New Roman"/>
          <w:bCs w:val="0"/>
          <w:i w:val="0"/>
          <w:iCs w:val="0"/>
          <w:sz w:val="20"/>
          <w:szCs w:val="20"/>
          <w:lang w:val="pt-BR" w:eastAsia="es-ES"/>
        </w:rPr>
        <w:t xml:space="preserve"> e 25.1</w:t>
      </w:r>
      <w:r w:rsidRPr="005D6E61">
        <w:rPr>
          <w:rStyle w:val="FootnoteReference"/>
          <w:rFonts w:ascii="Cambria" w:eastAsia="Trebuchet MS" w:hAnsi="Cambria" w:cs="Times New Roman"/>
          <w:bCs w:val="0"/>
          <w:i w:val="0"/>
          <w:iCs w:val="0"/>
          <w:sz w:val="20"/>
          <w:szCs w:val="20"/>
          <w:lang w:val="pt-BR" w:eastAsia="es-ES"/>
        </w:rPr>
        <w:footnoteReference w:id="119"/>
      </w:r>
      <w:r w:rsidRPr="005D6E61">
        <w:rPr>
          <w:rFonts w:ascii="Cambria" w:hAnsi="Cambria" w:cs="Times New Roman"/>
          <w:bCs w:val="0"/>
          <w:i w:val="0"/>
          <w:iCs w:val="0"/>
          <w:sz w:val="20"/>
          <w:szCs w:val="20"/>
          <w:lang w:val="pt-BR" w:eastAsia="es-ES"/>
        </w:rPr>
        <w:t xml:space="preserve"> da Convenção Americana)</w:t>
      </w:r>
      <w:bookmarkEnd w:id="27"/>
      <w:bookmarkEnd w:id="28"/>
      <w:r w:rsidRPr="005D6E61">
        <w:rPr>
          <w:rFonts w:ascii="Cambria" w:hAnsi="Cambria" w:cs="Times New Roman"/>
          <w:bCs w:val="0"/>
          <w:i w:val="0"/>
          <w:iCs w:val="0"/>
          <w:sz w:val="20"/>
          <w:szCs w:val="20"/>
          <w:lang w:val="pt-BR" w:eastAsia="es-ES"/>
        </w:rPr>
        <w:t xml:space="preserve"> </w:t>
      </w:r>
    </w:p>
    <w:p w14:paraId="26461636" w14:textId="77777777" w:rsidR="0074105E" w:rsidRPr="005D6E61" w:rsidRDefault="0074105E" w:rsidP="0074105E">
      <w:pPr>
        <w:pStyle w:val="Heading3"/>
        <w:numPr>
          <w:ilvl w:val="0"/>
          <w:numId w:val="62"/>
        </w:numPr>
        <w:ind w:left="1440" w:hanging="720"/>
        <w:rPr>
          <w:sz w:val="20"/>
          <w:szCs w:val="20"/>
          <w:lang w:val="pt-BR"/>
        </w:rPr>
      </w:pPr>
      <w:bookmarkStart w:id="29" w:name="_Toc496103832"/>
      <w:bookmarkStart w:id="30" w:name="_Toc27990570"/>
      <w:r w:rsidRPr="005D6E61">
        <w:rPr>
          <w:rFonts w:asciiTheme="majorHAnsi" w:hAnsiTheme="majorHAnsi"/>
          <w:sz w:val="20"/>
          <w:szCs w:val="20"/>
          <w:lang w:val="pt-BR"/>
        </w:rPr>
        <w:t>Considerações gerais</w:t>
      </w:r>
      <w:bookmarkEnd w:id="29"/>
      <w:bookmarkEnd w:id="30"/>
      <w:r w:rsidRPr="005D6E61">
        <w:rPr>
          <w:rFonts w:asciiTheme="majorHAnsi" w:hAnsiTheme="majorHAnsi"/>
          <w:sz w:val="20"/>
          <w:szCs w:val="20"/>
          <w:lang w:val="pt-BR"/>
        </w:rPr>
        <w:t xml:space="preserve"> </w:t>
      </w:r>
    </w:p>
    <w:p w14:paraId="69CED322" w14:textId="77777777" w:rsidR="0074105E" w:rsidRPr="005D6E61" w:rsidRDefault="0074105E" w:rsidP="0074105E">
      <w:pPr>
        <w:rPr>
          <w:lang w:val="pt-BR"/>
        </w:rPr>
      </w:pPr>
    </w:p>
    <w:p w14:paraId="3E869E10"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A CIDH indicou que o </w:t>
      </w:r>
      <w:r w:rsidRPr="005D6E61">
        <w:rPr>
          <w:rFonts w:ascii="Cambria" w:hAnsi="Cambria"/>
          <w:bCs/>
          <w:iCs/>
          <w:sz w:val="20"/>
          <w:szCs w:val="20"/>
          <w:lang w:val="pt-BR" w:eastAsia="es-ES"/>
        </w:rPr>
        <w:t xml:space="preserve">direito de justiça contido no artigo XVIII da Declaração Americana </w:t>
      </w:r>
      <w:r w:rsidRPr="005D6E61">
        <w:rPr>
          <w:rFonts w:ascii="Cambria" w:hAnsi="Cambria"/>
          <w:sz w:val="20"/>
          <w:szCs w:val="20"/>
          <w:lang w:val="pt-BR"/>
        </w:rPr>
        <w:t xml:space="preserve">é similar em seu alcance ao direito à proteção judicial contido no artigo 25 da Convenção Americana, e compreende o direito de toda pessoa a comparecer </w:t>
      </w:r>
      <w:r w:rsidR="00A85EC5" w:rsidRPr="005D6E61">
        <w:rPr>
          <w:rFonts w:ascii="Cambria" w:hAnsi="Cambria"/>
          <w:sz w:val="20"/>
          <w:szCs w:val="20"/>
          <w:lang w:val="pt-BR"/>
        </w:rPr>
        <w:t>per</w:t>
      </w:r>
      <w:r w:rsidRPr="005D6E61">
        <w:rPr>
          <w:rFonts w:ascii="Cambria" w:hAnsi="Cambria"/>
          <w:sz w:val="20"/>
          <w:szCs w:val="20"/>
          <w:lang w:val="pt-BR"/>
        </w:rPr>
        <w:t>ante um tribunal quando um de s</w:t>
      </w:r>
      <w:r w:rsidR="00A85EC5" w:rsidRPr="005D6E61">
        <w:rPr>
          <w:rFonts w:ascii="Cambria" w:hAnsi="Cambria"/>
          <w:sz w:val="20"/>
          <w:szCs w:val="20"/>
          <w:lang w:val="pt-BR"/>
        </w:rPr>
        <w:t>e</w:t>
      </w:r>
      <w:r w:rsidRPr="005D6E61">
        <w:rPr>
          <w:rFonts w:ascii="Cambria" w:hAnsi="Cambria"/>
          <w:sz w:val="20"/>
          <w:szCs w:val="20"/>
          <w:lang w:val="pt-BR"/>
        </w:rPr>
        <w:t>us direitos foi violado, a obter uma investigação a cargo de u</w:t>
      </w:r>
      <w:r w:rsidR="00A85EC5" w:rsidRPr="005D6E61">
        <w:rPr>
          <w:rFonts w:ascii="Cambria" w:hAnsi="Cambria"/>
          <w:sz w:val="20"/>
          <w:szCs w:val="20"/>
          <w:lang w:val="pt-BR"/>
        </w:rPr>
        <w:t>m</w:t>
      </w:r>
      <w:r w:rsidRPr="005D6E61">
        <w:rPr>
          <w:rFonts w:ascii="Cambria" w:hAnsi="Cambria"/>
          <w:sz w:val="20"/>
          <w:szCs w:val="20"/>
          <w:lang w:val="pt-BR"/>
        </w:rPr>
        <w:t xml:space="preserve"> tribunal competente, im</w:t>
      </w:r>
      <w:r w:rsidR="00A85EC5" w:rsidRPr="005D6E61">
        <w:rPr>
          <w:rFonts w:ascii="Cambria" w:hAnsi="Cambria"/>
          <w:sz w:val="20"/>
          <w:szCs w:val="20"/>
          <w:lang w:val="pt-BR"/>
        </w:rPr>
        <w:t>parcial e independ</w:t>
      </w:r>
      <w:r w:rsidRPr="005D6E61">
        <w:rPr>
          <w:rFonts w:ascii="Cambria" w:hAnsi="Cambria"/>
          <w:sz w:val="20"/>
          <w:szCs w:val="20"/>
          <w:lang w:val="pt-BR"/>
        </w:rPr>
        <w:t xml:space="preserve">ente, </w:t>
      </w:r>
      <w:r w:rsidR="00A85EC5" w:rsidRPr="005D6E61">
        <w:rPr>
          <w:rFonts w:ascii="Cambria" w:hAnsi="Cambria"/>
          <w:sz w:val="20"/>
          <w:szCs w:val="20"/>
          <w:lang w:val="pt-BR"/>
        </w:rPr>
        <w:t>bem</w:t>
      </w:r>
      <w:r w:rsidRPr="005D6E61">
        <w:rPr>
          <w:rFonts w:ascii="Cambria" w:hAnsi="Cambria"/>
          <w:sz w:val="20"/>
          <w:szCs w:val="20"/>
          <w:lang w:val="pt-BR"/>
        </w:rPr>
        <w:t xml:space="preserve"> como </w:t>
      </w:r>
      <w:r w:rsidR="00A85EC5" w:rsidRPr="005D6E61">
        <w:rPr>
          <w:rFonts w:ascii="Cambria" w:hAnsi="Cambria"/>
          <w:sz w:val="20"/>
          <w:szCs w:val="20"/>
          <w:lang w:val="pt-BR"/>
        </w:rPr>
        <w:t>o</w:t>
      </w:r>
      <w:r w:rsidRPr="005D6E61">
        <w:rPr>
          <w:rFonts w:ascii="Cambria" w:hAnsi="Cambria"/>
          <w:sz w:val="20"/>
          <w:szCs w:val="20"/>
          <w:lang w:val="pt-BR"/>
        </w:rPr>
        <w:t xml:space="preserve"> direito a obter reparações pelo dano sofrido</w:t>
      </w:r>
      <w:r w:rsidRPr="005D6E61">
        <w:rPr>
          <w:rFonts w:ascii="Cambria" w:hAnsi="Cambria" w:cs="Arial"/>
          <w:sz w:val="20"/>
          <w:szCs w:val="20"/>
          <w:vertAlign w:val="superscript"/>
          <w:lang w:val="pt-BR"/>
        </w:rPr>
        <w:footnoteReference w:id="120"/>
      </w:r>
      <w:r w:rsidRPr="005D6E61">
        <w:rPr>
          <w:rFonts w:ascii="Cambria" w:hAnsi="Cambria"/>
          <w:sz w:val="20"/>
          <w:szCs w:val="20"/>
          <w:lang w:val="pt-BR"/>
        </w:rPr>
        <w:t>.</w:t>
      </w:r>
    </w:p>
    <w:p w14:paraId="4D6A9611"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lang w:val="pt-BR"/>
        </w:rPr>
      </w:pPr>
    </w:p>
    <w:p w14:paraId="0D0BE43E"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De acordo com a Corte Interamericana, o direito às garantias judiciais implica que toda pessoa que sofreu uma violação </w:t>
      </w:r>
      <w:r w:rsidR="00A85EC5" w:rsidRPr="005D6E61">
        <w:rPr>
          <w:rFonts w:ascii="Cambria" w:hAnsi="Cambria"/>
          <w:sz w:val="20"/>
          <w:szCs w:val="20"/>
          <w:lang w:val="pt-BR"/>
        </w:rPr>
        <w:t>de</w:t>
      </w:r>
      <w:r w:rsidRPr="005D6E61">
        <w:rPr>
          <w:rFonts w:ascii="Cambria" w:hAnsi="Cambria"/>
          <w:sz w:val="20"/>
          <w:szCs w:val="20"/>
          <w:lang w:val="pt-BR"/>
        </w:rPr>
        <w:t xml:space="preserve"> seus direitos humanos “tem direito a obter dos órgãos competentes do Estado o esclarecimento dos fatos e o estabelecimento das responsabilidades correspondentes, através da investigação e do julgamento”</w:t>
      </w:r>
      <w:r w:rsidRPr="005D6E61">
        <w:rPr>
          <w:rStyle w:val="FootnoteReference"/>
          <w:rFonts w:ascii="Cambria" w:hAnsi="Cambria"/>
          <w:sz w:val="20"/>
          <w:szCs w:val="20"/>
          <w:lang w:val="pt-BR"/>
        </w:rPr>
        <w:footnoteReference w:id="121"/>
      </w:r>
      <w:r w:rsidRPr="005D6E61">
        <w:rPr>
          <w:rFonts w:ascii="Cambria" w:hAnsi="Cambria"/>
          <w:sz w:val="20"/>
          <w:szCs w:val="20"/>
          <w:lang w:val="pt-BR"/>
        </w:rPr>
        <w:t xml:space="preserve">. </w:t>
      </w:r>
      <w:r w:rsidR="00A85EC5" w:rsidRPr="005D6E61">
        <w:rPr>
          <w:rFonts w:ascii="Cambria" w:hAnsi="Cambria"/>
          <w:sz w:val="20"/>
          <w:szCs w:val="20"/>
          <w:lang w:val="pt-BR"/>
        </w:rPr>
        <w:t>Por</w:t>
      </w:r>
      <w:r w:rsidRPr="005D6E61">
        <w:rPr>
          <w:rFonts w:ascii="Cambria" w:hAnsi="Cambria"/>
          <w:sz w:val="20"/>
          <w:szCs w:val="20"/>
          <w:lang w:val="pt-BR"/>
        </w:rPr>
        <w:t xml:space="preserve"> sua </w:t>
      </w:r>
      <w:r w:rsidR="00A85EC5" w:rsidRPr="005D6E61">
        <w:rPr>
          <w:rFonts w:ascii="Cambria" w:hAnsi="Cambria"/>
          <w:sz w:val="20"/>
          <w:szCs w:val="20"/>
          <w:lang w:val="pt-BR"/>
        </w:rPr>
        <w:t>vez</w:t>
      </w:r>
      <w:r w:rsidRPr="005D6E61">
        <w:rPr>
          <w:rFonts w:ascii="Cambria" w:hAnsi="Cambria"/>
          <w:sz w:val="20"/>
          <w:szCs w:val="20"/>
          <w:lang w:val="pt-BR"/>
        </w:rPr>
        <w:t>, o direito à proteção judicial “obriga o Estado a garantir a toda pessoa o acesso à administração de justiça e, em particular, a um recurso rápido e simples para conseguir, entre outros resultados, que os responsáveis pelas violações dos direitos humanos sejam julgados e para obter uma reparação pelo dano sofrido”</w:t>
      </w:r>
      <w:r w:rsidRPr="005D6E61">
        <w:rPr>
          <w:rStyle w:val="FootnoteReference"/>
          <w:rFonts w:ascii="Cambria" w:hAnsi="Cambria"/>
          <w:sz w:val="20"/>
          <w:szCs w:val="20"/>
          <w:lang w:val="pt-BR"/>
        </w:rPr>
        <w:footnoteReference w:id="122"/>
      </w:r>
      <w:r w:rsidRPr="005D6E61">
        <w:rPr>
          <w:rFonts w:ascii="Cambria" w:hAnsi="Cambria"/>
          <w:sz w:val="20"/>
          <w:szCs w:val="20"/>
          <w:lang w:val="pt-BR"/>
        </w:rPr>
        <w:t xml:space="preserve">.  </w:t>
      </w:r>
      <w:r w:rsidRPr="005D6E61">
        <w:rPr>
          <w:rFonts w:ascii="Cambria" w:hAnsi="Cambria"/>
          <w:spacing w:val="-2"/>
          <w:sz w:val="20"/>
          <w:szCs w:val="20"/>
          <w:lang w:val="pt-BR"/>
        </w:rPr>
        <w:t>Assim, o dever de investigar exigível no presente caso emana tanto do artigo XVIII da Declaração Americana, como dos artigos 8 e 25 da Convenção Americana.</w:t>
      </w:r>
    </w:p>
    <w:p w14:paraId="1C3FDEBD" w14:textId="77777777" w:rsidR="0074105E" w:rsidRPr="005D6E61" w:rsidRDefault="0074105E" w:rsidP="0074105E">
      <w:pPr>
        <w:pStyle w:val="ListParagraph"/>
        <w:rPr>
          <w:sz w:val="20"/>
          <w:szCs w:val="20"/>
          <w:lang w:val="pt-BR"/>
        </w:rPr>
      </w:pPr>
    </w:p>
    <w:p w14:paraId="5950C5AF"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rFonts w:ascii="Cambria" w:hAnsi="Cambria"/>
          <w:spacing w:val="-2"/>
          <w:sz w:val="20"/>
          <w:szCs w:val="20"/>
          <w:lang w:val="pt-BR"/>
        </w:rPr>
      </w:pPr>
      <w:r w:rsidRPr="005D6E61">
        <w:rPr>
          <w:rFonts w:ascii="Cambria" w:hAnsi="Cambria"/>
          <w:sz w:val="20"/>
          <w:szCs w:val="20"/>
          <w:lang w:val="pt-BR"/>
        </w:rPr>
        <w:t>Esse dever de investigar é uma obrigação de meios e não de resultado</w:t>
      </w:r>
      <w:r w:rsidR="00397588" w:rsidRPr="005D6E61">
        <w:rPr>
          <w:rFonts w:ascii="Cambria" w:hAnsi="Cambria"/>
          <w:sz w:val="20"/>
          <w:szCs w:val="20"/>
          <w:lang w:val="pt-BR"/>
        </w:rPr>
        <w:t>,</w:t>
      </w:r>
      <w:r w:rsidRPr="005D6E61">
        <w:rPr>
          <w:rFonts w:ascii="Cambria" w:hAnsi="Cambria"/>
          <w:sz w:val="20"/>
          <w:szCs w:val="20"/>
          <w:lang w:val="pt-BR"/>
        </w:rPr>
        <w:t xml:space="preserve"> que deve ser assumida pelo Estado como uma obrigação jurídica própria e não como uma simples formalidade condenada de antemão a ser infrut</w:t>
      </w:r>
      <w:r w:rsidR="00A85EC5" w:rsidRPr="005D6E61">
        <w:rPr>
          <w:rFonts w:ascii="Cambria" w:hAnsi="Cambria"/>
          <w:sz w:val="20"/>
          <w:szCs w:val="20"/>
          <w:lang w:val="pt-BR"/>
        </w:rPr>
        <w:t>ífer</w:t>
      </w:r>
      <w:r w:rsidRPr="005D6E61">
        <w:rPr>
          <w:rFonts w:ascii="Cambria" w:hAnsi="Cambria"/>
          <w:sz w:val="20"/>
          <w:szCs w:val="20"/>
          <w:lang w:val="pt-BR"/>
        </w:rPr>
        <w:t>a</w:t>
      </w:r>
      <w:r w:rsidRPr="005D6E61">
        <w:rPr>
          <w:rStyle w:val="FootnoteReference"/>
          <w:rFonts w:ascii="Cambria" w:hAnsi="Cambria"/>
          <w:sz w:val="20"/>
          <w:szCs w:val="20"/>
          <w:lang w:val="pt-BR"/>
        </w:rPr>
        <w:footnoteReference w:id="123"/>
      </w:r>
      <w:r w:rsidRPr="005D6E61">
        <w:rPr>
          <w:rFonts w:ascii="Cambria" w:hAnsi="Cambria"/>
          <w:spacing w:val="-2"/>
          <w:sz w:val="20"/>
          <w:szCs w:val="20"/>
          <w:lang w:val="pt-BR"/>
        </w:rPr>
        <w:t>, ou como uma mera gestão de interesses particulares, que dependa da iniciativa processual das vítimas ou de seus familiares ou da contribuição privada de elementos probatórios</w:t>
      </w:r>
      <w:r w:rsidRPr="005D6E61">
        <w:rPr>
          <w:rFonts w:ascii="Cambria" w:hAnsi="Cambria"/>
          <w:spacing w:val="-2"/>
          <w:sz w:val="20"/>
          <w:szCs w:val="20"/>
          <w:vertAlign w:val="superscript"/>
          <w:lang w:val="pt-BR"/>
        </w:rPr>
        <w:footnoteReference w:id="124"/>
      </w:r>
      <w:r w:rsidRPr="005D6E61">
        <w:rPr>
          <w:rFonts w:ascii="Cambria" w:hAnsi="Cambria"/>
          <w:spacing w:val="-2"/>
          <w:sz w:val="20"/>
          <w:szCs w:val="20"/>
          <w:lang w:val="pt-BR"/>
        </w:rPr>
        <w:t xml:space="preserve">. </w:t>
      </w:r>
    </w:p>
    <w:p w14:paraId="0ABCC04A"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pacing w:val="-2"/>
          <w:sz w:val="20"/>
          <w:szCs w:val="20"/>
          <w:lang w:val="pt-BR"/>
        </w:rPr>
      </w:pPr>
    </w:p>
    <w:p w14:paraId="06299813"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rFonts w:ascii="Cambria" w:hAnsi="Cambria"/>
          <w:spacing w:val="-2"/>
          <w:sz w:val="20"/>
          <w:szCs w:val="20"/>
          <w:lang w:val="pt-BR"/>
        </w:rPr>
      </w:pPr>
      <w:r w:rsidRPr="005D6E61">
        <w:rPr>
          <w:rFonts w:ascii="Cambria" w:hAnsi="Cambria"/>
          <w:sz w:val="20"/>
          <w:szCs w:val="20"/>
          <w:lang w:val="pt-BR"/>
        </w:rPr>
        <w:t xml:space="preserve">A CIDH recorda que a obrigação de investigar e </w:t>
      </w:r>
      <w:r w:rsidR="00943B0D" w:rsidRPr="005D6E61">
        <w:rPr>
          <w:rFonts w:ascii="Cambria" w:hAnsi="Cambria"/>
          <w:sz w:val="20"/>
          <w:szCs w:val="20"/>
          <w:lang w:val="pt-BR"/>
        </w:rPr>
        <w:t>punir</w:t>
      </w:r>
      <w:r w:rsidRPr="005D6E61">
        <w:rPr>
          <w:rFonts w:ascii="Cambria" w:hAnsi="Cambria"/>
          <w:sz w:val="20"/>
          <w:szCs w:val="20"/>
          <w:lang w:val="pt-BR"/>
        </w:rPr>
        <w:t xml:space="preserve"> todo ato que implique violação dos direitos protegidos pela Convenção exige que se </w:t>
      </w:r>
      <w:r w:rsidR="00943B0D" w:rsidRPr="005D6E61">
        <w:rPr>
          <w:rFonts w:ascii="Cambria" w:hAnsi="Cambria"/>
          <w:sz w:val="20"/>
          <w:szCs w:val="20"/>
          <w:lang w:val="pt-BR"/>
        </w:rPr>
        <w:t>puna</w:t>
      </w:r>
      <w:r w:rsidRPr="005D6E61">
        <w:rPr>
          <w:rFonts w:ascii="Cambria" w:hAnsi="Cambria"/>
          <w:sz w:val="20"/>
          <w:szCs w:val="20"/>
          <w:lang w:val="pt-BR"/>
        </w:rPr>
        <w:t xml:space="preserve"> não só os autores materiais dos atos </w:t>
      </w:r>
      <w:r w:rsidR="00943B0D" w:rsidRPr="005D6E61">
        <w:rPr>
          <w:rFonts w:ascii="Cambria" w:hAnsi="Cambria"/>
          <w:sz w:val="20"/>
          <w:szCs w:val="20"/>
          <w:lang w:val="pt-BR"/>
        </w:rPr>
        <w:t xml:space="preserve">que </w:t>
      </w:r>
      <w:r w:rsidRPr="005D6E61">
        <w:rPr>
          <w:rFonts w:ascii="Cambria" w:hAnsi="Cambria"/>
          <w:sz w:val="20"/>
          <w:szCs w:val="20"/>
          <w:lang w:val="pt-BR"/>
        </w:rPr>
        <w:t>viola</w:t>
      </w:r>
      <w:r w:rsidR="00943B0D" w:rsidRPr="005D6E61">
        <w:rPr>
          <w:rFonts w:ascii="Cambria" w:hAnsi="Cambria"/>
          <w:sz w:val="20"/>
          <w:szCs w:val="20"/>
          <w:lang w:val="pt-BR"/>
        </w:rPr>
        <w:t>m</w:t>
      </w:r>
      <w:r w:rsidRPr="005D6E61">
        <w:rPr>
          <w:rFonts w:ascii="Cambria" w:hAnsi="Cambria"/>
          <w:sz w:val="20"/>
          <w:szCs w:val="20"/>
          <w:lang w:val="pt-BR"/>
        </w:rPr>
        <w:t xml:space="preserve"> direitos humanos, mas também os autores intelectuais de tais atos e os encobridores</w:t>
      </w:r>
      <w:r w:rsidRPr="005D6E61">
        <w:rPr>
          <w:rStyle w:val="FootnoteReference"/>
          <w:rFonts w:ascii="Cambria" w:hAnsi="Cambria"/>
          <w:sz w:val="20"/>
          <w:szCs w:val="20"/>
          <w:lang w:val="pt-BR"/>
        </w:rPr>
        <w:footnoteReference w:id="125"/>
      </w:r>
      <w:r w:rsidRPr="005D6E61">
        <w:rPr>
          <w:rFonts w:ascii="Cambria" w:hAnsi="Cambria"/>
          <w:sz w:val="20"/>
          <w:szCs w:val="20"/>
          <w:lang w:val="pt-BR"/>
        </w:rPr>
        <w:t xml:space="preserve">. Isso encontra seu fundamento no direito à verdade dos familiares da vítima, o que implica obter dos órgãos competentes do Estado o </w:t>
      </w:r>
      <w:r w:rsidRPr="005D6E61">
        <w:rPr>
          <w:rFonts w:ascii="Cambria" w:hAnsi="Cambria"/>
          <w:sz w:val="20"/>
          <w:szCs w:val="20"/>
          <w:lang w:val="pt-BR"/>
        </w:rPr>
        <w:lastRenderedPageBreak/>
        <w:t xml:space="preserve">esclarecimento dos </w:t>
      </w:r>
      <w:r w:rsidR="00C1293E" w:rsidRPr="005D6E61">
        <w:rPr>
          <w:rFonts w:ascii="Cambria" w:hAnsi="Cambria"/>
          <w:sz w:val="20"/>
          <w:szCs w:val="20"/>
          <w:lang w:val="pt-BR"/>
        </w:rPr>
        <w:t>f</w:t>
      </w:r>
      <w:r w:rsidRPr="005D6E61">
        <w:rPr>
          <w:rFonts w:ascii="Cambria" w:hAnsi="Cambria"/>
          <w:sz w:val="20"/>
          <w:szCs w:val="20"/>
          <w:lang w:val="pt-BR"/>
        </w:rPr>
        <w:t xml:space="preserve">atos, assim como </w:t>
      </w:r>
      <w:r w:rsidR="00943B0D" w:rsidRPr="005D6E61">
        <w:rPr>
          <w:rFonts w:ascii="Cambria" w:hAnsi="Cambria"/>
          <w:sz w:val="20"/>
          <w:szCs w:val="20"/>
          <w:lang w:val="pt-BR"/>
        </w:rPr>
        <w:t>a punição</w:t>
      </w:r>
      <w:r w:rsidRPr="005D6E61">
        <w:rPr>
          <w:rFonts w:ascii="Cambria" w:hAnsi="Cambria"/>
          <w:sz w:val="20"/>
          <w:szCs w:val="20"/>
          <w:lang w:val="pt-BR"/>
        </w:rPr>
        <w:t xml:space="preserve"> de todas as pessoas responsáveis</w:t>
      </w:r>
      <w:r w:rsidRPr="005D6E61">
        <w:rPr>
          <w:rStyle w:val="FootnoteReference"/>
          <w:rFonts w:ascii="Cambria" w:hAnsi="Cambria"/>
          <w:sz w:val="20"/>
          <w:szCs w:val="20"/>
          <w:lang w:val="pt-BR"/>
        </w:rPr>
        <w:footnoteReference w:id="126"/>
      </w:r>
      <w:r w:rsidRPr="005D6E61">
        <w:rPr>
          <w:rFonts w:ascii="Cambria" w:hAnsi="Cambria"/>
          <w:sz w:val="20"/>
          <w:szCs w:val="20"/>
          <w:lang w:val="pt-BR"/>
        </w:rPr>
        <w:t>, envolvendo toda a instituição estatal</w:t>
      </w:r>
      <w:r w:rsidRPr="005D6E61">
        <w:rPr>
          <w:rFonts w:ascii="Cambria" w:hAnsi="Cambria"/>
          <w:sz w:val="20"/>
          <w:szCs w:val="20"/>
          <w:vertAlign w:val="superscript"/>
          <w:lang w:val="pt-BR"/>
        </w:rPr>
        <w:footnoteReference w:id="127"/>
      </w:r>
      <w:r w:rsidRPr="005D6E61">
        <w:rPr>
          <w:rFonts w:ascii="Cambria" w:hAnsi="Cambria"/>
          <w:sz w:val="20"/>
          <w:szCs w:val="20"/>
          <w:lang w:val="pt-BR"/>
        </w:rPr>
        <w:t>.</w:t>
      </w:r>
    </w:p>
    <w:p w14:paraId="04BBC56E" w14:textId="77777777" w:rsidR="0074105E" w:rsidRPr="005D6E61" w:rsidRDefault="0074105E" w:rsidP="0074105E">
      <w:pPr>
        <w:pStyle w:val="ListParagraph"/>
        <w:rPr>
          <w:spacing w:val="-2"/>
          <w:sz w:val="20"/>
          <w:szCs w:val="20"/>
          <w:lang w:val="pt-BR"/>
        </w:rPr>
      </w:pPr>
    </w:p>
    <w:p w14:paraId="3291CD1A"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rFonts w:ascii="Cambria" w:hAnsi="Cambria"/>
          <w:spacing w:val="-2"/>
          <w:sz w:val="20"/>
          <w:szCs w:val="20"/>
          <w:lang w:val="pt-BR"/>
        </w:rPr>
      </w:pPr>
      <w:r w:rsidRPr="005D6E61">
        <w:rPr>
          <w:rFonts w:ascii="Cambria" w:hAnsi="Cambria"/>
          <w:spacing w:val="-2"/>
          <w:sz w:val="20"/>
          <w:szCs w:val="20"/>
          <w:lang w:val="pt-BR"/>
        </w:rPr>
        <w:t xml:space="preserve">A obrigação de investigar e </w:t>
      </w:r>
      <w:r w:rsidR="00943B0D" w:rsidRPr="005D6E61">
        <w:rPr>
          <w:rFonts w:ascii="Cambria" w:hAnsi="Cambria"/>
          <w:spacing w:val="-2"/>
          <w:sz w:val="20"/>
          <w:szCs w:val="20"/>
          <w:lang w:val="pt-BR"/>
        </w:rPr>
        <w:t>punir</w:t>
      </w:r>
      <w:r w:rsidRPr="005D6E61">
        <w:rPr>
          <w:rFonts w:ascii="Cambria" w:hAnsi="Cambria"/>
          <w:spacing w:val="-2"/>
          <w:sz w:val="20"/>
          <w:szCs w:val="20"/>
          <w:lang w:val="pt-BR"/>
        </w:rPr>
        <w:t xml:space="preserve"> deve ser </w:t>
      </w:r>
      <w:r w:rsidR="00C02E7F" w:rsidRPr="005D6E61">
        <w:rPr>
          <w:rFonts w:ascii="Cambria" w:hAnsi="Cambria"/>
          <w:spacing w:val="-2"/>
          <w:sz w:val="20"/>
          <w:szCs w:val="20"/>
          <w:lang w:val="pt-BR"/>
        </w:rPr>
        <w:t>cumpri</w:t>
      </w:r>
      <w:r w:rsidRPr="005D6E61">
        <w:rPr>
          <w:rFonts w:ascii="Cambria" w:hAnsi="Cambria"/>
          <w:spacing w:val="-2"/>
          <w:sz w:val="20"/>
          <w:szCs w:val="20"/>
          <w:lang w:val="pt-BR"/>
        </w:rPr>
        <w:t xml:space="preserve">da com </w:t>
      </w:r>
      <w:r w:rsidR="00D1606D" w:rsidRPr="005D6E61">
        <w:rPr>
          <w:rFonts w:ascii="Cambria" w:hAnsi="Cambria"/>
          <w:spacing w:val="-2"/>
          <w:sz w:val="20"/>
          <w:szCs w:val="20"/>
          <w:lang w:val="pt-BR"/>
        </w:rPr>
        <w:t xml:space="preserve">a </w:t>
      </w:r>
      <w:r w:rsidRPr="005D6E61">
        <w:rPr>
          <w:rFonts w:ascii="Cambria" w:hAnsi="Cambria"/>
          <w:spacing w:val="-2"/>
          <w:sz w:val="20"/>
          <w:szCs w:val="20"/>
          <w:lang w:val="pt-BR"/>
        </w:rPr>
        <w:t>devida diligência, o que implica que “</w:t>
      </w:r>
      <w:r w:rsidRPr="005D6E61">
        <w:rPr>
          <w:rFonts w:ascii="Cambria" w:hAnsi="Cambria"/>
          <w:sz w:val="20"/>
          <w:szCs w:val="20"/>
          <w:lang w:val="pt-BR"/>
        </w:rPr>
        <w:t xml:space="preserve">cada ato </w:t>
      </w:r>
      <w:r w:rsidR="00D1606D" w:rsidRPr="005D6E61">
        <w:rPr>
          <w:rFonts w:ascii="Cambria" w:hAnsi="Cambria"/>
          <w:sz w:val="20"/>
          <w:szCs w:val="20"/>
          <w:lang w:val="pt-BR"/>
        </w:rPr>
        <w:t>do Estado</w:t>
      </w:r>
      <w:r w:rsidRPr="005D6E61">
        <w:rPr>
          <w:rFonts w:ascii="Cambria" w:hAnsi="Cambria"/>
          <w:sz w:val="20"/>
          <w:szCs w:val="20"/>
          <w:lang w:val="pt-BR"/>
        </w:rPr>
        <w:t xml:space="preserve"> que co</w:t>
      </w:r>
      <w:r w:rsidR="00C02E7F" w:rsidRPr="005D6E61">
        <w:rPr>
          <w:rFonts w:ascii="Cambria" w:hAnsi="Cambria"/>
          <w:sz w:val="20"/>
          <w:szCs w:val="20"/>
          <w:lang w:val="pt-BR"/>
        </w:rPr>
        <w:t>mpõe</w:t>
      </w:r>
      <w:r w:rsidRPr="005D6E61">
        <w:rPr>
          <w:rFonts w:ascii="Cambria" w:hAnsi="Cambria"/>
          <w:sz w:val="20"/>
          <w:szCs w:val="20"/>
          <w:lang w:val="pt-BR"/>
        </w:rPr>
        <w:t xml:space="preserve"> o processo </w:t>
      </w:r>
      <w:r w:rsidR="00506F9C" w:rsidRPr="005D6E61">
        <w:rPr>
          <w:rFonts w:ascii="Cambria" w:hAnsi="Cambria"/>
          <w:sz w:val="20"/>
          <w:szCs w:val="20"/>
          <w:lang w:val="pt-BR"/>
        </w:rPr>
        <w:t>investigatório</w:t>
      </w:r>
      <w:r w:rsidRPr="005D6E61">
        <w:rPr>
          <w:rFonts w:ascii="Cambria" w:hAnsi="Cambria"/>
          <w:sz w:val="20"/>
          <w:szCs w:val="20"/>
          <w:lang w:val="pt-BR"/>
        </w:rPr>
        <w:t xml:space="preserve">, assim como a investigação em sua totalidade, deve estar orientado a uma finalidade específica, </w:t>
      </w:r>
      <w:r w:rsidR="00506F9C" w:rsidRPr="005D6E61">
        <w:rPr>
          <w:rFonts w:ascii="Cambria" w:hAnsi="Cambria"/>
          <w:sz w:val="20"/>
          <w:szCs w:val="20"/>
          <w:lang w:val="pt-BR"/>
        </w:rPr>
        <w:t>à</w:t>
      </w:r>
      <w:r w:rsidRPr="005D6E61">
        <w:rPr>
          <w:rFonts w:ascii="Cambria" w:hAnsi="Cambria"/>
          <w:sz w:val="20"/>
          <w:szCs w:val="20"/>
          <w:lang w:val="pt-BR"/>
        </w:rPr>
        <w:t xml:space="preserve"> determinação da verdade e </w:t>
      </w:r>
      <w:r w:rsidR="00506F9C" w:rsidRPr="005D6E61">
        <w:rPr>
          <w:rFonts w:ascii="Cambria" w:hAnsi="Cambria"/>
          <w:sz w:val="20"/>
          <w:szCs w:val="20"/>
          <w:lang w:val="pt-BR"/>
        </w:rPr>
        <w:t>à</w:t>
      </w:r>
      <w:r w:rsidRPr="005D6E61">
        <w:rPr>
          <w:rFonts w:ascii="Cambria" w:hAnsi="Cambria"/>
          <w:sz w:val="20"/>
          <w:szCs w:val="20"/>
          <w:lang w:val="pt-BR"/>
        </w:rPr>
        <w:t xml:space="preserve"> investigação, perse</w:t>
      </w:r>
      <w:r w:rsidR="00C02E7F" w:rsidRPr="005D6E61">
        <w:rPr>
          <w:rFonts w:ascii="Cambria" w:hAnsi="Cambria"/>
          <w:sz w:val="20"/>
          <w:szCs w:val="20"/>
          <w:lang w:val="pt-BR"/>
        </w:rPr>
        <w:t>c</w:t>
      </w:r>
      <w:r w:rsidRPr="005D6E61">
        <w:rPr>
          <w:rFonts w:ascii="Cambria" w:hAnsi="Cambria"/>
          <w:sz w:val="20"/>
          <w:szCs w:val="20"/>
          <w:lang w:val="pt-BR"/>
        </w:rPr>
        <w:t>ução, captura, ju</w:t>
      </w:r>
      <w:r w:rsidR="00C02E7F" w:rsidRPr="005D6E61">
        <w:rPr>
          <w:rFonts w:ascii="Cambria" w:hAnsi="Cambria"/>
          <w:sz w:val="20"/>
          <w:szCs w:val="20"/>
          <w:lang w:val="pt-BR"/>
        </w:rPr>
        <w:t>lg</w:t>
      </w:r>
      <w:r w:rsidRPr="005D6E61">
        <w:rPr>
          <w:rFonts w:ascii="Cambria" w:hAnsi="Cambria"/>
          <w:sz w:val="20"/>
          <w:szCs w:val="20"/>
          <w:lang w:val="pt-BR"/>
        </w:rPr>
        <w:t>amento e</w:t>
      </w:r>
      <w:r w:rsidR="00C02E7F" w:rsidRPr="005D6E61">
        <w:rPr>
          <w:rFonts w:ascii="Cambria" w:hAnsi="Cambria"/>
          <w:sz w:val="20"/>
          <w:szCs w:val="20"/>
          <w:lang w:val="pt-BR"/>
        </w:rPr>
        <w:t>,</w:t>
      </w:r>
      <w:r w:rsidRPr="005D6E61">
        <w:rPr>
          <w:rFonts w:ascii="Cambria" w:hAnsi="Cambria"/>
          <w:sz w:val="20"/>
          <w:szCs w:val="20"/>
          <w:lang w:val="pt-BR"/>
        </w:rPr>
        <w:t xml:space="preserve"> </w:t>
      </w:r>
      <w:r w:rsidR="00C02E7F" w:rsidRPr="005D6E61">
        <w:rPr>
          <w:rFonts w:ascii="Cambria" w:hAnsi="Cambria"/>
          <w:sz w:val="20"/>
          <w:szCs w:val="20"/>
          <w:lang w:val="pt-BR"/>
        </w:rPr>
        <w:t>se for o</w:t>
      </w:r>
      <w:r w:rsidRPr="005D6E61">
        <w:rPr>
          <w:rFonts w:ascii="Cambria" w:hAnsi="Cambria"/>
          <w:sz w:val="20"/>
          <w:szCs w:val="20"/>
          <w:lang w:val="pt-BR"/>
        </w:rPr>
        <w:t xml:space="preserve"> caso, </w:t>
      </w:r>
      <w:r w:rsidR="00506F9C" w:rsidRPr="005D6E61">
        <w:rPr>
          <w:rFonts w:ascii="Cambria" w:hAnsi="Cambria"/>
          <w:sz w:val="20"/>
          <w:szCs w:val="20"/>
          <w:lang w:val="pt-BR"/>
        </w:rPr>
        <w:t>à</w:t>
      </w:r>
      <w:r w:rsidRPr="005D6E61">
        <w:rPr>
          <w:rFonts w:ascii="Cambria" w:hAnsi="Cambria"/>
          <w:sz w:val="20"/>
          <w:szCs w:val="20"/>
          <w:lang w:val="pt-BR"/>
        </w:rPr>
        <w:t xml:space="preserve"> </w:t>
      </w:r>
      <w:r w:rsidR="00C02E7F" w:rsidRPr="005D6E61">
        <w:rPr>
          <w:rFonts w:ascii="Cambria" w:hAnsi="Cambria"/>
          <w:sz w:val="20"/>
          <w:szCs w:val="20"/>
          <w:lang w:val="pt-BR"/>
        </w:rPr>
        <w:t>pu</w:t>
      </w:r>
      <w:r w:rsidRPr="005D6E61">
        <w:rPr>
          <w:rFonts w:ascii="Cambria" w:hAnsi="Cambria"/>
          <w:sz w:val="20"/>
          <w:szCs w:val="20"/>
          <w:lang w:val="pt-BR"/>
        </w:rPr>
        <w:t>n</w:t>
      </w:r>
      <w:r w:rsidR="00C02E7F" w:rsidRPr="005D6E61">
        <w:rPr>
          <w:rFonts w:ascii="Cambria" w:hAnsi="Cambria"/>
          <w:sz w:val="20"/>
          <w:szCs w:val="20"/>
          <w:lang w:val="pt-BR"/>
        </w:rPr>
        <w:t>i</w:t>
      </w:r>
      <w:r w:rsidRPr="005D6E61">
        <w:rPr>
          <w:rFonts w:ascii="Cambria" w:hAnsi="Cambria"/>
          <w:sz w:val="20"/>
          <w:szCs w:val="20"/>
          <w:lang w:val="pt-BR"/>
        </w:rPr>
        <w:t>ção dos responsáveis pelos atos”</w:t>
      </w:r>
      <w:r w:rsidRPr="005D6E61">
        <w:rPr>
          <w:rStyle w:val="FootnoteReference"/>
          <w:rFonts w:ascii="Cambria" w:hAnsi="Cambria"/>
          <w:sz w:val="20"/>
          <w:szCs w:val="20"/>
          <w:lang w:val="pt-BR"/>
        </w:rPr>
        <w:footnoteReference w:id="128"/>
      </w:r>
      <w:r w:rsidRPr="005D6E61">
        <w:rPr>
          <w:rFonts w:ascii="Cambria" w:hAnsi="Cambria"/>
          <w:spacing w:val="-2"/>
          <w:sz w:val="20"/>
          <w:szCs w:val="20"/>
          <w:lang w:val="pt-BR"/>
        </w:rPr>
        <w:t>, especialmente quando estão ou possam estar envolvidos agentes estatais</w:t>
      </w:r>
      <w:r w:rsidRPr="005D6E61">
        <w:rPr>
          <w:rFonts w:ascii="Cambria" w:hAnsi="Cambria"/>
          <w:spacing w:val="-2"/>
          <w:sz w:val="20"/>
          <w:szCs w:val="20"/>
          <w:vertAlign w:val="superscript"/>
          <w:lang w:val="pt-BR"/>
        </w:rPr>
        <w:footnoteReference w:id="129"/>
      </w:r>
      <w:r w:rsidRPr="005D6E61">
        <w:rPr>
          <w:rFonts w:ascii="Cambria" w:hAnsi="Cambria"/>
          <w:sz w:val="20"/>
          <w:szCs w:val="20"/>
          <w:lang w:val="pt-BR"/>
        </w:rPr>
        <w:t xml:space="preserve">. </w:t>
      </w:r>
      <w:r w:rsidRPr="005D6E61">
        <w:rPr>
          <w:rFonts w:ascii="Cambria" w:hAnsi="Cambria" w:cs="Arial"/>
          <w:sz w:val="20"/>
          <w:szCs w:val="20"/>
          <w:lang w:val="pt-BR"/>
        </w:rPr>
        <w:t xml:space="preserve">A </w:t>
      </w:r>
      <w:r w:rsidRPr="005D6E61">
        <w:rPr>
          <w:rFonts w:ascii="Cambria" w:hAnsi="Cambria"/>
          <w:sz w:val="20"/>
          <w:szCs w:val="20"/>
          <w:lang w:val="pt-BR"/>
        </w:rPr>
        <w:t xml:space="preserve">esse respeito, o Estado tem que </w:t>
      </w:r>
      <w:r w:rsidRPr="005D6E61">
        <w:rPr>
          <w:rFonts w:ascii="Cambria" w:hAnsi="Cambria"/>
          <w:spacing w:val="-2"/>
          <w:sz w:val="20"/>
          <w:szCs w:val="20"/>
          <w:lang w:val="pt-BR"/>
        </w:rPr>
        <w:t>demonstrar que realizou uma investigação imediata, exaustiva, séria e imparcial</w:t>
      </w:r>
      <w:r w:rsidRPr="005D6E61">
        <w:rPr>
          <w:rStyle w:val="FootnoteReference"/>
          <w:rFonts w:ascii="Cambria" w:hAnsi="Cambria"/>
          <w:sz w:val="20"/>
          <w:szCs w:val="20"/>
          <w:lang w:val="pt-BR"/>
        </w:rPr>
        <w:footnoteReference w:id="130"/>
      </w:r>
      <w:r w:rsidRPr="005D6E61">
        <w:rPr>
          <w:rFonts w:ascii="Cambria" w:hAnsi="Cambria"/>
          <w:spacing w:val="-2"/>
          <w:sz w:val="20"/>
          <w:szCs w:val="20"/>
          <w:lang w:val="pt-BR"/>
        </w:rPr>
        <w:t>,</w:t>
      </w:r>
      <w:r w:rsidRPr="005D6E61">
        <w:rPr>
          <w:rFonts w:ascii="Cambria" w:hAnsi="Cambria"/>
          <w:sz w:val="20"/>
          <w:szCs w:val="20"/>
          <w:lang w:val="pt-BR"/>
        </w:rPr>
        <w:t xml:space="preserve"> que deve estar orientada a explorar todas as linhas </w:t>
      </w:r>
      <w:r w:rsidR="00D6113C" w:rsidRPr="005D6E61">
        <w:rPr>
          <w:rFonts w:ascii="Cambria" w:hAnsi="Cambria"/>
          <w:sz w:val="20"/>
          <w:szCs w:val="20"/>
          <w:lang w:val="pt-BR"/>
        </w:rPr>
        <w:t>de investigação</w:t>
      </w:r>
      <w:r w:rsidRPr="005D6E61">
        <w:rPr>
          <w:rFonts w:ascii="Cambria" w:hAnsi="Cambria"/>
          <w:sz w:val="20"/>
          <w:szCs w:val="20"/>
          <w:lang w:val="pt-BR"/>
        </w:rPr>
        <w:t xml:space="preserve"> possíveis</w:t>
      </w:r>
      <w:r w:rsidRPr="005D6E61">
        <w:rPr>
          <w:rStyle w:val="FootnoteReference"/>
          <w:rFonts w:ascii="Cambria" w:hAnsi="Cambria" w:cs="Arial"/>
          <w:sz w:val="20"/>
          <w:szCs w:val="20"/>
          <w:lang w:val="pt-BR"/>
        </w:rPr>
        <w:footnoteReference w:id="131"/>
      </w:r>
      <w:r w:rsidRPr="005D6E61">
        <w:rPr>
          <w:rFonts w:ascii="Cambria" w:hAnsi="Cambria"/>
          <w:sz w:val="20"/>
          <w:szCs w:val="20"/>
          <w:lang w:val="pt-BR"/>
        </w:rPr>
        <w:t>. O Estado pode ser responsável por não “ordenar, praticar ou avaliar provas” que possam ser fundamentais para o devido esclarecimento dos fatos</w:t>
      </w:r>
      <w:r w:rsidRPr="005D6E61">
        <w:rPr>
          <w:rStyle w:val="FootnoteReference"/>
          <w:rFonts w:ascii="Cambria" w:hAnsi="Cambria"/>
          <w:sz w:val="20"/>
          <w:szCs w:val="20"/>
          <w:lang w:val="pt-BR"/>
        </w:rPr>
        <w:footnoteReference w:id="132"/>
      </w:r>
      <w:r w:rsidRPr="005D6E61">
        <w:rPr>
          <w:rFonts w:ascii="Cambria" w:hAnsi="Cambria"/>
          <w:sz w:val="20"/>
          <w:szCs w:val="20"/>
          <w:lang w:val="pt-BR"/>
        </w:rPr>
        <w:t>.</w:t>
      </w:r>
    </w:p>
    <w:p w14:paraId="1E762481"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pacing w:val="-2"/>
          <w:sz w:val="20"/>
          <w:szCs w:val="20"/>
          <w:lang w:val="pt-BR"/>
        </w:rPr>
      </w:pPr>
    </w:p>
    <w:p w14:paraId="35633C56"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A Comissão </w:t>
      </w:r>
      <w:r w:rsidR="008F4D6F" w:rsidRPr="005D6E61">
        <w:rPr>
          <w:rFonts w:ascii="Cambria" w:hAnsi="Cambria"/>
          <w:sz w:val="20"/>
          <w:szCs w:val="20"/>
          <w:lang w:val="pt-BR"/>
        </w:rPr>
        <w:t>consider</w:t>
      </w:r>
      <w:r w:rsidRPr="005D6E61">
        <w:rPr>
          <w:rFonts w:ascii="Cambria" w:hAnsi="Cambria"/>
          <w:sz w:val="20"/>
          <w:szCs w:val="20"/>
          <w:lang w:val="pt-BR"/>
        </w:rPr>
        <w:t>ou que</w:t>
      </w:r>
      <w:r w:rsidR="00C02E7F" w:rsidRPr="005D6E61">
        <w:rPr>
          <w:rFonts w:ascii="Cambria" w:hAnsi="Cambria"/>
          <w:sz w:val="20"/>
          <w:szCs w:val="20"/>
          <w:lang w:val="pt-BR"/>
        </w:rPr>
        <w:t>,</w:t>
      </w:r>
      <w:r w:rsidRPr="005D6E61">
        <w:rPr>
          <w:rFonts w:ascii="Cambria" w:hAnsi="Cambria"/>
          <w:sz w:val="20"/>
          <w:szCs w:val="20"/>
          <w:lang w:val="pt-BR"/>
        </w:rPr>
        <w:t xml:space="preserve"> como parte da devida diligência requerida em investigações sobre violações </w:t>
      </w:r>
      <w:r w:rsidR="00C02E7F" w:rsidRPr="005D6E61">
        <w:rPr>
          <w:rFonts w:ascii="Cambria" w:hAnsi="Cambria"/>
          <w:sz w:val="20"/>
          <w:szCs w:val="20"/>
          <w:lang w:val="pt-BR"/>
        </w:rPr>
        <w:t>d</w:t>
      </w:r>
      <w:r w:rsidRPr="005D6E61">
        <w:rPr>
          <w:rFonts w:ascii="Cambria" w:hAnsi="Cambria"/>
          <w:sz w:val="20"/>
          <w:szCs w:val="20"/>
          <w:lang w:val="pt-BR"/>
        </w:rPr>
        <w:t>os direitos de um defensor ou defensora de direitos humanos, a autoridade deve levar em conta a atividade des</w:t>
      </w:r>
      <w:r w:rsidR="00C02E7F" w:rsidRPr="005D6E61">
        <w:rPr>
          <w:rFonts w:ascii="Cambria" w:hAnsi="Cambria"/>
          <w:sz w:val="20"/>
          <w:szCs w:val="20"/>
          <w:lang w:val="pt-BR"/>
        </w:rPr>
        <w:t>s</w:t>
      </w:r>
      <w:r w:rsidRPr="005D6E61">
        <w:rPr>
          <w:rFonts w:ascii="Cambria" w:hAnsi="Cambria"/>
          <w:sz w:val="20"/>
          <w:szCs w:val="20"/>
          <w:lang w:val="pt-BR"/>
        </w:rPr>
        <w:t xml:space="preserve">a pessoa para identificar os interesses que poderiam ter sido afetados no exercício da mesma e assim poder estabelecer linhas de investigação e hipóteses do </w:t>
      </w:r>
      <w:r w:rsidR="00C02E7F" w:rsidRPr="005D6E61">
        <w:rPr>
          <w:rFonts w:ascii="Cambria" w:hAnsi="Cambria"/>
          <w:sz w:val="20"/>
          <w:szCs w:val="20"/>
          <w:lang w:val="pt-BR"/>
        </w:rPr>
        <w:t>crime</w:t>
      </w:r>
      <w:r w:rsidRPr="005D6E61">
        <w:rPr>
          <w:rFonts w:ascii="Cambria" w:hAnsi="Cambria"/>
          <w:sz w:val="20"/>
          <w:szCs w:val="20"/>
          <w:lang w:val="pt-BR"/>
        </w:rPr>
        <w:t xml:space="preserve">. A Comissão indicou que o meio mais eficaz de proteger as defensoras e defensores de direitos humanos no hemisfério é investigar os atos de violência cometidos e </w:t>
      </w:r>
      <w:r w:rsidR="00C02E7F" w:rsidRPr="005D6E61">
        <w:rPr>
          <w:rFonts w:ascii="Cambria" w:hAnsi="Cambria"/>
          <w:sz w:val="20"/>
          <w:szCs w:val="20"/>
          <w:lang w:val="pt-BR"/>
        </w:rPr>
        <w:t>punir</w:t>
      </w:r>
      <w:r w:rsidRPr="005D6E61">
        <w:rPr>
          <w:rFonts w:ascii="Cambria" w:hAnsi="Cambria"/>
          <w:sz w:val="20"/>
          <w:szCs w:val="20"/>
          <w:lang w:val="pt-BR"/>
        </w:rPr>
        <w:t xml:space="preserve"> os responsáveis</w:t>
      </w:r>
      <w:r w:rsidRPr="005D6E61">
        <w:rPr>
          <w:rStyle w:val="FootnoteReference"/>
          <w:rFonts w:ascii="Cambria" w:hAnsi="Cambria"/>
          <w:sz w:val="20"/>
          <w:szCs w:val="20"/>
          <w:lang w:val="pt-BR"/>
        </w:rPr>
        <w:footnoteReference w:id="133"/>
      </w:r>
      <w:r w:rsidRPr="005D6E61">
        <w:rPr>
          <w:rFonts w:ascii="Cambria" w:hAnsi="Cambria"/>
          <w:sz w:val="20"/>
          <w:szCs w:val="20"/>
          <w:lang w:val="pt-BR"/>
        </w:rPr>
        <w:t>.</w:t>
      </w:r>
    </w:p>
    <w:p w14:paraId="3B0E700E"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pt-BR"/>
        </w:rPr>
      </w:pPr>
    </w:p>
    <w:p w14:paraId="33EDA77F"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720"/>
        <w:jc w:val="both"/>
        <w:rPr>
          <w:rFonts w:ascii="Cambria" w:hAnsi="Cambria"/>
          <w:sz w:val="20"/>
          <w:szCs w:val="20"/>
          <w:lang w:val="pt-BR"/>
        </w:rPr>
      </w:pPr>
      <w:r w:rsidRPr="005D6E61">
        <w:rPr>
          <w:rFonts w:ascii="Cambria" w:hAnsi="Cambria"/>
          <w:sz w:val="20"/>
          <w:szCs w:val="20"/>
          <w:lang w:val="pt-BR"/>
        </w:rPr>
        <w:t>Em sua jurisprudência em matéria de impunidade, a Corte Interamericana ressaltou a importância de estabelecer linhas lógicas de investigação com base nas provas e evidências coletadas durante o processo</w:t>
      </w:r>
      <w:r w:rsidRPr="005D6E61">
        <w:rPr>
          <w:rFonts w:ascii="Cambria" w:hAnsi="Cambria"/>
          <w:sz w:val="20"/>
          <w:szCs w:val="20"/>
          <w:vertAlign w:val="superscript"/>
          <w:lang w:val="pt-BR"/>
        </w:rPr>
        <w:footnoteReference w:id="134"/>
      </w:r>
      <w:r w:rsidRPr="005D6E61">
        <w:rPr>
          <w:rFonts w:ascii="Cambria" w:hAnsi="Cambria"/>
          <w:sz w:val="20"/>
          <w:szCs w:val="20"/>
          <w:lang w:val="pt-BR"/>
        </w:rPr>
        <w:t xml:space="preserve">. Em casos relacionados com privações arbitrárias da vida, a Corte indicou que é imprescindível analisar as estruturas de poder que as permitiram, </w:t>
      </w:r>
      <w:r w:rsidR="00C02E7F" w:rsidRPr="005D6E61">
        <w:rPr>
          <w:rFonts w:ascii="Cambria" w:hAnsi="Cambria"/>
          <w:sz w:val="20"/>
          <w:szCs w:val="20"/>
          <w:lang w:val="pt-BR"/>
        </w:rPr>
        <w:t>elabor</w:t>
      </w:r>
      <w:r w:rsidRPr="005D6E61">
        <w:rPr>
          <w:rFonts w:ascii="Cambria" w:hAnsi="Cambria"/>
          <w:sz w:val="20"/>
          <w:szCs w:val="20"/>
          <w:lang w:val="pt-BR"/>
        </w:rPr>
        <w:t>aram e executaram intelectual e materialmente, assim como das pessoas ou grupos que estavam interessados ou se beneficiariam do crime, pois isso pode permitir a geração de hipóteses e linhas de investigação.  Por isso, não se trata só da análise de um crime de maneira isolada, mas inserido em um contexto que proporcione os elementos necessários para compreender sua estrutura de operação</w:t>
      </w:r>
      <w:r w:rsidRPr="005D6E61">
        <w:rPr>
          <w:rStyle w:val="FootnoteReference"/>
          <w:rFonts w:ascii="Cambria" w:hAnsi="Cambria"/>
          <w:sz w:val="20"/>
          <w:szCs w:val="20"/>
          <w:lang w:val="pt-BR"/>
        </w:rPr>
        <w:footnoteReference w:id="135"/>
      </w:r>
      <w:r w:rsidRPr="005D6E61">
        <w:rPr>
          <w:rFonts w:ascii="Cambria" w:hAnsi="Cambria"/>
          <w:sz w:val="20"/>
          <w:szCs w:val="20"/>
          <w:lang w:val="pt-BR"/>
        </w:rPr>
        <w:t>.</w:t>
      </w:r>
    </w:p>
    <w:p w14:paraId="3F3F87E2" w14:textId="77777777" w:rsidR="0074105E" w:rsidRPr="005D6E61" w:rsidRDefault="0074105E" w:rsidP="0074105E">
      <w:pPr>
        <w:pStyle w:val="ListParagraph"/>
        <w:rPr>
          <w:spacing w:val="-2"/>
          <w:sz w:val="20"/>
          <w:szCs w:val="20"/>
          <w:lang w:val="pt-BR"/>
        </w:rPr>
      </w:pPr>
    </w:p>
    <w:p w14:paraId="034CAD4A"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720"/>
        <w:jc w:val="both"/>
        <w:rPr>
          <w:rFonts w:ascii="Cambria" w:hAnsi="Cambria"/>
          <w:sz w:val="20"/>
          <w:szCs w:val="20"/>
          <w:lang w:val="pt-BR"/>
        </w:rPr>
      </w:pPr>
      <w:r w:rsidRPr="005D6E61">
        <w:rPr>
          <w:rFonts w:ascii="Cambria" w:hAnsi="Cambria"/>
          <w:spacing w:val="-2"/>
          <w:sz w:val="20"/>
          <w:szCs w:val="20"/>
          <w:lang w:val="pt-BR"/>
        </w:rPr>
        <w:t xml:space="preserve">Por outro lado, com relação </w:t>
      </w:r>
      <w:r w:rsidR="00C02E7F" w:rsidRPr="005D6E61">
        <w:rPr>
          <w:rFonts w:ascii="Cambria" w:hAnsi="Cambria"/>
          <w:spacing w:val="-2"/>
          <w:sz w:val="20"/>
          <w:szCs w:val="20"/>
          <w:lang w:val="pt-BR"/>
        </w:rPr>
        <w:t>a</w:t>
      </w:r>
      <w:r w:rsidRPr="005D6E61">
        <w:rPr>
          <w:rFonts w:ascii="Cambria" w:hAnsi="Cambria"/>
          <w:spacing w:val="-2"/>
          <w:sz w:val="20"/>
          <w:szCs w:val="20"/>
          <w:lang w:val="pt-BR"/>
        </w:rPr>
        <w:t xml:space="preserve">os obstáculos nas investigações, a CIDH indicou que a </w:t>
      </w:r>
      <w:r w:rsidRPr="005D6E61">
        <w:rPr>
          <w:rFonts w:ascii="Cambria" w:hAnsi="Cambria"/>
          <w:sz w:val="20"/>
          <w:szCs w:val="20"/>
          <w:lang w:val="pt-BR"/>
        </w:rPr>
        <w:t xml:space="preserve">existência de atos de obstrução de justiça, </w:t>
      </w:r>
      <w:r w:rsidR="00C02E7F" w:rsidRPr="005D6E61">
        <w:rPr>
          <w:rFonts w:ascii="Cambria" w:hAnsi="Cambria"/>
          <w:sz w:val="20"/>
          <w:szCs w:val="20"/>
          <w:lang w:val="pt-BR"/>
        </w:rPr>
        <w:t>impedimentos</w:t>
      </w:r>
      <w:r w:rsidRPr="005D6E61">
        <w:rPr>
          <w:rFonts w:ascii="Cambria" w:hAnsi="Cambria"/>
          <w:sz w:val="20"/>
          <w:szCs w:val="20"/>
          <w:lang w:val="pt-BR"/>
        </w:rPr>
        <w:t xml:space="preserve"> ou falta de colaboração das autoridades que impediram ou estejam impedindo o esclarecimento da causa, constitu</w:t>
      </w:r>
      <w:r w:rsidR="00D1606D" w:rsidRPr="005D6E61">
        <w:rPr>
          <w:rFonts w:ascii="Cambria" w:hAnsi="Cambria"/>
          <w:sz w:val="20"/>
          <w:szCs w:val="20"/>
          <w:lang w:val="pt-BR"/>
        </w:rPr>
        <w:t>i</w:t>
      </w:r>
      <w:r w:rsidRPr="005D6E61">
        <w:rPr>
          <w:rFonts w:ascii="Cambria" w:hAnsi="Cambria"/>
          <w:sz w:val="20"/>
          <w:szCs w:val="20"/>
          <w:lang w:val="pt-BR"/>
        </w:rPr>
        <w:t xml:space="preserve"> uma violação </w:t>
      </w:r>
      <w:r w:rsidR="00C02E7F" w:rsidRPr="005D6E61">
        <w:rPr>
          <w:rFonts w:ascii="Cambria" w:hAnsi="Cambria"/>
          <w:sz w:val="20"/>
          <w:szCs w:val="20"/>
          <w:lang w:val="pt-BR"/>
        </w:rPr>
        <w:t>d</w:t>
      </w:r>
      <w:r w:rsidRPr="005D6E61">
        <w:rPr>
          <w:rFonts w:ascii="Cambria" w:hAnsi="Cambria"/>
          <w:sz w:val="20"/>
          <w:szCs w:val="20"/>
          <w:lang w:val="pt-BR"/>
        </w:rPr>
        <w:t>o direito às garantias judiciais</w:t>
      </w:r>
      <w:r w:rsidRPr="005D6E61">
        <w:rPr>
          <w:rStyle w:val="FootnoteReference"/>
          <w:rFonts w:ascii="Cambria" w:hAnsi="Cambria"/>
          <w:sz w:val="20"/>
          <w:szCs w:val="20"/>
          <w:lang w:val="pt-BR"/>
        </w:rPr>
        <w:footnoteReference w:id="136"/>
      </w:r>
      <w:r w:rsidRPr="005D6E61">
        <w:rPr>
          <w:rFonts w:ascii="Cambria" w:hAnsi="Cambria"/>
          <w:sz w:val="20"/>
          <w:szCs w:val="20"/>
          <w:lang w:val="pt-BR"/>
        </w:rPr>
        <w:t xml:space="preserve">. </w:t>
      </w:r>
    </w:p>
    <w:p w14:paraId="2FA0AE99" w14:textId="77777777" w:rsidR="0074105E" w:rsidRPr="005D6E61" w:rsidRDefault="0074105E" w:rsidP="0074105E">
      <w:pPr>
        <w:pStyle w:val="ListParagraph"/>
        <w:ind w:left="0"/>
        <w:rPr>
          <w:sz w:val="20"/>
          <w:szCs w:val="20"/>
          <w:lang w:val="pt-BR"/>
        </w:rPr>
      </w:pPr>
    </w:p>
    <w:p w14:paraId="4256FEB3"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Finalmente, a CIDH recorda que o direito de acesso à justiça não se esgota com o trâmite dos processos internos, mas deve também assegurar, em tempo razoável, o direito das supostas vítimas ou seus </w:t>
      </w:r>
      <w:r w:rsidRPr="005D6E61">
        <w:rPr>
          <w:rFonts w:ascii="Cambria" w:hAnsi="Cambria"/>
          <w:sz w:val="20"/>
          <w:szCs w:val="20"/>
          <w:lang w:val="pt-BR"/>
        </w:rPr>
        <w:lastRenderedPageBreak/>
        <w:t>familiares a que se faça todo o necessário para conhecer a verdade do</w:t>
      </w:r>
      <w:r w:rsidR="00C02E7F" w:rsidRPr="005D6E61">
        <w:rPr>
          <w:rFonts w:ascii="Cambria" w:hAnsi="Cambria"/>
          <w:sz w:val="20"/>
          <w:szCs w:val="20"/>
          <w:lang w:val="pt-BR"/>
        </w:rPr>
        <w:t>s</w:t>
      </w:r>
      <w:r w:rsidRPr="005D6E61">
        <w:rPr>
          <w:rFonts w:ascii="Cambria" w:hAnsi="Cambria"/>
          <w:sz w:val="20"/>
          <w:szCs w:val="20"/>
          <w:lang w:val="pt-BR"/>
        </w:rPr>
        <w:t xml:space="preserve"> </w:t>
      </w:r>
      <w:r w:rsidR="00D1606D" w:rsidRPr="005D6E61">
        <w:rPr>
          <w:rFonts w:ascii="Cambria" w:hAnsi="Cambria"/>
          <w:sz w:val="20"/>
          <w:szCs w:val="20"/>
          <w:lang w:val="pt-BR"/>
        </w:rPr>
        <w:t>fatos</w:t>
      </w:r>
      <w:r w:rsidRPr="005D6E61">
        <w:rPr>
          <w:rFonts w:ascii="Cambria" w:hAnsi="Cambria"/>
          <w:sz w:val="20"/>
          <w:szCs w:val="20"/>
          <w:lang w:val="pt-BR"/>
        </w:rPr>
        <w:t xml:space="preserve"> e para que os responsáveis</w:t>
      </w:r>
      <w:r w:rsidR="008F4D6F" w:rsidRPr="005D6E61">
        <w:rPr>
          <w:rFonts w:ascii="Cambria" w:hAnsi="Cambria"/>
          <w:sz w:val="20"/>
          <w:szCs w:val="20"/>
          <w:lang w:val="pt-BR"/>
        </w:rPr>
        <w:t xml:space="preserve"> sejam punidos</w:t>
      </w:r>
      <w:r w:rsidRPr="005D6E61">
        <w:rPr>
          <w:rFonts w:ascii="Cambria" w:hAnsi="Cambria"/>
          <w:sz w:val="20"/>
          <w:szCs w:val="20"/>
          <w:lang w:val="pt-BR"/>
        </w:rPr>
        <w:t xml:space="preserve">. A jurisprudência reiterada do sistema interamericano considerou quatro aspectos para determinar o cumprimento da regra do prazo razoável: i) a complexidade do assunto; ii) a conduta das autoridades; iii) a atividade processual do interessado e iv) </w:t>
      </w:r>
      <w:r w:rsidR="00C02E7F" w:rsidRPr="005D6E61">
        <w:rPr>
          <w:rFonts w:ascii="Cambria" w:hAnsi="Cambria"/>
          <w:sz w:val="20"/>
          <w:szCs w:val="20"/>
          <w:lang w:val="pt-BR"/>
        </w:rPr>
        <w:t>o efeito</w:t>
      </w:r>
      <w:r w:rsidRPr="005D6E61">
        <w:rPr>
          <w:rFonts w:ascii="Cambria" w:hAnsi="Cambria"/>
          <w:sz w:val="20"/>
          <w:szCs w:val="20"/>
          <w:lang w:val="pt-BR"/>
        </w:rPr>
        <w:t xml:space="preserve"> </w:t>
      </w:r>
      <w:r w:rsidR="00C02E7F" w:rsidRPr="005D6E61">
        <w:rPr>
          <w:rFonts w:ascii="Cambria" w:hAnsi="Cambria"/>
          <w:sz w:val="20"/>
          <w:szCs w:val="20"/>
          <w:lang w:val="pt-BR"/>
        </w:rPr>
        <w:t>gerado</w:t>
      </w:r>
      <w:r w:rsidRPr="005D6E61">
        <w:rPr>
          <w:rFonts w:ascii="Cambria" w:hAnsi="Cambria"/>
          <w:sz w:val="20"/>
          <w:szCs w:val="20"/>
          <w:lang w:val="pt-BR"/>
        </w:rPr>
        <w:t xml:space="preserve"> na situação jurídica da pessoa envolvida no processo</w:t>
      </w:r>
      <w:r w:rsidRPr="005D6E61">
        <w:rPr>
          <w:rStyle w:val="FootnoteReference"/>
          <w:rFonts w:ascii="Cambria" w:hAnsi="Cambria"/>
          <w:sz w:val="20"/>
          <w:szCs w:val="20"/>
          <w:lang w:val="pt-BR"/>
        </w:rPr>
        <w:footnoteReference w:id="137"/>
      </w:r>
      <w:r w:rsidRPr="005D6E61">
        <w:rPr>
          <w:rFonts w:ascii="Cambria" w:hAnsi="Cambria"/>
          <w:sz w:val="20"/>
          <w:szCs w:val="20"/>
          <w:lang w:val="pt-BR"/>
        </w:rPr>
        <w:t xml:space="preserve">. </w:t>
      </w:r>
    </w:p>
    <w:p w14:paraId="1E75DEB7" w14:textId="77777777" w:rsidR="0074105E" w:rsidRPr="005D6E61" w:rsidRDefault="0074105E" w:rsidP="0074105E">
      <w:pPr>
        <w:pStyle w:val="ListParagraph"/>
        <w:rPr>
          <w:sz w:val="20"/>
          <w:szCs w:val="20"/>
          <w:lang w:val="pt-BR"/>
        </w:rPr>
      </w:pPr>
    </w:p>
    <w:p w14:paraId="2AEDC31C"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720"/>
        <w:jc w:val="both"/>
        <w:rPr>
          <w:rFonts w:ascii="Cambria" w:hAnsi="Cambria"/>
          <w:sz w:val="20"/>
          <w:szCs w:val="20"/>
          <w:lang w:val="pt-BR"/>
        </w:rPr>
      </w:pPr>
      <w:r w:rsidRPr="005D6E61">
        <w:rPr>
          <w:rFonts w:ascii="Cambria" w:hAnsi="Cambria"/>
          <w:sz w:val="20"/>
          <w:szCs w:val="20"/>
          <w:lang w:val="pt-BR"/>
        </w:rPr>
        <w:t>A CIDH indicou que o atraso no desenvolvimento da investigação não pode ser justificado em razão da complexidade do assunto quando i) há individualização de possíveis autores; ii) consta a existência de testemunhas; e iii) existem possíveis linhas de investigação. A fim de que um argumento de complexidade seja procedente, não é suficiente que o Estado invoque em termos genéricos a complexidade de um assunto. É necessário que se apresente informação específica que vincule em cada caso a complexidade com a demora</w:t>
      </w:r>
      <w:r w:rsidRPr="005D6E61">
        <w:rPr>
          <w:rStyle w:val="FootnoteReference"/>
          <w:rFonts w:ascii="Cambria" w:hAnsi="Cambria"/>
          <w:sz w:val="20"/>
          <w:szCs w:val="20"/>
          <w:lang w:val="pt-BR"/>
        </w:rPr>
        <w:footnoteReference w:id="138"/>
      </w:r>
      <w:r w:rsidRPr="005D6E61">
        <w:rPr>
          <w:rFonts w:ascii="Cambria" w:hAnsi="Cambria"/>
          <w:sz w:val="20"/>
          <w:szCs w:val="20"/>
          <w:lang w:val="pt-BR"/>
        </w:rPr>
        <w:t xml:space="preserve">.  </w:t>
      </w:r>
    </w:p>
    <w:p w14:paraId="7E62DE96" w14:textId="77777777" w:rsidR="0074105E" w:rsidRPr="005D6E61" w:rsidRDefault="0074105E" w:rsidP="0074105E">
      <w:pPr>
        <w:pStyle w:val="Heading3"/>
        <w:numPr>
          <w:ilvl w:val="0"/>
          <w:numId w:val="62"/>
        </w:numPr>
        <w:ind w:left="1350" w:hanging="630"/>
        <w:rPr>
          <w:rFonts w:asciiTheme="majorHAnsi" w:hAnsiTheme="majorHAnsi"/>
          <w:i/>
          <w:sz w:val="20"/>
          <w:szCs w:val="20"/>
          <w:lang w:val="pt-BR"/>
        </w:rPr>
      </w:pPr>
      <w:bookmarkStart w:id="31" w:name="_Toc496103833"/>
      <w:bookmarkStart w:id="32" w:name="_Toc27990571"/>
      <w:r w:rsidRPr="005D6E61">
        <w:rPr>
          <w:rFonts w:asciiTheme="majorHAnsi" w:hAnsiTheme="majorHAnsi"/>
          <w:sz w:val="20"/>
          <w:szCs w:val="20"/>
          <w:lang w:val="pt-BR"/>
        </w:rPr>
        <w:t>Análise do presente caso</w:t>
      </w:r>
      <w:bookmarkEnd w:id="31"/>
      <w:bookmarkEnd w:id="32"/>
    </w:p>
    <w:p w14:paraId="32022365"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ind w:left="360"/>
        <w:jc w:val="both"/>
        <w:rPr>
          <w:rFonts w:ascii="Cambria" w:hAnsi="Cambria"/>
          <w:sz w:val="20"/>
          <w:szCs w:val="20"/>
          <w:lang w:val="pt-BR"/>
        </w:rPr>
      </w:pPr>
    </w:p>
    <w:p w14:paraId="171499C2"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Em primeiro lugar, conforme os padrões citados, tratando-se do assassinato de um defensor ou uma defensora dos direitos humanos, as autoridades devem levar em conta se o ato foi produto de sua atividade para estabelecer linhas de investigação e hipóteses do </w:t>
      </w:r>
      <w:r w:rsidR="00C02E7F" w:rsidRPr="005D6E61">
        <w:rPr>
          <w:rFonts w:ascii="Cambria" w:hAnsi="Cambria"/>
          <w:sz w:val="20"/>
          <w:szCs w:val="20"/>
          <w:lang w:val="pt-BR"/>
        </w:rPr>
        <w:t>crime</w:t>
      </w:r>
      <w:r w:rsidRPr="005D6E61">
        <w:rPr>
          <w:rFonts w:ascii="Cambria" w:hAnsi="Cambria"/>
          <w:sz w:val="20"/>
          <w:szCs w:val="20"/>
          <w:lang w:val="pt-BR"/>
        </w:rPr>
        <w:t>. No presente caso</w:t>
      </w:r>
      <w:r w:rsidR="00C02E7F" w:rsidRPr="005D6E61">
        <w:rPr>
          <w:rFonts w:ascii="Cambria" w:hAnsi="Cambria"/>
          <w:sz w:val="20"/>
          <w:szCs w:val="20"/>
          <w:lang w:val="pt-BR"/>
        </w:rPr>
        <w:t>,</w:t>
      </w:r>
      <w:r w:rsidRPr="005D6E61">
        <w:rPr>
          <w:rFonts w:ascii="Cambria" w:hAnsi="Cambria"/>
          <w:sz w:val="20"/>
          <w:szCs w:val="20"/>
          <w:lang w:val="pt-BR"/>
        </w:rPr>
        <w:t xml:space="preserve"> desde o início das investigações, levando em conta o contexto, as ameaças prévias e os testemunhos de várias pessoas, o assassinato da suposta vítima p</w:t>
      </w:r>
      <w:r w:rsidR="00C02E7F" w:rsidRPr="005D6E61">
        <w:rPr>
          <w:rFonts w:ascii="Cambria" w:hAnsi="Cambria"/>
          <w:sz w:val="20"/>
          <w:szCs w:val="20"/>
          <w:lang w:val="pt-BR"/>
        </w:rPr>
        <w:t>o</w:t>
      </w:r>
      <w:r w:rsidRPr="005D6E61">
        <w:rPr>
          <w:rFonts w:ascii="Cambria" w:hAnsi="Cambria"/>
          <w:sz w:val="20"/>
          <w:szCs w:val="20"/>
          <w:lang w:val="pt-BR"/>
        </w:rPr>
        <w:t xml:space="preserve">de </w:t>
      </w:r>
      <w:r w:rsidR="00C02E7F" w:rsidRPr="005D6E61">
        <w:rPr>
          <w:rFonts w:ascii="Cambria" w:hAnsi="Cambria"/>
          <w:sz w:val="20"/>
          <w:szCs w:val="20"/>
          <w:lang w:val="pt-BR"/>
        </w:rPr>
        <w:t>t</w:t>
      </w:r>
      <w:r w:rsidRPr="005D6E61">
        <w:rPr>
          <w:rFonts w:ascii="Cambria" w:hAnsi="Cambria"/>
          <w:sz w:val="20"/>
          <w:szCs w:val="20"/>
          <w:lang w:val="pt-BR"/>
        </w:rPr>
        <w:t xml:space="preserve">er </w:t>
      </w:r>
      <w:r w:rsidR="00C02E7F" w:rsidRPr="005D6E61">
        <w:rPr>
          <w:rFonts w:ascii="Cambria" w:hAnsi="Cambria"/>
          <w:sz w:val="20"/>
          <w:szCs w:val="20"/>
          <w:lang w:val="pt-BR"/>
        </w:rPr>
        <w:t xml:space="preserve">sido </w:t>
      </w:r>
      <w:r w:rsidRPr="005D6E61">
        <w:rPr>
          <w:rFonts w:ascii="Cambria" w:hAnsi="Cambria"/>
          <w:sz w:val="20"/>
          <w:szCs w:val="20"/>
          <w:lang w:val="pt-BR"/>
        </w:rPr>
        <w:t>uma represália a</w:t>
      </w:r>
      <w:r w:rsidR="00D1606D" w:rsidRPr="005D6E61">
        <w:rPr>
          <w:rFonts w:ascii="Cambria" w:hAnsi="Cambria"/>
          <w:sz w:val="20"/>
          <w:szCs w:val="20"/>
          <w:lang w:val="pt-BR"/>
        </w:rPr>
        <w:t>o</w:t>
      </w:r>
      <w:r w:rsidRPr="005D6E61">
        <w:rPr>
          <w:rFonts w:ascii="Cambria" w:hAnsi="Cambria"/>
          <w:sz w:val="20"/>
          <w:szCs w:val="20"/>
          <w:lang w:val="pt-BR"/>
        </w:rPr>
        <w:t xml:space="preserve"> seu trabalho de defesa dos trabalhadores rurais. </w:t>
      </w:r>
    </w:p>
    <w:p w14:paraId="0C5B6692"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ind w:left="720"/>
        <w:jc w:val="both"/>
        <w:rPr>
          <w:rFonts w:ascii="Cambria" w:hAnsi="Cambria"/>
          <w:sz w:val="20"/>
          <w:szCs w:val="20"/>
          <w:lang w:val="pt-BR"/>
        </w:rPr>
      </w:pPr>
    </w:p>
    <w:p w14:paraId="297AA045"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 A Comissão observa que, em termos gerais, não surge do </w:t>
      </w:r>
      <w:r w:rsidR="00C02E7F" w:rsidRPr="005D6E61">
        <w:rPr>
          <w:rFonts w:ascii="Cambria" w:hAnsi="Cambria"/>
          <w:sz w:val="20"/>
          <w:szCs w:val="20"/>
          <w:lang w:val="pt-BR"/>
        </w:rPr>
        <w:t>processo</w:t>
      </w:r>
      <w:r w:rsidRPr="005D6E61">
        <w:rPr>
          <w:rFonts w:ascii="Cambria" w:hAnsi="Cambria"/>
          <w:sz w:val="20"/>
          <w:szCs w:val="20"/>
          <w:lang w:val="pt-BR"/>
        </w:rPr>
        <w:t xml:space="preserve"> que as autoridades a cargo da investigação </w:t>
      </w:r>
      <w:r w:rsidR="00F80A76" w:rsidRPr="005D6E61">
        <w:rPr>
          <w:rFonts w:ascii="Cambria" w:hAnsi="Cambria"/>
          <w:sz w:val="20"/>
          <w:szCs w:val="20"/>
          <w:lang w:val="pt-BR"/>
        </w:rPr>
        <w:t xml:space="preserve">tenham </w:t>
      </w:r>
      <w:r w:rsidRPr="005D6E61">
        <w:rPr>
          <w:rFonts w:ascii="Cambria" w:hAnsi="Cambria"/>
          <w:sz w:val="20"/>
          <w:szCs w:val="20"/>
          <w:lang w:val="pt-BR"/>
        </w:rPr>
        <w:t>busca</w:t>
      </w:r>
      <w:r w:rsidR="00F80A76" w:rsidRPr="005D6E61">
        <w:rPr>
          <w:rFonts w:ascii="Cambria" w:hAnsi="Cambria"/>
          <w:sz w:val="20"/>
          <w:szCs w:val="20"/>
          <w:lang w:val="pt-BR"/>
        </w:rPr>
        <w:t>do</w:t>
      </w:r>
      <w:r w:rsidRPr="005D6E61">
        <w:rPr>
          <w:rFonts w:ascii="Cambria" w:hAnsi="Cambria"/>
          <w:sz w:val="20"/>
          <w:szCs w:val="20"/>
          <w:lang w:val="pt-BR"/>
        </w:rPr>
        <w:t xml:space="preserve"> informação sobre</w:t>
      </w:r>
      <w:r w:rsidR="00C02E7F" w:rsidRPr="005D6E61">
        <w:rPr>
          <w:rFonts w:ascii="Cambria" w:hAnsi="Cambria"/>
          <w:sz w:val="20"/>
          <w:szCs w:val="20"/>
          <w:lang w:val="pt-BR"/>
        </w:rPr>
        <w:t xml:space="preserve"> as atividades de Margarida Mari</w:t>
      </w:r>
      <w:r w:rsidRPr="005D6E61">
        <w:rPr>
          <w:rFonts w:ascii="Cambria" w:hAnsi="Cambria"/>
          <w:sz w:val="20"/>
          <w:szCs w:val="20"/>
          <w:lang w:val="pt-BR"/>
        </w:rPr>
        <w:t>a Alves, incluindo, entre outras, as ações trabalh</w:t>
      </w:r>
      <w:r w:rsidR="00C02E7F" w:rsidRPr="005D6E61">
        <w:rPr>
          <w:rFonts w:ascii="Cambria" w:hAnsi="Cambria"/>
          <w:sz w:val="20"/>
          <w:szCs w:val="20"/>
          <w:lang w:val="pt-BR"/>
        </w:rPr>
        <w:t>istas</w:t>
      </w:r>
      <w:r w:rsidRPr="005D6E61">
        <w:rPr>
          <w:rFonts w:ascii="Cambria" w:hAnsi="Cambria"/>
          <w:sz w:val="20"/>
          <w:szCs w:val="20"/>
          <w:lang w:val="pt-BR"/>
        </w:rPr>
        <w:t xml:space="preserve"> que havia iniciado e que afetavam os interesses de </w:t>
      </w:r>
      <w:r w:rsidR="00C02E7F" w:rsidRPr="005D6E61">
        <w:rPr>
          <w:rFonts w:ascii="Cambria" w:hAnsi="Cambria"/>
          <w:sz w:val="20"/>
          <w:szCs w:val="20"/>
          <w:lang w:val="pt-BR"/>
        </w:rPr>
        <w:t>fazendeiros</w:t>
      </w:r>
      <w:r w:rsidRPr="005D6E61">
        <w:rPr>
          <w:rFonts w:ascii="Cambria" w:hAnsi="Cambria"/>
          <w:sz w:val="20"/>
          <w:szCs w:val="20"/>
          <w:lang w:val="pt-BR"/>
        </w:rPr>
        <w:t xml:space="preserve"> na zona. Desta maneira, não se indagou precisamente sobre quais interesses </w:t>
      </w:r>
      <w:r w:rsidR="00C02E7F" w:rsidRPr="005D6E61">
        <w:rPr>
          <w:rFonts w:ascii="Cambria" w:hAnsi="Cambria"/>
          <w:sz w:val="20"/>
          <w:szCs w:val="20"/>
          <w:lang w:val="pt-BR"/>
        </w:rPr>
        <w:t xml:space="preserve">a senhora Alves </w:t>
      </w:r>
      <w:r w:rsidRPr="005D6E61">
        <w:rPr>
          <w:rFonts w:ascii="Cambria" w:hAnsi="Cambria"/>
          <w:sz w:val="20"/>
          <w:szCs w:val="20"/>
          <w:lang w:val="pt-BR"/>
        </w:rPr>
        <w:t xml:space="preserve">poderia </w:t>
      </w:r>
      <w:r w:rsidR="00C02E7F" w:rsidRPr="005D6E61">
        <w:rPr>
          <w:rFonts w:ascii="Cambria" w:hAnsi="Cambria"/>
          <w:sz w:val="20"/>
          <w:szCs w:val="20"/>
          <w:lang w:val="pt-BR"/>
        </w:rPr>
        <w:t>t</w:t>
      </w:r>
      <w:r w:rsidRPr="005D6E61">
        <w:rPr>
          <w:rFonts w:ascii="Cambria" w:hAnsi="Cambria"/>
          <w:sz w:val="20"/>
          <w:szCs w:val="20"/>
          <w:lang w:val="pt-BR"/>
        </w:rPr>
        <w:t xml:space="preserve">er afetado com suas atividades de defesa dos trabalhadores rurais, de forma que se pudessem </w:t>
      </w:r>
      <w:r w:rsidR="00C02E7F" w:rsidRPr="005D6E61">
        <w:rPr>
          <w:rFonts w:ascii="Cambria" w:hAnsi="Cambria"/>
          <w:sz w:val="20"/>
          <w:szCs w:val="20"/>
          <w:lang w:val="pt-BR"/>
        </w:rPr>
        <w:t>elabor</w:t>
      </w:r>
      <w:r w:rsidRPr="005D6E61">
        <w:rPr>
          <w:rFonts w:ascii="Cambria" w:hAnsi="Cambria"/>
          <w:sz w:val="20"/>
          <w:szCs w:val="20"/>
          <w:lang w:val="pt-BR"/>
        </w:rPr>
        <w:t>ar e esgotar linhas de investigação sobre a possível autoria intelectual que fossem co</w:t>
      </w:r>
      <w:r w:rsidR="00C02E7F" w:rsidRPr="005D6E61">
        <w:rPr>
          <w:rFonts w:ascii="Cambria" w:hAnsi="Cambria"/>
          <w:sz w:val="20"/>
          <w:szCs w:val="20"/>
          <w:lang w:val="pt-BR"/>
        </w:rPr>
        <w:t>er</w:t>
      </w:r>
      <w:r w:rsidRPr="005D6E61">
        <w:rPr>
          <w:rFonts w:ascii="Cambria" w:hAnsi="Cambria"/>
          <w:sz w:val="20"/>
          <w:szCs w:val="20"/>
          <w:lang w:val="pt-BR"/>
        </w:rPr>
        <w:t xml:space="preserve">entes com o contexto e com as atividades da defensora. </w:t>
      </w:r>
    </w:p>
    <w:p w14:paraId="60633781" w14:textId="77777777" w:rsidR="0074105E" w:rsidRPr="005D6E61" w:rsidRDefault="0074105E" w:rsidP="0074105E">
      <w:pPr>
        <w:pStyle w:val="ListParagraph"/>
        <w:rPr>
          <w:sz w:val="20"/>
          <w:szCs w:val="20"/>
          <w:lang w:val="pt-BR"/>
        </w:rPr>
      </w:pPr>
    </w:p>
    <w:p w14:paraId="595531CB" w14:textId="77777777" w:rsidR="0074105E" w:rsidRPr="005D6E61" w:rsidRDefault="00F80A76"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720"/>
        <w:jc w:val="both"/>
        <w:rPr>
          <w:rFonts w:ascii="Cambria" w:hAnsi="Cambria"/>
          <w:sz w:val="20"/>
          <w:szCs w:val="20"/>
          <w:lang w:val="pt-BR"/>
        </w:rPr>
      </w:pPr>
      <w:r w:rsidRPr="005D6E61">
        <w:rPr>
          <w:rFonts w:ascii="Cambria" w:hAnsi="Cambria"/>
          <w:sz w:val="20"/>
          <w:szCs w:val="20"/>
          <w:lang w:val="pt-BR"/>
        </w:rPr>
        <w:t>Além dess</w:t>
      </w:r>
      <w:r w:rsidR="0074105E" w:rsidRPr="005D6E61">
        <w:rPr>
          <w:rFonts w:ascii="Cambria" w:hAnsi="Cambria"/>
          <w:sz w:val="20"/>
          <w:szCs w:val="20"/>
          <w:lang w:val="pt-BR"/>
        </w:rPr>
        <w:t xml:space="preserve">a omissão geral, a Comissão observa que a possível participação de membros do Grupo da Várzea, incluindo Aguinaldo Veloso Borges, não foi investigada de maneira diligente e com profundidade. </w:t>
      </w:r>
      <w:r w:rsidR="005B2724" w:rsidRPr="005D6E61">
        <w:rPr>
          <w:rFonts w:ascii="Cambria" w:hAnsi="Cambria"/>
          <w:sz w:val="20"/>
          <w:szCs w:val="20"/>
          <w:lang w:val="pt-BR"/>
        </w:rPr>
        <w:t>Do</w:t>
      </w:r>
      <w:r w:rsidR="0074105E" w:rsidRPr="005D6E61">
        <w:rPr>
          <w:rFonts w:ascii="Cambria" w:hAnsi="Cambria"/>
          <w:sz w:val="20"/>
          <w:szCs w:val="20"/>
          <w:lang w:val="pt-BR"/>
        </w:rPr>
        <w:t xml:space="preserve"> </w:t>
      </w:r>
      <w:r w:rsidR="00C02E7F" w:rsidRPr="005D6E61">
        <w:rPr>
          <w:rFonts w:ascii="Cambria" w:hAnsi="Cambria"/>
          <w:sz w:val="20"/>
          <w:szCs w:val="20"/>
          <w:lang w:val="pt-BR"/>
        </w:rPr>
        <w:t>processo</w:t>
      </w:r>
      <w:r w:rsidR="0074105E" w:rsidRPr="005D6E61">
        <w:rPr>
          <w:rFonts w:ascii="Cambria" w:hAnsi="Cambria"/>
          <w:sz w:val="20"/>
          <w:szCs w:val="20"/>
          <w:lang w:val="pt-BR"/>
        </w:rPr>
        <w:t xml:space="preserve"> não se depr</w:t>
      </w:r>
      <w:r w:rsidR="00C02E7F" w:rsidRPr="005D6E61">
        <w:rPr>
          <w:rFonts w:ascii="Cambria" w:hAnsi="Cambria"/>
          <w:sz w:val="20"/>
          <w:szCs w:val="20"/>
          <w:lang w:val="pt-BR"/>
        </w:rPr>
        <w:t>e</w:t>
      </w:r>
      <w:r w:rsidR="0074105E" w:rsidRPr="005D6E61">
        <w:rPr>
          <w:rFonts w:ascii="Cambria" w:hAnsi="Cambria"/>
          <w:sz w:val="20"/>
          <w:szCs w:val="20"/>
          <w:lang w:val="pt-BR"/>
        </w:rPr>
        <w:t>ende uma investigação profunda sobre a existência deste grupo, sua formação, suas atividades e suas modalidades de atuação, de forma que ao menos parte da investigação estivesse dirigida a desentranhar estruturas de poder possivelmente vinculadas com o assassinato de Margarida Mar</w:t>
      </w:r>
      <w:r w:rsidR="00C02E7F" w:rsidRPr="005D6E61">
        <w:rPr>
          <w:rFonts w:ascii="Cambria" w:hAnsi="Cambria"/>
          <w:sz w:val="20"/>
          <w:szCs w:val="20"/>
          <w:lang w:val="pt-BR"/>
        </w:rPr>
        <w:t>i</w:t>
      </w:r>
      <w:r w:rsidR="0074105E" w:rsidRPr="005D6E61">
        <w:rPr>
          <w:rFonts w:ascii="Cambria" w:hAnsi="Cambria"/>
          <w:sz w:val="20"/>
          <w:szCs w:val="20"/>
          <w:lang w:val="pt-BR"/>
        </w:rPr>
        <w:t xml:space="preserve">a Alves, </w:t>
      </w:r>
      <w:r w:rsidR="00C02E7F" w:rsidRPr="005D6E61">
        <w:rPr>
          <w:rFonts w:ascii="Cambria" w:hAnsi="Cambria"/>
          <w:sz w:val="20"/>
          <w:szCs w:val="20"/>
          <w:lang w:val="pt-BR"/>
        </w:rPr>
        <w:t>apesar de</w:t>
      </w:r>
      <w:r w:rsidR="0074105E" w:rsidRPr="005D6E61">
        <w:rPr>
          <w:rFonts w:ascii="Cambria" w:hAnsi="Cambria"/>
          <w:sz w:val="20"/>
          <w:szCs w:val="20"/>
          <w:lang w:val="pt-BR"/>
        </w:rPr>
        <w:t xml:space="preserve"> existi</w:t>
      </w:r>
      <w:r w:rsidR="00C02E7F" w:rsidRPr="005D6E61">
        <w:rPr>
          <w:rFonts w:ascii="Cambria" w:hAnsi="Cambria"/>
          <w:sz w:val="20"/>
          <w:szCs w:val="20"/>
          <w:lang w:val="pt-BR"/>
        </w:rPr>
        <w:t>re</w:t>
      </w:r>
      <w:r w:rsidR="0074105E" w:rsidRPr="005D6E61">
        <w:rPr>
          <w:rFonts w:ascii="Cambria" w:hAnsi="Cambria"/>
          <w:sz w:val="20"/>
          <w:szCs w:val="20"/>
          <w:lang w:val="pt-BR"/>
        </w:rPr>
        <w:t xml:space="preserve">m diversos indícios a esse respeito.  </w:t>
      </w:r>
    </w:p>
    <w:p w14:paraId="34642219" w14:textId="77777777" w:rsidR="0074105E" w:rsidRPr="005D6E61" w:rsidRDefault="0074105E" w:rsidP="0074105E">
      <w:pPr>
        <w:pStyle w:val="ListParagraph"/>
        <w:rPr>
          <w:sz w:val="20"/>
          <w:szCs w:val="20"/>
          <w:lang w:val="pt-BR"/>
        </w:rPr>
      </w:pPr>
    </w:p>
    <w:p w14:paraId="007CDB66" w14:textId="77777777" w:rsidR="0074105E" w:rsidRPr="005D6E61" w:rsidRDefault="00F80A76"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720"/>
        <w:jc w:val="both"/>
        <w:rPr>
          <w:rFonts w:ascii="Cambria" w:hAnsi="Cambria"/>
          <w:sz w:val="20"/>
          <w:szCs w:val="20"/>
          <w:lang w:val="pt-BR"/>
        </w:rPr>
      </w:pPr>
      <w:r w:rsidRPr="005D6E61">
        <w:rPr>
          <w:rFonts w:ascii="Cambria" w:hAnsi="Cambria"/>
          <w:sz w:val="20"/>
          <w:szCs w:val="20"/>
          <w:lang w:val="pt-BR"/>
        </w:rPr>
        <w:t>A Comissão destaca que ess</w:t>
      </w:r>
      <w:r w:rsidR="0074105E" w:rsidRPr="005D6E61">
        <w:rPr>
          <w:rFonts w:ascii="Cambria" w:hAnsi="Cambria"/>
          <w:sz w:val="20"/>
          <w:szCs w:val="20"/>
          <w:lang w:val="pt-BR"/>
        </w:rPr>
        <w:t xml:space="preserve">e tipo de investigação era exigível não só pela </w:t>
      </w:r>
      <w:r w:rsidR="0091276F" w:rsidRPr="005D6E61">
        <w:rPr>
          <w:rFonts w:ascii="Cambria" w:hAnsi="Cambria"/>
          <w:sz w:val="20"/>
          <w:szCs w:val="20"/>
          <w:lang w:val="pt-BR"/>
        </w:rPr>
        <w:t>função</w:t>
      </w:r>
      <w:r w:rsidR="0074105E" w:rsidRPr="005D6E61">
        <w:rPr>
          <w:rFonts w:ascii="Cambria" w:hAnsi="Cambria"/>
          <w:sz w:val="20"/>
          <w:szCs w:val="20"/>
          <w:lang w:val="pt-BR"/>
        </w:rPr>
        <w:t xml:space="preserve"> de defensora de direitos humanos da senhora Alves, mas também porque surgiu o possível envolvimento de agentes estatais de diferentes níveis, desde um deputado federal </w:t>
      </w:r>
      <w:r w:rsidR="0091276F" w:rsidRPr="005D6E61">
        <w:rPr>
          <w:rFonts w:ascii="Cambria" w:hAnsi="Cambria"/>
          <w:sz w:val="20"/>
          <w:szCs w:val="20"/>
          <w:lang w:val="pt-BR"/>
        </w:rPr>
        <w:t>(</w:t>
      </w:r>
      <w:r w:rsidR="0074105E" w:rsidRPr="005D6E61">
        <w:rPr>
          <w:rFonts w:ascii="Cambria" w:hAnsi="Cambria"/>
          <w:sz w:val="20"/>
          <w:szCs w:val="20"/>
          <w:lang w:val="pt-BR"/>
        </w:rPr>
        <w:t>Aguinaldo Veloso Borges</w:t>
      </w:r>
      <w:r w:rsidR="0091276F" w:rsidRPr="005D6E61">
        <w:rPr>
          <w:rFonts w:ascii="Cambria" w:hAnsi="Cambria"/>
          <w:sz w:val="20"/>
          <w:szCs w:val="20"/>
          <w:lang w:val="pt-BR"/>
        </w:rPr>
        <w:t>)</w:t>
      </w:r>
      <w:r w:rsidR="000622BC" w:rsidRPr="005D6E61">
        <w:rPr>
          <w:rFonts w:ascii="Cambria" w:hAnsi="Cambria"/>
          <w:sz w:val="20"/>
          <w:szCs w:val="20"/>
          <w:lang w:val="pt-BR"/>
        </w:rPr>
        <w:t xml:space="preserve"> a</w:t>
      </w:r>
      <w:r w:rsidR="0074105E" w:rsidRPr="005D6E61">
        <w:rPr>
          <w:rFonts w:ascii="Cambria" w:hAnsi="Cambria"/>
          <w:sz w:val="20"/>
          <w:szCs w:val="20"/>
          <w:lang w:val="pt-BR"/>
        </w:rPr>
        <w:t xml:space="preserve"> um soldado </w:t>
      </w:r>
      <w:r w:rsidR="0091276F" w:rsidRPr="005D6E61">
        <w:rPr>
          <w:rFonts w:ascii="Cambria" w:hAnsi="Cambria"/>
          <w:sz w:val="20"/>
          <w:szCs w:val="20"/>
          <w:lang w:val="pt-BR"/>
        </w:rPr>
        <w:t>(</w:t>
      </w:r>
      <w:r w:rsidR="0074105E" w:rsidRPr="005D6E61">
        <w:rPr>
          <w:rFonts w:ascii="Cambria" w:hAnsi="Cambria"/>
          <w:sz w:val="20"/>
          <w:szCs w:val="20"/>
          <w:lang w:val="pt-BR"/>
        </w:rPr>
        <w:t>Betâneo Carneiro</w:t>
      </w:r>
      <w:r w:rsidR="0091276F" w:rsidRPr="005D6E61">
        <w:rPr>
          <w:rFonts w:ascii="Cambria" w:hAnsi="Cambria"/>
          <w:sz w:val="20"/>
          <w:szCs w:val="20"/>
          <w:lang w:val="pt-BR"/>
        </w:rPr>
        <w:t>)</w:t>
      </w:r>
      <w:r w:rsidR="0074105E" w:rsidRPr="005D6E61">
        <w:rPr>
          <w:rFonts w:ascii="Cambria" w:hAnsi="Cambria"/>
          <w:sz w:val="20"/>
          <w:szCs w:val="20"/>
          <w:lang w:val="pt-BR"/>
        </w:rPr>
        <w:t xml:space="preserve"> e um sargento </w:t>
      </w:r>
      <w:r w:rsidR="0091276F" w:rsidRPr="005D6E61">
        <w:rPr>
          <w:rFonts w:ascii="Cambria" w:hAnsi="Cambria"/>
          <w:sz w:val="20"/>
          <w:szCs w:val="20"/>
          <w:lang w:val="pt-BR"/>
        </w:rPr>
        <w:t>(</w:t>
      </w:r>
      <w:r w:rsidR="0074105E" w:rsidRPr="005D6E61">
        <w:rPr>
          <w:rFonts w:ascii="Cambria" w:hAnsi="Cambria"/>
          <w:sz w:val="20"/>
          <w:szCs w:val="20"/>
          <w:lang w:val="pt-BR"/>
        </w:rPr>
        <w:t>Aldenis Cunha Lima</w:t>
      </w:r>
      <w:r w:rsidR="0091276F" w:rsidRPr="005D6E61">
        <w:rPr>
          <w:rFonts w:ascii="Cambria" w:hAnsi="Cambria"/>
          <w:sz w:val="20"/>
          <w:szCs w:val="20"/>
          <w:lang w:val="pt-BR"/>
        </w:rPr>
        <w:t>)</w:t>
      </w:r>
      <w:r w:rsidR="0074105E" w:rsidRPr="005D6E61">
        <w:rPr>
          <w:rFonts w:ascii="Cambria" w:hAnsi="Cambria"/>
          <w:sz w:val="20"/>
          <w:szCs w:val="20"/>
          <w:lang w:val="pt-BR"/>
        </w:rPr>
        <w:t xml:space="preserve">. </w:t>
      </w:r>
    </w:p>
    <w:p w14:paraId="50F98204"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jc w:val="both"/>
        <w:rPr>
          <w:rFonts w:ascii="Cambria" w:hAnsi="Cambria"/>
          <w:sz w:val="20"/>
          <w:szCs w:val="20"/>
          <w:lang w:val="pt-BR"/>
        </w:rPr>
      </w:pPr>
    </w:p>
    <w:p w14:paraId="0EFDA282"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720"/>
        <w:jc w:val="both"/>
        <w:rPr>
          <w:rFonts w:ascii="Cambria" w:hAnsi="Cambria"/>
          <w:sz w:val="20"/>
          <w:szCs w:val="20"/>
          <w:lang w:val="pt-BR"/>
        </w:rPr>
      </w:pPr>
      <w:r w:rsidRPr="005D6E61">
        <w:rPr>
          <w:rFonts w:ascii="Cambria" w:hAnsi="Cambria"/>
          <w:sz w:val="20"/>
          <w:szCs w:val="20"/>
          <w:lang w:val="pt-BR"/>
        </w:rPr>
        <w:t>Q</w:t>
      </w:r>
      <w:r w:rsidR="0091276F" w:rsidRPr="005D6E61">
        <w:rPr>
          <w:rFonts w:ascii="Cambria" w:hAnsi="Cambria"/>
          <w:sz w:val="20"/>
          <w:szCs w:val="20"/>
          <w:lang w:val="pt-BR"/>
        </w:rPr>
        <w:t>uanto a Aguinaldo Veloso Borges,</w:t>
      </w:r>
      <w:r w:rsidRPr="005D6E61">
        <w:rPr>
          <w:rFonts w:ascii="Cambria" w:hAnsi="Cambria"/>
          <w:sz w:val="20"/>
          <w:szCs w:val="20"/>
          <w:lang w:val="pt-BR"/>
        </w:rPr>
        <w:t xml:space="preserve"> apesar de seu nome ter surgido desde o início, </w:t>
      </w:r>
      <w:r w:rsidR="0091276F" w:rsidRPr="005D6E61">
        <w:rPr>
          <w:rFonts w:ascii="Cambria" w:hAnsi="Cambria"/>
          <w:sz w:val="20"/>
          <w:szCs w:val="20"/>
          <w:lang w:val="pt-BR"/>
        </w:rPr>
        <w:t>somente em</w:t>
      </w:r>
      <w:r w:rsidRPr="005D6E61">
        <w:rPr>
          <w:rFonts w:ascii="Cambria" w:hAnsi="Cambria"/>
          <w:sz w:val="20"/>
          <w:szCs w:val="20"/>
          <w:lang w:val="pt-BR"/>
        </w:rPr>
        <w:t xml:space="preserve"> 1991</w:t>
      </w:r>
      <w:r w:rsidR="0091276F" w:rsidRPr="005D6E61">
        <w:rPr>
          <w:rFonts w:ascii="Cambria" w:hAnsi="Cambria"/>
          <w:sz w:val="20"/>
          <w:szCs w:val="20"/>
          <w:lang w:val="pt-BR"/>
        </w:rPr>
        <w:t>,</w:t>
      </w:r>
      <w:r w:rsidRPr="005D6E61">
        <w:rPr>
          <w:rFonts w:ascii="Cambria" w:hAnsi="Cambria"/>
          <w:sz w:val="20"/>
          <w:szCs w:val="20"/>
          <w:lang w:val="pt-BR"/>
        </w:rPr>
        <w:t xml:space="preserve"> através de uma investigação</w:t>
      </w:r>
      <w:r w:rsidR="0091276F" w:rsidRPr="005D6E61">
        <w:rPr>
          <w:rFonts w:ascii="Cambria" w:hAnsi="Cambria"/>
          <w:sz w:val="20"/>
          <w:szCs w:val="20"/>
          <w:lang w:val="pt-BR"/>
        </w:rPr>
        <w:t>,</w:t>
      </w:r>
      <w:r w:rsidRPr="005D6E61">
        <w:rPr>
          <w:rFonts w:ascii="Cambria" w:hAnsi="Cambria"/>
          <w:sz w:val="20"/>
          <w:szCs w:val="20"/>
          <w:lang w:val="pt-BR"/>
        </w:rPr>
        <w:t xml:space="preserve"> concluiu-se sua participação nos atos, isto é, mais de 7 anos depois e quando o suposto responsável já havia falecido. Sobre este ponto, a CIDH nota que o Conselho de Defesa dos Direitos da Pessoa Humana do Ministério da Justiça do Brasil</w:t>
      </w:r>
      <w:r w:rsidR="0091276F" w:rsidRPr="005D6E61">
        <w:rPr>
          <w:rFonts w:ascii="Cambria" w:hAnsi="Cambria"/>
          <w:sz w:val="20"/>
          <w:szCs w:val="20"/>
          <w:lang w:val="pt-BR"/>
        </w:rPr>
        <w:t>,</w:t>
      </w:r>
      <w:r w:rsidRPr="005D6E61">
        <w:rPr>
          <w:rFonts w:ascii="Cambria" w:hAnsi="Cambria"/>
          <w:sz w:val="20"/>
          <w:szCs w:val="20"/>
          <w:lang w:val="pt-BR"/>
        </w:rPr>
        <w:t xml:space="preserve"> que fez o acompanhamento do processo, indicou que a versão popular sobre o homicídio </w:t>
      </w:r>
      <w:r w:rsidR="0091276F" w:rsidRPr="005D6E61">
        <w:rPr>
          <w:rFonts w:ascii="Cambria" w:hAnsi="Cambria"/>
          <w:sz w:val="20"/>
          <w:szCs w:val="20"/>
          <w:lang w:val="pt-BR"/>
        </w:rPr>
        <w:t>con</w:t>
      </w:r>
      <w:r w:rsidRPr="005D6E61">
        <w:rPr>
          <w:rFonts w:ascii="Cambria" w:hAnsi="Cambria"/>
          <w:sz w:val="20"/>
          <w:szCs w:val="20"/>
          <w:lang w:val="pt-BR"/>
        </w:rPr>
        <w:t>centrad</w:t>
      </w:r>
      <w:r w:rsidR="0091276F" w:rsidRPr="005D6E61">
        <w:rPr>
          <w:rFonts w:ascii="Cambria" w:hAnsi="Cambria"/>
          <w:sz w:val="20"/>
          <w:szCs w:val="20"/>
          <w:lang w:val="pt-BR"/>
        </w:rPr>
        <w:t>a</w:t>
      </w:r>
      <w:r w:rsidRPr="005D6E61">
        <w:rPr>
          <w:rFonts w:ascii="Cambria" w:hAnsi="Cambria"/>
          <w:sz w:val="20"/>
          <w:szCs w:val="20"/>
          <w:lang w:val="pt-BR"/>
        </w:rPr>
        <w:t xml:space="preserve"> em Aguinaldo Veloso Borges não se refletiu na instrução criminal. Quanto ao soldado e ao sargento, a Comissão observa que o primeiro foi beneficiado pela figura da prescrição sem que sua possível responsabilidade fosse investigada diligentemente; e o segundo foi assassinado, existindo elementos que </w:t>
      </w:r>
      <w:r w:rsidR="0091276F" w:rsidRPr="005D6E61">
        <w:rPr>
          <w:rFonts w:ascii="Cambria" w:hAnsi="Cambria"/>
          <w:sz w:val="20"/>
          <w:szCs w:val="20"/>
          <w:lang w:val="pt-BR"/>
        </w:rPr>
        <w:t>indic</w:t>
      </w:r>
      <w:r w:rsidRPr="005D6E61">
        <w:rPr>
          <w:rFonts w:ascii="Cambria" w:hAnsi="Cambria"/>
          <w:sz w:val="20"/>
          <w:szCs w:val="20"/>
          <w:lang w:val="pt-BR"/>
        </w:rPr>
        <w:t xml:space="preserve">ariam que isso se deveu ao </w:t>
      </w:r>
      <w:r w:rsidR="0091276F" w:rsidRPr="005D6E61">
        <w:rPr>
          <w:rFonts w:ascii="Cambria" w:hAnsi="Cambria"/>
          <w:sz w:val="20"/>
          <w:szCs w:val="20"/>
          <w:lang w:val="pt-BR"/>
        </w:rPr>
        <w:t xml:space="preserve">fato de </w:t>
      </w:r>
      <w:r w:rsidRPr="005D6E61">
        <w:rPr>
          <w:rFonts w:ascii="Cambria" w:hAnsi="Cambria"/>
          <w:sz w:val="20"/>
          <w:szCs w:val="20"/>
          <w:lang w:val="pt-BR"/>
        </w:rPr>
        <w:t xml:space="preserve">que havia falado sobre o </w:t>
      </w:r>
      <w:r w:rsidR="0091276F" w:rsidRPr="005D6E61">
        <w:rPr>
          <w:rFonts w:ascii="Cambria" w:hAnsi="Cambria"/>
          <w:sz w:val="20"/>
          <w:szCs w:val="20"/>
          <w:lang w:val="pt-BR"/>
        </w:rPr>
        <w:t>que acont</w:t>
      </w:r>
      <w:r w:rsidRPr="005D6E61">
        <w:rPr>
          <w:rFonts w:ascii="Cambria" w:hAnsi="Cambria"/>
          <w:sz w:val="20"/>
          <w:szCs w:val="20"/>
          <w:lang w:val="pt-BR"/>
        </w:rPr>
        <w:t>e</w:t>
      </w:r>
      <w:r w:rsidR="0091276F" w:rsidRPr="005D6E61">
        <w:rPr>
          <w:rFonts w:ascii="Cambria" w:hAnsi="Cambria"/>
          <w:sz w:val="20"/>
          <w:szCs w:val="20"/>
          <w:lang w:val="pt-BR"/>
        </w:rPr>
        <w:t>ceu</w:t>
      </w:r>
      <w:r w:rsidRPr="005D6E61">
        <w:rPr>
          <w:rFonts w:ascii="Cambria" w:hAnsi="Cambria"/>
          <w:sz w:val="20"/>
          <w:szCs w:val="20"/>
          <w:lang w:val="pt-BR"/>
        </w:rPr>
        <w:t xml:space="preserve"> a Margarida Maria Alves. </w:t>
      </w:r>
    </w:p>
    <w:p w14:paraId="33500602"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ind w:left="720"/>
        <w:jc w:val="both"/>
        <w:rPr>
          <w:rFonts w:ascii="Cambria" w:hAnsi="Cambria"/>
          <w:sz w:val="20"/>
          <w:szCs w:val="20"/>
          <w:lang w:val="pt-BR"/>
        </w:rPr>
      </w:pPr>
    </w:p>
    <w:p w14:paraId="200337B8"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720"/>
        <w:jc w:val="both"/>
        <w:rPr>
          <w:rFonts w:ascii="Cambria" w:hAnsi="Cambria"/>
          <w:sz w:val="20"/>
          <w:szCs w:val="20"/>
          <w:lang w:val="pt-BR"/>
        </w:rPr>
      </w:pPr>
      <w:r w:rsidRPr="005D6E61">
        <w:rPr>
          <w:rFonts w:ascii="Cambria" w:hAnsi="Cambria"/>
          <w:sz w:val="20"/>
          <w:szCs w:val="20"/>
          <w:lang w:val="pt-BR"/>
        </w:rPr>
        <w:lastRenderedPageBreak/>
        <w:t xml:space="preserve">Em suma, a Comissão </w:t>
      </w:r>
      <w:r w:rsidR="0091276F" w:rsidRPr="005D6E61">
        <w:rPr>
          <w:rFonts w:ascii="Cambria" w:hAnsi="Cambria"/>
          <w:sz w:val="20"/>
          <w:szCs w:val="20"/>
          <w:lang w:val="pt-BR"/>
        </w:rPr>
        <w:t>consider</w:t>
      </w:r>
      <w:r w:rsidRPr="005D6E61">
        <w:rPr>
          <w:rFonts w:ascii="Cambria" w:hAnsi="Cambria"/>
          <w:sz w:val="20"/>
          <w:szCs w:val="20"/>
          <w:lang w:val="pt-BR"/>
        </w:rPr>
        <w:t xml:space="preserve">a que o Estado não investigou diligentemente as possíveis autorias intelectuais do assassinato, </w:t>
      </w:r>
      <w:r w:rsidR="000622BC" w:rsidRPr="005D6E61">
        <w:rPr>
          <w:rFonts w:ascii="Cambria" w:hAnsi="Cambria"/>
          <w:sz w:val="20"/>
          <w:szCs w:val="20"/>
          <w:lang w:val="pt-BR"/>
        </w:rPr>
        <w:t>inclusive</w:t>
      </w:r>
      <w:r w:rsidRPr="005D6E61">
        <w:rPr>
          <w:rFonts w:ascii="Cambria" w:hAnsi="Cambria"/>
          <w:sz w:val="20"/>
          <w:szCs w:val="20"/>
          <w:lang w:val="pt-BR"/>
        </w:rPr>
        <w:t xml:space="preserve"> as atividades realizadas pela senhora Alves e os possíveis interesses envolvidos, as estruturas de poder associadas ao </w:t>
      </w:r>
      <w:r w:rsidR="0091276F" w:rsidRPr="005D6E61">
        <w:rPr>
          <w:rFonts w:ascii="Cambria" w:hAnsi="Cambria"/>
          <w:sz w:val="20"/>
          <w:szCs w:val="20"/>
          <w:lang w:val="pt-BR"/>
        </w:rPr>
        <w:t>G</w:t>
      </w:r>
      <w:r w:rsidRPr="005D6E61">
        <w:rPr>
          <w:rFonts w:ascii="Cambria" w:hAnsi="Cambria"/>
          <w:sz w:val="20"/>
          <w:szCs w:val="20"/>
          <w:lang w:val="pt-BR"/>
        </w:rPr>
        <w:t>rupo da Várzea</w:t>
      </w:r>
      <w:r w:rsidR="0091276F" w:rsidRPr="005D6E61">
        <w:rPr>
          <w:rFonts w:ascii="Cambria" w:hAnsi="Cambria"/>
          <w:sz w:val="20"/>
          <w:szCs w:val="20"/>
          <w:lang w:val="pt-BR"/>
        </w:rPr>
        <w:t xml:space="preserve"> e</w:t>
      </w:r>
      <w:r w:rsidRPr="005D6E61">
        <w:rPr>
          <w:rFonts w:ascii="Cambria" w:hAnsi="Cambria"/>
          <w:sz w:val="20"/>
          <w:szCs w:val="20"/>
          <w:lang w:val="pt-BR"/>
        </w:rPr>
        <w:t xml:space="preserve"> a possível participação de agentes estatais. </w:t>
      </w:r>
    </w:p>
    <w:p w14:paraId="367D6224"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jc w:val="both"/>
        <w:rPr>
          <w:rFonts w:ascii="Cambria" w:hAnsi="Cambria"/>
          <w:sz w:val="20"/>
          <w:szCs w:val="20"/>
          <w:lang w:val="pt-BR"/>
        </w:rPr>
      </w:pPr>
    </w:p>
    <w:p w14:paraId="032ABFD2"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720"/>
        <w:jc w:val="both"/>
        <w:rPr>
          <w:rFonts w:ascii="Cambria" w:hAnsi="Cambria"/>
          <w:sz w:val="20"/>
          <w:szCs w:val="20"/>
          <w:lang w:val="pt-BR"/>
        </w:rPr>
      </w:pPr>
      <w:r w:rsidRPr="005D6E61">
        <w:rPr>
          <w:rFonts w:ascii="Cambria" w:hAnsi="Cambria"/>
          <w:sz w:val="20"/>
          <w:szCs w:val="20"/>
          <w:lang w:val="pt-BR"/>
        </w:rPr>
        <w:t>Em segundo lugar</w:t>
      </w:r>
      <w:r w:rsidR="0091276F" w:rsidRPr="005D6E61">
        <w:rPr>
          <w:rFonts w:ascii="Cambria" w:hAnsi="Cambria"/>
          <w:sz w:val="20"/>
          <w:szCs w:val="20"/>
          <w:lang w:val="pt-BR"/>
        </w:rPr>
        <w:t>,</w:t>
      </w:r>
      <w:r w:rsidRPr="005D6E61">
        <w:rPr>
          <w:rFonts w:ascii="Cambria" w:hAnsi="Cambria"/>
          <w:sz w:val="20"/>
          <w:szCs w:val="20"/>
          <w:lang w:val="pt-BR"/>
        </w:rPr>
        <w:t xml:space="preserve"> a respeito da autoria material, </w:t>
      </w:r>
      <w:r w:rsidR="0091276F" w:rsidRPr="005D6E61">
        <w:rPr>
          <w:rFonts w:ascii="Cambria" w:hAnsi="Cambria"/>
          <w:sz w:val="20"/>
          <w:szCs w:val="20"/>
          <w:lang w:val="pt-BR"/>
        </w:rPr>
        <w:t>o</w:t>
      </w:r>
      <w:r w:rsidRPr="005D6E61">
        <w:rPr>
          <w:rFonts w:ascii="Cambria" w:hAnsi="Cambria"/>
          <w:sz w:val="20"/>
          <w:szCs w:val="20"/>
          <w:lang w:val="pt-BR"/>
        </w:rPr>
        <w:t xml:space="preserve"> in</w:t>
      </w:r>
      <w:r w:rsidR="0091276F" w:rsidRPr="005D6E61">
        <w:rPr>
          <w:rFonts w:ascii="Cambria" w:hAnsi="Cambria"/>
          <w:sz w:val="20"/>
          <w:szCs w:val="20"/>
          <w:lang w:val="pt-BR"/>
        </w:rPr>
        <w:t>quérito</w:t>
      </w:r>
      <w:r w:rsidRPr="005D6E61">
        <w:rPr>
          <w:rFonts w:ascii="Cambria" w:hAnsi="Cambria"/>
          <w:sz w:val="20"/>
          <w:szCs w:val="20"/>
          <w:lang w:val="pt-BR"/>
        </w:rPr>
        <w:t xml:space="preserve"> policial concluiu em 1983 que os autores materiais do </w:t>
      </w:r>
      <w:r w:rsidR="0091276F" w:rsidRPr="005D6E61">
        <w:rPr>
          <w:rFonts w:ascii="Cambria" w:hAnsi="Cambria"/>
          <w:sz w:val="20"/>
          <w:szCs w:val="20"/>
          <w:lang w:val="pt-BR"/>
        </w:rPr>
        <w:t>crime</w:t>
      </w:r>
      <w:r w:rsidRPr="005D6E61">
        <w:rPr>
          <w:rFonts w:ascii="Cambria" w:hAnsi="Cambria"/>
          <w:sz w:val="20"/>
          <w:szCs w:val="20"/>
          <w:lang w:val="pt-BR"/>
        </w:rPr>
        <w:t xml:space="preserve"> eram Amauri José do Rego, Amaro José do Rego e Ant</w:t>
      </w:r>
      <w:r w:rsidR="0091276F" w:rsidRPr="005D6E61">
        <w:rPr>
          <w:rFonts w:ascii="Cambria" w:hAnsi="Cambria"/>
          <w:sz w:val="20"/>
          <w:szCs w:val="20"/>
          <w:lang w:val="pt-BR"/>
        </w:rPr>
        <w:t>ô</w:t>
      </w:r>
      <w:r w:rsidRPr="005D6E61">
        <w:rPr>
          <w:rFonts w:ascii="Cambria" w:hAnsi="Cambria"/>
          <w:sz w:val="20"/>
          <w:szCs w:val="20"/>
          <w:lang w:val="pt-BR"/>
        </w:rPr>
        <w:t xml:space="preserve">nio de Almeida Regis. A respeito dos </w:t>
      </w:r>
      <w:r w:rsidR="0091276F" w:rsidRPr="005D6E61">
        <w:rPr>
          <w:rFonts w:ascii="Cambria" w:hAnsi="Cambria"/>
          <w:sz w:val="20"/>
          <w:szCs w:val="20"/>
          <w:lang w:val="pt-BR"/>
        </w:rPr>
        <w:t xml:space="preserve">dois </w:t>
      </w:r>
      <w:r w:rsidRPr="005D6E61">
        <w:rPr>
          <w:rFonts w:ascii="Cambria" w:hAnsi="Cambria"/>
          <w:sz w:val="20"/>
          <w:szCs w:val="20"/>
          <w:lang w:val="pt-BR"/>
        </w:rPr>
        <w:t xml:space="preserve">primeiros, dado que fugiram, suspendeu-se a investigação contra </w:t>
      </w:r>
      <w:r w:rsidR="008F4D6F" w:rsidRPr="005D6E61">
        <w:rPr>
          <w:rFonts w:ascii="Cambria" w:hAnsi="Cambria"/>
          <w:sz w:val="20"/>
          <w:szCs w:val="20"/>
          <w:lang w:val="pt-BR"/>
        </w:rPr>
        <w:t>eles</w:t>
      </w:r>
      <w:r w:rsidRPr="005D6E61">
        <w:rPr>
          <w:rFonts w:ascii="Cambria" w:hAnsi="Cambria"/>
          <w:sz w:val="20"/>
          <w:szCs w:val="20"/>
          <w:lang w:val="pt-BR"/>
        </w:rPr>
        <w:t xml:space="preserve"> e em 2009 foram favorecidos com a prescrição. A esse respeito, a CIDH ressalta que</w:t>
      </w:r>
      <w:r w:rsidR="0091276F" w:rsidRPr="005D6E61">
        <w:rPr>
          <w:rFonts w:ascii="Cambria" w:hAnsi="Cambria"/>
          <w:sz w:val="20"/>
          <w:szCs w:val="20"/>
          <w:lang w:val="pt-BR"/>
        </w:rPr>
        <w:t xml:space="preserve">, embora </w:t>
      </w:r>
      <w:r w:rsidRPr="005D6E61">
        <w:rPr>
          <w:rFonts w:ascii="Cambria" w:hAnsi="Cambria"/>
          <w:sz w:val="20"/>
          <w:szCs w:val="20"/>
          <w:lang w:val="pt-BR"/>
        </w:rPr>
        <w:t xml:space="preserve">o Estado </w:t>
      </w:r>
      <w:r w:rsidR="0091276F" w:rsidRPr="005D6E61">
        <w:rPr>
          <w:rFonts w:ascii="Cambria" w:hAnsi="Cambria"/>
          <w:sz w:val="20"/>
          <w:szCs w:val="20"/>
          <w:lang w:val="pt-BR"/>
        </w:rPr>
        <w:t>tenha emitido</w:t>
      </w:r>
      <w:r w:rsidRPr="005D6E61">
        <w:rPr>
          <w:rFonts w:ascii="Cambria" w:hAnsi="Cambria"/>
          <w:sz w:val="20"/>
          <w:szCs w:val="20"/>
          <w:lang w:val="pt-BR"/>
        </w:rPr>
        <w:t xml:space="preserve"> diversas ordens de detenção e efetu</w:t>
      </w:r>
      <w:r w:rsidR="0091276F" w:rsidRPr="005D6E61">
        <w:rPr>
          <w:rFonts w:ascii="Cambria" w:hAnsi="Cambria"/>
          <w:sz w:val="20"/>
          <w:szCs w:val="20"/>
          <w:lang w:val="pt-BR"/>
        </w:rPr>
        <w:t>ado</w:t>
      </w:r>
      <w:r w:rsidRPr="005D6E61">
        <w:rPr>
          <w:rFonts w:ascii="Cambria" w:hAnsi="Cambria"/>
          <w:sz w:val="20"/>
          <w:szCs w:val="20"/>
          <w:lang w:val="pt-BR"/>
        </w:rPr>
        <w:t xml:space="preserve"> </w:t>
      </w:r>
      <w:r w:rsidR="0091276F" w:rsidRPr="005D6E61">
        <w:rPr>
          <w:rFonts w:ascii="Cambria" w:hAnsi="Cambria"/>
          <w:sz w:val="20"/>
          <w:szCs w:val="20"/>
          <w:lang w:val="pt-BR"/>
        </w:rPr>
        <w:t>pedidos</w:t>
      </w:r>
      <w:r w:rsidRPr="005D6E61">
        <w:rPr>
          <w:rFonts w:ascii="Cambria" w:hAnsi="Cambria"/>
          <w:sz w:val="20"/>
          <w:szCs w:val="20"/>
          <w:lang w:val="pt-BR"/>
        </w:rPr>
        <w:t xml:space="preserve"> de informação, em 1995 o Juiz da Comarca de Alagoa Grande ressaltou que suas ordens de detenção não foram renovadas por mais de 10 anos desde 1985, o que </w:t>
      </w:r>
      <w:r w:rsidR="00D1606D" w:rsidRPr="005D6E61">
        <w:rPr>
          <w:rFonts w:ascii="Cambria" w:hAnsi="Cambria"/>
          <w:sz w:val="20"/>
          <w:szCs w:val="20"/>
          <w:lang w:val="pt-BR"/>
        </w:rPr>
        <w:t>era</w:t>
      </w:r>
      <w:r w:rsidRPr="005D6E61">
        <w:rPr>
          <w:rFonts w:ascii="Cambria" w:hAnsi="Cambria"/>
          <w:sz w:val="20"/>
          <w:szCs w:val="20"/>
          <w:lang w:val="pt-BR"/>
        </w:rPr>
        <w:t xml:space="preserve"> “inadmissível” porque as mesmas devem ser renovadas anualmente. Da informação disponível não se depr</w:t>
      </w:r>
      <w:r w:rsidR="0091276F" w:rsidRPr="005D6E61">
        <w:rPr>
          <w:rFonts w:ascii="Cambria" w:hAnsi="Cambria"/>
          <w:sz w:val="20"/>
          <w:szCs w:val="20"/>
          <w:lang w:val="pt-BR"/>
        </w:rPr>
        <w:t>e</w:t>
      </w:r>
      <w:r w:rsidRPr="005D6E61">
        <w:rPr>
          <w:rFonts w:ascii="Cambria" w:hAnsi="Cambria"/>
          <w:sz w:val="20"/>
          <w:szCs w:val="20"/>
          <w:lang w:val="pt-BR"/>
        </w:rPr>
        <w:t>ende que entre 1983 e 2009</w:t>
      </w:r>
      <w:r w:rsidR="0091276F" w:rsidRPr="005D6E61">
        <w:rPr>
          <w:rFonts w:ascii="Cambria" w:hAnsi="Cambria"/>
          <w:sz w:val="20"/>
          <w:szCs w:val="20"/>
          <w:lang w:val="pt-BR"/>
        </w:rPr>
        <w:t>,</w:t>
      </w:r>
      <w:r w:rsidRPr="005D6E61">
        <w:rPr>
          <w:rFonts w:ascii="Cambria" w:hAnsi="Cambria"/>
          <w:sz w:val="20"/>
          <w:szCs w:val="20"/>
          <w:lang w:val="pt-BR"/>
        </w:rPr>
        <w:t xml:space="preserve"> quando foi declarada a prescrição, o Estado adotou, com a devida diligência, todas as medidas sérias ou concretas para </w:t>
      </w:r>
      <w:r w:rsidR="0091276F" w:rsidRPr="005D6E61">
        <w:rPr>
          <w:rFonts w:ascii="Cambria" w:hAnsi="Cambria"/>
          <w:sz w:val="20"/>
          <w:szCs w:val="20"/>
          <w:lang w:val="pt-BR"/>
        </w:rPr>
        <w:t>descobrir</w:t>
      </w:r>
      <w:r w:rsidRPr="005D6E61">
        <w:rPr>
          <w:rFonts w:ascii="Cambria" w:hAnsi="Cambria"/>
          <w:sz w:val="20"/>
          <w:szCs w:val="20"/>
          <w:lang w:val="pt-BR"/>
        </w:rPr>
        <w:t xml:space="preserve"> o paradeiro dos supostos autores materiais. </w:t>
      </w:r>
    </w:p>
    <w:p w14:paraId="1A0D8C5F"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jc w:val="both"/>
        <w:rPr>
          <w:rFonts w:ascii="Cambria" w:hAnsi="Cambria"/>
          <w:sz w:val="20"/>
          <w:szCs w:val="20"/>
          <w:lang w:val="pt-BR"/>
        </w:rPr>
      </w:pPr>
    </w:p>
    <w:p w14:paraId="14CECB05"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A Comissão </w:t>
      </w:r>
      <w:r w:rsidR="0091276F" w:rsidRPr="005D6E61">
        <w:rPr>
          <w:rFonts w:ascii="Cambria" w:hAnsi="Cambria"/>
          <w:sz w:val="20"/>
          <w:szCs w:val="20"/>
          <w:lang w:val="pt-BR"/>
        </w:rPr>
        <w:t>consider</w:t>
      </w:r>
      <w:r w:rsidRPr="005D6E61">
        <w:rPr>
          <w:rFonts w:ascii="Cambria" w:hAnsi="Cambria"/>
          <w:sz w:val="20"/>
          <w:szCs w:val="20"/>
          <w:lang w:val="pt-BR"/>
        </w:rPr>
        <w:t>a que a prescrição tem por objetivo garantir a segurança jurídica e impor limites tempor</w:t>
      </w:r>
      <w:r w:rsidR="0091276F" w:rsidRPr="005D6E61">
        <w:rPr>
          <w:rFonts w:ascii="Cambria" w:hAnsi="Cambria"/>
          <w:sz w:val="20"/>
          <w:szCs w:val="20"/>
          <w:lang w:val="pt-BR"/>
        </w:rPr>
        <w:t>ais</w:t>
      </w:r>
      <w:r w:rsidRPr="005D6E61">
        <w:rPr>
          <w:rFonts w:ascii="Cambria" w:hAnsi="Cambria"/>
          <w:sz w:val="20"/>
          <w:szCs w:val="20"/>
          <w:lang w:val="pt-BR"/>
        </w:rPr>
        <w:t xml:space="preserve"> ao poder punitivo do Estado</w:t>
      </w:r>
      <w:r w:rsidR="0091276F" w:rsidRPr="005D6E61">
        <w:rPr>
          <w:rFonts w:ascii="Cambria" w:hAnsi="Cambria"/>
          <w:sz w:val="20"/>
          <w:szCs w:val="20"/>
          <w:lang w:val="pt-BR"/>
        </w:rPr>
        <w:t>;</w:t>
      </w:r>
      <w:r w:rsidRPr="005D6E61">
        <w:rPr>
          <w:rFonts w:ascii="Cambria" w:hAnsi="Cambria"/>
          <w:sz w:val="20"/>
          <w:szCs w:val="20"/>
          <w:lang w:val="pt-BR"/>
        </w:rPr>
        <w:t xml:space="preserve"> porém</w:t>
      </w:r>
      <w:r w:rsidR="0091276F" w:rsidRPr="005D6E61">
        <w:rPr>
          <w:rFonts w:ascii="Cambria" w:hAnsi="Cambria"/>
          <w:sz w:val="20"/>
          <w:szCs w:val="20"/>
          <w:lang w:val="pt-BR"/>
        </w:rPr>
        <w:t>,</w:t>
      </w:r>
      <w:r w:rsidRPr="005D6E61">
        <w:rPr>
          <w:rFonts w:ascii="Cambria" w:hAnsi="Cambria"/>
          <w:sz w:val="20"/>
          <w:szCs w:val="20"/>
          <w:lang w:val="pt-BR"/>
        </w:rPr>
        <w:t xml:space="preserve"> se um Estado não realiza gestões diligentes para </w:t>
      </w:r>
      <w:r w:rsidR="0091276F" w:rsidRPr="005D6E61">
        <w:rPr>
          <w:rFonts w:ascii="Cambria" w:hAnsi="Cambria"/>
          <w:sz w:val="20"/>
          <w:szCs w:val="20"/>
          <w:lang w:val="pt-BR"/>
        </w:rPr>
        <w:t>descobrir</w:t>
      </w:r>
      <w:r w:rsidRPr="005D6E61">
        <w:rPr>
          <w:rFonts w:ascii="Cambria" w:hAnsi="Cambria"/>
          <w:sz w:val="20"/>
          <w:szCs w:val="20"/>
          <w:lang w:val="pt-BR"/>
        </w:rPr>
        <w:t xml:space="preserve"> o paradeiro de uma pessoa </w:t>
      </w:r>
      <w:r w:rsidR="0091276F" w:rsidRPr="005D6E61">
        <w:rPr>
          <w:rFonts w:ascii="Cambria" w:hAnsi="Cambria"/>
          <w:sz w:val="20"/>
          <w:szCs w:val="20"/>
          <w:lang w:val="pt-BR"/>
        </w:rPr>
        <w:t>foragida</w:t>
      </w:r>
      <w:r w:rsidRPr="005D6E61">
        <w:rPr>
          <w:rFonts w:ascii="Cambria" w:hAnsi="Cambria"/>
          <w:sz w:val="20"/>
          <w:szCs w:val="20"/>
          <w:lang w:val="pt-BR"/>
        </w:rPr>
        <w:t xml:space="preserve"> em casos de violações de direitos humanos que devem ser i</w:t>
      </w:r>
      <w:r w:rsidR="008F4D6F" w:rsidRPr="005D6E61">
        <w:rPr>
          <w:rFonts w:ascii="Cambria" w:hAnsi="Cambria"/>
          <w:sz w:val="20"/>
          <w:szCs w:val="20"/>
          <w:lang w:val="pt-BR"/>
        </w:rPr>
        <w:t>nvestig</w:t>
      </w:r>
      <w:r w:rsidRPr="005D6E61">
        <w:rPr>
          <w:rFonts w:ascii="Cambria" w:hAnsi="Cambria"/>
          <w:sz w:val="20"/>
          <w:szCs w:val="20"/>
          <w:lang w:val="pt-BR"/>
        </w:rPr>
        <w:t>ados de ofício e depois declara a prescrição em seu favor, entã</w:t>
      </w:r>
      <w:r w:rsidR="0091276F" w:rsidRPr="005D6E61">
        <w:rPr>
          <w:rFonts w:ascii="Cambria" w:hAnsi="Cambria"/>
          <w:sz w:val="20"/>
          <w:szCs w:val="20"/>
          <w:lang w:val="pt-BR"/>
        </w:rPr>
        <w:t>o</w:t>
      </w:r>
      <w:r w:rsidRPr="005D6E61">
        <w:rPr>
          <w:rFonts w:ascii="Cambria" w:hAnsi="Cambria"/>
          <w:sz w:val="20"/>
          <w:szCs w:val="20"/>
          <w:lang w:val="pt-BR"/>
        </w:rPr>
        <w:t xml:space="preserve"> essa figura se converte em um fator de impunidade atribuível ao Estado. A Comissão ressalta que na legislação de diversos países a prescrição penal </w:t>
      </w:r>
      <w:r w:rsidR="0091276F" w:rsidRPr="005D6E61">
        <w:rPr>
          <w:rFonts w:ascii="Cambria" w:hAnsi="Cambria"/>
          <w:sz w:val="20"/>
          <w:szCs w:val="20"/>
          <w:lang w:val="pt-BR"/>
        </w:rPr>
        <w:t>é</w:t>
      </w:r>
      <w:r w:rsidRPr="005D6E61">
        <w:rPr>
          <w:rFonts w:ascii="Cambria" w:hAnsi="Cambria"/>
          <w:sz w:val="20"/>
          <w:szCs w:val="20"/>
          <w:lang w:val="pt-BR"/>
        </w:rPr>
        <w:t xml:space="preserve"> interromp</w:t>
      </w:r>
      <w:r w:rsidR="0091276F" w:rsidRPr="005D6E61">
        <w:rPr>
          <w:rFonts w:ascii="Cambria" w:hAnsi="Cambria"/>
          <w:sz w:val="20"/>
          <w:szCs w:val="20"/>
          <w:lang w:val="pt-BR"/>
        </w:rPr>
        <w:t>ida</w:t>
      </w:r>
      <w:r w:rsidRPr="005D6E61">
        <w:rPr>
          <w:rFonts w:ascii="Cambria" w:hAnsi="Cambria"/>
          <w:sz w:val="20"/>
          <w:szCs w:val="20"/>
          <w:lang w:val="pt-BR"/>
        </w:rPr>
        <w:t xml:space="preserve"> pela fuga do </w:t>
      </w:r>
      <w:r w:rsidR="0091276F" w:rsidRPr="005D6E61">
        <w:rPr>
          <w:rFonts w:ascii="Cambria" w:hAnsi="Cambria"/>
          <w:sz w:val="20"/>
          <w:szCs w:val="20"/>
          <w:lang w:val="pt-BR"/>
        </w:rPr>
        <w:t>acus</w:t>
      </w:r>
      <w:r w:rsidRPr="005D6E61">
        <w:rPr>
          <w:rFonts w:ascii="Cambria" w:hAnsi="Cambria"/>
          <w:sz w:val="20"/>
          <w:szCs w:val="20"/>
          <w:lang w:val="pt-BR"/>
        </w:rPr>
        <w:t>ado, na medida em que esta impossibilita a perse</w:t>
      </w:r>
      <w:r w:rsidR="0091276F" w:rsidRPr="005D6E61">
        <w:rPr>
          <w:rFonts w:ascii="Cambria" w:hAnsi="Cambria"/>
          <w:sz w:val="20"/>
          <w:szCs w:val="20"/>
          <w:lang w:val="pt-BR"/>
        </w:rPr>
        <w:t>c</w:t>
      </w:r>
      <w:r w:rsidRPr="005D6E61">
        <w:rPr>
          <w:rFonts w:ascii="Cambria" w:hAnsi="Cambria"/>
          <w:sz w:val="20"/>
          <w:szCs w:val="20"/>
          <w:lang w:val="pt-BR"/>
        </w:rPr>
        <w:t>ução penal</w:t>
      </w:r>
      <w:r w:rsidRPr="005D6E61">
        <w:rPr>
          <w:rStyle w:val="FootnoteReference"/>
          <w:rFonts w:ascii="Cambria" w:hAnsi="Cambria"/>
          <w:sz w:val="20"/>
          <w:szCs w:val="20"/>
          <w:lang w:val="pt-BR"/>
        </w:rPr>
        <w:footnoteReference w:id="139"/>
      </w:r>
      <w:r w:rsidRPr="005D6E61">
        <w:rPr>
          <w:rFonts w:ascii="Cambria" w:hAnsi="Cambria"/>
          <w:sz w:val="20"/>
          <w:szCs w:val="20"/>
          <w:lang w:val="pt-BR"/>
        </w:rPr>
        <w:t xml:space="preserve">. </w:t>
      </w:r>
    </w:p>
    <w:p w14:paraId="5C4F3344" w14:textId="77777777" w:rsidR="0074105E" w:rsidRPr="005D6E61" w:rsidRDefault="0074105E" w:rsidP="0074105E">
      <w:pPr>
        <w:pStyle w:val="ListParagraph"/>
        <w:rPr>
          <w:sz w:val="20"/>
          <w:szCs w:val="20"/>
          <w:lang w:val="pt-BR"/>
        </w:rPr>
      </w:pPr>
    </w:p>
    <w:p w14:paraId="656E973C"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Em terceiro lugar, as investigações complementares com base no testemunho de Maria do Socorro Neves prestado em 1986, que identificou outros possíveis suspeitos do </w:t>
      </w:r>
      <w:r w:rsidR="0091276F" w:rsidRPr="005D6E61">
        <w:rPr>
          <w:rFonts w:ascii="Cambria" w:hAnsi="Cambria"/>
          <w:sz w:val="20"/>
          <w:szCs w:val="20"/>
          <w:lang w:val="pt-BR"/>
        </w:rPr>
        <w:t>crime</w:t>
      </w:r>
      <w:r w:rsidRPr="005D6E61">
        <w:rPr>
          <w:rFonts w:ascii="Cambria" w:hAnsi="Cambria"/>
          <w:sz w:val="20"/>
          <w:szCs w:val="20"/>
          <w:lang w:val="pt-BR"/>
        </w:rPr>
        <w:t>, f</w:t>
      </w:r>
      <w:r w:rsidR="0091276F" w:rsidRPr="005D6E61">
        <w:rPr>
          <w:rFonts w:ascii="Cambria" w:hAnsi="Cambria"/>
          <w:sz w:val="20"/>
          <w:szCs w:val="20"/>
          <w:lang w:val="pt-BR"/>
        </w:rPr>
        <w:t>oram</w:t>
      </w:r>
      <w:r w:rsidRPr="005D6E61">
        <w:rPr>
          <w:rFonts w:ascii="Cambria" w:hAnsi="Cambria"/>
          <w:sz w:val="20"/>
          <w:szCs w:val="20"/>
          <w:lang w:val="pt-BR"/>
        </w:rPr>
        <w:t xml:space="preserve"> iniciadas cinco anos depois da declaração, quando dois dos suspeitos já haviam falecido. </w:t>
      </w:r>
      <w:r w:rsidR="0091276F" w:rsidRPr="005D6E61">
        <w:rPr>
          <w:rFonts w:ascii="Cambria" w:hAnsi="Cambria"/>
          <w:sz w:val="20"/>
          <w:szCs w:val="20"/>
          <w:lang w:val="pt-BR"/>
        </w:rPr>
        <w:t>Somente</w:t>
      </w:r>
      <w:r w:rsidRPr="005D6E61">
        <w:rPr>
          <w:rFonts w:ascii="Cambria" w:hAnsi="Cambria"/>
          <w:sz w:val="20"/>
          <w:szCs w:val="20"/>
          <w:lang w:val="pt-BR"/>
        </w:rPr>
        <w:t xml:space="preserve"> </w:t>
      </w:r>
      <w:r w:rsidR="005D22ED" w:rsidRPr="005D6E61">
        <w:rPr>
          <w:rFonts w:ascii="Cambria" w:hAnsi="Cambria"/>
          <w:sz w:val="20"/>
          <w:szCs w:val="20"/>
          <w:lang w:val="pt-BR"/>
        </w:rPr>
        <w:t xml:space="preserve">em </w:t>
      </w:r>
      <w:r w:rsidRPr="005D6E61">
        <w:rPr>
          <w:rFonts w:ascii="Cambria" w:hAnsi="Cambria"/>
          <w:sz w:val="20"/>
          <w:szCs w:val="20"/>
          <w:lang w:val="pt-BR"/>
        </w:rPr>
        <w:t>1995, nove anos após a declaração mencionada</w:t>
      </w:r>
      <w:r w:rsidR="0091276F" w:rsidRPr="005D6E61">
        <w:rPr>
          <w:rFonts w:ascii="Cambria" w:hAnsi="Cambria"/>
          <w:sz w:val="20"/>
          <w:szCs w:val="20"/>
          <w:lang w:val="pt-BR"/>
        </w:rPr>
        <w:t>,</w:t>
      </w:r>
      <w:r w:rsidRPr="005D6E61">
        <w:rPr>
          <w:rFonts w:ascii="Cambria" w:hAnsi="Cambria"/>
          <w:sz w:val="20"/>
          <w:szCs w:val="20"/>
          <w:lang w:val="pt-BR"/>
        </w:rPr>
        <w:t xml:space="preserve"> duas pessoas </w:t>
      </w:r>
      <w:r w:rsidR="0091276F" w:rsidRPr="005D6E61">
        <w:rPr>
          <w:rFonts w:ascii="Cambria" w:hAnsi="Cambria"/>
          <w:sz w:val="20"/>
          <w:szCs w:val="20"/>
          <w:lang w:val="pt-BR"/>
        </w:rPr>
        <w:t>(</w:t>
      </w:r>
      <w:r w:rsidRPr="005D6E61">
        <w:rPr>
          <w:rFonts w:ascii="Cambria" w:hAnsi="Cambria"/>
          <w:sz w:val="20"/>
          <w:szCs w:val="20"/>
          <w:lang w:val="pt-BR"/>
        </w:rPr>
        <w:t xml:space="preserve">o soldado Betâneo Carneiro </w:t>
      </w:r>
      <w:r w:rsidR="0091276F" w:rsidRPr="005D6E61">
        <w:rPr>
          <w:rFonts w:ascii="Cambria" w:hAnsi="Cambria"/>
          <w:sz w:val="20"/>
          <w:szCs w:val="20"/>
          <w:lang w:val="pt-BR"/>
        </w:rPr>
        <w:t>d</w:t>
      </w:r>
      <w:r w:rsidRPr="005D6E61">
        <w:rPr>
          <w:rFonts w:ascii="Cambria" w:hAnsi="Cambria"/>
          <w:sz w:val="20"/>
          <w:szCs w:val="20"/>
          <w:lang w:val="pt-BR"/>
        </w:rPr>
        <w:t>os Santos e José Buarque de Gusm</w:t>
      </w:r>
      <w:r w:rsidR="0091276F" w:rsidRPr="005D6E61">
        <w:rPr>
          <w:rFonts w:ascii="Cambria" w:hAnsi="Cambria"/>
          <w:sz w:val="20"/>
          <w:szCs w:val="20"/>
          <w:lang w:val="pt-BR"/>
        </w:rPr>
        <w:t>ão</w:t>
      </w:r>
      <w:r w:rsidRPr="005D6E61">
        <w:rPr>
          <w:rFonts w:ascii="Cambria" w:hAnsi="Cambria"/>
          <w:sz w:val="20"/>
          <w:szCs w:val="20"/>
          <w:lang w:val="pt-BR"/>
        </w:rPr>
        <w:t xml:space="preserve">, </w:t>
      </w:r>
      <w:r w:rsidR="0091276F" w:rsidRPr="005D6E61">
        <w:rPr>
          <w:rFonts w:ascii="Cambria" w:hAnsi="Cambria"/>
          <w:sz w:val="20"/>
          <w:szCs w:val="20"/>
          <w:lang w:val="pt-BR"/>
        </w:rPr>
        <w:t>genro</w:t>
      </w:r>
      <w:r w:rsidRPr="005D6E61">
        <w:rPr>
          <w:rFonts w:ascii="Cambria" w:hAnsi="Cambria"/>
          <w:sz w:val="20"/>
          <w:szCs w:val="20"/>
          <w:lang w:val="pt-BR"/>
        </w:rPr>
        <w:t xml:space="preserve"> do deputado federal e </w:t>
      </w:r>
      <w:r w:rsidR="0091276F" w:rsidRPr="005D6E61">
        <w:rPr>
          <w:rFonts w:ascii="Cambria" w:hAnsi="Cambria"/>
          <w:sz w:val="20"/>
          <w:szCs w:val="20"/>
          <w:lang w:val="pt-BR"/>
        </w:rPr>
        <w:t>fazendeiro</w:t>
      </w:r>
      <w:r w:rsidRPr="005D6E61">
        <w:rPr>
          <w:rFonts w:ascii="Cambria" w:hAnsi="Cambria"/>
          <w:sz w:val="20"/>
          <w:szCs w:val="20"/>
          <w:lang w:val="pt-BR"/>
        </w:rPr>
        <w:t xml:space="preserve"> já mencionado</w:t>
      </w:r>
      <w:r w:rsidR="0091276F" w:rsidRPr="005D6E61">
        <w:rPr>
          <w:rFonts w:ascii="Cambria" w:hAnsi="Cambria"/>
          <w:sz w:val="20"/>
          <w:szCs w:val="20"/>
          <w:lang w:val="pt-BR"/>
        </w:rPr>
        <w:t>)</w:t>
      </w:r>
      <w:r w:rsidRPr="005D6E61">
        <w:rPr>
          <w:rFonts w:ascii="Cambria" w:hAnsi="Cambria"/>
          <w:sz w:val="20"/>
          <w:szCs w:val="20"/>
          <w:lang w:val="pt-BR"/>
        </w:rPr>
        <w:t xml:space="preserve"> foram denunciadas penalmente pelo Ministério Público. No caso do soldado Santos, declarou-se a prescrição em 1996, sem que, além dos nove anos de demora já mencionados, </w:t>
      </w:r>
      <w:r w:rsidR="005D22ED" w:rsidRPr="005D6E61">
        <w:rPr>
          <w:rFonts w:ascii="Cambria" w:hAnsi="Cambria"/>
          <w:sz w:val="20"/>
          <w:szCs w:val="20"/>
          <w:lang w:val="pt-BR"/>
        </w:rPr>
        <w:t>tivesse</w:t>
      </w:r>
      <w:r w:rsidR="0091276F" w:rsidRPr="005D6E61">
        <w:rPr>
          <w:rFonts w:ascii="Cambria" w:hAnsi="Cambria"/>
          <w:sz w:val="20"/>
          <w:szCs w:val="20"/>
          <w:lang w:val="pt-BR"/>
        </w:rPr>
        <w:t xml:space="preserve"> sido </w:t>
      </w:r>
      <w:r w:rsidRPr="005D6E61">
        <w:rPr>
          <w:rFonts w:ascii="Cambria" w:hAnsi="Cambria"/>
          <w:sz w:val="20"/>
          <w:szCs w:val="20"/>
          <w:lang w:val="pt-BR"/>
        </w:rPr>
        <w:t xml:space="preserve">investigado com a devida diligência.  </w:t>
      </w:r>
    </w:p>
    <w:p w14:paraId="5EACC956"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jc w:val="both"/>
        <w:rPr>
          <w:rFonts w:ascii="Cambria" w:hAnsi="Cambria"/>
          <w:sz w:val="20"/>
          <w:szCs w:val="20"/>
          <w:lang w:val="pt-BR"/>
        </w:rPr>
      </w:pPr>
    </w:p>
    <w:p w14:paraId="25B4E1B4" w14:textId="77777777" w:rsidR="0074105E" w:rsidRPr="005D6E61" w:rsidRDefault="0091276F"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720"/>
        <w:jc w:val="both"/>
        <w:rPr>
          <w:lang w:val="pt-BR"/>
        </w:rPr>
      </w:pPr>
      <w:r w:rsidRPr="005D6E61">
        <w:rPr>
          <w:rFonts w:ascii="Cambria" w:hAnsi="Cambria"/>
          <w:sz w:val="20"/>
          <w:szCs w:val="20"/>
          <w:lang w:val="pt-BR"/>
        </w:rPr>
        <w:t>Por</w:t>
      </w:r>
      <w:r w:rsidR="0074105E" w:rsidRPr="005D6E61">
        <w:rPr>
          <w:rFonts w:ascii="Cambria" w:hAnsi="Cambria"/>
          <w:sz w:val="20"/>
          <w:szCs w:val="20"/>
          <w:lang w:val="pt-BR"/>
        </w:rPr>
        <w:t xml:space="preserve"> sua </w:t>
      </w:r>
      <w:r w:rsidRPr="005D6E61">
        <w:rPr>
          <w:rFonts w:ascii="Cambria" w:hAnsi="Cambria"/>
          <w:sz w:val="20"/>
          <w:szCs w:val="20"/>
          <w:lang w:val="pt-BR"/>
        </w:rPr>
        <w:t>vez</w:t>
      </w:r>
      <w:r w:rsidR="0074105E" w:rsidRPr="005D6E61">
        <w:rPr>
          <w:rFonts w:ascii="Cambria" w:hAnsi="Cambria"/>
          <w:sz w:val="20"/>
          <w:szCs w:val="20"/>
          <w:lang w:val="pt-BR"/>
        </w:rPr>
        <w:t>, José Buarque de Gusm</w:t>
      </w:r>
      <w:r w:rsidRPr="005D6E61">
        <w:rPr>
          <w:rFonts w:ascii="Cambria" w:hAnsi="Cambria"/>
          <w:sz w:val="20"/>
          <w:szCs w:val="20"/>
          <w:lang w:val="pt-BR"/>
        </w:rPr>
        <w:t>ão</w:t>
      </w:r>
      <w:r w:rsidR="0074105E" w:rsidRPr="005D6E61">
        <w:rPr>
          <w:rFonts w:ascii="Cambria" w:hAnsi="Cambria"/>
          <w:sz w:val="20"/>
          <w:szCs w:val="20"/>
          <w:lang w:val="pt-BR"/>
        </w:rPr>
        <w:t xml:space="preserve"> foi absolvido por um tribunal d</w:t>
      </w:r>
      <w:r w:rsidRPr="005D6E61">
        <w:rPr>
          <w:rFonts w:ascii="Cambria" w:hAnsi="Cambria"/>
          <w:sz w:val="20"/>
          <w:szCs w:val="20"/>
          <w:lang w:val="pt-BR"/>
        </w:rPr>
        <w:t>o</w:t>
      </w:r>
      <w:r w:rsidR="0074105E" w:rsidRPr="005D6E61">
        <w:rPr>
          <w:rFonts w:ascii="Cambria" w:hAnsi="Cambria"/>
          <w:sz w:val="20"/>
          <w:szCs w:val="20"/>
          <w:lang w:val="pt-BR"/>
        </w:rPr>
        <w:t xml:space="preserve"> </w:t>
      </w:r>
      <w:r w:rsidR="00A07DC0" w:rsidRPr="005D6E61">
        <w:rPr>
          <w:rFonts w:ascii="Cambria" w:hAnsi="Cambria"/>
          <w:sz w:val="20"/>
          <w:szCs w:val="20"/>
          <w:lang w:val="pt-BR"/>
        </w:rPr>
        <w:t>júri</w:t>
      </w:r>
      <w:r w:rsidR="0074105E" w:rsidRPr="005D6E61">
        <w:rPr>
          <w:rFonts w:ascii="Cambria" w:hAnsi="Cambria"/>
          <w:sz w:val="20"/>
          <w:szCs w:val="20"/>
          <w:lang w:val="pt-BR"/>
        </w:rPr>
        <w:t xml:space="preserve"> em 2001. A Comissão destaca que do </w:t>
      </w:r>
      <w:r w:rsidRPr="005D6E61">
        <w:rPr>
          <w:rFonts w:ascii="Cambria" w:hAnsi="Cambria"/>
          <w:sz w:val="20"/>
          <w:szCs w:val="20"/>
          <w:lang w:val="pt-BR"/>
        </w:rPr>
        <w:t>processo</w:t>
      </w:r>
      <w:r w:rsidR="0074105E" w:rsidRPr="005D6E61">
        <w:rPr>
          <w:rFonts w:ascii="Cambria" w:hAnsi="Cambria"/>
          <w:sz w:val="20"/>
          <w:szCs w:val="20"/>
          <w:lang w:val="pt-BR"/>
        </w:rPr>
        <w:t xml:space="preserve"> surgem graves suspeitas sobre a imparcialidade dos </w:t>
      </w:r>
      <w:r w:rsidR="00A07DC0" w:rsidRPr="005D6E61">
        <w:rPr>
          <w:rFonts w:ascii="Cambria" w:hAnsi="Cambria"/>
          <w:sz w:val="20"/>
          <w:szCs w:val="20"/>
          <w:lang w:val="pt-BR"/>
        </w:rPr>
        <w:t>júri</w:t>
      </w:r>
      <w:r w:rsidR="0074105E" w:rsidRPr="005D6E61">
        <w:rPr>
          <w:rFonts w:ascii="Cambria" w:hAnsi="Cambria"/>
          <w:sz w:val="20"/>
          <w:szCs w:val="20"/>
          <w:lang w:val="pt-BR"/>
        </w:rPr>
        <w:t>s populares</w:t>
      </w:r>
      <w:r w:rsidRPr="005D6E61">
        <w:rPr>
          <w:rFonts w:ascii="Cambria" w:hAnsi="Cambria"/>
          <w:sz w:val="20"/>
          <w:szCs w:val="20"/>
          <w:lang w:val="pt-BR"/>
        </w:rPr>
        <w:t>,</w:t>
      </w:r>
      <w:r w:rsidR="0074105E" w:rsidRPr="005D6E61">
        <w:rPr>
          <w:rFonts w:ascii="Cambria" w:hAnsi="Cambria"/>
          <w:sz w:val="20"/>
          <w:szCs w:val="20"/>
          <w:lang w:val="pt-BR"/>
        </w:rPr>
        <w:t xml:space="preserve"> tanto </w:t>
      </w:r>
      <w:r w:rsidRPr="005D6E61">
        <w:rPr>
          <w:rFonts w:ascii="Cambria" w:hAnsi="Cambria"/>
          <w:sz w:val="20"/>
          <w:szCs w:val="20"/>
          <w:lang w:val="pt-BR"/>
        </w:rPr>
        <w:t>no caso de José Buarque de Gusmã</w:t>
      </w:r>
      <w:r w:rsidR="0074105E" w:rsidRPr="005D6E61">
        <w:rPr>
          <w:rFonts w:ascii="Cambria" w:hAnsi="Cambria"/>
          <w:sz w:val="20"/>
          <w:szCs w:val="20"/>
          <w:lang w:val="pt-BR"/>
        </w:rPr>
        <w:t xml:space="preserve">o como </w:t>
      </w:r>
      <w:r w:rsidRPr="005D6E61">
        <w:rPr>
          <w:rFonts w:ascii="Cambria" w:hAnsi="Cambria"/>
          <w:sz w:val="20"/>
          <w:szCs w:val="20"/>
          <w:lang w:val="pt-BR"/>
        </w:rPr>
        <w:t xml:space="preserve">no </w:t>
      </w:r>
      <w:r w:rsidR="0074105E" w:rsidRPr="005D6E61">
        <w:rPr>
          <w:rFonts w:ascii="Cambria" w:hAnsi="Cambria"/>
          <w:sz w:val="20"/>
          <w:szCs w:val="20"/>
          <w:lang w:val="pt-BR"/>
        </w:rPr>
        <w:t>de Ant</w:t>
      </w:r>
      <w:r w:rsidRPr="005D6E61">
        <w:rPr>
          <w:rFonts w:ascii="Cambria" w:hAnsi="Cambria"/>
          <w:sz w:val="20"/>
          <w:szCs w:val="20"/>
          <w:lang w:val="pt-BR"/>
        </w:rPr>
        <w:t>ô</w:t>
      </w:r>
      <w:r w:rsidR="0074105E" w:rsidRPr="005D6E61">
        <w:rPr>
          <w:rFonts w:ascii="Cambria" w:hAnsi="Cambria"/>
          <w:sz w:val="20"/>
          <w:szCs w:val="20"/>
          <w:lang w:val="pt-BR"/>
        </w:rPr>
        <w:t>nio Carlos Coutinho Regis</w:t>
      </w:r>
      <w:r w:rsidRPr="005D6E61">
        <w:rPr>
          <w:rFonts w:ascii="Cambria" w:hAnsi="Cambria"/>
          <w:sz w:val="20"/>
          <w:szCs w:val="20"/>
          <w:lang w:val="pt-BR"/>
        </w:rPr>
        <w:t>,</w:t>
      </w:r>
      <w:r w:rsidR="0074105E" w:rsidRPr="005D6E61">
        <w:rPr>
          <w:rFonts w:ascii="Cambria" w:hAnsi="Cambria"/>
          <w:sz w:val="20"/>
          <w:szCs w:val="20"/>
          <w:lang w:val="pt-BR"/>
        </w:rPr>
        <w:t xml:space="preserve"> por duas razões: i) existem indícios de pressões externas </w:t>
      </w:r>
      <w:r w:rsidRPr="005D6E61">
        <w:rPr>
          <w:rFonts w:ascii="Cambria" w:hAnsi="Cambria"/>
          <w:sz w:val="20"/>
          <w:szCs w:val="20"/>
          <w:lang w:val="pt-BR"/>
        </w:rPr>
        <w:t xml:space="preserve">sobre </w:t>
      </w:r>
      <w:r w:rsidR="0074105E" w:rsidRPr="005D6E61">
        <w:rPr>
          <w:rFonts w:ascii="Cambria" w:hAnsi="Cambria"/>
          <w:sz w:val="20"/>
          <w:szCs w:val="20"/>
          <w:lang w:val="pt-BR"/>
        </w:rPr>
        <w:t xml:space="preserve">o </w:t>
      </w:r>
      <w:r w:rsidR="00A07DC0" w:rsidRPr="005D6E61">
        <w:rPr>
          <w:rFonts w:ascii="Cambria" w:hAnsi="Cambria"/>
          <w:sz w:val="20"/>
          <w:szCs w:val="20"/>
          <w:lang w:val="pt-BR"/>
        </w:rPr>
        <w:t>júri</w:t>
      </w:r>
      <w:r w:rsidR="0074105E" w:rsidRPr="005D6E61">
        <w:rPr>
          <w:rFonts w:ascii="Cambria" w:hAnsi="Cambria"/>
          <w:sz w:val="20"/>
          <w:szCs w:val="20"/>
          <w:lang w:val="pt-BR"/>
        </w:rPr>
        <w:t>; e ii) tanto a promotoria como o tribunal de primeira instância consideraram que as decisões pelas quais os acusados foram absolvidos eram contrárias à</w:t>
      </w:r>
      <w:r w:rsidR="008F4D6F" w:rsidRPr="005D6E61">
        <w:rPr>
          <w:rFonts w:ascii="Cambria" w:hAnsi="Cambria"/>
          <w:sz w:val="20"/>
          <w:szCs w:val="20"/>
          <w:lang w:val="pt-BR"/>
        </w:rPr>
        <w:t>s</w:t>
      </w:r>
      <w:r w:rsidR="0074105E" w:rsidRPr="005D6E61">
        <w:rPr>
          <w:rFonts w:ascii="Cambria" w:hAnsi="Cambria"/>
          <w:sz w:val="20"/>
          <w:szCs w:val="20"/>
          <w:lang w:val="pt-BR"/>
        </w:rPr>
        <w:t xml:space="preserve"> prova</w:t>
      </w:r>
      <w:r w:rsidR="008F4D6F" w:rsidRPr="005D6E61">
        <w:rPr>
          <w:rFonts w:ascii="Cambria" w:hAnsi="Cambria"/>
          <w:sz w:val="20"/>
          <w:szCs w:val="20"/>
          <w:lang w:val="pt-BR"/>
        </w:rPr>
        <w:t>s</w:t>
      </w:r>
      <w:r w:rsidR="0074105E" w:rsidRPr="005D6E61">
        <w:rPr>
          <w:rFonts w:ascii="Cambria" w:hAnsi="Cambria"/>
          <w:sz w:val="20"/>
          <w:szCs w:val="20"/>
          <w:lang w:val="pt-BR"/>
        </w:rPr>
        <w:t xml:space="preserve"> que constava</w:t>
      </w:r>
      <w:r w:rsidR="008F4D6F" w:rsidRPr="005D6E61">
        <w:rPr>
          <w:rFonts w:ascii="Cambria" w:hAnsi="Cambria"/>
          <w:sz w:val="20"/>
          <w:szCs w:val="20"/>
          <w:lang w:val="pt-BR"/>
        </w:rPr>
        <w:t>m</w:t>
      </w:r>
      <w:r w:rsidR="0074105E" w:rsidRPr="005D6E61">
        <w:rPr>
          <w:rFonts w:ascii="Cambria" w:hAnsi="Cambria"/>
          <w:sz w:val="20"/>
          <w:szCs w:val="20"/>
          <w:lang w:val="pt-BR"/>
        </w:rPr>
        <w:t xml:space="preserve"> no </w:t>
      </w:r>
      <w:r w:rsidRPr="005D6E61">
        <w:rPr>
          <w:rFonts w:ascii="Cambria" w:hAnsi="Cambria"/>
          <w:sz w:val="20"/>
          <w:szCs w:val="20"/>
          <w:lang w:val="pt-BR"/>
        </w:rPr>
        <w:t>processo</w:t>
      </w:r>
      <w:r w:rsidR="0074105E" w:rsidRPr="005D6E61">
        <w:rPr>
          <w:rFonts w:ascii="Cambria" w:hAnsi="Cambria"/>
          <w:sz w:val="20"/>
          <w:szCs w:val="20"/>
          <w:lang w:val="pt-BR"/>
        </w:rPr>
        <w:t>. A CIDH leva em conta</w:t>
      </w:r>
      <w:r w:rsidRPr="005D6E61">
        <w:rPr>
          <w:rFonts w:ascii="Cambria" w:hAnsi="Cambria"/>
          <w:sz w:val="20"/>
          <w:szCs w:val="20"/>
          <w:lang w:val="pt-BR"/>
        </w:rPr>
        <w:t>,</w:t>
      </w:r>
      <w:r w:rsidR="0074105E" w:rsidRPr="005D6E61">
        <w:rPr>
          <w:rFonts w:ascii="Cambria" w:hAnsi="Cambria"/>
          <w:sz w:val="20"/>
          <w:szCs w:val="20"/>
          <w:lang w:val="pt-BR"/>
        </w:rPr>
        <w:t xml:space="preserve"> adicionalmente</w:t>
      </w:r>
      <w:r w:rsidRPr="005D6E61">
        <w:rPr>
          <w:rFonts w:ascii="Cambria" w:hAnsi="Cambria"/>
          <w:sz w:val="20"/>
          <w:szCs w:val="20"/>
          <w:lang w:val="pt-BR"/>
        </w:rPr>
        <w:t>,</w:t>
      </w:r>
      <w:r w:rsidR="0074105E" w:rsidRPr="005D6E61">
        <w:rPr>
          <w:rFonts w:ascii="Cambria" w:hAnsi="Cambria"/>
          <w:sz w:val="20"/>
          <w:szCs w:val="20"/>
          <w:lang w:val="pt-BR"/>
        </w:rPr>
        <w:t xml:space="preserve"> que os indícios consistentes e concretos de envolvimento no homicídio não foram analisados com a devida motivação. </w:t>
      </w:r>
    </w:p>
    <w:p w14:paraId="27437ABA" w14:textId="77777777" w:rsidR="0074105E" w:rsidRPr="005D6E61" w:rsidRDefault="0074105E" w:rsidP="0074105E">
      <w:pPr>
        <w:pStyle w:val="ListParagraph"/>
        <w:rPr>
          <w:sz w:val="20"/>
          <w:szCs w:val="20"/>
          <w:lang w:val="pt-BR"/>
        </w:rPr>
      </w:pPr>
    </w:p>
    <w:p w14:paraId="62C7FE38"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720"/>
        <w:jc w:val="both"/>
        <w:rPr>
          <w:lang w:val="pt-BR"/>
        </w:rPr>
      </w:pPr>
      <w:r w:rsidRPr="005D6E61">
        <w:rPr>
          <w:rFonts w:ascii="Cambria" w:hAnsi="Cambria"/>
          <w:sz w:val="20"/>
          <w:szCs w:val="20"/>
          <w:lang w:val="pt-BR"/>
        </w:rPr>
        <w:t>Assim, após a absolvição de Ant</w:t>
      </w:r>
      <w:r w:rsidR="0091276F" w:rsidRPr="005D6E61">
        <w:rPr>
          <w:rFonts w:ascii="Cambria" w:hAnsi="Cambria"/>
          <w:sz w:val="20"/>
          <w:szCs w:val="20"/>
          <w:lang w:val="pt-BR"/>
        </w:rPr>
        <w:t>ô</w:t>
      </w:r>
      <w:r w:rsidRPr="005D6E61">
        <w:rPr>
          <w:rFonts w:ascii="Cambria" w:hAnsi="Cambria"/>
          <w:sz w:val="20"/>
          <w:szCs w:val="20"/>
          <w:lang w:val="pt-BR"/>
        </w:rPr>
        <w:t xml:space="preserve">nio Carlos Coutinho Regis em 5 de julho de 1988, o Ministério Público apelou da decisão por ser contrária ao acervo probatório, e a mesma foi anulada pelo Tribunal de Justiça da Paraíba em 17 de maio de 1990 pela mesma razão. O esposo da suposta vítima solicitou </w:t>
      </w:r>
      <w:r w:rsidR="000E1C61" w:rsidRPr="005D6E61">
        <w:rPr>
          <w:rFonts w:ascii="Cambria" w:hAnsi="Cambria"/>
          <w:sz w:val="20"/>
          <w:szCs w:val="20"/>
          <w:lang w:val="pt-BR"/>
        </w:rPr>
        <w:t xml:space="preserve">que </w:t>
      </w:r>
      <w:r w:rsidRPr="005D6E61">
        <w:rPr>
          <w:rFonts w:ascii="Cambria" w:hAnsi="Cambria"/>
          <w:sz w:val="20"/>
          <w:szCs w:val="20"/>
          <w:lang w:val="pt-BR"/>
        </w:rPr>
        <w:t xml:space="preserve">o caso </w:t>
      </w:r>
      <w:r w:rsidR="000E1C61" w:rsidRPr="005D6E61">
        <w:rPr>
          <w:rFonts w:ascii="Cambria" w:hAnsi="Cambria"/>
          <w:sz w:val="20"/>
          <w:szCs w:val="20"/>
          <w:lang w:val="pt-BR"/>
        </w:rPr>
        <w:t xml:space="preserve">fosse </w:t>
      </w:r>
      <w:r w:rsidR="005D22ED" w:rsidRPr="005D6E61">
        <w:rPr>
          <w:rFonts w:ascii="Cambria" w:hAnsi="Cambria"/>
          <w:sz w:val="20"/>
          <w:szCs w:val="20"/>
          <w:lang w:val="pt-BR"/>
        </w:rPr>
        <w:t>transferido</w:t>
      </w:r>
      <w:r w:rsidR="000E1C61" w:rsidRPr="005D6E61">
        <w:rPr>
          <w:rFonts w:ascii="Cambria" w:hAnsi="Cambria"/>
          <w:sz w:val="20"/>
          <w:szCs w:val="20"/>
          <w:lang w:val="pt-BR"/>
        </w:rPr>
        <w:t xml:space="preserve"> </w:t>
      </w:r>
      <w:r w:rsidRPr="005D6E61">
        <w:rPr>
          <w:rFonts w:ascii="Cambria" w:hAnsi="Cambria"/>
          <w:sz w:val="20"/>
          <w:szCs w:val="20"/>
          <w:lang w:val="pt-BR"/>
        </w:rPr>
        <w:t xml:space="preserve">a outro júri para </w:t>
      </w:r>
      <w:r w:rsidR="000E1C61" w:rsidRPr="005D6E61">
        <w:rPr>
          <w:rFonts w:ascii="Cambria" w:hAnsi="Cambria"/>
          <w:sz w:val="20"/>
          <w:szCs w:val="20"/>
          <w:lang w:val="pt-BR"/>
        </w:rPr>
        <w:t>um</w:t>
      </w:r>
      <w:r w:rsidRPr="005D6E61">
        <w:rPr>
          <w:rFonts w:ascii="Cambria" w:hAnsi="Cambria"/>
          <w:sz w:val="20"/>
          <w:szCs w:val="20"/>
          <w:lang w:val="pt-BR"/>
        </w:rPr>
        <w:t xml:space="preserve"> novo julgamento</w:t>
      </w:r>
      <w:r w:rsidR="000E1C61" w:rsidRPr="005D6E61">
        <w:rPr>
          <w:rFonts w:ascii="Cambria" w:hAnsi="Cambria"/>
          <w:sz w:val="20"/>
          <w:szCs w:val="20"/>
          <w:lang w:val="pt-BR"/>
        </w:rPr>
        <w:t>,</w:t>
      </w:r>
      <w:r w:rsidRPr="005D6E61">
        <w:rPr>
          <w:rFonts w:ascii="Cambria" w:hAnsi="Cambria"/>
          <w:sz w:val="20"/>
          <w:szCs w:val="20"/>
          <w:lang w:val="pt-BR"/>
        </w:rPr>
        <w:t xml:space="preserve"> levando em conta que</w:t>
      </w:r>
      <w:r w:rsidR="000E1C61" w:rsidRPr="005D6E61">
        <w:rPr>
          <w:rFonts w:ascii="Cambria" w:hAnsi="Cambria"/>
          <w:sz w:val="20"/>
          <w:szCs w:val="20"/>
          <w:lang w:val="pt-BR"/>
        </w:rPr>
        <w:t>,</w:t>
      </w:r>
      <w:r w:rsidRPr="005D6E61">
        <w:rPr>
          <w:rFonts w:ascii="Cambria" w:hAnsi="Cambria"/>
          <w:sz w:val="20"/>
          <w:szCs w:val="20"/>
          <w:lang w:val="pt-BR"/>
        </w:rPr>
        <w:t xml:space="preserve"> depois de ter uma discussão com o juiz da causa, tomou conhecimento de que “há certo consenso entre os integrantes do </w:t>
      </w:r>
      <w:r w:rsidR="008F4D6F" w:rsidRPr="005D6E61">
        <w:rPr>
          <w:rFonts w:ascii="Cambria" w:hAnsi="Cambria"/>
          <w:sz w:val="20"/>
          <w:szCs w:val="20"/>
          <w:lang w:val="pt-BR"/>
        </w:rPr>
        <w:t>j</w:t>
      </w:r>
      <w:r w:rsidRPr="005D6E61">
        <w:rPr>
          <w:rFonts w:ascii="Cambria" w:hAnsi="Cambria"/>
          <w:sz w:val="20"/>
          <w:szCs w:val="20"/>
          <w:lang w:val="pt-BR"/>
        </w:rPr>
        <w:t>úri de que o réu, p</w:t>
      </w:r>
      <w:r w:rsidR="000E1C61" w:rsidRPr="005D6E61">
        <w:rPr>
          <w:rFonts w:ascii="Cambria" w:hAnsi="Cambria"/>
          <w:sz w:val="20"/>
          <w:szCs w:val="20"/>
          <w:lang w:val="pt-BR"/>
        </w:rPr>
        <w:t>or ter uma participação de menor</w:t>
      </w:r>
      <w:r w:rsidRPr="005D6E61">
        <w:rPr>
          <w:rFonts w:ascii="Cambria" w:hAnsi="Cambria"/>
          <w:sz w:val="20"/>
          <w:szCs w:val="20"/>
          <w:lang w:val="pt-BR"/>
        </w:rPr>
        <w:t xml:space="preserve"> importância, deveria ser absolvido novamente”. O acusado foi n</w:t>
      </w:r>
      <w:r w:rsidR="000E1C61" w:rsidRPr="005D6E61">
        <w:rPr>
          <w:rFonts w:ascii="Cambria" w:hAnsi="Cambria"/>
          <w:sz w:val="20"/>
          <w:szCs w:val="20"/>
          <w:lang w:val="pt-BR"/>
        </w:rPr>
        <w:t>o</w:t>
      </w:r>
      <w:r w:rsidRPr="005D6E61">
        <w:rPr>
          <w:rFonts w:ascii="Cambria" w:hAnsi="Cambria"/>
          <w:sz w:val="20"/>
          <w:szCs w:val="20"/>
          <w:lang w:val="pt-BR"/>
        </w:rPr>
        <w:t>vamente absolvido no dia 3 de setembro de 1998, após uma decisão sem motivação.</w:t>
      </w:r>
    </w:p>
    <w:p w14:paraId="2D70A394" w14:textId="77777777" w:rsidR="0074105E" w:rsidRPr="005D6E61" w:rsidRDefault="0074105E" w:rsidP="0074105E">
      <w:pPr>
        <w:pStyle w:val="ListParagraph"/>
        <w:rPr>
          <w:lang w:val="pt-BR"/>
        </w:rPr>
      </w:pPr>
    </w:p>
    <w:p w14:paraId="55403A8F"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720"/>
        <w:jc w:val="both"/>
        <w:rPr>
          <w:rFonts w:ascii="Cambria" w:hAnsi="Cambria"/>
          <w:sz w:val="20"/>
          <w:szCs w:val="20"/>
          <w:lang w:val="pt-BR"/>
        </w:rPr>
      </w:pPr>
      <w:r w:rsidRPr="005D6E61">
        <w:rPr>
          <w:rFonts w:ascii="Cambria" w:hAnsi="Cambria"/>
          <w:sz w:val="20"/>
          <w:szCs w:val="20"/>
          <w:lang w:val="pt-BR"/>
        </w:rPr>
        <w:t>Com respeito a Jos</w:t>
      </w:r>
      <w:r w:rsidR="000E1C61" w:rsidRPr="005D6E61">
        <w:rPr>
          <w:rFonts w:ascii="Cambria" w:hAnsi="Cambria"/>
          <w:sz w:val="20"/>
          <w:szCs w:val="20"/>
          <w:lang w:val="pt-BR"/>
        </w:rPr>
        <w:t>é</w:t>
      </w:r>
      <w:r w:rsidRPr="005D6E61">
        <w:rPr>
          <w:rFonts w:ascii="Cambria" w:hAnsi="Cambria"/>
          <w:sz w:val="20"/>
          <w:szCs w:val="20"/>
          <w:lang w:val="pt-BR"/>
        </w:rPr>
        <w:t xml:space="preserve"> Buarque de Gusm</w:t>
      </w:r>
      <w:r w:rsidR="000E1C61" w:rsidRPr="005D6E61">
        <w:rPr>
          <w:rFonts w:ascii="Cambria" w:hAnsi="Cambria"/>
          <w:sz w:val="20"/>
          <w:szCs w:val="20"/>
          <w:lang w:val="pt-BR"/>
        </w:rPr>
        <w:t>ã</w:t>
      </w:r>
      <w:r w:rsidRPr="005D6E61">
        <w:rPr>
          <w:rFonts w:ascii="Cambria" w:hAnsi="Cambria"/>
          <w:sz w:val="20"/>
          <w:szCs w:val="20"/>
          <w:lang w:val="pt-BR"/>
        </w:rPr>
        <w:t>o, a CIDH nota que este foi absolvido no dia 18 de junho de 2001 e</w:t>
      </w:r>
      <w:r w:rsidR="000E1C61" w:rsidRPr="005D6E61">
        <w:rPr>
          <w:rFonts w:ascii="Cambria" w:hAnsi="Cambria"/>
          <w:sz w:val="20"/>
          <w:szCs w:val="20"/>
          <w:lang w:val="pt-BR"/>
        </w:rPr>
        <w:t>,</w:t>
      </w:r>
      <w:r w:rsidRPr="005D6E61">
        <w:rPr>
          <w:rFonts w:ascii="Cambria" w:hAnsi="Cambria"/>
          <w:sz w:val="20"/>
          <w:szCs w:val="20"/>
          <w:lang w:val="pt-BR"/>
        </w:rPr>
        <w:t xml:space="preserve"> da mesma forma que no caso anterior, o Ministério Público apelou da decisão por ser contrária à</w:t>
      </w:r>
      <w:r w:rsidR="008F4D6F" w:rsidRPr="005D6E61">
        <w:rPr>
          <w:rFonts w:ascii="Cambria" w:hAnsi="Cambria"/>
          <w:sz w:val="20"/>
          <w:szCs w:val="20"/>
          <w:lang w:val="pt-BR"/>
        </w:rPr>
        <w:t>s</w:t>
      </w:r>
      <w:r w:rsidRPr="005D6E61">
        <w:rPr>
          <w:rFonts w:ascii="Cambria" w:hAnsi="Cambria"/>
          <w:sz w:val="20"/>
          <w:szCs w:val="20"/>
          <w:lang w:val="pt-BR"/>
        </w:rPr>
        <w:t xml:space="preserve"> prova</w:t>
      </w:r>
      <w:r w:rsidR="008F4D6F" w:rsidRPr="005D6E61">
        <w:rPr>
          <w:rFonts w:ascii="Cambria" w:hAnsi="Cambria"/>
          <w:sz w:val="20"/>
          <w:szCs w:val="20"/>
          <w:lang w:val="pt-BR"/>
        </w:rPr>
        <w:t>s</w:t>
      </w:r>
      <w:r w:rsidRPr="005D6E61">
        <w:rPr>
          <w:rFonts w:ascii="Cambria" w:hAnsi="Cambria"/>
          <w:sz w:val="20"/>
          <w:szCs w:val="20"/>
          <w:lang w:val="pt-BR"/>
        </w:rPr>
        <w:t xml:space="preserve">, critério também compartilhado pela Câmara </w:t>
      </w:r>
      <w:r w:rsidR="000E1C61" w:rsidRPr="005D6E61">
        <w:rPr>
          <w:rFonts w:ascii="Cambria" w:hAnsi="Cambria"/>
          <w:sz w:val="20"/>
          <w:szCs w:val="20"/>
          <w:lang w:val="pt-BR"/>
        </w:rPr>
        <w:t>Crimin</w:t>
      </w:r>
      <w:r w:rsidRPr="005D6E61">
        <w:rPr>
          <w:rFonts w:ascii="Cambria" w:hAnsi="Cambria"/>
          <w:sz w:val="20"/>
          <w:szCs w:val="20"/>
          <w:lang w:val="pt-BR"/>
        </w:rPr>
        <w:t>al do Tribunal de Justiça da Paraíba</w:t>
      </w:r>
      <w:r w:rsidR="000E1C61" w:rsidRPr="005D6E61">
        <w:rPr>
          <w:rFonts w:ascii="Cambria" w:hAnsi="Cambria"/>
          <w:sz w:val="20"/>
          <w:szCs w:val="20"/>
          <w:lang w:val="pt-BR"/>
        </w:rPr>
        <w:t>;</w:t>
      </w:r>
      <w:r w:rsidRPr="005D6E61">
        <w:rPr>
          <w:rFonts w:ascii="Cambria" w:hAnsi="Cambria"/>
          <w:sz w:val="20"/>
          <w:szCs w:val="20"/>
          <w:lang w:val="pt-BR"/>
        </w:rPr>
        <w:t xml:space="preserve"> não obstante</w:t>
      </w:r>
      <w:r w:rsidR="000E1C61" w:rsidRPr="005D6E61">
        <w:rPr>
          <w:rFonts w:ascii="Cambria" w:hAnsi="Cambria"/>
          <w:sz w:val="20"/>
          <w:szCs w:val="20"/>
          <w:lang w:val="pt-BR"/>
        </w:rPr>
        <w:t>,</w:t>
      </w:r>
      <w:r w:rsidRPr="005D6E61">
        <w:rPr>
          <w:rFonts w:ascii="Cambria" w:hAnsi="Cambria"/>
          <w:sz w:val="20"/>
          <w:szCs w:val="20"/>
          <w:lang w:val="pt-BR"/>
        </w:rPr>
        <w:t xml:space="preserve"> a decisão </w:t>
      </w:r>
      <w:r w:rsidR="000E1C61" w:rsidRPr="005D6E61">
        <w:rPr>
          <w:rFonts w:ascii="Cambria" w:hAnsi="Cambria"/>
          <w:sz w:val="20"/>
          <w:szCs w:val="20"/>
          <w:lang w:val="pt-BR"/>
        </w:rPr>
        <w:t xml:space="preserve">foi mantida </w:t>
      </w:r>
      <w:r w:rsidRPr="005D6E61">
        <w:rPr>
          <w:rFonts w:ascii="Cambria" w:hAnsi="Cambria"/>
          <w:sz w:val="20"/>
          <w:szCs w:val="20"/>
          <w:lang w:val="pt-BR"/>
        </w:rPr>
        <w:t xml:space="preserve">por decisão do Superior Tribunal de Justiça. A Comissão também ressalta que neste caso um juiz denunciou </w:t>
      </w:r>
      <w:r w:rsidR="000E1C61" w:rsidRPr="005D6E61">
        <w:rPr>
          <w:rFonts w:ascii="Cambria" w:hAnsi="Cambria"/>
          <w:sz w:val="20"/>
          <w:szCs w:val="20"/>
          <w:lang w:val="pt-BR"/>
        </w:rPr>
        <w:t>ser</w:t>
      </w:r>
      <w:r w:rsidRPr="005D6E61">
        <w:rPr>
          <w:rFonts w:ascii="Cambria" w:hAnsi="Cambria"/>
          <w:sz w:val="20"/>
          <w:szCs w:val="20"/>
          <w:lang w:val="pt-BR"/>
        </w:rPr>
        <w:t xml:space="preserve"> um fato público e notório que o acusado e seus aliados estavam trabalhando numa relação de 80 nomes para possíveis membros do j</w:t>
      </w:r>
      <w:r w:rsidR="000E1C61" w:rsidRPr="005D6E61">
        <w:rPr>
          <w:rFonts w:ascii="Cambria" w:hAnsi="Cambria"/>
          <w:sz w:val="20"/>
          <w:szCs w:val="20"/>
          <w:lang w:val="pt-BR"/>
        </w:rPr>
        <w:t>ú</w:t>
      </w:r>
      <w:r w:rsidRPr="005D6E61">
        <w:rPr>
          <w:rFonts w:ascii="Cambria" w:hAnsi="Cambria"/>
          <w:sz w:val="20"/>
          <w:szCs w:val="20"/>
          <w:lang w:val="pt-BR"/>
        </w:rPr>
        <w:t xml:space="preserve">ri, o que foi levado em conta como base para </w:t>
      </w:r>
      <w:r w:rsidR="00784912" w:rsidRPr="005D6E61">
        <w:rPr>
          <w:rFonts w:ascii="Cambria" w:hAnsi="Cambria"/>
          <w:sz w:val="20"/>
          <w:szCs w:val="20"/>
          <w:lang w:val="pt-BR"/>
        </w:rPr>
        <w:t>transferir</w:t>
      </w:r>
      <w:r w:rsidRPr="005D6E61">
        <w:rPr>
          <w:rFonts w:ascii="Cambria" w:hAnsi="Cambria"/>
          <w:sz w:val="20"/>
          <w:szCs w:val="20"/>
          <w:lang w:val="pt-BR"/>
        </w:rPr>
        <w:t xml:space="preserve"> o </w:t>
      </w:r>
      <w:r w:rsidRPr="005D6E61">
        <w:rPr>
          <w:rFonts w:ascii="Cambria" w:hAnsi="Cambria"/>
          <w:sz w:val="20"/>
          <w:szCs w:val="20"/>
          <w:lang w:val="pt-BR"/>
        </w:rPr>
        <w:lastRenderedPageBreak/>
        <w:t xml:space="preserve">julgamento </w:t>
      </w:r>
      <w:r w:rsidR="000E1C61" w:rsidRPr="005D6E61">
        <w:rPr>
          <w:rFonts w:ascii="Cambria" w:hAnsi="Cambria"/>
          <w:sz w:val="20"/>
          <w:szCs w:val="20"/>
          <w:lang w:val="pt-BR"/>
        </w:rPr>
        <w:t>ao Primeiro Tribunal do</w:t>
      </w:r>
      <w:r w:rsidRPr="005D6E61">
        <w:rPr>
          <w:rFonts w:ascii="Cambria" w:hAnsi="Cambria"/>
          <w:sz w:val="20"/>
          <w:szCs w:val="20"/>
          <w:lang w:val="pt-BR"/>
        </w:rPr>
        <w:t xml:space="preserve"> </w:t>
      </w:r>
      <w:r w:rsidR="00A07DC0" w:rsidRPr="005D6E61">
        <w:rPr>
          <w:rFonts w:ascii="Cambria" w:hAnsi="Cambria"/>
          <w:sz w:val="20"/>
          <w:szCs w:val="20"/>
          <w:lang w:val="pt-BR"/>
        </w:rPr>
        <w:t>Júri</w:t>
      </w:r>
      <w:r w:rsidRPr="005D6E61">
        <w:rPr>
          <w:rFonts w:ascii="Cambria" w:hAnsi="Cambria"/>
          <w:sz w:val="20"/>
          <w:szCs w:val="20"/>
          <w:lang w:val="pt-BR"/>
        </w:rPr>
        <w:t xml:space="preserve"> da Comarca da Capital. A Comissão destaca que a decisão de absolvição carece de motivação. O Estado não ofereceu </w:t>
      </w:r>
      <w:r w:rsidR="008F4D6F" w:rsidRPr="005D6E61">
        <w:rPr>
          <w:rFonts w:ascii="Cambria" w:hAnsi="Cambria"/>
          <w:sz w:val="20"/>
          <w:szCs w:val="20"/>
          <w:lang w:val="pt-BR"/>
        </w:rPr>
        <w:t xml:space="preserve">nenhuma </w:t>
      </w:r>
      <w:r w:rsidRPr="005D6E61">
        <w:rPr>
          <w:rFonts w:ascii="Cambria" w:hAnsi="Cambria"/>
          <w:sz w:val="20"/>
          <w:szCs w:val="20"/>
          <w:lang w:val="pt-BR"/>
        </w:rPr>
        <w:t>explicação sobre estas situações e o</w:t>
      </w:r>
      <w:r w:rsidR="000E1C61" w:rsidRPr="005D6E61">
        <w:rPr>
          <w:rFonts w:ascii="Cambria" w:hAnsi="Cambria"/>
          <w:sz w:val="20"/>
          <w:szCs w:val="20"/>
          <w:lang w:val="pt-BR"/>
        </w:rPr>
        <w:t>s autos do</w:t>
      </w:r>
      <w:r w:rsidRPr="005D6E61">
        <w:rPr>
          <w:rFonts w:ascii="Cambria" w:hAnsi="Cambria"/>
          <w:sz w:val="20"/>
          <w:szCs w:val="20"/>
          <w:lang w:val="pt-BR"/>
        </w:rPr>
        <w:t xml:space="preserve"> </w:t>
      </w:r>
      <w:r w:rsidR="000E1C61" w:rsidRPr="005D6E61">
        <w:rPr>
          <w:rFonts w:ascii="Cambria" w:hAnsi="Cambria"/>
          <w:sz w:val="20"/>
          <w:szCs w:val="20"/>
          <w:lang w:val="pt-BR"/>
        </w:rPr>
        <w:t>processo</w:t>
      </w:r>
      <w:r w:rsidRPr="005D6E61">
        <w:rPr>
          <w:rFonts w:ascii="Cambria" w:hAnsi="Cambria"/>
          <w:sz w:val="20"/>
          <w:szCs w:val="20"/>
          <w:lang w:val="pt-BR"/>
        </w:rPr>
        <w:t xml:space="preserve"> </w:t>
      </w:r>
      <w:r w:rsidR="000E1C61" w:rsidRPr="005D6E61">
        <w:rPr>
          <w:rFonts w:ascii="Cambria" w:hAnsi="Cambria"/>
          <w:sz w:val="20"/>
          <w:szCs w:val="20"/>
          <w:lang w:val="pt-BR"/>
        </w:rPr>
        <w:t>indicam</w:t>
      </w:r>
      <w:r w:rsidRPr="005D6E61">
        <w:rPr>
          <w:rFonts w:ascii="Cambria" w:hAnsi="Cambria"/>
          <w:sz w:val="20"/>
          <w:szCs w:val="20"/>
          <w:lang w:val="pt-BR"/>
        </w:rPr>
        <w:t xml:space="preserve"> que tampouco foram investigadas. Nesse sentido, não se dissiparam as fortes suspeitas </w:t>
      </w:r>
      <w:r w:rsidR="000E1C61" w:rsidRPr="005D6E61">
        <w:rPr>
          <w:rFonts w:ascii="Cambria" w:hAnsi="Cambria"/>
          <w:sz w:val="20"/>
          <w:szCs w:val="20"/>
          <w:lang w:val="pt-BR"/>
        </w:rPr>
        <w:t>de</w:t>
      </w:r>
      <w:r w:rsidRPr="005D6E61">
        <w:rPr>
          <w:rFonts w:ascii="Cambria" w:hAnsi="Cambria"/>
          <w:sz w:val="20"/>
          <w:szCs w:val="20"/>
          <w:lang w:val="pt-BR"/>
        </w:rPr>
        <w:t xml:space="preserve"> press</w:t>
      </w:r>
      <w:r w:rsidR="000E1C61" w:rsidRPr="005D6E61">
        <w:rPr>
          <w:rFonts w:ascii="Cambria" w:hAnsi="Cambria"/>
          <w:sz w:val="20"/>
          <w:szCs w:val="20"/>
          <w:lang w:val="pt-BR"/>
        </w:rPr>
        <w:t xml:space="preserve">ão sobre </w:t>
      </w:r>
      <w:r w:rsidRPr="005D6E61">
        <w:rPr>
          <w:rFonts w:ascii="Cambria" w:hAnsi="Cambria"/>
          <w:sz w:val="20"/>
          <w:szCs w:val="20"/>
          <w:lang w:val="pt-BR"/>
        </w:rPr>
        <w:t>o j</w:t>
      </w:r>
      <w:r w:rsidR="000E1C61" w:rsidRPr="005D6E61">
        <w:rPr>
          <w:rFonts w:ascii="Cambria" w:hAnsi="Cambria"/>
          <w:sz w:val="20"/>
          <w:szCs w:val="20"/>
          <w:lang w:val="pt-BR"/>
        </w:rPr>
        <w:t>ú</w:t>
      </w:r>
      <w:r w:rsidRPr="005D6E61">
        <w:rPr>
          <w:rFonts w:ascii="Cambria" w:hAnsi="Cambria"/>
          <w:sz w:val="20"/>
          <w:szCs w:val="20"/>
          <w:lang w:val="pt-BR"/>
        </w:rPr>
        <w:t xml:space="preserve">ri e </w:t>
      </w:r>
      <w:r w:rsidR="00784912" w:rsidRPr="005D6E61">
        <w:rPr>
          <w:rFonts w:ascii="Cambria" w:hAnsi="Cambria"/>
          <w:sz w:val="20"/>
          <w:szCs w:val="20"/>
          <w:lang w:val="pt-BR"/>
        </w:rPr>
        <w:t xml:space="preserve">uma </w:t>
      </w:r>
      <w:r w:rsidRPr="005D6E61">
        <w:rPr>
          <w:rFonts w:ascii="Cambria" w:hAnsi="Cambria"/>
          <w:sz w:val="20"/>
          <w:szCs w:val="20"/>
          <w:lang w:val="pt-BR"/>
        </w:rPr>
        <w:t xml:space="preserve">consequente falta de imparcialidade. </w:t>
      </w:r>
    </w:p>
    <w:p w14:paraId="1C1358F7" w14:textId="77777777" w:rsidR="0074105E" w:rsidRPr="005D6E61" w:rsidRDefault="0074105E" w:rsidP="0074105E">
      <w:pPr>
        <w:pStyle w:val="ListParagraph"/>
        <w:rPr>
          <w:sz w:val="20"/>
          <w:szCs w:val="20"/>
          <w:lang w:val="pt-BR"/>
        </w:rPr>
      </w:pPr>
    </w:p>
    <w:p w14:paraId="2D48CD7B"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720"/>
        <w:jc w:val="both"/>
        <w:rPr>
          <w:rFonts w:ascii="Cambria" w:hAnsi="Cambria"/>
          <w:sz w:val="20"/>
          <w:szCs w:val="20"/>
          <w:lang w:val="pt-BR"/>
        </w:rPr>
      </w:pPr>
      <w:r w:rsidRPr="005D6E61">
        <w:rPr>
          <w:rFonts w:ascii="Cambria" w:hAnsi="Cambria"/>
          <w:sz w:val="20"/>
          <w:szCs w:val="20"/>
          <w:lang w:val="pt-BR"/>
        </w:rPr>
        <w:t>Em quarto lugar, a CIDH recorda que o Conselho de Defesa dos Direitos d</w:t>
      </w:r>
      <w:r w:rsidR="00F80A76" w:rsidRPr="005D6E61">
        <w:rPr>
          <w:rFonts w:ascii="Cambria" w:hAnsi="Cambria"/>
          <w:sz w:val="20"/>
          <w:szCs w:val="20"/>
          <w:lang w:val="pt-BR"/>
        </w:rPr>
        <w:t>a Pessoa Humana do Ministério da</w:t>
      </w:r>
      <w:r w:rsidRPr="005D6E61">
        <w:rPr>
          <w:rFonts w:ascii="Cambria" w:hAnsi="Cambria"/>
          <w:sz w:val="20"/>
          <w:szCs w:val="20"/>
          <w:lang w:val="pt-BR"/>
        </w:rPr>
        <w:t xml:space="preserve"> Justiça do Brasil reconheceu a existência de faltas ao dever de devida diligência no âmbito dos processos internos. Esse Conselho </w:t>
      </w:r>
      <w:r w:rsidR="00394047" w:rsidRPr="005D6E61">
        <w:rPr>
          <w:rFonts w:ascii="Cambria" w:hAnsi="Cambria"/>
          <w:sz w:val="20"/>
          <w:szCs w:val="20"/>
          <w:lang w:val="pt-BR"/>
        </w:rPr>
        <w:t>indicou</w:t>
      </w:r>
      <w:r w:rsidRPr="005D6E61">
        <w:rPr>
          <w:rFonts w:ascii="Cambria" w:hAnsi="Cambria"/>
          <w:sz w:val="20"/>
          <w:szCs w:val="20"/>
          <w:lang w:val="pt-BR"/>
        </w:rPr>
        <w:t xml:space="preserve"> que o suposto autor intelectual do delito, José Buarque de Gu</w:t>
      </w:r>
      <w:r w:rsidR="008F4D6F" w:rsidRPr="005D6E61">
        <w:rPr>
          <w:rFonts w:ascii="Cambria" w:hAnsi="Cambria"/>
          <w:sz w:val="20"/>
          <w:szCs w:val="20"/>
          <w:lang w:val="pt-BR"/>
        </w:rPr>
        <w:t>s</w:t>
      </w:r>
      <w:r w:rsidRPr="005D6E61">
        <w:rPr>
          <w:rFonts w:ascii="Cambria" w:hAnsi="Cambria"/>
          <w:sz w:val="20"/>
          <w:szCs w:val="20"/>
          <w:lang w:val="pt-BR"/>
        </w:rPr>
        <w:t>m</w:t>
      </w:r>
      <w:r w:rsidR="00394047" w:rsidRPr="005D6E61">
        <w:rPr>
          <w:rFonts w:ascii="Cambria" w:hAnsi="Cambria"/>
          <w:sz w:val="20"/>
          <w:szCs w:val="20"/>
          <w:lang w:val="pt-BR"/>
        </w:rPr>
        <w:t>ã</w:t>
      </w:r>
      <w:r w:rsidRPr="005D6E61">
        <w:rPr>
          <w:rFonts w:ascii="Cambria" w:hAnsi="Cambria"/>
          <w:sz w:val="20"/>
          <w:szCs w:val="20"/>
          <w:lang w:val="pt-BR"/>
        </w:rPr>
        <w:t>o</w:t>
      </w:r>
      <w:r w:rsidR="008F4D6F" w:rsidRPr="005D6E61">
        <w:rPr>
          <w:rFonts w:ascii="Cambria" w:hAnsi="Cambria"/>
          <w:sz w:val="20"/>
          <w:szCs w:val="20"/>
          <w:lang w:val="pt-BR"/>
        </w:rPr>
        <w:t xml:space="preserve"> </w:t>
      </w:r>
      <w:r w:rsidRPr="005D6E61">
        <w:rPr>
          <w:rFonts w:ascii="Cambria" w:hAnsi="Cambria"/>
          <w:sz w:val="20"/>
          <w:szCs w:val="20"/>
          <w:lang w:val="pt-BR"/>
        </w:rPr>
        <w:t>Neto, foi ju</w:t>
      </w:r>
      <w:r w:rsidR="00394047" w:rsidRPr="005D6E61">
        <w:rPr>
          <w:rFonts w:ascii="Cambria" w:hAnsi="Cambria"/>
          <w:sz w:val="20"/>
          <w:szCs w:val="20"/>
          <w:lang w:val="pt-BR"/>
        </w:rPr>
        <w:t>lg</w:t>
      </w:r>
      <w:r w:rsidRPr="005D6E61">
        <w:rPr>
          <w:rFonts w:ascii="Cambria" w:hAnsi="Cambria"/>
          <w:sz w:val="20"/>
          <w:szCs w:val="20"/>
          <w:lang w:val="pt-BR"/>
        </w:rPr>
        <w:t>ado 17 anos depois dos atos e também se referiu à “fragilidade da</w:t>
      </w:r>
      <w:r w:rsidR="008F4D6F" w:rsidRPr="005D6E61">
        <w:rPr>
          <w:rFonts w:ascii="Cambria" w:hAnsi="Cambria"/>
          <w:sz w:val="20"/>
          <w:szCs w:val="20"/>
          <w:lang w:val="pt-BR"/>
        </w:rPr>
        <w:t>s</w:t>
      </w:r>
      <w:r w:rsidRPr="005D6E61">
        <w:rPr>
          <w:rFonts w:ascii="Cambria" w:hAnsi="Cambria"/>
          <w:sz w:val="20"/>
          <w:szCs w:val="20"/>
          <w:lang w:val="pt-BR"/>
        </w:rPr>
        <w:t xml:space="preserve"> prova</w:t>
      </w:r>
      <w:r w:rsidR="008F4D6F" w:rsidRPr="005D6E61">
        <w:rPr>
          <w:rFonts w:ascii="Cambria" w:hAnsi="Cambria"/>
          <w:sz w:val="20"/>
          <w:szCs w:val="20"/>
          <w:lang w:val="pt-BR"/>
        </w:rPr>
        <w:t>s</w:t>
      </w:r>
      <w:r w:rsidRPr="005D6E61">
        <w:rPr>
          <w:rFonts w:ascii="Cambria" w:hAnsi="Cambria"/>
          <w:sz w:val="20"/>
          <w:szCs w:val="20"/>
          <w:lang w:val="pt-BR"/>
        </w:rPr>
        <w:t xml:space="preserve"> no processo penal, possivelmente por deficiências n</w:t>
      </w:r>
      <w:r w:rsidR="00394047" w:rsidRPr="005D6E61">
        <w:rPr>
          <w:rFonts w:ascii="Cambria" w:hAnsi="Cambria"/>
          <w:sz w:val="20"/>
          <w:szCs w:val="20"/>
          <w:lang w:val="pt-BR"/>
        </w:rPr>
        <w:t>o</w:t>
      </w:r>
      <w:r w:rsidRPr="005D6E61">
        <w:rPr>
          <w:rFonts w:ascii="Cambria" w:hAnsi="Cambria"/>
          <w:sz w:val="20"/>
          <w:szCs w:val="20"/>
          <w:lang w:val="pt-BR"/>
        </w:rPr>
        <w:t xml:space="preserve"> in</w:t>
      </w:r>
      <w:r w:rsidR="00394047" w:rsidRPr="005D6E61">
        <w:rPr>
          <w:rFonts w:ascii="Cambria" w:hAnsi="Cambria"/>
          <w:sz w:val="20"/>
          <w:szCs w:val="20"/>
          <w:lang w:val="pt-BR"/>
        </w:rPr>
        <w:t>quérito</w:t>
      </w:r>
      <w:r w:rsidRPr="005D6E61">
        <w:rPr>
          <w:rFonts w:ascii="Cambria" w:hAnsi="Cambria"/>
          <w:sz w:val="20"/>
          <w:szCs w:val="20"/>
          <w:lang w:val="pt-BR"/>
        </w:rPr>
        <w:t xml:space="preserve"> poli</w:t>
      </w:r>
      <w:r w:rsidR="00394047" w:rsidRPr="005D6E61">
        <w:rPr>
          <w:rFonts w:ascii="Cambria" w:hAnsi="Cambria"/>
          <w:sz w:val="20"/>
          <w:szCs w:val="20"/>
          <w:lang w:val="pt-BR"/>
        </w:rPr>
        <w:t>c</w:t>
      </w:r>
      <w:r w:rsidRPr="005D6E61">
        <w:rPr>
          <w:rFonts w:ascii="Cambria" w:hAnsi="Cambria"/>
          <w:sz w:val="20"/>
          <w:szCs w:val="20"/>
          <w:lang w:val="pt-BR"/>
        </w:rPr>
        <w:t>ial e na instrução criminal", e reconheceu a existência de “forças d</w:t>
      </w:r>
      <w:r w:rsidR="00394047" w:rsidRPr="005D6E61">
        <w:rPr>
          <w:rFonts w:ascii="Cambria" w:hAnsi="Cambria"/>
          <w:sz w:val="20"/>
          <w:szCs w:val="20"/>
          <w:lang w:val="pt-BR"/>
        </w:rPr>
        <w:t>o</w:t>
      </w:r>
      <w:r w:rsidRPr="005D6E61">
        <w:rPr>
          <w:rFonts w:ascii="Cambria" w:hAnsi="Cambria"/>
          <w:sz w:val="20"/>
          <w:szCs w:val="20"/>
          <w:lang w:val="pt-BR"/>
        </w:rPr>
        <w:t xml:space="preserve"> atraso” que influíram na demora do processo, na conclusão do processo criminal e </w:t>
      </w:r>
      <w:r w:rsidR="00394047" w:rsidRPr="005D6E61">
        <w:rPr>
          <w:rFonts w:ascii="Cambria" w:hAnsi="Cambria"/>
          <w:sz w:val="20"/>
          <w:szCs w:val="20"/>
          <w:lang w:val="pt-BR"/>
        </w:rPr>
        <w:t>n</w:t>
      </w:r>
      <w:r w:rsidRPr="005D6E61">
        <w:rPr>
          <w:rFonts w:ascii="Cambria" w:hAnsi="Cambria"/>
          <w:sz w:val="20"/>
          <w:szCs w:val="20"/>
          <w:lang w:val="pt-BR"/>
        </w:rPr>
        <w:t xml:space="preserve">o julgamento. </w:t>
      </w:r>
    </w:p>
    <w:p w14:paraId="5CFFA1AD" w14:textId="77777777" w:rsidR="0074105E" w:rsidRPr="005D6E61" w:rsidRDefault="0074105E" w:rsidP="0074105E">
      <w:pPr>
        <w:pStyle w:val="ListParagraph"/>
        <w:rPr>
          <w:sz w:val="20"/>
          <w:szCs w:val="20"/>
          <w:lang w:val="pt-BR"/>
        </w:rPr>
      </w:pPr>
    </w:p>
    <w:p w14:paraId="55EA5A50"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720"/>
        <w:jc w:val="both"/>
        <w:rPr>
          <w:rFonts w:ascii="Cambria" w:hAnsi="Cambria"/>
          <w:sz w:val="20"/>
          <w:szCs w:val="20"/>
          <w:lang w:val="pt-BR"/>
        </w:rPr>
      </w:pPr>
      <w:r w:rsidRPr="005D6E61">
        <w:rPr>
          <w:rFonts w:ascii="Cambria" w:hAnsi="Cambria"/>
          <w:sz w:val="20"/>
          <w:szCs w:val="20"/>
          <w:lang w:val="pt-BR"/>
        </w:rPr>
        <w:t>Em quinto lugar</w:t>
      </w:r>
      <w:r w:rsidR="00394047" w:rsidRPr="005D6E61">
        <w:rPr>
          <w:rFonts w:ascii="Cambria" w:hAnsi="Cambria"/>
          <w:sz w:val="20"/>
          <w:szCs w:val="20"/>
          <w:lang w:val="pt-BR"/>
        </w:rPr>
        <w:t>,</w:t>
      </w:r>
      <w:r w:rsidRPr="005D6E61">
        <w:rPr>
          <w:rFonts w:ascii="Cambria" w:hAnsi="Cambria"/>
          <w:sz w:val="20"/>
          <w:szCs w:val="20"/>
          <w:lang w:val="pt-BR"/>
        </w:rPr>
        <w:t xml:space="preserve"> quanto ao prazo razoável, desd</w:t>
      </w:r>
      <w:r w:rsidR="00394047" w:rsidRPr="005D6E61">
        <w:rPr>
          <w:rFonts w:ascii="Cambria" w:hAnsi="Cambria"/>
          <w:sz w:val="20"/>
          <w:szCs w:val="20"/>
          <w:lang w:val="pt-BR"/>
        </w:rPr>
        <w:t xml:space="preserve">e que ocorreram os </w:t>
      </w:r>
      <w:r w:rsidR="00B3759C" w:rsidRPr="005D6E61">
        <w:rPr>
          <w:rFonts w:ascii="Cambria" w:hAnsi="Cambria"/>
          <w:sz w:val="20"/>
          <w:szCs w:val="20"/>
          <w:lang w:val="pt-BR"/>
        </w:rPr>
        <w:t>f</w:t>
      </w:r>
      <w:r w:rsidR="00394047" w:rsidRPr="005D6E61">
        <w:rPr>
          <w:rFonts w:ascii="Cambria" w:hAnsi="Cambria"/>
          <w:sz w:val="20"/>
          <w:szCs w:val="20"/>
          <w:lang w:val="pt-BR"/>
        </w:rPr>
        <w:t>atos do caso</w:t>
      </w:r>
      <w:r w:rsidRPr="005D6E61">
        <w:rPr>
          <w:rFonts w:ascii="Cambria" w:hAnsi="Cambria"/>
          <w:sz w:val="20"/>
          <w:szCs w:val="20"/>
          <w:lang w:val="pt-BR"/>
        </w:rPr>
        <w:t xml:space="preserve"> em 12 de agosto de 1983 transcorreram mais de 34 anos sem que o Estado tenha esclarecido o assassinato, identificado os responsáveis e imposto as </w:t>
      </w:r>
      <w:r w:rsidR="00394047" w:rsidRPr="005D6E61">
        <w:rPr>
          <w:rFonts w:ascii="Cambria" w:hAnsi="Cambria"/>
          <w:sz w:val="20"/>
          <w:szCs w:val="20"/>
          <w:lang w:val="pt-BR"/>
        </w:rPr>
        <w:t>puni</w:t>
      </w:r>
      <w:r w:rsidRPr="005D6E61">
        <w:rPr>
          <w:rFonts w:ascii="Cambria" w:hAnsi="Cambria"/>
          <w:sz w:val="20"/>
          <w:szCs w:val="20"/>
          <w:lang w:val="pt-BR"/>
        </w:rPr>
        <w:t xml:space="preserve">ções respectivas. Como se indicou na seção anterior, esta situação aconteceu </w:t>
      </w:r>
      <w:r w:rsidR="00394047" w:rsidRPr="005D6E61">
        <w:rPr>
          <w:rFonts w:ascii="Cambria" w:hAnsi="Cambria"/>
          <w:sz w:val="20"/>
          <w:szCs w:val="20"/>
          <w:lang w:val="pt-BR"/>
        </w:rPr>
        <w:t>e</w:t>
      </w:r>
      <w:r w:rsidRPr="005D6E61">
        <w:rPr>
          <w:rFonts w:ascii="Cambria" w:hAnsi="Cambria"/>
          <w:sz w:val="20"/>
          <w:szCs w:val="20"/>
          <w:lang w:val="pt-BR"/>
        </w:rPr>
        <w:t xml:space="preserve">m consequência da falta de devida diligência nas investigações e processos devido a múltiplos fatores. A Comissão considera que este prazo é em si mesmo irrazoável e que do </w:t>
      </w:r>
      <w:r w:rsidR="00394047" w:rsidRPr="005D6E61">
        <w:rPr>
          <w:rFonts w:ascii="Cambria" w:hAnsi="Cambria"/>
          <w:sz w:val="20"/>
          <w:szCs w:val="20"/>
          <w:lang w:val="pt-BR"/>
        </w:rPr>
        <w:t>processo</w:t>
      </w:r>
      <w:r w:rsidRPr="005D6E61">
        <w:rPr>
          <w:rFonts w:ascii="Cambria" w:hAnsi="Cambria"/>
          <w:sz w:val="20"/>
          <w:szCs w:val="20"/>
          <w:lang w:val="pt-BR"/>
        </w:rPr>
        <w:t xml:space="preserve"> surge claramente que os elementos de complexidade, atuação das autoridades e atuação dos familiares não conseguem explicar nem justificar esse prazo excessivo. </w:t>
      </w:r>
    </w:p>
    <w:p w14:paraId="1A97A18E" w14:textId="77777777" w:rsidR="0074105E" w:rsidRPr="005D6E61" w:rsidRDefault="0074105E" w:rsidP="0074105E">
      <w:pPr>
        <w:pStyle w:val="ListParagraph"/>
        <w:rPr>
          <w:sz w:val="20"/>
          <w:szCs w:val="20"/>
          <w:lang w:val="pt-BR"/>
        </w:rPr>
      </w:pPr>
    </w:p>
    <w:p w14:paraId="461D8D0B"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720"/>
        <w:jc w:val="both"/>
        <w:rPr>
          <w:rFonts w:ascii="Cambria" w:hAnsi="Cambria"/>
          <w:sz w:val="20"/>
          <w:szCs w:val="20"/>
          <w:lang w:val="pt-BR"/>
        </w:rPr>
      </w:pPr>
      <w:r w:rsidRPr="005D6E61">
        <w:rPr>
          <w:rFonts w:ascii="Cambria" w:hAnsi="Cambria"/>
          <w:sz w:val="20"/>
          <w:szCs w:val="20"/>
          <w:lang w:val="pt-BR"/>
        </w:rPr>
        <w:t>Além disso, a Comissão destaca que</w:t>
      </w:r>
      <w:r w:rsidR="00D60987" w:rsidRPr="005D6E61">
        <w:rPr>
          <w:rFonts w:ascii="Cambria" w:hAnsi="Cambria"/>
          <w:sz w:val="20"/>
          <w:szCs w:val="20"/>
          <w:lang w:val="pt-BR"/>
        </w:rPr>
        <w:t>,</w:t>
      </w:r>
      <w:r w:rsidRPr="005D6E61">
        <w:rPr>
          <w:rFonts w:ascii="Cambria" w:hAnsi="Cambria"/>
          <w:sz w:val="20"/>
          <w:szCs w:val="20"/>
          <w:lang w:val="pt-BR"/>
        </w:rPr>
        <w:t xml:space="preserve"> com respeito ao quarto elemento, relacionado com </w:t>
      </w:r>
      <w:r w:rsidR="00D60987" w:rsidRPr="005D6E61">
        <w:rPr>
          <w:rFonts w:ascii="Cambria" w:hAnsi="Cambria"/>
          <w:sz w:val="20"/>
          <w:szCs w:val="20"/>
          <w:lang w:val="pt-BR"/>
        </w:rPr>
        <w:t>o</w:t>
      </w:r>
      <w:r w:rsidRPr="005D6E61">
        <w:rPr>
          <w:rFonts w:ascii="Cambria" w:hAnsi="Cambria"/>
          <w:sz w:val="20"/>
          <w:szCs w:val="20"/>
          <w:lang w:val="pt-BR"/>
        </w:rPr>
        <w:t xml:space="preserve"> </w:t>
      </w:r>
      <w:r w:rsidR="00D60987" w:rsidRPr="005D6E61">
        <w:rPr>
          <w:rFonts w:ascii="Cambria" w:hAnsi="Cambria"/>
          <w:sz w:val="20"/>
          <w:szCs w:val="20"/>
          <w:lang w:val="pt-BR"/>
        </w:rPr>
        <w:t>efeito</w:t>
      </w:r>
      <w:r w:rsidRPr="005D6E61">
        <w:rPr>
          <w:rFonts w:ascii="Cambria" w:hAnsi="Cambria"/>
          <w:sz w:val="20"/>
          <w:szCs w:val="20"/>
          <w:lang w:val="pt-BR"/>
        </w:rPr>
        <w:t xml:space="preserve"> gerad</w:t>
      </w:r>
      <w:r w:rsidR="00D60987" w:rsidRPr="005D6E61">
        <w:rPr>
          <w:rFonts w:ascii="Cambria" w:hAnsi="Cambria"/>
          <w:sz w:val="20"/>
          <w:szCs w:val="20"/>
          <w:lang w:val="pt-BR"/>
        </w:rPr>
        <w:t>o</w:t>
      </w:r>
      <w:r w:rsidRPr="005D6E61">
        <w:rPr>
          <w:rFonts w:ascii="Cambria" w:hAnsi="Cambria"/>
          <w:sz w:val="20"/>
          <w:szCs w:val="20"/>
          <w:lang w:val="pt-BR"/>
        </w:rPr>
        <w:t xml:space="preserve"> na situação jurídica respectiva</w:t>
      </w:r>
      <w:r w:rsidR="00D60987" w:rsidRPr="005D6E61">
        <w:rPr>
          <w:rFonts w:ascii="Cambria" w:hAnsi="Cambria"/>
          <w:sz w:val="20"/>
          <w:szCs w:val="20"/>
          <w:lang w:val="pt-BR"/>
        </w:rPr>
        <w:t>,</w:t>
      </w:r>
      <w:r w:rsidRPr="005D6E61">
        <w:rPr>
          <w:rFonts w:ascii="Cambria" w:hAnsi="Cambria"/>
          <w:sz w:val="20"/>
          <w:szCs w:val="20"/>
          <w:lang w:val="pt-BR"/>
        </w:rPr>
        <w:t xml:space="preserve"> o assassinato de uma defensora de direitos humanos e a situação de impunidade posterior não tem </w:t>
      </w:r>
      <w:r w:rsidR="00F80A76" w:rsidRPr="005D6E61">
        <w:rPr>
          <w:rFonts w:ascii="Cambria" w:hAnsi="Cambria"/>
          <w:sz w:val="20"/>
          <w:szCs w:val="20"/>
          <w:lang w:val="pt-BR"/>
        </w:rPr>
        <w:t xml:space="preserve">somente </w:t>
      </w:r>
      <w:r w:rsidRPr="005D6E61">
        <w:rPr>
          <w:rFonts w:ascii="Cambria" w:hAnsi="Cambria"/>
          <w:sz w:val="20"/>
          <w:szCs w:val="20"/>
          <w:lang w:val="pt-BR"/>
        </w:rPr>
        <w:t>um impacto no nível familiar, mas também um efeito amedr</w:t>
      </w:r>
      <w:r w:rsidR="00D60987" w:rsidRPr="005D6E61">
        <w:rPr>
          <w:rFonts w:ascii="Cambria" w:hAnsi="Cambria"/>
          <w:sz w:val="20"/>
          <w:szCs w:val="20"/>
          <w:lang w:val="pt-BR"/>
        </w:rPr>
        <w:t>o</w:t>
      </w:r>
      <w:r w:rsidRPr="005D6E61">
        <w:rPr>
          <w:rFonts w:ascii="Cambria" w:hAnsi="Cambria"/>
          <w:sz w:val="20"/>
          <w:szCs w:val="20"/>
          <w:lang w:val="pt-BR"/>
        </w:rPr>
        <w:t>ntador no coletivo de defensoras e defensores, que</w:t>
      </w:r>
      <w:r w:rsidR="00B3759C" w:rsidRPr="005D6E61">
        <w:rPr>
          <w:rFonts w:ascii="Cambria" w:hAnsi="Cambria"/>
          <w:sz w:val="20"/>
          <w:szCs w:val="20"/>
          <w:lang w:val="pt-BR"/>
        </w:rPr>
        <w:t>,</w:t>
      </w:r>
      <w:r w:rsidRPr="005D6E61">
        <w:rPr>
          <w:rFonts w:ascii="Cambria" w:hAnsi="Cambria"/>
          <w:sz w:val="20"/>
          <w:szCs w:val="20"/>
          <w:lang w:val="pt-BR"/>
        </w:rPr>
        <w:t xml:space="preserve"> po</w:t>
      </w:r>
      <w:r w:rsidR="00D60987" w:rsidRPr="005D6E61">
        <w:rPr>
          <w:rFonts w:ascii="Cambria" w:hAnsi="Cambria"/>
          <w:sz w:val="20"/>
          <w:szCs w:val="20"/>
          <w:lang w:val="pt-BR"/>
        </w:rPr>
        <w:t>r</w:t>
      </w:r>
      <w:r w:rsidRPr="005D6E61">
        <w:rPr>
          <w:rFonts w:ascii="Cambria" w:hAnsi="Cambria"/>
          <w:sz w:val="20"/>
          <w:szCs w:val="20"/>
          <w:lang w:val="pt-BR"/>
        </w:rPr>
        <w:t xml:space="preserve"> medo de sofrer represálias ou ataques similares</w:t>
      </w:r>
      <w:r w:rsidR="00B3759C" w:rsidRPr="005D6E61">
        <w:rPr>
          <w:rFonts w:ascii="Cambria" w:hAnsi="Cambria"/>
          <w:sz w:val="20"/>
          <w:szCs w:val="20"/>
          <w:lang w:val="pt-BR"/>
        </w:rPr>
        <w:t>,</w:t>
      </w:r>
      <w:r w:rsidRPr="005D6E61">
        <w:rPr>
          <w:rFonts w:ascii="Cambria" w:hAnsi="Cambria"/>
          <w:sz w:val="20"/>
          <w:szCs w:val="20"/>
          <w:lang w:val="pt-BR"/>
        </w:rPr>
        <w:t xml:space="preserve"> poderiam se abster de realizar suas tarefas de promoção e proteção dos direitos humanos, o que repercute na sociedade em geral. Isto </w:t>
      </w:r>
      <w:r w:rsidR="00D60987" w:rsidRPr="005D6E61">
        <w:rPr>
          <w:rFonts w:ascii="Cambria" w:hAnsi="Cambria"/>
          <w:sz w:val="20"/>
          <w:szCs w:val="20"/>
          <w:lang w:val="pt-BR"/>
        </w:rPr>
        <w:t>é</w:t>
      </w:r>
      <w:r w:rsidRPr="005D6E61">
        <w:rPr>
          <w:rFonts w:ascii="Cambria" w:hAnsi="Cambria"/>
          <w:sz w:val="20"/>
          <w:szCs w:val="20"/>
          <w:lang w:val="pt-BR"/>
        </w:rPr>
        <w:t xml:space="preserve"> ainda mais grave quando, como se indicou na seção de contexto, a situação de impunidade do assassinato de Margarida Mar</w:t>
      </w:r>
      <w:r w:rsidR="00D60987" w:rsidRPr="005D6E61">
        <w:rPr>
          <w:rFonts w:ascii="Cambria" w:hAnsi="Cambria"/>
          <w:sz w:val="20"/>
          <w:szCs w:val="20"/>
          <w:lang w:val="pt-BR"/>
        </w:rPr>
        <w:t>i</w:t>
      </w:r>
      <w:r w:rsidRPr="005D6E61">
        <w:rPr>
          <w:rFonts w:ascii="Cambria" w:hAnsi="Cambria"/>
          <w:sz w:val="20"/>
          <w:szCs w:val="20"/>
          <w:lang w:val="pt-BR"/>
        </w:rPr>
        <w:t>a Alves não constitui um fato isolado</w:t>
      </w:r>
      <w:r w:rsidR="00B3759C" w:rsidRPr="005D6E61">
        <w:rPr>
          <w:rFonts w:ascii="Cambria" w:hAnsi="Cambria"/>
          <w:sz w:val="20"/>
          <w:szCs w:val="20"/>
          <w:lang w:val="pt-BR"/>
        </w:rPr>
        <w:t>,</w:t>
      </w:r>
      <w:r w:rsidRPr="005D6E61">
        <w:rPr>
          <w:rFonts w:ascii="Cambria" w:hAnsi="Cambria"/>
          <w:sz w:val="20"/>
          <w:szCs w:val="20"/>
          <w:lang w:val="pt-BR"/>
        </w:rPr>
        <w:t xml:space="preserve"> mas se enquadra </w:t>
      </w:r>
      <w:r w:rsidR="00B3759C" w:rsidRPr="005D6E61">
        <w:rPr>
          <w:rFonts w:ascii="Cambria" w:hAnsi="Cambria"/>
          <w:sz w:val="20"/>
          <w:szCs w:val="20"/>
          <w:lang w:val="pt-BR"/>
        </w:rPr>
        <w:t>n</w:t>
      </w:r>
      <w:r w:rsidRPr="005D6E61">
        <w:rPr>
          <w:rFonts w:ascii="Cambria" w:hAnsi="Cambria"/>
          <w:sz w:val="20"/>
          <w:szCs w:val="20"/>
          <w:lang w:val="pt-BR"/>
        </w:rPr>
        <w:t xml:space="preserve">um contexto de impunidade alarmante durante os anos </w:t>
      </w:r>
      <w:r w:rsidR="00D60987" w:rsidRPr="005D6E61">
        <w:rPr>
          <w:rFonts w:ascii="Cambria" w:hAnsi="Cambria"/>
          <w:sz w:val="20"/>
          <w:szCs w:val="20"/>
          <w:lang w:val="pt-BR"/>
        </w:rPr>
        <w:t>80</w:t>
      </w:r>
      <w:r w:rsidRPr="005D6E61">
        <w:rPr>
          <w:rFonts w:ascii="Cambria" w:hAnsi="Cambria"/>
          <w:sz w:val="20"/>
          <w:szCs w:val="20"/>
          <w:lang w:val="pt-BR"/>
        </w:rPr>
        <w:t xml:space="preserve"> e </w:t>
      </w:r>
      <w:r w:rsidR="00D60987" w:rsidRPr="005D6E61">
        <w:rPr>
          <w:rFonts w:ascii="Cambria" w:hAnsi="Cambria"/>
          <w:sz w:val="20"/>
          <w:szCs w:val="20"/>
          <w:lang w:val="pt-BR"/>
        </w:rPr>
        <w:t>90</w:t>
      </w:r>
      <w:r w:rsidRPr="005D6E61">
        <w:rPr>
          <w:rFonts w:ascii="Cambria" w:hAnsi="Cambria"/>
          <w:sz w:val="20"/>
          <w:szCs w:val="20"/>
          <w:lang w:val="pt-BR"/>
        </w:rPr>
        <w:t xml:space="preserve"> que converte o Estado em tolerante deste tipo de atos. </w:t>
      </w:r>
    </w:p>
    <w:p w14:paraId="76B8AB45"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jc w:val="both"/>
        <w:rPr>
          <w:rFonts w:ascii="Cambria" w:hAnsi="Cambria"/>
          <w:sz w:val="20"/>
          <w:szCs w:val="20"/>
          <w:lang w:val="pt-BR"/>
        </w:rPr>
      </w:pPr>
    </w:p>
    <w:p w14:paraId="258F72D3"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198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A Comissão observa que todos os elementos descritos comprovam que os atos </w:t>
      </w:r>
      <w:r w:rsidR="00B3759C" w:rsidRPr="005D6E61">
        <w:rPr>
          <w:rFonts w:ascii="Cambria" w:hAnsi="Cambria"/>
          <w:sz w:val="20"/>
          <w:szCs w:val="20"/>
          <w:lang w:val="pt-BR"/>
        </w:rPr>
        <w:t>do Estado</w:t>
      </w:r>
      <w:r w:rsidRPr="005D6E61">
        <w:rPr>
          <w:rFonts w:ascii="Cambria" w:hAnsi="Cambria"/>
          <w:sz w:val="20"/>
          <w:szCs w:val="20"/>
          <w:lang w:val="pt-BR"/>
        </w:rPr>
        <w:t xml:space="preserve"> no processo investigativo não estavam orientados </w:t>
      </w:r>
      <w:r w:rsidR="00B3759C" w:rsidRPr="005D6E61">
        <w:rPr>
          <w:rFonts w:ascii="Cambria" w:hAnsi="Cambria"/>
          <w:sz w:val="20"/>
          <w:szCs w:val="20"/>
          <w:lang w:val="pt-BR"/>
        </w:rPr>
        <w:t>à</w:t>
      </w:r>
      <w:r w:rsidRPr="005D6E61">
        <w:rPr>
          <w:rFonts w:ascii="Cambria" w:hAnsi="Cambria"/>
          <w:sz w:val="20"/>
          <w:szCs w:val="20"/>
          <w:lang w:val="pt-BR"/>
        </w:rPr>
        <w:t xml:space="preserve"> determinação da verdade e </w:t>
      </w:r>
      <w:r w:rsidR="00D60987" w:rsidRPr="005D6E61">
        <w:rPr>
          <w:rFonts w:ascii="Cambria" w:hAnsi="Cambria"/>
          <w:sz w:val="20"/>
          <w:szCs w:val="20"/>
          <w:lang w:val="pt-BR"/>
        </w:rPr>
        <w:t>puni</w:t>
      </w:r>
      <w:r w:rsidRPr="005D6E61">
        <w:rPr>
          <w:rFonts w:ascii="Cambria" w:hAnsi="Cambria"/>
          <w:sz w:val="20"/>
          <w:szCs w:val="20"/>
          <w:lang w:val="pt-BR"/>
        </w:rPr>
        <w:t xml:space="preserve">ção dos responsáveis materiais e intelectuais dos atos, </w:t>
      </w:r>
      <w:r w:rsidR="00D60987" w:rsidRPr="005D6E61">
        <w:rPr>
          <w:rFonts w:ascii="Cambria" w:hAnsi="Cambria"/>
          <w:sz w:val="20"/>
          <w:szCs w:val="20"/>
          <w:lang w:val="pt-BR"/>
        </w:rPr>
        <w:t>mas,</w:t>
      </w:r>
      <w:r w:rsidRPr="005D6E61">
        <w:rPr>
          <w:rFonts w:ascii="Cambria" w:hAnsi="Cambria"/>
          <w:sz w:val="20"/>
          <w:szCs w:val="20"/>
          <w:lang w:val="pt-BR"/>
        </w:rPr>
        <w:t xml:space="preserve"> ao contrário</w:t>
      </w:r>
      <w:r w:rsidR="00D60987" w:rsidRPr="005D6E61">
        <w:rPr>
          <w:rFonts w:ascii="Cambria" w:hAnsi="Cambria"/>
          <w:sz w:val="20"/>
          <w:szCs w:val="20"/>
          <w:lang w:val="pt-BR"/>
        </w:rPr>
        <w:t>,</w:t>
      </w:r>
      <w:r w:rsidRPr="005D6E61">
        <w:rPr>
          <w:rFonts w:ascii="Cambria" w:hAnsi="Cambria"/>
          <w:sz w:val="20"/>
          <w:szCs w:val="20"/>
          <w:lang w:val="pt-BR"/>
        </w:rPr>
        <w:t xml:space="preserve"> contribuíram diretamente para a situação de impunidade. A CIDH recorda que</w:t>
      </w:r>
      <w:r w:rsidR="00D60987" w:rsidRPr="005D6E61">
        <w:rPr>
          <w:rFonts w:ascii="Cambria" w:hAnsi="Cambria"/>
          <w:sz w:val="20"/>
          <w:szCs w:val="20"/>
          <w:lang w:val="pt-BR"/>
        </w:rPr>
        <w:t>,</w:t>
      </w:r>
      <w:r w:rsidRPr="005D6E61">
        <w:rPr>
          <w:rFonts w:ascii="Cambria" w:hAnsi="Cambria"/>
          <w:sz w:val="20"/>
          <w:szCs w:val="20"/>
          <w:lang w:val="pt-BR"/>
        </w:rPr>
        <w:t xml:space="preserve"> no âmbito dos processos internos que tiveram as sérias deficiências analisadas, quatro pessoas foram beneficiadas com a prescrição, duas pessoas faleceram antes de serem submetidas a processo e duas pessoas foram absolvidas. </w:t>
      </w:r>
    </w:p>
    <w:p w14:paraId="0B34CCC4" w14:textId="77777777" w:rsidR="0074105E" w:rsidRPr="005D6E61" w:rsidRDefault="0074105E" w:rsidP="0074105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980"/>
          <w:tab w:val="num" w:pos="2040"/>
        </w:tabs>
        <w:jc w:val="both"/>
        <w:rPr>
          <w:rFonts w:ascii="Cambria" w:hAnsi="Cambria"/>
          <w:sz w:val="20"/>
          <w:szCs w:val="20"/>
          <w:lang w:val="pt-BR"/>
        </w:rPr>
      </w:pPr>
    </w:p>
    <w:p w14:paraId="03A032F4" w14:textId="77777777" w:rsidR="0074105E" w:rsidRPr="005D6E61" w:rsidRDefault="0074105E" w:rsidP="0074105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noProof/>
          <w:sz w:val="20"/>
          <w:szCs w:val="20"/>
          <w:lang w:val="pt-BR"/>
        </w:rPr>
      </w:pPr>
      <w:r w:rsidRPr="005D6E61">
        <w:rPr>
          <w:rFonts w:ascii="Cambria" w:hAnsi="Cambria"/>
          <w:sz w:val="20"/>
          <w:szCs w:val="20"/>
          <w:lang w:val="pt-BR"/>
        </w:rPr>
        <w:t>Em virtude das considerações</w:t>
      </w:r>
      <w:r w:rsidR="00D60987" w:rsidRPr="005D6E61">
        <w:rPr>
          <w:rFonts w:ascii="Cambria" w:hAnsi="Cambria"/>
          <w:sz w:val="20"/>
          <w:szCs w:val="20"/>
          <w:lang w:val="pt-BR"/>
        </w:rPr>
        <w:t xml:space="preserve"> anteriores</w:t>
      </w:r>
      <w:r w:rsidRPr="005D6E61">
        <w:rPr>
          <w:rFonts w:ascii="Cambria" w:hAnsi="Cambria"/>
          <w:sz w:val="20"/>
          <w:szCs w:val="20"/>
          <w:lang w:val="pt-BR"/>
        </w:rPr>
        <w:t>, a Comissão conclui que o Estado não investigou o assassinato de Margarida Mar</w:t>
      </w:r>
      <w:r w:rsidR="00D60987" w:rsidRPr="005D6E61">
        <w:rPr>
          <w:rFonts w:ascii="Cambria" w:hAnsi="Cambria"/>
          <w:sz w:val="20"/>
          <w:szCs w:val="20"/>
          <w:lang w:val="pt-BR"/>
        </w:rPr>
        <w:t>i</w:t>
      </w:r>
      <w:r w:rsidRPr="005D6E61">
        <w:rPr>
          <w:rFonts w:ascii="Cambria" w:hAnsi="Cambria"/>
          <w:sz w:val="20"/>
          <w:szCs w:val="20"/>
          <w:lang w:val="pt-BR"/>
        </w:rPr>
        <w:t>a Alves com a devida diligência e, portanto, é responsável pela violação dos direitos estabelecidos nos artigos XVIII da Declaração Americana e 8.1 e 25.1 da Convenção Americana, com relação ao artigo 1.1 do mesmo instrumento, em prejuízo de seus familiares identificados no presente relatório</w:t>
      </w:r>
      <w:r w:rsidRPr="005D6E61">
        <w:rPr>
          <w:rFonts w:ascii="Cambria" w:hAnsi="Cambria"/>
          <w:noProof/>
          <w:sz w:val="20"/>
          <w:szCs w:val="20"/>
          <w:lang w:val="pt-BR"/>
        </w:rPr>
        <w:t xml:space="preserve">. </w:t>
      </w:r>
    </w:p>
    <w:p w14:paraId="33CF7383" w14:textId="77777777" w:rsidR="0074105E" w:rsidRPr="005D6E61" w:rsidRDefault="0074105E" w:rsidP="0074105E">
      <w:pPr>
        <w:rPr>
          <w:noProof/>
          <w:sz w:val="20"/>
          <w:szCs w:val="20"/>
          <w:lang w:val="pt-BR"/>
        </w:rPr>
      </w:pPr>
    </w:p>
    <w:p w14:paraId="388F3D42" w14:textId="77777777" w:rsidR="0074105E" w:rsidRPr="005D6E61" w:rsidRDefault="0074105E" w:rsidP="0074105E">
      <w:pPr>
        <w:pStyle w:val="Heading2"/>
        <w:numPr>
          <w:ilvl w:val="0"/>
          <w:numId w:val="61"/>
        </w:numPr>
        <w:spacing w:before="0" w:after="0"/>
        <w:ind w:firstLine="0"/>
        <w:jc w:val="both"/>
        <w:rPr>
          <w:rFonts w:ascii="Cambria" w:hAnsi="Cambria" w:cs="Times New Roman"/>
          <w:bCs w:val="0"/>
          <w:i w:val="0"/>
          <w:iCs w:val="0"/>
          <w:noProof/>
          <w:sz w:val="20"/>
          <w:szCs w:val="20"/>
          <w:lang w:val="pt-BR" w:eastAsia="es-ES"/>
        </w:rPr>
      </w:pPr>
      <w:bookmarkStart w:id="33" w:name="_Toc496103835"/>
      <w:bookmarkStart w:id="34" w:name="_Toc27990572"/>
      <w:r w:rsidRPr="005D6E61">
        <w:rPr>
          <w:rFonts w:ascii="Cambria" w:hAnsi="Cambria" w:cs="Times New Roman"/>
          <w:bCs w:val="0"/>
          <w:i w:val="0"/>
          <w:iCs w:val="0"/>
          <w:noProof/>
          <w:sz w:val="20"/>
          <w:szCs w:val="20"/>
          <w:lang w:val="pt-BR" w:eastAsia="es-ES"/>
        </w:rPr>
        <w:t>Direito à vida (artigo I da Declaração Americana dos Direitos e Deveres do Homem</w:t>
      </w:r>
      <w:r w:rsidRPr="005D6E61">
        <w:rPr>
          <w:rStyle w:val="FootnoteReference"/>
          <w:rFonts w:ascii="Cambria" w:eastAsia="Trebuchet MS" w:hAnsi="Cambria" w:cs="Times New Roman"/>
          <w:bCs w:val="0"/>
          <w:i w:val="0"/>
          <w:iCs w:val="0"/>
          <w:noProof/>
          <w:sz w:val="20"/>
          <w:szCs w:val="20"/>
          <w:lang w:val="pt-BR" w:eastAsia="es-ES"/>
        </w:rPr>
        <w:footnoteReference w:id="140"/>
      </w:r>
      <w:r w:rsidRPr="005D6E61">
        <w:rPr>
          <w:rFonts w:ascii="Cambria" w:hAnsi="Cambria" w:cs="Times New Roman"/>
          <w:bCs w:val="0"/>
          <w:i w:val="0"/>
          <w:iCs w:val="0"/>
          <w:noProof/>
          <w:sz w:val="20"/>
          <w:szCs w:val="20"/>
          <w:lang w:val="pt-BR" w:eastAsia="es-ES"/>
        </w:rPr>
        <w:t>)</w:t>
      </w:r>
      <w:bookmarkEnd w:id="33"/>
      <w:bookmarkEnd w:id="34"/>
      <w:r w:rsidRPr="005D6E61">
        <w:rPr>
          <w:rFonts w:ascii="Cambria" w:hAnsi="Cambria" w:cs="Times New Roman"/>
          <w:bCs w:val="0"/>
          <w:i w:val="0"/>
          <w:iCs w:val="0"/>
          <w:noProof/>
          <w:sz w:val="20"/>
          <w:szCs w:val="20"/>
          <w:lang w:val="pt-BR" w:eastAsia="es-ES"/>
        </w:rPr>
        <w:t xml:space="preserve"> </w:t>
      </w:r>
    </w:p>
    <w:p w14:paraId="6A2DF08E" w14:textId="77777777" w:rsidR="0074105E" w:rsidRPr="005D6E61" w:rsidRDefault="0074105E" w:rsidP="0074105E">
      <w:pPr>
        <w:pStyle w:val="Heading3"/>
        <w:numPr>
          <w:ilvl w:val="0"/>
          <w:numId w:val="63"/>
        </w:numPr>
        <w:ind w:left="1350" w:hanging="630"/>
        <w:rPr>
          <w:rFonts w:ascii="Cambria" w:hAnsi="Cambria"/>
          <w:noProof/>
          <w:sz w:val="20"/>
          <w:szCs w:val="20"/>
          <w:lang w:val="pt-BR"/>
        </w:rPr>
      </w:pPr>
      <w:bookmarkStart w:id="35" w:name="_Toc496103836"/>
      <w:bookmarkStart w:id="36" w:name="_Toc27990573"/>
      <w:r w:rsidRPr="005D6E61">
        <w:rPr>
          <w:rFonts w:ascii="Cambria" w:hAnsi="Cambria"/>
          <w:noProof/>
          <w:sz w:val="20"/>
          <w:szCs w:val="20"/>
          <w:lang w:val="pt-BR"/>
        </w:rPr>
        <w:t>Considerações Gerais</w:t>
      </w:r>
      <w:bookmarkEnd w:id="35"/>
      <w:bookmarkEnd w:id="36"/>
    </w:p>
    <w:p w14:paraId="7F7260C8" w14:textId="77777777" w:rsidR="00FE4770" w:rsidRPr="005D6E61" w:rsidRDefault="00FE4770" w:rsidP="00FE4770">
      <w:pPr>
        <w:rPr>
          <w:lang w:val="pt-BR"/>
        </w:rPr>
      </w:pPr>
    </w:p>
    <w:p w14:paraId="61F7D9C2"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350"/>
          <w:tab w:val="left" w:pos="1440"/>
          <w:tab w:val="num" w:pos="2040"/>
        </w:tabs>
        <w:ind w:left="0" w:firstLine="720"/>
        <w:jc w:val="both"/>
        <w:rPr>
          <w:rFonts w:ascii="Cambria" w:hAnsi="Cambria"/>
          <w:sz w:val="20"/>
          <w:szCs w:val="20"/>
          <w:lang w:val="pt-BR" w:eastAsia="es-ES"/>
        </w:rPr>
      </w:pPr>
      <w:r w:rsidRPr="005D6E61">
        <w:rPr>
          <w:rFonts w:ascii="Cambria" w:hAnsi="Cambria"/>
          <w:sz w:val="20"/>
          <w:szCs w:val="20"/>
          <w:lang w:val="pt-BR" w:eastAsia="es-ES"/>
        </w:rPr>
        <w:t xml:space="preserve">Tanto a Comissão como a Corte Interamericana sustentaram que o direito à vida representa um papel fundamental na Convenção Americana, por ser o pressuposto essencial para o exercício dos </w:t>
      </w:r>
      <w:r w:rsidR="00B3759C" w:rsidRPr="005D6E61">
        <w:rPr>
          <w:rFonts w:ascii="Cambria" w:hAnsi="Cambria"/>
          <w:sz w:val="20"/>
          <w:szCs w:val="20"/>
          <w:lang w:val="pt-BR" w:eastAsia="es-ES"/>
        </w:rPr>
        <w:t>outros</w:t>
      </w:r>
      <w:r w:rsidRPr="005D6E61">
        <w:rPr>
          <w:rFonts w:ascii="Cambria" w:hAnsi="Cambria"/>
          <w:sz w:val="20"/>
          <w:szCs w:val="20"/>
          <w:lang w:val="pt-BR" w:eastAsia="es-ES"/>
        </w:rPr>
        <w:t xml:space="preserve"> direitos. A observância do direito à vida não só pressupõe que nenhuma pessoa seja privada de sua vida arbitrariamente (obrigação negativa), mas requer que os Estados adotem todas as medidas apropriadas para proteger e preservar o direito à vida (obrigação positiva), conforme o dever de garantir o pleno e livre exercício </w:t>
      </w:r>
      <w:r w:rsidRPr="005D6E61">
        <w:rPr>
          <w:rFonts w:ascii="Cambria" w:hAnsi="Cambria"/>
          <w:sz w:val="20"/>
          <w:szCs w:val="20"/>
          <w:lang w:val="pt-BR" w:eastAsia="es-ES"/>
        </w:rPr>
        <w:lastRenderedPageBreak/>
        <w:t>dos direitos de todas as pessoas sob sua jurisdição</w:t>
      </w:r>
      <w:r w:rsidRPr="005D6E61">
        <w:rPr>
          <w:rStyle w:val="FootnoteReference"/>
          <w:rFonts w:ascii="Cambria" w:hAnsi="Cambria"/>
          <w:sz w:val="20"/>
          <w:szCs w:val="20"/>
          <w:lang w:val="pt-BR" w:eastAsia="es-ES"/>
        </w:rPr>
        <w:footnoteReference w:id="141"/>
      </w:r>
      <w:r w:rsidRPr="005D6E61">
        <w:rPr>
          <w:rFonts w:ascii="Cambria" w:hAnsi="Cambria"/>
          <w:sz w:val="20"/>
          <w:szCs w:val="20"/>
          <w:lang w:val="pt-BR" w:eastAsia="es-ES"/>
        </w:rPr>
        <w:t>.  A responsabilidade do Estado se estende, entre outras, à violação do direito à vida resultante da ação ou omissão dos agentes do Estado</w:t>
      </w:r>
      <w:r w:rsidRPr="005D6E61">
        <w:rPr>
          <w:rStyle w:val="FootnoteReference"/>
          <w:rFonts w:ascii="Cambria" w:hAnsi="Cambria"/>
          <w:sz w:val="20"/>
          <w:szCs w:val="20"/>
          <w:lang w:val="pt-BR" w:eastAsia="es-ES"/>
        </w:rPr>
        <w:footnoteReference w:id="142"/>
      </w:r>
      <w:r w:rsidRPr="005D6E61">
        <w:rPr>
          <w:rFonts w:ascii="Cambria" w:hAnsi="Cambria"/>
          <w:sz w:val="20"/>
          <w:szCs w:val="20"/>
          <w:lang w:val="pt-BR" w:eastAsia="es-ES"/>
        </w:rPr>
        <w:t xml:space="preserve">. </w:t>
      </w:r>
    </w:p>
    <w:p w14:paraId="7C69C01D" w14:textId="77777777" w:rsidR="00FE4770" w:rsidRPr="005D6E61" w:rsidRDefault="00FE4770" w:rsidP="00FE4770">
      <w:pPr>
        <w:rPr>
          <w:sz w:val="20"/>
          <w:szCs w:val="20"/>
          <w:lang w:val="pt-BR"/>
        </w:rPr>
      </w:pPr>
    </w:p>
    <w:p w14:paraId="7FFC142A"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350"/>
          <w:tab w:val="left" w:pos="1440"/>
          <w:tab w:val="num" w:pos="2040"/>
        </w:tabs>
        <w:ind w:left="0" w:firstLine="720"/>
        <w:jc w:val="both"/>
        <w:rPr>
          <w:rFonts w:ascii="Cambria" w:hAnsi="Cambria"/>
          <w:sz w:val="20"/>
          <w:szCs w:val="20"/>
          <w:lang w:val="pt-BR" w:eastAsia="es-ES"/>
        </w:rPr>
      </w:pPr>
      <w:r w:rsidRPr="005D6E61">
        <w:rPr>
          <w:rFonts w:ascii="Cambria" w:hAnsi="Cambria"/>
          <w:sz w:val="20"/>
          <w:szCs w:val="20"/>
          <w:lang w:val="pt-BR" w:eastAsia="es-ES"/>
        </w:rPr>
        <w:t xml:space="preserve">A jurisprudência </w:t>
      </w:r>
      <w:r w:rsidRPr="005D6E61">
        <w:rPr>
          <w:rFonts w:ascii="Cambria" w:hAnsi="Cambria"/>
          <w:sz w:val="20"/>
          <w:szCs w:val="20"/>
          <w:lang w:val="pt-BR"/>
        </w:rPr>
        <w:t>interamericana indicou que o dever de investigar deve ser reforçado quando existem indícios de participação de agentes estatais</w:t>
      </w:r>
      <w:r w:rsidRPr="005D6E61">
        <w:rPr>
          <w:rStyle w:val="FootnoteReference"/>
          <w:rFonts w:ascii="Cambria" w:hAnsi="Cambria"/>
          <w:sz w:val="20"/>
          <w:szCs w:val="20"/>
          <w:lang w:val="pt-BR"/>
        </w:rPr>
        <w:footnoteReference w:id="143"/>
      </w:r>
      <w:r w:rsidRPr="005D6E61">
        <w:rPr>
          <w:rFonts w:ascii="Cambria" w:hAnsi="Cambria"/>
          <w:sz w:val="20"/>
          <w:szCs w:val="20"/>
          <w:lang w:val="pt-BR"/>
        </w:rPr>
        <w:t xml:space="preserve">. Sobre </w:t>
      </w:r>
      <w:r w:rsidR="00B3759C" w:rsidRPr="005D6E61">
        <w:rPr>
          <w:rFonts w:ascii="Cambria" w:hAnsi="Cambria"/>
          <w:sz w:val="20"/>
          <w:szCs w:val="20"/>
          <w:lang w:val="pt-BR"/>
        </w:rPr>
        <w:t>isso</w:t>
      </w:r>
      <w:r w:rsidRPr="005D6E61">
        <w:rPr>
          <w:rFonts w:ascii="Cambria" w:hAnsi="Cambria"/>
          <w:sz w:val="20"/>
          <w:szCs w:val="20"/>
          <w:lang w:val="pt-BR"/>
        </w:rPr>
        <w:t xml:space="preserve">, a Corte Europeia de Direitos Humanos indicou: </w:t>
      </w:r>
    </w:p>
    <w:p w14:paraId="049E8460" w14:textId="77777777" w:rsidR="00FE4770" w:rsidRPr="005D6E61" w:rsidRDefault="00FE4770" w:rsidP="00FE477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pt-BR" w:eastAsia="es-ES"/>
        </w:rPr>
      </w:pPr>
    </w:p>
    <w:p w14:paraId="504906C1" w14:textId="77777777" w:rsidR="00FE4770" w:rsidRPr="005D6E61" w:rsidRDefault="00B3759C" w:rsidP="00FE4770">
      <w:pPr>
        <w:pStyle w:val="BodyTextIndent"/>
        <w:tabs>
          <w:tab w:val="left" w:pos="810"/>
          <w:tab w:val="left" w:pos="1440"/>
        </w:tabs>
        <w:ind w:left="720" w:right="720" w:firstLine="0"/>
        <w:jc w:val="both"/>
        <w:rPr>
          <w:rFonts w:ascii="Cambria" w:hAnsi="Cambria"/>
          <w:sz w:val="20"/>
          <w:szCs w:val="20"/>
          <w:lang w:val="pt-BR"/>
        </w:rPr>
      </w:pPr>
      <w:r w:rsidRPr="005D6E61">
        <w:rPr>
          <w:rFonts w:ascii="Cambria" w:hAnsi="Cambria"/>
          <w:sz w:val="20"/>
          <w:szCs w:val="20"/>
          <w:lang w:val="pt-BR"/>
        </w:rPr>
        <w:t>A</w:t>
      </w:r>
      <w:r w:rsidR="00FE4770" w:rsidRPr="005D6E61">
        <w:rPr>
          <w:rFonts w:ascii="Cambria" w:hAnsi="Cambria"/>
          <w:sz w:val="20"/>
          <w:szCs w:val="20"/>
          <w:lang w:val="pt-BR"/>
        </w:rPr>
        <w:t xml:space="preserve"> obrigação do Estado de proteger o direito à vida exige por implicação que deve haver alguma forma de investigação oficial efetiva quando um indivíduo foi assassinado </w:t>
      </w:r>
      <w:r w:rsidR="003918F8" w:rsidRPr="005D6E61">
        <w:rPr>
          <w:rFonts w:ascii="Cambria" w:hAnsi="Cambria"/>
          <w:sz w:val="20"/>
          <w:szCs w:val="20"/>
          <w:lang w:val="pt-BR"/>
        </w:rPr>
        <w:t>como</w:t>
      </w:r>
      <w:r w:rsidR="00FE4770" w:rsidRPr="005D6E61">
        <w:rPr>
          <w:rFonts w:ascii="Cambria" w:hAnsi="Cambria"/>
          <w:sz w:val="20"/>
          <w:szCs w:val="20"/>
          <w:lang w:val="pt-BR"/>
        </w:rPr>
        <w:t xml:space="preserve"> resultado do uso da força. Essas investigações devem ser </w:t>
      </w:r>
      <w:r w:rsidRPr="005D6E61">
        <w:rPr>
          <w:rFonts w:ascii="Cambria" w:hAnsi="Cambria"/>
          <w:sz w:val="20"/>
          <w:szCs w:val="20"/>
          <w:lang w:val="pt-BR"/>
        </w:rPr>
        <w:t>realiz</w:t>
      </w:r>
      <w:r w:rsidR="00FE4770" w:rsidRPr="005D6E61">
        <w:rPr>
          <w:rFonts w:ascii="Cambria" w:hAnsi="Cambria"/>
          <w:sz w:val="20"/>
          <w:szCs w:val="20"/>
          <w:lang w:val="pt-BR"/>
        </w:rPr>
        <w:t>adas […] sem considerar se os perpetradores são agentes do Estado ou terceir</w:t>
      </w:r>
      <w:r w:rsidRPr="005D6E61">
        <w:rPr>
          <w:rFonts w:ascii="Cambria" w:hAnsi="Cambria"/>
          <w:sz w:val="20"/>
          <w:szCs w:val="20"/>
          <w:lang w:val="pt-BR"/>
        </w:rPr>
        <w:t>o</w:t>
      </w:r>
      <w:r w:rsidR="00FE4770" w:rsidRPr="005D6E61">
        <w:rPr>
          <w:rFonts w:ascii="Cambria" w:hAnsi="Cambria"/>
          <w:sz w:val="20"/>
          <w:szCs w:val="20"/>
          <w:lang w:val="pt-BR"/>
        </w:rPr>
        <w:t xml:space="preserve">s. No entanto, quando se alega o envolvimento de agentes ou </w:t>
      </w:r>
      <w:r w:rsidRPr="005D6E61">
        <w:rPr>
          <w:rFonts w:ascii="Cambria" w:hAnsi="Cambria"/>
          <w:sz w:val="20"/>
          <w:szCs w:val="20"/>
          <w:lang w:val="pt-BR"/>
        </w:rPr>
        <w:t>órgãos</w:t>
      </w:r>
      <w:r w:rsidR="00FE4770" w:rsidRPr="005D6E61">
        <w:rPr>
          <w:rFonts w:ascii="Cambria" w:hAnsi="Cambria"/>
          <w:sz w:val="20"/>
          <w:szCs w:val="20"/>
          <w:lang w:val="pt-BR"/>
        </w:rPr>
        <w:t xml:space="preserve"> do Estado podem</w:t>
      </w:r>
      <w:r w:rsidR="0089081D" w:rsidRPr="005D6E61">
        <w:rPr>
          <w:rFonts w:ascii="Cambria" w:hAnsi="Cambria"/>
          <w:sz w:val="20"/>
          <w:szCs w:val="20"/>
          <w:lang w:val="pt-BR"/>
        </w:rPr>
        <w:t>-se</w:t>
      </w:r>
      <w:r w:rsidR="00FE4770" w:rsidRPr="005D6E61">
        <w:rPr>
          <w:rFonts w:ascii="Cambria" w:hAnsi="Cambria"/>
          <w:sz w:val="20"/>
          <w:szCs w:val="20"/>
          <w:lang w:val="pt-BR"/>
        </w:rPr>
        <w:t xml:space="preserve"> aplicar requ</w:t>
      </w:r>
      <w:r w:rsidRPr="005D6E61">
        <w:rPr>
          <w:rFonts w:ascii="Cambria" w:hAnsi="Cambria"/>
          <w:sz w:val="20"/>
          <w:szCs w:val="20"/>
          <w:lang w:val="pt-BR"/>
        </w:rPr>
        <w:t>is</w:t>
      </w:r>
      <w:r w:rsidR="00FE4770" w:rsidRPr="005D6E61">
        <w:rPr>
          <w:rFonts w:ascii="Cambria" w:hAnsi="Cambria"/>
          <w:sz w:val="20"/>
          <w:szCs w:val="20"/>
          <w:lang w:val="pt-BR"/>
        </w:rPr>
        <w:t>itos específicos sobre a eficácia da investigação. (…) O propósito essencial dessa investigação é assegurar a implementação efetiva das leis internas que protegem o direito à vida e assegurar, naqueles casos que envolvam agentes do Est</w:t>
      </w:r>
      <w:r w:rsidR="0089081D" w:rsidRPr="005D6E61">
        <w:rPr>
          <w:rFonts w:ascii="Cambria" w:hAnsi="Cambria"/>
          <w:sz w:val="20"/>
          <w:szCs w:val="20"/>
          <w:lang w:val="pt-BR"/>
        </w:rPr>
        <w:t xml:space="preserve">ado, </w:t>
      </w:r>
      <w:r w:rsidR="00FE4770" w:rsidRPr="005D6E61">
        <w:rPr>
          <w:rFonts w:ascii="Cambria" w:hAnsi="Cambria"/>
          <w:sz w:val="20"/>
          <w:szCs w:val="20"/>
          <w:lang w:val="pt-BR"/>
        </w:rPr>
        <w:t>a prestação de contas pelas mortes sob sua responsabilidade</w:t>
      </w:r>
      <w:r w:rsidR="00FE4770" w:rsidRPr="005D6E61">
        <w:rPr>
          <w:rStyle w:val="FootnoteReference"/>
          <w:rFonts w:ascii="Cambria" w:hAnsi="Cambria"/>
          <w:sz w:val="20"/>
          <w:szCs w:val="20"/>
          <w:lang w:val="pt-BR"/>
        </w:rPr>
        <w:footnoteReference w:id="144"/>
      </w:r>
      <w:r w:rsidR="00FE4770" w:rsidRPr="005D6E61">
        <w:rPr>
          <w:rFonts w:ascii="Cambria" w:hAnsi="Cambria"/>
          <w:sz w:val="20"/>
          <w:szCs w:val="20"/>
          <w:lang w:val="pt-BR"/>
        </w:rPr>
        <w:t>.</w:t>
      </w:r>
    </w:p>
    <w:p w14:paraId="1C94F694" w14:textId="77777777" w:rsidR="00FE4770" w:rsidRPr="005D6E61" w:rsidRDefault="00FE4770" w:rsidP="00FE4770">
      <w:pPr>
        <w:pStyle w:val="BodyTextIndent"/>
        <w:tabs>
          <w:tab w:val="left" w:pos="810"/>
          <w:tab w:val="left" w:pos="1440"/>
        </w:tabs>
        <w:ind w:left="720" w:right="720" w:firstLine="0"/>
        <w:jc w:val="both"/>
        <w:rPr>
          <w:rFonts w:ascii="Cambria" w:hAnsi="Cambria"/>
          <w:sz w:val="20"/>
          <w:szCs w:val="20"/>
          <w:lang w:val="pt-BR"/>
        </w:rPr>
      </w:pPr>
    </w:p>
    <w:p w14:paraId="19C444CA"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A Comissão reitera que</w:t>
      </w:r>
      <w:r w:rsidR="00B3759C" w:rsidRPr="005D6E61">
        <w:rPr>
          <w:rFonts w:ascii="Cambria" w:hAnsi="Cambria"/>
          <w:sz w:val="20"/>
          <w:szCs w:val="20"/>
          <w:lang w:val="pt-BR"/>
        </w:rPr>
        <w:t>,</w:t>
      </w:r>
      <w:r w:rsidRPr="005D6E61">
        <w:rPr>
          <w:rFonts w:ascii="Cambria" w:hAnsi="Cambria"/>
          <w:sz w:val="20"/>
          <w:szCs w:val="20"/>
          <w:lang w:val="pt-BR"/>
        </w:rPr>
        <w:t xml:space="preserve"> ante indícios desta natureza, que implicariam uma atribuição direta de responsabilidade internacional ao Estado, corresponde às autoridades a cargo da investigação </w:t>
      </w:r>
      <w:r w:rsidR="00B3759C" w:rsidRPr="005D6E61">
        <w:rPr>
          <w:rFonts w:ascii="Cambria" w:hAnsi="Cambria"/>
          <w:sz w:val="20"/>
          <w:szCs w:val="20"/>
          <w:lang w:val="pt-BR"/>
        </w:rPr>
        <w:t>envidar</w:t>
      </w:r>
      <w:r w:rsidRPr="005D6E61">
        <w:rPr>
          <w:rFonts w:ascii="Cambria" w:hAnsi="Cambria"/>
          <w:sz w:val="20"/>
          <w:szCs w:val="20"/>
          <w:lang w:val="pt-BR"/>
        </w:rPr>
        <w:t xml:space="preserve"> todos os esforços necessários para esclarecer as possíveis responsabilidades ou vínculos de autoridades estatais </w:t>
      </w:r>
      <w:r w:rsidR="00B3759C" w:rsidRPr="005D6E61">
        <w:rPr>
          <w:rFonts w:ascii="Cambria" w:hAnsi="Cambria"/>
          <w:sz w:val="20"/>
          <w:szCs w:val="20"/>
          <w:lang w:val="pt-BR"/>
        </w:rPr>
        <w:t>n</w:t>
      </w:r>
      <w:r w:rsidRPr="005D6E61">
        <w:rPr>
          <w:rFonts w:ascii="Cambria" w:hAnsi="Cambria"/>
          <w:sz w:val="20"/>
          <w:szCs w:val="20"/>
          <w:lang w:val="pt-BR"/>
        </w:rPr>
        <w:t>uma violação do direito à vida</w:t>
      </w:r>
      <w:r w:rsidRPr="005D6E61">
        <w:rPr>
          <w:rStyle w:val="FootnoteReference"/>
          <w:rFonts w:ascii="Cambria" w:hAnsi="Cambria"/>
          <w:sz w:val="20"/>
          <w:szCs w:val="20"/>
          <w:lang w:val="pt-BR"/>
        </w:rPr>
        <w:footnoteReference w:id="145"/>
      </w:r>
      <w:r w:rsidRPr="005D6E61">
        <w:rPr>
          <w:rFonts w:ascii="Cambria" w:hAnsi="Cambria"/>
          <w:sz w:val="20"/>
          <w:szCs w:val="20"/>
          <w:lang w:val="pt-BR"/>
        </w:rPr>
        <w:t>.  Desta maneira, ca</w:t>
      </w:r>
      <w:r w:rsidR="00B3759C" w:rsidRPr="005D6E61">
        <w:rPr>
          <w:rFonts w:ascii="Cambria" w:hAnsi="Cambria"/>
          <w:sz w:val="20"/>
          <w:szCs w:val="20"/>
          <w:lang w:val="pt-BR"/>
        </w:rPr>
        <w:t>be a</w:t>
      </w:r>
      <w:r w:rsidRPr="005D6E61">
        <w:rPr>
          <w:rFonts w:ascii="Cambria" w:hAnsi="Cambria"/>
          <w:sz w:val="20"/>
          <w:szCs w:val="20"/>
          <w:lang w:val="pt-BR"/>
        </w:rPr>
        <w:t xml:space="preserve">o Estado </w:t>
      </w:r>
      <w:r w:rsidR="00464819" w:rsidRPr="005D6E61">
        <w:rPr>
          <w:rFonts w:ascii="Cambria" w:hAnsi="Cambria"/>
          <w:sz w:val="20"/>
          <w:szCs w:val="20"/>
          <w:lang w:val="pt-BR"/>
        </w:rPr>
        <w:t>realizar</w:t>
      </w:r>
      <w:r w:rsidRPr="005D6E61">
        <w:rPr>
          <w:rFonts w:ascii="Cambria" w:hAnsi="Cambria"/>
          <w:sz w:val="20"/>
          <w:szCs w:val="20"/>
          <w:lang w:val="pt-BR"/>
        </w:rPr>
        <w:t xml:space="preserve"> uma investigação minuciosa, séria e diligente para determinar a veracidade ou desvirtuar os indícios de participação de agentes estatais.  </w:t>
      </w:r>
    </w:p>
    <w:p w14:paraId="198FB5A1" w14:textId="77777777" w:rsidR="00FE4770" w:rsidRPr="005D6E61" w:rsidRDefault="00FE4770" w:rsidP="00FE4770">
      <w:pPr>
        <w:pStyle w:val="ListParagraph"/>
        <w:tabs>
          <w:tab w:val="left" w:pos="1440"/>
        </w:tabs>
        <w:rPr>
          <w:sz w:val="20"/>
          <w:szCs w:val="20"/>
          <w:lang w:val="pt-BR"/>
        </w:rPr>
      </w:pPr>
    </w:p>
    <w:p w14:paraId="39379677"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Com relação a este dever, a Corte assinalou que</w:t>
      </w:r>
      <w:r w:rsidR="00B3759C" w:rsidRPr="005D6E61">
        <w:rPr>
          <w:rFonts w:ascii="Cambria" w:hAnsi="Cambria"/>
          <w:sz w:val="20"/>
          <w:szCs w:val="20"/>
          <w:lang w:val="pt-BR"/>
        </w:rPr>
        <w:t>,</w:t>
      </w:r>
      <w:r w:rsidRPr="005D6E61">
        <w:rPr>
          <w:rFonts w:ascii="Cambria" w:hAnsi="Cambria"/>
          <w:sz w:val="20"/>
          <w:szCs w:val="20"/>
          <w:lang w:val="pt-BR"/>
        </w:rPr>
        <w:t xml:space="preserve"> em casos de morte violenta </w:t>
      </w:r>
      <w:r w:rsidR="00E45EE9" w:rsidRPr="005D6E61">
        <w:rPr>
          <w:rFonts w:ascii="Cambria" w:hAnsi="Cambria"/>
          <w:sz w:val="20"/>
          <w:szCs w:val="20"/>
          <w:lang w:val="pt-BR"/>
        </w:rPr>
        <w:t>nos quais</w:t>
      </w:r>
      <w:r w:rsidRPr="005D6E61">
        <w:rPr>
          <w:rFonts w:ascii="Cambria" w:hAnsi="Cambria"/>
          <w:sz w:val="20"/>
          <w:szCs w:val="20"/>
          <w:lang w:val="pt-BR"/>
        </w:rPr>
        <w:t xml:space="preserve"> </w:t>
      </w:r>
      <w:r w:rsidR="00E45EE9" w:rsidRPr="005D6E61">
        <w:rPr>
          <w:rFonts w:ascii="Cambria" w:hAnsi="Cambria"/>
          <w:sz w:val="20"/>
          <w:szCs w:val="20"/>
          <w:lang w:val="pt-BR"/>
        </w:rPr>
        <w:t>há</w:t>
      </w:r>
      <w:r w:rsidRPr="005D6E61">
        <w:rPr>
          <w:rFonts w:ascii="Cambria" w:hAnsi="Cambria"/>
          <w:sz w:val="20"/>
          <w:szCs w:val="20"/>
          <w:lang w:val="pt-BR"/>
        </w:rPr>
        <w:t xml:space="preserve"> indícios </w:t>
      </w:r>
      <w:r w:rsidR="00B3759C" w:rsidRPr="005D6E61">
        <w:rPr>
          <w:rFonts w:ascii="Cambria" w:hAnsi="Cambria"/>
          <w:sz w:val="20"/>
          <w:szCs w:val="20"/>
          <w:lang w:val="pt-BR"/>
        </w:rPr>
        <w:t>d</w:t>
      </w:r>
      <w:r w:rsidRPr="005D6E61">
        <w:rPr>
          <w:rFonts w:ascii="Cambria" w:hAnsi="Cambria"/>
          <w:sz w:val="20"/>
          <w:szCs w:val="20"/>
          <w:lang w:val="pt-BR"/>
        </w:rPr>
        <w:t>a participação de agentes estatais, o Estado deve adotar todas as medidas necessárias para determinar as responsabilidades individuais correspondentes</w:t>
      </w:r>
      <w:r w:rsidRPr="005D6E61">
        <w:rPr>
          <w:rStyle w:val="FootnoteReference"/>
          <w:rFonts w:ascii="Cambria" w:hAnsi="Cambria"/>
          <w:sz w:val="20"/>
          <w:szCs w:val="20"/>
          <w:lang w:val="pt-BR"/>
        </w:rPr>
        <w:footnoteReference w:id="146"/>
      </w:r>
      <w:r w:rsidRPr="005D6E61">
        <w:rPr>
          <w:rFonts w:ascii="Cambria" w:hAnsi="Cambria"/>
          <w:sz w:val="20"/>
          <w:szCs w:val="20"/>
          <w:lang w:val="pt-BR"/>
        </w:rPr>
        <w:t>. A Corte considerou</w:t>
      </w:r>
      <w:r w:rsidR="00B3759C" w:rsidRPr="005D6E61">
        <w:rPr>
          <w:rFonts w:ascii="Cambria" w:hAnsi="Cambria"/>
          <w:sz w:val="20"/>
          <w:szCs w:val="20"/>
          <w:lang w:val="pt-BR"/>
        </w:rPr>
        <w:t>,</w:t>
      </w:r>
      <w:r w:rsidRPr="005D6E61">
        <w:rPr>
          <w:rFonts w:ascii="Cambria" w:hAnsi="Cambria"/>
          <w:sz w:val="20"/>
          <w:szCs w:val="20"/>
          <w:lang w:val="pt-BR"/>
        </w:rPr>
        <w:t xml:space="preserve"> em casos onde isso não sucede</w:t>
      </w:r>
      <w:r w:rsidR="00F47D50" w:rsidRPr="005D6E61">
        <w:rPr>
          <w:rFonts w:ascii="Cambria" w:hAnsi="Cambria"/>
          <w:sz w:val="20"/>
          <w:szCs w:val="20"/>
          <w:lang w:val="pt-BR"/>
        </w:rPr>
        <w:t>, que</w:t>
      </w:r>
      <w:r w:rsidRPr="005D6E61">
        <w:rPr>
          <w:rFonts w:ascii="Cambria" w:hAnsi="Cambria"/>
          <w:sz w:val="20"/>
          <w:szCs w:val="20"/>
          <w:lang w:val="pt-BR"/>
        </w:rPr>
        <w:t>:</w:t>
      </w:r>
    </w:p>
    <w:p w14:paraId="249416D1" w14:textId="77777777" w:rsidR="00FE4770" w:rsidRPr="005D6E61" w:rsidRDefault="00FE4770" w:rsidP="00FE4770">
      <w:pPr>
        <w:pStyle w:val="ListParagraph"/>
        <w:tabs>
          <w:tab w:val="left" w:pos="1440"/>
        </w:tabs>
        <w:rPr>
          <w:sz w:val="20"/>
          <w:szCs w:val="20"/>
          <w:lang w:val="pt-BR"/>
        </w:rPr>
      </w:pPr>
    </w:p>
    <w:p w14:paraId="603C239E" w14:textId="77777777" w:rsidR="00FE4770" w:rsidRPr="005D6E61" w:rsidRDefault="00FE4770" w:rsidP="00FE4770">
      <w:pPr>
        <w:pStyle w:val="BodyTextIndent"/>
        <w:tabs>
          <w:tab w:val="left" w:pos="810"/>
          <w:tab w:val="left" w:pos="1440"/>
          <w:tab w:val="left" w:pos="8640"/>
        </w:tabs>
        <w:ind w:left="720" w:right="720" w:firstLine="0"/>
        <w:jc w:val="both"/>
        <w:rPr>
          <w:rFonts w:ascii="Cambria" w:hAnsi="Cambria"/>
          <w:sz w:val="20"/>
          <w:szCs w:val="20"/>
          <w:lang w:val="pt-BR"/>
        </w:rPr>
      </w:pPr>
      <w:r w:rsidRPr="005D6E61">
        <w:rPr>
          <w:rFonts w:ascii="Cambria" w:hAnsi="Cambria"/>
          <w:sz w:val="20"/>
          <w:szCs w:val="20"/>
          <w:lang w:val="pt-BR"/>
        </w:rPr>
        <w:t xml:space="preserve">(…) </w:t>
      </w:r>
      <w:r w:rsidR="00B3759C" w:rsidRPr="005D6E61">
        <w:rPr>
          <w:rFonts w:ascii="Cambria" w:hAnsi="Cambria"/>
          <w:sz w:val="20"/>
          <w:szCs w:val="20"/>
          <w:lang w:val="pt-BR"/>
        </w:rPr>
        <w:t xml:space="preserve">é </w:t>
      </w:r>
      <w:r w:rsidRPr="005D6E61">
        <w:rPr>
          <w:rFonts w:ascii="Cambria" w:hAnsi="Cambria"/>
          <w:sz w:val="20"/>
          <w:szCs w:val="20"/>
          <w:lang w:val="pt-BR"/>
        </w:rPr>
        <w:t xml:space="preserve">razoável </w:t>
      </w:r>
      <w:r w:rsidR="00B3759C" w:rsidRPr="005D6E61">
        <w:rPr>
          <w:rFonts w:ascii="Cambria" w:hAnsi="Cambria"/>
          <w:sz w:val="20"/>
          <w:szCs w:val="20"/>
          <w:lang w:val="pt-BR"/>
        </w:rPr>
        <w:t>atribuir</w:t>
      </w:r>
      <w:r w:rsidRPr="005D6E61">
        <w:rPr>
          <w:rFonts w:ascii="Cambria" w:hAnsi="Cambria"/>
          <w:sz w:val="20"/>
          <w:szCs w:val="20"/>
          <w:lang w:val="pt-BR"/>
        </w:rPr>
        <w:t xml:space="preserve"> valor probatório à série de indícios que surgem do </w:t>
      </w:r>
      <w:r w:rsidR="00B3759C" w:rsidRPr="005D6E61">
        <w:rPr>
          <w:rFonts w:ascii="Cambria" w:hAnsi="Cambria"/>
          <w:sz w:val="20"/>
          <w:szCs w:val="20"/>
          <w:lang w:val="pt-BR"/>
        </w:rPr>
        <w:t>processo</w:t>
      </w:r>
      <w:r w:rsidRPr="005D6E61">
        <w:rPr>
          <w:rFonts w:ascii="Cambria" w:hAnsi="Cambria"/>
          <w:sz w:val="20"/>
          <w:szCs w:val="20"/>
          <w:lang w:val="pt-BR"/>
        </w:rPr>
        <w:t xml:space="preserve"> (…) sobre a participação de agentes estatais nestes atos, em particular aqueles </w:t>
      </w:r>
      <w:r w:rsidR="0089081D" w:rsidRPr="005D6E61">
        <w:rPr>
          <w:rFonts w:ascii="Cambria" w:hAnsi="Cambria"/>
          <w:sz w:val="20"/>
          <w:szCs w:val="20"/>
          <w:lang w:val="pt-BR"/>
        </w:rPr>
        <w:t>efetu</w:t>
      </w:r>
      <w:r w:rsidRPr="005D6E61">
        <w:rPr>
          <w:rFonts w:ascii="Cambria" w:hAnsi="Cambria"/>
          <w:sz w:val="20"/>
          <w:szCs w:val="20"/>
          <w:lang w:val="pt-BR"/>
        </w:rPr>
        <w:t>ados pelos próprios órgãos estatais encarregados da investigação que não foram desvirtuados pelo Estado. Concluir o contrário implicaria permitir ao Estado amparar-se na negligência e ineficácia da investigação penal para se subtrair de sua responsabilidade pela violação do artigo 4.1 da Convenção</w:t>
      </w:r>
      <w:r w:rsidRPr="005D6E61">
        <w:rPr>
          <w:rStyle w:val="FootnoteReference"/>
          <w:rFonts w:ascii="Cambria" w:hAnsi="Cambria"/>
          <w:sz w:val="20"/>
          <w:szCs w:val="20"/>
          <w:lang w:val="pt-BR"/>
        </w:rPr>
        <w:footnoteReference w:id="147"/>
      </w:r>
      <w:r w:rsidRPr="005D6E61">
        <w:rPr>
          <w:rFonts w:ascii="Cambria" w:hAnsi="Cambria"/>
          <w:sz w:val="20"/>
          <w:szCs w:val="20"/>
          <w:lang w:val="pt-BR"/>
        </w:rPr>
        <w:t xml:space="preserve">. </w:t>
      </w:r>
      <w:r w:rsidRPr="005D6E61">
        <w:rPr>
          <w:rFonts w:ascii="Cambria" w:hAnsi="Cambria"/>
          <w:sz w:val="20"/>
          <w:szCs w:val="20"/>
          <w:lang w:val="pt-BR"/>
        </w:rPr>
        <w:cr/>
      </w:r>
    </w:p>
    <w:p w14:paraId="7E2F607A"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Igualmente, a Corte reiterou que a falta de investigação de alegadas </w:t>
      </w:r>
      <w:r w:rsidR="00B3759C" w:rsidRPr="005D6E61">
        <w:rPr>
          <w:rFonts w:ascii="Cambria" w:hAnsi="Cambria"/>
          <w:sz w:val="20"/>
          <w:szCs w:val="20"/>
          <w:lang w:val="pt-BR"/>
        </w:rPr>
        <w:t>viol</w:t>
      </w:r>
      <w:r w:rsidRPr="005D6E61">
        <w:rPr>
          <w:rFonts w:ascii="Cambria" w:hAnsi="Cambria"/>
          <w:sz w:val="20"/>
          <w:szCs w:val="20"/>
          <w:lang w:val="pt-BR"/>
        </w:rPr>
        <w:t xml:space="preserve">ações cometidas </w:t>
      </w:r>
      <w:r w:rsidR="00713E9D" w:rsidRPr="005D6E61">
        <w:rPr>
          <w:rFonts w:ascii="Cambria" w:hAnsi="Cambria"/>
          <w:sz w:val="20"/>
          <w:szCs w:val="20"/>
          <w:lang w:val="pt-BR"/>
        </w:rPr>
        <w:t xml:space="preserve">em relação </w:t>
      </w:r>
      <w:r w:rsidRPr="005D6E61">
        <w:rPr>
          <w:rFonts w:ascii="Cambria" w:hAnsi="Cambria"/>
          <w:sz w:val="20"/>
          <w:szCs w:val="20"/>
          <w:lang w:val="pt-BR"/>
        </w:rPr>
        <w:t xml:space="preserve">a uma pessoa quando existem indícios de participação de agentes estatais “impede que o Estado apresente uma explicação satisfatória e convincente dos </w:t>
      </w:r>
      <w:r w:rsidRPr="005D6E61">
        <w:rPr>
          <w:rFonts w:ascii="Cambria" w:hAnsi="Cambria" w:cs="Arial"/>
          <w:sz w:val="20"/>
          <w:szCs w:val="20"/>
          <w:lang w:val="pt-BR"/>
        </w:rPr>
        <w:t>[atos]</w:t>
      </w:r>
      <w:r w:rsidRPr="005D6E61">
        <w:rPr>
          <w:rFonts w:ascii="Cambria" w:hAnsi="Cambria"/>
          <w:sz w:val="20"/>
          <w:szCs w:val="20"/>
          <w:lang w:val="pt-BR"/>
        </w:rPr>
        <w:t xml:space="preserve"> alegados e desvirtuar as alegações sobre sua responsabilidade, mediante elementos probatórios adequados”</w:t>
      </w:r>
      <w:r w:rsidRPr="005D6E61">
        <w:rPr>
          <w:rStyle w:val="FootnoteReference"/>
          <w:rFonts w:ascii="Cambria" w:hAnsi="Cambria"/>
          <w:sz w:val="20"/>
          <w:szCs w:val="20"/>
          <w:lang w:val="pt-BR"/>
        </w:rPr>
        <w:t xml:space="preserve"> </w:t>
      </w:r>
      <w:r w:rsidRPr="005D6E61">
        <w:rPr>
          <w:rStyle w:val="FootnoteReference"/>
          <w:rFonts w:ascii="Cambria" w:hAnsi="Cambria"/>
          <w:sz w:val="20"/>
          <w:szCs w:val="20"/>
          <w:lang w:val="pt-BR"/>
        </w:rPr>
        <w:footnoteReference w:id="148"/>
      </w:r>
      <w:r w:rsidRPr="005D6E61">
        <w:rPr>
          <w:rFonts w:ascii="Cambria" w:hAnsi="Cambria"/>
          <w:sz w:val="20"/>
          <w:szCs w:val="20"/>
          <w:lang w:val="pt-BR"/>
        </w:rPr>
        <w:t xml:space="preserve">. Desta forma, a Corte tomou essa falta de esclarecimento como um fator a </w:t>
      </w:r>
      <w:r w:rsidR="00B3759C" w:rsidRPr="005D6E61">
        <w:rPr>
          <w:rFonts w:ascii="Cambria" w:hAnsi="Cambria"/>
          <w:sz w:val="20"/>
          <w:szCs w:val="20"/>
          <w:lang w:val="pt-BR"/>
        </w:rPr>
        <w:t xml:space="preserve">ser </w:t>
      </w:r>
      <w:r w:rsidRPr="005D6E61">
        <w:rPr>
          <w:rFonts w:ascii="Cambria" w:hAnsi="Cambria"/>
          <w:sz w:val="20"/>
          <w:szCs w:val="20"/>
          <w:lang w:val="pt-BR"/>
        </w:rPr>
        <w:t>leva</w:t>
      </w:r>
      <w:r w:rsidR="00B3759C" w:rsidRPr="005D6E61">
        <w:rPr>
          <w:rFonts w:ascii="Cambria" w:hAnsi="Cambria"/>
          <w:sz w:val="20"/>
          <w:szCs w:val="20"/>
          <w:lang w:val="pt-BR"/>
        </w:rPr>
        <w:t>do</w:t>
      </w:r>
      <w:r w:rsidRPr="005D6E61">
        <w:rPr>
          <w:rFonts w:ascii="Cambria" w:hAnsi="Cambria"/>
          <w:sz w:val="20"/>
          <w:szCs w:val="20"/>
          <w:lang w:val="pt-BR"/>
        </w:rPr>
        <w:t xml:space="preserve"> em conta para acreditar a alegada </w:t>
      </w:r>
      <w:r w:rsidR="00B3759C" w:rsidRPr="005D6E61">
        <w:rPr>
          <w:rFonts w:ascii="Cambria" w:hAnsi="Cambria"/>
          <w:sz w:val="20"/>
          <w:szCs w:val="20"/>
          <w:lang w:val="pt-BR"/>
        </w:rPr>
        <w:t>viol</w:t>
      </w:r>
      <w:r w:rsidRPr="005D6E61">
        <w:rPr>
          <w:rFonts w:ascii="Cambria" w:hAnsi="Cambria"/>
          <w:sz w:val="20"/>
          <w:szCs w:val="20"/>
          <w:lang w:val="pt-BR"/>
        </w:rPr>
        <w:t>ação e a consequente responsabilidade internacional</w:t>
      </w:r>
      <w:r w:rsidRPr="005D6E61">
        <w:rPr>
          <w:rStyle w:val="FootnoteReference"/>
          <w:rFonts w:ascii="Cambria" w:hAnsi="Cambria"/>
          <w:sz w:val="20"/>
          <w:szCs w:val="20"/>
          <w:lang w:val="pt-BR"/>
        </w:rPr>
        <w:footnoteReference w:id="149"/>
      </w:r>
      <w:r w:rsidRPr="005D6E61">
        <w:rPr>
          <w:rFonts w:ascii="Cambria" w:hAnsi="Cambria"/>
          <w:sz w:val="20"/>
          <w:szCs w:val="20"/>
          <w:lang w:val="pt-BR"/>
        </w:rPr>
        <w:t>.</w:t>
      </w:r>
    </w:p>
    <w:p w14:paraId="7A9520BA" w14:textId="77777777" w:rsidR="00FE4770" w:rsidRPr="005D6E61" w:rsidRDefault="00FE4770" w:rsidP="00FE4770">
      <w:pPr>
        <w:tabs>
          <w:tab w:val="num" w:pos="1350"/>
          <w:tab w:val="left" w:pos="1440"/>
          <w:tab w:val="num" w:pos="2040"/>
        </w:tabs>
        <w:ind w:left="720"/>
        <w:jc w:val="both"/>
        <w:rPr>
          <w:rFonts w:ascii="Cambria" w:hAnsi="Cambria"/>
          <w:sz w:val="20"/>
          <w:szCs w:val="20"/>
          <w:lang w:val="pt-BR"/>
        </w:rPr>
      </w:pPr>
    </w:p>
    <w:p w14:paraId="46157BE0"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lastRenderedPageBreak/>
        <w:t>Por outro lado, a Comissão recorda que a responsabilidade dos Estados de atuar com devida diligência frente a violações de direitos humanos pode-se estender às ações de atores não estatais</w:t>
      </w:r>
      <w:r w:rsidRPr="005D6E61">
        <w:rPr>
          <w:rStyle w:val="FootnoteReference"/>
          <w:rFonts w:ascii="Cambria" w:hAnsi="Cambria"/>
          <w:sz w:val="20"/>
          <w:szCs w:val="20"/>
          <w:lang w:val="pt-BR"/>
        </w:rPr>
        <w:footnoteReference w:id="150"/>
      </w:r>
      <w:r w:rsidRPr="005D6E61">
        <w:rPr>
          <w:rFonts w:ascii="Cambria" w:hAnsi="Cambria"/>
          <w:sz w:val="20"/>
          <w:szCs w:val="20"/>
          <w:lang w:val="pt-BR"/>
        </w:rPr>
        <w:t>. A Corte estabeleceu que um Estado não pode ser responsável por “qualquer violação de direitos humanos cometida entre particulares dentro de sua jurisdição”. Tanto a Comissão como a Corte analisaram as circunstâncias nas quais o Estado está obrigado a tomar medidas de prevenção e proteção, indicando que estas se encontram condicionadas ao conhecimento de uma situação de risco real e imediato para um indivíduo ou grupo de indivíduos determinado e para as possibilidades razoáveis de prevenir ou evitar esse risco</w:t>
      </w:r>
      <w:r w:rsidRPr="005D6E61">
        <w:rPr>
          <w:rStyle w:val="FootnoteReference"/>
          <w:rFonts w:ascii="Cambria" w:hAnsi="Cambria"/>
          <w:sz w:val="20"/>
          <w:szCs w:val="20"/>
          <w:lang w:val="pt-BR"/>
        </w:rPr>
        <w:footnoteReference w:id="151"/>
      </w:r>
      <w:r w:rsidRPr="005D6E61">
        <w:rPr>
          <w:rFonts w:ascii="Cambria" w:hAnsi="Cambria"/>
          <w:sz w:val="20"/>
          <w:szCs w:val="20"/>
          <w:lang w:val="pt-BR"/>
        </w:rPr>
        <w:t>.</w:t>
      </w:r>
    </w:p>
    <w:p w14:paraId="413E2767" w14:textId="77777777" w:rsidR="00FE4770" w:rsidRPr="005D6E61" w:rsidRDefault="00FE4770" w:rsidP="00FE4770">
      <w:pPr>
        <w:pStyle w:val="Heading3"/>
        <w:numPr>
          <w:ilvl w:val="0"/>
          <w:numId w:val="63"/>
        </w:numPr>
        <w:ind w:left="1350" w:hanging="630"/>
        <w:rPr>
          <w:rFonts w:ascii="Cambria" w:hAnsi="Cambria"/>
          <w:sz w:val="20"/>
          <w:szCs w:val="20"/>
          <w:lang w:val="pt-BR"/>
        </w:rPr>
      </w:pPr>
      <w:bookmarkStart w:id="37" w:name="_Toc496103837"/>
      <w:bookmarkStart w:id="38" w:name="_Toc27990574"/>
      <w:r w:rsidRPr="005D6E61">
        <w:rPr>
          <w:rFonts w:ascii="Cambria" w:hAnsi="Cambria"/>
          <w:sz w:val="20"/>
          <w:szCs w:val="20"/>
          <w:lang w:val="pt-BR"/>
        </w:rPr>
        <w:t>Análise do presente caso</w:t>
      </w:r>
      <w:bookmarkEnd w:id="37"/>
      <w:bookmarkEnd w:id="38"/>
    </w:p>
    <w:p w14:paraId="087A6AE5" w14:textId="77777777" w:rsidR="00FE4770" w:rsidRPr="005D6E61" w:rsidRDefault="00FE4770" w:rsidP="00FE4770">
      <w:pPr>
        <w:rPr>
          <w:lang w:val="pt-BR"/>
        </w:rPr>
      </w:pPr>
    </w:p>
    <w:p w14:paraId="5B6389D0"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1350"/>
          <w:tab w:val="left" w:pos="1440"/>
          <w:tab w:val="num" w:pos="2040"/>
        </w:tabs>
        <w:ind w:left="0" w:firstLine="720"/>
        <w:jc w:val="both"/>
        <w:rPr>
          <w:rFonts w:ascii="Cambria" w:hAnsi="Cambria"/>
          <w:color w:val="FF0000"/>
          <w:sz w:val="20"/>
          <w:szCs w:val="20"/>
          <w:lang w:val="pt-BR"/>
        </w:rPr>
      </w:pPr>
      <w:r w:rsidRPr="005D6E61">
        <w:rPr>
          <w:rFonts w:ascii="Cambria" w:hAnsi="Cambria"/>
          <w:sz w:val="20"/>
          <w:szCs w:val="20"/>
          <w:lang w:val="pt-BR"/>
        </w:rPr>
        <w:t xml:space="preserve">A Comissão observa que no presente caso existe uma série de elementos probatórios que </w:t>
      </w:r>
      <w:r w:rsidR="00B3759C" w:rsidRPr="005D6E61">
        <w:rPr>
          <w:rFonts w:ascii="Cambria" w:hAnsi="Cambria"/>
          <w:sz w:val="20"/>
          <w:szCs w:val="20"/>
          <w:lang w:val="pt-BR"/>
        </w:rPr>
        <w:t>indicam</w:t>
      </w:r>
      <w:r w:rsidRPr="005D6E61">
        <w:rPr>
          <w:rFonts w:ascii="Cambria" w:hAnsi="Cambria"/>
          <w:sz w:val="20"/>
          <w:szCs w:val="20"/>
          <w:lang w:val="pt-BR"/>
        </w:rPr>
        <w:t xml:space="preserve"> a participação de agentes estatais no assassinato da suposta vítima. </w:t>
      </w:r>
    </w:p>
    <w:p w14:paraId="14AADA5D" w14:textId="77777777" w:rsidR="00FE4770" w:rsidRPr="005D6E61" w:rsidRDefault="00FE4770" w:rsidP="00FE4770">
      <w:pPr>
        <w:pStyle w:val="ListParagraph"/>
        <w:rPr>
          <w:color w:val="FF0000"/>
          <w:sz w:val="20"/>
          <w:szCs w:val="20"/>
          <w:lang w:val="pt-BR"/>
        </w:rPr>
      </w:pPr>
    </w:p>
    <w:p w14:paraId="7987E78A"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1350"/>
          <w:tab w:val="left" w:pos="1440"/>
          <w:tab w:val="num" w:pos="2040"/>
        </w:tabs>
        <w:ind w:left="0" w:firstLine="720"/>
        <w:jc w:val="both"/>
        <w:rPr>
          <w:rFonts w:ascii="Cambria" w:hAnsi="Cambria"/>
          <w:color w:val="FF0000"/>
          <w:sz w:val="20"/>
          <w:szCs w:val="20"/>
          <w:lang w:val="pt-BR"/>
        </w:rPr>
      </w:pPr>
      <w:r w:rsidRPr="005D6E61">
        <w:rPr>
          <w:rFonts w:ascii="Cambria" w:hAnsi="Cambria"/>
          <w:sz w:val="20"/>
          <w:szCs w:val="20"/>
          <w:lang w:val="pt-BR"/>
        </w:rPr>
        <w:t>Em primeiro lugar</w:t>
      </w:r>
      <w:r w:rsidR="00B3759C" w:rsidRPr="005D6E61">
        <w:rPr>
          <w:rFonts w:ascii="Cambria" w:hAnsi="Cambria"/>
          <w:sz w:val="20"/>
          <w:szCs w:val="20"/>
          <w:lang w:val="pt-BR"/>
        </w:rPr>
        <w:t>,</w:t>
      </w:r>
      <w:r w:rsidRPr="005D6E61">
        <w:rPr>
          <w:rFonts w:ascii="Cambria" w:hAnsi="Cambria"/>
          <w:sz w:val="20"/>
          <w:szCs w:val="20"/>
          <w:lang w:val="pt-BR"/>
        </w:rPr>
        <w:t xml:space="preserve"> a Comissão se remete ao já indicado nas seções anteriores, sobre a falta de devida diligência e os atos e omissões que tinham como consequência </w:t>
      </w:r>
      <w:r w:rsidR="00923FEB" w:rsidRPr="005D6E61">
        <w:rPr>
          <w:rFonts w:ascii="Cambria" w:hAnsi="Cambria"/>
          <w:sz w:val="20"/>
          <w:szCs w:val="20"/>
          <w:lang w:val="pt-BR"/>
        </w:rPr>
        <w:t>buscar</w:t>
      </w:r>
      <w:r w:rsidRPr="005D6E61">
        <w:rPr>
          <w:rFonts w:ascii="Cambria" w:hAnsi="Cambria"/>
          <w:sz w:val="20"/>
          <w:szCs w:val="20"/>
          <w:lang w:val="pt-BR"/>
        </w:rPr>
        <w:t xml:space="preserve"> a impunidade do caso no âmbito das investigações no nível interno. </w:t>
      </w:r>
    </w:p>
    <w:p w14:paraId="6DCA9D74" w14:textId="77777777" w:rsidR="00FE4770" w:rsidRPr="005D6E61" w:rsidRDefault="00FE4770" w:rsidP="00FE4770">
      <w:pPr>
        <w:rPr>
          <w:sz w:val="20"/>
          <w:szCs w:val="20"/>
          <w:lang w:val="pt-BR"/>
        </w:rPr>
      </w:pPr>
    </w:p>
    <w:p w14:paraId="110762F4"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Em segundo lugar, a Comissão ressalta o contexto geral de violência contra sindicalistas e defensoras e defensores de direitos trabalhistas no momento em que ocorreram os fatos, e que vários organismos internacionais haviam </w:t>
      </w:r>
      <w:r w:rsidR="00923FEB" w:rsidRPr="005D6E61">
        <w:rPr>
          <w:rFonts w:ascii="Cambria" w:hAnsi="Cambria"/>
          <w:sz w:val="20"/>
          <w:szCs w:val="20"/>
          <w:lang w:val="pt-BR"/>
        </w:rPr>
        <w:t>indic</w:t>
      </w:r>
      <w:r w:rsidRPr="005D6E61">
        <w:rPr>
          <w:rFonts w:ascii="Cambria" w:hAnsi="Cambria"/>
          <w:sz w:val="20"/>
          <w:szCs w:val="20"/>
          <w:lang w:val="pt-BR"/>
        </w:rPr>
        <w:t xml:space="preserve">ado a aquiescência e em certos casos participação de autoridades locais nos assassinatos dessas pessoas.  </w:t>
      </w:r>
    </w:p>
    <w:p w14:paraId="636BEF33" w14:textId="77777777" w:rsidR="00FE4770" w:rsidRPr="005D6E61" w:rsidRDefault="00FE4770" w:rsidP="00FE4770">
      <w:pPr>
        <w:pStyle w:val="ListParagraph"/>
        <w:rPr>
          <w:color w:val="auto"/>
          <w:sz w:val="20"/>
          <w:szCs w:val="20"/>
          <w:lang w:val="pt-BR"/>
        </w:rPr>
      </w:pPr>
    </w:p>
    <w:p w14:paraId="3EC45916"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Em terceiro lugar, </w:t>
      </w:r>
      <w:r w:rsidR="00D65F72" w:rsidRPr="005D6E61">
        <w:rPr>
          <w:rFonts w:ascii="Cambria" w:hAnsi="Cambria"/>
          <w:sz w:val="20"/>
          <w:szCs w:val="20"/>
          <w:lang w:val="pt-BR"/>
        </w:rPr>
        <w:t>conforme</w:t>
      </w:r>
      <w:r w:rsidRPr="005D6E61">
        <w:rPr>
          <w:rFonts w:ascii="Cambria" w:hAnsi="Cambria"/>
          <w:sz w:val="20"/>
          <w:szCs w:val="20"/>
          <w:lang w:val="pt-BR"/>
        </w:rPr>
        <w:t xml:space="preserve"> indicado na seção anterior, o relatório de 2013 da Secretaria de Direitos Humanos da Presidência da República intitulado </w:t>
      </w:r>
      <w:r w:rsidRPr="005D6E61">
        <w:rPr>
          <w:rFonts w:ascii="Cambria" w:hAnsi="Cambria"/>
          <w:sz w:val="20"/>
          <w:lang w:val="pt-BR"/>
        </w:rPr>
        <w:t xml:space="preserve">“Camponeses mortos e desaparecidos: excluídos da justiça de transição” documentou 75 assassinatos de sindicalistas entre 1961 e 1988, incluindo a suposta vítima, e indicou que a amplitude territorial na qual os delitos foram cometidos somente se explica pela participação ou omissão das instituições do Estado. </w:t>
      </w:r>
      <w:r w:rsidR="00923FEB" w:rsidRPr="005D6E61">
        <w:rPr>
          <w:rFonts w:ascii="Cambria" w:hAnsi="Cambria"/>
          <w:sz w:val="20"/>
          <w:lang w:val="pt-BR"/>
        </w:rPr>
        <w:t>E</w:t>
      </w:r>
      <w:r w:rsidRPr="005D6E61">
        <w:rPr>
          <w:rFonts w:ascii="Cambria" w:hAnsi="Cambria"/>
          <w:sz w:val="20"/>
          <w:lang w:val="pt-BR"/>
        </w:rPr>
        <w:t xml:space="preserve">sse relatório </w:t>
      </w:r>
      <w:r w:rsidR="00923FEB" w:rsidRPr="005D6E61">
        <w:rPr>
          <w:rFonts w:ascii="Cambria" w:hAnsi="Cambria"/>
          <w:sz w:val="20"/>
          <w:lang w:val="pt-BR"/>
        </w:rPr>
        <w:t xml:space="preserve">também </w:t>
      </w:r>
      <w:r w:rsidRPr="005D6E61">
        <w:rPr>
          <w:rFonts w:ascii="Cambria" w:hAnsi="Cambria"/>
          <w:sz w:val="20"/>
          <w:lang w:val="pt-BR"/>
        </w:rPr>
        <w:t>relatou que Margarida Maria Alves denunciava “os senhores de engenho do chamado “Grupo da Várzea”. Esse grupo, como indicado anteriormente, era composto por</w:t>
      </w:r>
      <w:r w:rsidRPr="005D6E61">
        <w:rPr>
          <w:rFonts w:ascii="Cambria" w:eastAsia="Calibri" w:hAnsi="Cambria"/>
          <w:sz w:val="20"/>
          <w:szCs w:val="20"/>
          <w:lang w:val="pt-BR"/>
        </w:rPr>
        <w:t xml:space="preserve"> </w:t>
      </w:r>
      <w:r w:rsidR="00923FEB" w:rsidRPr="005D6E61">
        <w:rPr>
          <w:rFonts w:ascii="Cambria" w:eastAsia="Calibri" w:hAnsi="Cambria"/>
          <w:sz w:val="20"/>
          <w:szCs w:val="20"/>
          <w:lang w:val="pt-BR"/>
        </w:rPr>
        <w:t>fazendeiros</w:t>
      </w:r>
      <w:r w:rsidRPr="005D6E61">
        <w:rPr>
          <w:rFonts w:ascii="Cambria" w:eastAsia="Calibri" w:hAnsi="Cambria"/>
          <w:sz w:val="20"/>
          <w:szCs w:val="20"/>
          <w:lang w:val="pt-BR"/>
        </w:rPr>
        <w:t>, deputados estaduais e federais e agentes de segurança pública.</w:t>
      </w:r>
      <w:r w:rsidRPr="005D6E61">
        <w:rPr>
          <w:rFonts w:ascii="Cambria" w:hAnsi="Cambria"/>
          <w:sz w:val="20"/>
          <w:szCs w:val="20"/>
          <w:lang w:val="pt-BR"/>
        </w:rPr>
        <w:t xml:space="preserve"> A Comissão ressalta que</w:t>
      </w:r>
      <w:r w:rsidR="00923FEB" w:rsidRPr="005D6E61">
        <w:rPr>
          <w:rFonts w:ascii="Cambria" w:hAnsi="Cambria"/>
          <w:sz w:val="20"/>
          <w:szCs w:val="20"/>
          <w:lang w:val="pt-BR"/>
        </w:rPr>
        <w:t>,</w:t>
      </w:r>
      <w:r w:rsidRPr="005D6E61">
        <w:rPr>
          <w:rFonts w:ascii="Cambria" w:hAnsi="Cambria"/>
          <w:sz w:val="20"/>
          <w:szCs w:val="20"/>
          <w:lang w:val="pt-BR"/>
        </w:rPr>
        <w:t xml:space="preserve"> segundo alguns testemunhos, tanto a suposta vítima como moradores de Alagoa Grande atribuíam as ameaças que ela sofreu antes de sua morte ao </w:t>
      </w:r>
      <w:r w:rsidRPr="005D6E61">
        <w:rPr>
          <w:rFonts w:ascii="Cambria" w:hAnsi="Cambria"/>
          <w:sz w:val="20"/>
          <w:lang w:val="pt-BR"/>
        </w:rPr>
        <w:t>“Grupo da Várzea”.</w:t>
      </w:r>
    </w:p>
    <w:p w14:paraId="0D9A6781" w14:textId="77777777" w:rsidR="00FE4770" w:rsidRPr="005D6E61" w:rsidRDefault="00FE4770" w:rsidP="00FE4770">
      <w:pPr>
        <w:pStyle w:val="ListParagraph"/>
        <w:rPr>
          <w:sz w:val="20"/>
          <w:szCs w:val="20"/>
          <w:lang w:val="pt-BR"/>
        </w:rPr>
      </w:pPr>
    </w:p>
    <w:p w14:paraId="7781706A"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Em quarto lugar, no âmbito do processo interno surgiram vários testemunhos aponta</w:t>
      </w:r>
      <w:r w:rsidR="00923FEB" w:rsidRPr="005D6E61">
        <w:rPr>
          <w:rFonts w:ascii="Cambria" w:hAnsi="Cambria"/>
          <w:sz w:val="20"/>
          <w:szCs w:val="20"/>
          <w:lang w:val="pt-BR"/>
        </w:rPr>
        <w:t>ndo</w:t>
      </w:r>
      <w:r w:rsidRPr="005D6E61">
        <w:rPr>
          <w:rFonts w:ascii="Cambria" w:hAnsi="Cambria"/>
          <w:sz w:val="20"/>
          <w:szCs w:val="20"/>
          <w:lang w:val="pt-BR"/>
        </w:rPr>
        <w:t xml:space="preserve"> que o assassinato da suposta vítima foi ordenado pelo </w:t>
      </w:r>
      <w:r w:rsidRPr="005D6E61">
        <w:rPr>
          <w:rFonts w:ascii="Cambria" w:hAnsi="Cambria"/>
          <w:sz w:val="20"/>
          <w:lang w:val="pt-BR"/>
        </w:rPr>
        <w:t>“Grupo da Várzea” e/ou que no assassinato da suposta vítima intervieram agentes estatais.</w:t>
      </w:r>
    </w:p>
    <w:p w14:paraId="3BC28752" w14:textId="77777777" w:rsidR="00FE4770" w:rsidRPr="005D6E61" w:rsidRDefault="00FE4770" w:rsidP="00FE4770">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Cambria" w:hAnsi="Cambria"/>
          <w:sz w:val="20"/>
          <w:szCs w:val="20"/>
          <w:lang w:val="pt-BR"/>
        </w:rPr>
      </w:pPr>
    </w:p>
    <w:p w14:paraId="30CE3586"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Além disso, diversos testemunhos vincularam agentes estatais. Em particular:</w:t>
      </w:r>
    </w:p>
    <w:p w14:paraId="71E81C42" w14:textId="77777777" w:rsidR="00FE4770" w:rsidRPr="005D6E61" w:rsidRDefault="00FE4770" w:rsidP="00FE4770">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720"/>
        <w:jc w:val="both"/>
        <w:rPr>
          <w:rFonts w:ascii="Cambria" w:hAnsi="Cambria"/>
          <w:sz w:val="20"/>
          <w:szCs w:val="20"/>
          <w:lang w:val="pt-BR"/>
        </w:rPr>
      </w:pPr>
    </w:p>
    <w:p w14:paraId="70911439" w14:textId="77777777" w:rsidR="00FE4770" w:rsidRPr="005D6E61" w:rsidRDefault="00FE4770" w:rsidP="00FE4770">
      <w:pPr>
        <w:pStyle w:val="ListParagraph"/>
        <w:jc w:val="both"/>
        <w:rPr>
          <w:sz w:val="20"/>
          <w:lang w:val="pt-BR"/>
        </w:rPr>
      </w:pPr>
      <w:r w:rsidRPr="005D6E61">
        <w:rPr>
          <w:sz w:val="20"/>
          <w:szCs w:val="20"/>
          <w:lang w:val="pt-BR"/>
        </w:rPr>
        <w:t>-</w:t>
      </w:r>
      <w:r w:rsidR="00923FEB" w:rsidRPr="005D6E61">
        <w:rPr>
          <w:sz w:val="20"/>
          <w:szCs w:val="20"/>
          <w:lang w:val="pt-BR"/>
        </w:rPr>
        <w:t xml:space="preserve"> </w:t>
      </w:r>
      <w:r w:rsidR="00923FEB" w:rsidRPr="005D6E61">
        <w:rPr>
          <w:sz w:val="20"/>
          <w:lang w:val="pt-BR"/>
        </w:rPr>
        <w:t>O</w:t>
      </w:r>
      <w:r w:rsidRPr="005D6E61">
        <w:rPr>
          <w:sz w:val="20"/>
          <w:lang w:val="pt-BR"/>
        </w:rPr>
        <w:t xml:space="preserve"> Arcebispo Marcelo Pinto declarou que quem ordenou o assassinato da suposta vítima </w:t>
      </w:r>
      <w:r w:rsidR="00923FEB" w:rsidRPr="005D6E61">
        <w:rPr>
          <w:sz w:val="20"/>
          <w:lang w:val="pt-BR"/>
        </w:rPr>
        <w:t>fo</w:t>
      </w:r>
      <w:r w:rsidR="00713E9D" w:rsidRPr="005D6E61">
        <w:rPr>
          <w:sz w:val="20"/>
          <w:lang w:val="pt-BR"/>
        </w:rPr>
        <w:t>i</w:t>
      </w:r>
      <w:r w:rsidRPr="005D6E61">
        <w:rPr>
          <w:sz w:val="20"/>
          <w:lang w:val="pt-BR"/>
        </w:rPr>
        <w:t xml:space="preserve"> Aguinaldo Veloso (</w:t>
      </w:r>
      <w:r w:rsidR="00824224" w:rsidRPr="005D6E61">
        <w:rPr>
          <w:sz w:val="20"/>
          <w:lang w:val="pt-BR"/>
        </w:rPr>
        <w:t>um deputado</w:t>
      </w:r>
      <w:r w:rsidRPr="005D6E61">
        <w:rPr>
          <w:sz w:val="20"/>
          <w:lang w:val="pt-BR"/>
        </w:rPr>
        <w:t xml:space="preserve"> federal) e outros integrantes do “Grupo da Várzea”.</w:t>
      </w:r>
    </w:p>
    <w:p w14:paraId="08C1BF7A" w14:textId="77777777" w:rsidR="00FE4770" w:rsidRPr="005D6E61" w:rsidRDefault="00FE4770" w:rsidP="00FE4770">
      <w:pPr>
        <w:pStyle w:val="ListParagraph"/>
        <w:jc w:val="both"/>
        <w:rPr>
          <w:sz w:val="20"/>
          <w:lang w:val="pt-BR"/>
        </w:rPr>
      </w:pPr>
      <w:r w:rsidRPr="005D6E61">
        <w:rPr>
          <w:sz w:val="20"/>
          <w:lang w:val="pt-BR"/>
        </w:rPr>
        <w:t>-</w:t>
      </w:r>
      <w:r w:rsidR="00923FEB" w:rsidRPr="005D6E61">
        <w:rPr>
          <w:sz w:val="20"/>
          <w:lang w:val="pt-BR"/>
        </w:rPr>
        <w:t xml:space="preserve"> </w:t>
      </w:r>
      <w:r w:rsidRPr="005D6E61">
        <w:rPr>
          <w:sz w:val="20"/>
          <w:lang w:val="pt-BR"/>
        </w:rPr>
        <w:t xml:space="preserve">Maria do Socorro Neves, esposa de Severino de Genésio </w:t>
      </w:r>
      <w:r w:rsidR="00713E9D" w:rsidRPr="005D6E61">
        <w:rPr>
          <w:sz w:val="20"/>
          <w:lang w:val="pt-BR"/>
        </w:rPr>
        <w:t>(</w:t>
      </w:r>
      <w:r w:rsidRPr="005D6E61">
        <w:rPr>
          <w:sz w:val="20"/>
          <w:lang w:val="pt-BR"/>
        </w:rPr>
        <w:t>supostamente envolvido no crime, que depois foi assassinado</w:t>
      </w:r>
      <w:r w:rsidR="00713E9D" w:rsidRPr="005D6E61">
        <w:rPr>
          <w:sz w:val="20"/>
          <w:lang w:val="pt-BR"/>
        </w:rPr>
        <w:t>)</w:t>
      </w:r>
      <w:r w:rsidRPr="005D6E61">
        <w:rPr>
          <w:sz w:val="20"/>
          <w:lang w:val="pt-BR"/>
        </w:rPr>
        <w:t>, declarou que o assassinato de Margarida Maria Alves foi planejado pelo Grupo da Várzea e que nele participaram Aguinaldo Veloso, um soldado que trabalhava na Delegacia da Cidade de Remígio</w:t>
      </w:r>
      <w:r w:rsidR="00923FEB" w:rsidRPr="005D6E61">
        <w:rPr>
          <w:sz w:val="20"/>
          <w:lang w:val="pt-BR"/>
        </w:rPr>
        <w:t xml:space="preserve"> (</w:t>
      </w:r>
      <w:r w:rsidRPr="005D6E61">
        <w:rPr>
          <w:sz w:val="20"/>
          <w:lang w:val="pt-BR"/>
        </w:rPr>
        <w:t>Paraíba</w:t>
      </w:r>
      <w:r w:rsidR="00923FEB" w:rsidRPr="005D6E61">
        <w:rPr>
          <w:sz w:val="20"/>
          <w:lang w:val="pt-BR"/>
        </w:rPr>
        <w:t>)</w:t>
      </w:r>
      <w:r w:rsidRPr="005D6E61">
        <w:rPr>
          <w:sz w:val="20"/>
          <w:lang w:val="pt-BR"/>
        </w:rPr>
        <w:t xml:space="preserve"> chamado Betâneo Carneiro dos Santos e outras pessoas. Indicou que seu esposo foi assassinado pelo soldado Betâneo Carneiro dos Santos por haver contado o que sabia para o </w:t>
      </w:r>
      <w:r w:rsidR="00923FEB" w:rsidRPr="005D6E61">
        <w:rPr>
          <w:sz w:val="20"/>
          <w:lang w:val="pt-BR"/>
        </w:rPr>
        <w:t>s</w:t>
      </w:r>
      <w:r w:rsidRPr="005D6E61">
        <w:rPr>
          <w:sz w:val="20"/>
          <w:lang w:val="pt-BR"/>
        </w:rPr>
        <w:t>argento Aldenis Cunha. O soldado Aldenis Cunha também foi assassinado poster</w:t>
      </w:r>
      <w:r w:rsidR="00923FEB" w:rsidRPr="005D6E61">
        <w:rPr>
          <w:sz w:val="20"/>
          <w:lang w:val="pt-BR"/>
        </w:rPr>
        <w:t>iorment</w:t>
      </w:r>
      <w:r w:rsidRPr="005D6E61">
        <w:rPr>
          <w:sz w:val="20"/>
          <w:lang w:val="pt-BR"/>
        </w:rPr>
        <w:t xml:space="preserve">e. </w:t>
      </w:r>
    </w:p>
    <w:p w14:paraId="0BDB6D09" w14:textId="77777777" w:rsidR="00FE4770" w:rsidRPr="005D6E61" w:rsidRDefault="00FE4770" w:rsidP="00FE4770">
      <w:pPr>
        <w:pStyle w:val="ListParagraph"/>
        <w:jc w:val="both"/>
        <w:rPr>
          <w:sz w:val="20"/>
          <w:lang w:val="pt-BR"/>
        </w:rPr>
      </w:pPr>
      <w:r w:rsidRPr="005D6E61">
        <w:rPr>
          <w:sz w:val="20"/>
          <w:lang w:val="pt-BR"/>
        </w:rPr>
        <w:t>-</w:t>
      </w:r>
      <w:r w:rsidR="00923FEB" w:rsidRPr="005D6E61">
        <w:rPr>
          <w:sz w:val="20"/>
          <w:lang w:val="pt-BR"/>
        </w:rPr>
        <w:t xml:space="preserve"> </w:t>
      </w:r>
      <w:r w:rsidRPr="005D6E61">
        <w:rPr>
          <w:sz w:val="20"/>
          <w:lang w:val="pt-BR"/>
        </w:rPr>
        <w:t xml:space="preserve">Genilson Jorge dos Santos, funcionário municipal da Delegacia em que trabalhava o soldado Betâneo Carneiro dos Santos na época dos </w:t>
      </w:r>
      <w:r w:rsidR="00BF0B4D" w:rsidRPr="005D6E61">
        <w:rPr>
          <w:sz w:val="20"/>
          <w:lang w:val="pt-BR"/>
        </w:rPr>
        <w:t>f</w:t>
      </w:r>
      <w:r w:rsidRPr="005D6E61">
        <w:rPr>
          <w:sz w:val="20"/>
          <w:lang w:val="pt-BR"/>
        </w:rPr>
        <w:t>atos</w:t>
      </w:r>
      <w:r w:rsidR="00923FEB" w:rsidRPr="005D6E61">
        <w:rPr>
          <w:sz w:val="20"/>
          <w:lang w:val="pt-BR"/>
        </w:rPr>
        <w:t>,</w:t>
      </w:r>
      <w:r w:rsidRPr="005D6E61">
        <w:rPr>
          <w:sz w:val="20"/>
          <w:lang w:val="pt-BR"/>
        </w:rPr>
        <w:t xml:space="preserve"> declarou que o soldado Betâneo Carneiro dos Santos e o </w:t>
      </w:r>
      <w:r w:rsidR="00923FEB" w:rsidRPr="005D6E61">
        <w:rPr>
          <w:sz w:val="20"/>
          <w:lang w:val="pt-BR"/>
        </w:rPr>
        <w:t>s</w:t>
      </w:r>
      <w:r w:rsidRPr="005D6E61">
        <w:rPr>
          <w:sz w:val="20"/>
          <w:lang w:val="pt-BR"/>
        </w:rPr>
        <w:t xml:space="preserve">argento Aldenis Cunha Lima estavam envolvidos no crime. </w:t>
      </w:r>
    </w:p>
    <w:p w14:paraId="7BF2B135" w14:textId="77777777" w:rsidR="00FE4770" w:rsidRPr="005D6E61" w:rsidRDefault="00FE4770" w:rsidP="00FE4770">
      <w:pPr>
        <w:jc w:val="both"/>
        <w:rPr>
          <w:sz w:val="20"/>
          <w:lang w:val="pt-BR"/>
        </w:rPr>
      </w:pPr>
    </w:p>
    <w:p w14:paraId="28852E46"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lastRenderedPageBreak/>
        <w:t xml:space="preserve">A Comissão </w:t>
      </w:r>
      <w:r w:rsidR="00923FEB" w:rsidRPr="005D6E61">
        <w:rPr>
          <w:rFonts w:ascii="Cambria" w:hAnsi="Cambria"/>
          <w:sz w:val="20"/>
          <w:szCs w:val="20"/>
          <w:lang w:val="pt-BR"/>
        </w:rPr>
        <w:t>consider</w:t>
      </w:r>
      <w:r w:rsidRPr="005D6E61">
        <w:rPr>
          <w:rFonts w:ascii="Cambria" w:hAnsi="Cambria"/>
          <w:sz w:val="20"/>
          <w:szCs w:val="20"/>
          <w:lang w:val="pt-BR"/>
        </w:rPr>
        <w:t xml:space="preserve">a que todos estes elementos tomados em conjunto permitem concluir que existiu participação </w:t>
      </w:r>
      <w:r w:rsidR="00713E9D" w:rsidRPr="005D6E61">
        <w:rPr>
          <w:rFonts w:ascii="Cambria" w:hAnsi="Cambria"/>
          <w:sz w:val="20"/>
          <w:szCs w:val="20"/>
          <w:lang w:val="pt-BR"/>
        </w:rPr>
        <w:t>do Estado</w:t>
      </w:r>
      <w:r w:rsidRPr="005D6E61">
        <w:rPr>
          <w:rFonts w:ascii="Cambria" w:hAnsi="Cambria"/>
          <w:sz w:val="20"/>
          <w:szCs w:val="20"/>
          <w:lang w:val="pt-BR"/>
        </w:rPr>
        <w:t xml:space="preserve"> na morte de Margarida Maria Alves.  A Comissão recorda adicionalmente que o Estado não realiz</w:t>
      </w:r>
      <w:r w:rsidR="00923FEB" w:rsidRPr="005D6E61">
        <w:rPr>
          <w:rFonts w:ascii="Cambria" w:hAnsi="Cambria"/>
          <w:sz w:val="20"/>
          <w:szCs w:val="20"/>
          <w:lang w:val="pt-BR"/>
        </w:rPr>
        <w:t>ou</w:t>
      </w:r>
      <w:r w:rsidRPr="005D6E61">
        <w:rPr>
          <w:rFonts w:ascii="Cambria" w:hAnsi="Cambria"/>
          <w:sz w:val="20"/>
          <w:szCs w:val="20"/>
          <w:lang w:val="pt-BR"/>
        </w:rPr>
        <w:t xml:space="preserve"> uma investigação com devida diligência e</w:t>
      </w:r>
      <w:r w:rsidR="00923FEB" w:rsidRPr="005D6E61">
        <w:rPr>
          <w:rFonts w:ascii="Cambria" w:hAnsi="Cambria"/>
          <w:sz w:val="20"/>
          <w:szCs w:val="20"/>
          <w:lang w:val="pt-BR"/>
        </w:rPr>
        <w:t>,</w:t>
      </w:r>
      <w:r w:rsidRPr="005D6E61">
        <w:rPr>
          <w:rFonts w:ascii="Cambria" w:hAnsi="Cambria"/>
          <w:sz w:val="20"/>
          <w:szCs w:val="20"/>
          <w:lang w:val="pt-BR"/>
        </w:rPr>
        <w:t xml:space="preserve"> como se analisou anteriormente, as autoridades judiciais não analisaram </w:t>
      </w:r>
      <w:r w:rsidR="00923FEB" w:rsidRPr="005D6E61">
        <w:rPr>
          <w:rFonts w:ascii="Cambria" w:hAnsi="Cambria"/>
          <w:sz w:val="20"/>
          <w:szCs w:val="20"/>
          <w:lang w:val="pt-BR"/>
        </w:rPr>
        <w:t>n</w:t>
      </w:r>
      <w:r w:rsidRPr="005D6E61">
        <w:rPr>
          <w:rFonts w:ascii="Cambria" w:hAnsi="Cambria"/>
          <w:sz w:val="20"/>
          <w:szCs w:val="20"/>
          <w:lang w:val="pt-BR"/>
        </w:rPr>
        <w:t>e</w:t>
      </w:r>
      <w:r w:rsidR="00923FEB" w:rsidRPr="005D6E61">
        <w:rPr>
          <w:rFonts w:ascii="Cambria" w:hAnsi="Cambria"/>
          <w:sz w:val="20"/>
          <w:szCs w:val="20"/>
          <w:lang w:val="pt-BR"/>
        </w:rPr>
        <w:t>m</w:t>
      </w:r>
      <w:r w:rsidRPr="005D6E61">
        <w:rPr>
          <w:rFonts w:ascii="Cambria" w:hAnsi="Cambria"/>
          <w:sz w:val="20"/>
          <w:szCs w:val="20"/>
          <w:lang w:val="pt-BR"/>
        </w:rPr>
        <w:t xml:space="preserve"> determinaram com seriedade a participação direta, aquiescência ou colaboração de agentes estatais n</w:t>
      </w:r>
      <w:r w:rsidR="00923FEB" w:rsidRPr="005D6E61">
        <w:rPr>
          <w:rFonts w:ascii="Cambria" w:hAnsi="Cambria"/>
          <w:sz w:val="20"/>
          <w:szCs w:val="20"/>
          <w:lang w:val="pt-BR"/>
        </w:rPr>
        <w:t>o</w:t>
      </w:r>
      <w:r w:rsidRPr="005D6E61">
        <w:rPr>
          <w:rFonts w:ascii="Cambria" w:hAnsi="Cambria"/>
          <w:sz w:val="20"/>
          <w:szCs w:val="20"/>
          <w:lang w:val="pt-BR"/>
        </w:rPr>
        <w:t xml:space="preserve"> com</w:t>
      </w:r>
      <w:r w:rsidR="00923FEB" w:rsidRPr="005D6E61">
        <w:rPr>
          <w:rFonts w:ascii="Cambria" w:hAnsi="Cambria"/>
          <w:sz w:val="20"/>
          <w:szCs w:val="20"/>
          <w:lang w:val="pt-BR"/>
        </w:rPr>
        <w:t>etimento</w:t>
      </w:r>
      <w:r w:rsidRPr="005D6E61">
        <w:rPr>
          <w:rFonts w:ascii="Cambria" w:hAnsi="Cambria"/>
          <w:sz w:val="20"/>
          <w:szCs w:val="20"/>
          <w:lang w:val="pt-BR"/>
        </w:rPr>
        <w:t xml:space="preserve"> do </w:t>
      </w:r>
      <w:r w:rsidR="00BF0B4D" w:rsidRPr="005D6E61">
        <w:rPr>
          <w:rFonts w:ascii="Cambria" w:hAnsi="Cambria"/>
          <w:sz w:val="20"/>
          <w:szCs w:val="20"/>
          <w:lang w:val="pt-BR"/>
        </w:rPr>
        <w:t>crime</w:t>
      </w:r>
      <w:r w:rsidRPr="005D6E61">
        <w:rPr>
          <w:rFonts w:ascii="Cambria" w:hAnsi="Cambria"/>
          <w:sz w:val="20"/>
          <w:szCs w:val="20"/>
          <w:lang w:val="pt-BR"/>
        </w:rPr>
        <w:t xml:space="preserve">. </w:t>
      </w:r>
    </w:p>
    <w:p w14:paraId="184CFC30" w14:textId="77777777" w:rsidR="00FE4770" w:rsidRPr="005D6E61" w:rsidRDefault="00FE4770" w:rsidP="00FE4770">
      <w:pPr>
        <w:tabs>
          <w:tab w:val="num" w:pos="1350"/>
          <w:tab w:val="left" w:pos="1440"/>
          <w:tab w:val="num" w:pos="2040"/>
        </w:tabs>
        <w:ind w:left="720"/>
        <w:jc w:val="both"/>
        <w:rPr>
          <w:rFonts w:ascii="Cambria" w:hAnsi="Cambria"/>
          <w:sz w:val="20"/>
          <w:szCs w:val="20"/>
          <w:lang w:val="pt-BR"/>
        </w:rPr>
      </w:pPr>
    </w:p>
    <w:p w14:paraId="5C737F39"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1350"/>
          <w:tab w:val="left" w:pos="1440"/>
          <w:tab w:val="num" w:pos="2040"/>
        </w:tabs>
        <w:ind w:left="0" w:firstLine="720"/>
        <w:jc w:val="both"/>
        <w:rPr>
          <w:rFonts w:ascii="Cambria" w:eastAsia="Calibri" w:hAnsi="Cambria"/>
          <w:sz w:val="20"/>
          <w:szCs w:val="20"/>
          <w:lang w:val="pt-BR"/>
        </w:rPr>
      </w:pPr>
      <w:r w:rsidRPr="005D6E61">
        <w:rPr>
          <w:rFonts w:ascii="Cambria" w:hAnsi="Cambria"/>
          <w:sz w:val="20"/>
          <w:szCs w:val="20"/>
          <w:lang w:val="pt-BR"/>
        </w:rPr>
        <w:t xml:space="preserve">Por outro lado, a Comissão ressalta que existem múltiplos elementos </w:t>
      </w:r>
      <w:r w:rsidR="00713E9D" w:rsidRPr="005D6E61">
        <w:rPr>
          <w:rFonts w:ascii="Cambria" w:hAnsi="Cambria"/>
          <w:sz w:val="20"/>
          <w:szCs w:val="20"/>
          <w:lang w:val="pt-BR"/>
        </w:rPr>
        <w:t>a</w:t>
      </w:r>
      <w:r w:rsidRPr="005D6E61">
        <w:rPr>
          <w:rFonts w:ascii="Cambria" w:hAnsi="Cambria"/>
          <w:sz w:val="20"/>
          <w:szCs w:val="20"/>
          <w:lang w:val="pt-BR"/>
        </w:rPr>
        <w:t xml:space="preserve"> demonstra</w:t>
      </w:r>
      <w:r w:rsidR="00713E9D" w:rsidRPr="005D6E61">
        <w:rPr>
          <w:rFonts w:ascii="Cambria" w:hAnsi="Cambria"/>
          <w:sz w:val="20"/>
          <w:szCs w:val="20"/>
          <w:lang w:val="pt-BR"/>
        </w:rPr>
        <w:t>r</w:t>
      </w:r>
      <w:r w:rsidRPr="005D6E61">
        <w:rPr>
          <w:rFonts w:ascii="Cambria" w:hAnsi="Cambria"/>
          <w:sz w:val="20"/>
          <w:szCs w:val="20"/>
          <w:lang w:val="pt-BR"/>
        </w:rPr>
        <w:t xml:space="preserve"> que o Estado tinha conhecimento da situação de risco da suposta vítima antes de sua morte.  A Comissão remete ao</w:t>
      </w:r>
      <w:r w:rsidRPr="005D6E61">
        <w:rPr>
          <w:rFonts w:ascii="Cambria" w:eastAsia="Times New Roman" w:hAnsi="Cambria"/>
          <w:sz w:val="20"/>
          <w:szCs w:val="20"/>
          <w:lang w:val="pt-BR"/>
        </w:rPr>
        <w:t xml:space="preserve"> grave contexto de violações de direitos humanos contra defensoras e defensores de direitos trabalhistas no </w:t>
      </w:r>
      <w:r w:rsidR="00923FEB" w:rsidRPr="005D6E61">
        <w:rPr>
          <w:rFonts w:ascii="Cambria" w:eastAsia="Times New Roman" w:hAnsi="Cambria"/>
          <w:sz w:val="20"/>
          <w:szCs w:val="20"/>
          <w:lang w:val="pt-BR"/>
        </w:rPr>
        <w:t>N</w:t>
      </w:r>
      <w:r w:rsidRPr="005D6E61">
        <w:rPr>
          <w:rFonts w:ascii="Cambria" w:eastAsia="Times New Roman" w:hAnsi="Cambria"/>
          <w:sz w:val="20"/>
          <w:szCs w:val="20"/>
          <w:lang w:val="pt-BR"/>
        </w:rPr>
        <w:t xml:space="preserve">ordeste do Brasil, </w:t>
      </w:r>
      <w:r w:rsidR="00464819" w:rsidRPr="005D6E61">
        <w:rPr>
          <w:rFonts w:ascii="Cambria" w:eastAsia="Times New Roman" w:hAnsi="Cambria"/>
          <w:sz w:val="20"/>
          <w:szCs w:val="20"/>
          <w:lang w:val="pt-BR"/>
        </w:rPr>
        <w:t>inclusive</w:t>
      </w:r>
      <w:r w:rsidRPr="005D6E61">
        <w:rPr>
          <w:rFonts w:ascii="Cambria" w:eastAsia="Times New Roman" w:hAnsi="Cambria"/>
          <w:sz w:val="20"/>
          <w:szCs w:val="20"/>
          <w:lang w:val="pt-BR"/>
        </w:rPr>
        <w:t xml:space="preserve"> assassinatos, descr</w:t>
      </w:r>
      <w:r w:rsidR="00BF0B4D" w:rsidRPr="005D6E61">
        <w:rPr>
          <w:rFonts w:ascii="Cambria" w:eastAsia="Times New Roman" w:hAnsi="Cambria"/>
          <w:sz w:val="20"/>
          <w:szCs w:val="20"/>
          <w:lang w:val="pt-BR"/>
        </w:rPr>
        <w:t>ito</w:t>
      </w:r>
      <w:r w:rsidRPr="005D6E61">
        <w:rPr>
          <w:rFonts w:ascii="Cambria" w:eastAsia="Times New Roman" w:hAnsi="Cambria"/>
          <w:sz w:val="20"/>
          <w:szCs w:val="20"/>
          <w:lang w:val="pt-BR"/>
        </w:rPr>
        <w:t xml:space="preserve"> na seção de fatos comprovados, e ressalta que a suposta vítima sofreu uma série de agressões e ameaças antes de sua morte, denunciadas a autoridades estatais. Em particular, consta que denunciou publicamente que </w:t>
      </w:r>
      <w:r w:rsidR="00923FEB" w:rsidRPr="005D6E61">
        <w:rPr>
          <w:rFonts w:ascii="Cambria" w:eastAsia="Times New Roman" w:hAnsi="Cambria"/>
          <w:sz w:val="20"/>
          <w:szCs w:val="20"/>
          <w:lang w:val="pt-BR"/>
        </w:rPr>
        <w:t>fazendeiros</w:t>
      </w:r>
      <w:r w:rsidRPr="005D6E61">
        <w:rPr>
          <w:rFonts w:ascii="Cambria" w:eastAsia="Times New Roman" w:hAnsi="Cambria"/>
          <w:sz w:val="20"/>
          <w:szCs w:val="20"/>
          <w:lang w:val="pt-BR"/>
        </w:rPr>
        <w:t xml:space="preserve"> a haviam ameaçado. </w:t>
      </w:r>
      <w:r w:rsidR="00923FEB" w:rsidRPr="005D6E61">
        <w:rPr>
          <w:rFonts w:ascii="Cambria" w:eastAsia="Times New Roman" w:hAnsi="Cambria"/>
          <w:sz w:val="20"/>
          <w:szCs w:val="20"/>
          <w:lang w:val="pt-BR"/>
        </w:rPr>
        <w:t>Segundo</w:t>
      </w:r>
      <w:r w:rsidRPr="005D6E61">
        <w:rPr>
          <w:rFonts w:ascii="Cambria" w:eastAsia="Times New Roman" w:hAnsi="Cambria"/>
          <w:sz w:val="20"/>
          <w:szCs w:val="20"/>
          <w:lang w:val="pt-BR"/>
        </w:rPr>
        <w:t xml:space="preserve"> os peticionários, um ano antes de sua morte, a suposta vítima denunciou </w:t>
      </w:r>
      <w:r w:rsidR="00923FEB" w:rsidRPr="005D6E61">
        <w:rPr>
          <w:rFonts w:ascii="Cambria" w:eastAsia="Times New Roman" w:hAnsi="Cambria"/>
          <w:sz w:val="20"/>
          <w:szCs w:val="20"/>
          <w:lang w:val="pt-BR"/>
        </w:rPr>
        <w:t>à</w:t>
      </w:r>
      <w:r w:rsidRPr="005D6E61">
        <w:rPr>
          <w:rFonts w:ascii="Cambria" w:eastAsia="Times New Roman" w:hAnsi="Cambria"/>
          <w:sz w:val="20"/>
          <w:szCs w:val="20"/>
          <w:lang w:val="pt-BR"/>
        </w:rPr>
        <w:t xml:space="preserve"> Delegacia de Polícia de Alagoa Grande que ela e seu filho haviam sofrido agressões por parte do dono d</w:t>
      </w:r>
      <w:r w:rsidR="00BF0B4D" w:rsidRPr="005D6E61">
        <w:rPr>
          <w:rFonts w:ascii="Cambria" w:eastAsia="Times New Roman" w:hAnsi="Cambria"/>
          <w:sz w:val="20"/>
          <w:szCs w:val="20"/>
          <w:lang w:val="pt-BR"/>
        </w:rPr>
        <w:t>o</w:t>
      </w:r>
      <w:r w:rsidRPr="005D6E61">
        <w:rPr>
          <w:rFonts w:ascii="Cambria" w:eastAsia="Times New Roman" w:hAnsi="Cambria"/>
          <w:sz w:val="20"/>
          <w:szCs w:val="20"/>
          <w:lang w:val="pt-BR"/>
        </w:rPr>
        <w:t xml:space="preserve"> Engenho Ribei</w:t>
      </w:r>
      <w:r w:rsidR="00880B51" w:rsidRPr="005D6E61">
        <w:rPr>
          <w:rFonts w:ascii="Cambria" w:eastAsia="Times New Roman" w:hAnsi="Cambria"/>
          <w:sz w:val="20"/>
          <w:szCs w:val="20"/>
          <w:lang w:val="pt-BR"/>
        </w:rPr>
        <w:t>r</w:t>
      </w:r>
      <w:r w:rsidRPr="005D6E61">
        <w:rPr>
          <w:rFonts w:ascii="Cambria" w:eastAsia="Times New Roman" w:hAnsi="Cambria"/>
          <w:sz w:val="20"/>
          <w:szCs w:val="20"/>
          <w:lang w:val="pt-BR"/>
        </w:rPr>
        <w:t xml:space="preserve">o. Ante </w:t>
      </w:r>
      <w:r w:rsidR="001E6248" w:rsidRPr="005D6E61">
        <w:rPr>
          <w:rFonts w:ascii="Cambria" w:eastAsia="Times New Roman" w:hAnsi="Cambria"/>
          <w:sz w:val="20"/>
          <w:szCs w:val="20"/>
          <w:lang w:val="pt-BR"/>
        </w:rPr>
        <w:t>a</w:t>
      </w:r>
      <w:r w:rsidRPr="005D6E61">
        <w:rPr>
          <w:rFonts w:ascii="Cambria" w:eastAsia="Times New Roman" w:hAnsi="Cambria"/>
          <w:sz w:val="20"/>
          <w:szCs w:val="20"/>
          <w:lang w:val="pt-BR"/>
        </w:rPr>
        <w:t xml:space="preserve"> Comissão, o Estado não </w:t>
      </w:r>
      <w:r w:rsidR="00880B51" w:rsidRPr="005D6E61">
        <w:rPr>
          <w:rFonts w:ascii="Cambria" w:eastAsia="Times New Roman" w:hAnsi="Cambria"/>
          <w:sz w:val="20"/>
          <w:szCs w:val="20"/>
          <w:lang w:val="pt-BR"/>
        </w:rPr>
        <w:t>negou</w:t>
      </w:r>
      <w:r w:rsidRPr="005D6E61">
        <w:rPr>
          <w:rFonts w:ascii="Cambria" w:eastAsia="Times New Roman" w:hAnsi="Cambria"/>
          <w:sz w:val="20"/>
          <w:szCs w:val="20"/>
          <w:lang w:val="pt-BR"/>
        </w:rPr>
        <w:t xml:space="preserve"> que teve esse conhecimento, especificamente a informação relativa às denúncias das ameaças.</w:t>
      </w:r>
    </w:p>
    <w:p w14:paraId="55E499FA" w14:textId="77777777" w:rsidR="00FE4770" w:rsidRPr="005D6E61" w:rsidRDefault="00FE4770" w:rsidP="00FE4770">
      <w:pPr>
        <w:pStyle w:val="ListParagraph"/>
        <w:rPr>
          <w:sz w:val="20"/>
          <w:szCs w:val="20"/>
          <w:lang w:val="pt-BR"/>
        </w:rPr>
      </w:pPr>
    </w:p>
    <w:p w14:paraId="3DF3F7B8"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A Comissão considera </w:t>
      </w:r>
      <w:r w:rsidRPr="005D6E61">
        <w:rPr>
          <w:rFonts w:ascii="Cambria" w:eastAsia="Times New Roman" w:hAnsi="Cambria"/>
          <w:sz w:val="20"/>
          <w:szCs w:val="20"/>
          <w:lang w:val="pt-BR"/>
        </w:rPr>
        <w:t xml:space="preserve">que os elementos anteriores tomados em conjunto permitem concluir que o Estado brasileiro teve ou devia ter conhecimento de uma situação de risco real e iminente para Margarida Maria Alves e que não adotou </w:t>
      </w:r>
      <w:r w:rsidR="00824224" w:rsidRPr="005D6E61">
        <w:rPr>
          <w:rFonts w:ascii="Cambria" w:eastAsia="Times New Roman" w:hAnsi="Cambria"/>
          <w:sz w:val="20"/>
          <w:szCs w:val="20"/>
          <w:lang w:val="pt-BR"/>
        </w:rPr>
        <w:t xml:space="preserve">nenhuma </w:t>
      </w:r>
      <w:r w:rsidRPr="005D6E61">
        <w:rPr>
          <w:rFonts w:ascii="Cambria" w:eastAsia="Times New Roman" w:hAnsi="Cambria"/>
          <w:sz w:val="20"/>
          <w:szCs w:val="20"/>
          <w:lang w:val="pt-BR"/>
        </w:rPr>
        <w:t>medida para protegê-la frente ao risco em que se encontrava e evitar sua materialização</w:t>
      </w:r>
      <w:r w:rsidRPr="005D6E61">
        <w:rPr>
          <w:rStyle w:val="FootnoteReference"/>
          <w:rFonts w:ascii="Cambria" w:eastAsia="Times New Roman" w:hAnsi="Cambria"/>
          <w:sz w:val="20"/>
          <w:szCs w:val="20"/>
          <w:lang w:val="pt-BR"/>
        </w:rPr>
        <w:footnoteReference w:id="152"/>
      </w:r>
      <w:r w:rsidRPr="005D6E61">
        <w:rPr>
          <w:rFonts w:ascii="Cambria" w:eastAsia="Times New Roman" w:hAnsi="Cambria"/>
          <w:sz w:val="20"/>
          <w:szCs w:val="20"/>
          <w:lang w:val="pt-BR"/>
        </w:rPr>
        <w:t>. Em particular, não consta que o Estado tomou medida</w:t>
      </w:r>
      <w:r w:rsidR="00713E9D" w:rsidRPr="005D6E61">
        <w:rPr>
          <w:rFonts w:ascii="Cambria" w:eastAsia="Times New Roman" w:hAnsi="Cambria"/>
          <w:sz w:val="20"/>
          <w:szCs w:val="20"/>
          <w:lang w:val="pt-BR"/>
        </w:rPr>
        <w:t>s</w:t>
      </w:r>
      <w:r w:rsidRPr="005D6E61">
        <w:rPr>
          <w:rFonts w:ascii="Cambria" w:eastAsia="Times New Roman" w:hAnsi="Cambria"/>
          <w:sz w:val="20"/>
          <w:szCs w:val="20"/>
          <w:lang w:val="pt-BR"/>
        </w:rPr>
        <w:t xml:space="preserve"> para investigar a fonte das ameaças para proteger a vítima e prevenir a materialização das mesmas.</w:t>
      </w:r>
    </w:p>
    <w:p w14:paraId="537316E6" w14:textId="77777777" w:rsidR="00FE4770" w:rsidRPr="005D6E61" w:rsidRDefault="00FE4770" w:rsidP="00FE4770">
      <w:pPr>
        <w:pStyle w:val="ListParagraph"/>
        <w:rPr>
          <w:sz w:val="20"/>
          <w:szCs w:val="20"/>
          <w:lang w:val="pt-BR"/>
        </w:rPr>
      </w:pPr>
    </w:p>
    <w:p w14:paraId="01425338"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0"/>
          <w:tab w:val="num" w:pos="1350"/>
          <w:tab w:val="left" w:pos="1440"/>
          <w:tab w:val="num" w:pos="2040"/>
        </w:tabs>
        <w:ind w:left="0" w:firstLine="720"/>
        <w:jc w:val="both"/>
        <w:rPr>
          <w:rFonts w:ascii="Cambria" w:hAnsi="Cambria"/>
          <w:sz w:val="20"/>
          <w:szCs w:val="20"/>
          <w:lang w:val="pt-BR"/>
        </w:rPr>
      </w:pPr>
      <w:r w:rsidRPr="005D6E61">
        <w:rPr>
          <w:rFonts w:ascii="Cambria" w:hAnsi="Cambria"/>
          <w:sz w:val="20"/>
          <w:szCs w:val="20"/>
          <w:lang w:val="pt-BR"/>
        </w:rPr>
        <w:t xml:space="preserve">Levando em conta as razões anteriores, a Comissão considera que o Estado brasileiro é responsável internacionalmente </w:t>
      </w:r>
      <w:r w:rsidR="001E6248" w:rsidRPr="005D6E61">
        <w:rPr>
          <w:rFonts w:ascii="Cambria" w:hAnsi="Cambria"/>
          <w:sz w:val="20"/>
          <w:szCs w:val="20"/>
          <w:lang w:val="pt-BR"/>
        </w:rPr>
        <w:t>pelo</w:t>
      </w:r>
      <w:r w:rsidRPr="005D6E61">
        <w:rPr>
          <w:rFonts w:ascii="Cambria" w:hAnsi="Cambria"/>
          <w:sz w:val="20"/>
          <w:szCs w:val="20"/>
          <w:lang w:val="pt-BR"/>
        </w:rPr>
        <w:t xml:space="preserve"> </w:t>
      </w:r>
      <w:r w:rsidR="00824224" w:rsidRPr="005D6E61">
        <w:rPr>
          <w:rFonts w:ascii="Cambria" w:hAnsi="Cambria"/>
          <w:sz w:val="20"/>
          <w:szCs w:val="20"/>
          <w:lang w:val="pt-BR"/>
        </w:rPr>
        <w:t>des</w:t>
      </w:r>
      <w:r w:rsidRPr="005D6E61">
        <w:rPr>
          <w:rFonts w:ascii="Cambria" w:hAnsi="Cambria"/>
          <w:sz w:val="20"/>
          <w:szCs w:val="20"/>
          <w:lang w:val="pt-BR"/>
        </w:rPr>
        <w:t xml:space="preserve">cumprimento do dever de prevenir violações </w:t>
      </w:r>
      <w:r w:rsidR="00824224" w:rsidRPr="005D6E61">
        <w:rPr>
          <w:rFonts w:ascii="Cambria" w:hAnsi="Cambria"/>
          <w:sz w:val="20"/>
          <w:szCs w:val="20"/>
          <w:lang w:val="pt-BR"/>
        </w:rPr>
        <w:t>d</w:t>
      </w:r>
      <w:r w:rsidRPr="005D6E61">
        <w:rPr>
          <w:rFonts w:ascii="Cambria" w:hAnsi="Cambria"/>
          <w:sz w:val="20"/>
          <w:szCs w:val="20"/>
          <w:lang w:val="pt-BR"/>
        </w:rPr>
        <w:t xml:space="preserve">o direito à vida, assim como de respeitar a vida de Margarida Maria Alves. Em virtude disso, a CIDH conclui que o Estado violou </w:t>
      </w:r>
      <w:r w:rsidR="00824224" w:rsidRPr="005D6E61">
        <w:rPr>
          <w:rFonts w:ascii="Cambria" w:hAnsi="Cambria"/>
          <w:sz w:val="20"/>
          <w:szCs w:val="20"/>
          <w:lang w:val="pt-BR"/>
        </w:rPr>
        <w:t>o artigo</w:t>
      </w:r>
      <w:r w:rsidRPr="005D6E61">
        <w:rPr>
          <w:rFonts w:ascii="Cambria" w:hAnsi="Cambria"/>
          <w:sz w:val="20"/>
          <w:szCs w:val="20"/>
          <w:lang w:val="pt-BR"/>
        </w:rPr>
        <w:t xml:space="preserve"> I da Declaração Americana em seu prejuízo.</w:t>
      </w:r>
    </w:p>
    <w:p w14:paraId="687F40C4" w14:textId="77777777" w:rsidR="00FE4770" w:rsidRPr="005D6E61" w:rsidRDefault="00FE4770" w:rsidP="00FE4770">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Cambria" w:hAnsi="Cambria"/>
          <w:sz w:val="20"/>
          <w:szCs w:val="20"/>
          <w:lang w:val="pt-BR"/>
        </w:rPr>
      </w:pPr>
    </w:p>
    <w:p w14:paraId="74E48C99" w14:textId="77777777" w:rsidR="00FE4770" w:rsidRPr="005D6E61" w:rsidRDefault="00FE4770" w:rsidP="00FE4770">
      <w:pPr>
        <w:pStyle w:val="Heading2"/>
        <w:numPr>
          <w:ilvl w:val="0"/>
          <w:numId w:val="61"/>
        </w:numPr>
        <w:spacing w:before="0" w:after="0"/>
        <w:ind w:firstLine="0"/>
        <w:jc w:val="both"/>
        <w:rPr>
          <w:rFonts w:ascii="Cambria" w:hAnsi="Cambria" w:cs="Times New Roman"/>
          <w:bCs w:val="0"/>
          <w:i w:val="0"/>
          <w:iCs w:val="0"/>
          <w:sz w:val="20"/>
          <w:szCs w:val="20"/>
          <w:lang w:val="pt-BR" w:eastAsia="es-ES"/>
        </w:rPr>
      </w:pPr>
      <w:bookmarkStart w:id="39" w:name="_Toc27990575"/>
      <w:bookmarkStart w:id="40" w:name="_Toc496103838"/>
      <w:r w:rsidRPr="005D6E61">
        <w:rPr>
          <w:rFonts w:ascii="Cambria" w:hAnsi="Cambria" w:cs="Times New Roman"/>
          <w:bCs w:val="0"/>
          <w:i w:val="0"/>
          <w:iCs w:val="0"/>
          <w:sz w:val="20"/>
          <w:szCs w:val="20"/>
          <w:lang w:val="pt-BR" w:eastAsia="es-ES"/>
        </w:rPr>
        <w:t>Direito de associação (artigo XXII da Declaração Americana dos Direitos e Deveres do Homem</w:t>
      </w:r>
      <w:r w:rsidR="00824224" w:rsidRPr="005D6E61">
        <w:rPr>
          <w:rFonts w:ascii="Cambria" w:hAnsi="Cambria" w:cs="Times New Roman"/>
          <w:bCs w:val="0"/>
          <w:i w:val="0"/>
          <w:iCs w:val="0"/>
          <w:sz w:val="20"/>
          <w:szCs w:val="20"/>
          <w:lang w:val="pt-BR" w:eastAsia="es-ES"/>
        </w:rPr>
        <w:t>)</w:t>
      </w:r>
      <w:r w:rsidRPr="005D6E61">
        <w:rPr>
          <w:rStyle w:val="FootnoteReference"/>
          <w:rFonts w:ascii="Cambria" w:eastAsia="Trebuchet MS" w:hAnsi="Cambria" w:cs="Times New Roman"/>
          <w:bCs w:val="0"/>
          <w:i w:val="0"/>
          <w:iCs w:val="0"/>
          <w:sz w:val="20"/>
          <w:szCs w:val="20"/>
          <w:lang w:val="pt-BR" w:eastAsia="es-ES"/>
        </w:rPr>
        <w:footnoteReference w:id="153"/>
      </w:r>
      <w:bookmarkEnd w:id="39"/>
      <w:r w:rsidRPr="005D6E61">
        <w:rPr>
          <w:rFonts w:ascii="Cambria" w:hAnsi="Cambria" w:cs="Times New Roman"/>
          <w:bCs w:val="0"/>
          <w:i w:val="0"/>
          <w:iCs w:val="0"/>
          <w:sz w:val="20"/>
          <w:szCs w:val="20"/>
          <w:lang w:val="pt-BR" w:eastAsia="es-ES"/>
        </w:rPr>
        <w:t xml:space="preserve">  </w:t>
      </w:r>
      <w:bookmarkEnd w:id="40"/>
    </w:p>
    <w:p w14:paraId="7EF2B660" w14:textId="77777777" w:rsidR="00FE4770" w:rsidRPr="005D6E61" w:rsidRDefault="00FE4770" w:rsidP="00FE4770">
      <w:pPr>
        <w:tabs>
          <w:tab w:val="left" w:pos="1080"/>
          <w:tab w:val="center" w:pos="4680"/>
          <w:tab w:val="left" w:pos="6511"/>
        </w:tabs>
        <w:autoSpaceDE w:val="0"/>
        <w:autoSpaceDN w:val="0"/>
        <w:adjustRightInd w:val="0"/>
        <w:ind w:right="720"/>
        <w:jc w:val="both"/>
        <w:rPr>
          <w:rFonts w:cs="Calibri"/>
          <w:color w:val="808080"/>
          <w:sz w:val="20"/>
          <w:szCs w:val="20"/>
          <w:lang w:val="pt-BR"/>
        </w:rPr>
      </w:pPr>
    </w:p>
    <w:p w14:paraId="404B7730"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350"/>
          <w:tab w:val="left" w:pos="1440"/>
          <w:tab w:val="num" w:pos="2040"/>
        </w:tabs>
        <w:ind w:left="0" w:firstLine="720"/>
        <w:jc w:val="both"/>
        <w:rPr>
          <w:rFonts w:ascii="Cambria" w:hAnsi="Cambria"/>
          <w:sz w:val="20"/>
          <w:szCs w:val="20"/>
          <w:lang w:val="pt-BR" w:eastAsia="es-ES"/>
        </w:rPr>
      </w:pPr>
      <w:r w:rsidRPr="005D6E61">
        <w:rPr>
          <w:rFonts w:ascii="Cambria" w:hAnsi="Cambria"/>
          <w:sz w:val="20"/>
          <w:szCs w:val="20"/>
          <w:lang w:val="pt-BR" w:eastAsia="es-ES"/>
        </w:rPr>
        <w:t xml:space="preserve">A Comissão recorda que o direito à liberdade de associação compreende o “direito a se </w:t>
      </w:r>
      <w:r w:rsidRPr="005D6E61">
        <w:rPr>
          <w:rFonts w:ascii="Cambria" w:hAnsi="Cambria"/>
          <w:sz w:val="20"/>
          <w:szCs w:val="20"/>
          <w:lang w:val="pt-BR"/>
        </w:rPr>
        <w:t>associar livremente com fins ideológicos, religiosos, políticos, econômicos, trabalhistas, sociais, culturais, esportivos ou de qualquer outra índole. Estes termos estabelecem literalmente que quem está sob a proteção da Convenção tem não só o direito e a liberdade de se associar livremente com outras pessoas, sem intervenção das autoridades públicas que limitem ou entorpeçam o exercício do respectivo direito, o que representa, portanto, um direito de cada indivíduo. Além disso, gozam do direito e da liberdade de buscar a realização comum de um fim lícito, sem pressões ou intromissões que possam alterar ou desnaturalizar sua finalidade”</w:t>
      </w:r>
      <w:r w:rsidRPr="005D6E61">
        <w:rPr>
          <w:rStyle w:val="FootnoteReference"/>
          <w:rFonts w:ascii="Cambria" w:hAnsi="Cambria"/>
          <w:sz w:val="20"/>
          <w:szCs w:val="20"/>
          <w:lang w:val="pt-BR"/>
        </w:rPr>
        <w:footnoteReference w:id="154"/>
      </w:r>
      <w:r w:rsidRPr="005D6E61">
        <w:rPr>
          <w:rFonts w:ascii="Cambria" w:hAnsi="Cambria"/>
          <w:sz w:val="20"/>
          <w:szCs w:val="20"/>
          <w:lang w:val="pt-BR"/>
        </w:rPr>
        <w:t>.</w:t>
      </w:r>
    </w:p>
    <w:p w14:paraId="2A283F16" w14:textId="77777777" w:rsidR="00FE4770" w:rsidRPr="005D6E61" w:rsidRDefault="00FE4770" w:rsidP="00FE477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pt-BR" w:eastAsia="es-ES"/>
        </w:rPr>
      </w:pPr>
    </w:p>
    <w:p w14:paraId="6508EFE1"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350"/>
          <w:tab w:val="left" w:pos="1440"/>
          <w:tab w:val="num" w:pos="2040"/>
        </w:tabs>
        <w:ind w:left="0" w:firstLine="720"/>
        <w:jc w:val="both"/>
        <w:rPr>
          <w:rFonts w:ascii="Cambria" w:hAnsi="Cambria"/>
          <w:sz w:val="20"/>
          <w:szCs w:val="20"/>
          <w:lang w:val="pt-BR" w:eastAsia="es-ES"/>
        </w:rPr>
      </w:pPr>
      <w:r w:rsidRPr="005D6E61">
        <w:rPr>
          <w:rFonts w:ascii="Cambria" w:hAnsi="Cambria"/>
          <w:sz w:val="20"/>
          <w:szCs w:val="20"/>
          <w:lang w:val="pt-BR" w:eastAsia="es-ES"/>
        </w:rPr>
        <w:t xml:space="preserve">Segundo indicado pela Corte Interamericana, no </w:t>
      </w:r>
      <w:r w:rsidR="00ED474D" w:rsidRPr="005D6E61">
        <w:rPr>
          <w:rFonts w:ascii="Cambria" w:hAnsi="Cambria"/>
          <w:sz w:val="20"/>
          <w:szCs w:val="20"/>
          <w:lang w:val="pt-BR" w:eastAsia="es-ES"/>
        </w:rPr>
        <w:t>âmbi</w:t>
      </w:r>
      <w:r w:rsidRPr="005D6E61">
        <w:rPr>
          <w:rFonts w:ascii="Cambria" w:hAnsi="Cambria"/>
          <w:sz w:val="20"/>
          <w:szCs w:val="20"/>
          <w:lang w:val="pt-BR" w:eastAsia="es-ES"/>
        </w:rPr>
        <w:t xml:space="preserve">to da Convenção Americana, a liberdade de associação tem uma dimensão individual e uma dimensão coletiva. No caso Huilca Tecse relacionado com a execução extrajudicial de um sindicalista, a Corte indicou que “uma restrição das possibilidades de se associar representa diretamente, e na mesma medida, um limite ao direito da coletividade de alcançar os fins propostos”. </w:t>
      </w:r>
      <w:r w:rsidR="00ED474D" w:rsidRPr="005D6E61">
        <w:rPr>
          <w:rFonts w:ascii="Cambria" w:hAnsi="Cambria"/>
          <w:sz w:val="20"/>
          <w:szCs w:val="20"/>
          <w:lang w:val="pt-BR" w:eastAsia="es-ES"/>
        </w:rPr>
        <w:t>Por</w:t>
      </w:r>
      <w:r w:rsidRPr="005D6E61">
        <w:rPr>
          <w:rFonts w:ascii="Cambria" w:hAnsi="Cambria"/>
          <w:sz w:val="20"/>
          <w:szCs w:val="20"/>
          <w:lang w:val="pt-BR" w:eastAsia="es-ES"/>
        </w:rPr>
        <w:t xml:space="preserve"> sua </w:t>
      </w:r>
      <w:r w:rsidR="00ED474D" w:rsidRPr="005D6E61">
        <w:rPr>
          <w:rFonts w:ascii="Cambria" w:hAnsi="Cambria"/>
          <w:sz w:val="20"/>
          <w:szCs w:val="20"/>
          <w:lang w:val="pt-BR" w:eastAsia="es-ES"/>
        </w:rPr>
        <w:t>vez</w:t>
      </w:r>
      <w:r w:rsidRPr="005D6E61">
        <w:rPr>
          <w:rFonts w:ascii="Cambria" w:hAnsi="Cambria"/>
          <w:sz w:val="20"/>
          <w:szCs w:val="20"/>
          <w:lang w:val="pt-BR" w:eastAsia="es-ES"/>
        </w:rPr>
        <w:t>, em sua dimensão social, a liberdade de associação é um meio que permite aos integrantes de um grupo ou coletividade de trabalh</w:t>
      </w:r>
      <w:r w:rsidR="00ED474D" w:rsidRPr="005D6E61">
        <w:rPr>
          <w:rFonts w:ascii="Cambria" w:hAnsi="Cambria"/>
          <w:sz w:val="20"/>
          <w:szCs w:val="20"/>
          <w:lang w:val="pt-BR" w:eastAsia="es-ES"/>
        </w:rPr>
        <w:t>o</w:t>
      </w:r>
      <w:r w:rsidRPr="005D6E61">
        <w:rPr>
          <w:rFonts w:ascii="Cambria" w:hAnsi="Cambria"/>
          <w:sz w:val="20"/>
          <w:szCs w:val="20"/>
          <w:lang w:val="pt-BR" w:eastAsia="es-ES"/>
        </w:rPr>
        <w:t xml:space="preserve"> alcançar determinados fins em conjunto e se beneficiar dos mesmos</w:t>
      </w:r>
      <w:r w:rsidRPr="005D6E61">
        <w:rPr>
          <w:rStyle w:val="FootnoteReference"/>
          <w:rFonts w:ascii="Cambria" w:hAnsi="Cambria"/>
          <w:sz w:val="20"/>
          <w:szCs w:val="20"/>
          <w:lang w:val="pt-BR" w:eastAsia="es-ES"/>
        </w:rPr>
        <w:footnoteReference w:id="155"/>
      </w:r>
      <w:r w:rsidRPr="005D6E61">
        <w:rPr>
          <w:rFonts w:ascii="Cambria" w:hAnsi="Cambria"/>
          <w:sz w:val="20"/>
          <w:szCs w:val="20"/>
          <w:lang w:val="pt-BR" w:eastAsia="es-ES"/>
        </w:rPr>
        <w:t xml:space="preserve">. </w:t>
      </w:r>
    </w:p>
    <w:p w14:paraId="22E7701E" w14:textId="77777777" w:rsidR="00FE4770" w:rsidRPr="005D6E61" w:rsidRDefault="00FE4770" w:rsidP="00FE4770">
      <w:pPr>
        <w:pStyle w:val="ListParagraph"/>
        <w:rPr>
          <w:sz w:val="20"/>
          <w:szCs w:val="20"/>
          <w:lang w:val="pt-BR"/>
        </w:rPr>
      </w:pPr>
    </w:p>
    <w:p w14:paraId="23C4FF86" w14:textId="77777777" w:rsidR="00FE4770" w:rsidRPr="005D6E61" w:rsidRDefault="00ED474D"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350"/>
          <w:tab w:val="left" w:pos="1440"/>
          <w:tab w:val="num" w:pos="2040"/>
        </w:tabs>
        <w:ind w:left="0" w:firstLine="720"/>
        <w:jc w:val="both"/>
        <w:rPr>
          <w:rFonts w:ascii="Cambria" w:hAnsi="Cambria"/>
          <w:sz w:val="20"/>
          <w:szCs w:val="20"/>
          <w:lang w:val="pt-BR" w:eastAsia="es-ES"/>
        </w:rPr>
      </w:pPr>
      <w:r w:rsidRPr="005D6E61">
        <w:rPr>
          <w:rFonts w:ascii="Cambria" w:hAnsi="Cambria"/>
          <w:sz w:val="20"/>
          <w:szCs w:val="20"/>
          <w:lang w:val="pt-BR" w:eastAsia="es-ES"/>
        </w:rPr>
        <w:lastRenderedPageBreak/>
        <w:t>N</w:t>
      </w:r>
      <w:r w:rsidR="00FE4770" w:rsidRPr="005D6E61">
        <w:rPr>
          <w:rFonts w:ascii="Cambria" w:hAnsi="Cambria"/>
          <w:sz w:val="20"/>
          <w:szCs w:val="20"/>
          <w:lang w:val="pt-BR" w:eastAsia="es-ES"/>
        </w:rPr>
        <w:t xml:space="preserve">o caso Baena Ricardo e outros, a Corte indicou que “a liberdade de associação, em matéria sindical, reveste a maior importância para a defesa dos interesses legítimos dos trabalhadores e se enquadra no </w:t>
      </w:r>
      <w:r w:rsidR="00FE4770" w:rsidRPr="005D6E61">
        <w:rPr>
          <w:rFonts w:ascii="Cambria" w:hAnsi="Cambria"/>
          <w:i/>
          <w:sz w:val="20"/>
          <w:szCs w:val="20"/>
          <w:lang w:val="pt-BR" w:eastAsia="es-ES"/>
        </w:rPr>
        <w:t>corpus juris</w:t>
      </w:r>
      <w:r w:rsidR="00FE4770" w:rsidRPr="005D6E61">
        <w:rPr>
          <w:rFonts w:ascii="Cambria" w:hAnsi="Cambria"/>
          <w:sz w:val="20"/>
          <w:szCs w:val="20"/>
          <w:lang w:val="pt-BR" w:eastAsia="es-ES"/>
        </w:rPr>
        <w:t xml:space="preserve"> dos direitos humanos”</w:t>
      </w:r>
      <w:r w:rsidR="00FE4770" w:rsidRPr="005D6E61">
        <w:rPr>
          <w:rStyle w:val="FootnoteReference"/>
          <w:rFonts w:ascii="Cambria" w:hAnsi="Cambria"/>
          <w:sz w:val="20"/>
          <w:szCs w:val="20"/>
          <w:lang w:val="pt-BR" w:eastAsia="es-ES"/>
        </w:rPr>
        <w:footnoteReference w:id="156"/>
      </w:r>
      <w:r w:rsidR="00FE4770" w:rsidRPr="005D6E61">
        <w:rPr>
          <w:rFonts w:ascii="Cambria" w:hAnsi="Cambria"/>
          <w:sz w:val="20"/>
          <w:szCs w:val="20"/>
          <w:lang w:val="pt-BR" w:eastAsia="es-ES"/>
        </w:rPr>
        <w:t xml:space="preserve">. </w:t>
      </w:r>
    </w:p>
    <w:p w14:paraId="578B7C3D" w14:textId="77777777" w:rsidR="00FE4770" w:rsidRPr="005D6E61" w:rsidRDefault="00FE4770" w:rsidP="00FE477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lang w:val="pt-BR" w:eastAsia="es-ES"/>
        </w:rPr>
      </w:pPr>
    </w:p>
    <w:p w14:paraId="1D2A11B8"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350"/>
          <w:tab w:val="left" w:pos="1440"/>
          <w:tab w:val="num" w:pos="2040"/>
        </w:tabs>
        <w:ind w:left="0" w:firstLine="720"/>
        <w:jc w:val="both"/>
        <w:rPr>
          <w:rFonts w:ascii="Cambria" w:hAnsi="Cambria"/>
          <w:sz w:val="20"/>
          <w:szCs w:val="20"/>
          <w:lang w:val="pt-BR" w:eastAsia="es-ES"/>
        </w:rPr>
      </w:pPr>
      <w:r w:rsidRPr="005D6E61">
        <w:rPr>
          <w:rFonts w:ascii="Cambria" w:hAnsi="Cambria"/>
          <w:sz w:val="20"/>
          <w:szCs w:val="20"/>
          <w:lang w:val="pt-BR" w:eastAsia="es-ES"/>
        </w:rPr>
        <w:t>A CIDH indicou que</w:t>
      </w:r>
      <w:r w:rsidR="00ED474D" w:rsidRPr="005D6E61">
        <w:rPr>
          <w:rFonts w:ascii="Cambria" w:hAnsi="Cambria"/>
          <w:sz w:val="20"/>
          <w:szCs w:val="20"/>
          <w:lang w:val="pt-BR" w:eastAsia="es-ES"/>
        </w:rPr>
        <w:t>,</w:t>
      </w:r>
      <w:r w:rsidRPr="005D6E61">
        <w:rPr>
          <w:rFonts w:ascii="Cambria" w:hAnsi="Cambria"/>
          <w:sz w:val="20"/>
          <w:szCs w:val="20"/>
          <w:lang w:val="pt-BR" w:eastAsia="es-ES"/>
        </w:rPr>
        <w:t xml:space="preserve"> na maioria das vezes, as mais graves violações </w:t>
      </w:r>
      <w:r w:rsidR="00ED474D" w:rsidRPr="005D6E61">
        <w:rPr>
          <w:rFonts w:ascii="Cambria" w:hAnsi="Cambria"/>
          <w:sz w:val="20"/>
          <w:szCs w:val="20"/>
          <w:lang w:val="pt-BR" w:eastAsia="es-ES"/>
        </w:rPr>
        <w:t>d</w:t>
      </w:r>
      <w:r w:rsidRPr="005D6E61">
        <w:rPr>
          <w:rFonts w:ascii="Cambria" w:hAnsi="Cambria"/>
          <w:sz w:val="20"/>
          <w:szCs w:val="20"/>
          <w:lang w:val="pt-BR" w:eastAsia="es-ES"/>
        </w:rPr>
        <w:t>os direitos humanos</w:t>
      </w:r>
      <w:r w:rsidR="00ED474D" w:rsidRPr="005D6E61">
        <w:rPr>
          <w:rFonts w:ascii="Cambria" w:hAnsi="Cambria"/>
          <w:sz w:val="20"/>
          <w:szCs w:val="20"/>
          <w:lang w:val="pt-BR" w:eastAsia="es-ES"/>
        </w:rPr>
        <w:t>,</w:t>
      </w:r>
      <w:r w:rsidRPr="005D6E61">
        <w:rPr>
          <w:rFonts w:ascii="Cambria" w:hAnsi="Cambria"/>
          <w:sz w:val="20"/>
          <w:szCs w:val="20"/>
          <w:lang w:val="pt-BR" w:eastAsia="es-ES"/>
        </w:rPr>
        <w:t xml:space="preserve"> tais como as execuções extrajudiciais e os desaparecimentos forçados, têm por objetivo silenciar ou tirar da arena política e social determinados líderes ou ativistas. A violação do direito à vida, por exemplo, pode ser uma medida repressiva extrema em represália às atividades comunitárias, sociais ou de participação política desenvolvidas pela vítima</w:t>
      </w:r>
      <w:r w:rsidRPr="005D6E61">
        <w:rPr>
          <w:rStyle w:val="FootnoteReference"/>
          <w:rFonts w:ascii="Cambria" w:hAnsi="Cambria"/>
          <w:sz w:val="20"/>
          <w:szCs w:val="20"/>
          <w:lang w:val="pt-BR" w:eastAsia="es-ES"/>
        </w:rPr>
        <w:footnoteReference w:id="157"/>
      </w:r>
      <w:r w:rsidRPr="005D6E61">
        <w:rPr>
          <w:rFonts w:ascii="Cambria" w:hAnsi="Cambria"/>
          <w:sz w:val="20"/>
          <w:szCs w:val="20"/>
          <w:lang w:val="pt-BR" w:eastAsia="es-ES"/>
        </w:rPr>
        <w:t xml:space="preserve">. </w:t>
      </w:r>
    </w:p>
    <w:p w14:paraId="71F68659" w14:textId="77777777" w:rsidR="00FE4770" w:rsidRPr="005D6E61" w:rsidRDefault="00FE4770" w:rsidP="00FE4770">
      <w:pPr>
        <w:tabs>
          <w:tab w:val="left" w:pos="1440"/>
          <w:tab w:val="num" w:pos="2040"/>
        </w:tabs>
        <w:jc w:val="both"/>
        <w:rPr>
          <w:rFonts w:ascii="Cambria" w:hAnsi="Cambria"/>
          <w:sz w:val="20"/>
          <w:szCs w:val="20"/>
          <w:lang w:val="pt-BR" w:eastAsia="es-ES"/>
        </w:rPr>
      </w:pPr>
    </w:p>
    <w:p w14:paraId="198D019D"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350"/>
          <w:tab w:val="left" w:pos="1440"/>
          <w:tab w:val="num" w:pos="2040"/>
        </w:tabs>
        <w:ind w:left="0" w:firstLine="720"/>
        <w:jc w:val="both"/>
        <w:rPr>
          <w:rFonts w:ascii="Cambria" w:hAnsi="Cambria"/>
          <w:sz w:val="20"/>
          <w:szCs w:val="20"/>
          <w:lang w:val="pt-BR" w:eastAsia="es-ES"/>
        </w:rPr>
      </w:pPr>
      <w:r w:rsidRPr="005D6E61">
        <w:rPr>
          <w:rFonts w:ascii="Cambria" w:hAnsi="Cambria"/>
          <w:sz w:val="20"/>
          <w:szCs w:val="20"/>
          <w:lang w:val="pt-BR" w:eastAsia="es-ES"/>
        </w:rPr>
        <w:t xml:space="preserve">Segundo indicado pela CIDH, o livre e pleno exercício da liberdade de associação impõe aos Estados o dever de criar condições legais e fáticas nas quais as defensoras e defensores </w:t>
      </w:r>
      <w:r w:rsidR="00ED474D" w:rsidRPr="005D6E61">
        <w:rPr>
          <w:rFonts w:ascii="Cambria" w:hAnsi="Cambria"/>
          <w:sz w:val="20"/>
          <w:szCs w:val="20"/>
          <w:lang w:val="pt-BR" w:eastAsia="es-ES"/>
        </w:rPr>
        <w:t xml:space="preserve">possam </w:t>
      </w:r>
      <w:r w:rsidRPr="005D6E61">
        <w:rPr>
          <w:rFonts w:ascii="Cambria" w:hAnsi="Cambria"/>
          <w:sz w:val="20"/>
          <w:szCs w:val="20"/>
          <w:lang w:val="pt-BR" w:eastAsia="es-ES"/>
        </w:rPr>
        <w:t xml:space="preserve">desenvolver livremente sua função, prevenir os atentados contra esta liberdade, </w:t>
      </w:r>
      <w:r w:rsidR="00ED474D" w:rsidRPr="005D6E61">
        <w:rPr>
          <w:rFonts w:ascii="Cambria" w:hAnsi="Cambria"/>
          <w:sz w:val="20"/>
          <w:szCs w:val="20"/>
          <w:lang w:val="pt-BR" w:eastAsia="es-ES"/>
        </w:rPr>
        <w:t>bem</w:t>
      </w:r>
      <w:r w:rsidRPr="005D6E61">
        <w:rPr>
          <w:rFonts w:ascii="Cambria" w:hAnsi="Cambria"/>
          <w:sz w:val="20"/>
          <w:szCs w:val="20"/>
          <w:lang w:val="pt-BR" w:eastAsia="es-ES"/>
        </w:rPr>
        <w:t xml:space="preserve"> como proteger quem a exerce e investigar as violações dessa liberdade. Estas obrigações positivas devem ser adotadas, inclusive, na esfera de relações entre particulares, se o caso assim merecer</w:t>
      </w:r>
      <w:r w:rsidRPr="005D6E61">
        <w:rPr>
          <w:rStyle w:val="FootnoteReference"/>
          <w:rFonts w:ascii="Cambria" w:hAnsi="Cambria"/>
          <w:sz w:val="20"/>
          <w:szCs w:val="20"/>
          <w:lang w:val="pt-BR" w:eastAsia="es-ES"/>
        </w:rPr>
        <w:footnoteReference w:id="158"/>
      </w:r>
      <w:r w:rsidRPr="005D6E61">
        <w:rPr>
          <w:rFonts w:ascii="Cambria" w:hAnsi="Cambria"/>
          <w:sz w:val="20"/>
          <w:szCs w:val="20"/>
          <w:lang w:val="pt-BR" w:eastAsia="es-ES"/>
        </w:rPr>
        <w:t xml:space="preserve">. </w:t>
      </w:r>
    </w:p>
    <w:p w14:paraId="5183B27C" w14:textId="77777777" w:rsidR="00FE4770" w:rsidRPr="005D6E61" w:rsidRDefault="00FE4770" w:rsidP="00FE4770">
      <w:pPr>
        <w:rPr>
          <w:lang w:val="pt-BR"/>
        </w:rPr>
      </w:pPr>
    </w:p>
    <w:p w14:paraId="44631FB4"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350"/>
          <w:tab w:val="left" w:pos="1440"/>
          <w:tab w:val="num" w:pos="2040"/>
        </w:tabs>
        <w:ind w:left="0" w:firstLine="720"/>
        <w:jc w:val="both"/>
        <w:rPr>
          <w:rFonts w:ascii="Cambria" w:hAnsi="Cambria"/>
          <w:sz w:val="20"/>
          <w:szCs w:val="20"/>
          <w:lang w:val="pt-BR" w:eastAsia="es-ES"/>
        </w:rPr>
      </w:pPr>
      <w:r w:rsidRPr="005D6E61">
        <w:rPr>
          <w:rFonts w:ascii="Cambria" w:hAnsi="Cambria"/>
          <w:sz w:val="20"/>
          <w:szCs w:val="20"/>
          <w:lang w:val="pt-BR" w:eastAsia="es-ES"/>
        </w:rPr>
        <w:t>A CIDH recorda que no presente caso não existe controvérsia a respeito de que a morte da suposta vítima foi uma represália ao trabalho que desempenhava como defensora dos direitos dos trabalhadores rurais. A esse respeito, o Estado indicou que</w:t>
      </w:r>
      <w:r w:rsidR="00CD02B8" w:rsidRPr="005D6E61">
        <w:rPr>
          <w:rFonts w:ascii="Cambria" w:hAnsi="Cambria"/>
          <w:sz w:val="20"/>
          <w:szCs w:val="20"/>
          <w:lang w:val="pt-BR" w:eastAsia="es-ES"/>
        </w:rPr>
        <w:t>,</w:t>
      </w:r>
      <w:r w:rsidRPr="005D6E61">
        <w:rPr>
          <w:rFonts w:ascii="Cambria" w:hAnsi="Cambria"/>
          <w:sz w:val="20"/>
          <w:szCs w:val="20"/>
          <w:lang w:val="pt-BR" w:eastAsia="es-ES"/>
        </w:rPr>
        <w:t xml:space="preserve"> </w:t>
      </w:r>
      <w:r w:rsidR="00CD02B8" w:rsidRPr="005D6E61">
        <w:rPr>
          <w:rFonts w:ascii="Cambria" w:hAnsi="Cambria"/>
          <w:sz w:val="20"/>
          <w:szCs w:val="20"/>
          <w:lang w:val="pt-BR" w:eastAsia="es-ES"/>
        </w:rPr>
        <w:t>segundo</w:t>
      </w:r>
      <w:r w:rsidRPr="005D6E61">
        <w:rPr>
          <w:rFonts w:ascii="Cambria" w:hAnsi="Cambria"/>
          <w:sz w:val="20"/>
          <w:szCs w:val="20"/>
          <w:lang w:val="pt-BR" w:eastAsia="es-ES"/>
        </w:rPr>
        <w:t xml:space="preserve"> um relatório do Conselho de Defesa dos Direitos da Pessoa Humana, um órgão estatal, o homicídio da suposta vítima </w:t>
      </w:r>
      <w:r w:rsidR="00CD02B8" w:rsidRPr="005D6E61">
        <w:rPr>
          <w:rFonts w:ascii="Cambria" w:hAnsi="Cambria"/>
          <w:sz w:val="20"/>
          <w:szCs w:val="20"/>
          <w:lang w:val="pt-BR" w:eastAsia="es-ES"/>
        </w:rPr>
        <w:t xml:space="preserve">se </w:t>
      </w:r>
      <w:r w:rsidRPr="005D6E61">
        <w:rPr>
          <w:rFonts w:ascii="Cambria" w:hAnsi="Cambria"/>
          <w:sz w:val="20"/>
          <w:szCs w:val="20"/>
          <w:lang w:val="pt-BR" w:eastAsia="es-ES"/>
        </w:rPr>
        <w:t xml:space="preserve">encaixava no modelo clássico de “execução encomendada” e que </w:t>
      </w:r>
      <w:r w:rsidR="00CD02B8" w:rsidRPr="005D6E61">
        <w:rPr>
          <w:rFonts w:ascii="Cambria" w:hAnsi="Cambria"/>
          <w:sz w:val="20"/>
          <w:szCs w:val="20"/>
          <w:lang w:val="pt-BR" w:eastAsia="es-ES"/>
        </w:rPr>
        <w:t>estava</w:t>
      </w:r>
      <w:r w:rsidRPr="005D6E61">
        <w:rPr>
          <w:rFonts w:ascii="Cambria" w:hAnsi="Cambria"/>
          <w:sz w:val="20"/>
          <w:szCs w:val="20"/>
          <w:lang w:val="pt-BR" w:eastAsia="es-ES"/>
        </w:rPr>
        <w:t xml:space="preserve"> relacionado “com a luta pela terra e o coronelismo”.</w:t>
      </w:r>
    </w:p>
    <w:p w14:paraId="29C4225F" w14:textId="77777777" w:rsidR="00FE4770" w:rsidRPr="005D6E61" w:rsidRDefault="00FE4770" w:rsidP="00FE477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20"/>
          <w:szCs w:val="20"/>
          <w:lang w:val="pt-BR" w:eastAsia="es-ES"/>
        </w:rPr>
      </w:pPr>
    </w:p>
    <w:p w14:paraId="64675227"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350"/>
          <w:tab w:val="left" w:pos="1440"/>
          <w:tab w:val="num" w:pos="2040"/>
        </w:tabs>
        <w:ind w:left="0" w:firstLine="720"/>
        <w:jc w:val="both"/>
        <w:rPr>
          <w:rFonts w:ascii="Cambria" w:hAnsi="Cambria"/>
          <w:sz w:val="20"/>
          <w:szCs w:val="20"/>
          <w:lang w:val="pt-BR" w:eastAsia="es-ES"/>
        </w:rPr>
      </w:pPr>
      <w:r w:rsidRPr="005D6E61">
        <w:rPr>
          <w:rFonts w:ascii="Cambria" w:hAnsi="Cambria"/>
          <w:sz w:val="20"/>
          <w:szCs w:val="20"/>
          <w:lang w:val="pt-BR" w:eastAsia="es-ES"/>
        </w:rPr>
        <w:t xml:space="preserve">Por outro lado, a Comissão já estabeleceu que o Estado </w:t>
      </w:r>
      <w:r w:rsidR="00CD02B8" w:rsidRPr="005D6E61">
        <w:rPr>
          <w:rFonts w:ascii="Cambria" w:hAnsi="Cambria"/>
          <w:sz w:val="20"/>
          <w:szCs w:val="20"/>
          <w:lang w:val="pt-BR" w:eastAsia="es-ES"/>
        </w:rPr>
        <w:t>des</w:t>
      </w:r>
      <w:r w:rsidRPr="005D6E61">
        <w:rPr>
          <w:rFonts w:ascii="Cambria" w:hAnsi="Cambria"/>
          <w:sz w:val="20"/>
          <w:szCs w:val="20"/>
          <w:lang w:val="pt-BR" w:eastAsia="es-ES"/>
        </w:rPr>
        <w:t xml:space="preserve">cumpriu suas obrigações de respeito e garantia com relação ao direito à vida da suposta vítima e que não realizou uma investigação com </w:t>
      </w:r>
      <w:r w:rsidR="00CD02B8" w:rsidRPr="005D6E61">
        <w:rPr>
          <w:rFonts w:ascii="Cambria" w:hAnsi="Cambria"/>
          <w:sz w:val="20"/>
          <w:szCs w:val="20"/>
          <w:lang w:val="pt-BR" w:eastAsia="es-ES"/>
        </w:rPr>
        <w:t xml:space="preserve">a </w:t>
      </w:r>
      <w:r w:rsidRPr="005D6E61">
        <w:rPr>
          <w:rFonts w:ascii="Cambria" w:hAnsi="Cambria"/>
          <w:sz w:val="20"/>
          <w:szCs w:val="20"/>
          <w:lang w:val="pt-BR" w:eastAsia="es-ES"/>
        </w:rPr>
        <w:t xml:space="preserve">devida diligência para determinar as responsabilidades pela morte da suposta vítima. </w:t>
      </w:r>
    </w:p>
    <w:p w14:paraId="6AC7927C" w14:textId="77777777" w:rsidR="00FE4770" w:rsidRPr="005D6E61" w:rsidRDefault="00FE4770" w:rsidP="00FE4770">
      <w:pPr>
        <w:pStyle w:val="ListParagraph"/>
        <w:rPr>
          <w:sz w:val="20"/>
          <w:szCs w:val="20"/>
          <w:lang w:val="pt-BR"/>
        </w:rPr>
      </w:pPr>
    </w:p>
    <w:p w14:paraId="054B839B"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350"/>
          <w:tab w:val="left" w:pos="1440"/>
          <w:tab w:val="num" w:pos="2040"/>
        </w:tabs>
        <w:ind w:left="0" w:firstLine="720"/>
        <w:jc w:val="both"/>
        <w:rPr>
          <w:rFonts w:ascii="Cambria" w:hAnsi="Cambria"/>
          <w:sz w:val="20"/>
          <w:szCs w:val="20"/>
          <w:lang w:val="pt-BR" w:eastAsia="es-ES"/>
        </w:rPr>
      </w:pPr>
      <w:r w:rsidRPr="005D6E61">
        <w:rPr>
          <w:rFonts w:ascii="Cambria" w:hAnsi="Cambria"/>
          <w:sz w:val="20"/>
          <w:szCs w:val="20"/>
          <w:lang w:val="pt-BR" w:eastAsia="es-ES"/>
        </w:rPr>
        <w:t>Em virtude d</w:t>
      </w:r>
      <w:r w:rsidR="00CD02B8" w:rsidRPr="005D6E61">
        <w:rPr>
          <w:rFonts w:ascii="Cambria" w:hAnsi="Cambria"/>
          <w:sz w:val="20"/>
          <w:szCs w:val="20"/>
          <w:lang w:val="pt-BR" w:eastAsia="es-ES"/>
        </w:rPr>
        <w:t>iss</w:t>
      </w:r>
      <w:r w:rsidRPr="005D6E61">
        <w:rPr>
          <w:rFonts w:ascii="Cambria" w:hAnsi="Cambria"/>
          <w:sz w:val="20"/>
          <w:szCs w:val="20"/>
          <w:lang w:val="pt-BR" w:eastAsia="es-ES"/>
        </w:rPr>
        <w:t xml:space="preserve">o, a CIDH considera que no presente caso o exercício legítimo que Margarida Maria Alves fez do direito à liberdade de associação e defesa dos direitos trabalhistas dos trabalhadores rurais provocou uma represália fatal na qual intervieram agentes estatais, que consumou uma violação </w:t>
      </w:r>
      <w:r w:rsidR="00CD02B8" w:rsidRPr="005D6E61">
        <w:rPr>
          <w:rFonts w:ascii="Cambria" w:hAnsi="Cambria"/>
          <w:sz w:val="20"/>
          <w:szCs w:val="20"/>
          <w:lang w:val="pt-BR" w:eastAsia="es-ES"/>
        </w:rPr>
        <w:t>de</w:t>
      </w:r>
      <w:r w:rsidRPr="005D6E61">
        <w:rPr>
          <w:rFonts w:ascii="Cambria" w:hAnsi="Cambria"/>
          <w:sz w:val="20"/>
          <w:szCs w:val="20"/>
          <w:lang w:val="pt-BR" w:eastAsia="es-ES"/>
        </w:rPr>
        <w:t xml:space="preserve"> seu direito à liberdade de associação.  Em virtude d</w:t>
      </w:r>
      <w:r w:rsidR="00CD02B8" w:rsidRPr="005D6E61">
        <w:rPr>
          <w:rFonts w:ascii="Cambria" w:hAnsi="Cambria"/>
          <w:sz w:val="20"/>
          <w:szCs w:val="20"/>
          <w:lang w:val="pt-BR" w:eastAsia="es-ES"/>
        </w:rPr>
        <w:t>isso</w:t>
      </w:r>
      <w:r w:rsidRPr="005D6E61">
        <w:rPr>
          <w:rFonts w:ascii="Cambria" w:hAnsi="Cambria"/>
          <w:sz w:val="20"/>
          <w:szCs w:val="20"/>
          <w:lang w:val="pt-BR" w:eastAsia="es-ES"/>
        </w:rPr>
        <w:t>, a CIDH conclui que o Estado brasileiro é responsável internacionalmente pela violação do direito à liberdade de associação previsto no artigo XXII da Declaração Americana em prejuízo de Margarida Mar</w:t>
      </w:r>
      <w:r w:rsidR="00CD02B8" w:rsidRPr="005D6E61">
        <w:rPr>
          <w:rFonts w:ascii="Cambria" w:hAnsi="Cambria"/>
          <w:sz w:val="20"/>
          <w:szCs w:val="20"/>
          <w:lang w:val="pt-BR" w:eastAsia="es-ES"/>
        </w:rPr>
        <w:t>i</w:t>
      </w:r>
      <w:r w:rsidRPr="005D6E61">
        <w:rPr>
          <w:rFonts w:ascii="Cambria" w:hAnsi="Cambria"/>
          <w:sz w:val="20"/>
          <w:szCs w:val="20"/>
          <w:lang w:val="pt-BR" w:eastAsia="es-ES"/>
        </w:rPr>
        <w:t xml:space="preserve">a Alves. </w:t>
      </w:r>
    </w:p>
    <w:p w14:paraId="3D047BCB" w14:textId="77777777" w:rsidR="00FE4770" w:rsidRPr="005D6E61" w:rsidRDefault="00FE4770" w:rsidP="00FE4770">
      <w:pPr>
        <w:rPr>
          <w:lang w:val="pt-BR" w:eastAsia="es-ES"/>
        </w:rPr>
      </w:pPr>
    </w:p>
    <w:p w14:paraId="700DF435" w14:textId="77777777" w:rsidR="00FE4770" w:rsidRPr="005D6E61" w:rsidRDefault="00FE4770" w:rsidP="00FE4770">
      <w:pPr>
        <w:pStyle w:val="Heading2"/>
        <w:numPr>
          <w:ilvl w:val="0"/>
          <w:numId w:val="61"/>
        </w:numPr>
        <w:spacing w:before="0" w:after="0"/>
        <w:ind w:firstLine="0"/>
        <w:jc w:val="both"/>
        <w:rPr>
          <w:rFonts w:ascii="Cambria" w:hAnsi="Cambria" w:cs="Times New Roman"/>
          <w:bCs w:val="0"/>
          <w:i w:val="0"/>
          <w:iCs w:val="0"/>
          <w:sz w:val="20"/>
          <w:szCs w:val="20"/>
          <w:lang w:val="pt-BR" w:eastAsia="es-ES"/>
        </w:rPr>
      </w:pPr>
      <w:bookmarkStart w:id="41" w:name="_Toc496103839"/>
      <w:bookmarkStart w:id="42" w:name="_Toc27990576"/>
      <w:r w:rsidRPr="005D6E61">
        <w:rPr>
          <w:rFonts w:ascii="Cambria" w:hAnsi="Cambria" w:cs="Times New Roman"/>
          <w:bCs w:val="0"/>
          <w:i w:val="0"/>
          <w:iCs w:val="0"/>
          <w:sz w:val="20"/>
          <w:szCs w:val="20"/>
          <w:lang w:val="pt-BR" w:eastAsia="es-ES"/>
        </w:rPr>
        <w:t>Direito à integridade pessoal (artigo I da Declaração Americana dos Direitos e Deveres do Homem</w:t>
      </w:r>
      <w:r w:rsidRPr="005D6E61">
        <w:rPr>
          <w:rStyle w:val="FootnoteReference"/>
          <w:rFonts w:ascii="Cambria" w:eastAsia="Trebuchet MS" w:hAnsi="Cambria" w:cs="Times New Roman"/>
          <w:bCs w:val="0"/>
          <w:i w:val="0"/>
          <w:iCs w:val="0"/>
          <w:sz w:val="20"/>
          <w:szCs w:val="20"/>
          <w:lang w:val="pt-BR" w:eastAsia="es-ES"/>
        </w:rPr>
        <w:footnoteReference w:id="159"/>
      </w:r>
      <w:r w:rsidRPr="005D6E61">
        <w:rPr>
          <w:rFonts w:ascii="Cambria" w:hAnsi="Cambria" w:cs="Times New Roman"/>
          <w:bCs w:val="0"/>
          <w:i w:val="0"/>
          <w:iCs w:val="0"/>
          <w:sz w:val="20"/>
          <w:szCs w:val="20"/>
          <w:lang w:val="pt-BR" w:eastAsia="es-ES"/>
        </w:rPr>
        <w:t xml:space="preserve"> e artigo 5 da Convenção Americana</w:t>
      </w:r>
      <w:r w:rsidRPr="005D6E61">
        <w:rPr>
          <w:rStyle w:val="FootnoteReference"/>
          <w:rFonts w:ascii="Cambria" w:eastAsia="Trebuchet MS" w:hAnsi="Cambria" w:cs="Times New Roman"/>
          <w:bCs w:val="0"/>
          <w:i w:val="0"/>
          <w:iCs w:val="0"/>
          <w:sz w:val="20"/>
          <w:szCs w:val="20"/>
          <w:lang w:val="pt-BR" w:eastAsia="es-ES"/>
        </w:rPr>
        <w:footnoteReference w:id="160"/>
      </w:r>
      <w:r w:rsidRPr="005D6E61">
        <w:rPr>
          <w:rFonts w:ascii="Cambria" w:hAnsi="Cambria" w:cs="Times New Roman"/>
          <w:bCs w:val="0"/>
          <w:i w:val="0"/>
          <w:iCs w:val="0"/>
          <w:sz w:val="20"/>
          <w:szCs w:val="20"/>
          <w:lang w:val="pt-BR" w:eastAsia="es-ES"/>
        </w:rPr>
        <w:t>)</w:t>
      </w:r>
      <w:bookmarkEnd w:id="41"/>
      <w:bookmarkEnd w:id="42"/>
      <w:r w:rsidRPr="005D6E61">
        <w:rPr>
          <w:rFonts w:ascii="Cambria" w:hAnsi="Cambria" w:cs="Times New Roman"/>
          <w:bCs w:val="0"/>
          <w:i w:val="0"/>
          <w:iCs w:val="0"/>
          <w:sz w:val="20"/>
          <w:szCs w:val="20"/>
          <w:lang w:val="pt-BR" w:eastAsia="es-ES"/>
        </w:rPr>
        <w:t xml:space="preserve"> </w:t>
      </w:r>
    </w:p>
    <w:p w14:paraId="625E90CF" w14:textId="77777777" w:rsidR="00FE4770" w:rsidRPr="005D6E61" w:rsidRDefault="00FE4770" w:rsidP="00FE4770">
      <w:pPr>
        <w:pStyle w:val="ListParagraph"/>
        <w:rPr>
          <w:sz w:val="20"/>
          <w:szCs w:val="20"/>
          <w:lang w:val="pt-BR"/>
        </w:rPr>
      </w:pPr>
    </w:p>
    <w:p w14:paraId="60E64344"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350"/>
          <w:tab w:val="left" w:pos="1440"/>
          <w:tab w:val="num" w:pos="2040"/>
        </w:tabs>
        <w:ind w:left="0" w:firstLine="720"/>
        <w:jc w:val="both"/>
        <w:rPr>
          <w:rFonts w:ascii="Cambria" w:hAnsi="Cambria"/>
          <w:sz w:val="20"/>
          <w:szCs w:val="20"/>
          <w:lang w:val="pt-BR" w:eastAsia="es-ES"/>
        </w:rPr>
      </w:pPr>
      <w:r w:rsidRPr="005D6E61">
        <w:rPr>
          <w:rFonts w:ascii="Cambria" w:hAnsi="Cambria"/>
          <w:sz w:val="20"/>
          <w:szCs w:val="20"/>
          <w:lang w:val="pt-BR" w:eastAsia="es-ES"/>
        </w:rPr>
        <w:t xml:space="preserve">A Corte indicou que os familiares das vítimas de certas violações de direitos humanos podem ser, por sua vez, vítimas. Especificamente, a Corte indicou que os familiares das vítimas podem ser afetados em sua integridade psíquica e moral </w:t>
      </w:r>
      <w:r w:rsidR="00CD02B8" w:rsidRPr="005D6E61">
        <w:rPr>
          <w:rFonts w:ascii="Cambria" w:hAnsi="Cambria"/>
          <w:sz w:val="20"/>
          <w:szCs w:val="20"/>
          <w:lang w:val="pt-BR" w:eastAsia="es-ES"/>
        </w:rPr>
        <w:t>em</w:t>
      </w:r>
      <w:r w:rsidRPr="005D6E61">
        <w:rPr>
          <w:rFonts w:ascii="Cambria" w:hAnsi="Cambria"/>
          <w:sz w:val="20"/>
          <w:szCs w:val="20"/>
          <w:lang w:val="pt-BR" w:eastAsia="es-ES"/>
        </w:rPr>
        <w:t xml:space="preserve"> consequência das situações que seus </w:t>
      </w:r>
      <w:r w:rsidR="00CD02B8" w:rsidRPr="005D6E61">
        <w:rPr>
          <w:rFonts w:ascii="Cambria" w:hAnsi="Cambria"/>
          <w:sz w:val="20"/>
          <w:szCs w:val="20"/>
          <w:lang w:val="pt-BR" w:eastAsia="es-ES"/>
        </w:rPr>
        <w:t>ent</w:t>
      </w:r>
      <w:r w:rsidRPr="005D6E61">
        <w:rPr>
          <w:rFonts w:ascii="Cambria" w:hAnsi="Cambria"/>
          <w:sz w:val="20"/>
          <w:szCs w:val="20"/>
          <w:lang w:val="pt-BR" w:eastAsia="es-ES"/>
        </w:rPr>
        <w:t>es queridos</w:t>
      </w:r>
      <w:r w:rsidR="00CD02B8" w:rsidRPr="005D6E61">
        <w:rPr>
          <w:rFonts w:ascii="Cambria" w:hAnsi="Cambria"/>
          <w:sz w:val="20"/>
          <w:szCs w:val="20"/>
          <w:lang w:val="pt-BR" w:eastAsia="es-ES"/>
        </w:rPr>
        <w:t xml:space="preserve"> padeceram</w:t>
      </w:r>
      <w:r w:rsidRPr="005D6E61">
        <w:rPr>
          <w:rFonts w:ascii="Cambria" w:hAnsi="Cambria"/>
          <w:sz w:val="20"/>
          <w:szCs w:val="20"/>
          <w:lang w:val="pt-BR" w:eastAsia="es-ES"/>
        </w:rPr>
        <w:t xml:space="preserve"> e das posteriores atuações ou omissões das autoridades internas frente a es</w:t>
      </w:r>
      <w:r w:rsidR="006210BE" w:rsidRPr="005D6E61">
        <w:rPr>
          <w:rFonts w:ascii="Cambria" w:hAnsi="Cambria"/>
          <w:sz w:val="20"/>
          <w:szCs w:val="20"/>
          <w:lang w:val="pt-BR" w:eastAsia="es-ES"/>
        </w:rPr>
        <w:t>s</w:t>
      </w:r>
      <w:r w:rsidRPr="005D6E61">
        <w:rPr>
          <w:rFonts w:ascii="Cambria" w:hAnsi="Cambria"/>
          <w:sz w:val="20"/>
          <w:szCs w:val="20"/>
          <w:lang w:val="pt-BR" w:eastAsia="es-ES"/>
        </w:rPr>
        <w:t>es atos</w:t>
      </w:r>
      <w:r w:rsidRPr="005D6E61">
        <w:rPr>
          <w:rStyle w:val="FootnoteReference"/>
          <w:rFonts w:ascii="Cambria" w:hAnsi="Cambria"/>
          <w:sz w:val="20"/>
          <w:szCs w:val="20"/>
          <w:lang w:val="pt-BR" w:eastAsia="es-ES"/>
        </w:rPr>
        <w:footnoteReference w:id="161"/>
      </w:r>
      <w:r w:rsidRPr="005D6E61">
        <w:rPr>
          <w:rFonts w:ascii="Cambria" w:hAnsi="Cambria"/>
          <w:sz w:val="20"/>
          <w:szCs w:val="20"/>
          <w:lang w:val="pt-BR" w:eastAsia="es-ES"/>
        </w:rPr>
        <w:t xml:space="preserve">. </w:t>
      </w:r>
      <w:r w:rsidR="00CD02B8" w:rsidRPr="005D6E61">
        <w:rPr>
          <w:rFonts w:ascii="Cambria" w:hAnsi="Cambria"/>
          <w:sz w:val="20"/>
          <w:szCs w:val="20"/>
          <w:lang w:val="pt-BR" w:eastAsia="es-ES"/>
        </w:rPr>
        <w:t>Nas</w:t>
      </w:r>
      <w:r w:rsidRPr="005D6E61">
        <w:rPr>
          <w:rFonts w:ascii="Cambria" w:hAnsi="Cambria"/>
          <w:sz w:val="20"/>
          <w:szCs w:val="20"/>
          <w:lang w:val="pt-BR" w:eastAsia="es-ES"/>
        </w:rPr>
        <w:t xml:space="preserve"> palavras da Corte, a ausência de uma investigação completa e efetiva sobre os atos constitui uma fonte de sofrimento e angústia adicional para as vítimas e seus familiares, que têm o direito de conhecer a verdade. Esse direito à verdade exige a determinação processual da mais completa verdade histórica possível, o que inclui a determinação </w:t>
      </w:r>
      <w:r w:rsidRPr="005D6E61">
        <w:rPr>
          <w:rFonts w:ascii="Cambria" w:hAnsi="Cambria"/>
          <w:sz w:val="20"/>
          <w:szCs w:val="20"/>
          <w:lang w:val="pt-BR" w:eastAsia="es-ES"/>
        </w:rPr>
        <w:lastRenderedPageBreak/>
        <w:t>judicial dos padrões de atuação conjunta e de todas as pessoas que de diversas formas pa</w:t>
      </w:r>
      <w:r w:rsidR="00CD02B8" w:rsidRPr="005D6E61">
        <w:rPr>
          <w:rFonts w:ascii="Cambria" w:hAnsi="Cambria"/>
          <w:sz w:val="20"/>
          <w:szCs w:val="20"/>
          <w:lang w:val="pt-BR" w:eastAsia="es-ES"/>
        </w:rPr>
        <w:t>rticiparam dessas violações e s</w:t>
      </w:r>
      <w:r w:rsidRPr="005D6E61">
        <w:rPr>
          <w:rFonts w:ascii="Cambria" w:hAnsi="Cambria"/>
          <w:sz w:val="20"/>
          <w:szCs w:val="20"/>
          <w:lang w:val="pt-BR" w:eastAsia="es-ES"/>
        </w:rPr>
        <w:t>u</w:t>
      </w:r>
      <w:r w:rsidR="00CD02B8" w:rsidRPr="005D6E61">
        <w:rPr>
          <w:rFonts w:ascii="Cambria" w:hAnsi="Cambria"/>
          <w:sz w:val="20"/>
          <w:szCs w:val="20"/>
          <w:lang w:val="pt-BR" w:eastAsia="es-ES"/>
        </w:rPr>
        <w:t>a</w:t>
      </w:r>
      <w:r w:rsidRPr="005D6E61">
        <w:rPr>
          <w:rFonts w:ascii="Cambria" w:hAnsi="Cambria"/>
          <w:sz w:val="20"/>
          <w:szCs w:val="20"/>
          <w:lang w:val="pt-BR" w:eastAsia="es-ES"/>
        </w:rPr>
        <w:t>s correspondentes responsabilidades</w:t>
      </w:r>
      <w:r w:rsidRPr="005D6E61">
        <w:rPr>
          <w:rStyle w:val="FootnoteReference"/>
          <w:rFonts w:ascii="Cambria" w:hAnsi="Cambria"/>
          <w:sz w:val="20"/>
          <w:szCs w:val="20"/>
          <w:lang w:val="pt-BR" w:eastAsia="es-ES"/>
        </w:rPr>
        <w:footnoteReference w:id="162"/>
      </w:r>
      <w:r w:rsidRPr="005D6E61">
        <w:rPr>
          <w:rFonts w:ascii="Cambria" w:hAnsi="Cambria"/>
          <w:sz w:val="20"/>
          <w:szCs w:val="20"/>
          <w:lang w:val="pt-BR" w:eastAsia="es-ES"/>
        </w:rPr>
        <w:t xml:space="preserve">. </w:t>
      </w:r>
    </w:p>
    <w:p w14:paraId="7CAF8162" w14:textId="77777777" w:rsidR="00FE4770" w:rsidRPr="005D6E61" w:rsidRDefault="00FE4770" w:rsidP="00FE4770">
      <w:pPr>
        <w:rPr>
          <w:lang w:val="pt-BR"/>
        </w:rPr>
      </w:pPr>
    </w:p>
    <w:p w14:paraId="74038C34"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350"/>
          <w:tab w:val="left" w:pos="1440"/>
          <w:tab w:val="num" w:pos="2040"/>
        </w:tabs>
        <w:ind w:left="0" w:firstLine="720"/>
        <w:jc w:val="both"/>
        <w:rPr>
          <w:rFonts w:ascii="Cambria" w:hAnsi="Cambria"/>
          <w:sz w:val="20"/>
          <w:szCs w:val="20"/>
          <w:lang w:val="pt-BR" w:eastAsia="es-ES"/>
        </w:rPr>
      </w:pPr>
      <w:r w:rsidRPr="005D6E61">
        <w:rPr>
          <w:rFonts w:ascii="Cambria" w:hAnsi="Cambria"/>
          <w:sz w:val="20"/>
          <w:szCs w:val="20"/>
          <w:lang w:val="pt-BR" w:eastAsia="es-ES"/>
        </w:rPr>
        <w:t xml:space="preserve">De acordo com o </w:t>
      </w:r>
      <w:r w:rsidR="00CD02B8" w:rsidRPr="005D6E61">
        <w:rPr>
          <w:rFonts w:ascii="Cambria" w:hAnsi="Cambria"/>
          <w:sz w:val="20"/>
          <w:szCs w:val="20"/>
          <w:lang w:val="pt-BR" w:eastAsia="es-ES"/>
        </w:rPr>
        <w:t>exposto anteriormente,</w:t>
      </w:r>
      <w:r w:rsidRPr="005D6E61">
        <w:rPr>
          <w:rFonts w:ascii="Cambria" w:hAnsi="Cambria"/>
          <w:sz w:val="20"/>
          <w:szCs w:val="20"/>
          <w:lang w:val="pt-BR" w:eastAsia="es-ES"/>
        </w:rPr>
        <w:t xml:space="preserve"> a Comissão considera que a perda de um </w:t>
      </w:r>
      <w:r w:rsidR="00CD02B8" w:rsidRPr="005D6E61">
        <w:rPr>
          <w:rFonts w:ascii="Cambria" w:hAnsi="Cambria"/>
          <w:sz w:val="20"/>
          <w:szCs w:val="20"/>
          <w:lang w:val="pt-BR" w:eastAsia="es-ES"/>
        </w:rPr>
        <w:t>ente</w:t>
      </w:r>
      <w:r w:rsidRPr="005D6E61">
        <w:rPr>
          <w:rFonts w:ascii="Cambria" w:hAnsi="Cambria"/>
          <w:sz w:val="20"/>
          <w:szCs w:val="20"/>
          <w:lang w:val="pt-BR" w:eastAsia="es-ES"/>
        </w:rPr>
        <w:t xml:space="preserve"> querido num contexto como o descrito no presente caso, assim como a ausência de uma investigação completa e efetiva que por sua vez ocasiona sofrimento e angústia por não conhecer a verdade, constitui em si mesma uma </w:t>
      </w:r>
      <w:r w:rsidR="00CD02B8" w:rsidRPr="005D6E61">
        <w:rPr>
          <w:rFonts w:ascii="Cambria" w:hAnsi="Cambria"/>
          <w:sz w:val="20"/>
          <w:szCs w:val="20"/>
          <w:lang w:val="pt-BR" w:eastAsia="es-ES"/>
        </w:rPr>
        <w:t>viol</w:t>
      </w:r>
      <w:r w:rsidRPr="005D6E61">
        <w:rPr>
          <w:rFonts w:ascii="Cambria" w:hAnsi="Cambria"/>
          <w:sz w:val="20"/>
          <w:szCs w:val="20"/>
          <w:lang w:val="pt-BR" w:eastAsia="es-ES"/>
        </w:rPr>
        <w:t xml:space="preserve">ação </w:t>
      </w:r>
      <w:r w:rsidR="00CD02B8" w:rsidRPr="005D6E61">
        <w:rPr>
          <w:rFonts w:ascii="Cambria" w:hAnsi="Cambria"/>
          <w:sz w:val="20"/>
          <w:szCs w:val="20"/>
          <w:lang w:val="pt-BR" w:eastAsia="es-ES"/>
        </w:rPr>
        <w:t>da</w:t>
      </w:r>
      <w:r w:rsidRPr="005D6E61">
        <w:rPr>
          <w:rFonts w:ascii="Cambria" w:hAnsi="Cambria"/>
          <w:sz w:val="20"/>
          <w:szCs w:val="20"/>
          <w:lang w:val="pt-BR" w:eastAsia="es-ES"/>
        </w:rPr>
        <w:t xml:space="preserve"> integridade psíquica e moral dos familiares de Margarida Maria Alves. </w:t>
      </w:r>
    </w:p>
    <w:p w14:paraId="47268D9E" w14:textId="77777777" w:rsidR="00FE4770" w:rsidRPr="005D6E61" w:rsidRDefault="00FE4770" w:rsidP="00FE4770">
      <w:pPr>
        <w:pStyle w:val="ListParagraph"/>
        <w:rPr>
          <w:sz w:val="20"/>
          <w:szCs w:val="20"/>
          <w:lang w:val="pt-BR"/>
        </w:rPr>
      </w:pPr>
    </w:p>
    <w:p w14:paraId="2D13C170" w14:textId="77777777" w:rsidR="00FE4770" w:rsidRPr="005D6E61" w:rsidRDefault="00FE4770" w:rsidP="00FE477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1350"/>
          <w:tab w:val="left" w:pos="1440"/>
          <w:tab w:val="num" w:pos="2040"/>
        </w:tabs>
        <w:ind w:left="0" w:firstLine="720"/>
        <w:jc w:val="both"/>
        <w:rPr>
          <w:rFonts w:ascii="Cambria" w:hAnsi="Cambria"/>
          <w:sz w:val="20"/>
          <w:szCs w:val="20"/>
          <w:lang w:val="pt-BR" w:eastAsia="es-ES"/>
        </w:rPr>
      </w:pPr>
      <w:r w:rsidRPr="005D6E61">
        <w:rPr>
          <w:rFonts w:ascii="Cambria" w:hAnsi="Cambria"/>
          <w:sz w:val="20"/>
          <w:szCs w:val="20"/>
          <w:lang w:val="pt-BR" w:eastAsia="es-ES"/>
        </w:rPr>
        <w:t>A Comissão nota</w:t>
      </w:r>
      <w:r w:rsidR="00CD02B8" w:rsidRPr="005D6E61">
        <w:rPr>
          <w:rFonts w:ascii="Cambria" w:hAnsi="Cambria"/>
          <w:sz w:val="20"/>
          <w:szCs w:val="20"/>
          <w:lang w:val="pt-BR" w:eastAsia="es-ES"/>
        </w:rPr>
        <w:t>,</w:t>
      </w:r>
      <w:r w:rsidRPr="005D6E61">
        <w:rPr>
          <w:rFonts w:ascii="Cambria" w:hAnsi="Cambria"/>
          <w:sz w:val="20"/>
          <w:szCs w:val="20"/>
          <w:lang w:val="pt-BR" w:eastAsia="es-ES"/>
        </w:rPr>
        <w:t xml:space="preserve"> em particular</w:t>
      </w:r>
      <w:r w:rsidR="00CD02B8" w:rsidRPr="005D6E61">
        <w:rPr>
          <w:rFonts w:ascii="Cambria" w:hAnsi="Cambria"/>
          <w:sz w:val="20"/>
          <w:szCs w:val="20"/>
          <w:lang w:val="pt-BR" w:eastAsia="es-ES"/>
        </w:rPr>
        <w:t>,</w:t>
      </w:r>
      <w:r w:rsidRPr="005D6E61">
        <w:rPr>
          <w:rFonts w:ascii="Cambria" w:hAnsi="Cambria"/>
          <w:sz w:val="20"/>
          <w:szCs w:val="20"/>
          <w:lang w:val="pt-BR" w:eastAsia="es-ES"/>
        </w:rPr>
        <w:t xml:space="preserve"> que no momento dos </w:t>
      </w:r>
      <w:r w:rsidR="006210BE" w:rsidRPr="005D6E61">
        <w:rPr>
          <w:rFonts w:ascii="Cambria" w:hAnsi="Cambria"/>
          <w:sz w:val="20"/>
          <w:szCs w:val="20"/>
          <w:lang w:val="pt-BR" w:eastAsia="es-ES"/>
        </w:rPr>
        <w:t>f</w:t>
      </w:r>
      <w:r w:rsidRPr="005D6E61">
        <w:rPr>
          <w:rFonts w:ascii="Cambria" w:hAnsi="Cambria"/>
          <w:sz w:val="20"/>
          <w:szCs w:val="20"/>
          <w:lang w:val="pt-BR" w:eastAsia="es-ES"/>
        </w:rPr>
        <w:t>atos o filho da suposta vítima, José de Arimatéia Alves, que então tinha oito anos de idade, brincava em frente à casa onde sua mãe foi assassinada, e após o ato viu o corpo sem vida de sua mãe no chão. Em suas palavras, “ainda hoje visualizo o corpo ensanguentado de minha m</w:t>
      </w:r>
      <w:r w:rsidR="00CD02B8" w:rsidRPr="005D6E61">
        <w:rPr>
          <w:rFonts w:ascii="Cambria" w:hAnsi="Cambria"/>
          <w:sz w:val="20"/>
          <w:szCs w:val="20"/>
          <w:lang w:val="pt-BR" w:eastAsia="es-ES"/>
        </w:rPr>
        <w:t>ã</w:t>
      </w:r>
      <w:r w:rsidRPr="005D6E61">
        <w:rPr>
          <w:rFonts w:ascii="Cambria" w:hAnsi="Cambria"/>
          <w:sz w:val="20"/>
          <w:szCs w:val="20"/>
          <w:lang w:val="pt-BR" w:eastAsia="es-ES"/>
        </w:rPr>
        <w:t>e, trauma este que car</w:t>
      </w:r>
      <w:r w:rsidR="00CD02B8" w:rsidRPr="005D6E61">
        <w:rPr>
          <w:rFonts w:ascii="Cambria" w:hAnsi="Cambria"/>
          <w:sz w:val="20"/>
          <w:szCs w:val="20"/>
          <w:lang w:val="pt-BR" w:eastAsia="es-ES"/>
        </w:rPr>
        <w:t>re</w:t>
      </w:r>
      <w:r w:rsidRPr="005D6E61">
        <w:rPr>
          <w:rFonts w:ascii="Cambria" w:hAnsi="Cambria"/>
          <w:sz w:val="20"/>
          <w:szCs w:val="20"/>
          <w:lang w:val="pt-BR" w:eastAsia="es-ES"/>
        </w:rPr>
        <w:t xml:space="preserve">go comigo muito fortemente”. Isto constitui um elemento suficiente para </w:t>
      </w:r>
      <w:r w:rsidR="00CD02B8" w:rsidRPr="005D6E61">
        <w:rPr>
          <w:rFonts w:ascii="Cambria" w:hAnsi="Cambria"/>
          <w:sz w:val="20"/>
          <w:szCs w:val="20"/>
          <w:lang w:val="pt-BR" w:eastAsia="es-ES"/>
        </w:rPr>
        <w:t>confirm</w:t>
      </w:r>
      <w:r w:rsidRPr="005D6E61">
        <w:rPr>
          <w:rFonts w:ascii="Cambria" w:hAnsi="Cambria"/>
          <w:sz w:val="20"/>
          <w:szCs w:val="20"/>
          <w:lang w:val="pt-BR" w:eastAsia="es-ES"/>
        </w:rPr>
        <w:t xml:space="preserve">ar uma violação </w:t>
      </w:r>
      <w:r w:rsidR="00CD02B8" w:rsidRPr="005D6E61">
        <w:rPr>
          <w:rFonts w:ascii="Cambria" w:hAnsi="Cambria"/>
          <w:sz w:val="20"/>
          <w:szCs w:val="20"/>
          <w:lang w:val="pt-BR" w:eastAsia="es-ES"/>
        </w:rPr>
        <w:t>do</w:t>
      </w:r>
      <w:r w:rsidRPr="005D6E61">
        <w:rPr>
          <w:rFonts w:ascii="Cambria" w:hAnsi="Cambria"/>
          <w:sz w:val="20"/>
          <w:szCs w:val="20"/>
          <w:lang w:val="pt-BR" w:eastAsia="es-ES"/>
        </w:rPr>
        <w:t xml:space="preserve"> seu direito à integridade pessoal, levando em conta o impacto psicológico e emocional de uma criança </w:t>
      </w:r>
      <w:r w:rsidR="00CD02B8" w:rsidRPr="005D6E61">
        <w:rPr>
          <w:rFonts w:ascii="Cambria" w:hAnsi="Cambria"/>
          <w:sz w:val="20"/>
          <w:szCs w:val="20"/>
          <w:lang w:val="pt-BR" w:eastAsia="es-ES"/>
        </w:rPr>
        <w:t>ao</w:t>
      </w:r>
      <w:r w:rsidRPr="005D6E61">
        <w:rPr>
          <w:rFonts w:ascii="Cambria" w:hAnsi="Cambria"/>
          <w:sz w:val="20"/>
          <w:szCs w:val="20"/>
          <w:lang w:val="pt-BR" w:eastAsia="es-ES"/>
        </w:rPr>
        <w:t xml:space="preserve"> presenciar o assassinato de sua mãe, assim como a impunidade na qual permanecem esses </w:t>
      </w:r>
      <w:r w:rsidR="00CD02B8" w:rsidRPr="005D6E61">
        <w:rPr>
          <w:rFonts w:ascii="Cambria" w:hAnsi="Cambria"/>
          <w:sz w:val="20"/>
          <w:szCs w:val="20"/>
          <w:lang w:val="pt-BR" w:eastAsia="es-ES"/>
        </w:rPr>
        <w:t>fatos</w:t>
      </w:r>
      <w:r w:rsidRPr="005D6E61">
        <w:rPr>
          <w:rFonts w:ascii="Cambria" w:hAnsi="Cambria"/>
          <w:sz w:val="20"/>
          <w:szCs w:val="20"/>
          <w:lang w:val="pt-BR" w:eastAsia="es-ES"/>
        </w:rPr>
        <w:t xml:space="preserve">. </w:t>
      </w:r>
    </w:p>
    <w:p w14:paraId="69F0B3C3" w14:textId="77777777" w:rsidR="00F5547A" w:rsidRPr="005D6E61" w:rsidRDefault="00F5547A" w:rsidP="00F5547A">
      <w:pPr>
        <w:pStyle w:val="ListParagraph"/>
        <w:rPr>
          <w:sz w:val="20"/>
          <w:szCs w:val="20"/>
          <w:lang w:val="pt-BR"/>
        </w:rPr>
      </w:pPr>
    </w:p>
    <w:p w14:paraId="522D2405" w14:textId="77777777" w:rsidR="00F5547A" w:rsidRPr="005D6E61" w:rsidRDefault="00F5547A" w:rsidP="003F140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Theme="majorHAnsi" w:hAnsiTheme="majorHAnsi"/>
          <w:sz w:val="20"/>
          <w:szCs w:val="20"/>
          <w:lang w:val="pt-BR" w:eastAsia="es-ES"/>
        </w:rPr>
      </w:pPr>
      <w:r w:rsidRPr="005D6E61">
        <w:rPr>
          <w:rFonts w:ascii="Cambria" w:hAnsi="Cambria"/>
          <w:sz w:val="20"/>
          <w:szCs w:val="20"/>
          <w:lang w:val="pt-BR" w:eastAsia="es-ES"/>
        </w:rPr>
        <w:t xml:space="preserve">Em virtude disso, A Comissão conclui que o Estado violou o direito à integridade pessoal consagrado noa rtigo I da </w:t>
      </w:r>
      <w:r w:rsidRPr="005D6E61">
        <w:rPr>
          <w:rFonts w:ascii="Cambria" w:eastAsia="Calibri" w:hAnsi="Cambria"/>
          <w:sz w:val="20"/>
          <w:szCs w:val="20"/>
          <w:lang w:val="pt-BR"/>
        </w:rPr>
        <w:t xml:space="preserve">Declaração Americana e no artigo 5 da Convenção Americana em  </w:t>
      </w:r>
      <w:r w:rsidR="003F140F" w:rsidRPr="005D6E61">
        <w:rPr>
          <w:rFonts w:ascii="Cambria" w:hAnsi="Cambria"/>
          <w:sz w:val="20"/>
          <w:szCs w:val="20"/>
          <w:lang w:val="pt-BR"/>
        </w:rPr>
        <w:t xml:space="preserve">prejuízo dos familiares de Margarida Maria Alves identificados no presente </w:t>
      </w:r>
      <w:r w:rsidR="003F140F" w:rsidRPr="005D6E61">
        <w:rPr>
          <w:rFonts w:ascii="Cambria" w:eastAsia="Calibri" w:hAnsi="Cambria"/>
          <w:sz w:val="20"/>
          <w:szCs w:val="20"/>
          <w:lang w:val="pt-BR"/>
        </w:rPr>
        <w:t xml:space="preserve">relatório. </w:t>
      </w:r>
    </w:p>
    <w:p w14:paraId="28CBA80A" w14:textId="77777777" w:rsidR="0086494E" w:rsidRPr="005D6E61" w:rsidRDefault="0086494E" w:rsidP="0086494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pt-BR" w:eastAsia="es-ES"/>
        </w:rPr>
      </w:pPr>
    </w:p>
    <w:p w14:paraId="27FA4168" w14:textId="77777777" w:rsidR="0086494E" w:rsidRPr="005D6E61" w:rsidRDefault="0086494E" w:rsidP="0086494E">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Cambria" w:hAnsi="Cambria" w:cs="Calibri"/>
          <w:color w:val="auto"/>
          <w:sz w:val="20"/>
          <w:szCs w:val="20"/>
          <w:lang w:val="pt-BR"/>
        </w:rPr>
      </w:pPr>
      <w:bookmarkStart w:id="43" w:name="_Toc529892272"/>
      <w:bookmarkStart w:id="44" w:name="_Toc27990577"/>
      <w:r w:rsidRPr="005D6E61">
        <w:rPr>
          <w:rFonts w:eastAsia="Times New Roman" w:cs="Times New Roman"/>
          <w:bCs w:val="0"/>
          <w:color w:val="auto"/>
          <w:sz w:val="20"/>
          <w:szCs w:val="20"/>
          <w:bdr w:val="none" w:sz="0" w:space="0" w:color="auto"/>
          <w:lang w:val="pt-BR"/>
        </w:rPr>
        <w:t>CONCLUSÕES</w:t>
      </w:r>
      <w:bookmarkEnd w:id="43"/>
      <w:bookmarkEnd w:id="44"/>
    </w:p>
    <w:p w14:paraId="46ABE7FB" w14:textId="77777777" w:rsidR="0086494E" w:rsidRPr="005D6E61" w:rsidRDefault="0086494E" w:rsidP="0086494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720"/>
          <w:tab w:val="left" w:pos="1440"/>
          <w:tab w:val="num" w:pos="2040"/>
        </w:tabs>
        <w:jc w:val="both"/>
        <w:rPr>
          <w:rFonts w:asciiTheme="majorHAnsi" w:eastAsia="Times New Roman" w:hAnsiTheme="majorHAnsi"/>
          <w:sz w:val="20"/>
          <w:szCs w:val="20"/>
          <w:bdr w:val="none" w:sz="0" w:space="0" w:color="auto"/>
          <w:lang w:val="pt-BR"/>
        </w:rPr>
      </w:pPr>
    </w:p>
    <w:p w14:paraId="4BEF60AC" w14:textId="77777777" w:rsidR="0086494E" w:rsidRPr="005D6E61" w:rsidRDefault="0086494E" w:rsidP="008649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Theme="majorHAnsi" w:hAnsiTheme="majorHAnsi"/>
          <w:sz w:val="20"/>
          <w:szCs w:val="20"/>
          <w:lang w:val="pt-BR" w:eastAsia="es-ES"/>
        </w:rPr>
      </w:pPr>
      <w:r w:rsidRPr="005D6E61">
        <w:rPr>
          <w:rFonts w:asciiTheme="majorHAnsi" w:hAnsiTheme="majorHAnsi"/>
          <w:sz w:val="20"/>
          <w:szCs w:val="20"/>
          <w:lang w:val="pt-BR" w:eastAsia="es-ES"/>
        </w:rPr>
        <w:t xml:space="preserve">A Comissão conclui que o Estado brasileiro é responsável pela violação dos direitos </w:t>
      </w:r>
      <w:r w:rsidRPr="005D6E61">
        <w:rPr>
          <w:rFonts w:ascii="Cambria" w:eastAsia="Calibri" w:hAnsi="Cambria"/>
          <w:sz w:val="20"/>
          <w:szCs w:val="20"/>
          <w:lang w:val="pt-BR"/>
        </w:rPr>
        <w:t xml:space="preserve">consagrados nos artigos I (direito à vida e integridade pessoal), XVIII (direito à justiça), XXII (direito de associação) da Declaração Americana dos Direitos e Deveres do Homem, 5 (integridade pessoal), 8.1 (garantias judiciais), 25.1 (proteção judicial) da Convenção Americana com relação ao artigo 1.1 do mesmo instrumento em detrimento das pessoas indicadas ao longo do presente relatório. </w:t>
      </w:r>
    </w:p>
    <w:p w14:paraId="395C942E" w14:textId="77777777" w:rsidR="0086494E" w:rsidRPr="005D6E61" w:rsidRDefault="0086494E" w:rsidP="0086494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cs="Calibri"/>
          <w:sz w:val="20"/>
          <w:szCs w:val="20"/>
          <w:lang w:val="pt-BR"/>
        </w:rPr>
      </w:pPr>
    </w:p>
    <w:p w14:paraId="2FAD7F8E" w14:textId="77777777" w:rsidR="0086494E" w:rsidRPr="005D6E61" w:rsidRDefault="0086494E" w:rsidP="0086494E">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Times New Roman" w:cs="Times New Roman"/>
          <w:bCs w:val="0"/>
          <w:color w:val="auto"/>
          <w:sz w:val="20"/>
          <w:szCs w:val="20"/>
          <w:bdr w:val="none" w:sz="0" w:space="0" w:color="auto"/>
          <w:lang w:val="pt-BR"/>
        </w:rPr>
      </w:pPr>
      <w:bookmarkStart w:id="45" w:name="_Toc399152687"/>
      <w:bookmarkStart w:id="46" w:name="_Toc529892273"/>
      <w:bookmarkStart w:id="47" w:name="_Toc27990578"/>
      <w:bookmarkStart w:id="48" w:name="_Toc485394071"/>
      <w:r w:rsidRPr="005D6E61">
        <w:rPr>
          <w:rFonts w:eastAsia="Times New Roman" w:cs="Times New Roman"/>
          <w:bCs w:val="0"/>
          <w:color w:val="auto"/>
          <w:sz w:val="20"/>
          <w:szCs w:val="20"/>
          <w:bdr w:val="none" w:sz="0" w:space="0" w:color="auto"/>
          <w:lang w:val="pt-BR"/>
        </w:rPr>
        <w:t>RELATÓRIO Nº 133/17</w:t>
      </w:r>
      <w:bookmarkEnd w:id="45"/>
      <w:bookmarkEnd w:id="46"/>
      <w:bookmarkEnd w:id="47"/>
    </w:p>
    <w:p w14:paraId="2E033212" w14:textId="77777777" w:rsidR="0086494E" w:rsidRPr="005D6E61" w:rsidRDefault="0086494E" w:rsidP="0086494E">
      <w:pPr>
        <w:rPr>
          <w:rFonts w:asciiTheme="majorHAnsi" w:hAnsiTheme="majorHAnsi"/>
          <w:sz w:val="20"/>
          <w:szCs w:val="20"/>
          <w:lang w:val="pt-BR"/>
        </w:rPr>
      </w:pPr>
    </w:p>
    <w:p w14:paraId="4BA49AF4" w14:textId="77777777" w:rsidR="0086494E" w:rsidRPr="005D6E61" w:rsidRDefault="0086494E" w:rsidP="008649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Theme="majorHAnsi" w:hAnsiTheme="majorHAnsi"/>
          <w:sz w:val="20"/>
          <w:szCs w:val="20"/>
          <w:lang w:val="pt-BR"/>
        </w:rPr>
      </w:pPr>
      <w:r w:rsidRPr="005D6E61">
        <w:rPr>
          <w:rFonts w:asciiTheme="majorHAnsi" w:hAnsiTheme="majorHAnsi"/>
          <w:sz w:val="20"/>
          <w:szCs w:val="20"/>
          <w:lang w:val="pt-BR"/>
        </w:rPr>
        <w:t xml:space="preserve">Em 25 de outubro de 2017, durante seu 165º período de sessões, a Comissão aprovou o Relatório Nº 133/17 sobre o mérito do presente caso, que compreende os parágrafos 1 a 152 supra, e formulou as seguintes recomendações ao Estado: </w:t>
      </w:r>
    </w:p>
    <w:bookmarkEnd w:id="48"/>
    <w:p w14:paraId="04D9683F" w14:textId="77777777" w:rsidR="0086494E" w:rsidRPr="005D6E61" w:rsidRDefault="0086494E" w:rsidP="0086494E">
      <w:pPr>
        <w:rPr>
          <w:lang w:val="pt-BR"/>
        </w:rPr>
      </w:pPr>
    </w:p>
    <w:p w14:paraId="2380F80E" w14:textId="77777777" w:rsidR="0086494E" w:rsidRPr="005D6E61" w:rsidRDefault="0086494E" w:rsidP="0086494E">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pt-BR"/>
        </w:rPr>
      </w:pPr>
      <w:r w:rsidRPr="005D6E61">
        <w:rPr>
          <w:rFonts w:asciiTheme="majorHAnsi" w:hAnsiTheme="majorHAnsi"/>
          <w:sz w:val="20"/>
          <w:szCs w:val="20"/>
          <w:lang w:val="pt-BR"/>
        </w:rPr>
        <w:t xml:space="preserve">Reparar integralmente os familiares da vítima do presente caso por meio de medidas de compensação pecuniária e de satisfação que </w:t>
      </w:r>
      <w:r w:rsidR="003C2D5A" w:rsidRPr="005D6E61">
        <w:rPr>
          <w:rFonts w:asciiTheme="majorHAnsi" w:hAnsiTheme="majorHAnsi"/>
          <w:sz w:val="20"/>
          <w:szCs w:val="20"/>
          <w:lang w:val="pt-BR"/>
        </w:rPr>
        <w:t>incluam</w:t>
      </w:r>
      <w:r w:rsidRPr="005D6E61">
        <w:rPr>
          <w:rFonts w:asciiTheme="majorHAnsi" w:hAnsiTheme="majorHAnsi"/>
          <w:sz w:val="20"/>
          <w:szCs w:val="20"/>
          <w:lang w:val="pt-BR"/>
        </w:rPr>
        <w:t xml:space="preserve"> os danos materiais e imateriais provocados em consequência das violações declaradas no presente relatório. </w:t>
      </w:r>
    </w:p>
    <w:p w14:paraId="25B8E949" w14:textId="77777777" w:rsidR="0086494E" w:rsidRPr="005D6E61" w:rsidRDefault="0086494E" w:rsidP="0086494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pt-BR"/>
        </w:rPr>
      </w:pPr>
    </w:p>
    <w:p w14:paraId="41DA51D6" w14:textId="77777777" w:rsidR="0086494E" w:rsidRPr="005D6E61" w:rsidRDefault="0086494E" w:rsidP="0086494E">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pt-BR"/>
        </w:rPr>
      </w:pPr>
      <w:r w:rsidRPr="005D6E61">
        <w:rPr>
          <w:rFonts w:asciiTheme="majorHAnsi" w:hAnsiTheme="majorHAnsi"/>
          <w:sz w:val="20"/>
          <w:szCs w:val="20"/>
          <w:lang w:val="pt-BR"/>
        </w:rPr>
        <w:t xml:space="preserve">Desenvolver e completar uma investigação de maneira </w:t>
      </w:r>
      <w:r w:rsidRPr="005D6E61">
        <w:rPr>
          <w:rFonts w:asciiTheme="majorHAnsi" w:eastAsia="Times New Roman" w:hAnsiTheme="majorHAnsi" w:cs="Tahoma"/>
          <w:sz w:val="20"/>
          <w:szCs w:val="20"/>
          <w:bdr w:val="none" w:sz="0" w:space="0" w:color="auto"/>
          <w:lang w:val="pt-BR"/>
        </w:rPr>
        <w:t xml:space="preserve">diligente, efetiva e dentro de um prazo razoável com o objetivo de esclarecer os fatos de forma completa; identificar todas as possíveis responsabilidades materiais e intelectuais nos diversos níveis de decisão e execução; e impor as </w:t>
      </w:r>
      <w:r w:rsidR="003C2D5A" w:rsidRPr="005D6E61">
        <w:rPr>
          <w:rFonts w:asciiTheme="majorHAnsi" w:eastAsia="Times New Roman" w:hAnsiTheme="majorHAnsi" w:cs="Tahoma"/>
          <w:sz w:val="20"/>
          <w:szCs w:val="20"/>
          <w:bdr w:val="none" w:sz="0" w:space="0" w:color="auto"/>
          <w:lang w:val="pt-BR"/>
        </w:rPr>
        <w:t>puni</w:t>
      </w:r>
      <w:r w:rsidRPr="005D6E61">
        <w:rPr>
          <w:rFonts w:asciiTheme="majorHAnsi" w:eastAsia="Times New Roman" w:hAnsiTheme="majorHAnsi" w:cs="Tahoma"/>
          <w:sz w:val="20"/>
          <w:szCs w:val="20"/>
          <w:bdr w:val="none" w:sz="0" w:space="0" w:color="auto"/>
          <w:lang w:val="pt-BR"/>
        </w:rPr>
        <w:t>ções</w:t>
      </w:r>
      <w:r w:rsidR="003C2D5A" w:rsidRPr="005D6E61">
        <w:rPr>
          <w:rFonts w:asciiTheme="majorHAnsi" w:eastAsia="Times New Roman" w:hAnsiTheme="majorHAnsi" w:cs="Tahoma"/>
          <w:sz w:val="20"/>
          <w:szCs w:val="20"/>
          <w:bdr w:val="none" w:sz="0" w:space="0" w:color="auto"/>
          <w:lang w:val="pt-BR"/>
        </w:rPr>
        <w:t xml:space="preserve"> que</w:t>
      </w:r>
      <w:r w:rsidRPr="005D6E61">
        <w:rPr>
          <w:rFonts w:asciiTheme="majorHAnsi" w:eastAsia="Times New Roman" w:hAnsiTheme="majorHAnsi" w:cs="Tahoma"/>
          <w:sz w:val="20"/>
          <w:szCs w:val="20"/>
          <w:bdr w:val="none" w:sz="0" w:space="0" w:color="auto"/>
          <w:lang w:val="pt-BR"/>
        </w:rPr>
        <w:t xml:space="preserve"> correspond</w:t>
      </w:r>
      <w:r w:rsidR="003C2D5A" w:rsidRPr="005D6E61">
        <w:rPr>
          <w:rFonts w:asciiTheme="majorHAnsi" w:eastAsia="Times New Roman" w:hAnsiTheme="majorHAnsi" w:cs="Tahoma"/>
          <w:sz w:val="20"/>
          <w:szCs w:val="20"/>
          <w:bdr w:val="none" w:sz="0" w:space="0" w:color="auto"/>
          <w:lang w:val="pt-BR"/>
        </w:rPr>
        <w:t>am a</w:t>
      </w:r>
      <w:r w:rsidRPr="005D6E61">
        <w:rPr>
          <w:rFonts w:asciiTheme="majorHAnsi" w:eastAsia="Times New Roman" w:hAnsiTheme="majorHAnsi" w:cs="Tahoma"/>
          <w:sz w:val="20"/>
          <w:szCs w:val="20"/>
          <w:bdr w:val="none" w:sz="0" w:space="0" w:color="auto"/>
          <w:lang w:val="pt-BR"/>
        </w:rPr>
        <w:t xml:space="preserve"> respeito </w:t>
      </w:r>
      <w:r w:rsidR="003C2D5A" w:rsidRPr="005D6E61">
        <w:rPr>
          <w:rFonts w:asciiTheme="majorHAnsi" w:eastAsia="Times New Roman" w:hAnsiTheme="majorHAnsi" w:cs="Tahoma"/>
          <w:sz w:val="20"/>
          <w:szCs w:val="20"/>
          <w:bdr w:val="none" w:sz="0" w:space="0" w:color="auto"/>
          <w:lang w:val="pt-BR"/>
        </w:rPr>
        <w:t>d</w:t>
      </w:r>
      <w:r w:rsidRPr="005D6E61">
        <w:rPr>
          <w:rFonts w:asciiTheme="majorHAnsi" w:eastAsia="Times New Roman" w:hAnsiTheme="majorHAnsi" w:cs="Tahoma"/>
          <w:sz w:val="20"/>
          <w:szCs w:val="20"/>
          <w:bdr w:val="none" w:sz="0" w:space="0" w:color="auto"/>
          <w:lang w:val="pt-BR"/>
        </w:rPr>
        <w:t>às violações de direitos humanos d</w:t>
      </w:r>
      <w:r w:rsidR="003C2D5A" w:rsidRPr="005D6E61">
        <w:rPr>
          <w:rFonts w:asciiTheme="majorHAnsi" w:eastAsia="Times New Roman" w:hAnsiTheme="majorHAnsi" w:cs="Tahoma"/>
          <w:sz w:val="20"/>
          <w:szCs w:val="20"/>
          <w:bdr w:val="none" w:sz="0" w:space="0" w:color="auto"/>
          <w:lang w:val="pt-BR"/>
        </w:rPr>
        <w:t xml:space="preserve">eclaradas no presente relatório. Isto </w:t>
      </w:r>
      <w:r w:rsidRPr="005D6E61">
        <w:rPr>
          <w:rFonts w:asciiTheme="majorHAnsi" w:eastAsia="Times New Roman" w:hAnsiTheme="majorHAnsi" w:cs="Tahoma"/>
          <w:sz w:val="20"/>
          <w:szCs w:val="20"/>
          <w:bdr w:val="none" w:sz="0" w:space="0" w:color="auto"/>
          <w:lang w:val="pt-BR"/>
        </w:rPr>
        <w:t xml:space="preserve">inclui a investigação das </w:t>
      </w:r>
      <w:r w:rsidRPr="005D6E61">
        <w:rPr>
          <w:rFonts w:asciiTheme="majorHAnsi" w:hAnsiTheme="majorHAnsi"/>
          <w:sz w:val="20"/>
          <w:szCs w:val="20"/>
          <w:lang w:val="pt-BR"/>
        </w:rPr>
        <w:t>estruturas de poder que participaram do cometimento das violações ocorridas. No âmbito deste processo, c</w:t>
      </w:r>
      <w:r w:rsidR="003C2D5A" w:rsidRPr="005D6E61">
        <w:rPr>
          <w:rFonts w:asciiTheme="majorHAnsi" w:hAnsiTheme="majorHAnsi"/>
          <w:sz w:val="20"/>
          <w:szCs w:val="20"/>
          <w:lang w:val="pt-BR"/>
        </w:rPr>
        <w:t>orresponde</w:t>
      </w:r>
      <w:r w:rsidRPr="005D6E61">
        <w:rPr>
          <w:rFonts w:asciiTheme="majorHAnsi" w:hAnsiTheme="majorHAnsi"/>
          <w:sz w:val="20"/>
          <w:szCs w:val="20"/>
          <w:lang w:val="pt-BR"/>
        </w:rPr>
        <w:t xml:space="preserve"> ao Estado adotar todas as medidas para proteger testemunhas e outros atores do processo, caso seja necessário. Levando em conta que a prescrição foi resultado das ações e omissões do Estado, essa figura não é oponível para o total cumprimento desta recomendação. </w:t>
      </w:r>
    </w:p>
    <w:p w14:paraId="6F82610C" w14:textId="77777777" w:rsidR="0086494E" w:rsidRPr="005D6E61" w:rsidRDefault="0086494E" w:rsidP="0086494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pt-BR"/>
        </w:rPr>
      </w:pPr>
    </w:p>
    <w:p w14:paraId="77D1EF2F" w14:textId="77777777" w:rsidR="0086494E" w:rsidRPr="005D6E61" w:rsidRDefault="0086494E" w:rsidP="0086494E">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pt-BR"/>
        </w:rPr>
      </w:pPr>
      <w:r w:rsidRPr="005D6E61">
        <w:rPr>
          <w:rFonts w:asciiTheme="majorHAnsi" w:eastAsia="Times New Roman" w:hAnsiTheme="majorHAnsi" w:cs="Tahoma"/>
          <w:sz w:val="20"/>
          <w:szCs w:val="20"/>
          <w:bdr w:val="none" w:sz="0" w:space="0" w:color="auto"/>
          <w:lang w:val="pt-BR"/>
        </w:rPr>
        <w:t xml:space="preserve">Dispor medidas de atenção à saúde física e mental necessárias para a reabilitação dos familiares de Margarida Maria Alves, se </w:t>
      </w:r>
      <w:r w:rsidR="003F140F" w:rsidRPr="005D6E61">
        <w:rPr>
          <w:rFonts w:asciiTheme="majorHAnsi" w:eastAsia="Times New Roman" w:hAnsiTheme="majorHAnsi" w:cs="Tahoma"/>
          <w:sz w:val="20"/>
          <w:szCs w:val="20"/>
          <w:bdr w:val="none" w:sz="0" w:space="0" w:color="auto"/>
          <w:lang w:val="pt-BR"/>
        </w:rPr>
        <w:t>for sua vontade e de maneira acordada.</w:t>
      </w:r>
    </w:p>
    <w:p w14:paraId="4BD1D895" w14:textId="77777777" w:rsidR="0086494E" w:rsidRPr="005D6E61" w:rsidRDefault="0086494E" w:rsidP="0086494E">
      <w:pPr>
        <w:pStyle w:val="ListParagraph"/>
        <w:rPr>
          <w:rFonts w:asciiTheme="majorHAnsi" w:hAnsiTheme="majorHAnsi"/>
          <w:color w:val="auto"/>
          <w:sz w:val="20"/>
          <w:szCs w:val="20"/>
          <w:lang w:val="pt-BR"/>
        </w:rPr>
      </w:pPr>
    </w:p>
    <w:p w14:paraId="4C6EA55E" w14:textId="77777777" w:rsidR="0086494E" w:rsidRPr="005D6E61" w:rsidRDefault="0086494E" w:rsidP="003C2D5A">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pt-BR"/>
        </w:rPr>
      </w:pPr>
      <w:r w:rsidRPr="005D6E61">
        <w:rPr>
          <w:rFonts w:asciiTheme="majorHAnsi" w:hAnsiTheme="majorHAnsi"/>
          <w:sz w:val="20"/>
          <w:szCs w:val="20"/>
          <w:lang w:val="pt-BR"/>
        </w:rPr>
        <w:t xml:space="preserve">Dispor medidas de não repetição que incluam </w:t>
      </w:r>
      <w:r w:rsidR="003C2D5A" w:rsidRPr="005D6E61">
        <w:rPr>
          <w:rFonts w:asciiTheme="majorHAnsi" w:hAnsiTheme="majorHAnsi"/>
          <w:sz w:val="20"/>
          <w:szCs w:val="20"/>
          <w:lang w:val="pt-BR"/>
        </w:rPr>
        <w:t xml:space="preserve">fortalecer o Programa de </w:t>
      </w:r>
      <w:r w:rsidRPr="005D6E61">
        <w:rPr>
          <w:rFonts w:asciiTheme="majorHAnsi" w:hAnsiTheme="majorHAnsi"/>
          <w:sz w:val="20"/>
          <w:szCs w:val="20"/>
          <w:lang w:val="pt-BR"/>
        </w:rPr>
        <w:t xml:space="preserve">Proteção a Defensores de Direitos Humanos, concentrando-se na prevenção de atos de violência contra defensores e defensoras de </w:t>
      </w:r>
      <w:r w:rsidRPr="005D6E61">
        <w:rPr>
          <w:rFonts w:asciiTheme="majorHAnsi" w:hAnsiTheme="majorHAnsi"/>
          <w:sz w:val="20"/>
          <w:szCs w:val="20"/>
          <w:lang w:val="pt-BR"/>
        </w:rPr>
        <w:lastRenderedPageBreak/>
        <w:t xml:space="preserve">direitos dos trabalhadores no Brasil, bem como o fortalecimento da capacidade investigativa desse tipo de crime, conforme os padrões desenvolvidos no presente relatório.  </w:t>
      </w:r>
    </w:p>
    <w:p w14:paraId="4BCAEDCD" w14:textId="77777777" w:rsidR="0086494E" w:rsidRPr="005D6E61" w:rsidRDefault="0086494E" w:rsidP="0086494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pt-BR" w:eastAsia="es-ES"/>
        </w:rPr>
      </w:pPr>
    </w:p>
    <w:p w14:paraId="4311A578" w14:textId="77777777" w:rsidR="0086494E" w:rsidRPr="005D6E61" w:rsidRDefault="0086494E" w:rsidP="0086494E">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Times New Roman" w:cs="Times New Roman"/>
          <w:bCs w:val="0"/>
          <w:color w:val="auto"/>
          <w:sz w:val="20"/>
          <w:szCs w:val="20"/>
          <w:bdr w:val="none" w:sz="0" w:space="0" w:color="auto"/>
          <w:lang w:val="pt-BR"/>
        </w:rPr>
      </w:pPr>
      <w:bookmarkStart w:id="49" w:name="_Toc399152688"/>
      <w:bookmarkStart w:id="50" w:name="_Toc529892274"/>
      <w:bookmarkStart w:id="51" w:name="_Toc27990579"/>
      <w:r w:rsidRPr="005D6E61">
        <w:rPr>
          <w:rFonts w:eastAsia="Times New Roman" w:cs="Times New Roman"/>
          <w:bCs w:val="0"/>
          <w:color w:val="auto"/>
          <w:sz w:val="20"/>
          <w:szCs w:val="20"/>
          <w:bdr w:val="none" w:sz="0" w:space="0" w:color="auto"/>
          <w:lang w:val="pt-BR"/>
        </w:rPr>
        <w:t>MEDIDAS POSTERIORES AO RELATÓRIO Nº 133/17</w:t>
      </w:r>
      <w:bookmarkEnd w:id="49"/>
      <w:bookmarkEnd w:id="50"/>
      <w:bookmarkEnd w:id="51"/>
    </w:p>
    <w:p w14:paraId="1705B7D3" w14:textId="77777777" w:rsidR="0086494E" w:rsidRPr="005D6E61" w:rsidRDefault="0086494E" w:rsidP="0086494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pt-BR" w:eastAsia="es-ES"/>
        </w:rPr>
      </w:pPr>
    </w:p>
    <w:p w14:paraId="5169DB37" w14:textId="77777777" w:rsidR="0086494E" w:rsidRPr="005D6E61" w:rsidRDefault="0086494E" w:rsidP="008649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Theme="majorHAnsi" w:hAnsiTheme="majorHAnsi"/>
          <w:sz w:val="20"/>
          <w:szCs w:val="20"/>
          <w:lang w:val="pt-BR"/>
        </w:rPr>
      </w:pPr>
      <w:r w:rsidRPr="005D6E61">
        <w:rPr>
          <w:rFonts w:asciiTheme="majorHAnsi" w:eastAsia="MS Mincho" w:hAnsiTheme="majorHAnsi"/>
          <w:sz w:val="20"/>
          <w:szCs w:val="20"/>
          <w:bdr w:val="none" w:sz="0" w:space="0" w:color="auto"/>
          <w:lang w:val="pt-BR" w:eastAsia="ar-SA"/>
        </w:rPr>
        <w:t>Em 1º de março de 2018 a Comissão transmitiu o relatório ao Estado com um prazo de dois meses para que informasse sobre as medidas adotadas para dar cumprimento às recomendações ali contidas.</w:t>
      </w:r>
    </w:p>
    <w:p w14:paraId="650BA458" w14:textId="77777777" w:rsidR="0086494E" w:rsidRPr="005D6E61" w:rsidRDefault="0086494E" w:rsidP="0086494E">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left="720"/>
        <w:jc w:val="both"/>
        <w:rPr>
          <w:rFonts w:asciiTheme="majorHAnsi" w:hAnsiTheme="majorHAnsi"/>
          <w:sz w:val="20"/>
          <w:szCs w:val="20"/>
          <w:lang w:val="pt-BR"/>
        </w:rPr>
      </w:pPr>
    </w:p>
    <w:p w14:paraId="0AACBC3B" w14:textId="77777777" w:rsidR="0086494E" w:rsidRPr="005D6E61" w:rsidRDefault="0086494E" w:rsidP="008649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Theme="majorHAnsi" w:hAnsiTheme="majorHAnsi"/>
          <w:sz w:val="20"/>
          <w:szCs w:val="20"/>
          <w:lang w:val="pt-BR"/>
        </w:rPr>
      </w:pPr>
      <w:r w:rsidRPr="005D6E61">
        <w:rPr>
          <w:rFonts w:asciiTheme="majorHAnsi" w:hAnsiTheme="majorHAnsi"/>
          <w:sz w:val="20"/>
          <w:szCs w:val="20"/>
          <w:lang w:val="pt-BR"/>
        </w:rPr>
        <w:t xml:space="preserve">Em 27 de abril de 2018 o Estado indicou que ainda não contava com toda a informação disponível para formular uma resposta à CIDH e que havia previsto uma visita ao Estado da Paraíba no mês de maio para coletar informações sobre o caso. Em virtude disso, solicitou prorrogação por um mês para apresentar mais informações, aceitando a suspensão do prazo previsto no artigo 51.1 da Convenção Americana, e renunciou a interposição de exceções preliminares a respeito desse prazo, caso o assunto seja submetido à Corte. </w:t>
      </w:r>
    </w:p>
    <w:p w14:paraId="1FBDEB5E" w14:textId="77777777" w:rsidR="0086494E" w:rsidRPr="005D6E61" w:rsidRDefault="0086494E" w:rsidP="0086494E">
      <w:pPr>
        <w:pStyle w:val="ListParagraph"/>
        <w:rPr>
          <w:rFonts w:asciiTheme="majorHAnsi" w:hAnsiTheme="majorHAnsi"/>
          <w:color w:val="auto"/>
          <w:sz w:val="20"/>
          <w:szCs w:val="20"/>
          <w:lang w:val="pt-BR"/>
        </w:rPr>
      </w:pPr>
    </w:p>
    <w:p w14:paraId="53FB3702" w14:textId="77777777" w:rsidR="0086494E" w:rsidRPr="005D6E61" w:rsidRDefault="0086494E" w:rsidP="008649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Theme="majorHAnsi" w:hAnsiTheme="majorHAnsi"/>
          <w:sz w:val="20"/>
          <w:szCs w:val="20"/>
          <w:lang w:val="pt-BR"/>
        </w:rPr>
      </w:pPr>
      <w:r w:rsidRPr="005D6E61">
        <w:rPr>
          <w:rFonts w:asciiTheme="majorHAnsi" w:hAnsiTheme="majorHAnsi"/>
          <w:sz w:val="20"/>
          <w:szCs w:val="20"/>
          <w:lang w:val="pt-BR"/>
        </w:rPr>
        <w:t>Em 1º de junho de 2018 a Comissão concedeu uma prorrogação de três meses ao Estado, com o objetivo de que este dispusesse de um prazo adicional para avançar no cumprimento das recomendações da CIDH.</w:t>
      </w:r>
    </w:p>
    <w:p w14:paraId="677A3AF7" w14:textId="77777777" w:rsidR="0086494E" w:rsidRPr="005D6E61" w:rsidRDefault="0086494E" w:rsidP="0086494E">
      <w:pPr>
        <w:pStyle w:val="ListParagraph"/>
        <w:rPr>
          <w:rFonts w:asciiTheme="majorHAnsi" w:hAnsiTheme="majorHAnsi"/>
          <w:color w:val="auto"/>
          <w:sz w:val="20"/>
          <w:szCs w:val="20"/>
          <w:lang w:val="pt-BR"/>
        </w:rPr>
      </w:pPr>
    </w:p>
    <w:p w14:paraId="5734FD81" w14:textId="77777777" w:rsidR="0086494E" w:rsidRPr="005D6E61" w:rsidRDefault="0086494E" w:rsidP="008649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Theme="majorHAnsi" w:hAnsiTheme="majorHAnsi"/>
          <w:sz w:val="20"/>
          <w:szCs w:val="20"/>
          <w:lang w:val="pt-BR"/>
        </w:rPr>
      </w:pPr>
      <w:r w:rsidRPr="005D6E61">
        <w:rPr>
          <w:rFonts w:asciiTheme="majorHAnsi" w:hAnsiTheme="majorHAnsi"/>
          <w:sz w:val="20"/>
          <w:szCs w:val="20"/>
          <w:lang w:val="pt-BR"/>
        </w:rPr>
        <w:t xml:space="preserve">Em 15 de agosto de 2018 o Estado apresentou seu relatório sobre o cumprimento das recomendações do Relatório de Mérito. Nesse Relatório, o Estado indicou que em 26 de março de 2018 realizou-se a XXIV reunião do Comitê Técnico do Sistema Interamericano de Direitos Humanos, que tem como objetivo promover o cumprimento das decisões da CIDH. Nessa reunião, o Comitê decidiu realizar uma visita ao Estado da Paraíba com o objetivo de articular, junto com os órgãos estaduais e municipais, o cumprimento das recomendações do presente caso. Mencionou que essa visita foi realizada em junho de 2018. </w:t>
      </w:r>
    </w:p>
    <w:p w14:paraId="26EE2DA8" w14:textId="77777777" w:rsidR="0086494E" w:rsidRPr="005D6E61" w:rsidRDefault="0086494E" w:rsidP="0086494E">
      <w:pPr>
        <w:rPr>
          <w:rFonts w:asciiTheme="majorHAnsi" w:hAnsiTheme="majorHAnsi"/>
          <w:sz w:val="20"/>
          <w:szCs w:val="20"/>
          <w:lang w:val="pt-BR"/>
        </w:rPr>
      </w:pPr>
    </w:p>
    <w:p w14:paraId="1A5A602C" w14:textId="77777777" w:rsidR="0086494E" w:rsidRPr="005D6E61" w:rsidRDefault="0086494E" w:rsidP="008649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Theme="majorHAnsi" w:hAnsiTheme="majorHAnsi"/>
          <w:sz w:val="20"/>
          <w:szCs w:val="20"/>
          <w:lang w:val="pt-BR"/>
        </w:rPr>
      </w:pPr>
      <w:r w:rsidRPr="005D6E61">
        <w:rPr>
          <w:rFonts w:asciiTheme="majorHAnsi" w:hAnsiTheme="majorHAnsi"/>
          <w:sz w:val="20"/>
          <w:szCs w:val="20"/>
          <w:lang w:val="pt-BR"/>
        </w:rPr>
        <w:t xml:space="preserve">Indicou também que, em 24 de maio de 2018, foi realizada uma reunião entre o Ministério dos Direitos Humanos e a Comissão de Direitos Humanos e Minorias da Câmara de Deputados, na qual se discutiu o caso de Margarida Maria Alves. Mencionou que o deputado presidente da Comissão de Direitos Humanos reconheceu a importância do caso e indicou que a casa em que Margarida Maria Alves residia foi transformada em museu com o objetivo de preservar sua memória. Além disso, informou que esse deputado também destacou a possibilidade de realizar uma audiência pública na Assembleia Legislativa do Estado da Paraíba, com o objetivo de tratar casos de violações de direitos humanos, incluindo o de Margarida Maria Alves. </w:t>
      </w:r>
    </w:p>
    <w:p w14:paraId="18283F2B" w14:textId="77777777" w:rsidR="0086494E" w:rsidRPr="005D6E61" w:rsidRDefault="0086494E" w:rsidP="0086494E">
      <w:pPr>
        <w:rPr>
          <w:rFonts w:asciiTheme="majorHAnsi" w:hAnsiTheme="majorHAnsi"/>
          <w:sz w:val="20"/>
          <w:szCs w:val="20"/>
          <w:lang w:val="pt-BR"/>
        </w:rPr>
      </w:pPr>
    </w:p>
    <w:p w14:paraId="5B0C1D86" w14:textId="77777777" w:rsidR="0086494E" w:rsidRPr="005D6E61" w:rsidRDefault="0086494E" w:rsidP="008649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Theme="majorHAnsi" w:hAnsiTheme="majorHAnsi"/>
          <w:sz w:val="20"/>
          <w:szCs w:val="20"/>
          <w:lang w:val="pt-BR"/>
        </w:rPr>
      </w:pPr>
      <w:r w:rsidRPr="005D6E61">
        <w:rPr>
          <w:rFonts w:asciiTheme="majorHAnsi" w:hAnsiTheme="majorHAnsi"/>
          <w:sz w:val="20"/>
          <w:szCs w:val="20"/>
          <w:lang w:val="pt-BR"/>
        </w:rPr>
        <w:t xml:space="preserve">O Estado informou que em 15 de junho de 2018 realizou uma videoconferência com a parte peticionária, com o objetivo de esclarecer as ações que o Estado está desenvolvendo para dar cumprimento às recomendações do Relatório de Mérito. </w:t>
      </w:r>
    </w:p>
    <w:p w14:paraId="7AD593C3" w14:textId="77777777" w:rsidR="0086494E" w:rsidRPr="005D6E61" w:rsidRDefault="0086494E" w:rsidP="0086494E">
      <w:pPr>
        <w:rPr>
          <w:rFonts w:asciiTheme="majorHAnsi" w:hAnsiTheme="majorHAnsi"/>
          <w:sz w:val="20"/>
          <w:szCs w:val="20"/>
          <w:lang w:val="pt-BR"/>
        </w:rPr>
      </w:pPr>
    </w:p>
    <w:p w14:paraId="6E92AA3B" w14:textId="77777777" w:rsidR="0086494E" w:rsidRPr="005D6E61" w:rsidRDefault="0086494E" w:rsidP="008649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Theme="majorHAnsi" w:hAnsiTheme="majorHAnsi"/>
          <w:sz w:val="20"/>
          <w:szCs w:val="20"/>
          <w:lang w:val="pt-BR"/>
        </w:rPr>
      </w:pPr>
      <w:r w:rsidRPr="005D6E61">
        <w:rPr>
          <w:rFonts w:asciiTheme="majorHAnsi" w:hAnsiTheme="majorHAnsi"/>
          <w:sz w:val="20"/>
          <w:szCs w:val="20"/>
          <w:lang w:val="pt-BR"/>
        </w:rPr>
        <w:t xml:space="preserve">Especificamente em relação à </w:t>
      </w:r>
      <w:r w:rsidRPr="005D6E61">
        <w:rPr>
          <w:rFonts w:asciiTheme="majorHAnsi" w:hAnsiTheme="majorHAnsi"/>
          <w:b/>
          <w:sz w:val="20"/>
          <w:szCs w:val="20"/>
          <w:lang w:val="pt-BR"/>
        </w:rPr>
        <w:t>primeira recomendação</w:t>
      </w:r>
      <w:r w:rsidRPr="005D6E61">
        <w:rPr>
          <w:rFonts w:asciiTheme="majorHAnsi" w:hAnsiTheme="majorHAnsi"/>
          <w:sz w:val="20"/>
          <w:szCs w:val="20"/>
          <w:lang w:val="pt-BR"/>
        </w:rPr>
        <w:t xml:space="preserve">, o Estado informou que em 18 de julho de 2018 realizou uma reunião com a parte peticionária, na qual José de Arimatéia, filho da vítima, apresentou uma proposta de pagamento de quarenta mil dólares por danos materiais e de sessenta mil dólares por danos morais. Indicou que a proposta está em análise jurídica. Mencionou que adicionalmente, como reparação simbólica, o Ministério dos Direitos Humanos propôs a realização de uma audiência pública na Assembleia Legislativa da Paraíba em memória de Margarida Maria Alves.  </w:t>
      </w:r>
    </w:p>
    <w:p w14:paraId="0B998628" w14:textId="77777777" w:rsidR="0086494E" w:rsidRPr="005D6E61" w:rsidRDefault="0086494E" w:rsidP="0086494E">
      <w:pPr>
        <w:rPr>
          <w:rFonts w:asciiTheme="majorHAnsi" w:hAnsiTheme="majorHAnsi"/>
          <w:sz w:val="20"/>
          <w:szCs w:val="20"/>
          <w:lang w:val="pt-BR"/>
        </w:rPr>
      </w:pPr>
    </w:p>
    <w:p w14:paraId="1BBC7597" w14:textId="77777777" w:rsidR="0086494E" w:rsidRPr="005D6E61" w:rsidRDefault="0086494E" w:rsidP="008649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Theme="majorHAnsi" w:hAnsiTheme="majorHAnsi"/>
          <w:sz w:val="20"/>
          <w:szCs w:val="20"/>
          <w:lang w:val="pt-BR"/>
        </w:rPr>
      </w:pPr>
      <w:r w:rsidRPr="005D6E61">
        <w:rPr>
          <w:rFonts w:asciiTheme="majorHAnsi" w:hAnsiTheme="majorHAnsi"/>
          <w:sz w:val="20"/>
          <w:szCs w:val="20"/>
          <w:lang w:val="pt-BR"/>
        </w:rPr>
        <w:t xml:space="preserve">Indicou que, como parte do reconhecimento público das violações provocadas à vítima,  em 7 de novembro de 2016 Margarida Maria Alves foi declarada anistiada política mediante portaria no Diário Oficial. Mencionou também que existe um projeto de lei que busca incluir Margarida Alves no livro dos heróis da pátria, o qual está depositado no panteão da liberdade e da democracia, em Brasília, e contém os nomes de personalidades reverenciadas na história do país. Além disso, indicou que a casa onde a vítima vivia em Alagoa Grande/PB foi convertida em museu, e ali encontram-se em exposição objetos pessoais, fotografias e artigos jornalísticos referentes à luta da vítima em defesa da população rural. </w:t>
      </w:r>
    </w:p>
    <w:p w14:paraId="27F7D928" w14:textId="77777777" w:rsidR="0086494E" w:rsidRPr="005D6E61" w:rsidRDefault="0086494E" w:rsidP="0086494E">
      <w:pPr>
        <w:rPr>
          <w:rFonts w:asciiTheme="majorHAnsi" w:hAnsiTheme="majorHAnsi"/>
          <w:sz w:val="20"/>
          <w:szCs w:val="20"/>
          <w:lang w:val="pt-BR"/>
        </w:rPr>
      </w:pPr>
    </w:p>
    <w:p w14:paraId="6A5288F4" w14:textId="77777777" w:rsidR="0086494E" w:rsidRPr="005D6E61" w:rsidRDefault="0086494E" w:rsidP="008649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Theme="majorHAnsi" w:hAnsiTheme="majorHAnsi"/>
          <w:sz w:val="20"/>
          <w:szCs w:val="20"/>
          <w:lang w:val="pt-BR"/>
        </w:rPr>
      </w:pPr>
      <w:r w:rsidRPr="005D6E61">
        <w:rPr>
          <w:rFonts w:asciiTheme="majorHAnsi" w:hAnsiTheme="majorHAnsi"/>
          <w:sz w:val="20"/>
          <w:szCs w:val="20"/>
          <w:lang w:val="pt-BR"/>
        </w:rPr>
        <w:lastRenderedPageBreak/>
        <w:t xml:space="preserve">Indicou que, como parte das reparações simbólicas, 22 ruas e 4 assentamentos em todo o Brasil foram batizados com o nome de Margarida Maria Alves. Também mencionou que o caso da vítima foi incluído no Relatório Final da Comissão da Verdade do Estado da Paraíba. </w:t>
      </w:r>
    </w:p>
    <w:p w14:paraId="7B5CE608" w14:textId="77777777" w:rsidR="0086494E" w:rsidRPr="005D6E61" w:rsidRDefault="0086494E" w:rsidP="0086494E">
      <w:pPr>
        <w:rPr>
          <w:rFonts w:asciiTheme="majorHAnsi" w:hAnsiTheme="majorHAnsi"/>
          <w:sz w:val="20"/>
          <w:szCs w:val="20"/>
          <w:lang w:val="pt-BR"/>
        </w:rPr>
      </w:pPr>
    </w:p>
    <w:p w14:paraId="35F1C89A" w14:textId="77777777" w:rsidR="0086494E" w:rsidRPr="005D6E61" w:rsidRDefault="0086494E" w:rsidP="008649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Theme="majorHAnsi" w:hAnsiTheme="majorHAnsi"/>
          <w:sz w:val="20"/>
          <w:szCs w:val="20"/>
          <w:lang w:val="pt-BR"/>
        </w:rPr>
      </w:pPr>
      <w:r w:rsidRPr="005D6E61">
        <w:rPr>
          <w:rFonts w:asciiTheme="majorHAnsi" w:hAnsiTheme="majorHAnsi"/>
          <w:sz w:val="20"/>
          <w:szCs w:val="20"/>
          <w:lang w:val="pt-BR"/>
        </w:rPr>
        <w:t xml:space="preserve">Com respeito à </w:t>
      </w:r>
      <w:r w:rsidRPr="005D6E61">
        <w:rPr>
          <w:rFonts w:asciiTheme="majorHAnsi" w:hAnsiTheme="majorHAnsi"/>
          <w:b/>
          <w:sz w:val="20"/>
          <w:szCs w:val="20"/>
          <w:lang w:val="pt-BR"/>
        </w:rPr>
        <w:t>segunda recomendação</w:t>
      </w:r>
      <w:r w:rsidRPr="005D6E61">
        <w:rPr>
          <w:rFonts w:asciiTheme="majorHAnsi" w:hAnsiTheme="majorHAnsi"/>
          <w:sz w:val="20"/>
          <w:szCs w:val="20"/>
          <w:lang w:val="pt-BR"/>
        </w:rPr>
        <w:t xml:space="preserve">, o Estado reiterou o alegado na etapa de mérito sobre as investigações e ações penais no presente caso serem realizadas em observância das garantias judiciais e proteção judicial previstas na Convenção Americana. O Estado indicou expressamente que é inviável a instauração de uma nova investigação ou julgamento sobre uma causa já decidida. Mencionou que o Estado, no legítimo exercício de sua soberania, interpretou e aplicou o direito nacional nos processos que já foram realizados e que não cabe revisão das decisões já tomadas. </w:t>
      </w:r>
    </w:p>
    <w:p w14:paraId="17A993FD" w14:textId="77777777" w:rsidR="0086494E" w:rsidRPr="005D6E61" w:rsidRDefault="0086494E" w:rsidP="0086494E">
      <w:pPr>
        <w:rPr>
          <w:rFonts w:asciiTheme="majorHAnsi" w:hAnsiTheme="majorHAnsi"/>
          <w:sz w:val="20"/>
          <w:szCs w:val="20"/>
          <w:lang w:val="pt-BR"/>
        </w:rPr>
      </w:pPr>
    </w:p>
    <w:p w14:paraId="5F9F14CB" w14:textId="77777777" w:rsidR="0086494E" w:rsidRPr="005D6E61" w:rsidRDefault="0086494E" w:rsidP="008649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Theme="majorHAnsi" w:hAnsiTheme="majorHAnsi"/>
          <w:sz w:val="20"/>
          <w:szCs w:val="20"/>
          <w:lang w:val="pt-BR"/>
        </w:rPr>
      </w:pPr>
      <w:r w:rsidRPr="005D6E61">
        <w:rPr>
          <w:rFonts w:asciiTheme="majorHAnsi" w:hAnsiTheme="majorHAnsi"/>
          <w:sz w:val="20"/>
          <w:szCs w:val="20"/>
          <w:lang w:val="pt-BR"/>
        </w:rPr>
        <w:t>Indicou que a utilidade da sanção penal não se reduz à dimensão retributiva e que já foram adotadas as medidas para proteger a atividade jornalística e, em sentido geral, a liberdade de expressão, e que essas medidas permitem concluir que o eventual efeito preventivo da sanção penal foi satisfeito.</w:t>
      </w:r>
    </w:p>
    <w:p w14:paraId="74ED9F50" w14:textId="77777777" w:rsidR="0086494E" w:rsidRPr="005D6E61" w:rsidRDefault="0086494E" w:rsidP="0086494E">
      <w:pPr>
        <w:rPr>
          <w:rFonts w:asciiTheme="majorHAnsi" w:hAnsiTheme="majorHAnsi"/>
          <w:sz w:val="20"/>
          <w:szCs w:val="20"/>
          <w:lang w:val="pt-BR"/>
        </w:rPr>
      </w:pPr>
    </w:p>
    <w:p w14:paraId="5B05ABA8" w14:textId="77777777" w:rsidR="0086494E" w:rsidRPr="005D6E61" w:rsidRDefault="0086494E" w:rsidP="008649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Theme="majorHAnsi" w:hAnsiTheme="majorHAnsi"/>
          <w:sz w:val="20"/>
          <w:szCs w:val="20"/>
          <w:lang w:val="pt-BR"/>
        </w:rPr>
      </w:pPr>
      <w:r w:rsidRPr="005D6E61">
        <w:rPr>
          <w:rFonts w:asciiTheme="majorHAnsi" w:hAnsiTheme="majorHAnsi"/>
          <w:sz w:val="20"/>
          <w:szCs w:val="20"/>
          <w:lang w:val="pt-BR"/>
        </w:rPr>
        <w:t>Adicionalmente, quanto à parte da segunda recomendação relacionada à adoção de todas as medidas para proteger testemunhas e outros atores do processo, o Estado indicou que existe o Programa de Proteção a Vítimas e Testemunhas Ameaçadas, cujo objetivo é oferecer proteção especial a vítimas e testemunhas de crimes que se encontram em risco em consequência de sua colaboração nos processos penais. Indicou que este programa cumpre a parte mencionada da recomendação da CIDH.</w:t>
      </w:r>
    </w:p>
    <w:p w14:paraId="039745F2" w14:textId="77777777" w:rsidR="0086494E" w:rsidRPr="005D6E61" w:rsidRDefault="0086494E" w:rsidP="0086494E">
      <w:pPr>
        <w:pStyle w:val="ListParagraph"/>
        <w:rPr>
          <w:rFonts w:asciiTheme="majorHAnsi" w:hAnsiTheme="majorHAnsi"/>
          <w:color w:val="auto"/>
          <w:sz w:val="20"/>
          <w:szCs w:val="20"/>
          <w:lang w:val="pt-BR"/>
        </w:rPr>
      </w:pPr>
    </w:p>
    <w:p w14:paraId="5D62F655" w14:textId="77777777" w:rsidR="0086494E" w:rsidRPr="005D6E61" w:rsidRDefault="0086494E" w:rsidP="008649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Theme="majorHAnsi" w:hAnsiTheme="majorHAnsi"/>
          <w:sz w:val="20"/>
          <w:szCs w:val="20"/>
          <w:lang w:val="pt-BR"/>
        </w:rPr>
      </w:pPr>
      <w:r w:rsidRPr="005D6E61">
        <w:rPr>
          <w:rFonts w:asciiTheme="majorHAnsi" w:hAnsiTheme="majorHAnsi"/>
          <w:sz w:val="20"/>
          <w:szCs w:val="20"/>
          <w:lang w:val="pt-BR"/>
        </w:rPr>
        <w:t xml:space="preserve">Quanto à </w:t>
      </w:r>
      <w:r w:rsidRPr="005D6E61">
        <w:rPr>
          <w:rFonts w:asciiTheme="majorHAnsi" w:hAnsiTheme="majorHAnsi"/>
          <w:b/>
          <w:sz w:val="20"/>
          <w:szCs w:val="20"/>
          <w:lang w:val="pt-BR"/>
        </w:rPr>
        <w:t>terceira recomendação</w:t>
      </w:r>
      <w:r w:rsidRPr="005D6E61">
        <w:rPr>
          <w:rFonts w:asciiTheme="majorHAnsi" w:hAnsiTheme="majorHAnsi"/>
          <w:sz w:val="20"/>
          <w:szCs w:val="20"/>
          <w:lang w:val="pt-BR"/>
        </w:rPr>
        <w:t xml:space="preserve">, o Estado indicou que a Secretaria Municipal de Saúde de João Pessoa se comprometeu a prestar assistência de saúde ao senhor José de Arimatéia, que manifestou que precisava do serviço por certos problemas de sua saúde. Mencionou que em 14 de agosto de 2018 o senhor José de Arimatéia foi atendido por um médico que solicitou a realização de alguns exames. </w:t>
      </w:r>
    </w:p>
    <w:p w14:paraId="3890F52B" w14:textId="77777777" w:rsidR="0086494E" w:rsidRPr="005D6E61" w:rsidRDefault="0086494E" w:rsidP="0086494E">
      <w:pPr>
        <w:rPr>
          <w:rFonts w:asciiTheme="majorHAnsi" w:hAnsiTheme="majorHAnsi"/>
          <w:sz w:val="20"/>
          <w:szCs w:val="20"/>
          <w:lang w:val="pt-BR"/>
        </w:rPr>
      </w:pPr>
    </w:p>
    <w:p w14:paraId="2C1A47BE" w14:textId="77777777" w:rsidR="0086494E" w:rsidRPr="005D6E61" w:rsidRDefault="0086494E" w:rsidP="008649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Theme="majorHAnsi" w:hAnsiTheme="majorHAnsi"/>
          <w:sz w:val="20"/>
          <w:szCs w:val="20"/>
          <w:lang w:val="pt-BR"/>
        </w:rPr>
      </w:pPr>
      <w:r w:rsidRPr="005D6E61">
        <w:rPr>
          <w:rFonts w:asciiTheme="majorHAnsi" w:hAnsiTheme="majorHAnsi"/>
          <w:sz w:val="20"/>
          <w:szCs w:val="20"/>
          <w:lang w:val="pt-BR"/>
        </w:rPr>
        <w:t xml:space="preserve">Com relação à </w:t>
      </w:r>
      <w:r w:rsidRPr="005D6E61">
        <w:rPr>
          <w:rFonts w:asciiTheme="majorHAnsi" w:hAnsiTheme="majorHAnsi"/>
          <w:b/>
          <w:sz w:val="20"/>
          <w:szCs w:val="20"/>
          <w:lang w:val="pt-BR"/>
        </w:rPr>
        <w:t>quarta recomendação,</w:t>
      </w:r>
      <w:r w:rsidRPr="005D6E61">
        <w:rPr>
          <w:rFonts w:asciiTheme="majorHAnsi" w:hAnsiTheme="majorHAnsi"/>
          <w:sz w:val="20"/>
          <w:szCs w:val="20"/>
          <w:lang w:val="pt-BR"/>
        </w:rPr>
        <w:t xml:space="preserve"> sobre medidas de não repetição, o Estado indicou que desde 2007 dispõe de uma Política Nacional de Proteção aos Defensores de Direitos Humanos, e desde 2004 de um Programa de Proteção aos Defensores de Direitos Humanos, com o fim de proteger pessoas que têm seus direitos ameaçados em consequência da promoção ou defesa dos direitos humanos. Indicou que atualmente estão incluídos 444 defensores, sobretudo de causas indígenas e de direitos da terra, no programa de defensores. Mencionou que o programa de defensores é o único que tem execução em todo o território nacional, o que demonstra o compromisso do Estado brasileiro na defesa dos direitos humanos. </w:t>
      </w:r>
    </w:p>
    <w:p w14:paraId="073F04B1" w14:textId="77777777" w:rsidR="0086494E" w:rsidRPr="005D6E61" w:rsidRDefault="0086494E" w:rsidP="0086494E">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Theme="majorHAnsi" w:hAnsiTheme="majorHAnsi"/>
          <w:sz w:val="20"/>
          <w:szCs w:val="20"/>
          <w:lang w:val="pt-BR"/>
        </w:rPr>
      </w:pPr>
    </w:p>
    <w:p w14:paraId="17A3A46A" w14:textId="77777777" w:rsidR="0086494E" w:rsidRPr="005D6E61" w:rsidRDefault="0086494E" w:rsidP="008649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Theme="majorHAnsi" w:hAnsiTheme="majorHAnsi"/>
          <w:sz w:val="20"/>
          <w:szCs w:val="20"/>
          <w:lang w:val="pt-BR"/>
        </w:rPr>
      </w:pPr>
      <w:r w:rsidRPr="005D6E61">
        <w:rPr>
          <w:rFonts w:asciiTheme="majorHAnsi" w:hAnsiTheme="majorHAnsi"/>
          <w:sz w:val="20"/>
          <w:szCs w:val="20"/>
          <w:lang w:val="pt-BR"/>
        </w:rPr>
        <w:t>Acrescentou que a Ouvidoria Nacional dos Direitos Humanos também realizou ações para prevenir a violência no campo, delitos ambientais, ameaças de morte a líderes de trabalhadores rurais e outros, mediante reuniões, visitas in loco e outras medidas. Indicou que, por sua vez, a Defensoria Agrária Nacional participa de processos de mediação e conciliação de conflitos agrários.</w:t>
      </w:r>
    </w:p>
    <w:p w14:paraId="7BE72D21" w14:textId="77777777" w:rsidR="00FF477E" w:rsidRPr="005D6E61" w:rsidRDefault="00FF477E" w:rsidP="0086494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jc w:val="both"/>
        <w:rPr>
          <w:rFonts w:ascii="Cambria" w:hAnsi="Cambria"/>
          <w:sz w:val="20"/>
          <w:szCs w:val="20"/>
          <w:lang w:val="pt-BR" w:eastAsia="es-ES"/>
        </w:rPr>
      </w:pPr>
    </w:p>
    <w:p w14:paraId="6EBB34C9" w14:textId="77777777" w:rsidR="00FF477E" w:rsidRPr="005D6E61" w:rsidRDefault="00FF477E" w:rsidP="00FF477E">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Times New Roman"/>
          <w:bCs w:val="0"/>
          <w:color w:val="auto"/>
          <w:sz w:val="20"/>
          <w:szCs w:val="20"/>
          <w:bdr w:val="none" w:sz="0" w:space="0" w:color="auto"/>
          <w:lang w:val="pt-BR"/>
        </w:rPr>
      </w:pPr>
      <w:bookmarkStart w:id="52" w:name="_Toc27990580"/>
      <w:r w:rsidRPr="005D6E61">
        <w:rPr>
          <w:rFonts w:eastAsia="Times New Roman"/>
          <w:bCs w:val="0"/>
          <w:color w:val="auto"/>
          <w:sz w:val="20"/>
          <w:szCs w:val="20"/>
          <w:bdr w:val="none" w:sz="0" w:space="0" w:color="auto"/>
          <w:lang w:val="pt-BR"/>
        </w:rPr>
        <w:t>RELATÓRIO Nº 120/18 E INFORMAÇÃO SOBRE CUMPRIMENTO</w:t>
      </w:r>
      <w:bookmarkEnd w:id="52"/>
    </w:p>
    <w:p w14:paraId="1EE4EF25" w14:textId="77777777" w:rsidR="00FF477E" w:rsidRPr="005D6E61" w:rsidRDefault="00FF477E" w:rsidP="00FF477E">
      <w:pPr>
        <w:tabs>
          <w:tab w:val="num" w:pos="1350"/>
          <w:tab w:val="left" w:pos="1440"/>
          <w:tab w:val="num" w:pos="2040"/>
        </w:tabs>
        <w:ind w:left="720"/>
        <w:jc w:val="both"/>
        <w:rPr>
          <w:rFonts w:ascii="Cambria" w:eastAsia="MS Mincho" w:hAnsi="Cambria"/>
          <w:sz w:val="20"/>
          <w:szCs w:val="20"/>
          <w:lang w:val="pt-BR" w:eastAsia="ar-SA"/>
        </w:rPr>
      </w:pPr>
    </w:p>
    <w:p w14:paraId="4FB7161D" w14:textId="77777777" w:rsidR="00FF477E" w:rsidRPr="005D6E61" w:rsidRDefault="00FF477E" w:rsidP="00FF4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Cambria" w:eastAsia="MS Mincho" w:hAnsi="Cambria"/>
          <w:sz w:val="20"/>
          <w:szCs w:val="20"/>
          <w:lang w:val="pt-BR" w:eastAsia="ar-SA"/>
        </w:rPr>
      </w:pPr>
      <w:r w:rsidRPr="005D6E61">
        <w:rPr>
          <w:rFonts w:ascii="Cambria" w:eastAsia="MS Mincho" w:hAnsi="Cambria"/>
          <w:sz w:val="20"/>
          <w:szCs w:val="20"/>
          <w:lang w:val="pt-BR" w:eastAsia="ar-SA"/>
        </w:rPr>
        <w:t>Em 14 de dezembro de 2018 a Comissão transmitiu ao Estado o Relatório de Mérito Final 120/18 e concedeu ao Estado o prazo de um mês para que informasse sobre as medidas adotadas para dar cumprimento às recomendações ali contidas.</w:t>
      </w:r>
    </w:p>
    <w:p w14:paraId="3DD82ECD" w14:textId="77777777" w:rsidR="00FF477E" w:rsidRPr="005D6E61" w:rsidRDefault="00FF477E" w:rsidP="00FF477E">
      <w:pPr>
        <w:tabs>
          <w:tab w:val="num" w:pos="1350"/>
          <w:tab w:val="left" w:pos="1440"/>
          <w:tab w:val="num" w:pos="2040"/>
        </w:tabs>
        <w:ind w:left="720"/>
        <w:jc w:val="both"/>
        <w:rPr>
          <w:rFonts w:ascii="Cambria" w:eastAsia="MS Mincho" w:hAnsi="Cambria"/>
          <w:sz w:val="20"/>
          <w:szCs w:val="20"/>
          <w:lang w:val="pt-BR" w:eastAsia="ar-SA"/>
        </w:rPr>
      </w:pPr>
    </w:p>
    <w:p w14:paraId="29884744" w14:textId="77777777" w:rsidR="00FF477E" w:rsidRPr="005D6E61" w:rsidRDefault="00FF477E" w:rsidP="00FF4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Cambria" w:eastAsia="MS Mincho" w:hAnsi="Cambria"/>
          <w:sz w:val="20"/>
          <w:szCs w:val="20"/>
          <w:lang w:val="pt-BR" w:eastAsia="ar-SA"/>
        </w:rPr>
      </w:pPr>
      <w:r w:rsidRPr="005D6E61">
        <w:rPr>
          <w:rFonts w:ascii="Cambria" w:eastAsia="MS Mincho" w:hAnsi="Cambria"/>
          <w:sz w:val="20"/>
          <w:szCs w:val="20"/>
          <w:lang w:val="pt-BR" w:eastAsia="ar-SA"/>
        </w:rPr>
        <w:t>Em 14 de janeiro de 2019 a parte peticionária apresentou suas observações sobre o cumprimento das recomendações do Relatório 120/18.</w:t>
      </w:r>
      <w:r w:rsidR="00FA22CF" w:rsidRPr="005D6E61">
        <w:rPr>
          <w:rFonts w:ascii="Cambria" w:eastAsia="MS Mincho" w:hAnsi="Cambria"/>
          <w:sz w:val="20"/>
          <w:szCs w:val="20"/>
          <w:lang w:val="pt-BR" w:eastAsia="ar-SA"/>
        </w:rPr>
        <w:t xml:space="preserve"> </w:t>
      </w:r>
      <w:r w:rsidRPr="005D6E61">
        <w:rPr>
          <w:rFonts w:ascii="Cambria" w:eastAsia="MS Mincho" w:hAnsi="Cambria"/>
          <w:sz w:val="20"/>
          <w:szCs w:val="20"/>
          <w:lang w:val="pt-BR" w:eastAsia="ar-SA"/>
        </w:rPr>
        <w:t xml:space="preserve">Em 7 e 8 de fevereiro de 2019 o Estado apresentou relatórios sobre o cumprimento de recomendações. </w:t>
      </w:r>
      <w:r w:rsidR="00802081" w:rsidRPr="005D6E61">
        <w:rPr>
          <w:rFonts w:ascii="Cambria" w:eastAsia="MS Mincho" w:hAnsi="Cambria"/>
          <w:sz w:val="20"/>
          <w:szCs w:val="20"/>
          <w:lang w:val="pt-BR" w:eastAsia="ar-SA"/>
        </w:rPr>
        <w:t>Em 13 de fevereiro de 2019, no âmbito do 171º período de sessões, a CIDH realizou uma reunião de trabalho entre as partes</w:t>
      </w:r>
    </w:p>
    <w:p w14:paraId="6C22B88B" w14:textId="77777777" w:rsidR="00FF477E" w:rsidRPr="005D6E61" w:rsidRDefault="00FF477E" w:rsidP="00FF477E">
      <w:pPr>
        <w:pStyle w:val="ListParagraph"/>
        <w:rPr>
          <w:rFonts w:eastAsia="MS Mincho"/>
          <w:sz w:val="20"/>
          <w:szCs w:val="20"/>
          <w:bdr w:val="none" w:sz="0" w:space="0" w:color="auto"/>
          <w:lang w:val="pt-BR" w:eastAsia="ar-SA"/>
        </w:rPr>
      </w:pPr>
    </w:p>
    <w:p w14:paraId="0B0E9938" w14:textId="77777777" w:rsidR="00FF477E" w:rsidRPr="005D6E61" w:rsidRDefault="00FF477E" w:rsidP="00FF4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Cambria" w:eastAsia="MS Mincho" w:hAnsi="Cambria"/>
          <w:sz w:val="20"/>
          <w:szCs w:val="20"/>
          <w:lang w:val="pt-BR" w:eastAsia="ar-SA"/>
        </w:rPr>
      </w:pPr>
      <w:r w:rsidRPr="005D6E61">
        <w:rPr>
          <w:rFonts w:ascii="Cambria" w:eastAsia="MS Mincho" w:hAnsi="Cambria"/>
          <w:sz w:val="20"/>
          <w:szCs w:val="20"/>
          <w:lang w:val="pt-BR" w:eastAsia="ar-SA"/>
        </w:rPr>
        <w:t xml:space="preserve">Quanto à </w:t>
      </w:r>
      <w:r w:rsidRPr="005D6E61">
        <w:rPr>
          <w:rFonts w:ascii="Cambria" w:eastAsia="MS Mincho" w:hAnsi="Cambria"/>
          <w:b/>
          <w:sz w:val="20"/>
          <w:szCs w:val="20"/>
          <w:lang w:val="pt-BR" w:eastAsia="ar-SA"/>
        </w:rPr>
        <w:t>primeira recomendação,</w:t>
      </w:r>
      <w:r w:rsidRPr="005D6E61">
        <w:rPr>
          <w:rFonts w:ascii="Cambria" w:eastAsia="MS Mincho" w:hAnsi="Cambria"/>
          <w:sz w:val="20"/>
          <w:szCs w:val="20"/>
          <w:lang w:val="pt-BR" w:eastAsia="ar-SA"/>
        </w:rPr>
        <w:t xml:space="preserve"> o Estado não forneceu informação adicional à já proporcionada durante o período de seguimento ao Relatório nº 33/17. </w:t>
      </w:r>
    </w:p>
    <w:p w14:paraId="4A18C266" w14:textId="77777777" w:rsidR="00FF477E" w:rsidRPr="005D6E61" w:rsidRDefault="00FF477E" w:rsidP="00FF477E">
      <w:pPr>
        <w:pStyle w:val="ListParagraph"/>
        <w:rPr>
          <w:rFonts w:eastAsia="MS Mincho"/>
          <w:sz w:val="20"/>
          <w:szCs w:val="20"/>
          <w:bdr w:val="none" w:sz="0" w:space="0" w:color="auto"/>
          <w:lang w:val="pt-BR" w:eastAsia="ar-SA"/>
        </w:rPr>
      </w:pPr>
    </w:p>
    <w:p w14:paraId="32E6A0B7" w14:textId="77777777" w:rsidR="00FF477E" w:rsidRPr="005D6E61" w:rsidRDefault="00FF477E" w:rsidP="00FF4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Cambria" w:eastAsia="MS Mincho" w:hAnsi="Cambria"/>
          <w:sz w:val="20"/>
          <w:szCs w:val="20"/>
          <w:lang w:val="pt-BR" w:eastAsia="ar-SA"/>
        </w:rPr>
      </w:pPr>
      <w:r w:rsidRPr="005D6E61">
        <w:rPr>
          <w:rFonts w:ascii="Cambria" w:eastAsia="MS Mincho" w:hAnsi="Cambria"/>
          <w:sz w:val="20"/>
          <w:szCs w:val="20"/>
          <w:lang w:val="pt-BR" w:eastAsia="ar-SA"/>
        </w:rPr>
        <w:t xml:space="preserve">A parte peticionária expressou a respeito que, passados mais de nove meses desde o Relatório de Mérito Preliminar, o Estado continua sem dar cumprimento a essa recomendação e sem dar uma resposta à </w:t>
      </w:r>
      <w:r w:rsidRPr="005D6E61">
        <w:rPr>
          <w:rFonts w:ascii="Cambria" w:eastAsia="MS Mincho" w:hAnsi="Cambria"/>
          <w:sz w:val="20"/>
          <w:szCs w:val="20"/>
          <w:lang w:val="pt-BR" w:eastAsia="ar-SA"/>
        </w:rPr>
        <w:lastRenderedPageBreak/>
        <w:t xml:space="preserve">proposta apresentada por José de Arimatéia. Expressou que reiteraram sua proposta em várias ocasiões e por diversos meios. Indicou que não se pode, por isso, concluir que existe um acordo entre as partes sobre a proposta de reparação de danos materiais e imateriais, e alegou que, em vista disso, o Relatório de Mérito Final deve ser modificado para refletir que não existe tal acordo. </w:t>
      </w:r>
    </w:p>
    <w:p w14:paraId="54B06844" w14:textId="77777777" w:rsidR="00FF477E" w:rsidRPr="005D6E61" w:rsidRDefault="00FF477E" w:rsidP="00FF477E">
      <w:pPr>
        <w:pStyle w:val="ListParagraph"/>
        <w:rPr>
          <w:rFonts w:eastAsia="MS Mincho"/>
          <w:sz w:val="20"/>
          <w:szCs w:val="20"/>
          <w:bdr w:val="none" w:sz="0" w:space="0" w:color="auto"/>
          <w:lang w:val="pt-BR" w:eastAsia="ar-SA"/>
        </w:rPr>
      </w:pPr>
    </w:p>
    <w:p w14:paraId="0E9CE61A" w14:textId="77777777" w:rsidR="00FF477E" w:rsidRPr="005D6E61" w:rsidRDefault="00FF477E" w:rsidP="00FF4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Cambria" w:eastAsia="MS Mincho" w:hAnsi="Cambria"/>
          <w:sz w:val="20"/>
          <w:szCs w:val="20"/>
          <w:lang w:val="pt-BR" w:eastAsia="ar-SA"/>
        </w:rPr>
      </w:pPr>
      <w:r w:rsidRPr="005D6E61">
        <w:rPr>
          <w:rFonts w:ascii="Cambria" w:eastAsia="MS Mincho" w:hAnsi="Cambria"/>
          <w:sz w:val="20"/>
          <w:szCs w:val="20"/>
          <w:lang w:val="pt-BR" w:eastAsia="ar-SA"/>
        </w:rPr>
        <w:t xml:space="preserve">A Comissão toma nota da informação proporcionada pelo Estado; contudo, manifesta sua preocupação com a falta de avanços concretos no cumprimento dessa recomendação transcorridos quase dois anos desde a emissão do Relatório de Mérito Preliminar. A CIDH insta novamente o Estado a realizar com celeridade as gestões necessárias para tornar efetivas as indenizações pelas violações declaradas no Relatório de Mérito da Comissão. </w:t>
      </w:r>
    </w:p>
    <w:p w14:paraId="34342E6A" w14:textId="77777777" w:rsidR="00FF477E" w:rsidRPr="005D6E61" w:rsidRDefault="00FF477E" w:rsidP="00FF477E">
      <w:pPr>
        <w:rPr>
          <w:rFonts w:ascii="Cambria" w:eastAsia="MS Mincho" w:hAnsi="Cambria"/>
          <w:sz w:val="20"/>
          <w:szCs w:val="20"/>
          <w:lang w:val="pt-BR" w:eastAsia="ar-SA"/>
        </w:rPr>
      </w:pPr>
    </w:p>
    <w:p w14:paraId="50E57079" w14:textId="77777777" w:rsidR="00FF477E" w:rsidRPr="005D6E61" w:rsidRDefault="00FF477E" w:rsidP="00FF4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Cambria" w:eastAsia="MS Mincho" w:hAnsi="Cambria"/>
          <w:sz w:val="20"/>
          <w:szCs w:val="20"/>
          <w:lang w:val="pt-BR" w:eastAsia="ar-SA"/>
        </w:rPr>
      </w:pPr>
      <w:r w:rsidRPr="005D6E61">
        <w:rPr>
          <w:rFonts w:ascii="Cambria" w:eastAsia="MS Mincho" w:hAnsi="Cambria"/>
          <w:sz w:val="20"/>
          <w:szCs w:val="20"/>
          <w:lang w:val="pt-BR" w:eastAsia="ar-SA"/>
        </w:rPr>
        <w:t xml:space="preserve">Com respeito à </w:t>
      </w:r>
      <w:r w:rsidRPr="005D6E61">
        <w:rPr>
          <w:rFonts w:ascii="Cambria" w:eastAsia="MS Mincho" w:hAnsi="Cambria"/>
          <w:b/>
          <w:sz w:val="20"/>
          <w:szCs w:val="20"/>
          <w:lang w:val="pt-BR" w:eastAsia="ar-SA"/>
        </w:rPr>
        <w:t>segunda recomendação</w:t>
      </w:r>
      <w:r w:rsidRPr="005D6E61">
        <w:rPr>
          <w:rFonts w:ascii="Cambria" w:eastAsia="MS Mincho" w:hAnsi="Cambria"/>
          <w:sz w:val="20"/>
          <w:szCs w:val="20"/>
          <w:lang w:val="pt-BR" w:eastAsia="ar-SA"/>
        </w:rPr>
        <w:t>, o Estado não se referiu concretamente aos avanços na investigação dos fatos do presente caso, mas se limitou a realizar uma cronologia das atuações do processo, que ocorreram antes da emissão do Relatório preliminar.</w:t>
      </w:r>
    </w:p>
    <w:p w14:paraId="0D18B53E" w14:textId="77777777" w:rsidR="00FF477E" w:rsidRPr="005D6E61" w:rsidRDefault="00FF477E" w:rsidP="00FF477E">
      <w:pPr>
        <w:tabs>
          <w:tab w:val="num" w:pos="1350"/>
          <w:tab w:val="left" w:pos="1440"/>
          <w:tab w:val="num" w:pos="2040"/>
        </w:tabs>
        <w:ind w:left="720"/>
        <w:jc w:val="both"/>
        <w:rPr>
          <w:rFonts w:ascii="Cambria" w:eastAsia="MS Mincho" w:hAnsi="Cambria"/>
          <w:sz w:val="20"/>
          <w:szCs w:val="20"/>
          <w:lang w:val="pt-BR" w:eastAsia="ar-SA"/>
        </w:rPr>
      </w:pPr>
    </w:p>
    <w:p w14:paraId="07EDB27D" w14:textId="77777777" w:rsidR="00FF477E" w:rsidRPr="005D6E61" w:rsidRDefault="00FF477E" w:rsidP="00FF4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lang w:val="pt-BR"/>
        </w:rPr>
      </w:pPr>
      <w:r w:rsidRPr="005D6E61">
        <w:rPr>
          <w:rFonts w:ascii="Cambria" w:eastAsia="MS Mincho" w:hAnsi="Cambria"/>
          <w:sz w:val="20"/>
          <w:szCs w:val="20"/>
          <w:lang w:val="pt-BR" w:eastAsia="ar-SA"/>
        </w:rPr>
        <w:t xml:space="preserve">Por outro lado, quanto à parte da recomendação relacionada com medidas para proteger testemunhas, reiterou que conta com o </w:t>
      </w:r>
      <w:r w:rsidRPr="005D6E61">
        <w:rPr>
          <w:rFonts w:ascii="Cambria" w:hAnsi="Cambria"/>
          <w:sz w:val="20"/>
          <w:szCs w:val="20"/>
          <w:lang w:val="pt-BR"/>
        </w:rPr>
        <w:t xml:space="preserve">Programa de Proteção a vítimas e testemunhas ameaçadas que tem por objetivo oferecer proteção especial a vítimas e testemunhas de crimes que se encontram em risco em consequência de sua colaboração nos processos penais.  </w:t>
      </w:r>
    </w:p>
    <w:p w14:paraId="44E52A45" w14:textId="77777777" w:rsidR="00FF477E" w:rsidRPr="005D6E61" w:rsidRDefault="00FF477E" w:rsidP="00FF477E">
      <w:pPr>
        <w:pStyle w:val="ListParagraph"/>
        <w:rPr>
          <w:rFonts w:eastAsia="MS Mincho"/>
          <w:sz w:val="20"/>
          <w:szCs w:val="20"/>
          <w:bdr w:val="none" w:sz="0" w:space="0" w:color="auto"/>
          <w:lang w:val="pt-BR" w:eastAsia="ar-SA"/>
        </w:rPr>
      </w:pPr>
    </w:p>
    <w:p w14:paraId="26937023" w14:textId="77777777" w:rsidR="00FF477E" w:rsidRPr="005D6E61" w:rsidRDefault="00FF477E" w:rsidP="00FF4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lang w:val="pt-BR"/>
        </w:rPr>
      </w:pPr>
      <w:r w:rsidRPr="005D6E61">
        <w:rPr>
          <w:rFonts w:ascii="Cambria" w:eastAsia="MS Mincho" w:hAnsi="Cambria"/>
          <w:sz w:val="20"/>
          <w:szCs w:val="20"/>
          <w:lang w:val="pt-BR" w:eastAsia="ar-SA"/>
        </w:rPr>
        <w:t xml:space="preserve">A parte peticionária reiterou sua preocupação com a posição assumida pelo Estado no sentido de que a investigação do presente caso foi realizada em observância das garantias judiciais e proteção judicial, previstas na Convenção Americana e que é inviável a instauração de uma nova investigação ou julgamento sobre uma causa já decidida. Por isso, solicitou o acompanhamento rigoroso desta medida por parte da Comissão. </w:t>
      </w:r>
    </w:p>
    <w:p w14:paraId="0141A4BE" w14:textId="77777777" w:rsidR="00FF477E" w:rsidRPr="005D6E61" w:rsidRDefault="00FF477E" w:rsidP="00FF477E">
      <w:pPr>
        <w:pStyle w:val="ListParagraph"/>
        <w:rPr>
          <w:lang w:val="pt-BR"/>
        </w:rPr>
      </w:pPr>
    </w:p>
    <w:p w14:paraId="4E59BF13" w14:textId="77777777" w:rsidR="00FF477E" w:rsidRPr="005D6E61" w:rsidRDefault="00FF477E" w:rsidP="00FF4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Cambria" w:eastAsia="MS Mincho" w:hAnsi="Cambria"/>
          <w:sz w:val="20"/>
          <w:szCs w:val="20"/>
          <w:lang w:val="pt-BR" w:eastAsia="ar-SA"/>
        </w:rPr>
      </w:pPr>
      <w:r w:rsidRPr="005D6E61">
        <w:rPr>
          <w:rFonts w:ascii="Cambria" w:eastAsia="MS Mincho" w:hAnsi="Cambria"/>
          <w:sz w:val="20"/>
          <w:szCs w:val="20"/>
          <w:lang w:val="pt-BR" w:eastAsia="ar-SA"/>
        </w:rPr>
        <w:t xml:space="preserve">A Comissão recorda que, tal como indicou em seu Relatório Preliminar, os atos estatais no processo pela investigação da morte da vítima não estavam orientados à determinação da verdade e punição dos responsáveis materiais e intelectuais pelos fatos e a declaração de prescrição foi produto de um processo violador das obrigações internacionais do Estado, motivo pelo qual não é oponível como fundamento para descumprir esta recomendação. Em virtude disso, a Comissão insta o Estado a avançar no cumprimento da recomendação relacionada com o dever de investigar, para o que solicita que envie à CIDH um plano de ação e cronograma orientado a cumprir esta recomendação a respeito dos autores materiais e intelectuais do crime que ainda se encontram com vida. </w:t>
      </w:r>
    </w:p>
    <w:p w14:paraId="640422A1" w14:textId="77777777" w:rsidR="00FF477E" w:rsidRPr="005D6E61" w:rsidRDefault="00FF477E" w:rsidP="00FF477E">
      <w:pPr>
        <w:pStyle w:val="ListParagraph"/>
        <w:rPr>
          <w:rFonts w:eastAsia="MS Mincho"/>
          <w:sz w:val="20"/>
          <w:szCs w:val="20"/>
          <w:bdr w:val="none" w:sz="0" w:space="0" w:color="auto"/>
          <w:lang w:val="pt-BR" w:eastAsia="ar-SA"/>
        </w:rPr>
      </w:pPr>
    </w:p>
    <w:p w14:paraId="0DB160EB" w14:textId="77777777" w:rsidR="00FF477E" w:rsidRPr="005D6E61" w:rsidRDefault="00FF477E" w:rsidP="00FF4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Cambria" w:eastAsia="MS Mincho" w:hAnsi="Cambria"/>
          <w:sz w:val="20"/>
          <w:szCs w:val="20"/>
          <w:lang w:val="pt-BR" w:eastAsia="ar-SA"/>
        </w:rPr>
      </w:pPr>
      <w:r w:rsidRPr="005D6E61">
        <w:rPr>
          <w:rFonts w:ascii="Cambria" w:eastAsia="MS Mincho" w:hAnsi="Cambria"/>
          <w:sz w:val="20"/>
          <w:szCs w:val="20"/>
          <w:lang w:val="pt-BR" w:eastAsia="ar-SA"/>
        </w:rPr>
        <w:t xml:space="preserve">Com relação à </w:t>
      </w:r>
      <w:r w:rsidRPr="005D6E61">
        <w:rPr>
          <w:rFonts w:ascii="Cambria" w:eastAsia="MS Mincho" w:hAnsi="Cambria"/>
          <w:b/>
          <w:sz w:val="20"/>
          <w:szCs w:val="20"/>
          <w:lang w:val="pt-BR" w:eastAsia="ar-SA"/>
        </w:rPr>
        <w:t>terceira recomendação,</w:t>
      </w:r>
      <w:r w:rsidRPr="005D6E61">
        <w:rPr>
          <w:rFonts w:ascii="Cambria" w:eastAsia="MS Mincho" w:hAnsi="Cambria"/>
          <w:sz w:val="20"/>
          <w:szCs w:val="20"/>
          <w:lang w:val="pt-BR" w:eastAsia="ar-SA"/>
        </w:rPr>
        <w:t xml:space="preserve"> o Estado reiterou a informação proporcionada em ocasiões anteriores no sentido de que José de Arimatéia vem sendo atendido pela rede de saúde pública de João Pessoa, realizando as consultas e recebendo os medicamentos necessários.</w:t>
      </w:r>
    </w:p>
    <w:p w14:paraId="68DFD675" w14:textId="77777777" w:rsidR="00FF477E" w:rsidRPr="005D6E61" w:rsidRDefault="00FF477E" w:rsidP="00FF477E">
      <w:pPr>
        <w:tabs>
          <w:tab w:val="num" w:pos="1350"/>
          <w:tab w:val="left" w:pos="1440"/>
          <w:tab w:val="num" w:pos="2040"/>
        </w:tabs>
        <w:jc w:val="both"/>
        <w:rPr>
          <w:rFonts w:ascii="Cambria" w:eastAsia="MS Mincho" w:hAnsi="Cambria"/>
          <w:sz w:val="20"/>
          <w:szCs w:val="20"/>
          <w:lang w:val="pt-BR" w:eastAsia="ar-SA"/>
        </w:rPr>
      </w:pPr>
      <w:r w:rsidRPr="005D6E61">
        <w:rPr>
          <w:rFonts w:ascii="Cambria" w:eastAsia="MS Mincho" w:hAnsi="Cambria"/>
          <w:sz w:val="20"/>
          <w:szCs w:val="20"/>
          <w:lang w:val="pt-BR" w:eastAsia="ar-SA"/>
        </w:rPr>
        <w:t xml:space="preserve"> </w:t>
      </w:r>
    </w:p>
    <w:p w14:paraId="6E334475" w14:textId="77777777" w:rsidR="00FF477E" w:rsidRPr="005D6E61" w:rsidRDefault="00FF477E" w:rsidP="00FF4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Cambria" w:eastAsia="MS Mincho" w:hAnsi="Cambria"/>
          <w:sz w:val="20"/>
          <w:szCs w:val="20"/>
          <w:lang w:val="pt-BR" w:eastAsia="ar-SA"/>
        </w:rPr>
      </w:pPr>
      <w:r w:rsidRPr="005D6E61">
        <w:rPr>
          <w:rFonts w:ascii="Cambria" w:eastAsia="MS Mincho" w:hAnsi="Cambria"/>
          <w:sz w:val="20"/>
          <w:szCs w:val="20"/>
          <w:lang w:val="pt-BR" w:eastAsia="ar-SA"/>
        </w:rPr>
        <w:t xml:space="preserve">Sobre esta recomendação, a parte peticionária expressou que, embora José de Arimatéia esteja recebendo atenção por médicos especializados, às vezes teve que esperar três meses para receber os medicamentos prescritos em virtude de atrasos no processo de licitação de medicamentos. Acrescentou que a situação de saúde dessa pessoa se agravou nos últimos meses motivo pelo qual teve que ser hospitalizado.  Sublinhou que espera que a recomendação seja cumprida em sua integridade e que o Estado proporcione a atenção e o tratamento médico necessário para garantir um tratamento efetivo e de qualidade da vítima. </w:t>
      </w:r>
    </w:p>
    <w:p w14:paraId="3FD6234E" w14:textId="77777777" w:rsidR="00FF477E" w:rsidRPr="005D6E61" w:rsidRDefault="00FF477E" w:rsidP="00FF477E">
      <w:pPr>
        <w:pStyle w:val="ListParagraph"/>
        <w:rPr>
          <w:rFonts w:eastAsia="MS Mincho"/>
          <w:sz w:val="20"/>
          <w:szCs w:val="20"/>
          <w:bdr w:val="none" w:sz="0" w:space="0" w:color="auto"/>
          <w:lang w:val="pt-BR" w:eastAsia="ar-SA"/>
        </w:rPr>
      </w:pPr>
    </w:p>
    <w:p w14:paraId="15154945" w14:textId="77777777" w:rsidR="00FF477E" w:rsidRPr="005D6E61" w:rsidRDefault="00FF477E" w:rsidP="00FF4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Cambria" w:eastAsia="MS Mincho" w:hAnsi="Cambria"/>
          <w:sz w:val="20"/>
          <w:szCs w:val="20"/>
          <w:lang w:val="pt-BR" w:eastAsia="ar-SA"/>
        </w:rPr>
      </w:pPr>
      <w:r w:rsidRPr="005D6E61">
        <w:rPr>
          <w:rFonts w:ascii="Cambria" w:eastAsia="MS Mincho" w:hAnsi="Cambria"/>
          <w:sz w:val="20"/>
          <w:szCs w:val="20"/>
          <w:lang w:val="pt-BR" w:eastAsia="ar-SA"/>
        </w:rPr>
        <w:t xml:space="preserve">A Comissão toma nota da informação proporcionada e insta o Estado a continuar prestando os serviços médicos necessários aos familiares da vítima do presente caso. Especialmente, a CIDH ressalta a importância de que não somente os diagnósticos médicos sejam oportunos, mas que os medicamentos sejam proporcionados de maneira rápida, motivo pelo qual solicita ao Estado que tome as medidas necessárias para evita atrasos indevidos na entrega de medicamentos.  </w:t>
      </w:r>
    </w:p>
    <w:p w14:paraId="6CA89F0D" w14:textId="77777777" w:rsidR="00FF477E" w:rsidRPr="005D6E61" w:rsidRDefault="00FF477E" w:rsidP="00FF477E">
      <w:pPr>
        <w:rPr>
          <w:rFonts w:ascii="Cambria" w:eastAsia="MS Mincho" w:hAnsi="Cambria"/>
          <w:sz w:val="20"/>
          <w:szCs w:val="20"/>
          <w:lang w:val="pt-BR" w:eastAsia="ar-SA"/>
        </w:rPr>
      </w:pPr>
    </w:p>
    <w:p w14:paraId="1BEA9E66" w14:textId="77777777" w:rsidR="00FF477E" w:rsidRPr="008D1DBD" w:rsidRDefault="00FF477E" w:rsidP="00FF4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lang w:val="pt-BR"/>
        </w:rPr>
      </w:pPr>
      <w:r w:rsidRPr="005D6E61">
        <w:rPr>
          <w:rFonts w:ascii="Cambria" w:eastAsia="MS Mincho" w:hAnsi="Cambria"/>
          <w:sz w:val="20"/>
          <w:szCs w:val="20"/>
          <w:lang w:val="pt-BR" w:eastAsia="ar-SA"/>
        </w:rPr>
        <w:t xml:space="preserve">Além disso, sobre a </w:t>
      </w:r>
      <w:r w:rsidRPr="005D6E61">
        <w:rPr>
          <w:rFonts w:ascii="Cambria" w:eastAsia="MS Mincho" w:hAnsi="Cambria"/>
          <w:b/>
          <w:sz w:val="20"/>
          <w:szCs w:val="20"/>
          <w:lang w:val="pt-BR" w:eastAsia="ar-SA"/>
        </w:rPr>
        <w:t>quarta recomendação</w:t>
      </w:r>
      <w:r w:rsidRPr="005D6E61">
        <w:rPr>
          <w:rFonts w:ascii="Cambria" w:eastAsia="MS Mincho" w:hAnsi="Cambria"/>
          <w:sz w:val="20"/>
          <w:szCs w:val="20"/>
          <w:lang w:val="pt-BR" w:eastAsia="ar-SA"/>
        </w:rPr>
        <w:t>, o Estado reiterou a informação sobre seu Programa de Proteção aos Defensores de Direito</w:t>
      </w:r>
      <w:r w:rsidR="006346A1" w:rsidRPr="005D6E61">
        <w:rPr>
          <w:rFonts w:ascii="Cambria" w:eastAsia="MS Mincho" w:hAnsi="Cambria"/>
          <w:sz w:val="20"/>
          <w:szCs w:val="20"/>
          <w:lang w:val="pt-BR" w:eastAsia="ar-SA"/>
        </w:rPr>
        <w:t xml:space="preserve">s Humanos. </w:t>
      </w:r>
      <w:r w:rsidRPr="005D6E61">
        <w:rPr>
          <w:rFonts w:ascii="Cambria" w:eastAsia="MS Mincho" w:hAnsi="Cambria"/>
          <w:sz w:val="20"/>
          <w:szCs w:val="20"/>
          <w:lang w:val="pt-BR" w:eastAsia="ar-SA"/>
        </w:rPr>
        <w:t xml:space="preserve">Informou que atualmente 536 defensores de direitos humanos em todo o país estão recebendo acompanhamento desse programa. Especificamente, quanto </w:t>
      </w:r>
      <w:r w:rsidRPr="005D6E61">
        <w:rPr>
          <w:rFonts w:ascii="Cambria" w:eastAsia="MS Mincho" w:hAnsi="Cambria"/>
          <w:sz w:val="20"/>
          <w:szCs w:val="20"/>
          <w:lang w:val="pt-BR" w:eastAsia="ar-SA"/>
        </w:rPr>
        <w:lastRenderedPageBreak/>
        <w:t xml:space="preserve">à informação solicitada no Relatório 120/18 sobre medidas para fortalecer esse programa, informou que desde 2009 o programa acompanha defensores em risco na Paraíba. Expressou que no corrente ano o orçamento do Programa é de 14 milhões e 700 mil reais, o que representa 326% mais que em 2018, e é o maior orçamento em sua história. Acrescentou, por outro lado, que em 2018 havia apenas quatro convênios com estados formalizados para ampliar a rede de proteção, mas atualmente já se conta com nove convênios no país. </w:t>
      </w:r>
    </w:p>
    <w:p w14:paraId="12CB7F75" w14:textId="77777777" w:rsidR="008D1DBD" w:rsidRDefault="008D1DBD" w:rsidP="008D1DBD">
      <w:pPr>
        <w:pStyle w:val="ListParagraph"/>
        <w:rPr>
          <w:lang w:val="pt-BR"/>
        </w:rPr>
      </w:pPr>
    </w:p>
    <w:p w14:paraId="23E55B29" w14:textId="77777777" w:rsidR="00FF477E" w:rsidRPr="005D6E61" w:rsidRDefault="00FF477E" w:rsidP="00FF4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Cambria" w:eastAsia="MS Mincho" w:hAnsi="Cambria"/>
          <w:sz w:val="20"/>
          <w:szCs w:val="20"/>
          <w:lang w:val="pt-BR" w:eastAsia="ar-SA"/>
        </w:rPr>
      </w:pPr>
      <w:r w:rsidRPr="005D6E61">
        <w:rPr>
          <w:rFonts w:ascii="Cambria" w:eastAsia="MS Mincho" w:hAnsi="Cambria"/>
          <w:sz w:val="20"/>
          <w:szCs w:val="20"/>
          <w:lang w:val="pt-BR" w:eastAsia="ar-SA"/>
        </w:rPr>
        <w:t xml:space="preserve">Acrescentou, quanto à metodologia, que a atuação do programa obedece a diretrizes estabelecidas no Decreto 6.044/2007. Mencionou que em outubro de 2017 foi criado um grupo de trabalho para discutir a metodologia de participação social do programa que permita o diálogo entre representantes do Estado e pessoas defensoras de direitos humanos, o qual se reuniu durante 2018, e a proposta final para a criação desse espaço encontra-se em ajustes finais por parte do Ministério da Mulher, Família e Direitos Humanos. Por outro lado, quanto às medidas coletivas de proteção, expressou que não entende como viável a inclusão nominal e coletiva de todos os membros de um grupo, levando em conta que as ameaças e riscos são maiores para seus líderes; contudo, expressou que, através do acompanhamento de seus casos, pôde constatar que, embora  diversas medidas de proteção não se apliquem a toda uma coletividade, às vezes o impacto é geral.  </w:t>
      </w:r>
    </w:p>
    <w:p w14:paraId="30E6FB74" w14:textId="77777777" w:rsidR="00FF477E" w:rsidRPr="005D6E61" w:rsidRDefault="00FF477E" w:rsidP="00FF477E">
      <w:pPr>
        <w:pStyle w:val="ListParagraph"/>
        <w:rPr>
          <w:rFonts w:eastAsia="MS Mincho"/>
          <w:sz w:val="20"/>
          <w:szCs w:val="20"/>
          <w:bdr w:val="none" w:sz="0" w:space="0" w:color="auto"/>
          <w:lang w:val="pt-BR" w:eastAsia="ar-SA"/>
        </w:rPr>
      </w:pPr>
    </w:p>
    <w:p w14:paraId="28495687" w14:textId="77777777" w:rsidR="00FF477E" w:rsidRPr="005D6E61" w:rsidRDefault="00FF477E" w:rsidP="00FF4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Cambria" w:eastAsia="MS Mincho" w:hAnsi="Cambria"/>
          <w:sz w:val="20"/>
          <w:szCs w:val="20"/>
          <w:lang w:val="pt-BR" w:eastAsia="ar-SA"/>
        </w:rPr>
      </w:pPr>
      <w:r w:rsidRPr="005D6E61">
        <w:rPr>
          <w:rFonts w:ascii="Cambria" w:eastAsia="MS Mincho" w:hAnsi="Cambria"/>
          <w:sz w:val="20"/>
          <w:szCs w:val="20"/>
          <w:lang w:val="pt-BR" w:eastAsia="ar-SA"/>
        </w:rPr>
        <w:t xml:space="preserve">Quanto à perspectiva de gênero, étnica e LGBTI na implementação das medidas de proteção, expressou que a equipe técnica da Política é composta de profissionais de diversas disciplinas para permitir um enfoque sistêmico e integral e que são levados em conta aspectos como a situação do defensor, o contexto, gênero, raça, etnia, orientação sexual, idade, contexto social e outros fatores. </w:t>
      </w:r>
    </w:p>
    <w:p w14:paraId="2089342A" w14:textId="77777777" w:rsidR="00FF477E" w:rsidRPr="005D6E61" w:rsidRDefault="00FF477E" w:rsidP="00FF477E">
      <w:pPr>
        <w:pStyle w:val="ListParagraph"/>
        <w:rPr>
          <w:rFonts w:eastAsia="MS Mincho"/>
          <w:sz w:val="20"/>
          <w:szCs w:val="20"/>
          <w:bdr w:val="none" w:sz="0" w:space="0" w:color="auto"/>
          <w:lang w:val="pt-BR" w:eastAsia="ar-SA"/>
        </w:rPr>
      </w:pPr>
    </w:p>
    <w:p w14:paraId="4AA2EECC" w14:textId="77777777" w:rsidR="00FF477E" w:rsidRPr="005D6E61" w:rsidRDefault="00FF477E" w:rsidP="00FF4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Cambria" w:eastAsia="MS Mincho" w:hAnsi="Cambria"/>
          <w:sz w:val="20"/>
          <w:szCs w:val="20"/>
          <w:lang w:val="pt-BR" w:eastAsia="ar-SA"/>
        </w:rPr>
      </w:pPr>
      <w:r w:rsidRPr="005D6E61">
        <w:rPr>
          <w:rFonts w:ascii="Cambria" w:eastAsia="MS Mincho" w:hAnsi="Cambria"/>
          <w:sz w:val="20"/>
          <w:szCs w:val="20"/>
          <w:lang w:val="pt-BR" w:eastAsia="ar-SA"/>
        </w:rPr>
        <w:t xml:space="preserve">A parte peticionária expressou que subsistem as falhas sublinhadas pela Comissão no Relatório 20/18 sobre o mecanismo de proteção a defensores e que o Estado deve proporcionar informação concreta sobre as medidas adotadas para fortalecer o programa. </w:t>
      </w:r>
    </w:p>
    <w:p w14:paraId="67AFE325" w14:textId="77777777" w:rsidR="00FF477E" w:rsidRPr="005D6E61" w:rsidRDefault="00FF477E" w:rsidP="00FF477E">
      <w:pPr>
        <w:pStyle w:val="ListParagraph"/>
        <w:rPr>
          <w:rFonts w:eastAsia="MS Mincho"/>
          <w:sz w:val="20"/>
          <w:szCs w:val="20"/>
          <w:bdr w:val="none" w:sz="0" w:space="0" w:color="auto"/>
          <w:lang w:val="pt-BR" w:eastAsia="ar-SA"/>
        </w:rPr>
      </w:pPr>
    </w:p>
    <w:p w14:paraId="61A9F6E1" w14:textId="77777777" w:rsidR="00FF477E" w:rsidRPr="005D6E61" w:rsidRDefault="00FF477E" w:rsidP="00FF4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Cambria" w:eastAsia="MS Mincho" w:hAnsi="Cambria"/>
          <w:sz w:val="20"/>
          <w:szCs w:val="20"/>
          <w:lang w:val="pt-BR" w:eastAsia="ar-SA"/>
        </w:rPr>
      </w:pPr>
      <w:r w:rsidRPr="005D6E61">
        <w:rPr>
          <w:rFonts w:ascii="Cambria" w:eastAsia="MS Mincho" w:hAnsi="Cambria"/>
          <w:sz w:val="20"/>
          <w:szCs w:val="20"/>
          <w:lang w:val="pt-BR" w:eastAsia="ar-SA"/>
        </w:rPr>
        <w:t xml:space="preserve">Sobre este aspecto, a Comissão toma nota da informação proporcionada pelo Estado e considera que constituem avanços positivos tanto o aumento do orçamento e a gestão de convênios entre estados para obter maior cobertura da política de proteção a defensores, como as medidas para instalar uma mesa de diálogo que permita a participação de pessoas defensoras de direitos humanos. </w:t>
      </w:r>
    </w:p>
    <w:p w14:paraId="5070F9EB" w14:textId="77777777" w:rsidR="00FF477E" w:rsidRPr="005D6E61" w:rsidRDefault="00FF477E" w:rsidP="00FF477E">
      <w:pPr>
        <w:pStyle w:val="ListParagraph"/>
        <w:rPr>
          <w:rFonts w:eastAsia="MS Mincho"/>
          <w:sz w:val="20"/>
          <w:szCs w:val="20"/>
          <w:bdr w:val="none" w:sz="0" w:space="0" w:color="auto"/>
          <w:lang w:val="pt-BR" w:eastAsia="ar-SA"/>
        </w:rPr>
      </w:pPr>
    </w:p>
    <w:p w14:paraId="19308098" w14:textId="77777777" w:rsidR="00FF477E" w:rsidRPr="005D6E61" w:rsidRDefault="00FF477E" w:rsidP="00FF4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Cambria" w:eastAsia="MS Mincho" w:hAnsi="Cambria"/>
          <w:sz w:val="20"/>
          <w:szCs w:val="20"/>
          <w:lang w:val="pt-BR" w:eastAsia="ar-SA"/>
        </w:rPr>
      </w:pPr>
      <w:r w:rsidRPr="005D6E61">
        <w:rPr>
          <w:rFonts w:ascii="Cambria" w:eastAsia="MS Mincho" w:hAnsi="Cambria"/>
          <w:sz w:val="20"/>
          <w:szCs w:val="20"/>
          <w:lang w:val="pt-BR" w:eastAsia="ar-SA"/>
        </w:rPr>
        <w:t>A CIDH assinalou nas observações preliminares de sua visita in loco ao Brasil realizada de 5 a 12 de novembro de 2018: “é primordial que o programa alcance uma implementação efetiva em zonas rurais e zonas distantes dos núcleos urbanos, onde ocorreu a maioria dos atos de violência reportados. Além disso, numa reunião realizada com a Procuradoria Geral do Estado do Pará assinalou-se a urgente necessidade de avançar numa melhor coordenação do programa de proteção com os diversos órgãos de segurança responsáveis pela implementação das medidas de proteção”</w:t>
      </w:r>
      <w:r w:rsidRPr="005D6E61">
        <w:rPr>
          <w:rStyle w:val="FootnoteReference"/>
          <w:rFonts w:ascii="Cambria" w:eastAsia="MS Mincho" w:hAnsi="Cambria"/>
          <w:sz w:val="20"/>
          <w:szCs w:val="20"/>
          <w:lang w:val="pt-BR" w:eastAsia="ar-SA"/>
        </w:rPr>
        <w:footnoteReference w:id="163"/>
      </w:r>
      <w:r w:rsidRPr="005D6E61">
        <w:rPr>
          <w:rFonts w:ascii="Cambria" w:eastAsia="MS Mincho" w:hAnsi="Cambria"/>
          <w:sz w:val="20"/>
          <w:szCs w:val="20"/>
          <w:lang w:val="pt-BR" w:eastAsia="ar-SA"/>
        </w:rPr>
        <w:t xml:space="preserve">. </w:t>
      </w:r>
    </w:p>
    <w:p w14:paraId="74C200FC" w14:textId="77777777" w:rsidR="00FF477E" w:rsidRPr="005D6E61" w:rsidRDefault="00FF477E" w:rsidP="00FF477E">
      <w:pPr>
        <w:pStyle w:val="ListParagraph"/>
        <w:rPr>
          <w:rFonts w:eastAsia="MS Mincho"/>
          <w:sz w:val="20"/>
          <w:szCs w:val="20"/>
          <w:bdr w:val="none" w:sz="0" w:space="0" w:color="auto"/>
          <w:lang w:val="pt-BR" w:eastAsia="ar-SA"/>
        </w:rPr>
      </w:pPr>
    </w:p>
    <w:p w14:paraId="51ACC579" w14:textId="77777777" w:rsidR="00FF477E" w:rsidRPr="005D6E61" w:rsidRDefault="00FF477E" w:rsidP="00FF4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Cambria" w:eastAsia="MS Mincho" w:hAnsi="Cambria"/>
          <w:sz w:val="20"/>
          <w:szCs w:val="20"/>
          <w:lang w:val="pt-BR" w:eastAsia="ar-SA"/>
        </w:rPr>
      </w:pPr>
      <w:r w:rsidRPr="005D6E61">
        <w:rPr>
          <w:rFonts w:ascii="Cambria" w:eastAsia="MS Mincho" w:hAnsi="Cambria"/>
          <w:sz w:val="20"/>
          <w:szCs w:val="20"/>
          <w:lang w:val="pt-BR" w:eastAsia="ar-SA"/>
        </w:rPr>
        <w:t>A CIDH insta o Estado federal a continuar adotando todas as medidas necessárias para fortalecer o Programa de Proteção aos Defensores de Direitos Humanos. Em particular, é fundamental aumentar sua cobertura, começando com as regiões nas quais existe maior necessidade pelo risco diferenciado de defensoras e defensores de direitos humanos.</w:t>
      </w:r>
    </w:p>
    <w:p w14:paraId="6C208B98" w14:textId="77777777" w:rsidR="00FF477E" w:rsidRPr="005D6E61" w:rsidRDefault="00FF477E" w:rsidP="00FF477E">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Cambria" w:eastAsia="MS Mincho" w:hAnsi="Cambria"/>
          <w:sz w:val="20"/>
          <w:szCs w:val="20"/>
          <w:lang w:val="pt-BR" w:eastAsia="ar-SA"/>
        </w:rPr>
      </w:pPr>
    </w:p>
    <w:p w14:paraId="379841DA" w14:textId="77777777" w:rsidR="00FF477E" w:rsidRPr="005D6E61" w:rsidRDefault="00FF477E" w:rsidP="00FF477E">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Times New Roman"/>
          <w:bCs w:val="0"/>
          <w:color w:val="auto"/>
          <w:sz w:val="20"/>
          <w:szCs w:val="20"/>
          <w:bdr w:val="none" w:sz="0" w:space="0" w:color="auto"/>
          <w:lang w:val="pt-BR"/>
        </w:rPr>
      </w:pPr>
      <w:bookmarkStart w:id="53" w:name="_Toc27990581"/>
      <w:r w:rsidRPr="005D6E61">
        <w:rPr>
          <w:rFonts w:eastAsia="Times New Roman"/>
          <w:bCs w:val="0"/>
          <w:color w:val="auto"/>
          <w:sz w:val="20"/>
          <w:szCs w:val="20"/>
          <w:bdr w:val="none" w:sz="0" w:space="0" w:color="auto"/>
          <w:lang w:val="pt-BR"/>
        </w:rPr>
        <w:t>CONCLUSÕES E RECOMENDAÇÕES FINAIS</w:t>
      </w:r>
      <w:bookmarkEnd w:id="53"/>
    </w:p>
    <w:p w14:paraId="672316F1" w14:textId="77777777" w:rsidR="00FF477E" w:rsidRPr="005D6E61" w:rsidRDefault="00FF477E" w:rsidP="00FF477E">
      <w:pPr>
        <w:tabs>
          <w:tab w:val="num" w:pos="1350"/>
          <w:tab w:val="left" w:pos="1440"/>
          <w:tab w:val="num" w:pos="2040"/>
        </w:tabs>
        <w:ind w:left="720"/>
        <w:jc w:val="both"/>
        <w:rPr>
          <w:rFonts w:ascii="Cambria" w:hAnsi="Cambria"/>
          <w:sz w:val="20"/>
          <w:szCs w:val="20"/>
          <w:lang w:val="pt-BR" w:eastAsia="es-ES"/>
        </w:rPr>
      </w:pPr>
    </w:p>
    <w:p w14:paraId="48341815" w14:textId="77777777" w:rsidR="00FF477E" w:rsidRPr="005D6E61" w:rsidRDefault="00FF477E" w:rsidP="00FF4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Cambria" w:hAnsi="Cambria"/>
          <w:sz w:val="20"/>
          <w:szCs w:val="20"/>
          <w:lang w:val="pt-BR" w:eastAsia="es-ES"/>
        </w:rPr>
      </w:pPr>
      <w:r w:rsidRPr="005D6E61">
        <w:rPr>
          <w:rFonts w:ascii="Cambria" w:hAnsi="Cambria"/>
          <w:sz w:val="20"/>
          <w:szCs w:val="20"/>
          <w:lang w:val="pt-BR" w:eastAsia="es-ES"/>
        </w:rPr>
        <w:t xml:space="preserve">Com base nessas considerações, a Comissão conclui que o Estado brasileiro é responsável pela violação dos direitos </w:t>
      </w:r>
      <w:r w:rsidRPr="005D6E61">
        <w:rPr>
          <w:rFonts w:ascii="Cambria" w:hAnsi="Cambria"/>
          <w:sz w:val="20"/>
          <w:szCs w:val="20"/>
          <w:lang w:val="pt-BR"/>
        </w:rPr>
        <w:t xml:space="preserve">consagrados nos artigos I (direito à vida e integridade pessoal), XVIII (direito à justiça), XXII (direito de associação) da Declaração Americana dos Direitos e Deveres do Homem e artigos 5 (integridade pessoal), 8.1 (garantias judiciais) e 25.1 (proteção judicial) da Convenção Americana com relação ao artigo 1.1 do mesmo instrumento em prejuízo das pessoas indicadas ao longo deste relatório. </w:t>
      </w:r>
    </w:p>
    <w:p w14:paraId="118CB320" w14:textId="77777777" w:rsidR="00FF477E" w:rsidRDefault="00FF477E" w:rsidP="00FF477E">
      <w:pPr>
        <w:suppressAutoHyphens/>
        <w:ind w:firstLine="720"/>
        <w:jc w:val="both"/>
        <w:rPr>
          <w:rFonts w:ascii="Cambria" w:eastAsia="MS Mincho" w:hAnsi="Cambria"/>
          <w:b/>
          <w:sz w:val="20"/>
          <w:szCs w:val="20"/>
          <w:lang w:val="pt-BR" w:eastAsia="ar-SA"/>
        </w:rPr>
      </w:pPr>
    </w:p>
    <w:p w14:paraId="5DC08FC4" w14:textId="77777777" w:rsidR="008D1DBD" w:rsidRDefault="008D1DBD" w:rsidP="00FF477E">
      <w:pPr>
        <w:suppressAutoHyphens/>
        <w:ind w:firstLine="720"/>
        <w:jc w:val="both"/>
        <w:rPr>
          <w:rFonts w:ascii="Cambria" w:eastAsia="MS Mincho" w:hAnsi="Cambria"/>
          <w:b/>
          <w:sz w:val="20"/>
          <w:szCs w:val="20"/>
          <w:lang w:val="pt-BR" w:eastAsia="ar-SA"/>
        </w:rPr>
      </w:pPr>
    </w:p>
    <w:p w14:paraId="3F58346F" w14:textId="77777777" w:rsidR="008D1DBD" w:rsidRDefault="008D1DBD" w:rsidP="00FF477E">
      <w:pPr>
        <w:suppressAutoHyphens/>
        <w:ind w:firstLine="720"/>
        <w:jc w:val="both"/>
        <w:rPr>
          <w:rFonts w:ascii="Cambria" w:eastAsia="MS Mincho" w:hAnsi="Cambria"/>
          <w:b/>
          <w:sz w:val="20"/>
          <w:szCs w:val="20"/>
          <w:lang w:val="pt-BR" w:eastAsia="ar-SA"/>
        </w:rPr>
      </w:pPr>
    </w:p>
    <w:p w14:paraId="35E0652F" w14:textId="77777777" w:rsidR="008D1DBD" w:rsidRDefault="008D1DBD" w:rsidP="00FF477E">
      <w:pPr>
        <w:suppressAutoHyphens/>
        <w:ind w:firstLine="720"/>
        <w:jc w:val="both"/>
        <w:rPr>
          <w:rFonts w:ascii="Cambria" w:eastAsia="MS Mincho" w:hAnsi="Cambria"/>
          <w:b/>
          <w:sz w:val="20"/>
          <w:szCs w:val="20"/>
          <w:lang w:val="pt-BR" w:eastAsia="ar-SA"/>
        </w:rPr>
      </w:pPr>
    </w:p>
    <w:p w14:paraId="7C969443" w14:textId="77777777" w:rsidR="008D1DBD" w:rsidRPr="005D6E61" w:rsidRDefault="008D1DBD" w:rsidP="00FF477E">
      <w:pPr>
        <w:suppressAutoHyphens/>
        <w:ind w:firstLine="720"/>
        <w:jc w:val="both"/>
        <w:rPr>
          <w:rFonts w:ascii="Cambria" w:eastAsia="MS Mincho" w:hAnsi="Cambria"/>
          <w:b/>
          <w:sz w:val="20"/>
          <w:szCs w:val="20"/>
          <w:lang w:val="pt-BR" w:eastAsia="ar-SA"/>
        </w:rPr>
      </w:pPr>
    </w:p>
    <w:p w14:paraId="37C2C687" w14:textId="77777777" w:rsidR="00FF477E" w:rsidRPr="005D6E61" w:rsidRDefault="00FF477E" w:rsidP="00FF477E">
      <w:pPr>
        <w:suppressAutoHyphens/>
        <w:ind w:firstLine="720"/>
        <w:jc w:val="both"/>
        <w:rPr>
          <w:rFonts w:ascii="Cambria" w:eastAsia="MS Mincho" w:hAnsi="Cambria"/>
          <w:b/>
          <w:sz w:val="20"/>
          <w:szCs w:val="20"/>
          <w:lang w:val="pt-BR" w:eastAsia="ar-SA"/>
        </w:rPr>
      </w:pPr>
      <w:r w:rsidRPr="005D6E61">
        <w:rPr>
          <w:rFonts w:ascii="Cambria" w:eastAsia="MS Mincho" w:hAnsi="Cambria"/>
          <w:b/>
          <w:sz w:val="20"/>
          <w:szCs w:val="20"/>
          <w:lang w:val="pt-BR" w:eastAsia="ar-SA"/>
        </w:rPr>
        <w:t xml:space="preserve">A COMISSÃO INTERAMERICANA DE DIREITOS HUMANOS REITERA AO ESTADO DO BRASIL AS SEGUINTES RECOMENDAÇÕES, VISANDO AO SEU CUMPRIMENTO TOTAL E EFETIVO: </w:t>
      </w:r>
    </w:p>
    <w:p w14:paraId="4646EA01" w14:textId="77777777" w:rsidR="00FF477E" w:rsidRPr="005D6E61" w:rsidRDefault="00FF477E" w:rsidP="00FF477E">
      <w:pPr>
        <w:suppressAutoHyphens/>
        <w:ind w:firstLine="720"/>
        <w:jc w:val="both"/>
        <w:rPr>
          <w:rFonts w:ascii="Cambria" w:eastAsia="MS Mincho" w:hAnsi="Cambria"/>
          <w:b/>
          <w:sz w:val="20"/>
          <w:szCs w:val="20"/>
          <w:lang w:val="pt-BR" w:eastAsia="ar-SA"/>
        </w:rPr>
      </w:pPr>
    </w:p>
    <w:p w14:paraId="298C14B6" w14:textId="77777777" w:rsidR="00FF477E" w:rsidRPr="005D6E61" w:rsidRDefault="00FF477E" w:rsidP="00FF477E">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pt-BR"/>
        </w:rPr>
      </w:pPr>
      <w:r w:rsidRPr="005D6E61">
        <w:rPr>
          <w:rFonts w:asciiTheme="majorHAnsi" w:hAnsiTheme="majorHAnsi"/>
          <w:sz w:val="20"/>
          <w:szCs w:val="20"/>
          <w:lang w:val="pt-BR"/>
        </w:rPr>
        <w:t xml:space="preserve">Reparar integralmente os familiares da vítima do presente caso por meio de medidas de compensação pecuniária e de satisfação que incluam os danos materiais e imateriais provocados em consequência das violações declaradas no presente relatório. </w:t>
      </w:r>
    </w:p>
    <w:p w14:paraId="7E03569E" w14:textId="77777777" w:rsidR="00FF477E" w:rsidRPr="005D6E61" w:rsidRDefault="00FF477E" w:rsidP="00FF477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pt-BR"/>
        </w:rPr>
      </w:pPr>
    </w:p>
    <w:p w14:paraId="611ED6B2" w14:textId="77777777" w:rsidR="00FF477E" w:rsidRPr="005D6E61" w:rsidRDefault="00FF477E" w:rsidP="00FF477E">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pt-BR"/>
        </w:rPr>
      </w:pPr>
      <w:r w:rsidRPr="005D6E61">
        <w:rPr>
          <w:rFonts w:asciiTheme="majorHAnsi" w:hAnsiTheme="majorHAnsi"/>
          <w:sz w:val="20"/>
          <w:szCs w:val="20"/>
          <w:lang w:val="pt-BR"/>
        </w:rPr>
        <w:t xml:space="preserve">Desenvolver e completar uma investigação de maneira </w:t>
      </w:r>
      <w:r w:rsidRPr="005D6E61">
        <w:rPr>
          <w:rFonts w:asciiTheme="majorHAnsi" w:eastAsia="Times New Roman" w:hAnsiTheme="majorHAnsi" w:cs="Tahoma"/>
          <w:sz w:val="20"/>
          <w:szCs w:val="20"/>
          <w:bdr w:val="none" w:sz="0" w:space="0" w:color="auto"/>
          <w:lang w:val="pt-BR"/>
        </w:rPr>
        <w:t xml:space="preserve">diligente, efetiva e dentro de um prazo razoável com o objetivo de esclarecer os fatos de forma completa; identificar todas as possíveis responsabilidades materiais e intelectuais nos diversos níveis de decisão e execução; e impor as punições que correspondam a respeito dàs violações de direitos humanos declaradas no presente relatório. Isto inclui a investigação das </w:t>
      </w:r>
      <w:r w:rsidRPr="005D6E61">
        <w:rPr>
          <w:rFonts w:asciiTheme="majorHAnsi" w:hAnsiTheme="majorHAnsi"/>
          <w:sz w:val="20"/>
          <w:szCs w:val="20"/>
          <w:lang w:val="pt-BR"/>
        </w:rPr>
        <w:t xml:space="preserve">estruturas de poder que participaram do cometimento das violações ocorridas. No âmbito deste processo, corresponde ao Estado adotar todas as medidas para proteger testemunhas e outros atores do processo, caso seja necessário. Levando em conta que a prescrição foi resultado das ações e omissões do Estado, essa figura não é oponível para o total cumprimento desta recomendação. </w:t>
      </w:r>
    </w:p>
    <w:p w14:paraId="771F48B2" w14:textId="77777777" w:rsidR="00FF477E" w:rsidRPr="005D6E61" w:rsidRDefault="00FF477E" w:rsidP="00FF477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pt-BR"/>
        </w:rPr>
      </w:pPr>
    </w:p>
    <w:p w14:paraId="0634D34C" w14:textId="77777777" w:rsidR="00FF477E" w:rsidRPr="005D6E61" w:rsidRDefault="00FF477E" w:rsidP="00FF477E">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pt-BR"/>
        </w:rPr>
      </w:pPr>
      <w:r w:rsidRPr="005D6E61">
        <w:rPr>
          <w:rFonts w:asciiTheme="majorHAnsi" w:eastAsia="Times New Roman" w:hAnsiTheme="majorHAnsi" w:cs="Tahoma"/>
          <w:sz w:val="20"/>
          <w:szCs w:val="20"/>
          <w:bdr w:val="none" w:sz="0" w:space="0" w:color="auto"/>
          <w:lang w:val="pt-BR"/>
        </w:rPr>
        <w:t>Dispor medidas de atenção à saúde física e mental necessárias para a reabilitação dos familiares de Margarida Maria Alves, se for sua vontade e de maneira acordada.</w:t>
      </w:r>
    </w:p>
    <w:p w14:paraId="339ABD30" w14:textId="77777777" w:rsidR="00FF477E" w:rsidRPr="005D6E61" w:rsidRDefault="00FF477E" w:rsidP="00FF477E">
      <w:pPr>
        <w:pStyle w:val="ListParagraph"/>
        <w:rPr>
          <w:rFonts w:asciiTheme="majorHAnsi" w:hAnsiTheme="majorHAnsi"/>
          <w:color w:val="auto"/>
          <w:sz w:val="20"/>
          <w:szCs w:val="20"/>
          <w:lang w:val="pt-BR"/>
        </w:rPr>
      </w:pPr>
    </w:p>
    <w:p w14:paraId="5258A537" w14:textId="77777777" w:rsidR="00FF477E" w:rsidRPr="005D6E61" w:rsidRDefault="00FF477E" w:rsidP="00FF477E">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pt-BR"/>
        </w:rPr>
      </w:pPr>
      <w:r w:rsidRPr="005D6E61">
        <w:rPr>
          <w:rFonts w:asciiTheme="majorHAnsi" w:hAnsiTheme="majorHAnsi"/>
          <w:sz w:val="20"/>
          <w:szCs w:val="20"/>
          <w:lang w:val="pt-BR"/>
        </w:rPr>
        <w:t xml:space="preserve">Dispor medidas de não repetição que incluam fortalecer o Programa de Proteção a Defensores de Direitos Humanos, concentrando-se na prevenção de atos de violência contra defensores e defensoras de direitos dos trabalhadores no Brasil, bem como o fortalecimento da capacidade investigativa desse tipo de crime, conforme os padrões desenvolvidos no presente relatório.  </w:t>
      </w:r>
    </w:p>
    <w:p w14:paraId="2DC71376" w14:textId="77777777" w:rsidR="00890153" w:rsidRPr="005D6E61" w:rsidRDefault="00890153" w:rsidP="0089015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pt-BR"/>
        </w:rPr>
      </w:pPr>
    </w:p>
    <w:p w14:paraId="49425F99" w14:textId="77777777" w:rsidR="00FF477E" w:rsidRPr="005D6E61" w:rsidRDefault="00FF477E" w:rsidP="00FF477E">
      <w:pPr>
        <w:pStyle w:val="Heading1"/>
        <w:keepLines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MS Mincho"/>
          <w:color w:val="auto"/>
          <w:sz w:val="20"/>
          <w:szCs w:val="20"/>
          <w:lang w:val="pt-BR" w:eastAsia="ar-SA"/>
        </w:rPr>
      </w:pPr>
      <w:bookmarkStart w:id="54" w:name="_Toc27990582"/>
      <w:r w:rsidRPr="005D6E61">
        <w:rPr>
          <w:rFonts w:eastAsia="MS Mincho"/>
          <w:color w:val="auto"/>
          <w:sz w:val="20"/>
          <w:szCs w:val="20"/>
          <w:lang w:val="pt-BR" w:eastAsia="ar-SA"/>
        </w:rPr>
        <w:t>NOTIFICAÇÃO</w:t>
      </w:r>
      <w:bookmarkEnd w:id="54"/>
    </w:p>
    <w:p w14:paraId="125A403C" w14:textId="77777777" w:rsidR="00FF477E" w:rsidRPr="005D6E61" w:rsidRDefault="00FF477E" w:rsidP="00FF477E">
      <w:pPr>
        <w:tabs>
          <w:tab w:val="num" w:pos="1350"/>
          <w:tab w:val="left" w:pos="1440"/>
          <w:tab w:val="num" w:pos="2040"/>
        </w:tabs>
        <w:ind w:left="720"/>
        <w:jc w:val="both"/>
        <w:rPr>
          <w:rFonts w:ascii="Cambria" w:hAnsi="Cambria"/>
          <w:sz w:val="20"/>
          <w:szCs w:val="20"/>
          <w:lang w:val="pt-BR"/>
        </w:rPr>
      </w:pPr>
    </w:p>
    <w:p w14:paraId="2B5EF47F" w14:textId="77777777" w:rsidR="00DE6EE7" w:rsidRPr="00DE6EE7" w:rsidRDefault="00FF477E" w:rsidP="00FF477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 w:val="num" w:pos="1350"/>
          <w:tab w:val="left" w:pos="1440"/>
          <w:tab w:val="num" w:pos="2040"/>
        </w:tabs>
        <w:ind w:left="0" w:firstLine="720"/>
        <w:jc w:val="both"/>
        <w:rPr>
          <w:rFonts w:ascii="Cambria" w:hAnsi="Cambria"/>
          <w:sz w:val="20"/>
          <w:szCs w:val="20"/>
          <w:lang w:val="pt-BR"/>
        </w:rPr>
      </w:pPr>
      <w:r w:rsidRPr="005D6E61">
        <w:rPr>
          <w:rFonts w:ascii="Cambria" w:eastAsia="MS Mincho" w:hAnsi="Cambria"/>
          <w:sz w:val="20"/>
          <w:szCs w:val="20"/>
          <w:lang w:val="pt-BR" w:eastAsia="ar-SA"/>
        </w:rPr>
        <w:t>Conforme assinalado, em conformidade com o disposto nos artigos 51.3 da Convenção Americana e 47.3 de seu Regulamento, a Comissão Interamericana de Direitos Humanos decide publicar este relatório e incluí-lo em seu Relatório Anual à Assembleia Geral da Organização dos Estados Americanos. A Comissão Interamericana, de acordo com as normas estabelecidas nos instrumentos que regulam seu mandato, continuará avaliando as medidas adotadas pelo Estado brasileiro a respeito das recomendações acima assinaladas, até que determine que se deu total cumprimento às mesmas.</w:t>
      </w:r>
    </w:p>
    <w:p w14:paraId="74D6768A" w14:textId="77777777" w:rsidR="008107C0" w:rsidRDefault="00E27EE1" w:rsidP="00DE6EE7">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Cambria" w:eastAsia="MS Mincho" w:hAnsi="Cambria"/>
          <w:sz w:val="20"/>
          <w:szCs w:val="20"/>
          <w:lang w:val="pt-BR" w:eastAsia="ar-SA"/>
        </w:rPr>
      </w:pPr>
      <w:r w:rsidRPr="005D6E61">
        <w:rPr>
          <w:rFonts w:asciiTheme="majorHAnsi" w:hAnsiTheme="majorHAnsi"/>
          <w:noProof/>
          <w:sz w:val="20"/>
          <w:szCs w:val="20"/>
        </w:rPr>
        <mc:AlternateContent>
          <mc:Choice Requires="wps">
            <w:drawing>
              <wp:anchor distT="0" distB="0" distL="114300" distR="114300" simplePos="0" relativeHeight="251688960" behindDoc="0" locked="1" layoutInCell="1" allowOverlap="1" wp14:anchorId="0D1FBF2F" wp14:editId="15F61DCE">
                <wp:simplePos x="0" y="0"/>
                <wp:positionH relativeFrom="column">
                  <wp:posOffset>-91440</wp:posOffset>
                </wp:positionH>
                <wp:positionV relativeFrom="page">
                  <wp:posOffset>9144000</wp:posOffset>
                </wp:positionV>
                <wp:extent cx="3383280" cy="2286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a:effectLst/>
                      </wps:spPr>
                      <wps:txbx>
                        <w:txbxContent>
                          <w:p w14:paraId="4B38717A" w14:textId="77777777" w:rsidR="00AA34B1" w:rsidRPr="007C0DDA" w:rsidRDefault="00AA34B1" w:rsidP="00E27EE1">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1FBF2F" id="Text Box 13" o:spid="_x0000_s1034" type="#_x0000_t202" style="position:absolute;left:0;text-align:left;margin-left:-7.2pt;margin-top:10in;width:266.4pt;height:18pt;z-index:2516889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" filled="f" stroked="f">
                <v:stroke joinstyle="round"/>
                <v:textbox>
                  <w:txbxContent>
                    <w:p w14:paraId="4B38717A" w14:textId="77777777" w:rsidR="00AA34B1" w:rsidRPr="007C0DDA" w:rsidRDefault="00AA34B1" w:rsidP="00E27EE1">
                      <w:pPr>
                        <w:rPr>
                          <w:sz w:val="18"/>
                        </w:rPr>
                      </w:pPr>
                    </w:p>
                  </w:txbxContent>
                </v:textbox>
                <w10:wrap anchory="page"/>
                <w10:anchorlock/>
              </v:shape>
            </w:pict>
          </mc:Fallback>
        </mc:AlternateContent>
      </w:r>
    </w:p>
    <w:p w14:paraId="628E7422" w14:textId="77777777" w:rsidR="00225FF2" w:rsidRPr="006B490B" w:rsidRDefault="00225FF2" w:rsidP="00225FF2">
      <w:pPr>
        <w:ind w:firstLine="720"/>
        <w:jc w:val="both"/>
        <w:rPr>
          <w:rFonts w:ascii="Cambria" w:hAnsi="Cambria" w:cs="BookAntiqua"/>
          <w:sz w:val="20"/>
          <w:szCs w:val="20"/>
          <w:lang w:val="pt-BR"/>
        </w:rPr>
      </w:pPr>
      <w:r w:rsidRPr="006B490B">
        <w:rPr>
          <w:rFonts w:ascii="Cambria" w:hAnsi="Cambria" w:cs="BookAntiqua"/>
          <w:sz w:val="20"/>
          <w:szCs w:val="20"/>
          <w:lang w:val="pt-BR"/>
        </w:rPr>
        <w:t xml:space="preserve">Aprovado pela Commissão Interamericana de Direitos Humanos aos </w:t>
      </w:r>
      <w:r>
        <w:rPr>
          <w:rFonts w:ascii="Cambria" w:hAnsi="Cambria" w:cs="BookAntiqua"/>
          <w:sz w:val="20"/>
          <w:szCs w:val="20"/>
          <w:lang w:val="pt-BR"/>
        </w:rPr>
        <w:t>26</w:t>
      </w:r>
      <w:r w:rsidRPr="006B490B">
        <w:rPr>
          <w:rFonts w:ascii="Cambria" w:hAnsi="Cambria" w:cs="BookAntiqua"/>
          <w:sz w:val="20"/>
          <w:szCs w:val="20"/>
          <w:lang w:val="pt-BR"/>
        </w:rPr>
        <w:t xml:space="preserve"> dias do mês de </w:t>
      </w:r>
      <w:r>
        <w:rPr>
          <w:rFonts w:ascii="Cambria" w:hAnsi="Cambria" w:cs="BookAntiqua"/>
          <w:sz w:val="20"/>
          <w:szCs w:val="20"/>
          <w:lang w:val="pt-BR"/>
        </w:rPr>
        <w:t>abril de 2020</w:t>
      </w:r>
      <w:r w:rsidRPr="006B490B">
        <w:rPr>
          <w:rFonts w:ascii="Cambria" w:hAnsi="Cambria" w:cs="BookAntiqua"/>
          <w:sz w:val="20"/>
          <w:szCs w:val="20"/>
          <w:lang w:val="pt-BR"/>
        </w:rPr>
        <w:t xml:space="preserve">. (Assinado): </w:t>
      </w:r>
      <w:r w:rsidRPr="009309B8">
        <w:rPr>
          <w:rFonts w:ascii="Cambria" w:hAnsi="Cambria"/>
          <w:spacing w:val="-2"/>
          <w:sz w:val="20"/>
          <w:szCs w:val="20"/>
          <w:lang w:val="pt-BR"/>
        </w:rPr>
        <w:t>Joel Hernández García, Presidente</w:t>
      </w:r>
      <w:r w:rsidRPr="006B490B">
        <w:rPr>
          <w:rFonts w:ascii="Cambria" w:hAnsi="Cambria"/>
          <w:sz w:val="20"/>
          <w:szCs w:val="20"/>
          <w:lang w:val="pt-BR"/>
        </w:rPr>
        <w:t xml:space="preserve">; </w:t>
      </w:r>
      <w:r w:rsidRPr="009309B8">
        <w:rPr>
          <w:rFonts w:ascii="Cambria" w:hAnsi="Cambria"/>
          <w:spacing w:val="-2"/>
          <w:sz w:val="20"/>
          <w:szCs w:val="20"/>
          <w:lang w:val="pt-BR"/>
        </w:rPr>
        <w:t>Antonia Urrejola Noguera</w:t>
      </w:r>
      <w:r>
        <w:rPr>
          <w:rFonts w:ascii="Cambria" w:hAnsi="Cambria"/>
          <w:sz w:val="20"/>
          <w:szCs w:val="20"/>
          <w:lang w:val="pt-BR"/>
        </w:rPr>
        <w:t>, Primeira</w:t>
      </w:r>
      <w:r w:rsidRPr="006B490B">
        <w:rPr>
          <w:rFonts w:ascii="Cambria" w:hAnsi="Cambria"/>
          <w:sz w:val="20"/>
          <w:szCs w:val="20"/>
          <w:lang w:val="pt-BR"/>
        </w:rPr>
        <w:t xml:space="preserve"> Vice-presidente; </w:t>
      </w:r>
      <w:r w:rsidRPr="009309B8">
        <w:rPr>
          <w:rFonts w:ascii="Cambria" w:hAnsi="Cambria"/>
          <w:spacing w:val="-2"/>
          <w:sz w:val="20"/>
          <w:szCs w:val="20"/>
          <w:lang w:val="pt-BR"/>
        </w:rPr>
        <w:t>Margarette May Macaulay, Esmeralda Arosemena de Troitiño,</w:t>
      </w:r>
      <w:r w:rsidRPr="009309B8">
        <w:rPr>
          <w:rFonts w:ascii="Cambria" w:hAnsi="Cambria"/>
          <w:spacing w:val="-2"/>
          <w:sz w:val="20"/>
          <w:lang w:val="pt-BR"/>
        </w:rPr>
        <w:t xml:space="preserve"> Julissa Mantilla Falcón</w:t>
      </w:r>
      <w:r>
        <w:rPr>
          <w:rFonts w:ascii="Cambria" w:hAnsi="Cambria"/>
          <w:sz w:val="20"/>
          <w:szCs w:val="20"/>
          <w:lang w:val="pt-BR"/>
        </w:rPr>
        <w:t xml:space="preserve"> e Edgar Stuardo Ral</w:t>
      </w:r>
      <w:r w:rsidRPr="009309B8">
        <w:rPr>
          <w:rFonts w:ascii="Cambria" w:hAnsi="Cambria"/>
          <w:spacing w:val="-2"/>
          <w:sz w:val="20"/>
          <w:lang w:val="pt-BR"/>
        </w:rPr>
        <w:t>ó</w:t>
      </w:r>
      <w:r>
        <w:rPr>
          <w:rFonts w:ascii="Cambria" w:hAnsi="Cambria"/>
          <w:sz w:val="20"/>
          <w:szCs w:val="20"/>
          <w:lang w:val="pt-BR"/>
        </w:rPr>
        <w:t>n Orellana</w:t>
      </w:r>
      <w:r w:rsidRPr="006B490B">
        <w:rPr>
          <w:rFonts w:ascii="Cambria" w:hAnsi="Cambria"/>
          <w:sz w:val="20"/>
          <w:szCs w:val="20"/>
          <w:lang w:val="pt-BR"/>
        </w:rPr>
        <w:t>,</w:t>
      </w:r>
      <w:r w:rsidRPr="006B490B">
        <w:rPr>
          <w:rFonts w:ascii="Cambria" w:hAnsi="Cambria" w:cs="BookAntiqua"/>
          <w:sz w:val="20"/>
          <w:szCs w:val="20"/>
          <w:lang w:val="pt-BR"/>
        </w:rPr>
        <w:t xml:space="preserve"> Membros da Comissão.</w:t>
      </w:r>
    </w:p>
    <w:p w14:paraId="0E0A1AB1" w14:textId="77777777" w:rsidR="00225FF2" w:rsidRPr="006B490B" w:rsidRDefault="00225FF2" w:rsidP="00225FF2">
      <w:pPr>
        <w:ind w:firstLine="720"/>
        <w:jc w:val="both"/>
        <w:rPr>
          <w:rFonts w:ascii="Cambria" w:hAnsi="Cambria" w:cs="BookAntiqua"/>
          <w:sz w:val="20"/>
          <w:szCs w:val="20"/>
          <w:lang w:val="pt-BR"/>
        </w:rPr>
      </w:pPr>
    </w:p>
    <w:p w14:paraId="34AE9FB7" w14:textId="77777777" w:rsidR="00225FF2" w:rsidRDefault="00225FF2" w:rsidP="00225FF2">
      <w:pPr>
        <w:jc w:val="center"/>
        <w:rPr>
          <w:rFonts w:ascii="Cambria" w:hAnsi="Cambria"/>
          <w:spacing w:val="-2"/>
          <w:sz w:val="20"/>
          <w:szCs w:val="20"/>
          <w:bdr w:val="none" w:sz="0" w:space="0" w:color="auto" w:frame="1"/>
          <w:lang w:val="pt-BR"/>
        </w:rPr>
      </w:pPr>
    </w:p>
    <w:p w14:paraId="2A31F7CA" w14:textId="77777777" w:rsidR="00225FF2" w:rsidRDefault="00225FF2" w:rsidP="00DE6EE7">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jc w:val="both"/>
        <w:rPr>
          <w:rFonts w:ascii="Cambria" w:eastAsia="MS Mincho" w:hAnsi="Cambria"/>
          <w:sz w:val="20"/>
          <w:szCs w:val="20"/>
          <w:lang w:val="pt-BR" w:eastAsia="ar-SA"/>
        </w:rPr>
      </w:pPr>
    </w:p>
    <w:sectPr w:rsidR="00225FF2" w:rsidSect="00B4717D">
      <w:type w:val="oddPage"/>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7EC2" w14:textId="77777777" w:rsidR="005825E4" w:rsidRDefault="005825E4">
      <w:r>
        <w:separator/>
      </w:r>
    </w:p>
  </w:endnote>
  <w:endnote w:type="continuationSeparator" w:id="0">
    <w:p w14:paraId="6D35F1DD" w14:textId="77777777" w:rsidR="005825E4" w:rsidRDefault="0058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Universal">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Univers Condensed Light">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ambria-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inherit">
    <w:altName w:val="Times New Roman"/>
    <w:panose1 w:val="00000000000000000000"/>
    <w:charset w:val="00"/>
    <w:family w:val="roman"/>
    <w:notTrueType/>
    <w:pitch w:val="default"/>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3FC60E1E" w14:textId="77777777" w:rsidR="00AA34B1" w:rsidRPr="00934A2C" w:rsidRDefault="00AA34B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07FA6">
          <w:rPr>
            <w:noProof/>
            <w:sz w:val="16"/>
            <w:szCs w:val="22"/>
          </w:rPr>
          <w:t>31</w:t>
        </w:r>
        <w:r w:rsidRPr="00934A2C">
          <w:rPr>
            <w:noProof/>
            <w:sz w:val="16"/>
            <w:szCs w:val="22"/>
          </w:rPr>
          <w:fldChar w:fldCharType="end"/>
        </w:r>
      </w:p>
    </w:sdtContent>
  </w:sdt>
  <w:p w14:paraId="2C187A0E" w14:textId="77777777" w:rsidR="00AA34B1" w:rsidRDefault="00AA34B1" w:rsidP="00243065">
    <w:pPr>
      <w:pStyle w:val="Footer"/>
      <w:tabs>
        <w:tab w:val="clear" w:pos="4513"/>
        <w:tab w:val="clear" w:pos="9026"/>
        <w:tab w:val="left" w:pos="3922"/>
        <w:tab w:val="center" w:pos="468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BCDA" w14:textId="77777777" w:rsidR="00AA34B1" w:rsidRPr="00934A2C" w:rsidRDefault="00AA34B1">
    <w:pPr>
      <w:pStyle w:val="Footer"/>
      <w:jc w:val="center"/>
      <w:rPr>
        <w:sz w:val="16"/>
        <w:szCs w:val="22"/>
      </w:rPr>
    </w:pPr>
  </w:p>
  <w:p w14:paraId="119DC007" w14:textId="77777777" w:rsidR="00AA34B1" w:rsidRDefault="00AA3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C4F0D" w14:textId="77777777" w:rsidR="005825E4" w:rsidRPr="000F35ED" w:rsidRDefault="005825E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A7B5D5C" w14:textId="77777777" w:rsidR="005825E4" w:rsidRPr="000F35ED" w:rsidRDefault="005825E4" w:rsidP="000F35ED">
      <w:pPr>
        <w:rPr>
          <w:rFonts w:asciiTheme="majorHAnsi" w:hAnsiTheme="majorHAnsi"/>
          <w:sz w:val="16"/>
          <w:szCs w:val="16"/>
        </w:rPr>
      </w:pPr>
      <w:r w:rsidRPr="000F35ED">
        <w:rPr>
          <w:rFonts w:asciiTheme="majorHAnsi" w:hAnsiTheme="majorHAnsi"/>
          <w:sz w:val="16"/>
          <w:szCs w:val="16"/>
        </w:rPr>
        <w:separator/>
      </w:r>
    </w:p>
    <w:p w14:paraId="69B97F37" w14:textId="77777777" w:rsidR="005825E4" w:rsidRPr="000F35ED" w:rsidRDefault="005825E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DEBAAD1" w14:textId="77777777" w:rsidR="005825E4" w:rsidRPr="000F35ED" w:rsidRDefault="005825E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9B0EE9C" w14:textId="77777777" w:rsidR="00AA34B1" w:rsidRPr="006166DA" w:rsidRDefault="00AA34B1" w:rsidP="007B52F2">
      <w:pPr>
        <w:pStyle w:val="FootnoteText"/>
        <w:ind w:firstLine="720"/>
        <w:jc w:val="both"/>
        <w:rPr>
          <w:rFonts w:asciiTheme="majorHAnsi" w:hAnsiTheme="majorHAnsi"/>
          <w:sz w:val="16"/>
          <w:szCs w:val="16"/>
          <w:lang w:val="pt-BR"/>
        </w:rPr>
      </w:pPr>
      <w:r w:rsidRPr="006166DA">
        <w:rPr>
          <w:rStyle w:val="FootnoteReference"/>
          <w:rFonts w:asciiTheme="majorHAnsi" w:hAnsiTheme="majorHAnsi"/>
          <w:sz w:val="16"/>
          <w:szCs w:val="16"/>
          <w:lang w:val="pt-BR"/>
        </w:rPr>
        <w:footnoteRef/>
      </w:r>
      <w:r w:rsidRPr="006166DA">
        <w:rPr>
          <w:rFonts w:asciiTheme="majorHAnsi" w:hAnsiTheme="majorHAnsi"/>
          <w:sz w:val="16"/>
          <w:szCs w:val="16"/>
          <w:lang w:val="pt-BR"/>
        </w:rPr>
        <w:t xml:space="preserve"> Conforme disposto no artigo 17.2 do Regulamento da Comissão, </w:t>
      </w:r>
      <w:r>
        <w:rPr>
          <w:rFonts w:asciiTheme="majorHAnsi" w:hAnsiTheme="majorHAnsi"/>
          <w:sz w:val="16"/>
          <w:szCs w:val="16"/>
          <w:lang w:val="pt-BR"/>
        </w:rPr>
        <w:t xml:space="preserve">o Comissário Paulo Vanucchi, de </w:t>
      </w:r>
      <w:r w:rsidRPr="006166DA">
        <w:rPr>
          <w:rFonts w:asciiTheme="majorHAnsi" w:hAnsiTheme="majorHAnsi"/>
          <w:sz w:val="16"/>
          <w:szCs w:val="16"/>
          <w:lang w:val="pt-BR"/>
        </w:rPr>
        <w:t>nacionalidade brasileira, não participou do debate nem da decisão do presente cas</w:t>
      </w:r>
      <w:r w:rsidRPr="006166DA">
        <w:rPr>
          <w:rFonts w:asciiTheme="majorHAnsi" w:hAnsiTheme="majorHAnsi"/>
          <w:color w:val="auto"/>
          <w:sz w:val="16"/>
          <w:szCs w:val="16"/>
          <w:lang w:val="pt-BR"/>
        </w:rPr>
        <w:t xml:space="preserve">o. </w:t>
      </w:r>
    </w:p>
  </w:footnote>
  <w:footnote w:id="3">
    <w:p w14:paraId="43BEBFB9" w14:textId="77777777" w:rsidR="00AA34B1" w:rsidRPr="006166DA" w:rsidRDefault="00AA34B1" w:rsidP="007B52F2">
      <w:pPr>
        <w:pStyle w:val="FootnoteText"/>
        <w:ind w:firstLine="720"/>
        <w:jc w:val="both"/>
        <w:rPr>
          <w:rFonts w:asciiTheme="majorHAnsi" w:hAnsiTheme="majorHAnsi"/>
          <w:sz w:val="16"/>
          <w:szCs w:val="16"/>
          <w:lang w:val="pt-BR"/>
        </w:rPr>
      </w:pPr>
      <w:r w:rsidRPr="006166DA">
        <w:rPr>
          <w:rStyle w:val="FootnoteReference"/>
          <w:rFonts w:asciiTheme="majorHAnsi" w:hAnsiTheme="majorHAnsi"/>
          <w:sz w:val="16"/>
          <w:szCs w:val="16"/>
          <w:lang w:val="pt-BR"/>
        </w:rPr>
        <w:footnoteRef/>
      </w:r>
      <w:r w:rsidRPr="006166DA">
        <w:rPr>
          <w:rFonts w:asciiTheme="majorHAnsi" w:hAnsiTheme="majorHAnsi"/>
          <w:sz w:val="16"/>
          <w:szCs w:val="16"/>
          <w:lang w:val="pt-BR"/>
        </w:rPr>
        <w:t xml:space="preserve"> CIDH, Relatório No. 9/08, Caso 12.332, Admissibilidade, Margarida Maria Alves, Brasil, 5 de março de 2008.</w:t>
      </w:r>
    </w:p>
  </w:footnote>
  <w:footnote w:id="4">
    <w:p w14:paraId="07CDE903"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CIDH, Relatório sobre a Situação dos Direitos Humanos no Brasil. OEA/Ser.L/V/II.97, Doc. 29 rev.1, 29 setembro 1997, Capítulo VII, A Propriedade da Terra Rural e os Direitos Humanos dos Trabalhadores Rurais, parágrafo 6.</w:t>
      </w:r>
    </w:p>
  </w:footnote>
  <w:footnote w:id="5">
    <w:p w14:paraId="0170D28A"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CIDH, Relatório sobre a Situação dos Direitos Humanos em Brasil. OEA/Ser.L/V/II.97, Doc. 29 rev.1, 29 setembro 1997, Capítulo VII, A Propriedade da Terra Rural e os Direitos Humanos dos Trabalhadores Rurais, parágrafo 41; Veja, por exemplo CIDH, Relatório No. 24/98, Caso 11.287, João Canuto de Oliveira, Brasil, 7 de abril de 1998. </w:t>
      </w:r>
    </w:p>
  </w:footnote>
  <w:footnote w:id="6">
    <w:p w14:paraId="60499F52" w14:textId="77777777" w:rsidR="00AA34B1" w:rsidRPr="006166DA" w:rsidRDefault="00AA34B1" w:rsidP="007B52F2">
      <w:pPr>
        <w:pStyle w:val="FootnoteText"/>
        <w:ind w:firstLine="720"/>
        <w:jc w:val="both"/>
        <w:rPr>
          <w:rFonts w:ascii="Cambria" w:hAnsi="Cambria"/>
          <w:noProof/>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Anistia Internacional. </w:t>
      </w:r>
      <w:r w:rsidRPr="006166DA">
        <w:rPr>
          <w:rFonts w:ascii="Cambria" w:hAnsi="Cambria"/>
          <w:noProof/>
          <w:sz w:val="16"/>
          <w:szCs w:val="16"/>
          <w:lang w:val="pt-BR"/>
        </w:rPr>
        <w:t>Amnesty International Annual Report 1983, 1º de janeiro de 1983.</w:t>
      </w:r>
    </w:p>
  </w:footnote>
  <w:footnote w:id="7">
    <w:p w14:paraId="0371E68F" w14:textId="77777777" w:rsidR="00AA34B1" w:rsidRPr="006166DA" w:rsidRDefault="00AA34B1" w:rsidP="007B52F2">
      <w:pPr>
        <w:pStyle w:val="FootnoteText"/>
        <w:ind w:firstLine="720"/>
        <w:jc w:val="both"/>
        <w:rPr>
          <w:rFonts w:ascii="Cambria" w:hAnsi="Cambria"/>
          <w:noProof/>
          <w:sz w:val="16"/>
          <w:szCs w:val="16"/>
          <w:lang w:val="pt-BR"/>
        </w:rPr>
      </w:pPr>
      <w:r w:rsidRPr="006166DA">
        <w:rPr>
          <w:rStyle w:val="FootnoteReference"/>
          <w:rFonts w:ascii="Cambria" w:hAnsi="Cambria"/>
          <w:noProof/>
          <w:sz w:val="16"/>
          <w:szCs w:val="16"/>
          <w:lang w:val="pt-BR"/>
        </w:rPr>
        <w:footnoteRef/>
      </w:r>
      <w:r w:rsidRPr="006166DA">
        <w:rPr>
          <w:rFonts w:ascii="Cambria" w:hAnsi="Cambria"/>
          <w:noProof/>
          <w:sz w:val="16"/>
          <w:szCs w:val="16"/>
          <w:lang w:val="pt-BR"/>
        </w:rPr>
        <w:t xml:space="preserve"> Anistia Internacional. Amnesty International Annual Report 1984, 1</w:t>
      </w:r>
      <w:r w:rsidRPr="006166DA">
        <w:rPr>
          <w:rFonts w:ascii="Cambria" w:hAnsi="Cambria"/>
          <w:noProof/>
          <w:sz w:val="18"/>
          <w:szCs w:val="16"/>
          <w:lang w:val="pt-BR"/>
        </w:rPr>
        <w:t>º</w:t>
      </w:r>
      <w:r w:rsidRPr="006166DA">
        <w:rPr>
          <w:rFonts w:ascii="Cambria" w:hAnsi="Cambria"/>
          <w:noProof/>
          <w:sz w:val="16"/>
          <w:szCs w:val="16"/>
          <w:lang w:val="pt-BR"/>
        </w:rPr>
        <w:t xml:space="preserve"> de janeiro de 1984.</w:t>
      </w:r>
    </w:p>
  </w:footnote>
  <w:footnote w:id="8">
    <w:p w14:paraId="43A6ABC1" w14:textId="77777777" w:rsidR="00AA34B1" w:rsidRPr="006166DA" w:rsidRDefault="00AA34B1" w:rsidP="007B52F2">
      <w:pPr>
        <w:pStyle w:val="FootnoteText"/>
        <w:ind w:firstLine="720"/>
        <w:jc w:val="both"/>
        <w:rPr>
          <w:rFonts w:ascii="Cambria" w:hAnsi="Cambria"/>
          <w:noProof/>
          <w:sz w:val="16"/>
          <w:szCs w:val="16"/>
          <w:lang w:val="pt-BR"/>
        </w:rPr>
      </w:pPr>
      <w:r w:rsidRPr="006166DA">
        <w:rPr>
          <w:rStyle w:val="FootnoteReference"/>
          <w:rFonts w:ascii="Cambria" w:hAnsi="Cambria"/>
          <w:noProof/>
          <w:sz w:val="16"/>
          <w:szCs w:val="16"/>
          <w:lang w:val="pt-BR"/>
        </w:rPr>
        <w:footnoteRef/>
      </w:r>
      <w:r w:rsidRPr="006166DA">
        <w:rPr>
          <w:rFonts w:ascii="Cambria" w:hAnsi="Cambria"/>
          <w:noProof/>
          <w:sz w:val="16"/>
          <w:szCs w:val="16"/>
          <w:lang w:val="pt-BR"/>
        </w:rPr>
        <w:t xml:space="preserve"> Anistia Internacional. Amnesty International Annual Report 1985, 1º de janeiro de 1985.</w:t>
      </w:r>
    </w:p>
  </w:footnote>
  <w:footnote w:id="9">
    <w:p w14:paraId="6C17E09B" w14:textId="77777777" w:rsidR="00AA34B1" w:rsidRPr="006166DA" w:rsidRDefault="00AA34B1" w:rsidP="007B52F2">
      <w:pPr>
        <w:pStyle w:val="FootnoteText"/>
        <w:ind w:firstLine="720"/>
        <w:jc w:val="both"/>
        <w:rPr>
          <w:rFonts w:ascii="Cambria" w:hAnsi="Cambria"/>
          <w:noProof/>
          <w:sz w:val="16"/>
          <w:szCs w:val="16"/>
          <w:lang w:val="pt-BR"/>
        </w:rPr>
      </w:pPr>
      <w:r w:rsidRPr="006166DA">
        <w:rPr>
          <w:rStyle w:val="FootnoteReference"/>
          <w:rFonts w:ascii="Cambria" w:hAnsi="Cambria"/>
          <w:noProof/>
          <w:sz w:val="16"/>
          <w:szCs w:val="16"/>
          <w:lang w:val="pt-BR"/>
        </w:rPr>
        <w:footnoteRef/>
      </w:r>
      <w:r w:rsidRPr="006166DA">
        <w:rPr>
          <w:rFonts w:ascii="Cambria" w:hAnsi="Cambria"/>
          <w:noProof/>
          <w:sz w:val="16"/>
          <w:szCs w:val="16"/>
          <w:lang w:val="pt-BR"/>
        </w:rPr>
        <w:t xml:space="preserve"> Anistia Internacional. Amnesty International Annual Report 1990, 1º de janeiro de 1990.</w:t>
      </w:r>
    </w:p>
  </w:footnote>
  <w:footnote w:id="10">
    <w:p w14:paraId="6B107DD0"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noProof/>
          <w:sz w:val="16"/>
          <w:szCs w:val="16"/>
          <w:lang w:val="pt-BR"/>
        </w:rPr>
        <w:footnoteRef/>
      </w:r>
      <w:r w:rsidRPr="001176DC">
        <w:rPr>
          <w:rFonts w:ascii="Cambria" w:hAnsi="Cambria"/>
          <w:noProof/>
          <w:sz w:val="16"/>
          <w:szCs w:val="16"/>
        </w:rPr>
        <w:t xml:space="preserve"> Human Rights Watch (HRW). The struggle for land in Brazil – rural violence</w:t>
      </w:r>
      <w:r w:rsidRPr="001176DC">
        <w:rPr>
          <w:rFonts w:ascii="Cambria" w:hAnsi="Cambria"/>
          <w:sz w:val="16"/>
          <w:szCs w:val="16"/>
        </w:rPr>
        <w:t xml:space="preserve"> continues. </w:t>
      </w:r>
      <w:r w:rsidRPr="006166DA">
        <w:rPr>
          <w:rFonts w:ascii="Cambria" w:hAnsi="Cambria"/>
          <w:sz w:val="16"/>
          <w:szCs w:val="16"/>
          <w:lang w:val="pt-BR"/>
        </w:rPr>
        <w:t>Maio de 1992. Página 8.</w:t>
      </w:r>
    </w:p>
  </w:footnote>
  <w:footnote w:id="11">
    <w:p w14:paraId="72B776CA"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Informação apresentada através do Relatório do Centro de Defesa dos Direitos Humanos, onde estão registrados os homicídios relacionados à luta pela terra no Brasil de 1980 a 1983 em forma de mapa. Anexo 1. “Violência e impunidade – Usineiros ameaçam trabalhadores e dirigentes na Paraíba” – Notícia veiculada no jornal “O Trabalhador Rural”, de autoria da CONTAG - Confederação Nacional dos Trabalhadores na Agricultura, agosto de 1983. Anexo 04 da petição inicial apresentada pelos peticionários à CIDH em 7 de outubro de 2000.</w:t>
      </w:r>
    </w:p>
  </w:footnote>
  <w:footnote w:id="12">
    <w:p w14:paraId="035528AF"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CIDH, Relatório No.25/09, Caso 12.310, Mérito, Sebastião Camargo Filho, Brasil, 19 de março de 2009, parágrafos 46-48.</w:t>
      </w:r>
    </w:p>
  </w:footnote>
  <w:footnote w:id="13">
    <w:p w14:paraId="75067A71" w14:textId="77777777" w:rsidR="00AA34B1" w:rsidRPr="006166DA" w:rsidRDefault="00AA34B1" w:rsidP="007B52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s="Cambria-Bold"/>
          <w:bCs/>
          <w:sz w:val="16"/>
          <w:szCs w:val="16"/>
          <w:lang w:val="pt-BR" w:eastAsia="es-ES"/>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w:t>
      </w:r>
      <w:r w:rsidRPr="006166DA">
        <w:rPr>
          <w:rFonts w:ascii="Cambria" w:hAnsi="Cambria" w:cs="Cambria-Bold"/>
          <w:bCs/>
          <w:sz w:val="16"/>
          <w:szCs w:val="16"/>
          <w:lang w:val="pt-BR" w:eastAsia="es-ES"/>
        </w:rPr>
        <w:t>Secretaria de Direitos Humanos da Presidência da República,</w:t>
      </w:r>
      <w:r w:rsidRPr="006166DA">
        <w:rPr>
          <w:rFonts w:ascii="Cambria" w:hAnsi="Cambria" w:cs="Cambria-Bold"/>
          <w:bCs/>
          <w:sz w:val="16"/>
          <w:szCs w:val="16"/>
          <w:lang w:val="pt-BR"/>
        </w:rPr>
        <w:t xml:space="preserve"> </w:t>
      </w:r>
      <w:r w:rsidRPr="006166DA">
        <w:rPr>
          <w:rFonts w:ascii="Cambria" w:hAnsi="Cambria" w:cs="Cambria-Bold"/>
          <w:bCs/>
          <w:sz w:val="16"/>
          <w:szCs w:val="16"/>
          <w:lang w:val="pt-BR" w:eastAsia="es-ES"/>
        </w:rPr>
        <w:t>Projeto Direito à Memória e à Verdade</w:t>
      </w:r>
      <w:r w:rsidRPr="006166DA">
        <w:rPr>
          <w:rFonts w:ascii="Cambria" w:hAnsi="Cambria" w:cs="Cambria-Bold"/>
          <w:bCs/>
          <w:sz w:val="16"/>
          <w:szCs w:val="16"/>
          <w:lang w:val="pt-BR"/>
        </w:rPr>
        <w:t xml:space="preserve">, </w:t>
      </w:r>
      <w:r w:rsidRPr="006166DA">
        <w:rPr>
          <w:rFonts w:ascii="Cambria" w:hAnsi="Cambria" w:cs="Cambria-Bold"/>
          <w:bCs/>
          <w:sz w:val="16"/>
          <w:szCs w:val="16"/>
          <w:lang w:val="pt-BR" w:eastAsia="es-ES"/>
        </w:rPr>
        <w:t>Camponeses Mortos e Desaparecidos: Excluídos da Justiça de Transição</w:t>
      </w:r>
      <w:r w:rsidRPr="006166DA">
        <w:rPr>
          <w:rFonts w:ascii="Cambria" w:hAnsi="Cambria" w:cs="Cambria-Bold"/>
          <w:bCs/>
          <w:sz w:val="16"/>
          <w:szCs w:val="16"/>
          <w:lang w:val="pt-BR"/>
        </w:rPr>
        <w:t xml:space="preserve">, 2013, </w:t>
      </w:r>
      <w:r w:rsidRPr="006166DA">
        <w:rPr>
          <w:rFonts w:ascii="Cambria" w:hAnsi="Cambria"/>
          <w:sz w:val="16"/>
          <w:szCs w:val="16"/>
          <w:lang w:val="pt-BR"/>
        </w:rPr>
        <w:t>pág. 58-66.</w:t>
      </w:r>
    </w:p>
  </w:footnote>
  <w:footnote w:id="14">
    <w:p w14:paraId="14943C17" w14:textId="77777777" w:rsidR="00AA34B1" w:rsidRPr="006166DA" w:rsidRDefault="00AA34B1" w:rsidP="007B52F2">
      <w:pPr>
        <w:pStyle w:val="FootnoteText"/>
        <w:ind w:firstLine="720"/>
        <w:jc w:val="both"/>
        <w:rPr>
          <w:rFonts w:ascii="Cambria" w:hAnsi="Cambria"/>
          <w:b/>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Artigo publicado em Cnv.gov.br, </w:t>
      </w:r>
      <w:hyperlink r:id="rId1" w:history="1">
        <w:r w:rsidRPr="006166DA">
          <w:rPr>
            <w:rStyle w:val="Hyperlink"/>
            <w:rFonts w:ascii="Cambria" w:hAnsi="Cambria"/>
            <w:sz w:val="16"/>
            <w:szCs w:val="16"/>
            <w:lang w:val="pt-BR"/>
          </w:rPr>
          <w:t>Comissão Nacional da Verdade recebe membros da Comissão Camponesa da Verdad</w:t>
        </w:r>
      </w:hyperlink>
      <w:r w:rsidRPr="006166DA">
        <w:rPr>
          <w:rStyle w:val="Hyperlink"/>
          <w:rFonts w:ascii="Cambria" w:hAnsi="Cambria"/>
          <w:sz w:val="16"/>
          <w:szCs w:val="16"/>
          <w:lang w:val="pt-BR"/>
        </w:rPr>
        <w:t>e</w:t>
      </w:r>
      <w:r w:rsidRPr="006166DA">
        <w:rPr>
          <w:rFonts w:ascii="Cambria" w:hAnsi="Cambria"/>
          <w:sz w:val="16"/>
          <w:szCs w:val="16"/>
          <w:lang w:val="pt-BR"/>
        </w:rPr>
        <w:t>, 20 de novembro de 2012.</w:t>
      </w:r>
    </w:p>
  </w:footnote>
  <w:footnote w:id="15">
    <w:p w14:paraId="15D1EC4A"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Comissão Camponesa da Verdade, Relatório Final, Violações de Direitos no Campo 1946-1988, dezembro de 2014, pág. 81.</w:t>
      </w:r>
    </w:p>
  </w:footnote>
  <w:footnote w:id="16">
    <w:p w14:paraId="3162939F"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2.  Relatório Final da Comissão Parlamentar de Inquérito destinada a continuar as investigações do delito de “pistolagem” nas regiões Centro-Oeste e Norte, especialmente na zona conhecida como “Bico do Papagaio”, janeiro de 1994. Volume 8-Parte I. Anexo 3a ao escrito de observações do Estado de 23 de outubro de 2013, pág. 5.</w:t>
      </w:r>
    </w:p>
  </w:footnote>
  <w:footnote w:id="17">
    <w:p w14:paraId="2DC61234"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3. Livro “Construtores da justiça e da paz – Margarida Alves”, escrito por Guilherme Salgado Rocha, 1996.  Anexo II da petição inicial apresentada pelos peticionários à CIDH em 7 de outubro de 2000.</w:t>
      </w:r>
    </w:p>
  </w:footnote>
  <w:footnote w:id="18">
    <w:p w14:paraId="22B52DC2"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10. “Uma carta de Margarida a Agnaldo” – Notícia publicada no jornal “O Norte”, 28 de agosto de 1983. Anexo 2 da petição inicial apresentada pelos peticionários à CIDH em 7 de outubro de 2000.</w:t>
      </w:r>
    </w:p>
  </w:footnote>
  <w:footnote w:id="19">
    <w:p w14:paraId="1BA92F4A" w14:textId="77777777" w:rsidR="00AA34B1" w:rsidRPr="006166DA" w:rsidRDefault="00AA34B1" w:rsidP="007B52F2">
      <w:pPr>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12. Resposta negativa ao pedido de informação acerca do registro de queixas ou ameaças sofridas por Margarida Maria Alves às repartições de Registro Civil e Delegacias de Polícia, por parte da Secretaria de Segurança Pública de Alagoa Grande, 15 de agosto de 1983. Inquérito Policial 023/83-Volume 1. Anexo 3a das Observações adicionais apresentadas pelo Estado à CIDH em 23 de outubro de 2013. Página 32.</w:t>
      </w:r>
    </w:p>
  </w:footnote>
  <w:footnote w:id="20">
    <w:p w14:paraId="4487EC1F"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14. Declaração testemunhal de D. Marcelo Pinto Carvalheira. Anexo 11 da petição inicial apresentada pelos peticionários à CIDH em 7 de outubro de 2000.  Segundo informação de conhecimento público, o Grupo da Várzea incluía entre seus membros 3 deputados federais, 5 deputados estaduais e 50 prefeitos do interior do Estado e controlava ao menos 10 de um total de 27 representantes da Paraíba no Colégio Eleitoral.  Ver: Artigo publicado em Brasil.gov.br, </w:t>
      </w:r>
      <w:hyperlink r:id="rId2" w:history="1">
        <w:r w:rsidRPr="006166DA">
          <w:rPr>
            <w:rStyle w:val="Hyperlink"/>
            <w:rFonts w:ascii="Cambria" w:hAnsi="Cambria"/>
            <w:sz w:val="16"/>
            <w:szCs w:val="16"/>
            <w:lang w:val="pt-BR"/>
          </w:rPr>
          <w:t>Margarida Alves</w:t>
        </w:r>
      </w:hyperlink>
      <w:r w:rsidRPr="006166DA">
        <w:rPr>
          <w:rFonts w:ascii="Cambria" w:hAnsi="Cambria"/>
          <w:sz w:val="16"/>
          <w:szCs w:val="16"/>
          <w:lang w:val="pt-BR"/>
        </w:rPr>
        <w:t>, 16 de fevereiro de 2012; Comissão Camponesa da Verdade, Relatório Final, Violações de direitos humanos no campo, 1946-1988, pág. 81.</w:t>
      </w:r>
    </w:p>
    <w:p w14:paraId="2D7A2A9E"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15. “Viúvo acusa os usineiros – Líder assassinada em Alagoa Grande” – Notícia publicada no jornal “A União”, 14 de agosto de 1983. Anexo 04 da petição inicial apresentada pelos peticionários à CIDH em 7 de outubro de 2000.</w:t>
      </w:r>
    </w:p>
  </w:footnote>
  <w:footnote w:id="21">
    <w:p w14:paraId="42C1C292"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15. “Viúvo acusa os usineiros – Líder assassinada em Alagoa Grande” – Notícia publicada no jornal “A União”, 14 de agosto de 1983. Anexo 04 da petição inicial apresentada pelos peticionários à CIDH em 7 de outubro de 2000.</w:t>
      </w:r>
    </w:p>
  </w:footnote>
  <w:footnote w:id="22">
    <w:p w14:paraId="1E522658"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19.</w:t>
      </w:r>
      <w:r w:rsidRPr="006166DA">
        <w:rPr>
          <w:lang w:val="pt-BR"/>
        </w:rPr>
        <w:t xml:space="preserve"> </w:t>
      </w:r>
      <w:r w:rsidRPr="006166DA">
        <w:rPr>
          <w:rFonts w:ascii="Cambria" w:hAnsi="Cambria"/>
          <w:sz w:val="16"/>
          <w:szCs w:val="16"/>
          <w:lang w:val="pt-BR"/>
        </w:rPr>
        <w:t>Declaração testemunhal de Luiz Silva. Volume 1-Parte I. Anexo 3a das Observações adicionais apresentadas pelo Estado à CIDH em 23 de outubro de 2013. Página 49-51.</w:t>
      </w:r>
    </w:p>
  </w:footnote>
  <w:footnote w:id="23">
    <w:p w14:paraId="5095C680"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16. Declaração testemunhal de Severino Barbosa Sobrinho. Data ilegível. Inquérito Policial 023/83-Volume 2. Anexo 3a das Observações adicionais apresentadas pelo Estado à CIDH em 23 de outubro de 2013. Páginas 218-219.</w:t>
      </w:r>
    </w:p>
  </w:footnote>
  <w:footnote w:id="24">
    <w:p w14:paraId="1CECEFBF"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18. Declaração testemunhal de Evani Serafim da Silva, 22 de agosto de 1983. Inquérito Policial 023/83-Volume 1. Anexo 3a das Observações adicionais apresentadas pelo Estado à CIDH em 23 de outubro de 2013. Página 64.</w:t>
      </w:r>
    </w:p>
  </w:footnote>
  <w:footnote w:id="25">
    <w:p w14:paraId="48B644A8" w14:textId="77777777" w:rsidR="00AA34B1" w:rsidRPr="006166DA" w:rsidRDefault="00AA34B1" w:rsidP="007B52F2">
      <w:pPr>
        <w:pStyle w:val="FootnoteText"/>
        <w:ind w:firstLine="720"/>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Artigo publicado pelo Centro de Defesa dos Direitos Humanos, maio 1982. Anexo 4 da petição inicial apresentada pelos peticionários à CIDH em 7 de outubro de 2000.</w:t>
      </w:r>
    </w:p>
  </w:footnote>
  <w:footnote w:id="26">
    <w:p w14:paraId="1374CBCF" w14:textId="77777777" w:rsidR="00AA34B1" w:rsidRPr="006166DA" w:rsidRDefault="00AA34B1" w:rsidP="007B52F2">
      <w:pPr>
        <w:pStyle w:val="FootnoteText"/>
        <w:ind w:firstLine="720"/>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Declaração testemunhal de Marcelo Pinto Carvalheira. Anexo 11 da petição inicial apresentada pelos peticionários à CIDH em 7 de outubro de 2000.</w:t>
      </w:r>
    </w:p>
  </w:footnote>
  <w:footnote w:id="27">
    <w:p w14:paraId="02BB7176" w14:textId="77777777" w:rsidR="00AA34B1" w:rsidRPr="006166DA" w:rsidRDefault="00AA34B1" w:rsidP="007B52F2">
      <w:pPr>
        <w:pStyle w:val="FootnoteText"/>
        <w:ind w:firstLine="720"/>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Artigo publicado em globo.com, </w:t>
      </w:r>
      <w:hyperlink r:id="rId3" w:history="1">
        <w:r w:rsidRPr="006166DA">
          <w:rPr>
            <w:rStyle w:val="Hyperlink"/>
            <w:rFonts w:ascii="Cambria" w:hAnsi="Cambria"/>
            <w:sz w:val="16"/>
            <w:szCs w:val="16"/>
            <w:lang w:val="pt-BR"/>
          </w:rPr>
          <w:t>Assassinato de Margarida Maria Alves completa 30 anos na Paraíba</w:t>
        </w:r>
      </w:hyperlink>
      <w:r w:rsidRPr="006166DA">
        <w:rPr>
          <w:rFonts w:ascii="Cambria" w:hAnsi="Cambria"/>
          <w:sz w:val="16"/>
          <w:szCs w:val="16"/>
          <w:lang w:val="pt-BR"/>
        </w:rPr>
        <w:t xml:space="preserve">, 11 de agosto de 2013; artigo publicado por paraibacriativa.com.br, </w:t>
      </w:r>
      <w:hyperlink r:id="rId4" w:history="1">
        <w:r w:rsidRPr="006166DA">
          <w:rPr>
            <w:rStyle w:val="Hyperlink"/>
            <w:rFonts w:ascii="Cambria" w:hAnsi="Cambria"/>
            <w:sz w:val="16"/>
            <w:szCs w:val="16"/>
            <w:lang w:val="pt-BR"/>
          </w:rPr>
          <w:t>Projeto de Lei nº 4288 de 2016 da Comissão de Cultura</w:t>
        </w:r>
      </w:hyperlink>
      <w:r w:rsidRPr="006166DA">
        <w:rPr>
          <w:rFonts w:ascii="Cambria" w:hAnsi="Cambria"/>
          <w:sz w:val="16"/>
          <w:szCs w:val="16"/>
          <w:lang w:val="pt-BR"/>
        </w:rPr>
        <w:t xml:space="preserve">.  </w:t>
      </w:r>
    </w:p>
  </w:footnote>
  <w:footnote w:id="28">
    <w:p w14:paraId="6BFC6440"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Comissão Camponesa da Verdade, Relatório Final, Violações de Direitos no Campo 1946-1988, dezembro de 2014, Pág. 81.</w:t>
      </w:r>
    </w:p>
  </w:footnote>
  <w:footnote w:id="29">
    <w:p w14:paraId="4C9EE7C8" w14:textId="77777777" w:rsidR="00AA34B1" w:rsidRPr="006166DA" w:rsidRDefault="00AA34B1" w:rsidP="007B52F2">
      <w:pPr>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21. Laudo pericial, 13 de agosto de 1983. Inquérito Policial 023/83-Volume 1. Anexo 3a das Observações adicionais apresentadas pelo Estado à CIDH em 23 de outubro de 2013. Páginas 103-104.</w:t>
      </w:r>
    </w:p>
  </w:footnote>
  <w:footnote w:id="30">
    <w:p w14:paraId="072ED03B"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22. Denúncia oferecida pelo Ministério Público ao Poder Judiciário da Paraíba, 22 de dezembro de 1983. Anexo 06 da petição inicial apresentada pelos peticionários à CIDH em 7 de outubro de 2000. </w:t>
      </w:r>
    </w:p>
  </w:footnote>
  <w:footnote w:id="31">
    <w:p w14:paraId="29F7227B"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15. “Viúvo acusa os usineiros – Líder assassinada em Alagoa Grande” – Nota publicada no jornal “A União”, 14 de agosto de 1983. Anexo 04 da petição inicial apresentada pelos peticionários à CIDH em 7 de outubro de 2000.</w:t>
      </w:r>
    </w:p>
  </w:footnote>
  <w:footnote w:id="32">
    <w:p w14:paraId="08F28142"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23. Manifesto pessoal de José de Arimatéia Alves, único filho da líder sindical Margarida Maria Alves. Enviado à CIDH por correio eletrônico, 25 de maio de 2012.</w:t>
      </w:r>
    </w:p>
  </w:footnote>
  <w:footnote w:id="33">
    <w:p w14:paraId="5A5579C5"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23. Manifesto pessoal de José de Arimatéia Alves, único filho da líder sindical Margarida Maria Alves. Enviado à CIDH por correio eletrônico, 25 de maio de 2012.</w:t>
      </w:r>
    </w:p>
  </w:footnote>
  <w:footnote w:id="34">
    <w:p w14:paraId="1C2D6EA2"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24. Declaração testemunhal de Ivaldo Fernandes Chaves, 13 de agosto de 1983. Inquérito Policial 023/83-Volume 1. Anexo 3a das Observações adicionais apresentadas pelo Estado à CIDH em 23 de outubro de 2013. Página 17.</w:t>
      </w:r>
    </w:p>
  </w:footnote>
  <w:footnote w:id="35">
    <w:p w14:paraId="15F9FE31"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25. Declaração testemunhal de Natanael Marinho, 13 de agosto de 1983. Inquérito Policial 023/83-Volume 1. Anexo 3a das Observações adicionais apresentadas pelo Estado à CIDH em 23 de outubro de 2013. Página 19.</w:t>
      </w:r>
    </w:p>
  </w:footnote>
  <w:footnote w:id="36">
    <w:p w14:paraId="32996043"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25. Declaração testemunhal de Natanael Marinho, 13 de agosto de 1983. Inquérito Policial 023/83-Volume 1. Anexo 3a das Observações adicionais apresentadas pelo Estado à CIDH em 23 de outubro de 2013. Página 19.</w:t>
      </w:r>
    </w:p>
  </w:footnote>
  <w:footnote w:id="37">
    <w:p w14:paraId="410EC89A"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22. Denúncia oferecida pelo Ministério Público ao Poder Judiciário da Paraíba, 22 de dezembro de 1983. Anexo 06 da petição inicial apresentada pelos peticionários à CIDH em 7 de outubro de 2000.</w:t>
      </w:r>
    </w:p>
  </w:footnote>
  <w:footnote w:id="38">
    <w:p w14:paraId="6F3282C0"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29. Inquérito policial 023/83, 8 de dezembro de 1983. Anexo 05 da petição inicial apresentada pelos peticionários à CIDH em 7 de outubro de 2000.</w:t>
      </w:r>
    </w:p>
  </w:footnote>
  <w:footnote w:id="39">
    <w:p w14:paraId="7FCEF289"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30. Declaração testemunhal de Marinete da Fonseca Chaves, 13 de agosto de 1983. Inquérito Policial 023/83-Volume 1. Anexo 3a das Observações adicionais apresentadas pelo Estado à CIDH em 23 de outubro de 2013. Página 18.</w:t>
      </w:r>
    </w:p>
  </w:footnote>
  <w:footnote w:id="40">
    <w:p w14:paraId="413B7C76"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29. Inquérito policial 023/83, 8 de dezembro de 1983. Anexo 05 da petição inicial apresentada pelos peticionários à CIDH em 7 de outubro de 2000.</w:t>
      </w:r>
    </w:p>
  </w:footnote>
  <w:footnote w:id="41">
    <w:p w14:paraId="22229D1A"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14. Declaração testemunhal de D. Marcelo Pinto Carvalheira. Anexo 11 da petição inicial apresentada pelos peticionários à CIDH em 7 de outubro de 2000.</w:t>
      </w:r>
    </w:p>
  </w:footnote>
  <w:footnote w:id="42">
    <w:p w14:paraId="24F1A6F1"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33. Declaração testemunhal de José Galdino de Araújo Filho, 17 de outubro de 1983. Inquérito policial 023/83-Volume 1. Anexo 3a das Observações adicionais apresentadas pelo Estado à CIDH em 23 de outubro de 2013. Página</w:t>
      </w:r>
      <w:r>
        <w:rPr>
          <w:rFonts w:ascii="Cambria" w:hAnsi="Cambria"/>
          <w:sz w:val="16"/>
          <w:szCs w:val="16"/>
          <w:lang w:val="pt-BR"/>
        </w:rPr>
        <w:t>s</w:t>
      </w:r>
      <w:r w:rsidRPr="006166DA">
        <w:rPr>
          <w:rFonts w:ascii="Cambria" w:hAnsi="Cambria"/>
          <w:sz w:val="16"/>
          <w:szCs w:val="16"/>
          <w:lang w:val="pt-BR"/>
        </w:rPr>
        <w:t xml:space="preserve"> 217-218.</w:t>
      </w:r>
    </w:p>
  </w:footnote>
  <w:footnote w:id="43">
    <w:p w14:paraId="659E43BD"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33. Declaração testemunhal de José Galdino de Araújo Filho, 17 de outubro de 1983. Inquérito policial 023/83-Volume 1. Anexo 3a das Observações adicionais apresentadas pelo Estado à CIDH em 23 de outubro de 2013. Página</w:t>
      </w:r>
      <w:r>
        <w:rPr>
          <w:rFonts w:ascii="Cambria" w:hAnsi="Cambria"/>
          <w:sz w:val="16"/>
          <w:szCs w:val="16"/>
          <w:lang w:val="pt-BR"/>
        </w:rPr>
        <w:t>s</w:t>
      </w:r>
      <w:r w:rsidRPr="006166DA">
        <w:rPr>
          <w:rFonts w:ascii="Cambria" w:hAnsi="Cambria"/>
          <w:sz w:val="16"/>
          <w:szCs w:val="16"/>
          <w:lang w:val="pt-BR"/>
        </w:rPr>
        <w:t xml:space="preserve"> 217-218.</w:t>
      </w:r>
    </w:p>
  </w:footnote>
  <w:footnote w:id="44">
    <w:p w14:paraId="0399A1D9"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35. Declaração testemunhal de Djailton Hugo dos Santos, 17 de outubro de 1983. Inquérito policial 023/83-Volume 1. Anexo 3a das Observações adicionais apresentadas pelo Estado à CIDH em 23 de outubro de 2013. Páginas 219-220.</w:t>
      </w:r>
    </w:p>
  </w:footnote>
  <w:footnote w:id="45">
    <w:p w14:paraId="37E2C2CC"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29. Inquérito policial 023/83, 8 de dezembro de 1983. Anexo 05 da petição inicial apresentada pelos peticionários à CIDH em 7 de outubro de 2000. Página 312.</w:t>
      </w:r>
    </w:p>
  </w:footnote>
  <w:footnote w:id="46">
    <w:p w14:paraId="1157D218"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29. Inquérito policial 023/83, 8 de dezembro de 1983. Anexo 05 da petição inicial apresentada pelos peticionários à CIDH em 7 de outubro de 2000. Página 313.</w:t>
      </w:r>
    </w:p>
  </w:footnote>
  <w:footnote w:id="47">
    <w:p w14:paraId="7123AF38"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37. Termo de designação do Delegado. Secretaria de Segurança Pública da Paraíba, 12 de agosto de 1983. Inquérito policial 023/83-Volume I. Anexo 3a das Observações adicionais apresentadas pelo Estado à CIDH em 23 de outubro de 2013. Página 14.</w:t>
      </w:r>
    </w:p>
  </w:footnote>
  <w:footnote w:id="48">
    <w:p w14:paraId="0105E2A5"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w:t>
      </w:r>
      <w:r w:rsidRPr="006166DA">
        <w:rPr>
          <w:rFonts w:ascii="Cambria" w:hAnsi="Cambria"/>
          <w:color w:val="auto"/>
          <w:sz w:val="16"/>
          <w:szCs w:val="16"/>
          <w:lang w:val="pt-BR"/>
        </w:rPr>
        <w:t>Anexo 41.</w:t>
      </w:r>
      <w:r w:rsidRPr="006166DA">
        <w:rPr>
          <w:sz w:val="16"/>
          <w:szCs w:val="16"/>
          <w:lang w:val="pt-BR"/>
        </w:rPr>
        <w:t xml:space="preserve"> </w:t>
      </w:r>
      <w:r w:rsidRPr="006166DA">
        <w:rPr>
          <w:rFonts w:ascii="Cambria" w:hAnsi="Cambria"/>
          <w:color w:val="auto"/>
          <w:sz w:val="16"/>
          <w:szCs w:val="16"/>
          <w:lang w:val="pt-BR"/>
        </w:rPr>
        <w:t>Ofício do Departamento de Trânsito do Estado do Rio Grande do Norte no qual este afirma reconhecer a placa do carro como pertencente a uma caminhoneta de propriedade de Manoel Lino da Silva, 25 de agosto de 1983. Inquérito policial 023/83-Volume 1. Anexo 3a das Observações adicionais apresentadas pelo Estado à CIDH em 23 de outubro de 2013. Páginas 79-81; Anexo 29. Inquérito policial 023/83, 8 de dezembro de 1983. Anexo 05 da petição inicial apresentada pelos peticionários à CIDH em 7 de outubro de 2000.</w:t>
      </w:r>
    </w:p>
  </w:footnote>
  <w:footnote w:id="49">
    <w:p w14:paraId="59D48B9D"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43. Declaração testemunhal de Aguinaldo Veloso Borjes, 3 de setembro de 1983. Inquérito policial 023/83/Volume 1. Anexo 3a das Observações adicionais apresentadas pelo Estado à CIDH em 23 de outubro de 2013. Páginas 116-118.</w:t>
      </w:r>
    </w:p>
  </w:footnote>
  <w:footnote w:id="50">
    <w:p w14:paraId="49FCDE4D"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44. Decisão da Secretaria de Segurança Pública do Estado da Paraíba, 13 de setembro de 1983. Inquérito policial 023/83-Volume1. Anexo 3a das Observações adicionais apresentadas pelo Estado à CIDH em 23 de outubro de 2013. Página 149.</w:t>
      </w:r>
    </w:p>
  </w:footnote>
  <w:footnote w:id="51">
    <w:p w14:paraId="04E9143B"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45. Ordem de prisão, 29 de setembro de 1983. Inquérito policial 023/83- Volume 1. Anexo 3a das Observações adicionais apresentadas pelo Estado à CIDH em 23 de outubro de 2013. Página 189.</w:t>
      </w:r>
    </w:p>
  </w:footnote>
  <w:footnote w:id="52">
    <w:p w14:paraId="7CB9D041"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46. Auto de reconhecimento de pessoas, 4 de outubro de 1983. Inquérito policial 023/83-Volume 1. Anexo 3a das Observações adicionais apresentadas pelo Estado à CIDH em 23 de outubro de 2013. Página</w:t>
      </w:r>
      <w:r>
        <w:rPr>
          <w:rFonts w:ascii="Cambria" w:hAnsi="Cambria"/>
          <w:sz w:val="16"/>
          <w:szCs w:val="16"/>
          <w:lang w:val="pt-BR"/>
        </w:rPr>
        <w:t>s</w:t>
      </w:r>
      <w:r w:rsidRPr="006166DA">
        <w:rPr>
          <w:rFonts w:ascii="Cambria" w:hAnsi="Cambria"/>
          <w:sz w:val="16"/>
          <w:szCs w:val="16"/>
          <w:lang w:val="pt-BR"/>
        </w:rPr>
        <w:t xml:space="preserve"> 197-202.</w:t>
      </w:r>
    </w:p>
  </w:footnote>
  <w:footnote w:id="53">
    <w:p w14:paraId="7F774FFC"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47.</w:t>
      </w:r>
      <w:r w:rsidRPr="006166DA">
        <w:rPr>
          <w:sz w:val="16"/>
          <w:szCs w:val="16"/>
          <w:lang w:val="pt-BR"/>
        </w:rPr>
        <w:t xml:space="preserve"> </w:t>
      </w:r>
      <w:r w:rsidRPr="006166DA">
        <w:rPr>
          <w:rFonts w:ascii="Cambria" w:hAnsi="Cambria"/>
          <w:sz w:val="16"/>
          <w:szCs w:val="16"/>
          <w:lang w:val="pt-BR"/>
        </w:rPr>
        <w:t>Liberação de prisão, 6 de outubro de 1983. Inquérito policial 023/83-Volume 1. Anexo 3a das Observações adicionais apresentadas pelo Estado à CIDH em 23 de outubro de 2013. Página 257; Anexo 48. Permissão de liberação, 16 de novembro de 1983. Inquérito policial 023/83-Volume 2. Anexo 3a das Observações adicionais apresentadas pelo Estado à CIDH em 23 de outubro de 2013. Páginas 52-53.</w:t>
      </w:r>
    </w:p>
  </w:footnote>
  <w:footnote w:id="54">
    <w:p w14:paraId="1F4478D9"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49. Decisão da Secretaria de Segurança Pública do Estado da Paraíba, 8 de novembro de 1983. Inquérito policial 023/83-Volume 2. Anexo 3a das Observações adicionais apresentadas pelo Estado à CIDH em 23 de outubro de 2013. Páginas 29-30.</w:t>
      </w:r>
    </w:p>
  </w:footnote>
  <w:footnote w:id="55">
    <w:p w14:paraId="20DCF1E1"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29. Inquérito policial 023/83, 8 de dezembro de 1983. Anexo 05 da petição inicial apresentada pelos peticionários à CIDH em 7 de outubro de 2000. Página 315.</w:t>
      </w:r>
    </w:p>
  </w:footnote>
  <w:footnote w:id="56">
    <w:p w14:paraId="5737FE6F" w14:textId="77777777" w:rsidR="00AA34B1" w:rsidRPr="006166DA" w:rsidRDefault="00AA34B1" w:rsidP="007B52F2">
      <w:pPr>
        <w:pStyle w:val="FootnoteText"/>
        <w:ind w:firstLine="720"/>
        <w:jc w:val="both"/>
        <w:rPr>
          <w:rFonts w:ascii="Cambria" w:hAnsi="Cambria"/>
          <w:b/>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29. Inquérito policial 023/83, 8 de dezembro de 1983. Anexo 05 da petição inicial apresentada pelos peticionários à CIDH em 7 de outubro de 2000. Página 315.</w:t>
      </w:r>
    </w:p>
  </w:footnote>
  <w:footnote w:id="57">
    <w:p w14:paraId="1A28BCEC"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29. Inquérito policial 023/83, 8 de dezembro de 1983. Anexo 05 da petição inicial apresentada pelos peticionários à CIDH em 7 de outubro de 2000. Página 315.</w:t>
      </w:r>
    </w:p>
  </w:footnote>
  <w:footnote w:id="58">
    <w:p w14:paraId="27E45FFC"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22. Denúncia oferecida pelo Ministério Público ao Poder Judiciário da Paraíba, 22 de dezembro de 1983. Anexo 06 da petição inicial apresentada pelos peticionários à CIDH em 7 de outubro de 2000; Anexo 50. Cópia de denúncia a Amauri José do Rego, Amaro José do Rego e Antônio Carlos Coutinho Régis, 5 de janeiro de 1984. Volume II do Inquérito policial 023/83. Anexo 3a das Observações adicionais apresentadas pelo Estado à CIDH em 23 de outubro de 2013. Páginas 91-93.</w:t>
      </w:r>
    </w:p>
  </w:footnote>
  <w:footnote w:id="59">
    <w:p w14:paraId="7F430D80"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51. Citação de notificação por jornal a Amauri José do Rego e Amaro José do Rego, 9 de janeiro de 1984. Inquérito policial 023/83-Volume 2. Anexo 3a das Observações adicionais apresentadas pelo Estado à CIDH em 23 de outubro de 2013. Páginas 98-99.</w:t>
      </w:r>
    </w:p>
  </w:footnote>
  <w:footnote w:id="60">
    <w:p w14:paraId="4A69E83A"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52.</w:t>
      </w:r>
      <w:r w:rsidRPr="006166DA">
        <w:rPr>
          <w:sz w:val="16"/>
          <w:szCs w:val="16"/>
          <w:lang w:val="pt-BR"/>
        </w:rPr>
        <w:t xml:space="preserve"> </w:t>
      </w:r>
      <w:r w:rsidRPr="006166DA">
        <w:rPr>
          <w:rFonts w:ascii="Cambria" w:hAnsi="Cambria"/>
          <w:sz w:val="16"/>
          <w:szCs w:val="16"/>
          <w:lang w:val="pt-BR"/>
        </w:rPr>
        <w:t>Ordem de detenção, 26 de fevereiro de 1985. Inquérito policial 023/83-Volume 3. Anexo 3a das Observações adicionais apresentadas pelo Estado à CIDH em 23 de outubro de 2013. Página 292; Anexo 53.</w:t>
      </w:r>
      <w:r w:rsidRPr="006166DA">
        <w:rPr>
          <w:sz w:val="16"/>
          <w:szCs w:val="16"/>
          <w:lang w:val="pt-BR"/>
        </w:rPr>
        <w:t xml:space="preserve"> </w:t>
      </w:r>
      <w:r w:rsidRPr="006166DA">
        <w:rPr>
          <w:rFonts w:ascii="Cambria" w:hAnsi="Cambria"/>
          <w:sz w:val="16"/>
          <w:szCs w:val="16"/>
          <w:lang w:val="pt-BR"/>
        </w:rPr>
        <w:t>Ordem de detenção, 17 de dezembro de 1985. Inquérito policial 023/83-Volume 4-Parte II. Anexo 3a das Observações adicionais apresentadas pelo Estado à CIDH em 23 de outubro de 2013. Página 49; Anexo 54.</w:t>
      </w:r>
      <w:r w:rsidRPr="006166DA">
        <w:rPr>
          <w:sz w:val="16"/>
          <w:szCs w:val="16"/>
          <w:lang w:val="pt-BR"/>
        </w:rPr>
        <w:t xml:space="preserve"> </w:t>
      </w:r>
      <w:r w:rsidRPr="006166DA">
        <w:rPr>
          <w:rFonts w:ascii="Cambria" w:hAnsi="Cambria"/>
          <w:sz w:val="16"/>
          <w:szCs w:val="16"/>
          <w:lang w:val="pt-BR"/>
        </w:rPr>
        <w:t>Ordem de detenção, 23 de janeiro de 1991. Inquérito policial 023/83-Volume 4-Parte II. Anexo 3a das Observações adicionais apresentadas pelo Estado à CIDH em 23 de outubro de 2013. Página 291; Anexo 55.</w:t>
      </w:r>
      <w:r w:rsidRPr="006166DA">
        <w:rPr>
          <w:sz w:val="16"/>
          <w:szCs w:val="16"/>
          <w:lang w:val="pt-BR"/>
        </w:rPr>
        <w:t xml:space="preserve"> </w:t>
      </w:r>
      <w:r w:rsidRPr="006166DA">
        <w:rPr>
          <w:rFonts w:ascii="Cambria" w:hAnsi="Cambria"/>
          <w:sz w:val="16"/>
          <w:szCs w:val="16"/>
          <w:lang w:val="pt-BR"/>
        </w:rPr>
        <w:t>Ordem de detenção, 28 de maio de 1991. Inquérito policial 023/83-Volume 5. Anexo 3a das Observações adicionais apresentadas pelo Estado à CIDH em 23 de outubro de 2013. Páginas 29-32; Anexo 56. Ordem de detenção, 5 de outubro de 1995. Inquérito policial 023/83-Volume 5. Anexo 3a das Observações adicionais apresentadas pelo Estado à CIDH em 23 de outubro de 2013. Páginas 296-297.</w:t>
      </w:r>
    </w:p>
  </w:footnote>
  <w:footnote w:id="61">
    <w:p w14:paraId="5BFED54E"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53.</w:t>
      </w:r>
      <w:r w:rsidRPr="006166DA">
        <w:rPr>
          <w:sz w:val="16"/>
          <w:szCs w:val="16"/>
          <w:lang w:val="pt-BR"/>
        </w:rPr>
        <w:t xml:space="preserve"> </w:t>
      </w:r>
      <w:r w:rsidRPr="006166DA">
        <w:rPr>
          <w:rFonts w:ascii="Cambria" w:hAnsi="Cambria"/>
          <w:sz w:val="16"/>
          <w:szCs w:val="16"/>
          <w:lang w:val="pt-BR"/>
        </w:rPr>
        <w:t>Ordem de detenção, 17 de dezembro de 1985. Inquérito policial 023/83-Volume 4-Parte II. Anexo 3a das Observações adicionais apresentadas pelo Estado à CIDH em 23 de outubro de 2013. Página 49; Anexo 54.</w:t>
      </w:r>
      <w:r w:rsidRPr="006166DA">
        <w:rPr>
          <w:sz w:val="16"/>
          <w:szCs w:val="16"/>
          <w:lang w:val="pt-BR"/>
        </w:rPr>
        <w:t xml:space="preserve"> </w:t>
      </w:r>
      <w:r w:rsidRPr="006166DA">
        <w:rPr>
          <w:rFonts w:ascii="Cambria" w:hAnsi="Cambria"/>
          <w:sz w:val="16"/>
          <w:szCs w:val="16"/>
          <w:lang w:val="pt-BR"/>
        </w:rPr>
        <w:t>Ordem de detenção, 23 de janeiro de 1991. Inquérito policial 023/83-Volume 4-Parte II. Anexo 3a das Observações adicionais apresentadas pelo Estado à CIDH em 23 de outubro de 2013. Página 291; Anexo 55.</w:t>
      </w:r>
      <w:r w:rsidRPr="006166DA">
        <w:rPr>
          <w:sz w:val="16"/>
          <w:szCs w:val="16"/>
          <w:lang w:val="pt-BR"/>
        </w:rPr>
        <w:t xml:space="preserve"> </w:t>
      </w:r>
      <w:r w:rsidRPr="006166DA">
        <w:rPr>
          <w:rFonts w:ascii="Cambria" w:hAnsi="Cambria"/>
          <w:sz w:val="16"/>
          <w:szCs w:val="16"/>
          <w:lang w:val="pt-BR"/>
        </w:rPr>
        <w:t>Ordem de detenção, 28 de maio de 1991. Inquérito policial 023/83-Volume 5. Anexo 3a das Observações adicionais apresentadas pelo Estado à CIDH em 23 de outubro de 2013. Páginas 29-32; Anexo 56. Ordem de detenção, 5 de outubro de 1995. Inquérito policial 023/83-Volume 5. Anexo 3a das Observações adicionais apresentadas pelo Estado à CIDH em 23 de outubro de 2013. Páginas 296-297.</w:t>
      </w:r>
    </w:p>
  </w:footnote>
  <w:footnote w:id="62">
    <w:p w14:paraId="5A4A022D"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58. Sentença proferida pelo Tribunal do júri da Comarca de Alagoa Grande, 5 de julho de 1988. Inquérito policial 023/83-Volume 4. Anexo 3a das Observações adicionais apresentadas pelo Estado à CIDH em 23 de outubro de 2013. Páginas 228 e 229.</w:t>
      </w:r>
    </w:p>
  </w:footnote>
  <w:footnote w:id="63">
    <w:p w14:paraId="64426751"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57. Sentença da Comarca de Alagoa Grande, 5 de julho de 1988. Anexo 8 da petição inicial apresentada pelos peticionários à CIDH em 7 de outubro de 2000.</w:t>
      </w:r>
    </w:p>
  </w:footnote>
  <w:footnote w:id="64">
    <w:p w14:paraId="628268A3"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59. Recurso de Apelação apresentado pelo Ministério Público ao Poder Judiciário da Paraíba, 7 de julho de 1988. Anexo 09 da petição inicial apresentada pelos peticionários à CIDH em 7 de outubro de 2000.</w:t>
      </w:r>
    </w:p>
  </w:footnote>
  <w:footnote w:id="65">
    <w:p w14:paraId="3FF529BB"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60. Decisão da Comarca de Alagoa Grande, 17 de maio de 1990. Inquérito policial 023/83-Volume 4-Parte II. Anexo 3a das Observações adicionais apresentadas pelo Estado à CIDH em 23 de outubro de 2013. Páginas 270-273.</w:t>
      </w:r>
    </w:p>
  </w:footnote>
  <w:footnote w:id="66">
    <w:p w14:paraId="3B4EAFB8" w14:textId="77777777" w:rsidR="00AA34B1" w:rsidRPr="006166DA" w:rsidRDefault="00AA34B1" w:rsidP="007B52F2">
      <w:pPr>
        <w:pStyle w:val="FootnoteText"/>
        <w:ind w:firstLine="720"/>
        <w:jc w:val="both"/>
        <w:rPr>
          <w:rFonts w:ascii="Cambria" w:hAnsi="Cambria"/>
          <w:color w:val="auto"/>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61. Pedido de desaforamento processual, 17 de junho de 1991. Inquérito policial 023/83-Volume 5. Anexo 3a das Observações adicionais apresentadas pelo Estado à CIDH em 23 de outubro de 2013. Páginas 84-87.</w:t>
      </w:r>
    </w:p>
  </w:footnote>
  <w:footnote w:id="67">
    <w:p w14:paraId="54B7F5F1"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color w:val="auto"/>
          <w:sz w:val="16"/>
          <w:szCs w:val="16"/>
          <w:lang w:val="pt-BR"/>
        </w:rPr>
        <w:footnoteRef/>
      </w:r>
      <w:r w:rsidRPr="006166DA">
        <w:rPr>
          <w:rFonts w:ascii="Cambria" w:hAnsi="Cambria"/>
          <w:color w:val="auto"/>
          <w:sz w:val="16"/>
          <w:szCs w:val="16"/>
          <w:lang w:val="pt-BR"/>
        </w:rPr>
        <w:t xml:space="preserve"> Anexo 61. Pedido de desaforamento processual, 17 de junho de 1991. Inquérito policial 023/83-Volume 5. Anexo 3a das Observações adicionais apresentadas pelo Estado à CIDH em 23 de outubro de 2013. Páginas 84-87.</w:t>
      </w:r>
    </w:p>
  </w:footnote>
  <w:footnote w:id="68">
    <w:p w14:paraId="3062FF0F"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Anexo 62. Negação do pedido de desaforamento, 25 de setembro de 1991. Inquérito policial 023/83-Volume 5. Anexo 3a das Observações adicionais apresentadas pelo Estado à CIDH em 23 de outubro de 2013. Páginas 119-121.</w:t>
      </w:r>
    </w:p>
  </w:footnote>
  <w:footnote w:id="69">
    <w:p w14:paraId="60DFBA7D"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63. Ofício da Presidência do Tribunal de Justiça da Paraíba, 13 de julho de 1995. Inquérito policial 023/83-Volume 5. Anexo 3a das Observações adicionais apresentadas pelo Estado à CIDH em 23 de outubro de 2013. Página 124.</w:t>
      </w:r>
    </w:p>
  </w:footnote>
  <w:footnote w:id="70">
    <w:p w14:paraId="020237AA"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64. Carta da Presidência do Tribunal de Justiça da Paraíba, 17 de julho de 1995. Inquérito policial 023/83-Volume 5. Anexo 3a das Observações adicionais apresentadas pelo Estado à CIDH em 23 de outubro de 2013. Página 126.</w:t>
      </w:r>
    </w:p>
  </w:footnote>
  <w:footnote w:id="71">
    <w:p w14:paraId="2A1E179A"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64. Carta da Presidência do Tribunal de Justiça da Paraíba, 17 de julho de 1995. Inquérito policial 023/83-Volume 5. Anexo 3a das Observações adicionais apresentadas pelo Estado à CIDH em 23 de outubro de 2013. Página 126.</w:t>
      </w:r>
    </w:p>
  </w:footnote>
  <w:footnote w:id="72">
    <w:p w14:paraId="5F7C342E"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65. Ofício do Juiz Gutemberg Cardoso Pereira, 1 de agosto de 1995. Inquérito policial 023/83-Volume 5. Anexo 3a das Observações adicionais presentadas pelo Estado à CIDH em 23 de outubro de 2013. Páginas 131-135.</w:t>
      </w:r>
    </w:p>
  </w:footnote>
  <w:footnote w:id="73">
    <w:p w14:paraId="3AEAB342"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65. Ofício do Juiz Gutemberg Cardoso Pereira, 1º de agosto de 1995. Inquérito policial 023/83-Volume 5. Anexo 3a das Observações adicionais apresentadas pelo Estado à CIDH em 23 de outubro de 2013. Páginas 131-135.</w:t>
      </w:r>
    </w:p>
  </w:footnote>
  <w:footnote w:id="74">
    <w:p w14:paraId="58EBD00E"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65. Ofício do Juiz Gutemberg Cardoso Pereira, 1º de agosto de 1995. Inquérito policial 023/83-Volume 5. Anexo 3a das Observações adicionais apresentadas pelo Estado à CIDH em 23 de outubro de 2013. Páginas 131-135.</w:t>
      </w:r>
    </w:p>
  </w:footnote>
  <w:footnote w:id="75">
    <w:p w14:paraId="69998432"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66. Despacho judicial, 2 de agosto de 1995. Inquérito policial 023/83-Volume 5. Anexo 3a das Observações adicionais apresentadas pelo Estado à CIDH em 23 de outubro de 2013. Página 137.</w:t>
      </w:r>
    </w:p>
  </w:footnote>
  <w:footnote w:id="76">
    <w:p w14:paraId="41716D92"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67. Decisão do Juiz da Comarca de Alagoa Grande, 8 de agosto de 1995. Volume 1-Parte 1. Anexo 3a das Observações adicionais apresentadas pelo Estado à CIDH em 23 de outubro de 2013. Página 349.</w:t>
      </w:r>
    </w:p>
  </w:footnote>
  <w:footnote w:id="77">
    <w:p w14:paraId="37855A19"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68. Considerações do Juiz Gutemberg Cardoso Pereira, 30 de dezembro de 1999. Anexo 14 da petição inicial apresentada pelos peticionários à CIDH em 7 de outubro de 2000.</w:t>
      </w:r>
    </w:p>
  </w:footnote>
  <w:footnote w:id="78">
    <w:p w14:paraId="11DE45AE"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Petição inicial apresentada pelos peticionários à CIDH em 7 de outubro de 2000. Página 10.</w:t>
      </w:r>
    </w:p>
  </w:footnote>
  <w:footnote w:id="79">
    <w:p w14:paraId="1723DA76"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69. Ofício da Secretaria de Segurança Pública do Estado do Ceará, 28 de agosto de 1995. Inquérito policial 023/83-Volume 5. Anexo 3a das Observações adicionais apresentadas pelo Estado à CIDH em 23 de outubro de 2013. Página 282; Anexo 70.</w:t>
      </w:r>
      <w:r w:rsidRPr="006166DA">
        <w:rPr>
          <w:sz w:val="16"/>
          <w:szCs w:val="16"/>
          <w:lang w:val="pt-BR"/>
        </w:rPr>
        <w:t xml:space="preserve"> </w:t>
      </w:r>
      <w:r w:rsidRPr="006166DA">
        <w:rPr>
          <w:rFonts w:ascii="Cambria" w:hAnsi="Cambria"/>
          <w:sz w:val="16"/>
          <w:szCs w:val="16"/>
          <w:lang w:val="pt-BR"/>
        </w:rPr>
        <w:t>Ofício da Secretaria de Segurança Pública do Estado do Maranhão, 22 de agosto de 1995. Inquérito policial 023/83-Volume 5. Anexo 3a das Observações adicionais apresentadas pelo Estado à CIDH em 23 de outubro de 2013. Página 289. Anexo 71. Ofício da Secretaria de Segurança Pública do Estado de Pernambuco, 31 de agosto de 1995. Inquérito policial 023/83-Volume 5. Anexo 3a das Observações adicionais apresentadas pelo Estado à CIDH em 23 de outubro de 2013. Página 285.</w:t>
      </w:r>
    </w:p>
  </w:footnote>
  <w:footnote w:id="80">
    <w:p w14:paraId="5580A7D3"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72. Ata do Julgamento, 1º de setembro de 1998. Inquérito Policial 023/83-Volume 6-Parte II. Anexo 3a das Observações adicionais apresentadas pelo Estado à CIDH em 23 de outubro de 2013. Páginas 139-141.</w:t>
      </w:r>
    </w:p>
  </w:footnote>
  <w:footnote w:id="81">
    <w:p w14:paraId="43B32404"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80. Comunicação do Juiz Gutemberg Cardozo, 30 de dezembro de 1999. Volume 7. Anexo 3a das Observações adicionais apresentadas pelo Estado à CIDH em 23 de outubro de 2013. Página 62-63.</w:t>
      </w:r>
    </w:p>
  </w:footnote>
  <w:footnote w:id="82">
    <w:p w14:paraId="4A79898A"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73.</w:t>
      </w:r>
      <w:r w:rsidRPr="006166DA">
        <w:rPr>
          <w:sz w:val="16"/>
          <w:szCs w:val="16"/>
          <w:lang w:val="pt-BR"/>
        </w:rPr>
        <w:t xml:space="preserve"> </w:t>
      </w:r>
      <w:r w:rsidRPr="006166DA">
        <w:rPr>
          <w:rFonts w:ascii="Cambria" w:hAnsi="Cambria"/>
          <w:sz w:val="16"/>
          <w:szCs w:val="16"/>
          <w:lang w:val="pt-BR"/>
        </w:rPr>
        <w:t>Certificações de 4 de setembro de 2003. Inquérito Policial 023/83-Volume 6-Parte II. Anexo 3a das Observações adicionais apresentadas pelo Estado à CIDH em 23 de outubro de 2013. Páginas 196-199; Anexo 74.</w:t>
      </w:r>
      <w:r w:rsidRPr="006166DA">
        <w:rPr>
          <w:sz w:val="16"/>
          <w:szCs w:val="16"/>
          <w:lang w:val="pt-BR"/>
        </w:rPr>
        <w:t xml:space="preserve"> </w:t>
      </w:r>
      <w:r w:rsidRPr="006166DA">
        <w:rPr>
          <w:rFonts w:ascii="Cambria" w:hAnsi="Cambria"/>
          <w:sz w:val="16"/>
          <w:szCs w:val="16"/>
          <w:lang w:val="pt-BR"/>
        </w:rPr>
        <w:t>Ordem de detenção, 3 de maio de 2005. Inquérito Policial 023/83-Volume 6-Parte II. Anexo 3a das Observações adicionais apresentadas pelo Estado à CIDH em 23 de outubro de 2013. Páginas 206-207; Anexo 75.</w:t>
      </w:r>
      <w:r w:rsidRPr="006166DA">
        <w:rPr>
          <w:sz w:val="16"/>
          <w:szCs w:val="16"/>
          <w:lang w:val="pt-BR"/>
        </w:rPr>
        <w:t xml:space="preserve"> </w:t>
      </w:r>
      <w:r w:rsidRPr="006166DA">
        <w:rPr>
          <w:rFonts w:ascii="Cambria" w:hAnsi="Cambria"/>
          <w:sz w:val="16"/>
          <w:szCs w:val="16"/>
          <w:lang w:val="pt-BR"/>
        </w:rPr>
        <w:t>Ordem de detenção, 24 de agosto de 2006. Inquérito Policial 023/83-Volume 6-Parte II. Anexo 3a das Observações adicionais apresentadas pelo Estado à CIDH em 23 de outubro de 2013. Página 216; Anexo 76.</w:t>
      </w:r>
      <w:r w:rsidRPr="006166DA">
        <w:rPr>
          <w:sz w:val="16"/>
          <w:szCs w:val="16"/>
          <w:lang w:val="pt-BR"/>
        </w:rPr>
        <w:t xml:space="preserve"> </w:t>
      </w:r>
      <w:r w:rsidRPr="006166DA">
        <w:rPr>
          <w:rFonts w:ascii="Cambria" w:hAnsi="Cambria"/>
          <w:sz w:val="16"/>
          <w:szCs w:val="16"/>
          <w:lang w:val="pt-BR"/>
        </w:rPr>
        <w:t>Ordem de detenção, 20 de abril de 2007. Inquérito Policial 023/83-Volume 6-Parte II. Anexo 3a das Observações adicionais apresentadas pelo Estado à CIDH em 23 de outubro de 2013. Página 221; Anexo 77. Ordem de detenção, 23 de maio de 2007. Inquérito Policial 023/83-Volume 6-Parte II. Anexo 3a das Observações adicionais apresentadas pelo Estado à CIDH em 23 de outubro de 2013. Páginas 224-225.</w:t>
      </w:r>
    </w:p>
  </w:footnote>
  <w:footnote w:id="83">
    <w:p w14:paraId="339E560A"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78.</w:t>
      </w:r>
      <w:r w:rsidRPr="006166DA">
        <w:rPr>
          <w:sz w:val="16"/>
          <w:szCs w:val="16"/>
          <w:lang w:val="pt-BR"/>
        </w:rPr>
        <w:t xml:space="preserve"> </w:t>
      </w:r>
      <w:r w:rsidRPr="006166DA">
        <w:rPr>
          <w:rFonts w:ascii="Cambria" w:hAnsi="Cambria"/>
          <w:sz w:val="16"/>
          <w:szCs w:val="16"/>
          <w:lang w:val="pt-BR"/>
        </w:rPr>
        <w:t>Ordem de detenção, 14 de abril de 1999. Inquérito Policial 023/83-Volume 6-Parte II. Anexo 3a das Observações adicionais apresentadas pelo Estado à CIDH em 23 de outubro de 2013. Página 169; Anexo 79.</w:t>
      </w:r>
      <w:r w:rsidRPr="006166DA">
        <w:rPr>
          <w:sz w:val="16"/>
          <w:szCs w:val="16"/>
          <w:lang w:val="pt-BR"/>
        </w:rPr>
        <w:t xml:space="preserve"> </w:t>
      </w:r>
      <w:r w:rsidRPr="006166DA">
        <w:rPr>
          <w:rFonts w:ascii="Cambria" w:hAnsi="Cambria"/>
          <w:sz w:val="16"/>
          <w:szCs w:val="16"/>
          <w:lang w:val="pt-BR"/>
        </w:rPr>
        <w:t>Ordem de detenção, 1º de junho de 2001. Inquérito Policial 023/83-Volume 6-Parte II. Anexo 3a das Observações adicionais apresentadas pelo Estado à CIDH em 23 de outubro de 2013. Página 191; Anexo 73.</w:t>
      </w:r>
      <w:r w:rsidRPr="006166DA">
        <w:rPr>
          <w:sz w:val="16"/>
          <w:szCs w:val="16"/>
          <w:lang w:val="pt-BR"/>
        </w:rPr>
        <w:t xml:space="preserve"> </w:t>
      </w:r>
      <w:r w:rsidRPr="006166DA">
        <w:rPr>
          <w:rFonts w:ascii="Cambria" w:hAnsi="Cambria"/>
          <w:sz w:val="16"/>
          <w:szCs w:val="16"/>
          <w:lang w:val="pt-BR"/>
        </w:rPr>
        <w:t>Certificações de 4 de setembro de 2003. Inquérito Policial 023/83-Volume 6-Parte II. Anexo 3a das Observações adicionais apresentadas pelo Estado à CIDH em 23 de outubro de 2013. Páginas 196-199; Anexo 74.</w:t>
      </w:r>
      <w:r w:rsidRPr="006166DA">
        <w:rPr>
          <w:sz w:val="16"/>
          <w:szCs w:val="16"/>
          <w:lang w:val="pt-BR"/>
        </w:rPr>
        <w:t xml:space="preserve"> </w:t>
      </w:r>
      <w:r w:rsidRPr="006166DA">
        <w:rPr>
          <w:rFonts w:ascii="Cambria" w:hAnsi="Cambria"/>
          <w:sz w:val="16"/>
          <w:szCs w:val="16"/>
          <w:lang w:val="pt-BR"/>
        </w:rPr>
        <w:t>Ordem de detenção, 3 de maio de 2005. Inquérito Policial 023/83-Volume 6-Parte II. Anexo 3a das Observações adicionais apresentadas pelo Estado à CIDH em 23 de outubro de 2013. Páginas 206-207. Anexo 75.</w:t>
      </w:r>
      <w:r w:rsidRPr="006166DA">
        <w:rPr>
          <w:sz w:val="16"/>
          <w:szCs w:val="16"/>
          <w:lang w:val="pt-BR"/>
        </w:rPr>
        <w:t xml:space="preserve"> </w:t>
      </w:r>
      <w:r w:rsidRPr="006166DA">
        <w:rPr>
          <w:rFonts w:ascii="Cambria" w:hAnsi="Cambria"/>
          <w:sz w:val="16"/>
          <w:szCs w:val="16"/>
          <w:lang w:val="pt-BR"/>
        </w:rPr>
        <w:t>Ordem de detenção, 24 de agosto de 2006. Inquérito Policial 023/83-Volume 6-Parte II. Anexo 3a das Observações adicionais apresentadas pelo Estado à CIDH em 23 de outubro de 2013. Página 216; Anexo 73.</w:t>
      </w:r>
      <w:r w:rsidRPr="006166DA">
        <w:rPr>
          <w:sz w:val="16"/>
          <w:szCs w:val="16"/>
          <w:lang w:val="pt-BR"/>
        </w:rPr>
        <w:t xml:space="preserve"> </w:t>
      </w:r>
      <w:r w:rsidRPr="006166DA">
        <w:rPr>
          <w:rFonts w:ascii="Cambria" w:hAnsi="Cambria"/>
          <w:sz w:val="16"/>
          <w:szCs w:val="16"/>
          <w:lang w:val="pt-BR"/>
        </w:rPr>
        <w:t>Certificações de 4 de setembro de 2003. Inquérito Policial 023/83-Volume 6-Parte II. Anexo 3a das Observações adicionais apresentadas pelo Estado à CIDH em 23 de outubro de 2013. Páginas 196-199; Anexo 74.</w:t>
      </w:r>
      <w:r w:rsidRPr="006166DA">
        <w:rPr>
          <w:sz w:val="16"/>
          <w:szCs w:val="16"/>
          <w:lang w:val="pt-BR"/>
        </w:rPr>
        <w:t xml:space="preserve"> </w:t>
      </w:r>
      <w:r w:rsidRPr="006166DA">
        <w:rPr>
          <w:rFonts w:ascii="Cambria" w:hAnsi="Cambria"/>
          <w:sz w:val="16"/>
          <w:szCs w:val="16"/>
          <w:lang w:val="pt-BR"/>
        </w:rPr>
        <w:t>Ordem de detenção, 3 de maio de 2005. Inquérito Policial 023/83-Volume 6-Parte II. Anexo 3a das Observações adicionais apresentadas pelo Estado à CIDH em 23 de outubro de 2013. Páginas 206-207. Anexo 75.</w:t>
      </w:r>
      <w:r w:rsidRPr="006166DA">
        <w:rPr>
          <w:sz w:val="16"/>
          <w:szCs w:val="16"/>
          <w:lang w:val="pt-BR"/>
        </w:rPr>
        <w:t xml:space="preserve"> </w:t>
      </w:r>
      <w:r w:rsidRPr="006166DA">
        <w:rPr>
          <w:rFonts w:ascii="Cambria" w:hAnsi="Cambria"/>
          <w:sz w:val="16"/>
          <w:szCs w:val="16"/>
          <w:lang w:val="pt-BR"/>
        </w:rPr>
        <w:t>Ordem de detenção, 24 de agosto de 2006. Inquérito Policial 023/83-Volume 6-Parte II. Anexo 3a das Observações adicionais apresentadas pelo Estado à CIDH em 23 de outubro de 2013. Página 216; Anexo 76.</w:t>
      </w:r>
      <w:r w:rsidRPr="006166DA">
        <w:rPr>
          <w:sz w:val="16"/>
          <w:szCs w:val="16"/>
          <w:lang w:val="pt-BR"/>
        </w:rPr>
        <w:t xml:space="preserve"> </w:t>
      </w:r>
      <w:r w:rsidRPr="006166DA">
        <w:rPr>
          <w:rFonts w:ascii="Cambria" w:hAnsi="Cambria"/>
          <w:sz w:val="16"/>
          <w:szCs w:val="16"/>
          <w:lang w:val="pt-BR"/>
        </w:rPr>
        <w:t>Ordem de detenção, 20 de abril de 2007. Inquérito Policial 023/83-Volume 6-Parte II. Anexo 3a das Observações adicionais apresentadas pelo Estado à CIDH em 23 de outubro de 2013. Página 221; Anexo 77. Ordem de detenção, 23 de maio de 2007. Inquérito Policial 023/83-Volume 6-Parte II. Anexo 3a das Observações adicionais apresentadas pelo Estado à CIDH em 23 de outubro de 2013. Páginas 224-225.</w:t>
      </w:r>
    </w:p>
  </w:footnote>
  <w:footnote w:id="84">
    <w:p w14:paraId="5C578E7B"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81. Sentença de 10 de dezembro de 2009. Inquérito Policial 023/83-Volume 6-Parte II. Anexo 3a das Observações adicionais apresentadas pelo Estado à CIDH em 23 de outubro de 2013. Páginas 230-231.</w:t>
      </w:r>
    </w:p>
  </w:footnote>
  <w:footnote w:id="85">
    <w:p w14:paraId="2601DE26"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82. Certificado de trânsito em julgado, 9 de janeiro de 2010. Inquérito Policial 023/83-Volume 6-Parte II. Anexo 3a das Observações adicionais apresentadas pelo Estado à CIDH em 23 de outubro de 2013. Página 233.</w:t>
      </w:r>
    </w:p>
  </w:footnote>
  <w:footnote w:id="86">
    <w:p w14:paraId="30B42D00"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83. Declaração testemunhal de Maria do Socorro Neves de Araújo, 1º de agosto de 1986. Anexo 10 da petição inicial apresentada pelos peticionários à CIDH em 7 de outubro de 2000.</w:t>
      </w:r>
    </w:p>
  </w:footnote>
  <w:footnote w:id="87">
    <w:p w14:paraId="0B2F20A3"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83. Declaração testemunhal de Maria do Socorro Neves de Araújo, 1º de agosto de 1986. Anexo 10 da petição inicial apresentada pelos peticionários à CIDH em 7 de outubro de 2000.</w:t>
      </w:r>
    </w:p>
  </w:footnote>
  <w:footnote w:id="88">
    <w:p w14:paraId="2A03B335"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83. Declaração testemunhal de Maria do Socorro Neves de Araújo, 1º de agosto de 1986. Anexo 10 da petição inicial apresentada pelos peticionários à CIDH em 7 de outubro de 2000.</w:t>
      </w:r>
    </w:p>
  </w:footnote>
  <w:footnote w:id="89">
    <w:p w14:paraId="6AFEAF40"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83. Declaração testemunhal de Maria do Socorro Neves de Araújo, 1º de agosto de 1986. Anexo 10 da petição inicial apresentada pelos peticionários à CIDH em 7 de outubro de 2000.</w:t>
      </w:r>
    </w:p>
  </w:footnote>
  <w:footnote w:id="90">
    <w:p w14:paraId="47961087"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84. “Pistoleiro morto é acusado de matar Margarida” – Notícia publicada no jornal “Diário da Borborema”, 29 de julho de 1987. Anexo 13 da petição inicial apresentada pelos peticionários à CIDH em 7 de outubro de 2000.</w:t>
      </w:r>
    </w:p>
  </w:footnote>
  <w:footnote w:id="91">
    <w:p w14:paraId="6304E2A2"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88. Certidão de Óbito, 10 de dezembro de 1986. Volume 1-Parte I. Anexo 3 das Observações adicionais apresentadas pelo Estado à CIDH em 23 de outubro de 2013. Página 188.</w:t>
      </w:r>
    </w:p>
  </w:footnote>
  <w:footnote w:id="92">
    <w:p w14:paraId="4D7747A7"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20. Investigações complementares ao Inquérito Policial 023/83, 31 de outubro de 1991. Anexo 12 da petição inicial apresentada pelos peticionários à CIDH em 7 de outubro de 2000.</w:t>
      </w:r>
    </w:p>
  </w:footnote>
  <w:footnote w:id="93">
    <w:p w14:paraId="7404B399" w14:textId="77777777" w:rsidR="00AA34B1" w:rsidRPr="006166DA" w:rsidRDefault="00AA34B1" w:rsidP="007B52F2">
      <w:pPr>
        <w:pStyle w:val="FootnoteText"/>
        <w:ind w:firstLine="720"/>
        <w:jc w:val="both"/>
        <w:rPr>
          <w:rFonts w:ascii="Cambria" w:hAnsi="Cambria"/>
          <w:b/>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85. Testemunhos prestados no âmbito do Inquérito Policial, 31 de outubro de 1991. Volume 1 Parte I. Anexo 3 das Observações adicionais apresentadas pelo Estado à CIDH em 23 de outubro de 2013. Páginas 48-51.</w:t>
      </w:r>
    </w:p>
  </w:footnote>
  <w:footnote w:id="94">
    <w:p w14:paraId="736ADDEE"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35. Declaração testemunhal de Djailton Hugo dos Santos, 17 de outubro de 1983. Inquérito Policial 023/83-Volume 1. Anexo 3 das Observações adicionais apresentadas pelo Estado à CIDH em 23 de outubro de 2013. Página 219-220.</w:t>
      </w:r>
    </w:p>
  </w:footnote>
  <w:footnote w:id="95">
    <w:p w14:paraId="65D0DC49"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20. Investigações complementares ao Inquérito Policial 023/83, 31 de outubro de 1991. Anexo 12 da petição inicial apresentada pelos peticionários à CIDH em 7 de outubro de 2000.</w:t>
      </w:r>
    </w:p>
  </w:footnote>
  <w:footnote w:id="96">
    <w:p w14:paraId="189FBADB"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20. Investigações complementares ao Inquérito Policial 023/83, 31 de outubro de 1991. Anexo 12 da petição inicial apresentada pelos peticionários à CIDH em 7 de outubro de 2000.</w:t>
      </w:r>
    </w:p>
  </w:footnote>
  <w:footnote w:id="97">
    <w:p w14:paraId="42D03156"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87. Decisão interlocutória possibilitando a acusação de 4 de dezembro de 1991. Inquérito Policial 023/83-Volume 5. Anexo 3 das observações adicionais apresentadas pelo Estado à CIDH em 23 de outubro de 2013. Página 122.</w:t>
      </w:r>
    </w:p>
  </w:footnote>
  <w:footnote w:id="98">
    <w:p w14:paraId="4801788C" w14:textId="77777777" w:rsidR="00AA34B1" w:rsidRPr="006166DA" w:rsidRDefault="00AA34B1" w:rsidP="007B52F2">
      <w:pPr>
        <w:pStyle w:val="FootnoteText"/>
        <w:ind w:firstLine="720"/>
        <w:rPr>
          <w:sz w:val="16"/>
          <w:szCs w:val="16"/>
          <w:lang w:val="pt-BR"/>
        </w:rPr>
      </w:pPr>
      <w:r w:rsidRPr="006166DA">
        <w:rPr>
          <w:rStyle w:val="FootnoteReference"/>
          <w:sz w:val="16"/>
          <w:szCs w:val="16"/>
          <w:lang w:val="pt-BR"/>
        </w:rPr>
        <w:footnoteRef/>
      </w:r>
      <w:r w:rsidRPr="006166DA">
        <w:rPr>
          <w:sz w:val="16"/>
          <w:szCs w:val="16"/>
          <w:vertAlign w:val="superscript"/>
          <w:lang w:val="pt-BR"/>
        </w:rPr>
        <w:t xml:space="preserve"> </w:t>
      </w:r>
      <w:r w:rsidRPr="006166DA">
        <w:rPr>
          <w:rFonts w:ascii="Cambria" w:hAnsi="Cambria"/>
          <w:sz w:val="16"/>
          <w:szCs w:val="16"/>
          <w:lang w:val="pt-BR"/>
        </w:rPr>
        <w:t>Anexo 89. Relatório Final do Delegado da Polícia Civil, 12 de dezembro de 1991. Inquérito Policial 023/83-Volume 5. Anexo 3 das Observações adicionais apresentadas pelo Estado à CIDH em 23 de outubro de 2013. Página 145.</w:t>
      </w:r>
    </w:p>
  </w:footnote>
  <w:footnote w:id="99">
    <w:p w14:paraId="7B7A778F" w14:textId="77777777" w:rsidR="00AA34B1" w:rsidRPr="006166DA" w:rsidRDefault="00AA34B1" w:rsidP="007B52F2">
      <w:pPr>
        <w:pStyle w:val="FootnoteText"/>
        <w:ind w:firstLine="720"/>
        <w:jc w:val="both"/>
        <w:rPr>
          <w:rFonts w:ascii="Cambria" w:hAnsi="Cambria"/>
          <w:b/>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90. Denúncia oferecida pelo Ministério Público à Comarca de Alagoa Grande, 1º de agosto de 1995. Volume 4. Anexo 3 das observações adicionais apresentadas pelo Estado à CIDH em 23 de outubro de 2013. Páginas 40-44.</w:t>
      </w:r>
    </w:p>
  </w:footnote>
  <w:footnote w:id="100">
    <w:p w14:paraId="2449ADF3" w14:textId="77777777" w:rsidR="00AA34B1" w:rsidRPr="006166DA" w:rsidRDefault="00AA34B1" w:rsidP="007B52F2">
      <w:pPr>
        <w:pStyle w:val="FootnoteText"/>
        <w:ind w:firstLine="720"/>
        <w:jc w:val="both"/>
        <w:rPr>
          <w:rFonts w:ascii="Cambria" w:hAnsi="Cambria"/>
          <w:b/>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91. Decreto de prisão preventiva, 8 de agosto de 1995. Volume 1-Parte I. Anexo 3a das observações adicionais apresentadas pelo Estado à CIDH em 23 de outubro de 2013. Páginas 297-306.</w:t>
      </w:r>
    </w:p>
  </w:footnote>
  <w:footnote w:id="101">
    <w:p w14:paraId="39A306A3"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92. Sentença de acusação, 15 de fevereiro de 1996. Volume 3-Parte III. Anexo 3a das Observações adicionais apresentadas pelo Estado à CIDH em 23 de outubro de 2013. Páginas 177-183.</w:t>
      </w:r>
    </w:p>
  </w:footnote>
  <w:footnote w:id="102">
    <w:p w14:paraId="3E42805E"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93. Sentença de Desaforamento. Volume 4. Anexo 3 das Observações adicionais apresentadas pelo Estado à CIDH em 23 de outubro de 2013. Páginas 69- 70.</w:t>
      </w:r>
    </w:p>
  </w:footnote>
  <w:footnote w:id="103">
    <w:p w14:paraId="1843783B"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94. Oficio Nº 161/2000, 15 de março de 2000. Anexo 15 da petição inicial apresentada pelos peticionários à CIDH em 7 de outubro de 2000.</w:t>
      </w:r>
    </w:p>
  </w:footnote>
  <w:footnote w:id="104">
    <w:p w14:paraId="6F68405B"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95. Sentença da Câmara Criminal do Tribunal de Justiça da Paraíba, 24 de setembro de 1998. Volume 6-Parte II. Anexo 3 das Observações adicionais apresentadas pelo Estado à CIDH em 23 de outubro de 2013. Página 22.</w:t>
      </w:r>
    </w:p>
  </w:footnote>
  <w:footnote w:id="105">
    <w:p w14:paraId="0D79C37F"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96. Ata de Sorteio do Júri, 1º de novembro de 2000. Volume 7. Anexo 3 das Observações adicionais apresentadas pelo Estado à CIDH em 23 de outubro de 2013. Página 258.</w:t>
      </w:r>
    </w:p>
  </w:footnote>
  <w:footnote w:id="106">
    <w:p w14:paraId="134D89ED"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97. Sentença de prescrição a favor de João Carlos de Melo, 2 de agosto de 2000. Volume 9-Parte I. Anexo 3 das Observações adicionais apresentadas pelo Estado à CIDH em 23 de outubro de 2013. Páginas 26-28.</w:t>
      </w:r>
    </w:p>
  </w:footnote>
  <w:footnote w:id="107">
    <w:p w14:paraId="20B0F1B6"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98. Sentença do Tribunal do Júri da Comarca de Alagoa Grande, 18 de junho de 2001. Volume 9-Parte I. Anexo 3 das Observações adicionais apresentadas pelo Estado à CIDH em 23 de outubro de 2013. Página 586.</w:t>
      </w:r>
    </w:p>
  </w:footnote>
  <w:footnote w:id="108">
    <w:p w14:paraId="3F3597D4"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99. Recurso de apelação, 22 de junho de 2001. Volume 10. Anexo 3a das observações adicionais apresentadas pelo Estado à CIDH em 23 de outubro de 2013. Página 4.</w:t>
      </w:r>
    </w:p>
  </w:footnote>
  <w:footnote w:id="109">
    <w:p w14:paraId="060E6926"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100. Decisão do Tribunal de Justiça da Paraíba, 20 de dezembro de 2001. Volume 10. Anexo 3a das observações adicionais apresentadas pelo Estado à CIDH em 23 de outubro de 2013. Página</w:t>
      </w:r>
      <w:r>
        <w:rPr>
          <w:rFonts w:ascii="Cambria" w:hAnsi="Cambria"/>
          <w:sz w:val="16"/>
          <w:szCs w:val="16"/>
          <w:lang w:val="pt-BR"/>
        </w:rPr>
        <w:t>s</w:t>
      </w:r>
      <w:r w:rsidRPr="006166DA">
        <w:rPr>
          <w:rFonts w:ascii="Cambria" w:hAnsi="Cambria"/>
          <w:sz w:val="16"/>
          <w:szCs w:val="16"/>
          <w:lang w:val="pt-BR"/>
        </w:rPr>
        <w:t xml:space="preserve"> 152-204.</w:t>
      </w:r>
    </w:p>
  </w:footnote>
  <w:footnote w:id="110">
    <w:p w14:paraId="71E49511"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101. Ementa e julgamento do Habeas Corpus nº 21.503 – PB (2002/0039224-0), 12 de novembro de 2002. Anexo às observações adicionais apresentadas pelos peticionários à CIDH em 17 de novembro de 2006.</w:t>
      </w:r>
    </w:p>
  </w:footnote>
  <w:footnote w:id="111">
    <w:p w14:paraId="6937AB34"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102. Voto do Ministro Relator Gilson Dipp, 12 de novembro de 2002. Anexo às observações adicionais apresentadas pelos peticionários à CIDH em 17 de novembro de 2006.</w:t>
      </w:r>
    </w:p>
  </w:footnote>
  <w:footnote w:id="112">
    <w:p w14:paraId="17AFD7D0"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103. Decisão do Ministro Edson Vidigal, Vice-Presidente do Superior Tribunal de Justiça, 13 de março de 2003. Anexo às observações adicionais apresentadas pelos peticionários à CIDH em 17 de novembro de 2006.</w:t>
      </w:r>
    </w:p>
  </w:footnote>
  <w:footnote w:id="113">
    <w:p w14:paraId="4FF70BF2"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104. Certificação de arquivamento, 2 de setembro de 2003. Volume 11-Parte II. Anexo 3 das observações adicionais apresentadas pelo Estado à CIDH em 23 de outubro de 2013. Página 164.</w:t>
      </w:r>
    </w:p>
  </w:footnote>
  <w:footnote w:id="114">
    <w:p w14:paraId="53922465"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105. Relatório do Conselho de Defesa dos Direitos da Pessoa Humana, 22 de agosto de 2001. Anexo 2 ao documento de observações do Estado de 11 de outubro de 2013.</w:t>
      </w:r>
    </w:p>
  </w:footnote>
  <w:footnote w:id="115">
    <w:p w14:paraId="288B1C98"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105. Relatório do Conselho de Defesa dos Direitos da Pessoa Humana, 22 de agosto de 2001. Anexo 2 ao documento de observações do Estado de 11 de outubro de 2013.</w:t>
      </w:r>
    </w:p>
  </w:footnote>
  <w:footnote w:id="116">
    <w:p w14:paraId="7BD4CE41"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Anexo 105. Relatório do Conselho de Defesa dos Direitos da Pessoa Humana, 22 de agosto de 2001. Anexo 2 ao documento de observações do Estado de 11 de outubro de 2013.</w:t>
      </w:r>
    </w:p>
  </w:footnote>
  <w:footnote w:id="117">
    <w:p w14:paraId="2DF9880E" w14:textId="77777777" w:rsidR="00AA34B1" w:rsidRPr="006166DA" w:rsidRDefault="00AA34B1" w:rsidP="007B52F2">
      <w:pPr>
        <w:pBdr>
          <w:top w:val="none" w:sz="0" w:space="0" w:color="auto"/>
          <w:left w:val="none" w:sz="0" w:space="0" w:color="auto"/>
          <w:bottom w:val="none" w:sz="0" w:space="0" w:color="auto"/>
          <w:right w:val="none" w:sz="0" w:space="0" w:color="auto"/>
          <w:between w:val="none" w:sz="0" w:space="0" w:color="auto"/>
          <w:bar w:val="none" w:sz="0" w:color="auto"/>
        </w:pBdr>
        <w:tabs>
          <w:tab w:val="num" w:pos="1350"/>
          <w:tab w:val="left" w:pos="1440"/>
          <w:tab w:val="num" w:pos="2040"/>
        </w:tabs>
        <w:ind w:firstLine="720"/>
        <w:jc w:val="both"/>
        <w:rPr>
          <w:rFonts w:ascii="Cambria" w:hAnsi="Cambria"/>
          <w:sz w:val="16"/>
          <w:szCs w:val="16"/>
          <w:lang w:val="pt-BR" w:eastAsia="es-ES"/>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w:t>
      </w:r>
      <w:r w:rsidRPr="006166DA">
        <w:rPr>
          <w:rFonts w:ascii="Cambria" w:hAnsi="Cambria"/>
          <w:sz w:val="16"/>
          <w:szCs w:val="16"/>
          <w:lang w:val="pt-BR" w:eastAsia="es-ES"/>
        </w:rPr>
        <w:t>O artigo XVIII da Declaração Americana dos Direitos e Deveres do Homem estabelece: “</w:t>
      </w:r>
      <w:r w:rsidRPr="006166DA">
        <w:rPr>
          <w:rFonts w:asciiTheme="majorHAnsi" w:hAnsiTheme="majorHAnsi"/>
          <w:color w:val="000000"/>
          <w:spacing w:val="-3"/>
          <w:sz w:val="16"/>
          <w:szCs w:val="16"/>
          <w:lang w:val="pt-BR"/>
        </w:rPr>
        <w:t>Toda pessoa pode recorrer aos tribunais para fazer respeitar os seus direitos.  Deve poder contar, outrossim, com processo simples e breve, mediante o qual a justiça a proteja contra atos de autoridade que violem, em seu prejuízo, qualquer dos direitos fundamentais consagrados constitucionalmente</w:t>
      </w:r>
      <w:r w:rsidRPr="006166DA">
        <w:rPr>
          <w:rFonts w:ascii="Cambria" w:eastAsia="Cambria" w:hAnsi="Cambria" w:cs="Verdana"/>
          <w:color w:val="000000"/>
          <w:sz w:val="16"/>
          <w:szCs w:val="16"/>
          <w:u w:color="000000"/>
          <w:lang w:val="pt-BR" w:eastAsia="es-ES" w:bidi="en-US"/>
        </w:rPr>
        <w:t>”.</w:t>
      </w:r>
    </w:p>
  </w:footnote>
  <w:footnote w:id="118">
    <w:p w14:paraId="58E53F0D"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O artigo 8.1 da Convenção estabelece: “</w:t>
      </w:r>
      <w:r w:rsidRPr="006166DA">
        <w:rPr>
          <w:rFonts w:asciiTheme="majorHAnsi" w:hAnsiTheme="majorHAnsi"/>
          <w:spacing w:val="-3"/>
          <w:sz w:val="16"/>
          <w:szCs w:val="16"/>
          <w:lang w:val="pt-BR"/>
        </w:rPr>
        <w:t>Toda pessoa tem direito a ser ouvida, com as devidas garantias e dentro de um prazo razoável, por um juiz ou tribunal competente, independente e imparcial, estabelecido anteriormente por lei, na apuração de qualquer acusação penal formulada contra ela, ou para que se determinem seus direitos ou obrigações de natureza civil, trabalhista, fiscal ou de qualquer outra natureza</w:t>
      </w:r>
      <w:r w:rsidRPr="006166DA">
        <w:rPr>
          <w:rFonts w:ascii="Cambria" w:hAnsi="Cambria" w:cs="Tahoma"/>
          <w:sz w:val="16"/>
          <w:szCs w:val="16"/>
          <w:lang w:val="pt-BR"/>
        </w:rPr>
        <w:t>.”</w:t>
      </w:r>
    </w:p>
  </w:footnote>
  <w:footnote w:id="119">
    <w:p w14:paraId="6DB0B7E0" w14:textId="77777777" w:rsidR="00AA34B1" w:rsidRPr="006166DA" w:rsidRDefault="00AA34B1" w:rsidP="007B52F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firstLine="720"/>
        <w:jc w:val="both"/>
        <w:rPr>
          <w:rFonts w:ascii="Cambria" w:hAnsi="Cambria"/>
          <w:sz w:val="16"/>
          <w:szCs w:val="16"/>
          <w:lang w:val="pt-BR"/>
        </w:rPr>
      </w:pPr>
      <w:r w:rsidRPr="006166DA">
        <w:rPr>
          <w:rFonts w:ascii="Cambria" w:hAnsi="Cambria"/>
          <w:sz w:val="16"/>
          <w:szCs w:val="16"/>
          <w:lang w:val="pt-BR"/>
        </w:rPr>
        <w:tab/>
      </w:r>
      <w:r w:rsidRPr="006166DA">
        <w:rPr>
          <w:rStyle w:val="FootnoteReference"/>
          <w:rFonts w:ascii="Cambria" w:hAnsi="Cambria"/>
          <w:sz w:val="16"/>
          <w:szCs w:val="16"/>
          <w:lang w:val="pt-BR"/>
        </w:rPr>
        <w:footnoteRef/>
      </w:r>
      <w:r w:rsidRPr="006166DA">
        <w:rPr>
          <w:rFonts w:ascii="Cambria" w:hAnsi="Cambria"/>
          <w:sz w:val="16"/>
          <w:szCs w:val="16"/>
          <w:lang w:val="pt-BR"/>
        </w:rPr>
        <w:t xml:space="preserve"> O artigo 25.1 da Convenção estabelece: “</w:t>
      </w:r>
      <w:r w:rsidRPr="006166DA">
        <w:rPr>
          <w:rFonts w:asciiTheme="majorHAnsi" w:hAnsiTheme="majorHAnsi"/>
          <w:color w:val="000000"/>
          <w:spacing w:val="-3"/>
          <w:sz w:val="16"/>
          <w:szCs w:val="16"/>
          <w:lang w:val="pt-BR"/>
        </w:rPr>
        <w:t>Toda pessoa tem direito a um recurso simples e rápido ou a qualquer outro recurso efetivo, perante os juízes ou tribunais competentes, que a proteja contra atos que violem seus direitos fundamentais reconhecidos pela constituição, pela lei ou pela presente Convenção, mesmo quando tal violação seja cometida por pessoas que estejam atuando no exercício de suas funções oficiais.</w:t>
      </w:r>
      <w:r w:rsidRPr="006166DA">
        <w:rPr>
          <w:rFonts w:ascii="Cambria" w:hAnsi="Cambria" w:cs="Verdana"/>
          <w:sz w:val="16"/>
          <w:szCs w:val="16"/>
          <w:lang w:val="pt-BR" w:bidi="en-US"/>
        </w:rPr>
        <w:t>”</w:t>
      </w:r>
    </w:p>
  </w:footnote>
  <w:footnote w:id="120">
    <w:p w14:paraId="2F8B0AA1" w14:textId="77777777" w:rsidR="00AA34B1" w:rsidRPr="006166DA" w:rsidRDefault="00AA34B1" w:rsidP="007B52F2">
      <w:pPr>
        <w:pStyle w:val="NormalWeb"/>
        <w:spacing w:before="0" w:beforeAutospacing="0" w:after="0" w:afterAutospacing="0"/>
        <w:ind w:firstLine="720"/>
        <w:jc w:val="both"/>
        <w:rPr>
          <w:rFonts w:ascii="Cambria" w:hAnsi="Cambria"/>
          <w:sz w:val="16"/>
          <w:szCs w:val="16"/>
          <w:lang w:val="pt-BR"/>
        </w:rPr>
      </w:pPr>
      <w:r w:rsidRPr="006166DA">
        <w:rPr>
          <w:rStyle w:val="FootnoteReference"/>
          <w:rFonts w:ascii="Cambria" w:eastAsia="Trebuchet MS" w:hAnsi="Cambria"/>
          <w:sz w:val="16"/>
          <w:szCs w:val="16"/>
          <w:lang w:val="pt-BR"/>
        </w:rPr>
        <w:footnoteRef/>
      </w:r>
      <w:r w:rsidRPr="006166DA">
        <w:rPr>
          <w:rFonts w:ascii="Cambria" w:hAnsi="Cambria"/>
          <w:sz w:val="16"/>
          <w:szCs w:val="16"/>
          <w:lang w:val="pt-BR"/>
        </w:rPr>
        <w:t xml:space="preserve"> CIDH, Relatório Nº 71/15. Caso 12.879. Mérito. Vladimir Herzog e outros. Brasil. 28 de outubro de 2015, par. 192; CIDH, Relatório Nº 40/04, Caso Nº 12.053, Comunidade Indígena Maya (Belize), Relatório Anual da CIDH 2004, par. 174; CIDH, Relatório Nº 54/01, Caso 12.051, Maria da Penha Fernandes (Brasil), 16 de abril de 2001, par. 37.</w:t>
      </w:r>
      <w:r w:rsidRPr="006166DA">
        <w:rPr>
          <w:rFonts w:ascii="Cambria" w:hAnsi="Cambria" w:cs="Arial"/>
          <w:sz w:val="16"/>
          <w:szCs w:val="16"/>
          <w:lang w:val="pt-BR"/>
        </w:rPr>
        <w:t xml:space="preserve"> </w:t>
      </w:r>
    </w:p>
  </w:footnote>
  <w:footnote w:id="121">
    <w:p w14:paraId="04239EE1"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Corte IDH, Caso Barrios Altos Vs. Peru. Mérito. Sentença de 14 de março de 2001. Série C Nº 75, par. 48.</w:t>
      </w:r>
    </w:p>
  </w:footnote>
  <w:footnote w:id="122">
    <w:p w14:paraId="6592CFCA"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Corte IDH, Caso Loayza Tamayo Vs. Peru. Reparações e Custas. Sentença de 27 de novembro de 1998. Série C Nº 42, par. 169; Caso Fairén Garbi e Solís Corrales Vs. Honduras. Exceções Preliminares. Sentença de 26 de junho de 1987. Série C Nº 2, par. 90.</w:t>
      </w:r>
    </w:p>
  </w:footnote>
  <w:footnote w:id="123">
    <w:p w14:paraId="4C3A5F1C" w14:textId="77777777" w:rsidR="00AA34B1" w:rsidRPr="006166DA" w:rsidRDefault="00AA34B1" w:rsidP="007B52F2">
      <w:pPr>
        <w:pStyle w:val="FootnoteText"/>
        <w:ind w:firstLine="720"/>
        <w:jc w:val="both"/>
        <w:rPr>
          <w:rFonts w:ascii="Cambria" w:hAnsi="Cambria"/>
          <w:color w:val="auto"/>
          <w:sz w:val="16"/>
          <w:szCs w:val="16"/>
          <w:lang w:val="pt-BR"/>
        </w:rPr>
      </w:pPr>
      <w:r w:rsidRPr="006166DA">
        <w:rPr>
          <w:rStyle w:val="FootnoteReference"/>
          <w:rFonts w:ascii="Cambria" w:hAnsi="Cambria"/>
          <w:color w:val="auto"/>
          <w:sz w:val="16"/>
          <w:szCs w:val="16"/>
          <w:lang w:val="pt-BR"/>
        </w:rPr>
        <w:footnoteRef/>
      </w:r>
      <w:r w:rsidRPr="006166DA">
        <w:rPr>
          <w:rStyle w:val="FootnoteReference"/>
          <w:rFonts w:ascii="Cambria" w:hAnsi="Cambria"/>
          <w:color w:val="auto"/>
          <w:sz w:val="16"/>
          <w:szCs w:val="16"/>
          <w:lang w:val="pt-BR"/>
        </w:rPr>
        <w:t xml:space="preserve"> </w:t>
      </w:r>
      <w:r w:rsidRPr="006166DA">
        <w:rPr>
          <w:rFonts w:ascii="Cambria" w:hAnsi="Cambria"/>
          <w:color w:val="auto"/>
          <w:sz w:val="16"/>
          <w:szCs w:val="16"/>
          <w:lang w:val="pt-BR"/>
        </w:rPr>
        <w:t xml:space="preserve"> Corte IDH, Caso Velásquez Rodríguez Vs. Honduras. Mérito. Sentença de 29 de julho de 1988. Série C Nº 4, par. 177; e </w:t>
      </w:r>
      <w:r w:rsidRPr="006166DA">
        <w:rPr>
          <w:rFonts w:ascii="Cambria" w:hAnsi="Cambria"/>
          <w:bCs/>
          <w:color w:val="auto"/>
          <w:sz w:val="16"/>
          <w:szCs w:val="16"/>
          <w:lang w:val="pt-BR"/>
        </w:rPr>
        <w:t xml:space="preserve">Caso Cantoral Huamaní e García Santa Cruz Vs. Peru. </w:t>
      </w:r>
      <w:r w:rsidRPr="006166DA">
        <w:rPr>
          <w:rFonts w:ascii="Cambria" w:hAnsi="Cambria"/>
          <w:color w:val="auto"/>
          <w:sz w:val="16"/>
          <w:szCs w:val="16"/>
          <w:lang w:val="pt-BR"/>
        </w:rPr>
        <w:t xml:space="preserve">Exceção Preliminar, Mérito, Reparações e Custas. Sentença de 10 de julho de 2007. Série C Nº 167, par. 131. </w:t>
      </w:r>
    </w:p>
  </w:footnote>
  <w:footnote w:id="124">
    <w:p w14:paraId="765F9022" w14:textId="77777777" w:rsidR="00AA34B1" w:rsidRPr="006166DA" w:rsidRDefault="00AA34B1" w:rsidP="007B52F2">
      <w:pPr>
        <w:tabs>
          <w:tab w:val="left" w:pos="567"/>
        </w:tabs>
        <w:ind w:firstLine="720"/>
        <w:jc w:val="both"/>
        <w:rPr>
          <w:rFonts w:ascii="Cambria" w:hAnsi="Cambria" w:cs="Calibri"/>
          <w:color w:val="000000"/>
          <w:sz w:val="16"/>
          <w:szCs w:val="16"/>
          <w:u w:color="000000"/>
          <w:lang w:val="pt-BR" w:eastAsia="es-ES"/>
        </w:rPr>
      </w:pPr>
      <w:r w:rsidRPr="006166DA">
        <w:rPr>
          <w:rStyle w:val="FootnoteReference"/>
          <w:rFonts w:ascii="Cambria" w:hAnsi="Cambria"/>
          <w:spacing w:val="-6"/>
          <w:sz w:val="16"/>
          <w:szCs w:val="16"/>
          <w:lang w:val="pt-BR"/>
        </w:rPr>
        <w:footnoteRef/>
      </w:r>
      <w:r w:rsidRPr="006166DA">
        <w:rPr>
          <w:rFonts w:ascii="Cambria" w:hAnsi="Cambria" w:cs="Calibri"/>
          <w:color w:val="000000"/>
          <w:sz w:val="16"/>
          <w:szCs w:val="16"/>
          <w:u w:color="000000"/>
          <w:lang w:val="pt-BR" w:eastAsia="es-ES"/>
        </w:rPr>
        <w:t xml:space="preserve"> Corte IDH. Caso Velásquez Rodríguez Vs. Honduras. Mérito. Sentença de 29 de julho de 1988. Série C Nº 1, par. 177; e Caso Veliz Franco e outros Vs. Guatemala. Exceções Preliminares. Mérito, Reparações e Custas. Sentença de 19 de maio de 2014. Série C Nº 277, par.183.</w:t>
      </w:r>
    </w:p>
  </w:footnote>
  <w:footnote w:id="125">
    <w:p w14:paraId="4B2955D2" w14:textId="77777777" w:rsidR="00AA34B1" w:rsidRPr="006166DA" w:rsidRDefault="00AA34B1" w:rsidP="007B52F2">
      <w:pPr>
        <w:pStyle w:val="FootnoteText"/>
        <w:ind w:firstLine="720"/>
        <w:jc w:val="both"/>
        <w:rPr>
          <w:rFonts w:ascii="Cambria" w:hAnsi="Cambria"/>
          <w:color w:val="auto"/>
          <w:sz w:val="16"/>
          <w:szCs w:val="16"/>
          <w:lang w:val="pt-BR"/>
        </w:rPr>
      </w:pPr>
      <w:r w:rsidRPr="006166DA">
        <w:rPr>
          <w:rStyle w:val="FootnoteReference"/>
          <w:rFonts w:ascii="Cambria" w:hAnsi="Cambria"/>
          <w:color w:val="auto"/>
          <w:sz w:val="16"/>
          <w:szCs w:val="16"/>
          <w:lang w:val="pt-BR"/>
        </w:rPr>
        <w:footnoteRef/>
      </w:r>
      <w:r w:rsidRPr="006166DA">
        <w:rPr>
          <w:rFonts w:ascii="Cambria" w:hAnsi="Cambria"/>
          <w:color w:val="auto"/>
          <w:sz w:val="16"/>
          <w:szCs w:val="16"/>
          <w:lang w:val="pt-BR"/>
        </w:rPr>
        <w:t xml:space="preserve"> CIDH, Relatório sobre a Situação das Defensoras e Defensores dos Direitos Humanos nas Américas OEA/Ser.L/V/II.124. Doc. 5 rev.1, 7 de março de 2006, par. 109. Corte I.D.H., </w:t>
      </w:r>
      <w:r w:rsidRPr="006166DA">
        <w:rPr>
          <w:rFonts w:ascii="Cambria" w:hAnsi="Cambria"/>
          <w:bCs/>
          <w:color w:val="auto"/>
          <w:sz w:val="16"/>
          <w:szCs w:val="16"/>
          <w:lang w:val="pt-BR"/>
        </w:rPr>
        <w:t>Caso dos Hermanos Gómez Paquiyauri Vs. Peru.</w:t>
      </w:r>
      <w:r w:rsidRPr="006166DA">
        <w:rPr>
          <w:rFonts w:ascii="Cambria" w:hAnsi="Cambria"/>
          <w:b/>
          <w:bCs/>
          <w:color w:val="auto"/>
          <w:sz w:val="16"/>
          <w:szCs w:val="16"/>
          <w:lang w:val="pt-BR"/>
        </w:rPr>
        <w:t xml:space="preserve"> </w:t>
      </w:r>
      <w:r w:rsidRPr="006166DA">
        <w:rPr>
          <w:rFonts w:ascii="Cambria" w:hAnsi="Cambria"/>
          <w:color w:val="auto"/>
          <w:sz w:val="16"/>
          <w:szCs w:val="16"/>
          <w:lang w:val="pt-BR"/>
        </w:rPr>
        <w:t xml:space="preserve">Mérito, Reparações e Custas. Sentença de 8 de julho de 2004. Série C Nº 110, par. 146; </w:t>
      </w:r>
      <w:r w:rsidRPr="006166DA">
        <w:rPr>
          <w:rFonts w:ascii="Cambria" w:hAnsi="Cambria"/>
          <w:bCs/>
          <w:color w:val="auto"/>
          <w:sz w:val="16"/>
          <w:szCs w:val="16"/>
          <w:lang w:val="pt-BR"/>
        </w:rPr>
        <w:t xml:space="preserve">Caso Myrna Mack Chang Vs. Guatemala. </w:t>
      </w:r>
      <w:r w:rsidRPr="006166DA">
        <w:rPr>
          <w:rFonts w:ascii="Cambria" w:hAnsi="Cambria"/>
          <w:color w:val="auto"/>
          <w:sz w:val="16"/>
          <w:szCs w:val="16"/>
          <w:lang w:val="pt-BR"/>
        </w:rPr>
        <w:t xml:space="preserve">Mérito, Reparações e Custas. Sentença de 25 de novembro de 2003. Série C Nº 101, par. 275; </w:t>
      </w:r>
      <w:r w:rsidRPr="006166DA">
        <w:rPr>
          <w:rFonts w:ascii="Cambria" w:hAnsi="Cambria"/>
          <w:bCs/>
          <w:color w:val="auto"/>
          <w:sz w:val="16"/>
          <w:szCs w:val="16"/>
          <w:lang w:val="pt-BR"/>
        </w:rPr>
        <w:t>Caso Juan Humberto Sánchez Vs. Honduras.</w:t>
      </w:r>
      <w:r w:rsidRPr="006166DA">
        <w:rPr>
          <w:rFonts w:ascii="Cambria" w:hAnsi="Cambria"/>
          <w:b/>
          <w:bCs/>
          <w:color w:val="auto"/>
          <w:sz w:val="16"/>
          <w:szCs w:val="16"/>
          <w:lang w:val="pt-BR"/>
        </w:rPr>
        <w:t xml:space="preserve"> </w:t>
      </w:r>
      <w:r w:rsidRPr="006166DA">
        <w:rPr>
          <w:rFonts w:ascii="Cambria" w:hAnsi="Cambria"/>
          <w:color w:val="auto"/>
          <w:sz w:val="16"/>
          <w:szCs w:val="16"/>
          <w:lang w:val="pt-BR"/>
        </w:rPr>
        <w:t xml:space="preserve">Exceção Preliminar, Mérito, Reparações e Custas. Sentença de 7 de junho de 2003. Série C Nº 99, par. 186; e </w:t>
      </w:r>
      <w:r w:rsidRPr="006166DA">
        <w:rPr>
          <w:rFonts w:ascii="Cambria" w:hAnsi="Cambria"/>
          <w:bCs/>
          <w:color w:val="auto"/>
          <w:sz w:val="16"/>
          <w:szCs w:val="16"/>
          <w:lang w:val="pt-BR"/>
        </w:rPr>
        <w:t xml:space="preserve">Caso do Tribunal Constitucional Vs. Peru. </w:t>
      </w:r>
      <w:r w:rsidRPr="006166DA">
        <w:rPr>
          <w:rFonts w:ascii="Cambria" w:hAnsi="Cambria"/>
          <w:color w:val="auto"/>
          <w:sz w:val="16"/>
          <w:szCs w:val="16"/>
          <w:lang w:val="pt-BR"/>
        </w:rPr>
        <w:t xml:space="preserve">Competência. Sentença de 24 de setembro de 1999. Série C Nº 55, par. 123.  </w:t>
      </w:r>
    </w:p>
  </w:footnote>
  <w:footnote w:id="126">
    <w:p w14:paraId="0BCE41AB" w14:textId="77777777" w:rsidR="00AA34B1" w:rsidRPr="006166DA" w:rsidRDefault="00AA34B1" w:rsidP="007B52F2">
      <w:pPr>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Corte IDH, Caso Gómez Palomino Vs. Peru. </w:t>
      </w:r>
      <w:hyperlink r:id="rId5" w:history="1">
        <w:r w:rsidRPr="006166DA">
          <w:rPr>
            <w:rStyle w:val="Hyperlink"/>
            <w:rFonts w:ascii="Cambria" w:hAnsi="Cambria"/>
            <w:sz w:val="16"/>
            <w:szCs w:val="16"/>
            <w:shd w:val="clear" w:color="auto" w:fill="FFFFFF"/>
            <w:lang w:val="pt-BR"/>
          </w:rPr>
          <w:t>Mérito, Reparações e Custas. Sentença de 22 de novembro de 2005. Série C Nº 136</w:t>
        </w:r>
      </w:hyperlink>
      <w:r w:rsidRPr="006166DA">
        <w:rPr>
          <w:rFonts w:ascii="Cambria" w:hAnsi="Cambria"/>
          <w:sz w:val="16"/>
          <w:szCs w:val="16"/>
          <w:lang w:val="pt-BR"/>
        </w:rPr>
        <w:t xml:space="preserve">, par. 78; Caso Almonacid Arellano e outros Vs. Chile. </w:t>
      </w:r>
      <w:hyperlink r:id="rId6" w:history="1">
        <w:r w:rsidRPr="006166DA">
          <w:rPr>
            <w:rStyle w:val="Hyperlink"/>
            <w:rFonts w:ascii="Cambria" w:hAnsi="Cambria"/>
            <w:sz w:val="16"/>
            <w:szCs w:val="16"/>
            <w:shd w:val="clear" w:color="auto" w:fill="FFFFFF"/>
            <w:lang w:val="pt-BR"/>
          </w:rPr>
          <w:t>Exceções Preliminares, Mérito, Reparações e Custas. Sentença de 26 de setembro de 2006. Série C Nº 154</w:t>
        </w:r>
      </w:hyperlink>
      <w:r w:rsidRPr="006166DA">
        <w:rPr>
          <w:rFonts w:ascii="Cambria" w:hAnsi="Cambria"/>
          <w:sz w:val="16"/>
          <w:szCs w:val="16"/>
          <w:lang w:val="pt-BR"/>
        </w:rPr>
        <w:t xml:space="preserve">, par. 150; e Caso do Massacre de la Rochela Vs. Colômbia.  Mérito, Reparações e Custas. Sentença de 11 de maio de 2007.  Série C. Nº 163, par. 147. </w:t>
      </w:r>
    </w:p>
  </w:footnote>
  <w:footnote w:id="127">
    <w:p w14:paraId="02B9F193" w14:textId="77777777" w:rsidR="00AA34B1" w:rsidRPr="006166DA" w:rsidRDefault="00AA34B1" w:rsidP="007B52F2">
      <w:pPr>
        <w:tabs>
          <w:tab w:val="left" w:pos="360"/>
          <w:tab w:val="left" w:pos="900"/>
          <w:tab w:val="left" w:pos="1080"/>
        </w:tabs>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CIDH, Relatório Nº 49/15, Caso 12.585, Mérito, Ángel Pacheco León e família, Honduras, 28 de julho de 2015, par.80.</w:t>
      </w:r>
    </w:p>
  </w:footnote>
  <w:footnote w:id="128">
    <w:p w14:paraId="32754D93"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CIDH, Relatório Nº 85/13, Caso 12.251, Admissibilidade e Mérito, Vereda la Esperanza, Colômbia, 4 de novembro de 2013, par. 242. Corte IDH, Caso Kawas Fernández Vs. Honduras. Mérito, Reparações e Custas. Sentença de 3 de abril de 2009 Série C Nº 196, par. 101.</w:t>
      </w:r>
    </w:p>
  </w:footnote>
  <w:footnote w:id="129">
    <w:p w14:paraId="592DCA95"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Corte IDH. </w:t>
      </w:r>
      <w:r w:rsidRPr="009309B8">
        <w:rPr>
          <w:rFonts w:ascii="Cambria" w:hAnsi="Cambria"/>
          <w:sz w:val="16"/>
          <w:szCs w:val="16"/>
          <w:lang w:val="pt-BR"/>
        </w:rPr>
        <w:t xml:space="preserve">Caso Myrna Mack Chang vs. Guatemala. </w:t>
      </w:r>
      <w:r w:rsidRPr="006166DA">
        <w:rPr>
          <w:rFonts w:ascii="Cambria" w:hAnsi="Cambria"/>
          <w:sz w:val="16"/>
          <w:szCs w:val="16"/>
          <w:lang w:val="pt-BR"/>
        </w:rPr>
        <w:t>Mérito, Reparações e Custas. Sentença de 25 de novembro de 2003. Série C Nº 101, par. 156; e Caso das Comunidades Afrodescendentes Deslocadas da Bacia do Rio Cacarica (Operação Gênesis) Vs. Colômbia. Exceções Preliminares, Mérito, Reparações e Custas. Sentença de 20 de novembro de 2013. Série C Nº 270, par. 371.</w:t>
      </w:r>
    </w:p>
  </w:footnote>
  <w:footnote w:id="130">
    <w:p w14:paraId="4CC1A03A" w14:textId="77777777" w:rsidR="00AA34B1" w:rsidRPr="006166DA" w:rsidRDefault="00AA34B1" w:rsidP="007B52F2">
      <w:pPr>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CIDH, Relatório de Mérito, N˚ 55/97, Juan Carlos Abella e outros (Argentina), 18 de novembro de 1997, par. 412.</w:t>
      </w:r>
    </w:p>
  </w:footnote>
  <w:footnote w:id="131">
    <w:p w14:paraId="3B2CB2B4"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CIDH, Relatório Nº 25/09 Mérito (Sebastião Camargo Filho) Brasil, 19 de março de 2009, par. 109. Ver também, CIDH, Acesso à Justiça para as Mulheres Vítimas de Violência nas Américas, OEA/Ser. L/V/II. doc.68, 20 de janeiro de 2007, par. 41.</w:t>
      </w:r>
    </w:p>
  </w:footnote>
  <w:footnote w:id="132">
    <w:p w14:paraId="3CD070DE"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Corte IDH. </w:t>
      </w:r>
      <w:r w:rsidRPr="001176DC">
        <w:rPr>
          <w:rFonts w:ascii="Cambria" w:hAnsi="Cambria"/>
          <w:iCs/>
          <w:sz w:val="16"/>
          <w:szCs w:val="16"/>
          <w:lang w:val="es-CO"/>
        </w:rPr>
        <w:t>Caso dos “Niños de la Calle” (Villagrán Morales e outros).</w:t>
      </w:r>
      <w:r w:rsidRPr="001176DC">
        <w:rPr>
          <w:rFonts w:ascii="Cambria" w:hAnsi="Cambria"/>
          <w:sz w:val="16"/>
          <w:szCs w:val="16"/>
          <w:lang w:val="es-CO"/>
        </w:rPr>
        <w:t xml:space="preserve"> </w:t>
      </w:r>
      <w:r w:rsidRPr="006166DA">
        <w:rPr>
          <w:rFonts w:ascii="Cambria" w:hAnsi="Cambria"/>
          <w:sz w:val="16"/>
          <w:szCs w:val="16"/>
          <w:lang w:val="pt-BR"/>
        </w:rPr>
        <w:t>Sentença de 19 de novembro de 1999. Série C Nº 63, par. 230. Ver também, CIDH, Acesso à Justiça para as Mulheres Vítimas de Violência nas Américas, OEA/Ser. L/V/II. doc.68, 20 de janeiro de 2007, par. 41.</w:t>
      </w:r>
    </w:p>
  </w:footnote>
  <w:footnote w:id="133">
    <w:p w14:paraId="2386C772"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CIDH, Relatório Nº 56/12, Caso 12.775, Relatório de Mérito, Florentín Gudiel Ramos e Makrina Gudiel Álvarez, 21 de março de 2012. </w:t>
      </w:r>
    </w:p>
  </w:footnote>
  <w:footnote w:id="134">
    <w:p w14:paraId="049E2F3E" w14:textId="77777777" w:rsidR="00AA34B1" w:rsidRPr="006166DA" w:rsidRDefault="00AA34B1" w:rsidP="007B52F2">
      <w:pPr>
        <w:pStyle w:val="FootnoteText"/>
        <w:ind w:firstLine="720"/>
        <w:jc w:val="both"/>
        <w:rPr>
          <w:rFonts w:ascii="Cambria" w:hAnsi="Cambria"/>
          <w:color w:val="auto"/>
          <w:sz w:val="16"/>
          <w:szCs w:val="16"/>
          <w:lang w:val="pt-BR"/>
        </w:rPr>
      </w:pPr>
      <w:r w:rsidRPr="006166DA">
        <w:rPr>
          <w:rStyle w:val="FootnoteReference"/>
          <w:rFonts w:ascii="Cambria" w:hAnsi="Cambria"/>
          <w:color w:val="auto"/>
          <w:sz w:val="16"/>
          <w:szCs w:val="16"/>
          <w:lang w:val="pt-BR"/>
        </w:rPr>
        <w:footnoteRef/>
      </w:r>
      <w:r w:rsidRPr="006166DA">
        <w:rPr>
          <w:rFonts w:ascii="Cambria" w:hAnsi="Cambria"/>
          <w:color w:val="auto"/>
          <w:sz w:val="16"/>
          <w:szCs w:val="16"/>
          <w:lang w:val="pt-BR"/>
        </w:rPr>
        <w:t xml:space="preserve"> Corte IDH, </w:t>
      </w:r>
      <w:hyperlink r:id="rId7" w:history="1">
        <w:r w:rsidRPr="006166DA">
          <w:rPr>
            <w:rStyle w:val="Hyperlink"/>
            <w:rFonts w:ascii="Cambria" w:hAnsi="Cambria"/>
            <w:color w:val="auto"/>
            <w:sz w:val="16"/>
            <w:szCs w:val="16"/>
            <w:shd w:val="clear" w:color="auto" w:fill="FFFFFF"/>
            <w:lang w:val="pt-BR"/>
          </w:rPr>
          <w:t>Caso González Medina e familiares Vs. República Dominicana. Exceções Preliminares, Mérito, Reparações e Custas. Sentença de 27 de fevereiro de 2012 Série C Nº 240</w:t>
        </w:r>
      </w:hyperlink>
      <w:r w:rsidRPr="006166DA">
        <w:rPr>
          <w:rFonts w:ascii="Cambria" w:hAnsi="Cambria"/>
          <w:color w:val="auto"/>
          <w:sz w:val="16"/>
          <w:szCs w:val="16"/>
          <w:lang w:val="pt-BR"/>
        </w:rPr>
        <w:t>, par. 115.</w:t>
      </w:r>
    </w:p>
  </w:footnote>
  <w:footnote w:id="135">
    <w:p w14:paraId="4387144C" w14:textId="77777777" w:rsidR="00AA34B1" w:rsidRPr="006166DA" w:rsidRDefault="00AA34B1" w:rsidP="007B52F2">
      <w:pPr>
        <w:pStyle w:val="FootnoteText"/>
        <w:ind w:firstLine="720"/>
        <w:jc w:val="both"/>
        <w:rPr>
          <w:rFonts w:ascii="Cambria" w:hAnsi="Cambria"/>
          <w:color w:val="auto"/>
          <w:sz w:val="16"/>
          <w:szCs w:val="16"/>
          <w:lang w:val="pt-BR"/>
        </w:rPr>
      </w:pPr>
      <w:r w:rsidRPr="006166DA">
        <w:rPr>
          <w:rStyle w:val="FootnoteReference"/>
          <w:rFonts w:ascii="Cambria" w:hAnsi="Cambria"/>
          <w:color w:val="auto"/>
          <w:sz w:val="16"/>
          <w:szCs w:val="16"/>
          <w:lang w:val="pt-BR"/>
        </w:rPr>
        <w:footnoteRef/>
      </w:r>
      <w:r w:rsidRPr="006166DA">
        <w:rPr>
          <w:rFonts w:ascii="Cambria" w:hAnsi="Cambria"/>
          <w:color w:val="auto"/>
          <w:sz w:val="16"/>
          <w:szCs w:val="16"/>
          <w:lang w:val="pt-BR"/>
        </w:rPr>
        <w:t xml:space="preserve"> Corte IDH, </w:t>
      </w:r>
      <w:hyperlink r:id="rId8" w:history="1">
        <w:r w:rsidRPr="006166DA">
          <w:rPr>
            <w:rStyle w:val="Hyperlink"/>
            <w:rFonts w:ascii="Cambria" w:hAnsi="Cambria"/>
            <w:color w:val="auto"/>
            <w:sz w:val="16"/>
            <w:szCs w:val="16"/>
            <w:shd w:val="clear" w:color="auto" w:fill="FFFFFF"/>
            <w:lang w:val="pt-BR"/>
          </w:rPr>
          <w:t>Caso Uzcátegui e outros Vs. Venezuela. Mérito e Reparações. Sentença de 3 de setembro de 2012 Série C Nº 249</w:t>
        </w:r>
      </w:hyperlink>
      <w:r w:rsidRPr="006166DA">
        <w:rPr>
          <w:rFonts w:ascii="Cambria" w:hAnsi="Cambria"/>
          <w:color w:val="auto"/>
          <w:sz w:val="16"/>
          <w:szCs w:val="16"/>
          <w:lang w:val="pt-BR"/>
        </w:rPr>
        <w:t>, par. 225.</w:t>
      </w:r>
    </w:p>
  </w:footnote>
  <w:footnote w:id="136">
    <w:p w14:paraId="302278FC"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CIDH, Relatório Nº 53/13, Caso 12.777, Mérito, Claudina Velásquez Paiz e outros, Guatemala, 4 de novembro de 2013, par. 122.</w:t>
      </w:r>
    </w:p>
  </w:footnote>
  <w:footnote w:id="137">
    <w:p w14:paraId="35881910"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9309B8">
        <w:rPr>
          <w:rFonts w:ascii="Cambria" w:hAnsi="Cambria"/>
          <w:sz w:val="16"/>
          <w:szCs w:val="16"/>
          <w:lang w:val="it-IT"/>
        </w:rPr>
        <w:t xml:space="preserve"> Corte IDH, </w:t>
      </w:r>
      <w:hyperlink r:id="rId9" w:history="1">
        <w:r w:rsidRPr="009309B8">
          <w:rPr>
            <w:rStyle w:val="Hyperlink"/>
            <w:rFonts w:ascii="Cambria" w:hAnsi="Cambria"/>
            <w:color w:val="auto"/>
            <w:sz w:val="16"/>
            <w:szCs w:val="16"/>
            <w:shd w:val="clear" w:color="auto" w:fill="FFFFFF"/>
            <w:lang w:val="it-IT"/>
          </w:rPr>
          <w:t xml:space="preserve">Caso Luna López Vs. </w:t>
        </w:r>
        <w:r w:rsidRPr="006166DA">
          <w:rPr>
            <w:rStyle w:val="Hyperlink"/>
            <w:rFonts w:ascii="Cambria" w:hAnsi="Cambria"/>
            <w:color w:val="auto"/>
            <w:sz w:val="16"/>
            <w:szCs w:val="16"/>
            <w:shd w:val="clear" w:color="auto" w:fill="FFFFFF"/>
            <w:lang w:val="pt-BR"/>
          </w:rPr>
          <w:t>Honduras. Mérito, Reparações e Custas. Sentença de 10 de outubro de 2013. Série C Nº 269</w:t>
        </w:r>
      </w:hyperlink>
      <w:r w:rsidRPr="006166DA">
        <w:rPr>
          <w:rFonts w:ascii="Cambria" w:hAnsi="Cambria"/>
          <w:sz w:val="16"/>
          <w:szCs w:val="16"/>
          <w:lang w:val="pt-BR"/>
        </w:rPr>
        <w:t>, par. 188.</w:t>
      </w:r>
    </w:p>
  </w:footnote>
  <w:footnote w:id="138">
    <w:p w14:paraId="41365986"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CIDH, Relatório Nº 49/15, Caso 12.585, Mérito, Ángel Pacheco León e Família, Honduras, 28 de julho de 2015, par.113.</w:t>
      </w:r>
    </w:p>
  </w:footnote>
  <w:footnote w:id="139">
    <w:p w14:paraId="5D1533EF"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Ver, por exemplo, o artigo 47 do Código Processual Penal da República Dominicana, o artigo 34 do Código Processual Penal da Costa Rica e artigo 33 do Código Processual Penal da Guatemala.  </w:t>
      </w:r>
    </w:p>
  </w:footnote>
  <w:footnote w:id="140">
    <w:p w14:paraId="117631E4" w14:textId="77777777" w:rsidR="00AA34B1" w:rsidRPr="006166DA" w:rsidRDefault="00AA34B1" w:rsidP="00484D2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left="720"/>
        <w:jc w:val="both"/>
        <w:rPr>
          <w:rFonts w:ascii="Cambria" w:hAnsi="Cambria"/>
          <w:sz w:val="16"/>
          <w:szCs w:val="16"/>
          <w:lang w:val="pt-BR" w:eastAsia="es-ES"/>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w:t>
      </w:r>
      <w:r w:rsidRPr="006166DA">
        <w:rPr>
          <w:rFonts w:ascii="Cambria" w:hAnsi="Cambria"/>
          <w:sz w:val="16"/>
          <w:szCs w:val="16"/>
          <w:lang w:val="pt-BR" w:eastAsia="es-ES"/>
        </w:rPr>
        <w:t xml:space="preserve">O artigo I da Declaração Americana dos Direitos e Deveres do Homem estabelece: </w:t>
      </w:r>
      <w:r w:rsidRPr="006166DA">
        <w:rPr>
          <w:rFonts w:ascii="Cambria" w:eastAsia="Cambria" w:hAnsi="Cambria" w:cs="Verdana"/>
          <w:sz w:val="16"/>
          <w:szCs w:val="16"/>
          <w:u w:color="000000"/>
          <w:lang w:val="pt-BR" w:eastAsia="es-ES" w:bidi="en-US"/>
        </w:rPr>
        <w:t xml:space="preserve">“Todo ser humano tem direito à vida, à liberdade e à segurança de sua pessoa”. </w:t>
      </w:r>
    </w:p>
  </w:footnote>
  <w:footnote w:id="141">
    <w:p w14:paraId="7E64B80A"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CIDH, Relatório Nº 83/13, Caso 12.595, 12.596 e 12.621, Mérito, Ana Teresa Yarce e outras (Comuna 13), Colômbia, 4 de novembro de 2013, par.250.</w:t>
      </w:r>
    </w:p>
  </w:footnote>
  <w:footnote w:id="142">
    <w:p w14:paraId="78F54B05" w14:textId="77777777" w:rsidR="00AA34B1" w:rsidRPr="006166DA" w:rsidRDefault="00AA34B1" w:rsidP="007B52F2">
      <w:pPr>
        <w:pStyle w:val="FootnoteText"/>
        <w:ind w:firstLine="720"/>
        <w:rPr>
          <w:rFonts w:asciiTheme="majorHAnsi" w:hAnsiTheme="majorHAnsi"/>
          <w:sz w:val="16"/>
          <w:szCs w:val="16"/>
          <w:lang w:val="pt-BR"/>
        </w:rPr>
      </w:pPr>
      <w:r w:rsidRPr="006166DA">
        <w:rPr>
          <w:rStyle w:val="FootnoteReference"/>
          <w:rFonts w:asciiTheme="majorHAnsi" w:hAnsiTheme="majorHAnsi"/>
          <w:sz w:val="16"/>
          <w:szCs w:val="16"/>
          <w:lang w:val="pt-BR"/>
        </w:rPr>
        <w:footnoteRef/>
      </w:r>
      <w:r w:rsidRPr="006166DA">
        <w:rPr>
          <w:rFonts w:asciiTheme="majorHAnsi" w:hAnsiTheme="majorHAnsi"/>
          <w:sz w:val="16"/>
          <w:szCs w:val="16"/>
          <w:lang w:val="pt-BR"/>
        </w:rPr>
        <w:t xml:space="preserve"> CIDH, Relatório Nº 24/98, Caso 11.287, João Canuto de Oliveira, Brasil, 7 de abril de 1998, par.48.</w:t>
      </w:r>
    </w:p>
  </w:footnote>
  <w:footnote w:id="143">
    <w:p w14:paraId="754BF487" w14:textId="77777777" w:rsidR="00AA34B1" w:rsidRPr="009309B8" w:rsidRDefault="00AA34B1" w:rsidP="007B52F2">
      <w:pPr>
        <w:pStyle w:val="FootnoteText"/>
        <w:ind w:firstLine="720"/>
        <w:jc w:val="both"/>
        <w:rPr>
          <w:rFonts w:ascii="Cambria" w:hAnsi="Cambria"/>
          <w:color w:val="auto"/>
          <w:sz w:val="16"/>
          <w:szCs w:val="16"/>
        </w:rPr>
      </w:pPr>
      <w:r w:rsidRPr="006166DA">
        <w:rPr>
          <w:rStyle w:val="FootnoteReference"/>
          <w:rFonts w:ascii="Cambria" w:hAnsi="Cambria"/>
          <w:color w:val="auto"/>
          <w:sz w:val="16"/>
          <w:szCs w:val="16"/>
          <w:lang w:val="pt-BR"/>
        </w:rPr>
        <w:footnoteRef/>
      </w:r>
      <w:r w:rsidRPr="006166DA">
        <w:rPr>
          <w:rFonts w:ascii="Cambria" w:hAnsi="Cambria"/>
          <w:color w:val="auto"/>
          <w:sz w:val="16"/>
          <w:szCs w:val="16"/>
          <w:lang w:val="pt-BR"/>
        </w:rPr>
        <w:t xml:space="preserve"> Corte I.D.H., </w:t>
      </w:r>
      <w:hyperlink r:id="rId10" w:history="1">
        <w:r w:rsidRPr="006166DA">
          <w:rPr>
            <w:rStyle w:val="Hyperlink"/>
            <w:rFonts w:ascii="Cambria" w:hAnsi="Cambria"/>
            <w:color w:val="auto"/>
            <w:sz w:val="16"/>
            <w:szCs w:val="16"/>
            <w:shd w:val="clear" w:color="auto" w:fill="FFFFFF"/>
            <w:lang w:val="pt-BR"/>
          </w:rPr>
          <w:t xml:space="preserve">Caso Castillo González e outros Vs. Venezuela. Mérito. Sentença de 27 de novembro de 2012. </w:t>
        </w:r>
        <w:r w:rsidRPr="009309B8">
          <w:rPr>
            <w:rStyle w:val="Hyperlink"/>
            <w:rFonts w:ascii="Cambria" w:hAnsi="Cambria"/>
            <w:color w:val="auto"/>
            <w:sz w:val="16"/>
            <w:szCs w:val="16"/>
            <w:shd w:val="clear" w:color="auto" w:fill="FFFFFF"/>
          </w:rPr>
          <w:t>Série C Nº 256</w:t>
        </w:r>
      </w:hyperlink>
      <w:r w:rsidRPr="009309B8">
        <w:rPr>
          <w:rFonts w:ascii="Cambria" w:hAnsi="Cambria"/>
          <w:color w:val="auto"/>
          <w:sz w:val="16"/>
          <w:szCs w:val="16"/>
        </w:rPr>
        <w:t>, par. 127.</w:t>
      </w:r>
    </w:p>
  </w:footnote>
  <w:footnote w:id="144">
    <w:p w14:paraId="7DF0C6AA" w14:textId="77777777" w:rsidR="00AA34B1" w:rsidRPr="001176DC" w:rsidRDefault="00AA34B1" w:rsidP="007B52F2">
      <w:pPr>
        <w:pStyle w:val="FootnoteText"/>
        <w:ind w:firstLine="720"/>
        <w:jc w:val="both"/>
        <w:rPr>
          <w:rFonts w:ascii="Cambria" w:hAnsi="Cambria"/>
          <w:color w:val="auto"/>
          <w:sz w:val="16"/>
          <w:szCs w:val="16"/>
        </w:rPr>
      </w:pPr>
      <w:r w:rsidRPr="006166DA">
        <w:rPr>
          <w:rStyle w:val="FootnoteReference"/>
          <w:rFonts w:ascii="Cambria" w:hAnsi="Cambria"/>
          <w:color w:val="auto"/>
          <w:sz w:val="16"/>
          <w:szCs w:val="16"/>
          <w:lang w:val="pt-BR"/>
        </w:rPr>
        <w:footnoteRef/>
      </w:r>
      <w:r w:rsidRPr="001176DC">
        <w:rPr>
          <w:rFonts w:ascii="Cambria" w:hAnsi="Cambria"/>
          <w:color w:val="auto"/>
          <w:sz w:val="16"/>
          <w:szCs w:val="16"/>
        </w:rPr>
        <w:t xml:space="preserve"> ECHR.  </w:t>
      </w:r>
      <w:r w:rsidRPr="001176DC">
        <w:rPr>
          <w:rFonts w:ascii="Cambria" w:hAnsi="Cambria"/>
          <w:i/>
          <w:noProof/>
          <w:color w:val="auto"/>
          <w:sz w:val="16"/>
          <w:szCs w:val="16"/>
        </w:rPr>
        <w:t>Khaindrava and Dzamashvili v. Georgia</w:t>
      </w:r>
      <w:r w:rsidRPr="001176DC">
        <w:rPr>
          <w:rFonts w:ascii="Cambria" w:hAnsi="Cambria"/>
          <w:noProof/>
          <w:color w:val="auto"/>
          <w:sz w:val="16"/>
          <w:szCs w:val="16"/>
        </w:rPr>
        <w:t xml:space="preserve">, Judgment of September 8, 2010, par. 58: </w:t>
      </w:r>
      <w:r w:rsidRPr="001176DC">
        <w:rPr>
          <w:rStyle w:val="ju-005fpara--char"/>
          <w:rFonts w:ascii="Cambria" w:hAnsi="Cambria"/>
          <w:i/>
          <w:iCs/>
          <w:noProof/>
          <w:color w:val="auto"/>
          <w:sz w:val="16"/>
          <w:szCs w:val="16"/>
        </w:rPr>
        <w:t>McCann and Others v. the United Kingdom</w:t>
      </w:r>
      <w:r w:rsidRPr="001176DC">
        <w:rPr>
          <w:rFonts w:ascii="Cambria" w:hAnsi="Cambria"/>
          <w:noProof/>
          <w:color w:val="auto"/>
          <w:sz w:val="16"/>
          <w:szCs w:val="16"/>
        </w:rPr>
        <w:t xml:space="preserve">. Judgment of September 27, 1995, par. 49 e 161; e </w:t>
      </w:r>
      <w:r w:rsidRPr="001176DC">
        <w:rPr>
          <w:rStyle w:val="ju-005fpara--char"/>
          <w:rFonts w:ascii="Cambria" w:hAnsi="Cambria"/>
          <w:i/>
          <w:iCs/>
          <w:noProof/>
          <w:color w:val="auto"/>
          <w:sz w:val="16"/>
          <w:szCs w:val="16"/>
        </w:rPr>
        <w:t xml:space="preserve">Mastromatteo v. Italy. </w:t>
      </w:r>
      <w:r w:rsidRPr="001176DC">
        <w:rPr>
          <w:rStyle w:val="ju-005fpara--char"/>
          <w:rFonts w:ascii="Cambria" w:hAnsi="Cambria"/>
          <w:iCs/>
          <w:noProof/>
          <w:color w:val="auto"/>
          <w:sz w:val="16"/>
          <w:szCs w:val="16"/>
        </w:rPr>
        <w:t xml:space="preserve">Judgment of </w:t>
      </w:r>
      <w:r w:rsidRPr="001176DC">
        <w:rPr>
          <w:rFonts w:ascii="Cambria" w:hAnsi="Cambria"/>
          <w:noProof/>
          <w:color w:val="auto"/>
          <w:sz w:val="16"/>
          <w:szCs w:val="16"/>
        </w:rPr>
        <w:t>October</w:t>
      </w:r>
      <w:r w:rsidRPr="001176DC">
        <w:rPr>
          <w:rFonts w:ascii="Cambria" w:hAnsi="Cambria"/>
          <w:color w:val="auto"/>
          <w:sz w:val="16"/>
          <w:szCs w:val="16"/>
        </w:rPr>
        <w:t xml:space="preserve"> 24, 2002, par. 89. </w:t>
      </w:r>
    </w:p>
  </w:footnote>
  <w:footnote w:id="145">
    <w:p w14:paraId="1902700E" w14:textId="77777777" w:rsidR="00AA34B1" w:rsidRPr="006166DA" w:rsidRDefault="00AA34B1" w:rsidP="007B52F2">
      <w:pPr>
        <w:pStyle w:val="FootnoteText"/>
        <w:ind w:firstLine="720"/>
        <w:jc w:val="both"/>
        <w:rPr>
          <w:rFonts w:ascii="Cambria" w:hAnsi="Cambria"/>
          <w:color w:val="auto"/>
          <w:sz w:val="16"/>
          <w:szCs w:val="16"/>
          <w:lang w:val="pt-BR"/>
        </w:rPr>
      </w:pPr>
      <w:r w:rsidRPr="006166DA">
        <w:rPr>
          <w:rStyle w:val="FootnoteReference"/>
          <w:rFonts w:ascii="Cambria" w:hAnsi="Cambria"/>
          <w:color w:val="auto"/>
          <w:sz w:val="16"/>
          <w:szCs w:val="16"/>
          <w:lang w:val="pt-BR"/>
        </w:rPr>
        <w:footnoteRef/>
      </w:r>
      <w:r w:rsidRPr="006166DA">
        <w:rPr>
          <w:rFonts w:ascii="Cambria" w:hAnsi="Cambria"/>
          <w:color w:val="auto"/>
          <w:sz w:val="16"/>
          <w:szCs w:val="16"/>
          <w:lang w:val="pt-BR"/>
        </w:rPr>
        <w:t xml:space="preserve"> CIDH, Relatório Nº 120/10, Caso 12.605, Mérito, Joe Luis Castillo González, Venezuela, 22 de outubro de 2010, par. 109.</w:t>
      </w:r>
    </w:p>
  </w:footnote>
  <w:footnote w:id="146">
    <w:p w14:paraId="0D918C26" w14:textId="77777777" w:rsidR="00AA34B1" w:rsidRPr="006166DA" w:rsidRDefault="00AA34B1" w:rsidP="007B52F2">
      <w:pPr>
        <w:pStyle w:val="FootnoteText"/>
        <w:ind w:firstLine="720"/>
        <w:jc w:val="both"/>
        <w:rPr>
          <w:rFonts w:ascii="Cambria" w:hAnsi="Cambria"/>
          <w:color w:val="auto"/>
          <w:sz w:val="16"/>
          <w:szCs w:val="16"/>
          <w:lang w:val="pt-BR"/>
        </w:rPr>
      </w:pPr>
      <w:r w:rsidRPr="006166DA">
        <w:rPr>
          <w:rStyle w:val="FootnoteReference"/>
          <w:rFonts w:ascii="Cambria" w:hAnsi="Cambria"/>
          <w:color w:val="auto"/>
          <w:sz w:val="16"/>
          <w:szCs w:val="16"/>
          <w:lang w:val="pt-BR"/>
        </w:rPr>
        <w:footnoteRef/>
      </w:r>
      <w:r w:rsidRPr="006166DA">
        <w:rPr>
          <w:rFonts w:ascii="Cambria" w:hAnsi="Cambria"/>
          <w:color w:val="auto"/>
          <w:sz w:val="16"/>
          <w:szCs w:val="16"/>
          <w:lang w:val="pt-BR"/>
        </w:rPr>
        <w:t xml:space="preserve"> Corte IDH, </w:t>
      </w:r>
      <w:r w:rsidRPr="006166DA">
        <w:rPr>
          <w:rFonts w:ascii="Cambria" w:hAnsi="Cambria"/>
          <w:i/>
          <w:color w:val="auto"/>
          <w:sz w:val="16"/>
          <w:szCs w:val="16"/>
          <w:lang w:val="pt-BR"/>
        </w:rPr>
        <w:t>Caso Kawas Fernández Vs. Honduras</w:t>
      </w:r>
      <w:r w:rsidRPr="006166DA">
        <w:rPr>
          <w:rFonts w:ascii="Cambria" w:hAnsi="Cambria"/>
          <w:color w:val="auto"/>
          <w:sz w:val="16"/>
          <w:szCs w:val="16"/>
          <w:lang w:val="pt-BR"/>
        </w:rPr>
        <w:t>. Mérito, Reparações e Custas. Sentença de 3 de abril de 2009 Série C Nº 196, par. 97.</w:t>
      </w:r>
    </w:p>
  </w:footnote>
  <w:footnote w:id="147">
    <w:p w14:paraId="23BA5716" w14:textId="77777777" w:rsidR="00AA34B1" w:rsidRPr="006166DA" w:rsidRDefault="00AA34B1" w:rsidP="007B52F2">
      <w:pPr>
        <w:pStyle w:val="FootnoteText"/>
        <w:ind w:firstLine="720"/>
        <w:jc w:val="both"/>
        <w:rPr>
          <w:rFonts w:ascii="Cambria" w:hAnsi="Cambria"/>
          <w:color w:val="auto"/>
          <w:sz w:val="16"/>
          <w:szCs w:val="16"/>
          <w:lang w:val="pt-BR"/>
        </w:rPr>
      </w:pPr>
      <w:r w:rsidRPr="006166DA">
        <w:rPr>
          <w:rStyle w:val="FootnoteReference"/>
          <w:rFonts w:ascii="Cambria" w:hAnsi="Cambria"/>
          <w:color w:val="auto"/>
          <w:sz w:val="16"/>
          <w:szCs w:val="16"/>
          <w:lang w:val="pt-BR"/>
        </w:rPr>
        <w:footnoteRef/>
      </w:r>
      <w:r w:rsidRPr="006166DA">
        <w:rPr>
          <w:rFonts w:ascii="Cambria" w:hAnsi="Cambria"/>
          <w:color w:val="auto"/>
          <w:sz w:val="16"/>
          <w:szCs w:val="16"/>
          <w:lang w:val="pt-BR"/>
        </w:rPr>
        <w:t xml:space="preserve"> Corte IDH, </w:t>
      </w:r>
      <w:r w:rsidRPr="006166DA">
        <w:rPr>
          <w:rFonts w:ascii="Cambria" w:hAnsi="Cambria"/>
          <w:i/>
          <w:color w:val="auto"/>
          <w:sz w:val="16"/>
          <w:szCs w:val="16"/>
          <w:lang w:val="pt-BR"/>
        </w:rPr>
        <w:t>Caso Kawas Fernández Vs. Honduras</w:t>
      </w:r>
      <w:r w:rsidRPr="006166DA">
        <w:rPr>
          <w:rFonts w:ascii="Cambria" w:hAnsi="Cambria"/>
          <w:color w:val="auto"/>
          <w:sz w:val="16"/>
          <w:szCs w:val="16"/>
          <w:lang w:val="pt-BR"/>
        </w:rPr>
        <w:t>. Mérito, Reparações e Custas. Sentença de 3 de abril de 2009 Série C Nº 196, par. 97.</w:t>
      </w:r>
    </w:p>
  </w:footnote>
  <w:footnote w:id="148">
    <w:p w14:paraId="3EABB332" w14:textId="77777777" w:rsidR="00AA34B1" w:rsidRPr="006166DA" w:rsidRDefault="00AA34B1" w:rsidP="007B52F2">
      <w:pPr>
        <w:pStyle w:val="FootnoteText"/>
        <w:ind w:firstLine="720"/>
        <w:jc w:val="both"/>
        <w:rPr>
          <w:rFonts w:ascii="Cambria" w:hAnsi="Cambria"/>
          <w:color w:val="auto"/>
          <w:sz w:val="16"/>
          <w:szCs w:val="16"/>
          <w:lang w:val="pt-BR"/>
        </w:rPr>
      </w:pPr>
      <w:r w:rsidRPr="006166DA">
        <w:rPr>
          <w:rStyle w:val="FootnoteReference"/>
          <w:rFonts w:ascii="Cambria" w:hAnsi="Cambria"/>
          <w:color w:val="auto"/>
          <w:sz w:val="16"/>
          <w:szCs w:val="16"/>
          <w:lang w:val="pt-BR"/>
        </w:rPr>
        <w:footnoteRef/>
      </w:r>
      <w:r w:rsidRPr="006166DA">
        <w:rPr>
          <w:rFonts w:ascii="Cambria" w:hAnsi="Cambria"/>
          <w:color w:val="auto"/>
          <w:sz w:val="16"/>
          <w:szCs w:val="16"/>
          <w:lang w:val="pt-BR"/>
        </w:rPr>
        <w:t xml:space="preserve"> Corte IDH, </w:t>
      </w:r>
      <w:hyperlink r:id="rId11" w:history="1">
        <w:r w:rsidRPr="006166DA">
          <w:rPr>
            <w:rStyle w:val="Hyperlink"/>
            <w:rFonts w:ascii="Cambria" w:hAnsi="Cambria"/>
            <w:color w:val="auto"/>
            <w:sz w:val="16"/>
            <w:szCs w:val="16"/>
            <w:shd w:val="clear" w:color="auto" w:fill="FFFFFF"/>
            <w:lang w:val="pt-BR"/>
          </w:rPr>
          <w:t>Caso J. Vs. Peru. Exceção Preliminar, Mérito, Reparações e Custas. Sentença de 27 de novembro de 2013. Série C Nº 275</w:t>
        </w:r>
      </w:hyperlink>
      <w:r w:rsidRPr="006166DA">
        <w:rPr>
          <w:rFonts w:ascii="Cambria" w:hAnsi="Cambria"/>
          <w:color w:val="auto"/>
          <w:sz w:val="16"/>
          <w:szCs w:val="16"/>
          <w:lang w:val="pt-BR"/>
        </w:rPr>
        <w:t>, par. 353.</w:t>
      </w:r>
    </w:p>
  </w:footnote>
  <w:footnote w:id="149">
    <w:p w14:paraId="5C065496" w14:textId="77777777" w:rsidR="00AA34B1" w:rsidRPr="006166DA" w:rsidRDefault="00AA34B1" w:rsidP="007B52F2">
      <w:pPr>
        <w:pStyle w:val="FootnoteText"/>
        <w:ind w:firstLine="720"/>
        <w:jc w:val="both"/>
        <w:rPr>
          <w:rFonts w:ascii="Cambria" w:hAnsi="Cambria"/>
          <w:color w:val="auto"/>
          <w:sz w:val="16"/>
          <w:szCs w:val="16"/>
          <w:lang w:val="pt-BR"/>
        </w:rPr>
      </w:pPr>
      <w:r w:rsidRPr="006166DA">
        <w:rPr>
          <w:rStyle w:val="FootnoteReference"/>
          <w:rFonts w:ascii="Cambria" w:hAnsi="Cambria"/>
          <w:color w:val="auto"/>
          <w:sz w:val="16"/>
          <w:szCs w:val="16"/>
          <w:lang w:val="pt-BR"/>
        </w:rPr>
        <w:footnoteRef/>
      </w:r>
      <w:r w:rsidRPr="006166DA">
        <w:rPr>
          <w:rFonts w:ascii="Cambria" w:hAnsi="Cambria"/>
          <w:color w:val="auto"/>
          <w:sz w:val="16"/>
          <w:szCs w:val="16"/>
          <w:lang w:val="pt-BR"/>
        </w:rPr>
        <w:t xml:space="preserve"> Corte IDH, </w:t>
      </w:r>
      <w:hyperlink r:id="rId12" w:history="1">
        <w:r w:rsidRPr="006166DA">
          <w:rPr>
            <w:rStyle w:val="Hyperlink"/>
            <w:rFonts w:ascii="Cambria" w:hAnsi="Cambria"/>
            <w:color w:val="auto"/>
            <w:sz w:val="16"/>
            <w:szCs w:val="16"/>
            <w:shd w:val="clear" w:color="auto" w:fill="FFFFFF"/>
            <w:lang w:val="pt-BR"/>
          </w:rPr>
          <w:t>Caso J. Vs. Peru. Exceção Preliminar, Mérito, Reparações e Custas. Sentença de 27 de novembro de 2013. Série C Nº 275</w:t>
        </w:r>
      </w:hyperlink>
      <w:r w:rsidRPr="006166DA">
        <w:rPr>
          <w:rFonts w:ascii="Cambria" w:hAnsi="Cambria"/>
          <w:color w:val="auto"/>
          <w:sz w:val="16"/>
          <w:szCs w:val="16"/>
          <w:lang w:val="pt-BR"/>
        </w:rPr>
        <w:t>, par. 354.</w:t>
      </w:r>
    </w:p>
  </w:footnote>
  <w:footnote w:id="150">
    <w:p w14:paraId="79E7ED02" w14:textId="77777777" w:rsidR="00AA34B1" w:rsidRPr="006166DA" w:rsidRDefault="00AA34B1" w:rsidP="007B52F2">
      <w:pPr>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Corte IDH, </w:t>
      </w:r>
      <w:r w:rsidRPr="006166DA">
        <w:rPr>
          <w:rFonts w:ascii="Cambria" w:hAnsi="Cambria"/>
          <w:iCs/>
          <w:sz w:val="16"/>
          <w:szCs w:val="16"/>
          <w:lang w:val="pt-BR"/>
        </w:rPr>
        <w:t>Caso do “Massacre de Mapiripán” Vs. Colômbia</w:t>
      </w:r>
      <w:r w:rsidRPr="006166DA">
        <w:rPr>
          <w:rFonts w:ascii="Cambria" w:hAnsi="Cambria"/>
          <w:sz w:val="16"/>
          <w:szCs w:val="16"/>
          <w:lang w:val="pt-BR"/>
        </w:rPr>
        <w:t>. Mérito, Reparações e Custas. Sentença de 15 de setembro de 2005. Série C Nº 134, par. 111.</w:t>
      </w:r>
    </w:p>
  </w:footnote>
  <w:footnote w:id="151">
    <w:p w14:paraId="517C62DB" w14:textId="77777777" w:rsidR="00AA34B1" w:rsidRPr="006166DA" w:rsidRDefault="00AA34B1" w:rsidP="007B52F2">
      <w:pPr>
        <w:pStyle w:val="FootnoteText"/>
        <w:ind w:firstLine="720"/>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Corte IDH. Caso González e outras, “Campo Algodoner vs. México.</w:t>
      </w:r>
      <w:r w:rsidRPr="006166DA">
        <w:rPr>
          <w:rFonts w:ascii="Cambria" w:hAnsi="Cambria"/>
          <w:color w:val="auto"/>
          <w:sz w:val="16"/>
          <w:szCs w:val="16"/>
          <w:lang w:val="pt-BR"/>
        </w:rPr>
        <w:t xml:space="preserve"> Sentença de 16 de novembro de 2009.</w:t>
      </w:r>
    </w:p>
  </w:footnote>
  <w:footnote w:id="152">
    <w:p w14:paraId="2BE95296" w14:textId="77777777" w:rsidR="00AA34B1" w:rsidRPr="006166DA" w:rsidRDefault="00AA34B1" w:rsidP="007B52F2">
      <w:pPr>
        <w:pStyle w:val="FootnoteText"/>
        <w:ind w:firstLine="720"/>
        <w:rPr>
          <w:rFonts w:asciiTheme="majorHAnsi" w:hAnsiTheme="majorHAnsi"/>
          <w:sz w:val="16"/>
          <w:szCs w:val="16"/>
          <w:lang w:val="pt-BR"/>
        </w:rPr>
      </w:pPr>
      <w:r w:rsidRPr="006166DA">
        <w:rPr>
          <w:rStyle w:val="FootnoteReference"/>
          <w:rFonts w:asciiTheme="majorHAnsi" w:hAnsiTheme="majorHAnsi"/>
          <w:sz w:val="16"/>
          <w:szCs w:val="16"/>
          <w:lang w:val="pt-BR"/>
        </w:rPr>
        <w:footnoteRef/>
      </w:r>
      <w:r w:rsidRPr="006166DA">
        <w:rPr>
          <w:rFonts w:asciiTheme="majorHAnsi" w:hAnsiTheme="majorHAnsi"/>
          <w:sz w:val="16"/>
          <w:szCs w:val="16"/>
          <w:lang w:val="pt-BR"/>
        </w:rPr>
        <w:t xml:space="preserve"> Ver CIDH, Relatório Nº 24/98, Caso 11.287, João Canuto Oliveira, Brasil, 7 de abril de 1998, par. 53.</w:t>
      </w:r>
    </w:p>
  </w:footnote>
  <w:footnote w:id="153">
    <w:p w14:paraId="311214F7" w14:textId="77777777" w:rsidR="00AA34B1" w:rsidRPr="006166DA" w:rsidRDefault="00AA34B1" w:rsidP="007B52F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firstLine="720"/>
        <w:jc w:val="both"/>
        <w:rPr>
          <w:rFonts w:ascii="Cambria" w:hAnsi="Cambria"/>
          <w:sz w:val="16"/>
          <w:szCs w:val="16"/>
          <w:lang w:val="pt-BR" w:eastAsia="es-ES"/>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w:t>
      </w:r>
      <w:r w:rsidRPr="006166DA">
        <w:rPr>
          <w:rFonts w:ascii="Cambria" w:hAnsi="Cambria"/>
          <w:sz w:val="16"/>
          <w:szCs w:val="16"/>
          <w:lang w:val="pt-BR" w:eastAsia="es-ES"/>
        </w:rPr>
        <w:t>O artigo XXII da Declaração Americana dos Direitos e Deveres do Homem estabelece</w:t>
      </w:r>
      <w:r w:rsidRPr="006166DA">
        <w:rPr>
          <w:rFonts w:asciiTheme="majorHAnsi" w:hAnsiTheme="majorHAnsi"/>
          <w:sz w:val="16"/>
          <w:szCs w:val="16"/>
          <w:lang w:val="pt-BR" w:eastAsia="es-ES"/>
        </w:rPr>
        <w:t xml:space="preserve">: </w:t>
      </w:r>
      <w:r w:rsidRPr="006166DA">
        <w:rPr>
          <w:rFonts w:asciiTheme="majorHAnsi" w:eastAsia="Cambria" w:hAnsiTheme="majorHAnsi" w:cs="Verdana"/>
          <w:sz w:val="16"/>
          <w:szCs w:val="16"/>
          <w:u w:color="000000"/>
          <w:lang w:val="pt-BR" w:eastAsia="es-ES" w:bidi="en-US"/>
        </w:rPr>
        <w:t>“</w:t>
      </w:r>
      <w:r w:rsidRPr="006166DA">
        <w:rPr>
          <w:rFonts w:asciiTheme="majorHAnsi" w:hAnsiTheme="majorHAnsi"/>
          <w:color w:val="000000"/>
          <w:spacing w:val="-3"/>
          <w:sz w:val="16"/>
          <w:szCs w:val="16"/>
          <w:lang w:val="pt-BR"/>
        </w:rPr>
        <w:t>Toda pessoa tem o direito de se associar com outras a fim de promover, exercer e proteger os seus interesses legítimos, de ordem política, econômica, religiosa, social, cultural, profissional, sindical ou de qualquer outra natureza</w:t>
      </w:r>
      <w:r w:rsidRPr="006166DA">
        <w:rPr>
          <w:rFonts w:ascii="Cambria" w:eastAsia="Cambria" w:hAnsi="Cambria" w:cs="Verdana"/>
          <w:sz w:val="16"/>
          <w:szCs w:val="16"/>
          <w:u w:color="000000"/>
          <w:lang w:val="pt-BR" w:eastAsia="es-ES" w:bidi="en-US"/>
        </w:rPr>
        <w:t xml:space="preserve">”.  </w:t>
      </w:r>
    </w:p>
  </w:footnote>
  <w:footnote w:id="154">
    <w:p w14:paraId="1DBB24B8"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Tribunal Europeu de Direitos Humanos, caso Ärzte für das Leben” v. Áustria, Judgment of 21 June 1988, Série A Nº 139, par. 32, citado em Corte IDH, Caso Huilca Tecse vs. Peru, Mérito, Reparações e Custas. Sentença de 3 de março de 2005. Série C Nº 121, par.76.</w:t>
      </w:r>
    </w:p>
  </w:footnote>
  <w:footnote w:id="155">
    <w:p w14:paraId="2F7C6A48"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Corte IDH, Caso Huilca Tecse vs. Peru, Mérito, Reparações e Custas. Sentença de 3 de março de 2005. Série C Nº 121, par. 70-71.</w:t>
      </w:r>
    </w:p>
  </w:footnote>
  <w:footnote w:id="156">
    <w:p w14:paraId="530611EA"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Corte IDH, Caso Baena Ricardo e outros vs. Panamá, Mérito, Reparações e Custas. Sentença de 2 de fevereiro de 2001, Série C Nº 72, par.159.</w:t>
      </w:r>
    </w:p>
  </w:footnote>
  <w:footnote w:id="157">
    <w:p w14:paraId="2AEA1BF8"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CIDH, Relatório Nº 69/06, Caso 11.171, Mérito, Tomas Lares Cipriano, Guatemala, 21 de outubro de 2006.  Par.117. </w:t>
      </w:r>
    </w:p>
  </w:footnote>
  <w:footnote w:id="158">
    <w:p w14:paraId="723FCA63"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CIDH, Segundo Relatório sobre a situação das defensoras e defensores de direitos humanos nas Américas, OEA/Ser.L/V/II.Doc.66, 31 de dezembro de 2011, par.157. </w:t>
      </w:r>
    </w:p>
  </w:footnote>
  <w:footnote w:id="159">
    <w:p w14:paraId="14443B3E" w14:textId="77777777" w:rsidR="00AA34B1" w:rsidRPr="006166DA" w:rsidRDefault="00AA34B1" w:rsidP="007B52F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2040"/>
        </w:tabs>
        <w:ind w:firstLine="720"/>
        <w:jc w:val="both"/>
        <w:rPr>
          <w:rFonts w:ascii="Cambria" w:hAnsi="Cambria"/>
          <w:sz w:val="16"/>
          <w:szCs w:val="16"/>
          <w:lang w:val="pt-BR" w:eastAsia="es-ES"/>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w:t>
      </w:r>
      <w:r w:rsidRPr="006166DA">
        <w:rPr>
          <w:rFonts w:ascii="Cambria" w:hAnsi="Cambria"/>
          <w:sz w:val="16"/>
          <w:szCs w:val="16"/>
          <w:lang w:val="pt-BR" w:eastAsia="es-ES"/>
        </w:rPr>
        <w:t xml:space="preserve">O artigo I da Declaração Americana dos Direitos e Deveres do Homem estabelece: </w:t>
      </w:r>
      <w:r w:rsidRPr="006166DA">
        <w:rPr>
          <w:rFonts w:ascii="Cambria" w:eastAsia="Cambria" w:hAnsi="Cambria" w:cs="Verdana"/>
          <w:sz w:val="16"/>
          <w:szCs w:val="16"/>
          <w:u w:color="000000"/>
          <w:lang w:val="pt-BR" w:eastAsia="es-ES" w:bidi="en-US"/>
        </w:rPr>
        <w:t xml:space="preserve">“Todo ser humano tem direito a vida, liberdade e segurança de sua pessoa”. </w:t>
      </w:r>
    </w:p>
  </w:footnote>
  <w:footnote w:id="160">
    <w:p w14:paraId="18A175FE"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O artigo 5 da Convenção Americana estabelece: “Toda pessoa tem </w:t>
      </w:r>
      <w:r>
        <w:rPr>
          <w:rFonts w:ascii="Cambria" w:hAnsi="Cambria"/>
          <w:sz w:val="16"/>
          <w:szCs w:val="16"/>
          <w:lang w:val="pt-BR"/>
        </w:rPr>
        <w:t xml:space="preserve">o </w:t>
      </w:r>
      <w:r w:rsidRPr="006166DA">
        <w:rPr>
          <w:rFonts w:ascii="Cambria" w:hAnsi="Cambria"/>
          <w:sz w:val="16"/>
          <w:szCs w:val="16"/>
          <w:lang w:val="pt-BR"/>
        </w:rPr>
        <w:t xml:space="preserve">direito </w:t>
      </w:r>
      <w:r>
        <w:rPr>
          <w:rFonts w:ascii="Cambria" w:hAnsi="Cambria"/>
          <w:sz w:val="16"/>
          <w:szCs w:val="16"/>
          <w:lang w:val="pt-BR"/>
        </w:rPr>
        <w:t>de</w:t>
      </w:r>
      <w:r w:rsidRPr="006166DA">
        <w:rPr>
          <w:rFonts w:ascii="Cambria" w:hAnsi="Cambria"/>
          <w:sz w:val="16"/>
          <w:szCs w:val="16"/>
          <w:lang w:val="pt-BR"/>
        </w:rPr>
        <w:t xml:space="preserve"> que se respeite sua integridade física, psíquica e moral”. </w:t>
      </w:r>
    </w:p>
  </w:footnote>
  <w:footnote w:id="161">
    <w:p w14:paraId="05385B28"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Corte IDH, Caso Cantoral Huamaní e García Santa Cruz vs. Peru. Exceção Preliminar</w:t>
      </w:r>
      <w:r>
        <w:rPr>
          <w:rFonts w:ascii="Cambria" w:hAnsi="Cambria"/>
          <w:sz w:val="16"/>
          <w:szCs w:val="16"/>
          <w:lang w:val="pt-BR"/>
        </w:rPr>
        <w:t>.</w:t>
      </w:r>
      <w:r w:rsidRPr="006166DA">
        <w:rPr>
          <w:rFonts w:ascii="Cambria" w:hAnsi="Cambria"/>
          <w:sz w:val="16"/>
          <w:szCs w:val="16"/>
          <w:lang w:val="pt-BR"/>
        </w:rPr>
        <w:t xml:space="preserve"> Mérito, Reparações e Custas. Sentença de 10 de julho de 2007. Série C Nº 167, par.112.</w:t>
      </w:r>
    </w:p>
  </w:footnote>
  <w:footnote w:id="162">
    <w:p w14:paraId="5E0DC4C0" w14:textId="77777777" w:rsidR="00AA34B1" w:rsidRPr="006166DA" w:rsidRDefault="00AA34B1" w:rsidP="007B52F2">
      <w:pPr>
        <w:pStyle w:val="FootnoteText"/>
        <w:ind w:firstLine="720"/>
        <w:jc w:val="both"/>
        <w:rPr>
          <w:rFonts w:ascii="Cambria" w:hAnsi="Cambria"/>
          <w:sz w:val="16"/>
          <w:szCs w:val="16"/>
          <w:lang w:val="pt-BR"/>
        </w:rPr>
      </w:pPr>
      <w:r w:rsidRPr="006166DA">
        <w:rPr>
          <w:rStyle w:val="FootnoteReference"/>
          <w:rFonts w:ascii="Cambria" w:hAnsi="Cambria"/>
          <w:sz w:val="16"/>
          <w:szCs w:val="16"/>
          <w:lang w:val="pt-BR"/>
        </w:rPr>
        <w:footnoteRef/>
      </w:r>
      <w:r w:rsidRPr="006166DA">
        <w:rPr>
          <w:rFonts w:ascii="Cambria" w:hAnsi="Cambria"/>
          <w:sz w:val="16"/>
          <w:szCs w:val="16"/>
          <w:lang w:val="pt-BR"/>
        </w:rPr>
        <w:t xml:space="preserve"> Corte IDH, Caso Valle Jaramillo e outros vs. Colômbia. Mérito, Reparações e Custas. Sentença de 27 de novembro de 2008. Série C Nº 192, par.102.</w:t>
      </w:r>
    </w:p>
  </w:footnote>
  <w:footnote w:id="163">
    <w:p w14:paraId="5141F4EE" w14:textId="77777777" w:rsidR="00AA34B1" w:rsidRPr="00E267FA" w:rsidRDefault="00AA34B1" w:rsidP="00FF477E">
      <w:pPr>
        <w:pStyle w:val="FootnoteText"/>
        <w:ind w:firstLine="720"/>
        <w:rPr>
          <w:rFonts w:ascii="Cambria" w:hAnsi="Cambria"/>
          <w:sz w:val="16"/>
          <w:szCs w:val="16"/>
          <w:lang w:val="pt-BR"/>
        </w:rPr>
      </w:pPr>
      <w:r w:rsidRPr="009A6B18">
        <w:rPr>
          <w:rStyle w:val="FootnoteReference"/>
          <w:rFonts w:ascii="Cambria" w:hAnsi="Cambria"/>
          <w:sz w:val="16"/>
          <w:szCs w:val="16"/>
        </w:rPr>
        <w:footnoteRef/>
      </w:r>
      <w:r w:rsidRPr="00E267FA">
        <w:rPr>
          <w:rFonts w:ascii="Cambria" w:hAnsi="Cambria"/>
          <w:sz w:val="16"/>
          <w:szCs w:val="16"/>
          <w:lang w:val="pt-BR"/>
        </w:rPr>
        <w:t xml:space="preserve"> </w:t>
      </w:r>
      <w:hyperlink r:id="rId13" w:history="1">
        <w:r w:rsidRPr="00F57407">
          <w:rPr>
            <w:rStyle w:val="Hyperlink"/>
            <w:rFonts w:ascii="Cambria" w:hAnsi="Cambria"/>
            <w:sz w:val="16"/>
            <w:szCs w:val="16"/>
            <w:lang w:val="pt-BR"/>
          </w:rPr>
          <w:t>Observações preliminares da visita in loco da CIDH a</w:t>
        </w:r>
        <w:r>
          <w:rPr>
            <w:rStyle w:val="Hyperlink"/>
            <w:rFonts w:ascii="Cambria" w:hAnsi="Cambria"/>
            <w:sz w:val="16"/>
            <w:szCs w:val="16"/>
            <w:lang w:val="pt-BR"/>
          </w:rPr>
          <w:t>o</w:t>
        </w:r>
        <w:r w:rsidRPr="00F57407">
          <w:rPr>
            <w:rStyle w:val="Hyperlink"/>
            <w:rFonts w:ascii="Cambria" w:hAnsi="Cambria"/>
            <w:sz w:val="16"/>
            <w:szCs w:val="16"/>
            <w:lang w:val="pt-BR"/>
          </w:rPr>
          <w:t xml:space="preserve"> Brasil</w:t>
        </w:r>
      </w:hyperlink>
      <w:r w:rsidRPr="00E267FA">
        <w:rPr>
          <w:rFonts w:ascii="Cambria" w:hAnsi="Cambria"/>
          <w:sz w:val="16"/>
          <w:szCs w:val="16"/>
          <w:lang w:val="pt-B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7D7D" w14:textId="77777777" w:rsidR="00AA34B1" w:rsidRDefault="00AA34B1" w:rsidP="0071368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A4CED8B" w14:textId="77777777" w:rsidR="00AA34B1" w:rsidRDefault="00AA34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2F82" w14:textId="77777777" w:rsidR="00AA34B1" w:rsidRDefault="00AA34B1" w:rsidP="00A50FCF">
    <w:pPr>
      <w:pStyle w:val="Header"/>
      <w:tabs>
        <w:tab w:val="clear" w:pos="4320"/>
        <w:tab w:val="clear" w:pos="8640"/>
      </w:tabs>
      <w:jc w:val="center"/>
      <w:rPr>
        <w:sz w:val="22"/>
        <w:szCs w:val="22"/>
      </w:rPr>
    </w:pPr>
    <w:r>
      <w:rPr>
        <w:noProof/>
        <w:sz w:val="22"/>
        <w:szCs w:val="22"/>
      </w:rPr>
      <w:drawing>
        <wp:inline distT="0" distB="0" distL="0" distR="0" wp14:anchorId="43513AE6" wp14:editId="1E4D5D07">
          <wp:extent cx="1972237" cy="104775"/>
          <wp:effectExtent l="0" t="0" r="9525" b="0"/>
          <wp:docPr id="17" name="Picture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F9655A2" w14:textId="77777777" w:rsidR="00AA34B1" w:rsidRPr="00EC7D62" w:rsidRDefault="0028613C" w:rsidP="00A50FCF">
    <w:pPr>
      <w:pStyle w:val="Header"/>
      <w:tabs>
        <w:tab w:val="clear" w:pos="4320"/>
        <w:tab w:val="clear" w:pos="8640"/>
      </w:tabs>
      <w:jc w:val="center"/>
      <w:rPr>
        <w:sz w:val="22"/>
        <w:szCs w:val="22"/>
      </w:rPr>
    </w:pPr>
    <w:r>
      <w:rPr>
        <w:noProof/>
        <w:sz w:val="22"/>
        <w:szCs w:val="22"/>
        <w:bdr w:val="nil"/>
      </w:rPr>
      <w:pict w14:anchorId="18F6965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7DC2" w14:textId="77777777" w:rsidR="00AA34B1" w:rsidRDefault="00AA34B1" w:rsidP="007631B1">
    <w:pPr>
      <w:pStyle w:val="Header"/>
      <w:tabs>
        <w:tab w:val="clear" w:pos="4320"/>
        <w:tab w:val="clear" w:pos="8640"/>
      </w:tabs>
      <w:jc w:val="center"/>
      <w:rPr>
        <w:sz w:val="22"/>
        <w:szCs w:val="22"/>
      </w:rPr>
    </w:pPr>
    <w:r>
      <w:rPr>
        <w:noProof/>
        <w:sz w:val="22"/>
        <w:szCs w:val="22"/>
      </w:rPr>
      <w:drawing>
        <wp:inline distT="0" distB="0" distL="0" distR="0" wp14:anchorId="46F2FF78" wp14:editId="733F7356">
          <wp:extent cx="1972237" cy="104775"/>
          <wp:effectExtent l="0" t="0" r="9525" b="0"/>
          <wp:docPr id="18" name="Picture 18"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CF55BE8" w14:textId="77777777" w:rsidR="00AA34B1" w:rsidRPr="00EC7D62" w:rsidRDefault="0028613C" w:rsidP="007631B1">
    <w:pPr>
      <w:pStyle w:val="Header"/>
      <w:tabs>
        <w:tab w:val="clear" w:pos="4320"/>
        <w:tab w:val="clear" w:pos="8640"/>
      </w:tabs>
      <w:jc w:val="center"/>
      <w:rPr>
        <w:sz w:val="22"/>
        <w:szCs w:val="22"/>
      </w:rPr>
    </w:pPr>
    <w:r>
      <w:rPr>
        <w:noProof/>
        <w:sz w:val="22"/>
        <w:szCs w:val="22"/>
        <w:bdr w:val="nil"/>
      </w:rPr>
      <w:pict w14:anchorId="643894CA">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90328C"/>
    <w:lvl w:ilvl="0">
      <w:start w:val="1"/>
      <w:numFmt w:val="bullet"/>
      <w:pStyle w:val="NoSpacing"/>
      <w:lvlText w:val=""/>
      <w:lvlJc w:val="left"/>
      <w:pPr>
        <w:tabs>
          <w:tab w:val="num" w:pos="0"/>
        </w:tabs>
      </w:pPr>
      <w:rPr>
        <w:rFonts w:ascii="Symbol" w:hAnsi="Symbol" w:hint="default"/>
      </w:rPr>
    </w:lvl>
    <w:lvl w:ilvl="1">
      <w:start w:val="1"/>
      <w:numFmt w:val="bullet"/>
      <w:pStyle w:val="LightShading1"/>
      <w:lvlText w:val=""/>
      <w:lvlJc w:val="left"/>
      <w:pPr>
        <w:tabs>
          <w:tab w:val="num" w:pos="720"/>
        </w:tabs>
        <w:ind w:left="1080" w:hanging="360"/>
      </w:pPr>
      <w:rPr>
        <w:rFonts w:ascii="Symbol" w:hAnsi="Symbol" w:hint="default"/>
      </w:rPr>
    </w:lvl>
    <w:lvl w:ilvl="2">
      <w:start w:val="1"/>
      <w:numFmt w:val="bullet"/>
      <w:pStyle w:val="LightList1"/>
      <w:lvlText w:val="o"/>
      <w:lvlJc w:val="left"/>
      <w:pPr>
        <w:tabs>
          <w:tab w:val="num" w:pos="1440"/>
        </w:tabs>
        <w:ind w:left="1800" w:hanging="360"/>
      </w:pPr>
      <w:rPr>
        <w:rFonts w:ascii="Courier New" w:hAnsi="Courier New" w:hint="default"/>
      </w:rPr>
    </w:lvl>
    <w:lvl w:ilvl="3">
      <w:start w:val="1"/>
      <w:numFmt w:val="bullet"/>
      <w:pStyle w:val="LightGrid1"/>
      <w:lvlText w:val=""/>
      <w:lvlJc w:val="left"/>
      <w:pPr>
        <w:tabs>
          <w:tab w:val="num" w:pos="2160"/>
        </w:tabs>
        <w:ind w:left="2520" w:hanging="360"/>
      </w:pPr>
      <w:rPr>
        <w:rFonts w:ascii="Wingdings" w:hAnsi="Wingdings" w:hint="default"/>
      </w:rPr>
    </w:lvl>
    <w:lvl w:ilvl="4">
      <w:start w:val="1"/>
      <w:numFmt w:val="bullet"/>
      <w:pStyle w:val="MediumShading11"/>
      <w:lvlText w:val=""/>
      <w:lvlJc w:val="left"/>
      <w:pPr>
        <w:tabs>
          <w:tab w:val="num" w:pos="2880"/>
        </w:tabs>
        <w:ind w:left="3240" w:hanging="360"/>
      </w:pPr>
      <w:rPr>
        <w:rFonts w:ascii="Wingdings" w:hAnsi="Wingdings" w:hint="default"/>
      </w:rPr>
    </w:lvl>
    <w:lvl w:ilvl="5">
      <w:start w:val="1"/>
      <w:numFmt w:val="bullet"/>
      <w:pStyle w:val="MediumShading21"/>
      <w:lvlText w:val=""/>
      <w:lvlJc w:val="left"/>
      <w:pPr>
        <w:tabs>
          <w:tab w:val="num" w:pos="3600"/>
        </w:tabs>
        <w:ind w:left="3960" w:hanging="360"/>
      </w:pPr>
      <w:rPr>
        <w:rFonts w:ascii="Symbol" w:hAnsi="Symbol" w:hint="default"/>
      </w:rPr>
    </w:lvl>
    <w:lvl w:ilvl="6">
      <w:start w:val="1"/>
      <w:numFmt w:val="bullet"/>
      <w:pStyle w:val="MediumList11"/>
      <w:lvlText w:val="o"/>
      <w:lvlJc w:val="left"/>
      <w:pPr>
        <w:tabs>
          <w:tab w:val="num" w:pos="4320"/>
        </w:tabs>
        <w:ind w:left="4680" w:hanging="360"/>
      </w:pPr>
      <w:rPr>
        <w:rFonts w:ascii="Courier New" w:hAnsi="Courier New" w:hint="default"/>
      </w:rPr>
    </w:lvl>
    <w:lvl w:ilvl="7">
      <w:start w:val="1"/>
      <w:numFmt w:val="bullet"/>
      <w:pStyle w:val="MediumList21"/>
      <w:lvlText w:val=""/>
      <w:lvlJc w:val="left"/>
      <w:pPr>
        <w:tabs>
          <w:tab w:val="num" w:pos="5040"/>
        </w:tabs>
        <w:ind w:left="5400" w:hanging="360"/>
      </w:pPr>
      <w:rPr>
        <w:rFonts w:ascii="Wingdings" w:hAnsi="Wingdings" w:hint="default"/>
      </w:rPr>
    </w:lvl>
    <w:lvl w:ilvl="8">
      <w:start w:val="1"/>
      <w:numFmt w:val="bullet"/>
      <w:pStyle w:val="Estilo5"/>
      <w:lvlText w:val=""/>
      <w:lvlJc w:val="left"/>
      <w:pPr>
        <w:tabs>
          <w:tab w:val="num" w:pos="5760"/>
        </w:tabs>
        <w:ind w:left="6120" w:hanging="360"/>
      </w:pPr>
      <w:rPr>
        <w:rFonts w:ascii="Wingdings" w:hAnsi="Wingding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981540A"/>
    <w:multiLevelType w:val="hybridMultilevel"/>
    <w:tmpl w:val="7EE4763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685FA1"/>
    <w:multiLevelType w:val="multilevel"/>
    <w:tmpl w:val="DC1EFA02"/>
    <w:lvl w:ilvl="0">
      <w:start w:val="1"/>
      <w:numFmt w:val="decimal"/>
      <w:lvlText w:val="%1."/>
      <w:lvlJc w:val="left"/>
      <w:pPr>
        <w:ind w:left="2070" w:hanging="360"/>
      </w:pPr>
      <w:rPr>
        <w:i w:val="0"/>
      </w:rPr>
    </w:lvl>
    <w:lvl w:ilvl="1">
      <w:start w:val="1"/>
      <w:numFmt w:val="decimal"/>
      <w:isLgl/>
      <w:lvlText w:val="%1.%2."/>
      <w:lvlJc w:val="left"/>
      <w:pPr>
        <w:ind w:left="2070" w:hanging="36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150" w:hanging="1440"/>
      </w:pPr>
      <w:rPr>
        <w:rFonts w:hint="default"/>
      </w:rPr>
    </w:lvl>
    <w:lvl w:ilvl="8">
      <w:start w:val="1"/>
      <w:numFmt w:val="decimal"/>
      <w:isLgl/>
      <w:lvlText w:val="%1.%2.%3.%4.%5.%6.%7.%8.%9."/>
      <w:lvlJc w:val="left"/>
      <w:pPr>
        <w:ind w:left="3510" w:hanging="1800"/>
      </w:pPr>
      <w:rPr>
        <w:rFonts w:hint="default"/>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2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66721"/>
    <w:multiLevelType w:val="hybridMultilevel"/>
    <w:tmpl w:val="61A206AE"/>
    <w:lvl w:ilvl="0" w:tplc="0060A67C">
      <w:start w:val="1"/>
      <w:numFmt w:val="decimal"/>
      <w:lvlText w:val="%1."/>
      <w:lvlJc w:val="left"/>
      <w:pPr>
        <w:tabs>
          <w:tab w:val="num" w:pos="720"/>
        </w:tabs>
        <w:ind w:left="0" w:firstLine="720"/>
      </w:pPr>
      <w:rPr>
        <w:rFonts w:hint="default"/>
        <w:b w:val="0"/>
        <w:lang w:val="es-ES_trad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A54A5B"/>
    <w:multiLevelType w:val="hybridMultilevel"/>
    <w:tmpl w:val="91EA54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DC61D90"/>
    <w:multiLevelType w:val="hybridMultilevel"/>
    <w:tmpl w:val="66880BA0"/>
    <w:lvl w:ilvl="0" w:tplc="5460635A">
      <w:start w:val="1"/>
      <w:numFmt w:val="decimal"/>
      <w:lvlText w:val="%1."/>
      <w:lvlJc w:val="left"/>
      <w:pPr>
        <w:tabs>
          <w:tab w:val="num" w:pos="360"/>
        </w:tabs>
        <w:ind w:left="360" w:hanging="360"/>
      </w:pPr>
      <w:rPr>
        <w:rFonts w:ascii="Cambria" w:hAnsi="Cambria" w:cs="Times New Roman" w:hint="default"/>
        <w:b w:val="0"/>
        <w:i w:val="0"/>
        <w:color w:val="auto"/>
        <w:sz w:val="20"/>
        <w:szCs w:val="20"/>
        <w:lang w:val="es-VE"/>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E26B7A"/>
    <w:multiLevelType w:val="multilevel"/>
    <w:tmpl w:val="CE0410EE"/>
    <w:lvl w:ilvl="0">
      <w:start w:val="2"/>
      <w:numFmt w:val="decimal"/>
      <w:lvlText w:val="%1"/>
      <w:lvlJc w:val="left"/>
      <w:pPr>
        <w:ind w:left="360" w:hanging="360"/>
      </w:pPr>
      <w:rPr>
        <w:rFonts w:hint="default"/>
      </w:rPr>
    </w:lvl>
    <w:lvl w:ilvl="1">
      <w:start w:val="1"/>
      <w:numFmt w:val="decimal"/>
      <w:lvlText w:val="%1.%2"/>
      <w:lvlJc w:val="left"/>
      <w:pPr>
        <w:ind w:left="2070" w:hanging="360"/>
      </w:pPr>
      <w:rPr>
        <w:rFonts w:asciiTheme="majorHAnsi" w:hAnsiTheme="majorHAnsi" w:hint="default"/>
        <w:lang w:val="es-ES"/>
      </w:rPr>
    </w:lvl>
    <w:lvl w:ilvl="2">
      <w:start w:val="1"/>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700" w:hanging="144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480" w:hanging="1800"/>
      </w:pPr>
      <w:rPr>
        <w:rFonts w:hint="default"/>
      </w:rPr>
    </w:lvl>
  </w:abstractNum>
  <w:abstractNum w:abstractNumId="36" w15:restartNumberingAfterBreak="0">
    <w:nsid w:val="444006B9"/>
    <w:multiLevelType w:val="multilevel"/>
    <w:tmpl w:val="1090D1D4"/>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2"/>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98137C"/>
    <w:multiLevelType w:val="hybridMultilevel"/>
    <w:tmpl w:val="73AAA770"/>
    <w:lvl w:ilvl="0" w:tplc="0060A67C">
      <w:start w:val="1"/>
      <w:numFmt w:val="decimal"/>
      <w:lvlText w:val="%1."/>
      <w:lvlJc w:val="left"/>
      <w:pPr>
        <w:tabs>
          <w:tab w:val="num" w:pos="720"/>
        </w:tabs>
        <w:ind w:left="0" w:firstLine="720"/>
      </w:pPr>
      <w:rPr>
        <w:rFonts w:hint="default"/>
        <w:b w:val="0"/>
        <w:lang w:val="es-ES_tradn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9F56E24"/>
    <w:multiLevelType w:val="hybridMultilevel"/>
    <w:tmpl w:val="9064FA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A0080E"/>
    <w:multiLevelType w:val="hybridMultilevel"/>
    <w:tmpl w:val="719A7B7C"/>
    <w:lvl w:ilvl="0" w:tplc="DA1C102E">
      <w:start w:val="1"/>
      <w:numFmt w:val="decimal"/>
      <w:lvlText w:val="%1."/>
      <w:lvlJc w:val="left"/>
      <w:pPr>
        <w:ind w:left="2070" w:hanging="360"/>
      </w:pPr>
      <w:rPr>
        <w:rFonts w:asciiTheme="majorHAnsi" w:hAnsiTheme="majorHAnsi"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FB46B4D"/>
    <w:multiLevelType w:val="multilevel"/>
    <w:tmpl w:val="85382D78"/>
    <w:styleLink w:val="List4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1974FB2"/>
    <w:multiLevelType w:val="hybridMultilevel"/>
    <w:tmpl w:val="D3B08086"/>
    <w:lvl w:ilvl="0" w:tplc="6032F32C">
      <w:start w:val="1"/>
      <w:numFmt w:val="decimal"/>
      <w:lvlText w:val="%1."/>
      <w:lvlJc w:val="left"/>
      <w:pPr>
        <w:ind w:left="2070" w:hanging="360"/>
      </w:pPr>
      <w:rPr>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9" w15:restartNumberingAfterBreak="0">
    <w:nsid w:val="53F06B0B"/>
    <w:multiLevelType w:val="hybridMultilevel"/>
    <w:tmpl w:val="154A163E"/>
    <w:lvl w:ilvl="0" w:tplc="D26E7530">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65146B17"/>
    <w:multiLevelType w:val="hybridMultilevel"/>
    <w:tmpl w:val="1792BE58"/>
    <w:lvl w:ilvl="0" w:tplc="EB58263A">
      <w:start w:val="1"/>
      <w:numFmt w:val="decimal"/>
      <w:lvlText w:val="%1."/>
      <w:lvlJc w:val="left"/>
      <w:pPr>
        <w:tabs>
          <w:tab w:val="num" w:pos="2040"/>
        </w:tabs>
        <w:ind w:left="2040" w:hanging="1440"/>
      </w:pPr>
      <w:rPr>
        <w:rFonts w:ascii="Cambria" w:hAnsi="Cambria" w:hint="default"/>
        <w:b w:val="0"/>
        <w:i w:val="0"/>
        <w:sz w:val="20"/>
        <w:szCs w:val="20"/>
      </w:rPr>
    </w:lvl>
    <w:lvl w:ilvl="1" w:tplc="04090019">
      <w:start w:val="6"/>
      <w:numFmt w:val="upperRoman"/>
      <w:lvlText w:val="%2."/>
      <w:lvlJc w:val="left"/>
      <w:pPr>
        <w:tabs>
          <w:tab w:val="num" w:pos="1860"/>
        </w:tabs>
        <w:ind w:left="1860" w:hanging="720"/>
      </w:pPr>
      <w:rPr>
        <w:rFonts w:hint="default"/>
      </w:rPr>
    </w:lvl>
    <w:lvl w:ilvl="2" w:tplc="0409001B">
      <w:start w:val="1"/>
      <w:numFmt w:val="upperLetter"/>
      <w:lvlText w:val="%3."/>
      <w:lvlJc w:val="left"/>
      <w:pPr>
        <w:tabs>
          <w:tab w:val="num" w:pos="2760"/>
        </w:tabs>
        <w:ind w:left="2760" w:hanging="720"/>
      </w:pPr>
      <w:rPr>
        <w:rFonts w:hint="default"/>
      </w:rPr>
    </w:lvl>
    <w:lvl w:ilvl="3" w:tplc="1BC6FDD6">
      <w:start w:val="1"/>
      <w:numFmt w:val="lowerRoman"/>
      <w:lvlText w:val="%4."/>
      <w:lvlJc w:val="left"/>
      <w:pPr>
        <w:tabs>
          <w:tab w:val="num" w:pos="3300"/>
        </w:tabs>
        <w:ind w:left="3300" w:hanging="720"/>
      </w:pPr>
      <w:rPr>
        <w:rFonts w:cs="Times New Roman" w:hint="default"/>
      </w:rPr>
    </w:lvl>
    <w:lvl w:ilvl="4" w:tplc="C350752E">
      <w:start w:val="1"/>
      <w:numFmt w:val="lowerRoman"/>
      <w:lvlText w:val="%5)"/>
      <w:lvlJc w:val="left"/>
      <w:pPr>
        <w:tabs>
          <w:tab w:val="num" w:pos="4020"/>
        </w:tabs>
        <w:ind w:left="4020" w:hanging="720"/>
      </w:pPr>
      <w:rPr>
        <w:rFonts w:hint="default"/>
      </w:r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7" w15:restartNumberingAfterBreak="0">
    <w:nsid w:val="66A101BB"/>
    <w:multiLevelType w:val="hybridMultilevel"/>
    <w:tmpl w:val="35C8B98A"/>
    <w:lvl w:ilvl="0" w:tplc="74066F1E">
      <w:start w:val="1"/>
      <w:numFmt w:val="upperRoman"/>
      <w:lvlText w:val="%1."/>
      <w:lvlJc w:val="left"/>
      <w:pPr>
        <w:tabs>
          <w:tab w:val="num" w:pos="1440"/>
        </w:tabs>
        <w:ind w:left="1440" w:hanging="720"/>
      </w:pPr>
      <w:rPr>
        <w:rFonts w:cs="Times New Roman" w:hint="default"/>
        <w:b/>
        <w:color w:val="auto"/>
        <w:sz w:val="20"/>
        <w:szCs w:val="20"/>
      </w:rPr>
    </w:lvl>
    <w:lvl w:ilvl="1" w:tplc="2A1CF73E">
      <w:start w:val="1"/>
      <w:numFmt w:val="decimal"/>
      <w:lvlText w:val="%2."/>
      <w:lvlJc w:val="left"/>
      <w:pPr>
        <w:tabs>
          <w:tab w:val="num" w:pos="1800"/>
        </w:tabs>
        <w:ind w:left="1800" w:hanging="360"/>
      </w:pPr>
      <w:rPr>
        <w:rFonts w:asciiTheme="majorHAnsi" w:hAnsiTheme="majorHAnsi" w:cs="Times New Roman" w:hint="default"/>
        <w:b/>
      </w:rPr>
    </w:lvl>
    <w:lvl w:ilvl="2" w:tplc="881EAA16">
      <w:start w:val="1"/>
      <w:numFmt w:val="lowerLetter"/>
      <w:lvlText w:val="%3)"/>
      <w:lvlJc w:val="left"/>
      <w:pPr>
        <w:tabs>
          <w:tab w:val="num" w:pos="2700"/>
        </w:tabs>
        <w:ind w:left="2700" w:hanging="360"/>
      </w:pPr>
      <w:rPr>
        <w:rFonts w:cs="Times New Roman" w:hint="default"/>
      </w:rPr>
    </w:lvl>
    <w:lvl w:ilvl="3" w:tplc="B87E3F4A">
      <w:start w:val="2"/>
      <w:numFmt w:val="upperLetter"/>
      <w:lvlText w:val="%4."/>
      <w:lvlJc w:val="left"/>
      <w:pPr>
        <w:tabs>
          <w:tab w:val="num" w:pos="3240"/>
        </w:tabs>
        <w:ind w:left="3240" w:hanging="360"/>
      </w:pPr>
      <w:rPr>
        <w:rFonts w:cs="Times New Roman" w:hint="default"/>
      </w:rPr>
    </w:lvl>
    <w:lvl w:ilvl="4" w:tplc="817A8DEA">
      <w:start w:val="5"/>
      <w:numFmt w:val="bullet"/>
      <w:lvlText w:val="-"/>
      <w:lvlJc w:val="left"/>
      <w:pPr>
        <w:ind w:left="3960" w:hanging="360"/>
      </w:pPr>
      <w:rPr>
        <w:rFonts w:ascii="Cambria" w:eastAsia="Arial Unicode MS" w:hAnsi="Cambria" w:cs="Times New Roman" w:hint="default"/>
      </w:rPr>
    </w:lvl>
    <w:lvl w:ilvl="5" w:tplc="4E58E810">
      <w:start w:val="2"/>
      <w:numFmt w:val="low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15:restartNumberingAfterBreak="0">
    <w:nsid w:val="66BE5E6A"/>
    <w:multiLevelType w:val="hybridMultilevel"/>
    <w:tmpl w:val="73AAA770"/>
    <w:lvl w:ilvl="0" w:tplc="0060A67C">
      <w:start w:val="1"/>
      <w:numFmt w:val="decimal"/>
      <w:lvlText w:val="%1."/>
      <w:lvlJc w:val="left"/>
      <w:pPr>
        <w:tabs>
          <w:tab w:val="num" w:pos="720"/>
        </w:tabs>
        <w:ind w:left="0" w:firstLine="720"/>
      </w:pPr>
      <w:rPr>
        <w:rFonts w:hint="default"/>
        <w:b w:val="0"/>
        <w:lang w:val="es-ES_tradn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0" w15:restartNumberingAfterBreak="0">
    <w:nsid w:val="6E865F14"/>
    <w:multiLevelType w:val="multilevel"/>
    <w:tmpl w:val="F52E91D0"/>
    <w:lvl w:ilvl="0">
      <w:start w:val="1"/>
      <w:numFmt w:val="decimal"/>
      <w:lvlText w:val="%1."/>
      <w:lvlJc w:val="left"/>
      <w:pPr>
        <w:ind w:left="2070" w:hanging="360"/>
      </w:pPr>
      <w:rPr>
        <w:rFonts w:asciiTheme="majorHAnsi" w:hAnsiTheme="majorHAnsi" w:hint="default"/>
        <w:i w:val="0"/>
      </w:rPr>
    </w:lvl>
    <w:lvl w:ilvl="1">
      <w:start w:val="2"/>
      <w:numFmt w:val="decimal"/>
      <w:isLgl/>
      <w:lvlText w:val="%1.%2"/>
      <w:lvlJc w:val="left"/>
      <w:pPr>
        <w:ind w:left="2520" w:hanging="36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230" w:hanging="1800"/>
      </w:pPr>
      <w:rPr>
        <w:rFonts w:hint="default"/>
      </w:rPr>
    </w:lvl>
  </w:abstractNum>
  <w:abstractNum w:abstractNumId="6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6F9166B3"/>
    <w:multiLevelType w:val="hybridMultilevel"/>
    <w:tmpl w:val="D3B08086"/>
    <w:lvl w:ilvl="0" w:tplc="6032F32C">
      <w:start w:val="1"/>
      <w:numFmt w:val="decimal"/>
      <w:lvlText w:val="%1."/>
      <w:lvlJc w:val="left"/>
      <w:pPr>
        <w:ind w:left="2070" w:hanging="360"/>
      </w:pPr>
      <w:rPr>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3" w15:restartNumberingAfterBreak="0">
    <w:nsid w:val="7109283E"/>
    <w:multiLevelType w:val="hybridMultilevel"/>
    <w:tmpl w:val="57BE9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5A711E"/>
    <w:multiLevelType w:val="multilevel"/>
    <w:tmpl w:val="ED88159C"/>
    <w:styleLink w:val="List412"/>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8C26FCF"/>
    <w:multiLevelType w:val="multilevel"/>
    <w:tmpl w:val="2FCAD168"/>
    <w:styleLink w:val="List3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CE64D32"/>
    <w:multiLevelType w:val="hybridMultilevel"/>
    <w:tmpl w:val="9F8AF72C"/>
    <w:lvl w:ilvl="0" w:tplc="B09255D8">
      <w:start w:val="1"/>
      <w:numFmt w:val="decimal"/>
      <w:lvlText w:val="%1."/>
      <w:lvlJc w:val="left"/>
      <w:pPr>
        <w:tabs>
          <w:tab w:val="num" w:pos="0"/>
        </w:tabs>
      </w:pPr>
      <w:rPr>
        <w:rFonts w:ascii="Verdana" w:eastAsia="Times New Roman" w:hAnsi="Verdana" w:cs="Times New Roman" w:hint="default"/>
        <w:b w:val="0"/>
        <w:i w:val="0"/>
        <w:strike w:val="0"/>
        <w:color w:val="auto"/>
        <w:sz w:val="20"/>
      </w:rPr>
    </w:lvl>
    <w:lvl w:ilvl="1" w:tplc="3AAA13E2">
      <w:start w:val="1"/>
      <w:numFmt w:val="decimal"/>
      <w:lvlText w:val="%2."/>
      <w:lvlJc w:val="left"/>
      <w:pPr>
        <w:tabs>
          <w:tab w:val="num" w:pos="0"/>
        </w:tabs>
      </w:pPr>
      <w:rPr>
        <w:rFonts w:ascii="Verdana" w:eastAsia="Times New Roman" w:hAnsi="Verdana" w:cs="Times New Roman" w:hint="default"/>
        <w:b/>
        <w:i w:val="0"/>
        <w:strike w:val="0"/>
        <w:color w:val="auto"/>
        <w:sz w:val="20"/>
      </w:rPr>
    </w:lvl>
    <w:lvl w:ilvl="2" w:tplc="0409001B">
      <w:start w:val="1"/>
      <w:numFmt w:val="lowerRoman"/>
      <w:pStyle w:val="Estilo7"/>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66"/>
  </w:num>
  <w:num w:numId="4">
    <w:abstractNumId w:val="24"/>
  </w:num>
  <w:num w:numId="5">
    <w:abstractNumId w:val="56"/>
  </w:num>
  <w:num w:numId="6">
    <w:abstractNumId w:val="29"/>
  </w:num>
  <w:num w:numId="7">
    <w:abstractNumId w:val="8"/>
  </w:num>
  <w:num w:numId="8">
    <w:abstractNumId w:val="19"/>
  </w:num>
  <w:num w:numId="9">
    <w:abstractNumId w:val="50"/>
  </w:num>
  <w:num w:numId="10">
    <w:abstractNumId w:val="1"/>
  </w:num>
  <w:num w:numId="11">
    <w:abstractNumId w:val="43"/>
  </w:num>
  <w:num w:numId="12">
    <w:abstractNumId w:val="44"/>
  </w:num>
  <w:num w:numId="13">
    <w:abstractNumId w:val="52"/>
  </w:num>
  <w:num w:numId="14">
    <w:abstractNumId w:val="2"/>
  </w:num>
  <w:num w:numId="15">
    <w:abstractNumId w:val="4"/>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8"/>
  </w:num>
  <w:num w:numId="25">
    <w:abstractNumId w:val="20"/>
  </w:num>
  <w:num w:numId="26">
    <w:abstractNumId w:val="21"/>
  </w:num>
  <w:num w:numId="27">
    <w:abstractNumId w:val="25"/>
  </w:num>
  <w:num w:numId="28">
    <w:abstractNumId w:val="26"/>
  </w:num>
  <w:num w:numId="29">
    <w:abstractNumId w:val="27"/>
  </w:num>
  <w:num w:numId="30">
    <w:abstractNumId w:val="28"/>
  </w:num>
  <w:num w:numId="31">
    <w:abstractNumId w:val="30"/>
  </w:num>
  <w:num w:numId="32">
    <w:abstractNumId w:val="32"/>
  </w:num>
  <w:num w:numId="33">
    <w:abstractNumId w:val="33"/>
  </w:num>
  <w:num w:numId="34">
    <w:abstractNumId w:val="34"/>
  </w:num>
  <w:num w:numId="35">
    <w:abstractNumId w:val="36"/>
  </w:num>
  <w:num w:numId="36">
    <w:abstractNumId w:val="37"/>
  </w:num>
  <w:num w:numId="37">
    <w:abstractNumId w:val="38"/>
  </w:num>
  <w:num w:numId="38">
    <w:abstractNumId w:val="39"/>
  </w:num>
  <w:num w:numId="39">
    <w:abstractNumId w:val="45"/>
  </w:num>
  <w:num w:numId="40">
    <w:abstractNumId w:val="46"/>
  </w:num>
  <w:num w:numId="41">
    <w:abstractNumId w:val="54"/>
  </w:num>
  <w:num w:numId="42">
    <w:abstractNumId w:val="59"/>
  </w:num>
  <w:num w:numId="43">
    <w:abstractNumId w:val="61"/>
  </w:num>
  <w:num w:numId="44">
    <w:abstractNumId w:val="64"/>
  </w:num>
  <w:num w:numId="45">
    <w:abstractNumId w:val="65"/>
  </w:num>
  <w:num w:numId="46">
    <w:abstractNumId w:val="67"/>
  </w:num>
  <w:num w:numId="47">
    <w:abstractNumId w:val="68"/>
  </w:num>
  <w:num w:numId="48">
    <w:abstractNumId w:val="69"/>
  </w:num>
  <w:num w:numId="49">
    <w:abstractNumId w:val="71"/>
  </w:num>
  <w:num w:numId="50">
    <w:abstractNumId w:val="72"/>
  </w:num>
  <w:num w:numId="51">
    <w:abstractNumId w:val="23"/>
  </w:num>
  <w:num w:numId="52">
    <w:abstractNumId w:val="47"/>
  </w:num>
  <w:num w:numId="53">
    <w:abstractNumId w:val="53"/>
  </w:num>
  <w:num w:numId="54">
    <w:abstractNumId w:val="57"/>
  </w:num>
  <w:num w:numId="55">
    <w:abstractNumId w:val="31"/>
  </w:num>
  <w:num w:numId="56">
    <w:abstractNumId w:val="49"/>
  </w:num>
  <w:num w:numId="57">
    <w:abstractNumId w:val="0"/>
  </w:num>
  <w:num w:numId="58">
    <w:abstractNumId w:val="70"/>
  </w:num>
  <w:num w:numId="59">
    <w:abstractNumId w:val="41"/>
  </w:num>
  <w:num w:numId="60">
    <w:abstractNumId w:val="63"/>
  </w:num>
  <w:num w:numId="61">
    <w:abstractNumId w:val="22"/>
  </w:num>
  <w:num w:numId="62">
    <w:abstractNumId w:val="60"/>
  </w:num>
  <w:num w:numId="63">
    <w:abstractNumId w:val="6"/>
  </w:num>
  <w:num w:numId="64">
    <w:abstractNumId w:val="48"/>
  </w:num>
  <w:num w:numId="65">
    <w:abstractNumId w:val="62"/>
  </w:num>
  <w:num w:numId="66">
    <w:abstractNumId w:val="58"/>
  </w:num>
  <w:num w:numId="67">
    <w:abstractNumId w:val="35"/>
  </w:num>
  <w:num w:numId="68">
    <w:abstractNumId w:val="42"/>
  </w:num>
  <w:num w:numId="69">
    <w:abstractNumId w:val="55"/>
  </w:num>
  <w:num w:numId="70">
    <w:abstractNumId w:val="51"/>
  </w:num>
  <w:num w:numId="71">
    <w:abstractNumId w:val="3"/>
  </w:num>
  <w:num w:numId="72">
    <w:abstractNumId w:val="17"/>
  </w:num>
  <w:num w:numId="73">
    <w:abstractNumId w:val="4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hyphenationZone w:val="425"/>
  <w:characterSpacingControl w:val="doNotCompress"/>
  <w:hdrShapeDefaults>
    <o:shapedefaults v:ext="edit" spidmax="409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6C7"/>
    <w:rsid w:val="000008BA"/>
    <w:rsid w:val="00000CDA"/>
    <w:rsid w:val="00001115"/>
    <w:rsid w:val="00001CE3"/>
    <w:rsid w:val="0000270E"/>
    <w:rsid w:val="00002D3D"/>
    <w:rsid w:val="00003524"/>
    <w:rsid w:val="00004B5E"/>
    <w:rsid w:val="00004DC4"/>
    <w:rsid w:val="0000573E"/>
    <w:rsid w:val="0000590C"/>
    <w:rsid w:val="000060B6"/>
    <w:rsid w:val="00006A9C"/>
    <w:rsid w:val="00006E1F"/>
    <w:rsid w:val="000070D7"/>
    <w:rsid w:val="00007FA6"/>
    <w:rsid w:val="00010590"/>
    <w:rsid w:val="00011BF8"/>
    <w:rsid w:val="0001206C"/>
    <w:rsid w:val="0001283D"/>
    <w:rsid w:val="00012AF6"/>
    <w:rsid w:val="00013A73"/>
    <w:rsid w:val="00013D8C"/>
    <w:rsid w:val="00015CE0"/>
    <w:rsid w:val="0001788C"/>
    <w:rsid w:val="00017A4C"/>
    <w:rsid w:val="00020F14"/>
    <w:rsid w:val="00021C96"/>
    <w:rsid w:val="0002251D"/>
    <w:rsid w:val="000245C0"/>
    <w:rsid w:val="0002469F"/>
    <w:rsid w:val="00025337"/>
    <w:rsid w:val="000269D8"/>
    <w:rsid w:val="00026AEA"/>
    <w:rsid w:val="00027071"/>
    <w:rsid w:val="000271FB"/>
    <w:rsid w:val="00027F2A"/>
    <w:rsid w:val="00030F21"/>
    <w:rsid w:val="00031A1F"/>
    <w:rsid w:val="000324C8"/>
    <w:rsid w:val="00033DCD"/>
    <w:rsid w:val="0003450C"/>
    <w:rsid w:val="00035262"/>
    <w:rsid w:val="00040C3A"/>
    <w:rsid w:val="000410D5"/>
    <w:rsid w:val="000419FB"/>
    <w:rsid w:val="00042450"/>
    <w:rsid w:val="000462C6"/>
    <w:rsid w:val="00046BDE"/>
    <w:rsid w:val="00047A26"/>
    <w:rsid w:val="000514A1"/>
    <w:rsid w:val="000529A8"/>
    <w:rsid w:val="00053C00"/>
    <w:rsid w:val="00054914"/>
    <w:rsid w:val="00054C58"/>
    <w:rsid w:val="00054FCA"/>
    <w:rsid w:val="00055403"/>
    <w:rsid w:val="00055FAD"/>
    <w:rsid w:val="00056A8D"/>
    <w:rsid w:val="00056FEA"/>
    <w:rsid w:val="000577FA"/>
    <w:rsid w:val="00057DAA"/>
    <w:rsid w:val="00062045"/>
    <w:rsid w:val="000622BC"/>
    <w:rsid w:val="00062648"/>
    <w:rsid w:val="00063380"/>
    <w:rsid w:val="00067D80"/>
    <w:rsid w:val="0007062E"/>
    <w:rsid w:val="000716C5"/>
    <w:rsid w:val="000716FB"/>
    <w:rsid w:val="00072098"/>
    <w:rsid w:val="0007289C"/>
    <w:rsid w:val="00072FC2"/>
    <w:rsid w:val="0007377E"/>
    <w:rsid w:val="00073A86"/>
    <w:rsid w:val="00074E28"/>
    <w:rsid w:val="00074F8F"/>
    <w:rsid w:val="00075325"/>
    <w:rsid w:val="00075E23"/>
    <w:rsid w:val="00076723"/>
    <w:rsid w:val="00077774"/>
    <w:rsid w:val="0008236F"/>
    <w:rsid w:val="00083FED"/>
    <w:rsid w:val="000842CA"/>
    <w:rsid w:val="00084EE1"/>
    <w:rsid w:val="00085760"/>
    <w:rsid w:val="00086547"/>
    <w:rsid w:val="00092B03"/>
    <w:rsid w:val="0009344A"/>
    <w:rsid w:val="0009610B"/>
    <w:rsid w:val="000A19D0"/>
    <w:rsid w:val="000A27E1"/>
    <w:rsid w:val="000A392E"/>
    <w:rsid w:val="000A3C94"/>
    <w:rsid w:val="000A447E"/>
    <w:rsid w:val="000A5002"/>
    <w:rsid w:val="000A575F"/>
    <w:rsid w:val="000A58CD"/>
    <w:rsid w:val="000A726B"/>
    <w:rsid w:val="000A74B3"/>
    <w:rsid w:val="000B39D3"/>
    <w:rsid w:val="000B5A0F"/>
    <w:rsid w:val="000B7FF6"/>
    <w:rsid w:val="000C14B6"/>
    <w:rsid w:val="000C158E"/>
    <w:rsid w:val="000C1782"/>
    <w:rsid w:val="000C1882"/>
    <w:rsid w:val="000C1B2C"/>
    <w:rsid w:val="000C1CDC"/>
    <w:rsid w:val="000C25CF"/>
    <w:rsid w:val="000C2979"/>
    <w:rsid w:val="000C3EE2"/>
    <w:rsid w:val="000C5BBB"/>
    <w:rsid w:val="000C618F"/>
    <w:rsid w:val="000C687E"/>
    <w:rsid w:val="000C7AD7"/>
    <w:rsid w:val="000D10DB"/>
    <w:rsid w:val="000D2D35"/>
    <w:rsid w:val="000D3681"/>
    <w:rsid w:val="000D4813"/>
    <w:rsid w:val="000D57E5"/>
    <w:rsid w:val="000D7B11"/>
    <w:rsid w:val="000D7F6D"/>
    <w:rsid w:val="000E1C61"/>
    <w:rsid w:val="000E2B0F"/>
    <w:rsid w:val="000E3FE6"/>
    <w:rsid w:val="000E4D16"/>
    <w:rsid w:val="000E513D"/>
    <w:rsid w:val="000E5EB5"/>
    <w:rsid w:val="000E62AA"/>
    <w:rsid w:val="000E7808"/>
    <w:rsid w:val="000F1F2A"/>
    <w:rsid w:val="000F21F5"/>
    <w:rsid w:val="000F2D39"/>
    <w:rsid w:val="000F35ED"/>
    <w:rsid w:val="000F3824"/>
    <w:rsid w:val="000F78E9"/>
    <w:rsid w:val="001000B4"/>
    <w:rsid w:val="001003E8"/>
    <w:rsid w:val="001007DC"/>
    <w:rsid w:val="00100C34"/>
    <w:rsid w:val="001011FA"/>
    <w:rsid w:val="00102570"/>
    <w:rsid w:val="00103633"/>
    <w:rsid w:val="00103CE6"/>
    <w:rsid w:val="00107131"/>
    <w:rsid w:val="0010736F"/>
    <w:rsid w:val="00107654"/>
    <w:rsid w:val="001100F8"/>
    <w:rsid w:val="00111483"/>
    <w:rsid w:val="00111602"/>
    <w:rsid w:val="00111D95"/>
    <w:rsid w:val="00113540"/>
    <w:rsid w:val="00113696"/>
    <w:rsid w:val="00113F73"/>
    <w:rsid w:val="00114B2C"/>
    <w:rsid w:val="00114EA6"/>
    <w:rsid w:val="0011516F"/>
    <w:rsid w:val="00115C3D"/>
    <w:rsid w:val="00116D2E"/>
    <w:rsid w:val="00117376"/>
    <w:rsid w:val="00117521"/>
    <w:rsid w:val="001176DC"/>
    <w:rsid w:val="00121CC2"/>
    <w:rsid w:val="00122412"/>
    <w:rsid w:val="00122EB0"/>
    <w:rsid w:val="001239EE"/>
    <w:rsid w:val="00123C81"/>
    <w:rsid w:val="00124187"/>
    <w:rsid w:val="0012458E"/>
    <w:rsid w:val="001249AE"/>
    <w:rsid w:val="00125E8F"/>
    <w:rsid w:val="00127C30"/>
    <w:rsid w:val="001309D1"/>
    <w:rsid w:val="001311DC"/>
    <w:rsid w:val="00133494"/>
    <w:rsid w:val="001334CD"/>
    <w:rsid w:val="00133EE5"/>
    <w:rsid w:val="00133FB2"/>
    <w:rsid w:val="001346D9"/>
    <w:rsid w:val="0013513C"/>
    <w:rsid w:val="00135B2A"/>
    <w:rsid w:val="001418E6"/>
    <w:rsid w:val="00141F4A"/>
    <w:rsid w:val="001420FE"/>
    <w:rsid w:val="00142644"/>
    <w:rsid w:val="0014277E"/>
    <w:rsid w:val="00143015"/>
    <w:rsid w:val="00144BF3"/>
    <w:rsid w:val="00144DA6"/>
    <w:rsid w:val="00145D88"/>
    <w:rsid w:val="00146BF8"/>
    <w:rsid w:val="001508EB"/>
    <w:rsid w:val="00152640"/>
    <w:rsid w:val="0015346E"/>
    <w:rsid w:val="00154079"/>
    <w:rsid w:val="001549D3"/>
    <w:rsid w:val="00154B4B"/>
    <w:rsid w:val="001556F2"/>
    <w:rsid w:val="00155C3C"/>
    <w:rsid w:val="001608E9"/>
    <w:rsid w:val="00161B32"/>
    <w:rsid w:val="0016650E"/>
    <w:rsid w:val="001668A6"/>
    <w:rsid w:val="00166CD9"/>
    <w:rsid w:val="00167A34"/>
    <w:rsid w:val="00170304"/>
    <w:rsid w:val="001709E7"/>
    <w:rsid w:val="00170DFE"/>
    <w:rsid w:val="00172B9E"/>
    <w:rsid w:val="00172DCB"/>
    <w:rsid w:val="00173461"/>
    <w:rsid w:val="00173762"/>
    <w:rsid w:val="00173E70"/>
    <w:rsid w:val="00175891"/>
    <w:rsid w:val="00176354"/>
    <w:rsid w:val="001770FD"/>
    <w:rsid w:val="00180344"/>
    <w:rsid w:val="0018071D"/>
    <w:rsid w:val="00180751"/>
    <w:rsid w:val="001807B9"/>
    <w:rsid w:val="00180956"/>
    <w:rsid w:val="00182677"/>
    <w:rsid w:val="00182ED5"/>
    <w:rsid w:val="00183DBA"/>
    <w:rsid w:val="00184C98"/>
    <w:rsid w:val="00184F5F"/>
    <w:rsid w:val="00184FA6"/>
    <w:rsid w:val="00185215"/>
    <w:rsid w:val="0018616B"/>
    <w:rsid w:val="001865D9"/>
    <w:rsid w:val="00187CE0"/>
    <w:rsid w:val="00190F27"/>
    <w:rsid w:val="001912B5"/>
    <w:rsid w:val="00191839"/>
    <w:rsid w:val="001918C4"/>
    <w:rsid w:val="001930B7"/>
    <w:rsid w:val="00193E35"/>
    <w:rsid w:val="001945DD"/>
    <w:rsid w:val="0019470D"/>
    <w:rsid w:val="00194E4C"/>
    <w:rsid w:val="001956D4"/>
    <w:rsid w:val="00197305"/>
    <w:rsid w:val="001A0963"/>
    <w:rsid w:val="001A0BCB"/>
    <w:rsid w:val="001A0E29"/>
    <w:rsid w:val="001A27FB"/>
    <w:rsid w:val="001A3455"/>
    <w:rsid w:val="001A3D13"/>
    <w:rsid w:val="001A3E2C"/>
    <w:rsid w:val="001A4CCC"/>
    <w:rsid w:val="001A4DB9"/>
    <w:rsid w:val="001A58F4"/>
    <w:rsid w:val="001A5C2B"/>
    <w:rsid w:val="001A6657"/>
    <w:rsid w:val="001A6F2A"/>
    <w:rsid w:val="001A7870"/>
    <w:rsid w:val="001A7BBB"/>
    <w:rsid w:val="001B085B"/>
    <w:rsid w:val="001B1E10"/>
    <w:rsid w:val="001B26ED"/>
    <w:rsid w:val="001B3EA4"/>
    <w:rsid w:val="001B4084"/>
    <w:rsid w:val="001B6B3E"/>
    <w:rsid w:val="001B6DEF"/>
    <w:rsid w:val="001B7CFB"/>
    <w:rsid w:val="001C0156"/>
    <w:rsid w:val="001C16EE"/>
    <w:rsid w:val="001C1B41"/>
    <w:rsid w:val="001C39E5"/>
    <w:rsid w:val="001C4389"/>
    <w:rsid w:val="001C51DD"/>
    <w:rsid w:val="001C5B58"/>
    <w:rsid w:val="001C60DB"/>
    <w:rsid w:val="001C61B2"/>
    <w:rsid w:val="001D65EF"/>
    <w:rsid w:val="001D773A"/>
    <w:rsid w:val="001D7EDD"/>
    <w:rsid w:val="001E1412"/>
    <w:rsid w:val="001E1919"/>
    <w:rsid w:val="001E22BF"/>
    <w:rsid w:val="001E2367"/>
    <w:rsid w:val="001E34B9"/>
    <w:rsid w:val="001E39AC"/>
    <w:rsid w:val="001E43F7"/>
    <w:rsid w:val="001E5839"/>
    <w:rsid w:val="001E5EAD"/>
    <w:rsid w:val="001E5F84"/>
    <w:rsid w:val="001E6248"/>
    <w:rsid w:val="001E6CCE"/>
    <w:rsid w:val="001E7236"/>
    <w:rsid w:val="001E74EB"/>
    <w:rsid w:val="001E7B5B"/>
    <w:rsid w:val="001E7E51"/>
    <w:rsid w:val="001F0CB8"/>
    <w:rsid w:val="001F16F8"/>
    <w:rsid w:val="001F3E22"/>
    <w:rsid w:val="001F47C2"/>
    <w:rsid w:val="001F4E2F"/>
    <w:rsid w:val="001F6699"/>
    <w:rsid w:val="001F7DD4"/>
    <w:rsid w:val="001F7EED"/>
    <w:rsid w:val="00200AF7"/>
    <w:rsid w:val="002017BF"/>
    <w:rsid w:val="002031E7"/>
    <w:rsid w:val="00203C3F"/>
    <w:rsid w:val="00205035"/>
    <w:rsid w:val="00205E1B"/>
    <w:rsid w:val="00205E90"/>
    <w:rsid w:val="002069DF"/>
    <w:rsid w:val="00212D34"/>
    <w:rsid w:val="00212FE3"/>
    <w:rsid w:val="00213E56"/>
    <w:rsid w:val="00214A52"/>
    <w:rsid w:val="00214A84"/>
    <w:rsid w:val="002169B6"/>
    <w:rsid w:val="00216AAC"/>
    <w:rsid w:val="00216B2A"/>
    <w:rsid w:val="00217EC7"/>
    <w:rsid w:val="002223E2"/>
    <w:rsid w:val="00222F55"/>
    <w:rsid w:val="00224265"/>
    <w:rsid w:val="0022456A"/>
    <w:rsid w:val="002250A3"/>
    <w:rsid w:val="002253B6"/>
    <w:rsid w:val="0022570C"/>
    <w:rsid w:val="00225FF2"/>
    <w:rsid w:val="00226627"/>
    <w:rsid w:val="00226C35"/>
    <w:rsid w:val="00227F29"/>
    <w:rsid w:val="002300FE"/>
    <w:rsid w:val="00230C3B"/>
    <w:rsid w:val="0023146A"/>
    <w:rsid w:val="002317F7"/>
    <w:rsid w:val="0023192B"/>
    <w:rsid w:val="002322BF"/>
    <w:rsid w:val="00232882"/>
    <w:rsid w:val="00233B90"/>
    <w:rsid w:val="00235217"/>
    <w:rsid w:val="00235ED2"/>
    <w:rsid w:val="00235F10"/>
    <w:rsid w:val="0023616B"/>
    <w:rsid w:val="00236C32"/>
    <w:rsid w:val="00236CB5"/>
    <w:rsid w:val="00237520"/>
    <w:rsid w:val="00237A55"/>
    <w:rsid w:val="002402F1"/>
    <w:rsid w:val="00242725"/>
    <w:rsid w:val="002428BD"/>
    <w:rsid w:val="00243065"/>
    <w:rsid w:val="002440B6"/>
    <w:rsid w:val="00244C5B"/>
    <w:rsid w:val="00245ED7"/>
    <w:rsid w:val="002463F1"/>
    <w:rsid w:val="00246D1F"/>
    <w:rsid w:val="00247403"/>
    <w:rsid w:val="00247542"/>
    <w:rsid w:val="00247CB3"/>
    <w:rsid w:val="00247F3A"/>
    <w:rsid w:val="002508A0"/>
    <w:rsid w:val="002511EE"/>
    <w:rsid w:val="00251491"/>
    <w:rsid w:val="0025209D"/>
    <w:rsid w:val="00252211"/>
    <w:rsid w:val="00253DE6"/>
    <w:rsid w:val="002552BC"/>
    <w:rsid w:val="002562BD"/>
    <w:rsid w:val="00256D51"/>
    <w:rsid w:val="00262449"/>
    <w:rsid w:val="00262A03"/>
    <w:rsid w:val="0026487E"/>
    <w:rsid w:val="002653CC"/>
    <w:rsid w:val="00265601"/>
    <w:rsid w:val="00266B61"/>
    <w:rsid w:val="0026712A"/>
    <w:rsid w:val="00267D78"/>
    <w:rsid w:val="002704DB"/>
    <w:rsid w:val="00270FC5"/>
    <w:rsid w:val="0027289E"/>
    <w:rsid w:val="00272E86"/>
    <w:rsid w:val="0027359F"/>
    <w:rsid w:val="00274829"/>
    <w:rsid w:val="00275A65"/>
    <w:rsid w:val="00275A69"/>
    <w:rsid w:val="00276A4C"/>
    <w:rsid w:val="002801CF"/>
    <w:rsid w:val="00281551"/>
    <w:rsid w:val="00282CAE"/>
    <w:rsid w:val="00283559"/>
    <w:rsid w:val="00285C2C"/>
    <w:rsid w:val="00285EF2"/>
    <w:rsid w:val="0028613C"/>
    <w:rsid w:val="00286834"/>
    <w:rsid w:val="00287321"/>
    <w:rsid w:val="00290517"/>
    <w:rsid w:val="002908CA"/>
    <w:rsid w:val="00291B97"/>
    <w:rsid w:val="00293D83"/>
    <w:rsid w:val="0029427F"/>
    <w:rsid w:val="002963F0"/>
    <w:rsid w:val="00296B97"/>
    <w:rsid w:val="0029786D"/>
    <w:rsid w:val="00297CB7"/>
    <w:rsid w:val="002A0AAE"/>
    <w:rsid w:val="002A0B39"/>
    <w:rsid w:val="002A0E9C"/>
    <w:rsid w:val="002A1CF7"/>
    <w:rsid w:val="002A2C38"/>
    <w:rsid w:val="002A2D63"/>
    <w:rsid w:val="002A50AB"/>
    <w:rsid w:val="002A5820"/>
    <w:rsid w:val="002A6690"/>
    <w:rsid w:val="002A7D27"/>
    <w:rsid w:val="002B08B8"/>
    <w:rsid w:val="002B107C"/>
    <w:rsid w:val="002B1084"/>
    <w:rsid w:val="002B35B7"/>
    <w:rsid w:val="002B47EF"/>
    <w:rsid w:val="002B4E6A"/>
    <w:rsid w:val="002B59DC"/>
    <w:rsid w:val="002B71BD"/>
    <w:rsid w:val="002C022F"/>
    <w:rsid w:val="002C104A"/>
    <w:rsid w:val="002C4915"/>
    <w:rsid w:val="002C4EB8"/>
    <w:rsid w:val="002C606F"/>
    <w:rsid w:val="002C6B53"/>
    <w:rsid w:val="002C6F9E"/>
    <w:rsid w:val="002C79F3"/>
    <w:rsid w:val="002C7FB7"/>
    <w:rsid w:val="002D2B26"/>
    <w:rsid w:val="002D2FFE"/>
    <w:rsid w:val="002D3F95"/>
    <w:rsid w:val="002D61F9"/>
    <w:rsid w:val="002D697E"/>
    <w:rsid w:val="002D7EA2"/>
    <w:rsid w:val="002E00A9"/>
    <w:rsid w:val="002E0C4A"/>
    <w:rsid w:val="002E187C"/>
    <w:rsid w:val="002E2BF9"/>
    <w:rsid w:val="002E2C05"/>
    <w:rsid w:val="002E56DD"/>
    <w:rsid w:val="002E7441"/>
    <w:rsid w:val="002F0F27"/>
    <w:rsid w:val="002F305B"/>
    <w:rsid w:val="002F4C05"/>
    <w:rsid w:val="002F5357"/>
    <w:rsid w:val="002F61AE"/>
    <w:rsid w:val="002F7370"/>
    <w:rsid w:val="002F762B"/>
    <w:rsid w:val="00300271"/>
    <w:rsid w:val="00301BD0"/>
    <w:rsid w:val="00301FA8"/>
    <w:rsid w:val="00302733"/>
    <w:rsid w:val="003038B8"/>
    <w:rsid w:val="00304C2F"/>
    <w:rsid w:val="00304D4A"/>
    <w:rsid w:val="00305E1F"/>
    <w:rsid w:val="003068B7"/>
    <w:rsid w:val="00306BC3"/>
    <w:rsid w:val="00310AB2"/>
    <w:rsid w:val="0031191B"/>
    <w:rsid w:val="00312934"/>
    <w:rsid w:val="00312BF3"/>
    <w:rsid w:val="00313474"/>
    <w:rsid w:val="00314078"/>
    <w:rsid w:val="00314A1B"/>
    <w:rsid w:val="0031535D"/>
    <w:rsid w:val="003153B6"/>
    <w:rsid w:val="00315408"/>
    <w:rsid w:val="00315C45"/>
    <w:rsid w:val="00315E42"/>
    <w:rsid w:val="00317A0B"/>
    <w:rsid w:val="00320926"/>
    <w:rsid w:val="00320B32"/>
    <w:rsid w:val="00321607"/>
    <w:rsid w:val="00321618"/>
    <w:rsid w:val="003219DA"/>
    <w:rsid w:val="0032325D"/>
    <w:rsid w:val="00323EC5"/>
    <w:rsid w:val="00324096"/>
    <w:rsid w:val="00325B4F"/>
    <w:rsid w:val="00325DDE"/>
    <w:rsid w:val="0032793A"/>
    <w:rsid w:val="0033169F"/>
    <w:rsid w:val="00331E62"/>
    <w:rsid w:val="00333A4A"/>
    <w:rsid w:val="00333C3A"/>
    <w:rsid w:val="00333D28"/>
    <w:rsid w:val="00334E19"/>
    <w:rsid w:val="00335B51"/>
    <w:rsid w:val="0034007A"/>
    <w:rsid w:val="00340713"/>
    <w:rsid w:val="00340F63"/>
    <w:rsid w:val="00341CC3"/>
    <w:rsid w:val="00341D78"/>
    <w:rsid w:val="00344804"/>
    <w:rsid w:val="00344BDE"/>
    <w:rsid w:val="00344E61"/>
    <w:rsid w:val="00345A04"/>
    <w:rsid w:val="00346C95"/>
    <w:rsid w:val="00350083"/>
    <w:rsid w:val="003501B1"/>
    <w:rsid w:val="00350781"/>
    <w:rsid w:val="00350D95"/>
    <w:rsid w:val="00351013"/>
    <w:rsid w:val="003519A2"/>
    <w:rsid w:val="00352E6C"/>
    <w:rsid w:val="00353DFE"/>
    <w:rsid w:val="0035419F"/>
    <w:rsid w:val="00354D0C"/>
    <w:rsid w:val="00355254"/>
    <w:rsid w:val="003555DD"/>
    <w:rsid w:val="00356185"/>
    <w:rsid w:val="0035714F"/>
    <w:rsid w:val="00357D76"/>
    <w:rsid w:val="00360380"/>
    <w:rsid w:val="003619A0"/>
    <w:rsid w:val="00361DA9"/>
    <w:rsid w:val="0036204A"/>
    <w:rsid w:val="003633FD"/>
    <w:rsid w:val="003642E2"/>
    <w:rsid w:val="00364B4F"/>
    <w:rsid w:val="00364B52"/>
    <w:rsid w:val="003655B3"/>
    <w:rsid w:val="003655E1"/>
    <w:rsid w:val="00366439"/>
    <w:rsid w:val="00366D17"/>
    <w:rsid w:val="00366FCF"/>
    <w:rsid w:val="003678FB"/>
    <w:rsid w:val="00371058"/>
    <w:rsid w:val="003728A9"/>
    <w:rsid w:val="00373806"/>
    <w:rsid w:val="003739A2"/>
    <w:rsid w:val="00374A9C"/>
    <w:rsid w:val="0037519E"/>
    <w:rsid w:val="00377E1C"/>
    <w:rsid w:val="003816ED"/>
    <w:rsid w:val="00384AF8"/>
    <w:rsid w:val="00384C63"/>
    <w:rsid w:val="00385A4E"/>
    <w:rsid w:val="00386718"/>
    <w:rsid w:val="00386CF0"/>
    <w:rsid w:val="00387499"/>
    <w:rsid w:val="00387577"/>
    <w:rsid w:val="00387778"/>
    <w:rsid w:val="00387B5B"/>
    <w:rsid w:val="003918F8"/>
    <w:rsid w:val="00391C93"/>
    <w:rsid w:val="00392ADC"/>
    <w:rsid w:val="00394047"/>
    <w:rsid w:val="00395214"/>
    <w:rsid w:val="003952E6"/>
    <w:rsid w:val="0039619F"/>
    <w:rsid w:val="003964A1"/>
    <w:rsid w:val="0039666E"/>
    <w:rsid w:val="00397588"/>
    <w:rsid w:val="0039781D"/>
    <w:rsid w:val="00397B10"/>
    <w:rsid w:val="003A1D82"/>
    <w:rsid w:val="003A22A0"/>
    <w:rsid w:val="003A43DB"/>
    <w:rsid w:val="003A4AC5"/>
    <w:rsid w:val="003A4F4A"/>
    <w:rsid w:val="003A65BF"/>
    <w:rsid w:val="003A6ADF"/>
    <w:rsid w:val="003A6DD1"/>
    <w:rsid w:val="003A748E"/>
    <w:rsid w:val="003A7D48"/>
    <w:rsid w:val="003A7FBA"/>
    <w:rsid w:val="003B0896"/>
    <w:rsid w:val="003B1175"/>
    <w:rsid w:val="003B2EE9"/>
    <w:rsid w:val="003B42CF"/>
    <w:rsid w:val="003B5212"/>
    <w:rsid w:val="003B584E"/>
    <w:rsid w:val="003B62AF"/>
    <w:rsid w:val="003C1107"/>
    <w:rsid w:val="003C22B0"/>
    <w:rsid w:val="003C2D5A"/>
    <w:rsid w:val="003C2E2C"/>
    <w:rsid w:val="003C349B"/>
    <w:rsid w:val="003C3535"/>
    <w:rsid w:val="003C4283"/>
    <w:rsid w:val="003C57BE"/>
    <w:rsid w:val="003C57E0"/>
    <w:rsid w:val="003C5C90"/>
    <w:rsid w:val="003C5E5C"/>
    <w:rsid w:val="003C676B"/>
    <w:rsid w:val="003C71DA"/>
    <w:rsid w:val="003C748F"/>
    <w:rsid w:val="003D1222"/>
    <w:rsid w:val="003D2B66"/>
    <w:rsid w:val="003D2CF3"/>
    <w:rsid w:val="003D350B"/>
    <w:rsid w:val="003D3BC2"/>
    <w:rsid w:val="003D3FA5"/>
    <w:rsid w:val="003D444E"/>
    <w:rsid w:val="003D52AC"/>
    <w:rsid w:val="003D65F1"/>
    <w:rsid w:val="003D6D90"/>
    <w:rsid w:val="003D7D27"/>
    <w:rsid w:val="003E0160"/>
    <w:rsid w:val="003E10E6"/>
    <w:rsid w:val="003E28D4"/>
    <w:rsid w:val="003E4617"/>
    <w:rsid w:val="003E505A"/>
    <w:rsid w:val="003E67D0"/>
    <w:rsid w:val="003E6CA1"/>
    <w:rsid w:val="003F140F"/>
    <w:rsid w:val="003F14CC"/>
    <w:rsid w:val="003F1A38"/>
    <w:rsid w:val="003F1EB0"/>
    <w:rsid w:val="003F2D0D"/>
    <w:rsid w:val="003F4059"/>
    <w:rsid w:val="003F4255"/>
    <w:rsid w:val="003F7404"/>
    <w:rsid w:val="003F7CC3"/>
    <w:rsid w:val="00400A2C"/>
    <w:rsid w:val="004028E2"/>
    <w:rsid w:val="004055B2"/>
    <w:rsid w:val="00405B71"/>
    <w:rsid w:val="00407038"/>
    <w:rsid w:val="004110C2"/>
    <w:rsid w:val="0041164C"/>
    <w:rsid w:val="00411787"/>
    <w:rsid w:val="00411B35"/>
    <w:rsid w:val="004120F0"/>
    <w:rsid w:val="0041219C"/>
    <w:rsid w:val="00412229"/>
    <w:rsid w:val="00412362"/>
    <w:rsid w:val="00415BF4"/>
    <w:rsid w:val="004161E1"/>
    <w:rsid w:val="004165C2"/>
    <w:rsid w:val="004202E1"/>
    <w:rsid w:val="00420EF8"/>
    <w:rsid w:val="0042171A"/>
    <w:rsid w:val="00421ABB"/>
    <w:rsid w:val="00422495"/>
    <w:rsid w:val="00423C64"/>
    <w:rsid w:val="00423C66"/>
    <w:rsid w:val="00426668"/>
    <w:rsid w:val="00427638"/>
    <w:rsid w:val="004304DE"/>
    <w:rsid w:val="00432B07"/>
    <w:rsid w:val="00441ECB"/>
    <w:rsid w:val="004431DD"/>
    <w:rsid w:val="00443ED1"/>
    <w:rsid w:val="00445946"/>
    <w:rsid w:val="00446AD6"/>
    <w:rsid w:val="00446AE6"/>
    <w:rsid w:val="004516EE"/>
    <w:rsid w:val="004518AA"/>
    <w:rsid w:val="0045337C"/>
    <w:rsid w:val="0045344C"/>
    <w:rsid w:val="00453B88"/>
    <w:rsid w:val="0045524C"/>
    <w:rsid w:val="00455427"/>
    <w:rsid w:val="0045573A"/>
    <w:rsid w:val="00455EFD"/>
    <w:rsid w:val="004565C1"/>
    <w:rsid w:val="004579E2"/>
    <w:rsid w:val="00457E97"/>
    <w:rsid w:val="00461361"/>
    <w:rsid w:val="004619B2"/>
    <w:rsid w:val="00462CC7"/>
    <w:rsid w:val="004642E3"/>
    <w:rsid w:val="00464819"/>
    <w:rsid w:val="00465B3F"/>
    <w:rsid w:val="00467B7E"/>
    <w:rsid w:val="004701F1"/>
    <w:rsid w:val="004704BC"/>
    <w:rsid w:val="00471DD8"/>
    <w:rsid w:val="00472255"/>
    <w:rsid w:val="004733EE"/>
    <w:rsid w:val="00473F0B"/>
    <w:rsid w:val="0047414D"/>
    <w:rsid w:val="00475DA8"/>
    <w:rsid w:val="004763AC"/>
    <w:rsid w:val="00476A77"/>
    <w:rsid w:val="0047702D"/>
    <w:rsid w:val="00477592"/>
    <w:rsid w:val="004779DE"/>
    <w:rsid w:val="00483655"/>
    <w:rsid w:val="00483B24"/>
    <w:rsid w:val="004844A3"/>
    <w:rsid w:val="00484D22"/>
    <w:rsid w:val="0048538C"/>
    <w:rsid w:val="004861CA"/>
    <w:rsid w:val="00486B27"/>
    <w:rsid w:val="00486F1C"/>
    <w:rsid w:val="00487853"/>
    <w:rsid w:val="00490E2C"/>
    <w:rsid w:val="004913D3"/>
    <w:rsid w:val="00491FCB"/>
    <w:rsid w:val="0049279C"/>
    <w:rsid w:val="00492D61"/>
    <w:rsid w:val="00493069"/>
    <w:rsid w:val="0049419D"/>
    <w:rsid w:val="004945D6"/>
    <w:rsid w:val="00494EB0"/>
    <w:rsid w:val="00497479"/>
    <w:rsid w:val="004979FF"/>
    <w:rsid w:val="004A17F1"/>
    <w:rsid w:val="004A2711"/>
    <w:rsid w:val="004A34D4"/>
    <w:rsid w:val="004A3B01"/>
    <w:rsid w:val="004A41C7"/>
    <w:rsid w:val="004A5B3F"/>
    <w:rsid w:val="004A5C36"/>
    <w:rsid w:val="004B264E"/>
    <w:rsid w:val="004B2946"/>
    <w:rsid w:val="004B32AE"/>
    <w:rsid w:val="004B3336"/>
    <w:rsid w:val="004B350B"/>
    <w:rsid w:val="004B3C6B"/>
    <w:rsid w:val="004B6F08"/>
    <w:rsid w:val="004C07E3"/>
    <w:rsid w:val="004C18D5"/>
    <w:rsid w:val="004C20D2"/>
    <w:rsid w:val="004C3609"/>
    <w:rsid w:val="004C3851"/>
    <w:rsid w:val="004C3A21"/>
    <w:rsid w:val="004C4B62"/>
    <w:rsid w:val="004C4C4A"/>
    <w:rsid w:val="004C518D"/>
    <w:rsid w:val="004C54C9"/>
    <w:rsid w:val="004C567F"/>
    <w:rsid w:val="004C6877"/>
    <w:rsid w:val="004C788A"/>
    <w:rsid w:val="004D08A7"/>
    <w:rsid w:val="004D0AA1"/>
    <w:rsid w:val="004D13FC"/>
    <w:rsid w:val="004D2F00"/>
    <w:rsid w:val="004D33FA"/>
    <w:rsid w:val="004D57F0"/>
    <w:rsid w:val="004D6025"/>
    <w:rsid w:val="004D7A51"/>
    <w:rsid w:val="004E00EA"/>
    <w:rsid w:val="004E010E"/>
    <w:rsid w:val="004E06EE"/>
    <w:rsid w:val="004E1029"/>
    <w:rsid w:val="004E1D2C"/>
    <w:rsid w:val="004E2649"/>
    <w:rsid w:val="004E2C81"/>
    <w:rsid w:val="004E345D"/>
    <w:rsid w:val="004E41DD"/>
    <w:rsid w:val="004E5317"/>
    <w:rsid w:val="004E5CDC"/>
    <w:rsid w:val="004E69E2"/>
    <w:rsid w:val="004E7225"/>
    <w:rsid w:val="004E7516"/>
    <w:rsid w:val="004F09D7"/>
    <w:rsid w:val="004F3369"/>
    <w:rsid w:val="004F3E11"/>
    <w:rsid w:val="004F50A6"/>
    <w:rsid w:val="004F53C3"/>
    <w:rsid w:val="004F6177"/>
    <w:rsid w:val="004F66FE"/>
    <w:rsid w:val="004F78A9"/>
    <w:rsid w:val="00500746"/>
    <w:rsid w:val="00501399"/>
    <w:rsid w:val="005039BD"/>
    <w:rsid w:val="00503BB5"/>
    <w:rsid w:val="005047AB"/>
    <w:rsid w:val="0050633D"/>
    <w:rsid w:val="00506F9C"/>
    <w:rsid w:val="0050707F"/>
    <w:rsid w:val="00507BC4"/>
    <w:rsid w:val="00507FED"/>
    <w:rsid w:val="00511C53"/>
    <w:rsid w:val="00512257"/>
    <w:rsid w:val="005128E4"/>
    <w:rsid w:val="00512CBE"/>
    <w:rsid w:val="005133DB"/>
    <w:rsid w:val="005157B9"/>
    <w:rsid w:val="00515EC8"/>
    <w:rsid w:val="00516A27"/>
    <w:rsid w:val="00517F50"/>
    <w:rsid w:val="00520408"/>
    <w:rsid w:val="00520A2F"/>
    <w:rsid w:val="005215D0"/>
    <w:rsid w:val="00522C85"/>
    <w:rsid w:val="00523153"/>
    <w:rsid w:val="00524EE6"/>
    <w:rsid w:val="00525560"/>
    <w:rsid w:val="00525AD6"/>
    <w:rsid w:val="00525DDB"/>
    <w:rsid w:val="005268B8"/>
    <w:rsid w:val="005271B6"/>
    <w:rsid w:val="00531807"/>
    <w:rsid w:val="005322E5"/>
    <w:rsid w:val="00533D1F"/>
    <w:rsid w:val="005349ED"/>
    <w:rsid w:val="00534FBE"/>
    <w:rsid w:val="00535500"/>
    <w:rsid w:val="0053556F"/>
    <w:rsid w:val="005371CD"/>
    <w:rsid w:val="00537528"/>
    <w:rsid w:val="0054002A"/>
    <w:rsid w:val="0054029E"/>
    <w:rsid w:val="0054054E"/>
    <w:rsid w:val="00540575"/>
    <w:rsid w:val="0054307F"/>
    <w:rsid w:val="0054428F"/>
    <w:rsid w:val="0054444B"/>
    <w:rsid w:val="00544C49"/>
    <w:rsid w:val="00544C5D"/>
    <w:rsid w:val="00545248"/>
    <w:rsid w:val="0054587A"/>
    <w:rsid w:val="005459F9"/>
    <w:rsid w:val="00545B9A"/>
    <w:rsid w:val="0055069A"/>
    <w:rsid w:val="005508C4"/>
    <w:rsid w:val="00550DB6"/>
    <w:rsid w:val="00551081"/>
    <w:rsid w:val="00551662"/>
    <w:rsid w:val="005516A1"/>
    <w:rsid w:val="00553320"/>
    <w:rsid w:val="00554BAB"/>
    <w:rsid w:val="00554DBC"/>
    <w:rsid w:val="005554FA"/>
    <w:rsid w:val="0055626F"/>
    <w:rsid w:val="00556755"/>
    <w:rsid w:val="00556F57"/>
    <w:rsid w:val="00560837"/>
    <w:rsid w:val="00561F03"/>
    <w:rsid w:val="00562181"/>
    <w:rsid w:val="005640B3"/>
    <w:rsid w:val="00564126"/>
    <w:rsid w:val="00564291"/>
    <w:rsid w:val="00566971"/>
    <w:rsid w:val="005670BF"/>
    <w:rsid w:val="005676E4"/>
    <w:rsid w:val="005704C6"/>
    <w:rsid w:val="00570AB1"/>
    <w:rsid w:val="0057402A"/>
    <w:rsid w:val="005741A1"/>
    <w:rsid w:val="005742D2"/>
    <w:rsid w:val="005747CB"/>
    <w:rsid w:val="005771D0"/>
    <w:rsid w:val="005774EE"/>
    <w:rsid w:val="00577986"/>
    <w:rsid w:val="00580C7B"/>
    <w:rsid w:val="005820A2"/>
    <w:rsid w:val="005825E4"/>
    <w:rsid w:val="00582AD0"/>
    <w:rsid w:val="00582E2D"/>
    <w:rsid w:val="00582FB7"/>
    <w:rsid w:val="00584C58"/>
    <w:rsid w:val="00584CEE"/>
    <w:rsid w:val="005853DE"/>
    <w:rsid w:val="0058550D"/>
    <w:rsid w:val="005863F0"/>
    <w:rsid w:val="00586C28"/>
    <w:rsid w:val="00590247"/>
    <w:rsid w:val="0059191A"/>
    <w:rsid w:val="005921FF"/>
    <w:rsid w:val="00592407"/>
    <w:rsid w:val="005927DB"/>
    <w:rsid w:val="00592D32"/>
    <w:rsid w:val="00592F00"/>
    <w:rsid w:val="00593A96"/>
    <w:rsid w:val="00594EA8"/>
    <w:rsid w:val="00597139"/>
    <w:rsid w:val="00597182"/>
    <w:rsid w:val="00597B1F"/>
    <w:rsid w:val="005A22A5"/>
    <w:rsid w:val="005A2381"/>
    <w:rsid w:val="005A3189"/>
    <w:rsid w:val="005A426B"/>
    <w:rsid w:val="005A6C98"/>
    <w:rsid w:val="005A6D0E"/>
    <w:rsid w:val="005A79BE"/>
    <w:rsid w:val="005B201B"/>
    <w:rsid w:val="005B22F2"/>
    <w:rsid w:val="005B2724"/>
    <w:rsid w:val="005B2E8C"/>
    <w:rsid w:val="005B3991"/>
    <w:rsid w:val="005B4EC3"/>
    <w:rsid w:val="005B52B0"/>
    <w:rsid w:val="005B57C8"/>
    <w:rsid w:val="005B5DA0"/>
    <w:rsid w:val="005B67BB"/>
    <w:rsid w:val="005B6806"/>
    <w:rsid w:val="005B7CFC"/>
    <w:rsid w:val="005C0160"/>
    <w:rsid w:val="005C19DB"/>
    <w:rsid w:val="005C27DA"/>
    <w:rsid w:val="005C2D54"/>
    <w:rsid w:val="005C4225"/>
    <w:rsid w:val="005C4D72"/>
    <w:rsid w:val="005C5B5F"/>
    <w:rsid w:val="005C5F91"/>
    <w:rsid w:val="005C6897"/>
    <w:rsid w:val="005C6B77"/>
    <w:rsid w:val="005D07C2"/>
    <w:rsid w:val="005D2009"/>
    <w:rsid w:val="005D22ED"/>
    <w:rsid w:val="005D2580"/>
    <w:rsid w:val="005D36AB"/>
    <w:rsid w:val="005D4FBD"/>
    <w:rsid w:val="005D5860"/>
    <w:rsid w:val="005D61CF"/>
    <w:rsid w:val="005D64DF"/>
    <w:rsid w:val="005D6C4F"/>
    <w:rsid w:val="005D6E61"/>
    <w:rsid w:val="005E093C"/>
    <w:rsid w:val="005E0A2B"/>
    <w:rsid w:val="005E2512"/>
    <w:rsid w:val="005E2653"/>
    <w:rsid w:val="005E2757"/>
    <w:rsid w:val="005E32A3"/>
    <w:rsid w:val="005E3FAA"/>
    <w:rsid w:val="005E4932"/>
    <w:rsid w:val="005E5EB5"/>
    <w:rsid w:val="005E6686"/>
    <w:rsid w:val="005E70C2"/>
    <w:rsid w:val="005E7131"/>
    <w:rsid w:val="005E73E3"/>
    <w:rsid w:val="005E7B71"/>
    <w:rsid w:val="005E7D25"/>
    <w:rsid w:val="005F059A"/>
    <w:rsid w:val="005F0DAD"/>
    <w:rsid w:val="005F0F33"/>
    <w:rsid w:val="005F10F8"/>
    <w:rsid w:val="005F3019"/>
    <w:rsid w:val="005F36C9"/>
    <w:rsid w:val="005F467E"/>
    <w:rsid w:val="00600984"/>
    <w:rsid w:val="00600DEB"/>
    <w:rsid w:val="006025D3"/>
    <w:rsid w:val="0060286E"/>
    <w:rsid w:val="0060359A"/>
    <w:rsid w:val="00603CE1"/>
    <w:rsid w:val="00604374"/>
    <w:rsid w:val="00605E17"/>
    <w:rsid w:val="006062AE"/>
    <w:rsid w:val="00606766"/>
    <w:rsid w:val="00607D72"/>
    <w:rsid w:val="00612C26"/>
    <w:rsid w:val="006131F6"/>
    <w:rsid w:val="00614070"/>
    <w:rsid w:val="00614949"/>
    <w:rsid w:val="00615588"/>
    <w:rsid w:val="006156BB"/>
    <w:rsid w:val="00615CE7"/>
    <w:rsid w:val="006166DA"/>
    <w:rsid w:val="006210BE"/>
    <w:rsid w:val="00621BCF"/>
    <w:rsid w:val="006231B9"/>
    <w:rsid w:val="00623491"/>
    <w:rsid w:val="00624C42"/>
    <w:rsid w:val="00626FA8"/>
    <w:rsid w:val="00627226"/>
    <w:rsid w:val="00627C9F"/>
    <w:rsid w:val="00630182"/>
    <w:rsid w:val="006310B6"/>
    <w:rsid w:val="006311E9"/>
    <w:rsid w:val="00631790"/>
    <w:rsid w:val="00632186"/>
    <w:rsid w:val="00632354"/>
    <w:rsid w:val="006323A4"/>
    <w:rsid w:val="00632756"/>
    <w:rsid w:val="00634563"/>
    <w:rsid w:val="006346A1"/>
    <w:rsid w:val="00635BB1"/>
    <w:rsid w:val="00636B55"/>
    <w:rsid w:val="006376C7"/>
    <w:rsid w:val="00641153"/>
    <w:rsid w:val="006417CC"/>
    <w:rsid w:val="00642810"/>
    <w:rsid w:val="00642EDA"/>
    <w:rsid w:val="00643CC4"/>
    <w:rsid w:val="00644082"/>
    <w:rsid w:val="006442F5"/>
    <w:rsid w:val="006443E9"/>
    <w:rsid w:val="006456F7"/>
    <w:rsid w:val="00646395"/>
    <w:rsid w:val="006467FD"/>
    <w:rsid w:val="00650002"/>
    <w:rsid w:val="00651EC2"/>
    <w:rsid w:val="00652188"/>
    <w:rsid w:val="00652333"/>
    <w:rsid w:val="00655211"/>
    <w:rsid w:val="00656512"/>
    <w:rsid w:val="00656E65"/>
    <w:rsid w:val="0066023A"/>
    <w:rsid w:val="00660C52"/>
    <w:rsid w:val="00661100"/>
    <w:rsid w:val="00661DA2"/>
    <w:rsid w:val="0066333F"/>
    <w:rsid w:val="00664161"/>
    <w:rsid w:val="006643FC"/>
    <w:rsid w:val="0066444F"/>
    <w:rsid w:val="0066459D"/>
    <w:rsid w:val="006648A4"/>
    <w:rsid w:val="00664CDD"/>
    <w:rsid w:val="00666028"/>
    <w:rsid w:val="0066711E"/>
    <w:rsid w:val="00670490"/>
    <w:rsid w:val="006707C8"/>
    <w:rsid w:val="00670F82"/>
    <w:rsid w:val="0067116C"/>
    <w:rsid w:val="00671F2C"/>
    <w:rsid w:val="00673B01"/>
    <w:rsid w:val="006744FD"/>
    <w:rsid w:val="00675058"/>
    <w:rsid w:val="00677789"/>
    <w:rsid w:val="0068009E"/>
    <w:rsid w:val="0068115E"/>
    <w:rsid w:val="00682DFF"/>
    <w:rsid w:val="00683DB1"/>
    <w:rsid w:val="00685B16"/>
    <w:rsid w:val="00685B73"/>
    <w:rsid w:val="00690F47"/>
    <w:rsid w:val="00691376"/>
    <w:rsid w:val="00691C56"/>
    <w:rsid w:val="00692219"/>
    <w:rsid w:val="00692431"/>
    <w:rsid w:val="00693EF9"/>
    <w:rsid w:val="00697C65"/>
    <w:rsid w:val="006A17D2"/>
    <w:rsid w:val="006A359D"/>
    <w:rsid w:val="006A46E5"/>
    <w:rsid w:val="006A4F86"/>
    <w:rsid w:val="006A5764"/>
    <w:rsid w:val="006A5BAB"/>
    <w:rsid w:val="006A64C8"/>
    <w:rsid w:val="006A6F1B"/>
    <w:rsid w:val="006A73E6"/>
    <w:rsid w:val="006A788D"/>
    <w:rsid w:val="006B0C1C"/>
    <w:rsid w:val="006B10A8"/>
    <w:rsid w:val="006B204E"/>
    <w:rsid w:val="006B2D5C"/>
    <w:rsid w:val="006B47C7"/>
    <w:rsid w:val="006B49A7"/>
    <w:rsid w:val="006B4C96"/>
    <w:rsid w:val="006B5A8F"/>
    <w:rsid w:val="006B6453"/>
    <w:rsid w:val="006B7951"/>
    <w:rsid w:val="006C1069"/>
    <w:rsid w:val="006C1263"/>
    <w:rsid w:val="006C2A40"/>
    <w:rsid w:val="006C36D7"/>
    <w:rsid w:val="006C458C"/>
    <w:rsid w:val="006C4EB1"/>
    <w:rsid w:val="006C535C"/>
    <w:rsid w:val="006C5454"/>
    <w:rsid w:val="006C54D6"/>
    <w:rsid w:val="006C717A"/>
    <w:rsid w:val="006D09CA"/>
    <w:rsid w:val="006D20F0"/>
    <w:rsid w:val="006D24F9"/>
    <w:rsid w:val="006D2770"/>
    <w:rsid w:val="006D42DA"/>
    <w:rsid w:val="006D4F5F"/>
    <w:rsid w:val="006D4FAB"/>
    <w:rsid w:val="006D51FD"/>
    <w:rsid w:val="006E0166"/>
    <w:rsid w:val="006E0DBF"/>
    <w:rsid w:val="006E1718"/>
    <w:rsid w:val="006E2A8D"/>
    <w:rsid w:val="006E3533"/>
    <w:rsid w:val="006E3ACD"/>
    <w:rsid w:val="006E7253"/>
    <w:rsid w:val="006E7B34"/>
    <w:rsid w:val="006F0687"/>
    <w:rsid w:val="006F10C5"/>
    <w:rsid w:val="006F1124"/>
    <w:rsid w:val="006F567F"/>
    <w:rsid w:val="006F70B7"/>
    <w:rsid w:val="006F716F"/>
    <w:rsid w:val="00702096"/>
    <w:rsid w:val="0070282D"/>
    <w:rsid w:val="00702DD3"/>
    <w:rsid w:val="00703E38"/>
    <w:rsid w:val="00704240"/>
    <w:rsid w:val="00704267"/>
    <w:rsid w:val="00704E7B"/>
    <w:rsid w:val="0070609E"/>
    <w:rsid w:val="007063CD"/>
    <w:rsid w:val="0070697F"/>
    <w:rsid w:val="0070721F"/>
    <w:rsid w:val="00707E2E"/>
    <w:rsid w:val="00711EF7"/>
    <w:rsid w:val="00711F29"/>
    <w:rsid w:val="00712F3E"/>
    <w:rsid w:val="0071368B"/>
    <w:rsid w:val="00713E9D"/>
    <w:rsid w:val="00713F2E"/>
    <w:rsid w:val="007146B9"/>
    <w:rsid w:val="00715566"/>
    <w:rsid w:val="00716235"/>
    <w:rsid w:val="007167B1"/>
    <w:rsid w:val="007169E9"/>
    <w:rsid w:val="0072199C"/>
    <w:rsid w:val="0072224B"/>
    <w:rsid w:val="00722C9F"/>
    <w:rsid w:val="00722D25"/>
    <w:rsid w:val="007249DC"/>
    <w:rsid w:val="007253B8"/>
    <w:rsid w:val="00727F1D"/>
    <w:rsid w:val="00730CDD"/>
    <w:rsid w:val="00730DF5"/>
    <w:rsid w:val="00731339"/>
    <w:rsid w:val="007314FD"/>
    <w:rsid w:val="0073232F"/>
    <w:rsid w:val="00732738"/>
    <w:rsid w:val="00733557"/>
    <w:rsid w:val="00733DD9"/>
    <w:rsid w:val="00734164"/>
    <w:rsid w:val="00734C4B"/>
    <w:rsid w:val="0073741F"/>
    <w:rsid w:val="007400FA"/>
    <w:rsid w:val="00740BFE"/>
    <w:rsid w:val="00740EAE"/>
    <w:rsid w:val="0074105E"/>
    <w:rsid w:val="0074238D"/>
    <w:rsid w:val="00742C77"/>
    <w:rsid w:val="0074304F"/>
    <w:rsid w:val="007430D2"/>
    <w:rsid w:val="00743DC5"/>
    <w:rsid w:val="007440E7"/>
    <w:rsid w:val="00745B7E"/>
    <w:rsid w:val="00746585"/>
    <w:rsid w:val="00746843"/>
    <w:rsid w:val="00746AAE"/>
    <w:rsid w:val="0074720D"/>
    <w:rsid w:val="00747D8D"/>
    <w:rsid w:val="00750A75"/>
    <w:rsid w:val="007514F8"/>
    <w:rsid w:val="0075264A"/>
    <w:rsid w:val="00753917"/>
    <w:rsid w:val="00754931"/>
    <w:rsid w:val="00754ACA"/>
    <w:rsid w:val="0075679B"/>
    <w:rsid w:val="0075702A"/>
    <w:rsid w:val="00757210"/>
    <w:rsid w:val="007607D3"/>
    <w:rsid w:val="007612B9"/>
    <w:rsid w:val="0076215D"/>
    <w:rsid w:val="00762E27"/>
    <w:rsid w:val="007631B1"/>
    <w:rsid w:val="00763935"/>
    <w:rsid w:val="0076467D"/>
    <w:rsid w:val="0076529C"/>
    <w:rsid w:val="0076643F"/>
    <w:rsid w:val="00766704"/>
    <w:rsid w:val="0076710B"/>
    <w:rsid w:val="0076747E"/>
    <w:rsid w:val="00767B0F"/>
    <w:rsid w:val="00771BDD"/>
    <w:rsid w:val="00773739"/>
    <w:rsid w:val="007743EA"/>
    <w:rsid w:val="00774E56"/>
    <w:rsid w:val="007755C4"/>
    <w:rsid w:val="00776C1A"/>
    <w:rsid w:val="00777F63"/>
    <w:rsid w:val="00780936"/>
    <w:rsid w:val="00780A2B"/>
    <w:rsid w:val="00780E78"/>
    <w:rsid w:val="0078104A"/>
    <w:rsid w:val="00781802"/>
    <w:rsid w:val="00781820"/>
    <w:rsid w:val="00781910"/>
    <w:rsid w:val="00781C50"/>
    <w:rsid w:val="00782C1F"/>
    <w:rsid w:val="00782DD4"/>
    <w:rsid w:val="00784445"/>
    <w:rsid w:val="00784912"/>
    <w:rsid w:val="007863AC"/>
    <w:rsid w:val="007900E5"/>
    <w:rsid w:val="00790A3D"/>
    <w:rsid w:val="0079188C"/>
    <w:rsid w:val="00791E19"/>
    <w:rsid w:val="0079338F"/>
    <w:rsid w:val="0079366A"/>
    <w:rsid w:val="00796BA7"/>
    <w:rsid w:val="00796CE1"/>
    <w:rsid w:val="007A01A7"/>
    <w:rsid w:val="007A0649"/>
    <w:rsid w:val="007A0DE8"/>
    <w:rsid w:val="007A27A5"/>
    <w:rsid w:val="007A40E7"/>
    <w:rsid w:val="007A5817"/>
    <w:rsid w:val="007A7914"/>
    <w:rsid w:val="007B0F54"/>
    <w:rsid w:val="007B1508"/>
    <w:rsid w:val="007B2EC9"/>
    <w:rsid w:val="007B33CA"/>
    <w:rsid w:val="007B46EE"/>
    <w:rsid w:val="007B52F2"/>
    <w:rsid w:val="007B60E9"/>
    <w:rsid w:val="007B6399"/>
    <w:rsid w:val="007B6CC3"/>
    <w:rsid w:val="007B719D"/>
    <w:rsid w:val="007C10F0"/>
    <w:rsid w:val="007C19EC"/>
    <w:rsid w:val="007C2846"/>
    <w:rsid w:val="007C3334"/>
    <w:rsid w:val="007C384C"/>
    <w:rsid w:val="007C3BC4"/>
    <w:rsid w:val="007C3F9E"/>
    <w:rsid w:val="007C4309"/>
    <w:rsid w:val="007C467D"/>
    <w:rsid w:val="007C5D5F"/>
    <w:rsid w:val="007C77F8"/>
    <w:rsid w:val="007C7D18"/>
    <w:rsid w:val="007D0394"/>
    <w:rsid w:val="007D07B8"/>
    <w:rsid w:val="007D1612"/>
    <w:rsid w:val="007D1DF8"/>
    <w:rsid w:val="007D2B98"/>
    <w:rsid w:val="007D2DB2"/>
    <w:rsid w:val="007D3940"/>
    <w:rsid w:val="007D407C"/>
    <w:rsid w:val="007D5353"/>
    <w:rsid w:val="007D57A8"/>
    <w:rsid w:val="007D5C45"/>
    <w:rsid w:val="007D65B9"/>
    <w:rsid w:val="007D7158"/>
    <w:rsid w:val="007E0996"/>
    <w:rsid w:val="007E1653"/>
    <w:rsid w:val="007E21BC"/>
    <w:rsid w:val="007E256B"/>
    <w:rsid w:val="007E25E5"/>
    <w:rsid w:val="007E428A"/>
    <w:rsid w:val="007E43DC"/>
    <w:rsid w:val="007E4EE5"/>
    <w:rsid w:val="007E6198"/>
    <w:rsid w:val="007F1215"/>
    <w:rsid w:val="007F1826"/>
    <w:rsid w:val="007F1A1E"/>
    <w:rsid w:val="007F22A8"/>
    <w:rsid w:val="007F3654"/>
    <w:rsid w:val="007F4E2B"/>
    <w:rsid w:val="007F710D"/>
    <w:rsid w:val="0080090C"/>
    <w:rsid w:val="00801257"/>
    <w:rsid w:val="00801D1A"/>
    <w:rsid w:val="00802081"/>
    <w:rsid w:val="00802D53"/>
    <w:rsid w:val="008034D4"/>
    <w:rsid w:val="008037A2"/>
    <w:rsid w:val="00803F1C"/>
    <w:rsid w:val="0080543F"/>
    <w:rsid w:val="0080600E"/>
    <w:rsid w:val="00806186"/>
    <w:rsid w:val="008066E9"/>
    <w:rsid w:val="00807765"/>
    <w:rsid w:val="00807D36"/>
    <w:rsid w:val="008107B8"/>
    <w:rsid w:val="008107C0"/>
    <w:rsid w:val="00811395"/>
    <w:rsid w:val="00812D14"/>
    <w:rsid w:val="00813A3A"/>
    <w:rsid w:val="008141EA"/>
    <w:rsid w:val="008154D8"/>
    <w:rsid w:val="00816C6F"/>
    <w:rsid w:val="00817612"/>
    <w:rsid w:val="00817A29"/>
    <w:rsid w:val="008229E6"/>
    <w:rsid w:val="00823157"/>
    <w:rsid w:val="00824224"/>
    <w:rsid w:val="00824AFF"/>
    <w:rsid w:val="0082506B"/>
    <w:rsid w:val="00827355"/>
    <w:rsid w:val="008273B3"/>
    <w:rsid w:val="008305C0"/>
    <w:rsid w:val="008316E2"/>
    <w:rsid w:val="00831912"/>
    <w:rsid w:val="00831B05"/>
    <w:rsid w:val="008332E1"/>
    <w:rsid w:val="008338A4"/>
    <w:rsid w:val="00834DAD"/>
    <w:rsid w:val="008363CE"/>
    <w:rsid w:val="008369F6"/>
    <w:rsid w:val="00837C45"/>
    <w:rsid w:val="00837F6A"/>
    <w:rsid w:val="0084066A"/>
    <w:rsid w:val="00841AFD"/>
    <w:rsid w:val="00843DED"/>
    <w:rsid w:val="00844730"/>
    <w:rsid w:val="00844817"/>
    <w:rsid w:val="008449D3"/>
    <w:rsid w:val="00845125"/>
    <w:rsid w:val="00845611"/>
    <w:rsid w:val="008457C2"/>
    <w:rsid w:val="00846428"/>
    <w:rsid w:val="0084686C"/>
    <w:rsid w:val="008477B2"/>
    <w:rsid w:val="00847F90"/>
    <w:rsid w:val="008512E1"/>
    <w:rsid w:val="00851EEF"/>
    <w:rsid w:val="00852019"/>
    <w:rsid w:val="00852FF0"/>
    <w:rsid w:val="00853104"/>
    <w:rsid w:val="0085325C"/>
    <w:rsid w:val="0085455C"/>
    <w:rsid w:val="00854BDF"/>
    <w:rsid w:val="00857A82"/>
    <w:rsid w:val="00857ADB"/>
    <w:rsid w:val="0086046A"/>
    <w:rsid w:val="0086050B"/>
    <w:rsid w:val="00860DB4"/>
    <w:rsid w:val="008611B6"/>
    <w:rsid w:val="00862722"/>
    <w:rsid w:val="00862854"/>
    <w:rsid w:val="00862BD5"/>
    <w:rsid w:val="00862F3E"/>
    <w:rsid w:val="00863474"/>
    <w:rsid w:val="008637AC"/>
    <w:rsid w:val="0086494E"/>
    <w:rsid w:val="0086550A"/>
    <w:rsid w:val="00865D30"/>
    <w:rsid w:val="00865F02"/>
    <w:rsid w:val="008660EB"/>
    <w:rsid w:val="00866919"/>
    <w:rsid w:val="0087030C"/>
    <w:rsid w:val="008708AD"/>
    <w:rsid w:val="0087187C"/>
    <w:rsid w:val="00872E93"/>
    <w:rsid w:val="00873836"/>
    <w:rsid w:val="0087429D"/>
    <w:rsid w:val="008748DB"/>
    <w:rsid w:val="00876648"/>
    <w:rsid w:val="0087692F"/>
    <w:rsid w:val="00876B65"/>
    <w:rsid w:val="008802EC"/>
    <w:rsid w:val="0088057B"/>
    <w:rsid w:val="00880B51"/>
    <w:rsid w:val="00882BF3"/>
    <w:rsid w:val="00883E9F"/>
    <w:rsid w:val="008845F7"/>
    <w:rsid w:val="00885737"/>
    <w:rsid w:val="008867AB"/>
    <w:rsid w:val="00886852"/>
    <w:rsid w:val="00890153"/>
    <w:rsid w:val="00890650"/>
    <w:rsid w:val="0089081D"/>
    <w:rsid w:val="00890B8B"/>
    <w:rsid w:val="008923B1"/>
    <w:rsid w:val="008925D9"/>
    <w:rsid w:val="008935DC"/>
    <w:rsid w:val="008940B2"/>
    <w:rsid w:val="00894B17"/>
    <w:rsid w:val="00894C3D"/>
    <w:rsid w:val="00895FA1"/>
    <w:rsid w:val="00896EFB"/>
    <w:rsid w:val="008970B8"/>
    <w:rsid w:val="00897541"/>
    <w:rsid w:val="008975FB"/>
    <w:rsid w:val="00897E12"/>
    <w:rsid w:val="008A0162"/>
    <w:rsid w:val="008A1017"/>
    <w:rsid w:val="008A178A"/>
    <w:rsid w:val="008A221D"/>
    <w:rsid w:val="008A27CF"/>
    <w:rsid w:val="008A3ABF"/>
    <w:rsid w:val="008A59BE"/>
    <w:rsid w:val="008A6DC1"/>
    <w:rsid w:val="008A794E"/>
    <w:rsid w:val="008A7E0F"/>
    <w:rsid w:val="008B090D"/>
    <w:rsid w:val="008B109D"/>
    <w:rsid w:val="008B12F5"/>
    <w:rsid w:val="008B39F7"/>
    <w:rsid w:val="008B44DC"/>
    <w:rsid w:val="008B4BF4"/>
    <w:rsid w:val="008B5D95"/>
    <w:rsid w:val="008B5EB4"/>
    <w:rsid w:val="008B6482"/>
    <w:rsid w:val="008B6F47"/>
    <w:rsid w:val="008C01FC"/>
    <w:rsid w:val="008C083F"/>
    <w:rsid w:val="008C08F9"/>
    <w:rsid w:val="008C10AE"/>
    <w:rsid w:val="008C211F"/>
    <w:rsid w:val="008C300A"/>
    <w:rsid w:val="008C3D81"/>
    <w:rsid w:val="008C4C7D"/>
    <w:rsid w:val="008C5017"/>
    <w:rsid w:val="008C71A1"/>
    <w:rsid w:val="008D0FE1"/>
    <w:rsid w:val="008D1483"/>
    <w:rsid w:val="008D1DBD"/>
    <w:rsid w:val="008D2F87"/>
    <w:rsid w:val="008D3DE1"/>
    <w:rsid w:val="008D3FB7"/>
    <w:rsid w:val="008D4458"/>
    <w:rsid w:val="008D4A06"/>
    <w:rsid w:val="008D5B3D"/>
    <w:rsid w:val="008D5DDF"/>
    <w:rsid w:val="008D768D"/>
    <w:rsid w:val="008E0B7A"/>
    <w:rsid w:val="008E178E"/>
    <w:rsid w:val="008E2375"/>
    <w:rsid w:val="008E274E"/>
    <w:rsid w:val="008E2B60"/>
    <w:rsid w:val="008E3759"/>
    <w:rsid w:val="008E5748"/>
    <w:rsid w:val="008E599F"/>
    <w:rsid w:val="008E6D12"/>
    <w:rsid w:val="008E7194"/>
    <w:rsid w:val="008E770D"/>
    <w:rsid w:val="008E77C6"/>
    <w:rsid w:val="008E7C61"/>
    <w:rsid w:val="008F15C3"/>
    <w:rsid w:val="008F1912"/>
    <w:rsid w:val="008F384C"/>
    <w:rsid w:val="008F3C10"/>
    <w:rsid w:val="008F4D6F"/>
    <w:rsid w:val="008F53EC"/>
    <w:rsid w:val="008F5CC1"/>
    <w:rsid w:val="009008AC"/>
    <w:rsid w:val="009014ED"/>
    <w:rsid w:val="0090270B"/>
    <w:rsid w:val="009039C8"/>
    <w:rsid w:val="009041DC"/>
    <w:rsid w:val="0090449D"/>
    <w:rsid w:val="00904EE8"/>
    <w:rsid w:val="009116FB"/>
    <w:rsid w:val="009117F9"/>
    <w:rsid w:val="009123D9"/>
    <w:rsid w:val="0091276F"/>
    <w:rsid w:val="009136F0"/>
    <w:rsid w:val="00913B94"/>
    <w:rsid w:val="00914C75"/>
    <w:rsid w:val="00914EC9"/>
    <w:rsid w:val="00915329"/>
    <w:rsid w:val="00917848"/>
    <w:rsid w:val="00917B5A"/>
    <w:rsid w:val="00920725"/>
    <w:rsid w:val="00920981"/>
    <w:rsid w:val="00920A58"/>
    <w:rsid w:val="00920A8C"/>
    <w:rsid w:val="00920C68"/>
    <w:rsid w:val="00920F99"/>
    <w:rsid w:val="00921419"/>
    <w:rsid w:val="00921DD7"/>
    <w:rsid w:val="0092254F"/>
    <w:rsid w:val="00922EA0"/>
    <w:rsid w:val="00923194"/>
    <w:rsid w:val="0092336D"/>
    <w:rsid w:val="0092350B"/>
    <w:rsid w:val="009236ED"/>
    <w:rsid w:val="009237E9"/>
    <w:rsid w:val="00923B91"/>
    <w:rsid w:val="00923FEB"/>
    <w:rsid w:val="00927A39"/>
    <w:rsid w:val="00927DC7"/>
    <w:rsid w:val="009309B8"/>
    <w:rsid w:val="00930BB1"/>
    <w:rsid w:val="00931FA0"/>
    <w:rsid w:val="0093288E"/>
    <w:rsid w:val="00933C58"/>
    <w:rsid w:val="00933F79"/>
    <w:rsid w:val="00934A2C"/>
    <w:rsid w:val="009355EB"/>
    <w:rsid w:val="00936164"/>
    <w:rsid w:val="0093627D"/>
    <w:rsid w:val="00936E77"/>
    <w:rsid w:val="0094248C"/>
    <w:rsid w:val="00942AA4"/>
    <w:rsid w:val="00943345"/>
    <w:rsid w:val="00943B0D"/>
    <w:rsid w:val="00943E7C"/>
    <w:rsid w:val="009458DF"/>
    <w:rsid w:val="00945988"/>
    <w:rsid w:val="00946F5C"/>
    <w:rsid w:val="00947897"/>
    <w:rsid w:val="00950B3C"/>
    <w:rsid w:val="00950B9F"/>
    <w:rsid w:val="0095196C"/>
    <w:rsid w:val="00951ABA"/>
    <w:rsid w:val="00952130"/>
    <w:rsid w:val="00952600"/>
    <w:rsid w:val="009542E0"/>
    <w:rsid w:val="00962DF4"/>
    <w:rsid w:val="00963BB9"/>
    <w:rsid w:val="0096410C"/>
    <w:rsid w:val="0096566A"/>
    <w:rsid w:val="0096592D"/>
    <w:rsid w:val="0096706E"/>
    <w:rsid w:val="00967397"/>
    <w:rsid w:val="00971AAF"/>
    <w:rsid w:val="00975C4E"/>
    <w:rsid w:val="009765CF"/>
    <w:rsid w:val="009779F9"/>
    <w:rsid w:val="00980AB1"/>
    <w:rsid w:val="009811A0"/>
    <w:rsid w:val="00981DD3"/>
    <w:rsid w:val="00981FBA"/>
    <w:rsid w:val="00982549"/>
    <w:rsid w:val="00984A93"/>
    <w:rsid w:val="00984F2A"/>
    <w:rsid w:val="00985BCD"/>
    <w:rsid w:val="00985DB7"/>
    <w:rsid w:val="009923C9"/>
    <w:rsid w:val="00993401"/>
    <w:rsid w:val="00993514"/>
    <w:rsid w:val="0099378A"/>
    <w:rsid w:val="0099384F"/>
    <w:rsid w:val="00993AAA"/>
    <w:rsid w:val="0099472B"/>
    <w:rsid w:val="009954AB"/>
    <w:rsid w:val="00995881"/>
    <w:rsid w:val="009959F2"/>
    <w:rsid w:val="00995ACF"/>
    <w:rsid w:val="00995E3E"/>
    <w:rsid w:val="009975A6"/>
    <w:rsid w:val="00997BC5"/>
    <w:rsid w:val="009A1041"/>
    <w:rsid w:val="009A14CA"/>
    <w:rsid w:val="009A14F5"/>
    <w:rsid w:val="009A18BB"/>
    <w:rsid w:val="009A1AFE"/>
    <w:rsid w:val="009A1FC9"/>
    <w:rsid w:val="009A2535"/>
    <w:rsid w:val="009A277A"/>
    <w:rsid w:val="009A2DE8"/>
    <w:rsid w:val="009A4AF6"/>
    <w:rsid w:val="009A4F41"/>
    <w:rsid w:val="009A583A"/>
    <w:rsid w:val="009A5B95"/>
    <w:rsid w:val="009A7562"/>
    <w:rsid w:val="009B13E2"/>
    <w:rsid w:val="009B2052"/>
    <w:rsid w:val="009B2166"/>
    <w:rsid w:val="009B2E8D"/>
    <w:rsid w:val="009B381B"/>
    <w:rsid w:val="009B3D0A"/>
    <w:rsid w:val="009B46BD"/>
    <w:rsid w:val="009B5C99"/>
    <w:rsid w:val="009B76D3"/>
    <w:rsid w:val="009C12BF"/>
    <w:rsid w:val="009C1422"/>
    <w:rsid w:val="009C1964"/>
    <w:rsid w:val="009C205A"/>
    <w:rsid w:val="009C2A8F"/>
    <w:rsid w:val="009C43D8"/>
    <w:rsid w:val="009C44C4"/>
    <w:rsid w:val="009C4B03"/>
    <w:rsid w:val="009C5BAC"/>
    <w:rsid w:val="009C5F74"/>
    <w:rsid w:val="009C6436"/>
    <w:rsid w:val="009C697F"/>
    <w:rsid w:val="009C76C1"/>
    <w:rsid w:val="009C7CB1"/>
    <w:rsid w:val="009D150A"/>
    <w:rsid w:val="009D1753"/>
    <w:rsid w:val="009D1B56"/>
    <w:rsid w:val="009D2FEB"/>
    <w:rsid w:val="009D2FFD"/>
    <w:rsid w:val="009D3D44"/>
    <w:rsid w:val="009D7611"/>
    <w:rsid w:val="009E0B61"/>
    <w:rsid w:val="009E0B9D"/>
    <w:rsid w:val="009E121C"/>
    <w:rsid w:val="009E18F7"/>
    <w:rsid w:val="009E20D0"/>
    <w:rsid w:val="009E2717"/>
    <w:rsid w:val="009E2E99"/>
    <w:rsid w:val="009E3E49"/>
    <w:rsid w:val="009E42CF"/>
    <w:rsid w:val="009E44EE"/>
    <w:rsid w:val="009E48D0"/>
    <w:rsid w:val="009E53DE"/>
    <w:rsid w:val="009E5AD2"/>
    <w:rsid w:val="009E74AD"/>
    <w:rsid w:val="009E7BA7"/>
    <w:rsid w:val="009E7E2D"/>
    <w:rsid w:val="009F0972"/>
    <w:rsid w:val="009F1A71"/>
    <w:rsid w:val="009F1A9D"/>
    <w:rsid w:val="009F231E"/>
    <w:rsid w:val="009F31A1"/>
    <w:rsid w:val="009F3E0B"/>
    <w:rsid w:val="009F539B"/>
    <w:rsid w:val="009F5F14"/>
    <w:rsid w:val="009F6B7F"/>
    <w:rsid w:val="009F7D75"/>
    <w:rsid w:val="00A00ECA"/>
    <w:rsid w:val="00A010C7"/>
    <w:rsid w:val="00A04851"/>
    <w:rsid w:val="00A0548C"/>
    <w:rsid w:val="00A05C18"/>
    <w:rsid w:val="00A07451"/>
    <w:rsid w:val="00A07DC0"/>
    <w:rsid w:val="00A1016A"/>
    <w:rsid w:val="00A1018C"/>
    <w:rsid w:val="00A103E7"/>
    <w:rsid w:val="00A1065A"/>
    <w:rsid w:val="00A127E0"/>
    <w:rsid w:val="00A132F7"/>
    <w:rsid w:val="00A16C3B"/>
    <w:rsid w:val="00A17137"/>
    <w:rsid w:val="00A17714"/>
    <w:rsid w:val="00A178D6"/>
    <w:rsid w:val="00A20601"/>
    <w:rsid w:val="00A211EF"/>
    <w:rsid w:val="00A213AE"/>
    <w:rsid w:val="00A21B59"/>
    <w:rsid w:val="00A21D9E"/>
    <w:rsid w:val="00A22B78"/>
    <w:rsid w:val="00A24214"/>
    <w:rsid w:val="00A25571"/>
    <w:rsid w:val="00A26025"/>
    <w:rsid w:val="00A26730"/>
    <w:rsid w:val="00A2683F"/>
    <w:rsid w:val="00A26D0E"/>
    <w:rsid w:val="00A27480"/>
    <w:rsid w:val="00A274D9"/>
    <w:rsid w:val="00A32239"/>
    <w:rsid w:val="00A328B3"/>
    <w:rsid w:val="00A32FE3"/>
    <w:rsid w:val="00A342BE"/>
    <w:rsid w:val="00A3507D"/>
    <w:rsid w:val="00A35F22"/>
    <w:rsid w:val="00A36AE6"/>
    <w:rsid w:val="00A40D6E"/>
    <w:rsid w:val="00A43C18"/>
    <w:rsid w:val="00A4486F"/>
    <w:rsid w:val="00A44B0A"/>
    <w:rsid w:val="00A45FA1"/>
    <w:rsid w:val="00A460BD"/>
    <w:rsid w:val="00A461DD"/>
    <w:rsid w:val="00A46769"/>
    <w:rsid w:val="00A47BFE"/>
    <w:rsid w:val="00A47CCF"/>
    <w:rsid w:val="00A50369"/>
    <w:rsid w:val="00A50FCF"/>
    <w:rsid w:val="00A528D1"/>
    <w:rsid w:val="00A547C2"/>
    <w:rsid w:val="00A547FF"/>
    <w:rsid w:val="00A557A4"/>
    <w:rsid w:val="00A56713"/>
    <w:rsid w:val="00A574DE"/>
    <w:rsid w:val="00A57EC9"/>
    <w:rsid w:val="00A610CD"/>
    <w:rsid w:val="00A61468"/>
    <w:rsid w:val="00A62DCD"/>
    <w:rsid w:val="00A637DE"/>
    <w:rsid w:val="00A63E2A"/>
    <w:rsid w:val="00A64434"/>
    <w:rsid w:val="00A6550F"/>
    <w:rsid w:val="00A6599D"/>
    <w:rsid w:val="00A661D2"/>
    <w:rsid w:val="00A667C1"/>
    <w:rsid w:val="00A67289"/>
    <w:rsid w:val="00A70653"/>
    <w:rsid w:val="00A707A5"/>
    <w:rsid w:val="00A70C1D"/>
    <w:rsid w:val="00A716DF"/>
    <w:rsid w:val="00A746DD"/>
    <w:rsid w:val="00A7611C"/>
    <w:rsid w:val="00A762B3"/>
    <w:rsid w:val="00A764A2"/>
    <w:rsid w:val="00A8041A"/>
    <w:rsid w:val="00A80BBD"/>
    <w:rsid w:val="00A819CC"/>
    <w:rsid w:val="00A826DF"/>
    <w:rsid w:val="00A83691"/>
    <w:rsid w:val="00A83F6E"/>
    <w:rsid w:val="00A84C6A"/>
    <w:rsid w:val="00A84D40"/>
    <w:rsid w:val="00A84DC5"/>
    <w:rsid w:val="00A85EC5"/>
    <w:rsid w:val="00A85EEE"/>
    <w:rsid w:val="00A86712"/>
    <w:rsid w:val="00A90F5C"/>
    <w:rsid w:val="00A91110"/>
    <w:rsid w:val="00A93062"/>
    <w:rsid w:val="00A93AA4"/>
    <w:rsid w:val="00A93ECC"/>
    <w:rsid w:val="00AA0930"/>
    <w:rsid w:val="00AA09A2"/>
    <w:rsid w:val="00AA0C5D"/>
    <w:rsid w:val="00AA1673"/>
    <w:rsid w:val="00AA1ED1"/>
    <w:rsid w:val="00AA1F17"/>
    <w:rsid w:val="00AA24C3"/>
    <w:rsid w:val="00AA27FF"/>
    <w:rsid w:val="00AA29B7"/>
    <w:rsid w:val="00AA2BF0"/>
    <w:rsid w:val="00AA34B1"/>
    <w:rsid w:val="00AA3E48"/>
    <w:rsid w:val="00AA4163"/>
    <w:rsid w:val="00AA4191"/>
    <w:rsid w:val="00AA49C6"/>
    <w:rsid w:val="00AA5557"/>
    <w:rsid w:val="00AA6057"/>
    <w:rsid w:val="00AA60C4"/>
    <w:rsid w:val="00AA6A88"/>
    <w:rsid w:val="00AA6C1E"/>
    <w:rsid w:val="00AA6F22"/>
    <w:rsid w:val="00AA70A5"/>
    <w:rsid w:val="00AA7691"/>
    <w:rsid w:val="00AA7996"/>
    <w:rsid w:val="00AA7EA9"/>
    <w:rsid w:val="00AB0C10"/>
    <w:rsid w:val="00AB1701"/>
    <w:rsid w:val="00AB241A"/>
    <w:rsid w:val="00AB499D"/>
    <w:rsid w:val="00AB5B85"/>
    <w:rsid w:val="00AB6B27"/>
    <w:rsid w:val="00AB6D06"/>
    <w:rsid w:val="00AC0C17"/>
    <w:rsid w:val="00AC144B"/>
    <w:rsid w:val="00AC19CB"/>
    <w:rsid w:val="00AC1A08"/>
    <w:rsid w:val="00AC2411"/>
    <w:rsid w:val="00AC3A9B"/>
    <w:rsid w:val="00AC3B0F"/>
    <w:rsid w:val="00AC451B"/>
    <w:rsid w:val="00AC6602"/>
    <w:rsid w:val="00AC701C"/>
    <w:rsid w:val="00AD1960"/>
    <w:rsid w:val="00AD4F2F"/>
    <w:rsid w:val="00AD62D2"/>
    <w:rsid w:val="00AD6476"/>
    <w:rsid w:val="00AD69D4"/>
    <w:rsid w:val="00AD6DB0"/>
    <w:rsid w:val="00AD766C"/>
    <w:rsid w:val="00AD7E89"/>
    <w:rsid w:val="00AE0DEC"/>
    <w:rsid w:val="00AE13BB"/>
    <w:rsid w:val="00AE1A87"/>
    <w:rsid w:val="00AE1C11"/>
    <w:rsid w:val="00AE4386"/>
    <w:rsid w:val="00AE4CEC"/>
    <w:rsid w:val="00AE5488"/>
    <w:rsid w:val="00AE56B9"/>
    <w:rsid w:val="00AE6F91"/>
    <w:rsid w:val="00AF1932"/>
    <w:rsid w:val="00AF1F75"/>
    <w:rsid w:val="00AF2504"/>
    <w:rsid w:val="00AF2B57"/>
    <w:rsid w:val="00AF38D3"/>
    <w:rsid w:val="00AF458E"/>
    <w:rsid w:val="00AF51BD"/>
    <w:rsid w:val="00AF5571"/>
    <w:rsid w:val="00AF69B8"/>
    <w:rsid w:val="00B00C83"/>
    <w:rsid w:val="00B0122D"/>
    <w:rsid w:val="00B037BC"/>
    <w:rsid w:val="00B04302"/>
    <w:rsid w:val="00B04ED6"/>
    <w:rsid w:val="00B05C89"/>
    <w:rsid w:val="00B062B3"/>
    <w:rsid w:val="00B07341"/>
    <w:rsid w:val="00B111B8"/>
    <w:rsid w:val="00B11A10"/>
    <w:rsid w:val="00B12AAF"/>
    <w:rsid w:val="00B12BA3"/>
    <w:rsid w:val="00B14A80"/>
    <w:rsid w:val="00B14B3E"/>
    <w:rsid w:val="00B172EA"/>
    <w:rsid w:val="00B1752B"/>
    <w:rsid w:val="00B17B17"/>
    <w:rsid w:val="00B17F57"/>
    <w:rsid w:val="00B239F8"/>
    <w:rsid w:val="00B24C20"/>
    <w:rsid w:val="00B25AA6"/>
    <w:rsid w:val="00B263AE"/>
    <w:rsid w:val="00B266B5"/>
    <w:rsid w:val="00B272D8"/>
    <w:rsid w:val="00B30539"/>
    <w:rsid w:val="00B30670"/>
    <w:rsid w:val="00B30C5A"/>
    <w:rsid w:val="00B314DB"/>
    <w:rsid w:val="00B32A58"/>
    <w:rsid w:val="00B32A74"/>
    <w:rsid w:val="00B34EE4"/>
    <w:rsid w:val="00B354E2"/>
    <w:rsid w:val="00B361F2"/>
    <w:rsid w:val="00B36811"/>
    <w:rsid w:val="00B36E32"/>
    <w:rsid w:val="00B36F1B"/>
    <w:rsid w:val="00B3718B"/>
    <w:rsid w:val="00B3759C"/>
    <w:rsid w:val="00B40176"/>
    <w:rsid w:val="00B4270B"/>
    <w:rsid w:val="00B43D2F"/>
    <w:rsid w:val="00B4440A"/>
    <w:rsid w:val="00B451A8"/>
    <w:rsid w:val="00B45B01"/>
    <w:rsid w:val="00B4632A"/>
    <w:rsid w:val="00B4717D"/>
    <w:rsid w:val="00B471C8"/>
    <w:rsid w:val="00B5075C"/>
    <w:rsid w:val="00B519C6"/>
    <w:rsid w:val="00B51E0C"/>
    <w:rsid w:val="00B51E5B"/>
    <w:rsid w:val="00B52055"/>
    <w:rsid w:val="00B52DEF"/>
    <w:rsid w:val="00B530F1"/>
    <w:rsid w:val="00B5406A"/>
    <w:rsid w:val="00B5492A"/>
    <w:rsid w:val="00B5501D"/>
    <w:rsid w:val="00B55BA6"/>
    <w:rsid w:val="00B56EAC"/>
    <w:rsid w:val="00B5793D"/>
    <w:rsid w:val="00B60043"/>
    <w:rsid w:val="00B61757"/>
    <w:rsid w:val="00B65683"/>
    <w:rsid w:val="00B65EE3"/>
    <w:rsid w:val="00B66316"/>
    <w:rsid w:val="00B66AE6"/>
    <w:rsid w:val="00B66DF4"/>
    <w:rsid w:val="00B7078F"/>
    <w:rsid w:val="00B73629"/>
    <w:rsid w:val="00B74053"/>
    <w:rsid w:val="00B77399"/>
    <w:rsid w:val="00B775AE"/>
    <w:rsid w:val="00B779F5"/>
    <w:rsid w:val="00B804C4"/>
    <w:rsid w:val="00B81D4F"/>
    <w:rsid w:val="00B82575"/>
    <w:rsid w:val="00B82BCB"/>
    <w:rsid w:val="00B82D63"/>
    <w:rsid w:val="00B82EA5"/>
    <w:rsid w:val="00B8310D"/>
    <w:rsid w:val="00B83A2A"/>
    <w:rsid w:val="00B83F30"/>
    <w:rsid w:val="00B83FEC"/>
    <w:rsid w:val="00B844A5"/>
    <w:rsid w:val="00B851B2"/>
    <w:rsid w:val="00B85660"/>
    <w:rsid w:val="00B873EC"/>
    <w:rsid w:val="00B8759E"/>
    <w:rsid w:val="00B877AE"/>
    <w:rsid w:val="00B92AF5"/>
    <w:rsid w:val="00B92DC1"/>
    <w:rsid w:val="00B92F2A"/>
    <w:rsid w:val="00B93D9D"/>
    <w:rsid w:val="00B94ADF"/>
    <w:rsid w:val="00B95901"/>
    <w:rsid w:val="00B96B9E"/>
    <w:rsid w:val="00BA15CC"/>
    <w:rsid w:val="00BA1757"/>
    <w:rsid w:val="00BA2690"/>
    <w:rsid w:val="00BA276C"/>
    <w:rsid w:val="00BA3A01"/>
    <w:rsid w:val="00BA3FFC"/>
    <w:rsid w:val="00BA4F2D"/>
    <w:rsid w:val="00BA50C9"/>
    <w:rsid w:val="00BA5983"/>
    <w:rsid w:val="00BB013B"/>
    <w:rsid w:val="00BB071A"/>
    <w:rsid w:val="00BB0E26"/>
    <w:rsid w:val="00BB1C70"/>
    <w:rsid w:val="00BB306F"/>
    <w:rsid w:val="00BB34A2"/>
    <w:rsid w:val="00BB702E"/>
    <w:rsid w:val="00BC07E1"/>
    <w:rsid w:val="00BC1025"/>
    <w:rsid w:val="00BC1141"/>
    <w:rsid w:val="00BC1AA4"/>
    <w:rsid w:val="00BC2BA1"/>
    <w:rsid w:val="00BC33F8"/>
    <w:rsid w:val="00BC393F"/>
    <w:rsid w:val="00BC3F01"/>
    <w:rsid w:val="00BC5987"/>
    <w:rsid w:val="00BC5CC0"/>
    <w:rsid w:val="00BD257D"/>
    <w:rsid w:val="00BD33AB"/>
    <w:rsid w:val="00BD4B89"/>
    <w:rsid w:val="00BD60AF"/>
    <w:rsid w:val="00BD7B4D"/>
    <w:rsid w:val="00BE0473"/>
    <w:rsid w:val="00BE1957"/>
    <w:rsid w:val="00BE34C0"/>
    <w:rsid w:val="00BE5293"/>
    <w:rsid w:val="00BE5B3B"/>
    <w:rsid w:val="00BE62E9"/>
    <w:rsid w:val="00BE7ADD"/>
    <w:rsid w:val="00BE7BF9"/>
    <w:rsid w:val="00BF02CB"/>
    <w:rsid w:val="00BF0B4D"/>
    <w:rsid w:val="00BF0B90"/>
    <w:rsid w:val="00BF23D0"/>
    <w:rsid w:val="00BF26F3"/>
    <w:rsid w:val="00BF5A8A"/>
    <w:rsid w:val="00BF6FD8"/>
    <w:rsid w:val="00C00BDA"/>
    <w:rsid w:val="00C02E7F"/>
    <w:rsid w:val="00C035E4"/>
    <w:rsid w:val="00C03680"/>
    <w:rsid w:val="00C044AD"/>
    <w:rsid w:val="00C04606"/>
    <w:rsid w:val="00C054DF"/>
    <w:rsid w:val="00C116FF"/>
    <w:rsid w:val="00C1293E"/>
    <w:rsid w:val="00C14693"/>
    <w:rsid w:val="00C147BB"/>
    <w:rsid w:val="00C15677"/>
    <w:rsid w:val="00C159F5"/>
    <w:rsid w:val="00C15B3F"/>
    <w:rsid w:val="00C15E05"/>
    <w:rsid w:val="00C17723"/>
    <w:rsid w:val="00C17D75"/>
    <w:rsid w:val="00C2069C"/>
    <w:rsid w:val="00C20CD8"/>
    <w:rsid w:val="00C21762"/>
    <w:rsid w:val="00C238E0"/>
    <w:rsid w:val="00C23C6C"/>
    <w:rsid w:val="00C23F9D"/>
    <w:rsid w:val="00C24543"/>
    <w:rsid w:val="00C256A2"/>
    <w:rsid w:val="00C25EBD"/>
    <w:rsid w:val="00C2628B"/>
    <w:rsid w:val="00C26A06"/>
    <w:rsid w:val="00C30597"/>
    <w:rsid w:val="00C31B6C"/>
    <w:rsid w:val="00C3221E"/>
    <w:rsid w:val="00C32229"/>
    <w:rsid w:val="00C324DC"/>
    <w:rsid w:val="00C32F91"/>
    <w:rsid w:val="00C3391A"/>
    <w:rsid w:val="00C33A6E"/>
    <w:rsid w:val="00C35193"/>
    <w:rsid w:val="00C36BE0"/>
    <w:rsid w:val="00C376CA"/>
    <w:rsid w:val="00C37C88"/>
    <w:rsid w:val="00C403D8"/>
    <w:rsid w:val="00C408A0"/>
    <w:rsid w:val="00C40BC5"/>
    <w:rsid w:val="00C4183C"/>
    <w:rsid w:val="00C43071"/>
    <w:rsid w:val="00C432F3"/>
    <w:rsid w:val="00C43F52"/>
    <w:rsid w:val="00C444D4"/>
    <w:rsid w:val="00C446AE"/>
    <w:rsid w:val="00C44EFD"/>
    <w:rsid w:val="00C45CF2"/>
    <w:rsid w:val="00C4722B"/>
    <w:rsid w:val="00C47956"/>
    <w:rsid w:val="00C50122"/>
    <w:rsid w:val="00C507F5"/>
    <w:rsid w:val="00C50C0A"/>
    <w:rsid w:val="00C51515"/>
    <w:rsid w:val="00C51A24"/>
    <w:rsid w:val="00C54802"/>
    <w:rsid w:val="00C5605F"/>
    <w:rsid w:val="00C5660B"/>
    <w:rsid w:val="00C56B16"/>
    <w:rsid w:val="00C60563"/>
    <w:rsid w:val="00C6135A"/>
    <w:rsid w:val="00C62674"/>
    <w:rsid w:val="00C62F0C"/>
    <w:rsid w:val="00C632CD"/>
    <w:rsid w:val="00C63A52"/>
    <w:rsid w:val="00C63B7C"/>
    <w:rsid w:val="00C6522C"/>
    <w:rsid w:val="00C653D2"/>
    <w:rsid w:val="00C65AB4"/>
    <w:rsid w:val="00C66B72"/>
    <w:rsid w:val="00C67986"/>
    <w:rsid w:val="00C67B86"/>
    <w:rsid w:val="00C704A9"/>
    <w:rsid w:val="00C707FC"/>
    <w:rsid w:val="00C70A63"/>
    <w:rsid w:val="00C7157A"/>
    <w:rsid w:val="00C72CD4"/>
    <w:rsid w:val="00C72EFB"/>
    <w:rsid w:val="00C73BB7"/>
    <w:rsid w:val="00C778F0"/>
    <w:rsid w:val="00C815BC"/>
    <w:rsid w:val="00C823AC"/>
    <w:rsid w:val="00C84E94"/>
    <w:rsid w:val="00C87935"/>
    <w:rsid w:val="00C87DFE"/>
    <w:rsid w:val="00C87EF7"/>
    <w:rsid w:val="00C902AC"/>
    <w:rsid w:val="00C90DC0"/>
    <w:rsid w:val="00C92C53"/>
    <w:rsid w:val="00C945EA"/>
    <w:rsid w:val="00C9484B"/>
    <w:rsid w:val="00C9567A"/>
    <w:rsid w:val="00C96928"/>
    <w:rsid w:val="00C97966"/>
    <w:rsid w:val="00CA0569"/>
    <w:rsid w:val="00CA156E"/>
    <w:rsid w:val="00CA17CD"/>
    <w:rsid w:val="00CA2134"/>
    <w:rsid w:val="00CA27D7"/>
    <w:rsid w:val="00CA2D02"/>
    <w:rsid w:val="00CA2F46"/>
    <w:rsid w:val="00CA355E"/>
    <w:rsid w:val="00CA42C2"/>
    <w:rsid w:val="00CA43DD"/>
    <w:rsid w:val="00CA4DB2"/>
    <w:rsid w:val="00CA688B"/>
    <w:rsid w:val="00CA6CF8"/>
    <w:rsid w:val="00CA6FD3"/>
    <w:rsid w:val="00CA7CE4"/>
    <w:rsid w:val="00CB0F38"/>
    <w:rsid w:val="00CB20C2"/>
    <w:rsid w:val="00CB212D"/>
    <w:rsid w:val="00CB2660"/>
    <w:rsid w:val="00CB29C0"/>
    <w:rsid w:val="00CB3194"/>
    <w:rsid w:val="00CB51A4"/>
    <w:rsid w:val="00CB5368"/>
    <w:rsid w:val="00CB53B2"/>
    <w:rsid w:val="00CB587C"/>
    <w:rsid w:val="00CB6817"/>
    <w:rsid w:val="00CB6D56"/>
    <w:rsid w:val="00CC2734"/>
    <w:rsid w:val="00CC2B97"/>
    <w:rsid w:val="00CC2D66"/>
    <w:rsid w:val="00CC411B"/>
    <w:rsid w:val="00CC4647"/>
    <w:rsid w:val="00CC52C5"/>
    <w:rsid w:val="00CC5E90"/>
    <w:rsid w:val="00CC6BDF"/>
    <w:rsid w:val="00CC7842"/>
    <w:rsid w:val="00CD02B8"/>
    <w:rsid w:val="00CD046C"/>
    <w:rsid w:val="00CD04D9"/>
    <w:rsid w:val="00CD12AE"/>
    <w:rsid w:val="00CD22A5"/>
    <w:rsid w:val="00CD4679"/>
    <w:rsid w:val="00CD4FCB"/>
    <w:rsid w:val="00CD523F"/>
    <w:rsid w:val="00CD5427"/>
    <w:rsid w:val="00CD608F"/>
    <w:rsid w:val="00CD7790"/>
    <w:rsid w:val="00CE03BB"/>
    <w:rsid w:val="00CE076C"/>
    <w:rsid w:val="00CE1E74"/>
    <w:rsid w:val="00CE1EE6"/>
    <w:rsid w:val="00CE4565"/>
    <w:rsid w:val="00CE5199"/>
    <w:rsid w:val="00CE66D5"/>
    <w:rsid w:val="00CE7236"/>
    <w:rsid w:val="00CE7630"/>
    <w:rsid w:val="00CE798E"/>
    <w:rsid w:val="00CF16AD"/>
    <w:rsid w:val="00CF1BDF"/>
    <w:rsid w:val="00CF240F"/>
    <w:rsid w:val="00CF259F"/>
    <w:rsid w:val="00CF40C5"/>
    <w:rsid w:val="00CF40D4"/>
    <w:rsid w:val="00CF4C67"/>
    <w:rsid w:val="00CF60EE"/>
    <w:rsid w:val="00CF637A"/>
    <w:rsid w:val="00D00E24"/>
    <w:rsid w:val="00D00E6D"/>
    <w:rsid w:val="00D0132F"/>
    <w:rsid w:val="00D0145D"/>
    <w:rsid w:val="00D0219F"/>
    <w:rsid w:val="00D03691"/>
    <w:rsid w:val="00D0399F"/>
    <w:rsid w:val="00D059DE"/>
    <w:rsid w:val="00D06D19"/>
    <w:rsid w:val="00D07160"/>
    <w:rsid w:val="00D07486"/>
    <w:rsid w:val="00D07854"/>
    <w:rsid w:val="00D07F74"/>
    <w:rsid w:val="00D10AD2"/>
    <w:rsid w:val="00D10F4A"/>
    <w:rsid w:val="00D11ECC"/>
    <w:rsid w:val="00D1265A"/>
    <w:rsid w:val="00D13CA0"/>
    <w:rsid w:val="00D13FCE"/>
    <w:rsid w:val="00D14E1C"/>
    <w:rsid w:val="00D1606D"/>
    <w:rsid w:val="00D161B8"/>
    <w:rsid w:val="00D1650C"/>
    <w:rsid w:val="00D16C64"/>
    <w:rsid w:val="00D178D1"/>
    <w:rsid w:val="00D21C0C"/>
    <w:rsid w:val="00D23AFC"/>
    <w:rsid w:val="00D27A6E"/>
    <w:rsid w:val="00D27D67"/>
    <w:rsid w:val="00D27EF3"/>
    <w:rsid w:val="00D306D1"/>
    <w:rsid w:val="00D31880"/>
    <w:rsid w:val="00D33A68"/>
    <w:rsid w:val="00D34786"/>
    <w:rsid w:val="00D360D8"/>
    <w:rsid w:val="00D36CA4"/>
    <w:rsid w:val="00D36E0C"/>
    <w:rsid w:val="00D37BFC"/>
    <w:rsid w:val="00D41A5C"/>
    <w:rsid w:val="00D41F1D"/>
    <w:rsid w:val="00D4268C"/>
    <w:rsid w:val="00D42F17"/>
    <w:rsid w:val="00D435BC"/>
    <w:rsid w:val="00D44CE7"/>
    <w:rsid w:val="00D46B9E"/>
    <w:rsid w:val="00D47A8E"/>
    <w:rsid w:val="00D508E7"/>
    <w:rsid w:val="00D52D14"/>
    <w:rsid w:val="00D52E80"/>
    <w:rsid w:val="00D52EE4"/>
    <w:rsid w:val="00D55F74"/>
    <w:rsid w:val="00D560A9"/>
    <w:rsid w:val="00D566D7"/>
    <w:rsid w:val="00D5767F"/>
    <w:rsid w:val="00D57E10"/>
    <w:rsid w:val="00D60987"/>
    <w:rsid w:val="00D6113C"/>
    <w:rsid w:val="00D61BE3"/>
    <w:rsid w:val="00D62949"/>
    <w:rsid w:val="00D633DD"/>
    <w:rsid w:val="00D643B1"/>
    <w:rsid w:val="00D6475A"/>
    <w:rsid w:val="00D64C92"/>
    <w:rsid w:val="00D65F72"/>
    <w:rsid w:val="00D66EA3"/>
    <w:rsid w:val="00D67191"/>
    <w:rsid w:val="00D675E7"/>
    <w:rsid w:val="00D70174"/>
    <w:rsid w:val="00D705C2"/>
    <w:rsid w:val="00D70EED"/>
    <w:rsid w:val="00D712D3"/>
    <w:rsid w:val="00D71422"/>
    <w:rsid w:val="00D7180F"/>
    <w:rsid w:val="00D71AAC"/>
    <w:rsid w:val="00D71B9D"/>
    <w:rsid w:val="00D72859"/>
    <w:rsid w:val="00D72B34"/>
    <w:rsid w:val="00D72DC6"/>
    <w:rsid w:val="00D72F93"/>
    <w:rsid w:val="00D7387C"/>
    <w:rsid w:val="00D73C57"/>
    <w:rsid w:val="00D7558D"/>
    <w:rsid w:val="00D757E6"/>
    <w:rsid w:val="00D75B6F"/>
    <w:rsid w:val="00D77DFC"/>
    <w:rsid w:val="00D81D92"/>
    <w:rsid w:val="00D823DC"/>
    <w:rsid w:val="00D84B47"/>
    <w:rsid w:val="00D852F2"/>
    <w:rsid w:val="00D87A7E"/>
    <w:rsid w:val="00D9027F"/>
    <w:rsid w:val="00D9275A"/>
    <w:rsid w:val="00D945AD"/>
    <w:rsid w:val="00D963F0"/>
    <w:rsid w:val="00D9793E"/>
    <w:rsid w:val="00DA02C9"/>
    <w:rsid w:val="00DA2591"/>
    <w:rsid w:val="00DA2F46"/>
    <w:rsid w:val="00DA3B48"/>
    <w:rsid w:val="00DA3CE7"/>
    <w:rsid w:val="00DA6B71"/>
    <w:rsid w:val="00DA7534"/>
    <w:rsid w:val="00DA7B5F"/>
    <w:rsid w:val="00DB0074"/>
    <w:rsid w:val="00DB037A"/>
    <w:rsid w:val="00DB1936"/>
    <w:rsid w:val="00DB205D"/>
    <w:rsid w:val="00DB243F"/>
    <w:rsid w:val="00DB33C7"/>
    <w:rsid w:val="00DB441F"/>
    <w:rsid w:val="00DB4C24"/>
    <w:rsid w:val="00DB5438"/>
    <w:rsid w:val="00DB5785"/>
    <w:rsid w:val="00DB5FD6"/>
    <w:rsid w:val="00DB65DD"/>
    <w:rsid w:val="00DB7EFC"/>
    <w:rsid w:val="00DC02F0"/>
    <w:rsid w:val="00DC11E7"/>
    <w:rsid w:val="00DC216B"/>
    <w:rsid w:val="00DC22B8"/>
    <w:rsid w:val="00DC2ABD"/>
    <w:rsid w:val="00DC2BF3"/>
    <w:rsid w:val="00DC388C"/>
    <w:rsid w:val="00DC5EC4"/>
    <w:rsid w:val="00DC6338"/>
    <w:rsid w:val="00DC7023"/>
    <w:rsid w:val="00DC769A"/>
    <w:rsid w:val="00DC7B0E"/>
    <w:rsid w:val="00DD0AB4"/>
    <w:rsid w:val="00DD1B61"/>
    <w:rsid w:val="00DD2391"/>
    <w:rsid w:val="00DD2DE6"/>
    <w:rsid w:val="00DD3056"/>
    <w:rsid w:val="00DD3D86"/>
    <w:rsid w:val="00DD5079"/>
    <w:rsid w:val="00DD54E4"/>
    <w:rsid w:val="00DD6BA0"/>
    <w:rsid w:val="00DD732E"/>
    <w:rsid w:val="00DE0960"/>
    <w:rsid w:val="00DE21A3"/>
    <w:rsid w:val="00DE3F27"/>
    <w:rsid w:val="00DE4236"/>
    <w:rsid w:val="00DE496B"/>
    <w:rsid w:val="00DE4ABD"/>
    <w:rsid w:val="00DE53F2"/>
    <w:rsid w:val="00DE5543"/>
    <w:rsid w:val="00DE572E"/>
    <w:rsid w:val="00DE6EE7"/>
    <w:rsid w:val="00DE7763"/>
    <w:rsid w:val="00DF035F"/>
    <w:rsid w:val="00DF1EC4"/>
    <w:rsid w:val="00DF5044"/>
    <w:rsid w:val="00DF7E57"/>
    <w:rsid w:val="00DF7F34"/>
    <w:rsid w:val="00E00E5F"/>
    <w:rsid w:val="00E00FC0"/>
    <w:rsid w:val="00E02B8D"/>
    <w:rsid w:val="00E03347"/>
    <w:rsid w:val="00E0340B"/>
    <w:rsid w:val="00E03A4E"/>
    <w:rsid w:val="00E04A90"/>
    <w:rsid w:val="00E05A19"/>
    <w:rsid w:val="00E06A4B"/>
    <w:rsid w:val="00E06D14"/>
    <w:rsid w:val="00E07DFD"/>
    <w:rsid w:val="00E07F31"/>
    <w:rsid w:val="00E10B26"/>
    <w:rsid w:val="00E12784"/>
    <w:rsid w:val="00E135B8"/>
    <w:rsid w:val="00E13BF5"/>
    <w:rsid w:val="00E13C76"/>
    <w:rsid w:val="00E14E27"/>
    <w:rsid w:val="00E159DB"/>
    <w:rsid w:val="00E15F0F"/>
    <w:rsid w:val="00E16D99"/>
    <w:rsid w:val="00E16DD3"/>
    <w:rsid w:val="00E1724C"/>
    <w:rsid w:val="00E179BF"/>
    <w:rsid w:val="00E21361"/>
    <w:rsid w:val="00E2165C"/>
    <w:rsid w:val="00E219C7"/>
    <w:rsid w:val="00E22300"/>
    <w:rsid w:val="00E24072"/>
    <w:rsid w:val="00E24C2E"/>
    <w:rsid w:val="00E2527A"/>
    <w:rsid w:val="00E27EE1"/>
    <w:rsid w:val="00E302D3"/>
    <w:rsid w:val="00E30E0B"/>
    <w:rsid w:val="00E3138E"/>
    <w:rsid w:val="00E34156"/>
    <w:rsid w:val="00E34CFA"/>
    <w:rsid w:val="00E36352"/>
    <w:rsid w:val="00E37676"/>
    <w:rsid w:val="00E411D1"/>
    <w:rsid w:val="00E4214C"/>
    <w:rsid w:val="00E42FCE"/>
    <w:rsid w:val="00E43157"/>
    <w:rsid w:val="00E44BCB"/>
    <w:rsid w:val="00E45EE9"/>
    <w:rsid w:val="00E461CE"/>
    <w:rsid w:val="00E518D5"/>
    <w:rsid w:val="00E5199D"/>
    <w:rsid w:val="00E51DB8"/>
    <w:rsid w:val="00E523FD"/>
    <w:rsid w:val="00E54096"/>
    <w:rsid w:val="00E54134"/>
    <w:rsid w:val="00E55E8F"/>
    <w:rsid w:val="00E5774D"/>
    <w:rsid w:val="00E6047F"/>
    <w:rsid w:val="00E606ED"/>
    <w:rsid w:val="00E60906"/>
    <w:rsid w:val="00E616B8"/>
    <w:rsid w:val="00E644E1"/>
    <w:rsid w:val="00E64C6C"/>
    <w:rsid w:val="00E65A0E"/>
    <w:rsid w:val="00E66E17"/>
    <w:rsid w:val="00E67BB2"/>
    <w:rsid w:val="00E700AA"/>
    <w:rsid w:val="00E706F0"/>
    <w:rsid w:val="00E71AA3"/>
    <w:rsid w:val="00E720CA"/>
    <w:rsid w:val="00E72951"/>
    <w:rsid w:val="00E72D3B"/>
    <w:rsid w:val="00E736DF"/>
    <w:rsid w:val="00E73DE5"/>
    <w:rsid w:val="00E7591B"/>
    <w:rsid w:val="00E75ACE"/>
    <w:rsid w:val="00E8007F"/>
    <w:rsid w:val="00E805EE"/>
    <w:rsid w:val="00E83BA9"/>
    <w:rsid w:val="00E84EB5"/>
    <w:rsid w:val="00E85662"/>
    <w:rsid w:val="00E85FA3"/>
    <w:rsid w:val="00E8789F"/>
    <w:rsid w:val="00E87CAB"/>
    <w:rsid w:val="00E9019F"/>
    <w:rsid w:val="00E918D6"/>
    <w:rsid w:val="00E92F04"/>
    <w:rsid w:val="00E93491"/>
    <w:rsid w:val="00E93551"/>
    <w:rsid w:val="00E94865"/>
    <w:rsid w:val="00E94EF3"/>
    <w:rsid w:val="00E97B71"/>
    <w:rsid w:val="00E97DB2"/>
    <w:rsid w:val="00EA0AE3"/>
    <w:rsid w:val="00EA0E4E"/>
    <w:rsid w:val="00EA1EFF"/>
    <w:rsid w:val="00EA1FBE"/>
    <w:rsid w:val="00EA2C92"/>
    <w:rsid w:val="00EA2CB5"/>
    <w:rsid w:val="00EA3B1E"/>
    <w:rsid w:val="00EA3D34"/>
    <w:rsid w:val="00EA4BFE"/>
    <w:rsid w:val="00EA5BC2"/>
    <w:rsid w:val="00EA5C6E"/>
    <w:rsid w:val="00EA6CA1"/>
    <w:rsid w:val="00EA6E9E"/>
    <w:rsid w:val="00EB1468"/>
    <w:rsid w:val="00EB1D00"/>
    <w:rsid w:val="00EB35B3"/>
    <w:rsid w:val="00EB4342"/>
    <w:rsid w:val="00EB4548"/>
    <w:rsid w:val="00EB454D"/>
    <w:rsid w:val="00EB493D"/>
    <w:rsid w:val="00EB52A1"/>
    <w:rsid w:val="00EB620C"/>
    <w:rsid w:val="00EB6501"/>
    <w:rsid w:val="00EC096F"/>
    <w:rsid w:val="00EC0FE3"/>
    <w:rsid w:val="00EC159B"/>
    <w:rsid w:val="00EC20AE"/>
    <w:rsid w:val="00EC2C74"/>
    <w:rsid w:val="00EC5094"/>
    <w:rsid w:val="00EC5374"/>
    <w:rsid w:val="00EC647E"/>
    <w:rsid w:val="00EC686B"/>
    <w:rsid w:val="00EC75E6"/>
    <w:rsid w:val="00EC7C05"/>
    <w:rsid w:val="00ED003E"/>
    <w:rsid w:val="00ED00E8"/>
    <w:rsid w:val="00ED24CA"/>
    <w:rsid w:val="00ED3785"/>
    <w:rsid w:val="00ED474D"/>
    <w:rsid w:val="00ED4FC7"/>
    <w:rsid w:val="00ED76BE"/>
    <w:rsid w:val="00ED76DB"/>
    <w:rsid w:val="00EE1472"/>
    <w:rsid w:val="00EE40C6"/>
    <w:rsid w:val="00EE5A00"/>
    <w:rsid w:val="00EE5BCE"/>
    <w:rsid w:val="00EE626A"/>
    <w:rsid w:val="00EE6360"/>
    <w:rsid w:val="00EE6EB7"/>
    <w:rsid w:val="00EE74E2"/>
    <w:rsid w:val="00EE7D33"/>
    <w:rsid w:val="00EF0033"/>
    <w:rsid w:val="00EF07D0"/>
    <w:rsid w:val="00EF357C"/>
    <w:rsid w:val="00EF53F3"/>
    <w:rsid w:val="00EF619B"/>
    <w:rsid w:val="00EF6327"/>
    <w:rsid w:val="00EF6673"/>
    <w:rsid w:val="00EF66CE"/>
    <w:rsid w:val="00F00448"/>
    <w:rsid w:val="00F005AC"/>
    <w:rsid w:val="00F00AB6"/>
    <w:rsid w:val="00F00B55"/>
    <w:rsid w:val="00F019AF"/>
    <w:rsid w:val="00F027C3"/>
    <w:rsid w:val="00F027F8"/>
    <w:rsid w:val="00F02AD1"/>
    <w:rsid w:val="00F03CFC"/>
    <w:rsid w:val="00F0530C"/>
    <w:rsid w:val="00F06B64"/>
    <w:rsid w:val="00F06BCB"/>
    <w:rsid w:val="00F074C1"/>
    <w:rsid w:val="00F12576"/>
    <w:rsid w:val="00F12616"/>
    <w:rsid w:val="00F12C5A"/>
    <w:rsid w:val="00F1443C"/>
    <w:rsid w:val="00F15A3B"/>
    <w:rsid w:val="00F16698"/>
    <w:rsid w:val="00F204A7"/>
    <w:rsid w:val="00F20C12"/>
    <w:rsid w:val="00F21020"/>
    <w:rsid w:val="00F2176D"/>
    <w:rsid w:val="00F21D52"/>
    <w:rsid w:val="00F22F7A"/>
    <w:rsid w:val="00F231B1"/>
    <w:rsid w:val="00F24175"/>
    <w:rsid w:val="00F244FF"/>
    <w:rsid w:val="00F24D11"/>
    <w:rsid w:val="00F253CC"/>
    <w:rsid w:val="00F25441"/>
    <w:rsid w:val="00F2558C"/>
    <w:rsid w:val="00F26000"/>
    <w:rsid w:val="00F26B8B"/>
    <w:rsid w:val="00F26BA0"/>
    <w:rsid w:val="00F26DD2"/>
    <w:rsid w:val="00F278F1"/>
    <w:rsid w:val="00F315A4"/>
    <w:rsid w:val="00F318A3"/>
    <w:rsid w:val="00F31B7B"/>
    <w:rsid w:val="00F343FF"/>
    <w:rsid w:val="00F34C95"/>
    <w:rsid w:val="00F352DA"/>
    <w:rsid w:val="00F37106"/>
    <w:rsid w:val="00F41D85"/>
    <w:rsid w:val="00F42469"/>
    <w:rsid w:val="00F42491"/>
    <w:rsid w:val="00F42E9F"/>
    <w:rsid w:val="00F43175"/>
    <w:rsid w:val="00F434E1"/>
    <w:rsid w:val="00F43A63"/>
    <w:rsid w:val="00F45E65"/>
    <w:rsid w:val="00F47142"/>
    <w:rsid w:val="00F47D50"/>
    <w:rsid w:val="00F50388"/>
    <w:rsid w:val="00F509A1"/>
    <w:rsid w:val="00F50AC4"/>
    <w:rsid w:val="00F5172C"/>
    <w:rsid w:val="00F519CF"/>
    <w:rsid w:val="00F53004"/>
    <w:rsid w:val="00F532F1"/>
    <w:rsid w:val="00F53BDD"/>
    <w:rsid w:val="00F55282"/>
    <w:rsid w:val="00F5547A"/>
    <w:rsid w:val="00F56BA5"/>
    <w:rsid w:val="00F602F0"/>
    <w:rsid w:val="00F60E22"/>
    <w:rsid w:val="00F617B4"/>
    <w:rsid w:val="00F6268A"/>
    <w:rsid w:val="00F62776"/>
    <w:rsid w:val="00F63AEE"/>
    <w:rsid w:val="00F64360"/>
    <w:rsid w:val="00F64A95"/>
    <w:rsid w:val="00F66FF6"/>
    <w:rsid w:val="00F673C0"/>
    <w:rsid w:val="00F67A58"/>
    <w:rsid w:val="00F71C2F"/>
    <w:rsid w:val="00F7233C"/>
    <w:rsid w:val="00F72555"/>
    <w:rsid w:val="00F73A69"/>
    <w:rsid w:val="00F775EF"/>
    <w:rsid w:val="00F77B7F"/>
    <w:rsid w:val="00F80A76"/>
    <w:rsid w:val="00F81395"/>
    <w:rsid w:val="00F81C54"/>
    <w:rsid w:val="00F82178"/>
    <w:rsid w:val="00F82C8C"/>
    <w:rsid w:val="00F82EC8"/>
    <w:rsid w:val="00F849D1"/>
    <w:rsid w:val="00F84B23"/>
    <w:rsid w:val="00F84D28"/>
    <w:rsid w:val="00F85648"/>
    <w:rsid w:val="00F85B49"/>
    <w:rsid w:val="00F8791C"/>
    <w:rsid w:val="00F90A6C"/>
    <w:rsid w:val="00F917D1"/>
    <w:rsid w:val="00F92482"/>
    <w:rsid w:val="00F9653B"/>
    <w:rsid w:val="00FA0010"/>
    <w:rsid w:val="00FA22CF"/>
    <w:rsid w:val="00FA28B5"/>
    <w:rsid w:val="00FA36F0"/>
    <w:rsid w:val="00FA6467"/>
    <w:rsid w:val="00FA6818"/>
    <w:rsid w:val="00FA779C"/>
    <w:rsid w:val="00FB1F62"/>
    <w:rsid w:val="00FB2E08"/>
    <w:rsid w:val="00FB5059"/>
    <w:rsid w:val="00FB55C7"/>
    <w:rsid w:val="00FB5869"/>
    <w:rsid w:val="00FB5AC7"/>
    <w:rsid w:val="00FB62CF"/>
    <w:rsid w:val="00FB6E71"/>
    <w:rsid w:val="00FC0F34"/>
    <w:rsid w:val="00FC11B7"/>
    <w:rsid w:val="00FC29C4"/>
    <w:rsid w:val="00FC2E22"/>
    <w:rsid w:val="00FC3EF5"/>
    <w:rsid w:val="00FC45BE"/>
    <w:rsid w:val="00FC4668"/>
    <w:rsid w:val="00FC60C9"/>
    <w:rsid w:val="00FC60D6"/>
    <w:rsid w:val="00FC6F4C"/>
    <w:rsid w:val="00FD21BE"/>
    <w:rsid w:val="00FD26D8"/>
    <w:rsid w:val="00FD3C3B"/>
    <w:rsid w:val="00FD3DBF"/>
    <w:rsid w:val="00FD55B4"/>
    <w:rsid w:val="00FD6CF5"/>
    <w:rsid w:val="00FD76C5"/>
    <w:rsid w:val="00FD7867"/>
    <w:rsid w:val="00FE05B3"/>
    <w:rsid w:val="00FE07DD"/>
    <w:rsid w:val="00FE17F4"/>
    <w:rsid w:val="00FE1E89"/>
    <w:rsid w:val="00FE2BCE"/>
    <w:rsid w:val="00FE349D"/>
    <w:rsid w:val="00FE4770"/>
    <w:rsid w:val="00FE4885"/>
    <w:rsid w:val="00FE56C8"/>
    <w:rsid w:val="00FE6B45"/>
    <w:rsid w:val="00FE7647"/>
    <w:rsid w:val="00FF0FDE"/>
    <w:rsid w:val="00FF1687"/>
    <w:rsid w:val="00FF1B7F"/>
    <w:rsid w:val="00FF3D5D"/>
    <w:rsid w:val="00FF477E"/>
    <w:rsid w:val="00FF55F3"/>
    <w:rsid w:val="00FF57A3"/>
    <w:rsid w:val="00FF5851"/>
    <w:rsid w:val="00FF5B14"/>
    <w:rsid w:val="00FF6CD7"/>
    <w:rsid w:val="00FF7069"/>
    <w:rsid w:val="00FF7804"/>
    <w:rsid w:val="00FF793E"/>
    <w:rsid w:val="00FF7B79"/>
    <w:rsid w:val="00FF7CE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005E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uiPriority w:val="9"/>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qFormat/>
    <w:rsid w:val="00315C4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Arial" w:eastAsia="Times New Roman" w:hAnsi="Arial"/>
      <w:b/>
      <w:szCs w:val="20"/>
      <w:bdr w:val="none" w:sz="0" w:space="0" w:color="auto"/>
    </w:rPr>
  </w:style>
  <w:style w:type="paragraph" w:styleId="Heading5">
    <w:name w:val="heading 5"/>
    <w:basedOn w:val="Normal"/>
    <w:next w:val="Normal"/>
    <w:link w:val="Heading5Char"/>
    <w:qFormat/>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sz w:val="22"/>
      <w:szCs w:val="20"/>
      <w:bdr w:val="none" w:sz="0" w:space="0" w:color="auto"/>
    </w:rPr>
  </w:style>
  <w:style w:type="paragraph" w:styleId="Heading6">
    <w:name w:val="heading 6"/>
    <w:basedOn w:val="Normal"/>
    <w:next w:val="Normal"/>
    <w:link w:val="Heading6Char"/>
    <w:uiPriority w:val="9"/>
    <w:qFormat/>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i/>
      <w:sz w:val="22"/>
      <w:szCs w:val="20"/>
      <w:bdr w:val="none" w:sz="0" w:space="0" w:color="auto"/>
    </w:rPr>
  </w:style>
  <w:style w:type="paragraph" w:styleId="Heading7">
    <w:name w:val="heading 7"/>
    <w:basedOn w:val="Normal"/>
    <w:next w:val="Normal"/>
    <w:link w:val="Heading7Char"/>
    <w:qFormat/>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w:eastAsia="Times New Roman" w:hAnsi="Arial"/>
      <w:sz w:val="20"/>
      <w:szCs w:val="20"/>
      <w:bdr w:val="none" w:sz="0" w:space="0" w:color="auto"/>
    </w:rPr>
  </w:style>
  <w:style w:type="paragraph" w:styleId="Heading8">
    <w:name w:val="heading 8"/>
    <w:basedOn w:val="Normal"/>
    <w:next w:val="Normal"/>
    <w:link w:val="Heading8Char"/>
    <w:qFormat/>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Arial" w:eastAsia="Times New Roman" w:hAnsi="Arial"/>
      <w:i/>
      <w:sz w:val="20"/>
      <w:szCs w:val="20"/>
      <w:bdr w:val="none" w:sz="0" w:space="0" w:color="auto"/>
    </w:rPr>
  </w:style>
  <w:style w:type="paragraph" w:styleId="Heading9">
    <w:name w:val="heading 9"/>
    <w:basedOn w:val="Normal"/>
    <w:next w:val="Normal"/>
    <w:link w:val="Heading9Char"/>
    <w:qFormat/>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b/>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2">
    <w:name w:val="List 212"/>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2">
    <w:name w:val="List 312"/>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2">
    <w:name w:val="List 412"/>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style>
  <w:style w:type="numbering" w:customStyle="1" w:styleId="Estiloimportado44">
    <w:name w:val="Estilo importado 44"/>
  </w:style>
  <w:style w:type="numbering" w:customStyle="1" w:styleId="List50">
    <w:name w:val="List 50"/>
    <w:basedOn w:val="Estiloimportado45"/>
  </w:style>
  <w:style w:type="numbering" w:customStyle="1" w:styleId="Estiloimportado45">
    <w:name w:val="Estilo importado 45"/>
  </w:style>
  <w:style w:type="numbering" w:customStyle="1" w:styleId="List512">
    <w:name w:val="List 512"/>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qFormat/>
    <w:rsid w:val="00243065"/>
    <w:pPr>
      <w:tabs>
        <w:tab w:val="left" w:pos="1440"/>
        <w:tab w:val="right" w:leader="dot" w:pos="9350"/>
      </w:tabs>
      <w:spacing w:after="100"/>
    </w:pPr>
    <w:rPr>
      <w:rFonts w:asciiTheme="majorHAnsi" w:hAnsiTheme="majorHAnsi"/>
      <w:b/>
      <w:noProof/>
      <w:sz w:val="20"/>
      <w:szCs w:val="20"/>
      <w:lang w:val="es-CO"/>
    </w:rPr>
  </w:style>
  <w:style w:type="paragraph" w:styleId="TOC3">
    <w:name w:val="toc 3"/>
    <w:basedOn w:val="Normal"/>
    <w:next w:val="Normal"/>
    <w:autoRedefine/>
    <w:uiPriority w:val="39"/>
    <w:unhideWhenUsed/>
    <w:qFormat/>
    <w:rsid w:val="005C4225"/>
    <w:pPr>
      <w:tabs>
        <w:tab w:val="left" w:pos="880"/>
        <w:tab w:val="right" w:leader="dot" w:pos="9350"/>
      </w:tabs>
      <w:spacing w:after="100"/>
      <w:ind w:left="2160" w:hanging="720"/>
    </w:pPr>
  </w:style>
  <w:style w:type="paragraph" w:styleId="TOC4">
    <w:name w:val="toc 4"/>
    <w:basedOn w:val="Normal"/>
    <w:next w:val="Normal"/>
    <w:autoRedefine/>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
    <w:basedOn w:val="DefaultParagraphFont"/>
    <w:link w:val="BVIfnrCar1CarCarCarCar"/>
    <w:unhideWhenUsed/>
    <w:qFormat/>
    <w:rsid w:val="000F35ED"/>
    <w:rPr>
      <w:vertAlign w:val="superscript"/>
    </w:rPr>
  </w:style>
  <w:style w:type="paragraph" w:styleId="BodyTextIndent2">
    <w:name w:val="Body Text Indent 2"/>
    <w:basedOn w:val="Normal"/>
    <w:link w:val="BodyTextIndent2Char"/>
    <w:unhideWhenUsed/>
    <w:rsid w:val="000F35ED"/>
    <w:pPr>
      <w:spacing w:after="120" w:line="480" w:lineRule="auto"/>
      <w:ind w:left="360"/>
    </w:pPr>
  </w:style>
  <w:style w:type="character" w:customStyle="1" w:styleId="BodyTextIndent2Char">
    <w:name w:val="Body Text Indent 2 Char"/>
    <w:basedOn w:val="DefaultParagraphFont"/>
    <w:link w:val="BodyTextIndent2"/>
    <w:rsid w:val="000F35ED"/>
    <w:rPr>
      <w:sz w:val="24"/>
      <w:szCs w:val="24"/>
      <w:lang w:val="en-US" w:eastAsia="en-US"/>
    </w:rPr>
  </w:style>
  <w:style w:type="paragraph" w:styleId="BodyText">
    <w:name w:val="Body Text"/>
    <w:aliases w:val="Body Text Char Car Car Car Car Car Car Car Car Car Car Car Car Car,Body Text Char Car Car Car Car Car Car Car Car Car Car Car Car"/>
    <w:basedOn w:val="Normal"/>
    <w:link w:val="BodyTextChar"/>
    <w:unhideWhenUsed/>
    <w:rsid w:val="0031535D"/>
    <w:pPr>
      <w:spacing w:after="120"/>
    </w:pPr>
  </w:style>
  <w:style w:type="character" w:customStyle="1" w:styleId="BodyTextChar">
    <w:name w:val="Body Text Char"/>
    <w:aliases w:val="Body Text Char Car Car Car Car Car Car Car Car Car Car Car Car Car Char1,Body Text Char Car Car Car Car Car Car Car Car Car Car Car Car Char1"/>
    <w:basedOn w:val="DefaultParagraphFont"/>
    <w:link w:val="BodyText"/>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uiPriority w:val="9"/>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uiPriority w:val="99"/>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basedOn w:val="DefaultParagraphFont"/>
    <w:link w:val="Heading4"/>
    <w:rsid w:val="00315C45"/>
    <w:rPr>
      <w:rFonts w:ascii="Arial" w:eastAsia="Times New Roman" w:hAnsi="Arial"/>
      <w:b/>
      <w:sz w:val="24"/>
      <w:bdr w:val="none" w:sz="0" w:space="0" w:color="auto"/>
      <w:lang w:val="en-US" w:eastAsia="en-US"/>
    </w:rPr>
  </w:style>
  <w:style w:type="character" w:customStyle="1" w:styleId="Heading5Char">
    <w:name w:val="Heading 5 Char"/>
    <w:basedOn w:val="DefaultParagraphFont"/>
    <w:link w:val="Heading5"/>
    <w:rsid w:val="00315C45"/>
    <w:rPr>
      <w:rFonts w:eastAsia="Times New Roman"/>
      <w:sz w:val="22"/>
      <w:bdr w:val="none" w:sz="0" w:space="0" w:color="auto"/>
      <w:lang w:val="en-US" w:eastAsia="en-US"/>
    </w:rPr>
  </w:style>
  <w:style w:type="character" w:customStyle="1" w:styleId="Heading6Char">
    <w:name w:val="Heading 6 Char"/>
    <w:basedOn w:val="DefaultParagraphFont"/>
    <w:link w:val="Heading6"/>
    <w:uiPriority w:val="9"/>
    <w:rsid w:val="00315C45"/>
    <w:rPr>
      <w:rFonts w:eastAsia="Times New Roman"/>
      <w:i/>
      <w:sz w:val="22"/>
      <w:bdr w:val="none" w:sz="0" w:space="0" w:color="auto"/>
      <w:lang w:val="en-US" w:eastAsia="en-US"/>
    </w:rPr>
  </w:style>
  <w:style w:type="character" w:customStyle="1" w:styleId="Heading7Char">
    <w:name w:val="Heading 7 Char"/>
    <w:basedOn w:val="DefaultParagraphFont"/>
    <w:link w:val="Heading7"/>
    <w:rsid w:val="00315C45"/>
    <w:rPr>
      <w:rFonts w:ascii="Arial" w:eastAsia="Times New Roman" w:hAnsi="Arial"/>
      <w:bdr w:val="none" w:sz="0" w:space="0" w:color="auto"/>
      <w:lang w:val="en-US" w:eastAsia="en-US"/>
    </w:rPr>
  </w:style>
  <w:style w:type="character" w:customStyle="1" w:styleId="Heading8Char">
    <w:name w:val="Heading 8 Char"/>
    <w:basedOn w:val="DefaultParagraphFont"/>
    <w:link w:val="Heading8"/>
    <w:rsid w:val="00315C45"/>
    <w:rPr>
      <w:rFonts w:ascii="Arial" w:eastAsia="Times New Roman" w:hAnsi="Arial"/>
      <w:i/>
      <w:bdr w:val="none" w:sz="0" w:space="0" w:color="auto"/>
      <w:lang w:val="en-US" w:eastAsia="en-US"/>
    </w:rPr>
  </w:style>
  <w:style w:type="character" w:customStyle="1" w:styleId="Heading9Char">
    <w:name w:val="Heading 9 Char"/>
    <w:basedOn w:val="DefaultParagraphFont"/>
    <w:link w:val="Heading9"/>
    <w:rsid w:val="00315C45"/>
    <w:rPr>
      <w:rFonts w:ascii="Arial" w:eastAsia="Times New Roman" w:hAnsi="Arial"/>
      <w:b/>
      <w:i/>
      <w:sz w:val="18"/>
      <w:bdr w:val="none" w:sz="0" w:space="0" w:color="auto"/>
      <w:lang w:val="en-US" w:eastAsia="en-US"/>
    </w:rPr>
  </w:style>
  <w:style w:type="character" w:styleId="CommentReference">
    <w:name w:val="annotation reference"/>
    <w:uiPriority w:val="99"/>
    <w:semiHidden/>
    <w:rsid w:val="00315C45"/>
    <w:rPr>
      <w:sz w:val="16"/>
      <w:szCs w:val="16"/>
    </w:rPr>
  </w:style>
  <w:style w:type="paragraph" w:styleId="CommentText">
    <w:name w:val="annotation text"/>
    <w:basedOn w:val="Normal"/>
    <w:link w:val="CommentTextChar"/>
    <w:uiPriority w:val="99"/>
    <w:rsid w:val="00315C4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uiPriority w:val="99"/>
    <w:rsid w:val="00315C45"/>
    <w:rPr>
      <w:rFonts w:eastAsia="Times New Roman"/>
      <w:bdr w:val="none" w:sz="0" w:space="0" w:color="auto"/>
      <w:lang w:val="en-US" w:eastAsia="en-U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315C45"/>
    <w:rPr>
      <w:rFonts w:ascii="Cambria" w:eastAsia="Cambria" w:hAnsi="Cambria" w:cs="Cambria"/>
      <w:color w:val="000000"/>
      <w:sz w:val="24"/>
      <w:szCs w:val="24"/>
      <w:u w:color="000000"/>
      <w:lang w:val="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 w:type="character" w:customStyle="1" w:styleId="BodyTextIndentChar">
    <w:name w:val="Body Text Indent Char"/>
    <w:basedOn w:val="DefaultParagraphFont"/>
    <w:link w:val="BodyTextIndent"/>
    <w:rsid w:val="00315C45"/>
    <w:rPr>
      <w:rFonts w:eastAsia="Times New Roman"/>
      <w:color w:val="000000"/>
      <w:sz w:val="24"/>
      <w:szCs w:val="24"/>
      <w:u w:color="000000"/>
      <w:lang w:val="es-ES_tradnl"/>
    </w:rPr>
  </w:style>
  <w:style w:type="numbering" w:customStyle="1" w:styleId="List211">
    <w:name w:val="List 211"/>
    <w:basedOn w:val="Estiloimportado19"/>
    <w:rsid w:val="00315C45"/>
    <w:pPr>
      <w:numPr>
        <w:numId w:val="23"/>
      </w:numPr>
    </w:pPr>
  </w:style>
  <w:style w:type="numbering" w:customStyle="1" w:styleId="List311">
    <w:name w:val="List 311"/>
    <w:basedOn w:val="Estiloimportado27"/>
    <w:rsid w:val="00315C45"/>
    <w:pPr>
      <w:numPr>
        <w:numId w:val="37"/>
      </w:numPr>
    </w:pPr>
  </w:style>
  <w:style w:type="numbering" w:customStyle="1" w:styleId="List411">
    <w:name w:val="List 411"/>
    <w:basedOn w:val="Estiloimportado37"/>
    <w:rsid w:val="00315C45"/>
    <w:pPr>
      <w:numPr>
        <w:numId w:val="39"/>
      </w:numPr>
    </w:pPr>
  </w:style>
  <w:style w:type="numbering" w:customStyle="1" w:styleId="List511">
    <w:name w:val="List 511"/>
    <w:basedOn w:val="Estiloimportado46"/>
    <w:rsid w:val="00315C45"/>
    <w:pPr>
      <w:numPr>
        <w:numId w:val="35"/>
      </w:numPr>
    </w:pPr>
  </w:style>
  <w:style w:type="numbering" w:customStyle="1" w:styleId="NoList1">
    <w:name w:val="No List1"/>
    <w:next w:val="NoList"/>
    <w:semiHidden/>
    <w:unhideWhenUsed/>
    <w:rsid w:val="00315C45"/>
  </w:style>
  <w:style w:type="character" w:customStyle="1" w:styleId="Style">
    <w:name w:val="Style"/>
    <w:rsid w:val="00315C45"/>
    <w:rPr>
      <w:rFonts w:ascii="Times New Roman" w:hAnsi="Times New Roman"/>
      <w:sz w:val="22"/>
      <w:vertAlign w:val="superscript"/>
    </w:rPr>
  </w:style>
  <w:style w:type="paragraph" w:customStyle="1" w:styleId="Style1">
    <w:name w:val="Style1"/>
    <w:basedOn w:val="FootnoteText"/>
    <w:link w:val="Style1Char"/>
    <w:autoRedefine/>
    <w:qFormat/>
    <w:rsid w:val="002B08B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jc w:val="both"/>
    </w:pPr>
    <w:rPr>
      <w:rFonts w:asciiTheme="majorHAnsi" w:eastAsia="Times New Roman" w:hAnsiTheme="majorHAnsi" w:cs="Times New Roman"/>
      <w:b/>
      <w:color w:val="auto"/>
      <w:bdr w:val="none" w:sz="0" w:space="0" w:color="auto"/>
      <w:lang w:val="es-PY" w:eastAsia="es-ES_tradnl"/>
    </w:rPr>
  </w:style>
  <w:style w:type="paragraph" w:customStyle="1" w:styleId="Style10">
    <w:name w:val="Style 1"/>
    <w:basedOn w:val="Normal"/>
    <w:uiPriority w:val="99"/>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408" w:lineRule="atLeast"/>
      <w:jc w:val="both"/>
    </w:pPr>
    <w:rPr>
      <w:rFonts w:eastAsia="Times New Roman"/>
      <w:bdr w:val="none" w:sz="0" w:space="0" w:color="auto"/>
    </w:rPr>
  </w:style>
  <w:style w:type="paragraph" w:customStyle="1" w:styleId="Style4">
    <w:name w:val="Style 4"/>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08" w:lineRule="atLeast"/>
      <w:jc w:val="both"/>
    </w:pPr>
    <w:rPr>
      <w:rFonts w:eastAsia="Times New Roman"/>
      <w:bdr w:val="none" w:sz="0" w:space="0" w:color="auto"/>
    </w:rPr>
  </w:style>
  <w:style w:type="paragraph" w:customStyle="1" w:styleId="Style31">
    <w:name w:val="Style 31"/>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3204" w:line="1116" w:lineRule="exact"/>
      <w:jc w:val="center"/>
    </w:pPr>
    <w:rPr>
      <w:rFonts w:eastAsia="Times New Roman"/>
      <w:bdr w:val="none" w:sz="0" w:space="0" w:color="auto"/>
    </w:rPr>
  </w:style>
  <w:style w:type="paragraph" w:customStyle="1" w:styleId="Style36">
    <w:name w:val="Style 36"/>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right="72"/>
      <w:jc w:val="both"/>
    </w:pPr>
    <w:rPr>
      <w:rFonts w:eastAsia="Times New Roman"/>
      <w:bdr w:val="none" w:sz="0" w:space="0" w:color="auto"/>
    </w:rPr>
  </w:style>
  <w:style w:type="paragraph" w:customStyle="1" w:styleId="Style11">
    <w:name w:val="Style 11"/>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jc w:val="both"/>
    </w:pPr>
    <w:rPr>
      <w:rFonts w:eastAsia="Times New Roman"/>
      <w:bdr w:val="none" w:sz="0" w:space="0" w:color="auto"/>
    </w:rPr>
  </w:style>
  <w:style w:type="paragraph" w:customStyle="1" w:styleId="Style14">
    <w:name w:val="Style 14"/>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84" w:lineRule="atLeast"/>
      <w:ind w:left="504" w:right="72" w:hanging="504"/>
      <w:jc w:val="both"/>
    </w:pPr>
    <w:rPr>
      <w:rFonts w:eastAsia="Times New Roman"/>
      <w:bdr w:val="none" w:sz="0" w:space="0" w:color="auto"/>
    </w:rPr>
  </w:style>
  <w:style w:type="paragraph" w:customStyle="1" w:styleId="Style27">
    <w:name w:val="Style 27"/>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96" w:line="360" w:lineRule="auto"/>
      <w:ind w:left="360" w:hanging="360"/>
      <w:jc w:val="both"/>
    </w:pPr>
    <w:rPr>
      <w:rFonts w:eastAsia="Times New Roman"/>
      <w:bdr w:val="none" w:sz="0" w:space="0" w:color="auto"/>
    </w:rPr>
  </w:style>
  <w:style w:type="paragraph" w:customStyle="1" w:styleId="Style16">
    <w:name w:val="Style 16"/>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jc w:val="both"/>
    </w:pPr>
    <w:rPr>
      <w:rFonts w:eastAsia="Times New Roman"/>
      <w:bdr w:val="none" w:sz="0" w:space="0" w:color="auto"/>
    </w:rPr>
  </w:style>
  <w:style w:type="paragraph" w:customStyle="1" w:styleId="Style17">
    <w:name w:val="Style 17"/>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9">
    <w:name w:val="Style 19"/>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504" w:right="72" w:hanging="504"/>
      <w:jc w:val="both"/>
    </w:pPr>
    <w:rPr>
      <w:rFonts w:eastAsia="Times New Roman"/>
      <w:bdr w:val="none" w:sz="0" w:space="0" w:color="auto"/>
    </w:rPr>
  </w:style>
  <w:style w:type="paragraph" w:customStyle="1" w:styleId="Style21">
    <w:name w:val="Style 21"/>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jc w:val="both"/>
    </w:pPr>
    <w:rPr>
      <w:rFonts w:eastAsia="Times New Roman"/>
      <w:bdr w:val="none" w:sz="0" w:space="0" w:color="auto"/>
    </w:rPr>
  </w:style>
  <w:style w:type="paragraph" w:customStyle="1" w:styleId="Style22">
    <w:name w:val="Style 22"/>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6"/>
      <w:ind w:right="864"/>
    </w:pPr>
    <w:rPr>
      <w:rFonts w:eastAsia="Times New Roman"/>
      <w:bdr w:val="none" w:sz="0" w:space="0" w:color="auto"/>
    </w:rPr>
  </w:style>
  <w:style w:type="paragraph" w:customStyle="1" w:styleId="Style24">
    <w:name w:val="Style 24"/>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left="504" w:right="72" w:hanging="504"/>
      <w:jc w:val="both"/>
    </w:pPr>
    <w:rPr>
      <w:rFonts w:eastAsia="Times New Roman"/>
      <w:bdr w:val="none" w:sz="0" w:space="0" w:color="auto"/>
    </w:rPr>
  </w:style>
  <w:style w:type="paragraph" w:styleId="DocumentMap">
    <w:name w:val="Document Map"/>
    <w:basedOn w:val="Normal"/>
    <w:link w:val="DocumentMapChar"/>
    <w:semiHidden/>
    <w:rsid w:val="00315C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315C45"/>
    <w:rPr>
      <w:rFonts w:ascii="Tahoma" w:eastAsia="Times New Roman" w:hAnsi="Tahoma" w:cs="Tahoma"/>
      <w:bdr w:val="none" w:sz="0" w:space="0" w:color="auto"/>
      <w:shd w:val="clear" w:color="auto" w:fill="000080"/>
      <w:lang w:val="en-US" w:eastAsia="en-US"/>
    </w:rPr>
  </w:style>
  <w:style w:type="paragraph" w:customStyle="1" w:styleId="Style6">
    <w:name w:val="Style 6"/>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jc w:val="both"/>
    </w:pPr>
    <w:rPr>
      <w:rFonts w:eastAsia="Times New Roman"/>
      <w:bdr w:val="none" w:sz="0" w:space="0" w:color="auto"/>
    </w:rPr>
  </w:style>
  <w:style w:type="paragraph" w:customStyle="1" w:styleId="Style29">
    <w:name w:val="Style 29"/>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right="72"/>
      <w:jc w:val="both"/>
    </w:pPr>
    <w:rPr>
      <w:rFonts w:eastAsia="Times New Roman"/>
      <w:bdr w:val="none" w:sz="0" w:space="0" w:color="auto"/>
    </w:rPr>
  </w:style>
  <w:style w:type="paragraph" w:customStyle="1" w:styleId="Style28">
    <w:name w:val="Style 28"/>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ind w:left="72"/>
      <w:jc w:val="both"/>
    </w:pPr>
    <w:rPr>
      <w:rFonts w:eastAsia="Times New Roman"/>
      <w:bdr w:val="none" w:sz="0" w:space="0" w:color="auto"/>
    </w:rPr>
  </w:style>
  <w:style w:type="paragraph" w:customStyle="1" w:styleId="Style26">
    <w:name w:val="Style 26"/>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00">
    <w:name w:val="Style 10"/>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jc w:val="both"/>
    </w:pPr>
    <w:rPr>
      <w:rFonts w:eastAsia="Times New Roman"/>
      <w:bdr w:val="none" w:sz="0" w:space="0" w:color="auto"/>
    </w:rPr>
  </w:style>
  <w:style w:type="paragraph" w:customStyle="1" w:styleId="Style12">
    <w:name w:val="Style 12"/>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eastAsia="Times New Roman"/>
      <w:bdr w:val="none" w:sz="0" w:space="0" w:color="auto"/>
    </w:rPr>
  </w:style>
  <w:style w:type="paragraph" w:customStyle="1" w:styleId="Style13">
    <w:name w:val="Style 13"/>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right="72" w:firstLine="72"/>
      <w:jc w:val="both"/>
    </w:pPr>
    <w:rPr>
      <w:rFonts w:eastAsia="Times New Roman"/>
      <w:bdr w:val="none" w:sz="0" w:space="0" w:color="auto"/>
    </w:rPr>
  </w:style>
  <w:style w:type="paragraph" w:customStyle="1" w:styleId="Style2">
    <w:name w:val="Style 2"/>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15">
    <w:name w:val="Style 15"/>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8" w:right="72"/>
    </w:pPr>
    <w:rPr>
      <w:rFonts w:eastAsia="Times New Roman"/>
      <w:bdr w:val="none" w:sz="0" w:space="0" w:color="auto"/>
    </w:rPr>
  </w:style>
  <w:style w:type="paragraph" w:customStyle="1" w:styleId="Style25">
    <w:name w:val="Style 25"/>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18">
    <w:name w:val="Style 18"/>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bdr w:val="none" w:sz="0" w:space="0" w:color="auto"/>
    </w:rPr>
  </w:style>
  <w:style w:type="paragraph" w:customStyle="1" w:styleId="Style20">
    <w:name w:val="Style 20"/>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
    </w:pPr>
    <w:rPr>
      <w:rFonts w:eastAsia="Times New Roman"/>
      <w:bdr w:val="none" w:sz="0" w:space="0" w:color="auto"/>
    </w:rPr>
  </w:style>
  <w:style w:type="table" w:styleId="TableGrid">
    <w:name w:val="Table Grid"/>
    <w:basedOn w:val="TableNormal"/>
    <w:rsid w:val="00315C4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1,Normal (Web) Char Char,Normal (Web) Char1 Char,Normal (Web) Char Char Char"/>
    <w:basedOn w:val="Normal"/>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uiPriority w:val="22"/>
    <w:qFormat/>
    <w:rsid w:val="00315C45"/>
    <w:rPr>
      <w:b/>
      <w:bCs/>
    </w:rPr>
  </w:style>
  <w:style w:type="character" w:customStyle="1" w:styleId="Heading1CharCharCharCharCharChar">
    <w:name w:val="Heading 1 Char Char Char Char Char Char"/>
    <w:rsid w:val="00315C45"/>
    <w:rPr>
      <w:rFonts w:ascii="Univers" w:hAnsi="Univers" w:cs="Arial"/>
      <w:kern w:val="36"/>
      <w:sz w:val="22"/>
      <w:szCs w:val="22"/>
      <w:lang w:val="en-US" w:eastAsia="en-US" w:bidi="ar-SA"/>
    </w:rPr>
  </w:style>
  <w:style w:type="character" w:customStyle="1" w:styleId="ju-005fpara--char">
    <w:name w:val="ju-005fpara--char"/>
    <w:basedOn w:val="DefaultParagraphFont"/>
    <w:rsid w:val="00315C45"/>
  </w:style>
  <w:style w:type="paragraph" w:customStyle="1" w:styleId="Sinespaciado1">
    <w:name w:val="Sin espaciado1"/>
    <w:qFormat/>
    <w:rsid w:val="00315C4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normal--char">
    <w:name w:val="normal--char"/>
    <w:basedOn w:val="DefaultParagraphFont"/>
    <w:rsid w:val="00315C45"/>
  </w:style>
  <w:style w:type="paragraph" w:styleId="Title">
    <w:name w:val="Title"/>
    <w:basedOn w:val="Normal"/>
    <w:link w:val="TitleChar"/>
    <w:qFormat/>
    <w:rsid w:val="00315C45"/>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b/>
      <w:sz w:val="22"/>
      <w:szCs w:val="20"/>
      <w:bdr w:val="none" w:sz="0" w:space="0" w:color="auto"/>
      <w:lang w:val="es-ES"/>
    </w:rPr>
  </w:style>
  <w:style w:type="character" w:customStyle="1" w:styleId="TitleChar">
    <w:name w:val="Title Char"/>
    <w:basedOn w:val="DefaultParagraphFont"/>
    <w:link w:val="Title"/>
    <w:rsid w:val="00315C45"/>
    <w:rPr>
      <w:rFonts w:ascii="Univers" w:eastAsia="Times New Roman" w:hAnsi="Univers"/>
      <w:b/>
      <w:sz w:val="22"/>
      <w:bdr w:val="none" w:sz="0" w:space="0" w:color="auto"/>
      <w:lang w:eastAsia="en-US"/>
    </w:rPr>
  </w:style>
  <w:style w:type="character" w:customStyle="1" w:styleId="antetitulo1">
    <w:name w:val="antetitulo1"/>
    <w:rsid w:val="00315C45"/>
    <w:rPr>
      <w:rFonts w:ascii="Verdana" w:hAnsi="Verdana"/>
      <w:b w:val="0"/>
      <w:bCs w:val="0"/>
      <w:strike w:val="0"/>
      <w:dstrike w:val="0"/>
      <w:color w:val="CC0000"/>
      <w:sz w:val="15"/>
      <w:szCs w:val="15"/>
      <w:u w:val="none"/>
      <w:effect w:val="none"/>
    </w:rPr>
  </w:style>
  <w:style w:type="character" w:customStyle="1" w:styleId="ju-005fcase-0020char--char">
    <w:name w:val="ju-005fcase-0020char--char"/>
    <w:basedOn w:val="DefaultParagraphFont"/>
    <w:rsid w:val="00315C45"/>
  </w:style>
  <w:style w:type="paragraph" w:customStyle="1" w:styleId="Blockquote">
    <w:name w:val="Blockquote"/>
    <w:basedOn w:val="Normal"/>
    <w:rsid w:val="00315C45"/>
    <w:pPr>
      <w:pBdr>
        <w:top w:val="none" w:sz="0" w:space="0" w:color="auto"/>
        <w:left w:val="none" w:sz="0" w:space="0" w:color="auto"/>
        <w:bottom w:val="none" w:sz="0" w:space="0" w:color="auto"/>
        <w:right w:val="none" w:sz="0" w:space="0" w:color="auto"/>
        <w:between w:val="none" w:sz="0" w:space="0" w:color="auto"/>
        <w:bar w:val="none" w:sz="0" w:color="auto"/>
      </w:pBdr>
      <w:spacing w:before="100" w:after="100"/>
      <w:ind w:left="360" w:right="360"/>
    </w:pPr>
    <w:rPr>
      <w:rFonts w:eastAsia="Times New Roman"/>
      <w:snapToGrid w:val="0"/>
      <w:szCs w:val="20"/>
      <w:bdr w:val="none" w:sz="0" w:space="0" w:color="auto"/>
    </w:rPr>
  </w:style>
  <w:style w:type="paragraph" w:styleId="TOC5">
    <w:name w:val="toc 5"/>
    <w:basedOn w:val="Normal"/>
    <w:next w:val="Normal"/>
    <w:autoRedefine/>
    <w:semiHidden/>
    <w:rsid w:val="00315C45"/>
    <w:pPr>
      <w:pBdr>
        <w:top w:val="none" w:sz="0" w:space="0" w:color="auto"/>
        <w:left w:val="none" w:sz="0" w:space="0" w:color="auto"/>
        <w:bottom w:val="none" w:sz="0" w:space="0" w:color="auto"/>
        <w:right w:val="none" w:sz="0" w:space="0" w:color="auto"/>
        <w:between w:val="none" w:sz="0" w:space="0" w:color="auto"/>
        <w:bar w:val="none" w:sz="0" w:color="auto"/>
      </w:pBdr>
      <w:ind w:left="800"/>
    </w:pPr>
    <w:rPr>
      <w:rFonts w:eastAsia="Times New Roman"/>
      <w:sz w:val="20"/>
      <w:szCs w:val="20"/>
      <w:bdr w:val="none" w:sz="0" w:space="0" w:color="auto"/>
    </w:rPr>
  </w:style>
  <w:style w:type="character" w:customStyle="1" w:styleId="TextonotapieCar1">
    <w:name w:val="Texto nota pie Car1"/>
    <w:aliases w:val="ft Car,FA Fu Car,Footnote Text Char Char Char Char Char Car,Footnote Text Char Char Char Char Car,Footnote reference Car,Texto nota pie Car Car,Footnote Text Char Char Char Car,texto de nota al pie Car,FA Fußnotentext Car"/>
    <w:semiHidden/>
    <w:locked/>
    <w:rsid w:val="00315C45"/>
    <w:rPr>
      <w:rFonts w:cs="Times New Roman"/>
      <w:lang w:val="es-ES_tradnl" w:eastAsia="en-US" w:bidi="ar-SA"/>
    </w:rPr>
  </w:style>
  <w:style w:type="paragraph" w:customStyle="1" w:styleId="Car">
    <w:name w:val="Car"/>
    <w:basedOn w:val="Normal"/>
    <w:rsid w:val="00315C4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eastAsia="Times New Roman"/>
      <w:noProof/>
      <w:color w:val="000000"/>
      <w:sz w:val="20"/>
      <w:szCs w:val="20"/>
      <w:bdr w:val="none" w:sz="0" w:space="0" w:color="auto"/>
      <w:lang w:val="es-CO" w:eastAsia="es-ES"/>
    </w:rPr>
  </w:style>
  <w:style w:type="paragraph" w:customStyle="1" w:styleId="Prrafonumerado">
    <w:name w:val="Párrafo numerado"/>
    <w:basedOn w:val="Normal"/>
    <w:autoRedefine/>
    <w:rsid w:val="00315C4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right="760"/>
      <w:jc w:val="both"/>
    </w:pPr>
    <w:rPr>
      <w:rFonts w:ascii="Univers" w:eastAsia="Times New Roman" w:hAnsi="Univers"/>
      <w:sz w:val="18"/>
      <w:szCs w:val="18"/>
      <w:bdr w:val="none" w:sz="0" w:space="0" w:color="auto"/>
      <w:lang w:val="es-CO" w:eastAsia="es-ES"/>
    </w:rPr>
  </w:style>
  <w:style w:type="paragraph" w:styleId="BodyText3">
    <w:name w:val="Body Text 3"/>
    <w:basedOn w:val="Normal"/>
    <w:link w:val="BodyText3Char"/>
    <w:rsid w:val="00315C45"/>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315C45"/>
    <w:rPr>
      <w:rFonts w:eastAsia="Times New Roman"/>
      <w:sz w:val="16"/>
      <w:szCs w:val="16"/>
      <w:bdr w:val="none" w:sz="0" w:space="0" w:color="auto"/>
      <w:lang w:val="en-US" w:eastAsia="en-US"/>
    </w:rPr>
  </w:style>
  <w:style w:type="paragraph" w:styleId="BodyTextIndent3">
    <w:name w:val="Body Text Indent 3"/>
    <w:basedOn w:val="Normal"/>
    <w:link w:val="BodyTextIndent3Char"/>
    <w:rsid w:val="00315C45"/>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rsid w:val="00315C45"/>
    <w:rPr>
      <w:rFonts w:eastAsia="Times New Roman"/>
      <w:sz w:val="16"/>
      <w:szCs w:val="16"/>
      <w:bdr w:val="none" w:sz="0" w:space="0" w:color="auto"/>
      <w:lang w:val="en-US" w:eastAsia="en-US"/>
    </w:rPr>
  </w:style>
  <w:style w:type="character" w:customStyle="1" w:styleId="FootnoteCharacters">
    <w:name w:val="Footnote Characters"/>
    <w:rsid w:val="00315C45"/>
    <w:rPr>
      <w:vertAlign w:val="superscript"/>
    </w:rPr>
  </w:style>
  <w:style w:type="character" w:customStyle="1" w:styleId="WW-FootnoteCharacters">
    <w:name w:val="WW-Footnote Characters"/>
    <w:rsid w:val="00315C45"/>
    <w:rPr>
      <w:rFonts w:ascii="Universal" w:hAnsi="Universal"/>
      <w:sz w:val="16"/>
      <w:vertAlign w:val="superscript"/>
    </w:rPr>
  </w:style>
  <w:style w:type="character" w:customStyle="1" w:styleId="textonavy1">
    <w:name w:val="texto_navy1"/>
    <w:rsid w:val="00315C45"/>
    <w:rPr>
      <w:color w:val="000080"/>
    </w:rPr>
  </w:style>
  <w:style w:type="paragraph" w:customStyle="1" w:styleId="Style3">
    <w:name w:val="Style 3"/>
    <w:basedOn w:val="Normal"/>
    <w:uiPriority w:val="99"/>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pPr>
    <w:rPr>
      <w:rFonts w:eastAsia="Times New Roman"/>
      <w:bdr w:val="none" w:sz="0" w:space="0" w:color="auto"/>
    </w:rPr>
  </w:style>
  <w:style w:type="paragraph" w:customStyle="1" w:styleId="Style5">
    <w:name w:val="Style 5"/>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52" w:line="360" w:lineRule="auto"/>
      <w:jc w:val="both"/>
    </w:pPr>
    <w:rPr>
      <w:rFonts w:eastAsia="Times New Roman"/>
      <w:bdr w:val="none" w:sz="0" w:space="0" w:color="auto"/>
    </w:rPr>
  </w:style>
  <w:style w:type="paragraph" w:customStyle="1" w:styleId="Style7">
    <w:name w:val="Style 7"/>
    <w:basedOn w:val="Normal"/>
    <w:rsid w:val="00315C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60" w:line="360" w:lineRule="auto"/>
      <w:ind w:right="72"/>
      <w:jc w:val="both"/>
    </w:pPr>
    <w:rPr>
      <w:rFonts w:eastAsia="Times New Roman"/>
      <w:bdr w:val="none" w:sz="0" w:space="0" w:color="auto"/>
    </w:rPr>
  </w:style>
  <w:style w:type="character" w:styleId="Emphasis">
    <w:name w:val="Emphasis"/>
    <w:qFormat/>
    <w:rsid w:val="00315C45"/>
    <w:rPr>
      <w:i/>
      <w:iCs/>
    </w:rPr>
  </w:style>
  <w:style w:type="character" w:customStyle="1" w:styleId="st1">
    <w:name w:val="st1"/>
    <w:basedOn w:val="DefaultParagraphFont"/>
    <w:rsid w:val="00315C45"/>
  </w:style>
  <w:style w:type="paragraph" w:styleId="BodyText2">
    <w:name w:val="Body Text 2"/>
    <w:basedOn w:val="Normal"/>
    <w:link w:val="BodyText2Char"/>
    <w:unhideWhenUsed/>
    <w:rsid w:val="00315C45"/>
    <w:pPr>
      <w:spacing w:after="120" w:line="480" w:lineRule="auto"/>
    </w:pPr>
  </w:style>
  <w:style w:type="character" w:customStyle="1" w:styleId="BodyText2Char">
    <w:name w:val="Body Text 2 Char"/>
    <w:basedOn w:val="DefaultParagraphFont"/>
    <w:link w:val="BodyText2"/>
    <w:rsid w:val="00315C45"/>
    <w:rPr>
      <w:sz w:val="24"/>
      <w:szCs w:val="24"/>
      <w:lang w:val="en-US" w:eastAsia="en-US"/>
    </w:rPr>
  </w:style>
  <w:style w:type="paragraph" w:styleId="PlainText">
    <w:name w:val="Plain Text"/>
    <w:basedOn w:val="Normal"/>
    <w:link w:val="PlainTextChar"/>
    <w:uiPriority w:val="99"/>
    <w:unhideWhenUsed/>
    <w:rsid w:val="00315C45"/>
    <w:rPr>
      <w:rFonts w:ascii="Consolas" w:hAnsi="Consolas" w:cs="Consolas"/>
      <w:sz w:val="21"/>
      <w:szCs w:val="21"/>
    </w:rPr>
  </w:style>
  <w:style w:type="character" w:customStyle="1" w:styleId="PlainTextChar">
    <w:name w:val="Plain Text Char"/>
    <w:basedOn w:val="DefaultParagraphFont"/>
    <w:link w:val="PlainText"/>
    <w:uiPriority w:val="99"/>
    <w:rsid w:val="00315C45"/>
    <w:rPr>
      <w:rFonts w:ascii="Consolas" w:hAnsi="Consolas" w:cs="Consolas"/>
      <w:sz w:val="21"/>
      <w:szCs w:val="21"/>
      <w:lang w:val="en-US" w:eastAsia="en-US"/>
    </w:rPr>
  </w:style>
  <w:style w:type="character" w:customStyle="1" w:styleId="BodyTextChar1">
    <w:name w:val="Body Text Char1"/>
    <w:aliases w:val="Body Text Char Char,Body Text Char Car Car Car Car Car Car Car Car Car Car Car Car Car Char,Body Text Char Car Car Car Car Car Car Car Car Car Car Car Car Char"/>
    <w:semiHidden/>
    <w:locked/>
    <w:rsid w:val="00315C45"/>
    <w:rPr>
      <w:rFonts w:ascii="Univers" w:eastAsia="Batang" w:hAnsi="Univers"/>
      <w:spacing w:val="-2"/>
      <w:sz w:val="22"/>
      <w:lang w:val="es-ES_tradnl" w:eastAsia="en-US" w:bidi="ar-SA"/>
    </w:rPr>
  </w:style>
  <w:style w:type="character" w:customStyle="1" w:styleId="FootnoteTextChar2">
    <w:name w:val="Footnote Text Char2"/>
    <w:aliases w:val="Footnote Text Char Char Char Char Char Char2,Footnote Text Char Char Char Char Char11,Footnote reference Char2,FA Fu Char2,Footnote Text Char Char Char Char11,Footnote Text Cha Char2,FA Fußnotentext Char2,FA Fuﬂnotentext Char2,f Cha"/>
    <w:semiHidden/>
    <w:locked/>
    <w:rsid w:val="00315C45"/>
    <w:rPr>
      <w:rFonts w:ascii="Univers" w:hAnsi="Univers" w:cs="Times New Roman"/>
      <w:lang w:val="es-ES_tradnl" w:eastAsia="x-none"/>
    </w:rPr>
  </w:style>
  <w:style w:type="paragraph" w:styleId="Subtitle">
    <w:name w:val="Subtitle"/>
    <w:basedOn w:val="Normal"/>
    <w:link w:val="SubtitleChar"/>
    <w:qFormat/>
    <w:rsid w:val="00315C45"/>
    <w:pPr>
      <w:pBdr>
        <w:top w:val="none" w:sz="0" w:space="0" w:color="auto"/>
        <w:left w:val="none" w:sz="0" w:space="0" w:color="auto"/>
        <w:bottom w:val="none" w:sz="0" w:space="0" w:color="auto"/>
        <w:right w:val="none" w:sz="0" w:space="0" w:color="auto"/>
        <w:between w:val="none" w:sz="0" w:space="0" w:color="auto"/>
        <w:bar w:val="none" w:sz="0" w:color="auto"/>
      </w:pBdr>
      <w:spacing w:after="60"/>
      <w:jc w:val="center"/>
      <w:outlineLvl w:val="1"/>
    </w:pPr>
    <w:rPr>
      <w:rFonts w:ascii="Arial" w:eastAsia="Batang" w:hAnsi="Arial" w:cs="Arial"/>
      <w:bdr w:val="none" w:sz="0" w:space="0" w:color="auto"/>
      <w:lang w:val="es-ES_tradnl"/>
    </w:rPr>
  </w:style>
  <w:style w:type="character" w:customStyle="1" w:styleId="SubtitleChar">
    <w:name w:val="Subtitle Char"/>
    <w:basedOn w:val="DefaultParagraphFont"/>
    <w:link w:val="Subtitle"/>
    <w:rsid w:val="00315C45"/>
    <w:rPr>
      <w:rFonts w:ascii="Arial" w:eastAsia="Batang" w:hAnsi="Arial" w:cs="Arial"/>
      <w:sz w:val="24"/>
      <w:szCs w:val="24"/>
      <w:bdr w:val="none" w:sz="0" w:space="0" w:color="auto"/>
      <w:lang w:val="es-ES_tradnl" w:eastAsia="en-US"/>
    </w:rPr>
  </w:style>
  <w:style w:type="paragraph" w:styleId="List2">
    <w:name w:val="List 2"/>
    <w:basedOn w:val="Normal"/>
    <w:rsid w:val="00315C45"/>
    <w:pPr>
      <w:pBdr>
        <w:top w:val="none" w:sz="0" w:space="0" w:color="auto"/>
        <w:left w:val="none" w:sz="0" w:space="0" w:color="auto"/>
        <w:bottom w:val="none" w:sz="0" w:space="0" w:color="auto"/>
        <w:right w:val="none" w:sz="0" w:space="0" w:color="auto"/>
        <w:between w:val="none" w:sz="0" w:space="0" w:color="auto"/>
        <w:bar w:val="none" w:sz="0" w:color="auto"/>
      </w:pBdr>
      <w:ind w:left="720" w:hanging="360"/>
    </w:pPr>
    <w:rPr>
      <w:rFonts w:ascii="Univers" w:eastAsia="Batang" w:hAnsi="Univers"/>
      <w:sz w:val="22"/>
      <w:szCs w:val="20"/>
      <w:bdr w:val="none" w:sz="0" w:space="0" w:color="auto"/>
      <w:lang w:val="es-ES_tradnl"/>
    </w:rPr>
  </w:style>
  <w:style w:type="character" w:customStyle="1" w:styleId="NormalWebChar">
    <w:name w:val="Normal (Web) Char"/>
    <w:aliases w:val="Normal (Web) Char1 Char1,Normal (Web) Char Char Char1,Normal (Web) Char1 Char Char,Normal (Web) Char Char Char Char"/>
    <w:rsid w:val="00315C45"/>
    <w:rPr>
      <w:sz w:val="24"/>
      <w:lang w:val="en-US" w:eastAsia="en-US"/>
    </w:rPr>
  </w:style>
  <w:style w:type="paragraph" w:styleId="BlockText">
    <w:name w:val="Block Text"/>
    <w:basedOn w:val="Normal"/>
    <w:rsid w:val="00315C4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pPr>
    <w:rPr>
      <w:rFonts w:ascii="Univers" w:eastAsia="Batang" w:hAnsi="Univers"/>
      <w:sz w:val="18"/>
      <w:szCs w:val="20"/>
      <w:bdr w:val="none" w:sz="0" w:space="0" w:color="auto"/>
      <w:lang w:val="es-ES_tradnl"/>
    </w:rPr>
  </w:style>
  <w:style w:type="paragraph" w:styleId="List3">
    <w:name w:val="List 3"/>
    <w:basedOn w:val="Normal"/>
    <w:rsid w:val="00315C45"/>
    <w:pPr>
      <w:pBdr>
        <w:top w:val="none" w:sz="0" w:space="0" w:color="auto"/>
        <w:left w:val="none" w:sz="0" w:space="0" w:color="auto"/>
        <w:bottom w:val="none" w:sz="0" w:space="0" w:color="auto"/>
        <w:right w:val="none" w:sz="0" w:space="0" w:color="auto"/>
        <w:between w:val="none" w:sz="0" w:space="0" w:color="auto"/>
        <w:bar w:val="none" w:sz="0" w:color="auto"/>
      </w:pBdr>
      <w:ind w:left="1080" w:hanging="360"/>
    </w:pPr>
    <w:rPr>
      <w:rFonts w:ascii="Univers" w:eastAsia="Batang" w:hAnsi="Univers"/>
      <w:sz w:val="22"/>
      <w:szCs w:val="20"/>
      <w:bdr w:val="none" w:sz="0" w:space="0" w:color="auto"/>
      <w:lang w:val="es-ES_tradnl"/>
    </w:rPr>
  </w:style>
  <w:style w:type="paragraph" w:customStyle="1" w:styleId="Sangradetindependiente">
    <w:name w:val="SangrÌa de t. independiente"/>
    <w:basedOn w:val="Normal"/>
    <w:rsid w:val="00315C4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Batang" w:hAnsi="Garamond"/>
      <w:szCs w:val="20"/>
      <w:bdr w:val="none" w:sz="0" w:space="0" w:color="auto"/>
      <w:lang w:val="es-ES_tradnl" w:eastAsia="ar-SA"/>
    </w:rPr>
  </w:style>
  <w:style w:type="character" w:styleId="FollowedHyperlink">
    <w:name w:val="FollowedHyperlink"/>
    <w:uiPriority w:val="99"/>
    <w:rsid w:val="00315C45"/>
    <w:rPr>
      <w:rFonts w:cs="Times New Roman"/>
      <w:color w:val="800080"/>
      <w:u w:val="single"/>
    </w:rPr>
  </w:style>
  <w:style w:type="character" w:customStyle="1" w:styleId="ifinal011">
    <w:name w:val="ifinal011"/>
    <w:rsid w:val="00315C45"/>
    <w:rPr>
      <w:rFonts w:ascii="Verdana" w:hAnsi="Verdana"/>
      <w:color w:val="003399"/>
      <w:sz w:val="12"/>
    </w:rPr>
  </w:style>
  <w:style w:type="paragraph" w:customStyle="1" w:styleId="PlaceholderText1">
    <w:name w:val="Placeholder Text1"/>
    <w:basedOn w:val="Normal"/>
    <w:rsid w:val="00315C45"/>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outlineLvl w:val="0"/>
    </w:pPr>
    <w:rPr>
      <w:rFonts w:ascii="Verdana" w:eastAsia="MS Gothic" w:hAnsi="Verdana"/>
      <w:sz w:val="20"/>
      <w:bdr w:val="none" w:sz="0" w:space="0" w:color="auto"/>
      <w:lang w:val="es-ES_tradnl"/>
    </w:rPr>
  </w:style>
  <w:style w:type="paragraph" w:styleId="NoSpacing">
    <w:name w:val="No Spacing"/>
    <w:basedOn w:val="Normal"/>
    <w:uiPriority w:val="1"/>
    <w:qFormat/>
    <w:rsid w:val="00315C45"/>
    <w:pPr>
      <w:keepNext/>
      <w:numPr>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num" w:pos="720"/>
      </w:tabs>
      <w:ind w:left="1080" w:hanging="360"/>
      <w:outlineLvl w:val="1"/>
    </w:pPr>
    <w:rPr>
      <w:rFonts w:ascii="Verdana" w:eastAsia="MS Gothic" w:hAnsi="Verdana"/>
      <w:sz w:val="20"/>
      <w:bdr w:val="none" w:sz="0" w:space="0" w:color="auto"/>
      <w:lang w:val="es-ES_tradnl"/>
    </w:rPr>
  </w:style>
  <w:style w:type="paragraph" w:customStyle="1" w:styleId="LightShading1">
    <w:name w:val="Light Shading1"/>
    <w:basedOn w:val="Normal"/>
    <w:rsid w:val="00315C45"/>
    <w:pPr>
      <w:keepNext/>
      <w:numPr>
        <w:ilvl w:val="1"/>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ind w:left="1800"/>
      <w:outlineLvl w:val="2"/>
    </w:pPr>
    <w:rPr>
      <w:rFonts w:ascii="Verdana" w:eastAsia="MS Gothic" w:hAnsi="Verdana"/>
      <w:sz w:val="20"/>
      <w:bdr w:val="none" w:sz="0" w:space="0" w:color="auto"/>
      <w:lang w:val="es-ES_tradnl"/>
    </w:rPr>
  </w:style>
  <w:style w:type="paragraph" w:customStyle="1" w:styleId="LightList1">
    <w:name w:val="Light List1"/>
    <w:basedOn w:val="Normal"/>
    <w:rsid w:val="00315C45"/>
    <w:pPr>
      <w:keepNext/>
      <w:numPr>
        <w:ilvl w:val="2"/>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2160"/>
      </w:tabs>
      <w:ind w:left="2520"/>
      <w:outlineLvl w:val="3"/>
    </w:pPr>
    <w:rPr>
      <w:rFonts w:ascii="Verdana" w:eastAsia="MS Gothic" w:hAnsi="Verdana"/>
      <w:sz w:val="20"/>
      <w:bdr w:val="none" w:sz="0" w:space="0" w:color="auto"/>
      <w:lang w:val="es-ES_tradnl"/>
    </w:rPr>
  </w:style>
  <w:style w:type="paragraph" w:customStyle="1" w:styleId="LightGrid1">
    <w:name w:val="Light Grid1"/>
    <w:basedOn w:val="Normal"/>
    <w:rsid w:val="00315C45"/>
    <w:pPr>
      <w:keepNext/>
      <w:numPr>
        <w:ilvl w:val="3"/>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2880"/>
      </w:tabs>
      <w:ind w:left="3240"/>
      <w:outlineLvl w:val="4"/>
    </w:pPr>
    <w:rPr>
      <w:rFonts w:ascii="Verdana" w:eastAsia="MS Gothic" w:hAnsi="Verdana"/>
      <w:sz w:val="20"/>
      <w:bdr w:val="none" w:sz="0" w:space="0" w:color="auto"/>
      <w:lang w:val="es-ES_tradnl"/>
    </w:rPr>
  </w:style>
  <w:style w:type="paragraph" w:customStyle="1" w:styleId="MediumShading11">
    <w:name w:val="Medium Shading 11"/>
    <w:basedOn w:val="Normal"/>
    <w:rsid w:val="00315C45"/>
    <w:pPr>
      <w:keepNext/>
      <w:numPr>
        <w:ilvl w:val="4"/>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880"/>
        <w:tab w:val="num" w:pos="3600"/>
      </w:tabs>
      <w:ind w:left="3960"/>
      <w:outlineLvl w:val="5"/>
    </w:pPr>
    <w:rPr>
      <w:rFonts w:ascii="Verdana" w:eastAsia="MS Gothic" w:hAnsi="Verdana"/>
      <w:sz w:val="20"/>
      <w:bdr w:val="none" w:sz="0" w:space="0" w:color="auto"/>
      <w:lang w:val="es-ES_tradnl"/>
    </w:rPr>
  </w:style>
  <w:style w:type="paragraph" w:customStyle="1" w:styleId="MediumShading21">
    <w:name w:val="Medium Shading 21"/>
    <w:basedOn w:val="Normal"/>
    <w:rsid w:val="00315C45"/>
    <w:pPr>
      <w:keepNext/>
      <w:numPr>
        <w:ilvl w:val="5"/>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3600"/>
        <w:tab w:val="num" w:pos="4320"/>
      </w:tabs>
      <w:ind w:left="4680"/>
      <w:outlineLvl w:val="6"/>
    </w:pPr>
    <w:rPr>
      <w:rFonts w:ascii="Verdana" w:eastAsia="MS Gothic" w:hAnsi="Verdana"/>
      <w:sz w:val="20"/>
      <w:bdr w:val="none" w:sz="0" w:space="0" w:color="auto"/>
      <w:lang w:val="es-ES_tradnl"/>
    </w:rPr>
  </w:style>
  <w:style w:type="paragraph" w:customStyle="1" w:styleId="MediumList11">
    <w:name w:val="Medium List 11"/>
    <w:basedOn w:val="Normal"/>
    <w:rsid w:val="00315C45"/>
    <w:pPr>
      <w:keepNext/>
      <w:numPr>
        <w:ilvl w:val="6"/>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4320"/>
        <w:tab w:val="num" w:pos="5040"/>
      </w:tabs>
      <w:ind w:left="5400"/>
      <w:outlineLvl w:val="7"/>
    </w:pPr>
    <w:rPr>
      <w:rFonts w:ascii="Verdana" w:eastAsia="MS Gothic" w:hAnsi="Verdana"/>
      <w:sz w:val="20"/>
      <w:bdr w:val="none" w:sz="0" w:space="0" w:color="auto"/>
      <w:lang w:val="es-ES_tradnl"/>
    </w:rPr>
  </w:style>
  <w:style w:type="paragraph" w:customStyle="1" w:styleId="MediumList21">
    <w:name w:val="Medium List 21"/>
    <w:basedOn w:val="Normal"/>
    <w:rsid w:val="00315C45"/>
    <w:pPr>
      <w:keepNext/>
      <w:numPr>
        <w:ilvl w:val="7"/>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num" w:pos="5760"/>
      </w:tabs>
      <w:ind w:left="6120"/>
      <w:outlineLvl w:val="8"/>
    </w:pPr>
    <w:rPr>
      <w:rFonts w:ascii="Verdana" w:eastAsia="MS Gothic" w:hAnsi="Verdana"/>
      <w:sz w:val="20"/>
      <w:bdr w:val="none" w:sz="0" w:space="0" w:color="auto"/>
      <w:lang w:val="es-ES_tradnl"/>
    </w:rPr>
  </w:style>
  <w:style w:type="paragraph" w:customStyle="1" w:styleId="Estilo5">
    <w:name w:val="Estilo5"/>
    <w:basedOn w:val="Heading1"/>
    <w:next w:val="Normal"/>
    <w:rsid w:val="00315C45"/>
    <w:pPr>
      <w:keepLines w:val="0"/>
      <w:numPr>
        <w:ilvl w:val="8"/>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5760"/>
      </w:tabs>
      <w:spacing w:before="240" w:after="60"/>
      <w:ind w:left="0" w:firstLine="0"/>
      <w:jc w:val="both"/>
    </w:pPr>
    <w:rPr>
      <w:rFonts w:ascii="Verdana" w:eastAsia="Batang" w:hAnsi="Verdana" w:cs="Arial"/>
      <w:b w:val="0"/>
      <w:color w:val="auto"/>
      <w:kern w:val="32"/>
      <w:sz w:val="20"/>
      <w:szCs w:val="24"/>
      <w:bdr w:val="none" w:sz="0" w:space="0" w:color="auto"/>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315C45"/>
    <w:rPr>
      <w:rFonts w:ascii="Univers" w:eastAsia="Batang" w:hAnsi="Univers"/>
      <w:lang w:val="es-CO" w:eastAsia="en-US" w:bidi="ar-SA"/>
    </w:rPr>
  </w:style>
  <w:style w:type="character" w:customStyle="1" w:styleId="apple-converted-space">
    <w:name w:val="apple-converted-space"/>
    <w:rsid w:val="00315C45"/>
    <w:rPr>
      <w:rFonts w:cs="Times New Roman"/>
    </w:rPr>
  </w:style>
  <w:style w:type="paragraph" w:customStyle="1" w:styleId="Estilo7">
    <w:name w:val="Estilo7"/>
    <w:basedOn w:val="Normal"/>
    <w:rsid w:val="00315C45"/>
    <w:pPr>
      <w:numPr>
        <w:ilvl w:val="2"/>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s>
      <w:spacing w:before="120" w:after="120"/>
      <w:jc w:val="both"/>
    </w:pPr>
    <w:rPr>
      <w:rFonts w:ascii="Verdana" w:eastAsia="Batang" w:hAnsi="Verdana"/>
      <w:b/>
      <w:i/>
      <w:sz w:val="20"/>
      <w:szCs w:val="20"/>
      <w:bdr w:val="none" w:sz="0" w:space="0" w:color="auto"/>
      <w:lang w:val="es-ES_tradnl" w:eastAsia="es-MX"/>
    </w:rPr>
  </w:style>
  <w:style w:type="character" w:customStyle="1" w:styleId="skypepnhprintcontainer">
    <w:name w:val="skype_pnh_print_container"/>
    <w:rsid w:val="00315C45"/>
    <w:rPr>
      <w:rFonts w:cs="Times New Roman"/>
    </w:rPr>
  </w:style>
  <w:style w:type="character" w:customStyle="1" w:styleId="skypepnhcontainer">
    <w:name w:val="skype_pnh_container"/>
    <w:rsid w:val="00315C45"/>
    <w:rPr>
      <w:rFonts w:cs="Times New Roman"/>
    </w:rPr>
  </w:style>
  <w:style w:type="character" w:customStyle="1" w:styleId="s6b621b36">
    <w:name w:val="s6b621b36"/>
    <w:rsid w:val="00315C45"/>
    <w:rPr>
      <w:rFonts w:cs="Times New Roman"/>
    </w:rPr>
  </w:style>
  <w:style w:type="character" w:customStyle="1" w:styleId="tituloarticulo1">
    <w:name w:val="titulo_articulo1"/>
    <w:rsid w:val="00315C45"/>
    <w:rPr>
      <w:rFonts w:ascii="Arial" w:hAnsi="Arial"/>
      <w:b/>
      <w:sz w:val="36"/>
    </w:rPr>
  </w:style>
  <w:style w:type="paragraph" w:styleId="CommentSubject">
    <w:name w:val="annotation subject"/>
    <w:basedOn w:val="CommentText"/>
    <w:next w:val="CommentText"/>
    <w:link w:val="CommentSubjectChar"/>
    <w:semiHidden/>
    <w:rsid w:val="00315C45"/>
    <w:rPr>
      <w:rFonts w:ascii="Univers" w:eastAsia="Batang" w:hAnsi="Univers"/>
      <w:sz w:val="22"/>
      <w:lang w:val="es-ES_tradnl"/>
    </w:rPr>
  </w:style>
  <w:style w:type="character" w:customStyle="1" w:styleId="CommentSubjectChar">
    <w:name w:val="Comment Subject Char"/>
    <w:basedOn w:val="CommentTextChar"/>
    <w:link w:val="CommentSubject"/>
    <w:semiHidden/>
    <w:rsid w:val="00315C45"/>
    <w:rPr>
      <w:rFonts w:ascii="Univers" w:eastAsia="Batang" w:hAnsi="Univers"/>
      <w:sz w:val="22"/>
      <w:bdr w:val="none" w:sz="0" w:space="0" w:color="auto"/>
      <w:lang w:val="es-ES_tradnl" w:eastAsia="en-US"/>
    </w:rPr>
  </w:style>
  <w:style w:type="character" w:customStyle="1" w:styleId="ListParagraphChar1">
    <w:name w:val="List Paragraph Char1"/>
    <w:aliases w:val="Footnote Char2"/>
    <w:locked/>
    <w:rsid w:val="00315C45"/>
    <w:rPr>
      <w:rFonts w:ascii="Verdana" w:hAnsi="Verdana"/>
      <w:lang w:val="es-ES_tradnl" w:eastAsia="x-none"/>
    </w:rPr>
  </w:style>
  <w:style w:type="paragraph" w:styleId="Revision">
    <w:name w:val="Revision"/>
    <w:hidden/>
    <w:uiPriority w:val="71"/>
    <w:rsid w:val="00315C45"/>
    <w:pPr>
      <w:pBdr>
        <w:top w:val="none" w:sz="0" w:space="0" w:color="auto"/>
        <w:left w:val="none" w:sz="0" w:space="0" w:color="auto"/>
        <w:bottom w:val="none" w:sz="0" w:space="0" w:color="auto"/>
        <w:right w:val="none" w:sz="0" w:space="0" w:color="auto"/>
        <w:between w:val="none" w:sz="0" w:space="0" w:color="auto"/>
        <w:bar w:val="none" w:sz="0" w:color="auto"/>
      </w:pBdr>
    </w:pPr>
    <w:rPr>
      <w:rFonts w:ascii="Univers" w:eastAsia="Batang" w:hAnsi="Univers"/>
      <w:sz w:val="22"/>
      <w:bdr w:val="none" w:sz="0" w:space="0" w:color="auto"/>
      <w:lang w:val="es-ES_tradnl" w:eastAsia="en-US"/>
    </w:rPr>
  </w:style>
  <w:style w:type="character" w:customStyle="1" w:styleId="apple-style-span">
    <w:name w:val="apple-style-span"/>
    <w:rsid w:val="00315C45"/>
  </w:style>
  <w:style w:type="paragraph" w:styleId="TOCHeading">
    <w:name w:val="TOC Heading"/>
    <w:basedOn w:val="Heading1"/>
    <w:next w:val="Normal"/>
    <w:uiPriority w:val="39"/>
    <w:unhideWhenUsed/>
    <w:qFormat/>
    <w:rsid w:val="00315C4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customStyle="1" w:styleId="ColorfulList-Accent12">
    <w:name w:val="Colorful List - Accent 12"/>
    <w:link w:val="ColorfulList-Accent1Char"/>
    <w:uiPriority w:val="34"/>
    <w:qFormat/>
    <w:rsid w:val="00315C45"/>
    <w:pPr>
      <w:ind w:left="720"/>
    </w:pPr>
    <w:rPr>
      <w:rFonts w:ascii="Cambria" w:eastAsia="Cambria" w:hAnsi="Cambria" w:cs="Cambria"/>
      <w:color w:val="000000"/>
      <w:sz w:val="24"/>
      <w:szCs w:val="24"/>
      <w:u w:color="000000"/>
      <w:lang w:val="en-US"/>
    </w:rPr>
  </w:style>
  <w:style w:type="character" w:customStyle="1" w:styleId="ColorfulList-Accent1Char">
    <w:name w:val="Colorful List - Accent 1 Char"/>
    <w:link w:val="ColorfulList-Accent12"/>
    <w:uiPriority w:val="34"/>
    <w:locked/>
    <w:rsid w:val="00315C45"/>
    <w:rPr>
      <w:rFonts w:ascii="Cambria" w:eastAsia="Cambria" w:hAnsi="Cambria" w:cs="Cambria"/>
      <w:color w:val="000000"/>
      <w:sz w:val="24"/>
      <w:szCs w:val="24"/>
      <w:u w:color="000000"/>
      <w:lang w:val="en-US"/>
    </w:rPr>
  </w:style>
  <w:style w:type="paragraph" w:customStyle="1" w:styleId="footnote">
    <w:name w:val="footnote"/>
    <w:basedOn w:val="NormalWeb"/>
    <w:rsid w:val="00315C45"/>
  </w:style>
  <w:style w:type="character" w:styleId="PlaceholderText">
    <w:name w:val="Placeholder Text"/>
    <w:basedOn w:val="DefaultParagraphFont"/>
    <w:uiPriority w:val="99"/>
    <w:semiHidden/>
    <w:rsid w:val="00315C45"/>
    <w:rPr>
      <w:color w:val="808080"/>
    </w:rPr>
  </w:style>
  <w:style w:type="character" w:customStyle="1" w:styleId="sb8d990e2">
    <w:name w:val="sb8d990e2"/>
    <w:basedOn w:val="DefaultParagraphFont"/>
    <w:rsid w:val="00315C45"/>
  </w:style>
  <w:style w:type="paragraph" w:styleId="HTMLPreformatted">
    <w:name w:val="HTML Preformatted"/>
    <w:basedOn w:val="Normal"/>
    <w:link w:val="HTMLPreformattedChar"/>
    <w:uiPriority w:val="99"/>
    <w:unhideWhenUsed/>
    <w:rsid w:val="00315C45"/>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315C45"/>
    <w:rPr>
      <w:rFonts w:ascii="Courier New" w:eastAsia="Times New Roman" w:hAnsi="Courier New" w:cs="Courier New"/>
      <w:bdr w:val="none" w:sz="0" w:space="0" w:color="auto"/>
      <w:lang w:val="en-US" w:eastAsia="en-US"/>
    </w:rPr>
  </w:style>
  <w:style w:type="character" w:styleId="EndnoteReference">
    <w:name w:val="endnote reference"/>
    <w:basedOn w:val="DefaultParagraphFont"/>
    <w:uiPriority w:val="99"/>
    <w:unhideWhenUsed/>
    <w:rsid w:val="00315C45"/>
    <w:rPr>
      <w:vertAlign w:val="superscript"/>
    </w:rPr>
  </w:style>
  <w:style w:type="table" w:styleId="MediumGrid1">
    <w:name w:val="Medium Grid 1"/>
    <w:basedOn w:val="TableNormal"/>
    <w:uiPriority w:val="67"/>
    <w:rsid w:val="00315C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Grid">
    <w:name w:val="Light Grid"/>
    <w:basedOn w:val="TableNormal"/>
    <w:uiPriority w:val="62"/>
    <w:rsid w:val="00315C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315C4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Univers Condensed Light" w:eastAsia="MS Gothic" w:hAnsi="Univers Condensed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Univers Condensed Light" w:eastAsia="MS Gothic" w:hAnsi="Univers Condensed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Univers Condensed Light" w:eastAsia="MS Gothic" w:hAnsi="Univers Condensed Light" w:cs="Times New Roman"/>
        <w:b/>
        <w:bCs/>
      </w:rPr>
    </w:tblStylePr>
    <w:tblStylePr w:type="lastCol">
      <w:rPr>
        <w:rFonts w:ascii="Univers Condensed Light" w:eastAsia="MS Gothic" w:hAnsi="Univers Condensed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Style1Char">
    <w:name w:val="Style1 Char"/>
    <w:link w:val="Style1"/>
    <w:rsid w:val="002B08B8"/>
    <w:rPr>
      <w:rFonts w:asciiTheme="majorHAnsi" w:eastAsia="Times New Roman" w:hAnsiTheme="majorHAnsi"/>
      <w:b/>
      <w:u w:color="000000"/>
      <w:bdr w:val="none" w:sz="0" w:space="0" w:color="auto"/>
      <w:lang w:val="es-PY" w:eastAsia="es-ES_tradnl"/>
    </w:rPr>
  </w:style>
  <w:style w:type="paragraph" w:customStyle="1" w:styleId="MediumGrid1-Accent21">
    <w:name w:val="Medium Grid 1 - Accent 21"/>
    <w:uiPriority w:val="34"/>
    <w:qFormat/>
    <w:rsid w:val="00315C45"/>
    <w:pPr>
      <w:ind w:left="720"/>
    </w:pPr>
    <w:rPr>
      <w:rFonts w:ascii="Cambria" w:eastAsia="Cambria" w:hAnsi="Cambria" w:cs="Cambria"/>
      <w:color w:val="000000"/>
      <w:sz w:val="24"/>
      <w:szCs w:val="24"/>
      <w:u w:color="000000"/>
      <w:lang w:val="en-US"/>
    </w:rPr>
  </w:style>
  <w:style w:type="paragraph" w:styleId="z-TopofForm">
    <w:name w:val="HTML Top of Form"/>
    <w:basedOn w:val="Normal"/>
    <w:next w:val="Normal"/>
    <w:link w:val="z-TopofFormChar"/>
    <w:hidden/>
    <w:uiPriority w:val="99"/>
    <w:semiHidden/>
    <w:unhideWhenUsed/>
    <w:rsid w:val="00315C45"/>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TopofFormChar">
    <w:name w:val="z-Top of Form Char"/>
    <w:basedOn w:val="DefaultParagraphFont"/>
    <w:link w:val="z-TopofForm"/>
    <w:uiPriority w:val="99"/>
    <w:semiHidden/>
    <w:rsid w:val="00315C45"/>
    <w:rPr>
      <w:rFonts w:ascii="Arial" w:eastAsia="Times New Roman" w:hAnsi="Arial" w:cs="Arial"/>
      <w:vanish/>
      <w:sz w:val="16"/>
      <w:szCs w:val="16"/>
      <w:bdr w:val="none" w:sz="0" w:space="0" w:color="auto"/>
      <w:lang w:val="en-US" w:eastAsia="en-US"/>
    </w:rPr>
  </w:style>
  <w:style w:type="paragraph" w:styleId="z-BottomofForm">
    <w:name w:val="HTML Bottom of Form"/>
    <w:basedOn w:val="Normal"/>
    <w:next w:val="Normal"/>
    <w:link w:val="z-BottomofFormChar"/>
    <w:hidden/>
    <w:uiPriority w:val="99"/>
    <w:semiHidden/>
    <w:unhideWhenUsed/>
    <w:rsid w:val="00315C45"/>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BottomofFormChar">
    <w:name w:val="z-Bottom of Form Char"/>
    <w:basedOn w:val="DefaultParagraphFont"/>
    <w:link w:val="z-BottomofForm"/>
    <w:uiPriority w:val="99"/>
    <w:semiHidden/>
    <w:rsid w:val="00315C45"/>
    <w:rPr>
      <w:rFonts w:ascii="Arial" w:eastAsia="Times New Roman" w:hAnsi="Arial" w:cs="Arial"/>
      <w:vanish/>
      <w:sz w:val="16"/>
      <w:szCs w:val="16"/>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5F10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6514">
      <w:bodyDiv w:val="1"/>
      <w:marLeft w:val="0"/>
      <w:marRight w:val="0"/>
      <w:marTop w:val="0"/>
      <w:marBottom w:val="0"/>
      <w:divBdr>
        <w:top w:val="none" w:sz="0" w:space="0" w:color="auto"/>
        <w:left w:val="none" w:sz="0" w:space="0" w:color="auto"/>
        <w:bottom w:val="none" w:sz="0" w:space="0" w:color="auto"/>
        <w:right w:val="none" w:sz="0" w:space="0" w:color="auto"/>
      </w:divBdr>
    </w:div>
    <w:div w:id="100802984">
      <w:bodyDiv w:val="1"/>
      <w:marLeft w:val="0"/>
      <w:marRight w:val="0"/>
      <w:marTop w:val="0"/>
      <w:marBottom w:val="0"/>
      <w:divBdr>
        <w:top w:val="none" w:sz="0" w:space="0" w:color="auto"/>
        <w:left w:val="none" w:sz="0" w:space="0" w:color="auto"/>
        <w:bottom w:val="none" w:sz="0" w:space="0" w:color="auto"/>
        <w:right w:val="none" w:sz="0" w:space="0" w:color="auto"/>
      </w:divBdr>
    </w:div>
    <w:div w:id="217058015">
      <w:bodyDiv w:val="1"/>
      <w:marLeft w:val="0"/>
      <w:marRight w:val="0"/>
      <w:marTop w:val="0"/>
      <w:marBottom w:val="0"/>
      <w:divBdr>
        <w:top w:val="none" w:sz="0" w:space="0" w:color="auto"/>
        <w:left w:val="none" w:sz="0" w:space="0" w:color="auto"/>
        <w:bottom w:val="none" w:sz="0" w:space="0" w:color="auto"/>
        <w:right w:val="none" w:sz="0" w:space="0" w:color="auto"/>
      </w:divBdr>
      <w:divsChild>
        <w:div w:id="838885803">
          <w:marLeft w:val="0"/>
          <w:marRight w:val="0"/>
          <w:marTop w:val="0"/>
          <w:marBottom w:val="0"/>
          <w:divBdr>
            <w:top w:val="none" w:sz="0" w:space="0" w:color="auto"/>
            <w:left w:val="none" w:sz="0" w:space="0" w:color="auto"/>
            <w:bottom w:val="none" w:sz="0" w:space="0" w:color="auto"/>
            <w:right w:val="none" w:sz="0" w:space="0" w:color="auto"/>
          </w:divBdr>
          <w:divsChild>
            <w:div w:id="2124689773">
              <w:marLeft w:val="2250"/>
              <w:marRight w:val="3960"/>
              <w:marTop w:val="0"/>
              <w:marBottom w:val="0"/>
              <w:divBdr>
                <w:top w:val="none" w:sz="0" w:space="0" w:color="auto"/>
                <w:left w:val="none" w:sz="0" w:space="0" w:color="auto"/>
                <w:bottom w:val="none" w:sz="0" w:space="0" w:color="auto"/>
                <w:right w:val="none" w:sz="0" w:space="0" w:color="auto"/>
              </w:divBdr>
              <w:divsChild>
                <w:div w:id="512231494">
                  <w:marLeft w:val="0"/>
                  <w:marRight w:val="0"/>
                  <w:marTop w:val="0"/>
                  <w:marBottom w:val="0"/>
                  <w:divBdr>
                    <w:top w:val="none" w:sz="0" w:space="0" w:color="auto"/>
                    <w:left w:val="none" w:sz="0" w:space="0" w:color="auto"/>
                    <w:bottom w:val="none" w:sz="0" w:space="0" w:color="auto"/>
                    <w:right w:val="none" w:sz="0" w:space="0" w:color="auto"/>
                  </w:divBdr>
                  <w:divsChild>
                    <w:div w:id="170417733">
                      <w:marLeft w:val="0"/>
                      <w:marRight w:val="0"/>
                      <w:marTop w:val="0"/>
                      <w:marBottom w:val="0"/>
                      <w:divBdr>
                        <w:top w:val="none" w:sz="0" w:space="0" w:color="auto"/>
                        <w:left w:val="none" w:sz="0" w:space="0" w:color="auto"/>
                        <w:bottom w:val="none" w:sz="0" w:space="0" w:color="auto"/>
                        <w:right w:val="none" w:sz="0" w:space="0" w:color="auto"/>
                      </w:divBdr>
                      <w:divsChild>
                        <w:div w:id="17331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27264">
                  <w:marLeft w:val="0"/>
                  <w:marRight w:val="0"/>
                  <w:marTop w:val="0"/>
                  <w:marBottom w:val="0"/>
                  <w:divBdr>
                    <w:top w:val="none" w:sz="0" w:space="0" w:color="auto"/>
                    <w:left w:val="none" w:sz="0" w:space="0" w:color="auto"/>
                    <w:bottom w:val="none" w:sz="0" w:space="0" w:color="auto"/>
                    <w:right w:val="none" w:sz="0" w:space="0" w:color="auto"/>
                  </w:divBdr>
                  <w:divsChild>
                    <w:div w:id="19285490">
                      <w:marLeft w:val="0"/>
                      <w:marRight w:val="0"/>
                      <w:marTop w:val="0"/>
                      <w:marBottom w:val="0"/>
                      <w:divBdr>
                        <w:top w:val="none" w:sz="0" w:space="0" w:color="auto"/>
                        <w:left w:val="none" w:sz="0" w:space="0" w:color="auto"/>
                        <w:bottom w:val="none" w:sz="0" w:space="0" w:color="auto"/>
                        <w:right w:val="none" w:sz="0" w:space="0" w:color="auto"/>
                      </w:divBdr>
                      <w:divsChild>
                        <w:div w:id="1378503338">
                          <w:marLeft w:val="0"/>
                          <w:marRight w:val="0"/>
                          <w:marTop w:val="0"/>
                          <w:marBottom w:val="0"/>
                          <w:divBdr>
                            <w:top w:val="none" w:sz="0" w:space="0" w:color="auto"/>
                            <w:left w:val="none" w:sz="0" w:space="0" w:color="auto"/>
                            <w:bottom w:val="none" w:sz="0" w:space="0" w:color="auto"/>
                            <w:right w:val="none" w:sz="0" w:space="0" w:color="auto"/>
                          </w:divBdr>
                          <w:divsChild>
                            <w:div w:id="113135850">
                              <w:marLeft w:val="0"/>
                              <w:marRight w:val="0"/>
                              <w:marTop w:val="90"/>
                              <w:marBottom w:val="0"/>
                              <w:divBdr>
                                <w:top w:val="none" w:sz="0" w:space="0" w:color="auto"/>
                                <w:left w:val="none" w:sz="0" w:space="0" w:color="auto"/>
                                <w:bottom w:val="none" w:sz="0" w:space="0" w:color="auto"/>
                                <w:right w:val="none" w:sz="0" w:space="0" w:color="auto"/>
                              </w:divBdr>
                              <w:divsChild>
                                <w:div w:id="512383913">
                                  <w:marLeft w:val="0"/>
                                  <w:marRight w:val="0"/>
                                  <w:marTop w:val="0"/>
                                  <w:marBottom w:val="0"/>
                                  <w:divBdr>
                                    <w:top w:val="none" w:sz="0" w:space="0" w:color="auto"/>
                                    <w:left w:val="none" w:sz="0" w:space="0" w:color="auto"/>
                                    <w:bottom w:val="none" w:sz="0" w:space="0" w:color="auto"/>
                                    <w:right w:val="none" w:sz="0" w:space="0" w:color="auto"/>
                                  </w:divBdr>
                                  <w:divsChild>
                                    <w:div w:id="519320356">
                                      <w:marLeft w:val="0"/>
                                      <w:marRight w:val="0"/>
                                      <w:marTop w:val="0"/>
                                      <w:marBottom w:val="0"/>
                                      <w:divBdr>
                                        <w:top w:val="none" w:sz="0" w:space="0" w:color="auto"/>
                                        <w:left w:val="none" w:sz="0" w:space="0" w:color="auto"/>
                                        <w:bottom w:val="none" w:sz="0" w:space="0" w:color="auto"/>
                                        <w:right w:val="none" w:sz="0" w:space="0" w:color="auto"/>
                                      </w:divBdr>
                                      <w:divsChild>
                                        <w:div w:id="6948922">
                                          <w:marLeft w:val="0"/>
                                          <w:marRight w:val="0"/>
                                          <w:marTop w:val="0"/>
                                          <w:marBottom w:val="0"/>
                                          <w:divBdr>
                                            <w:top w:val="none" w:sz="0" w:space="0" w:color="auto"/>
                                            <w:left w:val="none" w:sz="0" w:space="0" w:color="auto"/>
                                            <w:bottom w:val="none" w:sz="0" w:space="0" w:color="auto"/>
                                            <w:right w:val="none" w:sz="0" w:space="0" w:color="auto"/>
                                          </w:divBdr>
                                          <w:divsChild>
                                            <w:div w:id="75444050">
                                              <w:marLeft w:val="0"/>
                                              <w:marRight w:val="0"/>
                                              <w:marTop w:val="0"/>
                                              <w:marBottom w:val="420"/>
                                              <w:divBdr>
                                                <w:top w:val="none" w:sz="0" w:space="0" w:color="auto"/>
                                                <w:left w:val="none" w:sz="0" w:space="0" w:color="auto"/>
                                                <w:bottom w:val="none" w:sz="0" w:space="0" w:color="auto"/>
                                                <w:right w:val="none" w:sz="0" w:space="0" w:color="auto"/>
                                              </w:divBdr>
                                              <w:divsChild>
                                                <w:div w:id="874806594">
                                                  <w:marLeft w:val="0"/>
                                                  <w:marRight w:val="0"/>
                                                  <w:marTop w:val="0"/>
                                                  <w:marBottom w:val="0"/>
                                                  <w:divBdr>
                                                    <w:top w:val="none" w:sz="0" w:space="0" w:color="auto"/>
                                                    <w:left w:val="none" w:sz="0" w:space="0" w:color="auto"/>
                                                    <w:bottom w:val="none" w:sz="0" w:space="0" w:color="auto"/>
                                                    <w:right w:val="none" w:sz="0" w:space="0" w:color="auto"/>
                                                  </w:divBdr>
                                                  <w:divsChild>
                                                    <w:div w:id="1230308357">
                                                      <w:marLeft w:val="0"/>
                                                      <w:marRight w:val="0"/>
                                                      <w:marTop w:val="0"/>
                                                      <w:marBottom w:val="0"/>
                                                      <w:divBdr>
                                                        <w:top w:val="none" w:sz="0" w:space="0" w:color="auto"/>
                                                        <w:left w:val="none" w:sz="0" w:space="0" w:color="auto"/>
                                                        <w:bottom w:val="none" w:sz="0" w:space="0" w:color="auto"/>
                                                        <w:right w:val="none" w:sz="0" w:space="0" w:color="auto"/>
                                                      </w:divBdr>
                                                      <w:divsChild>
                                                        <w:div w:id="1528369655">
                                                          <w:marLeft w:val="0"/>
                                                          <w:marRight w:val="0"/>
                                                          <w:marTop w:val="0"/>
                                                          <w:marBottom w:val="0"/>
                                                          <w:divBdr>
                                                            <w:top w:val="none" w:sz="0" w:space="0" w:color="auto"/>
                                                            <w:left w:val="none" w:sz="0" w:space="0" w:color="auto"/>
                                                            <w:bottom w:val="none" w:sz="0" w:space="0" w:color="auto"/>
                                                            <w:right w:val="none" w:sz="0" w:space="0" w:color="auto"/>
                                                          </w:divBdr>
                                                          <w:divsChild>
                                                            <w:div w:id="11787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122576">
                                      <w:marLeft w:val="0"/>
                                      <w:marRight w:val="0"/>
                                      <w:marTop w:val="0"/>
                                      <w:marBottom w:val="0"/>
                                      <w:divBdr>
                                        <w:top w:val="none" w:sz="0" w:space="0" w:color="auto"/>
                                        <w:left w:val="none" w:sz="0" w:space="0" w:color="auto"/>
                                        <w:bottom w:val="none" w:sz="0" w:space="0" w:color="auto"/>
                                        <w:right w:val="none" w:sz="0" w:space="0" w:color="auto"/>
                                      </w:divBdr>
                                      <w:divsChild>
                                        <w:div w:id="1783570706">
                                          <w:marLeft w:val="0"/>
                                          <w:marRight w:val="0"/>
                                          <w:marTop w:val="0"/>
                                          <w:marBottom w:val="420"/>
                                          <w:divBdr>
                                            <w:top w:val="none" w:sz="0" w:space="0" w:color="auto"/>
                                            <w:left w:val="none" w:sz="0" w:space="0" w:color="auto"/>
                                            <w:bottom w:val="none" w:sz="0" w:space="0" w:color="auto"/>
                                            <w:right w:val="none" w:sz="0" w:space="0" w:color="auto"/>
                                          </w:divBdr>
                                          <w:divsChild>
                                            <w:div w:id="85224958">
                                              <w:marLeft w:val="0"/>
                                              <w:marRight w:val="0"/>
                                              <w:marTop w:val="0"/>
                                              <w:marBottom w:val="0"/>
                                              <w:divBdr>
                                                <w:top w:val="none" w:sz="0" w:space="0" w:color="auto"/>
                                                <w:left w:val="none" w:sz="0" w:space="0" w:color="auto"/>
                                                <w:bottom w:val="none" w:sz="0" w:space="0" w:color="auto"/>
                                                <w:right w:val="none" w:sz="0" w:space="0" w:color="auto"/>
                                              </w:divBdr>
                                            </w:div>
                                            <w:div w:id="11961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19108">
                                      <w:marLeft w:val="0"/>
                                      <w:marRight w:val="0"/>
                                      <w:marTop w:val="0"/>
                                      <w:marBottom w:val="0"/>
                                      <w:divBdr>
                                        <w:top w:val="none" w:sz="0" w:space="0" w:color="auto"/>
                                        <w:left w:val="none" w:sz="0" w:space="0" w:color="auto"/>
                                        <w:bottom w:val="none" w:sz="0" w:space="0" w:color="auto"/>
                                        <w:right w:val="none" w:sz="0" w:space="0" w:color="auto"/>
                                      </w:divBdr>
                                      <w:divsChild>
                                        <w:div w:id="1075710553">
                                          <w:marLeft w:val="0"/>
                                          <w:marRight w:val="0"/>
                                          <w:marTop w:val="0"/>
                                          <w:marBottom w:val="0"/>
                                          <w:divBdr>
                                            <w:top w:val="none" w:sz="0" w:space="0" w:color="auto"/>
                                            <w:left w:val="none" w:sz="0" w:space="0" w:color="auto"/>
                                            <w:bottom w:val="none" w:sz="0" w:space="0" w:color="auto"/>
                                            <w:right w:val="none" w:sz="0" w:space="0" w:color="auto"/>
                                          </w:divBdr>
                                          <w:divsChild>
                                            <w:div w:id="245001687">
                                              <w:marLeft w:val="0"/>
                                              <w:marRight w:val="0"/>
                                              <w:marTop w:val="0"/>
                                              <w:marBottom w:val="390"/>
                                              <w:divBdr>
                                                <w:top w:val="none" w:sz="0" w:space="0" w:color="auto"/>
                                                <w:left w:val="none" w:sz="0" w:space="0" w:color="auto"/>
                                                <w:bottom w:val="none" w:sz="0" w:space="0" w:color="auto"/>
                                                <w:right w:val="none" w:sz="0" w:space="0" w:color="auto"/>
                                              </w:divBdr>
                                              <w:divsChild>
                                                <w:div w:id="1922331947">
                                                  <w:marLeft w:val="0"/>
                                                  <w:marRight w:val="0"/>
                                                  <w:marTop w:val="0"/>
                                                  <w:marBottom w:val="0"/>
                                                  <w:divBdr>
                                                    <w:top w:val="none" w:sz="0" w:space="0" w:color="auto"/>
                                                    <w:left w:val="none" w:sz="0" w:space="0" w:color="auto"/>
                                                    <w:bottom w:val="none" w:sz="0" w:space="0" w:color="auto"/>
                                                    <w:right w:val="none" w:sz="0" w:space="0" w:color="auto"/>
                                                  </w:divBdr>
                                                  <w:divsChild>
                                                    <w:div w:id="440497090">
                                                      <w:marLeft w:val="0"/>
                                                      <w:marRight w:val="0"/>
                                                      <w:marTop w:val="0"/>
                                                      <w:marBottom w:val="0"/>
                                                      <w:divBdr>
                                                        <w:top w:val="none" w:sz="0" w:space="0" w:color="auto"/>
                                                        <w:left w:val="none" w:sz="0" w:space="0" w:color="auto"/>
                                                        <w:bottom w:val="none" w:sz="0" w:space="0" w:color="auto"/>
                                                        <w:right w:val="none" w:sz="0" w:space="0" w:color="auto"/>
                                                      </w:divBdr>
                                                      <w:divsChild>
                                                        <w:div w:id="72825454">
                                                          <w:marLeft w:val="0"/>
                                                          <w:marRight w:val="0"/>
                                                          <w:marTop w:val="0"/>
                                                          <w:marBottom w:val="0"/>
                                                          <w:divBdr>
                                                            <w:top w:val="none" w:sz="0" w:space="0" w:color="auto"/>
                                                            <w:left w:val="none" w:sz="0" w:space="0" w:color="auto"/>
                                                            <w:bottom w:val="none" w:sz="0" w:space="0" w:color="auto"/>
                                                            <w:right w:val="none" w:sz="0" w:space="0" w:color="auto"/>
                                                          </w:divBdr>
                                                          <w:divsChild>
                                                            <w:div w:id="2103408358">
                                                              <w:marLeft w:val="0"/>
                                                              <w:marRight w:val="0"/>
                                                              <w:marTop w:val="0"/>
                                                              <w:marBottom w:val="0"/>
                                                              <w:divBdr>
                                                                <w:top w:val="none" w:sz="0" w:space="0" w:color="auto"/>
                                                                <w:left w:val="none" w:sz="0" w:space="0" w:color="auto"/>
                                                                <w:bottom w:val="none" w:sz="0" w:space="0" w:color="auto"/>
                                                                <w:right w:val="none" w:sz="0" w:space="0" w:color="auto"/>
                                                              </w:divBdr>
                                                              <w:divsChild>
                                                                <w:div w:id="1478374597">
                                                                  <w:marLeft w:val="0"/>
                                                                  <w:marRight w:val="0"/>
                                                                  <w:marTop w:val="0"/>
                                                                  <w:marBottom w:val="0"/>
                                                                  <w:divBdr>
                                                                    <w:top w:val="none" w:sz="0" w:space="0" w:color="auto"/>
                                                                    <w:left w:val="none" w:sz="0" w:space="0" w:color="auto"/>
                                                                    <w:bottom w:val="none" w:sz="0" w:space="0" w:color="auto"/>
                                                                    <w:right w:val="none" w:sz="0" w:space="0" w:color="auto"/>
                                                                  </w:divBdr>
                                                                  <w:divsChild>
                                                                    <w:div w:id="87971655">
                                                                      <w:marLeft w:val="45"/>
                                                                      <w:marRight w:val="45"/>
                                                                      <w:marTop w:val="15"/>
                                                                      <w:marBottom w:val="0"/>
                                                                      <w:divBdr>
                                                                        <w:top w:val="none" w:sz="0" w:space="0" w:color="auto"/>
                                                                        <w:left w:val="none" w:sz="0" w:space="0" w:color="auto"/>
                                                                        <w:bottom w:val="none" w:sz="0" w:space="0" w:color="auto"/>
                                                                        <w:right w:val="none" w:sz="0" w:space="0" w:color="auto"/>
                                                                      </w:divBdr>
                                                                      <w:divsChild>
                                                                        <w:div w:id="7803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097079">
                                              <w:marLeft w:val="0"/>
                                              <w:marRight w:val="0"/>
                                              <w:marTop w:val="0"/>
                                              <w:marBottom w:val="390"/>
                                              <w:divBdr>
                                                <w:top w:val="none" w:sz="0" w:space="0" w:color="auto"/>
                                                <w:left w:val="none" w:sz="0" w:space="0" w:color="auto"/>
                                                <w:bottom w:val="none" w:sz="0" w:space="0" w:color="auto"/>
                                                <w:right w:val="none" w:sz="0" w:space="0" w:color="auto"/>
                                              </w:divBdr>
                                              <w:divsChild>
                                                <w:div w:id="191921084">
                                                  <w:marLeft w:val="0"/>
                                                  <w:marRight w:val="0"/>
                                                  <w:marTop w:val="0"/>
                                                  <w:marBottom w:val="0"/>
                                                  <w:divBdr>
                                                    <w:top w:val="none" w:sz="0" w:space="0" w:color="auto"/>
                                                    <w:left w:val="none" w:sz="0" w:space="0" w:color="auto"/>
                                                    <w:bottom w:val="none" w:sz="0" w:space="0" w:color="auto"/>
                                                    <w:right w:val="none" w:sz="0" w:space="0" w:color="auto"/>
                                                  </w:divBdr>
                                                  <w:divsChild>
                                                    <w:div w:id="1758793446">
                                                      <w:marLeft w:val="0"/>
                                                      <w:marRight w:val="0"/>
                                                      <w:marTop w:val="0"/>
                                                      <w:marBottom w:val="0"/>
                                                      <w:divBdr>
                                                        <w:top w:val="none" w:sz="0" w:space="0" w:color="auto"/>
                                                        <w:left w:val="none" w:sz="0" w:space="0" w:color="auto"/>
                                                        <w:bottom w:val="none" w:sz="0" w:space="0" w:color="auto"/>
                                                        <w:right w:val="none" w:sz="0" w:space="0" w:color="auto"/>
                                                      </w:divBdr>
                                                      <w:divsChild>
                                                        <w:div w:id="1424228361">
                                                          <w:marLeft w:val="0"/>
                                                          <w:marRight w:val="0"/>
                                                          <w:marTop w:val="0"/>
                                                          <w:marBottom w:val="0"/>
                                                          <w:divBdr>
                                                            <w:top w:val="none" w:sz="0" w:space="0" w:color="auto"/>
                                                            <w:left w:val="none" w:sz="0" w:space="0" w:color="auto"/>
                                                            <w:bottom w:val="none" w:sz="0" w:space="0" w:color="auto"/>
                                                            <w:right w:val="none" w:sz="0" w:space="0" w:color="auto"/>
                                                          </w:divBdr>
                                                          <w:divsChild>
                                                            <w:div w:id="459543555">
                                                              <w:marLeft w:val="0"/>
                                                              <w:marRight w:val="0"/>
                                                              <w:marTop w:val="0"/>
                                                              <w:marBottom w:val="0"/>
                                                              <w:divBdr>
                                                                <w:top w:val="none" w:sz="0" w:space="0" w:color="auto"/>
                                                                <w:left w:val="none" w:sz="0" w:space="0" w:color="auto"/>
                                                                <w:bottom w:val="none" w:sz="0" w:space="0" w:color="auto"/>
                                                                <w:right w:val="none" w:sz="0" w:space="0" w:color="auto"/>
                                                              </w:divBdr>
                                                              <w:divsChild>
                                                                <w:div w:id="15143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027405">
                                              <w:marLeft w:val="0"/>
                                              <w:marRight w:val="0"/>
                                              <w:marTop w:val="0"/>
                                              <w:marBottom w:val="390"/>
                                              <w:divBdr>
                                                <w:top w:val="none" w:sz="0" w:space="0" w:color="auto"/>
                                                <w:left w:val="none" w:sz="0" w:space="0" w:color="auto"/>
                                                <w:bottom w:val="none" w:sz="0" w:space="0" w:color="auto"/>
                                                <w:right w:val="none" w:sz="0" w:space="0" w:color="auto"/>
                                              </w:divBdr>
                                              <w:divsChild>
                                                <w:div w:id="727268951">
                                                  <w:marLeft w:val="0"/>
                                                  <w:marRight w:val="0"/>
                                                  <w:marTop w:val="0"/>
                                                  <w:marBottom w:val="0"/>
                                                  <w:divBdr>
                                                    <w:top w:val="none" w:sz="0" w:space="0" w:color="auto"/>
                                                    <w:left w:val="none" w:sz="0" w:space="0" w:color="auto"/>
                                                    <w:bottom w:val="none" w:sz="0" w:space="0" w:color="auto"/>
                                                    <w:right w:val="none" w:sz="0" w:space="0" w:color="auto"/>
                                                  </w:divBdr>
                                                  <w:divsChild>
                                                    <w:div w:id="497698345">
                                                      <w:marLeft w:val="0"/>
                                                      <w:marRight w:val="0"/>
                                                      <w:marTop w:val="0"/>
                                                      <w:marBottom w:val="0"/>
                                                      <w:divBdr>
                                                        <w:top w:val="none" w:sz="0" w:space="0" w:color="auto"/>
                                                        <w:left w:val="none" w:sz="0" w:space="0" w:color="auto"/>
                                                        <w:bottom w:val="none" w:sz="0" w:space="0" w:color="auto"/>
                                                        <w:right w:val="none" w:sz="0" w:space="0" w:color="auto"/>
                                                      </w:divBdr>
                                                      <w:divsChild>
                                                        <w:div w:id="489370835">
                                                          <w:marLeft w:val="0"/>
                                                          <w:marRight w:val="0"/>
                                                          <w:marTop w:val="0"/>
                                                          <w:marBottom w:val="0"/>
                                                          <w:divBdr>
                                                            <w:top w:val="none" w:sz="0" w:space="0" w:color="auto"/>
                                                            <w:left w:val="none" w:sz="0" w:space="0" w:color="auto"/>
                                                            <w:bottom w:val="none" w:sz="0" w:space="0" w:color="auto"/>
                                                            <w:right w:val="none" w:sz="0" w:space="0" w:color="auto"/>
                                                          </w:divBdr>
                                                          <w:divsChild>
                                                            <w:div w:id="1184512795">
                                                              <w:marLeft w:val="0"/>
                                                              <w:marRight w:val="0"/>
                                                              <w:marTop w:val="0"/>
                                                              <w:marBottom w:val="0"/>
                                                              <w:divBdr>
                                                                <w:top w:val="none" w:sz="0" w:space="0" w:color="auto"/>
                                                                <w:left w:val="none" w:sz="0" w:space="0" w:color="auto"/>
                                                                <w:bottom w:val="none" w:sz="0" w:space="0" w:color="auto"/>
                                                                <w:right w:val="none" w:sz="0" w:space="0" w:color="auto"/>
                                                              </w:divBdr>
                                                              <w:divsChild>
                                                                <w:div w:id="68617508">
                                                                  <w:marLeft w:val="0"/>
                                                                  <w:marRight w:val="0"/>
                                                                  <w:marTop w:val="0"/>
                                                                  <w:marBottom w:val="0"/>
                                                                  <w:divBdr>
                                                                    <w:top w:val="none" w:sz="0" w:space="0" w:color="auto"/>
                                                                    <w:left w:val="none" w:sz="0" w:space="0" w:color="auto"/>
                                                                    <w:bottom w:val="none" w:sz="0" w:space="0" w:color="auto"/>
                                                                    <w:right w:val="none" w:sz="0" w:space="0" w:color="auto"/>
                                                                  </w:divBdr>
                                                                  <w:divsChild>
                                                                    <w:div w:id="550926578">
                                                                      <w:marLeft w:val="45"/>
                                                                      <w:marRight w:val="45"/>
                                                                      <w:marTop w:val="15"/>
                                                                      <w:marBottom w:val="0"/>
                                                                      <w:divBdr>
                                                                        <w:top w:val="none" w:sz="0" w:space="0" w:color="auto"/>
                                                                        <w:left w:val="none" w:sz="0" w:space="0" w:color="auto"/>
                                                                        <w:bottom w:val="none" w:sz="0" w:space="0" w:color="auto"/>
                                                                        <w:right w:val="none" w:sz="0" w:space="0" w:color="auto"/>
                                                                      </w:divBdr>
                                                                      <w:divsChild>
                                                                        <w:div w:id="17846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543464">
                                              <w:marLeft w:val="0"/>
                                              <w:marRight w:val="0"/>
                                              <w:marTop w:val="0"/>
                                              <w:marBottom w:val="390"/>
                                              <w:divBdr>
                                                <w:top w:val="none" w:sz="0" w:space="0" w:color="auto"/>
                                                <w:left w:val="none" w:sz="0" w:space="0" w:color="auto"/>
                                                <w:bottom w:val="none" w:sz="0" w:space="0" w:color="auto"/>
                                                <w:right w:val="none" w:sz="0" w:space="0" w:color="auto"/>
                                              </w:divBdr>
                                              <w:divsChild>
                                                <w:div w:id="1504662756">
                                                  <w:marLeft w:val="0"/>
                                                  <w:marRight w:val="0"/>
                                                  <w:marTop w:val="0"/>
                                                  <w:marBottom w:val="0"/>
                                                  <w:divBdr>
                                                    <w:top w:val="none" w:sz="0" w:space="0" w:color="auto"/>
                                                    <w:left w:val="none" w:sz="0" w:space="0" w:color="auto"/>
                                                    <w:bottom w:val="none" w:sz="0" w:space="0" w:color="auto"/>
                                                    <w:right w:val="none" w:sz="0" w:space="0" w:color="auto"/>
                                                  </w:divBdr>
                                                  <w:divsChild>
                                                    <w:div w:id="1496997136">
                                                      <w:marLeft w:val="0"/>
                                                      <w:marRight w:val="0"/>
                                                      <w:marTop w:val="0"/>
                                                      <w:marBottom w:val="0"/>
                                                      <w:divBdr>
                                                        <w:top w:val="none" w:sz="0" w:space="0" w:color="auto"/>
                                                        <w:left w:val="none" w:sz="0" w:space="0" w:color="auto"/>
                                                        <w:bottom w:val="none" w:sz="0" w:space="0" w:color="auto"/>
                                                        <w:right w:val="none" w:sz="0" w:space="0" w:color="auto"/>
                                                      </w:divBdr>
                                                      <w:divsChild>
                                                        <w:div w:id="453449799">
                                                          <w:marLeft w:val="0"/>
                                                          <w:marRight w:val="0"/>
                                                          <w:marTop w:val="0"/>
                                                          <w:marBottom w:val="0"/>
                                                          <w:divBdr>
                                                            <w:top w:val="none" w:sz="0" w:space="0" w:color="auto"/>
                                                            <w:left w:val="none" w:sz="0" w:space="0" w:color="auto"/>
                                                            <w:bottom w:val="none" w:sz="0" w:space="0" w:color="auto"/>
                                                            <w:right w:val="none" w:sz="0" w:space="0" w:color="auto"/>
                                                          </w:divBdr>
                                                          <w:divsChild>
                                                            <w:div w:id="227809909">
                                                              <w:marLeft w:val="0"/>
                                                              <w:marRight w:val="0"/>
                                                              <w:marTop w:val="0"/>
                                                              <w:marBottom w:val="0"/>
                                                              <w:divBdr>
                                                                <w:top w:val="none" w:sz="0" w:space="0" w:color="auto"/>
                                                                <w:left w:val="none" w:sz="0" w:space="0" w:color="auto"/>
                                                                <w:bottom w:val="none" w:sz="0" w:space="0" w:color="auto"/>
                                                                <w:right w:val="none" w:sz="0" w:space="0" w:color="auto"/>
                                                              </w:divBdr>
                                                              <w:divsChild>
                                                                <w:div w:id="722797278">
                                                                  <w:marLeft w:val="0"/>
                                                                  <w:marRight w:val="0"/>
                                                                  <w:marTop w:val="0"/>
                                                                  <w:marBottom w:val="0"/>
                                                                  <w:divBdr>
                                                                    <w:top w:val="none" w:sz="0" w:space="0" w:color="auto"/>
                                                                    <w:left w:val="none" w:sz="0" w:space="0" w:color="auto"/>
                                                                    <w:bottom w:val="none" w:sz="0" w:space="0" w:color="auto"/>
                                                                    <w:right w:val="none" w:sz="0" w:space="0" w:color="auto"/>
                                                                  </w:divBdr>
                                                                  <w:divsChild>
                                                                    <w:div w:id="856390666">
                                                                      <w:marLeft w:val="45"/>
                                                                      <w:marRight w:val="45"/>
                                                                      <w:marTop w:val="15"/>
                                                                      <w:marBottom w:val="0"/>
                                                                      <w:divBdr>
                                                                        <w:top w:val="none" w:sz="0" w:space="0" w:color="auto"/>
                                                                        <w:left w:val="none" w:sz="0" w:space="0" w:color="auto"/>
                                                                        <w:bottom w:val="none" w:sz="0" w:space="0" w:color="auto"/>
                                                                        <w:right w:val="none" w:sz="0" w:space="0" w:color="auto"/>
                                                                      </w:divBdr>
                                                                      <w:divsChild>
                                                                        <w:div w:id="16831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98315">
                                              <w:marLeft w:val="0"/>
                                              <w:marRight w:val="0"/>
                                              <w:marTop w:val="0"/>
                                              <w:marBottom w:val="420"/>
                                              <w:divBdr>
                                                <w:top w:val="none" w:sz="0" w:space="0" w:color="auto"/>
                                                <w:left w:val="none" w:sz="0" w:space="0" w:color="auto"/>
                                                <w:bottom w:val="none" w:sz="0" w:space="0" w:color="auto"/>
                                                <w:right w:val="none" w:sz="0" w:space="0" w:color="auto"/>
                                              </w:divBdr>
                                              <w:divsChild>
                                                <w:div w:id="1147551250">
                                                  <w:marLeft w:val="0"/>
                                                  <w:marRight w:val="0"/>
                                                  <w:marTop w:val="0"/>
                                                  <w:marBottom w:val="0"/>
                                                  <w:divBdr>
                                                    <w:top w:val="none" w:sz="0" w:space="0" w:color="auto"/>
                                                    <w:left w:val="none" w:sz="0" w:space="0" w:color="auto"/>
                                                    <w:bottom w:val="none" w:sz="0" w:space="0" w:color="auto"/>
                                                    <w:right w:val="none" w:sz="0" w:space="0" w:color="auto"/>
                                                  </w:divBdr>
                                                  <w:divsChild>
                                                    <w:div w:id="551039758">
                                                      <w:marLeft w:val="0"/>
                                                      <w:marRight w:val="0"/>
                                                      <w:marTop w:val="0"/>
                                                      <w:marBottom w:val="0"/>
                                                      <w:divBdr>
                                                        <w:top w:val="none" w:sz="0" w:space="0" w:color="auto"/>
                                                        <w:left w:val="none" w:sz="0" w:space="0" w:color="auto"/>
                                                        <w:bottom w:val="none" w:sz="0" w:space="0" w:color="auto"/>
                                                        <w:right w:val="none" w:sz="0" w:space="0" w:color="auto"/>
                                                      </w:divBdr>
                                                      <w:divsChild>
                                                        <w:div w:id="1134833181">
                                                          <w:marLeft w:val="0"/>
                                                          <w:marRight w:val="0"/>
                                                          <w:marTop w:val="0"/>
                                                          <w:marBottom w:val="0"/>
                                                          <w:divBdr>
                                                            <w:top w:val="none" w:sz="0" w:space="0" w:color="auto"/>
                                                            <w:left w:val="none" w:sz="0" w:space="0" w:color="auto"/>
                                                            <w:bottom w:val="none" w:sz="0" w:space="0" w:color="auto"/>
                                                            <w:right w:val="none" w:sz="0" w:space="0" w:color="auto"/>
                                                          </w:divBdr>
                                                          <w:divsChild>
                                                            <w:div w:id="29766815">
                                                              <w:marLeft w:val="0"/>
                                                              <w:marRight w:val="0"/>
                                                              <w:marTop w:val="0"/>
                                                              <w:marBottom w:val="0"/>
                                                              <w:divBdr>
                                                                <w:top w:val="none" w:sz="0" w:space="0" w:color="auto"/>
                                                                <w:left w:val="none" w:sz="0" w:space="0" w:color="auto"/>
                                                                <w:bottom w:val="none" w:sz="0" w:space="0" w:color="auto"/>
                                                                <w:right w:val="none" w:sz="0" w:space="0" w:color="auto"/>
                                                              </w:divBdr>
                                                              <w:divsChild>
                                                                <w:div w:id="680935021">
                                                                  <w:marLeft w:val="0"/>
                                                                  <w:marRight w:val="0"/>
                                                                  <w:marTop w:val="0"/>
                                                                  <w:marBottom w:val="0"/>
                                                                  <w:divBdr>
                                                                    <w:top w:val="none" w:sz="0" w:space="0" w:color="auto"/>
                                                                    <w:left w:val="none" w:sz="0" w:space="0" w:color="auto"/>
                                                                    <w:bottom w:val="none" w:sz="0" w:space="0" w:color="auto"/>
                                                                    <w:right w:val="none" w:sz="0" w:space="0" w:color="auto"/>
                                                                  </w:divBdr>
                                                                </w:div>
                                                                <w:div w:id="1568565209">
                                                                  <w:marLeft w:val="0"/>
                                                                  <w:marRight w:val="0"/>
                                                                  <w:marTop w:val="0"/>
                                                                  <w:marBottom w:val="0"/>
                                                                  <w:divBdr>
                                                                    <w:top w:val="none" w:sz="0" w:space="0" w:color="auto"/>
                                                                    <w:left w:val="none" w:sz="0" w:space="0" w:color="auto"/>
                                                                    <w:bottom w:val="none" w:sz="0" w:space="0" w:color="auto"/>
                                                                    <w:right w:val="none" w:sz="0" w:space="0" w:color="auto"/>
                                                                  </w:divBdr>
                                                                  <w:divsChild>
                                                                    <w:div w:id="1291790882">
                                                                      <w:marLeft w:val="45"/>
                                                                      <w:marRight w:val="45"/>
                                                                      <w:marTop w:val="15"/>
                                                                      <w:marBottom w:val="0"/>
                                                                      <w:divBdr>
                                                                        <w:top w:val="none" w:sz="0" w:space="0" w:color="auto"/>
                                                                        <w:left w:val="none" w:sz="0" w:space="0" w:color="auto"/>
                                                                        <w:bottom w:val="none" w:sz="0" w:space="0" w:color="auto"/>
                                                                        <w:right w:val="none" w:sz="0" w:space="0" w:color="auto"/>
                                                                      </w:divBdr>
                                                                      <w:divsChild>
                                                                        <w:div w:id="15008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898047">
                                              <w:marLeft w:val="0"/>
                                              <w:marRight w:val="0"/>
                                              <w:marTop w:val="0"/>
                                              <w:marBottom w:val="390"/>
                                              <w:divBdr>
                                                <w:top w:val="none" w:sz="0" w:space="0" w:color="auto"/>
                                                <w:left w:val="none" w:sz="0" w:space="0" w:color="auto"/>
                                                <w:bottom w:val="none" w:sz="0" w:space="0" w:color="auto"/>
                                                <w:right w:val="none" w:sz="0" w:space="0" w:color="auto"/>
                                              </w:divBdr>
                                              <w:divsChild>
                                                <w:div w:id="968050542">
                                                  <w:marLeft w:val="0"/>
                                                  <w:marRight w:val="0"/>
                                                  <w:marTop w:val="0"/>
                                                  <w:marBottom w:val="0"/>
                                                  <w:divBdr>
                                                    <w:top w:val="none" w:sz="0" w:space="0" w:color="auto"/>
                                                    <w:left w:val="none" w:sz="0" w:space="0" w:color="auto"/>
                                                    <w:bottom w:val="none" w:sz="0" w:space="0" w:color="auto"/>
                                                    <w:right w:val="none" w:sz="0" w:space="0" w:color="auto"/>
                                                  </w:divBdr>
                                                  <w:divsChild>
                                                    <w:div w:id="2100909047">
                                                      <w:marLeft w:val="0"/>
                                                      <w:marRight w:val="0"/>
                                                      <w:marTop w:val="0"/>
                                                      <w:marBottom w:val="0"/>
                                                      <w:divBdr>
                                                        <w:top w:val="none" w:sz="0" w:space="0" w:color="auto"/>
                                                        <w:left w:val="none" w:sz="0" w:space="0" w:color="auto"/>
                                                        <w:bottom w:val="none" w:sz="0" w:space="0" w:color="auto"/>
                                                        <w:right w:val="none" w:sz="0" w:space="0" w:color="auto"/>
                                                      </w:divBdr>
                                                      <w:divsChild>
                                                        <w:div w:id="97023304">
                                                          <w:marLeft w:val="0"/>
                                                          <w:marRight w:val="0"/>
                                                          <w:marTop w:val="0"/>
                                                          <w:marBottom w:val="0"/>
                                                          <w:divBdr>
                                                            <w:top w:val="none" w:sz="0" w:space="0" w:color="auto"/>
                                                            <w:left w:val="none" w:sz="0" w:space="0" w:color="auto"/>
                                                            <w:bottom w:val="none" w:sz="0" w:space="0" w:color="auto"/>
                                                            <w:right w:val="none" w:sz="0" w:space="0" w:color="auto"/>
                                                          </w:divBdr>
                                                          <w:divsChild>
                                                            <w:div w:id="2102682831">
                                                              <w:marLeft w:val="0"/>
                                                              <w:marRight w:val="0"/>
                                                              <w:marTop w:val="0"/>
                                                              <w:marBottom w:val="0"/>
                                                              <w:divBdr>
                                                                <w:top w:val="none" w:sz="0" w:space="0" w:color="auto"/>
                                                                <w:left w:val="none" w:sz="0" w:space="0" w:color="auto"/>
                                                                <w:bottom w:val="none" w:sz="0" w:space="0" w:color="auto"/>
                                                                <w:right w:val="none" w:sz="0" w:space="0" w:color="auto"/>
                                                              </w:divBdr>
                                                              <w:divsChild>
                                                                <w:div w:id="2133934278">
                                                                  <w:marLeft w:val="0"/>
                                                                  <w:marRight w:val="0"/>
                                                                  <w:marTop w:val="0"/>
                                                                  <w:marBottom w:val="0"/>
                                                                  <w:divBdr>
                                                                    <w:top w:val="none" w:sz="0" w:space="0" w:color="auto"/>
                                                                    <w:left w:val="none" w:sz="0" w:space="0" w:color="auto"/>
                                                                    <w:bottom w:val="none" w:sz="0" w:space="0" w:color="auto"/>
                                                                    <w:right w:val="none" w:sz="0" w:space="0" w:color="auto"/>
                                                                  </w:divBdr>
                                                                  <w:divsChild>
                                                                    <w:div w:id="1639653371">
                                                                      <w:marLeft w:val="45"/>
                                                                      <w:marRight w:val="45"/>
                                                                      <w:marTop w:val="15"/>
                                                                      <w:marBottom w:val="0"/>
                                                                      <w:divBdr>
                                                                        <w:top w:val="none" w:sz="0" w:space="0" w:color="auto"/>
                                                                        <w:left w:val="none" w:sz="0" w:space="0" w:color="auto"/>
                                                                        <w:bottom w:val="none" w:sz="0" w:space="0" w:color="auto"/>
                                                                        <w:right w:val="none" w:sz="0" w:space="0" w:color="auto"/>
                                                                      </w:divBdr>
                                                                      <w:divsChild>
                                                                        <w:div w:id="20685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4874979">
      <w:bodyDiv w:val="1"/>
      <w:marLeft w:val="0"/>
      <w:marRight w:val="0"/>
      <w:marTop w:val="0"/>
      <w:marBottom w:val="0"/>
      <w:divBdr>
        <w:top w:val="none" w:sz="0" w:space="0" w:color="auto"/>
        <w:left w:val="none" w:sz="0" w:space="0" w:color="auto"/>
        <w:bottom w:val="none" w:sz="0" w:space="0" w:color="auto"/>
        <w:right w:val="none" w:sz="0" w:space="0" w:color="auto"/>
      </w:divBdr>
    </w:div>
    <w:div w:id="290016873">
      <w:bodyDiv w:val="1"/>
      <w:marLeft w:val="0"/>
      <w:marRight w:val="0"/>
      <w:marTop w:val="0"/>
      <w:marBottom w:val="0"/>
      <w:divBdr>
        <w:top w:val="none" w:sz="0" w:space="0" w:color="auto"/>
        <w:left w:val="none" w:sz="0" w:space="0" w:color="auto"/>
        <w:bottom w:val="none" w:sz="0" w:space="0" w:color="auto"/>
        <w:right w:val="none" w:sz="0" w:space="0" w:color="auto"/>
      </w:divBdr>
    </w:div>
    <w:div w:id="471481371">
      <w:bodyDiv w:val="1"/>
      <w:marLeft w:val="0"/>
      <w:marRight w:val="0"/>
      <w:marTop w:val="0"/>
      <w:marBottom w:val="0"/>
      <w:divBdr>
        <w:top w:val="none" w:sz="0" w:space="0" w:color="auto"/>
        <w:left w:val="none" w:sz="0" w:space="0" w:color="auto"/>
        <w:bottom w:val="none" w:sz="0" w:space="0" w:color="auto"/>
        <w:right w:val="none" w:sz="0" w:space="0" w:color="auto"/>
      </w:divBdr>
    </w:div>
    <w:div w:id="514348025">
      <w:bodyDiv w:val="1"/>
      <w:marLeft w:val="0"/>
      <w:marRight w:val="0"/>
      <w:marTop w:val="0"/>
      <w:marBottom w:val="0"/>
      <w:divBdr>
        <w:top w:val="none" w:sz="0" w:space="0" w:color="auto"/>
        <w:left w:val="none" w:sz="0" w:space="0" w:color="auto"/>
        <w:bottom w:val="none" w:sz="0" w:space="0" w:color="auto"/>
        <w:right w:val="none" w:sz="0" w:space="0" w:color="auto"/>
      </w:divBdr>
    </w:div>
    <w:div w:id="564099009">
      <w:bodyDiv w:val="1"/>
      <w:marLeft w:val="0"/>
      <w:marRight w:val="0"/>
      <w:marTop w:val="0"/>
      <w:marBottom w:val="0"/>
      <w:divBdr>
        <w:top w:val="none" w:sz="0" w:space="0" w:color="auto"/>
        <w:left w:val="none" w:sz="0" w:space="0" w:color="auto"/>
        <w:bottom w:val="none" w:sz="0" w:space="0" w:color="auto"/>
        <w:right w:val="none" w:sz="0" w:space="0" w:color="auto"/>
      </w:divBdr>
    </w:div>
    <w:div w:id="696006642">
      <w:bodyDiv w:val="1"/>
      <w:marLeft w:val="0"/>
      <w:marRight w:val="0"/>
      <w:marTop w:val="0"/>
      <w:marBottom w:val="0"/>
      <w:divBdr>
        <w:top w:val="none" w:sz="0" w:space="0" w:color="auto"/>
        <w:left w:val="none" w:sz="0" w:space="0" w:color="auto"/>
        <w:bottom w:val="none" w:sz="0" w:space="0" w:color="auto"/>
        <w:right w:val="none" w:sz="0" w:space="0" w:color="auto"/>
      </w:divBdr>
    </w:div>
    <w:div w:id="855534362">
      <w:bodyDiv w:val="1"/>
      <w:marLeft w:val="0"/>
      <w:marRight w:val="0"/>
      <w:marTop w:val="0"/>
      <w:marBottom w:val="0"/>
      <w:divBdr>
        <w:top w:val="none" w:sz="0" w:space="0" w:color="auto"/>
        <w:left w:val="none" w:sz="0" w:space="0" w:color="auto"/>
        <w:bottom w:val="none" w:sz="0" w:space="0" w:color="auto"/>
        <w:right w:val="none" w:sz="0" w:space="0" w:color="auto"/>
      </w:divBdr>
    </w:div>
    <w:div w:id="980380433">
      <w:bodyDiv w:val="1"/>
      <w:marLeft w:val="0"/>
      <w:marRight w:val="0"/>
      <w:marTop w:val="0"/>
      <w:marBottom w:val="0"/>
      <w:divBdr>
        <w:top w:val="none" w:sz="0" w:space="0" w:color="auto"/>
        <w:left w:val="none" w:sz="0" w:space="0" w:color="auto"/>
        <w:bottom w:val="none" w:sz="0" w:space="0" w:color="auto"/>
        <w:right w:val="none" w:sz="0" w:space="0" w:color="auto"/>
      </w:divBdr>
    </w:div>
    <w:div w:id="1137185285">
      <w:bodyDiv w:val="1"/>
      <w:marLeft w:val="0"/>
      <w:marRight w:val="0"/>
      <w:marTop w:val="0"/>
      <w:marBottom w:val="0"/>
      <w:divBdr>
        <w:top w:val="none" w:sz="0" w:space="0" w:color="auto"/>
        <w:left w:val="none" w:sz="0" w:space="0" w:color="auto"/>
        <w:bottom w:val="none" w:sz="0" w:space="0" w:color="auto"/>
        <w:right w:val="none" w:sz="0" w:space="0" w:color="auto"/>
      </w:divBdr>
    </w:div>
    <w:div w:id="1173060781">
      <w:bodyDiv w:val="1"/>
      <w:marLeft w:val="0"/>
      <w:marRight w:val="0"/>
      <w:marTop w:val="0"/>
      <w:marBottom w:val="0"/>
      <w:divBdr>
        <w:top w:val="none" w:sz="0" w:space="0" w:color="auto"/>
        <w:left w:val="none" w:sz="0" w:space="0" w:color="auto"/>
        <w:bottom w:val="none" w:sz="0" w:space="0" w:color="auto"/>
        <w:right w:val="none" w:sz="0" w:space="0" w:color="auto"/>
      </w:divBdr>
    </w:div>
    <w:div w:id="1198010681">
      <w:bodyDiv w:val="1"/>
      <w:marLeft w:val="0"/>
      <w:marRight w:val="0"/>
      <w:marTop w:val="0"/>
      <w:marBottom w:val="0"/>
      <w:divBdr>
        <w:top w:val="none" w:sz="0" w:space="0" w:color="auto"/>
        <w:left w:val="none" w:sz="0" w:space="0" w:color="auto"/>
        <w:bottom w:val="none" w:sz="0" w:space="0" w:color="auto"/>
        <w:right w:val="none" w:sz="0" w:space="0" w:color="auto"/>
      </w:divBdr>
    </w:div>
    <w:div w:id="1227108916">
      <w:bodyDiv w:val="1"/>
      <w:marLeft w:val="0"/>
      <w:marRight w:val="0"/>
      <w:marTop w:val="0"/>
      <w:marBottom w:val="0"/>
      <w:divBdr>
        <w:top w:val="none" w:sz="0" w:space="0" w:color="auto"/>
        <w:left w:val="none" w:sz="0" w:space="0" w:color="auto"/>
        <w:bottom w:val="none" w:sz="0" w:space="0" w:color="auto"/>
        <w:right w:val="none" w:sz="0" w:space="0" w:color="auto"/>
      </w:divBdr>
    </w:div>
    <w:div w:id="1337272094">
      <w:bodyDiv w:val="1"/>
      <w:marLeft w:val="0"/>
      <w:marRight w:val="0"/>
      <w:marTop w:val="0"/>
      <w:marBottom w:val="0"/>
      <w:divBdr>
        <w:top w:val="none" w:sz="0" w:space="0" w:color="auto"/>
        <w:left w:val="none" w:sz="0" w:space="0" w:color="auto"/>
        <w:bottom w:val="none" w:sz="0" w:space="0" w:color="auto"/>
        <w:right w:val="none" w:sz="0" w:space="0" w:color="auto"/>
      </w:divBdr>
    </w:div>
    <w:div w:id="1394622048">
      <w:bodyDiv w:val="1"/>
      <w:marLeft w:val="0"/>
      <w:marRight w:val="0"/>
      <w:marTop w:val="0"/>
      <w:marBottom w:val="0"/>
      <w:divBdr>
        <w:top w:val="none" w:sz="0" w:space="0" w:color="auto"/>
        <w:left w:val="none" w:sz="0" w:space="0" w:color="auto"/>
        <w:bottom w:val="none" w:sz="0" w:space="0" w:color="auto"/>
        <w:right w:val="none" w:sz="0" w:space="0" w:color="auto"/>
      </w:divBdr>
    </w:div>
    <w:div w:id="1410541067">
      <w:bodyDiv w:val="1"/>
      <w:marLeft w:val="0"/>
      <w:marRight w:val="0"/>
      <w:marTop w:val="0"/>
      <w:marBottom w:val="0"/>
      <w:divBdr>
        <w:top w:val="none" w:sz="0" w:space="0" w:color="auto"/>
        <w:left w:val="none" w:sz="0" w:space="0" w:color="auto"/>
        <w:bottom w:val="none" w:sz="0" w:space="0" w:color="auto"/>
        <w:right w:val="none" w:sz="0" w:space="0" w:color="auto"/>
      </w:divBdr>
    </w:div>
    <w:div w:id="1418791889">
      <w:bodyDiv w:val="1"/>
      <w:marLeft w:val="0"/>
      <w:marRight w:val="0"/>
      <w:marTop w:val="0"/>
      <w:marBottom w:val="0"/>
      <w:divBdr>
        <w:top w:val="none" w:sz="0" w:space="0" w:color="auto"/>
        <w:left w:val="none" w:sz="0" w:space="0" w:color="auto"/>
        <w:bottom w:val="none" w:sz="0" w:space="0" w:color="auto"/>
        <w:right w:val="none" w:sz="0" w:space="0" w:color="auto"/>
      </w:divBdr>
    </w:div>
    <w:div w:id="1549294240">
      <w:bodyDiv w:val="1"/>
      <w:marLeft w:val="0"/>
      <w:marRight w:val="0"/>
      <w:marTop w:val="0"/>
      <w:marBottom w:val="0"/>
      <w:divBdr>
        <w:top w:val="none" w:sz="0" w:space="0" w:color="auto"/>
        <w:left w:val="none" w:sz="0" w:space="0" w:color="auto"/>
        <w:bottom w:val="none" w:sz="0" w:space="0" w:color="auto"/>
        <w:right w:val="none" w:sz="0" w:space="0" w:color="auto"/>
      </w:divBdr>
    </w:div>
    <w:div w:id="1613439866">
      <w:bodyDiv w:val="1"/>
      <w:marLeft w:val="0"/>
      <w:marRight w:val="0"/>
      <w:marTop w:val="0"/>
      <w:marBottom w:val="0"/>
      <w:divBdr>
        <w:top w:val="none" w:sz="0" w:space="0" w:color="auto"/>
        <w:left w:val="none" w:sz="0" w:space="0" w:color="auto"/>
        <w:bottom w:val="none" w:sz="0" w:space="0" w:color="auto"/>
        <w:right w:val="none" w:sz="0" w:space="0" w:color="auto"/>
      </w:divBdr>
    </w:div>
    <w:div w:id="163972123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18973735">
      <w:bodyDiv w:val="1"/>
      <w:marLeft w:val="0"/>
      <w:marRight w:val="0"/>
      <w:marTop w:val="0"/>
      <w:marBottom w:val="0"/>
      <w:divBdr>
        <w:top w:val="none" w:sz="0" w:space="0" w:color="auto"/>
        <w:left w:val="none" w:sz="0" w:space="0" w:color="auto"/>
        <w:bottom w:val="none" w:sz="0" w:space="0" w:color="auto"/>
        <w:right w:val="none" w:sz="0" w:space="0" w:color="auto"/>
      </w:divBdr>
    </w:div>
    <w:div w:id="2049835016">
      <w:bodyDiv w:val="1"/>
      <w:marLeft w:val="0"/>
      <w:marRight w:val="0"/>
      <w:marTop w:val="0"/>
      <w:marBottom w:val="0"/>
      <w:divBdr>
        <w:top w:val="none" w:sz="0" w:space="0" w:color="auto"/>
        <w:left w:val="none" w:sz="0" w:space="0" w:color="auto"/>
        <w:bottom w:val="none" w:sz="0" w:space="0" w:color="auto"/>
        <w:right w:val="none" w:sz="0" w:space="0" w:color="auto"/>
      </w:divBdr>
    </w:div>
    <w:div w:id="2127917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joomla.corteidh.or.cr:8080/joomla/es/casos-contenciosos/38-jurisprudencia/1910-corte-idh-caso-uzcategui-y-otros-vs-venezuela-fondo-y-reparaciones-sentencia-de-3-de-septiembre-de-2012-serie-c-no-249" TargetMode="External"/><Relationship Id="rId13" Type="http://schemas.openxmlformats.org/officeDocument/2006/relationships/hyperlink" Target="http://www.oas.org/es/cidh/prensa/comunicados/2018/238OPesp.pdf" TargetMode="External"/><Relationship Id="rId3" Type="http://schemas.openxmlformats.org/officeDocument/2006/relationships/hyperlink" Target="http://g1.globo.com/pb/paraiba/noticia/2013/08/assassinato-de-margarida-maria-alves-completa-30-anos-na-pb.html" TargetMode="External"/><Relationship Id="rId7" Type="http://schemas.openxmlformats.org/officeDocument/2006/relationships/hyperlink" Target="http://joomla.corteidh.or.cr:8080/joomla/es/casos-contenciosos/38-jurisprudencia/1572-corte-idh-caso-gonzalez-medina-y-familiares-vs-republica-dominicana-excepciones-preliminares-fondo-reparaciones-y-costas-sentencia-de-27-de-febrero-de-2012-serie-c-no-240" TargetMode="External"/><Relationship Id="rId12"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2" Type="http://schemas.openxmlformats.org/officeDocument/2006/relationships/hyperlink" Target="http://www.brasil.gov.br/cidadania-e-justica/2012/02/margarida-alves" TargetMode="External"/><Relationship Id="rId1" Type="http://schemas.openxmlformats.org/officeDocument/2006/relationships/hyperlink" Target="http://www.cnv.gov.br/outros-destaques/134-comissao-nacional-da-verdade-recebe-membros-de-comissao-camponesa-da-verdade.html" TargetMode="External"/><Relationship Id="rId6" Type="http://schemas.openxmlformats.org/officeDocument/2006/relationships/hyperlink" Target="http://joomla.corteidh.or.cr:8080/joomla/es/casos-contenciosos/38-jurisprudencia/740-corte-idh-caso-almonacid-arellano-y-otros-vs-chile-excepciones-preliminares-fondo-reparaciones-y-costas-sentencia-de-26-de-septiembre-de-2006-serie-c-no-154" TargetMode="External"/><Relationship Id="rId11" Type="http://schemas.openxmlformats.org/officeDocument/2006/relationships/hyperlink" Target="http://joomla.corteidh.or.cr:8080/joomla/es/casos-contenciosos/38-jurisprudencia/2120-corte-idh-caso-j-vs-peru-excepcion-preliminar-fondo-reparaciones-y-costas-sentencia-de-27-de-noviembre-de-2013-serie-c-no-275" TargetMode="External"/><Relationship Id="rId5" Type="http://schemas.openxmlformats.org/officeDocument/2006/relationships/hyperlink" Target="http://joomla.corteidh.or.cr:8080/joomla/es/casos-contenciosos/38-jurisprudencia/698-corte-idh-caso-gomez-palomino-vs-peru-fondo-reparaciones-y-costas-sentencia-de-22-de-noviembre-de-2005-serie-c-no-136" TargetMode="External"/><Relationship Id="rId10" Type="http://schemas.openxmlformats.org/officeDocument/2006/relationships/hyperlink" Target="http://joomla.corteidh.or.cr:8080/joomla/es/casos-contenciosos/38-jurisprudencia/1949-corte-idh-caso-castillo-gonzalez-y-otros-vs-venezuela-fondo-sentencia-de-27-de-noviembre-de-2012-serie-c-no-256" TargetMode="External"/><Relationship Id="rId4" Type="http://schemas.openxmlformats.org/officeDocument/2006/relationships/hyperlink" Target="http://www.camara.gov.br/sileg/integras/1508837.pdf" TargetMode="External"/><Relationship Id="rId9" Type="http://schemas.openxmlformats.org/officeDocument/2006/relationships/hyperlink" Target="http://joomla.corteidh.or.cr:8080/joomla/es/casos-contenciosos/38-jurisprudencia/2108-corte-idh-caso-luna-lopez-vs-honduras-fondo-reparaciones-y-costas-sentencia-de-10-de-octubre-de-2013-serie-c-no-2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5B611-14EC-BD49-9EF3-C7F35E3F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14370</Words>
  <Characters>81915</Characters>
  <Application>Microsoft Office Word</Application>
  <DocSecurity>0</DocSecurity>
  <Lines>682</Lines>
  <Paragraphs>192</Paragraphs>
  <ScaleCrop>false</ScaleCrop>
  <Company/>
  <LinksUpToDate>false</LinksUpToDate>
  <CharactersWithSpaces>96093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2021-04-28T14:24:00Z</dcterms:created>
  <dcterms:modified xsi:type="dcterms:W3CDTF">2021-04-28T14:24:00Z</dcterms:modified>
</cp:coreProperties>
</file>