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10" w:rsidRPr="00D60B51" w:rsidRDefault="00430088" w:rsidP="00ED7621">
      <w:pPr>
        <w:ind w:firstLine="0"/>
        <w:jc w:val="center"/>
        <w:rPr>
          <w:rStyle w:val="None"/>
          <w:b/>
          <w:bCs/>
          <w:lang w:val="fr-FR"/>
        </w:rPr>
      </w:pPr>
      <w:r w:rsidRPr="00D60B51">
        <w:rPr>
          <w:rStyle w:val="None"/>
          <w:b/>
          <w:bCs/>
          <w:lang w:val="fr-FR"/>
        </w:rPr>
        <w:t>COM</w:t>
      </w:r>
      <w:r w:rsidR="006B59F6">
        <w:rPr>
          <w:rStyle w:val="None"/>
          <w:b/>
          <w:bCs/>
          <w:lang w:val="fr-FR"/>
        </w:rPr>
        <w:t>M</w:t>
      </w:r>
      <w:r w:rsidRPr="00D60B51">
        <w:rPr>
          <w:rStyle w:val="None"/>
          <w:b/>
          <w:bCs/>
          <w:lang w:val="fr-FR"/>
        </w:rPr>
        <w:t>IS</w:t>
      </w:r>
      <w:r w:rsidR="006B59F6">
        <w:rPr>
          <w:rStyle w:val="None"/>
          <w:b/>
          <w:bCs/>
          <w:lang w:val="fr-FR"/>
        </w:rPr>
        <w:t>SION INTERAM</w:t>
      </w:r>
      <w:r w:rsidR="006B59F6">
        <w:rPr>
          <w:rStyle w:val="None"/>
          <w:rFonts w:ascii="Times New Roman" w:hAnsi="Times New Roman" w:cs="Times New Roman"/>
          <w:b/>
          <w:bCs/>
          <w:lang w:val="fr-FR"/>
        </w:rPr>
        <w:t>É</w:t>
      </w:r>
      <w:r w:rsidR="006B59F6">
        <w:rPr>
          <w:rStyle w:val="None"/>
          <w:b/>
          <w:bCs/>
          <w:lang w:val="fr-FR"/>
        </w:rPr>
        <w:t>RICAINE</w:t>
      </w:r>
      <w:r w:rsidRPr="00D60B51">
        <w:rPr>
          <w:rStyle w:val="None"/>
          <w:b/>
          <w:bCs/>
          <w:lang w:val="fr-FR"/>
        </w:rPr>
        <w:t xml:space="preserve"> DE</w:t>
      </w:r>
      <w:r w:rsidR="006B59F6">
        <w:rPr>
          <w:rStyle w:val="None"/>
          <w:b/>
          <w:bCs/>
          <w:lang w:val="fr-FR"/>
        </w:rPr>
        <w:t>S</w:t>
      </w:r>
      <w:r w:rsidRPr="00D60B51">
        <w:rPr>
          <w:rStyle w:val="None"/>
          <w:b/>
          <w:bCs/>
          <w:lang w:val="fr-FR"/>
        </w:rPr>
        <w:t xml:space="preserve"> D</w:t>
      </w:r>
      <w:r w:rsidR="006B59F6">
        <w:rPr>
          <w:rStyle w:val="None"/>
          <w:b/>
          <w:bCs/>
          <w:lang w:val="fr-FR"/>
        </w:rPr>
        <w:t>ROITS DE L’HOMME</w:t>
      </w:r>
    </w:p>
    <w:p w:rsidR="00257B10" w:rsidRPr="00D60B51" w:rsidRDefault="006B59F6">
      <w:pPr>
        <w:jc w:val="center"/>
        <w:rPr>
          <w:rStyle w:val="None"/>
          <w:lang w:val="fr-FR"/>
        </w:rPr>
      </w:pPr>
      <w:r>
        <w:rPr>
          <w:rStyle w:val="None"/>
          <w:b/>
          <w:bCs/>
          <w:lang w:val="fr-FR"/>
        </w:rPr>
        <w:t>RÉ</w:t>
      </w:r>
      <w:r w:rsidR="00430088" w:rsidRPr="00D60B51">
        <w:rPr>
          <w:rStyle w:val="None"/>
          <w:b/>
          <w:bCs/>
          <w:lang w:val="fr-FR"/>
        </w:rPr>
        <w:t>SOLU</w:t>
      </w:r>
      <w:r>
        <w:rPr>
          <w:rStyle w:val="None"/>
          <w:b/>
          <w:bCs/>
          <w:lang w:val="fr-FR"/>
        </w:rPr>
        <w:t>TION</w:t>
      </w:r>
      <w:r w:rsidR="00430088" w:rsidRPr="00D60B51">
        <w:rPr>
          <w:rStyle w:val="None"/>
          <w:b/>
          <w:bCs/>
          <w:lang w:val="fr-FR"/>
        </w:rPr>
        <w:t xml:space="preserve"> </w:t>
      </w:r>
      <w:r w:rsidR="00ED7621">
        <w:rPr>
          <w:rStyle w:val="None"/>
          <w:b/>
          <w:bCs/>
          <w:lang w:val="fr-FR"/>
        </w:rPr>
        <w:t>65</w:t>
      </w:r>
      <w:r w:rsidR="00430088" w:rsidRPr="00D60B51">
        <w:rPr>
          <w:rStyle w:val="None"/>
          <w:b/>
          <w:bCs/>
          <w:lang w:val="fr-FR"/>
        </w:rPr>
        <w:t>/2019</w:t>
      </w:r>
    </w:p>
    <w:p w:rsidR="00257B10" w:rsidRPr="00D60B51" w:rsidRDefault="006B59F6">
      <w:pPr>
        <w:jc w:val="center"/>
        <w:rPr>
          <w:rStyle w:val="None"/>
          <w:lang w:val="fr-FR"/>
        </w:rPr>
      </w:pPr>
      <w:r>
        <w:rPr>
          <w:rStyle w:val="None"/>
          <w:lang w:val="fr-FR"/>
        </w:rPr>
        <w:t>Mesures conservatoires n°</w:t>
      </w:r>
      <w:r w:rsidR="00430088" w:rsidRPr="00D60B51">
        <w:rPr>
          <w:rStyle w:val="None"/>
          <w:lang w:val="fr-FR"/>
        </w:rPr>
        <w:t>793-19</w:t>
      </w:r>
    </w:p>
    <w:p w:rsidR="00257B10" w:rsidRPr="00D60B51" w:rsidRDefault="00257B10">
      <w:pPr>
        <w:jc w:val="center"/>
        <w:rPr>
          <w:rStyle w:val="None"/>
          <w:lang w:val="fr-FR"/>
        </w:rPr>
      </w:pPr>
    </w:p>
    <w:p w:rsidR="00257B10" w:rsidRPr="00D60B51" w:rsidRDefault="00430088">
      <w:pPr>
        <w:jc w:val="center"/>
        <w:rPr>
          <w:rStyle w:val="None"/>
          <w:sz w:val="26"/>
          <w:szCs w:val="26"/>
          <w:lang w:val="fr-FR"/>
        </w:rPr>
      </w:pPr>
      <w:r w:rsidRPr="00D60B51">
        <w:rPr>
          <w:rStyle w:val="None"/>
          <w:sz w:val="26"/>
          <w:szCs w:val="26"/>
          <w:lang w:val="fr-FR"/>
        </w:rPr>
        <w:t>Comité de</w:t>
      </w:r>
      <w:r w:rsidR="002A13D9">
        <w:rPr>
          <w:rStyle w:val="None"/>
          <w:sz w:val="26"/>
          <w:szCs w:val="26"/>
          <w:lang w:val="fr-FR"/>
        </w:rPr>
        <w:t>s</w:t>
      </w:r>
      <w:r w:rsidRPr="00D60B51">
        <w:rPr>
          <w:rStyle w:val="None"/>
          <w:sz w:val="26"/>
          <w:szCs w:val="26"/>
          <w:lang w:val="fr-FR"/>
        </w:rPr>
        <w:t xml:space="preserve"> </w:t>
      </w:r>
      <w:r w:rsidR="002A13D9">
        <w:rPr>
          <w:rStyle w:val="None"/>
          <w:sz w:val="26"/>
          <w:szCs w:val="26"/>
          <w:lang w:val="fr-FR"/>
        </w:rPr>
        <w:t>victimes</w:t>
      </w:r>
      <w:r w:rsidRPr="00D60B51">
        <w:rPr>
          <w:rStyle w:val="None"/>
          <w:sz w:val="26"/>
          <w:szCs w:val="26"/>
          <w:lang w:val="fr-FR"/>
        </w:rPr>
        <w:t xml:space="preserve"> de La Saline </w:t>
      </w:r>
      <w:r w:rsidR="004C1D49">
        <w:rPr>
          <w:rStyle w:val="None"/>
          <w:sz w:val="26"/>
          <w:szCs w:val="26"/>
          <w:lang w:val="fr-FR"/>
        </w:rPr>
        <w:t xml:space="preserve">contre </w:t>
      </w:r>
      <w:r w:rsidR="00D21295">
        <w:rPr>
          <w:rStyle w:val="None"/>
          <w:sz w:val="26"/>
          <w:szCs w:val="26"/>
          <w:lang w:val="fr-FR"/>
        </w:rPr>
        <w:t>Haïti</w:t>
      </w:r>
    </w:p>
    <w:p w:rsidR="00257B10" w:rsidRPr="00D60B51" w:rsidRDefault="00ED7621">
      <w:pPr>
        <w:jc w:val="center"/>
        <w:rPr>
          <w:rStyle w:val="None"/>
          <w:lang w:val="fr-FR"/>
        </w:rPr>
      </w:pPr>
      <w:r>
        <w:rPr>
          <w:rStyle w:val="None"/>
          <w:lang w:val="fr-FR"/>
        </w:rPr>
        <w:t>31</w:t>
      </w:r>
      <w:r w:rsidR="003866BE">
        <w:rPr>
          <w:rStyle w:val="None"/>
          <w:lang w:val="fr-FR"/>
        </w:rPr>
        <w:t xml:space="preserve"> décembre </w:t>
      </w:r>
      <w:r w:rsidR="00430088" w:rsidRPr="00D60B51">
        <w:rPr>
          <w:rStyle w:val="None"/>
          <w:lang w:val="fr-FR"/>
        </w:rPr>
        <w:t>2019</w:t>
      </w:r>
    </w:p>
    <w:p w:rsidR="00257B10" w:rsidRPr="00D60B51" w:rsidRDefault="00257B10">
      <w:pPr>
        <w:rPr>
          <w:rStyle w:val="None"/>
          <w:b/>
          <w:bCs/>
          <w:lang w:val="fr-FR"/>
        </w:rPr>
      </w:pPr>
    </w:p>
    <w:p w:rsidR="00257B10" w:rsidRPr="00D60B51" w:rsidRDefault="00430088" w:rsidP="0020020F">
      <w:pPr>
        <w:numPr>
          <w:ilvl w:val="0"/>
          <w:numId w:val="2"/>
        </w:numPr>
        <w:rPr>
          <w:b/>
          <w:bCs/>
          <w:lang w:val="fr-FR"/>
        </w:rPr>
      </w:pPr>
      <w:r w:rsidRPr="00D60B51">
        <w:rPr>
          <w:rStyle w:val="None"/>
          <w:b/>
          <w:bCs/>
          <w:lang w:val="fr-FR"/>
        </w:rPr>
        <w:t>INTRODUC</w:t>
      </w:r>
      <w:r w:rsidR="00CE3E0F">
        <w:rPr>
          <w:rStyle w:val="None"/>
          <w:b/>
          <w:bCs/>
          <w:lang w:val="fr-FR"/>
        </w:rPr>
        <w:t>TIO</w:t>
      </w:r>
      <w:r w:rsidRPr="00D60B51">
        <w:rPr>
          <w:rStyle w:val="None"/>
          <w:b/>
          <w:bCs/>
          <w:lang w:val="fr-FR"/>
        </w:rPr>
        <w:t>N</w:t>
      </w:r>
    </w:p>
    <w:p w:rsidR="00257B10" w:rsidRPr="00D60B51" w:rsidRDefault="00257B10" w:rsidP="0020020F">
      <w:pPr>
        <w:rPr>
          <w:rStyle w:val="None"/>
          <w:lang w:val="fr-FR"/>
        </w:rPr>
      </w:pPr>
    </w:p>
    <w:p w:rsidR="00257B10" w:rsidRPr="00D60B51" w:rsidRDefault="00CE3E0F" w:rsidP="0020020F">
      <w:pPr>
        <w:numPr>
          <w:ilvl w:val="0"/>
          <w:numId w:val="4"/>
        </w:numPr>
        <w:tabs>
          <w:tab w:val="clear" w:pos="720"/>
          <w:tab w:val="num" w:pos="450"/>
        </w:tabs>
        <w:ind w:left="0"/>
        <w:rPr>
          <w:lang w:val="fr-FR"/>
        </w:rPr>
      </w:pPr>
      <w:r>
        <w:rPr>
          <w:rStyle w:val="None"/>
          <w:lang w:val="fr-FR"/>
        </w:rPr>
        <w:t xml:space="preserve">Le </w:t>
      </w:r>
      <w:r w:rsidR="00430088" w:rsidRPr="00D60B51">
        <w:rPr>
          <w:rStyle w:val="None"/>
          <w:lang w:val="fr-FR"/>
        </w:rPr>
        <w:t xml:space="preserve">15 </w:t>
      </w:r>
      <w:r>
        <w:rPr>
          <w:rStyle w:val="None"/>
          <w:lang w:val="fr-FR"/>
        </w:rPr>
        <w:t>août</w:t>
      </w:r>
      <w:r w:rsidR="00430088" w:rsidRPr="00D60B51">
        <w:rPr>
          <w:rStyle w:val="None"/>
          <w:lang w:val="fr-FR"/>
        </w:rPr>
        <w:t xml:space="preserve"> 2019, la Com</w:t>
      </w:r>
      <w:r>
        <w:rPr>
          <w:rStyle w:val="None"/>
          <w:lang w:val="fr-FR"/>
        </w:rPr>
        <w:t xml:space="preserve">mission interaméricaine des droits de l’Homme </w:t>
      </w:r>
      <w:r w:rsidR="00430088" w:rsidRPr="00D60B51">
        <w:rPr>
          <w:rStyle w:val="None"/>
          <w:lang w:val="fr-FR"/>
        </w:rPr>
        <w:t>(</w:t>
      </w:r>
      <w:r>
        <w:rPr>
          <w:rStyle w:val="None"/>
          <w:lang w:val="fr-FR"/>
        </w:rPr>
        <w:t>ci-après « </w:t>
      </w:r>
      <w:r w:rsidR="00430088" w:rsidRPr="00D60B51">
        <w:rPr>
          <w:rStyle w:val="None"/>
          <w:lang w:val="fr-FR"/>
        </w:rPr>
        <w:t>la Com</w:t>
      </w:r>
      <w:r>
        <w:rPr>
          <w:rStyle w:val="None"/>
          <w:lang w:val="fr-FR"/>
        </w:rPr>
        <w:t>mission interaméricaine », « la Commission » ou « la CIDH »</w:t>
      </w:r>
      <w:r w:rsidR="00430088" w:rsidRPr="00D60B51">
        <w:rPr>
          <w:rStyle w:val="None"/>
          <w:lang w:val="fr-FR"/>
        </w:rPr>
        <w:t xml:space="preserve">) </w:t>
      </w:r>
      <w:r w:rsidR="00477494">
        <w:rPr>
          <w:rStyle w:val="None"/>
          <w:lang w:val="fr-FR"/>
        </w:rPr>
        <w:t>a reçu une demande de mesures conservatoires présentée par M. </w:t>
      </w:r>
      <w:r w:rsidR="00430088" w:rsidRPr="00D60B51">
        <w:rPr>
          <w:rStyle w:val="None"/>
          <w:lang w:val="fr-FR"/>
        </w:rPr>
        <w:t xml:space="preserve">Jacques </w:t>
      </w:r>
      <w:proofErr w:type="spellStart"/>
      <w:r w:rsidR="00430088" w:rsidRPr="00D60B51">
        <w:rPr>
          <w:rStyle w:val="None"/>
          <w:lang w:val="fr-FR"/>
        </w:rPr>
        <w:t>Letang</w:t>
      </w:r>
      <w:proofErr w:type="spellEnd"/>
      <w:r w:rsidR="00430088" w:rsidRPr="00D60B51">
        <w:rPr>
          <w:rStyle w:val="None"/>
          <w:lang w:val="fr-FR"/>
        </w:rPr>
        <w:t xml:space="preserve"> </w:t>
      </w:r>
      <w:r w:rsidR="00477494">
        <w:rPr>
          <w:rStyle w:val="None"/>
          <w:lang w:val="fr-FR"/>
        </w:rPr>
        <w:t>et</w:t>
      </w:r>
      <w:r w:rsidR="00430088" w:rsidRPr="00D60B51">
        <w:rPr>
          <w:rStyle w:val="None"/>
          <w:lang w:val="fr-FR"/>
        </w:rPr>
        <w:t xml:space="preserve"> </w:t>
      </w:r>
      <w:r w:rsidR="007363EA">
        <w:rPr>
          <w:rStyle w:val="None"/>
          <w:lang w:val="fr-FR"/>
        </w:rPr>
        <w:t>un autre avocat</w:t>
      </w:r>
      <w:r w:rsidR="00477494">
        <w:rPr>
          <w:rStyle w:val="None"/>
          <w:lang w:val="fr-FR"/>
        </w:rPr>
        <w:t xml:space="preserve"> du </w:t>
      </w:r>
      <w:r w:rsidR="00430088" w:rsidRPr="00D60B51">
        <w:rPr>
          <w:rStyle w:val="None"/>
          <w:i/>
          <w:iCs/>
          <w:lang w:val="fr-FR"/>
        </w:rPr>
        <w:t xml:space="preserve">Bureau des </w:t>
      </w:r>
      <w:r w:rsidR="00477494">
        <w:rPr>
          <w:rStyle w:val="None"/>
          <w:i/>
          <w:iCs/>
          <w:lang w:val="fr-FR"/>
        </w:rPr>
        <w:t>d</w:t>
      </w:r>
      <w:r w:rsidR="00430088" w:rsidRPr="00D60B51">
        <w:rPr>
          <w:rStyle w:val="None"/>
          <w:i/>
          <w:iCs/>
          <w:lang w:val="fr-FR"/>
        </w:rPr>
        <w:t xml:space="preserve">roits </w:t>
      </w:r>
      <w:r w:rsidR="00477494">
        <w:rPr>
          <w:rStyle w:val="None"/>
          <w:i/>
          <w:iCs/>
          <w:lang w:val="fr-FR"/>
        </w:rPr>
        <w:t>h</w:t>
      </w:r>
      <w:r w:rsidR="00430088" w:rsidRPr="00D60B51">
        <w:rPr>
          <w:rStyle w:val="None"/>
          <w:i/>
          <w:iCs/>
          <w:lang w:val="fr-FR"/>
        </w:rPr>
        <w:t>umains en Haïti</w:t>
      </w:r>
      <w:r w:rsidR="00477494">
        <w:rPr>
          <w:rStyle w:val="None"/>
          <w:lang w:val="fr-FR"/>
        </w:rPr>
        <w:t xml:space="preserve"> (BDHH)</w:t>
      </w:r>
      <w:r w:rsidR="00430088" w:rsidRPr="00D60B51">
        <w:rPr>
          <w:rStyle w:val="None"/>
          <w:lang w:val="fr-FR"/>
        </w:rPr>
        <w:t xml:space="preserve">, </w:t>
      </w:r>
      <w:r w:rsidR="00477494">
        <w:rPr>
          <w:rStyle w:val="None"/>
          <w:lang w:val="fr-FR"/>
        </w:rPr>
        <w:t xml:space="preserve">M. </w:t>
      </w:r>
      <w:r w:rsidR="00430088" w:rsidRPr="00D60B51">
        <w:rPr>
          <w:rStyle w:val="None"/>
          <w:lang w:val="fr-FR"/>
        </w:rPr>
        <w:t>Jean-François</w:t>
      </w:r>
      <w:r w:rsidR="00477494">
        <w:rPr>
          <w:rStyle w:val="None"/>
          <w:lang w:val="fr-FR"/>
        </w:rPr>
        <w:t xml:space="preserve"> </w:t>
      </w:r>
      <w:proofErr w:type="spellStart"/>
      <w:r w:rsidR="00477494" w:rsidRPr="00D60B51">
        <w:rPr>
          <w:rStyle w:val="None"/>
          <w:lang w:val="fr-FR"/>
        </w:rPr>
        <w:t>Sonel</w:t>
      </w:r>
      <w:proofErr w:type="spellEnd"/>
      <w:r w:rsidR="00477494">
        <w:rPr>
          <w:rStyle w:val="None"/>
          <w:lang w:val="fr-FR"/>
        </w:rPr>
        <w:t xml:space="preserve"> du </w:t>
      </w:r>
      <w:r w:rsidR="00430088" w:rsidRPr="00D60B51">
        <w:rPr>
          <w:rStyle w:val="None"/>
          <w:i/>
          <w:iCs/>
          <w:lang w:val="fr-FR"/>
        </w:rPr>
        <w:t>Cabinet Jean-François &amp; Associés</w:t>
      </w:r>
      <w:r w:rsidR="00D03A0B">
        <w:rPr>
          <w:rStyle w:val="None"/>
          <w:lang w:val="fr-FR"/>
        </w:rPr>
        <w:t xml:space="preserve"> et </w:t>
      </w:r>
      <w:r w:rsidR="00477494">
        <w:rPr>
          <w:rStyle w:val="None"/>
          <w:lang w:val="fr-FR"/>
        </w:rPr>
        <w:t>M. </w:t>
      </w:r>
      <w:proofErr w:type="spellStart"/>
      <w:r w:rsidR="00477494">
        <w:rPr>
          <w:rStyle w:val="None"/>
          <w:lang w:val="fr-FR"/>
        </w:rPr>
        <w:t>Jaccéus</w:t>
      </w:r>
      <w:proofErr w:type="spellEnd"/>
      <w:r w:rsidR="00477494">
        <w:rPr>
          <w:rStyle w:val="None"/>
          <w:lang w:val="fr-FR"/>
        </w:rPr>
        <w:t xml:space="preserve"> Joseph du </w:t>
      </w:r>
      <w:r w:rsidR="00430088" w:rsidRPr="00D60B51">
        <w:rPr>
          <w:rStyle w:val="None"/>
          <w:i/>
          <w:iCs/>
          <w:lang w:val="fr-FR"/>
        </w:rPr>
        <w:t xml:space="preserve">Bureau des </w:t>
      </w:r>
      <w:r w:rsidR="00477494">
        <w:rPr>
          <w:rStyle w:val="None"/>
          <w:i/>
          <w:iCs/>
          <w:lang w:val="fr-FR"/>
        </w:rPr>
        <w:t>o</w:t>
      </w:r>
      <w:r w:rsidR="00430088" w:rsidRPr="00D60B51">
        <w:rPr>
          <w:rStyle w:val="None"/>
          <w:i/>
          <w:iCs/>
          <w:lang w:val="fr-FR"/>
        </w:rPr>
        <w:t xml:space="preserve">rganisations de </w:t>
      </w:r>
      <w:r w:rsidR="00477494">
        <w:rPr>
          <w:rStyle w:val="None"/>
          <w:i/>
          <w:iCs/>
          <w:lang w:val="fr-FR"/>
        </w:rPr>
        <w:t>d</w:t>
      </w:r>
      <w:r w:rsidR="00430088" w:rsidRPr="00D60B51">
        <w:rPr>
          <w:rStyle w:val="None"/>
          <w:i/>
          <w:iCs/>
          <w:lang w:val="fr-FR"/>
        </w:rPr>
        <w:t xml:space="preserve">éfense des </w:t>
      </w:r>
      <w:r w:rsidR="00477494">
        <w:rPr>
          <w:rStyle w:val="None"/>
          <w:i/>
          <w:iCs/>
          <w:lang w:val="fr-FR"/>
        </w:rPr>
        <w:t>d</w:t>
      </w:r>
      <w:r w:rsidR="00430088" w:rsidRPr="00D60B51">
        <w:rPr>
          <w:rStyle w:val="None"/>
          <w:i/>
          <w:iCs/>
          <w:lang w:val="fr-FR"/>
        </w:rPr>
        <w:t xml:space="preserve">roits </w:t>
      </w:r>
      <w:r w:rsidR="00477494">
        <w:rPr>
          <w:rStyle w:val="None"/>
          <w:i/>
          <w:iCs/>
          <w:lang w:val="fr-FR"/>
        </w:rPr>
        <w:t>h</w:t>
      </w:r>
      <w:r w:rsidR="00430088" w:rsidRPr="00D60B51">
        <w:rPr>
          <w:rStyle w:val="None"/>
          <w:i/>
          <w:iCs/>
          <w:lang w:val="fr-FR"/>
        </w:rPr>
        <w:t>umains</w:t>
      </w:r>
      <w:r w:rsidR="00477494">
        <w:rPr>
          <w:rStyle w:val="None"/>
          <w:lang w:val="fr-FR"/>
        </w:rPr>
        <w:t xml:space="preserve"> </w:t>
      </w:r>
      <w:r w:rsidR="00430088" w:rsidRPr="00D60B51">
        <w:rPr>
          <w:rStyle w:val="None"/>
          <w:lang w:val="fr-FR"/>
        </w:rPr>
        <w:t>(</w:t>
      </w:r>
      <w:r w:rsidR="00477494">
        <w:rPr>
          <w:rStyle w:val="None"/>
          <w:lang w:val="fr-FR"/>
        </w:rPr>
        <w:t>ci-après, les « demandeurs »</w:t>
      </w:r>
      <w:r w:rsidR="00430088" w:rsidRPr="00D60B51">
        <w:rPr>
          <w:rStyle w:val="None"/>
          <w:lang w:val="fr-FR"/>
        </w:rPr>
        <w:t xml:space="preserve">), </w:t>
      </w:r>
      <w:r w:rsidR="00D03A0B">
        <w:rPr>
          <w:rStyle w:val="None"/>
          <w:lang w:val="fr-FR"/>
        </w:rPr>
        <w:t xml:space="preserve">la priant instamment </w:t>
      </w:r>
      <w:r w:rsidR="00C86022">
        <w:rPr>
          <w:rStyle w:val="None"/>
          <w:lang w:val="fr-FR"/>
        </w:rPr>
        <w:t xml:space="preserve">de protéger les droits des membres du Comité des victimes </w:t>
      </w:r>
      <w:r w:rsidR="00430088" w:rsidRPr="00D60B51">
        <w:rPr>
          <w:rStyle w:val="None"/>
          <w:lang w:val="fr-FR"/>
        </w:rPr>
        <w:t xml:space="preserve">de La Saline </w:t>
      </w:r>
      <w:r w:rsidR="00C86022">
        <w:rPr>
          <w:rStyle w:val="None"/>
          <w:lang w:val="fr-FR"/>
        </w:rPr>
        <w:t>et des habitants de ce quartier</w:t>
      </w:r>
      <w:r w:rsidR="00430088" w:rsidRPr="00D60B51">
        <w:rPr>
          <w:rStyle w:val="None"/>
          <w:lang w:val="fr-FR"/>
        </w:rPr>
        <w:t xml:space="preserve"> </w:t>
      </w:r>
      <w:r w:rsidR="00C86022">
        <w:rPr>
          <w:rStyle w:val="None"/>
          <w:lang w:val="fr-FR"/>
        </w:rPr>
        <w:t>situé dans la capitale haïtienne, Port-au-Prince</w:t>
      </w:r>
      <w:r w:rsidR="00510823">
        <w:rPr>
          <w:rStyle w:val="None"/>
          <w:lang w:val="fr-FR"/>
        </w:rPr>
        <w:t>.</w:t>
      </w:r>
    </w:p>
    <w:p w:rsidR="00257B10" w:rsidRPr="00D60B51" w:rsidRDefault="00257B10" w:rsidP="0020020F">
      <w:pPr>
        <w:tabs>
          <w:tab w:val="num" w:pos="450"/>
        </w:tabs>
        <w:ind w:firstLine="0"/>
        <w:rPr>
          <w:rStyle w:val="None"/>
          <w:lang w:val="fr-FR"/>
        </w:rPr>
      </w:pPr>
    </w:p>
    <w:p w:rsidR="00257B10" w:rsidRPr="00D60B51" w:rsidRDefault="003E2155" w:rsidP="0020020F">
      <w:pPr>
        <w:numPr>
          <w:ilvl w:val="0"/>
          <w:numId w:val="4"/>
        </w:numPr>
        <w:tabs>
          <w:tab w:val="clear" w:pos="720"/>
          <w:tab w:val="num" w:pos="450"/>
        </w:tabs>
        <w:ind w:left="0"/>
        <w:rPr>
          <w:lang w:val="fr-FR"/>
        </w:rPr>
      </w:pPr>
      <w:r>
        <w:rPr>
          <w:rStyle w:val="None"/>
          <w:lang w:val="fr-FR"/>
        </w:rPr>
        <w:t xml:space="preserve">Le </w:t>
      </w:r>
      <w:r w:rsidR="00430088" w:rsidRPr="00D60B51">
        <w:rPr>
          <w:rStyle w:val="None"/>
          <w:lang w:val="fr-FR"/>
        </w:rPr>
        <w:t xml:space="preserve">23 </w:t>
      </w:r>
      <w:r>
        <w:rPr>
          <w:rStyle w:val="None"/>
          <w:lang w:val="fr-FR"/>
        </w:rPr>
        <w:t>août</w:t>
      </w:r>
      <w:r w:rsidR="00430088" w:rsidRPr="00D60B51">
        <w:rPr>
          <w:rStyle w:val="None"/>
          <w:lang w:val="fr-FR"/>
        </w:rPr>
        <w:t xml:space="preserve"> 2019, la </w:t>
      </w:r>
      <w:r w:rsidRPr="00D60B51">
        <w:rPr>
          <w:rStyle w:val="None"/>
          <w:lang w:val="fr-FR"/>
        </w:rPr>
        <w:t>Com</w:t>
      </w:r>
      <w:r>
        <w:rPr>
          <w:rStyle w:val="None"/>
          <w:lang w:val="fr-FR"/>
        </w:rPr>
        <w:t>mission</w:t>
      </w:r>
      <w:r w:rsidR="00430088" w:rsidRPr="00D60B51">
        <w:rPr>
          <w:rStyle w:val="None"/>
          <w:lang w:val="fr-FR"/>
        </w:rPr>
        <w:t xml:space="preserve"> </w:t>
      </w:r>
      <w:r w:rsidR="00F06582">
        <w:rPr>
          <w:rStyle w:val="None"/>
          <w:lang w:val="fr-FR"/>
        </w:rPr>
        <w:t>a adressé une demande d’informations aux deux parties, en leur accordant un délai de réponse de dix jours conformément à l’article 25 du Règlement. Le</w:t>
      </w:r>
      <w:r w:rsidR="00430088" w:rsidRPr="00D60B51">
        <w:rPr>
          <w:rStyle w:val="None"/>
          <w:lang w:val="fr-FR"/>
        </w:rPr>
        <w:t xml:space="preserve">s </w:t>
      </w:r>
      <w:r w:rsidR="00F06582">
        <w:rPr>
          <w:rStyle w:val="None"/>
          <w:lang w:val="fr-FR"/>
        </w:rPr>
        <w:t xml:space="preserve">demandeurs ont répondu les </w:t>
      </w:r>
      <w:r w:rsidR="00430088" w:rsidRPr="00D60B51">
        <w:rPr>
          <w:rStyle w:val="None"/>
          <w:lang w:val="fr-FR"/>
        </w:rPr>
        <w:t xml:space="preserve">3 </w:t>
      </w:r>
      <w:r w:rsidR="00F06582">
        <w:rPr>
          <w:rStyle w:val="None"/>
          <w:lang w:val="fr-FR"/>
        </w:rPr>
        <w:t>et 20 sept</w:t>
      </w:r>
      <w:r w:rsidR="00430088" w:rsidRPr="00D60B51">
        <w:rPr>
          <w:rStyle w:val="None"/>
          <w:lang w:val="fr-FR"/>
        </w:rPr>
        <w:t xml:space="preserve">embre </w:t>
      </w:r>
      <w:r w:rsidR="00F06582">
        <w:rPr>
          <w:rStyle w:val="None"/>
          <w:lang w:val="fr-FR"/>
        </w:rPr>
        <w:t>et le</w:t>
      </w:r>
      <w:r w:rsidR="00430088" w:rsidRPr="00D60B51">
        <w:rPr>
          <w:rStyle w:val="None"/>
          <w:lang w:val="fr-FR"/>
        </w:rPr>
        <w:t xml:space="preserve"> 22 </w:t>
      </w:r>
      <w:r w:rsidR="00F06582">
        <w:rPr>
          <w:rStyle w:val="None"/>
          <w:lang w:val="fr-FR"/>
        </w:rPr>
        <w:t>octobre </w:t>
      </w:r>
      <w:r w:rsidR="00430088" w:rsidRPr="00D60B51">
        <w:rPr>
          <w:rStyle w:val="None"/>
          <w:lang w:val="fr-FR"/>
        </w:rPr>
        <w:t xml:space="preserve">; </w:t>
      </w:r>
      <w:r w:rsidR="00F06582">
        <w:rPr>
          <w:rStyle w:val="None"/>
          <w:lang w:val="fr-FR"/>
        </w:rPr>
        <w:t>à ce jour, la Commission n’a reçu aucune réponse de la part de l’État ha</w:t>
      </w:r>
      <w:r w:rsidR="00D03A0B">
        <w:rPr>
          <w:rStyle w:val="None"/>
          <w:lang w:val="fr-FR"/>
        </w:rPr>
        <w:t xml:space="preserve">ïtien malgré la réitération de </w:t>
      </w:r>
      <w:r w:rsidR="00E0084F">
        <w:rPr>
          <w:rStyle w:val="None"/>
          <w:lang w:val="fr-FR"/>
        </w:rPr>
        <w:t>l</w:t>
      </w:r>
      <w:r w:rsidR="00F06582">
        <w:rPr>
          <w:rStyle w:val="None"/>
          <w:lang w:val="fr-FR"/>
        </w:rPr>
        <w:t>a demande les 16 septembre et 16 décembre</w:t>
      </w:r>
      <w:r w:rsidR="00430088" w:rsidRPr="00D60B51">
        <w:rPr>
          <w:rStyle w:val="None"/>
          <w:lang w:val="fr-FR"/>
        </w:rPr>
        <w:t xml:space="preserve">. </w:t>
      </w:r>
    </w:p>
    <w:p w:rsidR="00257B10" w:rsidRPr="00D60B51" w:rsidRDefault="00257B10" w:rsidP="0020020F">
      <w:pPr>
        <w:tabs>
          <w:tab w:val="num" w:pos="450"/>
        </w:tabs>
        <w:rPr>
          <w:rStyle w:val="None"/>
          <w:lang w:val="fr-FR"/>
        </w:rPr>
      </w:pPr>
    </w:p>
    <w:p w:rsidR="00257B10" w:rsidRPr="00D60B51" w:rsidRDefault="00D617DB" w:rsidP="0020020F">
      <w:pPr>
        <w:numPr>
          <w:ilvl w:val="0"/>
          <w:numId w:val="4"/>
        </w:numPr>
        <w:tabs>
          <w:tab w:val="clear" w:pos="720"/>
          <w:tab w:val="num" w:pos="450"/>
        </w:tabs>
        <w:ind w:left="0"/>
        <w:rPr>
          <w:lang w:val="fr-FR"/>
        </w:rPr>
      </w:pPr>
      <w:r>
        <w:rPr>
          <w:rStyle w:val="None"/>
          <w:lang w:val="fr-FR"/>
        </w:rPr>
        <w:t>L</w:t>
      </w:r>
      <w:r w:rsidR="00B64E60">
        <w:rPr>
          <w:rStyle w:val="None"/>
          <w:lang w:val="fr-FR"/>
        </w:rPr>
        <w:t>a semaine du</w:t>
      </w:r>
      <w:r w:rsidR="00430088" w:rsidRPr="00D60B51">
        <w:rPr>
          <w:rStyle w:val="None"/>
          <w:lang w:val="fr-FR"/>
        </w:rPr>
        <w:t xml:space="preserve"> 16 </w:t>
      </w:r>
      <w:r w:rsidR="00B64E60">
        <w:rPr>
          <w:rStyle w:val="None"/>
          <w:lang w:val="fr-FR"/>
        </w:rPr>
        <w:t>au</w:t>
      </w:r>
      <w:r w:rsidR="00430088" w:rsidRPr="00D60B51">
        <w:rPr>
          <w:rStyle w:val="None"/>
          <w:lang w:val="fr-FR"/>
        </w:rPr>
        <w:t xml:space="preserve"> 21 </w:t>
      </w:r>
      <w:r w:rsidR="00B64E60">
        <w:rPr>
          <w:rStyle w:val="None"/>
          <w:lang w:val="fr-FR"/>
        </w:rPr>
        <w:t xml:space="preserve">décembre </w:t>
      </w:r>
      <w:r w:rsidR="00430088" w:rsidRPr="00D60B51">
        <w:rPr>
          <w:rStyle w:val="None"/>
          <w:lang w:val="fr-FR"/>
        </w:rPr>
        <w:t xml:space="preserve">2019, la </w:t>
      </w:r>
      <w:r w:rsidR="00F06582" w:rsidRPr="00D60B51">
        <w:rPr>
          <w:rStyle w:val="None"/>
          <w:lang w:val="fr-FR"/>
        </w:rPr>
        <w:t>Com</w:t>
      </w:r>
      <w:r w:rsidR="00F06582">
        <w:rPr>
          <w:rStyle w:val="None"/>
          <w:lang w:val="fr-FR"/>
        </w:rPr>
        <w:t>mission</w:t>
      </w:r>
      <w:r w:rsidR="00430088" w:rsidRPr="00D60B51">
        <w:rPr>
          <w:rStyle w:val="None"/>
          <w:lang w:val="fr-FR"/>
        </w:rPr>
        <w:t xml:space="preserve"> </w:t>
      </w:r>
      <w:r w:rsidR="00B64E60">
        <w:rPr>
          <w:rStyle w:val="None"/>
          <w:lang w:val="fr-FR"/>
        </w:rPr>
        <w:t xml:space="preserve">a réalisé une visite </w:t>
      </w:r>
      <w:r w:rsidR="00430088" w:rsidRPr="00D60B51">
        <w:rPr>
          <w:rStyle w:val="None"/>
          <w:i/>
          <w:iCs/>
          <w:lang w:val="fr-FR"/>
        </w:rPr>
        <w:t>in loco</w:t>
      </w:r>
      <w:r w:rsidR="00430088" w:rsidRPr="00D60B51">
        <w:rPr>
          <w:rStyle w:val="None"/>
          <w:lang w:val="fr-FR"/>
        </w:rPr>
        <w:t xml:space="preserve"> en </w:t>
      </w:r>
      <w:r w:rsidR="00B64E60">
        <w:rPr>
          <w:rStyle w:val="None"/>
          <w:lang w:val="fr-FR"/>
        </w:rPr>
        <w:t>Haï</w:t>
      </w:r>
      <w:r w:rsidR="00430088" w:rsidRPr="00D60B51">
        <w:rPr>
          <w:rStyle w:val="None"/>
          <w:lang w:val="fr-FR"/>
        </w:rPr>
        <w:t>t</w:t>
      </w:r>
      <w:r w:rsidR="00B64E60">
        <w:rPr>
          <w:rStyle w:val="None"/>
          <w:lang w:val="fr-FR"/>
        </w:rPr>
        <w:t xml:space="preserve">i, durant laquelle elle a eu l’occasion de rencontrer </w:t>
      </w:r>
      <w:r>
        <w:rPr>
          <w:rStyle w:val="None"/>
          <w:lang w:val="fr-FR"/>
        </w:rPr>
        <w:t>plusieurs</w:t>
      </w:r>
      <w:r w:rsidR="00B64E60">
        <w:rPr>
          <w:rStyle w:val="None"/>
          <w:lang w:val="fr-FR"/>
        </w:rPr>
        <w:t xml:space="preserve"> organisations non gouvernementales, les victimes présumées de violations des droits humains ainsi que les autorités de l’État. </w:t>
      </w:r>
      <w:r>
        <w:rPr>
          <w:rStyle w:val="None"/>
          <w:lang w:val="fr-FR"/>
        </w:rPr>
        <w:t xml:space="preserve">La délégation a écouté divers témoignages, notamment d’habitants du quartier </w:t>
      </w:r>
      <w:r w:rsidR="00430088" w:rsidRPr="00D60B51">
        <w:rPr>
          <w:rStyle w:val="None"/>
          <w:i/>
          <w:iCs/>
          <w:lang w:val="fr-FR"/>
        </w:rPr>
        <w:t>La Saline</w:t>
      </w:r>
      <w:r>
        <w:rPr>
          <w:rStyle w:val="None"/>
          <w:lang w:val="fr-FR"/>
        </w:rPr>
        <w:t xml:space="preserve"> qui ont été victimes des acte</w:t>
      </w:r>
      <w:r w:rsidR="005846E3">
        <w:rPr>
          <w:rStyle w:val="None"/>
          <w:lang w:val="fr-FR"/>
        </w:rPr>
        <w:t>s de viole</w:t>
      </w:r>
      <w:r>
        <w:rPr>
          <w:rStyle w:val="None"/>
          <w:lang w:val="fr-FR"/>
        </w:rPr>
        <w:t xml:space="preserve">nce décrits dans la </w:t>
      </w:r>
      <w:r w:rsidR="00E0084F">
        <w:rPr>
          <w:rStyle w:val="None"/>
          <w:lang w:val="fr-FR"/>
        </w:rPr>
        <w:t xml:space="preserve">présente </w:t>
      </w:r>
      <w:r>
        <w:rPr>
          <w:rStyle w:val="None"/>
          <w:lang w:val="fr-FR"/>
        </w:rPr>
        <w:t>demande de mesures conservatoires</w:t>
      </w:r>
      <w:r w:rsidR="00430088" w:rsidRPr="00D60B51">
        <w:rPr>
          <w:rStyle w:val="None"/>
          <w:lang w:val="fr-FR"/>
        </w:rPr>
        <w:t xml:space="preserve">. </w:t>
      </w:r>
    </w:p>
    <w:p w:rsidR="00257B10" w:rsidRPr="00D60B51" w:rsidRDefault="00430088" w:rsidP="0020020F">
      <w:pPr>
        <w:tabs>
          <w:tab w:val="num" w:pos="450"/>
        </w:tabs>
        <w:rPr>
          <w:rStyle w:val="None"/>
          <w:lang w:val="fr-FR"/>
        </w:rPr>
      </w:pPr>
      <w:r w:rsidRPr="00D60B51">
        <w:rPr>
          <w:rStyle w:val="None"/>
          <w:lang w:val="fr-FR"/>
        </w:rPr>
        <w:t xml:space="preserve"> </w:t>
      </w:r>
    </w:p>
    <w:p w:rsidR="00257B10" w:rsidRPr="00E0084F" w:rsidRDefault="005D1696" w:rsidP="0020020F">
      <w:pPr>
        <w:numPr>
          <w:ilvl w:val="0"/>
          <w:numId w:val="4"/>
        </w:numPr>
        <w:tabs>
          <w:tab w:val="clear" w:pos="720"/>
          <w:tab w:val="num" w:pos="450"/>
        </w:tabs>
        <w:ind w:left="0"/>
        <w:rPr>
          <w:lang w:val="fr-FR"/>
        </w:rPr>
      </w:pPr>
      <w:r>
        <w:rPr>
          <w:rStyle w:val="None"/>
          <w:lang w:val="fr-FR"/>
        </w:rPr>
        <w:t>Après avoir examiné les allégations de fait et de droit avancées par les demandeurs</w:t>
      </w:r>
      <w:r w:rsidR="00430088" w:rsidRPr="00D60B51">
        <w:rPr>
          <w:rStyle w:val="None"/>
          <w:lang w:val="fr-FR"/>
        </w:rPr>
        <w:t xml:space="preserve">, </w:t>
      </w:r>
      <w:r w:rsidR="00430088" w:rsidRPr="00E0084F">
        <w:rPr>
          <w:rStyle w:val="None"/>
          <w:lang w:val="fr-FR"/>
        </w:rPr>
        <w:t xml:space="preserve">la </w:t>
      </w:r>
      <w:r w:rsidR="00F06582" w:rsidRPr="00E0084F">
        <w:rPr>
          <w:rStyle w:val="None"/>
          <w:lang w:val="fr-FR"/>
        </w:rPr>
        <w:t>Commission</w:t>
      </w:r>
      <w:r w:rsidR="00175442" w:rsidRPr="00E0084F">
        <w:rPr>
          <w:rStyle w:val="None"/>
          <w:lang w:val="fr-FR"/>
        </w:rPr>
        <w:t xml:space="preserve"> </w:t>
      </w:r>
      <w:proofErr w:type="gramStart"/>
      <w:r w:rsidR="00175442" w:rsidRPr="00E0084F">
        <w:rPr>
          <w:rStyle w:val="None"/>
          <w:lang w:val="fr-FR"/>
        </w:rPr>
        <w:t>estime</w:t>
      </w:r>
      <w:proofErr w:type="gramEnd"/>
      <w:r w:rsidR="00430088" w:rsidRPr="00E0084F">
        <w:rPr>
          <w:rStyle w:val="None"/>
          <w:lang w:val="fr-FR"/>
        </w:rPr>
        <w:t xml:space="preserve">, </w:t>
      </w:r>
      <w:r w:rsidR="00D513EA" w:rsidRPr="00E0084F">
        <w:rPr>
          <w:rStyle w:val="None"/>
          <w:lang w:val="fr-FR"/>
        </w:rPr>
        <w:t>au vu du</w:t>
      </w:r>
      <w:r w:rsidR="00E25E02" w:rsidRPr="00E0084F">
        <w:rPr>
          <w:rStyle w:val="None"/>
          <w:lang w:val="fr-FR"/>
        </w:rPr>
        <w:t xml:space="preserve"> principe</w:t>
      </w:r>
      <w:r w:rsidR="00430088" w:rsidRPr="00E0084F">
        <w:rPr>
          <w:rStyle w:val="None"/>
          <w:lang w:val="fr-FR"/>
        </w:rPr>
        <w:t xml:space="preserve"> </w:t>
      </w:r>
      <w:r w:rsidR="00430088" w:rsidRPr="00E0084F">
        <w:rPr>
          <w:rStyle w:val="None"/>
          <w:i/>
          <w:iCs/>
          <w:lang w:val="fr-FR"/>
        </w:rPr>
        <w:t xml:space="preserve">prima </w:t>
      </w:r>
      <w:proofErr w:type="spellStart"/>
      <w:r w:rsidR="00430088" w:rsidRPr="00E0084F">
        <w:rPr>
          <w:rStyle w:val="None"/>
          <w:i/>
          <w:iCs/>
          <w:lang w:val="fr-FR"/>
        </w:rPr>
        <w:t>facie</w:t>
      </w:r>
      <w:proofErr w:type="spellEnd"/>
      <w:r w:rsidR="00430088" w:rsidRPr="00E0084F">
        <w:rPr>
          <w:rStyle w:val="None"/>
          <w:i/>
          <w:iCs/>
          <w:lang w:val="fr-FR"/>
        </w:rPr>
        <w:t xml:space="preserve"> </w:t>
      </w:r>
      <w:r w:rsidR="00430088" w:rsidRPr="00E0084F">
        <w:rPr>
          <w:rStyle w:val="None"/>
          <w:lang w:val="fr-FR"/>
        </w:rPr>
        <w:t>ap</w:t>
      </w:r>
      <w:r w:rsidR="00E25E02" w:rsidRPr="00E0084F">
        <w:rPr>
          <w:rStyle w:val="None"/>
          <w:lang w:val="fr-FR"/>
        </w:rPr>
        <w:t>p</w:t>
      </w:r>
      <w:r w:rsidR="00430088" w:rsidRPr="00E0084F">
        <w:rPr>
          <w:rStyle w:val="None"/>
          <w:lang w:val="fr-FR"/>
        </w:rPr>
        <w:t>licable, que l</w:t>
      </w:r>
      <w:r w:rsidR="00175442" w:rsidRPr="00E0084F">
        <w:rPr>
          <w:rStyle w:val="None"/>
          <w:lang w:val="fr-FR"/>
        </w:rPr>
        <w:t xml:space="preserve">es membres du </w:t>
      </w:r>
      <w:r w:rsidR="00430088" w:rsidRPr="00E0084F">
        <w:rPr>
          <w:rStyle w:val="None"/>
          <w:lang w:val="fr-FR"/>
        </w:rPr>
        <w:t xml:space="preserve">Comité </w:t>
      </w:r>
      <w:r w:rsidR="00175442" w:rsidRPr="00E0084F">
        <w:rPr>
          <w:rStyle w:val="None"/>
          <w:lang w:val="fr-FR"/>
        </w:rPr>
        <w:t>des victimes de</w:t>
      </w:r>
      <w:r w:rsidR="00430088" w:rsidRPr="00D60B51">
        <w:rPr>
          <w:rStyle w:val="None"/>
          <w:lang w:val="fr-FR"/>
        </w:rPr>
        <w:t xml:space="preserve"> La Saline </w:t>
      </w:r>
      <w:r w:rsidR="00175442">
        <w:rPr>
          <w:rStyle w:val="None"/>
          <w:lang w:val="fr-FR"/>
        </w:rPr>
        <w:t xml:space="preserve">se trouvent dans une situation de gravité et d’urgence </w:t>
      </w:r>
      <w:r w:rsidR="00BA0A66">
        <w:rPr>
          <w:rStyle w:val="None"/>
          <w:lang w:val="fr-FR"/>
        </w:rPr>
        <w:t>étant donné que</w:t>
      </w:r>
      <w:r w:rsidR="00E8302A">
        <w:rPr>
          <w:rStyle w:val="None"/>
          <w:lang w:val="fr-FR"/>
        </w:rPr>
        <w:t xml:space="preserve"> leurs droits à la vie et à l’intégrité de la personne sont exposés à un risque de dommage irréparable. </w:t>
      </w:r>
      <w:r w:rsidR="00430088" w:rsidRPr="00D60B51">
        <w:rPr>
          <w:rStyle w:val="None"/>
          <w:lang w:val="fr-FR"/>
        </w:rPr>
        <w:t>P</w:t>
      </w:r>
      <w:r w:rsidR="00E8302A">
        <w:rPr>
          <w:rStyle w:val="None"/>
          <w:lang w:val="fr-FR"/>
        </w:rPr>
        <w:t xml:space="preserve">ar conséquent, </w:t>
      </w:r>
      <w:r w:rsidR="00076B5F">
        <w:rPr>
          <w:rStyle w:val="None"/>
          <w:lang w:val="fr-FR"/>
        </w:rPr>
        <w:t>en vertu de</w:t>
      </w:r>
      <w:r w:rsidR="00E0084F">
        <w:rPr>
          <w:rStyle w:val="None"/>
          <w:lang w:val="fr-FR"/>
        </w:rPr>
        <w:t xml:space="preserve"> l’article </w:t>
      </w:r>
      <w:r w:rsidR="00E8302A">
        <w:rPr>
          <w:rStyle w:val="None"/>
          <w:lang w:val="fr-FR"/>
        </w:rPr>
        <w:t>25 de son Règlement</w:t>
      </w:r>
      <w:r w:rsidR="00430088" w:rsidRPr="00D60B51">
        <w:rPr>
          <w:rStyle w:val="None"/>
          <w:lang w:val="fr-FR"/>
        </w:rPr>
        <w:t xml:space="preserve">, </w:t>
      </w:r>
      <w:r w:rsidR="00E8302A">
        <w:rPr>
          <w:rStyle w:val="None"/>
          <w:lang w:val="fr-FR"/>
        </w:rPr>
        <w:t>elle demande à Haïti </w:t>
      </w:r>
      <w:r w:rsidR="00430088" w:rsidRPr="00D60B51">
        <w:rPr>
          <w:rStyle w:val="None"/>
          <w:lang w:val="fr-FR"/>
        </w:rPr>
        <w:t xml:space="preserve">: a) </w:t>
      </w:r>
      <w:r w:rsidR="00BA0A66">
        <w:rPr>
          <w:rStyle w:val="None"/>
          <w:lang w:val="fr-FR"/>
        </w:rPr>
        <w:t>d’</w:t>
      </w:r>
      <w:r w:rsidR="00430088" w:rsidRPr="00D60B51">
        <w:rPr>
          <w:rStyle w:val="None"/>
          <w:lang w:val="fr-FR"/>
        </w:rPr>
        <w:t>adopte</w:t>
      </w:r>
      <w:r w:rsidR="00BA0A66">
        <w:rPr>
          <w:rStyle w:val="None"/>
          <w:lang w:val="fr-FR"/>
        </w:rPr>
        <w:t xml:space="preserve">r les mesures nécessaires pour protéger les droits à la vie et à l’intégrité de la personne des membres du </w:t>
      </w:r>
      <w:r w:rsidR="00430088" w:rsidRPr="00D60B51">
        <w:rPr>
          <w:rStyle w:val="None"/>
          <w:lang w:val="fr-FR"/>
        </w:rPr>
        <w:t>Comité de</w:t>
      </w:r>
      <w:r w:rsidR="00BA0A66">
        <w:rPr>
          <w:rStyle w:val="None"/>
          <w:lang w:val="fr-FR"/>
        </w:rPr>
        <w:t xml:space="preserve">s victimes </w:t>
      </w:r>
      <w:r w:rsidR="00430088" w:rsidRPr="00D60B51">
        <w:rPr>
          <w:rStyle w:val="None"/>
          <w:lang w:val="fr-FR"/>
        </w:rPr>
        <w:t>de La Saline</w:t>
      </w:r>
      <w:r w:rsidR="00BA0A66">
        <w:rPr>
          <w:rStyle w:val="None"/>
          <w:lang w:val="fr-FR"/>
        </w:rPr>
        <w:t> </w:t>
      </w:r>
      <w:r w:rsidR="00430088" w:rsidRPr="00D60B51">
        <w:rPr>
          <w:rStyle w:val="None"/>
          <w:lang w:val="fr-FR"/>
        </w:rPr>
        <w:t xml:space="preserve">; b) </w:t>
      </w:r>
      <w:r w:rsidR="00BA0A66">
        <w:rPr>
          <w:rStyle w:val="None"/>
          <w:lang w:val="fr-FR"/>
        </w:rPr>
        <w:t>d’</w:t>
      </w:r>
      <w:r w:rsidR="00BA0A66" w:rsidRPr="00D60B51">
        <w:rPr>
          <w:rStyle w:val="None"/>
          <w:lang w:val="fr-FR"/>
        </w:rPr>
        <w:t>adopte</w:t>
      </w:r>
      <w:r w:rsidR="00BA0A66">
        <w:rPr>
          <w:rStyle w:val="None"/>
          <w:lang w:val="fr-FR"/>
        </w:rPr>
        <w:t xml:space="preserve">r les mesures </w:t>
      </w:r>
      <w:r w:rsidR="00BA0A66" w:rsidRPr="00E0084F">
        <w:rPr>
          <w:rStyle w:val="None"/>
          <w:lang w:val="fr-FR"/>
        </w:rPr>
        <w:t xml:space="preserve">nécessaires pour garantir </w:t>
      </w:r>
      <w:r w:rsidR="00362A13" w:rsidRPr="00E0084F">
        <w:rPr>
          <w:rStyle w:val="None"/>
          <w:lang w:val="fr-FR"/>
        </w:rPr>
        <w:t>aux bénéficiaires la possibilité de men</w:t>
      </w:r>
      <w:r w:rsidR="00E0084F">
        <w:rPr>
          <w:rStyle w:val="None"/>
          <w:lang w:val="fr-FR"/>
        </w:rPr>
        <w:t>er leurs activités de défense</w:t>
      </w:r>
      <w:r w:rsidR="00362A13" w:rsidRPr="00E0084F">
        <w:rPr>
          <w:rStyle w:val="None"/>
          <w:lang w:val="fr-FR"/>
        </w:rPr>
        <w:t xml:space="preserve"> des droits humains</w:t>
      </w:r>
      <w:r w:rsidR="00362A13">
        <w:rPr>
          <w:rStyle w:val="None"/>
          <w:lang w:val="fr-FR"/>
        </w:rPr>
        <w:t xml:space="preserve"> </w:t>
      </w:r>
      <w:r w:rsidR="008C7208">
        <w:rPr>
          <w:rStyle w:val="None"/>
          <w:lang w:val="fr-FR"/>
        </w:rPr>
        <w:t>sans faire l’objet de menaces, d’intimidations ou d’actes de violence dans l’exercice de leurs fonctions </w:t>
      </w:r>
      <w:r w:rsidR="00430088" w:rsidRPr="00D60B51">
        <w:rPr>
          <w:rStyle w:val="None"/>
          <w:lang w:val="fr-FR"/>
        </w:rPr>
        <w:t xml:space="preserve">; c) </w:t>
      </w:r>
      <w:r w:rsidR="002A2271">
        <w:rPr>
          <w:rStyle w:val="None"/>
          <w:lang w:val="fr-FR"/>
        </w:rPr>
        <w:t xml:space="preserve">de </w:t>
      </w:r>
      <w:r w:rsidR="002A2271" w:rsidRPr="00E0084F">
        <w:rPr>
          <w:rStyle w:val="None"/>
          <w:lang w:val="fr-FR"/>
        </w:rPr>
        <w:t>décider des mesures à adopter en concertation avec les bénéficiaires et leurs représentants </w:t>
      </w:r>
      <w:r w:rsidR="00430088" w:rsidRPr="00E0084F">
        <w:rPr>
          <w:rStyle w:val="None"/>
          <w:lang w:val="fr-FR"/>
        </w:rPr>
        <w:t xml:space="preserve">; </w:t>
      </w:r>
      <w:r w:rsidR="002A2271" w:rsidRPr="00E0084F">
        <w:rPr>
          <w:rStyle w:val="None"/>
          <w:lang w:val="fr-FR"/>
        </w:rPr>
        <w:t>et</w:t>
      </w:r>
      <w:r w:rsidR="00430088" w:rsidRPr="00E0084F">
        <w:rPr>
          <w:rStyle w:val="None"/>
          <w:lang w:val="fr-FR"/>
        </w:rPr>
        <w:t xml:space="preserve"> d) </w:t>
      </w:r>
      <w:r w:rsidR="00E0084F" w:rsidRPr="00E0084F">
        <w:rPr>
          <w:rStyle w:val="None"/>
          <w:lang w:val="fr-FR"/>
        </w:rPr>
        <w:t>de faire part des</w:t>
      </w:r>
      <w:r w:rsidR="002A2271" w:rsidRPr="00E0084F">
        <w:rPr>
          <w:rStyle w:val="None"/>
          <w:lang w:val="fr-FR"/>
        </w:rPr>
        <w:t xml:space="preserve"> actions </w:t>
      </w:r>
      <w:r w:rsidR="00E0084F" w:rsidRPr="00E0084F">
        <w:rPr>
          <w:rStyle w:val="None"/>
          <w:lang w:val="fr-FR"/>
        </w:rPr>
        <w:t>adoptées afin d’</w:t>
      </w:r>
      <w:r w:rsidR="002A2271" w:rsidRPr="00E0084F">
        <w:rPr>
          <w:rStyle w:val="None"/>
          <w:lang w:val="fr-FR"/>
        </w:rPr>
        <w:t xml:space="preserve">enquêter sur les faits ayant </w:t>
      </w:r>
      <w:r w:rsidR="00B66F44" w:rsidRPr="00E0084F">
        <w:rPr>
          <w:rStyle w:val="None"/>
          <w:lang w:val="fr-FR"/>
        </w:rPr>
        <w:t>conduit</w:t>
      </w:r>
      <w:r w:rsidR="002A2271" w:rsidRPr="00E0084F">
        <w:rPr>
          <w:rStyle w:val="None"/>
          <w:lang w:val="fr-FR"/>
        </w:rPr>
        <w:t xml:space="preserve"> à </w:t>
      </w:r>
      <w:r w:rsidR="00E0084F" w:rsidRPr="00E0084F">
        <w:rPr>
          <w:rStyle w:val="None"/>
          <w:sz w:val="20"/>
          <w:szCs w:val="20"/>
          <w:lang w:val="fr-FR"/>
        </w:rPr>
        <w:t xml:space="preserve">l’approbation de la présente demande de </w:t>
      </w:r>
      <w:r w:rsidR="002A2271" w:rsidRPr="00E0084F">
        <w:rPr>
          <w:rStyle w:val="None"/>
          <w:lang w:val="fr-FR"/>
        </w:rPr>
        <w:t>mesures conservatoires et, ainsi, éviter qu’ils ne se reproduisent</w:t>
      </w:r>
      <w:r w:rsidR="00430088" w:rsidRPr="00E0084F">
        <w:rPr>
          <w:rStyle w:val="None"/>
          <w:lang w:val="fr-FR"/>
        </w:rPr>
        <w:t>.</w:t>
      </w:r>
    </w:p>
    <w:p w:rsidR="00257B10" w:rsidRPr="00D60B51" w:rsidRDefault="00257B10" w:rsidP="0020020F">
      <w:pPr>
        <w:rPr>
          <w:rStyle w:val="None"/>
          <w:lang w:val="fr-FR"/>
        </w:rPr>
      </w:pPr>
    </w:p>
    <w:p w:rsidR="00257B10" w:rsidRPr="00D60B51" w:rsidRDefault="005D1696" w:rsidP="0020020F">
      <w:pPr>
        <w:numPr>
          <w:ilvl w:val="0"/>
          <w:numId w:val="5"/>
        </w:numPr>
        <w:rPr>
          <w:b/>
          <w:bCs/>
          <w:lang w:val="fr-FR"/>
        </w:rPr>
      </w:pPr>
      <w:r>
        <w:rPr>
          <w:rStyle w:val="None"/>
          <w:b/>
          <w:bCs/>
          <w:lang w:val="fr-FR"/>
        </w:rPr>
        <w:t xml:space="preserve"> </w:t>
      </w:r>
      <w:r w:rsidR="00430088" w:rsidRPr="00D60B51">
        <w:rPr>
          <w:rStyle w:val="None"/>
          <w:b/>
          <w:bCs/>
          <w:lang w:val="fr-FR"/>
        </w:rPr>
        <w:t>R</w:t>
      </w:r>
      <w:r w:rsidR="002A0E6F">
        <w:rPr>
          <w:rStyle w:val="None"/>
          <w:b/>
          <w:bCs/>
          <w:lang w:val="fr-FR"/>
        </w:rPr>
        <w:t xml:space="preserve">ÉSUMÉ DES FAITS ET </w:t>
      </w:r>
      <w:r w:rsidR="00E0084F">
        <w:rPr>
          <w:rStyle w:val="None"/>
          <w:b/>
          <w:bCs/>
          <w:lang w:val="fr-FR"/>
        </w:rPr>
        <w:t xml:space="preserve">DES </w:t>
      </w:r>
      <w:r w:rsidR="002A0E6F">
        <w:rPr>
          <w:rStyle w:val="None"/>
          <w:b/>
          <w:bCs/>
          <w:lang w:val="fr-FR"/>
        </w:rPr>
        <w:t>ARGUMENT</w:t>
      </w:r>
      <w:r w:rsidR="00430088" w:rsidRPr="00D60B51">
        <w:rPr>
          <w:rStyle w:val="None"/>
          <w:b/>
          <w:bCs/>
          <w:lang w:val="fr-FR"/>
        </w:rPr>
        <w:t xml:space="preserve">S </w:t>
      </w:r>
      <w:r w:rsidR="00D23970">
        <w:rPr>
          <w:rStyle w:val="None"/>
          <w:b/>
          <w:bCs/>
          <w:lang w:val="fr-FR"/>
        </w:rPr>
        <w:t>AVANC</w:t>
      </w:r>
      <w:r w:rsidR="00D23970">
        <w:rPr>
          <w:rStyle w:val="None"/>
          <w:rFonts w:ascii="Times New Roman" w:hAnsi="Times New Roman" w:cs="Times New Roman"/>
          <w:b/>
          <w:bCs/>
          <w:lang w:val="fr-FR"/>
        </w:rPr>
        <w:t>ÉS</w:t>
      </w:r>
    </w:p>
    <w:p w:rsidR="00257B10" w:rsidRPr="00D60B51" w:rsidRDefault="00257B10" w:rsidP="0020020F">
      <w:pPr>
        <w:rPr>
          <w:rStyle w:val="None"/>
          <w:lang w:val="fr-FR"/>
        </w:rPr>
      </w:pPr>
    </w:p>
    <w:p w:rsidR="00257B10" w:rsidRPr="00D60B51" w:rsidRDefault="00430088" w:rsidP="0020020F">
      <w:pPr>
        <w:numPr>
          <w:ilvl w:val="0"/>
          <w:numId w:val="7"/>
        </w:numPr>
        <w:rPr>
          <w:b/>
          <w:bCs/>
          <w:lang w:val="fr-FR"/>
        </w:rPr>
      </w:pPr>
      <w:r w:rsidRPr="00D60B51">
        <w:rPr>
          <w:rStyle w:val="None"/>
          <w:b/>
          <w:bCs/>
          <w:lang w:val="fr-FR"/>
        </w:rPr>
        <w:t>Informa</w:t>
      </w:r>
      <w:r w:rsidR="00C364C3">
        <w:rPr>
          <w:rStyle w:val="None"/>
          <w:b/>
          <w:bCs/>
          <w:lang w:val="fr-FR"/>
        </w:rPr>
        <w:t xml:space="preserve">tions </w:t>
      </w:r>
      <w:r w:rsidR="006E2CF0">
        <w:rPr>
          <w:rStyle w:val="None"/>
          <w:b/>
          <w:bCs/>
          <w:lang w:val="fr-FR"/>
        </w:rPr>
        <w:t xml:space="preserve">fournies par les demandeurs </w:t>
      </w:r>
    </w:p>
    <w:p w:rsidR="00257B10" w:rsidRPr="00D60B51" w:rsidRDefault="00257B10" w:rsidP="0020020F">
      <w:pPr>
        <w:rPr>
          <w:rStyle w:val="None"/>
          <w:lang w:val="fr-FR"/>
        </w:rPr>
      </w:pPr>
    </w:p>
    <w:p w:rsidR="00257B10" w:rsidRPr="00D60B51" w:rsidRDefault="00DE23E9" w:rsidP="0020020F">
      <w:pPr>
        <w:pStyle w:val="ListParagraph"/>
        <w:numPr>
          <w:ilvl w:val="0"/>
          <w:numId w:val="4"/>
        </w:numPr>
        <w:tabs>
          <w:tab w:val="clear" w:pos="720"/>
          <w:tab w:val="num" w:pos="450"/>
        </w:tabs>
        <w:ind w:left="0"/>
        <w:rPr>
          <w:lang w:val="fr-FR"/>
        </w:rPr>
      </w:pPr>
      <w:r>
        <w:rPr>
          <w:rStyle w:val="None"/>
          <w:lang w:val="fr-FR"/>
        </w:rPr>
        <w:t>Le</w:t>
      </w:r>
      <w:r w:rsidR="00430088" w:rsidRPr="00D60B51">
        <w:rPr>
          <w:rStyle w:val="None"/>
          <w:lang w:val="fr-FR"/>
        </w:rPr>
        <w:t xml:space="preserve"> 13 </w:t>
      </w:r>
      <w:r>
        <w:rPr>
          <w:rStyle w:val="None"/>
          <w:lang w:val="fr-FR"/>
        </w:rPr>
        <w:t xml:space="preserve">novembre </w:t>
      </w:r>
      <w:r w:rsidR="00430088" w:rsidRPr="00D60B51">
        <w:rPr>
          <w:rStyle w:val="None"/>
          <w:lang w:val="fr-FR"/>
        </w:rPr>
        <w:t xml:space="preserve">2018, </w:t>
      </w:r>
      <w:r w:rsidR="002F6F12">
        <w:rPr>
          <w:rStyle w:val="None"/>
          <w:lang w:val="fr-FR"/>
        </w:rPr>
        <w:t>dans le quartier de</w:t>
      </w:r>
      <w:r w:rsidR="00430088" w:rsidRPr="00D60B51">
        <w:rPr>
          <w:rStyle w:val="None"/>
          <w:lang w:val="fr-FR"/>
        </w:rPr>
        <w:t xml:space="preserve"> </w:t>
      </w:r>
      <w:r w:rsidR="00430088" w:rsidRPr="00D60B51">
        <w:rPr>
          <w:rStyle w:val="None"/>
          <w:i/>
          <w:iCs/>
          <w:lang w:val="fr-FR"/>
        </w:rPr>
        <w:t>La Saline</w:t>
      </w:r>
      <w:r w:rsidR="00430088" w:rsidRPr="00D60B51">
        <w:rPr>
          <w:rStyle w:val="None"/>
          <w:lang w:val="fr-FR"/>
        </w:rPr>
        <w:t xml:space="preserve">, </w:t>
      </w:r>
      <w:r w:rsidR="002F6F12">
        <w:rPr>
          <w:rStyle w:val="None"/>
          <w:lang w:val="fr-FR"/>
        </w:rPr>
        <w:t>à Port-au-Prince, des groupes criminels auraient perpétré une série d’agressions qui s’est soldée par « </w:t>
      </w:r>
      <w:r w:rsidR="00430088" w:rsidRPr="00D60B51">
        <w:rPr>
          <w:rStyle w:val="None"/>
          <w:lang w:val="fr-FR"/>
        </w:rPr>
        <w:t xml:space="preserve">[…] un </w:t>
      </w:r>
      <w:r w:rsidR="002F6F12">
        <w:rPr>
          <w:rStyle w:val="None"/>
          <w:lang w:val="fr-FR"/>
        </w:rPr>
        <w:t>nombre incalculable de victimes […] » </w:t>
      </w:r>
      <w:r w:rsidR="00430088" w:rsidRPr="00D60B51">
        <w:rPr>
          <w:rStyle w:val="None"/>
          <w:lang w:val="fr-FR"/>
        </w:rPr>
        <w:t xml:space="preserve">: </w:t>
      </w:r>
      <w:r w:rsidR="002F6F12">
        <w:rPr>
          <w:rStyle w:val="None"/>
          <w:lang w:val="fr-FR"/>
        </w:rPr>
        <w:t xml:space="preserve">plus de </w:t>
      </w:r>
      <w:r w:rsidR="00F0206D">
        <w:rPr>
          <w:rStyle w:val="None"/>
          <w:lang w:val="fr-FR"/>
        </w:rPr>
        <w:t>soixante-dix</w:t>
      </w:r>
      <w:r w:rsidR="002F6F12">
        <w:rPr>
          <w:rStyle w:val="None"/>
          <w:lang w:val="fr-FR"/>
        </w:rPr>
        <w:t xml:space="preserve"> morts, au moins </w:t>
      </w:r>
      <w:r w:rsidR="00F0206D">
        <w:rPr>
          <w:rStyle w:val="None"/>
          <w:lang w:val="fr-FR"/>
        </w:rPr>
        <w:t>onze</w:t>
      </w:r>
      <w:r w:rsidR="002F6F12">
        <w:rPr>
          <w:rStyle w:val="None"/>
          <w:lang w:val="fr-FR"/>
        </w:rPr>
        <w:t xml:space="preserve"> femmes ou filles </w:t>
      </w:r>
      <w:r w:rsidR="0072718C">
        <w:rPr>
          <w:rStyle w:val="None"/>
          <w:lang w:val="fr-FR"/>
        </w:rPr>
        <w:t>victimes de viol</w:t>
      </w:r>
      <w:r w:rsidR="002F6F12">
        <w:rPr>
          <w:rStyle w:val="None"/>
          <w:lang w:val="fr-FR"/>
        </w:rPr>
        <w:t xml:space="preserve">, des dizaines de pillages, d’incendies et </w:t>
      </w:r>
      <w:r w:rsidR="0072718C">
        <w:rPr>
          <w:rStyle w:val="None"/>
          <w:lang w:val="fr-FR"/>
        </w:rPr>
        <w:t>de destructions</w:t>
      </w:r>
      <w:r w:rsidR="00430088" w:rsidRPr="00D60B51">
        <w:rPr>
          <w:rStyle w:val="None"/>
          <w:lang w:val="fr-FR"/>
        </w:rPr>
        <w:t xml:space="preserve">, </w:t>
      </w:r>
      <w:r w:rsidR="002F6F12">
        <w:rPr>
          <w:rStyle w:val="None"/>
          <w:lang w:val="fr-FR"/>
        </w:rPr>
        <w:t>auxquels s’ajoutent le déplacement forcé de nombreux habitants</w:t>
      </w:r>
      <w:r w:rsidR="00430088" w:rsidRPr="00D60B51">
        <w:rPr>
          <w:rStyle w:val="None"/>
          <w:lang w:val="fr-FR"/>
        </w:rPr>
        <w:t>. S</w:t>
      </w:r>
      <w:r w:rsidR="0072718C">
        <w:rPr>
          <w:rStyle w:val="None"/>
          <w:lang w:val="fr-FR"/>
        </w:rPr>
        <w:t xml:space="preserve">elon les demandeurs, ce quartier de la capitale est le théâtre </w:t>
      </w:r>
      <w:r w:rsidR="00792B6B">
        <w:rPr>
          <w:rStyle w:val="None"/>
          <w:lang w:val="fr-FR"/>
        </w:rPr>
        <w:t xml:space="preserve">d’affrontements récurrents entre bandes rivales qui cherchent à contrôler cette zone mais les événements qui seraient survenus ce jour-là ont dépassé toutes </w:t>
      </w:r>
      <w:r w:rsidR="00792B6B">
        <w:rPr>
          <w:rStyle w:val="None"/>
          <w:lang w:val="fr-FR"/>
        </w:rPr>
        <w:lastRenderedPageBreak/>
        <w:t xml:space="preserve">les violences commises précédemment. De plus, ils ont cité un rapport élaboré par le </w:t>
      </w:r>
      <w:r w:rsidR="00430088" w:rsidRPr="00D60B51">
        <w:rPr>
          <w:rStyle w:val="None"/>
          <w:i/>
          <w:iCs/>
          <w:lang w:val="fr-FR"/>
        </w:rPr>
        <w:t xml:space="preserve">Réseau </w:t>
      </w:r>
      <w:r w:rsidR="00792B6B">
        <w:rPr>
          <w:rStyle w:val="None"/>
          <w:i/>
          <w:iCs/>
          <w:lang w:val="fr-FR"/>
        </w:rPr>
        <w:t>n</w:t>
      </w:r>
      <w:r w:rsidR="00430088" w:rsidRPr="00D60B51">
        <w:rPr>
          <w:rStyle w:val="None"/>
          <w:i/>
          <w:iCs/>
          <w:lang w:val="fr-FR"/>
        </w:rPr>
        <w:t xml:space="preserve">ational de </w:t>
      </w:r>
      <w:r w:rsidR="00792B6B">
        <w:rPr>
          <w:rStyle w:val="None"/>
          <w:i/>
          <w:iCs/>
          <w:lang w:val="fr-FR"/>
        </w:rPr>
        <w:t>d</w:t>
      </w:r>
      <w:r w:rsidR="00430088" w:rsidRPr="00D60B51">
        <w:rPr>
          <w:rStyle w:val="None"/>
          <w:i/>
          <w:iCs/>
          <w:lang w:val="fr-FR"/>
        </w:rPr>
        <w:t xml:space="preserve">éfense des </w:t>
      </w:r>
      <w:r w:rsidR="00792B6B">
        <w:rPr>
          <w:rStyle w:val="None"/>
          <w:i/>
          <w:iCs/>
          <w:lang w:val="fr-FR"/>
        </w:rPr>
        <w:t>d</w:t>
      </w:r>
      <w:r w:rsidR="00430088" w:rsidRPr="00D60B51">
        <w:rPr>
          <w:rStyle w:val="None"/>
          <w:i/>
          <w:iCs/>
          <w:lang w:val="fr-FR"/>
        </w:rPr>
        <w:t xml:space="preserve">roits </w:t>
      </w:r>
      <w:r w:rsidR="00792B6B">
        <w:rPr>
          <w:rStyle w:val="None"/>
          <w:i/>
          <w:iCs/>
          <w:lang w:val="fr-FR"/>
        </w:rPr>
        <w:t>h</w:t>
      </w:r>
      <w:r w:rsidR="00430088" w:rsidRPr="00D60B51">
        <w:rPr>
          <w:rStyle w:val="None"/>
          <w:i/>
          <w:iCs/>
          <w:lang w:val="fr-FR"/>
        </w:rPr>
        <w:t>umains</w:t>
      </w:r>
      <w:r w:rsidR="00792B6B">
        <w:rPr>
          <w:rStyle w:val="None"/>
          <w:lang w:val="fr-FR"/>
        </w:rPr>
        <w:t xml:space="preserve"> (RNDDH)</w:t>
      </w:r>
      <w:r w:rsidR="00430088" w:rsidRPr="00D60B51">
        <w:rPr>
          <w:rStyle w:val="None"/>
          <w:lang w:val="fr-FR"/>
        </w:rPr>
        <w:t xml:space="preserve">, </w:t>
      </w:r>
      <w:r w:rsidR="00792B6B">
        <w:rPr>
          <w:rStyle w:val="None"/>
          <w:lang w:val="fr-FR"/>
        </w:rPr>
        <w:t xml:space="preserve">lequel suggère un lien entre l’attaque et les autorités gouvernementales, sachant que </w:t>
      </w:r>
      <w:r w:rsidR="00430088" w:rsidRPr="00D60B51">
        <w:rPr>
          <w:rStyle w:val="None"/>
          <w:i/>
          <w:iCs/>
          <w:lang w:val="fr-FR"/>
        </w:rPr>
        <w:t>La Saline</w:t>
      </w:r>
      <w:r w:rsidR="00792B6B">
        <w:rPr>
          <w:rStyle w:val="None"/>
          <w:lang w:val="fr-FR"/>
        </w:rPr>
        <w:t xml:space="preserve"> abrite des membres de l’opposition politique</w:t>
      </w:r>
      <w:r w:rsidR="00430088"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580B7A" w:rsidP="0020020F">
      <w:pPr>
        <w:numPr>
          <w:ilvl w:val="0"/>
          <w:numId w:val="4"/>
        </w:numPr>
        <w:tabs>
          <w:tab w:val="clear" w:pos="720"/>
          <w:tab w:val="num" w:pos="450"/>
        </w:tabs>
        <w:ind w:left="0"/>
        <w:rPr>
          <w:lang w:val="fr-FR"/>
        </w:rPr>
      </w:pPr>
      <w:r>
        <w:rPr>
          <w:rStyle w:val="None"/>
          <w:lang w:val="fr-FR"/>
        </w:rPr>
        <w:t>D’après les faits relatés dans la demande de mesures conservatoires</w:t>
      </w:r>
      <w:r w:rsidR="00430088" w:rsidRPr="00D60B51">
        <w:rPr>
          <w:rStyle w:val="None"/>
          <w:lang w:val="fr-FR"/>
        </w:rPr>
        <w:t xml:space="preserve">, </w:t>
      </w:r>
      <w:r>
        <w:rPr>
          <w:rStyle w:val="None"/>
          <w:lang w:val="fr-FR"/>
        </w:rPr>
        <w:t>les bandes sont revenues à</w:t>
      </w:r>
      <w:r w:rsidRPr="00D60B51">
        <w:rPr>
          <w:rStyle w:val="None"/>
          <w:lang w:val="fr-FR"/>
        </w:rPr>
        <w:t xml:space="preserve"> </w:t>
      </w:r>
      <w:r w:rsidRPr="00D60B51">
        <w:rPr>
          <w:rStyle w:val="None"/>
          <w:i/>
          <w:iCs/>
          <w:lang w:val="fr-FR"/>
        </w:rPr>
        <w:t xml:space="preserve">La Saline </w:t>
      </w:r>
      <w:r>
        <w:rPr>
          <w:rStyle w:val="None"/>
          <w:lang w:val="fr-FR"/>
        </w:rPr>
        <w:t>les</w:t>
      </w:r>
      <w:r w:rsidR="00430088" w:rsidRPr="00D60B51">
        <w:rPr>
          <w:rStyle w:val="None"/>
          <w:lang w:val="fr-FR"/>
        </w:rPr>
        <w:t xml:space="preserve"> 8 </w:t>
      </w:r>
      <w:r>
        <w:rPr>
          <w:rStyle w:val="None"/>
          <w:lang w:val="fr-FR"/>
        </w:rPr>
        <w:t>et</w:t>
      </w:r>
      <w:r w:rsidR="00430088" w:rsidRPr="00D60B51">
        <w:rPr>
          <w:rStyle w:val="None"/>
          <w:lang w:val="fr-FR"/>
        </w:rPr>
        <w:t xml:space="preserve"> 13 </w:t>
      </w:r>
      <w:r>
        <w:rPr>
          <w:rStyle w:val="None"/>
          <w:lang w:val="fr-FR"/>
        </w:rPr>
        <w:t>mars</w:t>
      </w:r>
      <w:r w:rsidR="00430088" w:rsidRPr="00D60B51">
        <w:rPr>
          <w:rStyle w:val="None"/>
          <w:lang w:val="fr-FR"/>
        </w:rPr>
        <w:t xml:space="preserve"> 2019</w:t>
      </w:r>
      <w:r>
        <w:rPr>
          <w:rStyle w:val="None"/>
          <w:lang w:val="fr-FR"/>
        </w:rPr>
        <w:t xml:space="preserve"> </w:t>
      </w:r>
      <w:r w:rsidR="00E0084F">
        <w:rPr>
          <w:rStyle w:val="None"/>
          <w:lang w:val="fr-FR"/>
        </w:rPr>
        <w:t>dans le but</w:t>
      </w:r>
      <w:r>
        <w:rPr>
          <w:rStyle w:val="None"/>
          <w:lang w:val="fr-FR"/>
        </w:rPr>
        <w:t xml:space="preserve"> </w:t>
      </w:r>
      <w:r w:rsidR="00E0084F">
        <w:rPr>
          <w:rStyle w:val="None"/>
          <w:lang w:val="fr-FR"/>
        </w:rPr>
        <w:t>d’</w:t>
      </w:r>
      <w:r>
        <w:rPr>
          <w:rStyle w:val="None"/>
          <w:lang w:val="fr-FR"/>
        </w:rPr>
        <w:t>intimider la population</w:t>
      </w:r>
      <w:r w:rsidR="00E0084F">
        <w:rPr>
          <w:rStyle w:val="None"/>
          <w:lang w:val="fr-FR"/>
        </w:rPr>
        <w:t xml:space="preserve"> et de </w:t>
      </w:r>
      <w:r>
        <w:rPr>
          <w:rStyle w:val="None"/>
          <w:lang w:val="fr-FR"/>
        </w:rPr>
        <w:t>la forcer à</w:t>
      </w:r>
      <w:r w:rsidR="00430088" w:rsidRPr="00D60B51">
        <w:rPr>
          <w:rStyle w:val="None"/>
          <w:lang w:val="fr-FR"/>
        </w:rPr>
        <w:t xml:space="preserve"> </w:t>
      </w:r>
      <w:r>
        <w:rPr>
          <w:rStyle w:val="None"/>
          <w:lang w:val="fr-FR"/>
        </w:rPr>
        <w:t xml:space="preserve">garder le silence et à ne pas se présenter devant les tribunaux. À cette occasion, un groupe aurait tué </w:t>
      </w:r>
      <w:r w:rsidR="00131CD7">
        <w:rPr>
          <w:rStyle w:val="None"/>
          <w:lang w:val="fr-FR"/>
        </w:rPr>
        <w:t xml:space="preserve">à l’arme à feu et à l’arme blanche </w:t>
      </w:r>
      <w:r>
        <w:rPr>
          <w:rStyle w:val="None"/>
          <w:lang w:val="fr-FR"/>
        </w:rPr>
        <w:t>au moins six personnes</w:t>
      </w:r>
      <w:r w:rsidR="00131CD7">
        <w:rPr>
          <w:rStyle w:val="None"/>
          <w:lang w:val="fr-FR"/>
        </w:rPr>
        <w:t>. Le nombre exact de victimes serait impossible à établir</w:t>
      </w:r>
      <w:r w:rsidR="00E0084F">
        <w:rPr>
          <w:rStyle w:val="None"/>
          <w:lang w:val="fr-FR"/>
        </w:rPr>
        <w:t xml:space="preserve"> car </w:t>
      </w:r>
      <w:r w:rsidR="00131CD7">
        <w:rPr>
          <w:rStyle w:val="None"/>
          <w:lang w:val="fr-FR"/>
        </w:rPr>
        <w:t xml:space="preserve">les auteurs présumés </w:t>
      </w:r>
      <w:r w:rsidR="00E0084F">
        <w:rPr>
          <w:rStyle w:val="None"/>
          <w:lang w:val="fr-FR"/>
        </w:rPr>
        <w:t xml:space="preserve">auraient </w:t>
      </w:r>
      <w:r w:rsidR="00131CD7">
        <w:rPr>
          <w:rStyle w:val="None"/>
          <w:lang w:val="fr-FR"/>
        </w:rPr>
        <w:t>brûlé plusieurs cadavres</w:t>
      </w:r>
      <w:r w:rsidR="00430088" w:rsidRPr="00D60B51">
        <w:rPr>
          <w:rStyle w:val="None"/>
          <w:lang w:val="fr-FR"/>
        </w:rPr>
        <w:t xml:space="preserve">. </w:t>
      </w:r>
      <w:r w:rsidR="00131CD7">
        <w:rPr>
          <w:rStyle w:val="None"/>
          <w:lang w:val="fr-FR"/>
        </w:rPr>
        <w:t xml:space="preserve">Ces actes de violence se seraient répétés entre le 13 avril et le 2 mai </w:t>
      </w:r>
      <w:r w:rsidR="00430088" w:rsidRPr="00D60B51">
        <w:rPr>
          <w:rStyle w:val="None"/>
          <w:lang w:val="fr-FR"/>
        </w:rPr>
        <w:t xml:space="preserve">2019, </w:t>
      </w:r>
      <w:r w:rsidR="00F0206D">
        <w:rPr>
          <w:rStyle w:val="None"/>
          <w:lang w:val="fr-FR"/>
        </w:rPr>
        <w:t>prolongeant les actions de représailles à l’encontre des membres des familles des victimes qui avaient osé déposer plainte et se constituer en un collectif</w:t>
      </w:r>
      <w:r w:rsidR="00430088" w:rsidRPr="00D60B51">
        <w:rPr>
          <w:rStyle w:val="None"/>
          <w:lang w:val="fr-FR"/>
        </w:rPr>
        <w:t xml:space="preserve">. </w:t>
      </w:r>
      <w:r w:rsidR="00131CD7">
        <w:rPr>
          <w:rStyle w:val="None"/>
          <w:lang w:val="fr-FR"/>
        </w:rPr>
        <w:t xml:space="preserve">De </w:t>
      </w:r>
      <w:r w:rsidR="00B14FBD">
        <w:rPr>
          <w:rStyle w:val="None"/>
          <w:lang w:val="fr-FR"/>
        </w:rPr>
        <w:t>plus</w:t>
      </w:r>
      <w:r w:rsidR="00430088" w:rsidRPr="00D60B51">
        <w:rPr>
          <w:rStyle w:val="None"/>
          <w:lang w:val="fr-FR"/>
        </w:rPr>
        <w:t xml:space="preserve">, entre </w:t>
      </w:r>
      <w:r w:rsidR="00131CD7">
        <w:rPr>
          <w:rStyle w:val="None"/>
          <w:lang w:val="fr-FR"/>
        </w:rPr>
        <w:t>les 5 et</w:t>
      </w:r>
      <w:r w:rsidR="00005723">
        <w:rPr>
          <w:rStyle w:val="None"/>
          <w:lang w:val="fr-FR"/>
        </w:rPr>
        <w:t xml:space="preserve"> 13 </w:t>
      </w:r>
      <w:r w:rsidR="00131CD7">
        <w:rPr>
          <w:rStyle w:val="None"/>
          <w:lang w:val="fr-FR"/>
        </w:rPr>
        <w:t>juillet</w:t>
      </w:r>
      <w:r w:rsidR="00430088" w:rsidRPr="00D60B51">
        <w:rPr>
          <w:rStyle w:val="None"/>
          <w:lang w:val="fr-FR"/>
        </w:rPr>
        <w:t xml:space="preserve">, </w:t>
      </w:r>
      <w:r w:rsidR="00131CD7">
        <w:rPr>
          <w:rStyle w:val="None"/>
          <w:lang w:val="fr-FR"/>
        </w:rPr>
        <w:t xml:space="preserve">de nouvelles attaques auraient eu lieu, provoquant au moins vingt morts, trois disparus et six blessés. Les demandeurs ont dénoncé l’impunité supposée des </w:t>
      </w:r>
      <w:r w:rsidR="00B14FBD">
        <w:rPr>
          <w:rStyle w:val="None"/>
          <w:lang w:val="fr-FR"/>
        </w:rPr>
        <w:t>auteurs de ces actes</w:t>
      </w:r>
      <w:r w:rsidR="00FC3832">
        <w:rPr>
          <w:rStyle w:val="None"/>
          <w:lang w:val="fr-FR"/>
        </w:rPr>
        <w:t xml:space="preserve">, malgré la couverture médiatique dont </w:t>
      </w:r>
      <w:r w:rsidR="00B14FBD">
        <w:rPr>
          <w:rStyle w:val="None"/>
          <w:lang w:val="fr-FR"/>
        </w:rPr>
        <w:t>les événements</w:t>
      </w:r>
      <w:r w:rsidR="00FC3832">
        <w:rPr>
          <w:rStyle w:val="None"/>
          <w:lang w:val="fr-FR"/>
        </w:rPr>
        <w:t xml:space="preserve"> ont fait l’objet au niveau national et </w:t>
      </w:r>
      <w:r w:rsidR="00430088" w:rsidRPr="00D60B51">
        <w:rPr>
          <w:rStyle w:val="None"/>
          <w:lang w:val="fr-FR"/>
        </w:rPr>
        <w:t>interna</w:t>
      </w:r>
      <w:r w:rsidR="00FC3832">
        <w:rPr>
          <w:rStyle w:val="None"/>
          <w:lang w:val="fr-FR"/>
        </w:rPr>
        <w:t>t</w:t>
      </w:r>
      <w:r w:rsidR="00430088" w:rsidRPr="00D60B51">
        <w:rPr>
          <w:rStyle w:val="None"/>
          <w:lang w:val="fr-FR"/>
        </w:rPr>
        <w:t xml:space="preserve">ional. </w:t>
      </w:r>
    </w:p>
    <w:p w:rsidR="00257B10" w:rsidRPr="00D60B51" w:rsidRDefault="00257B10" w:rsidP="0020020F">
      <w:pPr>
        <w:tabs>
          <w:tab w:val="num" w:pos="450"/>
        </w:tabs>
        <w:ind w:firstLine="0"/>
        <w:rPr>
          <w:rStyle w:val="None"/>
          <w:lang w:val="fr-FR"/>
        </w:rPr>
      </w:pPr>
    </w:p>
    <w:p w:rsidR="00257B10" w:rsidRPr="00D60B51" w:rsidRDefault="00005723" w:rsidP="0020020F">
      <w:pPr>
        <w:numPr>
          <w:ilvl w:val="0"/>
          <w:numId w:val="4"/>
        </w:numPr>
        <w:tabs>
          <w:tab w:val="clear" w:pos="720"/>
          <w:tab w:val="num" w:pos="450"/>
        </w:tabs>
        <w:ind w:left="0"/>
        <w:rPr>
          <w:lang w:val="fr-FR"/>
        </w:rPr>
      </w:pPr>
      <w:r>
        <w:rPr>
          <w:rStyle w:val="None"/>
          <w:lang w:val="fr-FR"/>
        </w:rPr>
        <w:t>Le 7 sept</w:t>
      </w:r>
      <w:r w:rsidR="00430088" w:rsidRPr="00D60B51">
        <w:rPr>
          <w:rStyle w:val="None"/>
          <w:lang w:val="fr-FR"/>
        </w:rPr>
        <w:t xml:space="preserve">embre, </w:t>
      </w:r>
      <w:r w:rsidR="00BC5403">
        <w:rPr>
          <w:rStyle w:val="None"/>
          <w:lang w:val="fr-FR"/>
        </w:rPr>
        <w:t xml:space="preserve">les habitants qui s’étaient réfugiés à </w:t>
      </w:r>
      <w:r w:rsidR="00BC5403">
        <w:rPr>
          <w:rStyle w:val="None"/>
          <w:i/>
          <w:iCs/>
          <w:lang w:val="fr-FR"/>
        </w:rPr>
        <w:t xml:space="preserve">Wharf </w:t>
      </w:r>
      <w:r w:rsidR="00430088" w:rsidRPr="00D60B51">
        <w:rPr>
          <w:rStyle w:val="None"/>
          <w:i/>
          <w:iCs/>
          <w:lang w:val="fr-FR"/>
        </w:rPr>
        <w:t>Jérémie</w:t>
      </w:r>
      <w:r w:rsidR="00430088" w:rsidRPr="00D60B51">
        <w:rPr>
          <w:rStyle w:val="None"/>
          <w:lang w:val="fr-FR"/>
        </w:rPr>
        <w:t xml:space="preserve"> </w:t>
      </w:r>
      <w:r w:rsidR="00BC5403">
        <w:rPr>
          <w:rStyle w:val="None"/>
          <w:lang w:val="fr-FR"/>
        </w:rPr>
        <w:t>auraient été contraints de quitter cette zone par un groupe d’individus armés et non identifiés</w:t>
      </w:r>
      <w:r w:rsidR="00F3251B">
        <w:rPr>
          <w:rStyle w:val="None"/>
          <w:lang w:val="fr-FR"/>
        </w:rPr>
        <w:t xml:space="preserve"> qui auraient eu recours </w:t>
      </w:r>
      <w:r w:rsidR="004C5041">
        <w:rPr>
          <w:rStyle w:val="None"/>
          <w:lang w:val="fr-FR"/>
        </w:rPr>
        <w:t>à des</w:t>
      </w:r>
      <w:r w:rsidR="00F3251B">
        <w:rPr>
          <w:rStyle w:val="None"/>
          <w:lang w:val="fr-FR"/>
        </w:rPr>
        <w:t xml:space="preserve"> coups, coups de pied et intimidations</w:t>
      </w:r>
      <w:r w:rsidR="00430088" w:rsidRPr="00D60B51">
        <w:rPr>
          <w:rStyle w:val="None"/>
          <w:lang w:val="fr-FR"/>
        </w:rPr>
        <w:t xml:space="preserve">. </w:t>
      </w:r>
      <w:r w:rsidR="00F3251B">
        <w:rPr>
          <w:rStyle w:val="None"/>
          <w:lang w:val="fr-FR"/>
        </w:rPr>
        <w:t xml:space="preserve">Cet événement aurait provoqué le retour de ces habitants dans leur quartier </w:t>
      </w:r>
      <w:r w:rsidR="00430088" w:rsidRPr="00D60B51">
        <w:rPr>
          <w:rStyle w:val="None"/>
          <w:lang w:val="fr-FR"/>
        </w:rPr>
        <w:t xml:space="preserve">de </w:t>
      </w:r>
      <w:r w:rsidR="00430088" w:rsidRPr="00D60B51">
        <w:rPr>
          <w:rStyle w:val="None"/>
          <w:i/>
          <w:iCs/>
          <w:lang w:val="fr-FR"/>
        </w:rPr>
        <w:t>La Saline</w:t>
      </w:r>
      <w:r w:rsidR="00430088" w:rsidRPr="00D60B51">
        <w:rPr>
          <w:rStyle w:val="None"/>
          <w:lang w:val="fr-FR"/>
        </w:rPr>
        <w:t xml:space="preserve">, </w:t>
      </w:r>
      <w:r w:rsidR="004C5041">
        <w:rPr>
          <w:rStyle w:val="None"/>
          <w:lang w:val="fr-FR"/>
        </w:rPr>
        <w:t xml:space="preserve">où ils </w:t>
      </w:r>
      <w:r w:rsidR="00F3251B">
        <w:rPr>
          <w:rStyle w:val="None"/>
          <w:lang w:val="fr-FR"/>
        </w:rPr>
        <w:t xml:space="preserve">se sont installés dans des conditions précaires sur les décombres de leurs maisons. Cette même nuit, le groupe criminel aurait agressé sexuellement une trentaine de femmes dans </w:t>
      </w:r>
      <w:r w:rsidR="00430088" w:rsidRPr="00D60B51">
        <w:rPr>
          <w:rStyle w:val="None"/>
          <w:i/>
          <w:iCs/>
          <w:lang w:val="fr-FR"/>
        </w:rPr>
        <w:t>La Saline</w:t>
      </w:r>
      <w:r w:rsidR="00430088" w:rsidRPr="00D60B51">
        <w:rPr>
          <w:rStyle w:val="None"/>
          <w:lang w:val="fr-FR"/>
        </w:rPr>
        <w:t xml:space="preserve">. </w:t>
      </w:r>
      <w:r w:rsidR="003371EA">
        <w:rPr>
          <w:rStyle w:val="None"/>
          <w:lang w:val="fr-FR"/>
        </w:rPr>
        <w:t>De plus, le 18 sept</w:t>
      </w:r>
      <w:r w:rsidR="00430088" w:rsidRPr="00D60B51">
        <w:rPr>
          <w:rStyle w:val="None"/>
          <w:lang w:val="fr-FR"/>
        </w:rPr>
        <w:t xml:space="preserve">embre, </w:t>
      </w:r>
      <w:r w:rsidR="003371EA">
        <w:rPr>
          <w:rStyle w:val="None"/>
          <w:lang w:val="fr-FR"/>
        </w:rPr>
        <w:t>une jeune fille de 19 ans et son frère de 7 ans se seraient noyés</w:t>
      </w:r>
      <w:r w:rsidR="00DC1F25">
        <w:rPr>
          <w:rStyle w:val="None"/>
          <w:lang w:val="fr-FR"/>
        </w:rPr>
        <w:t>,</w:t>
      </w:r>
      <w:r w:rsidR="003371EA">
        <w:rPr>
          <w:rStyle w:val="None"/>
          <w:lang w:val="fr-FR"/>
        </w:rPr>
        <w:t xml:space="preserve"> emportés par les pluies </w:t>
      </w:r>
      <w:r w:rsidR="00105B02">
        <w:rPr>
          <w:rStyle w:val="None"/>
          <w:lang w:val="fr-FR"/>
        </w:rPr>
        <w:t>torrentielles</w:t>
      </w:r>
      <w:r w:rsidR="00272092">
        <w:rPr>
          <w:rStyle w:val="None"/>
          <w:lang w:val="fr-FR"/>
        </w:rPr>
        <w:t> </w:t>
      </w:r>
      <w:r w:rsidR="00430088" w:rsidRPr="00D60B51">
        <w:rPr>
          <w:rStyle w:val="None"/>
          <w:lang w:val="fr-FR"/>
        </w:rPr>
        <w:t xml:space="preserve">; </w:t>
      </w:r>
      <w:r w:rsidR="00272092">
        <w:rPr>
          <w:rStyle w:val="None"/>
          <w:lang w:val="fr-FR"/>
        </w:rPr>
        <w:t xml:space="preserve">les demandeurs ont indiqué </w:t>
      </w:r>
      <w:r w:rsidR="00105B02">
        <w:rPr>
          <w:rStyle w:val="None"/>
          <w:lang w:val="fr-FR"/>
        </w:rPr>
        <w:t>que ces derniers</w:t>
      </w:r>
      <w:r w:rsidR="00272092">
        <w:rPr>
          <w:rStyle w:val="None"/>
          <w:lang w:val="fr-FR"/>
        </w:rPr>
        <w:t xml:space="preserve"> étaient sans abri depuis la destruction de leur maison le </w:t>
      </w:r>
      <w:r w:rsidR="00430088" w:rsidRPr="00D60B51">
        <w:rPr>
          <w:rStyle w:val="None"/>
          <w:lang w:val="fr-FR"/>
        </w:rPr>
        <w:t xml:space="preserve">13 </w:t>
      </w:r>
      <w:r w:rsidR="00272092">
        <w:rPr>
          <w:rStyle w:val="None"/>
          <w:lang w:val="fr-FR"/>
        </w:rPr>
        <w:t>novembre</w:t>
      </w:r>
      <w:r w:rsidR="00430088" w:rsidRPr="00D60B51">
        <w:rPr>
          <w:rStyle w:val="None"/>
          <w:lang w:val="fr-FR"/>
        </w:rPr>
        <w:t xml:space="preserve"> 2018. </w:t>
      </w:r>
      <w:r w:rsidR="00272092">
        <w:rPr>
          <w:rStyle w:val="None"/>
          <w:lang w:val="fr-FR"/>
        </w:rPr>
        <w:t xml:space="preserve">Mi-octobre et fin octobre 2019, d’autres morts par armes à feu </w:t>
      </w:r>
      <w:r w:rsidR="004C5041">
        <w:rPr>
          <w:rStyle w:val="None"/>
          <w:lang w:val="fr-FR"/>
        </w:rPr>
        <w:t xml:space="preserve">sont survenues suite à la présence de groupes criminels dans le secteur du marché </w:t>
      </w:r>
      <w:r w:rsidR="00430088" w:rsidRPr="00D60B51">
        <w:rPr>
          <w:rStyle w:val="None"/>
          <w:lang w:val="fr-FR"/>
        </w:rPr>
        <w:t xml:space="preserve">de </w:t>
      </w:r>
      <w:r w:rsidR="004C5041">
        <w:rPr>
          <w:rStyle w:val="None"/>
          <w:i/>
          <w:iCs/>
          <w:lang w:val="fr-FR"/>
        </w:rPr>
        <w:t>Croix-des-</w:t>
      </w:r>
      <w:proofErr w:type="spellStart"/>
      <w:r w:rsidR="00430088" w:rsidRPr="00D60B51">
        <w:rPr>
          <w:rStyle w:val="None"/>
          <w:i/>
          <w:iCs/>
          <w:lang w:val="fr-FR"/>
        </w:rPr>
        <w:t>Bossales</w:t>
      </w:r>
      <w:proofErr w:type="spellEnd"/>
      <w:r w:rsidR="00430088" w:rsidRPr="00D60B51">
        <w:rPr>
          <w:rStyle w:val="None"/>
          <w:lang w:val="fr-FR"/>
        </w:rPr>
        <w:t xml:space="preserve"> </w:t>
      </w:r>
      <w:r w:rsidR="004C5041">
        <w:rPr>
          <w:rStyle w:val="None"/>
          <w:lang w:val="fr-FR"/>
        </w:rPr>
        <w:t xml:space="preserve">et dans </w:t>
      </w:r>
      <w:r w:rsidR="00430088" w:rsidRPr="00D60B51">
        <w:rPr>
          <w:rStyle w:val="None"/>
          <w:i/>
          <w:iCs/>
          <w:lang w:val="fr-FR"/>
        </w:rPr>
        <w:t>La Saline</w:t>
      </w:r>
      <w:r w:rsidR="00430088" w:rsidRPr="00D60B51">
        <w:rPr>
          <w:rStyle w:val="None"/>
          <w:lang w:val="fr-FR"/>
        </w:rPr>
        <w:t xml:space="preserve">, </w:t>
      </w:r>
      <w:r w:rsidR="004C5041">
        <w:rPr>
          <w:rStyle w:val="None"/>
          <w:lang w:val="fr-FR"/>
        </w:rPr>
        <w:t>sans plus de détails sur leurs circonstances ou leurs motifs</w:t>
      </w:r>
      <w:r w:rsidR="00430088" w:rsidRPr="00D60B51">
        <w:rPr>
          <w:rStyle w:val="None"/>
          <w:lang w:val="fr-FR"/>
        </w:rPr>
        <w:t xml:space="preserve">.  </w:t>
      </w:r>
    </w:p>
    <w:p w:rsidR="00257B10" w:rsidRPr="00D60B51" w:rsidRDefault="00257B10" w:rsidP="0020020F">
      <w:pPr>
        <w:pStyle w:val="Normal1"/>
        <w:tabs>
          <w:tab w:val="num" w:pos="450"/>
        </w:tabs>
        <w:ind w:left="0"/>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L</w:t>
      </w:r>
      <w:r w:rsidR="001D2A80">
        <w:rPr>
          <w:rStyle w:val="None"/>
          <w:lang w:val="fr-FR"/>
        </w:rPr>
        <w:t xml:space="preserve">es demandeurs ont fourni des informations et récits relativement détaillés concernant au moins vingt-huit personnes, dont six d’entre elles feraient partie du </w:t>
      </w:r>
      <w:r w:rsidRPr="00D60B51">
        <w:rPr>
          <w:rStyle w:val="None"/>
          <w:lang w:val="fr-FR"/>
        </w:rPr>
        <w:t>Comité de</w:t>
      </w:r>
      <w:r w:rsidR="001D2A80">
        <w:rPr>
          <w:rStyle w:val="None"/>
          <w:lang w:val="fr-FR"/>
        </w:rPr>
        <w:t>s</w:t>
      </w:r>
      <w:r w:rsidRPr="00D60B51">
        <w:rPr>
          <w:rStyle w:val="None"/>
          <w:lang w:val="fr-FR"/>
        </w:rPr>
        <w:t xml:space="preserve"> </w:t>
      </w:r>
      <w:r w:rsidR="001D2A80">
        <w:rPr>
          <w:rStyle w:val="None"/>
          <w:lang w:val="fr-FR"/>
        </w:rPr>
        <w:t>victimes</w:t>
      </w:r>
      <w:r w:rsidRPr="00D60B51">
        <w:rPr>
          <w:rStyle w:val="None"/>
          <w:lang w:val="fr-FR"/>
        </w:rPr>
        <w:t xml:space="preserve"> de La Saline. </w:t>
      </w:r>
      <w:r w:rsidR="00D75523">
        <w:rPr>
          <w:rStyle w:val="None"/>
          <w:lang w:val="fr-FR"/>
        </w:rPr>
        <w:t>En ce qui concerne les membres de ce collectif, ils ont expliqué que les menaces sont « </w:t>
      </w:r>
      <w:r w:rsidRPr="00D60B51">
        <w:rPr>
          <w:rStyle w:val="None"/>
          <w:lang w:val="fr-FR"/>
        </w:rPr>
        <w:t xml:space="preserve">[…] constantes </w:t>
      </w:r>
      <w:r w:rsidR="00D75523">
        <w:rPr>
          <w:rStyle w:val="None"/>
          <w:lang w:val="fr-FR"/>
        </w:rPr>
        <w:t xml:space="preserve">et quasi quotidiennes […] » tandis que leur fréquence est irrégulière pour le reste des bénéficiaires proposés dans le cadre de la </w:t>
      </w:r>
      <w:r w:rsidR="00DC1F25">
        <w:rPr>
          <w:rStyle w:val="None"/>
          <w:lang w:val="fr-FR"/>
        </w:rPr>
        <w:t xml:space="preserve">présente </w:t>
      </w:r>
      <w:r w:rsidR="00D75523">
        <w:rPr>
          <w:rStyle w:val="None"/>
          <w:lang w:val="fr-FR"/>
        </w:rPr>
        <w:t>demande de mesures conservatoires</w:t>
      </w:r>
      <w:r w:rsidRPr="00D60B51">
        <w:rPr>
          <w:rStyle w:val="None"/>
          <w:lang w:val="fr-FR"/>
        </w:rPr>
        <w:t xml:space="preserve">. </w:t>
      </w:r>
      <w:r w:rsidR="00D75523">
        <w:rPr>
          <w:rStyle w:val="None"/>
          <w:lang w:val="fr-FR"/>
        </w:rPr>
        <w:t>Ces personnes seraient menacées de mort, d’agression brutale, de torture et d’intimidations, les menaces s’exerçant aussi bien en face à face que par le biais de messages ou d’appels téléphoniques</w:t>
      </w:r>
      <w:r w:rsidRPr="00D60B51">
        <w:rPr>
          <w:rStyle w:val="None"/>
          <w:lang w:val="fr-FR"/>
        </w:rPr>
        <w:t>. L</w:t>
      </w:r>
      <w:r w:rsidR="00D75523">
        <w:rPr>
          <w:rStyle w:val="None"/>
          <w:lang w:val="fr-FR"/>
        </w:rPr>
        <w:t xml:space="preserve">es membres du </w:t>
      </w:r>
      <w:r w:rsidRPr="00D60B51">
        <w:rPr>
          <w:rStyle w:val="None"/>
          <w:lang w:val="fr-FR"/>
        </w:rPr>
        <w:t xml:space="preserve">Comité </w:t>
      </w:r>
      <w:r w:rsidR="00D75523">
        <w:rPr>
          <w:rStyle w:val="None"/>
          <w:lang w:val="fr-FR"/>
        </w:rPr>
        <w:t>seraient considérés comme « </w:t>
      </w:r>
      <w:r w:rsidRPr="00D60B51">
        <w:rPr>
          <w:rStyle w:val="None"/>
          <w:lang w:val="fr-FR"/>
        </w:rPr>
        <w:t xml:space="preserve">[…] </w:t>
      </w:r>
      <w:r w:rsidR="00D75523">
        <w:rPr>
          <w:rStyle w:val="None"/>
          <w:lang w:val="fr-FR"/>
        </w:rPr>
        <w:t>une menace et un problème […] »</w:t>
      </w:r>
      <w:r w:rsidRPr="00D60B51">
        <w:rPr>
          <w:rStyle w:val="None"/>
          <w:lang w:val="fr-FR"/>
        </w:rPr>
        <w:t xml:space="preserve"> </w:t>
      </w:r>
      <w:r w:rsidR="00D75523">
        <w:rPr>
          <w:rStyle w:val="None"/>
          <w:lang w:val="fr-FR"/>
        </w:rPr>
        <w:t xml:space="preserve">par les groupes criminels </w:t>
      </w:r>
      <w:r w:rsidRPr="00D60B51">
        <w:rPr>
          <w:rStyle w:val="None"/>
          <w:lang w:val="fr-FR"/>
        </w:rPr>
        <w:t xml:space="preserve">de </w:t>
      </w:r>
      <w:r w:rsidRPr="00D60B51">
        <w:rPr>
          <w:rStyle w:val="None"/>
          <w:i/>
          <w:iCs/>
          <w:lang w:val="fr-FR"/>
        </w:rPr>
        <w:t>La Saline</w:t>
      </w:r>
      <w:r w:rsidRPr="00D60B51">
        <w:rPr>
          <w:rStyle w:val="None"/>
          <w:lang w:val="fr-FR"/>
        </w:rPr>
        <w:t xml:space="preserve">, </w:t>
      </w:r>
      <w:r w:rsidR="00D75523">
        <w:rPr>
          <w:rStyle w:val="None"/>
          <w:lang w:val="fr-FR"/>
        </w:rPr>
        <w:t>car ils sont à la fois des témoins oculaires et des survivants qui s’organisent pour réclamer justice</w:t>
      </w:r>
      <w:r w:rsidRPr="00D60B51">
        <w:rPr>
          <w:rStyle w:val="None"/>
          <w:lang w:val="fr-FR"/>
        </w:rPr>
        <w:t xml:space="preserve">. En </w:t>
      </w:r>
      <w:r w:rsidR="003F34DD">
        <w:rPr>
          <w:rStyle w:val="None"/>
          <w:lang w:val="fr-FR"/>
        </w:rPr>
        <w:t xml:space="preserve">ce qui concerne les femmes, les demandeurs ont indiqué qu’elles sont l’objet d’un harcèlement systématique et que celles qui ont subi des agressions sexuelles </w:t>
      </w:r>
      <w:r w:rsidR="00752E7D">
        <w:rPr>
          <w:rStyle w:val="None"/>
          <w:lang w:val="fr-FR"/>
        </w:rPr>
        <w:t>sont stigmatisées, insultées et montrées du doigt par les voisins du quartier lorsqu’elles sortent dans la rue</w:t>
      </w:r>
      <w:r w:rsidRPr="00D60B51">
        <w:rPr>
          <w:rStyle w:val="None"/>
          <w:lang w:val="fr-FR"/>
        </w:rPr>
        <w:t xml:space="preserve">. </w:t>
      </w:r>
      <w:r w:rsidR="00C202CC">
        <w:rPr>
          <w:rStyle w:val="None"/>
          <w:lang w:val="fr-FR"/>
        </w:rPr>
        <w:t>De manière générale</w:t>
      </w:r>
      <w:r w:rsidRPr="00D60B51">
        <w:rPr>
          <w:rStyle w:val="None"/>
          <w:lang w:val="fr-FR"/>
        </w:rPr>
        <w:t>, l</w:t>
      </w:r>
      <w:r w:rsidR="00C202CC">
        <w:rPr>
          <w:rStyle w:val="None"/>
          <w:lang w:val="fr-FR"/>
        </w:rPr>
        <w:t xml:space="preserve">es demandeurs allèguent que tous les bénéficiaires proposés sont exposés également à des risques sanitaires en raison des mauvaises conditions d’habitabilité à </w:t>
      </w:r>
      <w:r w:rsidR="00C202CC">
        <w:rPr>
          <w:rStyle w:val="None"/>
          <w:i/>
          <w:iCs/>
          <w:lang w:val="fr-FR"/>
        </w:rPr>
        <w:t xml:space="preserve">Wharf </w:t>
      </w:r>
      <w:r w:rsidRPr="00D60B51">
        <w:rPr>
          <w:rStyle w:val="None"/>
          <w:i/>
          <w:iCs/>
          <w:lang w:val="fr-FR"/>
        </w:rPr>
        <w:t>Jérémie</w:t>
      </w:r>
      <w:r w:rsidRPr="00D60B51">
        <w:rPr>
          <w:rStyle w:val="None"/>
          <w:lang w:val="fr-FR"/>
        </w:rPr>
        <w:t xml:space="preserve"> </w:t>
      </w:r>
      <w:r w:rsidR="00C202CC">
        <w:rPr>
          <w:rStyle w:val="None"/>
          <w:lang w:val="fr-FR"/>
        </w:rPr>
        <w:t xml:space="preserve">et à </w:t>
      </w:r>
      <w:r w:rsidR="00C202CC">
        <w:rPr>
          <w:rStyle w:val="None"/>
          <w:i/>
          <w:iCs/>
          <w:lang w:val="fr-FR"/>
        </w:rPr>
        <w:t xml:space="preserve">La Saline, </w:t>
      </w:r>
      <w:r w:rsidR="00C202CC">
        <w:rPr>
          <w:rStyle w:val="None"/>
          <w:lang w:val="fr-FR"/>
        </w:rPr>
        <w:t>soulignant qu’ils sont dans l’impossibilité de se loger convenablement pendant la saison des pluies et des cyclones. Tous ces facteurs augmenteraient considérablement les risques de maladie, en particulier chez les quelque cinq cents enfants concernés et les personnes les plus vulnérables</w:t>
      </w:r>
      <w:r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430088" w:rsidP="0020020F">
      <w:pPr>
        <w:numPr>
          <w:ilvl w:val="0"/>
          <w:numId w:val="4"/>
        </w:numPr>
        <w:tabs>
          <w:tab w:val="clear" w:pos="720"/>
          <w:tab w:val="num" w:pos="450"/>
        </w:tabs>
        <w:ind w:left="0"/>
        <w:rPr>
          <w:rStyle w:val="None"/>
          <w:lang w:val="fr-FR"/>
        </w:rPr>
      </w:pPr>
      <w:r w:rsidRPr="00D60B51">
        <w:rPr>
          <w:rStyle w:val="None"/>
          <w:lang w:val="fr-FR"/>
        </w:rPr>
        <w:t xml:space="preserve">En </w:t>
      </w:r>
      <w:r w:rsidR="00D75766">
        <w:rPr>
          <w:rStyle w:val="None"/>
          <w:lang w:val="fr-FR"/>
        </w:rPr>
        <w:t>ce qui concerne précisément ce point, les demandeurs ont déclaré que la santé physique et mentale des bénéficiaires proposés et des membres de leur</w:t>
      </w:r>
      <w:r w:rsidR="00DC1F25">
        <w:rPr>
          <w:rStyle w:val="None"/>
          <w:lang w:val="fr-FR"/>
        </w:rPr>
        <w:t>s</w:t>
      </w:r>
      <w:r w:rsidR="00D75766">
        <w:rPr>
          <w:rStyle w:val="None"/>
          <w:lang w:val="fr-FR"/>
        </w:rPr>
        <w:t xml:space="preserve"> famille</w:t>
      </w:r>
      <w:r w:rsidR="00DC1F25">
        <w:rPr>
          <w:rStyle w:val="None"/>
          <w:lang w:val="fr-FR"/>
        </w:rPr>
        <w:t>s</w:t>
      </w:r>
      <w:r w:rsidR="00D75766">
        <w:rPr>
          <w:rStyle w:val="None"/>
          <w:lang w:val="fr-FR"/>
        </w:rPr>
        <w:t xml:space="preserve"> est « </w:t>
      </w:r>
      <w:r w:rsidRPr="00D60B51">
        <w:rPr>
          <w:rStyle w:val="None"/>
          <w:lang w:val="fr-FR"/>
        </w:rPr>
        <w:t xml:space="preserve">[…] </w:t>
      </w:r>
      <w:r w:rsidR="00D75766">
        <w:rPr>
          <w:rStyle w:val="None"/>
          <w:lang w:val="fr-FR"/>
        </w:rPr>
        <w:t>très pré</w:t>
      </w:r>
      <w:r w:rsidRPr="00D60B51">
        <w:rPr>
          <w:rStyle w:val="None"/>
          <w:lang w:val="fr-FR"/>
        </w:rPr>
        <w:t>ca</w:t>
      </w:r>
      <w:r w:rsidR="00D75766">
        <w:rPr>
          <w:rStyle w:val="None"/>
          <w:lang w:val="fr-FR"/>
        </w:rPr>
        <w:t>ire et alarmante […] » </w:t>
      </w:r>
      <w:r w:rsidRPr="00D60B51">
        <w:rPr>
          <w:rStyle w:val="None"/>
          <w:lang w:val="fr-FR"/>
        </w:rPr>
        <w:t xml:space="preserve">; </w:t>
      </w:r>
      <w:r w:rsidR="00B44F59">
        <w:rPr>
          <w:rStyle w:val="None"/>
          <w:lang w:val="fr-FR"/>
        </w:rPr>
        <w:t>victimes de</w:t>
      </w:r>
      <w:r w:rsidR="00E525AF">
        <w:rPr>
          <w:rStyle w:val="None"/>
          <w:lang w:val="fr-FR"/>
        </w:rPr>
        <w:t xml:space="preserve"> précarité financière et </w:t>
      </w:r>
      <w:r w:rsidR="006E71EE">
        <w:rPr>
          <w:rStyle w:val="None"/>
          <w:lang w:val="fr-FR"/>
        </w:rPr>
        <w:t>sans emploi</w:t>
      </w:r>
      <w:r w:rsidRPr="00D60B51">
        <w:rPr>
          <w:rStyle w:val="None"/>
          <w:lang w:val="fr-FR"/>
        </w:rPr>
        <w:t xml:space="preserve">, </w:t>
      </w:r>
      <w:r w:rsidR="00E525AF">
        <w:rPr>
          <w:rStyle w:val="None"/>
          <w:lang w:val="fr-FR"/>
        </w:rPr>
        <w:t>ils ont beaucoup de mal à se nourrir et ne recevraient aucune aide des associations humanitaires ou de l’État</w:t>
      </w:r>
      <w:r w:rsidRPr="00D60B51">
        <w:rPr>
          <w:rStyle w:val="None"/>
          <w:lang w:val="fr-FR"/>
        </w:rPr>
        <w:t xml:space="preserve">. </w:t>
      </w:r>
      <w:r w:rsidR="00E525AF">
        <w:rPr>
          <w:rStyle w:val="None"/>
          <w:lang w:val="fr-FR"/>
        </w:rPr>
        <w:t>Sans domicile fixe, ils dormiraient à même le sol près des immondices et n’auraient accès ni à l’eau potable ni à des toilettes en état de fonctionnement</w:t>
      </w:r>
      <w:r w:rsidRPr="00D60B51">
        <w:rPr>
          <w:rStyle w:val="None"/>
          <w:lang w:val="fr-FR"/>
        </w:rPr>
        <w:t xml:space="preserve">. </w:t>
      </w:r>
      <w:r w:rsidR="00E525AF">
        <w:rPr>
          <w:rStyle w:val="None"/>
          <w:lang w:val="fr-FR"/>
        </w:rPr>
        <w:t xml:space="preserve">En ce qui concerne l’accès aux médicaments et aux traitements médicaux, les demandeurs ont indiqué que plusieurs difficultés se présentaient : tout d’abord, </w:t>
      </w:r>
      <w:r w:rsidR="00F630E4">
        <w:rPr>
          <w:rStyle w:val="None"/>
          <w:lang w:val="fr-FR"/>
        </w:rPr>
        <w:t>parce qu’</w:t>
      </w:r>
      <w:r w:rsidR="00E525AF">
        <w:rPr>
          <w:rStyle w:val="None"/>
          <w:lang w:val="fr-FR"/>
        </w:rPr>
        <w:t xml:space="preserve">il n’existe aucun </w:t>
      </w:r>
      <w:r w:rsidR="00E525AF">
        <w:rPr>
          <w:rStyle w:val="None"/>
          <w:lang w:val="fr-FR"/>
        </w:rPr>
        <w:lastRenderedPageBreak/>
        <w:t xml:space="preserve">hôpital opérationnel dans le quartier de </w:t>
      </w:r>
      <w:r w:rsidRPr="00D60B51">
        <w:rPr>
          <w:rStyle w:val="None"/>
          <w:i/>
          <w:iCs/>
          <w:lang w:val="fr-FR"/>
        </w:rPr>
        <w:t>La Saline</w:t>
      </w:r>
      <w:r w:rsidR="00E525AF">
        <w:rPr>
          <w:rStyle w:val="None"/>
          <w:lang w:val="fr-FR"/>
        </w:rPr>
        <w:t> </w:t>
      </w:r>
      <w:r w:rsidRPr="00D60B51">
        <w:rPr>
          <w:rStyle w:val="None"/>
          <w:lang w:val="fr-FR"/>
        </w:rPr>
        <w:t xml:space="preserve">; </w:t>
      </w:r>
      <w:r w:rsidR="00E525AF">
        <w:rPr>
          <w:rStyle w:val="None"/>
          <w:lang w:val="fr-FR"/>
        </w:rPr>
        <w:t xml:space="preserve">ensuite, </w:t>
      </w:r>
      <w:r w:rsidR="00F630E4">
        <w:rPr>
          <w:rStyle w:val="None"/>
          <w:lang w:val="fr-FR"/>
        </w:rPr>
        <w:t xml:space="preserve">parce que </w:t>
      </w:r>
      <w:r w:rsidR="00E525AF">
        <w:rPr>
          <w:rStyle w:val="None"/>
          <w:lang w:val="fr-FR"/>
        </w:rPr>
        <w:t xml:space="preserve">les hôpitaux les plus proches sont payants et </w:t>
      </w:r>
      <w:r w:rsidR="00BB4A90">
        <w:rPr>
          <w:rStyle w:val="None"/>
          <w:lang w:val="fr-FR"/>
        </w:rPr>
        <w:t xml:space="preserve">que </w:t>
      </w:r>
      <w:r w:rsidR="00E525AF">
        <w:rPr>
          <w:rStyle w:val="None"/>
          <w:lang w:val="fr-FR"/>
        </w:rPr>
        <w:t xml:space="preserve">les bénéficiaires proposés ne pourraient </w:t>
      </w:r>
      <w:r w:rsidR="00F630E4">
        <w:rPr>
          <w:rStyle w:val="None"/>
          <w:lang w:val="fr-FR"/>
        </w:rPr>
        <w:t xml:space="preserve">assumer le coût des services de santé ou du transport ; la situation des enfants et des femmes agressées sexuellement est particulièrement préoccupante </w:t>
      </w:r>
      <w:r w:rsidR="00DC1F25">
        <w:rPr>
          <w:rStyle w:val="None"/>
          <w:lang w:val="fr-FR"/>
        </w:rPr>
        <w:t>faute d’</w:t>
      </w:r>
      <w:r w:rsidR="00F630E4">
        <w:rPr>
          <w:rStyle w:val="None"/>
          <w:lang w:val="fr-FR"/>
        </w:rPr>
        <w:t>accès à un traitement médical approprié et opportun</w:t>
      </w:r>
      <w:r w:rsidRPr="00D60B51">
        <w:rPr>
          <w:rStyle w:val="None"/>
          <w:lang w:val="fr-FR"/>
        </w:rPr>
        <w:t xml:space="preserve">. </w:t>
      </w:r>
    </w:p>
    <w:p w:rsidR="00A631D2" w:rsidRPr="00D60B51" w:rsidRDefault="00A631D2" w:rsidP="0020020F">
      <w:pPr>
        <w:tabs>
          <w:tab w:val="num" w:pos="450"/>
        </w:tabs>
        <w:ind w:firstLine="0"/>
        <w:rPr>
          <w:lang w:val="fr-FR"/>
        </w:rPr>
      </w:pPr>
    </w:p>
    <w:p w:rsidR="00257B10" w:rsidRPr="00D60B51" w:rsidRDefault="00684716" w:rsidP="0020020F">
      <w:pPr>
        <w:numPr>
          <w:ilvl w:val="0"/>
          <w:numId w:val="4"/>
        </w:numPr>
        <w:tabs>
          <w:tab w:val="clear" w:pos="720"/>
          <w:tab w:val="num" w:pos="450"/>
        </w:tabs>
        <w:ind w:left="0"/>
        <w:rPr>
          <w:lang w:val="fr-FR"/>
        </w:rPr>
      </w:pPr>
      <w:r>
        <w:rPr>
          <w:rStyle w:val="None"/>
          <w:lang w:val="fr-FR"/>
        </w:rPr>
        <w:t>Enfin</w:t>
      </w:r>
      <w:r w:rsidR="00430088" w:rsidRPr="00D60B51">
        <w:rPr>
          <w:rStyle w:val="None"/>
          <w:lang w:val="fr-FR"/>
        </w:rPr>
        <w:t>, l</w:t>
      </w:r>
      <w:r>
        <w:rPr>
          <w:rStyle w:val="None"/>
          <w:lang w:val="fr-FR"/>
        </w:rPr>
        <w:t xml:space="preserve">es demandeurs ont indiqué que, malgré les plaintes déposées devant les autorités compétentes, l’enquête sur </w:t>
      </w:r>
      <w:proofErr w:type="gramStart"/>
      <w:r>
        <w:rPr>
          <w:rStyle w:val="None"/>
          <w:lang w:val="fr-FR"/>
        </w:rPr>
        <w:t>les faits lancée</w:t>
      </w:r>
      <w:proofErr w:type="gramEnd"/>
      <w:r>
        <w:rPr>
          <w:rStyle w:val="None"/>
          <w:lang w:val="fr-FR"/>
        </w:rPr>
        <w:t xml:space="preserve"> en avril 2019 et dont est chargé le juge d’instruction est actuellement suspendue en raison de certaines pressions et d’un incident de récusation</w:t>
      </w:r>
      <w:r w:rsidR="00080422">
        <w:rPr>
          <w:rStyle w:val="None"/>
          <w:lang w:val="fr-FR"/>
        </w:rPr>
        <w:t xml:space="preserve"> et que p</w:t>
      </w:r>
      <w:r w:rsidR="00C05D8C">
        <w:rPr>
          <w:rStyle w:val="None"/>
          <w:lang w:val="fr-FR"/>
        </w:rPr>
        <w:t>lusieurs années pourraient s’écouler avant que la Cour de cassation ne rende sa décision</w:t>
      </w:r>
      <w:r w:rsidR="00430088" w:rsidRPr="00D60B51">
        <w:rPr>
          <w:rStyle w:val="None"/>
          <w:lang w:val="fr-FR"/>
        </w:rPr>
        <w:t xml:space="preserve">. </w:t>
      </w:r>
      <w:r w:rsidR="00D01471">
        <w:rPr>
          <w:rStyle w:val="None"/>
          <w:lang w:val="fr-FR"/>
        </w:rPr>
        <w:t xml:space="preserve">Pendant ce temps, les </w:t>
      </w:r>
      <w:proofErr w:type="gramStart"/>
      <w:r w:rsidR="00D01471">
        <w:rPr>
          <w:rStyle w:val="None"/>
          <w:lang w:val="fr-FR"/>
        </w:rPr>
        <w:t>autorités se serviraient de personnes</w:t>
      </w:r>
      <w:proofErr w:type="gramEnd"/>
      <w:r w:rsidR="00D01471">
        <w:rPr>
          <w:rStyle w:val="None"/>
          <w:lang w:val="fr-FR"/>
        </w:rPr>
        <w:t xml:space="preserve"> – qualifiées de « boucliers humains » par les demandeurs </w:t>
      </w:r>
      <w:r w:rsidR="00430088" w:rsidRPr="00D60B51">
        <w:rPr>
          <w:rStyle w:val="None"/>
          <w:lang w:val="fr-FR"/>
        </w:rPr>
        <w:t>– p</w:t>
      </w:r>
      <w:r w:rsidR="00D01471">
        <w:rPr>
          <w:rStyle w:val="None"/>
          <w:lang w:val="fr-FR"/>
        </w:rPr>
        <w:t xml:space="preserve">our soi-disant faire croire à la population que ces pressions proviennent </w:t>
      </w:r>
      <w:r w:rsidR="00430088" w:rsidRPr="00D60B51">
        <w:rPr>
          <w:rStyle w:val="None"/>
          <w:lang w:val="fr-FR"/>
        </w:rPr>
        <w:t xml:space="preserve">de </w:t>
      </w:r>
      <w:r w:rsidR="00430088" w:rsidRPr="00D60B51">
        <w:rPr>
          <w:rStyle w:val="None"/>
          <w:i/>
          <w:iCs/>
          <w:lang w:val="fr-FR"/>
        </w:rPr>
        <w:t>La Saline</w:t>
      </w:r>
      <w:r w:rsidR="00430088" w:rsidRPr="00D60B51">
        <w:rPr>
          <w:rStyle w:val="None"/>
          <w:lang w:val="fr-FR"/>
        </w:rPr>
        <w:t xml:space="preserve">, </w:t>
      </w:r>
      <w:r w:rsidR="00D01471">
        <w:rPr>
          <w:rStyle w:val="None"/>
          <w:lang w:val="fr-FR"/>
        </w:rPr>
        <w:t xml:space="preserve">montrer que leurs plaintes sont </w:t>
      </w:r>
      <w:r w:rsidR="00080422">
        <w:rPr>
          <w:rStyle w:val="None"/>
          <w:lang w:val="fr-FR"/>
        </w:rPr>
        <w:t>traitées</w:t>
      </w:r>
      <w:r w:rsidR="00D01471">
        <w:rPr>
          <w:rStyle w:val="None"/>
          <w:lang w:val="fr-FR"/>
        </w:rPr>
        <w:t xml:space="preserve"> comme il se doit et donner l’impression </w:t>
      </w:r>
      <w:r w:rsidR="00F51D2D">
        <w:rPr>
          <w:rStyle w:val="None"/>
          <w:lang w:val="fr-FR"/>
        </w:rPr>
        <w:t>d’assumer les conséquences du massacre présumé de novembre 2018</w:t>
      </w:r>
      <w:r w:rsidR="00430088" w:rsidRPr="00D60B51">
        <w:rPr>
          <w:rStyle w:val="None"/>
          <w:lang w:val="fr-FR"/>
        </w:rPr>
        <w:t xml:space="preserve">. </w:t>
      </w:r>
    </w:p>
    <w:p w:rsidR="00257B10" w:rsidRPr="00D60B51" w:rsidRDefault="00257B10" w:rsidP="0020020F">
      <w:pPr>
        <w:ind w:left="360" w:firstLine="0"/>
        <w:rPr>
          <w:rStyle w:val="None"/>
          <w:lang w:val="fr-FR"/>
        </w:rPr>
      </w:pPr>
    </w:p>
    <w:p w:rsidR="00257B10" w:rsidRPr="00D60B51" w:rsidRDefault="003659AE" w:rsidP="0020020F">
      <w:pPr>
        <w:numPr>
          <w:ilvl w:val="0"/>
          <w:numId w:val="9"/>
        </w:numPr>
        <w:rPr>
          <w:b/>
          <w:bCs/>
          <w:lang w:val="fr-FR"/>
        </w:rPr>
      </w:pPr>
      <w:r>
        <w:rPr>
          <w:rStyle w:val="None"/>
          <w:b/>
          <w:bCs/>
          <w:lang w:val="fr-FR"/>
        </w:rPr>
        <w:t>Réponse de l’État</w:t>
      </w:r>
    </w:p>
    <w:p w:rsidR="00257B10" w:rsidRPr="00D60B51" w:rsidRDefault="00257B10" w:rsidP="0020020F">
      <w:pPr>
        <w:rPr>
          <w:rStyle w:val="None"/>
          <w:lang w:val="fr-FR"/>
        </w:rPr>
      </w:pPr>
    </w:p>
    <w:p w:rsidR="00257B10" w:rsidRPr="00D60B51" w:rsidRDefault="001152D6" w:rsidP="0020020F">
      <w:pPr>
        <w:numPr>
          <w:ilvl w:val="0"/>
          <w:numId w:val="10"/>
        </w:numPr>
        <w:tabs>
          <w:tab w:val="clear" w:pos="720"/>
          <w:tab w:val="num" w:pos="450"/>
        </w:tabs>
        <w:ind w:left="0"/>
        <w:rPr>
          <w:lang w:val="fr-FR"/>
        </w:rPr>
      </w:pPr>
      <w:r>
        <w:rPr>
          <w:rStyle w:val="None"/>
          <w:lang w:val="fr-FR"/>
        </w:rPr>
        <w:t xml:space="preserve">Le </w:t>
      </w:r>
      <w:r w:rsidRPr="00D60B51">
        <w:rPr>
          <w:rStyle w:val="None"/>
          <w:lang w:val="fr-FR"/>
        </w:rPr>
        <w:t xml:space="preserve">23 </w:t>
      </w:r>
      <w:r>
        <w:rPr>
          <w:rStyle w:val="None"/>
          <w:lang w:val="fr-FR"/>
        </w:rPr>
        <w:t>août 2019, l</w:t>
      </w:r>
      <w:r w:rsidR="00430088" w:rsidRPr="00D60B51">
        <w:rPr>
          <w:rStyle w:val="None"/>
          <w:lang w:val="fr-FR"/>
        </w:rPr>
        <w:t>a Com</w:t>
      </w:r>
      <w:r>
        <w:rPr>
          <w:rStyle w:val="None"/>
          <w:lang w:val="fr-FR"/>
        </w:rPr>
        <w:t>m</w:t>
      </w:r>
      <w:r w:rsidR="00430088" w:rsidRPr="00D60B51">
        <w:rPr>
          <w:rStyle w:val="None"/>
          <w:lang w:val="fr-FR"/>
        </w:rPr>
        <w:t>is</w:t>
      </w:r>
      <w:r>
        <w:rPr>
          <w:rStyle w:val="None"/>
          <w:lang w:val="fr-FR"/>
        </w:rPr>
        <w:t>sio</w:t>
      </w:r>
      <w:r w:rsidR="00430088" w:rsidRPr="00D60B51">
        <w:rPr>
          <w:rStyle w:val="None"/>
          <w:lang w:val="fr-FR"/>
        </w:rPr>
        <w:t xml:space="preserve">n </w:t>
      </w:r>
      <w:r>
        <w:rPr>
          <w:rStyle w:val="None"/>
          <w:lang w:val="fr-FR"/>
        </w:rPr>
        <w:t xml:space="preserve">a adressé à l’État une demande d’informations assortie d’un délai de réponse de dix jours. Les 16 septembre et 16 décembre, </w:t>
      </w:r>
      <w:r w:rsidR="00430088" w:rsidRPr="00D60B51">
        <w:rPr>
          <w:rStyle w:val="None"/>
          <w:lang w:val="fr-FR"/>
        </w:rPr>
        <w:t xml:space="preserve">en </w:t>
      </w:r>
      <w:r>
        <w:rPr>
          <w:rStyle w:val="None"/>
          <w:lang w:val="fr-FR"/>
        </w:rPr>
        <w:t>l’absence de réponse, elle a réitéré sa demande en enjoignant l’État de répondre respectivement dans un délai de sept et quatre jours</w:t>
      </w:r>
      <w:r w:rsidR="00430088" w:rsidRPr="00D60B51">
        <w:rPr>
          <w:rStyle w:val="None"/>
          <w:lang w:val="fr-FR"/>
        </w:rPr>
        <w:t xml:space="preserve">. </w:t>
      </w:r>
      <w:r>
        <w:rPr>
          <w:rStyle w:val="None"/>
          <w:lang w:val="fr-FR"/>
        </w:rPr>
        <w:t>À ce jour, l’État n’a communiqué aucune réponse</w:t>
      </w:r>
      <w:r w:rsidR="00430088" w:rsidRPr="00D60B51">
        <w:rPr>
          <w:rStyle w:val="None"/>
          <w:lang w:val="fr-FR"/>
        </w:rPr>
        <w:t xml:space="preserve">. </w:t>
      </w:r>
    </w:p>
    <w:p w:rsidR="00257B10" w:rsidRPr="00D60B51" w:rsidRDefault="00257B10" w:rsidP="0020020F">
      <w:pPr>
        <w:ind w:left="360" w:firstLine="0"/>
        <w:rPr>
          <w:rStyle w:val="None"/>
          <w:lang w:val="fr-FR"/>
        </w:rPr>
      </w:pPr>
    </w:p>
    <w:p w:rsidR="00257B10" w:rsidRPr="00D60B51" w:rsidRDefault="003659AE" w:rsidP="0020020F">
      <w:pPr>
        <w:numPr>
          <w:ilvl w:val="0"/>
          <w:numId w:val="11"/>
        </w:numPr>
        <w:rPr>
          <w:b/>
          <w:bCs/>
          <w:lang w:val="fr-FR"/>
        </w:rPr>
      </w:pPr>
      <w:r>
        <w:rPr>
          <w:rStyle w:val="None"/>
          <w:b/>
          <w:bCs/>
          <w:lang w:val="fr-FR"/>
        </w:rPr>
        <w:t xml:space="preserve"> ANALYSE DES ÉL</w:t>
      </w:r>
      <w:r>
        <w:rPr>
          <w:rStyle w:val="None"/>
          <w:rFonts w:ascii="Times New Roman" w:hAnsi="Times New Roman" w:cs="Times New Roman"/>
          <w:b/>
          <w:bCs/>
          <w:lang w:val="fr-FR"/>
        </w:rPr>
        <w:t>ÉMENTS DE GRAVITÉ, D’URGENCE ET D’IRRÉPARABILITÉ</w:t>
      </w:r>
    </w:p>
    <w:p w:rsidR="00257B10" w:rsidRPr="00D60B51" w:rsidRDefault="00257B10" w:rsidP="0020020F">
      <w:pPr>
        <w:rPr>
          <w:rStyle w:val="None"/>
          <w:lang w:val="fr-FR"/>
        </w:rPr>
      </w:pPr>
    </w:p>
    <w:p w:rsidR="00257B10" w:rsidRPr="00D60B51" w:rsidRDefault="00AE3811" w:rsidP="0020020F">
      <w:pPr>
        <w:numPr>
          <w:ilvl w:val="0"/>
          <w:numId w:val="10"/>
        </w:numPr>
        <w:tabs>
          <w:tab w:val="clear" w:pos="720"/>
          <w:tab w:val="num" w:pos="450"/>
        </w:tabs>
        <w:ind w:left="0"/>
        <w:rPr>
          <w:lang w:val="fr-FR"/>
        </w:rPr>
      </w:pPr>
      <w:r>
        <w:rPr>
          <w:rStyle w:val="None"/>
          <w:lang w:val="fr-FR"/>
        </w:rPr>
        <w:t xml:space="preserve">Le mécanisme de mesures conservatoires fait partie de la principale fonction de la Commission qui consiste à </w:t>
      </w:r>
      <w:r w:rsidR="008E6F2E">
        <w:rPr>
          <w:rStyle w:val="None"/>
          <w:lang w:val="fr-FR"/>
        </w:rPr>
        <w:t>suivre</w:t>
      </w:r>
      <w:r>
        <w:rPr>
          <w:rStyle w:val="None"/>
          <w:lang w:val="fr-FR"/>
        </w:rPr>
        <w:t xml:space="preserve"> le respect des obligations des droits humains établies à l’article 106 de la Charte de l’Organisation des États Américains. Les attributions </w:t>
      </w:r>
      <w:r w:rsidR="0052429E">
        <w:rPr>
          <w:rStyle w:val="None"/>
          <w:lang w:val="fr-FR"/>
        </w:rPr>
        <w:t xml:space="preserve">générales de la Commission en matière de </w:t>
      </w:r>
      <w:r w:rsidR="008E6F2E">
        <w:rPr>
          <w:rStyle w:val="None"/>
          <w:lang w:val="fr-FR"/>
        </w:rPr>
        <w:t>suivi</w:t>
      </w:r>
      <w:r w:rsidR="0052429E">
        <w:rPr>
          <w:rStyle w:val="None"/>
          <w:lang w:val="fr-FR"/>
        </w:rPr>
        <w:t xml:space="preserve"> du respect des droits humains sont, pour leur part, établies à l’article </w:t>
      </w:r>
      <w:r>
        <w:rPr>
          <w:rStyle w:val="None"/>
          <w:lang w:val="fr-FR"/>
        </w:rPr>
        <w:t xml:space="preserve">18 (b) </w:t>
      </w:r>
      <w:r w:rsidR="0052429E">
        <w:rPr>
          <w:rStyle w:val="None"/>
          <w:lang w:val="fr-FR"/>
        </w:rPr>
        <w:t>du Statut</w:t>
      </w:r>
      <w:r>
        <w:rPr>
          <w:rStyle w:val="None"/>
          <w:lang w:val="fr-FR"/>
        </w:rPr>
        <w:t xml:space="preserve"> de la CIDH tandis que le mécanisme de mesures conservatoires est décrit à l’article 25 du Règlement de la Commission</w:t>
      </w:r>
      <w:r w:rsidR="00430088" w:rsidRPr="00D60B51">
        <w:rPr>
          <w:rStyle w:val="None"/>
          <w:lang w:val="fr-FR"/>
        </w:rPr>
        <w:t xml:space="preserve">. </w:t>
      </w:r>
      <w:r>
        <w:rPr>
          <w:rStyle w:val="None"/>
          <w:lang w:val="fr-FR"/>
        </w:rPr>
        <w:t xml:space="preserve">Conformément audit article, elle octroie des mesures conservatoires dans des situations graves et </w:t>
      </w:r>
      <w:r w:rsidR="00430088" w:rsidRPr="00D60B51">
        <w:rPr>
          <w:rStyle w:val="None"/>
          <w:lang w:val="fr-FR"/>
        </w:rPr>
        <w:t>urgentes</w:t>
      </w:r>
      <w:r>
        <w:rPr>
          <w:rStyle w:val="None"/>
          <w:lang w:val="fr-FR"/>
        </w:rPr>
        <w:t xml:space="preserve"> et dans lesquelles ces mesures sont nécessaires pour prévenir un dommage irré</w:t>
      </w:r>
      <w:r w:rsidR="00430088" w:rsidRPr="00D60B51">
        <w:rPr>
          <w:rStyle w:val="None"/>
          <w:lang w:val="fr-FR"/>
        </w:rPr>
        <w:t xml:space="preserve">parable. </w:t>
      </w:r>
    </w:p>
    <w:p w:rsidR="00257B10" w:rsidRPr="00D60B51" w:rsidRDefault="00257B10" w:rsidP="0020020F">
      <w:pPr>
        <w:tabs>
          <w:tab w:val="num" w:pos="450"/>
        </w:tabs>
        <w:ind w:firstLine="0"/>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La Co</w:t>
      </w:r>
      <w:r w:rsidR="001A336C">
        <w:rPr>
          <w:rStyle w:val="None"/>
          <w:lang w:val="fr-FR"/>
        </w:rPr>
        <w:t>mmission interaméricaine et la Cour interaméricaine des droits de l’Homme (ci-après « </w:t>
      </w:r>
      <w:r w:rsidRPr="00D60B51">
        <w:rPr>
          <w:rStyle w:val="None"/>
          <w:lang w:val="fr-FR"/>
        </w:rPr>
        <w:t>la Co</w:t>
      </w:r>
      <w:r w:rsidR="001A336C">
        <w:rPr>
          <w:rStyle w:val="None"/>
          <w:lang w:val="fr-FR"/>
        </w:rPr>
        <w:t>ur interaméricaine » ou « la CIDH »</w:t>
      </w:r>
      <w:r w:rsidRPr="00D60B51">
        <w:rPr>
          <w:rStyle w:val="None"/>
          <w:lang w:val="fr-FR"/>
        </w:rPr>
        <w:t xml:space="preserve">) </w:t>
      </w:r>
      <w:r w:rsidR="00FE5B80">
        <w:rPr>
          <w:rStyle w:val="None"/>
          <w:lang w:val="fr-FR"/>
        </w:rPr>
        <w:t xml:space="preserve">ont établi </w:t>
      </w:r>
      <w:r w:rsidR="00E97E0E">
        <w:rPr>
          <w:rStyle w:val="None"/>
          <w:lang w:val="fr-FR"/>
        </w:rPr>
        <w:t>de manière réitérée</w:t>
      </w:r>
      <w:r w:rsidR="00FE5B80">
        <w:rPr>
          <w:rStyle w:val="None"/>
          <w:lang w:val="fr-FR"/>
        </w:rPr>
        <w:t xml:space="preserve"> que les mesures</w:t>
      </w:r>
      <w:r w:rsidR="00E97E0E">
        <w:rPr>
          <w:rStyle w:val="None"/>
          <w:lang w:val="fr-FR"/>
        </w:rPr>
        <w:t xml:space="preserve"> conservatoires et provisoires présent</w:t>
      </w:r>
      <w:r w:rsidR="00FE5B80">
        <w:rPr>
          <w:rStyle w:val="None"/>
          <w:lang w:val="fr-FR"/>
        </w:rPr>
        <w:t>ent un double caractère</w:t>
      </w:r>
      <w:r w:rsidR="00E97E0E">
        <w:rPr>
          <w:rStyle w:val="None"/>
          <w:lang w:val="fr-FR"/>
        </w:rPr>
        <w:t> : un caractère de précaution et un caractère de protection</w:t>
      </w:r>
      <w:r w:rsidRPr="00D60B51">
        <w:rPr>
          <w:rStyle w:val="None"/>
          <w:lang w:val="fr-FR"/>
        </w:rPr>
        <w:t xml:space="preserve">. </w:t>
      </w:r>
      <w:r w:rsidR="00FE5B80">
        <w:rPr>
          <w:rStyle w:val="None"/>
          <w:lang w:val="fr-FR"/>
        </w:rPr>
        <w:t xml:space="preserve">En ce qui concerne le caractère </w:t>
      </w:r>
      <w:r w:rsidR="008E6F2E">
        <w:rPr>
          <w:rStyle w:val="None"/>
          <w:lang w:val="fr-FR"/>
        </w:rPr>
        <w:t xml:space="preserve">de </w:t>
      </w:r>
      <w:r w:rsidR="00E97E0E">
        <w:rPr>
          <w:rStyle w:val="None"/>
          <w:lang w:val="fr-FR"/>
        </w:rPr>
        <w:t>protection</w:t>
      </w:r>
      <w:r w:rsidR="00FE5B80">
        <w:rPr>
          <w:rStyle w:val="None"/>
          <w:lang w:val="fr-FR"/>
        </w:rPr>
        <w:t xml:space="preserve">, les mesures </w:t>
      </w:r>
      <w:r w:rsidR="00E97E0E">
        <w:rPr>
          <w:rStyle w:val="None"/>
          <w:lang w:val="fr-FR"/>
        </w:rPr>
        <w:t xml:space="preserve">conservatoires </w:t>
      </w:r>
      <w:r w:rsidR="00FE5B80">
        <w:rPr>
          <w:rStyle w:val="None"/>
          <w:lang w:val="fr-FR"/>
        </w:rPr>
        <w:t xml:space="preserve">visent à </w:t>
      </w:r>
      <w:r w:rsidR="00E97E0E">
        <w:rPr>
          <w:rStyle w:val="None"/>
          <w:lang w:val="fr-FR"/>
        </w:rPr>
        <w:t>prévenir</w:t>
      </w:r>
      <w:r w:rsidR="00FE5B80">
        <w:rPr>
          <w:rStyle w:val="None"/>
          <w:lang w:val="fr-FR"/>
        </w:rPr>
        <w:t xml:space="preserve"> un dommage irréparable et à garantir l’exercice des droits humains. </w:t>
      </w:r>
      <w:r w:rsidR="00D23970">
        <w:rPr>
          <w:rStyle w:val="None"/>
          <w:lang w:val="fr-FR"/>
        </w:rPr>
        <w:t xml:space="preserve">Pour ce qui est du caractère </w:t>
      </w:r>
      <w:r w:rsidR="00E97E0E">
        <w:rPr>
          <w:rStyle w:val="None"/>
          <w:lang w:val="fr-FR"/>
        </w:rPr>
        <w:t>de précaution</w:t>
      </w:r>
      <w:r w:rsidR="00D23970">
        <w:rPr>
          <w:rStyle w:val="None"/>
          <w:lang w:val="fr-FR"/>
        </w:rPr>
        <w:t xml:space="preserve">, les mesures </w:t>
      </w:r>
      <w:r w:rsidR="00E97E0E">
        <w:rPr>
          <w:rStyle w:val="None"/>
          <w:lang w:val="fr-FR"/>
        </w:rPr>
        <w:t xml:space="preserve">conservatoires </w:t>
      </w:r>
      <w:r w:rsidR="00D23970">
        <w:rPr>
          <w:rStyle w:val="None"/>
          <w:lang w:val="fr-FR"/>
        </w:rPr>
        <w:t>visent à préserver une situation juridique pendant qu’elle est examinée par la CIDH</w:t>
      </w:r>
      <w:r w:rsidRPr="00D60B51">
        <w:rPr>
          <w:rStyle w:val="None"/>
          <w:lang w:val="fr-FR"/>
        </w:rPr>
        <w:t xml:space="preserve">. </w:t>
      </w:r>
      <w:r w:rsidR="00D23970">
        <w:rPr>
          <w:rStyle w:val="None"/>
          <w:lang w:val="fr-FR"/>
        </w:rPr>
        <w:t xml:space="preserve">Le caractère </w:t>
      </w:r>
      <w:r w:rsidR="00E97E0E">
        <w:rPr>
          <w:rStyle w:val="None"/>
          <w:lang w:val="fr-FR"/>
        </w:rPr>
        <w:t>de précaution</w:t>
      </w:r>
      <w:r w:rsidR="00D23970">
        <w:rPr>
          <w:rStyle w:val="None"/>
          <w:lang w:val="fr-FR"/>
        </w:rPr>
        <w:t xml:space="preserve"> a pour </w:t>
      </w:r>
      <w:r w:rsidR="00E97E0E">
        <w:rPr>
          <w:rStyle w:val="None"/>
          <w:lang w:val="fr-FR"/>
        </w:rPr>
        <w:t xml:space="preserve">objectif et finalité </w:t>
      </w:r>
      <w:r w:rsidR="00D23970">
        <w:rPr>
          <w:rStyle w:val="None"/>
          <w:lang w:val="fr-FR"/>
        </w:rPr>
        <w:t xml:space="preserve">de protéger les droits </w:t>
      </w:r>
      <w:r w:rsidR="00E97E0E">
        <w:rPr>
          <w:rStyle w:val="None"/>
          <w:lang w:val="fr-FR"/>
        </w:rPr>
        <w:t>susceptibles d’être</w:t>
      </w:r>
      <w:r w:rsidR="00D23970">
        <w:rPr>
          <w:rStyle w:val="None"/>
          <w:lang w:val="fr-FR"/>
        </w:rPr>
        <w:t xml:space="preserve"> menacés</w:t>
      </w:r>
      <w:r w:rsidR="00E97E0E">
        <w:rPr>
          <w:rStyle w:val="None"/>
          <w:lang w:val="fr-FR"/>
        </w:rPr>
        <w:t>, et ce,</w:t>
      </w:r>
      <w:r w:rsidR="00D23970">
        <w:rPr>
          <w:rStyle w:val="None"/>
          <w:lang w:val="fr-FR"/>
        </w:rPr>
        <w:t xml:space="preserve"> jusqu’à la</w:t>
      </w:r>
      <w:r w:rsidR="00E97E0E">
        <w:rPr>
          <w:rStyle w:val="None"/>
          <w:lang w:val="fr-FR"/>
        </w:rPr>
        <w:t xml:space="preserve"> résolution de la pétition qui fait l’objet d’un examen au sein du Système interaméricain</w:t>
      </w:r>
      <w:r w:rsidRPr="00D60B51">
        <w:rPr>
          <w:rStyle w:val="None"/>
          <w:lang w:val="fr-FR"/>
        </w:rPr>
        <w:t>. S</w:t>
      </w:r>
      <w:r w:rsidR="00E97E0E">
        <w:rPr>
          <w:rStyle w:val="None"/>
          <w:lang w:val="fr-FR"/>
        </w:rPr>
        <w:t>on objectif et sa finalité consistent à garantir l’intégrité et l’effectivité de la décision de fond et, ainsi, à éviter de porter atteinte aux droits exercés, situation qui pourrait rendre sans effet la décision finale ou en dénaturer l’effet utile</w:t>
      </w:r>
      <w:r w:rsidRPr="00D60B51">
        <w:rPr>
          <w:rStyle w:val="None"/>
          <w:lang w:val="fr-FR"/>
        </w:rPr>
        <w:t xml:space="preserve">. </w:t>
      </w:r>
      <w:r w:rsidR="00E074F4">
        <w:rPr>
          <w:rStyle w:val="None"/>
          <w:lang w:val="fr-FR"/>
        </w:rPr>
        <w:t>Dans ce sens</w:t>
      </w:r>
      <w:r w:rsidRPr="00D60B51">
        <w:rPr>
          <w:rStyle w:val="None"/>
          <w:lang w:val="fr-FR"/>
        </w:rPr>
        <w:t>, l</w:t>
      </w:r>
      <w:r w:rsidR="00E074F4">
        <w:rPr>
          <w:rStyle w:val="None"/>
          <w:lang w:val="fr-FR"/>
        </w:rPr>
        <w:t>es mesures conservatoires ou provisoires permettent à l’État concerné d’exécuter la décision finale et, en cas de nécessité, de s’acquitter des réparations exigées</w:t>
      </w:r>
      <w:r w:rsidRPr="00D60B51">
        <w:rPr>
          <w:rStyle w:val="None"/>
          <w:lang w:val="fr-FR"/>
        </w:rPr>
        <w:t xml:space="preserve">. </w:t>
      </w:r>
      <w:r w:rsidR="00E074F4">
        <w:rPr>
          <w:rStyle w:val="None"/>
          <w:lang w:val="fr-FR"/>
        </w:rPr>
        <w:t>Aux effets de prendre une décision, et conformément à l’article 25.2 de son</w:t>
      </w:r>
      <w:r w:rsidRPr="00D60B51">
        <w:rPr>
          <w:rStyle w:val="None"/>
          <w:lang w:val="fr-FR"/>
        </w:rPr>
        <w:t xml:space="preserve"> R</w:t>
      </w:r>
      <w:r w:rsidR="00E074F4">
        <w:rPr>
          <w:rStyle w:val="None"/>
          <w:lang w:val="fr-FR"/>
        </w:rPr>
        <w:t>èglement, la Commission estime ce qui suit </w:t>
      </w:r>
      <w:r w:rsidRPr="00D60B51">
        <w:rPr>
          <w:rStyle w:val="None"/>
          <w:lang w:val="fr-FR"/>
        </w:rPr>
        <w:t xml:space="preserve">: </w:t>
      </w:r>
    </w:p>
    <w:p w:rsidR="00257B10" w:rsidRPr="00D60B51" w:rsidRDefault="00257B10" w:rsidP="0020020F">
      <w:pPr>
        <w:ind w:left="360" w:firstLine="0"/>
        <w:rPr>
          <w:rStyle w:val="None"/>
          <w:lang w:val="fr-FR"/>
        </w:rPr>
      </w:pPr>
    </w:p>
    <w:p w:rsidR="00257B10" w:rsidRPr="00D60B51" w:rsidRDefault="00E074F4" w:rsidP="0020020F">
      <w:pPr>
        <w:numPr>
          <w:ilvl w:val="0"/>
          <w:numId w:val="14"/>
        </w:numPr>
        <w:tabs>
          <w:tab w:val="clear" w:pos="1368"/>
          <w:tab w:val="num" w:pos="990"/>
        </w:tabs>
        <w:spacing w:before="120" w:after="120"/>
        <w:ind w:left="720" w:right="1008"/>
        <w:rPr>
          <w:sz w:val="20"/>
          <w:szCs w:val="20"/>
          <w:lang w:val="fr-FR"/>
        </w:rPr>
      </w:pPr>
      <w:r>
        <w:rPr>
          <w:rStyle w:val="None"/>
          <w:sz w:val="20"/>
          <w:szCs w:val="20"/>
          <w:lang w:val="fr-FR"/>
        </w:rPr>
        <w:t>La « gravité</w:t>
      </w:r>
      <w:r w:rsidR="00430088" w:rsidRPr="00D60B51">
        <w:rPr>
          <w:rStyle w:val="None"/>
          <w:sz w:val="20"/>
          <w:szCs w:val="20"/>
          <w:lang w:val="fr-FR"/>
        </w:rPr>
        <w:t xml:space="preserve"> de la situa</w:t>
      </w:r>
      <w:r>
        <w:rPr>
          <w:rStyle w:val="None"/>
          <w:sz w:val="20"/>
          <w:szCs w:val="20"/>
          <w:lang w:val="fr-FR"/>
        </w:rPr>
        <w:t>tion » signifie l’impact sérieux qu’une action ou omission peut avoir sur un droit protégé ou sur l’effet éventuel d’une décision pendante dans une affaire ou pétition en cours devant les organes du Sy</w:t>
      </w:r>
      <w:r w:rsidR="00430088" w:rsidRPr="00D60B51">
        <w:rPr>
          <w:rStyle w:val="None"/>
          <w:sz w:val="20"/>
          <w:szCs w:val="20"/>
          <w:lang w:val="fr-FR"/>
        </w:rPr>
        <w:t>st</w:t>
      </w:r>
      <w:r>
        <w:rPr>
          <w:rStyle w:val="None"/>
          <w:sz w:val="20"/>
          <w:szCs w:val="20"/>
          <w:lang w:val="fr-FR"/>
        </w:rPr>
        <w:t>ème interaméricain </w:t>
      </w:r>
      <w:r w:rsidR="00430088" w:rsidRPr="00D60B51">
        <w:rPr>
          <w:rStyle w:val="None"/>
          <w:sz w:val="20"/>
          <w:szCs w:val="20"/>
          <w:lang w:val="fr-FR"/>
        </w:rPr>
        <w:t xml:space="preserve">; </w:t>
      </w:r>
    </w:p>
    <w:p w:rsidR="00257B10" w:rsidRPr="00ED7621" w:rsidRDefault="00693CF3" w:rsidP="0020020F">
      <w:pPr>
        <w:numPr>
          <w:ilvl w:val="0"/>
          <w:numId w:val="14"/>
        </w:numPr>
        <w:tabs>
          <w:tab w:val="clear" w:pos="1368"/>
          <w:tab w:val="num" w:pos="990"/>
        </w:tabs>
        <w:spacing w:before="120" w:after="120"/>
        <w:ind w:left="720" w:right="1008"/>
        <w:rPr>
          <w:rStyle w:val="None"/>
          <w:lang w:val="fr-FR"/>
        </w:rPr>
      </w:pPr>
      <w:r>
        <w:rPr>
          <w:rStyle w:val="None"/>
          <w:sz w:val="20"/>
          <w:szCs w:val="20"/>
          <w:lang w:val="fr-FR"/>
        </w:rPr>
        <w:lastRenderedPageBreak/>
        <w:t>L</w:t>
      </w:r>
      <w:proofErr w:type="gramStart"/>
      <w:r>
        <w:rPr>
          <w:rStyle w:val="None"/>
          <w:sz w:val="20"/>
          <w:szCs w:val="20"/>
          <w:lang w:val="fr-FR"/>
        </w:rPr>
        <w:t>’«</w:t>
      </w:r>
      <w:proofErr w:type="gramEnd"/>
      <w:r>
        <w:rPr>
          <w:rStyle w:val="None"/>
          <w:sz w:val="20"/>
          <w:szCs w:val="20"/>
          <w:lang w:val="fr-FR"/>
        </w:rPr>
        <w:t> urgence de la situation »</w:t>
      </w:r>
      <w:r w:rsidRPr="00693CF3">
        <w:rPr>
          <w:rStyle w:val="None"/>
          <w:sz w:val="20"/>
          <w:szCs w:val="20"/>
          <w:lang w:val="fr-FR"/>
        </w:rPr>
        <w:t xml:space="preserve"> est déterminée par l’information indiquant que le risque ou la menace sont imminents et peuvent se matérialiser, ce qui exige une act</w:t>
      </w:r>
      <w:r w:rsidR="008E6F2E">
        <w:rPr>
          <w:rStyle w:val="None"/>
          <w:sz w:val="20"/>
          <w:szCs w:val="20"/>
          <w:lang w:val="fr-FR"/>
        </w:rPr>
        <w:t>ion préventive ou conservatoire ;</w:t>
      </w:r>
      <w:r w:rsidRPr="00693CF3">
        <w:rPr>
          <w:rStyle w:val="None"/>
          <w:sz w:val="20"/>
          <w:szCs w:val="20"/>
          <w:lang w:val="fr-FR"/>
        </w:rPr>
        <w:t xml:space="preserve"> et</w:t>
      </w:r>
      <w:r w:rsidR="008E6F2E">
        <w:rPr>
          <w:rStyle w:val="None"/>
          <w:sz w:val="20"/>
          <w:szCs w:val="20"/>
          <w:lang w:val="fr-FR"/>
        </w:rPr>
        <w:t>,</w:t>
      </w:r>
    </w:p>
    <w:p w:rsidR="00257B10" w:rsidRPr="00693CF3" w:rsidRDefault="00693CF3" w:rsidP="0020020F">
      <w:pPr>
        <w:numPr>
          <w:ilvl w:val="0"/>
          <w:numId w:val="14"/>
        </w:numPr>
        <w:tabs>
          <w:tab w:val="clear" w:pos="1368"/>
          <w:tab w:val="num" w:pos="990"/>
        </w:tabs>
        <w:spacing w:before="120" w:after="120"/>
        <w:ind w:left="720" w:right="1008"/>
        <w:rPr>
          <w:rStyle w:val="None"/>
        </w:rPr>
      </w:pPr>
      <w:r>
        <w:rPr>
          <w:rStyle w:val="None"/>
          <w:sz w:val="20"/>
          <w:szCs w:val="20"/>
          <w:lang w:val="fr-FR"/>
        </w:rPr>
        <w:t>Le</w:t>
      </w:r>
      <w:r w:rsidR="00430088" w:rsidRPr="00D60B51">
        <w:rPr>
          <w:rStyle w:val="None"/>
          <w:sz w:val="20"/>
          <w:szCs w:val="20"/>
          <w:lang w:val="fr-FR"/>
        </w:rPr>
        <w:t xml:space="preserve"> </w:t>
      </w:r>
      <w:r>
        <w:rPr>
          <w:rStyle w:val="None"/>
          <w:sz w:val="20"/>
          <w:szCs w:val="20"/>
          <w:lang w:val="fr-FR"/>
        </w:rPr>
        <w:t>« dommage irréparable »</w:t>
      </w:r>
      <w:r w:rsidRPr="00693CF3">
        <w:rPr>
          <w:rStyle w:val="None"/>
          <w:sz w:val="20"/>
          <w:szCs w:val="20"/>
          <w:lang w:val="fr-FR"/>
        </w:rPr>
        <w:t xml:space="preserve"> signifie l'effet adverse sur les droits qui, en raison de sa nature, ne sont pas susceptibles de réparation, de restauration ou d’être indemnisés de manière adéquate</w:t>
      </w:r>
      <w:r>
        <w:rPr>
          <w:rStyle w:val="None"/>
          <w:sz w:val="20"/>
          <w:szCs w:val="20"/>
          <w:lang w:val="fr-FR"/>
        </w:rPr>
        <w:t>.</w:t>
      </w:r>
    </w:p>
    <w:p w:rsidR="00257B10" w:rsidRPr="00D60B51" w:rsidRDefault="00257B10" w:rsidP="0020020F">
      <w:pPr>
        <w:rPr>
          <w:rStyle w:val="None"/>
          <w:lang w:val="fr-FR"/>
        </w:rPr>
      </w:pPr>
    </w:p>
    <w:p w:rsidR="00257B10" w:rsidRPr="00D60B51" w:rsidRDefault="00955FE5" w:rsidP="0020020F">
      <w:pPr>
        <w:numPr>
          <w:ilvl w:val="0"/>
          <w:numId w:val="4"/>
        </w:numPr>
        <w:tabs>
          <w:tab w:val="clear" w:pos="720"/>
          <w:tab w:val="num" w:pos="450"/>
        </w:tabs>
        <w:ind w:left="0"/>
        <w:rPr>
          <w:lang w:val="fr-FR"/>
        </w:rPr>
      </w:pPr>
      <w:r>
        <w:rPr>
          <w:rStyle w:val="None"/>
          <w:lang w:val="fr-FR"/>
        </w:rPr>
        <w:t xml:space="preserve">Dans l’analyse des conditions mentionnées, la Commission réitère que les faits justifiant une demande de mesures conservatoires ne nécessitent pas une vérification complète. Cependant, ils nécessitent un minimum de détails et d’informations qui permettent d’apprécier, au vu du principe </w:t>
      </w:r>
      <w:r w:rsidRPr="00D60B51">
        <w:rPr>
          <w:rStyle w:val="None"/>
          <w:i/>
          <w:iCs/>
          <w:lang w:val="fr-FR"/>
        </w:rPr>
        <w:t xml:space="preserve">prima </w:t>
      </w:r>
      <w:proofErr w:type="spellStart"/>
      <w:r w:rsidRPr="00D60B51">
        <w:rPr>
          <w:rStyle w:val="None"/>
          <w:i/>
          <w:iCs/>
          <w:lang w:val="fr-FR"/>
        </w:rPr>
        <w:t>facie</w:t>
      </w:r>
      <w:proofErr w:type="spellEnd"/>
      <w:r w:rsidR="00801FAD">
        <w:rPr>
          <w:rStyle w:val="None"/>
          <w:lang w:val="fr-FR"/>
        </w:rPr>
        <w:t xml:space="preserve">, </w:t>
      </w:r>
      <w:r>
        <w:rPr>
          <w:rStyle w:val="None"/>
          <w:lang w:val="fr-FR"/>
        </w:rPr>
        <w:t>une situation de gravité et d’urgence</w:t>
      </w:r>
      <w:r w:rsidR="00430088" w:rsidRPr="00D60B51">
        <w:rPr>
          <w:rStyle w:val="None"/>
          <w:vertAlign w:val="superscript"/>
          <w:lang w:val="fr-FR"/>
        </w:rPr>
        <w:footnoteReference w:id="2"/>
      </w:r>
      <w:r w:rsidR="00430088" w:rsidRPr="00D60B51">
        <w:rPr>
          <w:rStyle w:val="None"/>
          <w:lang w:val="fr-FR"/>
        </w:rPr>
        <w:t>.</w:t>
      </w:r>
    </w:p>
    <w:p w:rsidR="00257B10" w:rsidRPr="00D60B51" w:rsidRDefault="00257B10" w:rsidP="0020020F">
      <w:pPr>
        <w:tabs>
          <w:tab w:val="num" w:pos="450"/>
        </w:tabs>
        <w:ind w:firstLine="0"/>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De man</w:t>
      </w:r>
      <w:r w:rsidR="001A49FB">
        <w:rPr>
          <w:rStyle w:val="None"/>
          <w:lang w:val="fr-FR"/>
        </w:rPr>
        <w:t>ière pré</w:t>
      </w:r>
      <w:r w:rsidRPr="00D60B51">
        <w:rPr>
          <w:rStyle w:val="None"/>
          <w:lang w:val="fr-FR"/>
        </w:rPr>
        <w:t>limina</w:t>
      </w:r>
      <w:r w:rsidR="001A49FB">
        <w:rPr>
          <w:rStyle w:val="None"/>
          <w:lang w:val="fr-FR"/>
        </w:rPr>
        <w:t>i</w:t>
      </w:r>
      <w:r w:rsidRPr="00D60B51">
        <w:rPr>
          <w:rStyle w:val="None"/>
          <w:lang w:val="fr-FR"/>
        </w:rPr>
        <w:t>r</w:t>
      </w:r>
      <w:r w:rsidR="001A49FB">
        <w:rPr>
          <w:rStyle w:val="None"/>
          <w:lang w:val="fr-FR"/>
        </w:rPr>
        <w:t>e</w:t>
      </w:r>
      <w:r w:rsidRPr="00D60B51">
        <w:rPr>
          <w:rStyle w:val="None"/>
          <w:lang w:val="fr-FR"/>
        </w:rPr>
        <w:t xml:space="preserve">, la </w:t>
      </w:r>
      <w:r w:rsidR="001A49FB">
        <w:rPr>
          <w:rStyle w:val="None"/>
          <w:lang w:val="fr-FR"/>
        </w:rPr>
        <w:t>Commission considère que les faits décrits par les demandeurs s’inscrivent dans un contexte de violence</w:t>
      </w:r>
      <w:r w:rsidR="00801FAD">
        <w:rPr>
          <w:rStyle w:val="None"/>
          <w:lang w:val="fr-FR"/>
        </w:rPr>
        <w:t xml:space="preserve">, lequel </w:t>
      </w:r>
      <w:r w:rsidR="001A49FB">
        <w:rPr>
          <w:rStyle w:val="None"/>
          <w:lang w:val="fr-FR"/>
        </w:rPr>
        <w:t>a été observé à maintes reprises</w:t>
      </w:r>
      <w:r w:rsidRPr="00D60B51">
        <w:rPr>
          <w:rStyle w:val="None"/>
          <w:vertAlign w:val="superscript"/>
          <w:lang w:val="fr-FR"/>
        </w:rPr>
        <w:footnoteReference w:id="3"/>
      </w:r>
      <w:r w:rsidRPr="00D60B51">
        <w:rPr>
          <w:rStyle w:val="None"/>
          <w:lang w:val="fr-FR"/>
        </w:rPr>
        <w:t xml:space="preserve">, </w:t>
      </w:r>
      <w:r w:rsidR="001A49FB">
        <w:rPr>
          <w:rStyle w:val="None"/>
          <w:lang w:val="fr-FR"/>
        </w:rPr>
        <w:t>également par les autres organisations internationales</w:t>
      </w:r>
      <w:r w:rsidRPr="00D60B51">
        <w:rPr>
          <w:rStyle w:val="None"/>
          <w:vertAlign w:val="superscript"/>
          <w:lang w:val="fr-FR"/>
        </w:rPr>
        <w:footnoteReference w:id="4"/>
      </w:r>
      <w:r w:rsidRPr="00D60B51">
        <w:rPr>
          <w:rStyle w:val="None"/>
          <w:lang w:val="fr-FR"/>
        </w:rPr>
        <w:t xml:space="preserve">. </w:t>
      </w:r>
      <w:r w:rsidR="001A49FB">
        <w:rPr>
          <w:rStyle w:val="None"/>
          <w:lang w:val="fr-FR"/>
        </w:rPr>
        <w:t xml:space="preserve">Il est certes important de prendre en considération </w:t>
      </w:r>
      <w:r w:rsidR="00801FAD">
        <w:rPr>
          <w:rStyle w:val="None"/>
          <w:lang w:val="fr-FR"/>
        </w:rPr>
        <w:t xml:space="preserve">cet élément </w:t>
      </w:r>
      <w:r w:rsidR="001A49FB">
        <w:rPr>
          <w:rStyle w:val="None"/>
          <w:lang w:val="fr-FR"/>
        </w:rPr>
        <w:t xml:space="preserve">lors de l’analyse de la situation de risque à laquelle sont exposés les bénéficiaires proposés. Cependant, il convient de préciser que </w:t>
      </w:r>
      <w:r w:rsidR="00801FAD">
        <w:rPr>
          <w:rStyle w:val="None"/>
          <w:lang w:val="fr-FR"/>
        </w:rPr>
        <w:t>la présente</w:t>
      </w:r>
      <w:r w:rsidR="001A49FB">
        <w:rPr>
          <w:rStyle w:val="None"/>
          <w:lang w:val="fr-FR"/>
        </w:rPr>
        <w:t xml:space="preserve"> ne vise pas à se prononcer sur les événements qui seraient survenus en novembre 2018</w:t>
      </w:r>
      <w:r w:rsidR="00FF360B">
        <w:rPr>
          <w:rStyle w:val="None"/>
          <w:lang w:val="fr-FR"/>
        </w:rPr>
        <w:t xml:space="preserve"> et les mois suivants afin de déterminer l’éventuelle responsabilité de l’État, le système de pétitions et d’affaires étant le mécanisme compétent pour cela. </w:t>
      </w:r>
      <w:r w:rsidR="00801FAD">
        <w:rPr>
          <w:rStyle w:val="None"/>
          <w:lang w:val="fr-FR"/>
        </w:rPr>
        <w:t>En outre</w:t>
      </w:r>
      <w:r w:rsidR="00FF360B">
        <w:rPr>
          <w:rStyle w:val="None"/>
          <w:lang w:val="fr-FR"/>
        </w:rPr>
        <w:t>, l</w:t>
      </w:r>
      <w:r w:rsidRPr="00D60B51">
        <w:rPr>
          <w:rStyle w:val="None"/>
          <w:lang w:val="fr-FR"/>
        </w:rPr>
        <w:t>a Com</w:t>
      </w:r>
      <w:r w:rsidR="00FF360B">
        <w:rPr>
          <w:rStyle w:val="None"/>
          <w:lang w:val="fr-FR"/>
        </w:rPr>
        <w:t>m</w:t>
      </w:r>
      <w:r w:rsidRPr="00D60B51">
        <w:rPr>
          <w:rStyle w:val="None"/>
          <w:lang w:val="fr-FR"/>
        </w:rPr>
        <w:t>is</w:t>
      </w:r>
      <w:r w:rsidR="00FF360B">
        <w:rPr>
          <w:rStyle w:val="None"/>
          <w:lang w:val="fr-FR"/>
        </w:rPr>
        <w:t>s</w:t>
      </w:r>
      <w:r w:rsidRPr="00D60B51">
        <w:rPr>
          <w:rStyle w:val="None"/>
          <w:lang w:val="fr-FR"/>
        </w:rPr>
        <w:t>i</w:t>
      </w:r>
      <w:r w:rsidR="00FF360B">
        <w:rPr>
          <w:rStyle w:val="None"/>
          <w:lang w:val="fr-FR"/>
        </w:rPr>
        <w:t>o</w:t>
      </w:r>
      <w:r w:rsidRPr="00D60B51">
        <w:rPr>
          <w:rStyle w:val="None"/>
          <w:lang w:val="fr-FR"/>
        </w:rPr>
        <w:t xml:space="preserve">n </w:t>
      </w:r>
      <w:r w:rsidR="00FF360B">
        <w:rPr>
          <w:rStyle w:val="None"/>
          <w:lang w:val="fr-FR"/>
        </w:rPr>
        <w:t>n’est pas en mesure d’examiner si les modalités d’enquête sur les faits présumés de l’affaire implique</w:t>
      </w:r>
      <w:r w:rsidR="004747FD">
        <w:rPr>
          <w:rStyle w:val="None"/>
          <w:lang w:val="fr-FR"/>
        </w:rPr>
        <w:t>nt</w:t>
      </w:r>
      <w:r w:rsidR="00FF360B">
        <w:rPr>
          <w:rStyle w:val="None"/>
          <w:lang w:val="fr-FR"/>
        </w:rPr>
        <w:t xml:space="preserve"> une atteinte aux droits à un procès équitable et à une protection judiciaire établis aux articles </w:t>
      </w:r>
      <w:r w:rsidRPr="00D60B51">
        <w:rPr>
          <w:rStyle w:val="None"/>
          <w:lang w:val="fr-FR"/>
        </w:rPr>
        <w:t xml:space="preserve">8 </w:t>
      </w:r>
      <w:r w:rsidR="00FF360B">
        <w:rPr>
          <w:rStyle w:val="None"/>
          <w:lang w:val="fr-FR"/>
        </w:rPr>
        <w:t>et</w:t>
      </w:r>
      <w:r w:rsidRPr="00D60B51">
        <w:rPr>
          <w:rStyle w:val="None"/>
          <w:lang w:val="fr-FR"/>
        </w:rPr>
        <w:t xml:space="preserve"> 25 de la Conven</w:t>
      </w:r>
      <w:r w:rsidR="00FF360B">
        <w:rPr>
          <w:rStyle w:val="None"/>
          <w:lang w:val="fr-FR"/>
        </w:rPr>
        <w:t>tion</w:t>
      </w:r>
      <w:r w:rsidRPr="00D60B51">
        <w:rPr>
          <w:rStyle w:val="None"/>
          <w:lang w:val="fr-FR"/>
        </w:rPr>
        <w:t xml:space="preserve"> </w:t>
      </w:r>
      <w:r w:rsidR="00FF360B">
        <w:rPr>
          <w:rStyle w:val="None"/>
          <w:lang w:val="fr-FR"/>
        </w:rPr>
        <w:t>a</w:t>
      </w:r>
      <w:r w:rsidRPr="00D60B51">
        <w:rPr>
          <w:rStyle w:val="None"/>
          <w:lang w:val="fr-FR"/>
        </w:rPr>
        <w:t>m</w:t>
      </w:r>
      <w:r w:rsidR="00FF360B">
        <w:rPr>
          <w:rStyle w:val="None"/>
          <w:lang w:val="fr-FR"/>
        </w:rPr>
        <w:t>é</w:t>
      </w:r>
      <w:r w:rsidRPr="00D60B51">
        <w:rPr>
          <w:rStyle w:val="None"/>
          <w:lang w:val="fr-FR"/>
        </w:rPr>
        <w:t>rica</w:t>
      </w:r>
      <w:r w:rsidR="00FF360B">
        <w:rPr>
          <w:rStyle w:val="None"/>
          <w:lang w:val="fr-FR"/>
        </w:rPr>
        <w:t>i</w:t>
      </w:r>
      <w:r w:rsidRPr="00D60B51">
        <w:rPr>
          <w:rStyle w:val="None"/>
          <w:lang w:val="fr-FR"/>
        </w:rPr>
        <w:t>n</w:t>
      </w:r>
      <w:r w:rsidR="00FF360B">
        <w:rPr>
          <w:rStyle w:val="None"/>
          <w:lang w:val="fr-FR"/>
        </w:rPr>
        <w:t xml:space="preserve">e. Dans ce sens, il </w:t>
      </w:r>
      <w:r w:rsidR="004747FD">
        <w:rPr>
          <w:rStyle w:val="None"/>
          <w:lang w:val="fr-FR"/>
        </w:rPr>
        <w:t xml:space="preserve">convient uniquement de vérifier, à la lumière des informations disponibles, le respect des conditions réglementaires en matière d’octroi de mesures conservatoires, et ce, sans entrer dans des </w:t>
      </w:r>
      <w:r w:rsidR="00801FAD">
        <w:rPr>
          <w:rStyle w:val="None"/>
          <w:lang w:val="fr-FR"/>
        </w:rPr>
        <w:t>appréciation</w:t>
      </w:r>
      <w:r w:rsidR="004747FD">
        <w:rPr>
          <w:rStyle w:val="None"/>
          <w:lang w:val="fr-FR"/>
        </w:rPr>
        <w:t>s sur le fond de l’affaire</w:t>
      </w:r>
      <w:r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510823" w:rsidP="0020020F">
      <w:pPr>
        <w:numPr>
          <w:ilvl w:val="0"/>
          <w:numId w:val="4"/>
        </w:numPr>
        <w:tabs>
          <w:tab w:val="clear" w:pos="720"/>
          <w:tab w:val="num" w:pos="450"/>
        </w:tabs>
        <w:ind w:left="0"/>
        <w:rPr>
          <w:lang w:val="fr-FR"/>
        </w:rPr>
      </w:pPr>
      <w:r>
        <w:rPr>
          <w:rStyle w:val="None"/>
          <w:lang w:val="fr-FR"/>
        </w:rPr>
        <w:t xml:space="preserve"> </w:t>
      </w:r>
      <w:r w:rsidR="00430088" w:rsidRPr="00D60B51">
        <w:rPr>
          <w:rStyle w:val="None"/>
          <w:lang w:val="fr-FR"/>
        </w:rPr>
        <w:t xml:space="preserve">En </w:t>
      </w:r>
      <w:r w:rsidR="006B35C1">
        <w:rPr>
          <w:rStyle w:val="None"/>
          <w:lang w:val="fr-FR"/>
        </w:rPr>
        <w:t>ce qui concerne la condition de gravité</w:t>
      </w:r>
      <w:r w:rsidR="00430088" w:rsidRPr="00D60B51">
        <w:rPr>
          <w:rStyle w:val="None"/>
          <w:lang w:val="fr-FR"/>
        </w:rPr>
        <w:t>, la Com</w:t>
      </w:r>
      <w:r w:rsidR="006B35C1">
        <w:rPr>
          <w:rStyle w:val="None"/>
          <w:lang w:val="fr-FR"/>
        </w:rPr>
        <w:t>m</w:t>
      </w:r>
      <w:r w:rsidR="00430088" w:rsidRPr="00D60B51">
        <w:rPr>
          <w:rStyle w:val="None"/>
          <w:lang w:val="fr-FR"/>
        </w:rPr>
        <w:t>is</w:t>
      </w:r>
      <w:r w:rsidR="006B35C1">
        <w:rPr>
          <w:rStyle w:val="None"/>
          <w:lang w:val="fr-FR"/>
        </w:rPr>
        <w:t>sio</w:t>
      </w:r>
      <w:r w:rsidR="00E35D72">
        <w:rPr>
          <w:rStyle w:val="None"/>
          <w:lang w:val="fr-FR"/>
        </w:rPr>
        <w:t>n observe</w:t>
      </w:r>
      <w:r w:rsidR="00430088" w:rsidRPr="00D60B51">
        <w:rPr>
          <w:rStyle w:val="None"/>
          <w:lang w:val="fr-FR"/>
        </w:rPr>
        <w:t xml:space="preserve"> que la situa</w:t>
      </w:r>
      <w:r w:rsidR="006B35C1">
        <w:rPr>
          <w:rStyle w:val="None"/>
          <w:lang w:val="fr-FR"/>
        </w:rPr>
        <w:t>tion de risque à laquelle sont exposés les bénéficiaires proposés est manifeste au vu des dommages réels à leurs droits à la vie et à l’intégrité de la personne, de la teneur des menaces proférées et de la persistance des actes de harcèlement supposés</w:t>
      </w:r>
      <w:r w:rsidR="00430088" w:rsidRPr="00D60B51">
        <w:rPr>
          <w:rStyle w:val="None"/>
          <w:lang w:val="fr-FR"/>
        </w:rPr>
        <w:t xml:space="preserve">. </w:t>
      </w:r>
      <w:r w:rsidR="006B35C1">
        <w:rPr>
          <w:rStyle w:val="None"/>
          <w:lang w:val="fr-FR"/>
        </w:rPr>
        <w:t>De plus</w:t>
      </w:r>
      <w:r w:rsidR="00430088" w:rsidRPr="00D60B51">
        <w:rPr>
          <w:rStyle w:val="None"/>
          <w:lang w:val="fr-FR"/>
        </w:rPr>
        <w:t>, l</w:t>
      </w:r>
      <w:r w:rsidR="006B35C1">
        <w:rPr>
          <w:rStyle w:val="None"/>
          <w:lang w:val="fr-FR"/>
        </w:rPr>
        <w:t xml:space="preserve">es preuves fournies suggèrent que cette violence se caractérise par la volonté des auteurs présumés de réduire au silence les personnes qui, comme les membres du Comité des victimes </w:t>
      </w:r>
      <w:r w:rsidR="00430088" w:rsidRPr="00D60B51">
        <w:rPr>
          <w:rStyle w:val="None"/>
          <w:lang w:val="fr-FR"/>
        </w:rPr>
        <w:t>de La Saline, se</w:t>
      </w:r>
      <w:r w:rsidR="006B35C1">
        <w:rPr>
          <w:rStyle w:val="None"/>
          <w:lang w:val="fr-FR"/>
        </w:rPr>
        <w:t xml:space="preserve"> sont mobilisées et organisées afin de réclamer justice </w:t>
      </w:r>
      <w:r w:rsidR="00583BA8">
        <w:rPr>
          <w:rStyle w:val="None"/>
          <w:lang w:val="fr-FR"/>
        </w:rPr>
        <w:t xml:space="preserve">suite aux faits qui seraient survenus en novembre </w:t>
      </w:r>
      <w:r w:rsidR="00430088" w:rsidRPr="00D60B51">
        <w:rPr>
          <w:rStyle w:val="None"/>
          <w:lang w:val="fr-FR"/>
        </w:rPr>
        <w:t xml:space="preserve">2018. </w:t>
      </w:r>
      <w:r w:rsidR="00583BA8">
        <w:rPr>
          <w:rStyle w:val="None"/>
          <w:lang w:val="fr-FR"/>
        </w:rPr>
        <w:t>Autrement dit, si</w:t>
      </w:r>
      <w:r w:rsidR="00E35D72">
        <w:rPr>
          <w:rStyle w:val="None"/>
          <w:lang w:val="fr-FR"/>
        </w:rPr>
        <w:t>,</w:t>
      </w:r>
      <w:r w:rsidR="00583BA8">
        <w:rPr>
          <w:rStyle w:val="None"/>
          <w:lang w:val="fr-FR"/>
        </w:rPr>
        <w:t xml:space="preserve"> au début</w:t>
      </w:r>
      <w:r w:rsidR="00E35D72">
        <w:rPr>
          <w:rStyle w:val="None"/>
          <w:lang w:val="fr-FR"/>
        </w:rPr>
        <w:t>,</w:t>
      </w:r>
      <w:r w:rsidR="00583BA8">
        <w:rPr>
          <w:rStyle w:val="None"/>
          <w:lang w:val="fr-FR"/>
        </w:rPr>
        <w:t xml:space="preserve"> la violence a pu, selon les demandeurs, revêtir un caractère politique, les agressions et les menaces répétées des derniers mois seraient principalement des représailles contre les familles des victimes présumées</w:t>
      </w:r>
      <w:r w:rsidR="00430088" w:rsidRPr="00D60B51">
        <w:rPr>
          <w:rStyle w:val="None"/>
          <w:lang w:val="fr-FR"/>
        </w:rPr>
        <w:t>. D</w:t>
      </w:r>
      <w:r w:rsidR="00583BA8">
        <w:rPr>
          <w:rStyle w:val="None"/>
          <w:lang w:val="fr-FR"/>
        </w:rPr>
        <w:t xml:space="preserve">’après les informations obtenues tout au </w:t>
      </w:r>
      <w:r w:rsidR="00583BA8">
        <w:rPr>
          <w:rStyle w:val="None"/>
          <w:lang w:val="fr-FR"/>
        </w:rPr>
        <w:lastRenderedPageBreak/>
        <w:t xml:space="preserve">long de sa récente visite </w:t>
      </w:r>
      <w:r w:rsidR="00430088" w:rsidRPr="00D60B51">
        <w:rPr>
          <w:rStyle w:val="None"/>
          <w:i/>
          <w:iCs/>
          <w:lang w:val="fr-FR"/>
        </w:rPr>
        <w:t>in loco</w:t>
      </w:r>
      <w:r w:rsidR="00430088" w:rsidRPr="00D60B51">
        <w:rPr>
          <w:rStyle w:val="None"/>
          <w:lang w:val="fr-FR"/>
        </w:rPr>
        <w:t>, la Com</w:t>
      </w:r>
      <w:r w:rsidR="00583BA8">
        <w:rPr>
          <w:rStyle w:val="None"/>
          <w:lang w:val="fr-FR"/>
        </w:rPr>
        <w:t>m</w:t>
      </w:r>
      <w:r w:rsidR="00430088" w:rsidRPr="00D60B51">
        <w:rPr>
          <w:rStyle w:val="None"/>
          <w:lang w:val="fr-FR"/>
        </w:rPr>
        <w:t>is</w:t>
      </w:r>
      <w:r w:rsidR="00583BA8">
        <w:rPr>
          <w:rStyle w:val="None"/>
          <w:lang w:val="fr-FR"/>
        </w:rPr>
        <w:t>s</w:t>
      </w:r>
      <w:r w:rsidR="00430088" w:rsidRPr="00D60B51">
        <w:rPr>
          <w:rStyle w:val="None"/>
          <w:lang w:val="fr-FR"/>
        </w:rPr>
        <w:t>i</w:t>
      </w:r>
      <w:r w:rsidR="00583BA8">
        <w:rPr>
          <w:rStyle w:val="None"/>
          <w:lang w:val="fr-FR"/>
        </w:rPr>
        <w:t>o</w:t>
      </w:r>
      <w:r w:rsidR="00430088" w:rsidRPr="00D60B51">
        <w:rPr>
          <w:rStyle w:val="None"/>
          <w:lang w:val="fr-FR"/>
        </w:rPr>
        <w:t xml:space="preserve">n </w:t>
      </w:r>
      <w:r w:rsidR="00011283">
        <w:rPr>
          <w:rStyle w:val="None"/>
          <w:lang w:val="fr-FR"/>
        </w:rPr>
        <w:t xml:space="preserve">a pu constater, grâce au témoignage des survivants et du président du Comité des victimes </w:t>
      </w:r>
      <w:r w:rsidR="00011283" w:rsidRPr="00D60B51">
        <w:rPr>
          <w:rStyle w:val="None"/>
          <w:lang w:val="fr-FR"/>
        </w:rPr>
        <w:t>de La Saline</w:t>
      </w:r>
      <w:r w:rsidR="00011283">
        <w:rPr>
          <w:rStyle w:val="None"/>
          <w:lang w:val="fr-FR"/>
        </w:rPr>
        <w:t>, que la situation de risque perdurait au jour d’aujourd’hui</w:t>
      </w:r>
      <w:r w:rsidR="00430088" w:rsidRPr="00D60B51">
        <w:rPr>
          <w:rStyle w:val="None"/>
          <w:lang w:val="fr-FR"/>
        </w:rPr>
        <w:t xml:space="preserve">. </w:t>
      </w:r>
      <w:r w:rsidR="00011283">
        <w:rPr>
          <w:rStyle w:val="None"/>
          <w:lang w:val="fr-FR"/>
        </w:rPr>
        <w:t>Début décembre, de nouveaux assassinats se seraient même produits dans ce contexte</w:t>
      </w:r>
      <w:r w:rsidR="00430088" w:rsidRPr="00D60B51">
        <w:rPr>
          <w:rStyle w:val="None"/>
          <w:lang w:val="fr-FR"/>
        </w:rPr>
        <w:t xml:space="preserve">. </w:t>
      </w:r>
    </w:p>
    <w:p w:rsidR="00257B10" w:rsidRPr="00D60B51" w:rsidRDefault="00257B10" w:rsidP="0020020F">
      <w:pPr>
        <w:tabs>
          <w:tab w:val="num" w:pos="450"/>
        </w:tabs>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La Com</w:t>
      </w:r>
      <w:r w:rsidR="00684E4A">
        <w:rPr>
          <w:rStyle w:val="None"/>
          <w:lang w:val="fr-FR"/>
        </w:rPr>
        <w:t>m</w:t>
      </w:r>
      <w:r w:rsidRPr="00D60B51">
        <w:rPr>
          <w:rStyle w:val="None"/>
          <w:lang w:val="fr-FR"/>
        </w:rPr>
        <w:t>is</w:t>
      </w:r>
      <w:r w:rsidR="00684E4A">
        <w:rPr>
          <w:rStyle w:val="None"/>
          <w:lang w:val="fr-FR"/>
        </w:rPr>
        <w:t>s</w:t>
      </w:r>
      <w:r w:rsidRPr="00D60B51">
        <w:rPr>
          <w:rStyle w:val="None"/>
          <w:lang w:val="fr-FR"/>
        </w:rPr>
        <w:t>i</w:t>
      </w:r>
      <w:r w:rsidR="00684E4A">
        <w:rPr>
          <w:rStyle w:val="None"/>
          <w:lang w:val="fr-FR"/>
        </w:rPr>
        <w:t>o</w:t>
      </w:r>
      <w:r w:rsidRPr="00D60B51">
        <w:rPr>
          <w:rStyle w:val="None"/>
          <w:lang w:val="fr-FR"/>
        </w:rPr>
        <w:t xml:space="preserve">n </w:t>
      </w:r>
      <w:r w:rsidR="000E727C">
        <w:rPr>
          <w:rStyle w:val="None"/>
          <w:lang w:val="fr-FR"/>
        </w:rPr>
        <w:t>considère</w:t>
      </w:r>
      <w:r w:rsidR="00684E4A">
        <w:rPr>
          <w:rStyle w:val="None"/>
          <w:lang w:val="fr-FR"/>
        </w:rPr>
        <w:t xml:space="preserve"> que la situation de </w:t>
      </w:r>
      <w:r w:rsidRPr="00D60B51">
        <w:rPr>
          <w:rStyle w:val="None"/>
          <w:i/>
          <w:iCs/>
          <w:lang w:val="fr-FR"/>
        </w:rPr>
        <w:t>La Saline</w:t>
      </w:r>
      <w:r w:rsidRPr="00D60B51">
        <w:rPr>
          <w:rStyle w:val="None"/>
          <w:lang w:val="fr-FR"/>
        </w:rPr>
        <w:t xml:space="preserve"> pr</w:t>
      </w:r>
      <w:r w:rsidR="00684E4A">
        <w:rPr>
          <w:rStyle w:val="None"/>
          <w:lang w:val="fr-FR"/>
        </w:rPr>
        <w:t xml:space="preserve">ésente des enjeux complexes en matière de sécurité et d’ordre </w:t>
      </w:r>
      <w:r w:rsidR="00E35D72">
        <w:rPr>
          <w:rStyle w:val="None"/>
          <w:lang w:val="fr-FR"/>
        </w:rPr>
        <w:t xml:space="preserve">public </w:t>
      </w:r>
      <w:r w:rsidR="000E727C">
        <w:rPr>
          <w:rStyle w:val="None"/>
          <w:lang w:val="fr-FR"/>
        </w:rPr>
        <w:t xml:space="preserve">en raison de la présence d’acteurs armés ou de bandes du crime organisé </w:t>
      </w:r>
      <w:r w:rsidR="00E35D72">
        <w:rPr>
          <w:rStyle w:val="None"/>
          <w:lang w:val="fr-FR"/>
        </w:rPr>
        <w:t xml:space="preserve">ainsi que </w:t>
      </w:r>
      <w:r w:rsidR="000E727C">
        <w:rPr>
          <w:rStyle w:val="None"/>
          <w:lang w:val="fr-FR"/>
        </w:rPr>
        <w:t>de l’insuffisance de services de base, de nourriture, de soins de santé et d’emplois qui, à son tour, alimente le cycle de violence</w:t>
      </w:r>
      <w:r w:rsidRPr="00D60B51">
        <w:rPr>
          <w:rStyle w:val="None"/>
          <w:lang w:val="fr-FR"/>
        </w:rPr>
        <w:t xml:space="preserve">. </w:t>
      </w:r>
      <w:r w:rsidR="00425B8B">
        <w:rPr>
          <w:rStyle w:val="None"/>
          <w:lang w:val="fr-FR"/>
        </w:rPr>
        <w:t>Dans ce sens, b</w:t>
      </w:r>
      <w:r w:rsidR="000E727C">
        <w:rPr>
          <w:rStyle w:val="None"/>
          <w:lang w:val="fr-FR"/>
        </w:rPr>
        <w:t xml:space="preserve">ien que n’importe quel habitant du quartier </w:t>
      </w:r>
      <w:r w:rsidR="000E727C" w:rsidRPr="00D60B51">
        <w:rPr>
          <w:rStyle w:val="None"/>
          <w:lang w:val="fr-FR"/>
        </w:rPr>
        <w:t xml:space="preserve">de </w:t>
      </w:r>
      <w:r w:rsidR="000E727C" w:rsidRPr="00D60B51">
        <w:rPr>
          <w:rStyle w:val="None"/>
          <w:i/>
          <w:iCs/>
          <w:lang w:val="fr-FR"/>
        </w:rPr>
        <w:t>La Saline</w:t>
      </w:r>
      <w:r w:rsidR="000E727C" w:rsidRPr="00D60B51">
        <w:rPr>
          <w:rStyle w:val="None"/>
          <w:lang w:val="fr-FR"/>
        </w:rPr>
        <w:t xml:space="preserve"> </w:t>
      </w:r>
      <w:r w:rsidR="000E727C">
        <w:rPr>
          <w:rStyle w:val="None"/>
          <w:lang w:val="fr-FR"/>
        </w:rPr>
        <w:t xml:space="preserve">puisse faire l’objet d’un acte de violence </w:t>
      </w:r>
      <w:r w:rsidR="00425B8B">
        <w:rPr>
          <w:rStyle w:val="None"/>
          <w:lang w:val="fr-FR"/>
        </w:rPr>
        <w:t xml:space="preserve">aveugle, les informations fournies permettent d’identifier avec une plus grande précision une situation de risque liée aux membres du Comité des victimes </w:t>
      </w:r>
      <w:r w:rsidRPr="00D60B51">
        <w:rPr>
          <w:rStyle w:val="None"/>
          <w:lang w:val="fr-FR"/>
        </w:rPr>
        <w:t xml:space="preserve">de La Saline. En </w:t>
      </w:r>
      <w:r w:rsidR="00425B8B">
        <w:rPr>
          <w:rStyle w:val="None"/>
          <w:lang w:val="fr-FR"/>
        </w:rPr>
        <w:t>effet, compte tenu des persécutions dont les bénéficiaires proposés font l’objet à cause de</w:t>
      </w:r>
      <w:r w:rsidR="001A49FB">
        <w:rPr>
          <w:rStyle w:val="None"/>
          <w:lang w:val="fr-FR"/>
        </w:rPr>
        <w:t xml:space="preserve"> leur</w:t>
      </w:r>
      <w:r w:rsidR="00425B8B">
        <w:rPr>
          <w:rStyle w:val="None"/>
          <w:lang w:val="fr-FR"/>
        </w:rPr>
        <w:t xml:space="preserve">s activités </w:t>
      </w:r>
      <w:r w:rsidR="001A49FB">
        <w:rPr>
          <w:rStyle w:val="None"/>
          <w:lang w:val="fr-FR"/>
        </w:rPr>
        <w:t xml:space="preserve">de défense des droits humains, la condition de gravité peut, conformément aux dispositions de l’article </w:t>
      </w:r>
      <w:r w:rsidRPr="00D60B51">
        <w:rPr>
          <w:rStyle w:val="None"/>
          <w:lang w:val="fr-FR"/>
        </w:rPr>
        <w:t>25 d</w:t>
      </w:r>
      <w:r w:rsidR="001A49FB">
        <w:rPr>
          <w:rStyle w:val="None"/>
          <w:lang w:val="fr-FR"/>
        </w:rPr>
        <w:t>u</w:t>
      </w:r>
      <w:r w:rsidRPr="00D60B51">
        <w:rPr>
          <w:rStyle w:val="None"/>
          <w:lang w:val="fr-FR"/>
        </w:rPr>
        <w:t xml:space="preserve"> R</w:t>
      </w:r>
      <w:r w:rsidR="001A49FB">
        <w:rPr>
          <w:rStyle w:val="None"/>
          <w:lang w:val="fr-FR"/>
        </w:rPr>
        <w:t>è</w:t>
      </w:r>
      <w:r w:rsidRPr="00D60B51">
        <w:rPr>
          <w:rStyle w:val="None"/>
          <w:lang w:val="fr-FR"/>
        </w:rPr>
        <w:t>gl</w:t>
      </w:r>
      <w:r w:rsidR="001A49FB">
        <w:rPr>
          <w:rStyle w:val="None"/>
          <w:lang w:val="fr-FR"/>
        </w:rPr>
        <w:t>ement,</w:t>
      </w:r>
      <w:r w:rsidR="003F7B4C">
        <w:rPr>
          <w:rStyle w:val="None"/>
          <w:lang w:val="fr-FR"/>
        </w:rPr>
        <w:t xml:space="preserve"> </w:t>
      </w:r>
      <w:r w:rsidR="001A49FB">
        <w:rPr>
          <w:rStyle w:val="None"/>
          <w:lang w:val="fr-FR"/>
        </w:rPr>
        <w:t xml:space="preserve">être établie en appréciant de manière plus concrète une agression commise à leur encontre </w:t>
      </w:r>
      <w:r w:rsidR="004A4905">
        <w:rPr>
          <w:rStyle w:val="None"/>
          <w:lang w:val="fr-FR"/>
        </w:rPr>
        <w:t xml:space="preserve">et, donc, la possible </w:t>
      </w:r>
      <w:r w:rsidR="003F7B4C">
        <w:rPr>
          <w:rStyle w:val="None"/>
          <w:lang w:val="fr-FR"/>
        </w:rPr>
        <w:t>matérialisation</w:t>
      </w:r>
      <w:r w:rsidR="004A4905">
        <w:rPr>
          <w:rStyle w:val="None"/>
          <w:lang w:val="fr-FR"/>
        </w:rPr>
        <w:t xml:space="preserve"> d’une atteinte à leurs droits dans un futur proche</w:t>
      </w:r>
      <w:r w:rsidRPr="00D60B51">
        <w:rPr>
          <w:rStyle w:val="None"/>
          <w:lang w:val="fr-FR"/>
        </w:rPr>
        <w:t xml:space="preserve">. </w:t>
      </w:r>
    </w:p>
    <w:p w:rsidR="00257B10" w:rsidRPr="00D60B51" w:rsidRDefault="00257B10" w:rsidP="0020020F">
      <w:pPr>
        <w:tabs>
          <w:tab w:val="num" w:pos="450"/>
        </w:tabs>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 xml:space="preserve">La </w:t>
      </w:r>
      <w:r w:rsidR="00690C23">
        <w:rPr>
          <w:rStyle w:val="None"/>
          <w:lang w:val="fr-FR"/>
        </w:rPr>
        <w:t xml:space="preserve">Commission </w:t>
      </w:r>
      <w:r w:rsidR="009D1534">
        <w:rPr>
          <w:rStyle w:val="None"/>
          <w:lang w:val="fr-FR"/>
        </w:rPr>
        <w:t>déplore que l’État n’ait pas répondu à la demande d’informations</w:t>
      </w:r>
      <w:r w:rsidRPr="00D60B51">
        <w:rPr>
          <w:rStyle w:val="None"/>
          <w:lang w:val="fr-FR"/>
        </w:rPr>
        <w:t xml:space="preserve">. Si </w:t>
      </w:r>
      <w:r w:rsidR="009D1534">
        <w:rPr>
          <w:rStyle w:val="None"/>
          <w:lang w:val="fr-FR"/>
        </w:rPr>
        <w:t xml:space="preserve">l’absence de réponse d’un État ne justifie pas </w:t>
      </w:r>
      <w:r w:rsidRPr="00D60B51">
        <w:rPr>
          <w:rStyle w:val="None"/>
          <w:i/>
          <w:iCs/>
          <w:lang w:val="fr-FR"/>
        </w:rPr>
        <w:t>per se</w:t>
      </w:r>
      <w:r w:rsidRPr="00D60B51">
        <w:rPr>
          <w:rStyle w:val="None"/>
          <w:lang w:val="fr-FR"/>
        </w:rPr>
        <w:t xml:space="preserve"> </w:t>
      </w:r>
      <w:r w:rsidR="009D1534">
        <w:rPr>
          <w:rStyle w:val="None"/>
          <w:lang w:val="fr-FR"/>
        </w:rPr>
        <w:t>l’octroi d’une mesure conservatoire, elle empêche en revanche de savoir si les autorités adoptent des actions en vue de protéger les droit</w:t>
      </w:r>
      <w:r w:rsidR="00D60071">
        <w:rPr>
          <w:rStyle w:val="None"/>
          <w:lang w:val="fr-FR"/>
        </w:rPr>
        <w:t xml:space="preserve">s des bénéficiaires proposés et, ainsi, d’apprécier </w:t>
      </w:r>
      <w:r w:rsidR="00925FCF">
        <w:rPr>
          <w:rStyle w:val="None"/>
          <w:lang w:val="fr-FR"/>
        </w:rPr>
        <w:t>si la</w:t>
      </w:r>
      <w:r w:rsidR="00D60071">
        <w:rPr>
          <w:rStyle w:val="None"/>
          <w:lang w:val="fr-FR"/>
        </w:rPr>
        <w:t xml:space="preserve"> situation de risque </w:t>
      </w:r>
      <w:r w:rsidR="00D60071" w:rsidRPr="00925FCF">
        <w:rPr>
          <w:rStyle w:val="None"/>
          <w:lang w:val="fr-FR"/>
        </w:rPr>
        <w:t xml:space="preserve">alléguée </w:t>
      </w:r>
      <w:r w:rsidR="00925FCF" w:rsidRPr="00925FCF">
        <w:rPr>
          <w:rStyle w:val="None"/>
          <w:lang w:val="fr-FR"/>
        </w:rPr>
        <w:t>a subi</w:t>
      </w:r>
      <w:r w:rsidR="00D60071" w:rsidRPr="00925FCF">
        <w:rPr>
          <w:rStyle w:val="None"/>
          <w:lang w:val="fr-FR"/>
        </w:rPr>
        <w:t xml:space="preserve"> ou non</w:t>
      </w:r>
      <w:r w:rsidR="00925FCF" w:rsidRPr="00925FCF">
        <w:rPr>
          <w:rStyle w:val="None"/>
          <w:lang w:val="fr-FR"/>
        </w:rPr>
        <w:t xml:space="preserve"> une dénaturation</w:t>
      </w:r>
      <w:r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FB05B8" w:rsidP="0020020F">
      <w:pPr>
        <w:numPr>
          <w:ilvl w:val="0"/>
          <w:numId w:val="4"/>
        </w:numPr>
        <w:tabs>
          <w:tab w:val="clear" w:pos="720"/>
          <w:tab w:val="num" w:pos="450"/>
        </w:tabs>
        <w:ind w:left="0"/>
        <w:rPr>
          <w:lang w:val="fr-FR"/>
        </w:rPr>
      </w:pPr>
      <w:r>
        <w:rPr>
          <w:rStyle w:val="None"/>
          <w:lang w:val="fr-FR"/>
        </w:rPr>
        <w:t>D</w:t>
      </w:r>
      <w:r w:rsidR="005F0D61">
        <w:rPr>
          <w:rStyle w:val="None"/>
          <w:lang w:val="fr-FR"/>
        </w:rPr>
        <w:t>ans ces</w:t>
      </w:r>
      <w:r>
        <w:rPr>
          <w:rStyle w:val="None"/>
          <w:lang w:val="fr-FR"/>
        </w:rPr>
        <w:t xml:space="preserve"> circonstances</w:t>
      </w:r>
      <w:r w:rsidR="00430088" w:rsidRPr="00D60B51">
        <w:rPr>
          <w:rStyle w:val="None"/>
          <w:lang w:val="fr-FR"/>
        </w:rPr>
        <w:t xml:space="preserve">, </w:t>
      </w:r>
      <w:r>
        <w:rPr>
          <w:rStyle w:val="None"/>
          <w:lang w:val="fr-FR"/>
        </w:rPr>
        <w:t xml:space="preserve">au vu du principe </w:t>
      </w:r>
      <w:r w:rsidR="00430088" w:rsidRPr="00D60B51">
        <w:rPr>
          <w:rStyle w:val="None"/>
          <w:i/>
          <w:iCs/>
          <w:lang w:val="fr-FR"/>
        </w:rPr>
        <w:t xml:space="preserve">prima </w:t>
      </w:r>
      <w:proofErr w:type="spellStart"/>
      <w:r w:rsidR="00430088" w:rsidRPr="00D60B51">
        <w:rPr>
          <w:rStyle w:val="None"/>
          <w:i/>
          <w:iCs/>
          <w:lang w:val="fr-FR"/>
        </w:rPr>
        <w:t>facie</w:t>
      </w:r>
      <w:proofErr w:type="spellEnd"/>
      <w:r w:rsidR="00430088" w:rsidRPr="00D60B51">
        <w:rPr>
          <w:rStyle w:val="None"/>
          <w:i/>
          <w:iCs/>
          <w:lang w:val="fr-FR"/>
        </w:rPr>
        <w:t xml:space="preserve"> </w:t>
      </w:r>
      <w:r w:rsidR="00430088" w:rsidRPr="00D60B51">
        <w:rPr>
          <w:rStyle w:val="None"/>
          <w:lang w:val="fr-FR"/>
        </w:rPr>
        <w:t>ap</w:t>
      </w:r>
      <w:r>
        <w:rPr>
          <w:rStyle w:val="None"/>
          <w:lang w:val="fr-FR"/>
        </w:rPr>
        <w:t xml:space="preserve">plicable au mécanisme de mesures conservatoires, la Commission conclut que l’existence d’une situation de risque grave pour les droits à la vie et à l’intégrité de la personne des membres du Comité des victimes </w:t>
      </w:r>
      <w:r w:rsidRPr="00D60B51">
        <w:rPr>
          <w:rStyle w:val="None"/>
          <w:lang w:val="fr-FR"/>
        </w:rPr>
        <w:t>de La Saline</w:t>
      </w:r>
      <w:r>
        <w:rPr>
          <w:rStyle w:val="None"/>
          <w:lang w:val="fr-FR"/>
        </w:rPr>
        <w:t xml:space="preserve"> est suffisamment établie</w:t>
      </w:r>
      <w:r w:rsidR="00430088"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690C23" w:rsidP="0020020F">
      <w:pPr>
        <w:numPr>
          <w:ilvl w:val="0"/>
          <w:numId w:val="4"/>
        </w:numPr>
        <w:tabs>
          <w:tab w:val="clear" w:pos="720"/>
          <w:tab w:val="num" w:pos="450"/>
        </w:tabs>
        <w:ind w:left="0"/>
        <w:rPr>
          <w:lang w:val="fr-FR"/>
        </w:rPr>
      </w:pPr>
      <w:r>
        <w:rPr>
          <w:rStyle w:val="None"/>
          <w:lang w:val="fr-FR"/>
        </w:rPr>
        <w:t xml:space="preserve">La Commission estime que la condition d’urgence est remplie dans la mesure où </w:t>
      </w:r>
      <w:r w:rsidR="00D60071">
        <w:rPr>
          <w:rStyle w:val="None"/>
          <w:lang w:val="fr-FR"/>
        </w:rPr>
        <w:t>les informations fournies par les demandeurs suggèrent que les actes de violence perpétrés par les auteurs présumés se produisent de manière relativement récurrente, soulignant en outre que leur présence ou leur contrôle supposé de la zone concernée leur permet de porter atteinte plus facilement aux droits des bénéficiaires proposés</w:t>
      </w:r>
      <w:r w:rsidR="00430088" w:rsidRPr="00D60B51">
        <w:rPr>
          <w:rStyle w:val="None"/>
          <w:lang w:val="fr-FR"/>
        </w:rPr>
        <w:t xml:space="preserve">. </w:t>
      </w:r>
      <w:r w:rsidR="004F1111">
        <w:rPr>
          <w:rStyle w:val="None"/>
          <w:lang w:val="fr-FR"/>
        </w:rPr>
        <w:t xml:space="preserve">De plus, </w:t>
      </w:r>
      <w:r w:rsidR="00F94B3E">
        <w:rPr>
          <w:rStyle w:val="None"/>
          <w:lang w:val="fr-FR"/>
        </w:rPr>
        <w:t>l’obstination</w:t>
      </w:r>
      <w:r w:rsidR="004F1111">
        <w:rPr>
          <w:rStyle w:val="None"/>
          <w:lang w:val="fr-FR"/>
        </w:rPr>
        <w:t xml:space="preserve"> </w:t>
      </w:r>
      <w:r w:rsidR="00F94B3E">
        <w:rPr>
          <w:rStyle w:val="None"/>
          <w:lang w:val="fr-FR"/>
        </w:rPr>
        <w:t>de ces derniers</w:t>
      </w:r>
      <w:r w:rsidR="004F1111">
        <w:rPr>
          <w:rStyle w:val="None"/>
          <w:lang w:val="fr-FR"/>
        </w:rPr>
        <w:t xml:space="preserve"> à exiger de faire la lumière </w:t>
      </w:r>
      <w:r w:rsidR="00F94B3E">
        <w:rPr>
          <w:rStyle w:val="None"/>
          <w:lang w:val="fr-FR"/>
        </w:rPr>
        <w:t>sur les faits et les poursuites engagées contre les auteurs présumés peut entraîner de nouveaux actes de représailles à leur encontre</w:t>
      </w:r>
      <w:r w:rsidR="00430088" w:rsidRPr="00D60B51">
        <w:rPr>
          <w:rStyle w:val="None"/>
          <w:lang w:val="fr-FR"/>
        </w:rPr>
        <w:t xml:space="preserve">. </w:t>
      </w:r>
      <w:r w:rsidR="00F94B3E">
        <w:rPr>
          <w:rStyle w:val="None"/>
          <w:lang w:val="fr-FR"/>
        </w:rPr>
        <w:t xml:space="preserve">Dans ces conditions, outre l’absence d’intervention </w:t>
      </w:r>
      <w:r w:rsidR="003C130B">
        <w:rPr>
          <w:rStyle w:val="None"/>
          <w:lang w:val="fr-FR"/>
        </w:rPr>
        <w:t xml:space="preserve">supposée </w:t>
      </w:r>
      <w:r w:rsidR="00F94B3E">
        <w:rPr>
          <w:rStyle w:val="None"/>
          <w:lang w:val="fr-FR"/>
        </w:rPr>
        <w:t xml:space="preserve">de l’État </w:t>
      </w:r>
      <w:r w:rsidR="003C130B">
        <w:rPr>
          <w:rStyle w:val="None"/>
          <w:lang w:val="fr-FR"/>
        </w:rPr>
        <w:t xml:space="preserve">pour protéger les bénéficiaires proposés, des dommages ultérieurs sont susceptibles de se </w:t>
      </w:r>
      <w:r w:rsidR="005F0D61">
        <w:rPr>
          <w:rStyle w:val="None"/>
          <w:lang w:val="fr-FR"/>
        </w:rPr>
        <w:t>matérialiser</w:t>
      </w:r>
      <w:r w:rsidR="003C130B">
        <w:rPr>
          <w:rStyle w:val="None"/>
          <w:lang w:val="fr-FR"/>
        </w:rPr>
        <w:t xml:space="preserve"> de manière répétée</w:t>
      </w:r>
      <w:r w:rsidR="00430088"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604CB3" w:rsidP="0020020F">
      <w:pPr>
        <w:numPr>
          <w:ilvl w:val="0"/>
          <w:numId w:val="4"/>
        </w:numPr>
        <w:tabs>
          <w:tab w:val="clear" w:pos="720"/>
          <w:tab w:val="num" w:pos="450"/>
        </w:tabs>
        <w:ind w:left="0"/>
        <w:rPr>
          <w:lang w:val="fr-FR"/>
        </w:rPr>
      </w:pPr>
      <w:r>
        <w:rPr>
          <w:rStyle w:val="None"/>
          <w:lang w:val="fr-FR"/>
        </w:rPr>
        <w:t>La Commission estime que la condition d’</w:t>
      </w:r>
      <w:proofErr w:type="spellStart"/>
      <w:r>
        <w:rPr>
          <w:rStyle w:val="None"/>
          <w:lang w:val="fr-FR"/>
        </w:rPr>
        <w:t>irréparabilité</w:t>
      </w:r>
      <w:proofErr w:type="spellEnd"/>
      <w:r>
        <w:rPr>
          <w:rStyle w:val="None"/>
          <w:lang w:val="fr-FR"/>
        </w:rPr>
        <w:t xml:space="preserve"> est remplie dans la mesure où la possible violation du droit à la vie et à l’intégrité de la personne constitue </w:t>
      </w:r>
      <w:r w:rsidR="00974FB4">
        <w:rPr>
          <w:rStyle w:val="None"/>
          <w:lang w:val="fr-FR"/>
        </w:rPr>
        <w:t xml:space="preserve">la </w:t>
      </w:r>
      <w:r>
        <w:rPr>
          <w:rStyle w:val="None"/>
          <w:lang w:val="fr-FR"/>
        </w:rPr>
        <w:t>situation extrême dans ce domaine</w:t>
      </w:r>
      <w:r w:rsidR="00430088" w:rsidRPr="00D60B51">
        <w:rPr>
          <w:rStyle w:val="None"/>
          <w:lang w:val="fr-FR"/>
        </w:rPr>
        <w:t>.</w:t>
      </w:r>
    </w:p>
    <w:p w:rsidR="00257B10" w:rsidRPr="00D60B51" w:rsidRDefault="00257B10" w:rsidP="0020020F">
      <w:pPr>
        <w:tabs>
          <w:tab w:val="num" w:pos="450"/>
        </w:tabs>
        <w:rPr>
          <w:rStyle w:val="None"/>
          <w:lang w:val="fr-FR"/>
        </w:rPr>
      </w:pPr>
    </w:p>
    <w:p w:rsidR="00257B10" w:rsidRPr="00D60B51" w:rsidRDefault="003659AE" w:rsidP="0020020F">
      <w:pPr>
        <w:numPr>
          <w:ilvl w:val="0"/>
          <w:numId w:val="16"/>
        </w:numPr>
        <w:rPr>
          <w:b/>
          <w:bCs/>
          <w:lang w:val="fr-FR"/>
        </w:rPr>
      </w:pPr>
      <w:r>
        <w:rPr>
          <w:rStyle w:val="None"/>
          <w:b/>
          <w:bCs/>
          <w:lang w:val="fr-FR"/>
        </w:rPr>
        <w:t>BÉNÉ</w:t>
      </w:r>
      <w:r w:rsidR="00430088" w:rsidRPr="00D60B51">
        <w:rPr>
          <w:rStyle w:val="None"/>
          <w:b/>
          <w:bCs/>
          <w:lang w:val="fr-FR"/>
        </w:rPr>
        <w:t>FICIA</w:t>
      </w:r>
      <w:r>
        <w:rPr>
          <w:rStyle w:val="None"/>
          <w:b/>
          <w:bCs/>
          <w:lang w:val="fr-FR"/>
        </w:rPr>
        <w:t>IRE</w:t>
      </w:r>
      <w:r w:rsidR="00430088" w:rsidRPr="00D60B51">
        <w:rPr>
          <w:rStyle w:val="None"/>
          <w:b/>
          <w:bCs/>
          <w:lang w:val="fr-FR"/>
        </w:rPr>
        <w:t>S</w:t>
      </w:r>
    </w:p>
    <w:p w:rsidR="00257B10" w:rsidRPr="00D60B51" w:rsidRDefault="00257B10" w:rsidP="0020020F">
      <w:pPr>
        <w:ind w:left="540" w:firstLine="0"/>
        <w:rPr>
          <w:rStyle w:val="None"/>
          <w:b/>
          <w:bCs/>
          <w:lang w:val="fr-FR"/>
        </w:rPr>
      </w:pPr>
    </w:p>
    <w:p w:rsidR="00257B10" w:rsidRDefault="00430088" w:rsidP="0020020F">
      <w:pPr>
        <w:numPr>
          <w:ilvl w:val="0"/>
          <w:numId w:val="4"/>
        </w:numPr>
        <w:tabs>
          <w:tab w:val="clear" w:pos="720"/>
          <w:tab w:val="num" w:pos="450"/>
        </w:tabs>
        <w:ind w:left="0"/>
        <w:rPr>
          <w:rStyle w:val="None"/>
          <w:lang w:val="fr-FR"/>
        </w:rPr>
      </w:pPr>
      <w:r w:rsidRPr="00D60B51">
        <w:rPr>
          <w:rStyle w:val="None"/>
          <w:lang w:val="fr-FR"/>
        </w:rPr>
        <w:t xml:space="preserve">La </w:t>
      </w:r>
      <w:r w:rsidR="00604CB3">
        <w:rPr>
          <w:rStyle w:val="None"/>
          <w:lang w:val="fr-FR"/>
        </w:rPr>
        <w:t xml:space="preserve">Commission reconnaît les membres du Comité des victimes de La Saline comme les bénéficiaires de la présente demande de mesures conservatoires. Conformément à l’article </w:t>
      </w:r>
      <w:r w:rsidR="00604CB3" w:rsidRPr="00D60B51">
        <w:rPr>
          <w:rStyle w:val="None"/>
          <w:lang w:val="fr-FR"/>
        </w:rPr>
        <w:t>25.3</w:t>
      </w:r>
      <w:r w:rsidR="00604CB3">
        <w:rPr>
          <w:rStyle w:val="None"/>
          <w:lang w:val="fr-FR"/>
        </w:rPr>
        <w:t xml:space="preserve"> du Règlement</w:t>
      </w:r>
      <w:r w:rsidR="00B0055E">
        <w:rPr>
          <w:rStyle w:val="None"/>
          <w:lang w:val="fr-FR"/>
        </w:rPr>
        <w:t xml:space="preserve"> de la CIDH, ces personnes peuvent être déterminables</w:t>
      </w:r>
      <w:r w:rsidRPr="00D60B51">
        <w:rPr>
          <w:rStyle w:val="None"/>
          <w:lang w:val="fr-FR"/>
        </w:rPr>
        <w:t xml:space="preserve">.  </w:t>
      </w:r>
    </w:p>
    <w:p w:rsidR="00257B10" w:rsidRPr="00D60B51" w:rsidRDefault="00257B10" w:rsidP="007363EA">
      <w:pPr>
        <w:ind w:firstLine="0"/>
        <w:rPr>
          <w:rStyle w:val="None"/>
          <w:lang w:val="fr-FR"/>
        </w:rPr>
      </w:pPr>
    </w:p>
    <w:p w:rsidR="00257B10" w:rsidRPr="00D60B51" w:rsidRDefault="003659AE" w:rsidP="0020020F">
      <w:pPr>
        <w:numPr>
          <w:ilvl w:val="0"/>
          <w:numId w:val="18"/>
        </w:numPr>
        <w:rPr>
          <w:b/>
          <w:bCs/>
          <w:lang w:val="fr-FR"/>
        </w:rPr>
      </w:pPr>
      <w:r>
        <w:rPr>
          <w:rStyle w:val="None"/>
          <w:b/>
          <w:bCs/>
          <w:lang w:val="fr-FR"/>
        </w:rPr>
        <w:t>DÉ</w:t>
      </w:r>
      <w:r w:rsidR="00430088" w:rsidRPr="00D60B51">
        <w:rPr>
          <w:rStyle w:val="None"/>
          <w:b/>
          <w:bCs/>
          <w:lang w:val="fr-FR"/>
        </w:rPr>
        <w:t>CISI</w:t>
      </w:r>
      <w:r>
        <w:rPr>
          <w:rStyle w:val="None"/>
          <w:b/>
          <w:bCs/>
          <w:lang w:val="fr-FR"/>
        </w:rPr>
        <w:t>O</w:t>
      </w:r>
      <w:r w:rsidR="00430088" w:rsidRPr="00D60B51">
        <w:rPr>
          <w:rStyle w:val="None"/>
          <w:b/>
          <w:bCs/>
          <w:lang w:val="fr-FR"/>
        </w:rPr>
        <w:t>N</w:t>
      </w:r>
    </w:p>
    <w:p w:rsidR="00257B10" w:rsidRPr="00D60B51" w:rsidRDefault="00257B10" w:rsidP="0020020F">
      <w:pPr>
        <w:ind w:left="360" w:firstLine="0"/>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La Com</w:t>
      </w:r>
      <w:r w:rsidR="00AE1A3A">
        <w:rPr>
          <w:rStyle w:val="None"/>
          <w:lang w:val="fr-FR"/>
        </w:rPr>
        <w:t xml:space="preserve">mission estime que la présente affaire réunit </w:t>
      </w:r>
      <w:r w:rsidRPr="00D60B51">
        <w:rPr>
          <w:rStyle w:val="None"/>
          <w:i/>
          <w:iCs/>
          <w:lang w:val="fr-FR"/>
        </w:rPr>
        <w:t xml:space="preserve">prima </w:t>
      </w:r>
      <w:proofErr w:type="spellStart"/>
      <w:r w:rsidRPr="00D60B51">
        <w:rPr>
          <w:rStyle w:val="None"/>
          <w:i/>
          <w:iCs/>
          <w:lang w:val="fr-FR"/>
        </w:rPr>
        <w:t>facie</w:t>
      </w:r>
      <w:proofErr w:type="spellEnd"/>
      <w:r w:rsidRPr="00D60B51">
        <w:rPr>
          <w:rStyle w:val="None"/>
          <w:lang w:val="fr-FR"/>
        </w:rPr>
        <w:t xml:space="preserve"> l</w:t>
      </w:r>
      <w:r w:rsidR="00AE1A3A">
        <w:rPr>
          <w:rStyle w:val="None"/>
          <w:lang w:val="fr-FR"/>
        </w:rPr>
        <w:t xml:space="preserve">es conditions de gravité, </w:t>
      </w:r>
      <w:r w:rsidR="00510823">
        <w:rPr>
          <w:rStyle w:val="None"/>
          <w:lang w:val="fr-FR"/>
        </w:rPr>
        <w:t>d’urgence</w:t>
      </w:r>
      <w:r w:rsidR="00AE1A3A">
        <w:rPr>
          <w:rStyle w:val="None"/>
          <w:lang w:val="fr-FR"/>
        </w:rPr>
        <w:t xml:space="preserve"> et d’</w:t>
      </w:r>
      <w:proofErr w:type="spellStart"/>
      <w:r w:rsidR="00AE1A3A">
        <w:rPr>
          <w:rStyle w:val="None"/>
          <w:lang w:val="fr-FR"/>
        </w:rPr>
        <w:t>irréparabilité</w:t>
      </w:r>
      <w:proofErr w:type="spellEnd"/>
      <w:r w:rsidR="00AE1A3A">
        <w:rPr>
          <w:rStyle w:val="None"/>
          <w:lang w:val="fr-FR"/>
        </w:rPr>
        <w:t xml:space="preserve"> contenues à l’article </w:t>
      </w:r>
      <w:r w:rsidRPr="00D60B51">
        <w:rPr>
          <w:rStyle w:val="None"/>
          <w:lang w:val="fr-FR"/>
        </w:rPr>
        <w:t>25 de s</w:t>
      </w:r>
      <w:r w:rsidR="00AE1A3A">
        <w:rPr>
          <w:rStyle w:val="None"/>
          <w:lang w:val="fr-FR"/>
        </w:rPr>
        <w:t>on Règlement</w:t>
      </w:r>
      <w:r w:rsidRPr="00D60B51">
        <w:rPr>
          <w:rStyle w:val="None"/>
          <w:lang w:val="fr-FR"/>
        </w:rPr>
        <w:t xml:space="preserve">. </w:t>
      </w:r>
      <w:r w:rsidR="00AE1A3A">
        <w:rPr>
          <w:rStyle w:val="None"/>
          <w:lang w:val="fr-FR"/>
        </w:rPr>
        <w:t>Par conséquent, elle demande à l’État haïtien </w:t>
      </w:r>
      <w:r w:rsidRPr="00D60B51">
        <w:rPr>
          <w:rStyle w:val="None"/>
          <w:lang w:val="fr-FR"/>
        </w:rPr>
        <w:t>:</w:t>
      </w:r>
    </w:p>
    <w:p w:rsidR="00257B10" w:rsidRPr="00D60B51" w:rsidRDefault="00257B10" w:rsidP="0020020F">
      <w:pPr>
        <w:rPr>
          <w:rStyle w:val="None"/>
          <w:lang w:val="fr-FR"/>
        </w:rPr>
      </w:pPr>
    </w:p>
    <w:p w:rsidR="00257B10" w:rsidRPr="007363EA" w:rsidRDefault="00BC6044" w:rsidP="0020020F">
      <w:pPr>
        <w:numPr>
          <w:ilvl w:val="0"/>
          <w:numId w:val="24"/>
        </w:numPr>
        <w:tabs>
          <w:tab w:val="clear" w:pos="1368"/>
          <w:tab w:val="left" w:pos="990"/>
        </w:tabs>
        <w:spacing w:before="120" w:after="120"/>
        <w:ind w:left="720" w:right="1008"/>
        <w:rPr>
          <w:rStyle w:val="None"/>
          <w:lang w:val="fr-FR"/>
        </w:rPr>
      </w:pPr>
      <w:proofErr w:type="gramStart"/>
      <w:r w:rsidRPr="007363EA">
        <w:rPr>
          <w:rStyle w:val="None"/>
          <w:lang w:val="fr-FR"/>
        </w:rPr>
        <w:lastRenderedPageBreak/>
        <w:t>d’</w:t>
      </w:r>
      <w:r w:rsidR="00430088" w:rsidRPr="007363EA">
        <w:rPr>
          <w:rStyle w:val="None"/>
          <w:lang w:val="fr-FR"/>
        </w:rPr>
        <w:t>adopte</w:t>
      </w:r>
      <w:r w:rsidRPr="007363EA">
        <w:rPr>
          <w:rStyle w:val="None"/>
          <w:lang w:val="fr-FR"/>
        </w:rPr>
        <w:t>r</w:t>
      </w:r>
      <w:proofErr w:type="gramEnd"/>
      <w:r w:rsidRPr="007363EA">
        <w:rPr>
          <w:rStyle w:val="None"/>
          <w:lang w:val="fr-FR"/>
        </w:rPr>
        <w:t xml:space="preserve"> les mesures nécessaires afin de protéger les droits à la vie et à l’intégrité de la personne des membres du </w:t>
      </w:r>
      <w:r w:rsidR="00430088" w:rsidRPr="007363EA">
        <w:rPr>
          <w:rStyle w:val="None"/>
          <w:lang w:val="fr-FR"/>
        </w:rPr>
        <w:t>Comité de</w:t>
      </w:r>
      <w:r w:rsidRPr="007363EA">
        <w:rPr>
          <w:rStyle w:val="None"/>
          <w:lang w:val="fr-FR"/>
        </w:rPr>
        <w:t>s</w:t>
      </w:r>
      <w:r w:rsidR="00430088" w:rsidRPr="007363EA">
        <w:rPr>
          <w:rStyle w:val="None"/>
          <w:lang w:val="fr-FR"/>
        </w:rPr>
        <w:t xml:space="preserve"> </w:t>
      </w:r>
      <w:r w:rsidRPr="007363EA">
        <w:rPr>
          <w:rStyle w:val="None"/>
          <w:lang w:val="fr-FR"/>
        </w:rPr>
        <w:t xml:space="preserve">victimes </w:t>
      </w:r>
      <w:r w:rsidR="00430088" w:rsidRPr="007363EA">
        <w:rPr>
          <w:rStyle w:val="None"/>
          <w:lang w:val="fr-FR"/>
        </w:rPr>
        <w:t>de La Saline</w:t>
      </w:r>
      <w:r w:rsidRPr="007363EA">
        <w:rPr>
          <w:rStyle w:val="None"/>
          <w:lang w:val="fr-FR"/>
        </w:rPr>
        <w:t> </w:t>
      </w:r>
      <w:r w:rsidR="00430088" w:rsidRPr="007363EA">
        <w:rPr>
          <w:rStyle w:val="None"/>
          <w:lang w:val="fr-FR"/>
        </w:rPr>
        <w:t>;</w:t>
      </w:r>
    </w:p>
    <w:p w:rsidR="00257B10" w:rsidRPr="007363EA" w:rsidRDefault="00BC6044" w:rsidP="0020020F">
      <w:pPr>
        <w:numPr>
          <w:ilvl w:val="0"/>
          <w:numId w:val="24"/>
        </w:numPr>
        <w:tabs>
          <w:tab w:val="clear" w:pos="1368"/>
          <w:tab w:val="left" w:pos="990"/>
        </w:tabs>
        <w:spacing w:before="120" w:after="120"/>
        <w:ind w:left="720" w:right="1008"/>
        <w:rPr>
          <w:rStyle w:val="None"/>
          <w:lang w:val="fr-FR"/>
        </w:rPr>
      </w:pPr>
      <w:proofErr w:type="gramStart"/>
      <w:r w:rsidRPr="007363EA">
        <w:rPr>
          <w:rStyle w:val="None"/>
          <w:lang w:val="fr-FR"/>
        </w:rPr>
        <w:t>d’a</w:t>
      </w:r>
      <w:r w:rsidR="00430088" w:rsidRPr="007363EA">
        <w:rPr>
          <w:rStyle w:val="None"/>
          <w:lang w:val="fr-FR"/>
        </w:rPr>
        <w:t>dopte</w:t>
      </w:r>
      <w:r w:rsidRPr="007363EA">
        <w:rPr>
          <w:rStyle w:val="None"/>
          <w:lang w:val="fr-FR"/>
        </w:rPr>
        <w:t>r</w:t>
      </w:r>
      <w:proofErr w:type="gramEnd"/>
      <w:r w:rsidRPr="007363EA">
        <w:rPr>
          <w:rStyle w:val="None"/>
          <w:lang w:val="fr-FR"/>
        </w:rPr>
        <w:t xml:space="preserve"> le</w:t>
      </w:r>
      <w:r w:rsidR="00430088" w:rsidRPr="007363EA">
        <w:rPr>
          <w:rStyle w:val="None"/>
          <w:lang w:val="fr-FR"/>
        </w:rPr>
        <w:t xml:space="preserve">s </w:t>
      </w:r>
      <w:r w:rsidRPr="007363EA">
        <w:rPr>
          <w:rStyle w:val="None"/>
          <w:lang w:val="fr-FR"/>
        </w:rPr>
        <w:t xml:space="preserve">mesures nécessaires afin de garantir que les bénéficiaires puissent exercer leurs activités </w:t>
      </w:r>
      <w:r w:rsidR="00CC5A07" w:rsidRPr="007363EA">
        <w:rPr>
          <w:rStyle w:val="None"/>
          <w:lang w:val="fr-FR"/>
        </w:rPr>
        <w:t>de défense</w:t>
      </w:r>
      <w:r w:rsidRPr="007363EA">
        <w:rPr>
          <w:rStyle w:val="None"/>
          <w:lang w:val="fr-FR"/>
        </w:rPr>
        <w:t xml:space="preserve"> des droits humains sans faire l’objet de menaces, d’intimidations ou d’actes de violence dans l’exercice de leurs fonctions </w:t>
      </w:r>
      <w:r w:rsidR="00430088" w:rsidRPr="007363EA">
        <w:rPr>
          <w:rStyle w:val="None"/>
          <w:lang w:val="fr-FR"/>
        </w:rPr>
        <w:t>;</w:t>
      </w:r>
    </w:p>
    <w:p w:rsidR="00257B10" w:rsidRPr="007363EA" w:rsidRDefault="00BC6044" w:rsidP="0020020F">
      <w:pPr>
        <w:numPr>
          <w:ilvl w:val="0"/>
          <w:numId w:val="24"/>
        </w:numPr>
        <w:tabs>
          <w:tab w:val="clear" w:pos="1368"/>
          <w:tab w:val="left" w:pos="990"/>
        </w:tabs>
        <w:spacing w:before="120" w:after="120"/>
        <w:ind w:left="720" w:right="1008"/>
        <w:rPr>
          <w:rStyle w:val="None"/>
          <w:lang w:val="fr-FR"/>
        </w:rPr>
      </w:pPr>
      <w:proofErr w:type="gramStart"/>
      <w:r w:rsidRPr="007363EA">
        <w:rPr>
          <w:rStyle w:val="None"/>
          <w:lang w:val="fr-FR"/>
        </w:rPr>
        <w:t>de</w:t>
      </w:r>
      <w:proofErr w:type="gramEnd"/>
      <w:r w:rsidRPr="007363EA">
        <w:rPr>
          <w:rStyle w:val="None"/>
          <w:lang w:val="fr-FR"/>
        </w:rPr>
        <w:t xml:space="preserve"> décider des mesures à adopter en concertation avec les bénéficiaires et leurs représentants </w:t>
      </w:r>
      <w:r w:rsidR="00430088" w:rsidRPr="007363EA">
        <w:rPr>
          <w:rStyle w:val="None"/>
          <w:lang w:val="fr-FR"/>
        </w:rPr>
        <w:t xml:space="preserve">; </w:t>
      </w:r>
      <w:r w:rsidRPr="007363EA">
        <w:rPr>
          <w:rStyle w:val="None"/>
          <w:lang w:val="fr-FR"/>
        </w:rPr>
        <w:t>et</w:t>
      </w:r>
    </w:p>
    <w:p w:rsidR="00257B10" w:rsidRPr="007363EA" w:rsidRDefault="00BC6044" w:rsidP="0020020F">
      <w:pPr>
        <w:numPr>
          <w:ilvl w:val="0"/>
          <w:numId w:val="24"/>
        </w:numPr>
        <w:tabs>
          <w:tab w:val="clear" w:pos="1368"/>
          <w:tab w:val="left" w:pos="990"/>
        </w:tabs>
        <w:spacing w:before="120" w:after="120"/>
        <w:ind w:left="720" w:right="1008"/>
        <w:rPr>
          <w:rStyle w:val="None"/>
          <w:lang w:val="fr-FR"/>
        </w:rPr>
      </w:pPr>
      <w:proofErr w:type="gramStart"/>
      <w:r w:rsidRPr="007363EA">
        <w:rPr>
          <w:rStyle w:val="None"/>
          <w:lang w:val="fr-FR"/>
        </w:rPr>
        <w:t>de</w:t>
      </w:r>
      <w:proofErr w:type="gramEnd"/>
      <w:r w:rsidRPr="007363EA">
        <w:rPr>
          <w:rStyle w:val="None"/>
          <w:lang w:val="fr-FR"/>
        </w:rPr>
        <w:t xml:space="preserve"> faire part des actions adoptées afin d’enquêter sur les faits allégués ayant don</w:t>
      </w:r>
      <w:r w:rsidR="00E0084F" w:rsidRPr="007363EA">
        <w:rPr>
          <w:rStyle w:val="None"/>
          <w:lang w:val="fr-FR"/>
        </w:rPr>
        <w:t>né lieu à l’approbation</w:t>
      </w:r>
      <w:r w:rsidRPr="007363EA">
        <w:rPr>
          <w:rStyle w:val="None"/>
          <w:lang w:val="fr-FR"/>
        </w:rPr>
        <w:t xml:space="preserve"> de la présente demande de mesures conservatoires et, ainsi, d’éviter qu’ils ne se reproduisent</w:t>
      </w:r>
      <w:r w:rsidR="00430088" w:rsidRPr="007363EA">
        <w:rPr>
          <w:rStyle w:val="None"/>
          <w:lang w:val="fr-FR"/>
        </w:rPr>
        <w:t>.</w:t>
      </w:r>
    </w:p>
    <w:p w:rsidR="00257B10" w:rsidRPr="00D60B51" w:rsidRDefault="00257B10" w:rsidP="0020020F">
      <w:pPr>
        <w:rPr>
          <w:rStyle w:val="None"/>
          <w:lang w:val="fr-FR"/>
        </w:rPr>
      </w:pPr>
    </w:p>
    <w:p w:rsidR="00257B10" w:rsidRPr="00CC5A07" w:rsidRDefault="00430088" w:rsidP="0020020F">
      <w:pPr>
        <w:numPr>
          <w:ilvl w:val="0"/>
          <w:numId w:val="4"/>
        </w:numPr>
        <w:tabs>
          <w:tab w:val="clear" w:pos="720"/>
          <w:tab w:val="num" w:pos="450"/>
        </w:tabs>
        <w:ind w:left="0"/>
        <w:rPr>
          <w:rStyle w:val="None"/>
        </w:rPr>
      </w:pPr>
      <w:r w:rsidRPr="00D60B51">
        <w:rPr>
          <w:rStyle w:val="None"/>
          <w:lang w:val="fr-FR"/>
        </w:rPr>
        <w:t>La Co</w:t>
      </w:r>
      <w:r w:rsidR="0062572E">
        <w:rPr>
          <w:rStyle w:val="None"/>
          <w:lang w:val="fr-FR"/>
        </w:rPr>
        <w:t>mmission demande à l’</w:t>
      </w:r>
      <w:r w:rsidR="0062572E" w:rsidRPr="00CC5A07">
        <w:rPr>
          <w:rStyle w:val="None"/>
          <w:lang w:val="fr-FR"/>
        </w:rPr>
        <w:t>État haïtien de bien vouloir l’informer, dans un délai de 15 jours à compter de la date de la présente résolution</w:t>
      </w:r>
      <w:r w:rsidR="00CC5A07" w:rsidRPr="00CC5A07">
        <w:rPr>
          <w:rStyle w:val="None"/>
          <w:lang w:val="fr-FR"/>
        </w:rPr>
        <w:t>,</w:t>
      </w:r>
      <w:r w:rsidR="0062572E" w:rsidRPr="00CC5A07">
        <w:rPr>
          <w:rStyle w:val="None"/>
          <w:lang w:val="fr-FR"/>
        </w:rPr>
        <w:t xml:space="preserve"> de l’adoption des mesures conservatoires octroyées et d’actualiser régulièrement les informations à ce sujet</w:t>
      </w:r>
      <w:r w:rsidRPr="00D60B51">
        <w:rPr>
          <w:rStyle w:val="None"/>
          <w:lang w:val="fr-FR"/>
        </w:rPr>
        <w:t xml:space="preserve">. </w:t>
      </w:r>
    </w:p>
    <w:p w:rsidR="00257B10" w:rsidRPr="00D60B51" w:rsidRDefault="00257B10" w:rsidP="0020020F">
      <w:pPr>
        <w:tabs>
          <w:tab w:val="num" w:pos="450"/>
        </w:tabs>
        <w:ind w:firstLine="0"/>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La Com</w:t>
      </w:r>
      <w:r w:rsidR="0062572E">
        <w:rPr>
          <w:rStyle w:val="None"/>
          <w:lang w:val="fr-FR"/>
        </w:rPr>
        <w:t>mission souligne que, conformémen</w:t>
      </w:r>
      <w:bookmarkStart w:id="0" w:name="_GoBack"/>
      <w:bookmarkEnd w:id="0"/>
      <w:r w:rsidR="0062572E">
        <w:rPr>
          <w:rStyle w:val="None"/>
          <w:lang w:val="fr-FR"/>
        </w:rPr>
        <w:t xml:space="preserve">t à l’article </w:t>
      </w:r>
      <w:r w:rsidRPr="00D60B51">
        <w:rPr>
          <w:rStyle w:val="None"/>
          <w:lang w:val="fr-FR"/>
        </w:rPr>
        <w:t xml:space="preserve">25 (8) de </w:t>
      </w:r>
      <w:r w:rsidR="0062572E" w:rsidRPr="00D60B51">
        <w:rPr>
          <w:rStyle w:val="None"/>
          <w:lang w:val="fr-FR"/>
        </w:rPr>
        <w:t>s</w:t>
      </w:r>
      <w:r w:rsidR="0062572E">
        <w:rPr>
          <w:rStyle w:val="None"/>
          <w:lang w:val="fr-FR"/>
        </w:rPr>
        <w:t>on Règlement</w:t>
      </w:r>
      <w:r w:rsidRPr="00D60B51">
        <w:rPr>
          <w:rStyle w:val="None"/>
          <w:lang w:val="fr-FR"/>
        </w:rPr>
        <w:t xml:space="preserve">, </w:t>
      </w:r>
      <w:r w:rsidR="0062572E">
        <w:rPr>
          <w:rStyle w:val="None"/>
          <w:lang w:val="fr-FR"/>
        </w:rPr>
        <w:t>l’octroi des mesures conservatoires et leur adoption par l’État ne préjuge</w:t>
      </w:r>
      <w:r w:rsidR="006C5071">
        <w:rPr>
          <w:rStyle w:val="None"/>
          <w:lang w:val="fr-FR"/>
        </w:rPr>
        <w:t>nt</w:t>
      </w:r>
      <w:r w:rsidR="0062572E">
        <w:rPr>
          <w:rStyle w:val="None"/>
          <w:lang w:val="fr-FR"/>
        </w:rPr>
        <w:t xml:space="preserve"> en rien </w:t>
      </w:r>
      <w:r w:rsidR="00425B8B">
        <w:rPr>
          <w:rStyle w:val="None"/>
          <w:lang w:val="fr-FR"/>
        </w:rPr>
        <w:t>quant à</w:t>
      </w:r>
      <w:r w:rsidR="006C5071">
        <w:rPr>
          <w:rStyle w:val="None"/>
          <w:lang w:val="fr-FR"/>
        </w:rPr>
        <w:t xml:space="preserve"> la violation des droits protégés par la </w:t>
      </w:r>
      <w:r w:rsidRPr="00D60B51">
        <w:rPr>
          <w:rStyle w:val="None"/>
          <w:lang w:val="fr-FR"/>
        </w:rPr>
        <w:t>Conven</w:t>
      </w:r>
      <w:r w:rsidR="006C5071">
        <w:rPr>
          <w:rStyle w:val="None"/>
          <w:lang w:val="fr-FR"/>
        </w:rPr>
        <w:t>tio</w:t>
      </w:r>
      <w:r w:rsidRPr="00D60B51">
        <w:rPr>
          <w:rStyle w:val="None"/>
          <w:lang w:val="fr-FR"/>
        </w:rPr>
        <w:t xml:space="preserve">n </w:t>
      </w:r>
      <w:r w:rsidR="006C5071">
        <w:rPr>
          <w:rStyle w:val="None"/>
          <w:lang w:val="fr-FR"/>
        </w:rPr>
        <w:t>amé</w:t>
      </w:r>
      <w:r w:rsidRPr="00D60B51">
        <w:rPr>
          <w:rStyle w:val="None"/>
          <w:lang w:val="fr-FR"/>
        </w:rPr>
        <w:t>rica</w:t>
      </w:r>
      <w:r w:rsidR="006C5071">
        <w:rPr>
          <w:rStyle w:val="None"/>
          <w:lang w:val="fr-FR"/>
        </w:rPr>
        <w:t>ine relative aux droits de l’Homme et les autres instrument</w:t>
      </w:r>
      <w:r w:rsidRPr="00D60B51">
        <w:rPr>
          <w:rStyle w:val="None"/>
          <w:lang w:val="fr-FR"/>
        </w:rPr>
        <w:t>s a</w:t>
      </w:r>
      <w:r w:rsidR="006C5071">
        <w:rPr>
          <w:rStyle w:val="None"/>
          <w:lang w:val="fr-FR"/>
        </w:rPr>
        <w:t>p</w:t>
      </w:r>
      <w:r w:rsidRPr="00D60B51">
        <w:rPr>
          <w:rStyle w:val="None"/>
          <w:lang w:val="fr-FR"/>
        </w:rPr>
        <w:t xml:space="preserve">plicables. </w:t>
      </w:r>
    </w:p>
    <w:p w:rsidR="00257B10" w:rsidRPr="00D60B51" w:rsidRDefault="00257B10" w:rsidP="0020020F">
      <w:pPr>
        <w:tabs>
          <w:tab w:val="num" w:pos="450"/>
        </w:tabs>
        <w:ind w:firstLine="0"/>
        <w:rPr>
          <w:rStyle w:val="None"/>
          <w:lang w:val="fr-FR"/>
        </w:rPr>
      </w:pPr>
    </w:p>
    <w:p w:rsidR="00257B10" w:rsidRPr="00D60B51" w:rsidRDefault="00430088" w:rsidP="0020020F">
      <w:pPr>
        <w:numPr>
          <w:ilvl w:val="0"/>
          <w:numId w:val="4"/>
        </w:numPr>
        <w:tabs>
          <w:tab w:val="clear" w:pos="720"/>
          <w:tab w:val="num" w:pos="450"/>
        </w:tabs>
        <w:ind w:left="0"/>
        <w:rPr>
          <w:lang w:val="fr-FR"/>
        </w:rPr>
      </w:pPr>
      <w:r w:rsidRPr="00D60B51">
        <w:rPr>
          <w:rStyle w:val="None"/>
          <w:lang w:val="fr-FR"/>
        </w:rPr>
        <w:t xml:space="preserve">La </w:t>
      </w:r>
      <w:r w:rsidR="006C5071" w:rsidRPr="00D60B51">
        <w:rPr>
          <w:rStyle w:val="None"/>
          <w:lang w:val="fr-FR"/>
        </w:rPr>
        <w:t>Com</w:t>
      </w:r>
      <w:r w:rsidR="006C5071">
        <w:rPr>
          <w:rStyle w:val="None"/>
          <w:lang w:val="fr-FR"/>
        </w:rPr>
        <w:t>mission</w:t>
      </w:r>
      <w:r w:rsidR="006C5071" w:rsidRPr="00D60B51">
        <w:rPr>
          <w:rStyle w:val="None"/>
          <w:lang w:val="fr-FR"/>
        </w:rPr>
        <w:t xml:space="preserve"> </w:t>
      </w:r>
      <w:r w:rsidR="006C5071">
        <w:rPr>
          <w:rStyle w:val="None"/>
          <w:lang w:val="fr-FR"/>
        </w:rPr>
        <w:t>demande à son Secrétariat exécutif de notifier la présente résolution à l’État haïtien et aux demandeurs</w:t>
      </w:r>
      <w:r w:rsidRPr="00D60B51">
        <w:rPr>
          <w:rStyle w:val="None"/>
          <w:lang w:val="fr-FR"/>
        </w:rPr>
        <w:t>.</w:t>
      </w:r>
    </w:p>
    <w:p w:rsidR="00257B10" w:rsidRPr="00D60B51" w:rsidRDefault="00257B10" w:rsidP="0020020F">
      <w:pPr>
        <w:tabs>
          <w:tab w:val="num" w:pos="450"/>
        </w:tabs>
        <w:ind w:firstLine="0"/>
        <w:rPr>
          <w:rStyle w:val="None"/>
          <w:lang w:val="fr-FR"/>
        </w:rPr>
      </w:pPr>
    </w:p>
    <w:p w:rsidR="00257B10" w:rsidRDefault="00BC6044" w:rsidP="0020020F">
      <w:pPr>
        <w:numPr>
          <w:ilvl w:val="0"/>
          <w:numId w:val="4"/>
        </w:numPr>
        <w:tabs>
          <w:tab w:val="clear" w:pos="720"/>
          <w:tab w:val="num" w:pos="450"/>
        </w:tabs>
        <w:ind w:left="0"/>
        <w:rPr>
          <w:rStyle w:val="None"/>
          <w:lang w:val="fr-FR"/>
        </w:rPr>
      </w:pPr>
      <w:r>
        <w:rPr>
          <w:rStyle w:val="None"/>
          <w:lang w:val="fr-FR"/>
        </w:rPr>
        <w:t xml:space="preserve">La présente résolution a été approuvée le </w:t>
      </w:r>
      <w:r w:rsidR="00ED7621">
        <w:rPr>
          <w:rStyle w:val="None"/>
          <w:lang w:val="fr-FR"/>
        </w:rPr>
        <w:t>31</w:t>
      </w:r>
      <w:r w:rsidR="00430088" w:rsidRPr="00D60B51">
        <w:rPr>
          <w:rStyle w:val="None"/>
          <w:lang w:val="fr-FR"/>
        </w:rPr>
        <w:t xml:space="preserve"> </w:t>
      </w:r>
      <w:r>
        <w:rPr>
          <w:rStyle w:val="None"/>
          <w:lang w:val="fr-FR"/>
        </w:rPr>
        <w:t>décembre 2019 par </w:t>
      </w:r>
      <w:r w:rsidR="00430088" w:rsidRPr="00D60B51">
        <w:rPr>
          <w:rStyle w:val="None"/>
          <w:lang w:val="fr-FR"/>
        </w:rPr>
        <w:t xml:space="preserve">: </w:t>
      </w:r>
      <w:proofErr w:type="spellStart"/>
      <w:r w:rsidR="00ED7621">
        <w:rPr>
          <w:rStyle w:val="None"/>
          <w:lang w:val="fr-FR"/>
        </w:rPr>
        <w:t>Esmeralda</w:t>
      </w:r>
      <w:proofErr w:type="spellEnd"/>
      <w:r w:rsidR="00ED7621">
        <w:rPr>
          <w:rStyle w:val="None"/>
          <w:lang w:val="fr-FR"/>
        </w:rPr>
        <w:t xml:space="preserve"> </w:t>
      </w:r>
      <w:proofErr w:type="spellStart"/>
      <w:r w:rsidR="00ED7621">
        <w:rPr>
          <w:rStyle w:val="None"/>
          <w:lang w:val="fr-FR"/>
        </w:rPr>
        <w:t>Arosemena</w:t>
      </w:r>
      <w:proofErr w:type="spellEnd"/>
      <w:r w:rsidR="00ED7621">
        <w:rPr>
          <w:rStyle w:val="None"/>
          <w:lang w:val="fr-FR"/>
        </w:rPr>
        <w:t xml:space="preserve"> de </w:t>
      </w:r>
      <w:proofErr w:type="spellStart"/>
      <w:r w:rsidR="00ED7621">
        <w:rPr>
          <w:rStyle w:val="None"/>
          <w:lang w:val="fr-FR"/>
        </w:rPr>
        <w:t>Troitiño</w:t>
      </w:r>
      <w:proofErr w:type="spellEnd"/>
      <w:r w:rsidR="00ED7621">
        <w:rPr>
          <w:rStyle w:val="None"/>
          <w:lang w:val="fr-FR"/>
        </w:rPr>
        <w:t xml:space="preserve">, Président ; </w:t>
      </w:r>
      <w:proofErr w:type="spellStart"/>
      <w:r w:rsidR="00ED7621">
        <w:rPr>
          <w:rStyle w:val="None"/>
          <w:lang w:val="fr-FR"/>
        </w:rPr>
        <w:t>Joel</w:t>
      </w:r>
      <w:proofErr w:type="spellEnd"/>
      <w:r w:rsidR="00ED7621">
        <w:rPr>
          <w:rStyle w:val="None"/>
          <w:lang w:val="fr-FR"/>
        </w:rPr>
        <w:t xml:space="preserve"> </w:t>
      </w:r>
      <w:proofErr w:type="spellStart"/>
      <w:r w:rsidR="00ED7621">
        <w:rPr>
          <w:rStyle w:val="None"/>
          <w:lang w:val="fr-FR"/>
        </w:rPr>
        <w:t>Herández</w:t>
      </w:r>
      <w:proofErr w:type="spellEnd"/>
      <w:r w:rsidR="00ED7621">
        <w:rPr>
          <w:rStyle w:val="None"/>
          <w:lang w:val="fr-FR"/>
        </w:rPr>
        <w:t xml:space="preserve"> García, premier Vice-président ; Antonia </w:t>
      </w:r>
      <w:proofErr w:type="spellStart"/>
      <w:r w:rsidR="00ED7621">
        <w:rPr>
          <w:rStyle w:val="None"/>
          <w:lang w:val="fr-FR"/>
        </w:rPr>
        <w:t>Urrejola</w:t>
      </w:r>
      <w:proofErr w:type="spellEnd"/>
      <w:r w:rsidR="00ED7621">
        <w:rPr>
          <w:rStyle w:val="None"/>
          <w:lang w:val="fr-FR"/>
        </w:rPr>
        <w:t xml:space="preserve"> </w:t>
      </w:r>
      <w:proofErr w:type="spellStart"/>
      <w:r w:rsidR="00ED7621">
        <w:rPr>
          <w:rStyle w:val="None"/>
          <w:lang w:val="fr-FR"/>
        </w:rPr>
        <w:t>Noguera</w:t>
      </w:r>
      <w:proofErr w:type="spellEnd"/>
      <w:r w:rsidR="00ED7621">
        <w:rPr>
          <w:rStyle w:val="None"/>
          <w:lang w:val="fr-FR"/>
        </w:rPr>
        <w:t xml:space="preserve">, second Vice-président ; </w:t>
      </w:r>
      <w:proofErr w:type="spellStart"/>
      <w:r w:rsidR="00ED7621">
        <w:rPr>
          <w:rStyle w:val="None"/>
          <w:lang w:val="fr-FR"/>
        </w:rPr>
        <w:t>Margarette</w:t>
      </w:r>
      <w:proofErr w:type="spellEnd"/>
      <w:r w:rsidR="00ED7621">
        <w:rPr>
          <w:rStyle w:val="None"/>
          <w:lang w:val="fr-FR"/>
        </w:rPr>
        <w:t xml:space="preserve"> May Macaulay ; Francisco José </w:t>
      </w:r>
      <w:proofErr w:type="spellStart"/>
      <w:r w:rsidR="00ED7621">
        <w:rPr>
          <w:rStyle w:val="None"/>
          <w:lang w:val="fr-FR"/>
        </w:rPr>
        <w:t>Eguiguren</w:t>
      </w:r>
      <w:proofErr w:type="spellEnd"/>
      <w:r w:rsidR="00ED7621">
        <w:rPr>
          <w:rStyle w:val="None"/>
          <w:lang w:val="fr-FR"/>
        </w:rPr>
        <w:t xml:space="preserve"> </w:t>
      </w:r>
      <w:proofErr w:type="spellStart"/>
      <w:r w:rsidR="00ED7621">
        <w:rPr>
          <w:rStyle w:val="None"/>
          <w:lang w:val="fr-FR"/>
        </w:rPr>
        <w:t>Praeli</w:t>
      </w:r>
      <w:proofErr w:type="spellEnd"/>
      <w:r w:rsidR="00ED7621">
        <w:rPr>
          <w:rStyle w:val="None"/>
          <w:lang w:val="fr-FR"/>
        </w:rPr>
        <w:t xml:space="preserve"> ; Luis Ernesto Vargas Silva ; </w:t>
      </w:r>
      <w:proofErr w:type="spellStart"/>
      <w:r w:rsidR="00ED7621">
        <w:rPr>
          <w:rStyle w:val="None"/>
          <w:lang w:val="fr-FR"/>
        </w:rPr>
        <w:t>Flávia</w:t>
      </w:r>
      <w:proofErr w:type="spellEnd"/>
      <w:r w:rsidR="00ED7621">
        <w:rPr>
          <w:rStyle w:val="None"/>
          <w:lang w:val="fr-FR"/>
        </w:rPr>
        <w:t xml:space="preserve"> </w:t>
      </w:r>
      <w:proofErr w:type="spellStart"/>
      <w:r w:rsidR="00ED7621">
        <w:rPr>
          <w:rStyle w:val="None"/>
          <w:lang w:val="fr-FR"/>
        </w:rPr>
        <w:t>Piovesan</w:t>
      </w:r>
      <w:proofErr w:type="spellEnd"/>
      <w:r w:rsidR="00ED7621">
        <w:rPr>
          <w:rStyle w:val="None"/>
          <w:lang w:val="fr-FR"/>
        </w:rPr>
        <w:t>, membres de la CIDH.</w:t>
      </w:r>
    </w:p>
    <w:p w:rsidR="00ED7621" w:rsidRDefault="00ED7621" w:rsidP="00ED7621">
      <w:pPr>
        <w:pStyle w:val="ListParagraph"/>
        <w:rPr>
          <w:lang w:val="fr-FR"/>
        </w:rPr>
      </w:pPr>
    </w:p>
    <w:p w:rsidR="00ED7621" w:rsidRDefault="00ED7621" w:rsidP="00ED7621">
      <w:pPr>
        <w:ind w:firstLine="0"/>
        <w:rPr>
          <w:lang w:val="fr-FR"/>
        </w:rPr>
      </w:pPr>
    </w:p>
    <w:p w:rsidR="00ED7621" w:rsidRDefault="00ED7621" w:rsidP="00ED7621">
      <w:pPr>
        <w:ind w:firstLine="0"/>
        <w:rPr>
          <w:lang w:val="fr-FR"/>
        </w:rPr>
      </w:pPr>
    </w:p>
    <w:p w:rsidR="00ED7621" w:rsidRDefault="00ED7621" w:rsidP="00ED7621">
      <w:pPr>
        <w:ind w:firstLine="0"/>
        <w:rPr>
          <w:lang w:val="fr-FR"/>
        </w:rPr>
      </w:pPr>
    </w:p>
    <w:p w:rsidR="00ED7621" w:rsidRDefault="00ED7621" w:rsidP="00ED7621">
      <w:pPr>
        <w:ind w:firstLine="0"/>
        <w:rPr>
          <w:lang w:val="fr-FR"/>
        </w:rPr>
      </w:pPr>
    </w:p>
    <w:p w:rsidR="00ED7621" w:rsidRDefault="00ED7621" w:rsidP="00ED7621">
      <w:pPr>
        <w:ind w:firstLine="0"/>
        <w:jc w:val="center"/>
        <w:rPr>
          <w:lang w:val="fr-FR"/>
        </w:rPr>
      </w:pPr>
    </w:p>
    <w:p w:rsidR="00ED7621" w:rsidRDefault="00ED7621" w:rsidP="00ED7621">
      <w:pPr>
        <w:ind w:firstLine="0"/>
        <w:jc w:val="center"/>
        <w:rPr>
          <w:lang w:val="fr-FR"/>
        </w:rPr>
      </w:pPr>
    </w:p>
    <w:p w:rsidR="00257B10" w:rsidRDefault="00ED7621" w:rsidP="00ED7621">
      <w:pPr>
        <w:ind w:firstLine="0"/>
        <w:jc w:val="center"/>
        <w:rPr>
          <w:lang w:val="fr-FR"/>
        </w:rPr>
      </w:pPr>
      <w:r>
        <w:rPr>
          <w:lang w:val="fr-FR"/>
        </w:rPr>
        <w:t xml:space="preserve">Paulo </w:t>
      </w:r>
      <w:proofErr w:type="spellStart"/>
      <w:r>
        <w:rPr>
          <w:lang w:val="fr-FR"/>
        </w:rPr>
        <w:t>Abrão</w:t>
      </w:r>
      <w:proofErr w:type="spellEnd"/>
    </w:p>
    <w:p w:rsidR="00ED7621" w:rsidRPr="00D60B51" w:rsidRDefault="00ED7621" w:rsidP="00ED7621">
      <w:pPr>
        <w:ind w:firstLine="0"/>
        <w:jc w:val="center"/>
        <w:rPr>
          <w:rStyle w:val="None"/>
          <w:lang w:val="fr-FR"/>
        </w:rPr>
      </w:pPr>
      <w:r>
        <w:rPr>
          <w:lang w:val="fr-FR"/>
        </w:rPr>
        <w:t xml:space="preserve">Secrétaire exécutif </w:t>
      </w:r>
    </w:p>
    <w:sectPr w:rsidR="00ED7621" w:rsidRPr="00D60B5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95" w:rsidRDefault="00F25295">
      <w:r>
        <w:separator/>
      </w:r>
    </w:p>
  </w:endnote>
  <w:endnote w:type="continuationSeparator" w:id="0">
    <w:p w:rsidR="00F25295" w:rsidRDefault="00F2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16" w:rsidRDefault="00684716">
    <w:pPr>
      <w:pStyle w:val="Footer"/>
      <w:tabs>
        <w:tab w:val="clear" w:pos="9360"/>
        <w:tab w:val="left" w:pos="4440"/>
        <w:tab w:val="right" w:pos="9340"/>
      </w:tabs>
      <w:spacing w:after="0"/>
    </w:pPr>
    <w:r>
      <w:rPr>
        <w:rStyle w:val="None"/>
        <w:rFonts w:ascii="Calibri Light" w:eastAsia="Calibri Light" w:hAnsi="Calibri Light" w:cs="Calibri Light"/>
        <w:sz w:val="16"/>
        <w:szCs w:val="16"/>
      </w:rPr>
      <w:tab/>
    </w:r>
    <w:r>
      <w:rPr>
        <w:rStyle w:val="None"/>
        <w:rFonts w:ascii="Calibri Light" w:eastAsia="Calibri Light" w:hAnsi="Calibri Light" w:cs="Calibri Light"/>
        <w:sz w:val="16"/>
        <w:szCs w:val="16"/>
      </w:rPr>
      <w:fldChar w:fldCharType="begin"/>
    </w:r>
    <w:r>
      <w:rPr>
        <w:rStyle w:val="None"/>
        <w:rFonts w:ascii="Calibri Light" w:eastAsia="Calibri Light" w:hAnsi="Calibri Light" w:cs="Calibri Light"/>
        <w:sz w:val="16"/>
        <w:szCs w:val="16"/>
      </w:rPr>
      <w:instrText xml:space="preserve"> PAGE </w:instrText>
    </w:r>
    <w:r>
      <w:rPr>
        <w:rStyle w:val="None"/>
        <w:rFonts w:ascii="Calibri Light" w:eastAsia="Calibri Light" w:hAnsi="Calibri Light" w:cs="Calibri Light"/>
        <w:sz w:val="16"/>
        <w:szCs w:val="16"/>
      </w:rPr>
      <w:fldChar w:fldCharType="separate"/>
    </w:r>
    <w:r w:rsidR="007363EA">
      <w:rPr>
        <w:rStyle w:val="None"/>
        <w:rFonts w:ascii="Calibri Light" w:eastAsia="Calibri Light" w:hAnsi="Calibri Light" w:cs="Calibri Light"/>
        <w:noProof/>
        <w:sz w:val="16"/>
        <w:szCs w:val="16"/>
      </w:rPr>
      <w:t>1</w:t>
    </w:r>
    <w:r>
      <w:rPr>
        <w:rStyle w:val="None"/>
        <w:rFonts w:ascii="Calibri Light" w:eastAsia="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95" w:rsidRDefault="00F25295">
      <w:r>
        <w:separator/>
      </w:r>
    </w:p>
  </w:footnote>
  <w:footnote w:type="continuationSeparator" w:id="0">
    <w:p w:rsidR="00F25295" w:rsidRDefault="00F25295">
      <w:r>
        <w:continuationSeparator/>
      </w:r>
    </w:p>
  </w:footnote>
  <w:footnote w:type="continuationNotice" w:id="1">
    <w:p w:rsidR="00F25295" w:rsidRDefault="00F25295"/>
  </w:footnote>
  <w:footnote w:id="2">
    <w:p w:rsidR="00684716" w:rsidRPr="00804F76" w:rsidRDefault="00684716" w:rsidP="00804F76">
      <w:pPr>
        <w:pStyle w:val="FootnoteText"/>
        <w:spacing w:after="0" w:line="240" w:lineRule="auto"/>
        <w:rPr>
          <w:rFonts w:ascii="Calibri Light" w:eastAsia="Calibri Light" w:hAnsi="Calibri Light" w:cs="Calibri Light"/>
          <w:sz w:val="16"/>
          <w:szCs w:val="16"/>
          <w:lang w:val="fr-FR"/>
        </w:rPr>
      </w:pPr>
      <w:r w:rsidRPr="00804F76">
        <w:rPr>
          <w:rStyle w:val="None"/>
          <w:rFonts w:ascii="Calibri Light" w:eastAsia="Calibri Light" w:hAnsi="Calibri Light" w:cs="Calibri Light"/>
          <w:sz w:val="16"/>
          <w:szCs w:val="16"/>
          <w:vertAlign w:val="superscript"/>
          <w:lang w:val="fr-FR"/>
        </w:rPr>
        <w:footnoteRef/>
      </w:r>
      <w:r w:rsidRPr="00804F76">
        <w:rPr>
          <w:rStyle w:val="None"/>
          <w:rFonts w:ascii="Calibri Light" w:eastAsia="Calibri Light" w:hAnsi="Calibri Light" w:cs="Calibri Light"/>
          <w:sz w:val="16"/>
          <w:szCs w:val="16"/>
          <w:lang w:val="fr-FR"/>
        </w:rPr>
        <w:t xml:space="preserve"> V</w:t>
      </w:r>
      <w:r w:rsidR="00A20D42" w:rsidRPr="00804F76">
        <w:rPr>
          <w:rStyle w:val="None"/>
          <w:rFonts w:ascii="Calibri Light" w:eastAsia="Calibri Light" w:hAnsi="Calibri Light" w:cs="Calibri Light"/>
          <w:sz w:val="16"/>
          <w:szCs w:val="16"/>
          <w:lang w:val="fr-FR"/>
        </w:rPr>
        <w:t>oir à ce sujet, C</w:t>
      </w:r>
      <w:r w:rsidRPr="00804F76">
        <w:rPr>
          <w:rStyle w:val="None"/>
          <w:rFonts w:ascii="Calibri Light" w:eastAsia="Calibri Light" w:hAnsi="Calibri Light" w:cs="Calibri Light"/>
          <w:sz w:val="16"/>
          <w:szCs w:val="16"/>
          <w:lang w:val="fr-FR"/>
        </w:rPr>
        <w:t xml:space="preserve">IDH. </w:t>
      </w:r>
      <w:r w:rsidRPr="00804F76">
        <w:rPr>
          <w:rStyle w:val="None"/>
          <w:rFonts w:ascii="Calibri Light" w:eastAsia="Calibri Light" w:hAnsi="Calibri Light" w:cs="Calibri Light"/>
          <w:i/>
          <w:iCs/>
          <w:sz w:val="16"/>
          <w:szCs w:val="16"/>
          <w:lang w:val="fr-FR"/>
        </w:rPr>
        <w:t>A</w:t>
      </w:r>
      <w:r w:rsidR="00646759" w:rsidRPr="00804F76">
        <w:rPr>
          <w:rStyle w:val="None"/>
          <w:rFonts w:ascii="Calibri Light" w:eastAsia="Calibri Light" w:hAnsi="Calibri Light" w:cs="Calibri Light"/>
          <w:i/>
          <w:iCs/>
          <w:sz w:val="16"/>
          <w:szCs w:val="16"/>
          <w:lang w:val="fr-FR"/>
        </w:rPr>
        <w:t>ffaire des habitants des communauté</w:t>
      </w:r>
      <w:r w:rsidR="00955FE5" w:rsidRPr="00804F76">
        <w:rPr>
          <w:rStyle w:val="None"/>
          <w:rFonts w:ascii="Calibri Light" w:eastAsia="Calibri Light" w:hAnsi="Calibri Light" w:cs="Calibri Light"/>
          <w:i/>
          <w:iCs/>
          <w:sz w:val="16"/>
          <w:szCs w:val="16"/>
          <w:lang w:val="fr-FR"/>
        </w:rPr>
        <w:t>s du peuple autochtone Mosquito</w:t>
      </w:r>
      <w:r w:rsidR="00646759" w:rsidRPr="00804F76">
        <w:rPr>
          <w:rStyle w:val="None"/>
          <w:rFonts w:ascii="Calibri Light" w:eastAsia="Calibri Light" w:hAnsi="Calibri Light" w:cs="Calibri Light"/>
          <w:i/>
          <w:iCs/>
          <w:sz w:val="16"/>
          <w:szCs w:val="16"/>
          <w:lang w:val="fr-FR"/>
        </w:rPr>
        <w:t xml:space="preserve"> (ou Miskito) de la région côtière des Caraïbes Nord contre le</w:t>
      </w:r>
      <w:r w:rsidRPr="00804F76">
        <w:rPr>
          <w:rStyle w:val="None"/>
          <w:rFonts w:ascii="Calibri Light" w:eastAsia="Calibri Light" w:hAnsi="Calibri Light" w:cs="Calibri Light"/>
          <w:i/>
          <w:iCs/>
          <w:sz w:val="16"/>
          <w:szCs w:val="16"/>
          <w:lang w:val="fr-FR"/>
        </w:rPr>
        <w:t xml:space="preserve"> Nicaragua</w:t>
      </w:r>
      <w:r w:rsidRPr="00804F76">
        <w:rPr>
          <w:rStyle w:val="None"/>
          <w:rFonts w:ascii="Calibri Light" w:eastAsia="Calibri Light" w:hAnsi="Calibri Light" w:cs="Calibri Light"/>
          <w:sz w:val="16"/>
          <w:szCs w:val="16"/>
          <w:lang w:val="fr-FR"/>
        </w:rPr>
        <w:t xml:space="preserve">. </w:t>
      </w:r>
      <w:r w:rsidR="007C0838" w:rsidRPr="00804F76">
        <w:rPr>
          <w:rStyle w:val="None"/>
          <w:rFonts w:ascii="Calibri Light" w:eastAsia="Calibri Light" w:hAnsi="Calibri Light" w:cs="Calibri Light"/>
          <w:sz w:val="16"/>
          <w:szCs w:val="16"/>
          <w:lang w:val="fr-FR"/>
        </w:rPr>
        <w:t>Extension de mesures provisoires</w:t>
      </w:r>
      <w:r w:rsidRPr="00804F76">
        <w:rPr>
          <w:rStyle w:val="None"/>
          <w:rFonts w:ascii="Calibri Light" w:eastAsia="Calibri Light" w:hAnsi="Calibri Light" w:cs="Calibri Light"/>
          <w:sz w:val="16"/>
          <w:szCs w:val="16"/>
          <w:lang w:val="fr-FR"/>
        </w:rPr>
        <w:t>. R</w:t>
      </w:r>
      <w:r w:rsidR="00A20D42" w:rsidRPr="00804F76">
        <w:rPr>
          <w:rStyle w:val="None"/>
          <w:rFonts w:ascii="Calibri Light" w:eastAsia="Calibri Light" w:hAnsi="Calibri Light" w:cs="Calibri Light"/>
          <w:sz w:val="16"/>
          <w:szCs w:val="16"/>
          <w:lang w:val="fr-FR"/>
        </w:rPr>
        <w:t>ésolution de la Cour interaméricaine des droits de l’Homme du 23 août 2018</w:t>
      </w:r>
      <w:r w:rsidRPr="00804F76">
        <w:rPr>
          <w:rStyle w:val="None"/>
          <w:rFonts w:ascii="Calibri Light" w:eastAsia="Calibri Light" w:hAnsi="Calibri Light" w:cs="Calibri Light"/>
          <w:sz w:val="16"/>
          <w:szCs w:val="16"/>
          <w:lang w:val="fr-FR"/>
        </w:rPr>
        <w:t xml:space="preserve">, </w:t>
      </w:r>
      <w:r w:rsidR="002E4ACF" w:rsidRPr="00804F76">
        <w:rPr>
          <w:rStyle w:val="None"/>
          <w:rFonts w:ascii="Calibri Light" w:eastAsia="Calibri Light" w:hAnsi="Calibri Light" w:cs="Calibri Light"/>
          <w:sz w:val="16"/>
          <w:szCs w:val="16"/>
          <w:lang w:val="fr-FR"/>
        </w:rPr>
        <w:t>paragraphe</w:t>
      </w:r>
      <w:r w:rsidRPr="00804F76">
        <w:rPr>
          <w:rStyle w:val="None"/>
          <w:rFonts w:ascii="Calibri Light" w:eastAsia="Calibri Light" w:hAnsi="Calibri Light" w:cs="Calibri Light"/>
          <w:sz w:val="16"/>
          <w:szCs w:val="16"/>
          <w:lang w:val="fr-FR"/>
        </w:rPr>
        <w:t xml:space="preserve"> 13</w:t>
      </w:r>
      <w:r w:rsidR="00A20D42" w:rsidRPr="00804F76">
        <w:rPr>
          <w:rStyle w:val="None"/>
          <w:rFonts w:ascii="Calibri Light" w:eastAsia="Calibri Light" w:hAnsi="Calibri Light" w:cs="Calibri Light"/>
          <w:sz w:val="16"/>
          <w:szCs w:val="16"/>
          <w:lang w:val="fr-FR"/>
        </w:rPr>
        <w:t> ; C</w:t>
      </w:r>
      <w:r w:rsidRPr="00804F76">
        <w:rPr>
          <w:rStyle w:val="None"/>
          <w:rFonts w:ascii="Calibri Light" w:eastAsia="Calibri Light" w:hAnsi="Calibri Light" w:cs="Calibri Light"/>
          <w:sz w:val="16"/>
          <w:szCs w:val="16"/>
          <w:lang w:val="fr-FR"/>
        </w:rPr>
        <w:t xml:space="preserve">IDH, </w:t>
      </w:r>
      <w:r w:rsidR="00282FE1" w:rsidRPr="00804F76">
        <w:rPr>
          <w:rStyle w:val="None"/>
          <w:rFonts w:ascii="Calibri Light" w:eastAsia="Calibri Light" w:hAnsi="Calibri Light" w:cs="Calibri Light"/>
          <w:i/>
          <w:iCs/>
          <w:sz w:val="16"/>
          <w:szCs w:val="16"/>
          <w:lang w:val="fr-FR"/>
        </w:rPr>
        <w:t>Affaire des enfants et des adolescents privés de liberté au “</w:t>
      </w:r>
      <w:proofErr w:type="spellStart"/>
      <w:r w:rsidR="00282FE1" w:rsidRPr="00804F76">
        <w:rPr>
          <w:rStyle w:val="None"/>
          <w:rFonts w:ascii="Calibri Light" w:eastAsia="Calibri Light" w:hAnsi="Calibri Light" w:cs="Calibri Light"/>
          <w:i/>
          <w:iCs/>
          <w:sz w:val="16"/>
          <w:szCs w:val="16"/>
          <w:lang w:val="fr-FR"/>
        </w:rPr>
        <w:t>Complexo</w:t>
      </w:r>
      <w:proofErr w:type="spellEnd"/>
      <w:r w:rsidR="00282FE1" w:rsidRPr="00804F76">
        <w:rPr>
          <w:rStyle w:val="None"/>
          <w:rFonts w:ascii="Calibri Light" w:eastAsia="Calibri Light" w:hAnsi="Calibri Light" w:cs="Calibri Light"/>
          <w:i/>
          <w:iCs/>
          <w:sz w:val="16"/>
          <w:szCs w:val="16"/>
          <w:lang w:val="fr-FR"/>
        </w:rPr>
        <w:t xml:space="preserve"> do </w:t>
      </w:r>
      <w:proofErr w:type="spellStart"/>
      <w:r w:rsidR="00317636" w:rsidRPr="00804F76">
        <w:rPr>
          <w:rStyle w:val="None"/>
          <w:rFonts w:ascii="Calibri Light" w:eastAsia="Calibri Light" w:hAnsi="Calibri Light" w:cs="Calibri Light"/>
          <w:i/>
          <w:iCs/>
          <w:sz w:val="16"/>
          <w:szCs w:val="16"/>
          <w:lang w:val="fr-FR"/>
        </w:rPr>
        <w:t>Tat</w:t>
      </w:r>
      <w:r w:rsidR="00282FE1" w:rsidRPr="00804F76">
        <w:rPr>
          <w:rStyle w:val="None"/>
          <w:rFonts w:ascii="Calibri Light" w:eastAsia="Calibri Light" w:hAnsi="Calibri Light" w:cs="Calibri Light"/>
          <w:i/>
          <w:iCs/>
          <w:sz w:val="16"/>
          <w:szCs w:val="16"/>
          <w:lang w:val="fr-FR"/>
        </w:rPr>
        <w:t>u</w:t>
      </w:r>
      <w:r w:rsidR="00317636" w:rsidRPr="00804F76">
        <w:rPr>
          <w:rStyle w:val="None"/>
          <w:rFonts w:ascii="Calibri Light" w:eastAsia="Calibri Light" w:hAnsi="Calibri Light" w:cs="Calibri Light"/>
          <w:i/>
          <w:iCs/>
          <w:sz w:val="16"/>
          <w:szCs w:val="16"/>
          <w:lang w:val="fr-FR"/>
        </w:rPr>
        <w:t>a</w:t>
      </w:r>
      <w:r w:rsidR="00282FE1" w:rsidRPr="00804F76">
        <w:rPr>
          <w:rStyle w:val="None"/>
          <w:rFonts w:ascii="Calibri Light" w:eastAsia="Calibri Light" w:hAnsi="Calibri Light" w:cs="Calibri Light"/>
          <w:i/>
          <w:iCs/>
          <w:sz w:val="16"/>
          <w:szCs w:val="16"/>
          <w:lang w:val="fr-FR"/>
        </w:rPr>
        <w:t>pé</w:t>
      </w:r>
      <w:proofErr w:type="spellEnd"/>
      <w:r w:rsidR="00282FE1" w:rsidRPr="00804F76">
        <w:rPr>
          <w:rStyle w:val="None"/>
          <w:rFonts w:ascii="Calibri Light" w:eastAsia="Calibri Light" w:hAnsi="Calibri Light" w:cs="Calibri Light"/>
          <w:i/>
          <w:iCs/>
          <w:sz w:val="16"/>
          <w:szCs w:val="16"/>
          <w:lang w:val="fr-FR"/>
        </w:rPr>
        <w:t xml:space="preserve">” </w:t>
      </w:r>
      <w:r w:rsidR="00317636" w:rsidRPr="00804F76">
        <w:rPr>
          <w:rStyle w:val="None"/>
          <w:rFonts w:ascii="Calibri Light" w:eastAsia="Calibri Light" w:hAnsi="Calibri Light" w:cs="Calibri Light"/>
          <w:i/>
          <w:iCs/>
          <w:sz w:val="16"/>
          <w:szCs w:val="16"/>
          <w:lang w:val="fr-FR"/>
        </w:rPr>
        <w:t xml:space="preserve">de la </w:t>
      </w:r>
      <w:proofErr w:type="spellStart"/>
      <w:r w:rsidR="00317636" w:rsidRPr="00804F76">
        <w:rPr>
          <w:rStyle w:val="None"/>
          <w:rFonts w:ascii="Calibri Light" w:eastAsia="Calibri Light" w:hAnsi="Calibri Light" w:cs="Calibri Light"/>
          <w:i/>
          <w:iCs/>
          <w:sz w:val="16"/>
          <w:szCs w:val="16"/>
          <w:lang w:val="fr-FR"/>
        </w:rPr>
        <w:t>Fundação</w:t>
      </w:r>
      <w:proofErr w:type="spellEnd"/>
      <w:r w:rsidR="00317636" w:rsidRPr="00804F76">
        <w:rPr>
          <w:rStyle w:val="None"/>
          <w:rFonts w:ascii="Calibri Light" w:eastAsia="Calibri Light" w:hAnsi="Calibri Light" w:cs="Calibri Light"/>
          <w:i/>
          <w:iCs/>
          <w:sz w:val="16"/>
          <w:szCs w:val="16"/>
          <w:lang w:val="fr-FR"/>
        </w:rPr>
        <w:t xml:space="preserve"> CASA</w:t>
      </w:r>
      <w:r w:rsidRPr="00804F76">
        <w:rPr>
          <w:rStyle w:val="None"/>
          <w:rFonts w:ascii="Calibri Light" w:eastAsia="Calibri Light" w:hAnsi="Calibri Light" w:cs="Calibri Light"/>
          <w:sz w:val="16"/>
          <w:szCs w:val="16"/>
          <w:lang w:val="fr-FR"/>
        </w:rPr>
        <w:t xml:space="preserve">. </w:t>
      </w:r>
      <w:r w:rsidR="007C0838" w:rsidRPr="00804F76">
        <w:rPr>
          <w:rStyle w:val="None"/>
          <w:rFonts w:ascii="Calibri Light" w:eastAsia="Calibri Light" w:hAnsi="Calibri Light" w:cs="Calibri Light"/>
          <w:sz w:val="16"/>
          <w:szCs w:val="16"/>
          <w:lang w:val="fr-FR"/>
        </w:rPr>
        <w:t>Demande d’extension de mesures provisoires</w:t>
      </w:r>
      <w:r w:rsidRPr="00804F76">
        <w:rPr>
          <w:rStyle w:val="None"/>
          <w:rFonts w:ascii="Calibri Light" w:eastAsia="Calibri Light" w:hAnsi="Calibri Light" w:cs="Calibri Light"/>
          <w:sz w:val="16"/>
          <w:szCs w:val="16"/>
          <w:lang w:val="fr-FR"/>
        </w:rPr>
        <w:t xml:space="preserve">. </w:t>
      </w:r>
      <w:r w:rsidR="007C0838" w:rsidRPr="00804F76">
        <w:rPr>
          <w:rStyle w:val="None"/>
          <w:rFonts w:ascii="Calibri Light" w:eastAsia="Calibri Light" w:hAnsi="Calibri Light" w:cs="Calibri Light"/>
          <w:sz w:val="16"/>
          <w:szCs w:val="16"/>
          <w:lang w:val="fr-FR"/>
        </w:rPr>
        <w:t xml:space="preserve">Mesures provisoires </w:t>
      </w:r>
      <w:r w:rsidR="00804F76">
        <w:rPr>
          <w:rStyle w:val="None"/>
          <w:rFonts w:ascii="Calibri Light" w:eastAsia="Calibri Light" w:hAnsi="Calibri Light" w:cs="Calibri Light"/>
          <w:sz w:val="16"/>
          <w:szCs w:val="16"/>
          <w:lang w:val="fr-FR"/>
        </w:rPr>
        <w:t>relatives au</w:t>
      </w:r>
      <w:r w:rsidR="007C0838" w:rsidRPr="00804F76">
        <w:rPr>
          <w:rStyle w:val="None"/>
          <w:rFonts w:ascii="Calibri Light" w:eastAsia="Calibri Light" w:hAnsi="Calibri Light" w:cs="Calibri Light"/>
          <w:sz w:val="16"/>
          <w:szCs w:val="16"/>
          <w:lang w:val="fr-FR"/>
        </w:rPr>
        <w:t xml:space="preserve"> Brésil</w:t>
      </w:r>
      <w:r w:rsidRPr="00804F76">
        <w:rPr>
          <w:rStyle w:val="None"/>
          <w:rFonts w:ascii="Calibri Light" w:eastAsia="Calibri Light" w:hAnsi="Calibri Light" w:cs="Calibri Light"/>
          <w:sz w:val="16"/>
          <w:szCs w:val="16"/>
          <w:lang w:val="fr-FR"/>
        </w:rPr>
        <w:t xml:space="preserve">. </w:t>
      </w:r>
      <w:r w:rsidR="00A20D42" w:rsidRPr="00804F76">
        <w:rPr>
          <w:rStyle w:val="None"/>
          <w:rFonts w:ascii="Calibri Light" w:eastAsia="Calibri Light" w:hAnsi="Calibri Light" w:cs="Calibri Light"/>
          <w:sz w:val="16"/>
          <w:szCs w:val="16"/>
          <w:lang w:val="fr-FR"/>
        </w:rPr>
        <w:t xml:space="preserve">Résolution de la Cour interaméricaine des droits de l’Homme du </w:t>
      </w:r>
      <w:r w:rsidR="00D35806">
        <w:rPr>
          <w:rStyle w:val="None"/>
          <w:rFonts w:ascii="Calibri Light" w:eastAsia="Calibri Light" w:hAnsi="Calibri Light" w:cs="Calibri Light"/>
          <w:sz w:val="16"/>
          <w:szCs w:val="16"/>
          <w:lang w:val="fr-FR"/>
        </w:rPr>
        <w:t>4 </w:t>
      </w:r>
      <w:r w:rsidR="00A20D42" w:rsidRPr="00804F76">
        <w:rPr>
          <w:rStyle w:val="None"/>
          <w:rFonts w:ascii="Calibri Light" w:eastAsia="Calibri Light" w:hAnsi="Calibri Light" w:cs="Calibri Light"/>
          <w:sz w:val="16"/>
          <w:szCs w:val="16"/>
          <w:lang w:val="fr-FR"/>
        </w:rPr>
        <w:t>juillet</w:t>
      </w:r>
      <w:r w:rsidRPr="00804F76">
        <w:rPr>
          <w:rStyle w:val="None"/>
          <w:rFonts w:ascii="Calibri Light" w:eastAsia="Calibri Light" w:hAnsi="Calibri Light" w:cs="Calibri Light"/>
          <w:sz w:val="16"/>
          <w:szCs w:val="16"/>
          <w:lang w:val="fr-FR"/>
        </w:rPr>
        <w:t xml:space="preserve"> 2006</w:t>
      </w:r>
      <w:r w:rsidR="00A20D42" w:rsidRPr="00804F76">
        <w:rPr>
          <w:rStyle w:val="None"/>
          <w:rFonts w:ascii="Calibri Light" w:eastAsia="Calibri Light" w:hAnsi="Calibri Light" w:cs="Calibri Light"/>
          <w:sz w:val="16"/>
          <w:szCs w:val="16"/>
          <w:lang w:val="fr-FR"/>
        </w:rPr>
        <w:t xml:space="preserve">. </w:t>
      </w:r>
      <w:r w:rsidR="00231002" w:rsidRPr="00804F76">
        <w:rPr>
          <w:rStyle w:val="None"/>
          <w:rFonts w:ascii="Calibri Light" w:eastAsia="Calibri Light" w:hAnsi="Calibri Light" w:cs="Calibri Light"/>
          <w:sz w:val="16"/>
          <w:szCs w:val="16"/>
          <w:lang w:val="fr-FR"/>
        </w:rPr>
        <w:t xml:space="preserve">Paragraphe </w:t>
      </w:r>
      <w:r w:rsidR="00A20D42" w:rsidRPr="00804F76">
        <w:rPr>
          <w:rStyle w:val="None"/>
          <w:rFonts w:ascii="Calibri Light" w:eastAsia="Calibri Light" w:hAnsi="Calibri Light" w:cs="Calibri Light"/>
          <w:sz w:val="16"/>
          <w:szCs w:val="16"/>
          <w:lang w:val="fr-FR"/>
        </w:rPr>
        <w:t>23. Disponible à l’adresse</w:t>
      </w:r>
      <w:r w:rsidR="0033203C" w:rsidRPr="00804F76">
        <w:rPr>
          <w:rStyle w:val="None"/>
          <w:rFonts w:ascii="Calibri Light" w:eastAsia="Calibri Light" w:hAnsi="Calibri Light" w:cs="Calibri Light"/>
          <w:sz w:val="16"/>
          <w:szCs w:val="16"/>
          <w:lang w:val="fr-FR"/>
        </w:rPr>
        <w:t xml:space="preserve"> (en anglais et en espagnol </w:t>
      </w:r>
      <w:r w:rsidR="00955FE5" w:rsidRPr="00804F76">
        <w:rPr>
          <w:rStyle w:val="None"/>
          <w:rFonts w:ascii="Calibri Light" w:eastAsia="Calibri Light" w:hAnsi="Calibri Light" w:cs="Calibri Light"/>
          <w:sz w:val="16"/>
          <w:szCs w:val="16"/>
          <w:lang w:val="fr-FR"/>
        </w:rPr>
        <w:t>seule</w:t>
      </w:r>
      <w:r w:rsidR="0033203C" w:rsidRPr="00804F76">
        <w:rPr>
          <w:rStyle w:val="None"/>
          <w:rFonts w:ascii="Calibri Light" w:eastAsia="Calibri Light" w:hAnsi="Calibri Light" w:cs="Calibri Light"/>
          <w:sz w:val="16"/>
          <w:szCs w:val="16"/>
          <w:lang w:val="fr-FR"/>
        </w:rPr>
        <w:t>ment) </w:t>
      </w:r>
      <w:r w:rsidRPr="00804F76">
        <w:rPr>
          <w:rStyle w:val="None"/>
          <w:rFonts w:ascii="Calibri Light" w:eastAsia="Calibri Light" w:hAnsi="Calibri Light" w:cs="Calibri Light"/>
          <w:sz w:val="16"/>
          <w:szCs w:val="16"/>
          <w:lang w:val="fr-FR"/>
        </w:rPr>
        <w:t xml:space="preserve">: </w:t>
      </w:r>
      <w:hyperlink r:id="rId1" w:history="1">
        <w:r w:rsidR="00646759" w:rsidRPr="00804F76">
          <w:rPr>
            <w:rStyle w:val="None"/>
            <w:rFonts w:ascii="Calibri Light" w:eastAsia="Calibri Light" w:hAnsi="Calibri Light" w:cs="Calibri Light"/>
            <w:sz w:val="16"/>
            <w:szCs w:val="16"/>
            <w:lang w:val="fr-FR"/>
          </w:rPr>
          <w:t>http://www.corteidh.or.cr/docs/medidas/febem_se_03_ing.pdf</w:t>
        </w:r>
      </w:hyperlink>
      <w:r w:rsidR="00646759" w:rsidRPr="00804F76">
        <w:rPr>
          <w:rStyle w:val="None"/>
          <w:rFonts w:ascii="Calibri Light" w:eastAsia="Calibri Light" w:hAnsi="Calibri Light" w:cs="Calibri Light"/>
          <w:sz w:val="16"/>
          <w:szCs w:val="16"/>
          <w:lang w:val="fr-FR"/>
        </w:rPr>
        <w:t xml:space="preserve"> (en anglais) et </w:t>
      </w:r>
      <w:r w:rsidRPr="00804F76">
        <w:rPr>
          <w:rStyle w:val="None"/>
          <w:rFonts w:ascii="Calibri Light" w:eastAsia="Calibri Light" w:hAnsi="Calibri Light" w:cs="Calibri Light"/>
          <w:sz w:val="16"/>
          <w:szCs w:val="16"/>
          <w:lang w:val="fr-FR"/>
        </w:rPr>
        <w:t xml:space="preserve">http://www.corteidh.or.cr/docs/medidas/febem_se_03.pdf </w:t>
      </w:r>
      <w:r w:rsidR="002E4ACF" w:rsidRPr="00804F76">
        <w:rPr>
          <w:rStyle w:val="None"/>
          <w:rFonts w:ascii="Calibri Light" w:eastAsia="Calibri Light" w:hAnsi="Calibri Light" w:cs="Calibri Light"/>
          <w:sz w:val="16"/>
          <w:szCs w:val="16"/>
          <w:lang w:val="fr-FR"/>
        </w:rPr>
        <w:t>(</w:t>
      </w:r>
      <w:r w:rsidR="00646759" w:rsidRPr="00804F76">
        <w:rPr>
          <w:rStyle w:val="None"/>
          <w:rFonts w:ascii="Calibri Light" w:eastAsia="Calibri Light" w:hAnsi="Calibri Light" w:cs="Calibri Light"/>
          <w:sz w:val="16"/>
          <w:szCs w:val="16"/>
          <w:lang w:val="fr-FR"/>
        </w:rPr>
        <w:t>en espagnol)</w:t>
      </w:r>
    </w:p>
  </w:footnote>
  <w:footnote w:id="3">
    <w:p w:rsidR="00684716" w:rsidRPr="00804F76" w:rsidRDefault="00684716" w:rsidP="00804F76">
      <w:pPr>
        <w:pStyle w:val="FootnoteText"/>
        <w:spacing w:after="0" w:line="240" w:lineRule="auto"/>
        <w:rPr>
          <w:rStyle w:val="None"/>
          <w:lang w:val="fr-FR"/>
        </w:rPr>
      </w:pPr>
      <w:r w:rsidRPr="00804F76">
        <w:rPr>
          <w:rStyle w:val="None"/>
          <w:rFonts w:ascii="Calibri Light" w:eastAsia="Calibri Light" w:hAnsi="Calibri Light" w:cs="Calibri Light"/>
          <w:sz w:val="16"/>
          <w:szCs w:val="16"/>
          <w:vertAlign w:val="superscript"/>
          <w:lang w:val="fr-FR"/>
        </w:rPr>
        <w:footnoteRef/>
      </w:r>
      <w:r w:rsidR="004D138A" w:rsidRPr="00804F76">
        <w:rPr>
          <w:rFonts w:ascii="Calibri Light" w:eastAsia="Calibri Light" w:hAnsi="Calibri Light" w:cs="Calibri Light"/>
          <w:sz w:val="16"/>
          <w:szCs w:val="16"/>
          <w:lang w:val="fr-FR"/>
        </w:rPr>
        <w:t xml:space="preserve"> Voir </w:t>
      </w:r>
      <w:r w:rsidR="00DA6976" w:rsidRPr="00804F76">
        <w:rPr>
          <w:rFonts w:ascii="Calibri Light" w:eastAsia="Calibri Light" w:hAnsi="Calibri Light" w:cs="Calibri Light"/>
          <w:sz w:val="16"/>
          <w:szCs w:val="16"/>
          <w:lang w:val="fr-FR"/>
        </w:rPr>
        <w:t xml:space="preserve">: CIDH, « La </w:t>
      </w:r>
      <w:r w:rsidRPr="00804F76">
        <w:rPr>
          <w:rFonts w:ascii="Calibri Light" w:eastAsia="Calibri Light" w:hAnsi="Calibri Light" w:cs="Calibri Light"/>
          <w:sz w:val="16"/>
          <w:szCs w:val="16"/>
          <w:lang w:val="fr-FR"/>
        </w:rPr>
        <w:t xml:space="preserve">CIDH </w:t>
      </w:r>
      <w:r w:rsidR="00DA6976" w:rsidRPr="00804F76">
        <w:rPr>
          <w:rFonts w:ascii="Calibri Light" w:eastAsia="Calibri Light" w:hAnsi="Calibri Light" w:cs="Calibri Light"/>
          <w:sz w:val="16"/>
          <w:szCs w:val="16"/>
          <w:lang w:val="fr-FR"/>
        </w:rPr>
        <w:t>exprime sa préoccupation quant à l’aggravation de la violence et de la pénurie en Haïti et annonce la cr</w:t>
      </w:r>
      <w:r w:rsidR="00D35806">
        <w:rPr>
          <w:rFonts w:ascii="Calibri Light" w:eastAsia="Calibri Light" w:hAnsi="Calibri Light" w:cs="Calibri Light"/>
          <w:sz w:val="16"/>
          <w:szCs w:val="16"/>
          <w:lang w:val="fr-FR"/>
        </w:rPr>
        <w:t>é</w:t>
      </w:r>
      <w:r w:rsidR="00DA6976" w:rsidRPr="00804F76">
        <w:rPr>
          <w:rFonts w:ascii="Calibri Light" w:eastAsia="Calibri Light" w:hAnsi="Calibri Light" w:cs="Calibri Light"/>
          <w:sz w:val="16"/>
          <w:szCs w:val="16"/>
          <w:lang w:val="fr-FR"/>
        </w:rPr>
        <w:t>ation de la Cellule de coordination et de riposte opportune et intégrée</w:t>
      </w:r>
      <w:r w:rsidRPr="00804F76">
        <w:rPr>
          <w:rFonts w:ascii="Calibri Light" w:eastAsia="Calibri Light" w:hAnsi="Calibri Light" w:cs="Calibri Light"/>
          <w:sz w:val="16"/>
          <w:szCs w:val="16"/>
          <w:lang w:val="fr-FR"/>
        </w:rPr>
        <w:t xml:space="preserve"> (SACROI) </w:t>
      </w:r>
      <w:r w:rsidR="00DA6976" w:rsidRPr="00804F76">
        <w:rPr>
          <w:rFonts w:ascii="Calibri Light" w:eastAsia="Calibri Light" w:hAnsi="Calibri Light" w:cs="Calibri Light"/>
          <w:sz w:val="16"/>
          <w:szCs w:val="16"/>
          <w:lang w:val="fr-FR"/>
        </w:rPr>
        <w:t>pour faire le suivi de la situation »</w:t>
      </w:r>
      <w:r w:rsidRPr="00804F76">
        <w:rPr>
          <w:rFonts w:ascii="Calibri Light" w:eastAsia="Calibri Light" w:hAnsi="Calibri Light" w:cs="Calibri Light"/>
          <w:sz w:val="16"/>
          <w:szCs w:val="16"/>
          <w:lang w:val="fr-FR"/>
        </w:rPr>
        <w:t xml:space="preserve">, </w:t>
      </w:r>
      <w:r w:rsidR="00A20D42" w:rsidRPr="00804F76">
        <w:rPr>
          <w:rFonts w:ascii="Calibri Light" w:eastAsia="Calibri Light" w:hAnsi="Calibri Light" w:cs="Calibri Light"/>
          <w:sz w:val="16"/>
          <w:szCs w:val="16"/>
          <w:lang w:val="fr-FR"/>
        </w:rPr>
        <w:t xml:space="preserve">communiqué de presse du </w:t>
      </w:r>
      <w:r w:rsidRPr="00804F76">
        <w:rPr>
          <w:rFonts w:ascii="Calibri Light" w:eastAsia="Calibri Light" w:hAnsi="Calibri Light" w:cs="Calibri Light"/>
          <w:sz w:val="16"/>
          <w:szCs w:val="16"/>
          <w:lang w:val="fr-FR"/>
        </w:rPr>
        <w:t xml:space="preserve">27 </w:t>
      </w:r>
      <w:r w:rsidR="00A20D42" w:rsidRPr="00804F76">
        <w:rPr>
          <w:rFonts w:ascii="Calibri Light" w:eastAsia="Calibri Light" w:hAnsi="Calibri Light" w:cs="Calibri Light"/>
          <w:sz w:val="16"/>
          <w:szCs w:val="16"/>
          <w:lang w:val="fr-FR"/>
        </w:rPr>
        <w:t>février</w:t>
      </w:r>
      <w:r w:rsidRPr="00804F76">
        <w:rPr>
          <w:rFonts w:ascii="Calibri Light" w:eastAsia="Calibri Light" w:hAnsi="Calibri Light" w:cs="Calibri Light"/>
          <w:sz w:val="16"/>
          <w:szCs w:val="16"/>
          <w:lang w:val="fr-FR"/>
        </w:rPr>
        <w:t xml:space="preserve"> 2019. </w:t>
      </w:r>
      <w:r w:rsidR="00A20D42" w:rsidRPr="00804F76">
        <w:rPr>
          <w:rStyle w:val="None"/>
          <w:rFonts w:ascii="Calibri Light" w:eastAsia="Calibri Light" w:hAnsi="Calibri Light" w:cs="Calibri Light"/>
          <w:sz w:val="16"/>
          <w:szCs w:val="16"/>
          <w:lang w:val="fr-FR"/>
        </w:rPr>
        <w:t>Disponible à l’adresse </w:t>
      </w:r>
      <w:r w:rsidRPr="00804F76">
        <w:rPr>
          <w:rFonts w:ascii="Calibri Light" w:eastAsia="Calibri Light" w:hAnsi="Calibri Light" w:cs="Calibri Light"/>
          <w:sz w:val="16"/>
          <w:szCs w:val="16"/>
          <w:lang w:val="fr-FR"/>
        </w:rPr>
        <w:t xml:space="preserve">: </w:t>
      </w:r>
      <w:hyperlink r:id="rId2" w:history="1">
        <w:r w:rsidR="00DA6976" w:rsidRPr="00804F76">
          <w:rPr>
            <w:rStyle w:val="None"/>
            <w:rFonts w:ascii="Calibri Light" w:eastAsia="Calibri Light" w:hAnsi="Calibri Light" w:cs="Calibri Light"/>
            <w:sz w:val="16"/>
            <w:szCs w:val="16"/>
            <w:lang w:val="fr-FR"/>
          </w:rPr>
          <w:t>http://www.oas.org/fr/cidh/prensa/comunicados/2019/046.asp</w:t>
        </w:r>
      </w:hyperlink>
      <w:r w:rsidR="00DA6976" w:rsidRPr="00804F76">
        <w:rPr>
          <w:rFonts w:ascii="Calibri Light" w:eastAsia="Calibri Light" w:hAnsi="Calibri Light" w:cs="Calibri Light"/>
          <w:sz w:val="16"/>
          <w:szCs w:val="16"/>
          <w:lang w:val="fr-FR"/>
        </w:rPr>
        <w:t> </w:t>
      </w:r>
      <w:r w:rsidRPr="00804F76">
        <w:rPr>
          <w:rFonts w:ascii="Calibri Light" w:eastAsia="Calibri Light" w:hAnsi="Calibri Light" w:cs="Calibri Light"/>
          <w:sz w:val="16"/>
          <w:szCs w:val="16"/>
          <w:lang w:val="fr-FR"/>
        </w:rPr>
        <w:t xml:space="preserve">; </w:t>
      </w:r>
      <w:r w:rsidR="00DA6976" w:rsidRPr="00804F76">
        <w:rPr>
          <w:rFonts w:ascii="Calibri Light" w:eastAsia="Calibri Light" w:hAnsi="Calibri Light" w:cs="Calibri Light"/>
          <w:sz w:val="16"/>
          <w:szCs w:val="16"/>
          <w:lang w:val="fr-FR"/>
        </w:rPr>
        <w:t xml:space="preserve">CIDH, « La </w:t>
      </w:r>
      <w:r w:rsidRPr="00804F76">
        <w:rPr>
          <w:rFonts w:ascii="Calibri Light" w:eastAsia="Calibri Light" w:hAnsi="Calibri Light" w:cs="Calibri Light"/>
          <w:sz w:val="16"/>
          <w:szCs w:val="16"/>
          <w:lang w:val="fr-FR"/>
        </w:rPr>
        <w:t xml:space="preserve">CIDH </w:t>
      </w:r>
      <w:r w:rsidR="00DA6976" w:rsidRPr="00804F76">
        <w:rPr>
          <w:rFonts w:ascii="Calibri Light" w:eastAsia="Calibri Light" w:hAnsi="Calibri Light" w:cs="Calibri Light"/>
          <w:sz w:val="16"/>
          <w:szCs w:val="16"/>
          <w:lang w:val="fr-FR"/>
        </w:rPr>
        <w:t>achève sa visite à Haïti »</w:t>
      </w:r>
      <w:r w:rsidRPr="00804F76">
        <w:rPr>
          <w:rFonts w:ascii="Calibri Light" w:eastAsia="Calibri Light" w:hAnsi="Calibri Light" w:cs="Calibri Light"/>
          <w:sz w:val="16"/>
          <w:szCs w:val="16"/>
          <w:lang w:val="fr-FR"/>
        </w:rPr>
        <w:t xml:space="preserve">, </w:t>
      </w:r>
      <w:r w:rsidR="00A20D42" w:rsidRPr="00804F76">
        <w:rPr>
          <w:rFonts w:ascii="Calibri Light" w:eastAsia="Calibri Light" w:hAnsi="Calibri Light" w:cs="Calibri Light"/>
          <w:sz w:val="16"/>
          <w:szCs w:val="16"/>
          <w:lang w:val="fr-FR"/>
        </w:rPr>
        <w:t>communiqué de presse du</w:t>
      </w:r>
      <w:r w:rsidRPr="00804F76">
        <w:rPr>
          <w:rFonts w:ascii="Calibri Light" w:eastAsia="Calibri Light" w:hAnsi="Calibri Light" w:cs="Calibri Light"/>
          <w:sz w:val="16"/>
          <w:szCs w:val="16"/>
          <w:lang w:val="fr-FR"/>
        </w:rPr>
        <w:t xml:space="preserve"> 3 </w:t>
      </w:r>
      <w:r w:rsidR="00A20D42" w:rsidRPr="00804F76">
        <w:rPr>
          <w:rFonts w:ascii="Calibri Light" w:eastAsia="Calibri Light" w:hAnsi="Calibri Light" w:cs="Calibri Light"/>
          <w:sz w:val="16"/>
          <w:szCs w:val="16"/>
          <w:lang w:val="fr-FR"/>
        </w:rPr>
        <w:t>juillet</w:t>
      </w:r>
      <w:r w:rsidRPr="00804F76">
        <w:rPr>
          <w:rFonts w:ascii="Calibri Light" w:eastAsia="Calibri Light" w:hAnsi="Calibri Light" w:cs="Calibri Light"/>
          <w:sz w:val="16"/>
          <w:szCs w:val="16"/>
          <w:lang w:val="fr-FR"/>
        </w:rPr>
        <w:t xml:space="preserve"> 2019. </w:t>
      </w:r>
      <w:r w:rsidR="00A20D42" w:rsidRPr="00804F76">
        <w:rPr>
          <w:rStyle w:val="None"/>
          <w:rFonts w:ascii="Calibri Light" w:eastAsia="Calibri Light" w:hAnsi="Calibri Light" w:cs="Calibri Light"/>
          <w:sz w:val="16"/>
          <w:szCs w:val="16"/>
          <w:lang w:val="fr-FR"/>
        </w:rPr>
        <w:t>Disponible à l’adresse </w:t>
      </w:r>
      <w:r w:rsidRPr="00804F76">
        <w:rPr>
          <w:rFonts w:ascii="Calibri Light" w:eastAsia="Calibri Light" w:hAnsi="Calibri Light" w:cs="Calibri Light"/>
          <w:sz w:val="16"/>
          <w:szCs w:val="16"/>
          <w:lang w:val="fr-FR"/>
        </w:rPr>
        <w:t xml:space="preserve">: </w:t>
      </w:r>
      <w:hyperlink r:id="rId3" w:history="1">
        <w:r w:rsidR="00DA6976" w:rsidRPr="00804F76">
          <w:rPr>
            <w:rStyle w:val="None"/>
            <w:rFonts w:ascii="Calibri Light" w:eastAsia="Calibri Light" w:hAnsi="Calibri Light" w:cs="Calibri Light"/>
            <w:sz w:val="16"/>
            <w:szCs w:val="16"/>
            <w:lang w:val="fr-FR"/>
          </w:rPr>
          <w:t>http://www.oas.org/fr/cidh/prensa/comunicados/2019/168.asp</w:t>
        </w:r>
      </w:hyperlink>
      <w:r w:rsidR="00DA6976" w:rsidRPr="00804F76">
        <w:rPr>
          <w:rStyle w:val="None"/>
          <w:rFonts w:ascii="Calibri Light" w:eastAsia="Calibri Light" w:hAnsi="Calibri Light" w:cs="Calibri Light"/>
          <w:sz w:val="16"/>
          <w:szCs w:val="16"/>
          <w:lang w:val="fr-FR"/>
        </w:rPr>
        <w:t> </w:t>
      </w:r>
      <w:r w:rsidRPr="00804F76">
        <w:rPr>
          <w:rStyle w:val="None"/>
          <w:rFonts w:ascii="Calibri Light" w:eastAsia="Calibri Light" w:hAnsi="Calibri Light" w:cs="Calibri Light"/>
          <w:sz w:val="16"/>
          <w:szCs w:val="16"/>
          <w:lang w:val="fr-FR"/>
        </w:rPr>
        <w:t>;</w:t>
      </w:r>
      <w:r w:rsidRPr="00804F76">
        <w:rPr>
          <w:rStyle w:val="None"/>
          <w:lang w:val="fr-FR"/>
        </w:rPr>
        <w:t xml:space="preserve"> </w:t>
      </w:r>
      <w:r w:rsidR="00D718D8" w:rsidRPr="00804F76">
        <w:rPr>
          <w:rStyle w:val="None"/>
          <w:rFonts w:ascii="Calibri Light" w:eastAsia="Calibri Light" w:hAnsi="Calibri Light" w:cs="Calibri Light"/>
          <w:sz w:val="16"/>
          <w:szCs w:val="16"/>
          <w:lang w:val="fr-FR"/>
        </w:rPr>
        <w:t xml:space="preserve">CIDH, « La </w:t>
      </w:r>
      <w:r w:rsidRPr="00804F76">
        <w:rPr>
          <w:rStyle w:val="None"/>
          <w:rFonts w:ascii="Calibri Light" w:eastAsia="Calibri Light" w:hAnsi="Calibri Light" w:cs="Calibri Light"/>
          <w:sz w:val="16"/>
          <w:szCs w:val="16"/>
          <w:lang w:val="fr-FR"/>
        </w:rPr>
        <w:t xml:space="preserve">CIDH </w:t>
      </w:r>
      <w:r w:rsidR="00D718D8" w:rsidRPr="00804F76">
        <w:rPr>
          <w:rStyle w:val="None"/>
          <w:rFonts w:ascii="Calibri Light" w:eastAsia="Calibri Light" w:hAnsi="Calibri Light" w:cs="Calibri Light"/>
          <w:sz w:val="16"/>
          <w:szCs w:val="16"/>
          <w:lang w:val="fr-FR"/>
        </w:rPr>
        <w:t xml:space="preserve">et le Bureau du Rapporteur spécial expriment leur préoccupation face aux actes de violence et à l’aggravation des tensions politiques </w:t>
      </w:r>
      <w:r w:rsidR="00D718D8" w:rsidRPr="00804F76">
        <w:rPr>
          <w:rFonts w:ascii="Calibri Light" w:eastAsia="Calibri Light" w:hAnsi="Calibri Light" w:cs="Calibri Light"/>
          <w:sz w:val="16"/>
          <w:szCs w:val="16"/>
          <w:lang w:val="fr-FR"/>
        </w:rPr>
        <w:t>en Haïti »</w:t>
      </w:r>
      <w:r w:rsidRPr="00804F76">
        <w:rPr>
          <w:rStyle w:val="None"/>
          <w:rFonts w:ascii="Calibri Light" w:eastAsia="Calibri Light" w:hAnsi="Calibri Light" w:cs="Calibri Light"/>
          <w:sz w:val="16"/>
          <w:szCs w:val="16"/>
          <w:lang w:val="fr-FR"/>
        </w:rPr>
        <w:t xml:space="preserve">, </w:t>
      </w:r>
      <w:r w:rsidR="00DA6976" w:rsidRPr="00804F76">
        <w:rPr>
          <w:rFonts w:ascii="Calibri Light" w:eastAsia="Calibri Light" w:hAnsi="Calibri Light" w:cs="Calibri Light"/>
          <w:sz w:val="16"/>
          <w:szCs w:val="16"/>
          <w:lang w:val="fr-FR"/>
        </w:rPr>
        <w:t xml:space="preserve">communiqué de presse du </w:t>
      </w:r>
      <w:r w:rsidRPr="00804F76">
        <w:rPr>
          <w:rStyle w:val="None"/>
          <w:rFonts w:ascii="Calibri Light" w:eastAsia="Calibri Light" w:hAnsi="Calibri Light" w:cs="Calibri Light"/>
          <w:sz w:val="16"/>
          <w:szCs w:val="16"/>
          <w:lang w:val="fr-FR"/>
        </w:rPr>
        <w:t xml:space="preserve">11 </w:t>
      </w:r>
      <w:r w:rsidR="00DA6976" w:rsidRPr="00804F76">
        <w:rPr>
          <w:rStyle w:val="None"/>
          <w:rFonts w:ascii="Calibri Light" w:eastAsia="Calibri Light" w:hAnsi="Calibri Light" w:cs="Calibri Light"/>
          <w:sz w:val="16"/>
          <w:szCs w:val="16"/>
          <w:lang w:val="fr-FR"/>
        </w:rPr>
        <w:t>octobre 2019, disponible à l’adresse </w:t>
      </w:r>
      <w:r w:rsidRPr="00804F76">
        <w:rPr>
          <w:rStyle w:val="None"/>
          <w:rFonts w:ascii="Calibri Light" w:eastAsia="Calibri Light" w:hAnsi="Calibri Light" w:cs="Calibri Light"/>
          <w:sz w:val="16"/>
          <w:szCs w:val="16"/>
          <w:lang w:val="fr-FR"/>
        </w:rPr>
        <w:t xml:space="preserve">: </w:t>
      </w:r>
      <w:hyperlink r:id="rId4" w:history="1">
        <w:r w:rsidR="00DA6976" w:rsidRPr="00804F76">
          <w:rPr>
            <w:rFonts w:ascii="Calibri Light" w:eastAsia="Calibri Light" w:hAnsi="Calibri Light" w:cs="Calibri Light"/>
            <w:sz w:val="16"/>
            <w:szCs w:val="16"/>
            <w:lang w:val="fr-FR"/>
          </w:rPr>
          <w:t>http://www.oas.org/fr/cidh/prensa/comunicados/2019/258.asp</w:t>
        </w:r>
      </w:hyperlink>
      <w:r w:rsidR="00DA6976" w:rsidRPr="00804F76">
        <w:rPr>
          <w:rFonts w:ascii="Calibri Light" w:eastAsia="Calibri Light" w:hAnsi="Calibri Light" w:cs="Calibri Light"/>
          <w:sz w:val="16"/>
          <w:szCs w:val="16"/>
          <w:lang w:val="fr-FR"/>
        </w:rPr>
        <w:t> </w:t>
      </w:r>
      <w:r w:rsidRPr="00804F76">
        <w:rPr>
          <w:rStyle w:val="None"/>
          <w:rFonts w:ascii="Calibri Light" w:eastAsia="Calibri Light" w:hAnsi="Calibri Light" w:cs="Calibri Light"/>
          <w:sz w:val="16"/>
          <w:szCs w:val="16"/>
          <w:lang w:val="fr-FR"/>
        </w:rPr>
        <w:t xml:space="preserve">; </w:t>
      </w:r>
      <w:r w:rsidR="007C0838" w:rsidRPr="00804F76">
        <w:rPr>
          <w:rFonts w:ascii="Calibri Light" w:eastAsia="Calibri Light" w:hAnsi="Calibri Light" w:cs="Calibri Light"/>
          <w:sz w:val="16"/>
          <w:szCs w:val="16"/>
          <w:lang w:val="fr-FR"/>
        </w:rPr>
        <w:t>CIDH, « À une année du massacre de La Saline, la CIDH ré</w:t>
      </w:r>
      <w:r w:rsidRPr="00804F76">
        <w:rPr>
          <w:rFonts w:ascii="Calibri Light" w:eastAsia="Calibri Light" w:hAnsi="Calibri Light" w:cs="Calibri Light"/>
          <w:sz w:val="16"/>
          <w:szCs w:val="16"/>
          <w:lang w:val="fr-FR"/>
        </w:rPr>
        <w:t>it</w:t>
      </w:r>
      <w:r w:rsidR="007C0838" w:rsidRPr="00804F76">
        <w:rPr>
          <w:rFonts w:ascii="Calibri Light" w:eastAsia="Calibri Light" w:hAnsi="Calibri Light" w:cs="Calibri Light"/>
          <w:sz w:val="16"/>
          <w:szCs w:val="16"/>
          <w:lang w:val="fr-FR"/>
        </w:rPr>
        <w:t>ère sa préoccupation devant la crise politique et institutionnelle que fait face Haïti »</w:t>
      </w:r>
      <w:r w:rsidRPr="00804F76">
        <w:rPr>
          <w:rFonts w:ascii="Calibri Light" w:eastAsia="Calibri Light" w:hAnsi="Calibri Light" w:cs="Calibri Light"/>
          <w:sz w:val="16"/>
          <w:szCs w:val="16"/>
          <w:lang w:val="fr-FR"/>
        </w:rPr>
        <w:t xml:space="preserve">, </w:t>
      </w:r>
      <w:r w:rsidR="00A20D42" w:rsidRPr="00804F76">
        <w:rPr>
          <w:rFonts w:ascii="Calibri Light" w:eastAsia="Calibri Light" w:hAnsi="Calibri Light" w:cs="Calibri Light"/>
          <w:sz w:val="16"/>
          <w:szCs w:val="16"/>
          <w:lang w:val="fr-FR"/>
        </w:rPr>
        <w:t xml:space="preserve">communiqué de presse du </w:t>
      </w:r>
      <w:r w:rsidRPr="00804F76">
        <w:rPr>
          <w:rFonts w:ascii="Calibri Light" w:eastAsia="Calibri Light" w:hAnsi="Calibri Light" w:cs="Calibri Light"/>
          <w:sz w:val="16"/>
          <w:szCs w:val="16"/>
          <w:lang w:val="fr-FR"/>
        </w:rPr>
        <w:t xml:space="preserve">22 </w:t>
      </w:r>
      <w:r w:rsidR="00A20D42" w:rsidRPr="00804F76">
        <w:rPr>
          <w:rFonts w:ascii="Calibri Light" w:eastAsia="Calibri Light" w:hAnsi="Calibri Light" w:cs="Calibri Light"/>
          <w:sz w:val="16"/>
          <w:szCs w:val="16"/>
          <w:lang w:val="fr-FR"/>
        </w:rPr>
        <w:t>novembre</w:t>
      </w:r>
      <w:r w:rsidRPr="00804F76">
        <w:rPr>
          <w:rFonts w:ascii="Calibri Light" w:eastAsia="Calibri Light" w:hAnsi="Calibri Light" w:cs="Calibri Light"/>
          <w:sz w:val="16"/>
          <w:szCs w:val="16"/>
          <w:lang w:val="fr-FR"/>
        </w:rPr>
        <w:t xml:space="preserve"> 2019. </w:t>
      </w:r>
      <w:r w:rsidR="00A20D42" w:rsidRPr="00804F76">
        <w:rPr>
          <w:rStyle w:val="None"/>
          <w:rFonts w:ascii="Calibri Light" w:eastAsia="Calibri Light" w:hAnsi="Calibri Light" w:cs="Calibri Light"/>
          <w:sz w:val="16"/>
          <w:szCs w:val="16"/>
          <w:lang w:val="fr-FR"/>
        </w:rPr>
        <w:t>Disponible à l’adresse </w:t>
      </w:r>
      <w:r w:rsidRPr="00804F76">
        <w:rPr>
          <w:rFonts w:ascii="Calibri Light" w:eastAsia="Calibri Light" w:hAnsi="Calibri Light" w:cs="Calibri Light"/>
          <w:sz w:val="16"/>
          <w:szCs w:val="16"/>
          <w:lang w:val="fr-FR"/>
        </w:rPr>
        <w:t xml:space="preserve">: </w:t>
      </w:r>
      <w:hyperlink r:id="rId5" w:history="1">
        <w:r w:rsidR="007C0838" w:rsidRPr="00804F76">
          <w:rPr>
            <w:rStyle w:val="None"/>
            <w:rFonts w:ascii="Calibri Light" w:eastAsia="Calibri Light" w:hAnsi="Calibri Light" w:cs="Calibri Light"/>
            <w:sz w:val="16"/>
            <w:szCs w:val="16"/>
            <w:lang w:val="fr-FR"/>
          </w:rPr>
          <w:t>http://www.oas.org/fr/cidh/prensa/comunicados/2019/305.asp</w:t>
        </w:r>
      </w:hyperlink>
    </w:p>
    <w:p w:rsidR="00684716" w:rsidRPr="00804F76" w:rsidRDefault="00A20D42" w:rsidP="00804F76">
      <w:pPr>
        <w:pStyle w:val="FootnoteText"/>
        <w:spacing w:after="0" w:line="240" w:lineRule="auto"/>
        <w:rPr>
          <w:rStyle w:val="None"/>
          <w:rFonts w:ascii="Calibri Light" w:eastAsia="Calibri Light" w:hAnsi="Calibri Light" w:cs="Calibri Light"/>
          <w:sz w:val="16"/>
          <w:szCs w:val="16"/>
          <w:lang w:val="fr-FR"/>
        </w:rPr>
      </w:pPr>
      <w:r w:rsidRPr="00804F76">
        <w:rPr>
          <w:rStyle w:val="None"/>
          <w:rFonts w:ascii="Calibri Light" w:eastAsia="Calibri Light" w:hAnsi="Calibri Light" w:cs="Calibri Light"/>
          <w:sz w:val="16"/>
          <w:szCs w:val="16"/>
          <w:lang w:val="fr-FR"/>
        </w:rPr>
        <w:t>De plus, la Commission a eu l’occasion de recevoir de plus amples informations dans le cadre d’une audience publique tenue lors de la 173</w:t>
      </w:r>
      <w:r w:rsidRPr="00804F76">
        <w:rPr>
          <w:rStyle w:val="None"/>
          <w:rFonts w:ascii="Calibri Light" w:eastAsia="Calibri Light" w:hAnsi="Calibri Light" w:cs="Calibri Light"/>
          <w:sz w:val="16"/>
          <w:szCs w:val="16"/>
          <w:vertAlign w:val="superscript"/>
          <w:lang w:val="fr-FR"/>
        </w:rPr>
        <w:t>è</w:t>
      </w:r>
      <w:r w:rsidRPr="00804F76">
        <w:rPr>
          <w:rStyle w:val="None"/>
          <w:rFonts w:ascii="Calibri Light" w:eastAsia="Calibri Light" w:hAnsi="Calibri Light" w:cs="Calibri Light"/>
          <w:sz w:val="16"/>
          <w:szCs w:val="16"/>
          <w:lang w:val="fr-FR"/>
        </w:rPr>
        <w:t> session</w:t>
      </w:r>
      <w:r w:rsidR="00684716" w:rsidRPr="00804F76">
        <w:rPr>
          <w:rStyle w:val="None"/>
          <w:rFonts w:ascii="Calibri Light" w:eastAsia="Calibri Light" w:hAnsi="Calibri Light" w:cs="Calibri Light"/>
          <w:sz w:val="16"/>
          <w:szCs w:val="16"/>
          <w:lang w:val="fr-FR"/>
        </w:rPr>
        <w:t xml:space="preserve">. </w:t>
      </w:r>
      <w:r w:rsidRPr="00804F76">
        <w:rPr>
          <w:rStyle w:val="None"/>
          <w:rFonts w:ascii="Calibri Light" w:eastAsia="Calibri Light" w:hAnsi="Calibri Light" w:cs="Calibri Light"/>
          <w:sz w:val="16"/>
          <w:szCs w:val="16"/>
          <w:lang w:val="fr-FR"/>
        </w:rPr>
        <w:t xml:space="preserve">Voir : </w:t>
      </w:r>
      <w:hyperlink r:id="rId6" w:history="1">
        <w:r w:rsidRPr="00804F76">
          <w:rPr>
            <w:rStyle w:val="None"/>
            <w:rFonts w:ascii="Calibri Light" w:eastAsia="Calibri Light" w:hAnsi="Calibri Light" w:cs="Calibri Light"/>
            <w:sz w:val="16"/>
            <w:szCs w:val="16"/>
            <w:lang w:val="fr-FR"/>
          </w:rPr>
          <w:t>http://www.oas.org/es/cidh/audiencias/advanced.aspx?lang=en</w:t>
        </w:r>
      </w:hyperlink>
      <w:r w:rsidRPr="00804F76">
        <w:rPr>
          <w:rStyle w:val="None"/>
          <w:rFonts w:ascii="Calibri Light" w:eastAsia="Calibri Light" w:hAnsi="Calibri Light" w:cs="Calibri Light"/>
          <w:sz w:val="16"/>
          <w:szCs w:val="16"/>
          <w:lang w:val="fr-FR"/>
        </w:rPr>
        <w:t xml:space="preserve"> (en anglais et en espagnol </w:t>
      </w:r>
      <w:r w:rsidR="00955FE5" w:rsidRPr="00804F76">
        <w:rPr>
          <w:rStyle w:val="None"/>
          <w:rFonts w:ascii="Calibri Light" w:eastAsia="Calibri Light" w:hAnsi="Calibri Light" w:cs="Calibri Light"/>
          <w:sz w:val="16"/>
          <w:szCs w:val="16"/>
          <w:lang w:val="fr-FR"/>
        </w:rPr>
        <w:t>seule</w:t>
      </w:r>
      <w:r w:rsidRPr="00804F76">
        <w:rPr>
          <w:rStyle w:val="None"/>
          <w:rFonts w:ascii="Calibri Light" w:eastAsia="Calibri Light" w:hAnsi="Calibri Light" w:cs="Calibri Light"/>
          <w:sz w:val="16"/>
          <w:szCs w:val="16"/>
          <w:lang w:val="fr-FR"/>
        </w:rPr>
        <w:t>ment)</w:t>
      </w:r>
    </w:p>
  </w:footnote>
  <w:footnote w:id="4">
    <w:p w:rsidR="00684716" w:rsidRPr="00804F76" w:rsidRDefault="00684716" w:rsidP="00804F76">
      <w:pPr>
        <w:pStyle w:val="FootnoteText"/>
        <w:spacing w:after="0" w:line="240" w:lineRule="auto"/>
        <w:rPr>
          <w:rStyle w:val="None"/>
          <w:rFonts w:ascii="Calibri Light" w:eastAsia="Calibri Light" w:hAnsi="Calibri Light" w:cs="Calibri Light"/>
          <w:sz w:val="16"/>
          <w:szCs w:val="16"/>
          <w:lang w:val="fr-FR"/>
        </w:rPr>
      </w:pPr>
      <w:r w:rsidRPr="00804F76">
        <w:rPr>
          <w:rStyle w:val="None"/>
          <w:rFonts w:ascii="Calibri Light" w:eastAsia="Calibri Light" w:hAnsi="Calibri Light" w:cs="Calibri Light"/>
          <w:sz w:val="16"/>
          <w:szCs w:val="16"/>
          <w:vertAlign w:val="superscript"/>
          <w:lang w:val="fr-FR"/>
        </w:rPr>
        <w:footnoteRef/>
      </w:r>
      <w:r w:rsidRPr="00804F76">
        <w:rPr>
          <w:rStyle w:val="None"/>
          <w:rFonts w:ascii="Calibri Light" w:eastAsia="Calibri Light" w:hAnsi="Calibri Light" w:cs="Calibri Light"/>
          <w:sz w:val="16"/>
          <w:szCs w:val="16"/>
          <w:lang w:val="fr-FR"/>
        </w:rPr>
        <w:t xml:space="preserve"> P</w:t>
      </w:r>
      <w:r w:rsidR="00A20D42" w:rsidRPr="00804F76">
        <w:rPr>
          <w:rStyle w:val="None"/>
          <w:rFonts w:ascii="Calibri Light" w:eastAsia="Calibri Light" w:hAnsi="Calibri Light" w:cs="Calibri Light"/>
          <w:sz w:val="16"/>
          <w:szCs w:val="16"/>
          <w:lang w:val="fr-FR"/>
        </w:rPr>
        <w:t xml:space="preserve">our plus de références, se reporter au document suivant : </w:t>
      </w:r>
      <w:r w:rsidRPr="00804F76">
        <w:rPr>
          <w:rStyle w:val="None"/>
          <w:rFonts w:ascii="Calibri Light" w:eastAsia="Calibri Light" w:hAnsi="Calibri Light" w:cs="Calibri Light"/>
          <w:sz w:val="16"/>
          <w:szCs w:val="16"/>
          <w:lang w:val="fr-FR"/>
        </w:rPr>
        <w:t>Nations</w:t>
      </w:r>
      <w:r w:rsidR="00A20D42" w:rsidRPr="00804F76">
        <w:rPr>
          <w:rStyle w:val="None"/>
          <w:rFonts w:ascii="Calibri Light" w:eastAsia="Calibri Light" w:hAnsi="Calibri Light" w:cs="Calibri Light"/>
          <w:sz w:val="16"/>
          <w:szCs w:val="16"/>
          <w:lang w:val="fr-FR"/>
        </w:rPr>
        <w:t xml:space="preserve"> Unies</w:t>
      </w:r>
      <w:r w:rsidRPr="00804F76">
        <w:rPr>
          <w:rStyle w:val="None"/>
          <w:rFonts w:ascii="Calibri Light" w:eastAsia="Calibri Light" w:hAnsi="Calibri Light" w:cs="Calibri Light"/>
          <w:sz w:val="16"/>
          <w:szCs w:val="16"/>
          <w:lang w:val="fr-FR"/>
        </w:rPr>
        <w:t xml:space="preserve">, </w:t>
      </w:r>
      <w:r w:rsidR="00A20D42" w:rsidRPr="00804F76">
        <w:rPr>
          <w:rStyle w:val="None"/>
          <w:rFonts w:ascii="Calibri Light" w:eastAsia="Calibri Light" w:hAnsi="Calibri Light" w:cs="Calibri Light"/>
          <w:i/>
          <w:iCs/>
          <w:sz w:val="16"/>
          <w:szCs w:val="16"/>
          <w:lang w:val="fr-FR"/>
        </w:rPr>
        <w:t>Mission des Nations Unies pour l'appui à la justice en Haïti</w:t>
      </w:r>
      <w:r w:rsidRPr="00804F76">
        <w:rPr>
          <w:rStyle w:val="None"/>
          <w:rFonts w:ascii="Calibri Light" w:eastAsia="Calibri Light" w:hAnsi="Calibri Light" w:cs="Calibri Light"/>
          <w:sz w:val="16"/>
          <w:szCs w:val="16"/>
          <w:lang w:val="fr-FR"/>
        </w:rPr>
        <w:t xml:space="preserve">, </w:t>
      </w:r>
      <w:r w:rsidRPr="00804F76">
        <w:rPr>
          <w:rStyle w:val="None"/>
          <w:rFonts w:ascii="Calibri Light" w:eastAsia="Calibri Light" w:hAnsi="Calibri Light" w:cs="Calibri Light"/>
          <w:i/>
          <w:iCs/>
          <w:sz w:val="16"/>
          <w:szCs w:val="16"/>
          <w:lang w:val="fr-FR"/>
        </w:rPr>
        <w:t>R</w:t>
      </w:r>
      <w:r w:rsidR="00A20D42" w:rsidRPr="00804F76">
        <w:rPr>
          <w:rStyle w:val="None"/>
          <w:rFonts w:ascii="Calibri Light" w:eastAsia="Calibri Light" w:hAnsi="Calibri Light" w:cs="Calibri Light"/>
          <w:i/>
          <w:iCs/>
          <w:sz w:val="16"/>
          <w:szCs w:val="16"/>
          <w:lang w:val="fr-FR"/>
        </w:rPr>
        <w:t>apport du Secrétaire général</w:t>
      </w:r>
      <w:r w:rsidR="00A20D42" w:rsidRPr="00804F76">
        <w:rPr>
          <w:rStyle w:val="None"/>
          <w:rFonts w:ascii="Calibri Light" w:eastAsia="Calibri Light" w:hAnsi="Calibri Light" w:cs="Calibri Light"/>
          <w:sz w:val="16"/>
          <w:szCs w:val="16"/>
          <w:lang w:val="fr-FR"/>
        </w:rPr>
        <w:t>, S/2019/563, 9 juillet</w:t>
      </w:r>
      <w:r w:rsidRPr="00804F76">
        <w:rPr>
          <w:rStyle w:val="None"/>
          <w:rFonts w:ascii="Calibri Light" w:eastAsia="Calibri Light" w:hAnsi="Calibri Light" w:cs="Calibri Light"/>
          <w:sz w:val="16"/>
          <w:szCs w:val="16"/>
          <w:lang w:val="fr-FR"/>
        </w:rPr>
        <w:t xml:space="preserve"> 2019. </w:t>
      </w:r>
      <w:r w:rsidR="00A20D42" w:rsidRPr="00804F76">
        <w:rPr>
          <w:rStyle w:val="None"/>
          <w:rFonts w:ascii="Calibri Light" w:eastAsia="Calibri Light" w:hAnsi="Calibri Light" w:cs="Calibri Light"/>
          <w:sz w:val="16"/>
          <w:szCs w:val="16"/>
          <w:lang w:val="fr-FR"/>
        </w:rPr>
        <w:t>Disponible à l’adresse </w:t>
      </w:r>
      <w:r w:rsidRPr="00804F76">
        <w:rPr>
          <w:rStyle w:val="None"/>
          <w:rFonts w:ascii="Calibri Light" w:eastAsia="Calibri Light" w:hAnsi="Calibri Light" w:cs="Calibri Light"/>
          <w:sz w:val="16"/>
          <w:szCs w:val="16"/>
          <w:lang w:val="fr-FR"/>
        </w:rPr>
        <w:t xml:space="preserve">: </w:t>
      </w:r>
      <w:hyperlink r:id="rId7" w:history="1">
        <w:r w:rsidR="00A20D42" w:rsidRPr="00804F76">
          <w:rPr>
            <w:rStyle w:val="None"/>
            <w:rFonts w:ascii="Calibri Light" w:eastAsia="Calibri Light" w:hAnsi="Calibri Light" w:cs="Calibri Light"/>
            <w:sz w:val="16"/>
            <w:szCs w:val="16"/>
            <w:lang w:val="fr-FR"/>
          </w:rPr>
          <w:t>https://undocs.org/fr/S/2019/563</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21" w:rsidRDefault="00ED7621" w:rsidP="00ED7621">
    <w:pPr>
      <w:pBdr>
        <w:top w:val="none" w:sz="0" w:space="0" w:color="auto"/>
        <w:left w:val="none" w:sz="0" w:space="0" w:color="auto"/>
        <w:bottom w:val="single" w:sz="6" w:space="1" w:color="auto"/>
        <w:right w:val="none" w:sz="0" w:space="0" w:color="auto"/>
        <w:between w:val="none" w:sz="0" w:space="0" w:color="auto"/>
        <w:bar w:val="none" w:sz="0" w:color="auto"/>
      </w:pBdr>
      <w:tabs>
        <w:tab w:val="left" w:pos="4040"/>
        <w:tab w:val="left" w:pos="4333"/>
        <w:tab w:val="center" w:pos="4680"/>
        <w:tab w:val="right" w:pos="9360"/>
      </w:tabs>
      <w:ind w:firstLine="0"/>
      <w:rPr>
        <w:rFonts w:ascii="Calibri" w:eastAsia="Calibri" w:hAnsi="Calibri" w:cs="Times New Roman"/>
        <w:color w:val="auto"/>
        <w:sz w:val="22"/>
        <w:szCs w:val="22"/>
        <w:bdr w:val="none" w:sz="0" w:space="0" w:color="auto"/>
        <w:lang w:val="en-US"/>
        <w14:textOutline w14:w="0" w14:cap="rnd" w14:cmpd="sng" w14:algn="ctr">
          <w14:noFill/>
          <w14:prstDash w14:val="solid"/>
          <w14:bevel/>
        </w14:textOutline>
      </w:rPr>
    </w:pPr>
    <w:r w:rsidRPr="00ED7621">
      <w:rPr>
        <w:rFonts w:ascii="Calibri" w:eastAsia="Calibri" w:hAnsi="Calibri" w:cs="Times New Roman"/>
        <w:noProof/>
        <w:color w:val="auto"/>
        <w:sz w:val="22"/>
        <w:szCs w:val="22"/>
        <w:bdr w:val="none" w:sz="0" w:space="0" w:color="auto"/>
        <w:lang w:val="en-US"/>
        <w14:textOutline w14:w="0" w14:cap="rnd" w14:cmpd="sng" w14:algn="ctr">
          <w14:noFill/>
          <w14:prstDash w14:val="solid"/>
          <w14:bevel/>
        </w14:textOutline>
      </w:rPr>
      <w:drawing>
        <wp:inline distT="0" distB="0" distL="0" distR="0" wp14:anchorId="20DFC1DB" wp14:editId="431CB19F">
          <wp:extent cx="2103120" cy="496330"/>
          <wp:effectExtent l="0" t="0" r="0" b="0"/>
          <wp:docPr id="1" name="Picture 1" descr="I:\Prensa y Difusión\Templates\Logo CIDH\Alta-Calidad\alta-cidh-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ensa y Difusión\Templates\Logo CIDH\Alta-Calidad\alta-cidh-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96330"/>
                  </a:xfrm>
                  <a:prstGeom prst="rect">
                    <a:avLst/>
                  </a:prstGeom>
                  <a:noFill/>
                  <a:ln>
                    <a:noFill/>
                  </a:ln>
                </pic:spPr>
              </pic:pic>
            </a:graphicData>
          </a:graphic>
        </wp:inline>
      </w:drawing>
    </w:r>
    <w:r w:rsidRPr="00ED7621">
      <w:rPr>
        <w:rFonts w:ascii="Calibri" w:eastAsia="Calibri" w:hAnsi="Calibri" w:cs="Times New Roman"/>
        <w:color w:val="auto"/>
        <w:sz w:val="22"/>
        <w:szCs w:val="22"/>
        <w:bdr w:val="none" w:sz="0" w:space="0" w:color="auto"/>
        <w:lang w:val="en-US"/>
        <w14:textOutline w14:w="0" w14:cap="rnd" w14:cmpd="sng" w14:algn="ctr">
          <w14:noFill/>
          <w14:prstDash w14:val="solid"/>
          <w14:bevel/>
        </w14:textOutline>
      </w:rPr>
      <w:tab/>
    </w:r>
    <w:r w:rsidRPr="00ED7621">
      <w:rPr>
        <w:rFonts w:ascii="Calibri" w:eastAsia="Calibri" w:hAnsi="Calibri" w:cs="Times New Roman"/>
        <w:color w:val="auto"/>
        <w:sz w:val="22"/>
        <w:szCs w:val="22"/>
        <w:bdr w:val="none" w:sz="0" w:space="0" w:color="auto"/>
        <w:lang w:val="en-US"/>
        <w14:textOutline w14:w="0" w14:cap="rnd" w14:cmpd="sng" w14:algn="ctr">
          <w14:noFill/>
          <w14:prstDash w14:val="solid"/>
          <w14:bevel/>
        </w14:textOutline>
      </w:rPr>
      <w:tab/>
    </w:r>
    <w:r w:rsidRPr="00ED7621">
      <w:rPr>
        <w:rFonts w:ascii="Calibri" w:eastAsia="Calibri" w:hAnsi="Calibri" w:cs="Times New Roman"/>
        <w:color w:val="auto"/>
        <w:sz w:val="22"/>
        <w:szCs w:val="22"/>
        <w:bdr w:val="none" w:sz="0" w:space="0" w:color="auto"/>
        <w:lang w:val="en-US"/>
        <w14:textOutline w14:w="0" w14:cap="rnd" w14:cmpd="sng" w14:algn="ctr">
          <w14:noFill/>
          <w14:prstDash w14:val="solid"/>
          <w14:bevel/>
        </w14:textOutline>
      </w:rPr>
      <w:tab/>
    </w:r>
    <w:r w:rsidRPr="00ED7621">
      <w:rPr>
        <w:rFonts w:ascii="Calibri" w:eastAsia="Calibri" w:hAnsi="Calibri" w:cs="Times New Roman"/>
        <w:color w:val="auto"/>
        <w:sz w:val="22"/>
        <w:szCs w:val="22"/>
        <w:bdr w:val="none" w:sz="0" w:space="0" w:color="auto"/>
        <w:lang w:val="en-US"/>
        <w14:textOutline w14:w="0" w14:cap="rnd" w14:cmpd="sng" w14:algn="ctr">
          <w14:noFill/>
          <w14:prstDash w14:val="solid"/>
          <w14:bevel/>
        </w14:textOutline>
      </w:rPr>
      <w:tab/>
    </w:r>
    <w:r w:rsidRPr="00ED7621">
      <w:rPr>
        <w:rFonts w:ascii="Calibri" w:eastAsia="Batang" w:hAnsi="Calibri" w:cs="Times New Roman"/>
        <w:noProof/>
        <w:color w:val="auto"/>
        <w:sz w:val="22"/>
        <w:szCs w:val="22"/>
        <w:bdr w:val="none" w:sz="0" w:space="0" w:color="auto"/>
        <w:lang w:val="en-US"/>
        <w14:textOutline w14:w="0" w14:cap="rnd" w14:cmpd="sng" w14:algn="ctr">
          <w14:noFill/>
          <w14:prstDash w14:val="solid"/>
          <w14:bevel/>
        </w14:textOutline>
      </w:rPr>
      <w:drawing>
        <wp:inline distT="0" distB="0" distL="0" distR="0" wp14:anchorId="3ED6EA0B" wp14:editId="55DD7432">
          <wp:extent cx="2011680" cy="508695"/>
          <wp:effectExtent l="0" t="0" r="7620" b="5715"/>
          <wp:docPr id="2" name="Picture 2" descr="I:\Prensa y Difusión\Templates\LogosNuevosOEA\principal\OAS_Seal_FRE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ensa y Difusión\Templates\LogosNuevosOEA\principal\OAS_Seal_FRE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508695"/>
                  </a:xfrm>
                  <a:prstGeom prst="rect">
                    <a:avLst/>
                  </a:prstGeom>
                  <a:noFill/>
                  <a:ln>
                    <a:noFill/>
                  </a:ln>
                </pic:spPr>
              </pic:pic>
            </a:graphicData>
          </a:graphic>
        </wp:inline>
      </w:drawing>
    </w:r>
  </w:p>
  <w:p w:rsidR="00684716" w:rsidRDefault="00684716" w:rsidP="00ED7621">
    <w:pPr>
      <w:tabs>
        <w:tab w:val="left" w:pos="4040"/>
        <w:tab w:val="left" w:pos="4333"/>
        <w:tab w:val="center" w:pos="4680"/>
        <w:tab w:val="right" w:pos="9340"/>
      </w:tab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6E5"/>
    <w:multiLevelType w:val="hybridMultilevel"/>
    <w:tmpl w:val="CB06632C"/>
    <w:styleLink w:val="ImportedStyle1"/>
    <w:lvl w:ilvl="0" w:tplc="27344466">
      <w:start w:val="1"/>
      <w:numFmt w:val="upperRoman"/>
      <w:lvlText w:val="%1."/>
      <w:lvlJc w:val="left"/>
      <w:pPr>
        <w:tabs>
          <w:tab w:val="num" w:pos="720"/>
        </w:tabs>
        <w:ind w:left="280" w:firstLine="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C56BE">
      <w:start w:val="1"/>
      <w:numFmt w:val="lowerLetter"/>
      <w:lvlText w:val="%2."/>
      <w:lvlJc w:val="left"/>
      <w:pPr>
        <w:tabs>
          <w:tab w:val="num" w:pos="1160"/>
        </w:tabs>
        <w:ind w:left="720" w:firstLine="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943E24">
      <w:start w:val="1"/>
      <w:numFmt w:val="lowerRoman"/>
      <w:suff w:val="nothing"/>
      <w:lvlText w:val="%3."/>
      <w:lvlJc w:val="left"/>
      <w:pPr>
        <w:ind w:left="1440" w:firstLine="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E5968">
      <w:start w:val="1"/>
      <w:numFmt w:val="decimal"/>
      <w:lvlText w:val="%4."/>
      <w:lvlJc w:val="left"/>
      <w:pPr>
        <w:tabs>
          <w:tab w:val="num" w:pos="2600"/>
        </w:tabs>
        <w:ind w:left="2160" w:firstLine="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3ACDBC">
      <w:start w:val="1"/>
      <w:numFmt w:val="lowerLetter"/>
      <w:lvlText w:val="%5."/>
      <w:lvlJc w:val="left"/>
      <w:pPr>
        <w:tabs>
          <w:tab w:val="num" w:pos="3320"/>
        </w:tabs>
        <w:ind w:left="2880" w:firstLine="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0BB70">
      <w:start w:val="1"/>
      <w:numFmt w:val="lowerRoman"/>
      <w:suff w:val="nothing"/>
      <w:lvlText w:val="%6."/>
      <w:lvlJc w:val="left"/>
      <w:pPr>
        <w:ind w:left="3600" w:firstLine="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2971C">
      <w:start w:val="1"/>
      <w:numFmt w:val="decimal"/>
      <w:lvlText w:val="%7."/>
      <w:lvlJc w:val="left"/>
      <w:pPr>
        <w:tabs>
          <w:tab w:val="num" w:pos="4760"/>
        </w:tabs>
        <w:ind w:left="4320" w:firstLine="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8E124">
      <w:start w:val="1"/>
      <w:numFmt w:val="lowerLetter"/>
      <w:lvlText w:val="%8."/>
      <w:lvlJc w:val="left"/>
      <w:pPr>
        <w:tabs>
          <w:tab w:val="num" w:pos="5480"/>
        </w:tabs>
        <w:ind w:left="5040" w:firstLine="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E46">
      <w:start w:val="1"/>
      <w:numFmt w:val="lowerRoman"/>
      <w:suff w:val="nothing"/>
      <w:lvlText w:val="%9."/>
      <w:lvlJc w:val="left"/>
      <w:pPr>
        <w:ind w:left="5760" w:firstLine="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0C3121"/>
    <w:multiLevelType w:val="hybridMultilevel"/>
    <w:tmpl w:val="0EAAF196"/>
    <w:styleLink w:val="ImportedStyle5"/>
    <w:lvl w:ilvl="0" w:tplc="ADDC58D8">
      <w:start w:val="1"/>
      <w:numFmt w:val="lowerLetter"/>
      <w:lvlText w:val="%1)"/>
      <w:lvlJc w:val="left"/>
      <w:pPr>
        <w:tabs>
          <w:tab w:val="num" w:pos="108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AA0DC">
      <w:start w:val="1"/>
      <w:numFmt w:val="lowerLetter"/>
      <w:lvlText w:val="%2."/>
      <w:lvlJc w:val="left"/>
      <w:pPr>
        <w:tabs>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632DC">
      <w:start w:val="1"/>
      <w:numFmt w:val="lowerRoman"/>
      <w:lvlText w:val="%3."/>
      <w:lvlJc w:val="left"/>
      <w:pPr>
        <w:tabs>
          <w:tab w:val="num" w:pos="2520"/>
        </w:tabs>
        <w:ind w:left="21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05324">
      <w:start w:val="1"/>
      <w:numFmt w:val="decimal"/>
      <w:lvlText w:val="%4."/>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D09198">
      <w:start w:val="1"/>
      <w:numFmt w:val="lowerLetter"/>
      <w:lvlText w:val="%5."/>
      <w:lvlJc w:val="left"/>
      <w:pPr>
        <w:tabs>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8F61C">
      <w:start w:val="1"/>
      <w:numFmt w:val="lowerRoman"/>
      <w:lvlText w:val="%6."/>
      <w:lvlJc w:val="left"/>
      <w:pPr>
        <w:tabs>
          <w:tab w:val="num" w:pos="4680"/>
        </w:tabs>
        <w:ind w:left="432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4B606">
      <w:start w:val="1"/>
      <w:numFmt w:val="decimal"/>
      <w:lvlText w:val="%7."/>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869FA0">
      <w:start w:val="1"/>
      <w:numFmt w:val="lowerLetter"/>
      <w:lvlText w:val="%8."/>
      <w:lvlJc w:val="left"/>
      <w:pPr>
        <w:tabs>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A1D9E">
      <w:start w:val="1"/>
      <w:numFmt w:val="lowerRoman"/>
      <w:lvlText w:val="%9."/>
      <w:lvlJc w:val="left"/>
      <w:pPr>
        <w:tabs>
          <w:tab w:val="num" w:pos="6840"/>
        </w:tabs>
        <w:ind w:left="648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CB32A9"/>
    <w:multiLevelType w:val="hybridMultilevel"/>
    <w:tmpl w:val="7B446154"/>
    <w:styleLink w:val="ImportedStyle4"/>
    <w:lvl w:ilvl="0" w:tplc="519C4A78">
      <w:start w:val="1"/>
      <w:numFmt w:val="lowerLetter"/>
      <w:lvlText w:val="%1."/>
      <w:lvlJc w:val="left"/>
      <w:pPr>
        <w:tabs>
          <w:tab w:val="num" w:pos="1368"/>
        </w:tabs>
        <w:ind w:left="100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81678">
      <w:start w:val="1"/>
      <w:numFmt w:val="lowerLetter"/>
      <w:lvlText w:val="%2."/>
      <w:lvlJc w:val="left"/>
      <w:pPr>
        <w:tabs>
          <w:tab w:val="num" w:pos="2088"/>
        </w:tabs>
        <w:ind w:left="172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3C">
      <w:start w:val="1"/>
      <w:numFmt w:val="lowerRoman"/>
      <w:lvlText w:val="%3."/>
      <w:lvlJc w:val="left"/>
      <w:pPr>
        <w:tabs>
          <w:tab w:val="num" w:pos="2808"/>
        </w:tabs>
        <w:ind w:left="2448"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E0C3E">
      <w:start w:val="1"/>
      <w:numFmt w:val="decimal"/>
      <w:lvlText w:val="%4."/>
      <w:lvlJc w:val="left"/>
      <w:pPr>
        <w:tabs>
          <w:tab w:val="num" w:pos="3528"/>
        </w:tabs>
        <w:ind w:left="31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2C1AA2">
      <w:start w:val="1"/>
      <w:numFmt w:val="lowerLetter"/>
      <w:lvlText w:val="%5."/>
      <w:lvlJc w:val="left"/>
      <w:pPr>
        <w:tabs>
          <w:tab w:val="num" w:pos="4248"/>
        </w:tabs>
        <w:ind w:left="388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CB72E">
      <w:start w:val="1"/>
      <w:numFmt w:val="lowerRoman"/>
      <w:lvlText w:val="%6."/>
      <w:lvlJc w:val="left"/>
      <w:pPr>
        <w:tabs>
          <w:tab w:val="num" w:pos="4968"/>
        </w:tabs>
        <w:ind w:left="4608"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086AC">
      <w:start w:val="1"/>
      <w:numFmt w:val="decimal"/>
      <w:lvlText w:val="%7."/>
      <w:lvlJc w:val="left"/>
      <w:pPr>
        <w:tabs>
          <w:tab w:val="num" w:pos="5688"/>
        </w:tabs>
        <w:ind w:left="532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A29B54">
      <w:start w:val="1"/>
      <w:numFmt w:val="lowerLetter"/>
      <w:lvlText w:val="%8."/>
      <w:lvlJc w:val="left"/>
      <w:pPr>
        <w:tabs>
          <w:tab w:val="num" w:pos="6408"/>
        </w:tabs>
        <w:ind w:left="604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CFA2A">
      <w:start w:val="1"/>
      <w:numFmt w:val="lowerRoman"/>
      <w:lvlText w:val="%9."/>
      <w:lvlJc w:val="left"/>
      <w:pPr>
        <w:tabs>
          <w:tab w:val="num" w:pos="7128"/>
        </w:tabs>
        <w:ind w:left="6768"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DBF4C29"/>
    <w:multiLevelType w:val="hybridMultilevel"/>
    <w:tmpl w:val="2272D6B8"/>
    <w:lvl w:ilvl="0" w:tplc="04090017">
      <w:start w:val="1"/>
      <w:numFmt w:val="lowerLetter"/>
      <w:lvlText w:val="%1)"/>
      <w:lvlJc w:val="left"/>
      <w:pPr>
        <w:tabs>
          <w:tab w:val="num" w:pos="1080"/>
        </w:tabs>
        <w:ind w:left="720" w:firstLine="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4D36E">
      <w:start w:val="1"/>
      <w:numFmt w:val="lowerLetter"/>
      <w:lvlText w:val="%2."/>
      <w:lvlJc w:val="left"/>
      <w:pPr>
        <w:tabs>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D88F80">
      <w:start w:val="1"/>
      <w:numFmt w:val="lowerRoman"/>
      <w:lvlText w:val="%3."/>
      <w:lvlJc w:val="left"/>
      <w:pPr>
        <w:tabs>
          <w:tab w:val="num" w:pos="2520"/>
        </w:tabs>
        <w:ind w:left="21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A62E84">
      <w:start w:val="1"/>
      <w:numFmt w:val="decimal"/>
      <w:lvlText w:val="%4."/>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841D0">
      <w:start w:val="1"/>
      <w:numFmt w:val="lowerLetter"/>
      <w:lvlText w:val="%5."/>
      <w:lvlJc w:val="left"/>
      <w:pPr>
        <w:tabs>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C0356">
      <w:start w:val="1"/>
      <w:numFmt w:val="lowerRoman"/>
      <w:lvlText w:val="%6."/>
      <w:lvlJc w:val="left"/>
      <w:pPr>
        <w:tabs>
          <w:tab w:val="num" w:pos="4680"/>
        </w:tabs>
        <w:ind w:left="432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2E646">
      <w:start w:val="1"/>
      <w:numFmt w:val="decimal"/>
      <w:lvlText w:val="%7."/>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889C8">
      <w:start w:val="1"/>
      <w:numFmt w:val="lowerLetter"/>
      <w:lvlText w:val="%8."/>
      <w:lvlJc w:val="left"/>
      <w:pPr>
        <w:tabs>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C07CA">
      <w:start w:val="1"/>
      <w:numFmt w:val="lowerRoman"/>
      <w:lvlText w:val="%9."/>
      <w:lvlJc w:val="left"/>
      <w:pPr>
        <w:tabs>
          <w:tab w:val="num" w:pos="6840"/>
        </w:tabs>
        <w:ind w:left="648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7B76F6"/>
    <w:multiLevelType w:val="hybridMultilevel"/>
    <w:tmpl w:val="062ACF5C"/>
    <w:styleLink w:val="ImportedStyle2"/>
    <w:lvl w:ilvl="0" w:tplc="7E52A45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AE27B4">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3C9728">
      <w:start w:val="1"/>
      <w:numFmt w:val="lowerRoman"/>
      <w:lvlText w:val="%3."/>
      <w:lvlJc w:val="left"/>
      <w:pPr>
        <w:tabs>
          <w:tab w:val="num" w:pos="1800"/>
        </w:tabs>
        <w:ind w:left="144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00988">
      <w:start w:val="1"/>
      <w:numFmt w:val="decimal"/>
      <w:lvlText w:val="%4."/>
      <w:lvlJc w:val="left"/>
      <w:pPr>
        <w:tabs>
          <w:tab w:val="num" w:pos="25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08881A">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648E20">
      <w:start w:val="1"/>
      <w:numFmt w:val="lowerRoman"/>
      <w:lvlText w:val="%6."/>
      <w:lvlJc w:val="left"/>
      <w:pPr>
        <w:tabs>
          <w:tab w:val="num" w:pos="3960"/>
        </w:tabs>
        <w:ind w:left="360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68724A">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225AA2">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1DE8">
      <w:start w:val="1"/>
      <w:numFmt w:val="lowerRoman"/>
      <w:lvlText w:val="%9."/>
      <w:lvlJc w:val="left"/>
      <w:pPr>
        <w:tabs>
          <w:tab w:val="num" w:pos="6120"/>
        </w:tabs>
        <w:ind w:left="57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FF10DA7"/>
    <w:multiLevelType w:val="hybridMultilevel"/>
    <w:tmpl w:val="A972F220"/>
    <w:numStyleLink w:val="ImportedStyle3"/>
  </w:abstractNum>
  <w:abstractNum w:abstractNumId="6" w15:restartNumberingAfterBreak="0">
    <w:nsid w:val="52F3717F"/>
    <w:multiLevelType w:val="hybridMultilevel"/>
    <w:tmpl w:val="CB06632C"/>
    <w:numStyleLink w:val="ImportedStyle1"/>
  </w:abstractNum>
  <w:abstractNum w:abstractNumId="7" w15:restartNumberingAfterBreak="0">
    <w:nsid w:val="602B2218"/>
    <w:multiLevelType w:val="hybridMultilevel"/>
    <w:tmpl w:val="7B446154"/>
    <w:numStyleLink w:val="ImportedStyle4"/>
  </w:abstractNum>
  <w:abstractNum w:abstractNumId="8" w15:restartNumberingAfterBreak="0">
    <w:nsid w:val="64427A2A"/>
    <w:multiLevelType w:val="hybridMultilevel"/>
    <w:tmpl w:val="7B446154"/>
    <w:lvl w:ilvl="0" w:tplc="109A3F5C">
      <w:start w:val="1"/>
      <w:numFmt w:val="lowerLetter"/>
      <w:lvlText w:val="%1."/>
      <w:lvlJc w:val="left"/>
      <w:pPr>
        <w:tabs>
          <w:tab w:val="num" w:pos="1368"/>
        </w:tabs>
        <w:ind w:left="100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5A02C4">
      <w:start w:val="1"/>
      <w:numFmt w:val="lowerLetter"/>
      <w:lvlText w:val="%2."/>
      <w:lvlJc w:val="left"/>
      <w:pPr>
        <w:tabs>
          <w:tab w:val="num" w:pos="2088"/>
        </w:tabs>
        <w:ind w:left="172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8BB6E">
      <w:start w:val="1"/>
      <w:numFmt w:val="lowerRoman"/>
      <w:lvlText w:val="%3."/>
      <w:lvlJc w:val="left"/>
      <w:pPr>
        <w:tabs>
          <w:tab w:val="num" w:pos="2808"/>
        </w:tabs>
        <w:ind w:left="2448"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6809E">
      <w:start w:val="1"/>
      <w:numFmt w:val="decimal"/>
      <w:lvlText w:val="%4."/>
      <w:lvlJc w:val="left"/>
      <w:pPr>
        <w:tabs>
          <w:tab w:val="num" w:pos="3528"/>
        </w:tabs>
        <w:ind w:left="31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0F8AA">
      <w:start w:val="1"/>
      <w:numFmt w:val="lowerLetter"/>
      <w:lvlText w:val="%5."/>
      <w:lvlJc w:val="left"/>
      <w:pPr>
        <w:tabs>
          <w:tab w:val="num" w:pos="4248"/>
        </w:tabs>
        <w:ind w:left="388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021EE4">
      <w:start w:val="1"/>
      <w:numFmt w:val="lowerRoman"/>
      <w:lvlText w:val="%6."/>
      <w:lvlJc w:val="left"/>
      <w:pPr>
        <w:tabs>
          <w:tab w:val="num" w:pos="4968"/>
        </w:tabs>
        <w:ind w:left="4608"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87E10">
      <w:start w:val="1"/>
      <w:numFmt w:val="decimal"/>
      <w:lvlText w:val="%7."/>
      <w:lvlJc w:val="left"/>
      <w:pPr>
        <w:tabs>
          <w:tab w:val="num" w:pos="5688"/>
        </w:tabs>
        <w:ind w:left="532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2D154">
      <w:start w:val="1"/>
      <w:numFmt w:val="lowerLetter"/>
      <w:lvlText w:val="%8."/>
      <w:lvlJc w:val="left"/>
      <w:pPr>
        <w:tabs>
          <w:tab w:val="num" w:pos="6408"/>
        </w:tabs>
        <w:ind w:left="604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482D22">
      <w:start w:val="1"/>
      <w:numFmt w:val="lowerRoman"/>
      <w:lvlText w:val="%9."/>
      <w:lvlJc w:val="left"/>
      <w:pPr>
        <w:tabs>
          <w:tab w:val="num" w:pos="7128"/>
        </w:tabs>
        <w:ind w:left="6768"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035DAB"/>
    <w:multiLevelType w:val="hybridMultilevel"/>
    <w:tmpl w:val="0EAAF196"/>
    <w:numStyleLink w:val="ImportedStyle5"/>
  </w:abstractNum>
  <w:abstractNum w:abstractNumId="10" w15:restartNumberingAfterBreak="0">
    <w:nsid w:val="70B64752"/>
    <w:multiLevelType w:val="hybridMultilevel"/>
    <w:tmpl w:val="A972F220"/>
    <w:styleLink w:val="ImportedStyle3"/>
    <w:lvl w:ilvl="0" w:tplc="74FA09D2">
      <w:start w:val="1"/>
      <w:numFmt w:val="decimal"/>
      <w:lvlText w:val="%1."/>
      <w:lvlJc w:val="left"/>
      <w:pPr>
        <w:tabs>
          <w:tab w:val="num" w:pos="1080"/>
        </w:tabs>
        <w:ind w:left="720" w:hanging="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36105E">
      <w:start w:val="1"/>
      <w:numFmt w:val="lowerLetter"/>
      <w:lvlText w:val="%2."/>
      <w:lvlJc w:val="left"/>
      <w:pPr>
        <w:tabs>
          <w:tab w:val="num" w:pos="1800"/>
        </w:tabs>
        <w:ind w:left="144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4F4D2">
      <w:start w:val="1"/>
      <w:numFmt w:val="lowerRoman"/>
      <w:lvlText w:val="%3."/>
      <w:lvlJc w:val="left"/>
      <w:pPr>
        <w:tabs>
          <w:tab w:val="num" w:pos="2520"/>
        </w:tabs>
        <w:ind w:left="2160" w:firstLine="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78F282">
      <w:start w:val="1"/>
      <w:numFmt w:val="decimal"/>
      <w:lvlText w:val="%4."/>
      <w:lvlJc w:val="left"/>
      <w:pPr>
        <w:tabs>
          <w:tab w:val="num" w:pos="3240"/>
        </w:tabs>
        <w:ind w:left="288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C63B12">
      <w:start w:val="1"/>
      <w:numFmt w:val="lowerLetter"/>
      <w:lvlText w:val="%5."/>
      <w:lvlJc w:val="left"/>
      <w:pPr>
        <w:tabs>
          <w:tab w:val="num" w:pos="3960"/>
        </w:tabs>
        <w:ind w:left="360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CCCFE">
      <w:start w:val="1"/>
      <w:numFmt w:val="lowerRoman"/>
      <w:lvlText w:val="%6."/>
      <w:lvlJc w:val="left"/>
      <w:pPr>
        <w:tabs>
          <w:tab w:val="num" w:pos="4680"/>
        </w:tabs>
        <w:ind w:left="4320" w:firstLine="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0ECDE">
      <w:start w:val="1"/>
      <w:numFmt w:val="decimal"/>
      <w:lvlText w:val="%7."/>
      <w:lvlJc w:val="left"/>
      <w:pPr>
        <w:tabs>
          <w:tab w:val="num" w:pos="5400"/>
        </w:tabs>
        <w:ind w:left="504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2C9F76">
      <w:start w:val="1"/>
      <w:numFmt w:val="lowerLetter"/>
      <w:lvlText w:val="%8."/>
      <w:lvlJc w:val="left"/>
      <w:pPr>
        <w:tabs>
          <w:tab w:val="num" w:pos="6120"/>
        </w:tabs>
        <w:ind w:left="57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FA3594">
      <w:start w:val="1"/>
      <w:numFmt w:val="lowerRoman"/>
      <w:lvlText w:val="%9."/>
      <w:lvlJc w:val="left"/>
      <w:pPr>
        <w:tabs>
          <w:tab w:val="num" w:pos="6840"/>
        </w:tabs>
        <w:ind w:left="6480" w:firstLine="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2F62964"/>
    <w:multiLevelType w:val="multilevel"/>
    <w:tmpl w:val="062ACF5C"/>
    <w:numStyleLink w:val="ImportedStyle2"/>
  </w:abstractNum>
  <w:num w:numId="1">
    <w:abstractNumId w:val="0"/>
  </w:num>
  <w:num w:numId="2">
    <w:abstractNumId w:val="6"/>
  </w:num>
  <w:num w:numId="3">
    <w:abstractNumId w:val="4"/>
  </w:num>
  <w:num w:numId="4">
    <w:abstractNumId w:val="11"/>
  </w:num>
  <w:num w:numId="5">
    <w:abstractNumId w:val="6"/>
    <w:lvlOverride w:ilvl="0">
      <w:startOverride w:val="2"/>
      <w:lvl w:ilvl="0" w:tplc="CC04459A">
        <w:start w:val="2"/>
        <w:numFmt w:val="upperRoman"/>
        <w:lvlText w:val="%1."/>
        <w:lvlJc w:val="left"/>
        <w:pPr>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D4EA74">
        <w:start w:val="1"/>
        <w:numFmt w:val="lowerLetter"/>
        <w:lvlText w:val="%2."/>
        <w:lvlJc w:val="left"/>
        <w:pPr>
          <w:tabs>
            <w:tab w:val="num" w:pos="980"/>
          </w:tabs>
          <w:ind w:left="72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7E58F6">
        <w:start w:val="1"/>
        <w:numFmt w:val="lowerRoman"/>
        <w:lvlText w:val="%3."/>
        <w:lvlJc w:val="left"/>
        <w:pPr>
          <w:tabs>
            <w:tab w:val="num" w:pos="1700"/>
          </w:tabs>
          <w:ind w:left="144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7A66EC">
        <w:start w:val="1"/>
        <w:numFmt w:val="decimal"/>
        <w:lvlText w:val="%4."/>
        <w:lvlJc w:val="left"/>
        <w:pPr>
          <w:tabs>
            <w:tab w:val="num" w:pos="2420"/>
          </w:tabs>
          <w:ind w:left="216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72ABFE">
        <w:start w:val="1"/>
        <w:numFmt w:val="lowerLetter"/>
        <w:lvlText w:val="%5."/>
        <w:lvlJc w:val="left"/>
        <w:pPr>
          <w:tabs>
            <w:tab w:val="num" w:pos="3140"/>
          </w:tabs>
          <w:ind w:left="288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E645FE">
        <w:start w:val="1"/>
        <w:numFmt w:val="lowerRoman"/>
        <w:lvlText w:val="%6."/>
        <w:lvlJc w:val="left"/>
        <w:pPr>
          <w:tabs>
            <w:tab w:val="num" w:pos="3860"/>
          </w:tabs>
          <w:ind w:left="360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10FF8E">
        <w:start w:val="1"/>
        <w:numFmt w:val="decimal"/>
        <w:lvlText w:val="%7."/>
        <w:lvlJc w:val="left"/>
        <w:pPr>
          <w:tabs>
            <w:tab w:val="num" w:pos="4580"/>
          </w:tabs>
          <w:ind w:left="432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EE0800">
        <w:start w:val="1"/>
        <w:numFmt w:val="lowerLetter"/>
        <w:lvlText w:val="%8."/>
        <w:lvlJc w:val="left"/>
        <w:pPr>
          <w:tabs>
            <w:tab w:val="num" w:pos="5300"/>
          </w:tabs>
          <w:ind w:left="504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8A1C2C">
        <w:start w:val="1"/>
        <w:numFmt w:val="lowerRoman"/>
        <w:lvlText w:val="%9."/>
        <w:lvlJc w:val="left"/>
        <w:pPr>
          <w:tabs>
            <w:tab w:val="num" w:pos="6020"/>
          </w:tabs>
          <w:ind w:left="576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5"/>
  </w:num>
  <w:num w:numId="8">
    <w:abstractNumId w:val="11"/>
    <w:lvlOverride w:ilvl="0">
      <w:startOverride w:val="4"/>
    </w:lvlOverride>
  </w:num>
  <w:num w:numId="9">
    <w:abstractNumId w:val="5"/>
    <w:lvlOverride w:ilvl="0">
      <w:startOverride w:val="2"/>
    </w:lvlOverride>
  </w:num>
  <w:num w:numId="10">
    <w:abstractNumId w:val="11"/>
  </w:num>
  <w:num w:numId="11">
    <w:abstractNumId w:val="6"/>
    <w:lvlOverride w:ilvl="0">
      <w:startOverride w:val="3"/>
    </w:lvlOverride>
  </w:num>
  <w:num w:numId="12">
    <w:abstractNumId w:val="11"/>
    <w:lvlOverride w:ilvl="0">
      <w:startOverride w:val="11"/>
    </w:lvlOverride>
  </w:num>
  <w:num w:numId="13">
    <w:abstractNumId w:val="2"/>
  </w:num>
  <w:num w:numId="14">
    <w:abstractNumId w:val="7"/>
  </w:num>
  <w:num w:numId="15">
    <w:abstractNumId w:val="11"/>
    <w:lvlOverride w:ilvl="0">
      <w:startOverride w:val="13"/>
    </w:lvlOverride>
  </w:num>
  <w:num w:numId="16">
    <w:abstractNumId w:val="6"/>
    <w:lvlOverride w:ilvl="0">
      <w:startOverride w:val="4"/>
    </w:lvlOverride>
  </w:num>
  <w:num w:numId="17">
    <w:abstractNumId w:val="11"/>
    <w:lvlOverride w:ilvl="0">
      <w:startOverride w:val="20"/>
    </w:lvlOverride>
  </w:num>
  <w:num w:numId="18">
    <w:abstractNumId w:val="6"/>
    <w:lvlOverride w:ilvl="0">
      <w:startOverride w:val="5"/>
    </w:lvlOverride>
  </w:num>
  <w:num w:numId="19">
    <w:abstractNumId w:val="11"/>
    <w:lvlOverride w:ilvl="0">
      <w:startOverride w:val="21"/>
    </w:lvlOverride>
  </w:num>
  <w:num w:numId="20">
    <w:abstractNumId w:val="1"/>
  </w:num>
  <w:num w:numId="21">
    <w:abstractNumId w:val="9"/>
  </w:num>
  <w:num w:numId="22">
    <w:abstractNumId w:val="11"/>
    <w:lvlOverride w:ilvl="0">
      <w:startOverride w:val="22"/>
    </w:lvlOverride>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10"/>
    <w:rsid w:val="00005723"/>
    <w:rsid w:val="00011283"/>
    <w:rsid w:val="00076B5F"/>
    <w:rsid w:val="00080422"/>
    <w:rsid w:val="000A5FB1"/>
    <w:rsid w:val="000E727C"/>
    <w:rsid w:val="001058CE"/>
    <w:rsid w:val="00105B02"/>
    <w:rsid w:val="001152D6"/>
    <w:rsid w:val="00131CD7"/>
    <w:rsid w:val="00175442"/>
    <w:rsid w:val="001A336C"/>
    <w:rsid w:val="001A49FB"/>
    <w:rsid w:val="001A59BD"/>
    <w:rsid w:val="001D2A80"/>
    <w:rsid w:val="001E2E24"/>
    <w:rsid w:val="0020020F"/>
    <w:rsid w:val="00205939"/>
    <w:rsid w:val="00231002"/>
    <w:rsid w:val="00257B10"/>
    <w:rsid w:val="00272092"/>
    <w:rsid w:val="00282FE1"/>
    <w:rsid w:val="002A0E6F"/>
    <w:rsid w:val="002A13D9"/>
    <w:rsid w:val="002A2271"/>
    <w:rsid w:val="002B23D4"/>
    <w:rsid w:val="002E4ACF"/>
    <w:rsid w:val="002F6F12"/>
    <w:rsid w:val="00317636"/>
    <w:rsid w:val="0033203C"/>
    <w:rsid w:val="003371EA"/>
    <w:rsid w:val="00362A13"/>
    <w:rsid w:val="003659AE"/>
    <w:rsid w:val="003866BE"/>
    <w:rsid w:val="003C130B"/>
    <w:rsid w:val="003E2155"/>
    <w:rsid w:val="003F34DD"/>
    <w:rsid w:val="003F7B4C"/>
    <w:rsid w:val="00425B8B"/>
    <w:rsid w:val="00430088"/>
    <w:rsid w:val="004747FD"/>
    <w:rsid w:val="00477494"/>
    <w:rsid w:val="004A4905"/>
    <w:rsid w:val="004C1D49"/>
    <w:rsid w:val="004C5041"/>
    <w:rsid w:val="004C6538"/>
    <w:rsid w:val="004D138A"/>
    <w:rsid w:val="004E300D"/>
    <w:rsid w:val="004F1111"/>
    <w:rsid w:val="00510823"/>
    <w:rsid w:val="0052429E"/>
    <w:rsid w:val="00571C84"/>
    <w:rsid w:val="00580B7A"/>
    <w:rsid w:val="00583BA8"/>
    <w:rsid w:val="005846E3"/>
    <w:rsid w:val="005C399F"/>
    <w:rsid w:val="005C5BEE"/>
    <w:rsid w:val="005C78E4"/>
    <w:rsid w:val="005D1696"/>
    <w:rsid w:val="005E0854"/>
    <w:rsid w:val="005F0D61"/>
    <w:rsid w:val="00604CB3"/>
    <w:rsid w:val="0062572E"/>
    <w:rsid w:val="00646759"/>
    <w:rsid w:val="00684716"/>
    <w:rsid w:val="00684E4A"/>
    <w:rsid w:val="00690C23"/>
    <w:rsid w:val="00693CF3"/>
    <w:rsid w:val="006B35C1"/>
    <w:rsid w:val="006B59F6"/>
    <w:rsid w:val="006C5071"/>
    <w:rsid w:val="006E2CF0"/>
    <w:rsid w:val="006E71EE"/>
    <w:rsid w:val="0072718C"/>
    <w:rsid w:val="007363EA"/>
    <w:rsid w:val="00752E7D"/>
    <w:rsid w:val="007676AF"/>
    <w:rsid w:val="00792B6B"/>
    <w:rsid w:val="007A40E9"/>
    <w:rsid w:val="007C0838"/>
    <w:rsid w:val="00801FAD"/>
    <w:rsid w:val="00804F76"/>
    <w:rsid w:val="008C5FEC"/>
    <w:rsid w:val="008C7208"/>
    <w:rsid w:val="008E6F2E"/>
    <w:rsid w:val="00925FCF"/>
    <w:rsid w:val="00955FE5"/>
    <w:rsid w:val="00974FB4"/>
    <w:rsid w:val="00984C76"/>
    <w:rsid w:val="009B554C"/>
    <w:rsid w:val="009D1534"/>
    <w:rsid w:val="00A07EFB"/>
    <w:rsid w:val="00A20D42"/>
    <w:rsid w:val="00A631D2"/>
    <w:rsid w:val="00AE1A3A"/>
    <w:rsid w:val="00AE2FAE"/>
    <w:rsid w:val="00AE3811"/>
    <w:rsid w:val="00B0055E"/>
    <w:rsid w:val="00B02596"/>
    <w:rsid w:val="00B1370B"/>
    <w:rsid w:val="00B14FBD"/>
    <w:rsid w:val="00B44F59"/>
    <w:rsid w:val="00B64E60"/>
    <w:rsid w:val="00B66F44"/>
    <w:rsid w:val="00BA0A66"/>
    <w:rsid w:val="00BA70B1"/>
    <w:rsid w:val="00BB4A90"/>
    <w:rsid w:val="00BC5403"/>
    <w:rsid w:val="00BC6044"/>
    <w:rsid w:val="00C05D8C"/>
    <w:rsid w:val="00C202CC"/>
    <w:rsid w:val="00C364C3"/>
    <w:rsid w:val="00C43647"/>
    <w:rsid w:val="00C86022"/>
    <w:rsid w:val="00CC5A07"/>
    <w:rsid w:val="00CE3E0F"/>
    <w:rsid w:val="00D01471"/>
    <w:rsid w:val="00D03A0B"/>
    <w:rsid w:val="00D21295"/>
    <w:rsid w:val="00D23970"/>
    <w:rsid w:val="00D35806"/>
    <w:rsid w:val="00D513EA"/>
    <w:rsid w:val="00D60071"/>
    <w:rsid w:val="00D60B51"/>
    <w:rsid w:val="00D617DB"/>
    <w:rsid w:val="00D718D8"/>
    <w:rsid w:val="00D75523"/>
    <w:rsid w:val="00D75766"/>
    <w:rsid w:val="00DA394D"/>
    <w:rsid w:val="00DA6976"/>
    <w:rsid w:val="00DC1F25"/>
    <w:rsid w:val="00DE23E9"/>
    <w:rsid w:val="00E0084F"/>
    <w:rsid w:val="00E074F4"/>
    <w:rsid w:val="00E25E02"/>
    <w:rsid w:val="00E35D72"/>
    <w:rsid w:val="00E525AF"/>
    <w:rsid w:val="00E8302A"/>
    <w:rsid w:val="00E97E0E"/>
    <w:rsid w:val="00EB0CA6"/>
    <w:rsid w:val="00ED7621"/>
    <w:rsid w:val="00F0206D"/>
    <w:rsid w:val="00F06582"/>
    <w:rsid w:val="00F25295"/>
    <w:rsid w:val="00F3251B"/>
    <w:rsid w:val="00F34664"/>
    <w:rsid w:val="00F51D2D"/>
    <w:rsid w:val="00F614B1"/>
    <w:rsid w:val="00F630E4"/>
    <w:rsid w:val="00F94B3E"/>
    <w:rsid w:val="00FB05B8"/>
    <w:rsid w:val="00FB2203"/>
    <w:rsid w:val="00FB3681"/>
    <w:rsid w:val="00FC3832"/>
    <w:rsid w:val="00FE5B80"/>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D6544"/>
  <w15:docId w15:val="{7041128F-7190-4AB3-81A7-3C31AF7F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firstLine="360"/>
      <w:jc w:val="both"/>
    </w:pPr>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Normal1">
    <w:name w:val="Normal 1"/>
    <w:pPr>
      <w:ind w:left="360"/>
      <w:jc w:val="both"/>
    </w:pPr>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numbering" w:customStyle="1" w:styleId="ImportedStyle4">
    <w:name w:val="Imported Style 4"/>
    <w:pPr>
      <w:numPr>
        <w:numId w:val="13"/>
      </w:numPr>
    </w:pPr>
  </w:style>
  <w:style w:type="paragraph" w:styleId="FootnoteText">
    <w:name w:val="footnote text"/>
    <w:pPr>
      <w:spacing w:after="200" w:line="276" w:lineRule="auto"/>
    </w:pPr>
    <w:rPr>
      <w:rFonts w:ascii="Calibri" w:eastAsia="Calibri" w:hAnsi="Calibri" w:cs="Calibri"/>
      <w:color w:val="000000"/>
      <w:u w:color="000000"/>
    </w:rPr>
  </w:style>
  <w:style w:type="numbering" w:customStyle="1" w:styleId="ImportedStyle5">
    <w:name w:val="Imported Style 5"/>
    <w:pPr>
      <w:numPr>
        <w:numId w:val="20"/>
      </w:numPr>
    </w:pPr>
  </w:style>
  <w:style w:type="paragraph" w:styleId="ListParagraph">
    <w:name w:val="List Paragraph"/>
    <w:basedOn w:val="Normal"/>
    <w:uiPriority w:val="34"/>
    <w:qFormat/>
    <w:rsid w:val="00A631D2"/>
    <w:pPr>
      <w:ind w:left="720"/>
      <w:contextualSpacing/>
    </w:pPr>
  </w:style>
  <w:style w:type="paragraph" w:styleId="Header">
    <w:name w:val="header"/>
    <w:basedOn w:val="Normal"/>
    <w:link w:val="HeaderChar"/>
    <w:uiPriority w:val="99"/>
    <w:unhideWhenUsed/>
    <w:rsid w:val="005C5BEE"/>
    <w:pPr>
      <w:tabs>
        <w:tab w:val="center" w:pos="4680"/>
        <w:tab w:val="right" w:pos="9360"/>
      </w:tabs>
    </w:pPr>
  </w:style>
  <w:style w:type="character" w:customStyle="1" w:styleId="HeaderChar">
    <w:name w:val="Header Char"/>
    <w:basedOn w:val="DefaultParagraphFont"/>
    <w:link w:val="Header"/>
    <w:uiPriority w:val="99"/>
    <w:rsid w:val="005C5BEE"/>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E2E24"/>
    <w:rPr>
      <w:rFonts w:ascii="Tahoma" w:hAnsi="Tahoma" w:cs="Tahoma"/>
      <w:sz w:val="16"/>
      <w:szCs w:val="16"/>
    </w:rPr>
  </w:style>
  <w:style w:type="character" w:customStyle="1" w:styleId="BalloonTextChar">
    <w:name w:val="Balloon Text Char"/>
    <w:basedOn w:val="DefaultParagraphFont"/>
    <w:link w:val="BalloonText"/>
    <w:uiPriority w:val="99"/>
    <w:semiHidden/>
    <w:rsid w:val="001E2E24"/>
    <w:rPr>
      <w:rFonts w:ascii="Tahoma" w:eastAsia="Cambria" w:hAnsi="Tahoma" w:cs="Tahoma"/>
      <w:color w:val="000000"/>
      <w:sz w:val="16"/>
      <w:szCs w:val="16"/>
      <w:u w:color="000000"/>
      <w:lang w:val="es-ES_tradnl"/>
      <w14:textOutline w14:w="0" w14:cap="flat" w14:cmpd="sng" w14:algn="ctr">
        <w14:noFill/>
        <w14:prstDash w14:val="solid"/>
        <w14:bevel/>
      </w14:textOutline>
    </w:rPr>
  </w:style>
  <w:style w:type="character" w:styleId="Emphasis">
    <w:name w:val="Emphasis"/>
    <w:basedOn w:val="DefaultParagraphFont"/>
    <w:uiPriority w:val="20"/>
    <w:qFormat/>
    <w:rsid w:val="00A20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2470">
      <w:bodyDiv w:val="1"/>
      <w:marLeft w:val="0"/>
      <w:marRight w:val="0"/>
      <w:marTop w:val="0"/>
      <w:marBottom w:val="0"/>
      <w:divBdr>
        <w:top w:val="none" w:sz="0" w:space="0" w:color="auto"/>
        <w:left w:val="none" w:sz="0" w:space="0" w:color="auto"/>
        <w:bottom w:val="none" w:sz="0" w:space="0" w:color="auto"/>
        <w:right w:val="none" w:sz="0" w:space="0" w:color="auto"/>
      </w:divBdr>
    </w:div>
    <w:div w:id="158676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fr/cidh/prensa/comunicados/2019/168.asp" TargetMode="External"/><Relationship Id="rId7" Type="http://schemas.openxmlformats.org/officeDocument/2006/relationships/hyperlink" Target="https://undocs.org/fr/S/2019/563" TargetMode="External"/><Relationship Id="rId2" Type="http://schemas.openxmlformats.org/officeDocument/2006/relationships/hyperlink" Target="http://www.oas.org/fr/cidh/prensa/comunicados/2019/046.asp" TargetMode="External"/><Relationship Id="rId1" Type="http://schemas.openxmlformats.org/officeDocument/2006/relationships/hyperlink" Target="http://www.corteidh.or.cr/docs/medidas/febem_se_03_ing.pdf" TargetMode="External"/><Relationship Id="rId6" Type="http://schemas.openxmlformats.org/officeDocument/2006/relationships/hyperlink" Target="http://www.oas.org/es/cidh/audiencias/advanced.aspx?lang=en" TargetMode="External"/><Relationship Id="rId5" Type="http://schemas.openxmlformats.org/officeDocument/2006/relationships/hyperlink" Target="http://www.oas.org/fr/cidh/prensa/comunicados/2019/305.asp" TargetMode="External"/><Relationship Id="rId4" Type="http://schemas.openxmlformats.org/officeDocument/2006/relationships/hyperlink" Target="http://www.oas.org/fr/cidh/prensa/comunicados/2019/258.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264C-0BB1-48B9-96CF-670E0081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3030</Words>
  <Characters>17274</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Zylbersztajn, Joana</dc:creator>
  <cp:lastModifiedBy>Franceschini, Enzo</cp:lastModifiedBy>
  <cp:revision>3</cp:revision>
  <dcterms:created xsi:type="dcterms:W3CDTF">2020-01-23T15:49:00Z</dcterms:created>
  <dcterms:modified xsi:type="dcterms:W3CDTF">2020-01-28T21:43:00Z</dcterms:modified>
</cp:coreProperties>
</file>