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65BE2" w14:textId="483B1CA5" w:rsidR="00D976A1" w:rsidRPr="00AD6665" w:rsidRDefault="00F1119D" w:rsidP="00D976A1">
      <w:pPr>
        <w:pStyle w:val="Header"/>
        <w:tabs>
          <w:tab w:val="left" w:pos="6300"/>
          <w:tab w:val="left" w:pos="7110"/>
        </w:tabs>
        <w:rPr>
          <w:sz w:val="22"/>
          <w:szCs w:val="22"/>
          <w:lang w:val="es-419"/>
        </w:rPr>
      </w:pPr>
      <w:r w:rsidRPr="00AD6665">
        <w:rPr>
          <w:b/>
          <w:sz w:val="22"/>
          <w:szCs w:val="22"/>
        </w:rPr>
        <w:t>REUNIÓN DE LOS GRUPOS DE TRABAJO 1 Y 2</w:t>
      </w:r>
      <w:r w:rsidR="00D976A1" w:rsidRPr="00AD6665">
        <w:rPr>
          <w:color w:val="000000"/>
          <w:sz w:val="22"/>
          <w:szCs w:val="22"/>
          <w:lang w:val="es-419"/>
        </w:rPr>
        <w:tab/>
      </w:r>
      <w:r w:rsidR="00D976A1" w:rsidRPr="00AD6665">
        <w:rPr>
          <w:sz w:val="22"/>
          <w:szCs w:val="22"/>
          <w:lang w:val="es-419"/>
        </w:rPr>
        <w:tab/>
      </w:r>
      <w:r w:rsidR="0031411E" w:rsidRPr="00AD6665">
        <w:rPr>
          <w:snapToGrid w:val="0"/>
          <w:sz w:val="22"/>
          <w:szCs w:val="22"/>
        </w:rPr>
        <w:t>OEA/Ser.L/XIX.VI.1</w:t>
      </w:r>
    </w:p>
    <w:p w14:paraId="019FC79E" w14:textId="318805DE" w:rsidR="00F03FA1" w:rsidRPr="00AD6665" w:rsidRDefault="00FE51C0" w:rsidP="00F03FA1">
      <w:pPr>
        <w:tabs>
          <w:tab w:val="left" w:pos="6300"/>
          <w:tab w:val="left" w:pos="7110"/>
        </w:tabs>
        <w:ind w:right="-1570"/>
        <w:rPr>
          <w:snapToGrid w:val="0"/>
          <w:sz w:val="22"/>
          <w:szCs w:val="22"/>
          <w:lang w:val="es-419"/>
        </w:rPr>
      </w:pPr>
      <w:r w:rsidRPr="00AD6665">
        <w:rPr>
          <w:b/>
          <w:sz w:val="22"/>
          <w:szCs w:val="22"/>
        </w:rPr>
        <w:t>DE LA XXI CONFERENCIA INTERAMERICANA DE</w:t>
      </w:r>
      <w:r w:rsidR="00F03FA1" w:rsidRPr="00AD6665">
        <w:rPr>
          <w:b/>
          <w:sz w:val="22"/>
          <w:szCs w:val="22"/>
          <w:lang w:val="es-419"/>
        </w:rPr>
        <w:tab/>
      </w:r>
      <w:r w:rsidR="00F03FA1" w:rsidRPr="00AD6665">
        <w:rPr>
          <w:b/>
          <w:sz w:val="22"/>
          <w:szCs w:val="22"/>
          <w:lang w:val="es-419"/>
        </w:rPr>
        <w:tab/>
      </w:r>
      <w:r w:rsidR="00347081" w:rsidRPr="00AD6665">
        <w:rPr>
          <w:snapToGrid w:val="0"/>
          <w:sz w:val="22"/>
          <w:szCs w:val="22"/>
        </w:rPr>
        <w:t>CIMT-21/GT1-GT2/doc.9/23</w:t>
      </w:r>
    </w:p>
    <w:p w14:paraId="0ECE71A8" w14:textId="3C7B198A" w:rsidR="002724D5" w:rsidRPr="00AD6665" w:rsidRDefault="002724D5" w:rsidP="00D976A1">
      <w:pPr>
        <w:tabs>
          <w:tab w:val="left" w:pos="6300"/>
          <w:tab w:val="left" w:pos="7110"/>
        </w:tabs>
        <w:ind w:right="-1570"/>
        <w:rPr>
          <w:sz w:val="22"/>
          <w:szCs w:val="22"/>
          <w:lang w:val="es-419"/>
        </w:rPr>
      </w:pPr>
      <w:r w:rsidRPr="00AD6665">
        <w:rPr>
          <w:b/>
          <w:snapToGrid w:val="0"/>
          <w:sz w:val="22"/>
          <w:szCs w:val="22"/>
        </w:rPr>
        <w:t>MINISTROS DE TRABAJO</w:t>
      </w:r>
      <w:r w:rsidR="00AD6665" w:rsidRPr="00AD6665">
        <w:rPr>
          <w:b/>
          <w:snapToGrid w:val="0"/>
          <w:sz w:val="22"/>
          <w:szCs w:val="22"/>
        </w:rPr>
        <w:tab/>
      </w:r>
      <w:r w:rsidR="00AD6665" w:rsidRPr="00AD6665">
        <w:rPr>
          <w:b/>
          <w:snapToGrid w:val="0"/>
          <w:sz w:val="22"/>
          <w:szCs w:val="22"/>
        </w:rPr>
        <w:tab/>
      </w:r>
      <w:r w:rsidR="00AD6665" w:rsidRPr="00AD6665">
        <w:rPr>
          <w:bCs/>
          <w:snapToGrid w:val="0"/>
          <w:sz w:val="22"/>
          <w:szCs w:val="22"/>
        </w:rPr>
        <w:t>17 septiembre 2023</w:t>
      </w:r>
    </w:p>
    <w:p w14:paraId="69B9BC0E" w14:textId="62239B9D" w:rsidR="00D976A1" w:rsidRPr="00AD6665" w:rsidRDefault="00B54FB9" w:rsidP="00D976A1">
      <w:pPr>
        <w:tabs>
          <w:tab w:val="left" w:pos="6300"/>
          <w:tab w:val="left" w:pos="7110"/>
        </w:tabs>
        <w:ind w:right="-1570"/>
        <w:rPr>
          <w:snapToGrid w:val="0"/>
          <w:sz w:val="22"/>
          <w:szCs w:val="22"/>
          <w:lang w:val="es-419"/>
        </w:rPr>
      </w:pPr>
      <w:r w:rsidRPr="00AD6665">
        <w:rPr>
          <w:snapToGrid w:val="0"/>
          <w:sz w:val="22"/>
          <w:szCs w:val="22"/>
        </w:rPr>
        <w:t>Del 21 al 22 de septiembre de 2023</w:t>
      </w:r>
      <w:r w:rsidR="00D976A1" w:rsidRPr="00AD6665">
        <w:rPr>
          <w:sz w:val="22"/>
          <w:szCs w:val="22"/>
          <w:lang w:val="es-419"/>
        </w:rPr>
        <w:tab/>
      </w:r>
      <w:r w:rsidR="00D976A1" w:rsidRPr="00AD6665">
        <w:rPr>
          <w:sz w:val="22"/>
          <w:szCs w:val="22"/>
          <w:lang w:val="es-419"/>
        </w:rPr>
        <w:tab/>
      </w:r>
      <w:r w:rsidR="00AD6665" w:rsidRPr="00AD6665">
        <w:rPr>
          <w:sz w:val="22"/>
          <w:szCs w:val="22"/>
        </w:rPr>
        <w:t>Original: español</w:t>
      </w:r>
    </w:p>
    <w:p w14:paraId="140A4399" w14:textId="73C911EF" w:rsidR="00D976A1" w:rsidRPr="00AD6665" w:rsidRDefault="00D65AF4" w:rsidP="00AD6665">
      <w:pPr>
        <w:tabs>
          <w:tab w:val="left" w:pos="6300"/>
        </w:tabs>
        <w:rPr>
          <w:sz w:val="22"/>
          <w:szCs w:val="22"/>
        </w:rPr>
      </w:pPr>
      <w:r w:rsidRPr="00AD6665">
        <w:rPr>
          <w:sz w:val="22"/>
          <w:szCs w:val="22"/>
        </w:rPr>
        <w:t>Washington, D.C., Estados Unidos de América</w:t>
      </w:r>
      <w:r w:rsidR="00D976A1" w:rsidRPr="00F03FA1">
        <w:rPr>
          <w:snapToGrid w:val="0"/>
          <w:sz w:val="22"/>
          <w:szCs w:val="22"/>
        </w:rPr>
        <w:tab/>
      </w:r>
      <w:r w:rsidR="00D976A1" w:rsidRPr="00F03FA1">
        <w:rPr>
          <w:snapToGrid w:val="0"/>
          <w:sz w:val="22"/>
          <w:szCs w:val="22"/>
        </w:rPr>
        <w:tab/>
      </w:r>
    </w:p>
    <w:p w14:paraId="68D00EFC" w14:textId="77777777" w:rsidR="00D976A1" w:rsidRPr="00C104CF" w:rsidRDefault="00D976A1" w:rsidP="008110E3">
      <w:pPr>
        <w:pStyle w:val="BodyText"/>
        <w:pBdr>
          <w:bottom w:val="single" w:sz="12" w:space="0" w:color="auto"/>
        </w:pBdr>
        <w:tabs>
          <w:tab w:val="left" w:pos="2880"/>
          <w:tab w:val="left" w:pos="6480"/>
        </w:tabs>
        <w:spacing w:after="0"/>
        <w:rPr>
          <w:sz w:val="22"/>
          <w:szCs w:val="22"/>
          <w:lang w:val="es-ES"/>
        </w:rPr>
      </w:pPr>
    </w:p>
    <w:p w14:paraId="10DBC18D" w14:textId="77777777" w:rsidR="00436174" w:rsidRPr="00C104CF" w:rsidRDefault="00436174" w:rsidP="00B74652">
      <w:pPr>
        <w:spacing w:line="250" w:lineRule="exact"/>
        <w:jc w:val="center"/>
        <w:rPr>
          <w:sz w:val="22"/>
          <w:szCs w:val="22"/>
        </w:rPr>
      </w:pPr>
    </w:p>
    <w:p w14:paraId="4E7EEDE2" w14:textId="77777777" w:rsidR="002506DC" w:rsidRDefault="002506DC" w:rsidP="002506DC">
      <w:pPr>
        <w:spacing w:line="250" w:lineRule="exact"/>
        <w:jc w:val="center"/>
        <w:rPr>
          <w:sz w:val="22"/>
          <w:szCs w:val="22"/>
        </w:rPr>
      </w:pPr>
    </w:p>
    <w:p w14:paraId="13E06022" w14:textId="77777777" w:rsidR="002506DC" w:rsidRDefault="002506DC" w:rsidP="002506DC">
      <w:pPr>
        <w:spacing w:line="250" w:lineRule="exact"/>
        <w:jc w:val="center"/>
        <w:rPr>
          <w:sz w:val="22"/>
          <w:szCs w:val="22"/>
        </w:rPr>
      </w:pPr>
    </w:p>
    <w:p w14:paraId="755546C1" w14:textId="77777777" w:rsidR="002506DC" w:rsidRDefault="002506DC" w:rsidP="002506DC">
      <w:pPr>
        <w:spacing w:line="250" w:lineRule="exact"/>
        <w:jc w:val="center"/>
        <w:rPr>
          <w:sz w:val="22"/>
          <w:szCs w:val="22"/>
        </w:rPr>
      </w:pPr>
    </w:p>
    <w:p w14:paraId="01F4DC0E" w14:textId="77777777" w:rsidR="002506DC" w:rsidRDefault="002506DC" w:rsidP="002506DC">
      <w:pPr>
        <w:spacing w:line="250" w:lineRule="exact"/>
        <w:jc w:val="center"/>
        <w:rPr>
          <w:sz w:val="22"/>
          <w:szCs w:val="22"/>
        </w:rPr>
      </w:pPr>
    </w:p>
    <w:p w14:paraId="1512A284" w14:textId="77777777" w:rsidR="002506DC" w:rsidRDefault="002506DC" w:rsidP="002506DC">
      <w:pPr>
        <w:spacing w:line="250" w:lineRule="exact"/>
        <w:jc w:val="center"/>
        <w:rPr>
          <w:sz w:val="22"/>
          <w:szCs w:val="22"/>
        </w:rPr>
      </w:pPr>
    </w:p>
    <w:p w14:paraId="7566D79C" w14:textId="77777777" w:rsidR="002506DC" w:rsidRDefault="002506DC" w:rsidP="002506DC">
      <w:pPr>
        <w:spacing w:line="250" w:lineRule="exact"/>
        <w:jc w:val="center"/>
        <w:rPr>
          <w:sz w:val="22"/>
          <w:szCs w:val="22"/>
        </w:rPr>
      </w:pPr>
    </w:p>
    <w:p w14:paraId="605B9AEA" w14:textId="77777777" w:rsidR="002506DC" w:rsidRDefault="002506DC" w:rsidP="002506DC">
      <w:pPr>
        <w:spacing w:line="250" w:lineRule="exact"/>
        <w:jc w:val="center"/>
        <w:rPr>
          <w:sz w:val="22"/>
          <w:szCs w:val="22"/>
        </w:rPr>
      </w:pPr>
    </w:p>
    <w:p w14:paraId="49A9C314" w14:textId="77777777" w:rsidR="002506DC" w:rsidRDefault="002506DC" w:rsidP="002506DC">
      <w:pPr>
        <w:spacing w:line="250" w:lineRule="exact"/>
        <w:jc w:val="center"/>
        <w:rPr>
          <w:sz w:val="22"/>
          <w:szCs w:val="22"/>
        </w:rPr>
      </w:pPr>
    </w:p>
    <w:p w14:paraId="71A0351C" w14:textId="77777777" w:rsidR="002506DC" w:rsidRDefault="002506DC" w:rsidP="002506DC">
      <w:pPr>
        <w:spacing w:line="250" w:lineRule="exact"/>
        <w:jc w:val="center"/>
        <w:rPr>
          <w:sz w:val="22"/>
          <w:szCs w:val="22"/>
        </w:rPr>
      </w:pPr>
    </w:p>
    <w:p w14:paraId="02D14851" w14:textId="77777777" w:rsidR="002506DC" w:rsidRDefault="002506DC" w:rsidP="002506DC">
      <w:pPr>
        <w:spacing w:line="250" w:lineRule="exact"/>
        <w:jc w:val="center"/>
        <w:rPr>
          <w:sz w:val="22"/>
          <w:szCs w:val="22"/>
        </w:rPr>
      </w:pPr>
    </w:p>
    <w:p w14:paraId="15D13A4F" w14:textId="77777777" w:rsidR="002506DC" w:rsidRDefault="002506DC" w:rsidP="002506DC">
      <w:pPr>
        <w:spacing w:line="250" w:lineRule="exact"/>
        <w:jc w:val="center"/>
        <w:rPr>
          <w:sz w:val="22"/>
          <w:szCs w:val="22"/>
        </w:rPr>
      </w:pPr>
    </w:p>
    <w:p w14:paraId="761F4131" w14:textId="77777777" w:rsidR="002506DC" w:rsidRPr="00C418FF" w:rsidRDefault="002506DC" w:rsidP="002506DC">
      <w:pPr>
        <w:spacing w:line="250" w:lineRule="exact"/>
        <w:jc w:val="center"/>
        <w:rPr>
          <w:sz w:val="22"/>
          <w:szCs w:val="22"/>
        </w:rPr>
      </w:pPr>
    </w:p>
    <w:p w14:paraId="42EBE872" w14:textId="77777777" w:rsidR="002506DC" w:rsidRPr="00C418FF" w:rsidRDefault="002506DC" w:rsidP="002506DC">
      <w:pPr>
        <w:spacing w:line="250" w:lineRule="exact"/>
        <w:jc w:val="center"/>
        <w:rPr>
          <w:sz w:val="22"/>
          <w:szCs w:val="22"/>
        </w:rPr>
      </w:pPr>
    </w:p>
    <w:p w14:paraId="139023BB" w14:textId="7FED5575" w:rsidR="002506DC" w:rsidRPr="00C418FF" w:rsidRDefault="002506DC" w:rsidP="002506DC">
      <w:pPr>
        <w:spacing w:line="250" w:lineRule="exact"/>
        <w:jc w:val="center"/>
        <w:rPr>
          <w:sz w:val="22"/>
          <w:szCs w:val="22"/>
        </w:rPr>
      </w:pPr>
      <w:r w:rsidRPr="00C418FF">
        <w:rPr>
          <w:sz w:val="22"/>
          <w:szCs w:val="22"/>
        </w:rPr>
        <w:t xml:space="preserve">ESTADO FINANCIERO DE LA RED INTERAMERICANA PARA LA ADMINISTRACION LABORAL (RIAL) A </w:t>
      </w:r>
      <w:r w:rsidR="00E71904" w:rsidRPr="00C418FF">
        <w:rPr>
          <w:sz w:val="22"/>
          <w:szCs w:val="22"/>
        </w:rPr>
        <w:t>SEPTIEMBRE</w:t>
      </w:r>
      <w:r w:rsidRPr="00C418FF">
        <w:rPr>
          <w:sz w:val="22"/>
          <w:szCs w:val="22"/>
        </w:rPr>
        <w:t xml:space="preserve"> DE 2023</w:t>
      </w:r>
    </w:p>
    <w:p w14:paraId="30FD8C4D" w14:textId="77777777" w:rsidR="002506DC" w:rsidRDefault="002506DC" w:rsidP="002506DC">
      <w:pPr>
        <w:spacing w:line="250" w:lineRule="exact"/>
        <w:jc w:val="center"/>
        <w:rPr>
          <w:color w:val="0070C0"/>
          <w:sz w:val="22"/>
          <w:szCs w:val="22"/>
        </w:rPr>
      </w:pPr>
    </w:p>
    <w:p w14:paraId="72BB6BFD" w14:textId="77777777" w:rsidR="002506DC" w:rsidRDefault="002506DC" w:rsidP="002506DC">
      <w:pPr>
        <w:spacing w:line="250" w:lineRule="exact"/>
        <w:jc w:val="center"/>
        <w:rPr>
          <w:color w:val="0070C0"/>
          <w:sz w:val="22"/>
          <w:szCs w:val="22"/>
        </w:rPr>
      </w:pPr>
    </w:p>
    <w:p w14:paraId="4F2260F1" w14:textId="77777777" w:rsidR="002506DC" w:rsidRDefault="002506DC" w:rsidP="002506DC">
      <w:pPr>
        <w:spacing w:line="250" w:lineRule="exact"/>
        <w:jc w:val="center"/>
        <w:rPr>
          <w:color w:val="0070C0"/>
          <w:sz w:val="22"/>
          <w:szCs w:val="22"/>
        </w:rPr>
      </w:pPr>
    </w:p>
    <w:p w14:paraId="65D6ED31" w14:textId="77777777" w:rsidR="002506DC" w:rsidRDefault="002506DC" w:rsidP="002506DC">
      <w:pPr>
        <w:spacing w:line="250" w:lineRule="exact"/>
        <w:jc w:val="center"/>
        <w:rPr>
          <w:color w:val="0070C0"/>
          <w:sz w:val="22"/>
          <w:szCs w:val="22"/>
        </w:rPr>
      </w:pPr>
    </w:p>
    <w:p w14:paraId="6B9ECC04" w14:textId="77777777" w:rsidR="002506DC" w:rsidRDefault="002506DC" w:rsidP="002506DC">
      <w:pPr>
        <w:spacing w:line="250" w:lineRule="exact"/>
        <w:jc w:val="center"/>
        <w:rPr>
          <w:color w:val="0070C0"/>
          <w:sz w:val="22"/>
          <w:szCs w:val="22"/>
        </w:rPr>
      </w:pPr>
    </w:p>
    <w:p w14:paraId="62E05948" w14:textId="77777777" w:rsidR="002506DC" w:rsidRDefault="002506DC" w:rsidP="002506DC">
      <w:pPr>
        <w:spacing w:line="250" w:lineRule="exact"/>
        <w:jc w:val="center"/>
        <w:rPr>
          <w:color w:val="0070C0"/>
          <w:sz w:val="22"/>
          <w:szCs w:val="22"/>
        </w:rPr>
      </w:pPr>
    </w:p>
    <w:p w14:paraId="241D4F0A" w14:textId="77777777" w:rsidR="002506DC" w:rsidRDefault="002506DC" w:rsidP="002506DC">
      <w:pPr>
        <w:spacing w:line="250" w:lineRule="exact"/>
        <w:jc w:val="center"/>
        <w:rPr>
          <w:color w:val="0070C0"/>
          <w:sz w:val="22"/>
          <w:szCs w:val="22"/>
        </w:rPr>
      </w:pPr>
    </w:p>
    <w:p w14:paraId="7A7AADD5" w14:textId="77777777" w:rsidR="002506DC" w:rsidRDefault="002506DC" w:rsidP="002506DC">
      <w:pPr>
        <w:spacing w:line="250" w:lineRule="exact"/>
        <w:jc w:val="center"/>
        <w:rPr>
          <w:color w:val="0070C0"/>
          <w:sz w:val="22"/>
          <w:szCs w:val="22"/>
        </w:rPr>
      </w:pPr>
    </w:p>
    <w:p w14:paraId="726A506E" w14:textId="77777777" w:rsidR="002506DC" w:rsidRDefault="002506DC" w:rsidP="002506DC">
      <w:pPr>
        <w:spacing w:line="250" w:lineRule="exact"/>
        <w:jc w:val="center"/>
        <w:rPr>
          <w:color w:val="0070C0"/>
          <w:sz w:val="22"/>
          <w:szCs w:val="22"/>
        </w:rPr>
      </w:pPr>
    </w:p>
    <w:p w14:paraId="5680A72D" w14:textId="77777777" w:rsidR="002506DC" w:rsidRDefault="002506DC" w:rsidP="002506DC">
      <w:pPr>
        <w:spacing w:line="250" w:lineRule="exact"/>
        <w:jc w:val="center"/>
        <w:rPr>
          <w:color w:val="0070C0"/>
          <w:sz w:val="22"/>
          <w:szCs w:val="22"/>
        </w:rPr>
      </w:pPr>
    </w:p>
    <w:p w14:paraId="596C55F8" w14:textId="77777777" w:rsidR="002506DC" w:rsidRDefault="002506DC" w:rsidP="002506DC">
      <w:pPr>
        <w:spacing w:line="250" w:lineRule="exact"/>
        <w:jc w:val="center"/>
        <w:rPr>
          <w:color w:val="0070C0"/>
          <w:sz w:val="22"/>
          <w:szCs w:val="22"/>
        </w:rPr>
      </w:pPr>
    </w:p>
    <w:p w14:paraId="3C67AC3D" w14:textId="77777777" w:rsidR="002506DC" w:rsidRDefault="002506DC" w:rsidP="002506DC">
      <w:pPr>
        <w:spacing w:line="250" w:lineRule="exact"/>
        <w:jc w:val="center"/>
        <w:rPr>
          <w:color w:val="0070C0"/>
          <w:sz w:val="22"/>
          <w:szCs w:val="22"/>
        </w:rPr>
      </w:pPr>
    </w:p>
    <w:p w14:paraId="028A5361" w14:textId="77777777" w:rsidR="002506DC" w:rsidRDefault="002506DC" w:rsidP="002506DC">
      <w:pPr>
        <w:spacing w:line="250" w:lineRule="exact"/>
        <w:jc w:val="center"/>
        <w:rPr>
          <w:color w:val="0070C0"/>
          <w:sz w:val="22"/>
          <w:szCs w:val="22"/>
        </w:rPr>
      </w:pPr>
    </w:p>
    <w:p w14:paraId="0C721728" w14:textId="77777777" w:rsidR="002506DC" w:rsidRDefault="002506DC" w:rsidP="002506DC">
      <w:pPr>
        <w:spacing w:line="250" w:lineRule="exact"/>
        <w:jc w:val="center"/>
        <w:rPr>
          <w:color w:val="0070C0"/>
          <w:sz w:val="22"/>
          <w:szCs w:val="22"/>
        </w:rPr>
      </w:pPr>
    </w:p>
    <w:p w14:paraId="5EE74D83" w14:textId="77777777" w:rsidR="002506DC" w:rsidRDefault="002506DC" w:rsidP="002506DC">
      <w:pPr>
        <w:spacing w:line="250" w:lineRule="exact"/>
        <w:jc w:val="center"/>
        <w:rPr>
          <w:color w:val="0070C0"/>
          <w:sz w:val="22"/>
          <w:szCs w:val="22"/>
        </w:rPr>
      </w:pPr>
    </w:p>
    <w:p w14:paraId="04AE79F8" w14:textId="77777777" w:rsidR="002506DC" w:rsidRDefault="002506DC" w:rsidP="002506DC">
      <w:pPr>
        <w:spacing w:line="250" w:lineRule="exact"/>
        <w:jc w:val="center"/>
        <w:rPr>
          <w:color w:val="0070C0"/>
          <w:sz w:val="22"/>
          <w:szCs w:val="22"/>
        </w:rPr>
      </w:pPr>
    </w:p>
    <w:p w14:paraId="2845C6DB" w14:textId="77777777" w:rsidR="002506DC" w:rsidRDefault="002506DC" w:rsidP="002506DC">
      <w:pPr>
        <w:spacing w:line="250" w:lineRule="exact"/>
        <w:jc w:val="center"/>
        <w:rPr>
          <w:color w:val="0070C0"/>
          <w:sz w:val="22"/>
          <w:szCs w:val="22"/>
        </w:rPr>
      </w:pPr>
    </w:p>
    <w:p w14:paraId="1D175AB9" w14:textId="77777777" w:rsidR="002506DC" w:rsidRDefault="002506DC" w:rsidP="002506DC">
      <w:pPr>
        <w:spacing w:line="250" w:lineRule="exact"/>
        <w:jc w:val="center"/>
        <w:rPr>
          <w:color w:val="0070C0"/>
          <w:sz w:val="22"/>
          <w:szCs w:val="22"/>
        </w:rPr>
      </w:pPr>
    </w:p>
    <w:p w14:paraId="3455495C" w14:textId="77777777" w:rsidR="002506DC" w:rsidRDefault="002506DC" w:rsidP="002506DC">
      <w:pPr>
        <w:spacing w:line="250" w:lineRule="exact"/>
        <w:jc w:val="center"/>
        <w:rPr>
          <w:color w:val="0070C0"/>
          <w:sz w:val="22"/>
          <w:szCs w:val="22"/>
        </w:rPr>
      </w:pPr>
    </w:p>
    <w:p w14:paraId="6992A962" w14:textId="77777777" w:rsidR="002506DC" w:rsidRDefault="002506DC" w:rsidP="002506DC">
      <w:pPr>
        <w:spacing w:line="250" w:lineRule="exact"/>
        <w:jc w:val="center"/>
        <w:rPr>
          <w:color w:val="0070C0"/>
          <w:sz w:val="22"/>
          <w:szCs w:val="22"/>
        </w:rPr>
      </w:pPr>
    </w:p>
    <w:p w14:paraId="5250D24F" w14:textId="77777777" w:rsidR="002506DC" w:rsidRDefault="002506DC" w:rsidP="002506DC">
      <w:pPr>
        <w:spacing w:line="250" w:lineRule="exact"/>
        <w:jc w:val="center"/>
        <w:rPr>
          <w:color w:val="0070C0"/>
          <w:sz w:val="22"/>
          <w:szCs w:val="22"/>
        </w:rPr>
      </w:pPr>
    </w:p>
    <w:p w14:paraId="18A6E713" w14:textId="77777777" w:rsidR="002506DC" w:rsidRDefault="002506DC" w:rsidP="002506DC">
      <w:pPr>
        <w:spacing w:line="250" w:lineRule="exact"/>
        <w:jc w:val="center"/>
        <w:rPr>
          <w:color w:val="0070C0"/>
          <w:sz w:val="22"/>
          <w:szCs w:val="22"/>
        </w:rPr>
      </w:pPr>
    </w:p>
    <w:p w14:paraId="2B89FCA1" w14:textId="77777777" w:rsidR="002506DC" w:rsidRDefault="002506DC" w:rsidP="002506DC">
      <w:pPr>
        <w:spacing w:line="250" w:lineRule="exact"/>
        <w:jc w:val="center"/>
        <w:rPr>
          <w:color w:val="0070C0"/>
          <w:sz w:val="22"/>
          <w:szCs w:val="22"/>
        </w:rPr>
      </w:pPr>
    </w:p>
    <w:p w14:paraId="038EDE27" w14:textId="77777777" w:rsidR="002506DC" w:rsidRPr="00202B3B" w:rsidRDefault="002506DC" w:rsidP="002506DC">
      <w:pPr>
        <w:spacing w:line="250" w:lineRule="exact"/>
        <w:jc w:val="center"/>
        <w:rPr>
          <w:color w:val="0070C0"/>
          <w:sz w:val="22"/>
          <w:szCs w:val="22"/>
        </w:rPr>
      </w:pPr>
    </w:p>
    <w:p w14:paraId="3BB57CA0" w14:textId="77777777" w:rsidR="002506DC" w:rsidRDefault="002506DC" w:rsidP="003E4446">
      <w:pPr>
        <w:spacing w:line="250" w:lineRule="exact"/>
        <w:jc w:val="center"/>
        <w:rPr>
          <w:sz w:val="22"/>
          <w:szCs w:val="22"/>
        </w:rPr>
      </w:pPr>
    </w:p>
    <w:p w14:paraId="506D7E39" w14:textId="77777777" w:rsidR="002506DC" w:rsidRDefault="002506DC" w:rsidP="003E4446">
      <w:pPr>
        <w:spacing w:line="250" w:lineRule="exact"/>
        <w:jc w:val="center"/>
        <w:rPr>
          <w:sz w:val="22"/>
          <w:szCs w:val="22"/>
        </w:rPr>
      </w:pPr>
    </w:p>
    <w:p w14:paraId="5A503EA2" w14:textId="3C7ADC98" w:rsidR="00975648" w:rsidRPr="00C418FF" w:rsidRDefault="00436174" w:rsidP="003E4446">
      <w:pPr>
        <w:spacing w:line="250" w:lineRule="exact"/>
        <w:jc w:val="center"/>
        <w:rPr>
          <w:sz w:val="22"/>
          <w:szCs w:val="22"/>
        </w:rPr>
      </w:pPr>
      <w:r w:rsidRPr="00C418FF">
        <w:rPr>
          <w:sz w:val="22"/>
          <w:szCs w:val="22"/>
        </w:rPr>
        <w:lastRenderedPageBreak/>
        <w:t xml:space="preserve">ESTADO FINANCIERO DE LA RED INTERAMERICANA PARA LA ADMINISTRACION LABORAL (RIAL) A </w:t>
      </w:r>
      <w:r w:rsidR="001E1A83" w:rsidRPr="00C418FF">
        <w:rPr>
          <w:sz w:val="22"/>
          <w:szCs w:val="22"/>
        </w:rPr>
        <w:t xml:space="preserve">ENERO DE </w:t>
      </w:r>
      <w:r w:rsidR="006B10E9" w:rsidRPr="00C418FF">
        <w:rPr>
          <w:sz w:val="22"/>
          <w:szCs w:val="22"/>
        </w:rPr>
        <w:t>202</w:t>
      </w:r>
      <w:r w:rsidR="00202B3B" w:rsidRPr="00C418FF">
        <w:rPr>
          <w:sz w:val="22"/>
          <w:szCs w:val="22"/>
        </w:rPr>
        <w:t>3</w:t>
      </w:r>
    </w:p>
    <w:p w14:paraId="3AA99CBA" w14:textId="77777777" w:rsidR="00DC706C" w:rsidRPr="00C418FF" w:rsidRDefault="00DC706C" w:rsidP="00975648">
      <w:pPr>
        <w:spacing w:line="250" w:lineRule="exact"/>
        <w:jc w:val="center"/>
        <w:rPr>
          <w:sz w:val="22"/>
          <w:szCs w:val="22"/>
        </w:rPr>
      </w:pPr>
    </w:p>
    <w:p w14:paraId="537FAA49" w14:textId="52B3481C" w:rsidR="00975648" w:rsidRPr="00C418FF" w:rsidRDefault="0060626C" w:rsidP="00975648">
      <w:pPr>
        <w:spacing w:line="250" w:lineRule="exact"/>
        <w:jc w:val="center"/>
        <w:rPr>
          <w:sz w:val="22"/>
          <w:szCs w:val="22"/>
        </w:rPr>
      </w:pPr>
      <w:r w:rsidRPr="00C418FF">
        <w:rPr>
          <w:sz w:val="22"/>
          <w:szCs w:val="22"/>
        </w:rPr>
        <w:t xml:space="preserve">(Actualizado: </w:t>
      </w:r>
      <w:r w:rsidR="008925ED" w:rsidRPr="00C418FF">
        <w:rPr>
          <w:sz w:val="22"/>
          <w:szCs w:val="22"/>
        </w:rPr>
        <w:t>17 de septiembre</w:t>
      </w:r>
      <w:r w:rsidR="001E1A83" w:rsidRPr="00C418FF">
        <w:rPr>
          <w:sz w:val="22"/>
          <w:szCs w:val="22"/>
        </w:rPr>
        <w:t>, 202</w:t>
      </w:r>
      <w:r w:rsidR="00202B3B" w:rsidRPr="00C418FF">
        <w:rPr>
          <w:sz w:val="22"/>
          <w:szCs w:val="22"/>
        </w:rPr>
        <w:t>3</w:t>
      </w:r>
      <w:r w:rsidR="00FA5AFF" w:rsidRPr="00C418FF">
        <w:rPr>
          <w:sz w:val="22"/>
          <w:szCs w:val="22"/>
        </w:rPr>
        <w:t xml:space="preserve"> </w:t>
      </w:r>
      <w:r w:rsidR="00DF7CDA" w:rsidRPr="00C418FF">
        <w:rPr>
          <w:sz w:val="22"/>
          <w:szCs w:val="22"/>
        </w:rPr>
        <w:t>– Todos los montos reportados están en dólares estadounidenses</w:t>
      </w:r>
      <w:r w:rsidR="00975648" w:rsidRPr="00C418FF">
        <w:rPr>
          <w:sz w:val="22"/>
          <w:szCs w:val="22"/>
        </w:rPr>
        <w:t>)</w:t>
      </w:r>
    </w:p>
    <w:p w14:paraId="63B49FC3" w14:textId="77777777" w:rsidR="00975648" w:rsidRPr="000A3D3D" w:rsidRDefault="00975648" w:rsidP="00975648">
      <w:pPr>
        <w:spacing w:line="250" w:lineRule="exact"/>
        <w:jc w:val="both"/>
        <w:rPr>
          <w:sz w:val="22"/>
          <w:szCs w:val="22"/>
        </w:rPr>
      </w:pPr>
    </w:p>
    <w:p w14:paraId="2361F59A" w14:textId="77777777" w:rsidR="00F271BA" w:rsidRPr="000A3D3D" w:rsidRDefault="00F271BA" w:rsidP="00975648">
      <w:pPr>
        <w:spacing w:line="250" w:lineRule="exact"/>
        <w:jc w:val="both"/>
        <w:rPr>
          <w:sz w:val="22"/>
          <w:szCs w:val="22"/>
        </w:rPr>
      </w:pPr>
    </w:p>
    <w:p w14:paraId="0017CECB" w14:textId="77777777" w:rsidR="00975648" w:rsidRPr="000A3D3D" w:rsidRDefault="00975648" w:rsidP="00975648">
      <w:pPr>
        <w:spacing w:line="250" w:lineRule="exact"/>
        <w:jc w:val="both"/>
        <w:rPr>
          <w:b/>
          <w:sz w:val="22"/>
          <w:szCs w:val="22"/>
        </w:rPr>
      </w:pPr>
      <w:r w:rsidRPr="000A3D3D">
        <w:rPr>
          <w:b/>
          <w:sz w:val="22"/>
          <w:szCs w:val="22"/>
        </w:rPr>
        <w:t>CONTENIDO</w:t>
      </w:r>
    </w:p>
    <w:p w14:paraId="2C64FDEA" w14:textId="3632FB2C" w:rsidR="00975648" w:rsidRPr="000A3D3D" w:rsidRDefault="00975648" w:rsidP="00975648">
      <w:pPr>
        <w:numPr>
          <w:ilvl w:val="0"/>
          <w:numId w:val="1"/>
        </w:numPr>
        <w:tabs>
          <w:tab w:val="clear" w:pos="1080"/>
          <w:tab w:val="num" w:pos="360"/>
        </w:tabs>
        <w:spacing w:line="250" w:lineRule="exact"/>
        <w:ind w:left="360" w:hanging="360"/>
        <w:jc w:val="both"/>
        <w:rPr>
          <w:bCs/>
          <w:sz w:val="22"/>
          <w:szCs w:val="22"/>
        </w:rPr>
      </w:pPr>
      <w:r w:rsidRPr="000A3D3D">
        <w:rPr>
          <w:bCs/>
          <w:sz w:val="22"/>
          <w:szCs w:val="22"/>
        </w:rPr>
        <w:t>Resumen ………………………………………………………………………………</w:t>
      </w:r>
      <w:r w:rsidR="00124987" w:rsidRPr="000A3D3D">
        <w:rPr>
          <w:bCs/>
          <w:sz w:val="22"/>
          <w:szCs w:val="22"/>
        </w:rPr>
        <w:t>…</w:t>
      </w:r>
      <w:r w:rsidRPr="000A3D3D">
        <w:rPr>
          <w:bCs/>
          <w:sz w:val="22"/>
          <w:szCs w:val="22"/>
        </w:rPr>
        <w:t>…</w:t>
      </w:r>
      <w:r w:rsidRPr="000A3D3D">
        <w:rPr>
          <w:bCs/>
          <w:sz w:val="22"/>
          <w:szCs w:val="22"/>
        </w:rPr>
        <w:tab/>
      </w:r>
      <w:r w:rsidR="00B9520D" w:rsidRPr="000A3D3D">
        <w:rPr>
          <w:bCs/>
          <w:sz w:val="22"/>
          <w:szCs w:val="22"/>
        </w:rPr>
        <w:t>2</w:t>
      </w:r>
    </w:p>
    <w:p w14:paraId="396DCE61" w14:textId="48A3A3FB" w:rsidR="00975648" w:rsidRPr="000A3D3D" w:rsidRDefault="00975648" w:rsidP="00975648">
      <w:pPr>
        <w:numPr>
          <w:ilvl w:val="0"/>
          <w:numId w:val="1"/>
        </w:numPr>
        <w:tabs>
          <w:tab w:val="clear" w:pos="1080"/>
          <w:tab w:val="num" w:pos="360"/>
        </w:tabs>
        <w:spacing w:line="250" w:lineRule="exact"/>
        <w:ind w:left="360" w:hanging="360"/>
        <w:jc w:val="both"/>
        <w:rPr>
          <w:bCs/>
          <w:sz w:val="22"/>
          <w:szCs w:val="22"/>
        </w:rPr>
      </w:pPr>
      <w:r w:rsidRPr="000A3D3D">
        <w:rPr>
          <w:bCs/>
          <w:sz w:val="22"/>
          <w:szCs w:val="22"/>
        </w:rPr>
        <w:t>Contribuciones …………………</w:t>
      </w:r>
      <w:r w:rsidR="00124987" w:rsidRPr="000A3D3D">
        <w:rPr>
          <w:bCs/>
          <w:sz w:val="22"/>
          <w:szCs w:val="22"/>
        </w:rPr>
        <w:t>…</w:t>
      </w:r>
      <w:r w:rsidRPr="000A3D3D">
        <w:rPr>
          <w:bCs/>
          <w:sz w:val="22"/>
          <w:szCs w:val="22"/>
        </w:rPr>
        <w:t>………………………………………………………</w:t>
      </w:r>
      <w:r w:rsidR="00124987" w:rsidRPr="000A3D3D">
        <w:rPr>
          <w:bCs/>
          <w:sz w:val="22"/>
          <w:szCs w:val="22"/>
        </w:rPr>
        <w:t>…</w:t>
      </w:r>
      <w:r w:rsidRPr="000A3D3D">
        <w:rPr>
          <w:bCs/>
          <w:sz w:val="22"/>
          <w:szCs w:val="22"/>
        </w:rPr>
        <w:t>…</w:t>
      </w:r>
      <w:r w:rsidRPr="000A3D3D">
        <w:rPr>
          <w:bCs/>
          <w:sz w:val="22"/>
          <w:szCs w:val="22"/>
        </w:rPr>
        <w:tab/>
      </w:r>
      <w:r w:rsidR="00B9520D" w:rsidRPr="000A3D3D">
        <w:rPr>
          <w:bCs/>
          <w:sz w:val="22"/>
          <w:szCs w:val="22"/>
        </w:rPr>
        <w:t>3</w:t>
      </w:r>
    </w:p>
    <w:p w14:paraId="44933495" w14:textId="19ECB408" w:rsidR="00975648" w:rsidRPr="000A3D3D" w:rsidRDefault="00975648" w:rsidP="00975648">
      <w:pPr>
        <w:numPr>
          <w:ilvl w:val="0"/>
          <w:numId w:val="1"/>
        </w:numPr>
        <w:tabs>
          <w:tab w:val="clear" w:pos="1080"/>
          <w:tab w:val="num" w:pos="360"/>
        </w:tabs>
        <w:spacing w:line="250" w:lineRule="exact"/>
        <w:ind w:left="360" w:hanging="360"/>
        <w:jc w:val="both"/>
        <w:rPr>
          <w:bCs/>
          <w:sz w:val="22"/>
          <w:szCs w:val="22"/>
        </w:rPr>
      </w:pPr>
      <w:r w:rsidRPr="000A3D3D">
        <w:rPr>
          <w:bCs/>
          <w:sz w:val="22"/>
          <w:szCs w:val="22"/>
        </w:rPr>
        <w:t>Gastos …………………………………</w:t>
      </w:r>
      <w:r w:rsidR="00C36B13" w:rsidRPr="000A3D3D">
        <w:rPr>
          <w:bCs/>
          <w:sz w:val="22"/>
          <w:szCs w:val="22"/>
        </w:rPr>
        <w:t>……..</w:t>
      </w:r>
      <w:r w:rsidRPr="000A3D3D">
        <w:rPr>
          <w:bCs/>
          <w:sz w:val="22"/>
          <w:szCs w:val="22"/>
        </w:rPr>
        <w:t>………………………………………………</w:t>
      </w:r>
      <w:r w:rsidR="00124987" w:rsidRPr="000A3D3D">
        <w:rPr>
          <w:bCs/>
          <w:sz w:val="22"/>
          <w:szCs w:val="22"/>
        </w:rPr>
        <w:t>…</w:t>
      </w:r>
      <w:r w:rsidR="00D976A1" w:rsidRPr="000A3D3D">
        <w:rPr>
          <w:bCs/>
          <w:sz w:val="22"/>
          <w:szCs w:val="22"/>
        </w:rPr>
        <w:tab/>
      </w:r>
      <w:r w:rsidR="00B31940" w:rsidRPr="000A3D3D">
        <w:rPr>
          <w:bCs/>
          <w:sz w:val="22"/>
          <w:szCs w:val="22"/>
        </w:rPr>
        <w:t>5</w:t>
      </w:r>
    </w:p>
    <w:p w14:paraId="5E550DB2" w14:textId="6AD7D76E" w:rsidR="00032D00" w:rsidRPr="000A3D3D" w:rsidRDefault="00032D00" w:rsidP="00032D00">
      <w:pPr>
        <w:numPr>
          <w:ilvl w:val="0"/>
          <w:numId w:val="1"/>
        </w:numPr>
        <w:tabs>
          <w:tab w:val="clear" w:pos="1080"/>
          <w:tab w:val="num" w:pos="360"/>
        </w:tabs>
        <w:spacing w:line="250" w:lineRule="exact"/>
        <w:ind w:left="360" w:hanging="360"/>
        <w:jc w:val="both"/>
        <w:rPr>
          <w:bCs/>
          <w:sz w:val="22"/>
          <w:szCs w:val="22"/>
        </w:rPr>
      </w:pPr>
      <w:r w:rsidRPr="000A3D3D">
        <w:rPr>
          <w:bCs/>
          <w:sz w:val="22"/>
          <w:szCs w:val="22"/>
        </w:rPr>
        <w:t xml:space="preserve">Recursos </w:t>
      </w:r>
      <w:r w:rsidR="00995B4E" w:rsidRPr="000A3D3D">
        <w:rPr>
          <w:bCs/>
          <w:sz w:val="22"/>
          <w:szCs w:val="22"/>
        </w:rPr>
        <w:t>presupuestados</w:t>
      </w:r>
      <w:r w:rsidRPr="000A3D3D">
        <w:rPr>
          <w:bCs/>
          <w:sz w:val="22"/>
          <w:szCs w:val="22"/>
        </w:rPr>
        <w:t xml:space="preserve"> </w:t>
      </w:r>
      <w:r w:rsidR="00D976A1" w:rsidRPr="000A3D3D">
        <w:rPr>
          <w:bCs/>
          <w:sz w:val="22"/>
          <w:szCs w:val="22"/>
        </w:rPr>
        <w:t>……………………………………………………………………</w:t>
      </w:r>
      <w:r w:rsidR="00C36B13" w:rsidRPr="000A3D3D">
        <w:rPr>
          <w:bCs/>
          <w:sz w:val="22"/>
          <w:szCs w:val="22"/>
        </w:rPr>
        <w:t>….</w:t>
      </w:r>
      <w:r w:rsidR="00D976A1" w:rsidRPr="000A3D3D">
        <w:rPr>
          <w:bCs/>
          <w:sz w:val="22"/>
          <w:szCs w:val="22"/>
        </w:rPr>
        <w:tab/>
      </w:r>
      <w:r w:rsidR="00B31940" w:rsidRPr="000A3D3D">
        <w:rPr>
          <w:bCs/>
          <w:sz w:val="22"/>
          <w:szCs w:val="22"/>
        </w:rPr>
        <w:t>8</w:t>
      </w:r>
    </w:p>
    <w:p w14:paraId="7FFB5022" w14:textId="06D54FA6" w:rsidR="00975648" w:rsidRPr="000A3D3D" w:rsidRDefault="00975648" w:rsidP="00975648">
      <w:pPr>
        <w:numPr>
          <w:ilvl w:val="0"/>
          <w:numId w:val="1"/>
        </w:numPr>
        <w:tabs>
          <w:tab w:val="clear" w:pos="1080"/>
          <w:tab w:val="num" w:pos="360"/>
        </w:tabs>
        <w:spacing w:line="250" w:lineRule="exact"/>
        <w:ind w:left="360" w:hanging="360"/>
        <w:jc w:val="both"/>
        <w:rPr>
          <w:bCs/>
          <w:sz w:val="22"/>
          <w:szCs w:val="22"/>
        </w:rPr>
      </w:pPr>
      <w:r w:rsidRPr="000A3D3D">
        <w:rPr>
          <w:bCs/>
          <w:sz w:val="22"/>
          <w:szCs w:val="22"/>
        </w:rPr>
        <w:t xml:space="preserve">Perspectivas y </w:t>
      </w:r>
      <w:r w:rsidR="00BE344D" w:rsidRPr="000A3D3D">
        <w:rPr>
          <w:bCs/>
          <w:sz w:val="22"/>
          <w:szCs w:val="22"/>
        </w:rPr>
        <w:t xml:space="preserve"> </w:t>
      </w:r>
      <w:r w:rsidRPr="000A3D3D">
        <w:rPr>
          <w:bCs/>
          <w:sz w:val="22"/>
          <w:szCs w:val="22"/>
        </w:rPr>
        <w:t>recursos disponibles …………………</w:t>
      </w:r>
      <w:r w:rsidR="00BE344D" w:rsidRPr="000A3D3D">
        <w:rPr>
          <w:bCs/>
          <w:sz w:val="22"/>
          <w:szCs w:val="22"/>
        </w:rPr>
        <w:t>……………………</w:t>
      </w:r>
      <w:r w:rsidRPr="000A3D3D">
        <w:rPr>
          <w:bCs/>
          <w:sz w:val="22"/>
          <w:szCs w:val="22"/>
        </w:rPr>
        <w:t>…………………</w:t>
      </w:r>
      <w:r w:rsidRPr="000A3D3D">
        <w:rPr>
          <w:bCs/>
          <w:sz w:val="22"/>
          <w:szCs w:val="22"/>
        </w:rPr>
        <w:tab/>
      </w:r>
      <w:r w:rsidR="007F7B6B" w:rsidRPr="000A3D3D">
        <w:rPr>
          <w:bCs/>
          <w:sz w:val="22"/>
          <w:szCs w:val="22"/>
        </w:rPr>
        <w:t>9</w:t>
      </w:r>
    </w:p>
    <w:p w14:paraId="673E2CD3" w14:textId="4C2AB674" w:rsidR="00975648" w:rsidRPr="00C418FF" w:rsidRDefault="00975648" w:rsidP="00975648">
      <w:pPr>
        <w:spacing w:line="250" w:lineRule="exact"/>
        <w:jc w:val="both"/>
        <w:rPr>
          <w:bCs/>
          <w:sz w:val="22"/>
          <w:szCs w:val="22"/>
        </w:rPr>
      </w:pPr>
      <w:r w:rsidRPr="00C418FF">
        <w:rPr>
          <w:bCs/>
          <w:sz w:val="22"/>
          <w:szCs w:val="22"/>
        </w:rPr>
        <w:t>Anexo 1 - Periodo 2006-2010…</w:t>
      </w:r>
      <w:r w:rsidR="00D976A1" w:rsidRPr="00C418FF">
        <w:rPr>
          <w:bCs/>
          <w:sz w:val="22"/>
          <w:szCs w:val="22"/>
        </w:rPr>
        <w:t>……………………………………………………………………</w:t>
      </w:r>
      <w:r w:rsidR="00D976A1" w:rsidRPr="00C418FF">
        <w:rPr>
          <w:bCs/>
          <w:sz w:val="22"/>
          <w:szCs w:val="22"/>
        </w:rPr>
        <w:tab/>
      </w:r>
      <w:r w:rsidR="007F7B6B" w:rsidRPr="00C418FF">
        <w:rPr>
          <w:bCs/>
          <w:sz w:val="22"/>
          <w:szCs w:val="22"/>
        </w:rPr>
        <w:t>10</w:t>
      </w:r>
    </w:p>
    <w:p w14:paraId="574A79E3" w14:textId="0D30CEDA" w:rsidR="00975648" w:rsidRPr="00C418FF" w:rsidRDefault="00975648" w:rsidP="00975648">
      <w:pPr>
        <w:spacing w:line="250" w:lineRule="exact"/>
        <w:jc w:val="both"/>
        <w:rPr>
          <w:bCs/>
          <w:sz w:val="22"/>
          <w:szCs w:val="22"/>
        </w:rPr>
      </w:pPr>
      <w:r w:rsidRPr="00C418FF">
        <w:rPr>
          <w:bCs/>
          <w:sz w:val="22"/>
          <w:szCs w:val="22"/>
        </w:rPr>
        <w:t xml:space="preserve">Anexo 2 – Detalle de gastos 2011 a </w:t>
      </w:r>
      <w:r w:rsidR="006E7369" w:rsidRPr="00C418FF">
        <w:rPr>
          <w:bCs/>
          <w:sz w:val="22"/>
          <w:szCs w:val="22"/>
        </w:rPr>
        <w:t>septiembre</w:t>
      </w:r>
      <w:r w:rsidR="001E1A83" w:rsidRPr="00C418FF">
        <w:rPr>
          <w:bCs/>
          <w:sz w:val="22"/>
          <w:szCs w:val="22"/>
        </w:rPr>
        <w:t xml:space="preserve"> </w:t>
      </w:r>
      <w:r w:rsidR="00C268CA" w:rsidRPr="00C418FF">
        <w:rPr>
          <w:bCs/>
          <w:sz w:val="22"/>
          <w:szCs w:val="22"/>
        </w:rPr>
        <w:t>2023</w:t>
      </w:r>
      <w:r w:rsidRPr="00C418FF">
        <w:rPr>
          <w:bCs/>
          <w:sz w:val="22"/>
          <w:szCs w:val="22"/>
        </w:rPr>
        <w:t xml:space="preserve"> s</w:t>
      </w:r>
      <w:r w:rsidR="00124987" w:rsidRPr="00C418FF">
        <w:rPr>
          <w:bCs/>
          <w:sz w:val="22"/>
          <w:szCs w:val="22"/>
        </w:rPr>
        <w:t xml:space="preserve">egún fuente </w:t>
      </w:r>
      <w:r w:rsidR="00D976A1" w:rsidRPr="00C418FF">
        <w:rPr>
          <w:bCs/>
          <w:sz w:val="22"/>
          <w:szCs w:val="22"/>
        </w:rPr>
        <w:t>………</w:t>
      </w:r>
      <w:r w:rsidR="006E7369" w:rsidRPr="00C418FF">
        <w:rPr>
          <w:bCs/>
          <w:sz w:val="22"/>
          <w:szCs w:val="22"/>
        </w:rPr>
        <w:t>.</w:t>
      </w:r>
      <w:r w:rsidR="001E1A83" w:rsidRPr="00C418FF">
        <w:rPr>
          <w:bCs/>
          <w:sz w:val="22"/>
          <w:szCs w:val="22"/>
        </w:rPr>
        <w:t>…..</w:t>
      </w:r>
      <w:r w:rsidR="00D976A1" w:rsidRPr="00C418FF">
        <w:rPr>
          <w:bCs/>
          <w:sz w:val="22"/>
          <w:szCs w:val="22"/>
        </w:rPr>
        <w:t>…</w:t>
      </w:r>
      <w:r w:rsidR="00C914ED" w:rsidRPr="00C418FF">
        <w:rPr>
          <w:bCs/>
          <w:sz w:val="22"/>
          <w:szCs w:val="22"/>
        </w:rPr>
        <w:t>………………</w:t>
      </w:r>
      <w:r w:rsidRPr="00C418FF">
        <w:rPr>
          <w:bCs/>
          <w:sz w:val="22"/>
          <w:szCs w:val="22"/>
        </w:rPr>
        <w:tab/>
      </w:r>
      <w:r w:rsidR="007F7B6B" w:rsidRPr="00C418FF">
        <w:rPr>
          <w:bCs/>
          <w:sz w:val="22"/>
          <w:szCs w:val="22"/>
        </w:rPr>
        <w:t>11</w:t>
      </w:r>
    </w:p>
    <w:p w14:paraId="5F32CE22" w14:textId="77777777" w:rsidR="00975648" w:rsidRPr="00C418FF" w:rsidRDefault="00975648" w:rsidP="00975648">
      <w:pPr>
        <w:spacing w:line="250" w:lineRule="exact"/>
        <w:jc w:val="both"/>
        <w:rPr>
          <w:b/>
          <w:sz w:val="22"/>
          <w:szCs w:val="22"/>
        </w:rPr>
      </w:pPr>
    </w:p>
    <w:p w14:paraId="3B1AD1EF" w14:textId="77777777" w:rsidR="00F271BA" w:rsidRPr="00C418FF" w:rsidRDefault="00F271BA" w:rsidP="00975648">
      <w:pPr>
        <w:spacing w:line="250" w:lineRule="exact"/>
        <w:jc w:val="both"/>
        <w:rPr>
          <w:b/>
          <w:sz w:val="22"/>
          <w:szCs w:val="22"/>
        </w:rPr>
      </w:pPr>
    </w:p>
    <w:p w14:paraId="0EF480AA" w14:textId="77777777" w:rsidR="00975648" w:rsidRPr="00C418FF" w:rsidRDefault="00975648" w:rsidP="00975648">
      <w:pPr>
        <w:spacing w:line="250" w:lineRule="exact"/>
        <w:jc w:val="both"/>
        <w:rPr>
          <w:b/>
          <w:sz w:val="22"/>
          <w:szCs w:val="22"/>
        </w:rPr>
      </w:pPr>
      <w:r w:rsidRPr="00C418FF">
        <w:rPr>
          <w:b/>
          <w:sz w:val="22"/>
          <w:szCs w:val="22"/>
        </w:rPr>
        <w:t>I. Resumen</w:t>
      </w:r>
    </w:p>
    <w:p w14:paraId="54F8AE22" w14:textId="77777777" w:rsidR="00975648" w:rsidRPr="00C418FF" w:rsidRDefault="00975648" w:rsidP="00975648">
      <w:pPr>
        <w:spacing w:line="250" w:lineRule="exact"/>
        <w:jc w:val="both"/>
        <w:rPr>
          <w:sz w:val="22"/>
          <w:szCs w:val="22"/>
        </w:rPr>
      </w:pPr>
    </w:p>
    <w:p w14:paraId="633D26EA" w14:textId="77777777" w:rsidR="00975648" w:rsidRPr="00C418FF" w:rsidRDefault="00975648" w:rsidP="00975648">
      <w:pPr>
        <w:spacing w:line="250" w:lineRule="exact"/>
        <w:jc w:val="both"/>
        <w:rPr>
          <w:sz w:val="22"/>
          <w:szCs w:val="22"/>
        </w:rPr>
      </w:pPr>
      <w:r w:rsidRPr="00C418FF">
        <w:rPr>
          <w:sz w:val="22"/>
          <w:szCs w:val="22"/>
        </w:rPr>
        <w:t xml:space="preserve">La RIAL </w:t>
      </w:r>
      <w:r w:rsidRPr="00C418FF">
        <w:rPr>
          <w:bCs/>
          <w:sz w:val="22"/>
          <w:szCs w:val="22"/>
        </w:rPr>
        <w:t xml:space="preserve">se financia a través de un Fondo de Aportes Voluntarios, creado por decisión de la Conferencia Interamericana de Ministros de Trabajo (CIMT) y </w:t>
      </w:r>
      <w:r w:rsidRPr="00C418FF">
        <w:rPr>
          <w:sz w:val="22"/>
          <w:szCs w:val="22"/>
        </w:rPr>
        <w:t>constituido en la OEA desde 2011.  El Fondo recibe contribuciones de los Ministerios de Trabajo, según su disponibilidad y capacidad financiera, en cualquier momento del año y el aporte mínimo es de $5.000 dólares.</w:t>
      </w:r>
    </w:p>
    <w:p w14:paraId="3C0AD3AC" w14:textId="77777777" w:rsidR="00975648" w:rsidRPr="00C418FF" w:rsidRDefault="00975648" w:rsidP="00975648">
      <w:pPr>
        <w:spacing w:line="250" w:lineRule="exact"/>
        <w:jc w:val="both"/>
        <w:rPr>
          <w:sz w:val="22"/>
          <w:szCs w:val="22"/>
        </w:rPr>
      </w:pPr>
    </w:p>
    <w:p w14:paraId="06674036" w14:textId="77777777" w:rsidR="00975648" w:rsidRPr="00C418FF" w:rsidRDefault="00975648" w:rsidP="00975648">
      <w:pPr>
        <w:spacing w:line="250" w:lineRule="exact"/>
        <w:jc w:val="both"/>
        <w:rPr>
          <w:sz w:val="22"/>
          <w:szCs w:val="22"/>
        </w:rPr>
      </w:pPr>
      <w:r w:rsidRPr="00C418FF">
        <w:rPr>
          <w:sz w:val="22"/>
          <w:szCs w:val="22"/>
        </w:rPr>
        <w:t xml:space="preserve">Entre 2006 y 2010, antes de la constitución del Fondo, la RIAL se financió con una importante contribución financiera del Programa Laboral de </w:t>
      </w:r>
      <w:r w:rsidR="00064566" w:rsidRPr="00C418FF">
        <w:rPr>
          <w:sz w:val="22"/>
          <w:szCs w:val="22"/>
        </w:rPr>
        <w:t>ESDC/</w:t>
      </w:r>
      <w:r w:rsidRPr="00C418FF">
        <w:rPr>
          <w:sz w:val="22"/>
          <w:szCs w:val="22"/>
        </w:rPr>
        <w:t>Canadá, según se detalla en el Anexo 1.</w:t>
      </w:r>
    </w:p>
    <w:p w14:paraId="4216F91C" w14:textId="77777777" w:rsidR="00975648" w:rsidRPr="00C418FF" w:rsidRDefault="00975648" w:rsidP="00975648">
      <w:pPr>
        <w:spacing w:line="250" w:lineRule="exact"/>
        <w:jc w:val="both"/>
        <w:rPr>
          <w:sz w:val="22"/>
          <w:szCs w:val="22"/>
        </w:rPr>
      </w:pPr>
    </w:p>
    <w:p w14:paraId="065F886F" w14:textId="3F299032" w:rsidR="00975648" w:rsidRPr="00C418FF" w:rsidRDefault="00975648" w:rsidP="00975648">
      <w:pPr>
        <w:spacing w:line="250" w:lineRule="exact"/>
        <w:jc w:val="both"/>
        <w:rPr>
          <w:sz w:val="22"/>
          <w:szCs w:val="22"/>
        </w:rPr>
      </w:pPr>
      <w:r w:rsidRPr="00C418FF">
        <w:rPr>
          <w:sz w:val="22"/>
          <w:szCs w:val="22"/>
        </w:rPr>
        <w:t xml:space="preserve">El Fondo de Aportes Voluntarios ha recibido a la fecha </w:t>
      </w:r>
      <w:r w:rsidRPr="00C418FF">
        <w:rPr>
          <w:b/>
          <w:sz w:val="22"/>
          <w:szCs w:val="22"/>
        </w:rPr>
        <w:t>$</w:t>
      </w:r>
      <w:r w:rsidR="00DD646F" w:rsidRPr="00C418FF">
        <w:rPr>
          <w:b/>
          <w:sz w:val="22"/>
          <w:szCs w:val="22"/>
        </w:rPr>
        <w:t>1.</w:t>
      </w:r>
      <w:r w:rsidR="001D6A1F" w:rsidRPr="00C418FF">
        <w:rPr>
          <w:b/>
          <w:sz w:val="22"/>
          <w:szCs w:val="22"/>
        </w:rPr>
        <w:t>12</w:t>
      </w:r>
      <w:r w:rsidR="00DD646F" w:rsidRPr="00C418FF">
        <w:rPr>
          <w:b/>
          <w:sz w:val="22"/>
          <w:szCs w:val="22"/>
        </w:rPr>
        <w:t>6.1</w:t>
      </w:r>
      <w:r w:rsidR="001D6A1F" w:rsidRPr="00C418FF">
        <w:rPr>
          <w:b/>
          <w:sz w:val="22"/>
          <w:szCs w:val="22"/>
        </w:rPr>
        <w:t>1</w:t>
      </w:r>
      <w:r w:rsidR="000B3992" w:rsidRPr="00C418FF">
        <w:rPr>
          <w:b/>
          <w:sz w:val="22"/>
          <w:szCs w:val="22"/>
        </w:rPr>
        <w:t>2</w:t>
      </w:r>
      <w:r w:rsidRPr="00C418FF">
        <w:rPr>
          <w:b/>
          <w:sz w:val="22"/>
          <w:szCs w:val="22"/>
        </w:rPr>
        <w:t xml:space="preserve"> dólares</w:t>
      </w:r>
      <w:r w:rsidRPr="00C418FF">
        <w:rPr>
          <w:sz w:val="22"/>
          <w:szCs w:val="22"/>
        </w:rPr>
        <w:t xml:space="preserve">, de los cuales </w:t>
      </w:r>
      <w:r w:rsidR="002F593E" w:rsidRPr="00C418FF">
        <w:rPr>
          <w:bCs/>
          <w:sz w:val="22"/>
          <w:szCs w:val="22"/>
        </w:rPr>
        <w:t>$</w:t>
      </w:r>
      <w:r w:rsidR="00266AB1" w:rsidRPr="00C418FF">
        <w:rPr>
          <w:bCs/>
          <w:sz w:val="22"/>
          <w:szCs w:val="22"/>
        </w:rPr>
        <w:t>773</w:t>
      </w:r>
      <w:r w:rsidR="006B10E9" w:rsidRPr="00C418FF">
        <w:rPr>
          <w:bCs/>
          <w:sz w:val="22"/>
          <w:szCs w:val="22"/>
        </w:rPr>
        <w:t>.</w:t>
      </w:r>
      <w:r w:rsidR="00253A14" w:rsidRPr="00C418FF">
        <w:rPr>
          <w:bCs/>
          <w:sz w:val="22"/>
          <w:szCs w:val="22"/>
        </w:rPr>
        <w:t>1</w:t>
      </w:r>
      <w:r w:rsidR="00266AB1" w:rsidRPr="00C418FF">
        <w:rPr>
          <w:bCs/>
          <w:sz w:val="22"/>
          <w:szCs w:val="22"/>
        </w:rPr>
        <w:t>1</w:t>
      </w:r>
      <w:r w:rsidR="00253A14" w:rsidRPr="00C418FF">
        <w:rPr>
          <w:bCs/>
          <w:sz w:val="22"/>
          <w:szCs w:val="22"/>
        </w:rPr>
        <w:t>2</w:t>
      </w:r>
      <w:r w:rsidR="002F593E" w:rsidRPr="00C418FF">
        <w:rPr>
          <w:bCs/>
          <w:sz w:val="22"/>
          <w:szCs w:val="22"/>
        </w:rPr>
        <w:t xml:space="preserve"> </w:t>
      </w:r>
      <w:r w:rsidR="000966A3" w:rsidRPr="00C418FF">
        <w:rPr>
          <w:sz w:val="22"/>
          <w:szCs w:val="22"/>
        </w:rPr>
        <w:t>provienen de 2</w:t>
      </w:r>
      <w:r w:rsidR="00E0324B" w:rsidRPr="00C418FF">
        <w:rPr>
          <w:sz w:val="22"/>
          <w:szCs w:val="22"/>
        </w:rPr>
        <w:t>2</w:t>
      </w:r>
      <w:r w:rsidRPr="00C418FF">
        <w:rPr>
          <w:sz w:val="22"/>
          <w:szCs w:val="22"/>
        </w:rPr>
        <w:t xml:space="preserve"> países y </w:t>
      </w:r>
      <w:r w:rsidR="006A6799" w:rsidRPr="00C418FF">
        <w:rPr>
          <w:sz w:val="22"/>
          <w:szCs w:val="22"/>
        </w:rPr>
        <w:t>$353</w:t>
      </w:r>
      <w:r w:rsidRPr="00C418FF">
        <w:rPr>
          <w:sz w:val="22"/>
          <w:szCs w:val="22"/>
        </w:rPr>
        <w:t>.000 del Gobier</w:t>
      </w:r>
      <w:r w:rsidR="006A6799" w:rsidRPr="00C418FF">
        <w:rPr>
          <w:sz w:val="22"/>
          <w:szCs w:val="22"/>
        </w:rPr>
        <w:t xml:space="preserve">no de Canadá. </w:t>
      </w:r>
      <w:r w:rsidR="00E027CD" w:rsidRPr="00C418FF">
        <w:rPr>
          <w:sz w:val="22"/>
          <w:szCs w:val="22"/>
        </w:rPr>
        <w:t>Dentro de los aportes al Fondo, s</w:t>
      </w:r>
      <w:r w:rsidR="00D30470" w:rsidRPr="00C418FF">
        <w:rPr>
          <w:sz w:val="22"/>
          <w:szCs w:val="22"/>
        </w:rPr>
        <w:t xml:space="preserve">e destaca una contribución de $100.000 de Estados Unidos en 2023 y </w:t>
      </w:r>
      <w:r w:rsidR="00E0324B" w:rsidRPr="00C418FF">
        <w:rPr>
          <w:sz w:val="22"/>
          <w:szCs w:val="22"/>
        </w:rPr>
        <w:t xml:space="preserve">la suma de $105.000 de Trinidad y Tobago a lo largo del tiempo. </w:t>
      </w:r>
      <w:r w:rsidRPr="00C418FF">
        <w:rPr>
          <w:sz w:val="22"/>
          <w:szCs w:val="22"/>
        </w:rPr>
        <w:t>A</w:t>
      </w:r>
      <w:r w:rsidR="007D57F2" w:rsidRPr="00C418FF">
        <w:rPr>
          <w:sz w:val="22"/>
          <w:szCs w:val="22"/>
        </w:rPr>
        <w:t xml:space="preserve"> los r</w:t>
      </w:r>
      <w:r w:rsidRPr="00C418FF">
        <w:rPr>
          <w:sz w:val="22"/>
          <w:szCs w:val="22"/>
        </w:rPr>
        <w:t xml:space="preserve">ecursos </w:t>
      </w:r>
      <w:r w:rsidR="007D57F2" w:rsidRPr="00C418FF">
        <w:rPr>
          <w:sz w:val="22"/>
          <w:szCs w:val="22"/>
        </w:rPr>
        <w:t xml:space="preserve">del Fondo </w:t>
      </w:r>
      <w:r w:rsidRPr="00C418FF">
        <w:rPr>
          <w:sz w:val="22"/>
          <w:szCs w:val="22"/>
        </w:rPr>
        <w:t xml:space="preserve">se suma una cofinanciación de aproximadamente </w:t>
      </w:r>
      <w:r w:rsidR="000966A3" w:rsidRPr="00C418FF">
        <w:rPr>
          <w:b/>
          <w:sz w:val="22"/>
          <w:szCs w:val="22"/>
        </w:rPr>
        <w:t>$</w:t>
      </w:r>
      <w:r w:rsidR="000B3992" w:rsidRPr="00C418FF">
        <w:rPr>
          <w:b/>
          <w:sz w:val="22"/>
          <w:szCs w:val="22"/>
        </w:rPr>
        <w:t>4</w:t>
      </w:r>
      <w:r w:rsidR="00163484" w:rsidRPr="00C418FF">
        <w:rPr>
          <w:b/>
          <w:sz w:val="22"/>
          <w:szCs w:val="22"/>
        </w:rPr>
        <w:t>22</w:t>
      </w:r>
      <w:r w:rsidRPr="00C418FF">
        <w:rPr>
          <w:b/>
          <w:sz w:val="22"/>
          <w:szCs w:val="22"/>
        </w:rPr>
        <w:t>.000</w:t>
      </w:r>
      <w:r w:rsidRPr="00C418FF">
        <w:rPr>
          <w:sz w:val="22"/>
          <w:szCs w:val="22"/>
        </w:rPr>
        <w:t xml:space="preserve">, para un presupuesto total de </w:t>
      </w:r>
      <w:r w:rsidR="000966A3" w:rsidRPr="00C418FF">
        <w:rPr>
          <w:b/>
          <w:sz w:val="22"/>
          <w:szCs w:val="22"/>
        </w:rPr>
        <w:t>$</w:t>
      </w:r>
      <w:r w:rsidR="00B62622" w:rsidRPr="00C418FF">
        <w:rPr>
          <w:b/>
          <w:sz w:val="22"/>
          <w:szCs w:val="22"/>
        </w:rPr>
        <w:t>1</w:t>
      </w:r>
      <w:r w:rsidR="00247332" w:rsidRPr="00C418FF">
        <w:rPr>
          <w:b/>
          <w:sz w:val="22"/>
          <w:szCs w:val="22"/>
        </w:rPr>
        <w:t>.</w:t>
      </w:r>
      <w:r w:rsidR="00163484" w:rsidRPr="00C418FF">
        <w:rPr>
          <w:b/>
          <w:sz w:val="22"/>
          <w:szCs w:val="22"/>
        </w:rPr>
        <w:t>548.11</w:t>
      </w:r>
      <w:r w:rsidR="000B3992" w:rsidRPr="00C418FF">
        <w:rPr>
          <w:b/>
          <w:sz w:val="22"/>
          <w:szCs w:val="22"/>
        </w:rPr>
        <w:t>2</w:t>
      </w:r>
      <w:r w:rsidRPr="00C418FF">
        <w:rPr>
          <w:sz w:val="22"/>
          <w:szCs w:val="22"/>
        </w:rPr>
        <w:t>.</w:t>
      </w:r>
    </w:p>
    <w:p w14:paraId="1A01B4F6" w14:textId="77777777" w:rsidR="00975648" w:rsidRPr="00C418FF" w:rsidRDefault="00975648" w:rsidP="00975648">
      <w:pPr>
        <w:spacing w:line="250" w:lineRule="exact"/>
        <w:jc w:val="both"/>
        <w:rPr>
          <w:sz w:val="22"/>
          <w:szCs w:val="22"/>
        </w:rPr>
      </w:pPr>
    </w:p>
    <w:p w14:paraId="4E880268" w14:textId="04DDAB26" w:rsidR="00975648" w:rsidRPr="00C418FF" w:rsidRDefault="00975648" w:rsidP="00975648">
      <w:pPr>
        <w:spacing w:line="250" w:lineRule="exact"/>
        <w:jc w:val="both"/>
        <w:rPr>
          <w:sz w:val="22"/>
          <w:szCs w:val="22"/>
        </w:rPr>
      </w:pPr>
      <w:r w:rsidRPr="00C418FF">
        <w:rPr>
          <w:sz w:val="22"/>
          <w:szCs w:val="22"/>
        </w:rPr>
        <w:t>Las decisiones sobre la utilización del Fondo, según su Instructivo, se toman en las Reuniones de Planeación de la CIMT, que se realizan</w:t>
      </w:r>
      <w:r w:rsidR="00382B64" w:rsidRPr="00C418FF">
        <w:rPr>
          <w:sz w:val="22"/>
          <w:szCs w:val="22"/>
        </w:rPr>
        <w:t xml:space="preserve"> inmediatamente después de cada Conferencia</w:t>
      </w:r>
      <w:r w:rsidRPr="00C418FF">
        <w:rPr>
          <w:sz w:val="22"/>
          <w:szCs w:val="22"/>
        </w:rPr>
        <w:t xml:space="preserve"> y en las que participan los Ministeri</w:t>
      </w:r>
      <w:r w:rsidR="00836D1D" w:rsidRPr="00C418FF">
        <w:rPr>
          <w:sz w:val="22"/>
          <w:szCs w:val="22"/>
        </w:rPr>
        <w:t xml:space="preserve">os que lideran la Conferencia: </w:t>
      </w:r>
      <w:r w:rsidRPr="00C418FF">
        <w:rPr>
          <w:sz w:val="22"/>
          <w:szCs w:val="22"/>
        </w:rPr>
        <w:t xml:space="preserve">la troika (Presidentes pasado, presente y futuro) y los presidentes y vicepresidentes de los Grupos de Trabajo.  </w:t>
      </w:r>
      <w:r w:rsidR="008433E7" w:rsidRPr="00C418FF">
        <w:rPr>
          <w:sz w:val="22"/>
          <w:szCs w:val="22"/>
        </w:rPr>
        <w:t xml:space="preserve">Adicionalmente, </w:t>
      </w:r>
      <w:r w:rsidR="00041024" w:rsidRPr="00C418FF">
        <w:rPr>
          <w:sz w:val="22"/>
          <w:szCs w:val="22"/>
        </w:rPr>
        <w:t xml:space="preserve">se realizan Reuniones anuales de autoridades con el objetivo de </w:t>
      </w:r>
      <w:r w:rsidR="0090161B" w:rsidRPr="00C418FF">
        <w:rPr>
          <w:sz w:val="22"/>
          <w:szCs w:val="22"/>
        </w:rPr>
        <w:t>verificar el cumplimiento del Plan de Trabajo de la CIMT, revisar la</w:t>
      </w:r>
      <w:r w:rsidR="001B17EB" w:rsidRPr="00C418FF">
        <w:rPr>
          <w:sz w:val="22"/>
          <w:szCs w:val="22"/>
        </w:rPr>
        <w:t xml:space="preserve"> situación financiera de la RIAL y decidir sobre </w:t>
      </w:r>
      <w:r w:rsidR="002E108D" w:rsidRPr="00C418FF">
        <w:rPr>
          <w:sz w:val="22"/>
          <w:szCs w:val="22"/>
        </w:rPr>
        <w:t xml:space="preserve">el </w:t>
      </w:r>
      <w:r w:rsidR="001B17EB" w:rsidRPr="00C418FF">
        <w:rPr>
          <w:sz w:val="22"/>
          <w:szCs w:val="22"/>
        </w:rPr>
        <w:t xml:space="preserve">uso de recursos disponibles. </w:t>
      </w:r>
      <w:r w:rsidR="0085774C" w:rsidRPr="00C418FF">
        <w:rPr>
          <w:sz w:val="22"/>
          <w:szCs w:val="22"/>
        </w:rPr>
        <w:t xml:space="preserve">La última </w:t>
      </w:r>
      <w:r w:rsidR="008004B0" w:rsidRPr="00C418FF">
        <w:rPr>
          <w:sz w:val="22"/>
          <w:szCs w:val="22"/>
        </w:rPr>
        <w:t xml:space="preserve">Reunión </w:t>
      </w:r>
      <w:r w:rsidR="00C952E6" w:rsidRPr="00C418FF">
        <w:rPr>
          <w:sz w:val="22"/>
          <w:szCs w:val="22"/>
        </w:rPr>
        <w:t>virtual anual</w:t>
      </w:r>
      <w:r w:rsidR="008004B0" w:rsidRPr="00C418FF">
        <w:rPr>
          <w:sz w:val="22"/>
          <w:szCs w:val="22"/>
        </w:rPr>
        <w:t xml:space="preserve"> </w:t>
      </w:r>
      <w:r w:rsidR="0085774C" w:rsidRPr="00C418FF">
        <w:rPr>
          <w:sz w:val="22"/>
          <w:szCs w:val="22"/>
        </w:rPr>
        <w:t xml:space="preserve">de </w:t>
      </w:r>
      <w:r w:rsidR="008004B0" w:rsidRPr="00C418FF">
        <w:rPr>
          <w:sz w:val="22"/>
          <w:szCs w:val="22"/>
        </w:rPr>
        <w:t xml:space="preserve">Autoridades de la XXI CIMT, </w:t>
      </w:r>
      <w:r w:rsidR="0085774C" w:rsidRPr="00C418FF">
        <w:rPr>
          <w:sz w:val="22"/>
          <w:szCs w:val="22"/>
        </w:rPr>
        <w:t>se realizó en enero, 2023.</w:t>
      </w:r>
    </w:p>
    <w:p w14:paraId="52D11CBB" w14:textId="77777777" w:rsidR="00FA3C69" w:rsidRPr="00C418FF" w:rsidRDefault="00FA3C69" w:rsidP="00975648">
      <w:pPr>
        <w:spacing w:line="250" w:lineRule="exact"/>
        <w:jc w:val="both"/>
        <w:rPr>
          <w:sz w:val="22"/>
          <w:szCs w:val="22"/>
        </w:rPr>
      </w:pPr>
    </w:p>
    <w:p w14:paraId="3B4820AE" w14:textId="5381B830" w:rsidR="00975648" w:rsidRPr="00C418FF" w:rsidRDefault="00975648" w:rsidP="00975648">
      <w:pPr>
        <w:spacing w:line="250" w:lineRule="exact"/>
        <w:jc w:val="both"/>
        <w:rPr>
          <w:sz w:val="22"/>
          <w:szCs w:val="22"/>
        </w:rPr>
      </w:pPr>
      <w:r w:rsidRPr="00C418FF">
        <w:rPr>
          <w:sz w:val="22"/>
          <w:szCs w:val="22"/>
        </w:rPr>
        <w:t xml:space="preserve">Los recursos </w:t>
      </w:r>
      <w:r w:rsidR="001B17EB" w:rsidRPr="00C418FF">
        <w:rPr>
          <w:sz w:val="22"/>
          <w:szCs w:val="22"/>
        </w:rPr>
        <w:t xml:space="preserve">de la RIAL </w:t>
      </w:r>
      <w:r w:rsidRPr="00C418FF">
        <w:rPr>
          <w:sz w:val="22"/>
          <w:szCs w:val="22"/>
        </w:rPr>
        <w:t xml:space="preserve">se dividen en 2 rubros: Actividades de la RIAL (Talleres, Cooperación Bilateral, etc.) y costos de operación, que parcialmente cubren el componente de recursos humanos de la RIAL e incluyen administración, seguimiento y comunicaciones.    </w:t>
      </w:r>
    </w:p>
    <w:p w14:paraId="3283E274" w14:textId="77777777" w:rsidR="00E62912" w:rsidRPr="00C418FF" w:rsidRDefault="00E62912" w:rsidP="00975648">
      <w:pPr>
        <w:spacing w:line="250" w:lineRule="exact"/>
        <w:jc w:val="both"/>
        <w:rPr>
          <w:sz w:val="22"/>
          <w:szCs w:val="22"/>
        </w:rPr>
      </w:pPr>
    </w:p>
    <w:p w14:paraId="29CF20E1" w14:textId="79A284C9" w:rsidR="00BA6293" w:rsidRPr="00C418FF" w:rsidRDefault="00975648" w:rsidP="00BA6293">
      <w:pPr>
        <w:spacing w:line="250" w:lineRule="exact"/>
        <w:jc w:val="both"/>
        <w:rPr>
          <w:sz w:val="22"/>
          <w:szCs w:val="22"/>
        </w:rPr>
      </w:pPr>
      <w:r w:rsidRPr="00C418FF">
        <w:rPr>
          <w:sz w:val="22"/>
          <w:szCs w:val="22"/>
        </w:rPr>
        <w:t>Los recursos gastados a la fecha</w:t>
      </w:r>
      <w:r w:rsidR="00B62622" w:rsidRPr="00C418FF">
        <w:rPr>
          <w:sz w:val="22"/>
          <w:szCs w:val="22"/>
        </w:rPr>
        <w:t xml:space="preserve"> </w:t>
      </w:r>
      <w:r w:rsidRPr="00C418FF">
        <w:rPr>
          <w:sz w:val="22"/>
          <w:szCs w:val="22"/>
        </w:rPr>
        <w:t xml:space="preserve">son </w:t>
      </w:r>
      <w:r w:rsidRPr="00C418FF">
        <w:rPr>
          <w:b/>
          <w:sz w:val="22"/>
          <w:szCs w:val="22"/>
        </w:rPr>
        <w:t>$</w:t>
      </w:r>
      <w:r w:rsidR="00247332" w:rsidRPr="00C418FF">
        <w:rPr>
          <w:b/>
          <w:sz w:val="22"/>
          <w:szCs w:val="22"/>
        </w:rPr>
        <w:t>1</w:t>
      </w:r>
      <w:r w:rsidR="000966A3" w:rsidRPr="00C418FF">
        <w:rPr>
          <w:b/>
          <w:sz w:val="22"/>
          <w:szCs w:val="22"/>
        </w:rPr>
        <w:t>.</w:t>
      </w:r>
      <w:r w:rsidR="00B363F9" w:rsidRPr="00C418FF">
        <w:rPr>
          <w:b/>
          <w:sz w:val="22"/>
          <w:szCs w:val="22"/>
        </w:rPr>
        <w:t>400</w:t>
      </w:r>
      <w:r w:rsidR="00C65C4A" w:rsidRPr="00C418FF">
        <w:rPr>
          <w:b/>
          <w:sz w:val="22"/>
          <w:szCs w:val="22"/>
        </w:rPr>
        <w:t>.</w:t>
      </w:r>
      <w:r w:rsidR="001D2FD8" w:rsidRPr="00C418FF">
        <w:rPr>
          <w:b/>
          <w:sz w:val="22"/>
          <w:szCs w:val="22"/>
        </w:rPr>
        <w:t>6</w:t>
      </w:r>
      <w:r w:rsidR="00B363F9" w:rsidRPr="00C418FF">
        <w:rPr>
          <w:b/>
          <w:sz w:val="22"/>
          <w:szCs w:val="22"/>
        </w:rPr>
        <w:t>57</w:t>
      </w:r>
      <w:r w:rsidRPr="00C418FF">
        <w:rPr>
          <w:sz w:val="22"/>
          <w:szCs w:val="22"/>
        </w:rPr>
        <w:t xml:space="preserve"> dólares, </w:t>
      </w:r>
      <w:r w:rsidR="009264B0" w:rsidRPr="00C418FF">
        <w:rPr>
          <w:sz w:val="22"/>
          <w:szCs w:val="22"/>
        </w:rPr>
        <w:t>que provienen del</w:t>
      </w:r>
      <w:r w:rsidRPr="00C418FF">
        <w:rPr>
          <w:sz w:val="22"/>
          <w:szCs w:val="22"/>
        </w:rPr>
        <w:t xml:space="preserve"> Fondo de Aport</w:t>
      </w:r>
      <w:r w:rsidR="000966A3" w:rsidRPr="00C418FF">
        <w:rPr>
          <w:sz w:val="22"/>
          <w:szCs w:val="22"/>
        </w:rPr>
        <w:t>es Voluntarios ($</w:t>
      </w:r>
      <w:r w:rsidR="00440DFD" w:rsidRPr="00C418FF">
        <w:rPr>
          <w:sz w:val="22"/>
          <w:szCs w:val="22"/>
        </w:rPr>
        <w:t>9</w:t>
      </w:r>
      <w:r w:rsidR="00C03A58" w:rsidRPr="00C418FF">
        <w:rPr>
          <w:sz w:val="22"/>
          <w:szCs w:val="22"/>
        </w:rPr>
        <w:t>78</w:t>
      </w:r>
      <w:r w:rsidR="001E1A83" w:rsidRPr="00C418FF">
        <w:rPr>
          <w:sz w:val="22"/>
          <w:szCs w:val="22"/>
        </w:rPr>
        <w:t>.</w:t>
      </w:r>
      <w:r w:rsidR="001D2FD8" w:rsidRPr="00C418FF">
        <w:rPr>
          <w:sz w:val="22"/>
          <w:szCs w:val="22"/>
        </w:rPr>
        <w:t>6</w:t>
      </w:r>
      <w:r w:rsidR="00C03A58" w:rsidRPr="00C418FF">
        <w:rPr>
          <w:sz w:val="22"/>
          <w:szCs w:val="22"/>
        </w:rPr>
        <w:t>57</w:t>
      </w:r>
      <w:r w:rsidRPr="00C418FF">
        <w:rPr>
          <w:sz w:val="22"/>
          <w:szCs w:val="22"/>
        </w:rPr>
        <w:t>, incluyendo</w:t>
      </w:r>
      <w:r w:rsidR="00177FAB" w:rsidRPr="00C418FF">
        <w:rPr>
          <w:sz w:val="22"/>
          <w:szCs w:val="22"/>
        </w:rPr>
        <w:t xml:space="preserve"> gastos de la contribución</w:t>
      </w:r>
      <w:r w:rsidRPr="00C418FF">
        <w:rPr>
          <w:sz w:val="22"/>
          <w:szCs w:val="22"/>
        </w:rPr>
        <w:t xml:space="preserve"> de Canadá) y </w:t>
      </w:r>
      <w:r w:rsidR="009264B0" w:rsidRPr="00C418FF">
        <w:rPr>
          <w:sz w:val="22"/>
          <w:szCs w:val="22"/>
        </w:rPr>
        <w:t>de</w:t>
      </w:r>
      <w:r w:rsidRPr="00C418FF">
        <w:rPr>
          <w:sz w:val="22"/>
          <w:szCs w:val="22"/>
        </w:rPr>
        <w:t xml:space="preserve"> otras co</w:t>
      </w:r>
      <w:r w:rsidR="00467665" w:rsidRPr="00C418FF">
        <w:rPr>
          <w:sz w:val="22"/>
          <w:szCs w:val="22"/>
        </w:rPr>
        <w:t>ntribuciones en especie por $</w:t>
      </w:r>
      <w:r w:rsidR="00CA1D18" w:rsidRPr="00C418FF">
        <w:rPr>
          <w:sz w:val="22"/>
          <w:szCs w:val="22"/>
        </w:rPr>
        <w:t>4</w:t>
      </w:r>
      <w:r w:rsidR="00BB011F" w:rsidRPr="00C418FF">
        <w:rPr>
          <w:sz w:val="22"/>
          <w:szCs w:val="22"/>
        </w:rPr>
        <w:t>22</w:t>
      </w:r>
      <w:r w:rsidR="00B219B5" w:rsidRPr="00C418FF">
        <w:rPr>
          <w:sz w:val="22"/>
          <w:szCs w:val="22"/>
        </w:rPr>
        <w:t>.000</w:t>
      </w:r>
      <w:r w:rsidRPr="00C418FF">
        <w:rPr>
          <w:sz w:val="22"/>
          <w:szCs w:val="22"/>
        </w:rPr>
        <w:t xml:space="preserve">. </w:t>
      </w:r>
      <w:r w:rsidR="005E2D5D" w:rsidRPr="00C418FF">
        <w:rPr>
          <w:sz w:val="22"/>
          <w:szCs w:val="22"/>
        </w:rPr>
        <w:t xml:space="preserve">Además, de acuerdo con decisiones </w:t>
      </w:r>
      <w:r w:rsidR="008C2861" w:rsidRPr="00C418FF">
        <w:rPr>
          <w:sz w:val="22"/>
          <w:szCs w:val="22"/>
        </w:rPr>
        <w:t>de la</w:t>
      </w:r>
      <w:r w:rsidR="00BB4612" w:rsidRPr="00C418FF">
        <w:rPr>
          <w:sz w:val="22"/>
          <w:szCs w:val="22"/>
        </w:rPr>
        <w:t>s</w:t>
      </w:r>
      <w:r w:rsidR="008C2861" w:rsidRPr="00C418FF">
        <w:rPr>
          <w:sz w:val="22"/>
          <w:szCs w:val="22"/>
        </w:rPr>
        <w:t xml:space="preserve"> Reuni</w:t>
      </w:r>
      <w:r w:rsidR="00BB4612" w:rsidRPr="00C418FF">
        <w:rPr>
          <w:sz w:val="22"/>
          <w:szCs w:val="22"/>
        </w:rPr>
        <w:t xml:space="preserve">ones de Autoridades de </w:t>
      </w:r>
      <w:r w:rsidR="008C2861" w:rsidRPr="00C418FF">
        <w:rPr>
          <w:sz w:val="22"/>
          <w:szCs w:val="22"/>
        </w:rPr>
        <w:t>2022</w:t>
      </w:r>
      <w:r w:rsidR="00BB4612" w:rsidRPr="00C418FF">
        <w:rPr>
          <w:sz w:val="22"/>
          <w:szCs w:val="22"/>
        </w:rPr>
        <w:t xml:space="preserve"> y 2023</w:t>
      </w:r>
      <w:r w:rsidR="006F7CAB" w:rsidRPr="00C418FF">
        <w:rPr>
          <w:sz w:val="22"/>
          <w:szCs w:val="22"/>
        </w:rPr>
        <w:t xml:space="preserve">, </w:t>
      </w:r>
      <w:r w:rsidR="005E2D5D" w:rsidRPr="00C418FF">
        <w:rPr>
          <w:sz w:val="22"/>
          <w:szCs w:val="22"/>
        </w:rPr>
        <w:t xml:space="preserve">actualmente hay recursos presupuestados por </w:t>
      </w:r>
      <w:r w:rsidR="005E2D5D" w:rsidRPr="00C418FF">
        <w:rPr>
          <w:b/>
          <w:sz w:val="22"/>
          <w:szCs w:val="22"/>
        </w:rPr>
        <w:t>$</w:t>
      </w:r>
      <w:r w:rsidR="00E36D33" w:rsidRPr="00C418FF">
        <w:rPr>
          <w:b/>
          <w:sz w:val="22"/>
          <w:szCs w:val="22"/>
        </w:rPr>
        <w:t>3</w:t>
      </w:r>
      <w:r w:rsidR="00BB4612" w:rsidRPr="00C418FF">
        <w:rPr>
          <w:b/>
          <w:sz w:val="22"/>
          <w:szCs w:val="22"/>
        </w:rPr>
        <w:t>5</w:t>
      </w:r>
      <w:r w:rsidR="005E2D5D" w:rsidRPr="00C418FF">
        <w:rPr>
          <w:b/>
          <w:sz w:val="22"/>
          <w:szCs w:val="22"/>
        </w:rPr>
        <w:t>,</w:t>
      </w:r>
      <w:r w:rsidR="00E36D33" w:rsidRPr="00C418FF">
        <w:rPr>
          <w:b/>
          <w:sz w:val="22"/>
          <w:szCs w:val="22"/>
        </w:rPr>
        <w:t>000</w:t>
      </w:r>
      <w:r w:rsidR="005E2D5D" w:rsidRPr="00C418FF">
        <w:rPr>
          <w:sz w:val="22"/>
          <w:szCs w:val="22"/>
        </w:rPr>
        <w:t xml:space="preserve"> para actividades de 202</w:t>
      </w:r>
      <w:r w:rsidR="00196C57" w:rsidRPr="00C418FF">
        <w:rPr>
          <w:sz w:val="22"/>
          <w:szCs w:val="22"/>
        </w:rPr>
        <w:t xml:space="preserve">3 y 2024 </w:t>
      </w:r>
      <w:r w:rsidR="005E2D5D" w:rsidRPr="00C418FF">
        <w:rPr>
          <w:sz w:val="22"/>
          <w:szCs w:val="22"/>
        </w:rPr>
        <w:t xml:space="preserve">del Plan </w:t>
      </w:r>
      <w:r w:rsidR="005E2D5D" w:rsidRPr="00C418FF">
        <w:rPr>
          <w:sz w:val="22"/>
          <w:szCs w:val="22"/>
        </w:rPr>
        <w:lastRenderedPageBreak/>
        <w:t xml:space="preserve">de Trabajo </w:t>
      </w:r>
      <w:r w:rsidR="00196C57" w:rsidRPr="00C418FF">
        <w:rPr>
          <w:sz w:val="22"/>
          <w:szCs w:val="22"/>
        </w:rPr>
        <w:t xml:space="preserve">2022-2024 </w:t>
      </w:r>
      <w:r w:rsidR="005E2D5D" w:rsidRPr="00C418FF">
        <w:rPr>
          <w:sz w:val="22"/>
          <w:szCs w:val="22"/>
        </w:rPr>
        <w:t>de la CIMT.</w:t>
      </w:r>
      <w:r w:rsidR="00B82D7E" w:rsidRPr="00C418FF">
        <w:rPr>
          <w:rFonts w:ascii="Trebuchet MS" w:hAnsi="Trebuchet MS" w:cs="Arial"/>
          <w:sz w:val="22"/>
          <w:szCs w:val="22"/>
        </w:rPr>
        <w:t xml:space="preserve"> </w:t>
      </w:r>
      <w:r w:rsidR="0025580B" w:rsidRPr="00C418FF">
        <w:rPr>
          <w:sz w:val="22"/>
          <w:szCs w:val="22"/>
        </w:rPr>
        <w:t xml:space="preserve">Esto deja un saldo de </w:t>
      </w:r>
      <w:r w:rsidR="00BA6293" w:rsidRPr="00C418FF">
        <w:rPr>
          <w:b/>
          <w:sz w:val="22"/>
          <w:szCs w:val="22"/>
        </w:rPr>
        <w:t xml:space="preserve">$112,456. </w:t>
      </w:r>
      <w:r w:rsidR="00BA6293" w:rsidRPr="00C418FF">
        <w:rPr>
          <w:sz w:val="22"/>
          <w:szCs w:val="22"/>
        </w:rPr>
        <w:t xml:space="preserve">Cabe destacar que el aporte de $100,000 de Estados Unidos </w:t>
      </w:r>
      <w:r w:rsidR="00F43682" w:rsidRPr="00C418FF">
        <w:rPr>
          <w:sz w:val="22"/>
          <w:szCs w:val="22"/>
        </w:rPr>
        <w:t>en</w:t>
      </w:r>
      <w:r w:rsidR="00BA6293" w:rsidRPr="00C418FF">
        <w:rPr>
          <w:sz w:val="22"/>
          <w:szCs w:val="22"/>
        </w:rPr>
        <w:t xml:space="preserve"> 2023 debe destinarse a las acciones de la RIAL contempladas en el Plan de Trabajo </w:t>
      </w:r>
      <w:r w:rsidR="00F43682" w:rsidRPr="00C418FF">
        <w:rPr>
          <w:sz w:val="22"/>
          <w:szCs w:val="22"/>
        </w:rPr>
        <w:t xml:space="preserve">2022-2024 </w:t>
      </w:r>
      <w:r w:rsidR="00BA6293" w:rsidRPr="00C418FF">
        <w:rPr>
          <w:sz w:val="22"/>
          <w:szCs w:val="22"/>
        </w:rPr>
        <w:t>de la CIMT.</w:t>
      </w:r>
    </w:p>
    <w:p w14:paraId="5D4853FA" w14:textId="3111A125" w:rsidR="0085774C" w:rsidRPr="00C418FF" w:rsidRDefault="0085774C" w:rsidP="00975648">
      <w:pPr>
        <w:spacing w:line="250" w:lineRule="exact"/>
        <w:jc w:val="both"/>
        <w:rPr>
          <w:sz w:val="22"/>
          <w:szCs w:val="22"/>
        </w:rPr>
      </w:pPr>
    </w:p>
    <w:p w14:paraId="27ED4D4C" w14:textId="77777777" w:rsidR="00975648" w:rsidRPr="00C418FF" w:rsidRDefault="00975648" w:rsidP="00975648">
      <w:pPr>
        <w:spacing w:line="250" w:lineRule="exact"/>
        <w:jc w:val="both"/>
        <w:rPr>
          <w:b/>
          <w:sz w:val="22"/>
          <w:szCs w:val="22"/>
        </w:rPr>
      </w:pPr>
      <w:r w:rsidRPr="00C418FF">
        <w:rPr>
          <w:b/>
          <w:sz w:val="22"/>
          <w:szCs w:val="22"/>
        </w:rPr>
        <w:t xml:space="preserve">II. Contribuciones </w:t>
      </w:r>
    </w:p>
    <w:p w14:paraId="55BB2E35" w14:textId="77777777" w:rsidR="00975648" w:rsidRPr="00C418FF" w:rsidRDefault="00975648" w:rsidP="00975648">
      <w:pPr>
        <w:spacing w:line="250" w:lineRule="exact"/>
        <w:jc w:val="both"/>
        <w:rPr>
          <w:sz w:val="22"/>
          <w:szCs w:val="22"/>
        </w:rPr>
      </w:pPr>
    </w:p>
    <w:p w14:paraId="1CE80B36" w14:textId="2F6D4F76" w:rsidR="00C05E0C" w:rsidRPr="00C418FF" w:rsidRDefault="00975648" w:rsidP="00975648">
      <w:pPr>
        <w:spacing w:line="250" w:lineRule="exact"/>
        <w:jc w:val="both"/>
        <w:rPr>
          <w:sz w:val="22"/>
          <w:szCs w:val="22"/>
        </w:rPr>
      </w:pPr>
      <w:r w:rsidRPr="00C418FF">
        <w:rPr>
          <w:sz w:val="22"/>
          <w:szCs w:val="22"/>
        </w:rPr>
        <w:t xml:space="preserve">A la fecha, </w:t>
      </w:r>
      <w:r w:rsidR="006A01C4" w:rsidRPr="00C418FF">
        <w:rPr>
          <w:sz w:val="22"/>
          <w:szCs w:val="22"/>
        </w:rPr>
        <w:t>2</w:t>
      </w:r>
      <w:r w:rsidR="00B85161" w:rsidRPr="00C418FF">
        <w:rPr>
          <w:sz w:val="22"/>
          <w:szCs w:val="22"/>
        </w:rPr>
        <w:t>3</w:t>
      </w:r>
      <w:r w:rsidRPr="00C418FF">
        <w:rPr>
          <w:sz w:val="22"/>
          <w:szCs w:val="22"/>
        </w:rPr>
        <w:t xml:space="preserve"> Ministerios de Trabajo han contribuido al Fondo. Como lo muestra el </w:t>
      </w:r>
      <w:r w:rsidRPr="00C418FF">
        <w:rPr>
          <w:b/>
          <w:sz w:val="22"/>
          <w:szCs w:val="22"/>
        </w:rPr>
        <w:t>Cuadro No. 1</w:t>
      </w:r>
      <w:r w:rsidRPr="00C418FF">
        <w:rPr>
          <w:sz w:val="22"/>
          <w:szCs w:val="22"/>
        </w:rPr>
        <w:t>, algunos países han hecho más de una contribución y otros por valores superiores al mínimo establecido. Canadá</w:t>
      </w:r>
      <w:r w:rsidR="00DF7CDA" w:rsidRPr="00C418FF">
        <w:rPr>
          <w:sz w:val="22"/>
          <w:szCs w:val="22"/>
        </w:rPr>
        <w:t xml:space="preserve"> ha hecho dos contribuciones de importante cuantía: $200.000 entre 2012 y 2014, y $153,000 para el periodo 2018-2020.</w:t>
      </w:r>
      <w:r w:rsidR="00D84137" w:rsidRPr="00C418FF">
        <w:rPr>
          <w:sz w:val="22"/>
          <w:szCs w:val="22"/>
        </w:rPr>
        <w:t xml:space="preserve"> </w:t>
      </w:r>
      <w:r w:rsidR="00DF7CDA" w:rsidRPr="00C418FF">
        <w:rPr>
          <w:sz w:val="22"/>
          <w:szCs w:val="22"/>
        </w:rPr>
        <w:t>Da</w:t>
      </w:r>
      <w:r w:rsidRPr="00C418FF">
        <w:rPr>
          <w:sz w:val="22"/>
          <w:szCs w:val="22"/>
        </w:rPr>
        <w:t>da la cuantía de</w:t>
      </w:r>
      <w:r w:rsidR="00DF7CDA" w:rsidRPr="00C418FF">
        <w:rPr>
          <w:sz w:val="22"/>
          <w:szCs w:val="22"/>
        </w:rPr>
        <w:t xml:space="preserve"> estos </w:t>
      </w:r>
      <w:r w:rsidRPr="00C418FF">
        <w:rPr>
          <w:sz w:val="22"/>
          <w:szCs w:val="22"/>
        </w:rPr>
        <w:t>aporte</w:t>
      </w:r>
      <w:r w:rsidR="00DF7CDA" w:rsidRPr="00C418FF">
        <w:rPr>
          <w:sz w:val="22"/>
          <w:szCs w:val="22"/>
        </w:rPr>
        <w:t xml:space="preserve">s se establecieron dos proyectos </w:t>
      </w:r>
      <w:r w:rsidRPr="00C418FF">
        <w:rPr>
          <w:sz w:val="22"/>
          <w:szCs w:val="22"/>
        </w:rPr>
        <w:t>independiente</w:t>
      </w:r>
      <w:r w:rsidR="00DF7CDA" w:rsidRPr="00C418FF">
        <w:rPr>
          <w:sz w:val="22"/>
          <w:szCs w:val="22"/>
        </w:rPr>
        <w:t>s para efectos de contabilidad</w:t>
      </w:r>
      <w:r w:rsidR="00524BC4" w:rsidRPr="00C418FF">
        <w:rPr>
          <w:sz w:val="22"/>
          <w:szCs w:val="22"/>
        </w:rPr>
        <w:t xml:space="preserve">; si bien </w:t>
      </w:r>
      <w:r w:rsidRPr="00C418FF">
        <w:rPr>
          <w:sz w:val="22"/>
          <w:szCs w:val="22"/>
        </w:rPr>
        <w:t>su utilización fue decidida también por las autoridades de la CIMT.</w:t>
      </w:r>
      <w:r w:rsidR="00D84137" w:rsidRPr="00C418FF">
        <w:rPr>
          <w:sz w:val="22"/>
          <w:szCs w:val="22"/>
        </w:rPr>
        <w:t xml:space="preserve"> </w:t>
      </w:r>
      <w:r w:rsidR="00C05E0C" w:rsidRPr="00C418FF">
        <w:rPr>
          <w:sz w:val="22"/>
          <w:szCs w:val="22"/>
        </w:rPr>
        <w:t>Se destaca la suma total de aportes de Trinidad y Tobago por $105.000 y el reciente aporte de Estados Unidos por $100.000</w:t>
      </w:r>
      <w:r w:rsidR="00607CA8" w:rsidRPr="00C418FF">
        <w:rPr>
          <w:sz w:val="22"/>
          <w:szCs w:val="22"/>
        </w:rPr>
        <w:t>, destinado a cubrir las actividades de la RIAL dentro del Plan de Trabajo 2022-2024 de la CIMT</w:t>
      </w:r>
      <w:r w:rsidR="00C05E0C" w:rsidRPr="00C418FF">
        <w:rPr>
          <w:sz w:val="22"/>
          <w:szCs w:val="22"/>
        </w:rPr>
        <w:t>.</w:t>
      </w:r>
    </w:p>
    <w:p w14:paraId="5990B431" w14:textId="3A63ACC6" w:rsidR="00975648" w:rsidRPr="00C418FF" w:rsidRDefault="00826B34" w:rsidP="00975648">
      <w:pPr>
        <w:spacing w:line="250" w:lineRule="exact"/>
        <w:jc w:val="both"/>
        <w:rPr>
          <w:sz w:val="22"/>
          <w:szCs w:val="22"/>
        </w:rPr>
      </w:pPr>
      <w:r w:rsidRPr="00C418FF">
        <w:rPr>
          <w:sz w:val="22"/>
          <w:szCs w:val="22"/>
        </w:rPr>
        <w:t xml:space="preserve"> </w:t>
      </w:r>
    </w:p>
    <w:p w14:paraId="67D77CFE" w14:textId="77777777" w:rsidR="008458D3" w:rsidRPr="00C418FF" w:rsidRDefault="00975648" w:rsidP="008A72F0">
      <w:pPr>
        <w:spacing w:line="250" w:lineRule="exact"/>
        <w:jc w:val="center"/>
        <w:rPr>
          <w:b/>
          <w:sz w:val="22"/>
          <w:szCs w:val="22"/>
        </w:rPr>
      </w:pPr>
      <w:r w:rsidRPr="00C418FF">
        <w:rPr>
          <w:b/>
          <w:sz w:val="22"/>
          <w:szCs w:val="22"/>
        </w:rPr>
        <w:t>Cuadro No. 1</w:t>
      </w:r>
    </w:p>
    <w:p w14:paraId="50E311C3" w14:textId="77777777" w:rsidR="008458D3" w:rsidRPr="00C418FF" w:rsidRDefault="00975648" w:rsidP="008A72F0">
      <w:pPr>
        <w:spacing w:line="250" w:lineRule="exact"/>
        <w:jc w:val="center"/>
        <w:rPr>
          <w:b/>
          <w:bCs/>
          <w:sz w:val="22"/>
          <w:szCs w:val="22"/>
        </w:rPr>
      </w:pPr>
      <w:r w:rsidRPr="00C418FF">
        <w:rPr>
          <w:b/>
          <w:bCs/>
          <w:sz w:val="22"/>
          <w:szCs w:val="22"/>
        </w:rPr>
        <w:t>Contribuciones recibidas</w:t>
      </w:r>
      <w:r w:rsidRPr="00C418FF">
        <w:rPr>
          <w:bCs/>
          <w:sz w:val="22"/>
          <w:szCs w:val="22"/>
        </w:rPr>
        <w:t xml:space="preserve"> </w:t>
      </w:r>
      <w:r w:rsidRPr="00C418FF">
        <w:rPr>
          <w:b/>
          <w:bCs/>
          <w:sz w:val="22"/>
          <w:szCs w:val="22"/>
        </w:rPr>
        <w:t xml:space="preserve">por País </w:t>
      </w:r>
    </w:p>
    <w:p w14:paraId="06E2B50E" w14:textId="4480A912" w:rsidR="000142DC" w:rsidRPr="00C418FF" w:rsidRDefault="00816730" w:rsidP="000142DC">
      <w:pPr>
        <w:spacing w:line="250" w:lineRule="exact"/>
        <w:jc w:val="center"/>
        <w:rPr>
          <w:bCs/>
          <w:i/>
          <w:sz w:val="22"/>
          <w:szCs w:val="22"/>
        </w:rPr>
      </w:pPr>
      <w:r w:rsidRPr="00C418FF">
        <w:rPr>
          <w:bCs/>
          <w:i/>
          <w:sz w:val="22"/>
          <w:szCs w:val="22"/>
        </w:rPr>
        <w:t>(En dólares estadounidenses)</w:t>
      </w:r>
    </w:p>
    <w:p w14:paraId="1BC8C29C" w14:textId="77777777" w:rsidR="00B43419" w:rsidRPr="00C418FF" w:rsidRDefault="00B43419" w:rsidP="000142DC">
      <w:pPr>
        <w:spacing w:line="250" w:lineRule="exact"/>
        <w:jc w:val="center"/>
        <w:rPr>
          <w:bCs/>
          <w:i/>
          <w:sz w:val="22"/>
          <w:szCs w:val="22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1890"/>
        <w:gridCol w:w="3420"/>
      </w:tblGrid>
      <w:tr w:rsidR="00C418FF" w:rsidRPr="00C418FF" w14:paraId="6B99918F" w14:textId="77777777" w:rsidTr="004C02DD">
        <w:trPr>
          <w:trHeight w:val="360"/>
        </w:trPr>
        <w:tc>
          <w:tcPr>
            <w:tcW w:w="3150" w:type="dxa"/>
            <w:shd w:val="clear" w:color="auto" w:fill="auto"/>
            <w:noWrap/>
            <w:vAlign w:val="center"/>
            <w:hideMark/>
          </w:tcPr>
          <w:p w14:paraId="129B5689" w14:textId="77777777" w:rsidR="00D23897" w:rsidRPr="00C418FF" w:rsidRDefault="00D23897" w:rsidP="00E71AFE">
            <w:pPr>
              <w:spacing w:line="250" w:lineRule="exact"/>
              <w:jc w:val="center"/>
              <w:rPr>
                <w:b/>
                <w:bCs/>
                <w:sz w:val="22"/>
                <w:szCs w:val="22"/>
              </w:rPr>
            </w:pPr>
            <w:r w:rsidRPr="00C418FF">
              <w:rPr>
                <w:b/>
                <w:bCs/>
                <w:sz w:val="22"/>
                <w:szCs w:val="22"/>
              </w:rPr>
              <w:t>País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6C538A54" w14:textId="77777777" w:rsidR="00D23897" w:rsidRPr="00C418FF" w:rsidRDefault="00D23897" w:rsidP="00E71AFE">
            <w:pPr>
              <w:spacing w:line="250" w:lineRule="exact"/>
              <w:jc w:val="center"/>
              <w:rPr>
                <w:b/>
                <w:bCs/>
                <w:sz w:val="22"/>
                <w:szCs w:val="22"/>
              </w:rPr>
            </w:pPr>
            <w:r w:rsidRPr="00C418FF">
              <w:rPr>
                <w:b/>
                <w:bCs/>
                <w:sz w:val="22"/>
                <w:szCs w:val="22"/>
              </w:rPr>
              <w:t>Monto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14:paraId="5BEE9A12" w14:textId="77777777" w:rsidR="00D23897" w:rsidRPr="00C418FF" w:rsidRDefault="00D23897" w:rsidP="00E71AFE">
            <w:pPr>
              <w:spacing w:line="250" w:lineRule="exact"/>
              <w:jc w:val="center"/>
              <w:rPr>
                <w:b/>
                <w:bCs/>
                <w:sz w:val="22"/>
                <w:szCs w:val="22"/>
              </w:rPr>
            </w:pPr>
            <w:r w:rsidRPr="00C418FF">
              <w:rPr>
                <w:b/>
                <w:bCs/>
                <w:sz w:val="22"/>
                <w:szCs w:val="22"/>
              </w:rPr>
              <w:t>Año</w:t>
            </w:r>
          </w:p>
        </w:tc>
      </w:tr>
      <w:tr w:rsidR="00C418FF" w:rsidRPr="00C418FF" w14:paraId="4C849501" w14:textId="77777777" w:rsidTr="004C02DD">
        <w:trPr>
          <w:trHeight w:val="360"/>
        </w:trPr>
        <w:tc>
          <w:tcPr>
            <w:tcW w:w="3150" w:type="dxa"/>
            <w:shd w:val="clear" w:color="auto" w:fill="auto"/>
            <w:noWrap/>
            <w:vAlign w:val="center"/>
            <w:hideMark/>
          </w:tcPr>
          <w:p w14:paraId="7D71FFCD" w14:textId="77777777" w:rsidR="00D23897" w:rsidRPr="00C418FF" w:rsidRDefault="00D23897" w:rsidP="00E71AFE">
            <w:pPr>
              <w:spacing w:line="250" w:lineRule="exact"/>
              <w:rPr>
                <w:sz w:val="22"/>
                <w:szCs w:val="22"/>
              </w:rPr>
            </w:pPr>
            <w:r w:rsidRPr="00C418FF">
              <w:rPr>
                <w:sz w:val="22"/>
                <w:szCs w:val="22"/>
              </w:rPr>
              <w:t>1. Argentina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196F4832" w14:textId="77777777" w:rsidR="00D23897" w:rsidRPr="00C418FF" w:rsidRDefault="00D23897" w:rsidP="00E71AFE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C418FF">
              <w:rPr>
                <w:sz w:val="22"/>
                <w:szCs w:val="22"/>
              </w:rPr>
              <w:t>29.700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14:paraId="5D316F38" w14:textId="77777777" w:rsidR="00D23897" w:rsidRPr="00C418FF" w:rsidRDefault="00D23897" w:rsidP="00E71AFE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C418FF">
              <w:rPr>
                <w:sz w:val="22"/>
                <w:szCs w:val="22"/>
              </w:rPr>
              <w:t>2011</w:t>
            </w:r>
          </w:p>
        </w:tc>
      </w:tr>
      <w:tr w:rsidR="00C418FF" w:rsidRPr="00C418FF" w14:paraId="6663A6F6" w14:textId="77777777" w:rsidTr="004C02DD">
        <w:trPr>
          <w:trHeight w:val="360"/>
        </w:trPr>
        <w:tc>
          <w:tcPr>
            <w:tcW w:w="3150" w:type="dxa"/>
            <w:shd w:val="clear" w:color="auto" w:fill="auto"/>
            <w:noWrap/>
            <w:vAlign w:val="center"/>
            <w:hideMark/>
          </w:tcPr>
          <w:p w14:paraId="15552327" w14:textId="77777777" w:rsidR="00D23897" w:rsidRPr="00C418FF" w:rsidRDefault="00D23897" w:rsidP="00E71AFE">
            <w:pPr>
              <w:spacing w:line="250" w:lineRule="exact"/>
              <w:rPr>
                <w:sz w:val="22"/>
                <w:szCs w:val="22"/>
              </w:rPr>
            </w:pPr>
            <w:r w:rsidRPr="00C418FF">
              <w:rPr>
                <w:sz w:val="22"/>
                <w:szCs w:val="22"/>
              </w:rPr>
              <w:t>2. Bahamas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7E325632" w14:textId="24A38F6A" w:rsidR="00D23897" w:rsidRPr="00C418FF" w:rsidRDefault="00133760" w:rsidP="00E71AFE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C418FF">
              <w:rPr>
                <w:sz w:val="22"/>
                <w:szCs w:val="22"/>
              </w:rPr>
              <w:t>60</w:t>
            </w:r>
            <w:r w:rsidR="00D23897" w:rsidRPr="00C418FF">
              <w:rPr>
                <w:sz w:val="22"/>
                <w:szCs w:val="22"/>
              </w:rPr>
              <w:t>.000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14:paraId="6C21C3DB" w14:textId="6A0A064D" w:rsidR="00D23897" w:rsidRPr="00C418FF" w:rsidRDefault="00D23897" w:rsidP="00E71AFE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C418FF">
              <w:rPr>
                <w:sz w:val="22"/>
                <w:szCs w:val="22"/>
              </w:rPr>
              <w:t>2011, 2012, 2016, 2017</w:t>
            </w:r>
            <w:r w:rsidR="0049599C" w:rsidRPr="00C418FF">
              <w:rPr>
                <w:sz w:val="22"/>
                <w:szCs w:val="22"/>
              </w:rPr>
              <w:t>, 2019</w:t>
            </w:r>
            <w:r w:rsidR="002E1D8A" w:rsidRPr="00C418FF">
              <w:rPr>
                <w:sz w:val="22"/>
                <w:szCs w:val="22"/>
              </w:rPr>
              <w:t>-2022</w:t>
            </w:r>
          </w:p>
        </w:tc>
      </w:tr>
      <w:tr w:rsidR="00C418FF" w:rsidRPr="00C418FF" w14:paraId="76AFAA3E" w14:textId="77777777" w:rsidTr="004C02DD">
        <w:trPr>
          <w:trHeight w:val="360"/>
        </w:trPr>
        <w:tc>
          <w:tcPr>
            <w:tcW w:w="3150" w:type="dxa"/>
            <w:shd w:val="clear" w:color="auto" w:fill="auto"/>
            <w:noWrap/>
            <w:vAlign w:val="center"/>
            <w:hideMark/>
          </w:tcPr>
          <w:p w14:paraId="180915B1" w14:textId="77777777" w:rsidR="00D23897" w:rsidRPr="00C418FF" w:rsidRDefault="00D23897" w:rsidP="00E71AFE">
            <w:pPr>
              <w:spacing w:line="250" w:lineRule="exact"/>
              <w:rPr>
                <w:sz w:val="22"/>
                <w:szCs w:val="22"/>
              </w:rPr>
            </w:pPr>
            <w:r w:rsidRPr="00C418FF">
              <w:rPr>
                <w:sz w:val="22"/>
                <w:szCs w:val="22"/>
              </w:rPr>
              <w:t>3. Barbados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2F91F77A" w14:textId="6A070DD4" w:rsidR="00D23897" w:rsidRPr="00C418FF" w:rsidRDefault="001B17EB" w:rsidP="001B17EB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C418FF">
              <w:rPr>
                <w:sz w:val="22"/>
                <w:szCs w:val="22"/>
              </w:rPr>
              <w:t>5</w:t>
            </w:r>
            <w:r w:rsidR="00133760" w:rsidRPr="00C418FF">
              <w:rPr>
                <w:sz w:val="22"/>
                <w:szCs w:val="22"/>
              </w:rPr>
              <w:t>5</w:t>
            </w:r>
            <w:r w:rsidR="00D23897" w:rsidRPr="00C418FF">
              <w:rPr>
                <w:sz w:val="22"/>
                <w:szCs w:val="22"/>
              </w:rPr>
              <w:t>.000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14:paraId="0DCFC470" w14:textId="7BDFBBD2" w:rsidR="00D23897" w:rsidRPr="00C418FF" w:rsidRDefault="00D23897" w:rsidP="00DF7CDA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C418FF">
              <w:rPr>
                <w:sz w:val="22"/>
                <w:szCs w:val="22"/>
              </w:rPr>
              <w:t>2</w:t>
            </w:r>
            <w:r w:rsidR="001B17EB" w:rsidRPr="00C418FF">
              <w:rPr>
                <w:sz w:val="22"/>
                <w:szCs w:val="22"/>
              </w:rPr>
              <w:t>011-2020</w:t>
            </w:r>
            <w:r w:rsidR="00370F9B" w:rsidRPr="00C418FF">
              <w:rPr>
                <w:sz w:val="22"/>
                <w:szCs w:val="22"/>
              </w:rPr>
              <w:t>, 2022</w:t>
            </w:r>
          </w:p>
        </w:tc>
      </w:tr>
      <w:tr w:rsidR="00C418FF" w:rsidRPr="00C418FF" w14:paraId="2287FAE1" w14:textId="77777777" w:rsidTr="004C02DD">
        <w:trPr>
          <w:trHeight w:val="360"/>
        </w:trPr>
        <w:tc>
          <w:tcPr>
            <w:tcW w:w="3150" w:type="dxa"/>
            <w:shd w:val="clear" w:color="auto" w:fill="auto"/>
            <w:noWrap/>
            <w:vAlign w:val="center"/>
            <w:hideMark/>
          </w:tcPr>
          <w:p w14:paraId="4C22F725" w14:textId="77777777" w:rsidR="00D23897" w:rsidRPr="00C418FF" w:rsidRDefault="00D23897" w:rsidP="00E71AFE">
            <w:pPr>
              <w:spacing w:line="250" w:lineRule="exact"/>
              <w:rPr>
                <w:sz w:val="22"/>
                <w:szCs w:val="22"/>
              </w:rPr>
            </w:pPr>
            <w:r w:rsidRPr="00C418FF">
              <w:rPr>
                <w:sz w:val="22"/>
                <w:szCs w:val="22"/>
              </w:rPr>
              <w:t>4. Belize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7470328F" w14:textId="77777777" w:rsidR="00D23897" w:rsidRPr="00C418FF" w:rsidRDefault="00D23897" w:rsidP="00E71AFE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C418FF">
              <w:rPr>
                <w:sz w:val="22"/>
                <w:szCs w:val="22"/>
              </w:rPr>
              <w:t>7.492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14:paraId="0F509C47" w14:textId="77777777" w:rsidR="00D23897" w:rsidRPr="00C418FF" w:rsidRDefault="00D23897" w:rsidP="00E71AFE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C418FF">
              <w:rPr>
                <w:sz w:val="22"/>
                <w:szCs w:val="22"/>
              </w:rPr>
              <w:t>2011, 2013</w:t>
            </w:r>
          </w:p>
        </w:tc>
      </w:tr>
      <w:tr w:rsidR="00C418FF" w:rsidRPr="00C418FF" w14:paraId="277183B4" w14:textId="77777777" w:rsidTr="004C02DD">
        <w:trPr>
          <w:trHeight w:val="360"/>
        </w:trPr>
        <w:tc>
          <w:tcPr>
            <w:tcW w:w="3150" w:type="dxa"/>
            <w:shd w:val="clear" w:color="auto" w:fill="auto"/>
            <w:noWrap/>
            <w:vAlign w:val="center"/>
            <w:hideMark/>
          </w:tcPr>
          <w:p w14:paraId="55B04E39" w14:textId="77777777" w:rsidR="00D23897" w:rsidRPr="00C418FF" w:rsidRDefault="00D23897" w:rsidP="00E71AFE">
            <w:pPr>
              <w:spacing w:line="250" w:lineRule="exact"/>
              <w:rPr>
                <w:sz w:val="22"/>
                <w:szCs w:val="22"/>
              </w:rPr>
            </w:pPr>
            <w:r w:rsidRPr="00C418FF">
              <w:rPr>
                <w:sz w:val="22"/>
                <w:szCs w:val="22"/>
              </w:rPr>
              <w:t>5. Bolivia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67B5BB4B" w14:textId="6E7C10D9" w:rsidR="00D23897" w:rsidRPr="00C418FF" w:rsidRDefault="001B17EB" w:rsidP="00E71AFE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C418FF">
              <w:rPr>
                <w:sz w:val="22"/>
                <w:szCs w:val="22"/>
              </w:rPr>
              <w:t>3</w:t>
            </w:r>
            <w:r w:rsidR="00524BC4" w:rsidRPr="00C418FF">
              <w:rPr>
                <w:sz w:val="22"/>
                <w:szCs w:val="22"/>
              </w:rPr>
              <w:t>9</w:t>
            </w:r>
            <w:r w:rsidR="00D23897" w:rsidRPr="00C418FF">
              <w:rPr>
                <w:sz w:val="22"/>
                <w:szCs w:val="22"/>
              </w:rPr>
              <w:t>.995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14:paraId="41DF1D3D" w14:textId="703EA765" w:rsidR="00D23897" w:rsidRPr="00C418FF" w:rsidRDefault="00DF7CDA" w:rsidP="00E71AFE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C418FF">
              <w:rPr>
                <w:sz w:val="22"/>
                <w:szCs w:val="22"/>
              </w:rPr>
              <w:t>2013-2018</w:t>
            </w:r>
            <w:r w:rsidR="001B17EB" w:rsidRPr="00C418FF">
              <w:rPr>
                <w:sz w:val="22"/>
                <w:szCs w:val="22"/>
              </w:rPr>
              <w:t>, 2020</w:t>
            </w:r>
            <w:r w:rsidR="00524BC4" w:rsidRPr="00C418FF">
              <w:rPr>
                <w:sz w:val="22"/>
                <w:szCs w:val="22"/>
              </w:rPr>
              <w:t>-2021</w:t>
            </w:r>
          </w:p>
        </w:tc>
      </w:tr>
      <w:tr w:rsidR="00C418FF" w:rsidRPr="00C418FF" w14:paraId="3DAF8176" w14:textId="77777777" w:rsidTr="004C02DD">
        <w:trPr>
          <w:trHeight w:val="360"/>
        </w:trPr>
        <w:tc>
          <w:tcPr>
            <w:tcW w:w="3150" w:type="dxa"/>
            <w:shd w:val="clear" w:color="auto" w:fill="auto"/>
            <w:noWrap/>
            <w:vAlign w:val="center"/>
            <w:hideMark/>
          </w:tcPr>
          <w:p w14:paraId="48D6625D" w14:textId="77777777" w:rsidR="00D23897" w:rsidRPr="00C418FF" w:rsidRDefault="00D23897" w:rsidP="00E71AFE">
            <w:pPr>
              <w:spacing w:line="250" w:lineRule="exact"/>
              <w:rPr>
                <w:sz w:val="22"/>
                <w:szCs w:val="22"/>
              </w:rPr>
            </w:pPr>
            <w:r w:rsidRPr="00C418FF">
              <w:rPr>
                <w:sz w:val="22"/>
                <w:szCs w:val="22"/>
              </w:rPr>
              <w:t>6. Brasil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638858AF" w14:textId="77777777" w:rsidR="00D23897" w:rsidRPr="00C418FF" w:rsidRDefault="00D23897" w:rsidP="00E71AFE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C418FF">
              <w:rPr>
                <w:sz w:val="22"/>
                <w:szCs w:val="22"/>
              </w:rPr>
              <w:t>43.129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14:paraId="00BF15AF" w14:textId="77777777" w:rsidR="00D23897" w:rsidRPr="00C418FF" w:rsidRDefault="00D23897" w:rsidP="00E71AFE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C418FF">
              <w:rPr>
                <w:sz w:val="22"/>
                <w:szCs w:val="22"/>
              </w:rPr>
              <w:t>2013</w:t>
            </w:r>
          </w:p>
        </w:tc>
      </w:tr>
      <w:tr w:rsidR="00C418FF" w:rsidRPr="00C418FF" w14:paraId="2D767598" w14:textId="77777777" w:rsidTr="004C02DD">
        <w:trPr>
          <w:trHeight w:val="360"/>
        </w:trPr>
        <w:tc>
          <w:tcPr>
            <w:tcW w:w="3150" w:type="dxa"/>
            <w:shd w:val="clear" w:color="auto" w:fill="auto"/>
            <w:noWrap/>
            <w:vAlign w:val="center"/>
            <w:hideMark/>
          </w:tcPr>
          <w:p w14:paraId="11067020" w14:textId="77777777" w:rsidR="00D23897" w:rsidRPr="00C418FF" w:rsidRDefault="00D23897" w:rsidP="00E71AFE">
            <w:pPr>
              <w:spacing w:line="250" w:lineRule="exact"/>
              <w:rPr>
                <w:sz w:val="22"/>
                <w:szCs w:val="22"/>
              </w:rPr>
            </w:pPr>
            <w:r w:rsidRPr="00C418FF">
              <w:rPr>
                <w:sz w:val="22"/>
                <w:szCs w:val="22"/>
              </w:rPr>
              <w:t>7. Colombia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3F083BEA" w14:textId="77777777" w:rsidR="00D23897" w:rsidRPr="00C418FF" w:rsidRDefault="00D23897" w:rsidP="00E71AFE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C418FF">
              <w:rPr>
                <w:sz w:val="22"/>
                <w:szCs w:val="22"/>
              </w:rPr>
              <w:t>7.669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14:paraId="39EF5401" w14:textId="77777777" w:rsidR="00D23897" w:rsidRPr="00C418FF" w:rsidRDefault="00D23897" w:rsidP="00E71AFE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C418FF">
              <w:rPr>
                <w:sz w:val="22"/>
                <w:szCs w:val="22"/>
              </w:rPr>
              <w:t>2015</w:t>
            </w:r>
          </w:p>
        </w:tc>
      </w:tr>
      <w:tr w:rsidR="00C418FF" w:rsidRPr="00C418FF" w14:paraId="61431C32" w14:textId="77777777" w:rsidTr="004C02DD">
        <w:trPr>
          <w:trHeight w:val="360"/>
        </w:trPr>
        <w:tc>
          <w:tcPr>
            <w:tcW w:w="3150" w:type="dxa"/>
            <w:shd w:val="clear" w:color="auto" w:fill="auto"/>
            <w:noWrap/>
            <w:vAlign w:val="center"/>
            <w:hideMark/>
          </w:tcPr>
          <w:p w14:paraId="348A09C8" w14:textId="77777777" w:rsidR="00D23897" w:rsidRPr="00C418FF" w:rsidRDefault="00D23897" w:rsidP="00E71AFE">
            <w:pPr>
              <w:spacing w:line="250" w:lineRule="exact"/>
              <w:rPr>
                <w:sz w:val="22"/>
                <w:szCs w:val="22"/>
              </w:rPr>
            </w:pPr>
            <w:r w:rsidRPr="00C418FF">
              <w:rPr>
                <w:sz w:val="22"/>
                <w:szCs w:val="22"/>
              </w:rPr>
              <w:t>8. Chile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2EA61506" w14:textId="64983BB7" w:rsidR="00D23897" w:rsidRPr="00C418FF" w:rsidRDefault="00D23897" w:rsidP="00E71AFE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C418FF">
              <w:rPr>
                <w:sz w:val="22"/>
                <w:szCs w:val="22"/>
              </w:rPr>
              <w:t>1</w:t>
            </w:r>
            <w:r w:rsidR="004503B9" w:rsidRPr="00C418FF">
              <w:rPr>
                <w:sz w:val="22"/>
                <w:szCs w:val="22"/>
              </w:rPr>
              <w:t>5</w:t>
            </w:r>
            <w:r w:rsidRPr="00C418FF">
              <w:rPr>
                <w:sz w:val="22"/>
                <w:szCs w:val="22"/>
              </w:rPr>
              <w:t>.000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14:paraId="34815914" w14:textId="5B83AACC" w:rsidR="00D23897" w:rsidRPr="00C418FF" w:rsidRDefault="00D23897" w:rsidP="00E71AFE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C418FF">
              <w:rPr>
                <w:sz w:val="22"/>
                <w:szCs w:val="22"/>
              </w:rPr>
              <w:t>2016, 2017</w:t>
            </w:r>
            <w:r w:rsidR="004503B9" w:rsidRPr="00C418FF">
              <w:rPr>
                <w:sz w:val="22"/>
                <w:szCs w:val="22"/>
              </w:rPr>
              <w:t>, 2022</w:t>
            </w:r>
          </w:p>
        </w:tc>
      </w:tr>
      <w:tr w:rsidR="00C418FF" w:rsidRPr="00C418FF" w14:paraId="3870BE8D" w14:textId="77777777" w:rsidTr="004C02DD">
        <w:trPr>
          <w:trHeight w:val="360"/>
        </w:trPr>
        <w:tc>
          <w:tcPr>
            <w:tcW w:w="3150" w:type="dxa"/>
            <w:shd w:val="clear" w:color="auto" w:fill="auto"/>
            <w:noWrap/>
            <w:vAlign w:val="center"/>
            <w:hideMark/>
          </w:tcPr>
          <w:p w14:paraId="669D9263" w14:textId="77777777" w:rsidR="00D23897" w:rsidRPr="00C418FF" w:rsidRDefault="00D23897" w:rsidP="00E71AFE">
            <w:pPr>
              <w:spacing w:line="250" w:lineRule="exact"/>
              <w:rPr>
                <w:sz w:val="22"/>
                <w:szCs w:val="22"/>
              </w:rPr>
            </w:pPr>
            <w:r w:rsidRPr="00C418FF">
              <w:rPr>
                <w:sz w:val="22"/>
                <w:szCs w:val="22"/>
              </w:rPr>
              <w:t>9. Ecuador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4605D334" w14:textId="77777777" w:rsidR="00D23897" w:rsidRPr="00C418FF" w:rsidRDefault="00D23897" w:rsidP="00E71AFE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C418FF">
              <w:rPr>
                <w:sz w:val="22"/>
                <w:szCs w:val="22"/>
              </w:rPr>
              <w:t>10.000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14:paraId="688459AA" w14:textId="77777777" w:rsidR="00D23897" w:rsidRPr="00C418FF" w:rsidRDefault="00D23897" w:rsidP="00E71AFE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C418FF">
              <w:rPr>
                <w:sz w:val="22"/>
                <w:szCs w:val="22"/>
              </w:rPr>
              <w:t>2011, 2013</w:t>
            </w:r>
          </w:p>
        </w:tc>
      </w:tr>
      <w:tr w:rsidR="00C418FF" w:rsidRPr="00C418FF" w14:paraId="55DA01B9" w14:textId="77777777" w:rsidTr="004C02DD">
        <w:trPr>
          <w:trHeight w:val="360"/>
        </w:trPr>
        <w:tc>
          <w:tcPr>
            <w:tcW w:w="3150" w:type="dxa"/>
            <w:shd w:val="clear" w:color="auto" w:fill="auto"/>
            <w:noWrap/>
            <w:vAlign w:val="center"/>
            <w:hideMark/>
          </w:tcPr>
          <w:p w14:paraId="584B015C" w14:textId="77777777" w:rsidR="00D23897" w:rsidRPr="00C418FF" w:rsidRDefault="00D23897" w:rsidP="00E71AFE">
            <w:pPr>
              <w:spacing w:line="250" w:lineRule="exact"/>
              <w:rPr>
                <w:sz w:val="22"/>
                <w:szCs w:val="22"/>
              </w:rPr>
            </w:pPr>
            <w:r w:rsidRPr="00C418FF">
              <w:rPr>
                <w:sz w:val="22"/>
                <w:szCs w:val="22"/>
              </w:rPr>
              <w:t>10. El Salvador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508013F7" w14:textId="77777777" w:rsidR="00D23897" w:rsidRPr="00C418FF" w:rsidRDefault="00D23897" w:rsidP="00E71AFE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C418FF">
              <w:rPr>
                <w:sz w:val="22"/>
                <w:szCs w:val="22"/>
              </w:rPr>
              <w:t>5.000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14:paraId="5C8AD9FF" w14:textId="77777777" w:rsidR="00D23897" w:rsidRPr="00C418FF" w:rsidRDefault="00D23897" w:rsidP="00E71AFE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C418FF">
              <w:rPr>
                <w:sz w:val="22"/>
                <w:szCs w:val="22"/>
              </w:rPr>
              <w:t>2015</w:t>
            </w:r>
          </w:p>
        </w:tc>
      </w:tr>
      <w:tr w:rsidR="00C418FF" w:rsidRPr="00C418FF" w14:paraId="032A25A1" w14:textId="77777777" w:rsidTr="004C02DD">
        <w:trPr>
          <w:trHeight w:val="360"/>
        </w:trPr>
        <w:tc>
          <w:tcPr>
            <w:tcW w:w="3150" w:type="dxa"/>
            <w:shd w:val="clear" w:color="auto" w:fill="auto"/>
            <w:noWrap/>
            <w:vAlign w:val="center"/>
          </w:tcPr>
          <w:p w14:paraId="627BAEE2" w14:textId="16B19BAF" w:rsidR="00A53878" w:rsidRPr="00C418FF" w:rsidRDefault="00A53878" w:rsidP="00E71AFE">
            <w:pPr>
              <w:spacing w:line="250" w:lineRule="exact"/>
              <w:rPr>
                <w:sz w:val="22"/>
                <w:szCs w:val="22"/>
              </w:rPr>
            </w:pPr>
            <w:r w:rsidRPr="00C418FF">
              <w:rPr>
                <w:sz w:val="22"/>
                <w:szCs w:val="22"/>
              </w:rPr>
              <w:t>11. Estados Unidos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3DF10432" w14:textId="29A838DC" w:rsidR="00A53878" w:rsidRPr="00C418FF" w:rsidRDefault="00A53878" w:rsidP="00524BC4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C418FF">
              <w:rPr>
                <w:sz w:val="22"/>
                <w:szCs w:val="22"/>
              </w:rPr>
              <w:t>100.000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 w14:paraId="623AC1D0" w14:textId="7FC3370F" w:rsidR="00A53878" w:rsidRPr="00C418FF" w:rsidRDefault="00A53878" w:rsidP="00DF7CDA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C418FF">
              <w:rPr>
                <w:sz w:val="22"/>
                <w:szCs w:val="22"/>
              </w:rPr>
              <w:t>2023</w:t>
            </w:r>
          </w:p>
        </w:tc>
      </w:tr>
      <w:tr w:rsidR="00C418FF" w:rsidRPr="00C418FF" w14:paraId="01A9E76A" w14:textId="77777777" w:rsidTr="004C02DD">
        <w:trPr>
          <w:trHeight w:val="360"/>
        </w:trPr>
        <w:tc>
          <w:tcPr>
            <w:tcW w:w="3150" w:type="dxa"/>
            <w:shd w:val="clear" w:color="auto" w:fill="auto"/>
            <w:noWrap/>
            <w:vAlign w:val="center"/>
            <w:hideMark/>
          </w:tcPr>
          <w:p w14:paraId="2780FA3D" w14:textId="2E15B162" w:rsidR="00D23897" w:rsidRPr="00C418FF" w:rsidRDefault="00D23897" w:rsidP="00E71AFE">
            <w:pPr>
              <w:spacing w:line="250" w:lineRule="exact"/>
              <w:rPr>
                <w:sz w:val="22"/>
                <w:szCs w:val="22"/>
              </w:rPr>
            </w:pPr>
            <w:r w:rsidRPr="00C418FF">
              <w:rPr>
                <w:sz w:val="22"/>
                <w:szCs w:val="22"/>
              </w:rPr>
              <w:t>1</w:t>
            </w:r>
            <w:r w:rsidR="00A53878" w:rsidRPr="00C418FF">
              <w:rPr>
                <w:sz w:val="22"/>
                <w:szCs w:val="22"/>
              </w:rPr>
              <w:t>2</w:t>
            </w:r>
            <w:r w:rsidRPr="00C418FF">
              <w:rPr>
                <w:sz w:val="22"/>
                <w:szCs w:val="22"/>
              </w:rPr>
              <w:t>. Grenada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1A0CBC72" w14:textId="2B70BEA7" w:rsidR="00D23897" w:rsidRPr="00C418FF" w:rsidRDefault="00524BC4" w:rsidP="00524BC4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C418FF">
              <w:rPr>
                <w:sz w:val="22"/>
                <w:szCs w:val="22"/>
              </w:rPr>
              <w:t>30</w:t>
            </w:r>
            <w:r w:rsidR="00D23897" w:rsidRPr="00C418FF">
              <w:rPr>
                <w:sz w:val="22"/>
                <w:szCs w:val="22"/>
              </w:rPr>
              <w:t>.000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14:paraId="75A6236C" w14:textId="2D0E2784" w:rsidR="00D23897" w:rsidRPr="00C418FF" w:rsidRDefault="00D23897" w:rsidP="00DF7CDA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C418FF">
              <w:rPr>
                <w:sz w:val="22"/>
                <w:szCs w:val="22"/>
              </w:rPr>
              <w:t>2016</w:t>
            </w:r>
            <w:r w:rsidR="00671C05" w:rsidRPr="00C418FF">
              <w:rPr>
                <w:sz w:val="22"/>
                <w:szCs w:val="22"/>
              </w:rPr>
              <w:t>-202</w:t>
            </w:r>
            <w:r w:rsidR="00524BC4" w:rsidRPr="00C418FF">
              <w:rPr>
                <w:sz w:val="22"/>
                <w:szCs w:val="22"/>
              </w:rPr>
              <w:t>1</w:t>
            </w:r>
          </w:p>
        </w:tc>
      </w:tr>
      <w:tr w:rsidR="00C418FF" w:rsidRPr="00C418FF" w14:paraId="35A61C04" w14:textId="77777777" w:rsidTr="004C02DD">
        <w:trPr>
          <w:trHeight w:val="360"/>
        </w:trPr>
        <w:tc>
          <w:tcPr>
            <w:tcW w:w="3150" w:type="dxa"/>
            <w:shd w:val="clear" w:color="auto" w:fill="auto"/>
            <w:noWrap/>
            <w:vAlign w:val="center"/>
            <w:hideMark/>
          </w:tcPr>
          <w:p w14:paraId="6E1F86AD" w14:textId="47E52FDE" w:rsidR="00D23897" w:rsidRPr="00C418FF" w:rsidRDefault="00D23897" w:rsidP="00E71AFE">
            <w:pPr>
              <w:spacing w:line="250" w:lineRule="exact"/>
              <w:rPr>
                <w:sz w:val="22"/>
                <w:szCs w:val="22"/>
              </w:rPr>
            </w:pPr>
            <w:r w:rsidRPr="00C418FF">
              <w:rPr>
                <w:sz w:val="22"/>
                <w:szCs w:val="22"/>
              </w:rPr>
              <w:t>1</w:t>
            </w:r>
            <w:r w:rsidR="00A53878" w:rsidRPr="00C418FF">
              <w:rPr>
                <w:sz w:val="22"/>
                <w:szCs w:val="22"/>
              </w:rPr>
              <w:t>3</w:t>
            </w:r>
            <w:r w:rsidRPr="00C418FF">
              <w:rPr>
                <w:sz w:val="22"/>
                <w:szCs w:val="22"/>
              </w:rPr>
              <w:t>. Guyana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4A7E8B64" w14:textId="79E88718" w:rsidR="00D23897" w:rsidRPr="00C418FF" w:rsidRDefault="00956CF7" w:rsidP="00FD2DF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C418FF">
              <w:rPr>
                <w:sz w:val="22"/>
                <w:szCs w:val="22"/>
              </w:rPr>
              <w:t>31</w:t>
            </w:r>
            <w:r w:rsidR="00FD2DFD" w:rsidRPr="00C418FF">
              <w:rPr>
                <w:sz w:val="22"/>
                <w:szCs w:val="22"/>
              </w:rPr>
              <w:t>.</w:t>
            </w:r>
            <w:r w:rsidR="00D23897" w:rsidRPr="00C418FF">
              <w:rPr>
                <w:sz w:val="22"/>
                <w:szCs w:val="22"/>
              </w:rPr>
              <w:t>8</w:t>
            </w:r>
            <w:r w:rsidRPr="00C418FF">
              <w:rPr>
                <w:sz w:val="22"/>
                <w:szCs w:val="22"/>
              </w:rPr>
              <w:t>0</w:t>
            </w:r>
            <w:r w:rsidR="00F417B9" w:rsidRPr="00C418FF">
              <w:rPr>
                <w:sz w:val="22"/>
                <w:szCs w:val="22"/>
              </w:rPr>
              <w:t>0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14:paraId="73B659F6" w14:textId="5E459F63" w:rsidR="00D23897" w:rsidRPr="00C418FF" w:rsidRDefault="00D23897" w:rsidP="00E71AFE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C418FF">
              <w:rPr>
                <w:sz w:val="22"/>
                <w:szCs w:val="22"/>
              </w:rPr>
              <w:t>2016, 2017</w:t>
            </w:r>
            <w:r w:rsidR="00AD5325" w:rsidRPr="00C418FF">
              <w:rPr>
                <w:sz w:val="22"/>
                <w:szCs w:val="22"/>
              </w:rPr>
              <w:t>, 2022</w:t>
            </w:r>
            <w:r w:rsidR="00956CF7" w:rsidRPr="00C418FF">
              <w:rPr>
                <w:sz w:val="22"/>
                <w:szCs w:val="22"/>
              </w:rPr>
              <w:t>, 2023</w:t>
            </w:r>
          </w:p>
        </w:tc>
      </w:tr>
      <w:tr w:rsidR="00C418FF" w:rsidRPr="00C418FF" w14:paraId="5217BC3B" w14:textId="77777777" w:rsidTr="004C02DD">
        <w:trPr>
          <w:trHeight w:val="360"/>
        </w:trPr>
        <w:tc>
          <w:tcPr>
            <w:tcW w:w="3150" w:type="dxa"/>
            <w:shd w:val="clear" w:color="auto" w:fill="auto"/>
            <w:noWrap/>
            <w:vAlign w:val="center"/>
            <w:hideMark/>
          </w:tcPr>
          <w:p w14:paraId="408DA3CA" w14:textId="09DFA6C2" w:rsidR="00D23897" w:rsidRPr="00C418FF" w:rsidRDefault="00D23897" w:rsidP="00E71AFE">
            <w:pPr>
              <w:spacing w:line="250" w:lineRule="exact"/>
              <w:rPr>
                <w:sz w:val="22"/>
                <w:szCs w:val="22"/>
              </w:rPr>
            </w:pPr>
            <w:r w:rsidRPr="00C418FF">
              <w:rPr>
                <w:sz w:val="22"/>
                <w:szCs w:val="22"/>
              </w:rPr>
              <w:t>1</w:t>
            </w:r>
            <w:r w:rsidR="00A53878" w:rsidRPr="00C418FF">
              <w:rPr>
                <w:sz w:val="22"/>
                <w:szCs w:val="22"/>
              </w:rPr>
              <w:t>4</w:t>
            </w:r>
            <w:r w:rsidRPr="00C418FF">
              <w:rPr>
                <w:sz w:val="22"/>
                <w:szCs w:val="22"/>
              </w:rPr>
              <w:t>. Jamaica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14D14A29" w14:textId="7940BDA5" w:rsidR="00D23897" w:rsidRPr="00C418FF" w:rsidRDefault="00AD5325" w:rsidP="00E71AFE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C418FF">
              <w:rPr>
                <w:sz w:val="22"/>
                <w:szCs w:val="22"/>
              </w:rPr>
              <w:t>22.469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14:paraId="3C16CF33" w14:textId="545DC64F" w:rsidR="00D23897" w:rsidRPr="00C418FF" w:rsidRDefault="00D23897" w:rsidP="00E71AFE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C418FF">
              <w:rPr>
                <w:sz w:val="22"/>
                <w:szCs w:val="22"/>
              </w:rPr>
              <w:t>2012-2015</w:t>
            </w:r>
            <w:r w:rsidR="004003DA" w:rsidRPr="00C418FF">
              <w:rPr>
                <w:sz w:val="22"/>
                <w:szCs w:val="22"/>
              </w:rPr>
              <w:t>, 2022</w:t>
            </w:r>
          </w:p>
        </w:tc>
      </w:tr>
      <w:tr w:rsidR="00C418FF" w:rsidRPr="00C418FF" w14:paraId="19E8AAB0" w14:textId="77777777" w:rsidTr="004C02DD">
        <w:trPr>
          <w:trHeight w:val="360"/>
        </w:trPr>
        <w:tc>
          <w:tcPr>
            <w:tcW w:w="3150" w:type="dxa"/>
            <w:shd w:val="clear" w:color="auto" w:fill="auto"/>
            <w:noWrap/>
            <w:vAlign w:val="center"/>
            <w:hideMark/>
          </w:tcPr>
          <w:p w14:paraId="739D0211" w14:textId="67BA272B" w:rsidR="00D23897" w:rsidRPr="00C418FF" w:rsidRDefault="00D23897" w:rsidP="00E71AFE">
            <w:pPr>
              <w:spacing w:line="250" w:lineRule="exact"/>
              <w:rPr>
                <w:sz w:val="22"/>
                <w:szCs w:val="22"/>
              </w:rPr>
            </w:pPr>
            <w:r w:rsidRPr="00C418FF">
              <w:rPr>
                <w:sz w:val="22"/>
                <w:szCs w:val="22"/>
              </w:rPr>
              <w:t>1</w:t>
            </w:r>
            <w:r w:rsidR="00A53878" w:rsidRPr="00C418FF">
              <w:rPr>
                <w:sz w:val="22"/>
                <w:szCs w:val="22"/>
              </w:rPr>
              <w:t>5</w:t>
            </w:r>
            <w:r w:rsidRPr="00C418FF">
              <w:rPr>
                <w:sz w:val="22"/>
                <w:szCs w:val="22"/>
              </w:rPr>
              <w:t>. México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69652FD3" w14:textId="77777777" w:rsidR="00D23897" w:rsidRPr="00C418FF" w:rsidRDefault="00D23897" w:rsidP="00E71AFE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C418FF">
              <w:rPr>
                <w:sz w:val="22"/>
                <w:szCs w:val="22"/>
              </w:rPr>
              <w:t>19.194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14:paraId="69E88FFC" w14:textId="77777777" w:rsidR="00D23897" w:rsidRPr="00C418FF" w:rsidRDefault="00D23897" w:rsidP="00E71AFE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C418FF">
              <w:rPr>
                <w:sz w:val="22"/>
                <w:szCs w:val="22"/>
              </w:rPr>
              <w:t>2011, 2013, 2014, 2015</w:t>
            </w:r>
          </w:p>
        </w:tc>
      </w:tr>
      <w:tr w:rsidR="00C418FF" w:rsidRPr="00C418FF" w14:paraId="75B14F09" w14:textId="77777777" w:rsidTr="004C02DD">
        <w:trPr>
          <w:trHeight w:val="360"/>
        </w:trPr>
        <w:tc>
          <w:tcPr>
            <w:tcW w:w="3150" w:type="dxa"/>
            <w:shd w:val="clear" w:color="auto" w:fill="auto"/>
            <w:noWrap/>
            <w:vAlign w:val="center"/>
            <w:hideMark/>
          </w:tcPr>
          <w:p w14:paraId="0DE8EA3F" w14:textId="4AD3F4E5" w:rsidR="00D23897" w:rsidRPr="00C418FF" w:rsidRDefault="00D23897" w:rsidP="00E71AFE">
            <w:pPr>
              <w:spacing w:line="250" w:lineRule="exact"/>
              <w:rPr>
                <w:sz w:val="22"/>
                <w:szCs w:val="22"/>
              </w:rPr>
            </w:pPr>
            <w:r w:rsidRPr="00C418FF">
              <w:rPr>
                <w:sz w:val="22"/>
                <w:szCs w:val="22"/>
              </w:rPr>
              <w:t>1</w:t>
            </w:r>
            <w:r w:rsidR="00A53878" w:rsidRPr="00C418FF">
              <w:rPr>
                <w:sz w:val="22"/>
                <w:szCs w:val="22"/>
              </w:rPr>
              <w:t>6</w:t>
            </w:r>
            <w:r w:rsidRPr="00C418FF">
              <w:rPr>
                <w:sz w:val="22"/>
                <w:szCs w:val="22"/>
              </w:rPr>
              <w:t>. Panamá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3B6F313A" w14:textId="51E7F035" w:rsidR="00D23897" w:rsidRPr="00C418FF" w:rsidRDefault="00524BC4" w:rsidP="00E71AFE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C418FF">
              <w:rPr>
                <w:sz w:val="22"/>
                <w:szCs w:val="22"/>
              </w:rPr>
              <w:t>4</w:t>
            </w:r>
            <w:r w:rsidR="004003DA" w:rsidRPr="00C418FF">
              <w:rPr>
                <w:sz w:val="22"/>
                <w:szCs w:val="22"/>
              </w:rPr>
              <w:t>5</w:t>
            </w:r>
            <w:r w:rsidR="00D23897" w:rsidRPr="00C418FF">
              <w:rPr>
                <w:sz w:val="22"/>
                <w:szCs w:val="22"/>
              </w:rPr>
              <w:t>.000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14:paraId="33C05CB5" w14:textId="23537629" w:rsidR="00D23897" w:rsidRPr="00C418FF" w:rsidRDefault="00D23897" w:rsidP="00DF7CDA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C418FF">
              <w:rPr>
                <w:sz w:val="22"/>
                <w:szCs w:val="22"/>
              </w:rPr>
              <w:t>2011, 2013, 2015-201</w:t>
            </w:r>
            <w:r w:rsidR="00DF7CDA" w:rsidRPr="00C418FF">
              <w:rPr>
                <w:sz w:val="22"/>
                <w:szCs w:val="22"/>
              </w:rPr>
              <w:t>8</w:t>
            </w:r>
            <w:r w:rsidR="00671C05" w:rsidRPr="00C418FF">
              <w:rPr>
                <w:sz w:val="22"/>
                <w:szCs w:val="22"/>
              </w:rPr>
              <w:t>, 2020</w:t>
            </w:r>
            <w:r w:rsidR="00524BC4" w:rsidRPr="00C418FF">
              <w:rPr>
                <w:sz w:val="22"/>
                <w:szCs w:val="22"/>
              </w:rPr>
              <w:t>-202</w:t>
            </w:r>
            <w:r w:rsidR="004003DA" w:rsidRPr="00C418FF">
              <w:rPr>
                <w:sz w:val="22"/>
                <w:szCs w:val="22"/>
              </w:rPr>
              <w:t>2</w:t>
            </w:r>
          </w:p>
        </w:tc>
      </w:tr>
      <w:tr w:rsidR="00C418FF" w:rsidRPr="00C418FF" w14:paraId="7831979D" w14:textId="77777777" w:rsidTr="004C02DD">
        <w:trPr>
          <w:trHeight w:val="360"/>
        </w:trPr>
        <w:tc>
          <w:tcPr>
            <w:tcW w:w="3150" w:type="dxa"/>
            <w:shd w:val="clear" w:color="auto" w:fill="auto"/>
            <w:noWrap/>
            <w:vAlign w:val="center"/>
            <w:hideMark/>
          </w:tcPr>
          <w:p w14:paraId="2E3210D2" w14:textId="456B9D32" w:rsidR="00D23897" w:rsidRPr="00C418FF" w:rsidRDefault="00D23897" w:rsidP="00E71AFE">
            <w:pPr>
              <w:spacing w:line="250" w:lineRule="exact"/>
              <w:rPr>
                <w:sz w:val="22"/>
                <w:szCs w:val="22"/>
              </w:rPr>
            </w:pPr>
            <w:r w:rsidRPr="00C418FF">
              <w:rPr>
                <w:sz w:val="22"/>
                <w:szCs w:val="22"/>
              </w:rPr>
              <w:t>1</w:t>
            </w:r>
            <w:r w:rsidR="00A53878" w:rsidRPr="00C418FF">
              <w:rPr>
                <w:sz w:val="22"/>
                <w:szCs w:val="22"/>
              </w:rPr>
              <w:t>7</w:t>
            </w:r>
            <w:r w:rsidRPr="00C418FF">
              <w:rPr>
                <w:sz w:val="22"/>
                <w:szCs w:val="22"/>
              </w:rPr>
              <w:t>. Paraguay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51BC0834" w14:textId="71DC49FD" w:rsidR="00D23897" w:rsidRPr="00C418FF" w:rsidRDefault="003C53FD" w:rsidP="0049599C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C418FF">
              <w:rPr>
                <w:sz w:val="22"/>
                <w:szCs w:val="22"/>
              </w:rPr>
              <w:t>33.922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14:paraId="35938A68" w14:textId="7CA6C50B" w:rsidR="00D23897" w:rsidRPr="00C418FF" w:rsidRDefault="00D23897" w:rsidP="0049599C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C418FF">
              <w:rPr>
                <w:sz w:val="22"/>
                <w:szCs w:val="22"/>
              </w:rPr>
              <w:t>2015</w:t>
            </w:r>
            <w:r w:rsidR="00B62622" w:rsidRPr="00C418FF">
              <w:rPr>
                <w:sz w:val="22"/>
                <w:szCs w:val="22"/>
              </w:rPr>
              <w:t>-201</w:t>
            </w:r>
            <w:r w:rsidR="0049599C" w:rsidRPr="00C418FF">
              <w:rPr>
                <w:sz w:val="22"/>
                <w:szCs w:val="22"/>
              </w:rPr>
              <w:t>9</w:t>
            </w:r>
            <w:r w:rsidR="003C53FD" w:rsidRPr="00C418FF">
              <w:rPr>
                <w:sz w:val="22"/>
                <w:szCs w:val="22"/>
              </w:rPr>
              <w:t>, 2022</w:t>
            </w:r>
          </w:p>
        </w:tc>
      </w:tr>
      <w:tr w:rsidR="00C418FF" w:rsidRPr="00C418FF" w14:paraId="0C934BD0" w14:textId="77777777" w:rsidTr="004C02DD">
        <w:trPr>
          <w:trHeight w:val="360"/>
        </w:trPr>
        <w:tc>
          <w:tcPr>
            <w:tcW w:w="3150" w:type="dxa"/>
            <w:shd w:val="clear" w:color="auto" w:fill="auto"/>
            <w:noWrap/>
            <w:vAlign w:val="center"/>
            <w:hideMark/>
          </w:tcPr>
          <w:p w14:paraId="21924817" w14:textId="0E557020" w:rsidR="00D23897" w:rsidRPr="00C418FF" w:rsidRDefault="00D23897" w:rsidP="00E71AFE">
            <w:pPr>
              <w:spacing w:line="250" w:lineRule="exact"/>
              <w:rPr>
                <w:sz w:val="22"/>
                <w:szCs w:val="22"/>
              </w:rPr>
            </w:pPr>
            <w:r w:rsidRPr="00C418FF">
              <w:rPr>
                <w:sz w:val="22"/>
                <w:szCs w:val="22"/>
              </w:rPr>
              <w:t>1</w:t>
            </w:r>
            <w:r w:rsidR="00A53878" w:rsidRPr="00C418FF">
              <w:rPr>
                <w:sz w:val="22"/>
                <w:szCs w:val="22"/>
              </w:rPr>
              <w:t>8</w:t>
            </w:r>
            <w:r w:rsidRPr="00C418FF">
              <w:rPr>
                <w:sz w:val="22"/>
                <w:szCs w:val="22"/>
              </w:rPr>
              <w:t>. Perú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03E45D1F" w14:textId="67C44E7E" w:rsidR="00D23897" w:rsidRPr="00C418FF" w:rsidRDefault="008F257F" w:rsidP="00671C05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C418FF">
              <w:rPr>
                <w:sz w:val="22"/>
                <w:szCs w:val="22"/>
              </w:rPr>
              <w:t>54</w:t>
            </w:r>
            <w:r w:rsidR="00671C05" w:rsidRPr="00C418FF">
              <w:rPr>
                <w:sz w:val="22"/>
                <w:szCs w:val="22"/>
              </w:rPr>
              <w:t>.7</w:t>
            </w:r>
            <w:r w:rsidR="00524BC4" w:rsidRPr="00C418FF">
              <w:rPr>
                <w:sz w:val="22"/>
                <w:szCs w:val="22"/>
              </w:rPr>
              <w:t>00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14:paraId="6AD51BAA" w14:textId="75F2AD94" w:rsidR="00D23897" w:rsidRPr="00C418FF" w:rsidRDefault="00D23897" w:rsidP="00B62622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C418FF">
              <w:rPr>
                <w:sz w:val="22"/>
                <w:szCs w:val="22"/>
              </w:rPr>
              <w:t>2</w:t>
            </w:r>
            <w:r w:rsidR="00671C05" w:rsidRPr="00C418FF">
              <w:rPr>
                <w:sz w:val="22"/>
                <w:szCs w:val="22"/>
              </w:rPr>
              <w:t>012-202</w:t>
            </w:r>
            <w:r w:rsidR="008F257F" w:rsidRPr="00C418FF">
              <w:rPr>
                <w:sz w:val="22"/>
                <w:szCs w:val="22"/>
              </w:rPr>
              <w:t>2</w:t>
            </w:r>
          </w:p>
        </w:tc>
      </w:tr>
      <w:tr w:rsidR="00C418FF" w:rsidRPr="00C418FF" w14:paraId="4FDA21C2" w14:textId="77777777" w:rsidTr="004C02DD">
        <w:trPr>
          <w:trHeight w:val="360"/>
        </w:trPr>
        <w:tc>
          <w:tcPr>
            <w:tcW w:w="3150" w:type="dxa"/>
            <w:shd w:val="clear" w:color="auto" w:fill="auto"/>
            <w:noWrap/>
            <w:vAlign w:val="center"/>
            <w:hideMark/>
          </w:tcPr>
          <w:p w14:paraId="09D01234" w14:textId="6D80D053" w:rsidR="00D23897" w:rsidRPr="00C418FF" w:rsidRDefault="00D23897" w:rsidP="00E71AFE">
            <w:pPr>
              <w:spacing w:line="250" w:lineRule="exact"/>
              <w:rPr>
                <w:sz w:val="22"/>
                <w:szCs w:val="22"/>
              </w:rPr>
            </w:pPr>
            <w:r w:rsidRPr="00C418FF">
              <w:rPr>
                <w:sz w:val="22"/>
                <w:szCs w:val="22"/>
              </w:rPr>
              <w:t>1</w:t>
            </w:r>
            <w:r w:rsidR="00A53878" w:rsidRPr="00C418FF">
              <w:rPr>
                <w:sz w:val="22"/>
                <w:szCs w:val="22"/>
              </w:rPr>
              <w:t>9</w:t>
            </w:r>
            <w:r w:rsidRPr="00C418FF">
              <w:rPr>
                <w:sz w:val="22"/>
                <w:szCs w:val="22"/>
              </w:rPr>
              <w:t>. Rep. Dominicana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0E570BBE" w14:textId="590E1BD2" w:rsidR="00D23897" w:rsidRPr="00C418FF" w:rsidRDefault="00FD2DFD" w:rsidP="001B17EB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C418FF">
              <w:rPr>
                <w:sz w:val="22"/>
                <w:szCs w:val="22"/>
              </w:rPr>
              <w:t>2</w:t>
            </w:r>
            <w:r w:rsidR="00524BC4" w:rsidRPr="00C418FF">
              <w:rPr>
                <w:sz w:val="22"/>
                <w:szCs w:val="22"/>
              </w:rPr>
              <w:t>9.776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14:paraId="3C6A2A00" w14:textId="0887EA1B" w:rsidR="00D23897" w:rsidRPr="00C418FF" w:rsidRDefault="00D23897" w:rsidP="001B17EB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C418FF">
              <w:rPr>
                <w:sz w:val="22"/>
                <w:szCs w:val="22"/>
              </w:rPr>
              <w:t>2012, 2013</w:t>
            </w:r>
            <w:r w:rsidR="009C2226" w:rsidRPr="00C418FF">
              <w:rPr>
                <w:sz w:val="22"/>
                <w:szCs w:val="22"/>
              </w:rPr>
              <w:t>, 2018</w:t>
            </w:r>
            <w:r w:rsidR="001B17EB" w:rsidRPr="00C418FF">
              <w:rPr>
                <w:sz w:val="22"/>
                <w:szCs w:val="22"/>
              </w:rPr>
              <w:t>-202</w:t>
            </w:r>
            <w:r w:rsidR="00524BC4" w:rsidRPr="00C418FF">
              <w:rPr>
                <w:sz w:val="22"/>
                <w:szCs w:val="22"/>
              </w:rPr>
              <w:t>1</w:t>
            </w:r>
          </w:p>
        </w:tc>
      </w:tr>
      <w:tr w:rsidR="00C418FF" w:rsidRPr="00C418FF" w14:paraId="2C9B0061" w14:textId="77777777" w:rsidTr="004C02DD">
        <w:trPr>
          <w:trHeight w:val="360"/>
        </w:trPr>
        <w:tc>
          <w:tcPr>
            <w:tcW w:w="3150" w:type="dxa"/>
            <w:shd w:val="clear" w:color="auto" w:fill="auto"/>
            <w:noWrap/>
            <w:vAlign w:val="center"/>
            <w:hideMark/>
          </w:tcPr>
          <w:p w14:paraId="7E4DEE8F" w14:textId="269C3DF1" w:rsidR="00D23897" w:rsidRPr="00C418FF" w:rsidRDefault="00A53878" w:rsidP="00E71AFE">
            <w:pPr>
              <w:spacing w:line="250" w:lineRule="exact"/>
              <w:rPr>
                <w:sz w:val="22"/>
                <w:szCs w:val="22"/>
              </w:rPr>
            </w:pPr>
            <w:r w:rsidRPr="00C418FF">
              <w:rPr>
                <w:sz w:val="22"/>
                <w:szCs w:val="22"/>
              </w:rPr>
              <w:lastRenderedPageBreak/>
              <w:t>20</w:t>
            </w:r>
            <w:r w:rsidR="00D23897" w:rsidRPr="00C418FF">
              <w:rPr>
                <w:sz w:val="22"/>
                <w:szCs w:val="22"/>
              </w:rPr>
              <w:t>. Saint Kitts and Nevis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0EC5D10C" w14:textId="16770460" w:rsidR="00D23897" w:rsidRPr="00C418FF" w:rsidRDefault="00956CF7" w:rsidP="00671C05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C418FF">
              <w:rPr>
                <w:sz w:val="22"/>
                <w:szCs w:val="22"/>
              </w:rPr>
              <w:t>23</w:t>
            </w:r>
            <w:r w:rsidR="00671C05" w:rsidRPr="00C418FF">
              <w:rPr>
                <w:sz w:val="22"/>
                <w:szCs w:val="22"/>
              </w:rPr>
              <w:t>.285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14:paraId="55F17ED1" w14:textId="75455FC1" w:rsidR="00D23897" w:rsidRPr="00C418FF" w:rsidRDefault="00D23897" w:rsidP="00E71AFE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C418FF">
              <w:rPr>
                <w:sz w:val="22"/>
                <w:szCs w:val="22"/>
              </w:rPr>
              <w:t>2017</w:t>
            </w:r>
            <w:r w:rsidR="0049599C" w:rsidRPr="00C418FF">
              <w:rPr>
                <w:sz w:val="22"/>
                <w:szCs w:val="22"/>
              </w:rPr>
              <w:t>, 2019</w:t>
            </w:r>
            <w:r w:rsidR="00524BC4" w:rsidRPr="00C418FF">
              <w:rPr>
                <w:sz w:val="22"/>
                <w:szCs w:val="22"/>
              </w:rPr>
              <w:t>-</w:t>
            </w:r>
            <w:r w:rsidR="00671C05" w:rsidRPr="00C418FF">
              <w:rPr>
                <w:sz w:val="22"/>
                <w:szCs w:val="22"/>
              </w:rPr>
              <w:t>202</w:t>
            </w:r>
            <w:r w:rsidR="00956CF7" w:rsidRPr="00C418FF">
              <w:rPr>
                <w:sz w:val="22"/>
                <w:szCs w:val="22"/>
              </w:rPr>
              <w:t>3</w:t>
            </w:r>
          </w:p>
        </w:tc>
      </w:tr>
      <w:tr w:rsidR="00C418FF" w:rsidRPr="00C418FF" w14:paraId="691D98BE" w14:textId="77777777" w:rsidTr="004C02DD">
        <w:trPr>
          <w:trHeight w:val="360"/>
        </w:trPr>
        <w:tc>
          <w:tcPr>
            <w:tcW w:w="3150" w:type="dxa"/>
            <w:shd w:val="clear" w:color="auto" w:fill="auto"/>
            <w:noWrap/>
            <w:vAlign w:val="center"/>
            <w:hideMark/>
          </w:tcPr>
          <w:p w14:paraId="516A44A8" w14:textId="6B0867BC" w:rsidR="00D23897" w:rsidRPr="00C418FF" w:rsidRDefault="00D23897" w:rsidP="00E71AFE">
            <w:pPr>
              <w:spacing w:line="250" w:lineRule="exact"/>
              <w:rPr>
                <w:sz w:val="22"/>
                <w:szCs w:val="22"/>
              </w:rPr>
            </w:pPr>
            <w:r w:rsidRPr="00C418FF">
              <w:rPr>
                <w:sz w:val="22"/>
                <w:szCs w:val="22"/>
              </w:rPr>
              <w:t>2</w:t>
            </w:r>
            <w:r w:rsidR="00A53878" w:rsidRPr="00C418FF">
              <w:rPr>
                <w:sz w:val="22"/>
                <w:szCs w:val="22"/>
              </w:rPr>
              <w:t>1</w:t>
            </w:r>
            <w:r w:rsidRPr="00C418FF">
              <w:rPr>
                <w:sz w:val="22"/>
                <w:szCs w:val="22"/>
              </w:rPr>
              <w:t>. Suriname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74D8BC71" w14:textId="77777777" w:rsidR="00D23897" w:rsidRPr="00C418FF" w:rsidRDefault="00D23897" w:rsidP="00E71AFE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C418FF">
              <w:rPr>
                <w:sz w:val="22"/>
                <w:szCs w:val="22"/>
              </w:rPr>
              <w:t>4.980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14:paraId="39C22BF8" w14:textId="77777777" w:rsidR="00D23897" w:rsidRPr="00C418FF" w:rsidRDefault="00D23897" w:rsidP="00E71AFE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C418FF">
              <w:rPr>
                <w:sz w:val="22"/>
                <w:szCs w:val="22"/>
              </w:rPr>
              <w:t>2011</w:t>
            </w:r>
          </w:p>
        </w:tc>
      </w:tr>
      <w:tr w:rsidR="00C418FF" w:rsidRPr="00C418FF" w14:paraId="160212A3" w14:textId="77777777" w:rsidTr="004C02DD">
        <w:trPr>
          <w:trHeight w:val="360"/>
        </w:trPr>
        <w:tc>
          <w:tcPr>
            <w:tcW w:w="3150" w:type="dxa"/>
            <w:shd w:val="clear" w:color="auto" w:fill="auto"/>
            <w:noWrap/>
            <w:vAlign w:val="center"/>
            <w:hideMark/>
          </w:tcPr>
          <w:p w14:paraId="2F798E16" w14:textId="289AA55B" w:rsidR="00D23897" w:rsidRPr="00C418FF" w:rsidRDefault="00D23897" w:rsidP="00E71AFE">
            <w:pPr>
              <w:spacing w:line="250" w:lineRule="exact"/>
              <w:rPr>
                <w:sz w:val="22"/>
                <w:szCs w:val="22"/>
              </w:rPr>
            </w:pPr>
            <w:r w:rsidRPr="00C418FF">
              <w:rPr>
                <w:sz w:val="22"/>
                <w:szCs w:val="22"/>
              </w:rPr>
              <w:t>2</w:t>
            </w:r>
            <w:r w:rsidR="00A53878" w:rsidRPr="00C418FF">
              <w:rPr>
                <w:sz w:val="22"/>
                <w:szCs w:val="22"/>
              </w:rPr>
              <w:t>2</w:t>
            </w:r>
            <w:r w:rsidRPr="00C418FF">
              <w:rPr>
                <w:sz w:val="22"/>
                <w:szCs w:val="22"/>
              </w:rPr>
              <w:t>. Trinidad &amp; Tobago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654CAC65" w14:textId="5453A507" w:rsidR="00D23897" w:rsidRPr="00C418FF" w:rsidRDefault="00956CF7" w:rsidP="001B17EB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C418FF">
              <w:rPr>
                <w:sz w:val="22"/>
                <w:szCs w:val="22"/>
              </w:rPr>
              <w:t>10</w:t>
            </w:r>
            <w:r w:rsidR="00524BC4" w:rsidRPr="00C418FF">
              <w:rPr>
                <w:sz w:val="22"/>
                <w:szCs w:val="22"/>
              </w:rPr>
              <w:t>5</w:t>
            </w:r>
            <w:r w:rsidR="00D23897" w:rsidRPr="00C418FF">
              <w:rPr>
                <w:sz w:val="22"/>
                <w:szCs w:val="22"/>
              </w:rPr>
              <w:t>.000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14:paraId="497E86B1" w14:textId="2852A76E" w:rsidR="00D23897" w:rsidRPr="00C418FF" w:rsidRDefault="00D23897" w:rsidP="009C2226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C418FF">
              <w:rPr>
                <w:sz w:val="22"/>
                <w:szCs w:val="22"/>
              </w:rPr>
              <w:t>2011-201</w:t>
            </w:r>
            <w:r w:rsidR="009C2226" w:rsidRPr="00C418FF">
              <w:rPr>
                <w:sz w:val="22"/>
                <w:szCs w:val="22"/>
              </w:rPr>
              <w:t>8</w:t>
            </w:r>
            <w:r w:rsidR="001B17EB" w:rsidRPr="00C418FF">
              <w:rPr>
                <w:sz w:val="22"/>
                <w:szCs w:val="22"/>
              </w:rPr>
              <w:t>, 2020</w:t>
            </w:r>
            <w:r w:rsidR="00524BC4" w:rsidRPr="00C418FF">
              <w:rPr>
                <w:sz w:val="22"/>
                <w:szCs w:val="22"/>
              </w:rPr>
              <w:t>-2021</w:t>
            </w:r>
            <w:r w:rsidR="00956CF7" w:rsidRPr="00C418FF">
              <w:rPr>
                <w:sz w:val="22"/>
                <w:szCs w:val="22"/>
              </w:rPr>
              <w:t>, 2023</w:t>
            </w:r>
          </w:p>
        </w:tc>
      </w:tr>
      <w:tr w:rsidR="00C418FF" w:rsidRPr="00C418FF" w14:paraId="2FE4D03B" w14:textId="77777777" w:rsidTr="004C02DD">
        <w:trPr>
          <w:trHeight w:val="360"/>
        </w:trPr>
        <w:tc>
          <w:tcPr>
            <w:tcW w:w="3150" w:type="dxa"/>
            <w:shd w:val="clear" w:color="auto" w:fill="auto"/>
            <w:noWrap/>
            <w:vAlign w:val="center"/>
            <w:hideMark/>
          </w:tcPr>
          <w:p w14:paraId="6891C4FD" w14:textId="6146A58E" w:rsidR="00D23897" w:rsidRPr="00C418FF" w:rsidRDefault="00D23897" w:rsidP="00E71AFE">
            <w:pPr>
              <w:spacing w:line="250" w:lineRule="exact"/>
              <w:jc w:val="center"/>
              <w:rPr>
                <w:b/>
                <w:bCs/>
                <w:sz w:val="22"/>
                <w:szCs w:val="22"/>
              </w:rPr>
            </w:pPr>
            <w:r w:rsidRPr="00C418FF">
              <w:rPr>
                <w:b/>
                <w:bCs/>
                <w:sz w:val="22"/>
                <w:szCs w:val="22"/>
              </w:rPr>
              <w:t>TOTAL</w:t>
            </w:r>
            <w:r w:rsidR="009C2226" w:rsidRPr="00C418FF">
              <w:rPr>
                <w:b/>
                <w:bCs/>
                <w:sz w:val="22"/>
                <w:szCs w:val="22"/>
              </w:rPr>
              <w:t xml:space="preserve"> </w:t>
            </w:r>
            <w:r w:rsidR="009D2440" w:rsidRPr="00C418FF">
              <w:rPr>
                <w:b/>
                <w:bCs/>
                <w:sz w:val="22"/>
                <w:szCs w:val="22"/>
              </w:rPr>
              <w:t xml:space="preserve">- </w:t>
            </w:r>
            <w:r w:rsidR="009C2226" w:rsidRPr="00C418FF">
              <w:rPr>
                <w:b/>
                <w:bCs/>
                <w:sz w:val="22"/>
                <w:szCs w:val="22"/>
              </w:rPr>
              <w:t>Fondo</w:t>
            </w:r>
            <w:r w:rsidR="009D2440" w:rsidRPr="00C418FF">
              <w:rPr>
                <w:b/>
                <w:bCs/>
                <w:sz w:val="22"/>
                <w:szCs w:val="22"/>
              </w:rPr>
              <w:t xml:space="preserve"> Voluntario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3B3F0C94" w14:textId="0B34E309" w:rsidR="00D23897" w:rsidRPr="00C418FF" w:rsidRDefault="00A41793" w:rsidP="00671C05">
            <w:pPr>
              <w:spacing w:line="250" w:lineRule="exact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C418FF">
              <w:rPr>
                <w:b/>
                <w:bCs/>
                <w:sz w:val="22"/>
                <w:szCs w:val="22"/>
              </w:rPr>
              <w:t xml:space="preserve">$ </w:t>
            </w:r>
            <w:r w:rsidR="00B85161" w:rsidRPr="00C418FF">
              <w:rPr>
                <w:b/>
                <w:bCs/>
                <w:sz w:val="22"/>
                <w:szCs w:val="22"/>
              </w:rPr>
              <w:t>773.11</w:t>
            </w:r>
            <w:r w:rsidR="00C9387F" w:rsidRPr="00C418F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14:paraId="7CD26E77" w14:textId="77777777" w:rsidR="00D23897" w:rsidRPr="00C418FF" w:rsidRDefault="00D23897" w:rsidP="00E71AFE">
            <w:pPr>
              <w:spacing w:line="25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418FF" w:rsidRPr="00C418FF" w14:paraId="00DFF4E2" w14:textId="77777777" w:rsidTr="004C02DD">
        <w:trPr>
          <w:trHeight w:val="360"/>
        </w:trPr>
        <w:tc>
          <w:tcPr>
            <w:tcW w:w="3150" w:type="dxa"/>
            <w:shd w:val="clear" w:color="auto" w:fill="auto"/>
            <w:noWrap/>
          </w:tcPr>
          <w:p w14:paraId="78152ACB" w14:textId="32ACFB59" w:rsidR="009C2226" w:rsidRPr="00C418FF" w:rsidRDefault="009C2226" w:rsidP="009C2226">
            <w:pPr>
              <w:spacing w:line="250" w:lineRule="exact"/>
              <w:jc w:val="both"/>
              <w:rPr>
                <w:bCs/>
                <w:sz w:val="22"/>
                <w:szCs w:val="22"/>
              </w:rPr>
            </w:pPr>
            <w:r w:rsidRPr="00C418FF">
              <w:rPr>
                <w:bCs/>
                <w:sz w:val="22"/>
                <w:szCs w:val="22"/>
              </w:rPr>
              <w:t>2</w:t>
            </w:r>
            <w:r w:rsidR="00F43682" w:rsidRPr="00C418FF">
              <w:rPr>
                <w:bCs/>
                <w:sz w:val="22"/>
                <w:szCs w:val="22"/>
              </w:rPr>
              <w:t>3</w:t>
            </w:r>
            <w:r w:rsidRPr="00C418FF">
              <w:rPr>
                <w:bCs/>
                <w:sz w:val="22"/>
                <w:szCs w:val="22"/>
              </w:rPr>
              <w:t>. Contribución Canadá</w:t>
            </w:r>
          </w:p>
        </w:tc>
        <w:tc>
          <w:tcPr>
            <w:tcW w:w="1890" w:type="dxa"/>
            <w:shd w:val="clear" w:color="auto" w:fill="auto"/>
            <w:noWrap/>
          </w:tcPr>
          <w:p w14:paraId="5F1792E6" w14:textId="77777777" w:rsidR="009C2226" w:rsidRPr="00C418FF" w:rsidRDefault="009C2226" w:rsidP="009C2226">
            <w:pPr>
              <w:spacing w:line="250" w:lineRule="exact"/>
              <w:jc w:val="center"/>
              <w:rPr>
                <w:bCs/>
                <w:sz w:val="22"/>
                <w:szCs w:val="22"/>
              </w:rPr>
            </w:pPr>
            <w:r w:rsidRPr="00C418FF">
              <w:rPr>
                <w:bCs/>
                <w:sz w:val="22"/>
                <w:szCs w:val="22"/>
              </w:rPr>
              <w:t>$353.000</w:t>
            </w:r>
          </w:p>
        </w:tc>
        <w:tc>
          <w:tcPr>
            <w:tcW w:w="3420" w:type="dxa"/>
            <w:shd w:val="clear" w:color="auto" w:fill="auto"/>
            <w:noWrap/>
          </w:tcPr>
          <w:p w14:paraId="266B63CA" w14:textId="77777777" w:rsidR="009C2226" w:rsidRPr="00C418FF" w:rsidRDefault="009C2226" w:rsidP="00B65FC0">
            <w:pPr>
              <w:spacing w:line="250" w:lineRule="exact"/>
              <w:jc w:val="center"/>
              <w:rPr>
                <w:bCs/>
                <w:sz w:val="22"/>
                <w:szCs w:val="22"/>
              </w:rPr>
            </w:pPr>
            <w:r w:rsidRPr="00C418FF">
              <w:rPr>
                <w:bCs/>
                <w:sz w:val="22"/>
                <w:szCs w:val="22"/>
              </w:rPr>
              <w:t>2</w:t>
            </w:r>
            <w:r w:rsidR="00B65FC0" w:rsidRPr="00C418FF">
              <w:rPr>
                <w:bCs/>
                <w:sz w:val="22"/>
                <w:szCs w:val="22"/>
              </w:rPr>
              <w:t>012-</w:t>
            </w:r>
            <w:r w:rsidRPr="00C418FF">
              <w:rPr>
                <w:bCs/>
                <w:sz w:val="22"/>
                <w:szCs w:val="22"/>
              </w:rPr>
              <w:t>2014</w:t>
            </w:r>
            <w:r w:rsidR="00B65FC0" w:rsidRPr="00C418FF">
              <w:rPr>
                <w:bCs/>
                <w:sz w:val="22"/>
                <w:szCs w:val="22"/>
              </w:rPr>
              <w:t xml:space="preserve"> y 2018-2020</w:t>
            </w:r>
          </w:p>
        </w:tc>
      </w:tr>
      <w:tr w:rsidR="00C418FF" w:rsidRPr="00C418FF" w14:paraId="37FA3F4B" w14:textId="77777777" w:rsidTr="004C02DD">
        <w:trPr>
          <w:trHeight w:val="360"/>
        </w:trPr>
        <w:tc>
          <w:tcPr>
            <w:tcW w:w="3150" w:type="dxa"/>
            <w:shd w:val="clear" w:color="auto" w:fill="auto"/>
            <w:noWrap/>
          </w:tcPr>
          <w:p w14:paraId="2AC233EE" w14:textId="77777777" w:rsidR="009C2226" w:rsidRPr="00C418FF" w:rsidRDefault="009C2226" w:rsidP="009C2226">
            <w:pPr>
              <w:spacing w:line="250" w:lineRule="exact"/>
              <w:jc w:val="both"/>
              <w:rPr>
                <w:bCs/>
                <w:sz w:val="22"/>
                <w:szCs w:val="22"/>
              </w:rPr>
            </w:pPr>
            <w:r w:rsidRPr="00C418FF">
              <w:rPr>
                <w:b/>
                <w:bCs/>
                <w:sz w:val="22"/>
                <w:szCs w:val="22"/>
              </w:rPr>
              <w:t xml:space="preserve"> TOTAL</w:t>
            </w:r>
          </w:p>
        </w:tc>
        <w:tc>
          <w:tcPr>
            <w:tcW w:w="1890" w:type="dxa"/>
            <w:shd w:val="clear" w:color="auto" w:fill="auto"/>
            <w:noWrap/>
          </w:tcPr>
          <w:p w14:paraId="774F0348" w14:textId="64B309CA" w:rsidR="009C2226" w:rsidRPr="00C418FF" w:rsidRDefault="009C2226" w:rsidP="00671C05">
            <w:pPr>
              <w:spacing w:line="250" w:lineRule="exact"/>
              <w:jc w:val="center"/>
              <w:rPr>
                <w:b/>
                <w:bCs/>
                <w:sz w:val="22"/>
                <w:szCs w:val="22"/>
              </w:rPr>
            </w:pPr>
            <w:r w:rsidRPr="00C418FF">
              <w:rPr>
                <w:b/>
                <w:bCs/>
                <w:sz w:val="22"/>
                <w:szCs w:val="22"/>
              </w:rPr>
              <w:t>$</w:t>
            </w:r>
            <w:r w:rsidR="00FF1C83" w:rsidRPr="00C418FF">
              <w:rPr>
                <w:b/>
                <w:bCs/>
                <w:sz w:val="22"/>
                <w:szCs w:val="22"/>
              </w:rPr>
              <w:t xml:space="preserve"> </w:t>
            </w:r>
            <w:r w:rsidR="00410CC5" w:rsidRPr="00C418FF">
              <w:rPr>
                <w:b/>
                <w:bCs/>
                <w:sz w:val="22"/>
                <w:szCs w:val="22"/>
              </w:rPr>
              <w:t>1.</w:t>
            </w:r>
            <w:r w:rsidR="0037016A" w:rsidRPr="00C418FF">
              <w:rPr>
                <w:b/>
                <w:bCs/>
                <w:sz w:val="22"/>
                <w:szCs w:val="22"/>
              </w:rPr>
              <w:t>1</w:t>
            </w:r>
            <w:r w:rsidR="000766E5" w:rsidRPr="00C418FF">
              <w:rPr>
                <w:b/>
                <w:bCs/>
                <w:sz w:val="22"/>
                <w:szCs w:val="22"/>
              </w:rPr>
              <w:t>2</w:t>
            </w:r>
            <w:r w:rsidR="00410CC5" w:rsidRPr="00C418FF">
              <w:rPr>
                <w:b/>
                <w:bCs/>
                <w:sz w:val="22"/>
                <w:szCs w:val="22"/>
              </w:rPr>
              <w:t>6.1</w:t>
            </w:r>
            <w:r w:rsidR="000766E5" w:rsidRPr="00C418FF">
              <w:rPr>
                <w:b/>
                <w:bCs/>
                <w:sz w:val="22"/>
                <w:szCs w:val="22"/>
              </w:rPr>
              <w:t>1</w:t>
            </w:r>
            <w:r w:rsidR="00410CC5" w:rsidRPr="00C418F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20" w:type="dxa"/>
            <w:shd w:val="clear" w:color="auto" w:fill="auto"/>
            <w:noWrap/>
          </w:tcPr>
          <w:p w14:paraId="2D3DD3FC" w14:textId="77777777" w:rsidR="009C2226" w:rsidRPr="00C418FF" w:rsidRDefault="009C2226" w:rsidP="009C2226">
            <w:pPr>
              <w:spacing w:line="250" w:lineRule="exact"/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165AE46F" w14:textId="77777777" w:rsidR="00633B80" w:rsidRPr="003B0259" w:rsidRDefault="00633B80" w:rsidP="00975648">
      <w:pPr>
        <w:spacing w:line="250" w:lineRule="exact"/>
        <w:jc w:val="both"/>
        <w:rPr>
          <w:sz w:val="22"/>
          <w:szCs w:val="22"/>
        </w:rPr>
      </w:pPr>
    </w:p>
    <w:p w14:paraId="4A19F39D" w14:textId="77777777" w:rsidR="00B43419" w:rsidRDefault="00B43419" w:rsidP="00975648">
      <w:pPr>
        <w:spacing w:line="250" w:lineRule="exact"/>
        <w:jc w:val="both"/>
        <w:rPr>
          <w:sz w:val="22"/>
          <w:szCs w:val="22"/>
        </w:rPr>
      </w:pPr>
    </w:p>
    <w:p w14:paraId="4850C36E" w14:textId="3318865C" w:rsidR="00975648" w:rsidRPr="00C418FF" w:rsidRDefault="00975648" w:rsidP="00975648">
      <w:pPr>
        <w:spacing w:line="250" w:lineRule="exact"/>
        <w:jc w:val="both"/>
        <w:rPr>
          <w:sz w:val="22"/>
          <w:szCs w:val="22"/>
          <w:lang w:val="es-CO"/>
        </w:rPr>
      </w:pPr>
      <w:r w:rsidRPr="003B0259">
        <w:rPr>
          <w:sz w:val="22"/>
          <w:szCs w:val="22"/>
        </w:rPr>
        <w:t xml:space="preserve">Los aportes han variado </w:t>
      </w:r>
      <w:r w:rsidR="005D77EC" w:rsidRPr="00C418FF">
        <w:rPr>
          <w:sz w:val="22"/>
          <w:szCs w:val="22"/>
        </w:rPr>
        <w:t xml:space="preserve">considerablemente año a año, </w:t>
      </w:r>
      <w:r w:rsidRPr="00C418FF">
        <w:rPr>
          <w:sz w:val="22"/>
          <w:szCs w:val="22"/>
        </w:rPr>
        <w:t xml:space="preserve">como lo muestra el </w:t>
      </w:r>
      <w:r w:rsidRPr="00C418FF">
        <w:rPr>
          <w:b/>
          <w:sz w:val="22"/>
          <w:szCs w:val="22"/>
        </w:rPr>
        <w:t>Cuadro No.2</w:t>
      </w:r>
      <w:r w:rsidR="005D77EC" w:rsidRPr="00C418FF">
        <w:rPr>
          <w:b/>
          <w:sz w:val="22"/>
          <w:szCs w:val="22"/>
        </w:rPr>
        <w:t xml:space="preserve"> y Gráfico No.1</w:t>
      </w:r>
      <w:r w:rsidRPr="00C418FF">
        <w:rPr>
          <w:sz w:val="22"/>
          <w:szCs w:val="22"/>
        </w:rPr>
        <w:t xml:space="preserve">. </w:t>
      </w:r>
      <w:r w:rsidR="00B65FC0" w:rsidRPr="00C418FF">
        <w:rPr>
          <w:sz w:val="22"/>
          <w:szCs w:val="22"/>
        </w:rPr>
        <w:t xml:space="preserve">En </w:t>
      </w:r>
      <w:r w:rsidR="007B55F2" w:rsidRPr="00C418FF">
        <w:rPr>
          <w:sz w:val="22"/>
          <w:szCs w:val="22"/>
        </w:rPr>
        <w:t>los últimos años</w:t>
      </w:r>
      <w:r w:rsidR="00B65FC0" w:rsidRPr="00C418FF">
        <w:rPr>
          <w:sz w:val="22"/>
          <w:szCs w:val="22"/>
        </w:rPr>
        <w:t xml:space="preserve"> los aportes </w:t>
      </w:r>
      <w:r w:rsidR="00510C4D" w:rsidRPr="00C418FF">
        <w:rPr>
          <w:sz w:val="22"/>
          <w:szCs w:val="22"/>
        </w:rPr>
        <w:t>han sido bajos</w:t>
      </w:r>
      <w:r w:rsidR="00B65FC0" w:rsidRPr="00C418FF">
        <w:rPr>
          <w:sz w:val="22"/>
          <w:szCs w:val="22"/>
        </w:rPr>
        <w:t>, aunque se compensaron con aporte de Canadá para 2018-2020</w:t>
      </w:r>
      <w:r w:rsidR="00D354A8" w:rsidRPr="00C418FF">
        <w:rPr>
          <w:sz w:val="22"/>
          <w:szCs w:val="22"/>
        </w:rPr>
        <w:t xml:space="preserve"> y, en 2023, por el aporte de $100.000 de Estados Unidos</w:t>
      </w:r>
      <w:r w:rsidR="00B65FC0" w:rsidRPr="00C418FF">
        <w:rPr>
          <w:sz w:val="22"/>
          <w:szCs w:val="22"/>
        </w:rPr>
        <w:t xml:space="preserve">. </w:t>
      </w:r>
      <w:r w:rsidR="00BF407B" w:rsidRPr="00C418FF">
        <w:rPr>
          <w:sz w:val="22"/>
          <w:szCs w:val="22"/>
        </w:rPr>
        <w:t xml:space="preserve">Se destaca que en el 2020, un año muy difícil para todos los Ministerios, se recibieron contribuciones por encima de $40.000. </w:t>
      </w:r>
      <w:r w:rsidRPr="00C418FF">
        <w:rPr>
          <w:sz w:val="22"/>
          <w:szCs w:val="22"/>
        </w:rPr>
        <w:t>Los Ministerios de Trabajo de Trinidad &amp; Tobago, Barbados</w:t>
      </w:r>
      <w:r w:rsidR="007B55F2" w:rsidRPr="00C418FF">
        <w:rPr>
          <w:sz w:val="22"/>
          <w:szCs w:val="22"/>
        </w:rPr>
        <w:t xml:space="preserve"> y</w:t>
      </w:r>
      <w:r w:rsidRPr="00C418FF">
        <w:rPr>
          <w:sz w:val="22"/>
          <w:szCs w:val="22"/>
        </w:rPr>
        <w:t xml:space="preserve"> Perú han informado a la Secretaría Técnica que esta partida se encuentra incluida en sus presupuestos anuales.</w:t>
      </w:r>
      <w:r w:rsidR="00D3236B" w:rsidRPr="00C418FF">
        <w:rPr>
          <w:sz w:val="22"/>
          <w:szCs w:val="22"/>
        </w:rPr>
        <w:t xml:space="preserve">  Se destacan las contribuciones casi ininterrumpidas de </w:t>
      </w:r>
      <w:r w:rsidR="00CF465E" w:rsidRPr="00C418FF">
        <w:rPr>
          <w:sz w:val="22"/>
          <w:szCs w:val="22"/>
        </w:rPr>
        <w:t>estos países, así como de Bahamas</w:t>
      </w:r>
      <w:r w:rsidR="00FA1DDE" w:rsidRPr="00C418FF">
        <w:rPr>
          <w:sz w:val="22"/>
          <w:szCs w:val="22"/>
        </w:rPr>
        <w:t xml:space="preserve">, </w:t>
      </w:r>
      <w:r w:rsidR="00D3236B" w:rsidRPr="00C418FF">
        <w:rPr>
          <w:sz w:val="22"/>
          <w:szCs w:val="22"/>
        </w:rPr>
        <w:t>Bolivia</w:t>
      </w:r>
      <w:r w:rsidR="007967B0" w:rsidRPr="00C418FF">
        <w:rPr>
          <w:sz w:val="22"/>
          <w:szCs w:val="22"/>
        </w:rPr>
        <w:t xml:space="preserve">, </w:t>
      </w:r>
      <w:r w:rsidR="00A64968" w:rsidRPr="00C418FF">
        <w:rPr>
          <w:sz w:val="22"/>
          <w:szCs w:val="22"/>
        </w:rPr>
        <w:t>Panamá</w:t>
      </w:r>
      <w:r w:rsidR="00D3236B" w:rsidRPr="00C418FF">
        <w:rPr>
          <w:sz w:val="22"/>
          <w:szCs w:val="22"/>
          <w:lang w:val="es-CO"/>
        </w:rPr>
        <w:t xml:space="preserve"> </w:t>
      </w:r>
      <w:r w:rsidR="007967B0" w:rsidRPr="00C418FF">
        <w:rPr>
          <w:sz w:val="22"/>
          <w:szCs w:val="22"/>
          <w:lang w:val="es-CO"/>
        </w:rPr>
        <w:t>y Grenada</w:t>
      </w:r>
      <w:r w:rsidR="00D3236B" w:rsidRPr="00C418FF">
        <w:rPr>
          <w:sz w:val="22"/>
          <w:szCs w:val="22"/>
          <w:lang w:val="es-CO"/>
        </w:rPr>
        <w:t>.</w:t>
      </w:r>
      <w:r w:rsidR="008458D3" w:rsidRPr="00C418FF">
        <w:rPr>
          <w:sz w:val="22"/>
          <w:szCs w:val="22"/>
        </w:rPr>
        <w:t xml:space="preserve"> </w:t>
      </w:r>
      <w:r w:rsidR="00B65FC0" w:rsidRPr="00C418FF">
        <w:rPr>
          <w:sz w:val="22"/>
          <w:szCs w:val="22"/>
        </w:rPr>
        <w:t>Se espera que otros puedan sumarse</w:t>
      </w:r>
      <w:r w:rsidR="00D3236B" w:rsidRPr="00C418FF">
        <w:rPr>
          <w:sz w:val="22"/>
          <w:szCs w:val="22"/>
        </w:rPr>
        <w:t xml:space="preserve"> a realizar aportes </w:t>
      </w:r>
      <w:r w:rsidR="00EE1DAE" w:rsidRPr="00C418FF">
        <w:rPr>
          <w:sz w:val="22"/>
          <w:szCs w:val="22"/>
        </w:rPr>
        <w:t>continuamente</w:t>
      </w:r>
      <w:r w:rsidR="00D3236B" w:rsidRPr="00C418FF">
        <w:rPr>
          <w:sz w:val="22"/>
          <w:szCs w:val="22"/>
        </w:rPr>
        <w:t>.</w:t>
      </w:r>
      <w:r w:rsidR="00B65FC0" w:rsidRPr="00C418FF">
        <w:rPr>
          <w:sz w:val="22"/>
          <w:szCs w:val="22"/>
        </w:rPr>
        <w:t xml:space="preserve">  </w:t>
      </w:r>
    </w:p>
    <w:p w14:paraId="34C01B69" w14:textId="77777777" w:rsidR="00212A97" w:rsidRPr="00C418FF" w:rsidRDefault="00212A97" w:rsidP="00975648">
      <w:pPr>
        <w:spacing w:line="250" w:lineRule="exact"/>
        <w:jc w:val="center"/>
        <w:rPr>
          <w:b/>
          <w:sz w:val="22"/>
          <w:szCs w:val="22"/>
        </w:rPr>
      </w:pPr>
    </w:p>
    <w:p w14:paraId="7CC5FCF4" w14:textId="77777777" w:rsidR="008F2967" w:rsidRPr="00C418FF" w:rsidRDefault="008F2967" w:rsidP="00975648">
      <w:pPr>
        <w:spacing w:line="250" w:lineRule="exact"/>
        <w:jc w:val="center"/>
        <w:rPr>
          <w:b/>
          <w:sz w:val="22"/>
          <w:szCs w:val="22"/>
        </w:rPr>
      </w:pPr>
    </w:p>
    <w:p w14:paraId="7CBD0B6B" w14:textId="77777777" w:rsidR="008F2967" w:rsidRPr="00C418FF" w:rsidRDefault="008F2967" w:rsidP="00975648">
      <w:pPr>
        <w:spacing w:line="250" w:lineRule="exact"/>
        <w:jc w:val="center"/>
        <w:rPr>
          <w:b/>
          <w:sz w:val="22"/>
          <w:szCs w:val="22"/>
        </w:rPr>
      </w:pPr>
    </w:p>
    <w:p w14:paraId="48E867C1" w14:textId="52861413" w:rsidR="00975648" w:rsidRPr="00C418FF" w:rsidRDefault="00975648" w:rsidP="00975648">
      <w:pPr>
        <w:spacing w:line="250" w:lineRule="exact"/>
        <w:jc w:val="center"/>
        <w:rPr>
          <w:b/>
          <w:sz w:val="22"/>
          <w:szCs w:val="22"/>
        </w:rPr>
      </w:pPr>
      <w:r w:rsidRPr="00C418FF">
        <w:rPr>
          <w:b/>
          <w:sz w:val="22"/>
          <w:szCs w:val="22"/>
        </w:rPr>
        <w:t>Cuadro No. 2</w:t>
      </w:r>
    </w:p>
    <w:p w14:paraId="16E14470" w14:textId="77777777" w:rsidR="00975648" w:rsidRPr="00C418FF" w:rsidRDefault="00975648" w:rsidP="00975648">
      <w:pPr>
        <w:spacing w:line="250" w:lineRule="exact"/>
        <w:jc w:val="center"/>
        <w:rPr>
          <w:b/>
          <w:bCs/>
          <w:sz w:val="22"/>
          <w:szCs w:val="22"/>
        </w:rPr>
      </w:pPr>
      <w:r w:rsidRPr="00C418FF">
        <w:rPr>
          <w:b/>
          <w:bCs/>
          <w:sz w:val="22"/>
          <w:szCs w:val="22"/>
        </w:rPr>
        <w:t>Contribuciones recibidas por Año en el Fondo de Aportes Voluntarios</w:t>
      </w:r>
    </w:p>
    <w:p w14:paraId="5B0B30B0" w14:textId="77777777" w:rsidR="00816730" w:rsidRPr="00C418FF" w:rsidRDefault="00816730" w:rsidP="00816730">
      <w:pPr>
        <w:spacing w:line="250" w:lineRule="exact"/>
        <w:jc w:val="center"/>
        <w:rPr>
          <w:bCs/>
          <w:i/>
          <w:sz w:val="22"/>
          <w:szCs w:val="22"/>
        </w:rPr>
      </w:pPr>
      <w:r w:rsidRPr="00C418FF">
        <w:rPr>
          <w:bCs/>
          <w:i/>
          <w:sz w:val="22"/>
          <w:szCs w:val="22"/>
        </w:rPr>
        <w:t>(En dólares estadounidenses)</w:t>
      </w:r>
    </w:p>
    <w:p w14:paraId="5757AC06" w14:textId="77777777" w:rsidR="008458D3" w:rsidRPr="00C418FF" w:rsidRDefault="008458D3" w:rsidP="00975648">
      <w:pPr>
        <w:spacing w:line="250" w:lineRule="exact"/>
        <w:jc w:val="center"/>
        <w:rPr>
          <w:b/>
          <w:bCs/>
          <w:sz w:val="22"/>
          <w:szCs w:val="22"/>
        </w:rPr>
      </w:pPr>
    </w:p>
    <w:tbl>
      <w:tblPr>
        <w:tblW w:w="5545" w:type="dxa"/>
        <w:jc w:val="center"/>
        <w:tblLook w:val="04A0" w:firstRow="1" w:lastRow="0" w:firstColumn="1" w:lastColumn="0" w:noHBand="0" w:noVBand="1"/>
      </w:tblPr>
      <w:tblGrid>
        <w:gridCol w:w="2320"/>
        <w:gridCol w:w="1840"/>
        <w:gridCol w:w="1385"/>
      </w:tblGrid>
      <w:tr w:rsidR="00C418FF" w:rsidRPr="00C418FF" w14:paraId="3F6E383C" w14:textId="77777777" w:rsidTr="00541018">
        <w:trPr>
          <w:trHeight w:val="358"/>
          <w:jc w:val="center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F4515" w14:textId="77777777" w:rsidR="00B65FC0" w:rsidRPr="00C418FF" w:rsidRDefault="00B65FC0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C418FF">
              <w:rPr>
                <w:b/>
                <w:bCs/>
                <w:sz w:val="22"/>
                <w:szCs w:val="22"/>
              </w:rPr>
              <w:t>Año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A2DD8" w14:textId="77777777" w:rsidR="00B65FC0" w:rsidRPr="00C418FF" w:rsidRDefault="00B65FC0">
            <w:pPr>
              <w:jc w:val="center"/>
              <w:rPr>
                <w:b/>
                <w:bCs/>
                <w:sz w:val="22"/>
                <w:szCs w:val="22"/>
              </w:rPr>
            </w:pPr>
            <w:r w:rsidRPr="00C418FF">
              <w:rPr>
                <w:b/>
                <w:bCs/>
                <w:sz w:val="22"/>
                <w:szCs w:val="22"/>
              </w:rPr>
              <w:t>Monto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D6A92" w14:textId="77777777" w:rsidR="00B65FC0" w:rsidRPr="00C418FF" w:rsidRDefault="00B65FC0">
            <w:pPr>
              <w:jc w:val="center"/>
              <w:rPr>
                <w:b/>
                <w:bCs/>
                <w:sz w:val="22"/>
                <w:szCs w:val="22"/>
              </w:rPr>
            </w:pPr>
            <w:r w:rsidRPr="00C418FF">
              <w:rPr>
                <w:b/>
                <w:bCs/>
                <w:sz w:val="22"/>
                <w:szCs w:val="22"/>
              </w:rPr>
              <w:t>Aporte de Canadá</w:t>
            </w:r>
          </w:p>
        </w:tc>
      </w:tr>
      <w:tr w:rsidR="00C418FF" w:rsidRPr="00C418FF" w14:paraId="4D7E7784" w14:textId="77777777" w:rsidTr="00B65FC0">
        <w:trPr>
          <w:trHeight w:val="349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701D6F" w14:textId="77777777" w:rsidR="00B65FC0" w:rsidRPr="00C418FF" w:rsidRDefault="00B65FC0">
            <w:pPr>
              <w:rPr>
                <w:sz w:val="22"/>
                <w:szCs w:val="22"/>
              </w:rPr>
            </w:pPr>
            <w:r w:rsidRPr="00C418FF">
              <w:rPr>
                <w:sz w:val="22"/>
                <w:szCs w:val="22"/>
              </w:rPr>
              <w:t>2011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25D151" w14:textId="3D317BC5" w:rsidR="00B65FC0" w:rsidRPr="00C418FF" w:rsidRDefault="00B65FC0" w:rsidP="00B65FC0">
            <w:pPr>
              <w:jc w:val="center"/>
              <w:rPr>
                <w:sz w:val="22"/>
                <w:szCs w:val="22"/>
              </w:rPr>
            </w:pPr>
            <w:r w:rsidRPr="00C418FF">
              <w:rPr>
                <w:sz w:val="22"/>
                <w:szCs w:val="22"/>
              </w:rPr>
              <w:t>74</w:t>
            </w:r>
            <w:r w:rsidR="00772E60" w:rsidRPr="00C418FF">
              <w:rPr>
                <w:sz w:val="22"/>
                <w:szCs w:val="22"/>
              </w:rPr>
              <w:t>.</w:t>
            </w:r>
            <w:r w:rsidRPr="00C418FF">
              <w:rPr>
                <w:sz w:val="22"/>
                <w:szCs w:val="22"/>
              </w:rPr>
              <w:t>680</w:t>
            </w:r>
            <w:r w:rsidR="00772E60" w:rsidRPr="00C418FF">
              <w:rPr>
                <w:sz w:val="22"/>
                <w:szCs w:val="22"/>
              </w:rPr>
              <w:t>,</w:t>
            </w:r>
            <w:r w:rsidRPr="00C418FF">
              <w:rPr>
                <w:sz w:val="22"/>
                <w:szCs w:val="22"/>
              </w:rPr>
              <w:t>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BC76E" w14:textId="77777777" w:rsidR="00B65FC0" w:rsidRPr="00C418FF" w:rsidRDefault="00B65FC0" w:rsidP="00B65FC0">
            <w:pPr>
              <w:jc w:val="center"/>
              <w:rPr>
                <w:sz w:val="22"/>
                <w:szCs w:val="22"/>
              </w:rPr>
            </w:pPr>
          </w:p>
        </w:tc>
      </w:tr>
      <w:tr w:rsidR="00C418FF" w:rsidRPr="00C418FF" w14:paraId="4B5884BE" w14:textId="77777777" w:rsidTr="00B65FC0">
        <w:trPr>
          <w:trHeight w:val="349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BBD168" w14:textId="77777777" w:rsidR="00B65FC0" w:rsidRPr="00C418FF" w:rsidRDefault="00B65FC0">
            <w:pPr>
              <w:rPr>
                <w:sz w:val="22"/>
                <w:szCs w:val="22"/>
              </w:rPr>
            </w:pPr>
            <w:r w:rsidRPr="00C418FF">
              <w:rPr>
                <w:sz w:val="22"/>
                <w:szCs w:val="22"/>
              </w:rPr>
              <w:t>2012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5D3D13" w14:textId="257D13EB" w:rsidR="00B65FC0" w:rsidRPr="00C418FF" w:rsidRDefault="00B65FC0" w:rsidP="00B65FC0">
            <w:pPr>
              <w:jc w:val="center"/>
              <w:rPr>
                <w:sz w:val="22"/>
                <w:szCs w:val="22"/>
              </w:rPr>
            </w:pPr>
            <w:r w:rsidRPr="00C418FF">
              <w:rPr>
                <w:sz w:val="22"/>
                <w:szCs w:val="22"/>
              </w:rPr>
              <w:t>34</w:t>
            </w:r>
            <w:r w:rsidR="00772E60" w:rsidRPr="00C418FF">
              <w:rPr>
                <w:sz w:val="22"/>
                <w:szCs w:val="22"/>
              </w:rPr>
              <w:t>.</w:t>
            </w:r>
            <w:r w:rsidRPr="00C418FF">
              <w:rPr>
                <w:sz w:val="22"/>
                <w:szCs w:val="22"/>
              </w:rPr>
              <w:t>940</w:t>
            </w:r>
            <w:r w:rsidR="00772E60" w:rsidRPr="00C418FF">
              <w:rPr>
                <w:sz w:val="22"/>
                <w:szCs w:val="22"/>
              </w:rPr>
              <w:t>,</w:t>
            </w:r>
            <w:r w:rsidRPr="00C418FF">
              <w:rPr>
                <w:sz w:val="22"/>
                <w:szCs w:val="22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FCE7E1" w14:textId="77777777" w:rsidR="00B65FC0" w:rsidRPr="00C418FF" w:rsidRDefault="00B65FC0" w:rsidP="00B65FC0">
            <w:pPr>
              <w:jc w:val="center"/>
              <w:rPr>
                <w:sz w:val="22"/>
                <w:szCs w:val="22"/>
              </w:rPr>
            </w:pPr>
            <w:r w:rsidRPr="00C418FF">
              <w:rPr>
                <w:sz w:val="22"/>
                <w:szCs w:val="22"/>
              </w:rPr>
              <w:t>200,000.0</w:t>
            </w:r>
          </w:p>
        </w:tc>
      </w:tr>
      <w:tr w:rsidR="00C418FF" w:rsidRPr="00C418FF" w14:paraId="4CAD42BF" w14:textId="77777777" w:rsidTr="00B65FC0">
        <w:trPr>
          <w:trHeight w:val="349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E95D58" w14:textId="77777777" w:rsidR="00B65FC0" w:rsidRPr="00C418FF" w:rsidRDefault="00B65FC0">
            <w:pPr>
              <w:rPr>
                <w:sz w:val="22"/>
                <w:szCs w:val="22"/>
              </w:rPr>
            </w:pPr>
            <w:r w:rsidRPr="00C418FF">
              <w:rPr>
                <w:sz w:val="22"/>
                <w:szCs w:val="22"/>
              </w:rPr>
              <w:t>2013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AEB729" w14:textId="1E530403" w:rsidR="00B65FC0" w:rsidRPr="00C418FF" w:rsidRDefault="00B65FC0" w:rsidP="00B65FC0">
            <w:pPr>
              <w:jc w:val="center"/>
              <w:rPr>
                <w:sz w:val="22"/>
                <w:szCs w:val="22"/>
              </w:rPr>
            </w:pPr>
            <w:r w:rsidRPr="00C418FF">
              <w:rPr>
                <w:sz w:val="22"/>
                <w:szCs w:val="22"/>
              </w:rPr>
              <w:t>95</w:t>
            </w:r>
            <w:r w:rsidR="00772E60" w:rsidRPr="00C418FF">
              <w:rPr>
                <w:sz w:val="22"/>
                <w:szCs w:val="22"/>
              </w:rPr>
              <w:t>.</w:t>
            </w:r>
            <w:r w:rsidRPr="00C418FF">
              <w:rPr>
                <w:sz w:val="22"/>
                <w:szCs w:val="22"/>
              </w:rPr>
              <w:t>555</w:t>
            </w:r>
            <w:r w:rsidR="00772E60" w:rsidRPr="00C418FF">
              <w:rPr>
                <w:sz w:val="22"/>
                <w:szCs w:val="22"/>
              </w:rPr>
              <w:t>,</w:t>
            </w:r>
            <w:r w:rsidRPr="00C418FF">
              <w:rPr>
                <w:sz w:val="22"/>
                <w:szCs w:val="22"/>
              </w:rPr>
              <w:t>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57097" w14:textId="77777777" w:rsidR="00B65FC0" w:rsidRPr="00C418FF" w:rsidRDefault="00B65FC0" w:rsidP="00B65FC0">
            <w:pPr>
              <w:jc w:val="center"/>
              <w:rPr>
                <w:sz w:val="22"/>
                <w:szCs w:val="22"/>
              </w:rPr>
            </w:pPr>
          </w:p>
        </w:tc>
      </w:tr>
      <w:tr w:rsidR="00C418FF" w:rsidRPr="00C418FF" w14:paraId="14CFD58B" w14:textId="77777777" w:rsidTr="00B65FC0">
        <w:trPr>
          <w:trHeight w:val="349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676D3" w14:textId="77777777" w:rsidR="00B65FC0" w:rsidRPr="00C418FF" w:rsidRDefault="00B65FC0">
            <w:pPr>
              <w:rPr>
                <w:sz w:val="22"/>
                <w:szCs w:val="22"/>
              </w:rPr>
            </w:pPr>
            <w:r w:rsidRPr="00C418FF">
              <w:rPr>
                <w:sz w:val="22"/>
                <w:szCs w:val="22"/>
              </w:rPr>
              <w:t>2014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694388" w14:textId="4F8D5BCB" w:rsidR="00B65FC0" w:rsidRPr="00C418FF" w:rsidRDefault="00B65FC0" w:rsidP="00B65FC0">
            <w:pPr>
              <w:jc w:val="center"/>
              <w:rPr>
                <w:sz w:val="22"/>
                <w:szCs w:val="22"/>
              </w:rPr>
            </w:pPr>
            <w:r w:rsidRPr="00C418FF">
              <w:rPr>
                <w:sz w:val="22"/>
                <w:szCs w:val="22"/>
              </w:rPr>
              <w:t>34</w:t>
            </w:r>
            <w:r w:rsidR="00772E60" w:rsidRPr="00C418FF">
              <w:rPr>
                <w:sz w:val="22"/>
                <w:szCs w:val="22"/>
              </w:rPr>
              <w:t>.</w:t>
            </w:r>
            <w:r w:rsidRPr="00C418FF">
              <w:rPr>
                <w:sz w:val="22"/>
                <w:szCs w:val="22"/>
              </w:rPr>
              <w:t>970</w:t>
            </w:r>
            <w:r w:rsidR="00772E60" w:rsidRPr="00C418FF">
              <w:rPr>
                <w:sz w:val="22"/>
                <w:szCs w:val="22"/>
              </w:rPr>
              <w:t>,</w:t>
            </w:r>
            <w:r w:rsidRPr="00C418FF">
              <w:rPr>
                <w:sz w:val="22"/>
                <w:szCs w:val="22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0B22A" w14:textId="77777777" w:rsidR="00B65FC0" w:rsidRPr="00C418FF" w:rsidRDefault="00B65FC0" w:rsidP="00B65FC0">
            <w:pPr>
              <w:jc w:val="center"/>
              <w:rPr>
                <w:sz w:val="22"/>
                <w:szCs w:val="22"/>
              </w:rPr>
            </w:pPr>
          </w:p>
        </w:tc>
      </w:tr>
      <w:tr w:rsidR="00C418FF" w:rsidRPr="00C418FF" w14:paraId="3BF7CAD8" w14:textId="77777777" w:rsidTr="00B65FC0">
        <w:trPr>
          <w:trHeight w:val="349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F8A3" w14:textId="77777777" w:rsidR="00B65FC0" w:rsidRPr="00C418FF" w:rsidRDefault="00B65FC0">
            <w:pPr>
              <w:rPr>
                <w:sz w:val="22"/>
                <w:szCs w:val="22"/>
              </w:rPr>
            </w:pPr>
            <w:r w:rsidRPr="00C418FF">
              <w:rPr>
                <w:sz w:val="22"/>
                <w:szCs w:val="22"/>
              </w:rPr>
              <w:t>2015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322F1A" w14:textId="50CD0913" w:rsidR="00B65FC0" w:rsidRPr="00C418FF" w:rsidRDefault="00B65FC0" w:rsidP="00B65FC0">
            <w:pPr>
              <w:jc w:val="center"/>
              <w:rPr>
                <w:sz w:val="22"/>
                <w:szCs w:val="22"/>
              </w:rPr>
            </w:pPr>
            <w:r w:rsidRPr="00C418FF">
              <w:rPr>
                <w:sz w:val="22"/>
                <w:szCs w:val="22"/>
              </w:rPr>
              <w:t>57</w:t>
            </w:r>
            <w:r w:rsidR="00772E60" w:rsidRPr="00C418FF">
              <w:rPr>
                <w:sz w:val="22"/>
                <w:szCs w:val="22"/>
              </w:rPr>
              <w:t>.</w:t>
            </w:r>
            <w:r w:rsidRPr="00C418FF">
              <w:rPr>
                <w:sz w:val="22"/>
                <w:szCs w:val="22"/>
              </w:rPr>
              <w:t>588</w:t>
            </w:r>
            <w:r w:rsidR="00772E60" w:rsidRPr="00C418FF">
              <w:rPr>
                <w:sz w:val="22"/>
                <w:szCs w:val="22"/>
              </w:rPr>
              <w:t>,</w:t>
            </w:r>
            <w:r w:rsidRPr="00C418FF"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5C088" w14:textId="77777777" w:rsidR="00B65FC0" w:rsidRPr="00C418FF" w:rsidRDefault="00B65FC0" w:rsidP="00B65FC0">
            <w:pPr>
              <w:jc w:val="center"/>
              <w:rPr>
                <w:sz w:val="22"/>
                <w:szCs w:val="22"/>
              </w:rPr>
            </w:pPr>
          </w:p>
        </w:tc>
      </w:tr>
      <w:tr w:rsidR="00C418FF" w:rsidRPr="00C418FF" w14:paraId="115F4DC3" w14:textId="77777777" w:rsidTr="00B65FC0">
        <w:trPr>
          <w:trHeight w:val="349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D851B" w14:textId="77777777" w:rsidR="00B65FC0" w:rsidRPr="00C418FF" w:rsidRDefault="00B65FC0">
            <w:pPr>
              <w:rPr>
                <w:sz w:val="22"/>
                <w:szCs w:val="22"/>
              </w:rPr>
            </w:pPr>
            <w:r w:rsidRPr="00C418FF">
              <w:rPr>
                <w:sz w:val="22"/>
                <w:szCs w:val="22"/>
              </w:rPr>
              <w:t>2016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581EF8" w14:textId="16656857" w:rsidR="00B65FC0" w:rsidRPr="00C418FF" w:rsidRDefault="00B65FC0" w:rsidP="00B65FC0">
            <w:pPr>
              <w:jc w:val="center"/>
              <w:rPr>
                <w:sz w:val="22"/>
                <w:szCs w:val="22"/>
              </w:rPr>
            </w:pPr>
            <w:r w:rsidRPr="00C418FF">
              <w:rPr>
                <w:sz w:val="22"/>
                <w:szCs w:val="22"/>
              </w:rPr>
              <w:t>55</w:t>
            </w:r>
            <w:r w:rsidR="00772E60" w:rsidRPr="00C418FF">
              <w:rPr>
                <w:sz w:val="22"/>
                <w:szCs w:val="22"/>
              </w:rPr>
              <w:t>.</w:t>
            </w:r>
            <w:r w:rsidRPr="00C418FF">
              <w:rPr>
                <w:sz w:val="22"/>
                <w:szCs w:val="22"/>
              </w:rPr>
              <w:t>011</w:t>
            </w:r>
            <w:r w:rsidR="00772E60" w:rsidRPr="00C418FF">
              <w:rPr>
                <w:sz w:val="22"/>
                <w:szCs w:val="22"/>
              </w:rPr>
              <w:t>,</w:t>
            </w:r>
            <w:r w:rsidRPr="00C418FF">
              <w:rPr>
                <w:sz w:val="22"/>
                <w:szCs w:val="22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8F8D7" w14:textId="77777777" w:rsidR="00B65FC0" w:rsidRPr="00C418FF" w:rsidRDefault="00B65FC0" w:rsidP="00B65FC0">
            <w:pPr>
              <w:jc w:val="center"/>
              <w:rPr>
                <w:sz w:val="22"/>
                <w:szCs w:val="22"/>
              </w:rPr>
            </w:pPr>
          </w:p>
        </w:tc>
      </w:tr>
      <w:tr w:rsidR="00C418FF" w:rsidRPr="00C418FF" w14:paraId="63C45DD9" w14:textId="77777777" w:rsidTr="00B65FC0">
        <w:trPr>
          <w:trHeight w:val="349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6FCD9" w14:textId="77777777" w:rsidR="00B65FC0" w:rsidRPr="00C418FF" w:rsidRDefault="00B65FC0">
            <w:pPr>
              <w:rPr>
                <w:sz w:val="22"/>
                <w:szCs w:val="22"/>
              </w:rPr>
            </w:pPr>
            <w:r w:rsidRPr="00C418FF">
              <w:rPr>
                <w:sz w:val="22"/>
                <w:szCs w:val="22"/>
              </w:rPr>
              <w:t>2017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8EBD7E" w14:textId="44B5D897" w:rsidR="00B65FC0" w:rsidRPr="00C418FF" w:rsidRDefault="00B65FC0" w:rsidP="00B65FC0">
            <w:pPr>
              <w:jc w:val="center"/>
              <w:rPr>
                <w:sz w:val="22"/>
                <w:szCs w:val="22"/>
              </w:rPr>
            </w:pPr>
            <w:r w:rsidRPr="00C418FF">
              <w:rPr>
                <w:sz w:val="22"/>
                <w:szCs w:val="22"/>
              </w:rPr>
              <w:t>96</w:t>
            </w:r>
            <w:r w:rsidR="00772E60" w:rsidRPr="00C418FF">
              <w:rPr>
                <w:sz w:val="22"/>
                <w:szCs w:val="22"/>
              </w:rPr>
              <w:t>.</w:t>
            </w:r>
            <w:r w:rsidRPr="00C418FF">
              <w:rPr>
                <w:sz w:val="22"/>
                <w:szCs w:val="22"/>
              </w:rPr>
              <w:t>023</w:t>
            </w:r>
            <w:r w:rsidR="00772E60" w:rsidRPr="00C418FF">
              <w:rPr>
                <w:sz w:val="22"/>
                <w:szCs w:val="22"/>
              </w:rPr>
              <w:t>,</w:t>
            </w:r>
            <w:r w:rsidRPr="00C418FF">
              <w:rPr>
                <w:sz w:val="22"/>
                <w:szCs w:val="22"/>
              </w:rPr>
              <w:t>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84825" w14:textId="77777777" w:rsidR="00B65FC0" w:rsidRPr="00C418FF" w:rsidRDefault="00B65FC0" w:rsidP="00B65FC0">
            <w:pPr>
              <w:jc w:val="center"/>
              <w:rPr>
                <w:sz w:val="22"/>
                <w:szCs w:val="22"/>
              </w:rPr>
            </w:pPr>
          </w:p>
        </w:tc>
      </w:tr>
      <w:tr w:rsidR="00C418FF" w:rsidRPr="00C418FF" w14:paraId="51EF15FB" w14:textId="77777777" w:rsidTr="00B65FC0">
        <w:trPr>
          <w:trHeight w:val="349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146B0" w14:textId="77777777" w:rsidR="00B65FC0" w:rsidRPr="00C418FF" w:rsidRDefault="00B65FC0">
            <w:pPr>
              <w:rPr>
                <w:sz w:val="22"/>
                <w:szCs w:val="22"/>
              </w:rPr>
            </w:pPr>
            <w:r w:rsidRPr="00C418FF">
              <w:rPr>
                <w:sz w:val="22"/>
                <w:szCs w:val="22"/>
              </w:rPr>
              <w:t>2018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11CD9D" w14:textId="50262415" w:rsidR="00B65FC0" w:rsidRPr="00C418FF" w:rsidRDefault="00B65FC0" w:rsidP="00B65FC0">
            <w:pPr>
              <w:jc w:val="center"/>
              <w:rPr>
                <w:sz w:val="22"/>
                <w:szCs w:val="22"/>
              </w:rPr>
            </w:pPr>
            <w:r w:rsidRPr="00C418FF">
              <w:rPr>
                <w:sz w:val="22"/>
                <w:szCs w:val="22"/>
              </w:rPr>
              <w:t>45</w:t>
            </w:r>
            <w:r w:rsidR="00772E60" w:rsidRPr="00C418FF">
              <w:rPr>
                <w:sz w:val="22"/>
                <w:szCs w:val="22"/>
              </w:rPr>
              <w:t>.</w:t>
            </w:r>
            <w:r w:rsidRPr="00C418FF">
              <w:rPr>
                <w:sz w:val="22"/>
                <w:szCs w:val="22"/>
              </w:rPr>
              <w:t>155</w:t>
            </w:r>
            <w:r w:rsidR="00772E60" w:rsidRPr="00C418FF">
              <w:rPr>
                <w:sz w:val="22"/>
                <w:szCs w:val="22"/>
              </w:rPr>
              <w:t>,</w:t>
            </w:r>
            <w:r w:rsidRPr="00C418FF">
              <w:rPr>
                <w:sz w:val="22"/>
                <w:szCs w:val="22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09EDA9" w14:textId="77777777" w:rsidR="00B65FC0" w:rsidRPr="00C418FF" w:rsidRDefault="00B65FC0" w:rsidP="00B65FC0">
            <w:pPr>
              <w:jc w:val="center"/>
              <w:rPr>
                <w:sz w:val="22"/>
                <w:szCs w:val="22"/>
              </w:rPr>
            </w:pPr>
            <w:r w:rsidRPr="00C418FF">
              <w:rPr>
                <w:sz w:val="22"/>
                <w:szCs w:val="22"/>
              </w:rPr>
              <w:t>153,000.0</w:t>
            </w:r>
          </w:p>
        </w:tc>
      </w:tr>
      <w:tr w:rsidR="00C418FF" w:rsidRPr="00C418FF" w14:paraId="5A65D008" w14:textId="77777777" w:rsidTr="00B65FC0">
        <w:trPr>
          <w:trHeight w:val="349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829B5" w14:textId="3E8A0B71" w:rsidR="00277184" w:rsidRPr="00C418FF" w:rsidRDefault="00277184" w:rsidP="00277184">
            <w:pPr>
              <w:rPr>
                <w:sz w:val="22"/>
                <w:szCs w:val="22"/>
              </w:rPr>
            </w:pPr>
            <w:r w:rsidRPr="00C418FF">
              <w:rPr>
                <w:sz w:val="22"/>
                <w:szCs w:val="22"/>
              </w:rPr>
              <w:t>2019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84E018" w14:textId="3DD63B7A" w:rsidR="00277184" w:rsidRPr="00C418FF" w:rsidRDefault="00277184" w:rsidP="00277184">
            <w:pPr>
              <w:jc w:val="center"/>
              <w:rPr>
                <w:sz w:val="22"/>
                <w:szCs w:val="22"/>
              </w:rPr>
            </w:pPr>
            <w:r w:rsidRPr="00C418FF">
              <w:rPr>
                <w:sz w:val="22"/>
                <w:szCs w:val="22"/>
              </w:rPr>
              <w:t>31</w:t>
            </w:r>
            <w:r w:rsidR="00772E60" w:rsidRPr="00C418FF">
              <w:rPr>
                <w:sz w:val="22"/>
                <w:szCs w:val="22"/>
              </w:rPr>
              <w:t>.</w:t>
            </w:r>
            <w:r w:rsidRPr="00C418FF">
              <w:rPr>
                <w:sz w:val="22"/>
                <w:szCs w:val="22"/>
              </w:rPr>
              <w:t>425</w:t>
            </w:r>
            <w:r w:rsidR="00772E60" w:rsidRPr="00C418FF">
              <w:rPr>
                <w:sz w:val="22"/>
                <w:szCs w:val="22"/>
              </w:rPr>
              <w:t>,</w:t>
            </w:r>
            <w:r w:rsidRPr="00C418FF">
              <w:rPr>
                <w:sz w:val="22"/>
                <w:szCs w:val="22"/>
              </w:rPr>
              <w:t>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95BC4E" w14:textId="77777777" w:rsidR="00277184" w:rsidRPr="00C418FF" w:rsidRDefault="00277184" w:rsidP="00277184">
            <w:pPr>
              <w:jc w:val="center"/>
              <w:rPr>
                <w:sz w:val="22"/>
                <w:szCs w:val="22"/>
              </w:rPr>
            </w:pPr>
          </w:p>
        </w:tc>
      </w:tr>
      <w:tr w:rsidR="00C418FF" w:rsidRPr="00C418FF" w14:paraId="6141FC8E" w14:textId="77777777" w:rsidTr="00B65FC0">
        <w:trPr>
          <w:trHeight w:val="349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B10C1" w14:textId="3B8F7C9D" w:rsidR="00772E60" w:rsidRPr="00C418FF" w:rsidRDefault="00772E60" w:rsidP="00772E60">
            <w:pPr>
              <w:rPr>
                <w:sz w:val="22"/>
                <w:szCs w:val="22"/>
              </w:rPr>
            </w:pPr>
            <w:r w:rsidRPr="00C418FF">
              <w:rPr>
                <w:bCs/>
                <w:iCs/>
                <w:sz w:val="22"/>
                <w:szCs w:val="22"/>
              </w:rPr>
              <w:t>2020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2EB365" w14:textId="5956D49B" w:rsidR="00772E60" w:rsidRPr="00C418FF" w:rsidRDefault="00772E60" w:rsidP="00772E60">
            <w:pPr>
              <w:jc w:val="center"/>
              <w:rPr>
                <w:sz w:val="22"/>
                <w:szCs w:val="22"/>
              </w:rPr>
            </w:pPr>
            <w:r w:rsidRPr="00C418FF">
              <w:rPr>
                <w:bCs/>
                <w:iCs/>
                <w:sz w:val="22"/>
                <w:szCs w:val="22"/>
              </w:rPr>
              <w:t>41.292,5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A5307D" w14:textId="77777777" w:rsidR="00772E60" w:rsidRPr="00C418FF" w:rsidRDefault="00772E60" w:rsidP="00772E60">
            <w:pPr>
              <w:jc w:val="center"/>
              <w:rPr>
                <w:sz w:val="22"/>
                <w:szCs w:val="22"/>
              </w:rPr>
            </w:pPr>
          </w:p>
        </w:tc>
      </w:tr>
      <w:tr w:rsidR="00C418FF" w:rsidRPr="00C418FF" w14:paraId="4CC45F4A" w14:textId="77777777" w:rsidTr="00B65FC0">
        <w:trPr>
          <w:trHeight w:val="349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A9835" w14:textId="387C55A9" w:rsidR="00EE1DAE" w:rsidRPr="00C418FF" w:rsidRDefault="00EE1DAE" w:rsidP="00772E60">
            <w:pPr>
              <w:rPr>
                <w:bCs/>
                <w:iCs/>
                <w:sz w:val="22"/>
                <w:szCs w:val="22"/>
              </w:rPr>
            </w:pPr>
            <w:r w:rsidRPr="00C418FF">
              <w:rPr>
                <w:bCs/>
                <w:iCs/>
                <w:sz w:val="22"/>
                <w:szCs w:val="22"/>
              </w:rPr>
              <w:t>2021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5E20C4" w14:textId="0999FBC0" w:rsidR="00EE1DAE" w:rsidRPr="00C418FF" w:rsidRDefault="00EE1DAE" w:rsidP="00772E60">
            <w:pPr>
              <w:jc w:val="center"/>
              <w:rPr>
                <w:bCs/>
                <w:iCs/>
                <w:sz w:val="22"/>
                <w:szCs w:val="22"/>
              </w:rPr>
            </w:pPr>
            <w:r w:rsidRPr="00C418FF">
              <w:rPr>
                <w:bCs/>
                <w:iCs/>
                <w:sz w:val="22"/>
                <w:szCs w:val="22"/>
              </w:rPr>
              <w:t>34.205,5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1BCE41" w14:textId="77777777" w:rsidR="00EE1DAE" w:rsidRPr="00C418FF" w:rsidRDefault="00EE1DAE" w:rsidP="00772E60">
            <w:pPr>
              <w:jc w:val="center"/>
              <w:rPr>
                <w:sz w:val="22"/>
                <w:szCs w:val="22"/>
              </w:rPr>
            </w:pPr>
          </w:p>
        </w:tc>
      </w:tr>
      <w:tr w:rsidR="00C418FF" w:rsidRPr="00C418FF" w14:paraId="5E75C125" w14:textId="77777777" w:rsidTr="00D452B3">
        <w:trPr>
          <w:trHeight w:val="349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82C8ED" w14:textId="240A17EA" w:rsidR="00772E60" w:rsidRPr="00C418FF" w:rsidRDefault="00772E60" w:rsidP="00772E60">
            <w:pPr>
              <w:rPr>
                <w:bCs/>
                <w:iCs/>
                <w:sz w:val="22"/>
                <w:szCs w:val="22"/>
              </w:rPr>
            </w:pPr>
            <w:r w:rsidRPr="00C418FF">
              <w:rPr>
                <w:bCs/>
                <w:iCs/>
                <w:sz w:val="22"/>
                <w:szCs w:val="22"/>
              </w:rPr>
              <w:t>202</w:t>
            </w:r>
            <w:r w:rsidR="00CE26B2" w:rsidRPr="00C418FF"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62F0CF" w14:textId="7903973F" w:rsidR="00772E60" w:rsidRPr="00C418FF" w:rsidRDefault="00D8767D" w:rsidP="00772E60">
            <w:pPr>
              <w:jc w:val="center"/>
              <w:rPr>
                <w:bCs/>
                <w:iCs/>
                <w:sz w:val="22"/>
                <w:szCs w:val="22"/>
              </w:rPr>
            </w:pPr>
            <w:r w:rsidRPr="00C418FF">
              <w:rPr>
                <w:bCs/>
                <w:iCs/>
                <w:sz w:val="22"/>
                <w:szCs w:val="22"/>
              </w:rPr>
              <w:t>52.285,9</w:t>
            </w:r>
          </w:p>
        </w:tc>
        <w:tc>
          <w:tcPr>
            <w:tcW w:w="138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BCFE55" w14:textId="77777777" w:rsidR="00772E60" w:rsidRPr="00C418FF" w:rsidRDefault="00772E60" w:rsidP="00772E6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C418FF" w:rsidRPr="00C418FF" w14:paraId="7BAF0A45" w14:textId="77777777" w:rsidTr="00B65FC0">
        <w:trPr>
          <w:trHeight w:val="349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A1B68F" w14:textId="13DCEDFF" w:rsidR="005B3A66" w:rsidRPr="00C418FF" w:rsidRDefault="00D452B3" w:rsidP="00772E60">
            <w:pPr>
              <w:rPr>
                <w:bCs/>
                <w:iCs/>
                <w:sz w:val="22"/>
                <w:szCs w:val="22"/>
              </w:rPr>
            </w:pPr>
            <w:r w:rsidRPr="00C418FF">
              <w:rPr>
                <w:bCs/>
                <w:iCs/>
                <w:sz w:val="22"/>
                <w:szCs w:val="22"/>
              </w:rPr>
              <w:t>2023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E54A85" w14:textId="0C604F87" w:rsidR="005B3A66" w:rsidRPr="00C418FF" w:rsidRDefault="00D452B3" w:rsidP="00772E60">
            <w:pPr>
              <w:jc w:val="center"/>
              <w:rPr>
                <w:bCs/>
                <w:iCs/>
                <w:sz w:val="22"/>
                <w:szCs w:val="22"/>
              </w:rPr>
            </w:pPr>
            <w:r w:rsidRPr="00C418FF">
              <w:rPr>
                <w:bCs/>
                <w:iCs/>
                <w:sz w:val="22"/>
                <w:szCs w:val="22"/>
              </w:rPr>
              <w:t>119.980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687722" w14:textId="77777777" w:rsidR="005B3A66" w:rsidRPr="00C418FF" w:rsidRDefault="005B3A66" w:rsidP="00772E6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C418FF" w:rsidRPr="00C418FF" w14:paraId="5625F120" w14:textId="77777777" w:rsidTr="00B65FC0">
        <w:trPr>
          <w:trHeight w:val="349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7F801B" w14:textId="77777777" w:rsidR="00772E60" w:rsidRPr="00C418FF" w:rsidRDefault="00772E60" w:rsidP="00772E6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418FF">
              <w:rPr>
                <w:b/>
                <w:bCs/>
                <w:i/>
                <w:iCs/>
                <w:sz w:val="22"/>
                <w:szCs w:val="22"/>
              </w:rPr>
              <w:t>Total contribuciones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627994" w14:textId="5B7E9D81" w:rsidR="00772E60" w:rsidRPr="00C418FF" w:rsidRDefault="00373879" w:rsidP="00772E6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418FF">
              <w:rPr>
                <w:b/>
                <w:bCs/>
                <w:i/>
                <w:iCs/>
                <w:sz w:val="22"/>
                <w:szCs w:val="22"/>
              </w:rPr>
              <w:t>77</w:t>
            </w:r>
            <w:r w:rsidR="00102712" w:rsidRPr="00C418FF">
              <w:rPr>
                <w:b/>
                <w:bCs/>
                <w:i/>
                <w:iCs/>
                <w:sz w:val="22"/>
                <w:szCs w:val="22"/>
              </w:rPr>
              <w:t>3</w:t>
            </w:r>
            <w:r w:rsidR="00772E60" w:rsidRPr="00C418FF">
              <w:rPr>
                <w:b/>
                <w:bCs/>
                <w:i/>
                <w:iCs/>
                <w:sz w:val="22"/>
                <w:szCs w:val="22"/>
              </w:rPr>
              <w:t>.</w:t>
            </w:r>
            <w:r w:rsidR="00102712" w:rsidRPr="00C418FF">
              <w:rPr>
                <w:b/>
                <w:bCs/>
                <w:i/>
                <w:iCs/>
                <w:sz w:val="22"/>
                <w:szCs w:val="22"/>
              </w:rPr>
              <w:t>1</w:t>
            </w:r>
            <w:r w:rsidRPr="00C418FF">
              <w:rPr>
                <w:b/>
                <w:bCs/>
                <w:i/>
                <w:iCs/>
                <w:sz w:val="22"/>
                <w:szCs w:val="22"/>
              </w:rPr>
              <w:t>1</w:t>
            </w:r>
            <w:r w:rsidR="00102712" w:rsidRPr="00C418FF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DF0094" w14:textId="77777777" w:rsidR="00772E60" w:rsidRPr="00C418FF" w:rsidRDefault="00772E60" w:rsidP="00772E6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418FF">
              <w:rPr>
                <w:b/>
                <w:bCs/>
                <w:i/>
                <w:iCs/>
                <w:sz w:val="22"/>
                <w:szCs w:val="22"/>
              </w:rPr>
              <w:t>353,000.0</w:t>
            </w:r>
          </w:p>
        </w:tc>
      </w:tr>
    </w:tbl>
    <w:p w14:paraId="67C4D461" w14:textId="77777777" w:rsidR="007F7105" w:rsidRPr="00664858" w:rsidRDefault="007F7105" w:rsidP="002B0363">
      <w:pPr>
        <w:spacing w:line="250" w:lineRule="exact"/>
        <w:jc w:val="center"/>
        <w:rPr>
          <w:b/>
          <w:sz w:val="22"/>
          <w:szCs w:val="22"/>
        </w:rPr>
      </w:pPr>
    </w:p>
    <w:p w14:paraId="46D37E8B" w14:textId="15F735A1" w:rsidR="002B0363" w:rsidRPr="003B0259" w:rsidRDefault="007F7105" w:rsidP="00E40E8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2B0363" w:rsidRPr="003B0259">
        <w:rPr>
          <w:b/>
          <w:sz w:val="22"/>
          <w:szCs w:val="22"/>
        </w:rPr>
        <w:lastRenderedPageBreak/>
        <w:t>Gráfico No. 1</w:t>
      </w:r>
    </w:p>
    <w:p w14:paraId="3AAA6B92" w14:textId="004384AA" w:rsidR="002B0363" w:rsidRPr="003B0259" w:rsidRDefault="002B0363" w:rsidP="002B0363">
      <w:pPr>
        <w:spacing w:line="250" w:lineRule="exact"/>
        <w:jc w:val="center"/>
        <w:rPr>
          <w:b/>
          <w:bCs/>
          <w:sz w:val="22"/>
          <w:szCs w:val="22"/>
        </w:rPr>
      </w:pPr>
      <w:r w:rsidRPr="003B0259">
        <w:rPr>
          <w:b/>
          <w:bCs/>
          <w:sz w:val="22"/>
          <w:szCs w:val="22"/>
        </w:rPr>
        <w:t>Contribuciones recibidas por Año en el Fondo de Aportes Voluntarios</w:t>
      </w:r>
    </w:p>
    <w:p w14:paraId="36ED880C" w14:textId="77777777" w:rsidR="002B0363" w:rsidRPr="003B0259" w:rsidRDefault="002B0363" w:rsidP="002B0363">
      <w:pPr>
        <w:spacing w:line="250" w:lineRule="exact"/>
        <w:jc w:val="center"/>
        <w:rPr>
          <w:bCs/>
          <w:i/>
          <w:sz w:val="22"/>
          <w:szCs w:val="22"/>
        </w:rPr>
      </w:pPr>
      <w:r w:rsidRPr="003B0259">
        <w:rPr>
          <w:bCs/>
          <w:i/>
          <w:sz w:val="22"/>
          <w:szCs w:val="22"/>
        </w:rPr>
        <w:t>(En dólares estadounidenses)</w:t>
      </w:r>
    </w:p>
    <w:p w14:paraId="5188FD30" w14:textId="728C2B69" w:rsidR="002B0363" w:rsidRPr="003B0259" w:rsidRDefault="002B0363" w:rsidP="00975648">
      <w:pPr>
        <w:spacing w:line="250" w:lineRule="exact"/>
        <w:jc w:val="both"/>
        <w:rPr>
          <w:b/>
          <w:sz w:val="22"/>
          <w:szCs w:val="22"/>
        </w:rPr>
      </w:pPr>
    </w:p>
    <w:p w14:paraId="66ED68B1" w14:textId="066A42ED" w:rsidR="00D3236B" w:rsidRPr="003B0259" w:rsidRDefault="006F408A" w:rsidP="00D3236B">
      <w:pPr>
        <w:rPr>
          <w:sz w:val="22"/>
          <w:szCs w:val="22"/>
          <w:lang w:val="es-419"/>
        </w:rPr>
      </w:pPr>
      <w:r>
        <w:rPr>
          <w:noProof/>
          <w:sz w:val="22"/>
          <w:szCs w:val="22"/>
          <w:lang w:val="es-419"/>
        </w:rPr>
        <w:drawing>
          <wp:anchor distT="0" distB="0" distL="114300" distR="114300" simplePos="0" relativeHeight="251662339" behindDoc="0" locked="0" layoutInCell="1" allowOverlap="1" wp14:anchorId="49E33BF4" wp14:editId="43A6640C">
            <wp:simplePos x="0" y="0"/>
            <wp:positionH relativeFrom="column">
              <wp:posOffset>658495</wp:posOffset>
            </wp:positionH>
            <wp:positionV relativeFrom="paragraph">
              <wp:posOffset>10795</wp:posOffset>
            </wp:positionV>
            <wp:extent cx="3871209" cy="3114571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209" cy="31145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F66098F" w14:textId="07D11079" w:rsidR="002B0363" w:rsidRPr="003B0259" w:rsidRDefault="002B0363" w:rsidP="00975648">
      <w:pPr>
        <w:spacing w:line="250" w:lineRule="exact"/>
        <w:jc w:val="both"/>
        <w:rPr>
          <w:b/>
          <w:sz w:val="22"/>
          <w:szCs w:val="22"/>
        </w:rPr>
      </w:pPr>
    </w:p>
    <w:p w14:paraId="588974BC" w14:textId="5E0F9C82" w:rsidR="002B0363" w:rsidRPr="003B0259" w:rsidRDefault="002B0363" w:rsidP="00975648">
      <w:pPr>
        <w:spacing w:line="250" w:lineRule="exact"/>
        <w:jc w:val="both"/>
        <w:rPr>
          <w:b/>
          <w:sz w:val="22"/>
          <w:szCs w:val="22"/>
        </w:rPr>
      </w:pPr>
    </w:p>
    <w:p w14:paraId="2C503C92" w14:textId="04A63B03" w:rsidR="002B0363" w:rsidRPr="003B0259" w:rsidRDefault="002B0363" w:rsidP="00975648">
      <w:pPr>
        <w:spacing w:line="250" w:lineRule="exact"/>
        <w:jc w:val="both"/>
        <w:rPr>
          <w:b/>
          <w:sz w:val="22"/>
          <w:szCs w:val="22"/>
        </w:rPr>
      </w:pPr>
    </w:p>
    <w:p w14:paraId="1D307293" w14:textId="443BB2A6" w:rsidR="002B0363" w:rsidRPr="003B0259" w:rsidRDefault="002B0363" w:rsidP="00975648">
      <w:pPr>
        <w:spacing w:line="250" w:lineRule="exact"/>
        <w:jc w:val="both"/>
        <w:rPr>
          <w:b/>
          <w:sz w:val="22"/>
          <w:szCs w:val="22"/>
        </w:rPr>
      </w:pPr>
    </w:p>
    <w:p w14:paraId="66A83A75" w14:textId="4C79FBC1" w:rsidR="002B0363" w:rsidRPr="003B0259" w:rsidRDefault="002B0363" w:rsidP="00975648">
      <w:pPr>
        <w:spacing w:line="250" w:lineRule="exact"/>
        <w:jc w:val="both"/>
        <w:rPr>
          <w:b/>
          <w:sz w:val="22"/>
          <w:szCs w:val="22"/>
        </w:rPr>
      </w:pPr>
    </w:p>
    <w:p w14:paraId="5ED7782A" w14:textId="065C5665" w:rsidR="002B0363" w:rsidRPr="003B0259" w:rsidRDefault="002B0363" w:rsidP="00975648">
      <w:pPr>
        <w:spacing w:line="250" w:lineRule="exact"/>
        <w:jc w:val="both"/>
        <w:rPr>
          <w:b/>
          <w:sz w:val="22"/>
          <w:szCs w:val="22"/>
        </w:rPr>
      </w:pPr>
    </w:p>
    <w:p w14:paraId="0B29BF0C" w14:textId="38A76433" w:rsidR="002B0363" w:rsidRPr="003B0259" w:rsidRDefault="002B0363" w:rsidP="00975648">
      <w:pPr>
        <w:spacing w:line="250" w:lineRule="exact"/>
        <w:jc w:val="both"/>
        <w:rPr>
          <w:b/>
          <w:sz w:val="22"/>
          <w:szCs w:val="22"/>
        </w:rPr>
      </w:pPr>
    </w:p>
    <w:p w14:paraId="5B92F664" w14:textId="1B248351" w:rsidR="002B0363" w:rsidRPr="003B0259" w:rsidRDefault="002B0363" w:rsidP="00975648">
      <w:pPr>
        <w:spacing w:line="250" w:lineRule="exact"/>
        <w:jc w:val="both"/>
        <w:rPr>
          <w:b/>
          <w:sz w:val="22"/>
          <w:szCs w:val="22"/>
        </w:rPr>
      </w:pPr>
    </w:p>
    <w:p w14:paraId="30033BA9" w14:textId="3523400D" w:rsidR="002B0363" w:rsidRPr="003B0259" w:rsidRDefault="002B0363" w:rsidP="00975648">
      <w:pPr>
        <w:spacing w:line="250" w:lineRule="exact"/>
        <w:jc w:val="both"/>
        <w:rPr>
          <w:b/>
          <w:sz w:val="22"/>
          <w:szCs w:val="22"/>
        </w:rPr>
      </w:pPr>
    </w:p>
    <w:p w14:paraId="07149A5D" w14:textId="557ABCBA" w:rsidR="002B0363" w:rsidRPr="003B0259" w:rsidRDefault="002B0363" w:rsidP="00975648">
      <w:pPr>
        <w:spacing w:line="250" w:lineRule="exact"/>
        <w:jc w:val="both"/>
        <w:rPr>
          <w:b/>
          <w:sz w:val="22"/>
          <w:szCs w:val="22"/>
        </w:rPr>
      </w:pPr>
    </w:p>
    <w:p w14:paraId="3C729EB4" w14:textId="77777777" w:rsidR="002B0363" w:rsidRPr="003B0259" w:rsidRDefault="002B0363" w:rsidP="00975648">
      <w:pPr>
        <w:spacing w:line="250" w:lineRule="exact"/>
        <w:jc w:val="both"/>
        <w:rPr>
          <w:b/>
          <w:sz w:val="22"/>
          <w:szCs w:val="22"/>
        </w:rPr>
      </w:pPr>
    </w:p>
    <w:p w14:paraId="143F2CB8" w14:textId="77777777" w:rsidR="00510C4D" w:rsidRPr="003B0259" w:rsidRDefault="00510C4D" w:rsidP="00975648">
      <w:pPr>
        <w:spacing w:line="250" w:lineRule="exact"/>
        <w:jc w:val="both"/>
        <w:rPr>
          <w:sz w:val="22"/>
          <w:szCs w:val="22"/>
        </w:rPr>
      </w:pPr>
    </w:p>
    <w:p w14:paraId="56A353B4" w14:textId="77777777" w:rsidR="00510C4D" w:rsidRPr="003B0259" w:rsidRDefault="00510C4D" w:rsidP="00975648">
      <w:pPr>
        <w:spacing w:line="250" w:lineRule="exact"/>
        <w:jc w:val="both"/>
        <w:rPr>
          <w:sz w:val="22"/>
          <w:szCs w:val="22"/>
        </w:rPr>
      </w:pPr>
    </w:p>
    <w:p w14:paraId="52CEF775" w14:textId="77777777" w:rsidR="00510C4D" w:rsidRPr="003B0259" w:rsidRDefault="00510C4D" w:rsidP="00975648">
      <w:pPr>
        <w:spacing w:line="250" w:lineRule="exact"/>
        <w:jc w:val="both"/>
        <w:rPr>
          <w:sz w:val="22"/>
          <w:szCs w:val="22"/>
        </w:rPr>
      </w:pPr>
    </w:p>
    <w:p w14:paraId="68F81FE3" w14:textId="77777777" w:rsidR="00510C4D" w:rsidRPr="003B0259" w:rsidRDefault="00510C4D" w:rsidP="00975648">
      <w:pPr>
        <w:spacing w:line="250" w:lineRule="exact"/>
        <w:jc w:val="both"/>
        <w:rPr>
          <w:sz w:val="22"/>
          <w:szCs w:val="22"/>
        </w:rPr>
      </w:pPr>
    </w:p>
    <w:p w14:paraId="11EC463F" w14:textId="77777777" w:rsidR="00510C4D" w:rsidRPr="003B0259" w:rsidRDefault="00510C4D" w:rsidP="00975648">
      <w:pPr>
        <w:spacing w:line="250" w:lineRule="exact"/>
        <w:jc w:val="both"/>
        <w:rPr>
          <w:sz w:val="22"/>
          <w:szCs w:val="22"/>
        </w:rPr>
      </w:pPr>
    </w:p>
    <w:p w14:paraId="304F9F40" w14:textId="77777777" w:rsidR="00510C4D" w:rsidRPr="003B0259" w:rsidRDefault="00510C4D" w:rsidP="00975648">
      <w:pPr>
        <w:spacing w:line="250" w:lineRule="exact"/>
        <w:jc w:val="both"/>
        <w:rPr>
          <w:sz w:val="22"/>
          <w:szCs w:val="22"/>
        </w:rPr>
      </w:pPr>
    </w:p>
    <w:p w14:paraId="3B61CAF6" w14:textId="77777777" w:rsidR="00351631" w:rsidRPr="003B0259" w:rsidRDefault="00351631" w:rsidP="00975648">
      <w:pPr>
        <w:spacing w:line="250" w:lineRule="exact"/>
        <w:jc w:val="both"/>
        <w:rPr>
          <w:sz w:val="22"/>
          <w:szCs w:val="22"/>
        </w:rPr>
      </w:pPr>
    </w:p>
    <w:p w14:paraId="2CCB507A" w14:textId="77777777" w:rsidR="006F408A" w:rsidRDefault="006F408A" w:rsidP="00975648">
      <w:pPr>
        <w:spacing w:line="250" w:lineRule="exact"/>
        <w:jc w:val="both"/>
        <w:rPr>
          <w:sz w:val="22"/>
          <w:szCs w:val="22"/>
        </w:rPr>
      </w:pPr>
    </w:p>
    <w:p w14:paraId="3C925035" w14:textId="77777777" w:rsidR="006F408A" w:rsidRPr="00C418FF" w:rsidRDefault="006F408A" w:rsidP="00975648">
      <w:pPr>
        <w:spacing w:line="250" w:lineRule="exact"/>
        <w:jc w:val="both"/>
        <w:rPr>
          <w:sz w:val="22"/>
          <w:szCs w:val="22"/>
        </w:rPr>
      </w:pPr>
    </w:p>
    <w:p w14:paraId="31B41EE7" w14:textId="5477177E" w:rsidR="00A41793" w:rsidRPr="00C418FF" w:rsidRDefault="009264B0" w:rsidP="00975648">
      <w:pPr>
        <w:spacing w:line="250" w:lineRule="exact"/>
        <w:jc w:val="both"/>
        <w:rPr>
          <w:sz w:val="22"/>
          <w:szCs w:val="22"/>
        </w:rPr>
      </w:pPr>
      <w:r w:rsidRPr="00C418FF">
        <w:rPr>
          <w:sz w:val="22"/>
          <w:szCs w:val="22"/>
        </w:rPr>
        <w:t>A estas contribuciones deben sumarse aportes</w:t>
      </w:r>
      <w:r w:rsidR="006052C4" w:rsidRPr="00C418FF">
        <w:rPr>
          <w:sz w:val="22"/>
          <w:szCs w:val="22"/>
        </w:rPr>
        <w:t xml:space="preserve"> en especie o financieros que, si bien no han ingresado a la contabilidad de la OEA, han permitido el buen desarrollo de sus actividades. Estas contribuciones se calculan en $</w:t>
      </w:r>
      <w:r w:rsidR="00B8226B" w:rsidRPr="00C418FF">
        <w:rPr>
          <w:sz w:val="22"/>
          <w:szCs w:val="22"/>
        </w:rPr>
        <w:t>4</w:t>
      </w:r>
      <w:r w:rsidR="00AC3D98" w:rsidRPr="00C418FF">
        <w:rPr>
          <w:sz w:val="22"/>
          <w:szCs w:val="22"/>
        </w:rPr>
        <w:t>22</w:t>
      </w:r>
      <w:r w:rsidR="005D77EC" w:rsidRPr="00C418FF">
        <w:rPr>
          <w:sz w:val="22"/>
          <w:szCs w:val="22"/>
        </w:rPr>
        <w:t>.00</w:t>
      </w:r>
      <w:r w:rsidR="006052C4" w:rsidRPr="00C418FF">
        <w:rPr>
          <w:sz w:val="22"/>
          <w:szCs w:val="22"/>
        </w:rPr>
        <w:t>0.</w:t>
      </w:r>
    </w:p>
    <w:p w14:paraId="66124E18" w14:textId="77777777" w:rsidR="009264B0" w:rsidRPr="00C418FF" w:rsidRDefault="009264B0" w:rsidP="00975648">
      <w:pPr>
        <w:spacing w:line="250" w:lineRule="exact"/>
        <w:jc w:val="both"/>
        <w:rPr>
          <w:b/>
          <w:sz w:val="22"/>
          <w:szCs w:val="22"/>
        </w:rPr>
      </w:pPr>
    </w:p>
    <w:p w14:paraId="674AE82D" w14:textId="77777777" w:rsidR="006052C4" w:rsidRPr="00C418FF" w:rsidRDefault="006052C4" w:rsidP="00975648">
      <w:pPr>
        <w:spacing w:line="250" w:lineRule="exact"/>
        <w:jc w:val="both"/>
        <w:rPr>
          <w:b/>
          <w:sz w:val="22"/>
          <w:szCs w:val="22"/>
        </w:rPr>
      </w:pPr>
    </w:p>
    <w:p w14:paraId="3FB9F10C" w14:textId="77777777" w:rsidR="00975648" w:rsidRPr="00C418FF" w:rsidRDefault="00975648" w:rsidP="00975648">
      <w:pPr>
        <w:spacing w:line="250" w:lineRule="exact"/>
        <w:jc w:val="both"/>
        <w:rPr>
          <w:b/>
          <w:sz w:val="22"/>
          <w:szCs w:val="22"/>
        </w:rPr>
      </w:pPr>
      <w:r w:rsidRPr="00C418FF">
        <w:rPr>
          <w:b/>
          <w:sz w:val="22"/>
          <w:szCs w:val="22"/>
        </w:rPr>
        <w:t>III. Gastos</w:t>
      </w:r>
    </w:p>
    <w:p w14:paraId="5B612602" w14:textId="77777777" w:rsidR="00975648" w:rsidRPr="00C418FF" w:rsidRDefault="00975648" w:rsidP="00975648">
      <w:pPr>
        <w:spacing w:line="250" w:lineRule="exact"/>
        <w:jc w:val="both"/>
        <w:rPr>
          <w:b/>
          <w:sz w:val="22"/>
          <w:szCs w:val="22"/>
        </w:rPr>
      </w:pPr>
    </w:p>
    <w:p w14:paraId="38FC13F6" w14:textId="1365618B" w:rsidR="00975648" w:rsidRPr="00C418FF" w:rsidRDefault="00975648" w:rsidP="00975648">
      <w:pPr>
        <w:spacing w:line="250" w:lineRule="exact"/>
        <w:jc w:val="both"/>
        <w:rPr>
          <w:sz w:val="22"/>
          <w:szCs w:val="22"/>
        </w:rPr>
      </w:pPr>
      <w:r w:rsidRPr="00C418FF">
        <w:rPr>
          <w:sz w:val="22"/>
          <w:szCs w:val="22"/>
        </w:rPr>
        <w:t>Las autoridades de la CIMT, según el Instructivo del Fondo de Aportes Voluntarios, han decidido la destinación de los recursos del Fondo durante</w:t>
      </w:r>
      <w:r w:rsidR="00104098" w:rsidRPr="00C418FF">
        <w:rPr>
          <w:sz w:val="22"/>
          <w:szCs w:val="22"/>
        </w:rPr>
        <w:t xml:space="preserve"> todas</w:t>
      </w:r>
      <w:r w:rsidRPr="00C418FF">
        <w:rPr>
          <w:sz w:val="22"/>
          <w:szCs w:val="22"/>
        </w:rPr>
        <w:t xml:space="preserve"> las Reuniones de Planeación</w:t>
      </w:r>
      <w:r w:rsidR="00104098" w:rsidRPr="00C418FF">
        <w:rPr>
          <w:sz w:val="22"/>
          <w:szCs w:val="22"/>
        </w:rPr>
        <w:t xml:space="preserve">, que siguen a las </w:t>
      </w:r>
      <w:r w:rsidR="00062B6C" w:rsidRPr="00C418FF">
        <w:rPr>
          <w:sz w:val="22"/>
          <w:szCs w:val="22"/>
        </w:rPr>
        <w:t>Conferencias ministeriales,</w:t>
      </w:r>
      <w:r w:rsidRPr="00C418FF">
        <w:rPr>
          <w:sz w:val="22"/>
          <w:szCs w:val="22"/>
        </w:rPr>
        <w:t xml:space="preserve"> de</w:t>
      </w:r>
      <w:r w:rsidR="00B7747F" w:rsidRPr="00C418FF">
        <w:rPr>
          <w:sz w:val="22"/>
          <w:szCs w:val="22"/>
        </w:rPr>
        <w:t>sde 2012</w:t>
      </w:r>
      <w:r w:rsidRPr="00C418FF">
        <w:rPr>
          <w:sz w:val="22"/>
          <w:szCs w:val="22"/>
        </w:rPr>
        <w:t>, dividiéndolos en Talleres Hemisféricos, actividades de cooperación bilateral, estudios, comunicaciones, y gastos de operación, estos últimos cubren parcialmente el componente de recursos humanos de la RIAL.</w:t>
      </w:r>
      <w:r w:rsidR="00510C4D" w:rsidRPr="00C418FF">
        <w:rPr>
          <w:sz w:val="22"/>
          <w:szCs w:val="22"/>
        </w:rPr>
        <w:t xml:space="preserve"> </w:t>
      </w:r>
      <w:r w:rsidR="00216698" w:rsidRPr="00C418FF">
        <w:rPr>
          <w:sz w:val="22"/>
          <w:szCs w:val="22"/>
        </w:rPr>
        <w:t xml:space="preserve">Además, </w:t>
      </w:r>
      <w:r w:rsidR="008A757F" w:rsidRPr="00C418FF">
        <w:rPr>
          <w:sz w:val="22"/>
          <w:szCs w:val="22"/>
        </w:rPr>
        <w:t xml:space="preserve">durante </w:t>
      </w:r>
      <w:r w:rsidR="00216698" w:rsidRPr="00C418FF">
        <w:rPr>
          <w:sz w:val="22"/>
          <w:szCs w:val="22"/>
        </w:rPr>
        <w:t>las reuniones virtuales anuales</w:t>
      </w:r>
      <w:r w:rsidR="008A757F" w:rsidRPr="00C418FF">
        <w:rPr>
          <w:sz w:val="22"/>
          <w:szCs w:val="22"/>
        </w:rPr>
        <w:t xml:space="preserve">, las autoridades de la CIMT han revisado </w:t>
      </w:r>
      <w:r w:rsidR="00510C4D" w:rsidRPr="00C418FF">
        <w:rPr>
          <w:sz w:val="22"/>
          <w:szCs w:val="22"/>
        </w:rPr>
        <w:t>el estado financiero de la RIAL y toma</w:t>
      </w:r>
      <w:r w:rsidR="00BF3FDF" w:rsidRPr="00C418FF">
        <w:rPr>
          <w:sz w:val="22"/>
          <w:szCs w:val="22"/>
        </w:rPr>
        <w:t>do</w:t>
      </w:r>
      <w:r w:rsidR="00510C4D" w:rsidRPr="00C418FF">
        <w:rPr>
          <w:sz w:val="22"/>
          <w:szCs w:val="22"/>
        </w:rPr>
        <w:t xml:space="preserve"> también decisiones sobre su distribución</w:t>
      </w:r>
      <w:r w:rsidR="00BF3FDF" w:rsidRPr="00C418FF">
        <w:rPr>
          <w:sz w:val="22"/>
          <w:szCs w:val="22"/>
        </w:rPr>
        <w:t>.</w:t>
      </w:r>
    </w:p>
    <w:p w14:paraId="39969A29" w14:textId="77777777" w:rsidR="00975648" w:rsidRPr="00C418FF" w:rsidRDefault="00975648" w:rsidP="00975648">
      <w:pPr>
        <w:spacing w:line="250" w:lineRule="exact"/>
        <w:jc w:val="both"/>
        <w:rPr>
          <w:sz w:val="22"/>
          <w:szCs w:val="22"/>
        </w:rPr>
      </w:pPr>
    </w:p>
    <w:p w14:paraId="61A4EFE8" w14:textId="008CDCDD" w:rsidR="00975648" w:rsidRPr="00C418FF" w:rsidRDefault="00975648" w:rsidP="00975648">
      <w:pPr>
        <w:spacing w:line="250" w:lineRule="exact"/>
        <w:jc w:val="both"/>
        <w:rPr>
          <w:sz w:val="22"/>
          <w:szCs w:val="22"/>
        </w:rPr>
      </w:pPr>
      <w:r w:rsidRPr="00C418FF">
        <w:rPr>
          <w:sz w:val="22"/>
          <w:szCs w:val="22"/>
        </w:rPr>
        <w:t xml:space="preserve">La RIAL ha tenido gastos por un total de </w:t>
      </w:r>
      <w:r w:rsidR="0023737A" w:rsidRPr="00C418FF">
        <w:rPr>
          <w:b/>
          <w:sz w:val="22"/>
          <w:szCs w:val="22"/>
        </w:rPr>
        <w:t>$1.</w:t>
      </w:r>
      <w:r w:rsidR="00990171" w:rsidRPr="00C418FF">
        <w:rPr>
          <w:b/>
          <w:sz w:val="22"/>
          <w:szCs w:val="22"/>
        </w:rPr>
        <w:t>400</w:t>
      </w:r>
      <w:r w:rsidR="00BF3FDF" w:rsidRPr="00C418FF">
        <w:rPr>
          <w:b/>
          <w:sz w:val="22"/>
          <w:szCs w:val="22"/>
        </w:rPr>
        <w:t>.</w:t>
      </w:r>
      <w:r w:rsidR="001956EA" w:rsidRPr="00C418FF">
        <w:rPr>
          <w:b/>
          <w:sz w:val="22"/>
          <w:szCs w:val="22"/>
        </w:rPr>
        <w:t>6</w:t>
      </w:r>
      <w:r w:rsidR="00990171" w:rsidRPr="00C418FF">
        <w:rPr>
          <w:b/>
          <w:sz w:val="22"/>
          <w:szCs w:val="22"/>
        </w:rPr>
        <w:t>57</w:t>
      </w:r>
      <w:r w:rsidR="0023737A" w:rsidRPr="00C418FF">
        <w:rPr>
          <w:sz w:val="22"/>
          <w:szCs w:val="22"/>
        </w:rPr>
        <w:t xml:space="preserve"> </w:t>
      </w:r>
      <w:r w:rsidRPr="00C418FF">
        <w:rPr>
          <w:sz w:val="22"/>
          <w:szCs w:val="22"/>
        </w:rPr>
        <w:t xml:space="preserve">dólares entre 2011 y </w:t>
      </w:r>
      <w:r w:rsidR="00990171" w:rsidRPr="00C418FF">
        <w:rPr>
          <w:sz w:val="22"/>
          <w:szCs w:val="22"/>
        </w:rPr>
        <w:t>septiembre</w:t>
      </w:r>
      <w:r w:rsidR="0023737A" w:rsidRPr="00C418FF">
        <w:rPr>
          <w:sz w:val="22"/>
          <w:szCs w:val="22"/>
        </w:rPr>
        <w:t xml:space="preserve"> de 202</w:t>
      </w:r>
      <w:r w:rsidR="00BF3FDF" w:rsidRPr="00C418FF">
        <w:rPr>
          <w:sz w:val="22"/>
          <w:szCs w:val="22"/>
        </w:rPr>
        <w:t>3</w:t>
      </w:r>
      <w:r w:rsidRPr="00C418FF">
        <w:rPr>
          <w:sz w:val="22"/>
          <w:szCs w:val="22"/>
        </w:rPr>
        <w:t xml:space="preserve">, que provienen del </w:t>
      </w:r>
      <w:r w:rsidR="007133CC" w:rsidRPr="00C418FF">
        <w:rPr>
          <w:sz w:val="22"/>
          <w:szCs w:val="22"/>
        </w:rPr>
        <w:t xml:space="preserve">Fondo de Aportes Voluntarios </w:t>
      </w:r>
      <w:r w:rsidR="0023737A" w:rsidRPr="00C418FF">
        <w:rPr>
          <w:sz w:val="22"/>
          <w:szCs w:val="22"/>
        </w:rPr>
        <w:t>($</w:t>
      </w:r>
      <w:r w:rsidR="00F00FDF" w:rsidRPr="00C418FF">
        <w:rPr>
          <w:sz w:val="22"/>
          <w:szCs w:val="22"/>
        </w:rPr>
        <w:t>9</w:t>
      </w:r>
      <w:r w:rsidR="00D07DF7" w:rsidRPr="00C418FF">
        <w:rPr>
          <w:sz w:val="22"/>
          <w:szCs w:val="22"/>
        </w:rPr>
        <w:t>78.657</w:t>
      </w:r>
      <w:r w:rsidR="00A02BDF" w:rsidRPr="00C418FF">
        <w:rPr>
          <w:sz w:val="22"/>
          <w:szCs w:val="22"/>
        </w:rPr>
        <w:t xml:space="preserve">, incluyendo gastos de la contribución de Canadá) </w:t>
      </w:r>
      <w:r w:rsidRPr="00C418FF">
        <w:rPr>
          <w:sz w:val="22"/>
          <w:szCs w:val="22"/>
        </w:rPr>
        <w:t xml:space="preserve">y de otras contribuciones en especie o realizadas por </w:t>
      </w:r>
      <w:r w:rsidR="00C3246C" w:rsidRPr="00C418FF">
        <w:rPr>
          <w:sz w:val="22"/>
          <w:szCs w:val="22"/>
        </w:rPr>
        <w:t>la OEA,</w:t>
      </w:r>
      <w:r w:rsidRPr="00C418FF">
        <w:rPr>
          <w:sz w:val="22"/>
          <w:szCs w:val="22"/>
        </w:rPr>
        <w:t xml:space="preserve"> </w:t>
      </w:r>
      <w:r w:rsidR="006701FB" w:rsidRPr="00C418FF">
        <w:rPr>
          <w:sz w:val="22"/>
          <w:szCs w:val="22"/>
        </w:rPr>
        <w:t xml:space="preserve">gobiernos u organismos internacionales aliados </w:t>
      </w:r>
      <w:r w:rsidRPr="00C418FF">
        <w:rPr>
          <w:sz w:val="22"/>
          <w:szCs w:val="22"/>
        </w:rPr>
        <w:t>directamente a actividades</w:t>
      </w:r>
      <w:r w:rsidR="009E5805" w:rsidRPr="00C418FF">
        <w:rPr>
          <w:sz w:val="22"/>
          <w:szCs w:val="22"/>
        </w:rPr>
        <w:t xml:space="preserve"> específicas y calculadas en $</w:t>
      </w:r>
      <w:r w:rsidR="00F00FDF" w:rsidRPr="00C418FF">
        <w:rPr>
          <w:sz w:val="22"/>
          <w:szCs w:val="22"/>
        </w:rPr>
        <w:t>4</w:t>
      </w:r>
      <w:r w:rsidR="000A6EBE" w:rsidRPr="00C418FF">
        <w:rPr>
          <w:sz w:val="22"/>
          <w:szCs w:val="22"/>
        </w:rPr>
        <w:t>22</w:t>
      </w:r>
      <w:r w:rsidR="00510C4D" w:rsidRPr="00C418FF">
        <w:rPr>
          <w:sz w:val="22"/>
          <w:szCs w:val="22"/>
        </w:rPr>
        <w:t>.000</w:t>
      </w:r>
      <w:r w:rsidRPr="00C418FF">
        <w:rPr>
          <w:sz w:val="22"/>
          <w:szCs w:val="22"/>
        </w:rPr>
        <w:t xml:space="preserve">, según se especifica en el </w:t>
      </w:r>
      <w:r w:rsidRPr="00C418FF">
        <w:rPr>
          <w:b/>
          <w:sz w:val="22"/>
          <w:szCs w:val="22"/>
        </w:rPr>
        <w:t>Cuadro No.</w:t>
      </w:r>
      <w:r w:rsidR="00510C4D" w:rsidRPr="00C418FF">
        <w:rPr>
          <w:b/>
          <w:sz w:val="22"/>
          <w:szCs w:val="22"/>
        </w:rPr>
        <w:t>3</w:t>
      </w:r>
      <w:r w:rsidRPr="00C418FF">
        <w:rPr>
          <w:sz w:val="22"/>
          <w:szCs w:val="22"/>
        </w:rPr>
        <w:t xml:space="preserve">. </w:t>
      </w:r>
    </w:p>
    <w:p w14:paraId="0F948F65" w14:textId="77777777" w:rsidR="0023737A" w:rsidRPr="00C418FF" w:rsidRDefault="0023737A" w:rsidP="00975648">
      <w:pPr>
        <w:spacing w:line="250" w:lineRule="exact"/>
        <w:jc w:val="both"/>
        <w:rPr>
          <w:sz w:val="22"/>
          <w:szCs w:val="22"/>
        </w:rPr>
      </w:pPr>
    </w:p>
    <w:p w14:paraId="514DCFAF" w14:textId="77777777" w:rsidR="00A02BDF" w:rsidRPr="00C418FF" w:rsidRDefault="00A02BDF" w:rsidP="00A02BDF">
      <w:pPr>
        <w:spacing w:line="250" w:lineRule="exact"/>
        <w:jc w:val="both"/>
        <w:rPr>
          <w:sz w:val="22"/>
          <w:szCs w:val="22"/>
        </w:rPr>
      </w:pPr>
    </w:p>
    <w:p w14:paraId="31255D0B" w14:textId="77777777" w:rsidR="00975648" w:rsidRPr="00C418FF" w:rsidRDefault="00975648" w:rsidP="00975648">
      <w:pPr>
        <w:spacing w:line="250" w:lineRule="exact"/>
        <w:jc w:val="both"/>
        <w:rPr>
          <w:b/>
          <w:sz w:val="22"/>
          <w:szCs w:val="22"/>
        </w:rPr>
      </w:pPr>
    </w:p>
    <w:p w14:paraId="016F3B21" w14:textId="77777777" w:rsidR="00975648" w:rsidRPr="00C418FF" w:rsidRDefault="007B55F2" w:rsidP="00975648">
      <w:pPr>
        <w:spacing w:line="250" w:lineRule="exact"/>
        <w:jc w:val="center"/>
        <w:rPr>
          <w:b/>
          <w:sz w:val="22"/>
          <w:szCs w:val="22"/>
        </w:rPr>
      </w:pPr>
      <w:r w:rsidRPr="00C418FF">
        <w:rPr>
          <w:b/>
          <w:sz w:val="22"/>
          <w:szCs w:val="22"/>
        </w:rPr>
        <w:br w:type="page"/>
      </w:r>
      <w:r w:rsidR="00A02BDF" w:rsidRPr="00C418FF">
        <w:rPr>
          <w:b/>
          <w:sz w:val="22"/>
          <w:szCs w:val="22"/>
        </w:rPr>
        <w:lastRenderedPageBreak/>
        <w:t xml:space="preserve">Cuadro No. </w:t>
      </w:r>
      <w:r w:rsidR="00510C4D" w:rsidRPr="00C418FF">
        <w:rPr>
          <w:b/>
          <w:sz w:val="22"/>
          <w:szCs w:val="22"/>
        </w:rPr>
        <w:t>3</w:t>
      </w:r>
    </w:p>
    <w:p w14:paraId="233C0315" w14:textId="77777777" w:rsidR="00975648" w:rsidRPr="00C418FF" w:rsidRDefault="00975648" w:rsidP="00975648">
      <w:pPr>
        <w:spacing w:line="250" w:lineRule="exact"/>
        <w:jc w:val="center"/>
        <w:rPr>
          <w:b/>
          <w:sz w:val="22"/>
          <w:szCs w:val="22"/>
        </w:rPr>
      </w:pPr>
      <w:r w:rsidRPr="00C418FF">
        <w:rPr>
          <w:b/>
          <w:sz w:val="22"/>
          <w:szCs w:val="22"/>
        </w:rPr>
        <w:t>Gastos totales por categoría y según fuente de financiamiento</w:t>
      </w:r>
    </w:p>
    <w:p w14:paraId="03158E2E" w14:textId="6173B104" w:rsidR="00975648" w:rsidRPr="00C418FF" w:rsidRDefault="00BE344D" w:rsidP="00416499">
      <w:pPr>
        <w:spacing w:line="250" w:lineRule="exact"/>
        <w:jc w:val="center"/>
        <w:rPr>
          <w:sz w:val="22"/>
          <w:szCs w:val="22"/>
        </w:rPr>
      </w:pPr>
      <w:r w:rsidRPr="00C418FF">
        <w:rPr>
          <w:bCs/>
          <w:i/>
          <w:sz w:val="22"/>
          <w:szCs w:val="22"/>
        </w:rPr>
        <w:t>(En dólares estadounidenses</w:t>
      </w:r>
      <w:r w:rsidRPr="00C418FF">
        <w:rPr>
          <w:sz w:val="22"/>
          <w:szCs w:val="22"/>
        </w:rPr>
        <w:t xml:space="preserve">) </w:t>
      </w:r>
      <w:r w:rsidR="00975648" w:rsidRPr="00C418FF">
        <w:rPr>
          <w:sz w:val="22"/>
          <w:szCs w:val="22"/>
        </w:rPr>
        <w:t xml:space="preserve"> </w:t>
      </w:r>
    </w:p>
    <w:p w14:paraId="40E4C937" w14:textId="45160374" w:rsidR="00FC2499" w:rsidRPr="00C418FF" w:rsidRDefault="00FC2499" w:rsidP="00C85A76">
      <w:pPr>
        <w:spacing w:line="250" w:lineRule="exact"/>
        <w:jc w:val="center"/>
        <w:rPr>
          <w:b/>
          <w:sz w:val="22"/>
          <w:szCs w:val="22"/>
        </w:rPr>
      </w:pPr>
    </w:p>
    <w:tbl>
      <w:tblPr>
        <w:tblW w:w="9550" w:type="dxa"/>
        <w:tblInd w:w="98" w:type="dxa"/>
        <w:tblLook w:val="0000" w:firstRow="0" w:lastRow="0" w:firstColumn="0" w:lastColumn="0" w:noHBand="0" w:noVBand="0"/>
      </w:tblPr>
      <w:tblGrid>
        <w:gridCol w:w="2710"/>
        <w:gridCol w:w="1800"/>
        <w:gridCol w:w="1800"/>
        <w:gridCol w:w="1620"/>
        <w:gridCol w:w="1620"/>
      </w:tblGrid>
      <w:tr w:rsidR="00C418FF" w:rsidRPr="00C418FF" w14:paraId="16E05793" w14:textId="77777777" w:rsidTr="000F1AD8">
        <w:trPr>
          <w:trHeight w:val="385"/>
        </w:trPr>
        <w:tc>
          <w:tcPr>
            <w:tcW w:w="27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C2711" w14:textId="77777777" w:rsidR="00975648" w:rsidRPr="00C418FF" w:rsidRDefault="00975648" w:rsidP="000F1AD8">
            <w:pPr>
              <w:jc w:val="center"/>
              <w:rPr>
                <w:b/>
                <w:bCs/>
                <w:sz w:val="22"/>
                <w:szCs w:val="22"/>
                <w:lang w:val="es-419"/>
              </w:rPr>
            </w:pPr>
            <w:r w:rsidRPr="00C418FF">
              <w:rPr>
                <w:b/>
                <w:bCs/>
                <w:sz w:val="22"/>
                <w:szCs w:val="22"/>
                <w:lang w:val="es-419"/>
              </w:rPr>
              <w:t>CATEGORIA DE GASTO</w:t>
            </w:r>
          </w:p>
        </w:tc>
        <w:tc>
          <w:tcPr>
            <w:tcW w:w="52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073A566" w14:textId="77777777" w:rsidR="00975648" w:rsidRPr="00C418FF" w:rsidRDefault="00975648" w:rsidP="000F1AD8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C418FF">
              <w:rPr>
                <w:b/>
                <w:bCs/>
                <w:sz w:val="22"/>
                <w:szCs w:val="22"/>
                <w:lang w:val="es-419"/>
              </w:rPr>
              <w:t>FUE</w:t>
            </w:r>
            <w:r w:rsidRPr="00C418FF">
              <w:rPr>
                <w:b/>
                <w:bCs/>
                <w:sz w:val="22"/>
                <w:szCs w:val="22"/>
                <w:lang w:val="en-US"/>
              </w:rPr>
              <w:t>NTE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0F9D0BF4" w14:textId="77777777" w:rsidR="00975648" w:rsidRPr="00C418FF" w:rsidRDefault="00975648" w:rsidP="000F1AD8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C418FF">
              <w:rPr>
                <w:b/>
                <w:bCs/>
                <w:sz w:val="22"/>
                <w:szCs w:val="22"/>
                <w:lang w:val="en-US"/>
              </w:rPr>
              <w:t>Total</w:t>
            </w:r>
          </w:p>
        </w:tc>
      </w:tr>
      <w:tr w:rsidR="00C418FF" w:rsidRPr="00C418FF" w14:paraId="7C355918" w14:textId="77777777" w:rsidTr="00FA3C69">
        <w:trPr>
          <w:trHeight w:val="860"/>
        </w:trPr>
        <w:tc>
          <w:tcPr>
            <w:tcW w:w="27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C6444" w14:textId="77777777" w:rsidR="00975648" w:rsidRPr="00C418FF" w:rsidRDefault="00975648" w:rsidP="000F1AD8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FEF5195" w14:textId="77777777" w:rsidR="00975648" w:rsidRPr="00C418FF" w:rsidRDefault="00975648" w:rsidP="000F1AD8">
            <w:pPr>
              <w:jc w:val="center"/>
              <w:rPr>
                <w:b/>
                <w:bCs/>
                <w:sz w:val="22"/>
                <w:szCs w:val="22"/>
                <w:lang w:val="es-CL"/>
              </w:rPr>
            </w:pPr>
            <w:r w:rsidRPr="00C418FF">
              <w:rPr>
                <w:b/>
                <w:bCs/>
                <w:sz w:val="22"/>
                <w:szCs w:val="22"/>
                <w:lang w:val="es-CL"/>
              </w:rPr>
              <w:t xml:space="preserve"> Fondo Aportes Voluntarios  </w:t>
            </w:r>
          </w:p>
          <w:p w14:paraId="3B19828B" w14:textId="77777777" w:rsidR="00975648" w:rsidRPr="00C418FF" w:rsidRDefault="00975648" w:rsidP="000F1AD8">
            <w:pPr>
              <w:jc w:val="center"/>
              <w:rPr>
                <w:bCs/>
                <w:sz w:val="22"/>
                <w:szCs w:val="22"/>
                <w:lang w:val="es-CL"/>
              </w:rPr>
            </w:pPr>
            <w:r w:rsidRPr="00C418FF">
              <w:rPr>
                <w:bCs/>
                <w:sz w:val="22"/>
                <w:szCs w:val="22"/>
                <w:lang w:val="es-CL"/>
              </w:rPr>
              <w:t>(exc.Canadá)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CB1D7ED" w14:textId="77777777" w:rsidR="00975648" w:rsidRPr="00C418FF" w:rsidRDefault="00975648" w:rsidP="00A02BDF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C418FF">
              <w:rPr>
                <w:b/>
                <w:bCs/>
                <w:sz w:val="22"/>
                <w:szCs w:val="22"/>
                <w:lang w:val="es-CL"/>
              </w:rPr>
              <w:t xml:space="preserve"> </w:t>
            </w:r>
            <w:r w:rsidR="00A02BDF" w:rsidRPr="00C418FF">
              <w:rPr>
                <w:b/>
                <w:bCs/>
                <w:sz w:val="22"/>
                <w:szCs w:val="22"/>
                <w:lang w:val="en-US"/>
              </w:rPr>
              <w:t>Contribución de Canadá</w:t>
            </w:r>
          </w:p>
          <w:p w14:paraId="2DB5793D" w14:textId="77777777" w:rsidR="00A02BDF" w:rsidRPr="00C418FF" w:rsidRDefault="00A02BDF" w:rsidP="009130D3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5F8E058" w14:textId="77777777" w:rsidR="00975648" w:rsidRPr="00C418FF" w:rsidRDefault="00975648" w:rsidP="000F1AD8">
            <w:pPr>
              <w:jc w:val="center"/>
              <w:rPr>
                <w:b/>
                <w:bCs/>
                <w:sz w:val="22"/>
                <w:szCs w:val="22"/>
              </w:rPr>
            </w:pPr>
            <w:r w:rsidRPr="00C418FF">
              <w:rPr>
                <w:b/>
                <w:bCs/>
                <w:sz w:val="22"/>
                <w:szCs w:val="22"/>
              </w:rPr>
              <w:t xml:space="preserve">Otros aportes </w:t>
            </w:r>
            <w:r w:rsidRPr="00C418FF">
              <w:rPr>
                <w:sz w:val="22"/>
                <w:szCs w:val="22"/>
              </w:rPr>
              <w:t>(en especie o directos</w:t>
            </w:r>
            <w:r w:rsidR="006701FB" w:rsidRPr="00C418FF">
              <w:rPr>
                <w:sz w:val="22"/>
                <w:szCs w:val="22"/>
              </w:rPr>
              <w:t xml:space="preserve"> a actividades</w:t>
            </w:r>
            <w:r w:rsidRPr="00C418FF">
              <w:rPr>
                <w:sz w:val="22"/>
                <w:szCs w:val="22"/>
              </w:rPr>
              <w:t>)</w:t>
            </w: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358DF" w14:textId="77777777" w:rsidR="00975648" w:rsidRPr="00C418FF" w:rsidRDefault="00975648" w:rsidP="000F1AD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418FF" w:rsidRPr="00C418FF" w14:paraId="2BE8EB23" w14:textId="77777777" w:rsidTr="00FA3C69">
        <w:trPr>
          <w:trHeight w:val="453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7F81D" w14:textId="77777777" w:rsidR="00975648" w:rsidRPr="00C418FF" w:rsidRDefault="00975648" w:rsidP="000D668C">
            <w:pPr>
              <w:rPr>
                <w:b/>
                <w:bCs/>
                <w:iCs/>
                <w:sz w:val="22"/>
                <w:szCs w:val="22"/>
                <w:lang w:val="en-US"/>
              </w:rPr>
            </w:pPr>
            <w:r w:rsidRPr="00C418FF">
              <w:rPr>
                <w:b/>
                <w:bCs/>
                <w:iCs/>
                <w:sz w:val="22"/>
                <w:szCs w:val="22"/>
                <w:lang w:val="en-US"/>
              </w:rPr>
              <w:t>Talleres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E636E5" w14:textId="2284310C" w:rsidR="00975648" w:rsidRPr="00C418FF" w:rsidRDefault="00411949" w:rsidP="007B55F2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C418FF">
              <w:rPr>
                <w:bCs/>
                <w:sz w:val="22"/>
                <w:szCs w:val="22"/>
                <w:lang w:val="en-US"/>
              </w:rPr>
              <w:t>1</w:t>
            </w:r>
            <w:r w:rsidR="00584C2C" w:rsidRPr="00C418FF">
              <w:rPr>
                <w:bCs/>
                <w:sz w:val="22"/>
                <w:szCs w:val="22"/>
                <w:lang w:val="en-US"/>
              </w:rPr>
              <w:t>7</w:t>
            </w:r>
            <w:r w:rsidR="00977269" w:rsidRPr="00C418FF">
              <w:rPr>
                <w:bCs/>
                <w:sz w:val="22"/>
                <w:szCs w:val="22"/>
                <w:lang w:val="en-US"/>
              </w:rPr>
              <w:t>9.546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4B82D" w14:textId="42A924A5" w:rsidR="00975648" w:rsidRPr="00C418FF" w:rsidRDefault="007056A0" w:rsidP="0023737A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C418FF">
              <w:rPr>
                <w:bCs/>
                <w:sz w:val="22"/>
                <w:szCs w:val="22"/>
                <w:lang w:val="en-US"/>
              </w:rPr>
              <w:t>74.180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CAA46AE" w14:textId="5ED504FC" w:rsidR="00975648" w:rsidRPr="00C418FF" w:rsidRDefault="00461827" w:rsidP="0023737A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C418FF">
              <w:rPr>
                <w:bCs/>
                <w:sz w:val="22"/>
                <w:szCs w:val="22"/>
                <w:lang w:val="en-US"/>
              </w:rPr>
              <w:t>1</w:t>
            </w:r>
            <w:r w:rsidR="0001410A" w:rsidRPr="00C418FF">
              <w:rPr>
                <w:bCs/>
                <w:sz w:val="22"/>
                <w:szCs w:val="22"/>
                <w:lang w:val="en-US"/>
              </w:rPr>
              <w:t>60</w:t>
            </w:r>
            <w:r w:rsidR="00975648" w:rsidRPr="00C418FF">
              <w:rPr>
                <w:bCs/>
                <w:sz w:val="22"/>
                <w:szCs w:val="22"/>
                <w:lang w:val="en-US"/>
              </w:rPr>
              <w:t>.000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63AC1" w14:textId="01BF05D3" w:rsidR="00975648" w:rsidRPr="00C418FF" w:rsidRDefault="0001410A" w:rsidP="0023737A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C418FF">
              <w:rPr>
                <w:b/>
                <w:bCs/>
                <w:sz w:val="22"/>
                <w:szCs w:val="22"/>
                <w:lang w:val="en-US"/>
              </w:rPr>
              <w:t>413.726</w:t>
            </w:r>
          </w:p>
        </w:tc>
      </w:tr>
      <w:tr w:rsidR="00C418FF" w:rsidRPr="00C418FF" w14:paraId="5B8A869D" w14:textId="77777777" w:rsidTr="009F2157">
        <w:trPr>
          <w:trHeight w:val="403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15C35" w14:textId="77777777" w:rsidR="00975648" w:rsidRPr="00C418FF" w:rsidRDefault="00975648" w:rsidP="000D668C">
            <w:pPr>
              <w:rPr>
                <w:b/>
                <w:bCs/>
                <w:iCs/>
                <w:sz w:val="22"/>
                <w:szCs w:val="22"/>
                <w:lang w:val="en-US"/>
              </w:rPr>
            </w:pPr>
            <w:r w:rsidRPr="00C418FF">
              <w:rPr>
                <w:b/>
                <w:bCs/>
                <w:iCs/>
                <w:sz w:val="22"/>
                <w:szCs w:val="22"/>
                <w:lang w:val="en-US"/>
              </w:rPr>
              <w:t>Cooperación bilateral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B2376" w14:textId="3F6AA948" w:rsidR="00975648" w:rsidRPr="00C418FF" w:rsidRDefault="00A02BDF" w:rsidP="0023737A">
            <w:pPr>
              <w:jc w:val="center"/>
              <w:rPr>
                <w:bCs/>
                <w:sz w:val="22"/>
                <w:szCs w:val="22"/>
                <w:lang w:val="es-CO"/>
              </w:rPr>
            </w:pPr>
            <w:r w:rsidRPr="00C418FF">
              <w:rPr>
                <w:bCs/>
                <w:sz w:val="22"/>
                <w:szCs w:val="22"/>
                <w:lang w:val="es-CO"/>
              </w:rPr>
              <w:t>1</w:t>
            </w:r>
            <w:r w:rsidR="005F2B06" w:rsidRPr="00C418FF">
              <w:rPr>
                <w:bCs/>
                <w:sz w:val="22"/>
                <w:szCs w:val="22"/>
                <w:lang w:val="es-CO"/>
              </w:rPr>
              <w:t>84.500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C4746" w14:textId="3407E163" w:rsidR="00975648" w:rsidRPr="00C418FF" w:rsidRDefault="008A0C3A" w:rsidP="007B55F2">
            <w:pPr>
              <w:jc w:val="center"/>
              <w:rPr>
                <w:bCs/>
                <w:sz w:val="22"/>
                <w:szCs w:val="22"/>
                <w:lang w:val="es-CO"/>
              </w:rPr>
            </w:pPr>
            <w:r w:rsidRPr="00C418FF">
              <w:rPr>
                <w:bCs/>
                <w:sz w:val="22"/>
                <w:szCs w:val="22"/>
                <w:lang w:val="es-CO"/>
              </w:rPr>
              <w:t>1</w:t>
            </w:r>
            <w:r w:rsidR="007056A0" w:rsidRPr="00C418FF">
              <w:rPr>
                <w:bCs/>
                <w:sz w:val="22"/>
                <w:szCs w:val="22"/>
                <w:lang w:val="es-CO"/>
              </w:rPr>
              <w:t>12.758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1A7275E" w14:textId="77777777" w:rsidR="00975648" w:rsidRPr="00C418FF" w:rsidRDefault="00975648" w:rsidP="000F1AD8">
            <w:pPr>
              <w:jc w:val="center"/>
              <w:rPr>
                <w:bCs/>
                <w:sz w:val="22"/>
                <w:szCs w:val="22"/>
                <w:lang w:val="es-CO"/>
              </w:rPr>
            </w:pPr>
            <w:r w:rsidRPr="00C418FF">
              <w:rPr>
                <w:bCs/>
                <w:sz w:val="22"/>
                <w:szCs w:val="22"/>
                <w:lang w:val="es-CO"/>
              </w:rPr>
              <w:t>20.000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DF9F2" w14:textId="5DC89E85" w:rsidR="00975648" w:rsidRPr="00C418FF" w:rsidRDefault="00404CA3" w:rsidP="0023737A">
            <w:pPr>
              <w:jc w:val="center"/>
              <w:rPr>
                <w:b/>
                <w:bCs/>
                <w:sz w:val="22"/>
                <w:szCs w:val="22"/>
                <w:lang w:val="es-CO"/>
              </w:rPr>
            </w:pPr>
            <w:r w:rsidRPr="00C418FF">
              <w:rPr>
                <w:b/>
                <w:bCs/>
                <w:sz w:val="22"/>
                <w:szCs w:val="22"/>
                <w:lang w:val="es-CO"/>
              </w:rPr>
              <w:t>317.258</w:t>
            </w:r>
          </w:p>
        </w:tc>
      </w:tr>
      <w:tr w:rsidR="00C418FF" w:rsidRPr="00C418FF" w14:paraId="4C4E4E2A" w14:textId="77777777" w:rsidTr="009F2157">
        <w:trPr>
          <w:trHeight w:val="322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B1CBC" w14:textId="77777777" w:rsidR="00975648" w:rsidRPr="00C418FF" w:rsidRDefault="00975648" w:rsidP="000F1AD8">
            <w:pPr>
              <w:rPr>
                <w:b/>
                <w:bCs/>
                <w:iCs/>
                <w:sz w:val="22"/>
                <w:szCs w:val="22"/>
                <w:lang w:val="es-CO"/>
              </w:rPr>
            </w:pPr>
            <w:r w:rsidRPr="00C418FF">
              <w:rPr>
                <w:b/>
                <w:bCs/>
                <w:iCs/>
                <w:sz w:val="22"/>
                <w:szCs w:val="22"/>
                <w:lang w:val="es-CO"/>
              </w:rPr>
              <w:t>Estudios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A411E" w14:textId="77777777" w:rsidR="00975648" w:rsidRPr="00C418FF" w:rsidRDefault="00975648" w:rsidP="000F1AD8">
            <w:pPr>
              <w:jc w:val="center"/>
              <w:rPr>
                <w:bCs/>
                <w:sz w:val="22"/>
                <w:szCs w:val="22"/>
                <w:lang w:val="es-CO"/>
              </w:rPr>
            </w:pPr>
            <w:r w:rsidRPr="00C418FF">
              <w:rPr>
                <w:bCs/>
                <w:sz w:val="22"/>
                <w:szCs w:val="22"/>
                <w:lang w:val="es-CO"/>
              </w:rPr>
              <w:t>20.000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12099" w14:textId="2DFFCBC3" w:rsidR="00975648" w:rsidRPr="00C418FF" w:rsidRDefault="00975648" w:rsidP="008A0C3A">
            <w:pPr>
              <w:jc w:val="center"/>
              <w:rPr>
                <w:sz w:val="22"/>
                <w:szCs w:val="22"/>
                <w:lang w:val="es-CO"/>
              </w:rPr>
            </w:pPr>
            <w:r w:rsidRPr="00C418FF">
              <w:rPr>
                <w:sz w:val="22"/>
                <w:szCs w:val="22"/>
                <w:lang w:val="es-CO"/>
              </w:rPr>
              <w:t> </w:t>
            </w:r>
            <w:r w:rsidR="007056A0" w:rsidRPr="00C418FF">
              <w:rPr>
                <w:sz w:val="22"/>
                <w:szCs w:val="22"/>
                <w:lang w:val="es-CO"/>
              </w:rPr>
              <w:t>1</w:t>
            </w:r>
            <w:r w:rsidR="00647010" w:rsidRPr="00C418FF">
              <w:rPr>
                <w:bCs/>
                <w:sz w:val="22"/>
                <w:szCs w:val="22"/>
                <w:lang w:val="es-CO"/>
              </w:rPr>
              <w:t>9</w:t>
            </w:r>
            <w:r w:rsidR="008A0C3A" w:rsidRPr="00C418FF">
              <w:rPr>
                <w:bCs/>
                <w:sz w:val="22"/>
                <w:szCs w:val="22"/>
                <w:lang w:val="es-CO"/>
              </w:rPr>
              <w:t>.</w:t>
            </w:r>
            <w:r w:rsidR="007056A0" w:rsidRPr="00C418FF">
              <w:rPr>
                <w:bCs/>
                <w:sz w:val="22"/>
                <w:szCs w:val="22"/>
                <w:lang w:val="es-CO"/>
              </w:rPr>
              <w:t>4</w:t>
            </w:r>
            <w:r w:rsidR="008A0C3A" w:rsidRPr="00C418FF">
              <w:rPr>
                <w:bCs/>
                <w:sz w:val="22"/>
                <w:szCs w:val="22"/>
                <w:lang w:val="es-CO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C5C5B6F" w14:textId="77777777" w:rsidR="00975648" w:rsidRPr="00C418FF" w:rsidRDefault="00975648" w:rsidP="000F1AD8">
            <w:pPr>
              <w:jc w:val="center"/>
              <w:rPr>
                <w:sz w:val="22"/>
                <w:szCs w:val="22"/>
                <w:lang w:val="es-CO"/>
              </w:rPr>
            </w:pPr>
            <w:r w:rsidRPr="00C418FF">
              <w:rPr>
                <w:sz w:val="22"/>
                <w:szCs w:val="22"/>
                <w:lang w:val="es-CO"/>
              </w:rPr>
              <w:t> 10.000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C8099" w14:textId="6AC861E0" w:rsidR="00975648" w:rsidRPr="00C418FF" w:rsidRDefault="007056A0" w:rsidP="008A0C3A">
            <w:pPr>
              <w:jc w:val="center"/>
              <w:rPr>
                <w:b/>
                <w:bCs/>
                <w:sz w:val="22"/>
                <w:szCs w:val="22"/>
                <w:lang w:val="es-CO"/>
              </w:rPr>
            </w:pPr>
            <w:r w:rsidRPr="00C418FF">
              <w:rPr>
                <w:b/>
                <w:bCs/>
                <w:sz w:val="22"/>
                <w:szCs w:val="22"/>
                <w:lang w:val="es-CO"/>
              </w:rPr>
              <w:t>4</w:t>
            </w:r>
            <w:r w:rsidR="00647010" w:rsidRPr="00C418FF">
              <w:rPr>
                <w:b/>
                <w:bCs/>
                <w:sz w:val="22"/>
                <w:szCs w:val="22"/>
                <w:lang w:val="es-CO"/>
              </w:rPr>
              <w:t>9</w:t>
            </w:r>
            <w:r w:rsidR="00975648" w:rsidRPr="00C418FF">
              <w:rPr>
                <w:b/>
                <w:bCs/>
                <w:sz w:val="22"/>
                <w:szCs w:val="22"/>
                <w:lang w:val="es-CO"/>
              </w:rPr>
              <w:t>.</w:t>
            </w:r>
            <w:r w:rsidRPr="00C418FF">
              <w:rPr>
                <w:b/>
                <w:bCs/>
                <w:sz w:val="22"/>
                <w:szCs w:val="22"/>
                <w:lang w:val="es-CO"/>
              </w:rPr>
              <w:t>4</w:t>
            </w:r>
            <w:r w:rsidR="00975648" w:rsidRPr="00C418FF">
              <w:rPr>
                <w:b/>
                <w:bCs/>
                <w:sz w:val="22"/>
                <w:szCs w:val="22"/>
                <w:lang w:val="es-CO"/>
              </w:rPr>
              <w:t>00</w:t>
            </w:r>
          </w:p>
        </w:tc>
      </w:tr>
      <w:tr w:rsidR="00C418FF" w:rsidRPr="00C418FF" w14:paraId="63D1A9CB" w14:textId="77777777" w:rsidTr="009F2157">
        <w:trPr>
          <w:trHeight w:val="358"/>
        </w:trPr>
        <w:tc>
          <w:tcPr>
            <w:tcW w:w="2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7CB66" w14:textId="6A31315A" w:rsidR="007056A0" w:rsidRPr="00C418FF" w:rsidRDefault="007056A0" w:rsidP="000F1AD8">
            <w:pPr>
              <w:rPr>
                <w:b/>
                <w:bCs/>
                <w:iCs/>
                <w:sz w:val="22"/>
                <w:szCs w:val="22"/>
                <w:lang w:val="es-CO"/>
              </w:rPr>
            </w:pPr>
            <w:r w:rsidRPr="00C418FF">
              <w:rPr>
                <w:b/>
                <w:bCs/>
                <w:iCs/>
                <w:sz w:val="22"/>
                <w:szCs w:val="22"/>
                <w:lang w:val="es-CO"/>
              </w:rPr>
              <w:t>Cursos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8F2F467" w14:textId="5ED08723" w:rsidR="007056A0" w:rsidRPr="00C418FF" w:rsidRDefault="007056A0" w:rsidP="00647010">
            <w:pPr>
              <w:jc w:val="center"/>
              <w:rPr>
                <w:bCs/>
                <w:sz w:val="22"/>
                <w:szCs w:val="22"/>
                <w:lang w:val="es-CO"/>
              </w:rPr>
            </w:pPr>
            <w:r w:rsidRPr="00C418FF">
              <w:rPr>
                <w:bCs/>
                <w:sz w:val="22"/>
                <w:szCs w:val="22"/>
                <w:lang w:val="es-CO"/>
              </w:rPr>
              <w:t>5.000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B96DFEB" w14:textId="7AB812C5" w:rsidR="007056A0" w:rsidRPr="00C418FF" w:rsidRDefault="005139D0" w:rsidP="00A02BDF">
            <w:pPr>
              <w:jc w:val="center"/>
              <w:rPr>
                <w:bCs/>
                <w:sz w:val="22"/>
                <w:szCs w:val="22"/>
                <w:lang w:val="es-CO"/>
              </w:rPr>
            </w:pPr>
            <w:r w:rsidRPr="00C418FF">
              <w:rPr>
                <w:bCs/>
                <w:sz w:val="22"/>
                <w:szCs w:val="22"/>
                <w:lang w:val="es-CO"/>
              </w:rPr>
              <w:t>33.600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61925AB" w14:textId="206A479A" w:rsidR="007056A0" w:rsidRPr="00C418FF" w:rsidRDefault="005139D0" w:rsidP="006701FB">
            <w:pPr>
              <w:jc w:val="center"/>
              <w:rPr>
                <w:bCs/>
                <w:sz w:val="22"/>
                <w:szCs w:val="22"/>
                <w:lang w:val="es-CO"/>
              </w:rPr>
            </w:pPr>
            <w:r w:rsidRPr="00C418FF">
              <w:rPr>
                <w:bCs/>
                <w:sz w:val="22"/>
                <w:szCs w:val="22"/>
                <w:lang w:val="es-CO"/>
              </w:rPr>
              <w:t>20.000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6EF28" w14:textId="6119BA6E" w:rsidR="007056A0" w:rsidRPr="00C418FF" w:rsidRDefault="005139D0" w:rsidP="00647010">
            <w:pPr>
              <w:jc w:val="center"/>
              <w:rPr>
                <w:b/>
                <w:bCs/>
                <w:sz w:val="22"/>
                <w:szCs w:val="22"/>
                <w:lang w:val="es-CO"/>
              </w:rPr>
            </w:pPr>
            <w:r w:rsidRPr="00C418FF">
              <w:rPr>
                <w:b/>
                <w:bCs/>
                <w:sz w:val="22"/>
                <w:szCs w:val="22"/>
                <w:lang w:val="es-CO"/>
              </w:rPr>
              <w:t>58.600</w:t>
            </w:r>
          </w:p>
        </w:tc>
      </w:tr>
      <w:tr w:rsidR="00C418FF" w:rsidRPr="00C418FF" w14:paraId="790C6904" w14:textId="77777777" w:rsidTr="009F2157">
        <w:trPr>
          <w:trHeight w:val="322"/>
        </w:trPr>
        <w:tc>
          <w:tcPr>
            <w:tcW w:w="2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10952" w14:textId="11F525C0" w:rsidR="007056A0" w:rsidRPr="00C418FF" w:rsidRDefault="007056A0" w:rsidP="007056A0">
            <w:pPr>
              <w:rPr>
                <w:b/>
                <w:bCs/>
                <w:iCs/>
                <w:sz w:val="22"/>
                <w:szCs w:val="22"/>
                <w:lang w:val="es-CO"/>
              </w:rPr>
            </w:pPr>
            <w:r w:rsidRPr="00C418FF">
              <w:rPr>
                <w:b/>
                <w:bCs/>
                <w:sz w:val="22"/>
                <w:szCs w:val="22"/>
                <w:lang w:val="es-419"/>
              </w:rPr>
              <w:t>Comunicaciones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F3F5F1D" w14:textId="402D1778" w:rsidR="007056A0" w:rsidRPr="00C418FF" w:rsidRDefault="00404CA3" w:rsidP="007056A0">
            <w:pPr>
              <w:jc w:val="center"/>
              <w:rPr>
                <w:bCs/>
                <w:sz w:val="22"/>
                <w:szCs w:val="22"/>
                <w:lang w:val="es-CO"/>
              </w:rPr>
            </w:pPr>
            <w:r w:rsidRPr="00C418FF">
              <w:rPr>
                <w:bCs/>
                <w:sz w:val="22"/>
                <w:szCs w:val="22"/>
                <w:lang w:val="es-CO"/>
              </w:rPr>
              <w:t>30</w:t>
            </w:r>
            <w:r w:rsidR="007056A0" w:rsidRPr="00C418FF">
              <w:rPr>
                <w:bCs/>
                <w:sz w:val="22"/>
                <w:szCs w:val="22"/>
                <w:lang w:val="es-CO"/>
              </w:rPr>
              <w:t>.000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D30AA95" w14:textId="5C0063B4" w:rsidR="007056A0" w:rsidRPr="00C418FF" w:rsidRDefault="005139D0" w:rsidP="007056A0">
            <w:pPr>
              <w:jc w:val="center"/>
              <w:rPr>
                <w:bCs/>
                <w:sz w:val="22"/>
                <w:szCs w:val="22"/>
                <w:lang w:val="es-CO"/>
              </w:rPr>
            </w:pPr>
            <w:r w:rsidRPr="00C418FF">
              <w:rPr>
                <w:bCs/>
                <w:sz w:val="22"/>
                <w:szCs w:val="22"/>
                <w:lang w:val="es-CO"/>
              </w:rPr>
              <w:t>42.15</w:t>
            </w:r>
            <w:r w:rsidR="007056A0" w:rsidRPr="00C418FF">
              <w:rPr>
                <w:bCs/>
                <w:sz w:val="22"/>
                <w:szCs w:val="22"/>
                <w:lang w:val="es-CO"/>
              </w:rPr>
              <w:t>0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F0D082B" w14:textId="6F34D9A9" w:rsidR="007056A0" w:rsidRPr="00C418FF" w:rsidRDefault="005139D0" w:rsidP="007056A0">
            <w:pPr>
              <w:jc w:val="center"/>
              <w:rPr>
                <w:bCs/>
                <w:sz w:val="22"/>
                <w:szCs w:val="22"/>
                <w:lang w:val="es-CO"/>
              </w:rPr>
            </w:pPr>
            <w:r w:rsidRPr="00C418FF">
              <w:rPr>
                <w:bCs/>
                <w:sz w:val="22"/>
                <w:szCs w:val="22"/>
                <w:lang w:val="es-CO"/>
              </w:rPr>
              <w:t>72</w:t>
            </w:r>
            <w:r w:rsidR="007056A0" w:rsidRPr="00C418FF">
              <w:rPr>
                <w:bCs/>
                <w:sz w:val="22"/>
                <w:szCs w:val="22"/>
                <w:lang w:val="es-CO"/>
              </w:rPr>
              <w:t>.000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F4525" w14:textId="1B1695DB" w:rsidR="007056A0" w:rsidRPr="00C418FF" w:rsidRDefault="007056A0" w:rsidP="007056A0">
            <w:pPr>
              <w:jc w:val="center"/>
              <w:rPr>
                <w:b/>
                <w:bCs/>
                <w:sz w:val="22"/>
                <w:szCs w:val="22"/>
                <w:lang w:val="es-CO"/>
              </w:rPr>
            </w:pPr>
            <w:r w:rsidRPr="00C418FF">
              <w:rPr>
                <w:b/>
                <w:bCs/>
                <w:sz w:val="22"/>
                <w:szCs w:val="22"/>
                <w:lang w:val="es-CO"/>
              </w:rPr>
              <w:t>1</w:t>
            </w:r>
            <w:r w:rsidR="007A053F" w:rsidRPr="00C418FF">
              <w:rPr>
                <w:b/>
                <w:bCs/>
                <w:sz w:val="22"/>
                <w:szCs w:val="22"/>
                <w:lang w:val="es-CO"/>
              </w:rPr>
              <w:t>44</w:t>
            </w:r>
            <w:r w:rsidR="005139D0" w:rsidRPr="00C418FF">
              <w:rPr>
                <w:b/>
                <w:bCs/>
                <w:sz w:val="22"/>
                <w:szCs w:val="22"/>
                <w:lang w:val="es-CO"/>
              </w:rPr>
              <w:t>.15</w:t>
            </w:r>
            <w:r w:rsidRPr="00C418FF">
              <w:rPr>
                <w:b/>
                <w:bCs/>
                <w:sz w:val="22"/>
                <w:szCs w:val="22"/>
                <w:lang w:val="es-CO"/>
              </w:rPr>
              <w:t>0</w:t>
            </w:r>
          </w:p>
        </w:tc>
      </w:tr>
      <w:tr w:rsidR="00C418FF" w:rsidRPr="00C418FF" w14:paraId="2D339FE6" w14:textId="77777777" w:rsidTr="00FA3C69">
        <w:trPr>
          <w:trHeight w:val="453"/>
        </w:trPr>
        <w:tc>
          <w:tcPr>
            <w:tcW w:w="2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98044" w14:textId="77777777" w:rsidR="007056A0" w:rsidRPr="00C418FF" w:rsidRDefault="007056A0" w:rsidP="007056A0">
            <w:pPr>
              <w:rPr>
                <w:b/>
                <w:bCs/>
                <w:iCs/>
                <w:sz w:val="22"/>
                <w:szCs w:val="22"/>
                <w:lang w:val="es-CO"/>
              </w:rPr>
            </w:pPr>
            <w:r w:rsidRPr="00C418FF">
              <w:rPr>
                <w:b/>
                <w:bCs/>
                <w:iCs/>
                <w:sz w:val="22"/>
                <w:szCs w:val="22"/>
                <w:lang w:val="es-CO"/>
              </w:rPr>
              <w:t>Operación (administración)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45A96D5" w14:textId="231CEC80" w:rsidR="007056A0" w:rsidRPr="00C418FF" w:rsidRDefault="007056A0" w:rsidP="007056A0">
            <w:pPr>
              <w:jc w:val="center"/>
              <w:rPr>
                <w:bCs/>
                <w:sz w:val="22"/>
                <w:szCs w:val="22"/>
                <w:lang w:val="es-CO"/>
              </w:rPr>
            </w:pPr>
            <w:r w:rsidRPr="00C418FF">
              <w:rPr>
                <w:bCs/>
                <w:sz w:val="22"/>
                <w:szCs w:val="22"/>
                <w:lang w:val="es-CO"/>
              </w:rPr>
              <w:t>1</w:t>
            </w:r>
            <w:r w:rsidR="002B27C8" w:rsidRPr="00C418FF">
              <w:rPr>
                <w:bCs/>
                <w:sz w:val="22"/>
                <w:szCs w:val="22"/>
                <w:lang w:val="es-CO"/>
              </w:rPr>
              <w:t>90</w:t>
            </w:r>
            <w:r w:rsidR="00594399" w:rsidRPr="00C418FF">
              <w:rPr>
                <w:bCs/>
                <w:sz w:val="22"/>
                <w:szCs w:val="22"/>
                <w:lang w:val="es-CO"/>
              </w:rPr>
              <w:t>.48</w:t>
            </w:r>
            <w:r w:rsidR="00396979" w:rsidRPr="00C418FF">
              <w:rPr>
                <w:bCs/>
                <w:sz w:val="22"/>
                <w:szCs w:val="22"/>
                <w:lang w:val="es-CO"/>
              </w:rPr>
              <w:t>5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2593309" w14:textId="77777777" w:rsidR="007056A0" w:rsidRPr="00C418FF" w:rsidRDefault="007056A0" w:rsidP="007056A0">
            <w:pPr>
              <w:jc w:val="center"/>
              <w:rPr>
                <w:bCs/>
                <w:sz w:val="22"/>
                <w:szCs w:val="22"/>
                <w:lang w:val="es-CO"/>
              </w:rPr>
            </w:pPr>
            <w:r w:rsidRPr="00C418FF">
              <w:rPr>
                <w:bCs/>
                <w:sz w:val="22"/>
                <w:szCs w:val="22"/>
                <w:lang w:val="es-CO"/>
              </w:rPr>
              <w:t>70.913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307A8F4" w14:textId="70FD3EB7" w:rsidR="007056A0" w:rsidRPr="00C418FF" w:rsidRDefault="007056A0" w:rsidP="007056A0">
            <w:pPr>
              <w:jc w:val="center"/>
              <w:rPr>
                <w:bCs/>
                <w:sz w:val="22"/>
                <w:szCs w:val="22"/>
                <w:lang w:val="es-CO"/>
              </w:rPr>
            </w:pPr>
            <w:r w:rsidRPr="00C418FF">
              <w:rPr>
                <w:bCs/>
                <w:sz w:val="22"/>
                <w:szCs w:val="22"/>
                <w:lang w:val="es-CO"/>
              </w:rPr>
              <w:t>1</w:t>
            </w:r>
            <w:r w:rsidR="00396979" w:rsidRPr="00C418FF">
              <w:rPr>
                <w:bCs/>
                <w:sz w:val="22"/>
                <w:szCs w:val="22"/>
                <w:lang w:val="es-CO"/>
              </w:rPr>
              <w:t>40</w:t>
            </w:r>
            <w:r w:rsidRPr="00C418FF">
              <w:rPr>
                <w:bCs/>
                <w:sz w:val="22"/>
                <w:szCs w:val="22"/>
                <w:lang w:val="es-CO"/>
              </w:rPr>
              <w:t>.000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95375" w14:textId="03A3FB7D" w:rsidR="007056A0" w:rsidRPr="00C418FF" w:rsidRDefault="00396979" w:rsidP="007056A0">
            <w:pPr>
              <w:jc w:val="center"/>
              <w:rPr>
                <w:b/>
                <w:bCs/>
                <w:sz w:val="22"/>
                <w:szCs w:val="22"/>
                <w:lang w:val="es-CO"/>
              </w:rPr>
            </w:pPr>
            <w:r w:rsidRPr="00C418FF">
              <w:rPr>
                <w:b/>
                <w:bCs/>
                <w:sz w:val="22"/>
                <w:szCs w:val="22"/>
                <w:lang w:val="es-CO"/>
              </w:rPr>
              <w:t>401.398</w:t>
            </w:r>
          </w:p>
        </w:tc>
      </w:tr>
      <w:tr w:rsidR="00C418FF" w:rsidRPr="00C418FF" w14:paraId="7A35FC7A" w14:textId="77777777" w:rsidTr="009F2157">
        <w:trPr>
          <w:trHeight w:val="313"/>
        </w:trPr>
        <w:tc>
          <w:tcPr>
            <w:tcW w:w="2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08A16B8" w14:textId="39F008FA" w:rsidR="007056A0" w:rsidRPr="00C418FF" w:rsidRDefault="000A1EEB" w:rsidP="007056A0">
            <w:pPr>
              <w:rPr>
                <w:b/>
                <w:bCs/>
                <w:sz w:val="22"/>
                <w:szCs w:val="22"/>
                <w:lang w:val="es-419"/>
              </w:rPr>
            </w:pPr>
            <w:r w:rsidRPr="00C418FF">
              <w:rPr>
                <w:b/>
                <w:bCs/>
                <w:sz w:val="22"/>
                <w:szCs w:val="22"/>
                <w:lang w:val="es-419"/>
              </w:rPr>
              <w:t>Otros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C96545B" w14:textId="2A62B46B" w:rsidR="007056A0" w:rsidRPr="00C418FF" w:rsidRDefault="005F57FF" w:rsidP="007056A0">
            <w:pPr>
              <w:jc w:val="center"/>
              <w:rPr>
                <w:bCs/>
                <w:sz w:val="22"/>
                <w:szCs w:val="22"/>
                <w:lang w:val="es-CO"/>
              </w:rPr>
            </w:pPr>
            <w:r w:rsidRPr="00C418FF">
              <w:rPr>
                <w:bCs/>
                <w:sz w:val="22"/>
                <w:szCs w:val="22"/>
                <w:lang w:val="es-CO"/>
              </w:rPr>
              <w:t>1</w:t>
            </w:r>
            <w:r w:rsidR="000A1EEB" w:rsidRPr="00C418FF">
              <w:rPr>
                <w:bCs/>
                <w:sz w:val="22"/>
                <w:szCs w:val="22"/>
                <w:lang w:val="es-CO"/>
              </w:rPr>
              <w:t>6.125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E2EF3C8" w14:textId="3264756A" w:rsidR="007056A0" w:rsidRPr="00C418FF" w:rsidRDefault="007056A0" w:rsidP="007056A0">
            <w:pPr>
              <w:jc w:val="center"/>
              <w:rPr>
                <w:bCs/>
                <w:sz w:val="22"/>
                <w:szCs w:val="22"/>
                <w:lang w:val="es-CO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A4B3FDC" w14:textId="7B16BD2E" w:rsidR="007056A0" w:rsidRPr="00C418FF" w:rsidRDefault="007056A0" w:rsidP="007056A0">
            <w:pPr>
              <w:jc w:val="center"/>
              <w:rPr>
                <w:bCs/>
                <w:sz w:val="22"/>
                <w:szCs w:val="22"/>
                <w:lang w:val="es-CO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DACAB" w14:textId="27B026CB" w:rsidR="007056A0" w:rsidRPr="00C418FF" w:rsidRDefault="005F57FF" w:rsidP="007056A0">
            <w:pPr>
              <w:jc w:val="center"/>
              <w:rPr>
                <w:b/>
                <w:bCs/>
                <w:sz w:val="22"/>
                <w:szCs w:val="22"/>
                <w:lang w:val="es-CO"/>
              </w:rPr>
            </w:pPr>
            <w:r w:rsidRPr="00C418FF">
              <w:rPr>
                <w:b/>
                <w:bCs/>
                <w:sz w:val="22"/>
                <w:szCs w:val="22"/>
                <w:lang w:val="es-CO"/>
              </w:rPr>
              <w:t>1</w:t>
            </w:r>
            <w:r w:rsidR="000A1EEB" w:rsidRPr="00C418FF">
              <w:rPr>
                <w:b/>
                <w:bCs/>
                <w:sz w:val="22"/>
                <w:szCs w:val="22"/>
                <w:lang w:val="es-CO"/>
              </w:rPr>
              <w:t>6.125</w:t>
            </w:r>
          </w:p>
        </w:tc>
      </w:tr>
      <w:tr w:rsidR="007056A0" w:rsidRPr="00C418FF" w14:paraId="1E6C1214" w14:textId="77777777" w:rsidTr="00FA3C69">
        <w:trPr>
          <w:trHeight w:val="453"/>
        </w:trPr>
        <w:tc>
          <w:tcPr>
            <w:tcW w:w="2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423C4CB" w14:textId="77777777" w:rsidR="007056A0" w:rsidRPr="00C418FF" w:rsidRDefault="007056A0" w:rsidP="007056A0">
            <w:pPr>
              <w:rPr>
                <w:b/>
                <w:bCs/>
                <w:sz w:val="22"/>
                <w:szCs w:val="22"/>
                <w:lang w:val="es-419"/>
              </w:rPr>
            </w:pPr>
            <w:r w:rsidRPr="00C418FF">
              <w:rPr>
                <w:b/>
                <w:bCs/>
                <w:sz w:val="22"/>
                <w:szCs w:val="22"/>
                <w:lang w:val="es-419"/>
              </w:rPr>
              <w:t>TOTAL GASTOS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B414595" w14:textId="0CD565F3" w:rsidR="007056A0" w:rsidRPr="00C418FF" w:rsidRDefault="007056A0" w:rsidP="007056A0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s-CO"/>
              </w:rPr>
            </w:pPr>
            <w:r w:rsidRPr="00C418FF">
              <w:rPr>
                <w:b/>
                <w:bCs/>
                <w:i/>
                <w:iCs/>
                <w:sz w:val="22"/>
                <w:szCs w:val="22"/>
                <w:lang w:val="es-CO"/>
              </w:rPr>
              <w:t>$</w:t>
            </w:r>
            <w:r w:rsidR="005D5E01" w:rsidRPr="00C418FF">
              <w:rPr>
                <w:b/>
                <w:bCs/>
                <w:i/>
                <w:iCs/>
                <w:sz w:val="22"/>
                <w:szCs w:val="22"/>
                <w:lang w:val="es-CO"/>
              </w:rPr>
              <w:t>625.656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2175AEB" w14:textId="18D780F8" w:rsidR="007056A0" w:rsidRPr="00C418FF" w:rsidRDefault="007056A0" w:rsidP="007056A0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s-CO"/>
              </w:rPr>
            </w:pPr>
            <w:r w:rsidRPr="00C418FF">
              <w:rPr>
                <w:b/>
                <w:bCs/>
                <w:i/>
                <w:iCs/>
                <w:sz w:val="22"/>
                <w:szCs w:val="22"/>
                <w:lang w:val="es-CO"/>
              </w:rPr>
              <w:t>$</w:t>
            </w:r>
            <w:r w:rsidR="000A1EEB" w:rsidRPr="00C418FF">
              <w:rPr>
                <w:b/>
                <w:bCs/>
                <w:i/>
                <w:iCs/>
                <w:sz w:val="22"/>
                <w:szCs w:val="22"/>
                <w:lang w:val="es-CO"/>
              </w:rPr>
              <w:t>353.00</w:t>
            </w:r>
            <w:r w:rsidR="00CE4042" w:rsidRPr="00C418FF">
              <w:rPr>
                <w:b/>
                <w:bCs/>
                <w:i/>
                <w:iCs/>
                <w:sz w:val="22"/>
                <w:szCs w:val="22"/>
                <w:lang w:val="es-CO"/>
              </w:rPr>
              <w:t>0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507B188" w14:textId="2CD9D3E1" w:rsidR="007056A0" w:rsidRPr="00C418FF" w:rsidRDefault="007056A0" w:rsidP="007056A0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s-CO"/>
              </w:rPr>
            </w:pPr>
            <w:r w:rsidRPr="00C418FF">
              <w:rPr>
                <w:b/>
                <w:bCs/>
                <w:i/>
                <w:iCs/>
                <w:sz w:val="22"/>
                <w:szCs w:val="22"/>
                <w:lang w:val="es-CO"/>
              </w:rPr>
              <w:t>$</w:t>
            </w:r>
            <w:r w:rsidR="0043122E" w:rsidRPr="00C418FF">
              <w:rPr>
                <w:b/>
                <w:bCs/>
                <w:i/>
                <w:iCs/>
                <w:sz w:val="22"/>
                <w:szCs w:val="22"/>
                <w:lang w:val="es-CO"/>
              </w:rPr>
              <w:t>4</w:t>
            </w:r>
            <w:r w:rsidR="001A4FA4" w:rsidRPr="00C418FF">
              <w:rPr>
                <w:b/>
                <w:bCs/>
                <w:i/>
                <w:iCs/>
                <w:sz w:val="22"/>
                <w:szCs w:val="22"/>
                <w:lang w:val="es-CO"/>
              </w:rPr>
              <w:t>22</w:t>
            </w:r>
            <w:r w:rsidRPr="00C418FF">
              <w:rPr>
                <w:b/>
                <w:bCs/>
                <w:i/>
                <w:iCs/>
                <w:sz w:val="22"/>
                <w:szCs w:val="22"/>
                <w:lang w:val="es-CO"/>
              </w:rPr>
              <w:t>.000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25ECF" w14:textId="073CA3B7" w:rsidR="007056A0" w:rsidRPr="00C418FF" w:rsidRDefault="007056A0" w:rsidP="007056A0">
            <w:pPr>
              <w:jc w:val="center"/>
              <w:rPr>
                <w:b/>
                <w:bCs/>
                <w:sz w:val="22"/>
                <w:szCs w:val="22"/>
                <w:lang w:val="es-CO"/>
              </w:rPr>
            </w:pPr>
            <w:r w:rsidRPr="00C418FF">
              <w:rPr>
                <w:b/>
                <w:bCs/>
                <w:sz w:val="22"/>
                <w:szCs w:val="22"/>
                <w:lang w:val="es-CO"/>
              </w:rPr>
              <w:t>$1.</w:t>
            </w:r>
            <w:r w:rsidR="00C7454E" w:rsidRPr="00C418FF">
              <w:rPr>
                <w:b/>
                <w:bCs/>
                <w:sz w:val="22"/>
                <w:szCs w:val="22"/>
                <w:lang w:val="es-CO"/>
              </w:rPr>
              <w:t>400.657</w:t>
            </w:r>
          </w:p>
        </w:tc>
      </w:tr>
    </w:tbl>
    <w:p w14:paraId="60AEDCB3" w14:textId="6C7CC7AF" w:rsidR="00BC2832" w:rsidRPr="00C418FF" w:rsidRDefault="00BC2832" w:rsidP="00975648">
      <w:pPr>
        <w:spacing w:line="250" w:lineRule="exact"/>
        <w:jc w:val="both"/>
        <w:rPr>
          <w:sz w:val="22"/>
          <w:szCs w:val="22"/>
        </w:rPr>
      </w:pPr>
    </w:p>
    <w:p w14:paraId="2F55A814" w14:textId="6DEDD9BC" w:rsidR="00975648" w:rsidRPr="00C418FF" w:rsidRDefault="00975648" w:rsidP="00975648">
      <w:pPr>
        <w:spacing w:line="250" w:lineRule="exact"/>
        <w:jc w:val="both"/>
        <w:rPr>
          <w:sz w:val="22"/>
          <w:szCs w:val="22"/>
        </w:rPr>
      </w:pPr>
      <w:r w:rsidRPr="00C418FF">
        <w:rPr>
          <w:sz w:val="22"/>
          <w:szCs w:val="22"/>
        </w:rPr>
        <w:t xml:space="preserve">El Anexo 2 es una ampliación de este Cuadro y brinda un detalle de los gastos realizados según fuente de financiamiento, incluyendo los recursos que se han apalancado para cada actividad.  </w:t>
      </w:r>
    </w:p>
    <w:p w14:paraId="041DD412" w14:textId="770456E6" w:rsidR="00975648" w:rsidRPr="00C418FF" w:rsidRDefault="00975648" w:rsidP="00975648">
      <w:pPr>
        <w:spacing w:line="250" w:lineRule="exact"/>
        <w:jc w:val="both"/>
        <w:rPr>
          <w:sz w:val="22"/>
          <w:szCs w:val="22"/>
        </w:rPr>
      </w:pPr>
    </w:p>
    <w:p w14:paraId="52281E12" w14:textId="3C01A811" w:rsidR="00416499" w:rsidRPr="00C418FF" w:rsidRDefault="00975648" w:rsidP="00416499">
      <w:pPr>
        <w:spacing w:line="250" w:lineRule="exact"/>
        <w:jc w:val="both"/>
        <w:rPr>
          <w:sz w:val="22"/>
          <w:szCs w:val="22"/>
        </w:rPr>
      </w:pPr>
      <w:r w:rsidRPr="00C418FF">
        <w:rPr>
          <w:sz w:val="22"/>
          <w:szCs w:val="22"/>
        </w:rPr>
        <w:t>A continuación, el Gráfico No.</w:t>
      </w:r>
      <w:r w:rsidR="00605F1A" w:rsidRPr="00C418FF">
        <w:rPr>
          <w:sz w:val="22"/>
          <w:szCs w:val="22"/>
        </w:rPr>
        <w:t>2</w:t>
      </w:r>
      <w:r w:rsidRPr="00C418FF">
        <w:rPr>
          <w:sz w:val="22"/>
          <w:szCs w:val="22"/>
        </w:rPr>
        <w:t xml:space="preserve"> presenta la distribución de gastos según componente.</w:t>
      </w:r>
      <w:r w:rsidR="009E42D6" w:rsidRPr="00C418FF">
        <w:rPr>
          <w:sz w:val="22"/>
          <w:szCs w:val="22"/>
        </w:rPr>
        <w:t xml:space="preserve"> </w:t>
      </w:r>
      <w:r w:rsidR="00EF73FC" w:rsidRPr="00C418FF">
        <w:rPr>
          <w:sz w:val="22"/>
          <w:szCs w:val="22"/>
        </w:rPr>
        <w:t>E</w:t>
      </w:r>
      <w:r w:rsidR="009E42D6" w:rsidRPr="00C418FF">
        <w:rPr>
          <w:sz w:val="22"/>
          <w:szCs w:val="22"/>
        </w:rPr>
        <w:t xml:space="preserve">l componente de operación </w:t>
      </w:r>
      <w:r w:rsidR="00EF73FC" w:rsidRPr="00C418FF">
        <w:rPr>
          <w:sz w:val="22"/>
          <w:szCs w:val="22"/>
        </w:rPr>
        <w:t xml:space="preserve">se divide </w:t>
      </w:r>
      <w:r w:rsidR="00BE344D" w:rsidRPr="00C418FF">
        <w:rPr>
          <w:sz w:val="22"/>
          <w:szCs w:val="22"/>
        </w:rPr>
        <w:t xml:space="preserve">en 2: 1) el monto </w:t>
      </w:r>
      <w:r w:rsidR="009E42D6" w:rsidRPr="00C418FF">
        <w:rPr>
          <w:sz w:val="22"/>
          <w:szCs w:val="22"/>
        </w:rPr>
        <w:t>que ha cubierto la OEA en salarios de un consultor</w:t>
      </w:r>
      <w:r w:rsidR="00B867D5" w:rsidRPr="00C418FF">
        <w:rPr>
          <w:sz w:val="22"/>
          <w:szCs w:val="22"/>
        </w:rPr>
        <w:t>(a)</w:t>
      </w:r>
      <w:r w:rsidR="009E42D6" w:rsidRPr="00C418FF">
        <w:rPr>
          <w:sz w:val="22"/>
          <w:szCs w:val="22"/>
        </w:rPr>
        <w:t xml:space="preserve"> que apoya la administración</w:t>
      </w:r>
      <w:r w:rsidR="00DE6FB2" w:rsidRPr="00C418FF">
        <w:rPr>
          <w:sz w:val="22"/>
          <w:szCs w:val="22"/>
        </w:rPr>
        <w:t xml:space="preserve">, </w:t>
      </w:r>
      <w:r w:rsidR="009E42D6" w:rsidRPr="00C418FF">
        <w:rPr>
          <w:sz w:val="22"/>
          <w:szCs w:val="22"/>
        </w:rPr>
        <w:t xml:space="preserve">logística </w:t>
      </w:r>
      <w:r w:rsidR="00DE6FB2" w:rsidRPr="00C418FF">
        <w:rPr>
          <w:sz w:val="22"/>
          <w:szCs w:val="22"/>
        </w:rPr>
        <w:t xml:space="preserve">y desarrollo de nuevos productos </w:t>
      </w:r>
      <w:r w:rsidR="009E42D6" w:rsidRPr="00C418FF">
        <w:rPr>
          <w:sz w:val="22"/>
          <w:szCs w:val="22"/>
        </w:rPr>
        <w:t>de la RIAL</w:t>
      </w:r>
      <w:r w:rsidR="00BE344D" w:rsidRPr="00C418FF">
        <w:rPr>
          <w:sz w:val="22"/>
          <w:szCs w:val="22"/>
        </w:rPr>
        <w:t xml:space="preserve"> y 2) el monto pagado por la RIAL por el mismo concepto</w:t>
      </w:r>
      <w:r w:rsidR="009E42D6" w:rsidRPr="00C418FF">
        <w:rPr>
          <w:sz w:val="22"/>
          <w:szCs w:val="22"/>
        </w:rPr>
        <w:t>. No se contabiliza el tiempo de la coordinadora de la RIAL</w:t>
      </w:r>
      <w:r w:rsidR="00672781" w:rsidRPr="00C418FF">
        <w:rPr>
          <w:sz w:val="22"/>
          <w:szCs w:val="22"/>
        </w:rPr>
        <w:t>.</w:t>
      </w:r>
    </w:p>
    <w:p w14:paraId="4F52D249" w14:textId="4EC084DB" w:rsidR="00EF73FC" w:rsidRPr="00416499" w:rsidRDefault="00EF73FC" w:rsidP="00416499">
      <w:pPr>
        <w:spacing w:line="250" w:lineRule="exact"/>
        <w:jc w:val="both"/>
        <w:rPr>
          <w:sz w:val="22"/>
          <w:szCs w:val="22"/>
        </w:rPr>
      </w:pPr>
    </w:p>
    <w:p w14:paraId="39D89089" w14:textId="2BCA16CE" w:rsidR="00461827" w:rsidRPr="003B0259" w:rsidRDefault="00605F1A" w:rsidP="006457D6">
      <w:pPr>
        <w:spacing w:line="250" w:lineRule="exact"/>
        <w:jc w:val="center"/>
        <w:rPr>
          <w:b/>
          <w:sz w:val="22"/>
          <w:szCs w:val="22"/>
        </w:rPr>
      </w:pPr>
      <w:r w:rsidRPr="003B0259">
        <w:rPr>
          <w:b/>
          <w:sz w:val="22"/>
          <w:szCs w:val="22"/>
        </w:rPr>
        <w:t>Gráfico No.2</w:t>
      </w:r>
    </w:p>
    <w:p w14:paraId="442DB548" w14:textId="5CF40B43" w:rsidR="00975648" w:rsidRPr="003B0259" w:rsidRDefault="00975648" w:rsidP="00975648">
      <w:pPr>
        <w:spacing w:line="250" w:lineRule="exact"/>
        <w:jc w:val="center"/>
        <w:rPr>
          <w:b/>
          <w:sz w:val="22"/>
          <w:szCs w:val="22"/>
        </w:rPr>
      </w:pPr>
      <w:r w:rsidRPr="003B0259">
        <w:rPr>
          <w:b/>
          <w:sz w:val="22"/>
          <w:szCs w:val="22"/>
        </w:rPr>
        <w:t xml:space="preserve">Distribución de gastos de la RIAL  </w:t>
      </w:r>
      <w:r w:rsidR="00A83A67">
        <w:rPr>
          <w:b/>
          <w:sz w:val="22"/>
          <w:szCs w:val="22"/>
        </w:rPr>
        <w:t xml:space="preserve"> </w:t>
      </w:r>
    </w:p>
    <w:p w14:paraId="28905902" w14:textId="324EEFF4" w:rsidR="00975648" w:rsidRPr="003B0259" w:rsidRDefault="00A83A67" w:rsidP="006A01C4">
      <w:pPr>
        <w:spacing w:line="250" w:lineRule="exact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3363" behindDoc="0" locked="0" layoutInCell="1" allowOverlap="1" wp14:anchorId="25874916" wp14:editId="6BCA2390">
            <wp:simplePos x="0" y="0"/>
            <wp:positionH relativeFrom="margin">
              <wp:posOffset>1092200</wp:posOffset>
            </wp:positionH>
            <wp:positionV relativeFrom="paragraph">
              <wp:posOffset>128905</wp:posOffset>
            </wp:positionV>
            <wp:extent cx="3349463" cy="2575560"/>
            <wp:effectExtent l="0" t="0" r="381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463" cy="2575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B37100" w14:textId="6E85F381" w:rsidR="00672781" w:rsidRPr="003B0259" w:rsidRDefault="00672781" w:rsidP="006A01C4">
      <w:pPr>
        <w:spacing w:line="250" w:lineRule="exact"/>
        <w:jc w:val="center"/>
        <w:rPr>
          <w:b/>
          <w:sz w:val="22"/>
          <w:szCs w:val="22"/>
        </w:rPr>
      </w:pPr>
    </w:p>
    <w:p w14:paraId="3302ED95" w14:textId="3859A258" w:rsidR="00672781" w:rsidRPr="003B0259" w:rsidRDefault="00672781" w:rsidP="006A01C4">
      <w:pPr>
        <w:spacing w:line="250" w:lineRule="exact"/>
        <w:jc w:val="center"/>
        <w:rPr>
          <w:b/>
          <w:sz w:val="22"/>
          <w:szCs w:val="22"/>
        </w:rPr>
      </w:pPr>
    </w:p>
    <w:p w14:paraId="12614C24" w14:textId="0353339F" w:rsidR="00672781" w:rsidRPr="003B0259" w:rsidRDefault="00672781" w:rsidP="006A01C4">
      <w:pPr>
        <w:spacing w:line="250" w:lineRule="exact"/>
        <w:jc w:val="center"/>
        <w:rPr>
          <w:b/>
          <w:sz w:val="22"/>
          <w:szCs w:val="22"/>
        </w:rPr>
      </w:pPr>
    </w:p>
    <w:p w14:paraId="39B2C0D8" w14:textId="246F05A3" w:rsidR="00672781" w:rsidRPr="003B0259" w:rsidRDefault="00672781" w:rsidP="006A01C4">
      <w:pPr>
        <w:spacing w:line="250" w:lineRule="exact"/>
        <w:jc w:val="center"/>
        <w:rPr>
          <w:b/>
          <w:sz w:val="22"/>
          <w:szCs w:val="22"/>
        </w:rPr>
      </w:pPr>
    </w:p>
    <w:p w14:paraId="199CE80D" w14:textId="5E68B555" w:rsidR="00672781" w:rsidRPr="003B0259" w:rsidRDefault="00672781" w:rsidP="006A01C4">
      <w:pPr>
        <w:spacing w:line="250" w:lineRule="exact"/>
        <w:jc w:val="center"/>
        <w:rPr>
          <w:b/>
          <w:sz w:val="22"/>
          <w:szCs w:val="22"/>
        </w:rPr>
      </w:pPr>
    </w:p>
    <w:p w14:paraId="337EFC70" w14:textId="3EF4B52E" w:rsidR="00672781" w:rsidRPr="003B0259" w:rsidRDefault="00672781" w:rsidP="006A01C4">
      <w:pPr>
        <w:spacing w:line="250" w:lineRule="exact"/>
        <w:jc w:val="center"/>
        <w:rPr>
          <w:b/>
          <w:sz w:val="22"/>
          <w:szCs w:val="22"/>
        </w:rPr>
      </w:pPr>
    </w:p>
    <w:p w14:paraId="29A713A1" w14:textId="77777777" w:rsidR="00672781" w:rsidRPr="003B0259" w:rsidRDefault="00672781" w:rsidP="006A01C4">
      <w:pPr>
        <w:spacing w:line="250" w:lineRule="exact"/>
        <w:jc w:val="center"/>
        <w:rPr>
          <w:b/>
          <w:sz w:val="22"/>
          <w:szCs w:val="22"/>
        </w:rPr>
      </w:pPr>
    </w:p>
    <w:p w14:paraId="09A8D125" w14:textId="7BE7CC99" w:rsidR="00672781" w:rsidRPr="003B0259" w:rsidRDefault="00672781" w:rsidP="006A01C4">
      <w:pPr>
        <w:spacing w:line="250" w:lineRule="exact"/>
        <w:jc w:val="center"/>
        <w:rPr>
          <w:b/>
          <w:sz w:val="22"/>
          <w:szCs w:val="22"/>
        </w:rPr>
      </w:pPr>
    </w:p>
    <w:p w14:paraId="2C6C4120" w14:textId="77777777" w:rsidR="00672781" w:rsidRDefault="00672781" w:rsidP="006A01C4">
      <w:pPr>
        <w:spacing w:line="250" w:lineRule="exact"/>
        <w:jc w:val="center"/>
        <w:rPr>
          <w:b/>
          <w:sz w:val="22"/>
          <w:szCs w:val="22"/>
        </w:rPr>
      </w:pPr>
    </w:p>
    <w:p w14:paraId="5AA71E72" w14:textId="07F97D41" w:rsidR="006A31DE" w:rsidRPr="003B0259" w:rsidRDefault="006A31DE" w:rsidP="006A01C4">
      <w:pPr>
        <w:spacing w:line="250" w:lineRule="exact"/>
        <w:jc w:val="center"/>
        <w:rPr>
          <w:b/>
          <w:sz w:val="22"/>
          <w:szCs w:val="22"/>
        </w:rPr>
      </w:pPr>
    </w:p>
    <w:p w14:paraId="500B2371" w14:textId="77777777" w:rsidR="00672781" w:rsidRPr="003B0259" w:rsidRDefault="00672781" w:rsidP="006A01C4">
      <w:pPr>
        <w:spacing w:line="250" w:lineRule="exact"/>
        <w:jc w:val="center"/>
        <w:rPr>
          <w:b/>
          <w:sz w:val="22"/>
          <w:szCs w:val="22"/>
        </w:rPr>
      </w:pPr>
    </w:p>
    <w:p w14:paraId="5C89056A" w14:textId="77777777" w:rsidR="00416499" w:rsidRDefault="00416499" w:rsidP="00351631">
      <w:pPr>
        <w:spacing w:line="250" w:lineRule="exact"/>
        <w:jc w:val="both"/>
        <w:rPr>
          <w:b/>
          <w:sz w:val="22"/>
          <w:szCs w:val="22"/>
        </w:rPr>
      </w:pPr>
    </w:p>
    <w:p w14:paraId="0C64F3D8" w14:textId="77777777" w:rsidR="009F2157" w:rsidRDefault="009F2157" w:rsidP="00351631">
      <w:pPr>
        <w:spacing w:line="250" w:lineRule="exact"/>
        <w:jc w:val="both"/>
        <w:rPr>
          <w:b/>
          <w:sz w:val="22"/>
          <w:szCs w:val="22"/>
        </w:rPr>
      </w:pPr>
    </w:p>
    <w:p w14:paraId="27B5A338" w14:textId="77777777" w:rsidR="008E6CDB" w:rsidRDefault="008E6CDB" w:rsidP="00351631">
      <w:pPr>
        <w:spacing w:line="250" w:lineRule="exact"/>
        <w:jc w:val="both"/>
        <w:rPr>
          <w:sz w:val="22"/>
          <w:szCs w:val="22"/>
        </w:rPr>
      </w:pPr>
    </w:p>
    <w:p w14:paraId="290283B4" w14:textId="0840597C" w:rsidR="00975648" w:rsidRPr="003B0259" w:rsidRDefault="00A445F4" w:rsidP="00351631">
      <w:pPr>
        <w:spacing w:line="250" w:lineRule="exact"/>
        <w:jc w:val="both"/>
        <w:rPr>
          <w:sz w:val="22"/>
          <w:szCs w:val="22"/>
        </w:rPr>
      </w:pPr>
      <w:r w:rsidRPr="003B0259">
        <w:rPr>
          <w:sz w:val="22"/>
          <w:szCs w:val="22"/>
        </w:rPr>
        <w:lastRenderedPageBreak/>
        <w:t>A</w:t>
      </w:r>
      <w:r w:rsidR="00975648" w:rsidRPr="003B0259">
        <w:rPr>
          <w:sz w:val="22"/>
          <w:szCs w:val="22"/>
        </w:rPr>
        <w:t>lgunos datos importantes sobre gastos:</w:t>
      </w:r>
    </w:p>
    <w:p w14:paraId="608365E2" w14:textId="77777777" w:rsidR="00351631" w:rsidRPr="00664858" w:rsidRDefault="00351631" w:rsidP="00351631">
      <w:pPr>
        <w:spacing w:line="250" w:lineRule="exact"/>
        <w:jc w:val="both"/>
        <w:rPr>
          <w:sz w:val="22"/>
          <w:szCs w:val="22"/>
        </w:rPr>
      </w:pPr>
    </w:p>
    <w:p w14:paraId="410DDA3B" w14:textId="4FB61135" w:rsidR="00C6514D" w:rsidRPr="00664858" w:rsidRDefault="00C6514D" w:rsidP="00A61E5D">
      <w:pPr>
        <w:numPr>
          <w:ilvl w:val="0"/>
          <w:numId w:val="2"/>
        </w:numPr>
        <w:spacing w:line="250" w:lineRule="exact"/>
        <w:jc w:val="both"/>
        <w:rPr>
          <w:sz w:val="22"/>
          <w:szCs w:val="22"/>
        </w:rPr>
      </w:pPr>
      <w:r w:rsidRPr="00664858">
        <w:rPr>
          <w:sz w:val="22"/>
          <w:szCs w:val="22"/>
        </w:rPr>
        <w:t xml:space="preserve">En </w:t>
      </w:r>
      <w:r w:rsidR="004D37C5" w:rsidRPr="00664858">
        <w:rPr>
          <w:sz w:val="22"/>
          <w:szCs w:val="22"/>
        </w:rPr>
        <w:t>2021</w:t>
      </w:r>
      <w:r w:rsidRPr="00664858">
        <w:rPr>
          <w:sz w:val="22"/>
          <w:szCs w:val="22"/>
        </w:rPr>
        <w:t xml:space="preserve"> se creó un nuevo rubro de gasto, Cursos, abriendo un nuevo campo de acción para la RIAL. </w:t>
      </w:r>
      <w:r w:rsidR="00A73043" w:rsidRPr="00664858">
        <w:rPr>
          <w:sz w:val="22"/>
          <w:szCs w:val="22"/>
        </w:rPr>
        <w:t>Ese año</w:t>
      </w:r>
      <w:r w:rsidRPr="00664858">
        <w:rPr>
          <w:sz w:val="22"/>
          <w:szCs w:val="22"/>
        </w:rPr>
        <w:t xml:space="preserve"> se lanzó el Curso Virtual sobre Violencia de Género en el Trabajo, desarrollado por la OEA/RIAL con la Comisión Interamericana de Mujeres y dictado en el Portal Educativo de las Américas.</w:t>
      </w:r>
    </w:p>
    <w:p w14:paraId="1B4F96CB" w14:textId="77777777" w:rsidR="00C6514D" w:rsidRPr="00664858" w:rsidRDefault="00C6514D" w:rsidP="00C6514D">
      <w:pPr>
        <w:spacing w:line="250" w:lineRule="exact"/>
        <w:ind w:left="720"/>
        <w:jc w:val="both"/>
        <w:rPr>
          <w:sz w:val="22"/>
          <w:szCs w:val="22"/>
        </w:rPr>
      </w:pPr>
    </w:p>
    <w:p w14:paraId="4EF8F20F" w14:textId="347AE30C" w:rsidR="00763858" w:rsidRPr="00664858" w:rsidRDefault="00975648" w:rsidP="00A61E5D">
      <w:pPr>
        <w:numPr>
          <w:ilvl w:val="0"/>
          <w:numId w:val="2"/>
        </w:numPr>
        <w:spacing w:line="250" w:lineRule="exact"/>
        <w:jc w:val="both"/>
        <w:rPr>
          <w:sz w:val="22"/>
          <w:szCs w:val="22"/>
        </w:rPr>
      </w:pPr>
      <w:r w:rsidRPr="00664858">
        <w:rPr>
          <w:sz w:val="22"/>
          <w:szCs w:val="22"/>
        </w:rPr>
        <w:t>Costo</w:t>
      </w:r>
      <w:r w:rsidR="00672781" w:rsidRPr="00664858">
        <w:rPr>
          <w:sz w:val="22"/>
          <w:szCs w:val="22"/>
        </w:rPr>
        <w:t xml:space="preserve"> promedio de un Taller </w:t>
      </w:r>
      <w:r w:rsidR="003E3A37" w:rsidRPr="00664858">
        <w:rPr>
          <w:sz w:val="22"/>
          <w:szCs w:val="22"/>
        </w:rPr>
        <w:t xml:space="preserve">presencial de </w:t>
      </w:r>
      <w:r w:rsidR="00D93C16" w:rsidRPr="00664858">
        <w:rPr>
          <w:sz w:val="22"/>
          <w:szCs w:val="22"/>
        </w:rPr>
        <w:t xml:space="preserve">2 días de </w:t>
      </w:r>
      <w:r w:rsidR="003E3A37" w:rsidRPr="00664858">
        <w:rPr>
          <w:sz w:val="22"/>
          <w:szCs w:val="22"/>
        </w:rPr>
        <w:t xml:space="preserve">la </w:t>
      </w:r>
      <w:r w:rsidR="00672781" w:rsidRPr="00664858">
        <w:rPr>
          <w:sz w:val="22"/>
          <w:szCs w:val="22"/>
        </w:rPr>
        <w:t>RIAL: $3</w:t>
      </w:r>
      <w:r w:rsidR="00455445" w:rsidRPr="00664858">
        <w:rPr>
          <w:sz w:val="22"/>
          <w:szCs w:val="22"/>
        </w:rPr>
        <w:t>1</w:t>
      </w:r>
      <w:r w:rsidR="00672781" w:rsidRPr="00664858">
        <w:rPr>
          <w:sz w:val="22"/>
          <w:szCs w:val="22"/>
        </w:rPr>
        <w:t xml:space="preserve">.000.  </w:t>
      </w:r>
      <w:r w:rsidR="00605F1A" w:rsidRPr="00664858">
        <w:rPr>
          <w:sz w:val="22"/>
          <w:szCs w:val="22"/>
        </w:rPr>
        <w:t>Incluye únicamente costos de interpretación simultánea, equipos, materiales y gastos de viaje cubiertos por RIAL</w:t>
      </w:r>
      <w:r w:rsidR="007A41E7" w:rsidRPr="00664858">
        <w:rPr>
          <w:sz w:val="22"/>
          <w:szCs w:val="22"/>
        </w:rPr>
        <w:t xml:space="preserve"> </w:t>
      </w:r>
      <w:r w:rsidR="00FE3AEC" w:rsidRPr="00664858">
        <w:rPr>
          <w:sz w:val="22"/>
          <w:szCs w:val="22"/>
        </w:rPr>
        <w:t>(este rubro se ha reducido</w:t>
      </w:r>
      <w:r w:rsidR="00BB3857" w:rsidRPr="00664858">
        <w:rPr>
          <w:sz w:val="22"/>
          <w:szCs w:val="22"/>
        </w:rPr>
        <w:t xml:space="preserve"> con relación a primeros talleres de la RIAL y consiste en co-financiación para costos de alojamiento y, en casos muy reducidos, tiquete aéreo)</w:t>
      </w:r>
      <w:r w:rsidR="00D91B8D" w:rsidRPr="00664858">
        <w:rPr>
          <w:sz w:val="22"/>
          <w:szCs w:val="22"/>
        </w:rPr>
        <w:t xml:space="preserve">; el </w:t>
      </w:r>
      <w:r w:rsidR="00605F1A" w:rsidRPr="00664858">
        <w:rPr>
          <w:sz w:val="22"/>
          <w:szCs w:val="22"/>
        </w:rPr>
        <w:t xml:space="preserve">país sede </w:t>
      </w:r>
      <w:r w:rsidR="00D91B8D" w:rsidRPr="00664858">
        <w:rPr>
          <w:sz w:val="22"/>
          <w:szCs w:val="22"/>
        </w:rPr>
        <w:t>y/</w:t>
      </w:r>
      <w:r w:rsidR="00605F1A" w:rsidRPr="00664858">
        <w:rPr>
          <w:sz w:val="22"/>
          <w:szCs w:val="22"/>
        </w:rPr>
        <w:t>u organismo aliado</w:t>
      </w:r>
      <w:r w:rsidR="00D91B8D" w:rsidRPr="00664858">
        <w:rPr>
          <w:sz w:val="22"/>
          <w:szCs w:val="22"/>
        </w:rPr>
        <w:t xml:space="preserve"> cubren otros costos asociados</w:t>
      </w:r>
      <w:r w:rsidR="00605F1A" w:rsidRPr="00664858">
        <w:rPr>
          <w:sz w:val="22"/>
          <w:szCs w:val="22"/>
        </w:rPr>
        <w:t xml:space="preserve"> (No incluye c</w:t>
      </w:r>
      <w:r w:rsidR="003E3A37" w:rsidRPr="00664858">
        <w:rPr>
          <w:sz w:val="22"/>
          <w:szCs w:val="22"/>
        </w:rPr>
        <w:t>omponente de recursos humanos).</w:t>
      </w:r>
      <w:r w:rsidR="00D93C16" w:rsidRPr="00664858">
        <w:rPr>
          <w:sz w:val="22"/>
          <w:szCs w:val="22"/>
        </w:rPr>
        <w:t xml:space="preserve"> </w:t>
      </w:r>
      <w:r w:rsidR="003E3A37" w:rsidRPr="00664858">
        <w:rPr>
          <w:sz w:val="22"/>
          <w:szCs w:val="22"/>
        </w:rPr>
        <w:t xml:space="preserve">  </w:t>
      </w:r>
    </w:p>
    <w:p w14:paraId="084A3579" w14:textId="77777777" w:rsidR="00763858" w:rsidRPr="00664858" w:rsidRDefault="00763858" w:rsidP="00763858">
      <w:pPr>
        <w:spacing w:line="250" w:lineRule="exact"/>
        <w:ind w:left="720"/>
        <w:jc w:val="both"/>
        <w:rPr>
          <w:sz w:val="22"/>
          <w:szCs w:val="22"/>
        </w:rPr>
      </w:pPr>
    </w:p>
    <w:p w14:paraId="00672515" w14:textId="46B75957" w:rsidR="00763858" w:rsidRPr="00664858" w:rsidRDefault="00D93C16" w:rsidP="00763858">
      <w:pPr>
        <w:numPr>
          <w:ilvl w:val="0"/>
          <w:numId w:val="2"/>
        </w:numPr>
        <w:spacing w:line="250" w:lineRule="exact"/>
        <w:jc w:val="both"/>
        <w:rPr>
          <w:sz w:val="22"/>
          <w:szCs w:val="22"/>
        </w:rPr>
      </w:pPr>
      <w:r w:rsidRPr="00664858">
        <w:rPr>
          <w:sz w:val="22"/>
          <w:szCs w:val="22"/>
        </w:rPr>
        <w:t>El costo de una actividad virtual de aproximadamente 4 horas es $3</w:t>
      </w:r>
      <w:r w:rsidR="00B4287D" w:rsidRPr="00664858">
        <w:rPr>
          <w:sz w:val="22"/>
          <w:szCs w:val="22"/>
        </w:rPr>
        <w:t>.</w:t>
      </w:r>
      <w:r w:rsidRPr="00664858">
        <w:rPr>
          <w:sz w:val="22"/>
          <w:szCs w:val="22"/>
        </w:rPr>
        <w:t>000, incluyendo plataforma e interpretación simultánea.</w:t>
      </w:r>
      <w:r w:rsidR="00763858" w:rsidRPr="00664858">
        <w:rPr>
          <w:sz w:val="22"/>
          <w:szCs w:val="22"/>
        </w:rPr>
        <w:t xml:space="preserve"> Durante 2020 se realizaron las primeras actividades hemisféricas (Reuniones de Grupos de Trabajo y Diálogo sobre Género) y bilaterales completamente virtuales de la RIAL con muy buenos resultados. Cabe mencionar que la decisión sobre trasladar una cooperación presencial al espacio virtual debe considerar los objetivos y resultados esperados.</w:t>
      </w:r>
    </w:p>
    <w:p w14:paraId="0F81868B" w14:textId="77777777" w:rsidR="00A61E5D" w:rsidRPr="00664858" w:rsidRDefault="00A61E5D" w:rsidP="00A61E5D">
      <w:pPr>
        <w:spacing w:line="250" w:lineRule="exact"/>
        <w:ind w:left="720"/>
        <w:jc w:val="both"/>
        <w:rPr>
          <w:sz w:val="22"/>
          <w:szCs w:val="22"/>
        </w:rPr>
      </w:pPr>
    </w:p>
    <w:p w14:paraId="64F6675B" w14:textId="66A193DA" w:rsidR="00763858" w:rsidRPr="00664858" w:rsidRDefault="00975648">
      <w:pPr>
        <w:numPr>
          <w:ilvl w:val="0"/>
          <w:numId w:val="2"/>
        </w:numPr>
        <w:spacing w:line="250" w:lineRule="exact"/>
        <w:jc w:val="both"/>
        <w:rPr>
          <w:sz w:val="22"/>
          <w:szCs w:val="22"/>
        </w:rPr>
      </w:pPr>
      <w:r w:rsidRPr="00664858">
        <w:rPr>
          <w:sz w:val="22"/>
          <w:szCs w:val="22"/>
        </w:rPr>
        <w:t>Costo promedio de un</w:t>
      </w:r>
      <w:r w:rsidR="00C03A59" w:rsidRPr="00664858">
        <w:rPr>
          <w:sz w:val="22"/>
          <w:szCs w:val="22"/>
        </w:rPr>
        <w:t>a actividad de cooperación</w:t>
      </w:r>
      <w:r w:rsidR="003E3A37" w:rsidRPr="00664858">
        <w:rPr>
          <w:sz w:val="22"/>
          <w:szCs w:val="22"/>
        </w:rPr>
        <w:t xml:space="preserve"> </w:t>
      </w:r>
      <w:r w:rsidR="00D91B8D" w:rsidRPr="00664858">
        <w:rPr>
          <w:sz w:val="22"/>
          <w:szCs w:val="22"/>
        </w:rPr>
        <w:t xml:space="preserve">bilateral </w:t>
      </w:r>
      <w:r w:rsidR="003E3A37" w:rsidRPr="00664858">
        <w:rPr>
          <w:sz w:val="22"/>
          <w:szCs w:val="22"/>
        </w:rPr>
        <w:t>presencial</w:t>
      </w:r>
      <w:r w:rsidR="00C03A59" w:rsidRPr="00664858">
        <w:rPr>
          <w:sz w:val="22"/>
          <w:szCs w:val="22"/>
        </w:rPr>
        <w:t>: $</w:t>
      </w:r>
      <w:r w:rsidR="004E3636" w:rsidRPr="00664858">
        <w:rPr>
          <w:sz w:val="22"/>
          <w:szCs w:val="22"/>
        </w:rPr>
        <w:t>6,500</w:t>
      </w:r>
      <w:r w:rsidR="00605F1A" w:rsidRPr="00664858">
        <w:rPr>
          <w:sz w:val="22"/>
          <w:szCs w:val="22"/>
        </w:rPr>
        <w:t xml:space="preserve">.  Incluye únicamente costos de pasajes, alojamiento y alimentación (no incluye componente de recursos humanos). </w:t>
      </w:r>
    </w:p>
    <w:p w14:paraId="37CAFA77" w14:textId="77777777" w:rsidR="00A61E5D" w:rsidRPr="00C418FF" w:rsidRDefault="00A61E5D" w:rsidP="00A61E5D">
      <w:pPr>
        <w:pStyle w:val="BodyText2"/>
        <w:ind w:left="720"/>
        <w:rPr>
          <w:rFonts w:ascii="Times New Roman" w:hAnsi="Times New Roman" w:cs="Times New Roman"/>
          <w:sz w:val="22"/>
          <w:szCs w:val="22"/>
        </w:rPr>
      </w:pPr>
    </w:p>
    <w:p w14:paraId="00F77922" w14:textId="4F280222" w:rsidR="00975648" w:rsidRPr="00C418FF" w:rsidRDefault="00975648" w:rsidP="00A61E5D">
      <w:pPr>
        <w:pStyle w:val="BodyText2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C418FF">
        <w:rPr>
          <w:rFonts w:ascii="Times New Roman" w:hAnsi="Times New Roman" w:cs="Times New Roman"/>
          <w:sz w:val="22"/>
          <w:szCs w:val="22"/>
        </w:rPr>
        <w:t xml:space="preserve">Los gastos de operación, que según el Gráfico 1 son el </w:t>
      </w:r>
      <w:r w:rsidR="00C03A59" w:rsidRPr="00C418FF">
        <w:rPr>
          <w:rFonts w:ascii="Times New Roman" w:hAnsi="Times New Roman" w:cs="Times New Roman"/>
          <w:sz w:val="22"/>
          <w:szCs w:val="22"/>
        </w:rPr>
        <w:t>2</w:t>
      </w:r>
      <w:r w:rsidR="00DE30D4" w:rsidRPr="00C418FF">
        <w:rPr>
          <w:rFonts w:ascii="Times New Roman" w:hAnsi="Times New Roman" w:cs="Times New Roman"/>
          <w:sz w:val="22"/>
          <w:szCs w:val="22"/>
        </w:rPr>
        <w:t>9</w:t>
      </w:r>
      <w:r w:rsidRPr="00C418FF">
        <w:rPr>
          <w:rFonts w:ascii="Times New Roman" w:hAnsi="Times New Roman" w:cs="Times New Roman"/>
          <w:sz w:val="22"/>
          <w:szCs w:val="22"/>
        </w:rPr>
        <w:t>% del total</w:t>
      </w:r>
      <w:r w:rsidR="0008782D" w:rsidRPr="00C418FF">
        <w:rPr>
          <w:rFonts w:ascii="Times New Roman" w:hAnsi="Times New Roman" w:cs="Times New Roman"/>
          <w:sz w:val="22"/>
          <w:szCs w:val="22"/>
        </w:rPr>
        <w:t xml:space="preserve"> (di</w:t>
      </w:r>
      <w:r w:rsidR="00C03A59" w:rsidRPr="00C418FF">
        <w:rPr>
          <w:rFonts w:ascii="Times New Roman" w:hAnsi="Times New Roman" w:cs="Times New Roman"/>
          <w:sz w:val="22"/>
          <w:szCs w:val="22"/>
        </w:rPr>
        <w:t>stribuidos entre la OEA con un 1</w:t>
      </w:r>
      <w:r w:rsidR="00D91B8D" w:rsidRPr="00C418FF">
        <w:rPr>
          <w:rFonts w:ascii="Times New Roman" w:hAnsi="Times New Roman" w:cs="Times New Roman"/>
          <w:sz w:val="22"/>
          <w:szCs w:val="22"/>
        </w:rPr>
        <w:t>0</w:t>
      </w:r>
      <w:r w:rsidR="0008782D" w:rsidRPr="00C418FF">
        <w:rPr>
          <w:rFonts w:ascii="Times New Roman" w:hAnsi="Times New Roman" w:cs="Times New Roman"/>
          <w:sz w:val="22"/>
          <w:szCs w:val="22"/>
        </w:rPr>
        <w:t>% y el Fondo RIAL</w:t>
      </w:r>
      <w:r w:rsidR="00457439" w:rsidRPr="00C418FF">
        <w:rPr>
          <w:rFonts w:ascii="Times New Roman" w:hAnsi="Times New Roman" w:cs="Times New Roman"/>
          <w:sz w:val="22"/>
          <w:szCs w:val="22"/>
        </w:rPr>
        <w:t xml:space="preserve"> con un 1</w:t>
      </w:r>
      <w:r w:rsidR="00826B34" w:rsidRPr="00C418FF">
        <w:rPr>
          <w:rFonts w:ascii="Times New Roman" w:hAnsi="Times New Roman" w:cs="Times New Roman"/>
          <w:sz w:val="22"/>
          <w:szCs w:val="22"/>
        </w:rPr>
        <w:t>8</w:t>
      </w:r>
      <w:r w:rsidR="0008782D" w:rsidRPr="00C418FF">
        <w:rPr>
          <w:rFonts w:ascii="Times New Roman" w:hAnsi="Times New Roman" w:cs="Times New Roman"/>
          <w:sz w:val="22"/>
          <w:szCs w:val="22"/>
        </w:rPr>
        <w:t>%)</w:t>
      </w:r>
      <w:r w:rsidR="00D51939" w:rsidRPr="00C418FF">
        <w:rPr>
          <w:rFonts w:ascii="Times New Roman" w:hAnsi="Times New Roman" w:cs="Times New Roman"/>
          <w:sz w:val="22"/>
          <w:szCs w:val="22"/>
        </w:rPr>
        <w:t>, se refieren a administración,</w:t>
      </w:r>
      <w:r w:rsidRPr="00C418FF">
        <w:rPr>
          <w:rFonts w:ascii="Times New Roman" w:hAnsi="Times New Roman" w:cs="Times New Roman"/>
          <w:sz w:val="22"/>
          <w:szCs w:val="22"/>
        </w:rPr>
        <w:t xml:space="preserve"> seguimiento </w:t>
      </w:r>
      <w:r w:rsidR="00D51939" w:rsidRPr="00C418FF">
        <w:rPr>
          <w:rFonts w:ascii="Times New Roman" w:hAnsi="Times New Roman" w:cs="Times New Roman"/>
          <w:sz w:val="22"/>
          <w:szCs w:val="22"/>
        </w:rPr>
        <w:t xml:space="preserve">y desarrollo </w:t>
      </w:r>
      <w:r w:rsidRPr="00C418FF">
        <w:rPr>
          <w:rFonts w:ascii="Times New Roman" w:hAnsi="Times New Roman" w:cs="Times New Roman"/>
          <w:sz w:val="22"/>
          <w:szCs w:val="22"/>
        </w:rPr>
        <w:t>de las actividades.</w:t>
      </w:r>
      <w:r w:rsidR="00BD6C2F" w:rsidRPr="00C418FF">
        <w:rPr>
          <w:rFonts w:ascii="Times New Roman" w:hAnsi="Times New Roman" w:cs="Times New Roman"/>
          <w:sz w:val="22"/>
          <w:szCs w:val="22"/>
        </w:rPr>
        <w:t xml:space="preserve"> </w:t>
      </w:r>
      <w:r w:rsidRPr="00C418FF">
        <w:rPr>
          <w:rFonts w:ascii="Times New Roman" w:hAnsi="Times New Roman" w:cs="Times New Roman"/>
          <w:sz w:val="22"/>
          <w:szCs w:val="22"/>
        </w:rPr>
        <w:t xml:space="preserve">Es decir, </w:t>
      </w:r>
      <w:r w:rsidR="00605F1A" w:rsidRPr="00C418FF">
        <w:rPr>
          <w:rFonts w:ascii="Times New Roman" w:hAnsi="Times New Roman" w:cs="Times New Roman"/>
          <w:sz w:val="22"/>
          <w:szCs w:val="22"/>
        </w:rPr>
        <w:t>concentran el</w:t>
      </w:r>
      <w:r w:rsidRPr="00C418FF">
        <w:rPr>
          <w:rFonts w:ascii="Times New Roman" w:hAnsi="Times New Roman" w:cs="Times New Roman"/>
          <w:sz w:val="22"/>
          <w:szCs w:val="22"/>
        </w:rPr>
        <w:t xml:space="preserve"> componente de recursos humanos de la RIAL y son fundamentales para su desarrollo. </w:t>
      </w:r>
      <w:r w:rsidR="0088396D" w:rsidRPr="00C418FF">
        <w:rPr>
          <w:rFonts w:ascii="Times New Roman" w:hAnsi="Times New Roman" w:cs="Times New Roman"/>
          <w:sz w:val="22"/>
          <w:szCs w:val="22"/>
        </w:rPr>
        <w:t>Este rubro también incluye gastos asociados al desarrollo de nuevos productos de la RIAL.</w:t>
      </w:r>
      <w:r w:rsidR="00F64810" w:rsidRPr="00C418FF">
        <w:rPr>
          <w:rFonts w:ascii="Times New Roman" w:hAnsi="Times New Roman" w:cs="Times New Roman"/>
          <w:sz w:val="22"/>
          <w:szCs w:val="22"/>
        </w:rPr>
        <w:t xml:space="preserve"> </w:t>
      </w:r>
      <w:r w:rsidR="00D51939" w:rsidRPr="00C418FF">
        <w:rPr>
          <w:rFonts w:ascii="Times New Roman" w:hAnsi="Times New Roman" w:cs="Times New Roman"/>
          <w:sz w:val="22"/>
          <w:szCs w:val="22"/>
        </w:rPr>
        <w:t>En el marco de la pandemia de Covid-19, la RIAL diseñó dos productos nuevos: El Portafolio de respuestas de los Ministerios de Trabajo al Covid-19 y el Repositorio de Guías de Reapertura y Regreso al trabajo</w:t>
      </w:r>
      <w:r w:rsidR="00E10934" w:rsidRPr="00C418FF">
        <w:rPr>
          <w:rFonts w:ascii="Times New Roman" w:hAnsi="Times New Roman" w:cs="Times New Roman"/>
          <w:sz w:val="22"/>
          <w:szCs w:val="22"/>
        </w:rPr>
        <w:t xml:space="preserve">; posteriormente, en 2022 lanzó el </w:t>
      </w:r>
      <w:r w:rsidR="00DA1065" w:rsidRPr="00C418FF">
        <w:rPr>
          <w:rFonts w:ascii="Times New Roman" w:hAnsi="Times New Roman" w:cs="Times New Roman"/>
          <w:sz w:val="22"/>
          <w:szCs w:val="22"/>
        </w:rPr>
        <w:t>Portafolio de legislación sobre teletrabajo y en 2023, el Repositorio de acciones sobre trabajo doméstico, todos ellos</w:t>
      </w:r>
      <w:r w:rsidR="00D51939" w:rsidRPr="00C418FF">
        <w:rPr>
          <w:rFonts w:ascii="Times New Roman" w:hAnsi="Times New Roman" w:cs="Times New Roman"/>
          <w:sz w:val="22"/>
          <w:szCs w:val="22"/>
        </w:rPr>
        <w:t xml:space="preserve"> intensivos en capital humano y que fueron cubiertos por este rubro. </w:t>
      </w:r>
      <w:r w:rsidRPr="00C418FF">
        <w:rPr>
          <w:rFonts w:ascii="Times New Roman" w:hAnsi="Times New Roman" w:cs="Times New Roman"/>
          <w:sz w:val="22"/>
          <w:szCs w:val="22"/>
        </w:rPr>
        <w:t xml:space="preserve">En términos del Instructivo del Fondo, 15% de contribuciones se destinan a gastos de operación, hasta por un máximo de $50.000 anuales. El nivel actual de contribuciones </w:t>
      </w:r>
      <w:r w:rsidR="00F90FF0" w:rsidRPr="00C418FF">
        <w:rPr>
          <w:rFonts w:ascii="Times New Roman" w:hAnsi="Times New Roman" w:cs="Times New Roman"/>
          <w:sz w:val="22"/>
          <w:szCs w:val="22"/>
        </w:rPr>
        <w:t>continúa</w:t>
      </w:r>
      <w:r w:rsidR="00035C70" w:rsidRPr="00C418FF">
        <w:rPr>
          <w:rFonts w:ascii="Times New Roman" w:hAnsi="Times New Roman" w:cs="Times New Roman"/>
          <w:sz w:val="22"/>
          <w:szCs w:val="22"/>
        </w:rPr>
        <w:t xml:space="preserve"> siendo </w:t>
      </w:r>
      <w:r w:rsidRPr="00C418FF">
        <w:rPr>
          <w:rFonts w:ascii="Times New Roman" w:hAnsi="Times New Roman" w:cs="Times New Roman"/>
          <w:sz w:val="22"/>
          <w:szCs w:val="22"/>
        </w:rPr>
        <w:t>insuficiente para cubrir los gastos de operación de la RIAL, razón por la cual la OEA ha aportado recursos importantes</w:t>
      </w:r>
      <w:r w:rsidR="00D91B8D" w:rsidRPr="00C418FF">
        <w:rPr>
          <w:rFonts w:ascii="Times New Roman" w:hAnsi="Times New Roman" w:cs="Times New Roman"/>
          <w:sz w:val="22"/>
          <w:szCs w:val="22"/>
        </w:rPr>
        <w:t xml:space="preserve"> y las autoridades de la RIAL decidieron</w:t>
      </w:r>
      <w:r w:rsidR="0057746F" w:rsidRPr="00C418FF">
        <w:rPr>
          <w:rFonts w:ascii="Times New Roman" w:hAnsi="Times New Roman" w:cs="Times New Roman"/>
          <w:sz w:val="22"/>
          <w:szCs w:val="22"/>
        </w:rPr>
        <w:t>,</w:t>
      </w:r>
      <w:r w:rsidR="00D91B8D" w:rsidRPr="00C418FF">
        <w:rPr>
          <w:rFonts w:ascii="Times New Roman" w:hAnsi="Times New Roman" w:cs="Times New Roman"/>
          <w:sz w:val="22"/>
          <w:szCs w:val="22"/>
        </w:rPr>
        <w:t xml:space="preserve"> en </w:t>
      </w:r>
      <w:r w:rsidR="0057746F" w:rsidRPr="00C418FF">
        <w:rPr>
          <w:rFonts w:ascii="Times New Roman" w:hAnsi="Times New Roman" w:cs="Times New Roman"/>
          <w:sz w:val="22"/>
          <w:szCs w:val="22"/>
        </w:rPr>
        <w:t xml:space="preserve">sus reuniones de </w:t>
      </w:r>
      <w:r w:rsidR="00D91B8D" w:rsidRPr="00C418FF">
        <w:rPr>
          <w:rFonts w:ascii="Times New Roman" w:hAnsi="Times New Roman" w:cs="Times New Roman"/>
          <w:sz w:val="22"/>
          <w:szCs w:val="22"/>
        </w:rPr>
        <w:t>2020 y 2021</w:t>
      </w:r>
      <w:r w:rsidR="0057746F" w:rsidRPr="00C418FF">
        <w:rPr>
          <w:rFonts w:ascii="Times New Roman" w:hAnsi="Times New Roman" w:cs="Times New Roman"/>
          <w:sz w:val="22"/>
          <w:szCs w:val="22"/>
        </w:rPr>
        <w:t>,</w:t>
      </w:r>
      <w:r w:rsidR="00D91B8D" w:rsidRPr="00C418FF">
        <w:rPr>
          <w:rFonts w:ascii="Times New Roman" w:hAnsi="Times New Roman" w:cs="Times New Roman"/>
          <w:sz w:val="22"/>
          <w:szCs w:val="22"/>
        </w:rPr>
        <w:t xml:space="preserve"> asignar recursos adicionales</w:t>
      </w:r>
      <w:r w:rsidR="0057746F" w:rsidRPr="00C418FF">
        <w:rPr>
          <w:rFonts w:ascii="Times New Roman" w:hAnsi="Times New Roman" w:cs="Times New Roman"/>
          <w:sz w:val="22"/>
          <w:szCs w:val="22"/>
        </w:rPr>
        <w:t xml:space="preserve"> para ello</w:t>
      </w:r>
      <w:r w:rsidR="00296A49" w:rsidRPr="00C418FF">
        <w:rPr>
          <w:rFonts w:ascii="Times New Roman" w:hAnsi="Times New Roman" w:cs="Times New Roman"/>
          <w:sz w:val="22"/>
          <w:szCs w:val="22"/>
        </w:rPr>
        <w:t xml:space="preserve">. El aporte de la OEA </w:t>
      </w:r>
      <w:r w:rsidR="0087445A" w:rsidRPr="00C418FF">
        <w:rPr>
          <w:rFonts w:ascii="Times New Roman" w:hAnsi="Times New Roman" w:cs="Times New Roman"/>
          <w:sz w:val="22"/>
          <w:szCs w:val="22"/>
        </w:rPr>
        <w:t>no puede garantizarse a futuro.</w:t>
      </w:r>
    </w:p>
    <w:p w14:paraId="30EEAEEC" w14:textId="77777777" w:rsidR="00A61E5D" w:rsidRPr="00C418FF" w:rsidRDefault="00A61E5D" w:rsidP="00A61E5D">
      <w:pPr>
        <w:spacing w:line="250" w:lineRule="exact"/>
        <w:ind w:left="720"/>
        <w:jc w:val="both"/>
        <w:rPr>
          <w:sz w:val="22"/>
          <w:szCs w:val="22"/>
        </w:rPr>
      </w:pPr>
    </w:p>
    <w:p w14:paraId="4FB95599" w14:textId="77777777" w:rsidR="00975648" w:rsidRPr="00C418FF" w:rsidRDefault="00975648" w:rsidP="00A61E5D">
      <w:pPr>
        <w:numPr>
          <w:ilvl w:val="0"/>
          <w:numId w:val="2"/>
        </w:numPr>
        <w:spacing w:line="250" w:lineRule="exact"/>
        <w:jc w:val="both"/>
        <w:rPr>
          <w:sz w:val="22"/>
          <w:szCs w:val="22"/>
        </w:rPr>
      </w:pPr>
      <w:r w:rsidRPr="00C418FF">
        <w:rPr>
          <w:sz w:val="22"/>
          <w:szCs w:val="22"/>
        </w:rPr>
        <w:t>La OEA aporta en especie la coordinación de la RIAL, que se calcula en aproximadamente $80,000 dólares anuales y que no se ha incluido en los montos reportados en este informe.</w:t>
      </w:r>
    </w:p>
    <w:p w14:paraId="1415A6F7" w14:textId="77777777" w:rsidR="00A61E5D" w:rsidRPr="00C418FF" w:rsidRDefault="00A61E5D" w:rsidP="00A61E5D">
      <w:pPr>
        <w:pStyle w:val="BodyText2"/>
        <w:ind w:left="720"/>
        <w:rPr>
          <w:rFonts w:ascii="Times New Roman" w:hAnsi="Times New Roman" w:cs="Times New Roman"/>
          <w:sz w:val="22"/>
          <w:szCs w:val="22"/>
        </w:rPr>
      </w:pPr>
    </w:p>
    <w:p w14:paraId="1DB2FB65" w14:textId="4CE6B841" w:rsidR="00975648" w:rsidRPr="003B0259" w:rsidRDefault="00975648" w:rsidP="00A61E5D">
      <w:pPr>
        <w:pStyle w:val="BodyText2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C418FF">
        <w:rPr>
          <w:rFonts w:ascii="Times New Roman" w:hAnsi="Times New Roman" w:cs="Times New Roman"/>
          <w:sz w:val="22"/>
          <w:szCs w:val="22"/>
        </w:rPr>
        <w:t>El componente de comunicaciones de la RIAL incluye la actualización de la página web y del Portafolio de Programas, la elaboración de boletines de noticias y manejo de redes sociales.  Es un componente que ha ido tomando relevancia,</w:t>
      </w:r>
      <w:r w:rsidR="00AC18BA" w:rsidRPr="00C418FF">
        <w:rPr>
          <w:rFonts w:ascii="Times New Roman" w:hAnsi="Times New Roman" w:cs="Times New Roman"/>
          <w:sz w:val="22"/>
          <w:szCs w:val="22"/>
        </w:rPr>
        <w:t xml:space="preserve"> representando actualmente el </w:t>
      </w:r>
      <w:r w:rsidR="0008782D" w:rsidRPr="00C418FF">
        <w:rPr>
          <w:rFonts w:ascii="Times New Roman" w:hAnsi="Times New Roman" w:cs="Times New Roman"/>
          <w:sz w:val="22"/>
          <w:szCs w:val="22"/>
        </w:rPr>
        <w:t>1</w:t>
      </w:r>
      <w:r w:rsidR="00010D21" w:rsidRPr="00C418FF">
        <w:rPr>
          <w:rFonts w:ascii="Times New Roman" w:hAnsi="Times New Roman" w:cs="Times New Roman"/>
          <w:sz w:val="22"/>
          <w:szCs w:val="22"/>
        </w:rPr>
        <w:t>0</w:t>
      </w:r>
      <w:r w:rsidRPr="00C418FF">
        <w:rPr>
          <w:rFonts w:ascii="Times New Roman" w:hAnsi="Times New Roman" w:cs="Times New Roman"/>
          <w:sz w:val="22"/>
          <w:szCs w:val="22"/>
        </w:rPr>
        <w:t>% de gastos de la RIAL.</w:t>
      </w:r>
      <w:r w:rsidR="00605F1A" w:rsidRPr="00C418FF">
        <w:rPr>
          <w:rFonts w:ascii="Times New Roman" w:hAnsi="Times New Roman" w:cs="Times New Roman"/>
          <w:sz w:val="22"/>
          <w:szCs w:val="22"/>
        </w:rPr>
        <w:t xml:space="preserve"> Al igual que </w:t>
      </w:r>
      <w:r w:rsidR="00455445" w:rsidRPr="00C418FF">
        <w:rPr>
          <w:rFonts w:ascii="Times New Roman" w:hAnsi="Times New Roman" w:cs="Times New Roman"/>
          <w:sz w:val="22"/>
          <w:szCs w:val="22"/>
        </w:rPr>
        <w:t>para los</w:t>
      </w:r>
      <w:r w:rsidR="00605F1A" w:rsidRPr="00C418FF">
        <w:rPr>
          <w:rFonts w:ascii="Times New Roman" w:hAnsi="Times New Roman" w:cs="Times New Roman"/>
          <w:sz w:val="22"/>
          <w:szCs w:val="22"/>
        </w:rPr>
        <w:t xml:space="preserve"> gastos de operación, la OEA </w:t>
      </w:r>
      <w:r w:rsidR="0087445A" w:rsidRPr="00C418FF">
        <w:rPr>
          <w:rFonts w:ascii="Times New Roman" w:hAnsi="Times New Roman" w:cs="Times New Roman"/>
          <w:sz w:val="22"/>
          <w:szCs w:val="22"/>
        </w:rPr>
        <w:t>ha</w:t>
      </w:r>
      <w:r w:rsidR="00455445" w:rsidRPr="00C418FF">
        <w:rPr>
          <w:rFonts w:ascii="Times New Roman" w:hAnsi="Times New Roman" w:cs="Times New Roman"/>
          <w:sz w:val="22"/>
          <w:szCs w:val="22"/>
        </w:rPr>
        <w:t xml:space="preserve"> destinando recursos para </w:t>
      </w:r>
      <w:r w:rsidR="00455445" w:rsidRPr="003B0259">
        <w:rPr>
          <w:rFonts w:ascii="Times New Roman" w:hAnsi="Times New Roman" w:cs="Times New Roman"/>
          <w:sz w:val="22"/>
          <w:szCs w:val="22"/>
        </w:rPr>
        <w:lastRenderedPageBreak/>
        <w:t>cubrir el componente de comunicaciones. Este aporte representa actualmente la mitad de los gastos totales destinados a comunicaciones.</w:t>
      </w:r>
      <w:r w:rsidRPr="003B0259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766304DD" w14:textId="77777777" w:rsidR="00A61E5D" w:rsidRPr="003B0259" w:rsidRDefault="00A61E5D" w:rsidP="00A61E5D">
      <w:pPr>
        <w:pStyle w:val="ListParagraph"/>
        <w:rPr>
          <w:sz w:val="22"/>
          <w:szCs w:val="22"/>
        </w:rPr>
      </w:pPr>
    </w:p>
    <w:p w14:paraId="3B6B6C5F" w14:textId="189B6A69" w:rsidR="00C3246C" w:rsidRDefault="00C3246C" w:rsidP="00A61E5D">
      <w:pPr>
        <w:numPr>
          <w:ilvl w:val="0"/>
          <w:numId w:val="2"/>
        </w:numPr>
        <w:spacing w:line="250" w:lineRule="exact"/>
        <w:jc w:val="both"/>
        <w:rPr>
          <w:sz w:val="22"/>
          <w:szCs w:val="22"/>
        </w:rPr>
      </w:pPr>
      <w:r w:rsidRPr="003B0259">
        <w:rPr>
          <w:sz w:val="22"/>
          <w:szCs w:val="22"/>
        </w:rPr>
        <w:t>Los gastos del Fondo han sido consistentemente menores a los aprobados, especialmente para los Talleres hemisféricos</w:t>
      </w:r>
      <w:r w:rsidR="00351631" w:rsidRPr="003B0259">
        <w:rPr>
          <w:sz w:val="22"/>
          <w:szCs w:val="22"/>
        </w:rPr>
        <w:t>, e</w:t>
      </w:r>
      <w:r w:rsidRPr="003B0259">
        <w:rPr>
          <w:sz w:val="22"/>
          <w:szCs w:val="22"/>
        </w:rPr>
        <w:t>sto se debe a que han logrado apalancarse importantes recursos de otras fuentes.</w:t>
      </w:r>
    </w:p>
    <w:p w14:paraId="54DEB40B" w14:textId="77777777" w:rsidR="005C0F0A" w:rsidRDefault="005C0F0A" w:rsidP="005C0F0A">
      <w:pPr>
        <w:pStyle w:val="ListParagraph"/>
        <w:rPr>
          <w:sz w:val="22"/>
          <w:szCs w:val="22"/>
        </w:rPr>
      </w:pPr>
    </w:p>
    <w:p w14:paraId="1D4E033B" w14:textId="77777777" w:rsidR="005C0F0A" w:rsidRPr="00664858" w:rsidRDefault="005C0F0A" w:rsidP="005C0F0A">
      <w:pPr>
        <w:spacing w:line="250" w:lineRule="exact"/>
        <w:ind w:left="720"/>
        <w:jc w:val="both"/>
        <w:rPr>
          <w:sz w:val="22"/>
          <w:szCs w:val="22"/>
        </w:rPr>
      </w:pPr>
    </w:p>
    <w:p w14:paraId="43F72791" w14:textId="77777777" w:rsidR="008E4AC2" w:rsidRPr="00664858" w:rsidRDefault="008E4AC2" w:rsidP="008E4AC2">
      <w:pPr>
        <w:pStyle w:val="BodyText2"/>
        <w:rPr>
          <w:rFonts w:ascii="Times New Roman" w:hAnsi="Times New Roman" w:cs="Times New Roman"/>
          <w:b/>
          <w:sz w:val="22"/>
          <w:szCs w:val="22"/>
        </w:rPr>
      </w:pPr>
      <w:r w:rsidRPr="00664858">
        <w:rPr>
          <w:rFonts w:ascii="Times New Roman" w:hAnsi="Times New Roman" w:cs="Times New Roman"/>
          <w:b/>
          <w:sz w:val="22"/>
          <w:szCs w:val="22"/>
        </w:rPr>
        <w:t xml:space="preserve">IV. Recursos </w:t>
      </w:r>
      <w:r w:rsidR="00ED09CB" w:rsidRPr="00664858">
        <w:rPr>
          <w:rFonts w:ascii="Times New Roman" w:hAnsi="Times New Roman" w:cs="Times New Roman"/>
          <w:b/>
          <w:sz w:val="22"/>
          <w:szCs w:val="22"/>
        </w:rPr>
        <w:t>presupuestados</w:t>
      </w:r>
    </w:p>
    <w:p w14:paraId="7BB5B10D" w14:textId="58BB9DE5" w:rsidR="008E4AC2" w:rsidRPr="00664858" w:rsidRDefault="008E4AC2" w:rsidP="008E4AC2">
      <w:pPr>
        <w:pStyle w:val="BodyText2"/>
        <w:rPr>
          <w:rFonts w:ascii="Times New Roman" w:hAnsi="Times New Roman" w:cs="Times New Roman"/>
          <w:b/>
          <w:bCs/>
          <w:sz w:val="22"/>
          <w:szCs w:val="22"/>
        </w:rPr>
      </w:pPr>
    </w:p>
    <w:p w14:paraId="4D00861F" w14:textId="2B84B999" w:rsidR="00D24BDD" w:rsidRPr="00C418FF" w:rsidRDefault="00D24BDD" w:rsidP="00D24BDD">
      <w:pPr>
        <w:pStyle w:val="BodyText2"/>
        <w:rPr>
          <w:rFonts w:ascii="Times New Roman" w:hAnsi="Times New Roman" w:cs="Times New Roman"/>
          <w:sz w:val="22"/>
          <w:szCs w:val="22"/>
        </w:rPr>
      </w:pPr>
      <w:r w:rsidRPr="00C418FF">
        <w:rPr>
          <w:rFonts w:ascii="Times New Roman" w:hAnsi="Times New Roman" w:cs="Times New Roman"/>
          <w:sz w:val="22"/>
          <w:szCs w:val="22"/>
        </w:rPr>
        <w:t>En el Plan de Trabajo 2022-2024 de la CIMT se contempla un presupuesto para las diferentes actividades</w:t>
      </w:r>
      <w:r w:rsidR="00DE5347" w:rsidRPr="00C418FF">
        <w:rPr>
          <w:rFonts w:ascii="Times New Roman" w:hAnsi="Times New Roman" w:cs="Times New Roman"/>
          <w:sz w:val="22"/>
          <w:szCs w:val="22"/>
        </w:rPr>
        <w:t>, según fue aprobado por las autoridades en la Reunión de Planeación de febrero, 202</w:t>
      </w:r>
      <w:r w:rsidR="00697CFA" w:rsidRPr="00C418FF">
        <w:rPr>
          <w:rFonts w:ascii="Times New Roman" w:hAnsi="Times New Roman" w:cs="Times New Roman"/>
          <w:sz w:val="22"/>
          <w:szCs w:val="22"/>
        </w:rPr>
        <w:t>2</w:t>
      </w:r>
      <w:r w:rsidR="00E9289B" w:rsidRPr="00C418FF">
        <w:rPr>
          <w:rFonts w:ascii="Times New Roman" w:hAnsi="Times New Roman" w:cs="Times New Roman"/>
          <w:sz w:val="22"/>
          <w:szCs w:val="22"/>
        </w:rPr>
        <w:t>, además, la reunió de autoridades de enero, 2023 decidió también sobre</w:t>
      </w:r>
      <w:r w:rsidR="00656554" w:rsidRPr="00C418FF">
        <w:rPr>
          <w:rFonts w:ascii="Times New Roman" w:hAnsi="Times New Roman" w:cs="Times New Roman"/>
          <w:sz w:val="22"/>
          <w:szCs w:val="22"/>
        </w:rPr>
        <w:t xml:space="preserve"> el uso de los recursos disponibles</w:t>
      </w:r>
      <w:r w:rsidR="00DE5347" w:rsidRPr="00C418FF">
        <w:rPr>
          <w:rFonts w:ascii="Times New Roman" w:hAnsi="Times New Roman" w:cs="Times New Roman"/>
          <w:sz w:val="22"/>
          <w:szCs w:val="22"/>
        </w:rPr>
        <w:t>. Los recursos presupuestados para actividades de 2022</w:t>
      </w:r>
      <w:r w:rsidR="000E6A8B" w:rsidRPr="00C418FF">
        <w:rPr>
          <w:rFonts w:ascii="Times New Roman" w:hAnsi="Times New Roman" w:cs="Times New Roman"/>
          <w:sz w:val="22"/>
          <w:szCs w:val="22"/>
        </w:rPr>
        <w:t xml:space="preserve"> y </w:t>
      </w:r>
      <w:r w:rsidR="00656554" w:rsidRPr="00C418FF">
        <w:rPr>
          <w:rFonts w:ascii="Times New Roman" w:hAnsi="Times New Roman" w:cs="Times New Roman"/>
          <w:sz w:val="22"/>
          <w:szCs w:val="22"/>
        </w:rPr>
        <w:t>de</w:t>
      </w:r>
      <w:r w:rsidR="00E9289B" w:rsidRPr="00C418FF">
        <w:rPr>
          <w:rFonts w:ascii="Times New Roman" w:hAnsi="Times New Roman" w:cs="Times New Roman"/>
          <w:sz w:val="22"/>
          <w:szCs w:val="22"/>
        </w:rPr>
        <w:t xml:space="preserve"> enero a septiembre de 2023</w:t>
      </w:r>
      <w:r w:rsidR="00DE5347" w:rsidRPr="00C418FF">
        <w:rPr>
          <w:rFonts w:ascii="Times New Roman" w:hAnsi="Times New Roman" w:cs="Times New Roman"/>
          <w:sz w:val="22"/>
          <w:szCs w:val="22"/>
        </w:rPr>
        <w:t xml:space="preserve"> </w:t>
      </w:r>
      <w:r w:rsidR="00235C93" w:rsidRPr="00C418FF">
        <w:rPr>
          <w:rFonts w:ascii="Times New Roman" w:hAnsi="Times New Roman" w:cs="Times New Roman"/>
          <w:sz w:val="22"/>
          <w:szCs w:val="22"/>
        </w:rPr>
        <w:t>fueron gastados en su totalidad</w:t>
      </w:r>
      <w:r w:rsidRPr="00C418FF">
        <w:rPr>
          <w:rFonts w:ascii="Times New Roman" w:hAnsi="Times New Roman" w:cs="Times New Roman"/>
          <w:sz w:val="22"/>
          <w:szCs w:val="22"/>
        </w:rPr>
        <w:t xml:space="preserve">, según </w:t>
      </w:r>
      <w:r w:rsidR="00752F0C" w:rsidRPr="00C418FF">
        <w:rPr>
          <w:rFonts w:ascii="Times New Roman" w:hAnsi="Times New Roman" w:cs="Times New Roman"/>
          <w:sz w:val="22"/>
          <w:szCs w:val="22"/>
        </w:rPr>
        <w:t>puede corroborarse</w:t>
      </w:r>
      <w:r w:rsidRPr="00C418FF">
        <w:rPr>
          <w:rFonts w:ascii="Times New Roman" w:hAnsi="Times New Roman" w:cs="Times New Roman"/>
          <w:sz w:val="22"/>
          <w:szCs w:val="22"/>
        </w:rPr>
        <w:t xml:space="preserve"> en este </w:t>
      </w:r>
      <w:r w:rsidR="001E223D" w:rsidRPr="00C418FF">
        <w:rPr>
          <w:rFonts w:ascii="Times New Roman" w:hAnsi="Times New Roman" w:cs="Times New Roman"/>
          <w:sz w:val="22"/>
          <w:szCs w:val="22"/>
        </w:rPr>
        <w:t xml:space="preserve">documento y en el Informe de ejecución del Plan de Trabajo (documento: </w:t>
      </w:r>
      <w:r w:rsidR="00245493" w:rsidRPr="00C418FF">
        <w:rPr>
          <w:rFonts w:ascii="Times New Roman" w:hAnsi="Times New Roman" w:cs="Times New Roman"/>
          <w:sz w:val="22"/>
          <w:szCs w:val="22"/>
          <w:lang w:val="es-US"/>
        </w:rPr>
        <w:t>CIMT-21/GT1-GT2/doc.3/23</w:t>
      </w:r>
      <w:r w:rsidR="00722981" w:rsidRPr="00C418FF">
        <w:rPr>
          <w:rFonts w:ascii="Times New Roman" w:hAnsi="Times New Roman" w:cs="Times New Roman"/>
          <w:sz w:val="22"/>
          <w:szCs w:val="22"/>
        </w:rPr>
        <w:t>)</w:t>
      </w:r>
      <w:r w:rsidRPr="00C418FF">
        <w:rPr>
          <w:rFonts w:ascii="Times New Roman" w:hAnsi="Times New Roman" w:cs="Times New Roman"/>
          <w:sz w:val="22"/>
          <w:szCs w:val="22"/>
        </w:rPr>
        <w:t>.</w:t>
      </w:r>
      <w:r w:rsidR="00F13874" w:rsidRPr="00C418FF">
        <w:rPr>
          <w:rFonts w:ascii="Times New Roman" w:hAnsi="Times New Roman" w:cs="Times New Roman"/>
          <w:sz w:val="22"/>
          <w:szCs w:val="22"/>
        </w:rPr>
        <w:t xml:space="preserve"> </w:t>
      </w:r>
      <w:r w:rsidRPr="00C418FF">
        <w:rPr>
          <w:rFonts w:ascii="Times New Roman" w:hAnsi="Times New Roman" w:cs="Times New Roman"/>
          <w:sz w:val="22"/>
          <w:szCs w:val="22"/>
        </w:rPr>
        <w:t xml:space="preserve">A continuación se presentan los recursos que aún quedan por ejecutar.  </w:t>
      </w:r>
    </w:p>
    <w:p w14:paraId="30A53575" w14:textId="6B13FA13" w:rsidR="00D24BDD" w:rsidRPr="00C418FF" w:rsidRDefault="00D24BDD" w:rsidP="008E4AC2">
      <w:pPr>
        <w:pStyle w:val="BodyText2"/>
        <w:rPr>
          <w:rFonts w:ascii="Times New Roman" w:hAnsi="Times New Roman" w:cs="Times New Roman"/>
          <w:b/>
          <w:bCs/>
          <w:sz w:val="22"/>
          <w:szCs w:val="22"/>
        </w:rPr>
      </w:pPr>
      <w:r w:rsidRPr="00C418F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2A6E806F" w14:textId="3C244E4B" w:rsidR="00160978" w:rsidRPr="00C418FF" w:rsidRDefault="00160978" w:rsidP="00975648">
      <w:pPr>
        <w:pStyle w:val="BodyText2"/>
        <w:rPr>
          <w:rFonts w:ascii="Times New Roman" w:hAnsi="Times New Roman" w:cs="Times New Roman"/>
          <w:strike/>
          <w:sz w:val="22"/>
          <w:szCs w:val="22"/>
          <w:highlight w:val="yellow"/>
        </w:rPr>
      </w:pPr>
    </w:p>
    <w:p w14:paraId="512DB09D" w14:textId="77777777" w:rsidR="00EE16F3" w:rsidRPr="00C418FF" w:rsidRDefault="00EE16F3" w:rsidP="00EE16F3">
      <w:pPr>
        <w:spacing w:line="250" w:lineRule="exact"/>
        <w:jc w:val="center"/>
        <w:rPr>
          <w:b/>
          <w:sz w:val="22"/>
          <w:szCs w:val="22"/>
        </w:rPr>
      </w:pPr>
      <w:r w:rsidRPr="00C418FF">
        <w:rPr>
          <w:b/>
          <w:sz w:val="22"/>
          <w:szCs w:val="22"/>
        </w:rPr>
        <w:t>Cuadro No. 4</w:t>
      </w:r>
    </w:p>
    <w:p w14:paraId="60DD6806" w14:textId="4D6EE5BF" w:rsidR="00EE16F3" w:rsidRPr="00C418FF" w:rsidRDefault="00EE16F3" w:rsidP="00EE16F3">
      <w:pPr>
        <w:spacing w:line="250" w:lineRule="exact"/>
        <w:jc w:val="center"/>
        <w:rPr>
          <w:b/>
          <w:sz w:val="22"/>
          <w:szCs w:val="22"/>
        </w:rPr>
      </w:pPr>
      <w:r w:rsidRPr="00C418FF">
        <w:rPr>
          <w:b/>
          <w:sz w:val="22"/>
          <w:szCs w:val="22"/>
        </w:rPr>
        <w:t>Presupuesto para actividades en 2023 y 2024 del Plan de Trabajo 2022-2024 de la CIMT</w:t>
      </w:r>
    </w:p>
    <w:p w14:paraId="28ECAB16" w14:textId="77777777" w:rsidR="00EE16F3" w:rsidRPr="00C418FF" w:rsidRDefault="00EE16F3" w:rsidP="00EE16F3">
      <w:pPr>
        <w:spacing w:line="250" w:lineRule="exact"/>
        <w:jc w:val="center"/>
        <w:rPr>
          <w:b/>
          <w:sz w:val="22"/>
          <w:szCs w:val="22"/>
        </w:rPr>
      </w:pPr>
      <w:r w:rsidRPr="00C418FF">
        <w:rPr>
          <w:b/>
          <w:sz w:val="22"/>
          <w:szCs w:val="22"/>
        </w:rPr>
        <w:t>según fuente de financiamiento</w:t>
      </w:r>
    </w:p>
    <w:p w14:paraId="1A6C3CF7" w14:textId="0B438632" w:rsidR="00EE16F3" w:rsidRPr="00C418FF" w:rsidRDefault="00EE16F3" w:rsidP="00EE16F3">
      <w:pPr>
        <w:spacing w:line="250" w:lineRule="exact"/>
        <w:jc w:val="center"/>
        <w:rPr>
          <w:sz w:val="22"/>
          <w:szCs w:val="22"/>
        </w:rPr>
      </w:pPr>
      <w:r w:rsidRPr="00C418FF">
        <w:rPr>
          <w:bCs/>
          <w:i/>
          <w:sz w:val="22"/>
          <w:szCs w:val="22"/>
        </w:rPr>
        <w:t>(En dólares estadounidenses</w:t>
      </w:r>
      <w:r w:rsidRPr="00C418FF">
        <w:rPr>
          <w:sz w:val="22"/>
          <w:szCs w:val="22"/>
        </w:rPr>
        <w:t xml:space="preserve">) </w:t>
      </w:r>
      <w:r w:rsidR="002804D7" w:rsidRPr="00C418FF">
        <w:rPr>
          <w:sz w:val="22"/>
          <w:szCs w:val="22"/>
        </w:rPr>
        <w:t xml:space="preserve"> </w:t>
      </w:r>
    </w:p>
    <w:p w14:paraId="57DC62AB" w14:textId="77777777" w:rsidR="00174203" w:rsidRPr="00C418FF" w:rsidRDefault="00174203" w:rsidP="00975648">
      <w:pPr>
        <w:pStyle w:val="BodyText2"/>
        <w:rPr>
          <w:rFonts w:ascii="Times New Roman" w:hAnsi="Times New Roman" w:cs="Times New Roman"/>
          <w:strike/>
          <w:sz w:val="22"/>
          <w:szCs w:val="22"/>
          <w:highlight w:val="yellow"/>
        </w:rPr>
      </w:pPr>
    </w:p>
    <w:p w14:paraId="7DC502E9" w14:textId="23FA283D" w:rsidR="00BF3EC3" w:rsidRPr="00C418FF" w:rsidRDefault="00BF3EC3" w:rsidP="00975648">
      <w:pPr>
        <w:pStyle w:val="BodyText2"/>
        <w:rPr>
          <w:rFonts w:ascii="Times New Roman" w:hAnsi="Times New Roman" w:cs="Times New Roman"/>
          <w:strike/>
          <w:sz w:val="22"/>
          <w:szCs w:val="22"/>
          <w:highlight w:val="yellow"/>
        </w:rPr>
      </w:pPr>
    </w:p>
    <w:tbl>
      <w:tblPr>
        <w:tblW w:w="8100" w:type="dxa"/>
        <w:tblInd w:w="525" w:type="dxa"/>
        <w:tblLayout w:type="fixed"/>
        <w:tblLook w:val="0000" w:firstRow="0" w:lastRow="0" w:firstColumn="0" w:lastColumn="0" w:noHBand="0" w:noVBand="0"/>
      </w:tblPr>
      <w:tblGrid>
        <w:gridCol w:w="3870"/>
        <w:gridCol w:w="2160"/>
        <w:gridCol w:w="2070"/>
      </w:tblGrid>
      <w:tr w:rsidR="00C418FF" w:rsidRPr="00C418FF" w14:paraId="37FD3857" w14:textId="77777777">
        <w:trPr>
          <w:trHeight w:val="753"/>
        </w:trPr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D40C16" w14:textId="77777777" w:rsidR="00C52E27" w:rsidRPr="00C418FF" w:rsidRDefault="00C52E2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ja-JP"/>
              </w:rPr>
            </w:pPr>
            <w:r w:rsidRPr="00C418FF">
              <w:rPr>
                <w:b/>
                <w:bCs/>
                <w:sz w:val="22"/>
                <w:szCs w:val="22"/>
                <w:lang w:eastAsia="ja-JP"/>
              </w:rPr>
              <w:t>Actividad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E073F8" w14:textId="0554C65F" w:rsidR="00C52E27" w:rsidRPr="00C418FF" w:rsidRDefault="00C52E2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s-CO" w:eastAsia="ja-JP"/>
              </w:rPr>
            </w:pPr>
            <w:r w:rsidRPr="00C418FF">
              <w:rPr>
                <w:b/>
                <w:bCs/>
                <w:sz w:val="22"/>
                <w:szCs w:val="22"/>
                <w:lang w:val="es-CO" w:eastAsia="ja-JP"/>
              </w:rPr>
              <w:t>Presupuesto aprobado de RIAL</w:t>
            </w:r>
            <w:r w:rsidR="0085603B" w:rsidRPr="00C418FF">
              <w:rPr>
                <w:b/>
                <w:bCs/>
                <w:sz w:val="22"/>
                <w:szCs w:val="22"/>
                <w:lang w:val="es-CO" w:eastAsia="ja-JP"/>
              </w:rPr>
              <w:t>*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CDD1FB" w14:textId="77777777" w:rsidR="00C52E27" w:rsidRPr="00C418FF" w:rsidRDefault="00C52E2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s-US" w:eastAsia="ja-JP"/>
              </w:rPr>
            </w:pPr>
            <w:r w:rsidRPr="00C418FF">
              <w:rPr>
                <w:b/>
                <w:bCs/>
                <w:sz w:val="22"/>
                <w:szCs w:val="22"/>
                <w:lang w:val="es-US" w:eastAsia="ja-JP"/>
              </w:rPr>
              <w:t>En especie o a definir a futuro</w:t>
            </w:r>
          </w:p>
        </w:tc>
      </w:tr>
      <w:tr w:rsidR="00C418FF" w:rsidRPr="00C418FF" w14:paraId="7BDDE036" w14:textId="77777777">
        <w:trPr>
          <w:trHeight w:val="553"/>
        </w:trPr>
        <w:tc>
          <w:tcPr>
            <w:tcW w:w="3870" w:type="dxa"/>
            <w:tcBorders>
              <w:top w:val="single" w:sz="2" w:space="0" w:color="000000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9FFAA25" w14:textId="77777777" w:rsidR="00C52E27" w:rsidRPr="00C418FF" w:rsidRDefault="00C52E27">
            <w:pPr>
              <w:autoSpaceDE w:val="0"/>
              <w:autoSpaceDN w:val="0"/>
              <w:adjustRightInd w:val="0"/>
              <w:rPr>
                <w:sz w:val="22"/>
                <w:szCs w:val="22"/>
                <w:lang w:val="es-CO" w:eastAsia="ja-JP"/>
              </w:rPr>
            </w:pPr>
            <w:r w:rsidRPr="00C418FF">
              <w:rPr>
                <w:sz w:val="22"/>
                <w:szCs w:val="22"/>
                <w:lang w:val="es-CO" w:eastAsia="ja-JP"/>
              </w:rPr>
              <w:t>Taller RIAL – Cumplimiento de la legislación laboral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14:paraId="002F1F31" w14:textId="023D50E3" w:rsidR="00C52E27" w:rsidRPr="00C418FF" w:rsidRDefault="00C52E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s-CO" w:eastAsia="ja-JP"/>
              </w:rPr>
            </w:pPr>
            <w:r w:rsidRPr="00C418FF">
              <w:rPr>
                <w:sz w:val="22"/>
                <w:szCs w:val="22"/>
                <w:lang w:val="es-CO" w:eastAsia="ja-JP"/>
              </w:rPr>
              <w:t>10.000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14:paraId="2ACC54CC" w14:textId="77777777" w:rsidR="00C52E27" w:rsidRPr="00C418FF" w:rsidRDefault="00C52E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s-CO" w:eastAsia="ja-JP"/>
              </w:rPr>
            </w:pPr>
            <w:r w:rsidRPr="00C418FF">
              <w:rPr>
                <w:sz w:val="22"/>
                <w:szCs w:val="22"/>
                <w:lang w:val="es-CO" w:eastAsia="ja-JP"/>
              </w:rPr>
              <w:t>Estados Unidos</w:t>
            </w:r>
          </w:p>
        </w:tc>
      </w:tr>
      <w:tr w:rsidR="00C418FF" w:rsidRPr="00C418FF" w14:paraId="553B7487" w14:textId="77777777">
        <w:trPr>
          <w:trHeight w:val="553"/>
        </w:trPr>
        <w:tc>
          <w:tcPr>
            <w:tcW w:w="3870" w:type="dxa"/>
            <w:tcBorders>
              <w:top w:val="single" w:sz="2" w:space="0" w:color="000000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9EF787F" w14:textId="77777777" w:rsidR="00C52E27" w:rsidRPr="00C418FF" w:rsidRDefault="00C52E27">
            <w:pPr>
              <w:autoSpaceDE w:val="0"/>
              <w:autoSpaceDN w:val="0"/>
              <w:adjustRightInd w:val="0"/>
              <w:rPr>
                <w:sz w:val="22"/>
                <w:szCs w:val="22"/>
                <w:lang w:val="es-CO" w:eastAsia="ja-JP"/>
              </w:rPr>
            </w:pPr>
            <w:r w:rsidRPr="00C418FF">
              <w:rPr>
                <w:sz w:val="22"/>
                <w:szCs w:val="22"/>
                <w:lang w:val="es-CO" w:eastAsia="ja-JP"/>
              </w:rPr>
              <w:t>Taller RIAL – Futuro del trabajo y nuevas formas de empleo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14:paraId="42EE63CC" w14:textId="77777777" w:rsidR="00C52E27" w:rsidRPr="00C418FF" w:rsidRDefault="00C52E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s-CO" w:eastAsia="ja-JP"/>
              </w:rPr>
            </w:pPr>
            <w:r w:rsidRPr="00C418FF">
              <w:rPr>
                <w:sz w:val="22"/>
                <w:szCs w:val="22"/>
                <w:lang w:val="es-CO" w:eastAsia="ja-JP"/>
              </w:rPr>
              <w:t>10.000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14:paraId="4E7763C6" w14:textId="77777777" w:rsidR="00C52E27" w:rsidRPr="00C418FF" w:rsidRDefault="00C52E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s-CO" w:eastAsia="ja-JP"/>
              </w:rPr>
            </w:pPr>
            <w:r w:rsidRPr="00C418FF">
              <w:rPr>
                <w:sz w:val="22"/>
                <w:szCs w:val="22"/>
                <w:lang w:val="es-CO" w:eastAsia="ja-JP"/>
              </w:rPr>
              <w:t>Costa Rica, por confirmar</w:t>
            </w:r>
          </w:p>
        </w:tc>
      </w:tr>
      <w:tr w:rsidR="00C418FF" w:rsidRPr="00C418FF" w14:paraId="16100DB8" w14:textId="77777777">
        <w:trPr>
          <w:trHeight w:val="562"/>
        </w:trPr>
        <w:tc>
          <w:tcPr>
            <w:tcW w:w="3870" w:type="dxa"/>
            <w:tcBorders>
              <w:top w:val="single" w:sz="8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14:paraId="3E4AAC86" w14:textId="77777777" w:rsidR="00C52E27" w:rsidRPr="00C418FF" w:rsidRDefault="00C52E27">
            <w:pPr>
              <w:autoSpaceDE w:val="0"/>
              <w:autoSpaceDN w:val="0"/>
              <w:adjustRightInd w:val="0"/>
              <w:rPr>
                <w:sz w:val="22"/>
                <w:szCs w:val="22"/>
                <w:lang w:val="es-419" w:eastAsia="ja-JP"/>
              </w:rPr>
            </w:pPr>
            <w:r w:rsidRPr="00C418FF">
              <w:rPr>
                <w:sz w:val="22"/>
                <w:szCs w:val="22"/>
                <w:lang w:val="es-419" w:eastAsia="ja-JP"/>
              </w:rPr>
              <w:t>Reunión Preparatoria de XXII CIMT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14:paraId="51C95FF4" w14:textId="77777777" w:rsidR="00C52E27" w:rsidRPr="00C418FF" w:rsidRDefault="00C52E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s-419" w:eastAsia="ja-JP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14:paraId="3572F439" w14:textId="77777777" w:rsidR="00C52E27" w:rsidRPr="00C418FF" w:rsidRDefault="00C52E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t-BR" w:eastAsia="ja-JP"/>
              </w:rPr>
            </w:pPr>
            <w:r w:rsidRPr="00C418FF">
              <w:rPr>
                <w:sz w:val="22"/>
                <w:szCs w:val="22"/>
                <w:lang w:val="pt-BR" w:eastAsia="ja-JP"/>
              </w:rPr>
              <w:t>Colombia</w:t>
            </w:r>
          </w:p>
        </w:tc>
      </w:tr>
      <w:tr w:rsidR="00C418FF" w:rsidRPr="00C418FF" w14:paraId="57B5B4EB" w14:textId="77777777">
        <w:trPr>
          <w:trHeight w:val="562"/>
        </w:trPr>
        <w:tc>
          <w:tcPr>
            <w:tcW w:w="3870" w:type="dxa"/>
            <w:tcBorders>
              <w:top w:val="single" w:sz="8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14:paraId="00EB0B9D" w14:textId="77777777" w:rsidR="00C52E27" w:rsidRPr="00C418FF" w:rsidRDefault="00C52E27">
            <w:pPr>
              <w:autoSpaceDE w:val="0"/>
              <w:autoSpaceDN w:val="0"/>
              <w:adjustRightInd w:val="0"/>
              <w:rPr>
                <w:sz w:val="22"/>
                <w:szCs w:val="22"/>
                <w:lang w:val="pt-BR" w:eastAsia="ja-JP"/>
              </w:rPr>
            </w:pPr>
            <w:r w:rsidRPr="00C418FF">
              <w:rPr>
                <w:sz w:val="22"/>
                <w:szCs w:val="22"/>
                <w:lang w:val="pt-BR" w:eastAsia="ja-JP"/>
              </w:rPr>
              <w:t>XXII CIMT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14:paraId="54292940" w14:textId="77777777" w:rsidR="00C52E27" w:rsidRPr="00C418FF" w:rsidRDefault="00C52E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t-BR" w:eastAsia="ja-JP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14:paraId="4A206454" w14:textId="77777777" w:rsidR="00C52E27" w:rsidRPr="00C418FF" w:rsidRDefault="00C52E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t-BR" w:eastAsia="ja-JP"/>
              </w:rPr>
            </w:pPr>
            <w:r w:rsidRPr="00C418FF">
              <w:rPr>
                <w:sz w:val="22"/>
                <w:szCs w:val="22"/>
                <w:lang w:val="pt-BR" w:eastAsia="ja-JP"/>
              </w:rPr>
              <w:t>País sede y OEA</w:t>
            </w:r>
          </w:p>
        </w:tc>
      </w:tr>
      <w:tr w:rsidR="00C418FF" w:rsidRPr="00C418FF" w14:paraId="30623603" w14:textId="77777777">
        <w:trPr>
          <w:trHeight w:val="481"/>
        </w:trPr>
        <w:tc>
          <w:tcPr>
            <w:tcW w:w="387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14:paraId="49AF044A" w14:textId="0F342800" w:rsidR="00C52E27" w:rsidRPr="00C418FF" w:rsidRDefault="00C52E27">
            <w:pPr>
              <w:autoSpaceDE w:val="0"/>
              <w:autoSpaceDN w:val="0"/>
              <w:adjustRightInd w:val="0"/>
              <w:rPr>
                <w:sz w:val="22"/>
                <w:szCs w:val="22"/>
                <w:lang w:val="es-US" w:eastAsia="ja-JP"/>
              </w:rPr>
            </w:pPr>
            <w:r w:rsidRPr="00C418FF">
              <w:rPr>
                <w:sz w:val="22"/>
                <w:szCs w:val="22"/>
                <w:lang w:val="es-US" w:eastAsia="ja-JP"/>
              </w:rPr>
              <w:t>Actividades 16a y 17a Convocatoria RIAL (2023, 2024)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14:paraId="5A445669" w14:textId="2B0A0761" w:rsidR="00C52E27" w:rsidRPr="00C418FF" w:rsidRDefault="005617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ja-JP"/>
              </w:rPr>
            </w:pPr>
            <w:r w:rsidRPr="00C418FF">
              <w:rPr>
                <w:sz w:val="22"/>
                <w:szCs w:val="22"/>
                <w:lang w:eastAsia="ja-JP"/>
              </w:rPr>
              <w:t>15.000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14:paraId="0AB3D795" w14:textId="77777777" w:rsidR="00C52E27" w:rsidRPr="00C418FF" w:rsidRDefault="00C52E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ja-JP"/>
              </w:rPr>
            </w:pPr>
          </w:p>
        </w:tc>
      </w:tr>
      <w:tr w:rsidR="00C418FF" w:rsidRPr="00C418FF" w14:paraId="79F8D0CF" w14:textId="77777777">
        <w:trPr>
          <w:trHeight w:val="447"/>
        </w:trPr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9CCFF" w:fill="auto"/>
            <w:vAlign w:val="center"/>
          </w:tcPr>
          <w:p w14:paraId="42BEE47C" w14:textId="77777777" w:rsidR="00C52E27" w:rsidRPr="00C418FF" w:rsidRDefault="00C52E2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eastAsia="ja-JP"/>
              </w:rPr>
            </w:pPr>
            <w:r w:rsidRPr="00C418FF">
              <w:rPr>
                <w:b/>
                <w:bCs/>
                <w:sz w:val="22"/>
                <w:szCs w:val="22"/>
                <w:lang w:eastAsia="ja-JP"/>
              </w:rPr>
              <w:t>TOTAL: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9CCFF" w:fill="auto"/>
            <w:vAlign w:val="center"/>
          </w:tcPr>
          <w:p w14:paraId="30504942" w14:textId="2C78DFB9" w:rsidR="00C52E27" w:rsidRPr="00C418FF" w:rsidRDefault="00C52E2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ja-JP"/>
              </w:rPr>
            </w:pPr>
            <w:r w:rsidRPr="00C418FF">
              <w:rPr>
                <w:b/>
                <w:bCs/>
                <w:sz w:val="22"/>
                <w:szCs w:val="22"/>
                <w:lang w:eastAsia="ja-JP"/>
              </w:rPr>
              <w:t>$</w:t>
            </w:r>
            <w:r w:rsidR="001C1C94" w:rsidRPr="00C418FF">
              <w:rPr>
                <w:b/>
                <w:bCs/>
                <w:sz w:val="22"/>
                <w:szCs w:val="22"/>
                <w:lang w:eastAsia="ja-JP"/>
              </w:rPr>
              <w:t>3</w:t>
            </w:r>
            <w:r w:rsidR="00154045" w:rsidRPr="00C418FF">
              <w:rPr>
                <w:b/>
                <w:bCs/>
                <w:sz w:val="22"/>
                <w:szCs w:val="22"/>
                <w:lang w:eastAsia="ja-JP"/>
              </w:rPr>
              <w:t>5</w:t>
            </w:r>
            <w:r w:rsidRPr="00C418FF">
              <w:rPr>
                <w:b/>
                <w:bCs/>
                <w:sz w:val="22"/>
                <w:szCs w:val="22"/>
                <w:lang w:eastAsia="ja-JP"/>
              </w:rPr>
              <w:t>.000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9CCFF" w:fill="auto"/>
            <w:vAlign w:val="center"/>
          </w:tcPr>
          <w:p w14:paraId="13172526" w14:textId="77777777" w:rsidR="00C52E27" w:rsidRPr="00C418FF" w:rsidRDefault="00C52E2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ja-JP"/>
              </w:rPr>
            </w:pPr>
          </w:p>
        </w:tc>
      </w:tr>
    </w:tbl>
    <w:p w14:paraId="3A3FB659" w14:textId="7FF834E6" w:rsidR="00101029" w:rsidRPr="00C418FF" w:rsidRDefault="001C1C94" w:rsidP="00F50EB4">
      <w:pPr>
        <w:pStyle w:val="BodyText2"/>
        <w:ind w:left="720"/>
        <w:rPr>
          <w:rFonts w:ascii="Times New Roman" w:hAnsi="Times New Roman" w:cs="Times New Roman"/>
          <w:sz w:val="22"/>
          <w:szCs w:val="22"/>
        </w:rPr>
      </w:pPr>
      <w:r w:rsidRPr="00C418FF">
        <w:rPr>
          <w:rFonts w:ascii="Times New Roman" w:hAnsi="Times New Roman" w:cs="Times New Roman"/>
          <w:sz w:val="22"/>
          <w:szCs w:val="22"/>
        </w:rPr>
        <w:t>*Est</w:t>
      </w:r>
      <w:r w:rsidR="00BD5BDC" w:rsidRPr="00C418FF">
        <w:rPr>
          <w:rFonts w:ascii="Times New Roman" w:hAnsi="Times New Roman" w:cs="Times New Roman"/>
          <w:sz w:val="22"/>
          <w:szCs w:val="22"/>
        </w:rPr>
        <w:t>os montos fueron aprobados por las autoridades de la RIAL, antes de que se recibiera la contribución de Estados Unidos</w:t>
      </w:r>
      <w:r w:rsidR="00F50EB4" w:rsidRPr="00C418FF">
        <w:rPr>
          <w:rFonts w:ascii="Times New Roman" w:hAnsi="Times New Roman" w:cs="Times New Roman"/>
          <w:sz w:val="22"/>
          <w:szCs w:val="22"/>
        </w:rPr>
        <w:t xml:space="preserve"> destinada a cubrir actividades de la RIAL dentro del Plan de Trabajo 2022-2024.</w:t>
      </w:r>
    </w:p>
    <w:p w14:paraId="6340A081" w14:textId="77777777" w:rsidR="00101029" w:rsidRPr="00C418FF" w:rsidRDefault="00101029" w:rsidP="00975648">
      <w:pPr>
        <w:pStyle w:val="BodyText2"/>
        <w:rPr>
          <w:rFonts w:ascii="Times New Roman" w:hAnsi="Times New Roman" w:cs="Times New Roman"/>
          <w:strike/>
          <w:sz w:val="22"/>
          <w:szCs w:val="22"/>
          <w:highlight w:val="yellow"/>
        </w:rPr>
      </w:pPr>
    </w:p>
    <w:p w14:paraId="38211941" w14:textId="77777777" w:rsidR="00F271BA" w:rsidRPr="00C418FF" w:rsidRDefault="00F271BA" w:rsidP="00975648">
      <w:pPr>
        <w:pStyle w:val="BodyText2"/>
        <w:rPr>
          <w:rFonts w:ascii="Times New Roman" w:hAnsi="Times New Roman" w:cs="Times New Roman"/>
          <w:b/>
          <w:sz w:val="22"/>
          <w:szCs w:val="22"/>
        </w:rPr>
      </w:pPr>
    </w:p>
    <w:p w14:paraId="60C1EE37" w14:textId="77777777" w:rsidR="00F90FF0" w:rsidRPr="00C418FF" w:rsidRDefault="00F90FF0">
      <w:pPr>
        <w:rPr>
          <w:rFonts w:eastAsia="SimSun"/>
          <w:b/>
          <w:sz w:val="22"/>
          <w:szCs w:val="22"/>
        </w:rPr>
      </w:pPr>
      <w:r w:rsidRPr="00C418FF">
        <w:rPr>
          <w:b/>
          <w:sz w:val="22"/>
          <w:szCs w:val="22"/>
        </w:rPr>
        <w:br w:type="page"/>
      </w:r>
    </w:p>
    <w:p w14:paraId="68D2ACFA" w14:textId="74E06CFC" w:rsidR="00975648" w:rsidRPr="00C418FF" w:rsidRDefault="00975648" w:rsidP="00975648">
      <w:pPr>
        <w:pStyle w:val="BodyText2"/>
        <w:rPr>
          <w:rFonts w:ascii="Times New Roman" w:hAnsi="Times New Roman" w:cs="Times New Roman"/>
          <w:b/>
          <w:sz w:val="22"/>
          <w:szCs w:val="22"/>
        </w:rPr>
      </w:pPr>
      <w:r w:rsidRPr="00C418FF">
        <w:rPr>
          <w:rFonts w:ascii="Times New Roman" w:hAnsi="Times New Roman" w:cs="Times New Roman"/>
          <w:b/>
          <w:sz w:val="22"/>
          <w:szCs w:val="22"/>
        </w:rPr>
        <w:lastRenderedPageBreak/>
        <w:t xml:space="preserve">V. </w:t>
      </w:r>
      <w:r w:rsidRPr="00C418FF">
        <w:rPr>
          <w:rFonts w:ascii="Times New Roman" w:hAnsi="Times New Roman" w:cs="Times New Roman"/>
          <w:b/>
          <w:bCs/>
          <w:sz w:val="22"/>
          <w:szCs w:val="22"/>
        </w:rPr>
        <w:t xml:space="preserve">Perspectivas y recursos disponibles </w:t>
      </w:r>
    </w:p>
    <w:p w14:paraId="7542CEE7" w14:textId="77777777" w:rsidR="00975648" w:rsidRPr="00C418FF" w:rsidRDefault="00975648" w:rsidP="00975648">
      <w:pPr>
        <w:pStyle w:val="BodyText2"/>
        <w:rPr>
          <w:rFonts w:ascii="Times New Roman" w:hAnsi="Times New Roman" w:cs="Times New Roman"/>
          <w:sz w:val="22"/>
          <w:szCs w:val="22"/>
        </w:rPr>
      </w:pPr>
    </w:p>
    <w:p w14:paraId="1F087D30" w14:textId="7CB03512" w:rsidR="005C1BA5" w:rsidRPr="00C418FF" w:rsidRDefault="005C1BA5" w:rsidP="005C1BA5">
      <w:pPr>
        <w:spacing w:line="250" w:lineRule="exact"/>
        <w:jc w:val="both"/>
        <w:rPr>
          <w:sz w:val="22"/>
          <w:szCs w:val="22"/>
        </w:rPr>
      </w:pPr>
      <w:r w:rsidRPr="00C418FF">
        <w:rPr>
          <w:sz w:val="22"/>
          <w:szCs w:val="22"/>
        </w:rPr>
        <w:t>Retomando lo reportado en este Informe, el presupuesto total de la RIAL entre 2011 y 2</w:t>
      </w:r>
      <w:r w:rsidR="00B603D4" w:rsidRPr="00C418FF">
        <w:rPr>
          <w:sz w:val="22"/>
          <w:szCs w:val="22"/>
        </w:rPr>
        <w:t>023</w:t>
      </w:r>
      <w:r w:rsidRPr="00C418FF">
        <w:rPr>
          <w:sz w:val="22"/>
          <w:szCs w:val="22"/>
        </w:rPr>
        <w:t xml:space="preserve"> es de </w:t>
      </w:r>
      <w:r w:rsidR="006B7C26" w:rsidRPr="00C418FF">
        <w:rPr>
          <w:b/>
          <w:sz w:val="22"/>
          <w:szCs w:val="22"/>
        </w:rPr>
        <w:t>$</w:t>
      </w:r>
      <w:r w:rsidR="00C66ADD" w:rsidRPr="00C418FF">
        <w:rPr>
          <w:b/>
          <w:sz w:val="22"/>
          <w:szCs w:val="22"/>
        </w:rPr>
        <w:t>1.</w:t>
      </w:r>
      <w:r w:rsidR="0005611C" w:rsidRPr="00C418FF">
        <w:rPr>
          <w:b/>
          <w:sz w:val="22"/>
          <w:szCs w:val="22"/>
        </w:rPr>
        <w:t>548.112</w:t>
      </w:r>
      <w:r w:rsidRPr="00C418FF">
        <w:rPr>
          <w:b/>
          <w:sz w:val="22"/>
          <w:szCs w:val="22"/>
        </w:rPr>
        <w:t xml:space="preserve">, </w:t>
      </w:r>
      <w:r w:rsidRPr="00C418FF">
        <w:rPr>
          <w:sz w:val="22"/>
          <w:szCs w:val="22"/>
        </w:rPr>
        <w:t xml:space="preserve">de los cuales </w:t>
      </w:r>
      <w:r w:rsidR="00300847" w:rsidRPr="00C418FF">
        <w:rPr>
          <w:b/>
          <w:bCs/>
          <w:sz w:val="22"/>
          <w:szCs w:val="22"/>
        </w:rPr>
        <w:t>$ 1.126.112</w:t>
      </w:r>
      <w:r w:rsidR="00C66ADD" w:rsidRPr="00C418FF">
        <w:rPr>
          <w:b/>
          <w:sz w:val="22"/>
          <w:szCs w:val="22"/>
        </w:rPr>
        <w:t xml:space="preserve"> </w:t>
      </w:r>
      <w:r w:rsidR="00D03E4D" w:rsidRPr="00C418FF">
        <w:rPr>
          <w:sz w:val="22"/>
          <w:szCs w:val="22"/>
        </w:rPr>
        <w:t>dólares</w:t>
      </w:r>
      <w:r w:rsidRPr="00C418FF">
        <w:rPr>
          <w:sz w:val="22"/>
          <w:szCs w:val="22"/>
        </w:rPr>
        <w:t xml:space="preserve"> corresponden a contribuciones de 2</w:t>
      </w:r>
      <w:r w:rsidR="004B4F00" w:rsidRPr="00C418FF">
        <w:rPr>
          <w:sz w:val="22"/>
          <w:szCs w:val="22"/>
        </w:rPr>
        <w:t>3</w:t>
      </w:r>
      <w:r w:rsidRPr="00C418FF">
        <w:rPr>
          <w:sz w:val="22"/>
          <w:szCs w:val="22"/>
        </w:rPr>
        <w:t xml:space="preserve"> países al Fondo de Aportes Voluntarios de la RIAL y </w:t>
      </w:r>
      <w:r w:rsidR="006B7C26" w:rsidRPr="00C418FF">
        <w:rPr>
          <w:b/>
          <w:sz w:val="22"/>
          <w:szCs w:val="22"/>
        </w:rPr>
        <w:t>$</w:t>
      </w:r>
      <w:r w:rsidR="0062732F" w:rsidRPr="00C418FF">
        <w:rPr>
          <w:b/>
          <w:sz w:val="22"/>
          <w:szCs w:val="22"/>
        </w:rPr>
        <w:t>4</w:t>
      </w:r>
      <w:r w:rsidR="004B4F00" w:rsidRPr="00C418FF">
        <w:rPr>
          <w:b/>
          <w:sz w:val="22"/>
          <w:szCs w:val="22"/>
        </w:rPr>
        <w:t>22</w:t>
      </w:r>
      <w:r w:rsidR="006B7C26" w:rsidRPr="00C418FF">
        <w:rPr>
          <w:b/>
          <w:sz w:val="22"/>
          <w:szCs w:val="22"/>
        </w:rPr>
        <w:t xml:space="preserve">.000 </w:t>
      </w:r>
      <w:r w:rsidRPr="00C418FF">
        <w:rPr>
          <w:sz w:val="22"/>
          <w:szCs w:val="22"/>
        </w:rPr>
        <w:t>son aportes de cofinanciación.</w:t>
      </w:r>
    </w:p>
    <w:p w14:paraId="23B76B4A" w14:textId="2EC72213" w:rsidR="006B7C26" w:rsidRPr="00C418FF" w:rsidRDefault="006B7C26" w:rsidP="005C1BA5">
      <w:pPr>
        <w:spacing w:line="250" w:lineRule="exact"/>
        <w:jc w:val="both"/>
        <w:rPr>
          <w:sz w:val="22"/>
          <w:szCs w:val="22"/>
        </w:rPr>
      </w:pPr>
    </w:p>
    <w:p w14:paraId="4E9BA8FC" w14:textId="18DDAC2E" w:rsidR="00D03E4D" w:rsidRPr="00C418FF" w:rsidRDefault="005C1BA5" w:rsidP="00D03E4D">
      <w:pPr>
        <w:spacing w:line="250" w:lineRule="exact"/>
        <w:jc w:val="both"/>
        <w:rPr>
          <w:sz w:val="22"/>
          <w:szCs w:val="22"/>
        </w:rPr>
      </w:pPr>
      <w:r w:rsidRPr="00C418FF">
        <w:rPr>
          <w:sz w:val="22"/>
          <w:szCs w:val="22"/>
        </w:rPr>
        <w:t xml:space="preserve">Los recursos gastados a la fecha son </w:t>
      </w:r>
      <w:r w:rsidR="006B7C26" w:rsidRPr="00C418FF">
        <w:rPr>
          <w:b/>
          <w:sz w:val="22"/>
          <w:szCs w:val="22"/>
        </w:rPr>
        <w:t>$</w:t>
      </w:r>
      <w:r w:rsidR="00C66ADD" w:rsidRPr="00C418FF">
        <w:rPr>
          <w:b/>
          <w:sz w:val="22"/>
          <w:szCs w:val="22"/>
        </w:rPr>
        <w:t>1.</w:t>
      </w:r>
      <w:r w:rsidR="00F849E4" w:rsidRPr="00C418FF">
        <w:rPr>
          <w:b/>
          <w:sz w:val="22"/>
          <w:szCs w:val="22"/>
        </w:rPr>
        <w:t>40</w:t>
      </w:r>
      <w:r w:rsidR="00B62830" w:rsidRPr="00C418FF">
        <w:rPr>
          <w:b/>
          <w:sz w:val="22"/>
          <w:szCs w:val="22"/>
        </w:rPr>
        <w:t>0.657</w:t>
      </w:r>
      <w:r w:rsidR="00C66ADD" w:rsidRPr="00C418FF">
        <w:rPr>
          <w:sz w:val="22"/>
          <w:szCs w:val="22"/>
        </w:rPr>
        <w:t xml:space="preserve"> </w:t>
      </w:r>
      <w:r w:rsidRPr="00C418FF">
        <w:rPr>
          <w:sz w:val="22"/>
          <w:szCs w:val="22"/>
        </w:rPr>
        <w:t>dólares</w:t>
      </w:r>
      <w:r w:rsidR="005B34ED" w:rsidRPr="00C418FF">
        <w:rPr>
          <w:sz w:val="22"/>
          <w:szCs w:val="22"/>
        </w:rPr>
        <w:t xml:space="preserve"> y </w:t>
      </w:r>
      <w:r w:rsidR="0080431A" w:rsidRPr="00C418FF">
        <w:rPr>
          <w:sz w:val="22"/>
          <w:szCs w:val="22"/>
        </w:rPr>
        <w:t>el</w:t>
      </w:r>
      <w:r w:rsidR="005B34ED" w:rsidRPr="00C418FF">
        <w:rPr>
          <w:sz w:val="22"/>
          <w:szCs w:val="22"/>
        </w:rPr>
        <w:t xml:space="preserve"> presupuesto asignado para</w:t>
      </w:r>
      <w:r w:rsidR="0080431A" w:rsidRPr="00C418FF">
        <w:rPr>
          <w:sz w:val="22"/>
          <w:szCs w:val="22"/>
        </w:rPr>
        <w:t xml:space="preserve"> actividades de</w:t>
      </w:r>
      <w:r w:rsidR="005B34ED" w:rsidRPr="00C418FF">
        <w:rPr>
          <w:sz w:val="22"/>
          <w:szCs w:val="22"/>
        </w:rPr>
        <w:t xml:space="preserve"> 2023 y 2024 </w:t>
      </w:r>
      <w:r w:rsidR="0080431A" w:rsidRPr="00C418FF">
        <w:rPr>
          <w:sz w:val="22"/>
          <w:szCs w:val="22"/>
        </w:rPr>
        <w:t>es de $</w:t>
      </w:r>
      <w:r w:rsidR="00B62830" w:rsidRPr="00C418FF">
        <w:rPr>
          <w:sz w:val="22"/>
          <w:szCs w:val="22"/>
        </w:rPr>
        <w:t>35</w:t>
      </w:r>
      <w:r w:rsidR="0080431A" w:rsidRPr="00C418FF">
        <w:rPr>
          <w:sz w:val="22"/>
          <w:szCs w:val="22"/>
        </w:rPr>
        <w:t>.000</w:t>
      </w:r>
      <w:r w:rsidR="00C66ADD" w:rsidRPr="00C418FF">
        <w:rPr>
          <w:sz w:val="22"/>
          <w:szCs w:val="22"/>
        </w:rPr>
        <w:t xml:space="preserve">; por lo que el saldo del Fondo de la RIAL es de </w:t>
      </w:r>
      <w:r w:rsidR="00C66ADD" w:rsidRPr="00C418FF">
        <w:rPr>
          <w:b/>
          <w:sz w:val="22"/>
          <w:szCs w:val="22"/>
        </w:rPr>
        <w:t>$</w:t>
      </w:r>
      <w:r w:rsidR="00A50548" w:rsidRPr="00C418FF">
        <w:rPr>
          <w:b/>
          <w:sz w:val="22"/>
          <w:szCs w:val="22"/>
        </w:rPr>
        <w:t>112,456</w:t>
      </w:r>
      <w:r w:rsidR="008C2511" w:rsidRPr="00C418FF">
        <w:rPr>
          <w:b/>
          <w:sz w:val="22"/>
          <w:szCs w:val="22"/>
        </w:rPr>
        <w:t>.</w:t>
      </w:r>
      <w:r w:rsidR="00C66ADD" w:rsidRPr="00C418FF">
        <w:rPr>
          <w:sz w:val="22"/>
          <w:szCs w:val="22"/>
        </w:rPr>
        <w:t xml:space="preserve"> </w:t>
      </w:r>
      <w:r w:rsidR="0064662F" w:rsidRPr="00C418FF">
        <w:rPr>
          <w:sz w:val="22"/>
          <w:szCs w:val="22"/>
        </w:rPr>
        <w:t xml:space="preserve">Cabe destacar que </w:t>
      </w:r>
      <w:r w:rsidR="00E803F3" w:rsidRPr="00C418FF">
        <w:rPr>
          <w:sz w:val="22"/>
          <w:szCs w:val="22"/>
        </w:rPr>
        <w:t>el aporte de $100,000 de Estados Unidos</w:t>
      </w:r>
      <w:r w:rsidR="00862BDA" w:rsidRPr="00C418FF">
        <w:rPr>
          <w:sz w:val="22"/>
          <w:szCs w:val="22"/>
        </w:rPr>
        <w:t xml:space="preserve"> en</w:t>
      </w:r>
      <w:r w:rsidR="00E803F3" w:rsidRPr="00C418FF">
        <w:rPr>
          <w:sz w:val="22"/>
          <w:szCs w:val="22"/>
        </w:rPr>
        <w:t xml:space="preserve"> 2023 </w:t>
      </w:r>
      <w:r w:rsidR="007B7D76" w:rsidRPr="00C418FF">
        <w:rPr>
          <w:sz w:val="22"/>
          <w:szCs w:val="22"/>
        </w:rPr>
        <w:t>debe destinarse a las acciones de la RIAL contempladas en el Plan de Trabajo</w:t>
      </w:r>
      <w:r w:rsidR="00862BDA" w:rsidRPr="00C418FF">
        <w:rPr>
          <w:sz w:val="22"/>
          <w:szCs w:val="22"/>
        </w:rPr>
        <w:t xml:space="preserve"> 2022-2024</w:t>
      </w:r>
      <w:r w:rsidR="007B7D76" w:rsidRPr="00C418FF">
        <w:rPr>
          <w:sz w:val="22"/>
          <w:szCs w:val="22"/>
        </w:rPr>
        <w:t xml:space="preserve"> de la CIMT</w:t>
      </w:r>
      <w:r w:rsidR="00493F2B" w:rsidRPr="00C418FF">
        <w:rPr>
          <w:sz w:val="22"/>
          <w:szCs w:val="22"/>
        </w:rPr>
        <w:t>.</w:t>
      </w:r>
    </w:p>
    <w:p w14:paraId="61B56641" w14:textId="77777777" w:rsidR="00862BDA" w:rsidRPr="00C418FF" w:rsidRDefault="00862BDA" w:rsidP="00D03E4D">
      <w:pPr>
        <w:spacing w:line="250" w:lineRule="exact"/>
        <w:jc w:val="both"/>
        <w:rPr>
          <w:sz w:val="22"/>
          <w:szCs w:val="22"/>
        </w:rPr>
      </w:pPr>
    </w:p>
    <w:p w14:paraId="7A5960A7" w14:textId="58EB8AEC" w:rsidR="00975648" w:rsidRPr="00C418FF" w:rsidRDefault="006B7C26" w:rsidP="00975648">
      <w:pPr>
        <w:pStyle w:val="BodyText2"/>
        <w:rPr>
          <w:rFonts w:ascii="Times New Roman" w:hAnsi="Times New Roman" w:cs="Times New Roman"/>
          <w:sz w:val="22"/>
          <w:szCs w:val="22"/>
        </w:rPr>
      </w:pPr>
      <w:r w:rsidRPr="00C418FF">
        <w:rPr>
          <w:rFonts w:ascii="Times New Roman" w:hAnsi="Times New Roman" w:cs="Times New Roman"/>
          <w:sz w:val="22"/>
          <w:szCs w:val="22"/>
        </w:rPr>
        <w:t>Como se ha notado en Informes</w:t>
      </w:r>
      <w:r w:rsidR="00900053" w:rsidRPr="00C418FF">
        <w:rPr>
          <w:rFonts w:ascii="Times New Roman" w:hAnsi="Times New Roman" w:cs="Times New Roman"/>
          <w:sz w:val="22"/>
          <w:szCs w:val="22"/>
        </w:rPr>
        <w:t xml:space="preserve"> previos,</w:t>
      </w:r>
      <w:r w:rsidRPr="00C418FF">
        <w:rPr>
          <w:rFonts w:ascii="Times New Roman" w:hAnsi="Times New Roman" w:cs="Times New Roman"/>
          <w:sz w:val="22"/>
          <w:szCs w:val="22"/>
        </w:rPr>
        <w:t xml:space="preserve"> </w:t>
      </w:r>
      <w:r w:rsidR="00042BAF" w:rsidRPr="00C418FF">
        <w:rPr>
          <w:rFonts w:ascii="Times New Roman" w:hAnsi="Times New Roman" w:cs="Times New Roman"/>
          <w:sz w:val="22"/>
          <w:szCs w:val="22"/>
        </w:rPr>
        <w:t xml:space="preserve">para garantizar la sostenibilidad de la RIAL a futuro </w:t>
      </w:r>
      <w:r w:rsidR="00F53AE5" w:rsidRPr="00C418FF">
        <w:rPr>
          <w:rFonts w:ascii="Times New Roman" w:hAnsi="Times New Roman" w:cs="Times New Roman"/>
          <w:sz w:val="22"/>
          <w:szCs w:val="22"/>
        </w:rPr>
        <w:t>se requiere de</w:t>
      </w:r>
      <w:r w:rsidR="00FA1C50" w:rsidRPr="00C418FF">
        <w:rPr>
          <w:rFonts w:ascii="Times New Roman" w:hAnsi="Times New Roman" w:cs="Times New Roman"/>
          <w:sz w:val="22"/>
          <w:szCs w:val="22"/>
        </w:rPr>
        <w:t>l compromiso de todos los Estados miembros</w:t>
      </w:r>
      <w:r w:rsidR="009E7663" w:rsidRPr="00C418FF">
        <w:rPr>
          <w:rFonts w:ascii="Times New Roman" w:hAnsi="Times New Roman" w:cs="Times New Roman"/>
          <w:sz w:val="22"/>
          <w:szCs w:val="22"/>
        </w:rPr>
        <w:t xml:space="preserve"> y de</w:t>
      </w:r>
      <w:r w:rsidR="00F53AE5" w:rsidRPr="00C418FF">
        <w:rPr>
          <w:rFonts w:ascii="Times New Roman" w:hAnsi="Times New Roman" w:cs="Times New Roman"/>
          <w:sz w:val="22"/>
          <w:szCs w:val="22"/>
        </w:rPr>
        <w:t xml:space="preserve"> </w:t>
      </w:r>
      <w:r w:rsidR="006920D4" w:rsidRPr="00C418FF">
        <w:rPr>
          <w:rFonts w:ascii="Times New Roman" w:hAnsi="Times New Roman" w:cs="Times New Roman"/>
          <w:sz w:val="22"/>
          <w:szCs w:val="22"/>
        </w:rPr>
        <w:t xml:space="preserve">contribuciones financieras </w:t>
      </w:r>
      <w:r w:rsidR="00157544" w:rsidRPr="00C418FF">
        <w:rPr>
          <w:rFonts w:ascii="Times New Roman" w:hAnsi="Times New Roman" w:cs="Times New Roman"/>
          <w:sz w:val="22"/>
          <w:szCs w:val="22"/>
        </w:rPr>
        <w:t>más consistentes</w:t>
      </w:r>
      <w:r w:rsidR="00FA1C50" w:rsidRPr="00C418FF">
        <w:rPr>
          <w:rFonts w:ascii="Times New Roman" w:hAnsi="Times New Roman" w:cs="Times New Roman"/>
          <w:sz w:val="22"/>
          <w:szCs w:val="22"/>
        </w:rPr>
        <w:t xml:space="preserve">, </w:t>
      </w:r>
      <w:r w:rsidR="006920D4" w:rsidRPr="00C418FF">
        <w:rPr>
          <w:rFonts w:ascii="Times New Roman" w:hAnsi="Times New Roman" w:cs="Times New Roman"/>
          <w:sz w:val="22"/>
          <w:szCs w:val="22"/>
        </w:rPr>
        <w:t>estable</w:t>
      </w:r>
      <w:r w:rsidR="00157544" w:rsidRPr="00C418FF">
        <w:rPr>
          <w:rFonts w:ascii="Times New Roman" w:hAnsi="Times New Roman" w:cs="Times New Roman"/>
          <w:sz w:val="22"/>
          <w:szCs w:val="22"/>
        </w:rPr>
        <w:t>s</w:t>
      </w:r>
      <w:r w:rsidR="006920D4" w:rsidRPr="00C418FF">
        <w:rPr>
          <w:rFonts w:ascii="Times New Roman" w:hAnsi="Times New Roman" w:cs="Times New Roman"/>
          <w:sz w:val="22"/>
          <w:szCs w:val="22"/>
        </w:rPr>
        <w:t xml:space="preserve"> </w:t>
      </w:r>
      <w:r w:rsidR="00FA1C50" w:rsidRPr="00C418FF">
        <w:rPr>
          <w:rFonts w:ascii="Times New Roman" w:hAnsi="Times New Roman" w:cs="Times New Roman"/>
          <w:sz w:val="22"/>
          <w:szCs w:val="22"/>
        </w:rPr>
        <w:t>y de mayor cuantía</w:t>
      </w:r>
      <w:r w:rsidR="00975648" w:rsidRPr="00C418FF">
        <w:rPr>
          <w:rFonts w:ascii="Times New Roman" w:hAnsi="Times New Roman" w:cs="Times New Roman"/>
          <w:sz w:val="22"/>
          <w:szCs w:val="22"/>
        </w:rPr>
        <w:t xml:space="preserve">. A la fecha, </w:t>
      </w:r>
      <w:r w:rsidR="003F5DDD" w:rsidRPr="00C418FF">
        <w:rPr>
          <w:rFonts w:ascii="Times New Roman" w:hAnsi="Times New Roman" w:cs="Times New Roman"/>
          <w:sz w:val="22"/>
          <w:szCs w:val="22"/>
        </w:rPr>
        <w:t>2</w:t>
      </w:r>
      <w:r w:rsidR="00975239" w:rsidRPr="00C418FF">
        <w:rPr>
          <w:rFonts w:ascii="Times New Roman" w:hAnsi="Times New Roman" w:cs="Times New Roman"/>
          <w:sz w:val="22"/>
          <w:szCs w:val="22"/>
        </w:rPr>
        <w:t>3</w:t>
      </w:r>
      <w:r w:rsidR="00975648" w:rsidRPr="00C418FF">
        <w:rPr>
          <w:rFonts w:ascii="Times New Roman" w:hAnsi="Times New Roman" w:cs="Times New Roman"/>
          <w:sz w:val="22"/>
          <w:szCs w:val="22"/>
        </w:rPr>
        <w:t xml:space="preserve"> de los 34 Estados miembros de la OEA han realizado contribuciones al Fondo, </w:t>
      </w:r>
      <w:r w:rsidR="00C66ADD" w:rsidRPr="00C418FF">
        <w:rPr>
          <w:rFonts w:ascii="Times New Roman" w:hAnsi="Times New Roman" w:cs="Times New Roman"/>
          <w:sz w:val="22"/>
          <w:szCs w:val="22"/>
        </w:rPr>
        <w:t>si bien</w:t>
      </w:r>
      <w:r w:rsidR="00975648" w:rsidRPr="00C418FF">
        <w:rPr>
          <w:rFonts w:ascii="Times New Roman" w:hAnsi="Times New Roman" w:cs="Times New Roman"/>
          <w:sz w:val="22"/>
          <w:szCs w:val="22"/>
        </w:rPr>
        <w:t xml:space="preserve"> todos han participado en la RIAL. </w:t>
      </w:r>
      <w:r w:rsidR="00032D00" w:rsidRPr="00C418F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1DDD962" w14:textId="77777777" w:rsidR="00975648" w:rsidRPr="00C418FF" w:rsidRDefault="00975648" w:rsidP="00975648">
      <w:pPr>
        <w:pStyle w:val="BodyText2"/>
        <w:rPr>
          <w:rFonts w:ascii="Times New Roman" w:hAnsi="Times New Roman" w:cs="Times New Roman"/>
          <w:sz w:val="22"/>
          <w:szCs w:val="22"/>
        </w:rPr>
      </w:pPr>
    </w:p>
    <w:p w14:paraId="264BFB5A" w14:textId="77777777" w:rsidR="00975648" w:rsidRPr="00C418FF" w:rsidRDefault="00975648" w:rsidP="00975648">
      <w:pPr>
        <w:pStyle w:val="BodyText2"/>
        <w:rPr>
          <w:rFonts w:ascii="Times New Roman" w:hAnsi="Times New Roman" w:cs="Times New Roman"/>
          <w:sz w:val="22"/>
          <w:szCs w:val="22"/>
        </w:rPr>
      </w:pPr>
      <w:r w:rsidRPr="00C418FF">
        <w:rPr>
          <w:rFonts w:ascii="Times New Roman" w:hAnsi="Times New Roman" w:cs="Times New Roman"/>
          <w:sz w:val="22"/>
          <w:szCs w:val="22"/>
        </w:rPr>
        <w:t>El Fondo debería tener un presupuesto de al menos $120.000 al año para garantizar continuidad de las acciones, según los estándares que se han establecido. Por ello, las contribuciones deben reforzarse.</w:t>
      </w:r>
    </w:p>
    <w:p w14:paraId="4BF6658B" w14:textId="77777777" w:rsidR="00975648" w:rsidRPr="00C418FF" w:rsidRDefault="00975648" w:rsidP="00975648">
      <w:pPr>
        <w:pStyle w:val="BodyText2"/>
        <w:rPr>
          <w:rFonts w:ascii="Times New Roman" w:hAnsi="Times New Roman" w:cs="Times New Roman"/>
          <w:sz w:val="22"/>
          <w:szCs w:val="22"/>
        </w:rPr>
      </w:pPr>
    </w:p>
    <w:p w14:paraId="46A258AB" w14:textId="77777777" w:rsidR="00975648" w:rsidRPr="00C418FF" w:rsidRDefault="00975648" w:rsidP="00975648">
      <w:pPr>
        <w:pStyle w:val="BodyText2"/>
        <w:rPr>
          <w:rFonts w:ascii="Times New Roman" w:hAnsi="Times New Roman" w:cs="Times New Roman"/>
          <w:sz w:val="22"/>
          <w:szCs w:val="22"/>
        </w:rPr>
      </w:pPr>
      <w:r w:rsidRPr="00C418FF">
        <w:rPr>
          <w:rFonts w:ascii="Times New Roman" w:hAnsi="Times New Roman" w:cs="Times New Roman"/>
          <w:sz w:val="22"/>
          <w:szCs w:val="22"/>
        </w:rPr>
        <w:t>Se hace un llamado a todos los Ministerios de Trabajo a que realicen contribuciones de acuerdo a sus capacidades nacionales.  En este sentido, se espera que los países de mayor desarrollo y con economías más robustas puedan hacer aportes mayores al mínimo establecido de $5.000 anuales.</w:t>
      </w:r>
    </w:p>
    <w:p w14:paraId="5D30636C" w14:textId="77777777" w:rsidR="00975648" w:rsidRPr="003B0259" w:rsidRDefault="00975648" w:rsidP="00975648">
      <w:pPr>
        <w:spacing w:line="250" w:lineRule="exact"/>
        <w:jc w:val="center"/>
        <w:rPr>
          <w:b/>
          <w:color w:val="000000"/>
          <w:sz w:val="22"/>
          <w:szCs w:val="22"/>
        </w:rPr>
      </w:pPr>
      <w:r w:rsidRPr="003B0259">
        <w:rPr>
          <w:b/>
          <w:sz w:val="22"/>
          <w:szCs w:val="22"/>
        </w:rPr>
        <w:br w:type="page"/>
      </w:r>
      <w:r w:rsidRPr="003B0259">
        <w:rPr>
          <w:b/>
          <w:color w:val="000000"/>
          <w:sz w:val="22"/>
          <w:szCs w:val="22"/>
        </w:rPr>
        <w:lastRenderedPageBreak/>
        <w:t>ANEXO 1</w:t>
      </w:r>
    </w:p>
    <w:p w14:paraId="24631521" w14:textId="77777777" w:rsidR="00975648" w:rsidRPr="003B0259" w:rsidRDefault="00975648" w:rsidP="00975648">
      <w:pPr>
        <w:spacing w:line="250" w:lineRule="exact"/>
        <w:rPr>
          <w:b/>
          <w:bCs/>
          <w:color w:val="000000"/>
          <w:sz w:val="22"/>
          <w:szCs w:val="22"/>
        </w:rPr>
      </w:pPr>
    </w:p>
    <w:p w14:paraId="082E663D" w14:textId="77777777" w:rsidR="00975648" w:rsidRPr="003B0259" w:rsidRDefault="00975648" w:rsidP="00975648">
      <w:pPr>
        <w:tabs>
          <w:tab w:val="num" w:pos="2340"/>
        </w:tabs>
        <w:spacing w:line="250" w:lineRule="exact"/>
        <w:jc w:val="center"/>
        <w:rPr>
          <w:b/>
          <w:color w:val="000000"/>
          <w:sz w:val="22"/>
          <w:szCs w:val="22"/>
        </w:rPr>
      </w:pPr>
      <w:r w:rsidRPr="003B0259">
        <w:rPr>
          <w:b/>
          <w:color w:val="000000"/>
          <w:sz w:val="22"/>
          <w:szCs w:val="22"/>
        </w:rPr>
        <w:t>PERIODO 2006 - 2010</w:t>
      </w:r>
    </w:p>
    <w:p w14:paraId="7714DE11" w14:textId="77777777" w:rsidR="00975648" w:rsidRPr="003B0259" w:rsidRDefault="00975648" w:rsidP="00975648">
      <w:pPr>
        <w:spacing w:line="250" w:lineRule="exact"/>
        <w:rPr>
          <w:b/>
          <w:bCs/>
          <w:color w:val="000000"/>
          <w:sz w:val="22"/>
          <w:szCs w:val="22"/>
        </w:rPr>
      </w:pPr>
      <w:r w:rsidRPr="003B0259">
        <w:rPr>
          <w:b/>
          <w:bCs/>
          <w:color w:val="000000"/>
          <w:sz w:val="22"/>
          <w:szCs w:val="22"/>
        </w:rPr>
        <w:t xml:space="preserve"> </w:t>
      </w:r>
    </w:p>
    <w:p w14:paraId="76981CF2" w14:textId="77777777" w:rsidR="00975648" w:rsidRPr="003B0259" w:rsidRDefault="00975648" w:rsidP="00975648">
      <w:pPr>
        <w:spacing w:line="250" w:lineRule="exact"/>
        <w:rPr>
          <w:b/>
          <w:bCs/>
          <w:color w:val="000000"/>
          <w:sz w:val="22"/>
          <w:szCs w:val="22"/>
        </w:rPr>
      </w:pPr>
    </w:p>
    <w:p w14:paraId="449B69F9" w14:textId="77777777" w:rsidR="00975648" w:rsidRPr="003B0259" w:rsidRDefault="00975648" w:rsidP="00975648">
      <w:pPr>
        <w:spacing w:line="250" w:lineRule="exact"/>
        <w:jc w:val="both"/>
        <w:rPr>
          <w:color w:val="000000"/>
          <w:sz w:val="22"/>
          <w:szCs w:val="22"/>
        </w:rPr>
      </w:pPr>
      <w:r w:rsidRPr="003B0259">
        <w:rPr>
          <w:color w:val="000000"/>
          <w:sz w:val="22"/>
          <w:szCs w:val="22"/>
        </w:rPr>
        <w:t>La creación de la RIAL y la realización de la mayoría de sus actividades entre 2006 y 2010 fueron financiadas con un importante aporte del Programa Laboral de Canadá, que se concretó con la firma de cuatro acuerdos con la OEA por un total de US$1,35 millones de dólares. Esta financiación cubrió tanto gastos de actividades como costos básicos de operación de la RIAL.</w:t>
      </w:r>
    </w:p>
    <w:p w14:paraId="193D4B41" w14:textId="77777777" w:rsidR="00975648" w:rsidRPr="003B0259" w:rsidRDefault="00975648" w:rsidP="00975648">
      <w:pPr>
        <w:spacing w:line="250" w:lineRule="exact"/>
        <w:jc w:val="both"/>
        <w:rPr>
          <w:b/>
          <w:bCs/>
          <w:color w:val="000000"/>
          <w:sz w:val="22"/>
          <w:szCs w:val="22"/>
        </w:rPr>
      </w:pPr>
    </w:p>
    <w:tbl>
      <w:tblPr>
        <w:tblpPr w:leftFromText="180" w:rightFromText="180" w:vertAnchor="text" w:horzAnchor="margin" w:tblpXSpec="center" w:tblpY="96"/>
        <w:tblW w:w="5460" w:type="dxa"/>
        <w:tblLook w:val="0000" w:firstRow="0" w:lastRow="0" w:firstColumn="0" w:lastColumn="0" w:noHBand="0" w:noVBand="0"/>
      </w:tblPr>
      <w:tblGrid>
        <w:gridCol w:w="2141"/>
        <w:gridCol w:w="1656"/>
        <w:gridCol w:w="1663"/>
      </w:tblGrid>
      <w:tr w:rsidR="00975648" w:rsidRPr="003B0259" w14:paraId="4D5C9573" w14:textId="77777777" w:rsidTr="000F1AD8">
        <w:trPr>
          <w:trHeight w:val="390"/>
        </w:trPr>
        <w:tc>
          <w:tcPr>
            <w:tcW w:w="5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7CAF43" w14:textId="77777777" w:rsidR="00975648" w:rsidRPr="003B0259" w:rsidRDefault="00975648" w:rsidP="000F1AD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B0259">
              <w:rPr>
                <w:b/>
                <w:bCs/>
                <w:i/>
                <w:iCs/>
                <w:color w:val="000000"/>
                <w:sz w:val="22"/>
                <w:szCs w:val="22"/>
              </w:rPr>
              <w:t>Contribución del Programa Laboral de Canadá a la RIAL</w:t>
            </w:r>
          </w:p>
        </w:tc>
      </w:tr>
      <w:tr w:rsidR="00975648" w:rsidRPr="003B0259" w14:paraId="2FDC31D2" w14:textId="77777777" w:rsidTr="000F1AD8">
        <w:trPr>
          <w:trHeight w:val="345"/>
        </w:trPr>
        <w:tc>
          <w:tcPr>
            <w:tcW w:w="54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73DE3D22" w14:textId="77777777" w:rsidR="00975648" w:rsidRPr="003B0259" w:rsidRDefault="00975648" w:rsidP="000F1A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259">
              <w:rPr>
                <w:b/>
                <w:bCs/>
                <w:color w:val="000000"/>
                <w:sz w:val="22"/>
                <w:szCs w:val="22"/>
              </w:rPr>
              <w:t>2006-2010</w:t>
            </w:r>
          </w:p>
        </w:tc>
      </w:tr>
      <w:tr w:rsidR="00975648" w:rsidRPr="003B0259" w14:paraId="2DA19A58" w14:textId="77777777" w:rsidTr="000F1AD8">
        <w:trPr>
          <w:trHeight w:val="360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2D70117E" w14:textId="77777777" w:rsidR="00975648" w:rsidRPr="003B0259" w:rsidRDefault="00975648" w:rsidP="000F1A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B0259">
              <w:rPr>
                <w:b/>
                <w:bCs/>
                <w:color w:val="000000"/>
                <w:sz w:val="22"/>
                <w:szCs w:val="22"/>
              </w:rPr>
              <w:t xml:space="preserve">Acuerdo 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F5BDE33" w14:textId="77777777" w:rsidR="00975648" w:rsidRPr="003B0259" w:rsidRDefault="00975648" w:rsidP="000F1A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259">
              <w:rPr>
                <w:b/>
                <w:bCs/>
                <w:color w:val="000000"/>
                <w:sz w:val="22"/>
                <w:szCs w:val="22"/>
              </w:rPr>
              <w:t>Cnd$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26812AF" w14:textId="77777777" w:rsidR="00975648" w:rsidRPr="003B0259" w:rsidRDefault="00975648" w:rsidP="000F1A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259">
              <w:rPr>
                <w:b/>
                <w:bCs/>
                <w:color w:val="000000"/>
                <w:sz w:val="22"/>
                <w:szCs w:val="22"/>
              </w:rPr>
              <w:t>US$</w:t>
            </w:r>
          </w:p>
        </w:tc>
      </w:tr>
      <w:tr w:rsidR="00975648" w:rsidRPr="003B0259" w14:paraId="2A18FA1C" w14:textId="77777777" w:rsidTr="000F1AD8">
        <w:trPr>
          <w:trHeight w:val="360"/>
        </w:trPr>
        <w:tc>
          <w:tcPr>
            <w:tcW w:w="214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2BAAE27C" w14:textId="77777777" w:rsidR="00975648" w:rsidRPr="003B0259" w:rsidRDefault="00975648" w:rsidP="000F1AD8">
            <w:pPr>
              <w:rPr>
                <w:color w:val="000000"/>
                <w:sz w:val="22"/>
                <w:szCs w:val="22"/>
              </w:rPr>
            </w:pPr>
            <w:r w:rsidRPr="003B0259">
              <w:rPr>
                <w:color w:val="000000"/>
                <w:sz w:val="22"/>
                <w:szCs w:val="22"/>
              </w:rPr>
              <w:t>RIAL 1 (2006)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5BF7195" w14:textId="77777777" w:rsidR="00975648" w:rsidRPr="003B0259" w:rsidRDefault="00975648" w:rsidP="000F1AD8">
            <w:pPr>
              <w:jc w:val="center"/>
              <w:rPr>
                <w:color w:val="000000"/>
                <w:sz w:val="22"/>
                <w:szCs w:val="22"/>
              </w:rPr>
            </w:pPr>
            <w:r w:rsidRPr="003B0259">
              <w:rPr>
                <w:color w:val="000000"/>
                <w:sz w:val="22"/>
                <w:szCs w:val="22"/>
              </w:rPr>
              <w:t>65.844,45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2C75465C" w14:textId="77777777" w:rsidR="00975648" w:rsidRPr="003B0259" w:rsidRDefault="00975648" w:rsidP="000F1AD8">
            <w:pPr>
              <w:jc w:val="center"/>
              <w:rPr>
                <w:color w:val="000000"/>
                <w:sz w:val="22"/>
                <w:szCs w:val="22"/>
              </w:rPr>
            </w:pPr>
            <w:r w:rsidRPr="003B0259">
              <w:rPr>
                <w:color w:val="000000"/>
                <w:sz w:val="22"/>
                <w:szCs w:val="22"/>
              </w:rPr>
              <w:t>56.483,91</w:t>
            </w:r>
          </w:p>
        </w:tc>
      </w:tr>
      <w:tr w:rsidR="00975648" w:rsidRPr="003B0259" w14:paraId="26796674" w14:textId="77777777" w:rsidTr="000F1AD8">
        <w:trPr>
          <w:trHeight w:val="360"/>
        </w:trPr>
        <w:tc>
          <w:tcPr>
            <w:tcW w:w="214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1B3FD0FA" w14:textId="77777777" w:rsidR="00975648" w:rsidRPr="003B0259" w:rsidRDefault="00975648" w:rsidP="000F1AD8">
            <w:pPr>
              <w:rPr>
                <w:color w:val="000000"/>
                <w:sz w:val="22"/>
                <w:szCs w:val="22"/>
              </w:rPr>
            </w:pPr>
            <w:r w:rsidRPr="003B0259">
              <w:rPr>
                <w:color w:val="000000"/>
                <w:sz w:val="22"/>
                <w:szCs w:val="22"/>
              </w:rPr>
              <w:t>RIAL 2 (2006 - 2007)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A40C143" w14:textId="77777777" w:rsidR="00975648" w:rsidRPr="003B0259" w:rsidRDefault="00975648" w:rsidP="000F1AD8">
            <w:pPr>
              <w:jc w:val="center"/>
              <w:rPr>
                <w:color w:val="000000"/>
                <w:sz w:val="22"/>
                <w:szCs w:val="22"/>
              </w:rPr>
            </w:pPr>
            <w:r w:rsidRPr="003B0259">
              <w:rPr>
                <w:color w:val="000000"/>
                <w:sz w:val="22"/>
                <w:szCs w:val="22"/>
              </w:rPr>
              <w:t>310.800,00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21431B42" w14:textId="77777777" w:rsidR="00975648" w:rsidRPr="003B0259" w:rsidRDefault="00975648" w:rsidP="000F1AD8">
            <w:pPr>
              <w:jc w:val="center"/>
              <w:rPr>
                <w:color w:val="000000"/>
                <w:sz w:val="22"/>
                <w:szCs w:val="22"/>
              </w:rPr>
            </w:pPr>
            <w:r w:rsidRPr="003B0259">
              <w:rPr>
                <w:color w:val="000000"/>
                <w:sz w:val="22"/>
                <w:szCs w:val="22"/>
              </w:rPr>
              <w:t>265.812,91</w:t>
            </w:r>
          </w:p>
        </w:tc>
      </w:tr>
      <w:tr w:rsidR="00975648" w:rsidRPr="003B0259" w14:paraId="4A299F67" w14:textId="77777777" w:rsidTr="000F1AD8">
        <w:trPr>
          <w:trHeight w:val="360"/>
        </w:trPr>
        <w:tc>
          <w:tcPr>
            <w:tcW w:w="214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1A5C41D1" w14:textId="77777777" w:rsidR="00975648" w:rsidRPr="003B0259" w:rsidRDefault="00975648" w:rsidP="000F1AD8">
            <w:pPr>
              <w:rPr>
                <w:color w:val="000000"/>
                <w:sz w:val="22"/>
                <w:szCs w:val="22"/>
              </w:rPr>
            </w:pPr>
            <w:r w:rsidRPr="003B0259">
              <w:rPr>
                <w:color w:val="000000"/>
                <w:sz w:val="22"/>
                <w:szCs w:val="22"/>
              </w:rPr>
              <w:t>RIAL 3 (2007-2008)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055A1F3" w14:textId="77777777" w:rsidR="00975648" w:rsidRPr="003B0259" w:rsidRDefault="00975648" w:rsidP="000F1AD8">
            <w:pPr>
              <w:jc w:val="center"/>
              <w:rPr>
                <w:color w:val="000000"/>
                <w:sz w:val="22"/>
                <w:szCs w:val="22"/>
              </w:rPr>
            </w:pPr>
            <w:r w:rsidRPr="003B0259">
              <w:rPr>
                <w:color w:val="000000"/>
                <w:sz w:val="22"/>
                <w:szCs w:val="22"/>
              </w:rPr>
              <w:t>275.280,00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5032DBDD" w14:textId="77777777" w:rsidR="00975648" w:rsidRPr="003B0259" w:rsidRDefault="00975648" w:rsidP="000F1AD8">
            <w:pPr>
              <w:jc w:val="center"/>
              <w:rPr>
                <w:color w:val="000000"/>
                <w:sz w:val="22"/>
                <w:szCs w:val="22"/>
              </w:rPr>
            </w:pPr>
            <w:r w:rsidRPr="003B0259">
              <w:rPr>
                <w:color w:val="000000"/>
                <w:sz w:val="22"/>
                <w:szCs w:val="22"/>
              </w:rPr>
              <w:t>261.251,79</w:t>
            </w:r>
          </w:p>
        </w:tc>
      </w:tr>
      <w:tr w:rsidR="00975648" w:rsidRPr="003B0259" w14:paraId="392A1361" w14:textId="77777777" w:rsidTr="000F1AD8">
        <w:trPr>
          <w:trHeight w:val="360"/>
        </w:trPr>
        <w:tc>
          <w:tcPr>
            <w:tcW w:w="214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39D4FE65" w14:textId="77777777" w:rsidR="00975648" w:rsidRPr="003B0259" w:rsidRDefault="00975648" w:rsidP="000F1AD8">
            <w:pPr>
              <w:rPr>
                <w:color w:val="000000"/>
                <w:sz w:val="22"/>
                <w:szCs w:val="22"/>
              </w:rPr>
            </w:pPr>
            <w:r w:rsidRPr="003B0259">
              <w:rPr>
                <w:color w:val="000000"/>
                <w:sz w:val="22"/>
                <w:szCs w:val="22"/>
              </w:rPr>
              <w:t>RIAL 4 (2008 – 2010)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B304993" w14:textId="77777777" w:rsidR="00975648" w:rsidRPr="003B0259" w:rsidRDefault="00975648" w:rsidP="000F1AD8">
            <w:pPr>
              <w:jc w:val="center"/>
              <w:rPr>
                <w:color w:val="000000"/>
                <w:sz w:val="22"/>
                <w:szCs w:val="22"/>
              </w:rPr>
            </w:pPr>
            <w:r w:rsidRPr="003B0259">
              <w:rPr>
                <w:color w:val="000000"/>
                <w:sz w:val="22"/>
                <w:szCs w:val="22"/>
              </w:rPr>
              <w:t>890.000,00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468360EC" w14:textId="77777777" w:rsidR="00975648" w:rsidRPr="003B0259" w:rsidRDefault="00975648" w:rsidP="000F1AD8">
            <w:pPr>
              <w:jc w:val="center"/>
              <w:rPr>
                <w:color w:val="000000"/>
                <w:sz w:val="22"/>
                <w:szCs w:val="22"/>
              </w:rPr>
            </w:pPr>
            <w:r w:rsidRPr="003B0259">
              <w:rPr>
                <w:color w:val="000000"/>
                <w:sz w:val="22"/>
                <w:szCs w:val="22"/>
              </w:rPr>
              <w:t>771.851,92</w:t>
            </w:r>
          </w:p>
        </w:tc>
      </w:tr>
      <w:tr w:rsidR="00975648" w:rsidRPr="003B0259" w14:paraId="4BDE960C" w14:textId="77777777" w:rsidTr="000F1AD8">
        <w:trPr>
          <w:trHeight w:val="360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center"/>
          </w:tcPr>
          <w:p w14:paraId="1E363B52" w14:textId="77777777" w:rsidR="00975648" w:rsidRPr="003B0259" w:rsidRDefault="00975648" w:rsidP="000F1A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B0259">
              <w:rPr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18E6C6B" w14:textId="77777777" w:rsidR="00975648" w:rsidRPr="003B0259" w:rsidRDefault="00975648" w:rsidP="000F1A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259">
              <w:rPr>
                <w:b/>
                <w:bCs/>
                <w:color w:val="000000"/>
                <w:sz w:val="22"/>
                <w:szCs w:val="22"/>
              </w:rPr>
              <w:t>$1.541.924,45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6FE1FE1D" w14:textId="77777777" w:rsidR="00975648" w:rsidRPr="003B0259" w:rsidRDefault="00975648" w:rsidP="000F1A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259">
              <w:rPr>
                <w:b/>
                <w:bCs/>
                <w:color w:val="000000"/>
                <w:sz w:val="22"/>
                <w:szCs w:val="22"/>
              </w:rPr>
              <w:t>$1.355.400,53</w:t>
            </w:r>
          </w:p>
        </w:tc>
      </w:tr>
    </w:tbl>
    <w:p w14:paraId="352F1969" w14:textId="77777777" w:rsidR="00975648" w:rsidRPr="003B0259" w:rsidRDefault="00975648" w:rsidP="00975648">
      <w:pPr>
        <w:spacing w:line="250" w:lineRule="exact"/>
        <w:jc w:val="both"/>
        <w:rPr>
          <w:b/>
          <w:bCs/>
          <w:color w:val="000000"/>
          <w:sz w:val="22"/>
          <w:szCs w:val="22"/>
        </w:rPr>
      </w:pPr>
    </w:p>
    <w:p w14:paraId="6AEE9CD2" w14:textId="77777777" w:rsidR="00975648" w:rsidRPr="003B0259" w:rsidRDefault="00975648" w:rsidP="00975648">
      <w:pPr>
        <w:spacing w:line="250" w:lineRule="exact"/>
        <w:rPr>
          <w:b/>
          <w:bCs/>
          <w:color w:val="000000"/>
          <w:sz w:val="22"/>
          <w:szCs w:val="22"/>
        </w:rPr>
      </w:pPr>
    </w:p>
    <w:p w14:paraId="5F030FA9" w14:textId="77777777" w:rsidR="00975648" w:rsidRPr="003B0259" w:rsidRDefault="00975648" w:rsidP="00975648">
      <w:pPr>
        <w:spacing w:line="250" w:lineRule="exact"/>
        <w:rPr>
          <w:b/>
          <w:bCs/>
          <w:color w:val="000000"/>
          <w:sz w:val="22"/>
          <w:szCs w:val="22"/>
        </w:rPr>
      </w:pPr>
    </w:p>
    <w:p w14:paraId="137CAB7A" w14:textId="77777777" w:rsidR="00975648" w:rsidRPr="003B0259" w:rsidRDefault="00975648" w:rsidP="00975648">
      <w:pPr>
        <w:spacing w:line="250" w:lineRule="exact"/>
        <w:rPr>
          <w:b/>
          <w:bCs/>
          <w:color w:val="000000"/>
          <w:sz w:val="22"/>
          <w:szCs w:val="22"/>
        </w:rPr>
      </w:pPr>
    </w:p>
    <w:p w14:paraId="30CB1C12" w14:textId="77777777" w:rsidR="00975648" w:rsidRPr="003B0259" w:rsidRDefault="00975648" w:rsidP="00975648">
      <w:pPr>
        <w:spacing w:line="250" w:lineRule="exact"/>
        <w:rPr>
          <w:color w:val="000000"/>
          <w:sz w:val="22"/>
          <w:szCs w:val="22"/>
        </w:rPr>
      </w:pPr>
    </w:p>
    <w:p w14:paraId="7B00B394" w14:textId="77777777" w:rsidR="00975648" w:rsidRPr="003B0259" w:rsidRDefault="00975648" w:rsidP="00975648">
      <w:pPr>
        <w:spacing w:line="250" w:lineRule="exact"/>
        <w:rPr>
          <w:color w:val="000000"/>
          <w:sz w:val="22"/>
          <w:szCs w:val="22"/>
        </w:rPr>
      </w:pPr>
    </w:p>
    <w:p w14:paraId="64F63B2F" w14:textId="77777777" w:rsidR="00975648" w:rsidRPr="003B0259" w:rsidRDefault="00975648" w:rsidP="00975648">
      <w:pPr>
        <w:spacing w:line="250" w:lineRule="exact"/>
        <w:rPr>
          <w:color w:val="000000"/>
          <w:sz w:val="22"/>
          <w:szCs w:val="22"/>
        </w:rPr>
      </w:pPr>
    </w:p>
    <w:p w14:paraId="5549752E" w14:textId="77777777" w:rsidR="00975648" w:rsidRPr="003B0259" w:rsidRDefault="00975648" w:rsidP="00975648">
      <w:pPr>
        <w:spacing w:line="250" w:lineRule="exact"/>
        <w:jc w:val="both"/>
        <w:rPr>
          <w:b/>
          <w:bCs/>
          <w:color w:val="000000"/>
          <w:sz w:val="22"/>
          <w:szCs w:val="22"/>
        </w:rPr>
      </w:pPr>
    </w:p>
    <w:p w14:paraId="7E215041" w14:textId="77777777" w:rsidR="00975648" w:rsidRPr="003B0259" w:rsidRDefault="00975648" w:rsidP="00975648">
      <w:pPr>
        <w:spacing w:line="250" w:lineRule="exact"/>
        <w:jc w:val="both"/>
        <w:rPr>
          <w:color w:val="000000"/>
          <w:sz w:val="22"/>
          <w:szCs w:val="22"/>
        </w:rPr>
      </w:pPr>
    </w:p>
    <w:p w14:paraId="5F10D90E" w14:textId="77777777" w:rsidR="00975648" w:rsidRPr="003B0259" w:rsidRDefault="00975648" w:rsidP="00975648">
      <w:pPr>
        <w:spacing w:line="250" w:lineRule="exact"/>
        <w:jc w:val="both"/>
        <w:rPr>
          <w:color w:val="000000"/>
          <w:sz w:val="22"/>
          <w:szCs w:val="22"/>
        </w:rPr>
      </w:pPr>
    </w:p>
    <w:p w14:paraId="2463C947" w14:textId="77777777" w:rsidR="00975648" w:rsidRPr="003B0259" w:rsidRDefault="00975648" w:rsidP="00975648">
      <w:pPr>
        <w:spacing w:line="250" w:lineRule="exact"/>
        <w:jc w:val="both"/>
        <w:rPr>
          <w:color w:val="000000"/>
          <w:sz w:val="22"/>
          <w:szCs w:val="22"/>
        </w:rPr>
      </w:pPr>
    </w:p>
    <w:p w14:paraId="232D5E72" w14:textId="77777777" w:rsidR="00975648" w:rsidRPr="003B0259" w:rsidRDefault="00975648" w:rsidP="00975648">
      <w:pPr>
        <w:spacing w:line="250" w:lineRule="exact"/>
        <w:jc w:val="both"/>
        <w:rPr>
          <w:color w:val="000000"/>
          <w:sz w:val="22"/>
          <w:szCs w:val="22"/>
        </w:rPr>
      </w:pPr>
    </w:p>
    <w:p w14:paraId="1E8CF0FD" w14:textId="77777777" w:rsidR="00975648" w:rsidRPr="003B0259" w:rsidRDefault="00975648" w:rsidP="00975648">
      <w:pPr>
        <w:spacing w:line="250" w:lineRule="exact"/>
        <w:jc w:val="both"/>
        <w:rPr>
          <w:color w:val="000000"/>
          <w:sz w:val="22"/>
          <w:szCs w:val="22"/>
        </w:rPr>
      </w:pPr>
    </w:p>
    <w:p w14:paraId="2005EEE2" w14:textId="77777777" w:rsidR="00975648" w:rsidRPr="003B0259" w:rsidRDefault="00975648" w:rsidP="00975648">
      <w:pPr>
        <w:spacing w:line="250" w:lineRule="exact"/>
        <w:jc w:val="both"/>
        <w:rPr>
          <w:color w:val="000000"/>
          <w:sz w:val="22"/>
          <w:szCs w:val="22"/>
        </w:rPr>
      </w:pPr>
    </w:p>
    <w:p w14:paraId="1EAA06D5" w14:textId="77777777" w:rsidR="00975648" w:rsidRPr="003B0259" w:rsidRDefault="00975648" w:rsidP="00975648">
      <w:pPr>
        <w:spacing w:line="250" w:lineRule="exact"/>
        <w:jc w:val="both"/>
        <w:rPr>
          <w:color w:val="000000"/>
          <w:sz w:val="22"/>
          <w:szCs w:val="22"/>
        </w:rPr>
      </w:pPr>
    </w:p>
    <w:p w14:paraId="7BD4CBBA" w14:textId="77777777" w:rsidR="00975648" w:rsidRPr="003B0259" w:rsidRDefault="00975648" w:rsidP="00975648">
      <w:pPr>
        <w:spacing w:line="250" w:lineRule="exact"/>
        <w:jc w:val="both"/>
        <w:rPr>
          <w:color w:val="000000"/>
          <w:sz w:val="22"/>
          <w:szCs w:val="22"/>
        </w:rPr>
      </w:pPr>
    </w:p>
    <w:p w14:paraId="2D98A12C" w14:textId="77777777" w:rsidR="00975648" w:rsidRPr="003B0259" w:rsidRDefault="00975648" w:rsidP="00975648">
      <w:pPr>
        <w:spacing w:line="250" w:lineRule="exact"/>
        <w:jc w:val="both"/>
        <w:rPr>
          <w:color w:val="000000"/>
          <w:sz w:val="22"/>
          <w:szCs w:val="22"/>
        </w:rPr>
      </w:pPr>
      <w:r w:rsidRPr="003B0259">
        <w:rPr>
          <w:color w:val="000000"/>
          <w:sz w:val="22"/>
          <w:szCs w:val="22"/>
        </w:rPr>
        <w:t>En este periodo se recibieron aportes financieros de Estados Unidos, México, Argentina y Brasil.  Asimismo, la OEA ha contribuido con recursos financieros a la coordinación y operación de la RIAL.</w:t>
      </w:r>
    </w:p>
    <w:p w14:paraId="536BDF8A" w14:textId="77777777" w:rsidR="00975648" w:rsidRPr="003B0259" w:rsidRDefault="00975648" w:rsidP="00975648">
      <w:pPr>
        <w:spacing w:line="250" w:lineRule="exact"/>
        <w:jc w:val="both"/>
        <w:rPr>
          <w:color w:val="000000"/>
          <w:sz w:val="22"/>
          <w:szCs w:val="22"/>
        </w:rPr>
      </w:pPr>
    </w:p>
    <w:tbl>
      <w:tblPr>
        <w:tblW w:w="7020" w:type="dxa"/>
        <w:tblInd w:w="1188" w:type="dxa"/>
        <w:tblLook w:val="0000" w:firstRow="0" w:lastRow="0" w:firstColumn="0" w:lastColumn="0" w:noHBand="0" w:noVBand="0"/>
      </w:tblPr>
      <w:tblGrid>
        <w:gridCol w:w="1440"/>
        <w:gridCol w:w="1316"/>
        <w:gridCol w:w="4402"/>
      </w:tblGrid>
      <w:tr w:rsidR="00975648" w:rsidRPr="003B0259" w14:paraId="733575D8" w14:textId="77777777" w:rsidTr="000F1AD8">
        <w:trPr>
          <w:trHeight w:val="300"/>
        </w:trPr>
        <w:tc>
          <w:tcPr>
            <w:tcW w:w="7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6B80B4" w14:textId="77777777" w:rsidR="00975648" w:rsidRPr="003B0259" w:rsidRDefault="00975648" w:rsidP="000F1AD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B0259">
              <w:rPr>
                <w:b/>
                <w:bCs/>
                <w:i/>
                <w:iCs/>
                <w:color w:val="000000"/>
                <w:sz w:val="22"/>
                <w:szCs w:val="22"/>
              </w:rPr>
              <w:t>Otras contribuciones</w:t>
            </w:r>
            <w:r w:rsidRPr="003B0259"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financieras</w:t>
            </w:r>
            <w:r w:rsidRPr="003B025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a la RIAL</w:t>
            </w:r>
          </w:p>
        </w:tc>
      </w:tr>
      <w:tr w:rsidR="00975648" w:rsidRPr="003B0259" w14:paraId="6C406EA1" w14:textId="77777777" w:rsidTr="000F1AD8">
        <w:trPr>
          <w:trHeight w:val="285"/>
        </w:trPr>
        <w:tc>
          <w:tcPr>
            <w:tcW w:w="70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14:paraId="64F6D46E" w14:textId="77777777" w:rsidR="00975648" w:rsidRPr="003B0259" w:rsidRDefault="00975648" w:rsidP="000F1A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259">
              <w:rPr>
                <w:b/>
                <w:bCs/>
                <w:color w:val="000000"/>
                <w:sz w:val="22"/>
                <w:szCs w:val="22"/>
              </w:rPr>
              <w:t>Mayo 2006- Julio 2010</w:t>
            </w:r>
          </w:p>
        </w:tc>
      </w:tr>
      <w:tr w:rsidR="00975648" w:rsidRPr="003B0259" w14:paraId="6FCBDA83" w14:textId="77777777" w:rsidTr="000F1AD8">
        <w:trPr>
          <w:trHeight w:val="40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7EE0FB30" w14:textId="77777777" w:rsidR="00975648" w:rsidRPr="003B0259" w:rsidRDefault="00975648" w:rsidP="000F1A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B0259">
              <w:rPr>
                <w:b/>
                <w:bCs/>
                <w:color w:val="000000"/>
                <w:sz w:val="22"/>
                <w:szCs w:val="22"/>
              </w:rPr>
              <w:t>País/Inst.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18116570" w14:textId="77777777" w:rsidR="00975648" w:rsidRPr="003B0259" w:rsidRDefault="00975648" w:rsidP="000F1A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259">
              <w:rPr>
                <w:b/>
                <w:bCs/>
                <w:color w:val="000000"/>
                <w:sz w:val="22"/>
                <w:szCs w:val="22"/>
              </w:rPr>
              <w:t>US$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E6D3D0C" w14:textId="77777777" w:rsidR="00975648" w:rsidRPr="003B0259" w:rsidRDefault="00975648" w:rsidP="000F1A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0259">
              <w:rPr>
                <w:b/>
                <w:bCs/>
                <w:color w:val="000000"/>
                <w:sz w:val="22"/>
                <w:szCs w:val="22"/>
              </w:rPr>
              <w:t>Descripción</w:t>
            </w:r>
          </w:p>
        </w:tc>
      </w:tr>
      <w:tr w:rsidR="00975648" w:rsidRPr="003B0259" w14:paraId="0BB6EF39" w14:textId="77777777" w:rsidTr="000F1AD8">
        <w:trPr>
          <w:trHeight w:val="49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7A8AB5D1" w14:textId="77777777" w:rsidR="00975648" w:rsidRPr="003B0259" w:rsidRDefault="00975648" w:rsidP="000F1AD8">
            <w:pPr>
              <w:rPr>
                <w:color w:val="000000"/>
                <w:sz w:val="22"/>
                <w:szCs w:val="22"/>
              </w:rPr>
            </w:pPr>
            <w:r w:rsidRPr="003B0259">
              <w:rPr>
                <w:color w:val="000000"/>
                <w:sz w:val="22"/>
                <w:szCs w:val="22"/>
              </w:rPr>
              <w:t>Estados Unidos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366E1839" w14:textId="77777777" w:rsidR="00975648" w:rsidRPr="003B0259" w:rsidRDefault="00975648" w:rsidP="000F1AD8">
            <w:pPr>
              <w:jc w:val="center"/>
              <w:rPr>
                <w:color w:val="000000"/>
                <w:sz w:val="22"/>
                <w:szCs w:val="22"/>
              </w:rPr>
            </w:pPr>
            <w:r w:rsidRPr="003B0259">
              <w:rPr>
                <w:color w:val="000000"/>
                <w:sz w:val="22"/>
                <w:szCs w:val="22"/>
              </w:rPr>
              <w:t>171.680,00*</w:t>
            </w:r>
          </w:p>
        </w:tc>
        <w:tc>
          <w:tcPr>
            <w:tcW w:w="44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38A421F1" w14:textId="77777777" w:rsidR="00975648" w:rsidRPr="003B0259" w:rsidRDefault="00975648" w:rsidP="000F1AD8">
            <w:pPr>
              <w:rPr>
                <w:color w:val="000000"/>
                <w:sz w:val="22"/>
                <w:szCs w:val="22"/>
              </w:rPr>
            </w:pPr>
            <w:r w:rsidRPr="003B0259">
              <w:rPr>
                <w:color w:val="000000"/>
                <w:sz w:val="22"/>
                <w:szCs w:val="22"/>
              </w:rPr>
              <w:t>Mayoría de actividades de Cooperación bilateral  en 2006, Aporte al Taller Dimensión Laboral (Jul.2006),cofinanciación Taller Jóvenes (May 2008) y Cooperación bilateral en 2010</w:t>
            </w:r>
          </w:p>
        </w:tc>
      </w:tr>
      <w:tr w:rsidR="00975648" w:rsidRPr="003B0259" w14:paraId="222C03E1" w14:textId="77777777" w:rsidTr="000F1AD8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04041AED" w14:textId="77777777" w:rsidR="00975648" w:rsidRPr="003B0259" w:rsidRDefault="00975648" w:rsidP="000F1AD8">
            <w:pPr>
              <w:rPr>
                <w:color w:val="000000"/>
                <w:sz w:val="22"/>
                <w:szCs w:val="22"/>
              </w:rPr>
            </w:pPr>
            <w:r w:rsidRPr="003B0259">
              <w:rPr>
                <w:color w:val="000000"/>
                <w:sz w:val="22"/>
                <w:szCs w:val="22"/>
              </w:rPr>
              <w:t>México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C89B8EF" w14:textId="77777777" w:rsidR="00975648" w:rsidRPr="003B0259" w:rsidRDefault="00975648" w:rsidP="000F1AD8">
            <w:pPr>
              <w:jc w:val="center"/>
              <w:rPr>
                <w:color w:val="000000"/>
                <w:sz w:val="22"/>
                <w:szCs w:val="22"/>
              </w:rPr>
            </w:pPr>
            <w:r w:rsidRPr="003B0259">
              <w:rPr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3A888390" w14:textId="77777777" w:rsidR="00975648" w:rsidRPr="003B0259" w:rsidRDefault="00975648" w:rsidP="000F1AD8">
            <w:pPr>
              <w:rPr>
                <w:color w:val="000000"/>
                <w:sz w:val="22"/>
                <w:szCs w:val="22"/>
              </w:rPr>
            </w:pPr>
            <w:r w:rsidRPr="003B0259">
              <w:rPr>
                <w:color w:val="000000"/>
                <w:sz w:val="22"/>
                <w:szCs w:val="22"/>
              </w:rPr>
              <w:t>Taller Intermediación Laboral (Nov.2006)</w:t>
            </w:r>
          </w:p>
        </w:tc>
      </w:tr>
      <w:tr w:rsidR="00975648" w:rsidRPr="003B0259" w14:paraId="2C08E757" w14:textId="77777777" w:rsidTr="000F1AD8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0D9D9D0B" w14:textId="77777777" w:rsidR="00975648" w:rsidRPr="003B0259" w:rsidRDefault="00975648" w:rsidP="000F1AD8">
            <w:pPr>
              <w:rPr>
                <w:color w:val="000000"/>
                <w:sz w:val="22"/>
                <w:szCs w:val="22"/>
              </w:rPr>
            </w:pPr>
            <w:r w:rsidRPr="003B0259">
              <w:rPr>
                <w:color w:val="000000"/>
                <w:sz w:val="22"/>
                <w:szCs w:val="22"/>
              </w:rPr>
              <w:t>Argentina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29E5B5A" w14:textId="77777777" w:rsidR="00975648" w:rsidRPr="003B0259" w:rsidRDefault="00975648" w:rsidP="000F1AD8">
            <w:pPr>
              <w:jc w:val="center"/>
              <w:rPr>
                <w:color w:val="000000"/>
                <w:sz w:val="22"/>
                <w:szCs w:val="22"/>
              </w:rPr>
            </w:pPr>
            <w:r w:rsidRPr="003B0259">
              <w:rPr>
                <w:color w:val="000000"/>
                <w:sz w:val="22"/>
                <w:szCs w:val="22"/>
              </w:rPr>
              <w:t>12.000,00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402379EA" w14:textId="77777777" w:rsidR="00975648" w:rsidRPr="003B0259" w:rsidRDefault="00975648" w:rsidP="000F1AD8">
            <w:pPr>
              <w:rPr>
                <w:color w:val="000000"/>
                <w:sz w:val="22"/>
                <w:szCs w:val="22"/>
              </w:rPr>
            </w:pPr>
            <w:r w:rsidRPr="003B0259">
              <w:rPr>
                <w:color w:val="000000"/>
                <w:sz w:val="22"/>
                <w:szCs w:val="22"/>
              </w:rPr>
              <w:t xml:space="preserve">Cofinanciación de actividades de Cooperación bilateral </w:t>
            </w:r>
          </w:p>
        </w:tc>
      </w:tr>
      <w:tr w:rsidR="00975648" w:rsidRPr="003B0259" w14:paraId="7C1A5EA0" w14:textId="77777777" w:rsidTr="000F1AD8">
        <w:trPr>
          <w:trHeight w:val="45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6C9FCC92" w14:textId="77777777" w:rsidR="00975648" w:rsidRPr="003B0259" w:rsidRDefault="00975648" w:rsidP="000F1AD8">
            <w:pPr>
              <w:rPr>
                <w:color w:val="000000"/>
                <w:sz w:val="22"/>
                <w:szCs w:val="22"/>
              </w:rPr>
            </w:pPr>
            <w:r w:rsidRPr="003B0259">
              <w:rPr>
                <w:color w:val="000000"/>
                <w:sz w:val="22"/>
                <w:szCs w:val="22"/>
              </w:rPr>
              <w:t>Brasil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977E052" w14:textId="77777777" w:rsidR="00975648" w:rsidRPr="003B0259" w:rsidRDefault="00975648" w:rsidP="000F1AD8">
            <w:pPr>
              <w:jc w:val="center"/>
              <w:rPr>
                <w:color w:val="000000"/>
                <w:sz w:val="22"/>
                <w:szCs w:val="22"/>
              </w:rPr>
            </w:pPr>
            <w:r w:rsidRPr="003B0259">
              <w:rPr>
                <w:color w:val="000000"/>
                <w:sz w:val="22"/>
                <w:szCs w:val="22"/>
              </w:rPr>
              <w:t>33.900,00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16E57731" w14:textId="77777777" w:rsidR="00975648" w:rsidRPr="003B0259" w:rsidRDefault="00975648" w:rsidP="000F1AD8">
            <w:pPr>
              <w:rPr>
                <w:color w:val="000000"/>
                <w:sz w:val="22"/>
                <w:szCs w:val="22"/>
              </w:rPr>
            </w:pPr>
            <w:r w:rsidRPr="003B0259">
              <w:rPr>
                <w:color w:val="000000"/>
                <w:sz w:val="22"/>
                <w:szCs w:val="22"/>
              </w:rPr>
              <w:t>Cofinanciación de actividades de Cooperación bilateral y Taller Jóvenes (May 2008)</w:t>
            </w:r>
          </w:p>
        </w:tc>
      </w:tr>
      <w:tr w:rsidR="00975648" w:rsidRPr="003B0259" w14:paraId="70E614A0" w14:textId="77777777" w:rsidTr="000F1AD8">
        <w:trPr>
          <w:trHeight w:val="36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1AAD1970" w14:textId="77777777" w:rsidR="00975648" w:rsidRPr="003B0259" w:rsidRDefault="00975648" w:rsidP="000F1AD8">
            <w:pPr>
              <w:rPr>
                <w:color w:val="000000"/>
                <w:sz w:val="22"/>
                <w:szCs w:val="22"/>
              </w:rPr>
            </w:pPr>
            <w:r w:rsidRPr="003B0259">
              <w:rPr>
                <w:color w:val="000000"/>
                <w:sz w:val="22"/>
                <w:szCs w:val="22"/>
              </w:rPr>
              <w:t>OEA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DB59428" w14:textId="77777777" w:rsidR="00975648" w:rsidRPr="003B0259" w:rsidRDefault="00975648" w:rsidP="000F1AD8">
            <w:pPr>
              <w:jc w:val="center"/>
              <w:rPr>
                <w:color w:val="000000"/>
                <w:sz w:val="22"/>
                <w:szCs w:val="22"/>
              </w:rPr>
            </w:pPr>
            <w:r w:rsidRPr="003B0259">
              <w:rPr>
                <w:color w:val="000000"/>
                <w:sz w:val="22"/>
                <w:szCs w:val="22"/>
              </w:rPr>
              <w:t>320.000,00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3A01C4C2" w14:textId="77777777" w:rsidR="00975648" w:rsidRPr="003B0259" w:rsidRDefault="00975648" w:rsidP="000F1AD8">
            <w:pPr>
              <w:rPr>
                <w:color w:val="000000"/>
                <w:sz w:val="22"/>
                <w:szCs w:val="22"/>
              </w:rPr>
            </w:pPr>
            <w:r w:rsidRPr="003B0259">
              <w:rPr>
                <w:color w:val="000000"/>
                <w:sz w:val="22"/>
                <w:szCs w:val="22"/>
              </w:rPr>
              <w:t>Coordinación y operación de la RIAL</w:t>
            </w:r>
          </w:p>
        </w:tc>
      </w:tr>
      <w:tr w:rsidR="00975648" w:rsidRPr="003B0259" w14:paraId="005EDE0D" w14:textId="77777777" w:rsidTr="000F1AD8">
        <w:trPr>
          <w:trHeight w:val="40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45B22946" w14:textId="77777777" w:rsidR="00975648" w:rsidRPr="003B0259" w:rsidRDefault="00975648" w:rsidP="000F1A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B0259">
              <w:rPr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EE632AD" w14:textId="77777777" w:rsidR="00975648" w:rsidRPr="003B0259" w:rsidRDefault="00975648" w:rsidP="000F1AD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B0259">
              <w:rPr>
                <w:b/>
                <w:bCs/>
                <w:color w:val="000000"/>
                <w:sz w:val="22"/>
                <w:szCs w:val="22"/>
              </w:rPr>
              <w:t>$552.580,00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4033054B" w14:textId="77777777" w:rsidR="00975648" w:rsidRPr="003B0259" w:rsidRDefault="00975648" w:rsidP="000F1A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B02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527936FE" w14:textId="77777777" w:rsidR="00B563E9" w:rsidRPr="003B0259" w:rsidRDefault="00B563E9" w:rsidP="00975648">
      <w:pPr>
        <w:spacing w:line="250" w:lineRule="exact"/>
        <w:jc w:val="both"/>
        <w:rPr>
          <w:color w:val="000000"/>
          <w:sz w:val="22"/>
          <w:szCs w:val="22"/>
        </w:rPr>
        <w:sectPr w:rsidR="00B563E9" w:rsidRPr="003B0259" w:rsidSect="00FB4374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2240" w:h="15840"/>
          <w:pgMar w:top="2160" w:right="1570" w:bottom="1296" w:left="1699" w:header="864" w:footer="720" w:gutter="0"/>
          <w:pgNumType w:fmt="numberInDash" w:start="1"/>
          <w:cols w:space="720"/>
          <w:titlePg/>
          <w:docGrid w:linePitch="360"/>
        </w:sectPr>
      </w:pPr>
    </w:p>
    <w:p w14:paraId="5D131DF5" w14:textId="3316890E" w:rsidR="00717BD6" w:rsidRPr="00DC706C" w:rsidRDefault="00975648" w:rsidP="00972990">
      <w:pPr>
        <w:spacing w:line="250" w:lineRule="exact"/>
        <w:jc w:val="center"/>
        <w:rPr>
          <w:b/>
          <w:bCs/>
          <w:caps/>
          <w:color w:val="000000"/>
          <w:sz w:val="22"/>
          <w:szCs w:val="22"/>
        </w:rPr>
      </w:pPr>
      <w:r w:rsidRPr="00DC706C">
        <w:rPr>
          <w:b/>
          <w:bCs/>
          <w:caps/>
          <w:color w:val="000000"/>
          <w:sz w:val="22"/>
          <w:szCs w:val="22"/>
        </w:rPr>
        <w:lastRenderedPageBreak/>
        <w:t xml:space="preserve">Anexo 2 – Detalle de gastos 2011 </w:t>
      </w:r>
      <w:r w:rsidRPr="00C418FF">
        <w:rPr>
          <w:b/>
          <w:bCs/>
          <w:caps/>
          <w:sz w:val="22"/>
          <w:szCs w:val="22"/>
        </w:rPr>
        <w:t xml:space="preserve">A </w:t>
      </w:r>
      <w:r w:rsidR="007C1D55" w:rsidRPr="00C418FF">
        <w:rPr>
          <w:b/>
          <w:bCs/>
          <w:caps/>
          <w:sz w:val="22"/>
          <w:szCs w:val="22"/>
        </w:rPr>
        <w:t>SEPTIEMBRE</w:t>
      </w:r>
      <w:r w:rsidR="00DD6804" w:rsidRPr="00C418FF">
        <w:rPr>
          <w:b/>
          <w:bCs/>
          <w:caps/>
          <w:sz w:val="22"/>
          <w:szCs w:val="22"/>
        </w:rPr>
        <w:t xml:space="preserve"> </w:t>
      </w:r>
      <w:r w:rsidR="003734EE" w:rsidRPr="00C418FF">
        <w:rPr>
          <w:b/>
          <w:bCs/>
          <w:caps/>
          <w:sz w:val="22"/>
          <w:szCs w:val="22"/>
        </w:rPr>
        <w:t>202</w:t>
      </w:r>
      <w:r w:rsidR="008F1C1A" w:rsidRPr="00C418FF">
        <w:rPr>
          <w:b/>
          <w:bCs/>
          <w:caps/>
          <w:sz w:val="22"/>
          <w:szCs w:val="22"/>
        </w:rPr>
        <w:t>3</w:t>
      </w:r>
      <w:r w:rsidRPr="00C418FF">
        <w:rPr>
          <w:b/>
          <w:bCs/>
          <w:caps/>
          <w:sz w:val="22"/>
          <w:szCs w:val="22"/>
        </w:rPr>
        <w:t xml:space="preserve"> se</w:t>
      </w:r>
      <w:r w:rsidRPr="00DC706C">
        <w:rPr>
          <w:b/>
          <w:bCs/>
          <w:caps/>
          <w:sz w:val="22"/>
          <w:szCs w:val="22"/>
        </w:rPr>
        <w:t>gún</w:t>
      </w:r>
      <w:r w:rsidRPr="00DC706C">
        <w:rPr>
          <w:b/>
          <w:bCs/>
          <w:caps/>
          <w:color w:val="000000"/>
          <w:sz w:val="22"/>
          <w:szCs w:val="22"/>
        </w:rPr>
        <w:t xml:space="preserve"> fuente de financiamiento</w:t>
      </w:r>
      <w:r w:rsidR="00BE344D" w:rsidRPr="00DC706C">
        <w:rPr>
          <w:b/>
          <w:bCs/>
          <w:caps/>
          <w:color w:val="000000"/>
          <w:sz w:val="22"/>
          <w:szCs w:val="22"/>
        </w:rPr>
        <w:t xml:space="preserve"> </w:t>
      </w:r>
      <w:r w:rsidR="003B3DC4" w:rsidRPr="00DC706C">
        <w:rPr>
          <w:b/>
          <w:bCs/>
          <w:caps/>
          <w:color w:val="000000"/>
          <w:sz w:val="22"/>
          <w:szCs w:val="22"/>
        </w:rPr>
        <w:t>(1/2)</w:t>
      </w:r>
    </w:p>
    <w:p w14:paraId="0F3F96CE" w14:textId="1D04CA3C" w:rsidR="005F6586" w:rsidRPr="00DC706C" w:rsidRDefault="00BE344D" w:rsidP="00972990">
      <w:pPr>
        <w:spacing w:line="250" w:lineRule="exact"/>
        <w:jc w:val="center"/>
        <w:rPr>
          <w:color w:val="000000"/>
          <w:sz w:val="22"/>
          <w:szCs w:val="22"/>
        </w:rPr>
      </w:pPr>
      <w:r w:rsidRPr="00DC706C">
        <w:rPr>
          <w:bCs/>
          <w:i/>
          <w:color w:val="000000"/>
          <w:sz w:val="22"/>
          <w:szCs w:val="22"/>
        </w:rPr>
        <w:t>(En dólares estadounidenses</w:t>
      </w:r>
      <w:r w:rsidRPr="00DC706C">
        <w:rPr>
          <w:color w:val="000000"/>
          <w:sz w:val="22"/>
          <w:szCs w:val="22"/>
        </w:rPr>
        <w:t xml:space="preserve">) </w:t>
      </w:r>
    </w:p>
    <w:p w14:paraId="15890740" w14:textId="3BC4FFEE" w:rsidR="000F7EF1" w:rsidRDefault="000F5911" w:rsidP="00FC6397">
      <w:pPr>
        <w:spacing w:line="250" w:lineRule="exact"/>
        <w:rPr>
          <w:rFonts w:ascii="Trebuchet MS" w:hAnsi="Trebuchet MS" w:cs="Arial"/>
          <w:color w:val="000000"/>
          <w:sz w:val="20"/>
          <w:szCs w:val="20"/>
        </w:rPr>
      </w:pPr>
      <w:r w:rsidRPr="000F5911">
        <w:rPr>
          <w:noProof/>
        </w:rPr>
        <w:drawing>
          <wp:anchor distT="0" distB="0" distL="114300" distR="114300" simplePos="0" relativeHeight="251665411" behindDoc="0" locked="0" layoutInCell="1" allowOverlap="1" wp14:anchorId="2298DB71" wp14:editId="41578C8B">
            <wp:simplePos x="0" y="0"/>
            <wp:positionH relativeFrom="page">
              <wp:posOffset>1493520</wp:posOffset>
            </wp:positionH>
            <wp:positionV relativeFrom="paragraph">
              <wp:posOffset>93980</wp:posOffset>
            </wp:positionV>
            <wp:extent cx="7341502" cy="5974080"/>
            <wp:effectExtent l="0" t="0" r="0" b="762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7218" cy="5978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8698B8" w14:textId="1999C91C" w:rsidR="003B3DC4" w:rsidRDefault="003B3DC4" w:rsidP="00FC6397">
      <w:pPr>
        <w:spacing w:line="250" w:lineRule="exact"/>
        <w:rPr>
          <w:rFonts w:ascii="Trebuchet MS" w:hAnsi="Trebuchet MS" w:cs="Arial"/>
          <w:color w:val="000000"/>
          <w:sz w:val="20"/>
          <w:szCs w:val="20"/>
        </w:rPr>
      </w:pPr>
    </w:p>
    <w:p w14:paraId="7A8F20E4" w14:textId="438E6D4B" w:rsidR="003B3DC4" w:rsidRDefault="003B3DC4" w:rsidP="00FC6397">
      <w:pPr>
        <w:spacing w:line="250" w:lineRule="exact"/>
        <w:rPr>
          <w:rFonts w:ascii="Trebuchet MS" w:hAnsi="Trebuchet MS" w:cs="Arial"/>
          <w:color w:val="000000"/>
          <w:sz w:val="20"/>
          <w:szCs w:val="20"/>
        </w:rPr>
      </w:pPr>
    </w:p>
    <w:p w14:paraId="3F5C519F" w14:textId="4D6610AD" w:rsidR="003B3DC4" w:rsidRDefault="003B3DC4" w:rsidP="00FC6397">
      <w:pPr>
        <w:spacing w:line="250" w:lineRule="exact"/>
        <w:rPr>
          <w:rFonts w:ascii="Trebuchet MS" w:hAnsi="Trebuchet MS" w:cs="Arial"/>
          <w:color w:val="000000"/>
          <w:sz w:val="20"/>
          <w:szCs w:val="20"/>
        </w:rPr>
      </w:pPr>
    </w:p>
    <w:p w14:paraId="3E1D06C0" w14:textId="77777777" w:rsidR="003B3DC4" w:rsidRDefault="003B3DC4" w:rsidP="00FC6397">
      <w:pPr>
        <w:spacing w:line="250" w:lineRule="exact"/>
        <w:rPr>
          <w:rFonts w:ascii="Trebuchet MS" w:hAnsi="Trebuchet MS" w:cs="Arial"/>
          <w:color w:val="000000"/>
          <w:sz w:val="20"/>
          <w:szCs w:val="20"/>
        </w:rPr>
      </w:pPr>
    </w:p>
    <w:p w14:paraId="508768E2" w14:textId="77777777" w:rsidR="003B3DC4" w:rsidRDefault="003B3DC4" w:rsidP="00FC6397">
      <w:pPr>
        <w:spacing w:line="250" w:lineRule="exact"/>
        <w:rPr>
          <w:rFonts w:ascii="Trebuchet MS" w:hAnsi="Trebuchet MS" w:cs="Arial"/>
          <w:color w:val="000000"/>
          <w:sz w:val="20"/>
          <w:szCs w:val="20"/>
        </w:rPr>
      </w:pPr>
    </w:p>
    <w:p w14:paraId="3693F965" w14:textId="3518A3B9" w:rsidR="003B3DC4" w:rsidRDefault="003B3DC4" w:rsidP="00FC6397">
      <w:pPr>
        <w:spacing w:line="250" w:lineRule="exact"/>
        <w:rPr>
          <w:rFonts w:ascii="Trebuchet MS" w:hAnsi="Trebuchet MS" w:cs="Arial"/>
          <w:color w:val="000000"/>
          <w:sz w:val="20"/>
          <w:szCs w:val="20"/>
        </w:rPr>
      </w:pPr>
    </w:p>
    <w:p w14:paraId="7813E9FA" w14:textId="77777777" w:rsidR="003B3DC4" w:rsidRDefault="003B3DC4" w:rsidP="00FC6397">
      <w:pPr>
        <w:spacing w:line="250" w:lineRule="exact"/>
        <w:rPr>
          <w:rFonts w:ascii="Trebuchet MS" w:hAnsi="Trebuchet MS" w:cs="Arial"/>
          <w:color w:val="000000"/>
          <w:sz w:val="20"/>
          <w:szCs w:val="20"/>
        </w:rPr>
      </w:pPr>
    </w:p>
    <w:p w14:paraId="4A8331A2" w14:textId="77777777" w:rsidR="003B3DC4" w:rsidRDefault="003B3DC4" w:rsidP="00FC6397">
      <w:pPr>
        <w:spacing w:line="250" w:lineRule="exact"/>
        <w:rPr>
          <w:rFonts w:ascii="Trebuchet MS" w:hAnsi="Trebuchet MS" w:cs="Arial"/>
          <w:color w:val="000000"/>
          <w:sz w:val="20"/>
          <w:szCs w:val="20"/>
        </w:rPr>
      </w:pPr>
    </w:p>
    <w:p w14:paraId="68C5AC1D" w14:textId="77777777" w:rsidR="003B3DC4" w:rsidRDefault="003B3DC4" w:rsidP="00FC6397">
      <w:pPr>
        <w:spacing w:line="250" w:lineRule="exact"/>
        <w:rPr>
          <w:rFonts w:ascii="Trebuchet MS" w:hAnsi="Trebuchet MS" w:cs="Arial"/>
          <w:color w:val="000000"/>
          <w:sz w:val="20"/>
          <w:szCs w:val="20"/>
        </w:rPr>
      </w:pPr>
    </w:p>
    <w:p w14:paraId="071B71D9" w14:textId="77777777" w:rsidR="003B3DC4" w:rsidRDefault="003B3DC4" w:rsidP="00FC6397">
      <w:pPr>
        <w:spacing w:line="250" w:lineRule="exact"/>
        <w:rPr>
          <w:rFonts w:ascii="Trebuchet MS" w:hAnsi="Trebuchet MS" w:cs="Arial"/>
          <w:color w:val="000000"/>
          <w:sz w:val="20"/>
          <w:szCs w:val="20"/>
        </w:rPr>
      </w:pPr>
    </w:p>
    <w:p w14:paraId="59839132" w14:textId="77777777" w:rsidR="003B3DC4" w:rsidRDefault="003B3DC4" w:rsidP="00FC6397">
      <w:pPr>
        <w:spacing w:line="250" w:lineRule="exact"/>
        <w:rPr>
          <w:rFonts w:ascii="Trebuchet MS" w:hAnsi="Trebuchet MS" w:cs="Arial"/>
          <w:color w:val="000000"/>
          <w:sz w:val="20"/>
          <w:szCs w:val="20"/>
        </w:rPr>
      </w:pPr>
    </w:p>
    <w:p w14:paraId="1286EA42" w14:textId="77777777" w:rsidR="003B3DC4" w:rsidRDefault="003B3DC4" w:rsidP="00FC6397">
      <w:pPr>
        <w:spacing w:line="250" w:lineRule="exact"/>
        <w:rPr>
          <w:rFonts w:ascii="Trebuchet MS" w:hAnsi="Trebuchet MS" w:cs="Arial"/>
          <w:color w:val="000000"/>
          <w:sz w:val="20"/>
          <w:szCs w:val="20"/>
        </w:rPr>
      </w:pPr>
    </w:p>
    <w:p w14:paraId="0BD9ACE2" w14:textId="77777777" w:rsidR="003B3DC4" w:rsidRDefault="003B3DC4" w:rsidP="00FC6397">
      <w:pPr>
        <w:spacing w:line="250" w:lineRule="exact"/>
        <w:rPr>
          <w:rFonts w:ascii="Trebuchet MS" w:hAnsi="Trebuchet MS" w:cs="Arial"/>
          <w:color w:val="000000"/>
          <w:sz w:val="20"/>
          <w:szCs w:val="20"/>
        </w:rPr>
      </w:pPr>
    </w:p>
    <w:p w14:paraId="393B86AA" w14:textId="77777777" w:rsidR="003B3DC4" w:rsidRDefault="003B3DC4" w:rsidP="00FC6397">
      <w:pPr>
        <w:spacing w:line="250" w:lineRule="exact"/>
        <w:rPr>
          <w:rFonts w:ascii="Trebuchet MS" w:hAnsi="Trebuchet MS" w:cs="Arial"/>
          <w:color w:val="000000"/>
          <w:sz w:val="20"/>
          <w:szCs w:val="20"/>
        </w:rPr>
      </w:pPr>
    </w:p>
    <w:p w14:paraId="02ECA931" w14:textId="77777777" w:rsidR="003B3DC4" w:rsidRDefault="003B3DC4" w:rsidP="00FC6397">
      <w:pPr>
        <w:spacing w:line="250" w:lineRule="exact"/>
        <w:rPr>
          <w:rFonts w:ascii="Trebuchet MS" w:hAnsi="Trebuchet MS" w:cs="Arial"/>
          <w:color w:val="000000"/>
          <w:sz w:val="20"/>
          <w:szCs w:val="20"/>
        </w:rPr>
      </w:pPr>
    </w:p>
    <w:p w14:paraId="050A7751" w14:textId="77777777" w:rsidR="003B3DC4" w:rsidRDefault="003B3DC4" w:rsidP="00FC6397">
      <w:pPr>
        <w:spacing w:line="250" w:lineRule="exact"/>
        <w:rPr>
          <w:rFonts w:ascii="Trebuchet MS" w:hAnsi="Trebuchet MS" w:cs="Arial"/>
          <w:color w:val="000000"/>
          <w:sz w:val="20"/>
          <w:szCs w:val="20"/>
        </w:rPr>
      </w:pPr>
    </w:p>
    <w:p w14:paraId="1D6A214E" w14:textId="77777777" w:rsidR="003B3DC4" w:rsidRDefault="003B3DC4" w:rsidP="00FC6397">
      <w:pPr>
        <w:spacing w:line="250" w:lineRule="exact"/>
        <w:rPr>
          <w:rFonts w:ascii="Trebuchet MS" w:hAnsi="Trebuchet MS" w:cs="Arial"/>
          <w:color w:val="000000"/>
          <w:sz w:val="20"/>
          <w:szCs w:val="20"/>
        </w:rPr>
      </w:pPr>
    </w:p>
    <w:p w14:paraId="254807C5" w14:textId="5B7EE242" w:rsidR="003B3DC4" w:rsidRDefault="003B3DC4" w:rsidP="00FC6397">
      <w:pPr>
        <w:spacing w:line="250" w:lineRule="exact"/>
        <w:rPr>
          <w:rFonts w:ascii="Trebuchet MS" w:hAnsi="Trebuchet MS" w:cs="Arial"/>
          <w:color w:val="000000"/>
          <w:sz w:val="20"/>
          <w:szCs w:val="20"/>
        </w:rPr>
      </w:pPr>
    </w:p>
    <w:p w14:paraId="6A79A152" w14:textId="77777777" w:rsidR="003B3DC4" w:rsidRDefault="003B3DC4" w:rsidP="00FC6397">
      <w:pPr>
        <w:spacing w:line="250" w:lineRule="exact"/>
        <w:rPr>
          <w:rFonts w:ascii="Trebuchet MS" w:hAnsi="Trebuchet MS" w:cs="Arial"/>
          <w:color w:val="000000"/>
          <w:sz w:val="20"/>
          <w:szCs w:val="20"/>
        </w:rPr>
      </w:pPr>
    </w:p>
    <w:p w14:paraId="3519B80A" w14:textId="77777777" w:rsidR="003B3DC4" w:rsidRDefault="003B3DC4" w:rsidP="00FC6397">
      <w:pPr>
        <w:spacing w:line="250" w:lineRule="exact"/>
        <w:rPr>
          <w:rFonts w:ascii="Trebuchet MS" w:hAnsi="Trebuchet MS" w:cs="Arial"/>
          <w:color w:val="000000"/>
          <w:sz w:val="20"/>
          <w:szCs w:val="20"/>
        </w:rPr>
      </w:pPr>
    </w:p>
    <w:p w14:paraId="027E6FB5" w14:textId="77777777" w:rsidR="003B3DC4" w:rsidRDefault="003B3DC4" w:rsidP="00FC6397">
      <w:pPr>
        <w:spacing w:line="250" w:lineRule="exact"/>
        <w:rPr>
          <w:rFonts w:ascii="Trebuchet MS" w:hAnsi="Trebuchet MS" w:cs="Arial"/>
          <w:color w:val="000000"/>
          <w:sz w:val="20"/>
          <w:szCs w:val="20"/>
        </w:rPr>
      </w:pPr>
    </w:p>
    <w:p w14:paraId="009BB12A" w14:textId="77777777" w:rsidR="003B3DC4" w:rsidRDefault="003B3DC4" w:rsidP="00FC6397">
      <w:pPr>
        <w:spacing w:line="250" w:lineRule="exact"/>
        <w:rPr>
          <w:rFonts w:ascii="Trebuchet MS" w:hAnsi="Trebuchet MS" w:cs="Arial"/>
          <w:color w:val="000000"/>
          <w:sz w:val="20"/>
          <w:szCs w:val="20"/>
        </w:rPr>
      </w:pPr>
    </w:p>
    <w:p w14:paraId="3BA5F461" w14:textId="77777777" w:rsidR="003B3DC4" w:rsidRDefault="003B3DC4" w:rsidP="00FC6397">
      <w:pPr>
        <w:spacing w:line="250" w:lineRule="exact"/>
        <w:rPr>
          <w:rFonts w:ascii="Trebuchet MS" w:hAnsi="Trebuchet MS" w:cs="Arial"/>
          <w:color w:val="000000"/>
          <w:sz w:val="20"/>
          <w:szCs w:val="20"/>
        </w:rPr>
      </w:pPr>
    </w:p>
    <w:p w14:paraId="699E6D86" w14:textId="6F44B17C" w:rsidR="003B3DC4" w:rsidRDefault="003B3DC4" w:rsidP="00FC6397">
      <w:pPr>
        <w:spacing w:line="250" w:lineRule="exact"/>
        <w:rPr>
          <w:rFonts w:ascii="Trebuchet MS" w:hAnsi="Trebuchet MS" w:cs="Arial"/>
          <w:color w:val="000000"/>
          <w:sz w:val="20"/>
          <w:szCs w:val="20"/>
        </w:rPr>
      </w:pPr>
    </w:p>
    <w:p w14:paraId="13B7636B" w14:textId="30E712CC" w:rsidR="003B3DC4" w:rsidRDefault="003B3DC4" w:rsidP="00FC6397">
      <w:pPr>
        <w:spacing w:line="250" w:lineRule="exact"/>
        <w:rPr>
          <w:rFonts w:ascii="Trebuchet MS" w:hAnsi="Trebuchet MS" w:cs="Arial"/>
          <w:color w:val="000000"/>
          <w:sz w:val="20"/>
          <w:szCs w:val="20"/>
        </w:rPr>
      </w:pPr>
    </w:p>
    <w:p w14:paraId="7532A73E" w14:textId="068C9FF2" w:rsidR="003B3DC4" w:rsidRDefault="003B3DC4" w:rsidP="00FC6397">
      <w:pPr>
        <w:spacing w:line="250" w:lineRule="exact"/>
        <w:rPr>
          <w:rFonts w:ascii="Trebuchet MS" w:hAnsi="Trebuchet MS" w:cs="Arial"/>
          <w:color w:val="000000"/>
          <w:sz w:val="20"/>
          <w:szCs w:val="20"/>
        </w:rPr>
      </w:pPr>
    </w:p>
    <w:p w14:paraId="41B2D052" w14:textId="03FEB1EB" w:rsidR="003B3DC4" w:rsidRDefault="003B3DC4" w:rsidP="00FC6397">
      <w:pPr>
        <w:spacing w:line="250" w:lineRule="exact"/>
        <w:rPr>
          <w:rFonts w:ascii="Trebuchet MS" w:hAnsi="Trebuchet MS" w:cs="Arial"/>
          <w:color w:val="000000"/>
          <w:sz w:val="20"/>
          <w:szCs w:val="20"/>
        </w:rPr>
      </w:pPr>
    </w:p>
    <w:p w14:paraId="77F51314" w14:textId="202B06DD" w:rsidR="003B3DC4" w:rsidRDefault="003B3DC4" w:rsidP="00FC6397">
      <w:pPr>
        <w:spacing w:line="250" w:lineRule="exact"/>
        <w:rPr>
          <w:rFonts w:ascii="Trebuchet MS" w:hAnsi="Trebuchet MS" w:cs="Arial"/>
          <w:color w:val="000000"/>
          <w:sz w:val="20"/>
          <w:szCs w:val="20"/>
        </w:rPr>
      </w:pPr>
    </w:p>
    <w:p w14:paraId="1AE23F47" w14:textId="0ADA17C2" w:rsidR="003B3DC4" w:rsidRDefault="003B3DC4" w:rsidP="00FC6397">
      <w:pPr>
        <w:spacing w:line="250" w:lineRule="exact"/>
        <w:rPr>
          <w:rFonts w:ascii="Trebuchet MS" w:hAnsi="Trebuchet MS" w:cs="Arial"/>
          <w:color w:val="000000"/>
          <w:sz w:val="20"/>
          <w:szCs w:val="20"/>
        </w:rPr>
      </w:pPr>
    </w:p>
    <w:p w14:paraId="1076C5A9" w14:textId="15A15CE4" w:rsidR="003B3DC4" w:rsidRDefault="003B3DC4" w:rsidP="00FC6397">
      <w:pPr>
        <w:spacing w:line="250" w:lineRule="exact"/>
        <w:rPr>
          <w:rFonts w:ascii="Trebuchet MS" w:hAnsi="Trebuchet MS" w:cs="Arial"/>
          <w:color w:val="000000"/>
          <w:sz w:val="20"/>
          <w:szCs w:val="20"/>
        </w:rPr>
      </w:pPr>
    </w:p>
    <w:p w14:paraId="375737DF" w14:textId="7DFF4BFA" w:rsidR="003B3DC4" w:rsidRDefault="003B3DC4" w:rsidP="00FC6397">
      <w:pPr>
        <w:spacing w:line="250" w:lineRule="exact"/>
        <w:rPr>
          <w:rFonts w:ascii="Trebuchet MS" w:hAnsi="Trebuchet MS" w:cs="Arial"/>
          <w:color w:val="000000"/>
          <w:sz w:val="20"/>
          <w:szCs w:val="20"/>
        </w:rPr>
      </w:pPr>
    </w:p>
    <w:p w14:paraId="36A57CD6" w14:textId="39C39CE0" w:rsidR="003B3DC4" w:rsidRDefault="003B3DC4" w:rsidP="00FC6397">
      <w:pPr>
        <w:spacing w:line="250" w:lineRule="exact"/>
        <w:rPr>
          <w:rFonts w:ascii="Trebuchet MS" w:hAnsi="Trebuchet MS" w:cs="Arial"/>
          <w:color w:val="000000"/>
          <w:sz w:val="20"/>
          <w:szCs w:val="20"/>
        </w:rPr>
      </w:pPr>
    </w:p>
    <w:p w14:paraId="3E1B9D70" w14:textId="7F199DE0" w:rsidR="003B3DC4" w:rsidRDefault="003B3DC4" w:rsidP="00FC6397">
      <w:pPr>
        <w:spacing w:line="250" w:lineRule="exact"/>
        <w:rPr>
          <w:rFonts w:ascii="Trebuchet MS" w:hAnsi="Trebuchet MS" w:cs="Arial"/>
          <w:color w:val="000000"/>
          <w:sz w:val="20"/>
          <w:szCs w:val="20"/>
        </w:rPr>
      </w:pPr>
    </w:p>
    <w:p w14:paraId="25A79EC9" w14:textId="77777777" w:rsidR="003B3DC4" w:rsidRDefault="003B3DC4" w:rsidP="00FC6397">
      <w:pPr>
        <w:spacing w:line="250" w:lineRule="exact"/>
        <w:rPr>
          <w:rFonts w:ascii="Trebuchet MS" w:hAnsi="Trebuchet MS" w:cs="Arial"/>
          <w:color w:val="000000"/>
          <w:sz w:val="20"/>
          <w:szCs w:val="20"/>
        </w:rPr>
      </w:pPr>
    </w:p>
    <w:p w14:paraId="5B9C1A45" w14:textId="0FBF0E59" w:rsidR="003B3DC4" w:rsidRPr="00FC6397" w:rsidRDefault="003B3DC4" w:rsidP="00FC6397">
      <w:pPr>
        <w:spacing w:line="250" w:lineRule="exact"/>
        <w:rPr>
          <w:rFonts w:ascii="Trebuchet MS" w:hAnsi="Trebuchet MS" w:cs="Arial"/>
          <w:color w:val="000000"/>
          <w:sz w:val="20"/>
          <w:szCs w:val="20"/>
        </w:rPr>
      </w:pPr>
    </w:p>
    <w:p w14:paraId="78548CA2" w14:textId="70E38E36" w:rsidR="003B3DC4" w:rsidRPr="00DC706C" w:rsidRDefault="003B3DC4" w:rsidP="003B3DC4">
      <w:pPr>
        <w:spacing w:line="250" w:lineRule="exact"/>
        <w:jc w:val="center"/>
        <w:rPr>
          <w:b/>
          <w:bCs/>
          <w:caps/>
          <w:color w:val="000000"/>
          <w:sz w:val="22"/>
          <w:szCs w:val="22"/>
        </w:rPr>
      </w:pPr>
      <w:r w:rsidRPr="00DC706C">
        <w:rPr>
          <w:b/>
          <w:bCs/>
          <w:caps/>
          <w:color w:val="000000"/>
          <w:sz w:val="22"/>
          <w:szCs w:val="22"/>
        </w:rPr>
        <w:t>Anexo 2 – Detalle de gastos</w:t>
      </w:r>
      <w:r w:rsidRPr="00C418FF">
        <w:rPr>
          <w:b/>
          <w:bCs/>
          <w:caps/>
          <w:sz w:val="22"/>
          <w:szCs w:val="22"/>
        </w:rPr>
        <w:t xml:space="preserve"> 2011 A </w:t>
      </w:r>
      <w:r w:rsidR="007C1D55" w:rsidRPr="00C418FF">
        <w:rPr>
          <w:b/>
          <w:bCs/>
          <w:caps/>
          <w:sz w:val="22"/>
          <w:szCs w:val="22"/>
        </w:rPr>
        <w:t>SEPTIEMBRE</w:t>
      </w:r>
      <w:r w:rsidRPr="00C418FF">
        <w:rPr>
          <w:b/>
          <w:bCs/>
          <w:caps/>
          <w:sz w:val="22"/>
          <w:szCs w:val="22"/>
        </w:rPr>
        <w:t xml:space="preserve"> 202</w:t>
      </w:r>
      <w:r w:rsidR="008F1C1A" w:rsidRPr="00C418FF">
        <w:rPr>
          <w:b/>
          <w:bCs/>
          <w:caps/>
          <w:sz w:val="22"/>
          <w:szCs w:val="22"/>
        </w:rPr>
        <w:t>3</w:t>
      </w:r>
      <w:r w:rsidRPr="00C418FF">
        <w:rPr>
          <w:b/>
          <w:bCs/>
          <w:caps/>
          <w:sz w:val="22"/>
          <w:szCs w:val="22"/>
        </w:rPr>
        <w:t xml:space="preserve"> según </w:t>
      </w:r>
      <w:r w:rsidRPr="00DC706C">
        <w:rPr>
          <w:b/>
          <w:bCs/>
          <w:caps/>
          <w:color w:val="000000"/>
          <w:sz w:val="22"/>
          <w:szCs w:val="22"/>
        </w:rPr>
        <w:t>fuente de financiamiento (2/2)</w:t>
      </w:r>
    </w:p>
    <w:p w14:paraId="5EA41DF5" w14:textId="2929CB2F" w:rsidR="003B3DC4" w:rsidRPr="00DC706C" w:rsidRDefault="003B3DC4" w:rsidP="003B3DC4">
      <w:pPr>
        <w:spacing w:line="250" w:lineRule="exact"/>
        <w:jc w:val="center"/>
        <w:rPr>
          <w:color w:val="000000"/>
          <w:sz w:val="22"/>
          <w:szCs w:val="22"/>
        </w:rPr>
      </w:pPr>
      <w:r w:rsidRPr="00DC706C">
        <w:rPr>
          <w:bCs/>
          <w:i/>
          <w:color w:val="000000"/>
          <w:sz w:val="22"/>
          <w:szCs w:val="22"/>
        </w:rPr>
        <w:t>(En dólares estadounidenses</w:t>
      </w:r>
      <w:r w:rsidRPr="00DC706C">
        <w:rPr>
          <w:color w:val="000000"/>
          <w:sz w:val="22"/>
          <w:szCs w:val="22"/>
        </w:rPr>
        <w:t xml:space="preserve">) </w:t>
      </w:r>
    </w:p>
    <w:p w14:paraId="44E7CE62" w14:textId="2D2E48F4" w:rsidR="007C3BA0" w:rsidRDefault="007C3BA0" w:rsidP="00B563E9">
      <w:pPr>
        <w:spacing w:line="250" w:lineRule="exact"/>
        <w:jc w:val="center"/>
        <w:rPr>
          <w:rFonts w:ascii="Trebuchet MS" w:hAnsi="Trebuchet MS" w:cs="Arial"/>
          <w:b/>
          <w:bCs/>
          <w:caps/>
          <w:color w:val="000000"/>
          <w:sz w:val="20"/>
          <w:szCs w:val="20"/>
        </w:rPr>
      </w:pPr>
    </w:p>
    <w:p w14:paraId="3CBE2452" w14:textId="3CA58801" w:rsidR="00935A24" w:rsidRDefault="00935A24" w:rsidP="00B563E9">
      <w:pPr>
        <w:spacing w:line="250" w:lineRule="exact"/>
        <w:jc w:val="center"/>
        <w:rPr>
          <w:rFonts w:ascii="Trebuchet MS" w:hAnsi="Trebuchet MS" w:cs="Arial"/>
          <w:b/>
          <w:bCs/>
          <w:caps/>
          <w:color w:val="000000"/>
          <w:sz w:val="20"/>
          <w:szCs w:val="20"/>
        </w:rPr>
      </w:pPr>
    </w:p>
    <w:p w14:paraId="0BE55EEB" w14:textId="63B17B06" w:rsidR="002F593E" w:rsidRPr="003E3D1D" w:rsidRDefault="00187901" w:rsidP="00B563E9">
      <w:pPr>
        <w:spacing w:line="250" w:lineRule="exact"/>
        <w:jc w:val="center"/>
        <w:rPr>
          <w:rFonts w:ascii="Trebuchet MS" w:hAnsi="Trebuchet MS" w:cs="Arial"/>
          <w:b/>
          <w:bCs/>
          <w:caps/>
          <w:color w:val="000000"/>
          <w:sz w:val="20"/>
          <w:szCs w:val="20"/>
        </w:rPr>
      </w:pPr>
      <w:r w:rsidRPr="00187901">
        <w:rPr>
          <w:noProof/>
        </w:rPr>
        <w:drawing>
          <wp:anchor distT="0" distB="0" distL="114300" distR="114300" simplePos="0" relativeHeight="251666435" behindDoc="0" locked="0" layoutInCell="1" allowOverlap="1" wp14:anchorId="21DCFF01" wp14:editId="094E5C5F">
            <wp:simplePos x="0" y="0"/>
            <wp:positionH relativeFrom="column">
              <wp:posOffset>655320</wp:posOffset>
            </wp:positionH>
            <wp:positionV relativeFrom="line">
              <wp:posOffset>131445</wp:posOffset>
            </wp:positionV>
            <wp:extent cx="7513320" cy="4667491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3320" cy="4667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593E" w:rsidRPr="003E3D1D" w:rsidSect="00935A24">
      <w:footerReference w:type="default" r:id="rId21"/>
      <w:pgSz w:w="15840" w:h="12240" w:orient="landscape" w:code="1"/>
      <w:pgMar w:top="792" w:right="720" w:bottom="1570" w:left="1296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87450" w14:textId="77777777" w:rsidR="00CF2F30" w:rsidRDefault="00CF2F30">
      <w:r>
        <w:separator/>
      </w:r>
    </w:p>
  </w:endnote>
  <w:endnote w:type="continuationSeparator" w:id="0">
    <w:p w14:paraId="56FB7034" w14:textId="77777777" w:rsidR="00CF2F30" w:rsidRDefault="00CF2F30">
      <w:r>
        <w:continuationSeparator/>
      </w:r>
    </w:p>
  </w:endnote>
  <w:endnote w:type="continuationNotice" w:id="1">
    <w:p w14:paraId="7FD63332" w14:textId="77777777" w:rsidR="00CF2F30" w:rsidRDefault="00CF2F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94D48" w14:textId="5753BC4D" w:rsidR="000F1AD8" w:rsidRPr="00B563E9" w:rsidRDefault="000F1AD8" w:rsidP="00E15A7F">
    <w:pPr>
      <w:pStyle w:val="Footer"/>
      <w:framePr w:wrap="around" w:vAnchor="text" w:hAnchor="margin" w:xAlign="right" w:y="1"/>
      <w:rPr>
        <w:rStyle w:val="PageNumber"/>
      </w:rPr>
    </w:pPr>
    <w:r w:rsidRPr="00B563E9">
      <w:rPr>
        <w:rStyle w:val="PageNumber"/>
      </w:rPr>
      <w:fldChar w:fldCharType="begin"/>
    </w:r>
    <w:r w:rsidRPr="00B563E9">
      <w:rPr>
        <w:rStyle w:val="PageNumber"/>
      </w:rPr>
      <w:instrText xml:space="preserve">PAGE  </w:instrText>
    </w:r>
    <w:r w:rsidRPr="00B563E9">
      <w:rPr>
        <w:rStyle w:val="PageNumber"/>
      </w:rPr>
      <w:fldChar w:fldCharType="separate"/>
    </w:r>
    <w:r w:rsidR="007F7105">
      <w:rPr>
        <w:rStyle w:val="PageNumber"/>
        <w:noProof/>
      </w:rPr>
      <w:t>- 5 -</w:t>
    </w:r>
    <w:r w:rsidRPr="00B563E9">
      <w:rPr>
        <w:rStyle w:val="PageNumber"/>
      </w:rPr>
      <w:fldChar w:fldCharType="end"/>
    </w:r>
  </w:p>
  <w:p w14:paraId="7166931A" w14:textId="77777777" w:rsidR="000F1AD8" w:rsidRPr="00B563E9" w:rsidRDefault="000F1AD8" w:rsidP="000F1AD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EE98E" w14:textId="77777777" w:rsidR="000F1AD8" w:rsidRPr="00B563E9" w:rsidRDefault="000F1AD8" w:rsidP="00B563E9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51005" w14:textId="789422E7" w:rsidR="00B563E9" w:rsidRPr="00B563E9" w:rsidRDefault="00B563E9" w:rsidP="00A6173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6ACE0" w14:textId="77777777" w:rsidR="00CF2F30" w:rsidRDefault="00CF2F30">
      <w:r>
        <w:separator/>
      </w:r>
    </w:p>
  </w:footnote>
  <w:footnote w:type="continuationSeparator" w:id="0">
    <w:p w14:paraId="6D336688" w14:textId="77777777" w:rsidR="00CF2F30" w:rsidRDefault="00CF2F30">
      <w:r>
        <w:continuationSeparator/>
      </w:r>
    </w:p>
  </w:footnote>
  <w:footnote w:type="continuationNotice" w:id="1">
    <w:p w14:paraId="3298D956" w14:textId="77777777" w:rsidR="00CF2F30" w:rsidRDefault="00CF2F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891DC" w14:textId="69042927" w:rsidR="000F1AD8" w:rsidRDefault="000F1AD8" w:rsidP="000F1A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7105">
      <w:rPr>
        <w:rStyle w:val="PageNumber"/>
        <w:noProof/>
      </w:rPr>
      <w:t>- 3 -</w:t>
    </w:r>
    <w:r>
      <w:rPr>
        <w:rStyle w:val="PageNumber"/>
      </w:rPr>
      <w:fldChar w:fldCharType="end"/>
    </w:r>
  </w:p>
  <w:p w14:paraId="0B5086C8" w14:textId="77777777" w:rsidR="000F1AD8" w:rsidRDefault="000F1A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90660488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A2043F7" w14:textId="0837EFEB" w:rsidR="00FB4374" w:rsidRPr="00CA7AFE" w:rsidRDefault="00FB4374" w:rsidP="009F5008">
        <w:pPr>
          <w:pStyle w:val="Header"/>
          <w:tabs>
            <w:tab w:val="clear" w:pos="4320"/>
            <w:tab w:val="center" w:pos="3780"/>
            <w:tab w:val="left" w:pos="10260"/>
          </w:tabs>
          <w:ind w:right="-29"/>
          <w:jc w:val="center"/>
          <w:rPr>
            <w:sz w:val="22"/>
            <w:szCs w:val="22"/>
          </w:rPr>
        </w:pPr>
        <w:r w:rsidRPr="00CA7AFE">
          <w:rPr>
            <w:sz w:val="22"/>
            <w:szCs w:val="22"/>
          </w:rPr>
          <w:fldChar w:fldCharType="begin"/>
        </w:r>
        <w:r w:rsidRPr="00CA7AFE">
          <w:rPr>
            <w:sz w:val="22"/>
            <w:szCs w:val="22"/>
          </w:rPr>
          <w:instrText xml:space="preserve"> PAGE   \* MERGEFORMAT </w:instrText>
        </w:r>
        <w:r w:rsidRPr="00CA7AFE">
          <w:rPr>
            <w:sz w:val="22"/>
            <w:szCs w:val="22"/>
          </w:rPr>
          <w:fldChar w:fldCharType="separate"/>
        </w:r>
        <w:r w:rsidRPr="00CA7AFE">
          <w:rPr>
            <w:noProof/>
            <w:sz w:val="22"/>
            <w:szCs w:val="22"/>
          </w:rPr>
          <w:t>2</w:t>
        </w:r>
        <w:r w:rsidRPr="00CA7AFE">
          <w:rPr>
            <w:noProof/>
            <w:sz w:val="22"/>
            <w:szCs w:val="22"/>
          </w:rPr>
          <w:fldChar w:fldCharType="end"/>
        </w:r>
      </w:p>
    </w:sdtContent>
  </w:sdt>
  <w:p w14:paraId="2481C66F" w14:textId="77777777" w:rsidR="003E4446" w:rsidRDefault="003E44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6B1D5" w14:textId="2FA74992" w:rsidR="00814E17" w:rsidRDefault="000753B1" w:rsidP="00814E17">
    <w:pPr>
      <w:pStyle w:val="Header"/>
      <w:rPr>
        <w:sz w:val="20"/>
        <w:lang w:val="es-CO"/>
      </w:rPr>
    </w:pPr>
    <w:r>
      <w:rPr>
        <w:noProof/>
        <w:lang w:val="en-US"/>
      </w:rPr>
      <w:drawing>
        <wp:anchor distT="0" distB="0" distL="114300" distR="114300" simplePos="0" relativeHeight="251658243" behindDoc="0" locked="0" layoutInCell="1" allowOverlap="1" wp14:anchorId="0E8A3BDE" wp14:editId="5692DCBF">
          <wp:simplePos x="0" y="0"/>
          <wp:positionH relativeFrom="column">
            <wp:posOffset>4931410</wp:posOffset>
          </wp:positionH>
          <wp:positionV relativeFrom="paragraph">
            <wp:posOffset>-193675</wp:posOffset>
          </wp:positionV>
          <wp:extent cx="1104900" cy="774700"/>
          <wp:effectExtent l="0" t="0" r="0" b="6350"/>
          <wp:wrapNone/>
          <wp:docPr id="25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5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C2BCE">
      <w:rPr>
        <w:noProof/>
        <w:lang w:val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064FFA" wp14:editId="4948D17B">
              <wp:simplePos x="0" y="0"/>
              <wp:positionH relativeFrom="column">
                <wp:posOffset>149225</wp:posOffset>
              </wp:positionH>
              <wp:positionV relativeFrom="paragraph">
                <wp:posOffset>-150495</wp:posOffset>
              </wp:positionV>
              <wp:extent cx="4752975" cy="731520"/>
              <wp:effectExtent l="0" t="0" r="9525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2975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299673" w14:textId="604FDE8F" w:rsidR="00814E17" w:rsidRDefault="00814E17" w:rsidP="00814E17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>ORGANIZACION DE LOS ESTADOS AMERICANO</w:t>
                          </w:r>
                          <w:r w:rsidR="001C2BCE">
                            <w:rPr>
                              <w:rFonts w:ascii="Garamond" w:hAnsi="Garamond"/>
                              <w:b/>
                              <w:sz w:val="28"/>
                            </w:rPr>
                            <w:t>S</w:t>
                          </w: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>S</w:t>
                          </w:r>
                        </w:p>
                        <w:p w14:paraId="6D7D6635" w14:textId="77777777" w:rsidR="00814E17" w:rsidRDefault="00814E17" w:rsidP="00814E17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>Consejo Interamericano para el Desarrollo Integral</w:t>
                          </w:r>
                        </w:p>
                        <w:p w14:paraId="7EC6F471" w14:textId="77777777" w:rsidR="00814E17" w:rsidRDefault="00814E17" w:rsidP="00814E17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064FF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1.75pt;margin-top:-11.85pt;width:374.25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79M9AEAAMoDAAAOAAAAZHJzL2Uyb0RvYy54bWysU9uO0zAQfUfiHyy/0zSlpWzUdLV0VYS0&#10;XKSFD3AcJ7FwPGbsNilfz9jpdqvlDZEHy+Oxz8w5c7K5HXvDjgq9BlvyfDbnTFkJtbZtyX983795&#10;z5kPwtbCgFUlPynPb7evX20GV6gFdGBqhYxArC8GV/IuBFdkmZed6oWfgVOWkg1gLwKF2GY1ioHQ&#10;e5Mt5vN32QBYOwSpvKfT+ynJtwm/aZQMX5vGq8BMyam3kFZMaxXXbLsRRYvCdVqe2xD/0EUvtKWi&#10;F6h7EQQ7oP4LqtcSwUMTZhL6DJpGS5U4EJt8/oLNYyecSlxIHO8uMvn/Byu/HB/dN2Rh/AAjDTCR&#10;8O4B5E/PLOw6YVt1hwhDp0RNhfMoWTY4X5yfRql94SNINXyGmoYsDgES0NhgH1UhnozQaQCni+hq&#10;DEzS4XK9WtysV5xJyq3f5qtFmkomiqfXDn34qKBncVNypKEmdHF88CF2I4qnK7GYB6PrvTYmBdhW&#10;O4PsKMgA+/QlAi+uGRsvW4jPJsR4kmhGZhPHMFYjJSPdCuoTEUaYDEU/AG06wN+cDWSmkvtfB4GK&#10;M/PJkmg3+XIZ3ZeC5WpNFBleZ6rrjLCSoEoeOJu2uzA59uBQtx1VmsZk4Y6EbnTS4Lmrc99kmCTN&#10;2dzRkddxuvX8C27/AAAA//8DAFBLAwQUAAYACAAAACEAhr4lId4AAAAJAQAADwAAAGRycy9kb3du&#10;cmV2LnhtbEyPQU7DMBBF90jcwRokNqh1mpKahkwqQAKxbekBJrGbRMR2FLtNenuGFSxH8/T/+8Vu&#10;tr24mDF03iGslgkI42qvO9cgHL/eF08gQiSnqffOIFxNgF15e1NQrv3k9uZyiI3gEBdyQmhjHHIp&#10;Q90aS2HpB+P4d/Kjpcjn2Eg90sThtpdpkmykpc5xQ0uDeWtN/X04W4TT5/SQbafqIx7V/nHzSp2q&#10;/BXx/m5+eQYRzRz/YPjVZ3Uo2anyZ6eD6BHSdcYkwiJdKxAMKJXyuAphu8pAloX8v6D8AQAA//8D&#10;AFBLAQItABQABgAIAAAAIQC2gziS/gAAAOEBAAATAAAAAAAAAAAAAAAAAAAAAABbQ29udGVudF9U&#10;eXBlc10ueG1sUEsBAi0AFAAGAAgAAAAhADj9If/WAAAAlAEAAAsAAAAAAAAAAAAAAAAALwEAAF9y&#10;ZWxzLy5yZWxzUEsBAi0AFAAGAAgAAAAhAJ8bv0z0AQAAygMAAA4AAAAAAAAAAAAAAAAALgIAAGRy&#10;cy9lMm9Eb2MueG1sUEsBAi0AFAAGAAgAAAAhAIa+JSHeAAAACQEAAA8AAAAAAAAAAAAAAAAATgQA&#10;AGRycy9kb3ducmV2LnhtbFBLBQYAAAAABAAEAPMAAABZBQAAAAA=&#10;" stroked="f">
              <v:textbox>
                <w:txbxContent>
                  <w:p w14:paraId="03299673" w14:textId="604FDE8F" w:rsidR="00814E17" w:rsidRDefault="00814E17" w:rsidP="00814E17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>ORGANIZACION DE LOS ESTADOS AMERICANO</w:t>
                    </w:r>
                    <w:r w:rsidR="001C2BCE">
                      <w:rPr>
                        <w:rFonts w:ascii="Garamond" w:hAnsi="Garamond"/>
                        <w:b/>
                        <w:sz w:val="28"/>
                      </w:rPr>
                      <w:t>S</w:t>
                    </w:r>
                    <w:r>
                      <w:rPr>
                        <w:rFonts w:ascii="Garamond" w:hAnsi="Garamond"/>
                        <w:b/>
                        <w:sz w:val="28"/>
                      </w:rPr>
                      <w:t>S</w:t>
                    </w:r>
                  </w:p>
                  <w:p w14:paraId="6D7D6635" w14:textId="77777777" w:rsidR="00814E17" w:rsidRDefault="00814E17" w:rsidP="00814E17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>Consejo Interamericano para el Desarrollo Integral</w:t>
                    </w:r>
                  </w:p>
                  <w:p w14:paraId="7EC6F471" w14:textId="77777777" w:rsidR="00814E17" w:rsidRDefault="00814E17" w:rsidP="00814E17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 w:rsidR="00CD2558">
      <w:rPr>
        <w:noProof/>
        <w:lang w:val="es-CO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60A2A52" wp14:editId="1DEE715B">
              <wp:simplePos x="0" y="0"/>
              <wp:positionH relativeFrom="column">
                <wp:posOffset>5086985</wp:posOffset>
              </wp:positionH>
              <wp:positionV relativeFrom="paragraph">
                <wp:posOffset>-100965</wp:posOffset>
              </wp:positionV>
              <wp:extent cx="1287780" cy="862330"/>
              <wp:effectExtent l="3175" t="0" r="4445" b="444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90D32F" w14:textId="365484FD" w:rsidR="00814E17" w:rsidRDefault="00814E17" w:rsidP="00814E1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0A2A52" id="Text Box 6" o:spid="_x0000_s1027" type="#_x0000_t202" style="position:absolute;margin-left:400.55pt;margin-top:-7.95pt;width:101.4pt;height:67.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DjDMA94AAAAAwBAAAPAAAAZHJzL2Rv&#10;d25yZXYueG1sTI/LTsMwEEX3SPyDNZXYoNYO0EdCnAqQQGxb+gFOPE2ixuModpv075muYHdHc3Tn&#10;TL6dXCcuOITWk4ZkoUAgVd62VGs4/HzONyBCNGRN5wk1XDHAtri/y01m/Ug7vOxjLbiEQmY0NDH2&#10;mZShatCZsPA9Eu+OfnAm8jjU0g5m5HLXySelVtKZlvhCY3r8aLA67c9Ow/F7fFymY/kVD+vdy+rd&#10;tOvSX7V+mE1vryAiTvEPhps+q0PBTqU/kw2i07BRScKohnmyTEHcCKWeOZWckjQFWeTy/xPFLwAA&#10;AP//AwBQSwECLQAUAAYACAAAACEAtoM4kv4AAADhAQAAEwAAAAAAAAAAAAAAAAAAAAAAW0NvbnRl&#10;bnRfVHlwZXNdLnhtbFBLAQItABQABgAIAAAAIQA4/SH/1gAAAJQBAAALAAAAAAAAAAAAAAAAAC8B&#10;AABfcmVscy8ucmVsc1BLAQItABQABgAIAAAAIQAehrK59gEAANEDAAAOAAAAAAAAAAAAAAAAAC4C&#10;AABkcnMvZTJvRG9jLnhtbFBLAQItABQABgAIAAAAIQDjDMA94AAAAAwBAAAPAAAAAAAAAAAAAAAA&#10;AFAEAABkcnMvZG93bnJldi54bWxQSwUGAAAAAAQABADzAAAAXQUAAAAA&#10;" stroked="f">
              <v:textbox>
                <w:txbxContent>
                  <w:p w14:paraId="1890D32F" w14:textId="365484FD" w:rsidR="00814E17" w:rsidRDefault="00814E17" w:rsidP="00814E17"/>
                </w:txbxContent>
              </v:textbox>
            </v:shape>
          </w:pict>
        </mc:Fallback>
      </mc:AlternateContent>
    </w:r>
    <w:r w:rsidR="00CD2558">
      <w:rPr>
        <w:noProof/>
        <w:lang w:val="es-CO"/>
      </w:rPr>
      <w:drawing>
        <wp:anchor distT="0" distB="0" distL="114300" distR="114300" simplePos="0" relativeHeight="251658241" behindDoc="0" locked="0" layoutInCell="1" allowOverlap="1" wp14:anchorId="5036E889" wp14:editId="1255A9A1">
          <wp:simplePos x="0" y="0"/>
          <wp:positionH relativeFrom="column">
            <wp:posOffset>-346075</wp:posOffset>
          </wp:positionH>
          <wp:positionV relativeFrom="paragraph">
            <wp:posOffset>-245110</wp:posOffset>
          </wp:positionV>
          <wp:extent cx="822960" cy="824865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71277F" w14:textId="170B2FA4" w:rsidR="00814E17" w:rsidRPr="00814E17" w:rsidRDefault="00814E17" w:rsidP="00814E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842D5"/>
    <w:multiLevelType w:val="hybridMultilevel"/>
    <w:tmpl w:val="B7DC0BE2"/>
    <w:lvl w:ilvl="0" w:tplc="1C066A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2C6014"/>
    <w:multiLevelType w:val="hybridMultilevel"/>
    <w:tmpl w:val="742C26DE"/>
    <w:lvl w:ilvl="0" w:tplc="38627C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MS Mincho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A48C8"/>
    <w:multiLevelType w:val="hybridMultilevel"/>
    <w:tmpl w:val="7AD6E1D2"/>
    <w:lvl w:ilvl="0" w:tplc="4D145BAE">
      <w:start w:val="4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9859824">
    <w:abstractNumId w:val="0"/>
  </w:num>
  <w:num w:numId="2" w16cid:durableId="751852046">
    <w:abstractNumId w:val="1"/>
  </w:num>
  <w:num w:numId="3" w16cid:durableId="7285744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 style="mso-position-vertical-relative:line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zQwNzY2MzY2MDYDIiUdpeDU4uLM/DyQAqNaAGpXUrksAAAA"/>
  </w:docVars>
  <w:rsids>
    <w:rsidRoot w:val="006C7245"/>
    <w:rsid w:val="0000280F"/>
    <w:rsid w:val="00004A33"/>
    <w:rsid w:val="000102A2"/>
    <w:rsid w:val="00010D21"/>
    <w:rsid w:val="0001132E"/>
    <w:rsid w:val="00012921"/>
    <w:rsid w:val="000132CD"/>
    <w:rsid w:val="0001410A"/>
    <w:rsid w:val="000142DC"/>
    <w:rsid w:val="0001564F"/>
    <w:rsid w:val="00016ECB"/>
    <w:rsid w:val="0001703A"/>
    <w:rsid w:val="000205CF"/>
    <w:rsid w:val="00020A75"/>
    <w:rsid w:val="00021199"/>
    <w:rsid w:val="000229DE"/>
    <w:rsid w:val="00022C2F"/>
    <w:rsid w:val="000242D7"/>
    <w:rsid w:val="000258EA"/>
    <w:rsid w:val="00026C7E"/>
    <w:rsid w:val="00030C6F"/>
    <w:rsid w:val="00031DC5"/>
    <w:rsid w:val="00032A04"/>
    <w:rsid w:val="00032D00"/>
    <w:rsid w:val="00032D87"/>
    <w:rsid w:val="0003390F"/>
    <w:rsid w:val="000339CD"/>
    <w:rsid w:val="00034343"/>
    <w:rsid w:val="00034C08"/>
    <w:rsid w:val="00035155"/>
    <w:rsid w:val="00035BC8"/>
    <w:rsid w:val="00035C70"/>
    <w:rsid w:val="000371D6"/>
    <w:rsid w:val="00040D45"/>
    <w:rsid w:val="00040FBA"/>
    <w:rsid w:val="00041024"/>
    <w:rsid w:val="00041D59"/>
    <w:rsid w:val="00042BAF"/>
    <w:rsid w:val="00044113"/>
    <w:rsid w:val="00045606"/>
    <w:rsid w:val="00045642"/>
    <w:rsid w:val="000473FB"/>
    <w:rsid w:val="0004778E"/>
    <w:rsid w:val="000529EE"/>
    <w:rsid w:val="00053D46"/>
    <w:rsid w:val="00053EE8"/>
    <w:rsid w:val="00054BB4"/>
    <w:rsid w:val="0005611C"/>
    <w:rsid w:val="00057087"/>
    <w:rsid w:val="00057183"/>
    <w:rsid w:val="0006078A"/>
    <w:rsid w:val="00062B6C"/>
    <w:rsid w:val="00064566"/>
    <w:rsid w:val="000657A4"/>
    <w:rsid w:val="00065BF2"/>
    <w:rsid w:val="00066196"/>
    <w:rsid w:val="000669E7"/>
    <w:rsid w:val="00066A12"/>
    <w:rsid w:val="000679F7"/>
    <w:rsid w:val="00067F6D"/>
    <w:rsid w:val="0007045C"/>
    <w:rsid w:val="00070C31"/>
    <w:rsid w:val="000723B1"/>
    <w:rsid w:val="00073A19"/>
    <w:rsid w:val="00073BF9"/>
    <w:rsid w:val="00073C5F"/>
    <w:rsid w:val="00074726"/>
    <w:rsid w:val="00074BDF"/>
    <w:rsid w:val="000753B1"/>
    <w:rsid w:val="00075955"/>
    <w:rsid w:val="000766E5"/>
    <w:rsid w:val="00077C49"/>
    <w:rsid w:val="00080884"/>
    <w:rsid w:val="00080E07"/>
    <w:rsid w:val="0008310A"/>
    <w:rsid w:val="00083EB1"/>
    <w:rsid w:val="00085CE6"/>
    <w:rsid w:val="0008782D"/>
    <w:rsid w:val="00087C63"/>
    <w:rsid w:val="00091AC0"/>
    <w:rsid w:val="0009232F"/>
    <w:rsid w:val="000929C4"/>
    <w:rsid w:val="000934FB"/>
    <w:rsid w:val="000946B0"/>
    <w:rsid w:val="0009489E"/>
    <w:rsid w:val="00095514"/>
    <w:rsid w:val="000956C6"/>
    <w:rsid w:val="00096153"/>
    <w:rsid w:val="000966A3"/>
    <w:rsid w:val="0009762E"/>
    <w:rsid w:val="000A1EEB"/>
    <w:rsid w:val="000A3D3D"/>
    <w:rsid w:val="000A3DC8"/>
    <w:rsid w:val="000A6EBE"/>
    <w:rsid w:val="000A710D"/>
    <w:rsid w:val="000A7E1D"/>
    <w:rsid w:val="000B0CD0"/>
    <w:rsid w:val="000B13EE"/>
    <w:rsid w:val="000B1D1E"/>
    <w:rsid w:val="000B356E"/>
    <w:rsid w:val="000B3992"/>
    <w:rsid w:val="000B40F0"/>
    <w:rsid w:val="000B4DE2"/>
    <w:rsid w:val="000B5171"/>
    <w:rsid w:val="000B5B85"/>
    <w:rsid w:val="000B5E88"/>
    <w:rsid w:val="000B64D7"/>
    <w:rsid w:val="000B6796"/>
    <w:rsid w:val="000B6E33"/>
    <w:rsid w:val="000B7F03"/>
    <w:rsid w:val="000C0377"/>
    <w:rsid w:val="000C35D9"/>
    <w:rsid w:val="000C6C1E"/>
    <w:rsid w:val="000D0F4A"/>
    <w:rsid w:val="000D130C"/>
    <w:rsid w:val="000D24B2"/>
    <w:rsid w:val="000D267E"/>
    <w:rsid w:val="000D2B3A"/>
    <w:rsid w:val="000D32F8"/>
    <w:rsid w:val="000D3C23"/>
    <w:rsid w:val="000D4477"/>
    <w:rsid w:val="000D5894"/>
    <w:rsid w:val="000D668C"/>
    <w:rsid w:val="000D7126"/>
    <w:rsid w:val="000D72E9"/>
    <w:rsid w:val="000D793E"/>
    <w:rsid w:val="000E0468"/>
    <w:rsid w:val="000E15FA"/>
    <w:rsid w:val="000E1A05"/>
    <w:rsid w:val="000E3FD1"/>
    <w:rsid w:val="000E477A"/>
    <w:rsid w:val="000E4EEF"/>
    <w:rsid w:val="000E5304"/>
    <w:rsid w:val="000E54C5"/>
    <w:rsid w:val="000E5B5E"/>
    <w:rsid w:val="000E5CBA"/>
    <w:rsid w:val="000E6A8B"/>
    <w:rsid w:val="000E7100"/>
    <w:rsid w:val="000F0907"/>
    <w:rsid w:val="000F0C35"/>
    <w:rsid w:val="000F1AD8"/>
    <w:rsid w:val="000F33B7"/>
    <w:rsid w:val="000F3852"/>
    <w:rsid w:val="000F45C3"/>
    <w:rsid w:val="000F4610"/>
    <w:rsid w:val="000F4E52"/>
    <w:rsid w:val="000F5026"/>
    <w:rsid w:val="000F55CC"/>
    <w:rsid w:val="000F5911"/>
    <w:rsid w:val="000F61A3"/>
    <w:rsid w:val="000F7EF1"/>
    <w:rsid w:val="00101029"/>
    <w:rsid w:val="00101157"/>
    <w:rsid w:val="00102712"/>
    <w:rsid w:val="0010311E"/>
    <w:rsid w:val="00103687"/>
    <w:rsid w:val="00104098"/>
    <w:rsid w:val="0010693F"/>
    <w:rsid w:val="00112A24"/>
    <w:rsid w:val="001136EA"/>
    <w:rsid w:val="001147E1"/>
    <w:rsid w:val="001161F1"/>
    <w:rsid w:val="00120A9E"/>
    <w:rsid w:val="001212B9"/>
    <w:rsid w:val="0012249F"/>
    <w:rsid w:val="00122C62"/>
    <w:rsid w:val="00124409"/>
    <w:rsid w:val="00124605"/>
    <w:rsid w:val="00124987"/>
    <w:rsid w:val="00124B25"/>
    <w:rsid w:val="00124C7E"/>
    <w:rsid w:val="00124F69"/>
    <w:rsid w:val="0012569C"/>
    <w:rsid w:val="00126E22"/>
    <w:rsid w:val="0012781B"/>
    <w:rsid w:val="00130B9D"/>
    <w:rsid w:val="00130CED"/>
    <w:rsid w:val="00131072"/>
    <w:rsid w:val="0013115D"/>
    <w:rsid w:val="00132F51"/>
    <w:rsid w:val="00133760"/>
    <w:rsid w:val="00134294"/>
    <w:rsid w:val="00136B47"/>
    <w:rsid w:val="00136DBE"/>
    <w:rsid w:val="001422B7"/>
    <w:rsid w:val="001429B7"/>
    <w:rsid w:val="00143FDB"/>
    <w:rsid w:val="001462B6"/>
    <w:rsid w:val="0014633C"/>
    <w:rsid w:val="00146636"/>
    <w:rsid w:val="0014695E"/>
    <w:rsid w:val="00146AE8"/>
    <w:rsid w:val="001474B1"/>
    <w:rsid w:val="0014770E"/>
    <w:rsid w:val="00147D16"/>
    <w:rsid w:val="001515F4"/>
    <w:rsid w:val="00151A46"/>
    <w:rsid w:val="00152994"/>
    <w:rsid w:val="00152ED3"/>
    <w:rsid w:val="00154045"/>
    <w:rsid w:val="0015532A"/>
    <w:rsid w:val="00157544"/>
    <w:rsid w:val="001600DC"/>
    <w:rsid w:val="0016072D"/>
    <w:rsid w:val="00160978"/>
    <w:rsid w:val="00163049"/>
    <w:rsid w:val="00163484"/>
    <w:rsid w:val="001634EB"/>
    <w:rsid w:val="00163996"/>
    <w:rsid w:val="00164FC4"/>
    <w:rsid w:val="00166942"/>
    <w:rsid w:val="0016697E"/>
    <w:rsid w:val="00167899"/>
    <w:rsid w:val="00167B0F"/>
    <w:rsid w:val="00173877"/>
    <w:rsid w:val="00174203"/>
    <w:rsid w:val="00177FAB"/>
    <w:rsid w:val="00180FF4"/>
    <w:rsid w:val="00182153"/>
    <w:rsid w:val="00183223"/>
    <w:rsid w:val="00183381"/>
    <w:rsid w:val="00183C2B"/>
    <w:rsid w:val="001854C6"/>
    <w:rsid w:val="001860FF"/>
    <w:rsid w:val="00186D8D"/>
    <w:rsid w:val="00187326"/>
    <w:rsid w:val="00187882"/>
    <w:rsid w:val="00187901"/>
    <w:rsid w:val="0019015B"/>
    <w:rsid w:val="0019172C"/>
    <w:rsid w:val="00191B97"/>
    <w:rsid w:val="00191C16"/>
    <w:rsid w:val="00193C89"/>
    <w:rsid w:val="00194294"/>
    <w:rsid w:val="00195398"/>
    <w:rsid w:val="00195681"/>
    <w:rsid w:val="001956EA"/>
    <w:rsid w:val="00196C57"/>
    <w:rsid w:val="0019775E"/>
    <w:rsid w:val="001A4FA4"/>
    <w:rsid w:val="001A5259"/>
    <w:rsid w:val="001A54AF"/>
    <w:rsid w:val="001A7DD2"/>
    <w:rsid w:val="001B17EB"/>
    <w:rsid w:val="001B3638"/>
    <w:rsid w:val="001B3D93"/>
    <w:rsid w:val="001B4A14"/>
    <w:rsid w:val="001B5E6A"/>
    <w:rsid w:val="001B655D"/>
    <w:rsid w:val="001B700F"/>
    <w:rsid w:val="001C0134"/>
    <w:rsid w:val="001C027A"/>
    <w:rsid w:val="001C1C94"/>
    <w:rsid w:val="001C2BCE"/>
    <w:rsid w:val="001C2C8C"/>
    <w:rsid w:val="001C3B35"/>
    <w:rsid w:val="001C3D2F"/>
    <w:rsid w:val="001C449A"/>
    <w:rsid w:val="001C5BFF"/>
    <w:rsid w:val="001C5E98"/>
    <w:rsid w:val="001C7D43"/>
    <w:rsid w:val="001D029D"/>
    <w:rsid w:val="001D05A2"/>
    <w:rsid w:val="001D0ADA"/>
    <w:rsid w:val="001D27F9"/>
    <w:rsid w:val="001D2C82"/>
    <w:rsid w:val="001D2FD8"/>
    <w:rsid w:val="001D3D62"/>
    <w:rsid w:val="001D3E80"/>
    <w:rsid w:val="001D47E4"/>
    <w:rsid w:val="001D5C48"/>
    <w:rsid w:val="001D6A1F"/>
    <w:rsid w:val="001E0D59"/>
    <w:rsid w:val="001E1556"/>
    <w:rsid w:val="001E17B0"/>
    <w:rsid w:val="001E1913"/>
    <w:rsid w:val="001E1928"/>
    <w:rsid w:val="001E1A83"/>
    <w:rsid w:val="001E223D"/>
    <w:rsid w:val="001E30B9"/>
    <w:rsid w:val="001E3745"/>
    <w:rsid w:val="001E5155"/>
    <w:rsid w:val="001E59E2"/>
    <w:rsid w:val="001E7522"/>
    <w:rsid w:val="001F060B"/>
    <w:rsid w:val="001F102C"/>
    <w:rsid w:val="001F15E6"/>
    <w:rsid w:val="001F594A"/>
    <w:rsid w:val="001F5F80"/>
    <w:rsid w:val="001F70F7"/>
    <w:rsid w:val="001F73A4"/>
    <w:rsid w:val="001F7FA0"/>
    <w:rsid w:val="0020175A"/>
    <w:rsid w:val="00201AA4"/>
    <w:rsid w:val="00202B3B"/>
    <w:rsid w:val="00204266"/>
    <w:rsid w:val="002046DC"/>
    <w:rsid w:val="00205512"/>
    <w:rsid w:val="00206E90"/>
    <w:rsid w:val="0021264F"/>
    <w:rsid w:val="00212A97"/>
    <w:rsid w:val="002136CE"/>
    <w:rsid w:val="00216245"/>
    <w:rsid w:val="00216698"/>
    <w:rsid w:val="00216DB9"/>
    <w:rsid w:val="00220A4D"/>
    <w:rsid w:val="00220B1E"/>
    <w:rsid w:val="0022103E"/>
    <w:rsid w:val="00221927"/>
    <w:rsid w:val="00223F2C"/>
    <w:rsid w:val="00224B89"/>
    <w:rsid w:val="00225AC4"/>
    <w:rsid w:val="00227AAF"/>
    <w:rsid w:val="00232A35"/>
    <w:rsid w:val="002354D7"/>
    <w:rsid w:val="00235C93"/>
    <w:rsid w:val="00236457"/>
    <w:rsid w:val="002370C3"/>
    <w:rsid w:val="0023737A"/>
    <w:rsid w:val="00241236"/>
    <w:rsid w:val="002413D6"/>
    <w:rsid w:val="00242FF8"/>
    <w:rsid w:val="00243195"/>
    <w:rsid w:val="0024325A"/>
    <w:rsid w:val="002436AF"/>
    <w:rsid w:val="00244360"/>
    <w:rsid w:val="00244D03"/>
    <w:rsid w:val="0024518A"/>
    <w:rsid w:val="00245493"/>
    <w:rsid w:val="00245E95"/>
    <w:rsid w:val="002470A8"/>
    <w:rsid w:val="00247332"/>
    <w:rsid w:val="002478E1"/>
    <w:rsid w:val="002506DC"/>
    <w:rsid w:val="002517BC"/>
    <w:rsid w:val="00251C63"/>
    <w:rsid w:val="002521D7"/>
    <w:rsid w:val="002537E6"/>
    <w:rsid w:val="00253A14"/>
    <w:rsid w:val="00254B63"/>
    <w:rsid w:val="0025580B"/>
    <w:rsid w:val="00255BA8"/>
    <w:rsid w:val="00256E64"/>
    <w:rsid w:val="00256EE3"/>
    <w:rsid w:val="00257804"/>
    <w:rsid w:val="00260423"/>
    <w:rsid w:val="00260BEA"/>
    <w:rsid w:val="002610C3"/>
    <w:rsid w:val="00261867"/>
    <w:rsid w:val="00262AAF"/>
    <w:rsid w:val="002634AF"/>
    <w:rsid w:val="00263BB4"/>
    <w:rsid w:val="00263C2F"/>
    <w:rsid w:val="002643C6"/>
    <w:rsid w:val="00265E94"/>
    <w:rsid w:val="00266091"/>
    <w:rsid w:val="002663CF"/>
    <w:rsid w:val="00266AB1"/>
    <w:rsid w:val="002670BD"/>
    <w:rsid w:val="00267E2F"/>
    <w:rsid w:val="0027037D"/>
    <w:rsid w:val="0027133C"/>
    <w:rsid w:val="002724D5"/>
    <w:rsid w:val="00272777"/>
    <w:rsid w:val="00272DC5"/>
    <w:rsid w:val="002753B2"/>
    <w:rsid w:val="002756C0"/>
    <w:rsid w:val="00277184"/>
    <w:rsid w:val="002804D7"/>
    <w:rsid w:val="00281E4C"/>
    <w:rsid w:val="00282083"/>
    <w:rsid w:val="002824E4"/>
    <w:rsid w:val="00282B02"/>
    <w:rsid w:val="00284666"/>
    <w:rsid w:val="00285766"/>
    <w:rsid w:val="002863DC"/>
    <w:rsid w:val="0028707D"/>
    <w:rsid w:val="00287111"/>
    <w:rsid w:val="002872C8"/>
    <w:rsid w:val="002873F9"/>
    <w:rsid w:val="002913FF"/>
    <w:rsid w:val="002925A0"/>
    <w:rsid w:val="00293210"/>
    <w:rsid w:val="00296A49"/>
    <w:rsid w:val="002A1347"/>
    <w:rsid w:val="002A37F6"/>
    <w:rsid w:val="002A3E11"/>
    <w:rsid w:val="002A62EC"/>
    <w:rsid w:val="002B030F"/>
    <w:rsid w:val="002B0363"/>
    <w:rsid w:val="002B2564"/>
    <w:rsid w:val="002B2639"/>
    <w:rsid w:val="002B27C8"/>
    <w:rsid w:val="002B33E1"/>
    <w:rsid w:val="002B39A5"/>
    <w:rsid w:val="002B3C5D"/>
    <w:rsid w:val="002B686E"/>
    <w:rsid w:val="002B68D7"/>
    <w:rsid w:val="002B76E9"/>
    <w:rsid w:val="002C5EEB"/>
    <w:rsid w:val="002C6164"/>
    <w:rsid w:val="002C75C8"/>
    <w:rsid w:val="002D19C0"/>
    <w:rsid w:val="002D4EA5"/>
    <w:rsid w:val="002D56D4"/>
    <w:rsid w:val="002D6C38"/>
    <w:rsid w:val="002E108D"/>
    <w:rsid w:val="002E1D8A"/>
    <w:rsid w:val="002E1FCE"/>
    <w:rsid w:val="002E27B5"/>
    <w:rsid w:val="002E2F62"/>
    <w:rsid w:val="002E44E8"/>
    <w:rsid w:val="002E4895"/>
    <w:rsid w:val="002E4A4B"/>
    <w:rsid w:val="002E59C1"/>
    <w:rsid w:val="002E5F62"/>
    <w:rsid w:val="002E6F15"/>
    <w:rsid w:val="002E7182"/>
    <w:rsid w:val="002F006B"/>
    <w:rsid w:val="002F1523"/>
    <w:rsid w:val="002F1ED1"/>
    <w:rsid w:val="002F3C29"/>
    <w:rsid w:val="002F3E2B"/>
    <w:rsid w:val="002F5800"/>
    <w:rsid w:val="002F593E"/>
    <w:rsid w:val="002F763D"/>
    <w:rsid w:val="00300847"/>
    <w:rsid w:val="00301468"/>
    <w:rsid w:val="00301962"/>
    <w:rsid w:val="003029CA"/>
    <w:rsid w:val="00302B90"/>
    <w:rsid w:val="00303BA7"/>
    <w:rsid w:val="003049EB"/>
    <w:rsid w:val="00310F07"/>
    <w:rsid w:val="003117B5"/>
    <w:rsid w:val="00311FF7"/>
    <w:rsid w:val="003129A6"/>
    <w:rsid w:val="00312E49"/>
    <w:rsid w:val="00312E8C"/>
    <w:rsid w:val="00312F92"/>
    <w:rsid w:val="00314098"/>
    <w:rsid w:val="0031411E"/>
    <w:rsid w:val="00316359"/>
    <w:rsid w:val="00316FDB"/>
    <w:rsid w:val="00324513"/>
    <w:rsid w:val="00324AF6"/>
    <w:rsid w:val="00325215"/>
    <w:rsid w:val="00325275"/>
    <w:rsid w:val="00325384"/>
    <w:rsid w:val="003256C5"/>
    <w:rsid w:val="00326628"/>
    <w:rsid w:val="0032797B"/>
    <w:rsid w:val="00330A2C"/>
    <w:rsid w:val="0033320B"/>
    <w:rsid w:val="003332FA"/>
    <w:rsid w:val="00342136"/>
    <w:rsid w:val="00342C78"/>
    <w:rsid w:val="003453F9"/>
    <w:rsid w:val="003464E7"/>
    <w:rsid w:val="00346C3B"/>
    <w:rsid w:val="00347081"/>
    <w:rsid w:val="003502C6"/>
    <w:rsid w:val="003505A9"/>
    <w:rsid w:val="00351522"/>
    <w:rsid w:val="00351631"/>
    <w:rsid w:val="00351A2C"/>
    <w:rsid w:val="0035420F"/>
    <w:rsid w:val="003558AC"/>
    <w:rsid w:val="00355BFC"/>
    <w:rsid w:val="00355DA8"/>
    <w:rsid w:val="00360965"/>
    <w:rsid w:val="00361A70"/>
    <w:rsid w:val="00361B8D"/>
    <w:rsid w:val="003627CB"/>
    <w:rsid w:val="00362D02"/>
    <w:rsid w:val="00362F50"/>
    <w:rsid w:val="00363A31"/>
    <w:rsid w:val="0036454B"/>
    <w:rsid w:val="00364D82"/>
    <w:rsid w:val="00365A1B"/>
    <w:rsid w:val="0036607B"/>
    <w:rsid w:val="00367FB6"/>
    <w:rsid w:val="0037016A"/>
    <w:rsid w:val="003706F0"/>
    <w:rsid w:val="00370F9B"/>
    <w:rsid w:val="00371675"/>
    <w:rsid w:val="003716BB"/>
    <w:rsid w:val="0037314E"/>
    <w:rsid w:val="003734EE"/>
    <w:rsid w:val="00373879"/>
    <w:rsid w:val="003745E5"/>
    <w:rsid w:val="003749F2"/>
    <w:rsid w:val="00377205"/>
    <w:rsid w:val="003772AB"/>
    <w:rsid w:val="0038043E"/>
    <w:rsid w:val="0038210B"/>
    <w:rsid w:val="00382B64"/>
    <w:rsid w:val="00383AF2"/>
    <w:rsid w:val="00383BBC"/>
    <w:rsid w:val="00384DB9"/>
    <w:rsid w:val="00384E6B"/>
    <w:rsid w:val="003850EF"/>
    <w:rsid w:val="003856F9"/>
    <w:rsid w:val="0038599A"/>
    <w:rsid w:val="00385A1A"/>
    <w:rsid w:val="00386353"/>
    <w:rsid w:val="0038724D"/>
    <w:rsid w:val="00387838"/>
    <w:rsid w:val="00390411"/>
    <w:rsid w:val="00391722"/>
    <w:rsid w:val="00393C11"/>
    <w:rsid w:val="0039482A"/>
    <w:rsid w:val="00395134"/>
    <w:rsid w:val="00396979"/>
    <w:rsid w:val="003973AA"/>
    <w:rsid w:val="00397FCA"/>
    <w:rsid w:val="003A12B1"/>
    <w:rsid w:val="003A567C"/>
    <w:rsid w:val="003B0259"/>
    <w:rsid w:val="003B0F7B"/>
    <w:rsid w:val="003B13CD"/>
    <w:rsid w:val="003B3DC4"/>
    <w:rsid w:val="003B3F86"/>
    <w:rsid w:val="003B415D"/>
    <w:rsid w:val="003B4321"/>
    <w:rsid w:val="003B4866"/>
    <w:rsid w:val="003B554B"/>
    <w:rsid w:val="003B5E07"/>
    <w:rsid w:val="003B73A4"/>
    <w:rsid w:val="003B7A46"/>
    <w:rsid w:val="003C04E4"/>
    <w:rsid w:val="003C072A"/>
    <w:rsid w:val="003C14DB"/>
    <w:rsid w:val="003C4DED"/>
    <w:rsid w:val="003C53FD"/>
    <w:rsid w:val="003C5A8E"/>
    <w:rsid w:val="003C5BA3"/>
    <w:rsid w:val="003C61B4"/>
    <w:rsid w:val="003C7B4B"/>
    <w:rsid w:val="003D0FE0"/>
    <w:rsid w:val="003D39ED"/>
    <w:rsid w:val="003D5357"/>
    <w:rsid w:val="003D57C8"/>
    <w:rsid w:val="003D6A17"/>
    <w:rsid w:val="003D734A"/>
    <w:rsid w:val="003D7FE9"/>
    <w:rsid w:val="003E09E2"/>
    <w:rsid w:val="003E0A19"/>
    <w:rsid w:val="003E0CA1"/>
    <w:rsid w:val="003E1CBF"/>
    <w:rsid w:val="003E38DD"/>
    <w:rsid w:val="003E3A37"/>
    <w:rsid w:val="003E3D1D"/>
    <w:rsid w:val="003E42B5"/>
    <w:rsid w:val="003E4446"/>
    <w:rsid w:val="003E55F5"/>
    <w:rsid w:val="003E597D"/>
    <w:rsid w:val="003E79EE"/>
    <w:rsid w:val="003F0C0D"/>
    <w:rsid w:val="003F1001"/>
    <w:rsid w:val="003F15E0"/>
    <w:rsid w:val="003F186E"/>
    <w:rsid w:val="003F1CB7"/>
    <w:rsid w:val="003F3BB5"/>
    <w:rsid w:val="003F3F5F"/>
    <w:rsid w:val="003F40F3"/>
    <w:rsid w:val="003F49C6"/>
    <w:rsid w:val="003F5DDD"/>
    <w:rsid w:val="003F713B"/>
    <w:rsid w:val="003F75AA"/>
    <w:rsid w:val="003F7BD9"/>
    <w:rsid w:val="004003DA"/>
    <w:rsid w:val="00400678"/>
    <w:rsid w:val="00401157"/>
    <w:rsid w:val="00401386"/>
    <w:rsid w:val="004016CC"/>
    <w:rsid w:val="004027FB"/>
    <w:rsid w:val="00404CA3"/>
    <w:rsid w:val="004068B6"/>
    <w:rsid w:val="00406D2A"/>
    <w:rsid w:val="00410CC5"/>
    <w:rsid w:val="00411182"/>
    <w:rsid w:val="00411949"/>
    <w:rsid w:val="004148B4"/>
    <w:rsid w:val="00415ADF"/>
    <w:rsid w:val="00416334"/>
    <w:rsid w:val="00416499"/>
    <w:rsid w:val="00417B9D"/>
    <w:rsid w:val="00420288"/>
    <w:rsid w:val="004209A4"/>
    <w:rsid w:val="00420E3C"/>
    <w:rsid w:val="00421420"/>
    <w:rsid w:val="004240FB"/>
    <w:rsid w:val="00424749"/>
    <w:rsid w:val="004254AF"/>
    <w:rsid w:val="004261A7"/>
    <w:rsid w:val="004302BB"/>
    <w:rsid w:val="0043122E"/>
    <w:rsid w:val="00431C59"/>
    <w:rsid w:val="004320F1"/>
    <w:rsid w:val="00432465"/>
    <w:rsid w:val="00433FC2"/>
    <w:rsid w:val="00436174"/>
    <w:rsid w:val="004361B7"/>
    <w:rsid w:val="0043679C"/>
    <w:rsid w:val="00440DFD"/>
    <w:rsid w:val="0044106F"/>
    <w:rsid w:val="004423B2"/>
    <w:rsid w:val="004503B9"/>
    <w:rsid w:val="00450496"/>
    <w:rsid w:val="004506C5"/>
    <w:rsid w:val="00453A35"/>
    <w:rsid w:val="0045459B"/>
    <w:rsid w:val="00455405"/>
    <w:rsid w:val="00455445"/>
    <w:rsid w:val="00457439"/>
    <w:rsid w:val="00460481"/>
    <w:rsid w:val="00461166"/>
    <w:rsid w:val="00461405"/>
    <w:rsid w:val="004616FA"/>
    <w:rsid w:val="00461827"/>
    <w:rsid w:val="00461BA1"/>
    <w:rsid w:val="00461F9B"/>
    <w:rsid w:val="0046255D"/>
    <w:rsid w:val="00463CCE"/>
    <w:rsid w:val="00463F38"/>
    <w:rsid w:val="0046414C"/>
    <w:rsid w:val="00464170"/>
    <w:rsid w:val="00465774"/>
    <w:rsid w:val="00467665"/>
    <w:rsid w:val="00467840"/>
    <w:rsid w:val="00470261"/>
    <w:rsid w:val="00470F07"/>
    <w:rsid w:val="004713B8"/>
    <w:rsid w:val="00472010"/>
    <w:rsid w:val="004754E1"/>
    <w:rsid w:val="00475E54"/>
    <w:rsid w:val="00477EC6"/>
    <w:rsid w:val="00481E4A"/>
    <w:rsid w:val="004827CF"/>
    <w:rsid w:val="00483A30"/>
    <w:rsid w:val="00483D60"/>
    <w:rsid w:val="00485E8D"/>
    <w:rsid w:val="00486516"/>
    <w:rsid w:val="00486B50"/>
    <w:rsid w:val="004871DC"/>
    <w:rsid w:val="0049017B"/>
    <w:rsid w:val="00493800"/>
    <w:rsid w:val="00493F2B"/>
    <w:rsid w:val="004946BC"/>
    <w:rsid w:val="00494B29"/>
    <w:rsid w:val="0049523F"/>
    <w:rsid w:val="0049577F"/>
    <w:rsid w:val="0049599C"/>
    <w:rsid w:val="00496655"/>
    <w:rsid w:val="004966FB"/>
    <w:rsid w:val="00496AB7"/>
    <w:rsid w:val="004A04FE"/>
    <w:rsid w:val="004A1C81"/>
    <w:rsid w:val="004A20AC"/>
    <w:rsid w:val="004A2A51"/>
    <w:rsid w:val="004A30E8"/>
    <w:rsid w:val="004A412A"/>
    <w:rsid w:val="004A4B19"/>
    <w:rsid w:val="004A4DBA"/>
    <w:rsid w:val="004A4E35"/>
    <w:rsid w:val="004A4EC8"/>
    <w:rsid w:val="004A5FFB"/>
    <w:rsid w:val="004A6C76"/>
    <w:rsid w:val="004A7DD3"/>
    <w:rsid w:val="004B0C53"/>
    <w:rsid w:val="004B17C6"/>
    <w:rsid w:val="004B185E"/>
    <w:rsid w:val="004B1DE4"/>
    <w:rsid w:val="004B288E"/>
    <w:rsid w:val="004B28B1"/>
    <w:rsid w:val="004B2BAF"/>
    <w:rsid w:val="004B3814"/>
    <w:rsid w:val="004B4F00"/>
    <w:rsid w:val="004B5E6D"/>
    <w:rsid w:val="004B7C59"/>
    <w:rsid w:val="004C02DD"/>
    <w:rsid w:val="004C372B"/>
    <w:rsid w:val="004C4199"/>
    <w:rsid w:val="004C45F2"/>
    <w:rsid w:val="004C4944"/>
    <w:rsid w:val="004C57F5"/>
    <w:rsid w:val="004C5A93"/>
    <w:rsid w:val="004D15C0"/>
    <w:rsid w:val="004D2F49"/>
    <w:rsid w:val="004D3170"/>
    <w:rsid w:val="004D37C5"/>
    <w:rsid w:val="004D3B1C"/>
    <w:rsid w:val="004D3EB5"/>
    <w:rsid w:val="004D4CCE"/>
    <w:rsid w:val="004D69FF"/>
    <w:rsid w:val="004D7186"/>
    <w:rsid w:val="004D7959"/>
    <w:rsid w:val="004E0371"/>
    <w:rsid w:val="004E1867"/>
    <w:rsid w:val="004E30E5"/>
    <w:rsid w:val="004E3636"/>
    <w:rsid w:val="004E56D7"/>
    <w:rsid w:val="004E733A"/>
    <w:rsid w:val="004F05E8"/>
    <w:rsid w:val="004F0928"/>
    <w:rsid w:val="004F165E"/>
    <w:rsid w:val="004F1AF1"/>
    <w:rsid w:val="004F286D"/>
    <w:rsid w:val="004F2D55"/>
    <w:rsid w:val="004F2FB1"/>
    <w:rsid w:val="004F3169"/>
    <w:rsid w:val="004F4186"/>
    <w:rsid w:val="004F4E52"/>
    <w:rsid w:val="004F655E"/>
    <w:rsid w:val="004F67BE"/>
    <w:rsid w:val="004F6868"/>
    <w:rsid w:val="004F759E"/>
    <w:rsid w:val="004F7ADF"/>
    <w:rsid w:val="0050100D"/>
    <w:rsid w:val="0050293D"/>
    <w:rsid w:val="00503420"/>
    <w:rsid w:val="00505330"/>
    <w:rsid w:val="00505423"/>
    <w:rsid w:val="005059B7"/>
    <w:rsid w:val="00505A3E"/>
    <w:rsid w:val="005068FE"/>
    <w:rsid w:val="00510C4D"/>
    <w:rsid w:val="00510CF9"/>
    <w:rsid w:val="00510FD8"/>
    <w:rsid w:val="00511071"/>
    <w:rsid w:val="00511461"/>
    <w:rsid w:val="00511591"/>
    <w:rsid w:val="005115D5"/>
    <w:rsid w:val="005139D0"/>
    <w:rsid w:val="00514E99"/>
    <w:rsid w:val="00516007"/>
    <w:rsid w:val="005169C9"/>
    <w:rsid w:val="00517294"/>
    <w:rsid w:val="00517B63"/>
    <w:rsid w:val="00520A41"/>
    <w:rsid w:val="00522956"/>
    <w:rsid w:val="00523BE9"/>
    <w:rsid w:val="00523D6D"/>
    <w:rsid w:val="005243C4"/>
    <w:rsid w:val="00524BC4"/>
    <w:rsid w:val="00525144"/>
    <w:rsid w:val="00530EA3"/>
    <w:rsid w:val="00532400"/>
    <w:rsid w:val="00533503"/>
    <w:rsid w:val="0053439A"/>
    <w:rsid w:val="00534556"/>
    <w:rsid w:val="0053599B"/>
    <w:rsid w:val="00536C73"/>
    <w:rsid w:val="00540294"/>
    <w:rsid w:val="005404B4"/>
    <w:rsid w:val="0054059D"/>
    <w:rsid w:val="00541018"/>
    <w:rsid w:val="00541818"/>
    <w:rsid w:val="00542B84"/>
    <w:rsid w:val="00546C50"/>
    <w:rsid w:val="00547420"/>
    <w:rsid w:val="005541ED"/>
    <w:rsid w:val="0055422E"/>
    <w:rsid w:val="00555043"/>
    <w:rsid w:val="0055610F"/>
    <w:rsid w:val="00557BA9"/>
    <w:rsid w:val="0056057C"/>
    <w:rsid w:val="00560B95"/>
    <w:rsid w:val="0056172D"/>
    <w:rsid w:val="00564398"/>
    <w:rsid w:val="005649C5"/>
    <w:rsid w:val="00565515"/>
    <w:rsid w:val="00565E18"/>
    <w:rsid w:val="00567F16"/>
    <w:rsid w:val="0057208A"/>
    <w:rsid w:val="005737A0"/>
    <w:rsid w:val="00573B4F"/>
    <w:rsid w:val="00574287"/>
    <w:rsid w:val="00574604"/>
    <w:rsid w:val="00575BE2"/>
    <w:rsid w:val="00577207"/>
    <w:rsid w:val="0057746F"/>
    <w:rsid w:val="0058211F"/>
    <w:rsid w:val="005828A4"/>
    <w:rsid w:val="0058302C"/>
    <w:rsid w:val="00584C2C"/>
    <w:rsid w:val="00585742"/>
    <w:rsid w:val="00586638"/>
    <w:rsid w:val="005904BE"/>
    <w:rsid w:val="00590FE1"/>
    <w:rsid w:val="00591AEF"/>
    <w:rsid w:val="00594399"/>
    <w:rsid w:val="005957BC"/>
    <w:rsid w:val="00597E5C"/>
    <w:rsid w:val="005A1714"/>
    <w:rsid w:val="005A1FFF"/>
    <w:rsid w:val="005A4741"/>
    <w:rsid w:val="005A4B25"/>
    <w:rsid w:val="005A4FD1"/>
    <w:rsid w:val="005A5588"/>
    <w:rsid w:val="005A7D42"/>
    <w:rsid w:val="005B2186"/>
    <w:rsid w:val="005B2559"/>
    <w:rsid w:val="005B2A4C"/>
    <w:rsid w:val="005B34ED"/>
    <w:rsid w:val="005B375C"/>
    <w:rsid w:val="005B399B"/>
    <w:rsid w:val="005B3A66"/>
    <w:rsid w:val="005B3D92"/>
    <w:rsid w:val="005B4261"/>
    <w:rsid w:val="005B7FC7"/>
    <w:rsid w:val="005B7FDE"/>
    <w:rsid w:val="005C0F0A"/>
    <w:rsid w:val="005C11AA"/>
    <w:rsid w:val="005C15C3"/>
    <w:rsid w:val="005C179E"/>
    <w:rsid w:val="005C1BA5"/>
    <w:rsid w:val="005C250F"/>
    <w:rsid w:val="005D1F0E"/>
    <w:rsid w:val="005D35F2"/>
    <w:rsid w:val="005D58AF"/>
    <w:rsid w:val="005D5CA6"/>
    <w:rsid w:val="005D5E01"/>
    <w:rsid w:val="005D5E9B"/>
    <w:rsid w:val="005D60FD"/>
    <w:rsid w:val="005D6613"/>
    <w:rsid w:val="005D77EC"/>
    <w:rsid w:val="005D7C34"/>
    <w:rsid w:val="005E162D"/>
    <w:rsid w:val="005E2D5D"/>
    <w:rsid w:val="005E40C1"/>
    <w:rsid w:val="005E413B"/>
    <w:rsid w:val="005E65BD"/>
    <w:rsid w:val="005E7331"/>
    <w:rsid w:val="005F1122"/>
    <w:rsid w:val="005F2B06"/>
    <w:rsid w:val="005F2FFE"/>
    <w:rsid w:val="005F4B44"/>
    <w:rsid w:val="005F57FF"/>
    <w:rsid w:val="005F5CF4"/>
    <w:rsid w:val="005F6586"/>
    <w:rsid w:val="005F6821"/>
    <w:rsid w:val="005F7C7E"/>
    <w:rsid w:val="006019AD"/>
    <w:rsid w:val="00601ADD"/>
    <w:rsid w:val="00602500"/>
    <w:rsid w:val="00602BCD"/>
    <w:rsid w:val="0060301D"/>
    <w:rsid w:val="006035E9"/>
    <w:rsid w:val="006040F4"/>
    <w:rsid w:val="006042AA"/>
    <w:rsid w:val="006052C4"/>
    <w:rsid w:val="0060585F"/>
    <w:rsid w:val="00605F1A"/>
    <w:rsid w:val="0060626C"/>
    <w:rsid w:val="00606A5A"/>
    <w:rsid w:val="00606CCA"/>
    <w:rsid w:val="006071ED"/>
    <w:rsid w:val="00607CA8"/>
    <w:rsid w:val="006119E9"/>
    <w:rsid w:val="006130E0"/>
    <w:rsid w:val="00613B7B"/>
    <w:rsid w:val="00613E04"/>
    <w:rsid w:val="006159D2"/>
    <w:rsid w:val="00615D94"/>
    <w:rsid w:val="006166D6"/>
    <w:rsid w:val="00616E43"/>
    <w:rsid w:val="006176AA"/>
    <w:rsid w:val="00620B06"/>
    <w:rsid w:val="00621281"/>
    <w:rsid w:val="006235FE"/>
    <w:rsid w:val="00623AAF"/>
    <w:rsid w:val="00623FAD"/>
    <w:rsid w:val="00624B52"/>
    <w:rsid w:val="006256A5"/>
    <w:rsid w:val="0062732F"/>
    <w:rsid w:val="0062757A"/>
    <w:rsid w:val="006323A2"/>
    <w:rsid w:val="00632668"/>
    <w:rsid w:val="00633B80"/>
    <w:rsid w:val="00634E3E"/>
    <w:rsid w:val="0063610A"/>
    <w:rsid w:val="0064141C"/>
    <w:rsid w:val="00642C73"/>
    <w:rsid w:val="00643393"/>
    <w:rsid w:val="006444A8"/>
    <w:rsid w:val="006448DF"/>
    <w:rsid w:val="00644A5B"/>
    <w:rsid w:val="00644E9B"/>
    <w:rsid w:val="00645723"/>
    <w:rsid w:val="006457D6"/>
    <w:rsid w:val="00646466"/>
    <w:rsid w:val="006465C5"/>
    <w:rsid w:val="0064662F"/>
    <w:rsid w:val="0064680E"/>
    <w:rsid w:val="00647010"/>
    <w:rsid w:val="00651F78"/>
    <w:rsid w:val="006521ED"/>
    <w:rsid w:val="0065354A"/>
    <w:rsid w:val="00654DD3"/>
    <w:rsid w:val="00656554"/>
    <w:rsid w:val="00657A45"/>
    <w:rsid w:val="006613A5"/>
    <w:rsid w:val="00661F45"/>
    <w:rsid w:val="00664095"/>
    <w:rsid w:val="00664858"/>
    <w:rsid w:val="00666331"/>
    <w:rsid w:val="00667CD0"/>
    <w:rsid w:val="006701FB"/>
    <w:rsid w:val="00670F04"/>
    <w:rsid w:val="0067112B"/>
    <w:rsid w:val="00671C05"/>
    <w:rsid w:val="00671DA4"/>
    <w:rsid w:val="00672781"/>
    <w:rsid w:val="006737FE"/>
    <w:rsid w:val="00673929"/>
    <w:rsid w:val="00675A1F"/>
    <w:rsid w:val="00676279"/>
    <w:rsid w:val="00676AB3"/>
    <w:rsid w:val="00680506"/>
    <w:rsid w:val="00680AB3"/>
    <w:rsid w:val="00680D0E"/>
    <w:rsid w:val="0068284F"/>
    <w:rsid w:val="00685521"/>
    <w:rsid w:val="00686267"/>
    <w:rsid w:val="00687162"/>
    <w:rsid w:val="00687797"/>
    <w:rsid w:val="00690851"/>
    <w:rsid w:val="00690AF8"/>
    <w:rsid w:val="00691A5D"/>
    <w:rsid w:val="00691E5F"/>
    <w:rsid w:val="0069205A"/>
    <w:rsid w:val="006920D4"/>
    <w:rsid w:val="0069286E"/>
    <w:rsid w:val="00696876"/>
    <w:rsid w:val="006975BF"/>
    <w:rsid w:val="00697CFA"/>
    <w:rsid w:val="006A01C4"/>
    <w:rsid w:val="006A24BC"/>
    <w:rsid w:val="006A31DE"/>
    <w:rsid w:val="006A459F"/>
    <w:rsid w:val="006A6799"/>
    <w:rsid w:val="006B0360"/>
    <w:rsid w:val="006B09F5"/>
    <w:rsid w:val="006B0B8C"/>
    <w:rsid w:val="006B10E9"/>
    <w:rsid w:val="006B4B19"/>
    <w:rsid w:val="006B713A"/>
    <w:rsid w:val="006B71BA"/>
    <w:rsid w:val="006B7C26"/>
    <w:rsid w:val="006C0CB2"/>
    <w:rsid w:val="006C16E1"/>
    <w:rsid w:val="006C357B"/>
    <w:rsid w:val="006C4872"/>
    <w:rsid w:val="006C4C49"/>
    <w:rsid w:val="006C5938"/>
    <w:rsid w:val="006C5F0F"/>
    <w:rsid w:val="006C69DC"/>
    <w:rsid w:val="006C6C78"/>
    <w:rsid w:val="006C7245"/>
    <w:rsid w:val="006C7E20"/>
    <w:rsid w:val="006C7FF1"/>
    <w:rsid w:val="006D1B31"/>
    <w:rsid w:val="006D1DD3"/>
    <w:rsid w:val="006D2F49"/>
    <w:rsid w:val="006D3A18"/>
    <w:rsid w:val="006D4250"/>
    <w:rsid w:val="006D65C3"/>
    <w:rsid w:val="006D6FDF"/>
    <w:rsid w:val="006E01D5"/>
    <w:rsid w:val="006E08C4"/>
    <w:rsid w:val="006E1361"/>
    <w:rsid w:val="006E3C15"/>
    <w:rsid w:val="006E4ED2"/>
    <w:rsid w:val="006E6D45"/>
    <w:rsid w:val="006E7344"/>
    <w:rsid w:val="006E7369"/>
    <w:rsid w:val="006F0448"/>
    <w:rsid w:val="006F21A4"/>
    <w:rsid w:val="006F250C"/>
    <w:rsid w:val="006F408A"/>
    <w:rsid w:val="006F410E"/>
    <w:rsid w:val="006F50AF"/>
    <w:rsid w:val="006F66CF"/>
    <w:rsid w:val="006F7CAB"/>
    <w:rsid w:val="0070080E"/>
    <w:rsid w:val="00700D96"/>
    <w:rsid w:val="00700EF6"/>
    <w:rsid w:val="007023DD"/>
    <w:rsid w:val="0070362D"/>
    <w:rsid w:val="0070370D"/>
    <w:rsid w:val="00703ABA"/>
    <w:rsid w:val="007044F3"/>
    <w:rsid w:val="00704A3D"/>
    <w:rsid w:val="00704AA6"/>
    <w:rsid w:val="00704C28"/>
    <w:rsid w:val="007056A0"/>
    <w:rsid w:val="007064FF"/>
    <w:rsid w:val="00706E02"/>
    <w:rsid w:val="007070E7"/>
    <w:rsid w:val="00710E7C"/>
    <w:rsid w:val="00711946"/>
    <w:rsid w:val="00712BF0"/>
    <w:rsid w:val="007133CC"/>
    <w:rsid w:val="007137D3"/>
    <w:rsid w:val="007156ED"/>
    <w:rsid w:val="00715FC4"/>
    <w:rsid w:val="0071625E"/>
    <w:rsid w:val="007169D1"/>
    <w:rsid w:val="00716CD1"/>
    <w:rsid w:val="00717BD6"/>
    <w:rsid w:val="00721BF3"/>
    <w:rsid w:val="00722981"/>
    <w:rsid w:val="007254CC"/>
    <w:rsid w:val="0072642E"/>
    <w:rsid w:val="00727A75"/>
    <w:rsid w:val="00727B1C"/>
    <w:rsid w:val="00730FFD"/>
    <w:rsid w:val="0073150C"/>
    <w:rsid w:val="00732F50"/>
    <w:rsid w:val="00733615"/>
    <w:rsid w:val="00733D59"/>
    <w:rsid w:val="00734A1E"/>
    <w:rsid w:val="007359B6"/>
    <w:rsid w:val="007361B1"/>
    <w:rsid w:val="00737370"/>
    <w:rsid w:val="00737ADD"/>
    <w:rsid w:val="0074009F"/>
    <w:rsid w:val="007401E7"/>
    <w:rsid w:val="00740205"/>
    <w:rsid w:val="00740391"/>
    <w:rsid w:val="00740FF1"/>
    <w:rsid w:val="00741ED5"/>
    <w:rsid w:val="007460CD"/>
    <w:rsid w:val="00746DCA"/>
    <w:rsid w:val="0074761E"/>
    <w:rsid w:val="007505FD"/>
    <w:rsid w:val="00751D2D"/>
    <w:rsid w:val="007528FE"/>
    <w:rsid w:val="00752F0C"/>
    <w:rsid w:val="00753BCC"/>
    <w:rsid w:val="00753C87"/>
    <w:rsid w:val="007544DE"/>
    <w:rsid w:val="007549ED"/>
    <w:rsid w:val="007554F4"/>
    <w:rsid w:val="007571C6"/>
    <w:rsid w:val="00762421"/>
    <w:rsid w:val="007635DF"/>
    <w:rsid w:val="00763858"/>
    <w:rsid w:val="00763EEE"/>
    <w:rsid w:val="00764A59"/>
    <w:rsid w:val="00766616"/>
    <w:rsid w:val="00766795"/>
    <w:rsid w:val="0076685C"/>
    <w:rsid w:val="00767C35"/>
    <w:rsid w:val="00771A26"/>
    <w:rsid w:val="00772E60"/>
    <w:rsid w:val="00773AD3"/>
    <w:rsid w:val="007743CA"/>
    <w:rsid w:val="00774B20"/>
    <w:rsid w:val="007765AD"/>
    <w:rsid w:val="00776808"/>
    <w:rsid w:val="00776F53"/>
    <w:rsid w:val="00777F72"/>
    <w:rsid w:val="00780891"/>
    <w:rsid w:val="00781F31"/>
    <w:rsid w:val="007824D8"/>
    <w:rsid w:val="00783642"/>
    <w:rsid w:val="00783D37"/>
    <w:rsid w:val="00783DE6"/>
    <w:rsid w:val="00784784"/>
    <w:rsid w:val="00784C70"/>
    <w:rsid w:val="007856A0"/>
    <w:rsid w:val="00785F0F"/>
    <w:rsid w:val="0078659F"/>
    <w:rsid w:val="00786C68"/>
    <w:rsid w:val="007870AA"/>
    <w:rsid w:val="0079066B"/>
    <w:rsid w:val="0079079B"/>
    <w:rsid w:val="0079172F"/>
    <w:rsid w:val="00791E73"/>
    <w:rsid w:val="007921F1"/>
    <w:rsid w:val="007943DC"/>
    <w:rsid w:val="00795495"/>
    <w:rsid w:val="007967B0"/>
    <w:rsid w:val="007A04A3"/>
    <w:rsid w:val="007A053F"/>
    <w:rsid w:val="007A299D"/>
    <w:rsid w:val="007A41E7"/>
    <w:rsid w:val="007A5A74"/>
    <w:rsid w:val="007A60E6"/>
    <w:rsid w:val="007A6D42"/>
    <w:rsid w:val="007A71FB"/>
    <w:rsid w:val="007A7E0B"/>
    <w:rsid w:val="007B4A54"/>
    <w:rsid w:val="007B4F60"/>
    <w:rsid w:val="007B55F2"/>
    <w:rsid w:val="007B6649"/>
    <w:rsid w:val="007B668E"/>
    <w:rsid w:val="007B6C2B"/>
    <w:rsid w:val="007B7D76"/>
    <w:rsid w:val="007C1BB1"/>
    <w:rsid w:val="007C1D55"/>
    <w:rsid w:val="007C220B"/>
    <w:rsid w:val="007C2509"/>
    <w:rsid w:val="007C3BA0"/>
    <w:rsid w:val="007C4529"/>
    <w:rsid w:val="007C47EA"/>
    <w:rsid w:val="007C5874"/>
    <w:rsid w:val="007D0C54"/>
    <w:rsid w:val="007D180C"/>
    <w:rsid w:val="007D3287"/>
    <w:rsid w:val="007D3B70"/>
    <w:rsid w:val="007D57F2"/>
    <w:rsid w:val="007D5D4A"/>
    <w:rsid w:val="007D6C74"/>
    <w:rsid w:val="007E03A2"/>
    <w:rsid w:val="007E1969"/>
    <w:rsid w:val="007E3FCE"/>
    <w:rsid w:val="007E754E"/>
    <w:rsid w:val="007F0FC6"/>
    <w:rsid w:val="007F109A"/>
    <w:rsid w:val="007F207A"/>
    <w:rsid w:val="007F3557"/>
    <w:rsid w:val="007F449C"/>
    <w:rsid w:val="007F523C"/>
    <w:rsid w:val="007F6B23"/>
    <w:rsid w:val="007F7105"/>
    <w:rsid w:val="007F727F"/>
    <w:rsid w:val="007F728E"/>
    <w:rsid w:val="007F7B6B"/>
    <w:rsid w:val="007F7BA3"/>
    <w:rsid w:val="008004B0"/>
    <w:rsid w:val="00802B4F"/>
    <w:rsid w:val="00803025"/>
    <w:rsid w:val="00803558"/>
    <w:rsid w:val="00803638"/>
    <w:rsid w:val="00804009"/>
    <w:rsid w:val="0080431A"/>
    <w:rsid w:val="0080677D"/>
    <w:rsid w:val="008070A6"/>
    <w:rsid w:val="00810A45"/>
    <w:rsid w:val="008110E3"/>
    <w:rsid w:val="008122B1"/>
    <w:rsid w:val="008136B1"/>
    <w:rsid w:val="00813C05"/>
    <w:rsid w:val="00813D18"/>
    <w:rsid w:val="008144B2"/>
    <w:rsid w:val="00814E17"/>
    <w:rsid w:val="00814E75"/>
    <w:rsid w:val="00815B53"/>
    <w:rsid w:val="00816730"/>
    <w:rsid w:val="0081676D"/>
    <w:rsid w:val="00816C3D"/>
    <w:rsid w:val="00821767"/>
    <w:rsid w:val="008219B6"/>
    <w:rsid w:val="0082272A"/>
    <w:rsid w:val="00824114"/>
    <w:rsid w:val="008242BB"/>
    <w:rsid w:val="00825B15"/>
    <w:rsid w:val="00826B34"/>
    <w:rsid w:val="00831CFC"/>
    <w:rsid w:val="00833BAD"/>
    <w:rsid w:val="00836D1D"/>
    <w:rsid w:val="00837926"/>
    <w:rsid w:val="00837B80"/>
    <w:rsid w:val="00837ED5"/>
    <w:rsid w:val="008418F4"/>
    <w:rsid w:val="00842E8E"/>
    <w:rsid w:val="00843183"/>
    <w:rsid w:val="008433E7"/>
    <w:rsid w:val="00843CF0"/>
    <w:rsid w:val="008458D3"/>
    <w:rsid w:val="0084660D"/>
    <w:rsid w:val="00846E9A"/>
    <w:rsid w:val="0085187C"/>
    <w:rsid w:val="008529C9"/>
    <w:rsid w:val="00853477"/>
    <w:rsid w:val="00853B05"/>
    <w:rsid w:val="00855ED8"/>
    <w:rsid w:val="0085603B"/>
    <w:rsid w:val="0085605C"/>
    <w:rsid w:val="008570DC"/>
    <w:rsid w:val="0085774C"/>
    <w:rsid w:val="008601CC"/>
    <w:rsid w:val="00861DBF"/>
    <w:rsid w:val="00862824"/>
    <w:rsid w:val="00862BDA"/>
    <w:rsid w:val="008658A2"/>
    <w:rsid w:val="00866B41"/>
    <w:rsid w:val="00866DC2"/>
    <w:rsid w:val="00867011"/>
    <w:rsid w:val="00867C2D"/>
    <w:rsid w:val="00870E4B"/>
    <w:rsid w:val="0087102F"/>
    <w:rsid w:val="008741A1"/>
    <w:rsid w:val="0087428F"/>
    <w:rsid w:val="0087445A"/>
    <w:rsid w:val="00875481"/>
    <w:rsid w:val="0087583B"/>
    <w:rsid w:val="008765FF"/>
    <w:rsid w:val="00876AE2"/>
    <w:rsid w:val="00876FF3"/>
    <w:rsid w:val="0087731D"/>
    <w:rsid w:val="00877F19"/>
    <w:rsid w:val="0088396D"/>
    <w:rsid w:val="00885DA5"/>
    <w:rsid w:val="00886720"/>
    <w:rsid w:val="00887B3F"/>
    <w:rsid w:val="0089062C"/>
    <w:rsid w:val="00890F92"/>
    <w:rsid w:val="008925ED"/>
    <w:rsid w:val="00892BFF"/>
    <w:rsid w:val="0089376A"/>
    <w:rsid w:val="00894371"/>
    <w:rsid w:val="00894728"/>
    <w:rsid w:val="00894A77"/>
    <w:rsid w:val="00897F48"/>
    <w:rsid w:val="008A08C3"/>
    <w:rsid w:val="008A0B85"/>
    <w:rsid w:val="008A0C3A"/>
    <w:rsid w:val="008A1052"/>
    <w:rsid w:val="008A41B8"/>
    <w:rsid w:val="008A4DCC"/>
    <w:rsid w:val="008A5B53"/>
    <w:rsid w:val="008A6A17"/>
    <w:rsid w:val="008A7030"/>
    <w:rsid w:val="008A72F0"/>
    <w:rsid w:val="008A757F"/>
    <w:rsid w:val="008B01F7"/>
    <w:rsid w:val="008B0BFD"/>
    <w:rsid w:val="008B0CAB"/>
    <w:rsid w:val="008B1B40"/>
    <w:rsid w:val="008B350E"/>
    <w:rsid w:val="008B39D3"/>
    <w:rsid w:val="008B4080"/>
    <w:rsid w:val="008B4A7B"/>
    <w:rsid w:val="008B4CB0"/>
    <w:rsid w:val="008B55AF"/>
    <w:rsid w:val="008B7CED"/>
    <w:rsid w:val="008C075B"/>
    <w:rsid w:val="008C107C"/>
    <w:rsid w:val="008C1832"/>
    <w:rsid w:val="008C2511"/>
    <w:rsid w:val="008C2861"/>
    <w:rsid w:val="008C3B5A"/>
    <w:rsid w:val="008C4B6B"/>
    <w:rsid w:val="008C527B"/>
    <w:rsid w:val="008C5620"/>
    <w:rsid w:val="008C5C6D"/>
    <w:rsid w:val="008C6A8B"/>
    <w:rsid w:val="008C6F47"/>
    <w:rsid w:val="008D098A"/>
    <w:rsid w:val="008D0D51"/>
    <w:rsid w:val="008D0E46"/>
    <w:rsid w:val="008D0EB3"/>
    <w:rsid w:val="008D1E63"/>
    <w:rsid w:val="008D2156"/>
    <w:rsid w:val="008D34A0"/>
    <w:rsid w:val="008D34FA"/>
    <w:rsid w:val="008D433D"/>
    <w:rsid w:val="008D6DFB"/>
    <w:rsid w:val="008E0932"/>
    <w:rsid w:val="008E251D"/>
    <w:rsid w:val="008E358F"/>
    <w:rsid w:val="008E3F9C"/>
    <w:rsid w:val="008E4249"/>
    <w:rsid w:val="008E4445"/>
    <w:rsid w:val="008E48FD"/>
    <w:rsid w:val="008E4A98"/>
    <w:rsid w:val="008E4AC2"/>
    <w:rsid w:val="008E6226"/>
    <w:rsid w:val="008E6CDB"/>
    <w:rsid w:val="008E6D40"/>
    <w:rsid w:val="008E727E"/>
    <w:rsid w:val="008E75E6"/>
    <w:rsid w:val="008F0457"/>
    <w:rsid w:val="008F1C1A"/>
    <w:rsid w:val="008F257F"/>
    <w:rsid w:val="008F2967"/>
    <w:rsid w:val="008F2B5A"/>
    <w:rsid w:val="008F4C48"/>
    <w:rsid w:val="008F5629"/>
    <w:rsid w:val="008F710C"/>
    <w:rsid w:val="008F7186"/>
    <w:rsid w:val="00900053"/>
    <w:rsid w:val="0090161B"/>
    <w:rsid w:val="0090212F"/>
    <w:rsid w:val="0090307F"/>
    <w:rsid w:val="009031F0"/>
    <w:rsid w:val="00904131"/>
    <w:rsid w:val="00906A3D"/>
    <w:rsid w:val="00906FA8"/>
    <w:rsid w:val="00907C43"/>
    <w:rsid w:val="00910B4C"/>
    <w:rsid w:val="00910E91"/>
    <w:rsid w:val="0091136C"/>
    <w:rsid w:val="009113E4"/>
    <w:rsid w:val="00911BA1"/>
    <w:rsid w:val="009130D3"/>
    <w:rsid w:val="00913EE2"/>
    <w:rsid w:val="00916578"/>
    <w:rsid w:val="00916EBF"/>
    <w:rsid w:val="0091715B"/>
    <w:rsid w:val="0092160D"/>
    <w:rsid w:val="00921E9A"/>
    <w:rsid w:val="00923274"/>
    <w:rsid w:val="0092394F"/>
    <w:rsid w:val="0092589B"/>
    <w:rsid w:val="00926009"/>
    <w:rsid w:val="00926227"/>
    <w:rsid w:val="009262D6"/>
    <w:rsid w:val="009264B0"/>
    <w:rsid w:val="00926710"/>
    <w:rsid w:val="00926F82"/>
    <w:rsid w:val="0092713A"/>
    <w:rsid w:val="0092771D"/>
    <w:rsid w:val="00927CED"/>
    <w:rsid w:val="0093009C"/>
    <w:rsid w:val="0093191A"/>
    <w:rsid w:val="0093459E"/>
    <w:rsid w:val="00935A24"/>
    <w:rsid w:val="00935E16"/>
    <w:rsid w:val="00937AE1"/>
    <w:rsid w:val="00937E7F"/>
    <w:rsid w:val="009408BE"/>
    <w:rsid w:val="00940C35"/>
    <w:rsid w:val="009432A0"/>
    <w:rsid w:val="0094607D"/>
    <w:rsid w:val="0094633A"/>
    <w:rsid w:val="00946EA3"/>
    <w:rsid w:val="00947203"/>
    <w:rsid w:val="00947973"/>
    <w:rsid w:val="00947B66"/>
    <w:rsid w:val="00950E00"/>
    <w:rsid w:val="00950F4C"/>
    <w:rsid w:val="00951123"/>
    <w:rsid w:val="009520CA"/>
    <w:rsid w:val="009521F3"/>
    <w:rsid w:val="00954873"/>
    <w:rsid w:val="009549A6"/>
    <w:rsid w:val="00956BE0"/>
    <w:rsid w:val="00956CF7"/>
    <w:rsid w:val="00960FB8"/>
    <w:rsid w:val="009620CC"/>
    <w:rsid w:val="009624E2"/>
    <w:rsid w:val="0096404C"/>
    <w:rsid w:val="00965C60"/>
    <w:rsid w:val="009671C4"/>
    <w:rsid w:val="00970687"/>
    <w:rsid w:val="00970CDA"/>
    <w:rsid w:val="0097116A"/>
    <w:rsid w:val="0097204E"/>
    <w:rsid w:val="00972990"/>
    <w:rsid w:val="0097364A"/>
    <w:rsid w:val="0097455B"/>
    <w:rsid w:val="00975239"/>
    <w:rsid w:val="00975648"/>
    <w:rsid w:val="00977050"/>
    <w:rsid w:val="00977269"/>
    <w:rsid w:val="009774C4"/>
    <w:rsid w:val="00980265"/>
    <w:rsid w:val="00980545"/>
    <w:rsid w:val="00980634"/>
    <w:rsid w:val="00980776"/>
    <w:rsid w:val="0098092F"/>
    <w:rsid w:val="00981DF6"/>
    <w:rsid w:val="00982A7E"/>
    <w:rsid w:val="0098480E"/>
    <w:rsid w:val="00985097"/>
    <w:rsid w:val="0098551F"/>
    <w:rsid w:val="00987238"/>
    <w:rsid w:val="00987370"/>
    <w:rsid w:val="00987E11"/>
    <w:rsid w:val="00990171"/>
    <w:rsid w:val="00991C75"/>
    <w:rsid w:val="00991EB3"/>
    <w:rsid w:val="00992402"/>
    <w:rsid w:val="00992C7C"/>
    <w:rsid w:val="00995B4E"/>
    <w:rsid w:val="00995CF1"/>
    <w:rsid w:val="00996CE3"/>
    <w:rsid w:val="0099703F"/>
    <w:rsid w:val="00997CF2"/>
    <w:rsid w:val="00997E63"/>
    <w:rsid w:val="009A04D8"/>
    <w:rsid w:val="009A1356"/>
    <w:rsid w:val="009A1468"/>
    <w:rsid w:val="009A2D65"/>
    <w:rsid w:val="009A3CC4"/>
    <w:rsid w:val="009A469E"/>
    <w:rsid w:val="009A658F"/>
    <w:rsid w:val="009A75DD"/>
    <w:rsid w:val="009A78EF"/>
    <w:rsid w:val="009B057E"/>
    <w:rsid w:val="009B269C"/>
    <w:rsid w:val="009B3537"/>
    <w:rsid w:val="009B3A79"/>
    <w:rsid w:val="009B4DBE"/>
    <w:rsid w:val="009B5A2B"/>
    <w:rsid w:val="009B5DB6"/>
    <w:rsid w:val="009B602A"/>
    <w:rsid w:val="009B6291"/>
    <w:rsid w:val="009C1644"/>
    <w:rsid w:val="009C2226"/>
    <w:rsid w:val="009C272D"/>
    <w:rsid w:val="009C2C64"/>
    <w:rsid w:val="009C4492"/>
    <w:rsid w:val="009C52C2"/>
    <w:rsid w:val="009C67E1"/>
    <w:rsid w:val="009D073C"/>
    <w:rsid w:val="009D098F"/>
    <w:rsid w:val="009D1126"/>
    <w:rsid w:val="009D2440"/>
    <w:rsid w:val="009D51FA"/>
    <w:rsid w:val="009D53BD"/>
    <w:rsid w:val="009E0656"/>
    <w:rsid w:val="009E079E"/>
    <w:rsid w:val="009E1377"/>
    <w:rsid w:val="009E1868"/>
    <w:rsid w:val="009E2E94"/>
    <w:rsid w:val="009E405F"/>
    <w:rsid w:val="009E42D6"/>
    <w:rsid w:val="009E5805"/>
    <w:rsid w:val="009E5F9A"/>
    <w:rsid w:val="009E73C1"/>
    <w:rsid w:val="009E7663"/>
    <w:rsid w:val="009F2157"/>
    <w:rsid w:val="009F2DCC"/>
    <w:rsid w:val="009F3C3D"/>
    <w:rsid w:val="009F5008"/>
    <w:rsid w:val="009F5C29"/>
    <w:rsid w:val="00A00814"/>
    <w:rsid w:val="00A0161F"/>
    <w:rsid w:val="00A01D26"/>
    <w:rsid w:val="00A01E43"/>
    <w:rsid w:val="00A02BDF"/>
    <w:rsid w:val="00A0323E"/>
    <w:rsid w:val="00A0452E"/>
    <w:rsid w:val="00A04DAB"/>
    <w:rsid w:val="00A04E76"/>
    <w:rsid w:val="00A0523C"/>
    <w:rsid w:val="00A06A2F"/>
    <w:rsid w:val="00A11FC6"/>
    <w:rsid w:val="00A13758"/>
    <w:rsid w:val="00A13F0B"/>
    <w:rsid w:val="00A153EF"/>
    <w:rsid w:val="00A15DD1"/>
    <w:rsid w:val="00A16A40"/>
    <w:rsid w:val="00A17D41"/>
    <w:rsid w:val="00A200E4"/>
    <w:rsid w:val="00A201F6"/>
    <w:rsid w:val="00A20233"/>
    <w:rsid w:val="00A2028C"/>
    <w:rsid w:val="00A23821"/>
    <w:rsid w:val="00A250E6"/>
    <w:rsid w:val="00A2535C"/>
    <w:rsid w:val="00A26495"/>
    <w:rsid w:val="00A2653F"/>
    <w:rsid w:val="00A27189"/>
    <w:rsid w:val="00A3046F"/>
    <w:rsid w:val="00A31D69"/>
    <w:rsid w:val="00A322F3"/>
    <w:rsid w:val="00A32624"/>
    <w:rsid w:val="00A3283A"/>
    <w:rsid w:val="00A33E7A"/>
    <w:rsid w:val="00A344F6"/>
    <w:rsid w:val="00A34732"/>
    <w:rsid w:val="00A3671B"/>
    <w:rsid w:val="00A3704D"/>
    <w:rsid w:val="00A37C1F"/>
    <w:rsid w:val="00A40A2E"/>
    <w:rsid w:val="00A41226"/>
    <w:rsid w:val="00A41793"/>
    <w:rsid w:val="00A418DA"/>
    <w:rsid w:val="00A44559"/>
    <w:rsid w:val="00A445F4"/>
    <w:rsid w:val="00A459EC"/>
    <w:rsid w:val="00A46152"/>
    <w:rsid w:val="00A46192"/>
    <w:rsid w:val="00A47830"/>
    <w:rsid w:val="00A50548"/>
    <w:rsid w:val="00A51D67"/>
    <w:rsid w:val="00A52E6B"/>
    <w:rsid w:val="00A52F98"/>
    <w:rsid w:val="00A53878"/>
    <w:rsid w:val="00A53DCF"/>
    <w:rsid w:val="00A55438"/>
    <w:rsid w:val="00A60D28"/>
    <w:rsid w:val="00A6173F"/>
    <w:rsid w:val="00A61E13"/>
    <w:rsid w:val="00A61E5D"/>
    <w:rsid w:val="00A61E90"/>
    <w:rsid w:val="00A62080"/>
    <w:rsid w:val="00A62CD3"/>
    <w:rsid w:val="00A631C8"/>
    <w:rsid w:val="00A63E77"/>
    <w:rsid w:val="00A64968"/>
    <w:rsid w:val="00A65AA4"/>
    <w:rsid w:val="00A6621A"/>
    <w:rsid w:val="00A66727"/>
    <w:rsid w:val="00A66821"/>
    <w:rsid w:val="00A668B3"/>
    <w:rsid w:val="00A679E9"/>
    <w:rsid w:val="00A71693"/>
    <w:rsid w:val="00A72A29"/>
    <w:rsid w:val="00A72CB6"/>
    <w:rsid w:val="00A72DC4"/>
    <w:rsid w:val="00A73043"/>
    <w:rsid w:val="00A73186"/>
    <w:rsid w:val="00A73D05"/>
    <w:rsid w:val="00A75DC8"/>
    <w:rsid w:val="00A77904"/>
    <w:rsid w:val="00A8283C"/>
    <w:rsid w:val="00A83248"/>
    <w:rsid w:val="00A83A67"/>
    <w:rsid w:val="00A83C0C"/>
    <w:rsid w:val="00A8472C"/>
    <w:rsid w:val="00A87E0E"/>
    <w:rsid w:val="00A922A7"/>
    <w:rsid w:val="00A92680"/>
    <w:rsid w:val="00A93D2D"/>
    <w:rsid w:val="00A94ECE"/>
    <w:rsid w:val="00A95D39"/>
    <w:rsid w:val="00A9620B"/>
    <w:rsid w:val="00A97DFE"/>
    <w:rsid w:val="00A97FCD"/>
    <w:rsid w:val="00AA1698"/>
    <w:rsid w:val="00AA251F"/>
    <w:rsid w:val="00AA4A8B"/>
    <w:rsid w:val="00AA4F23"/>
    <w:rsid w:val="00AA5391"/>
    <w:rsid w:val="00AA645D"/>
    <w:rsid w:val="00AA6C48"/>
    <w:rsid w:val="00AA7AEC"/>
    <w:rsid w:val="00AB1899"/>
    <w:rsid w:val="00AB1DA0"/>
    <w:rsid w:val="00AB1DCD"/>
    <w:rsid w:val="00AB2CBE"/>
    <w:rsid w:val="00AB2DD7"/>
    <w:rsid w:val="00AB5382"/>
    <w:rsid w:val="00AB67EA"/>
    <w:rsid w:val="00AB7DF6"/>
    <w:rsid w:val="00AC18BA"/>
    <w:rsid w:val="00AC3D98"/>
    <w:rsid w:val="00AC40AD"/>
    <w:rsid w:val="00AC4795"/>
    <w:rsid w:val="00AD06D0"/>
    <w:rsid w:val="00AD0C96"/>
    <w:rsid w:val="00AD1CC9"/>
    <w:rsid w:val="00AD44DD"/>
    <w:rsid w:val="00AD4E4D"/>
    <w:rsid w:val="00AD5325"/>
    <w:rsid w:val="00AD54D6"/>
    <w:rsid w:val="00AD5581"/>
    <w:rsid w:val="00AD6665"/>
    <w:rsid w:val="00AD7C8E"/>
    <w:rsid w:val="00AE0099"/>
    <w:rsid w:val="00AE0E6D"/>
    <w:rsid w:val="00AE30FE"/>
    <w:rsid w:val="00AE3199"/>
    <w:rsid w:val="00AE43EC"/>
    <w:rsid w:val="00AE44BD"/>
    <w:rsid w:val="00AE4AA9"/>
    <w:rsid w:val="00AE4D4D"/>
    <w:rsid w:val="00AE70FE"/>
    <w:rsid w:val="00AE79E3"/>
    <w:rsid w:val="00AE7AEF"/>
    <w:rsid w:val="00AF1924"/>
    <w:rsid w:val="00AF3726"/>
    <w:rsid w:val="00AF57C8"/>
    <w:rsid w:val="00AF5AB8"/>
    <w:rsid w:val="00AF74E7"/>
    <w:rsid w:val="00AF76A6"/>
    <w:rsid w:val="00B00542"/>
    <w:rsid w:val="00B022D3"/>
    <w:rsid w:val="00B0353E"/>
    <w:rsid w:val="00B03C36"/>
    <w:rsid w:val="00B05027"/>
    <w:rsid w:val="00B070F9"/>
    <w:rsid w:val="00B07E51"/>
    <w:rsid w:val="00B10555"/>
    <w:rsid w:val="00B123E4"/>
    <w:rsid w:val="00B15C7A"/>
    <w:rsid w:val="00B16C84"/>
    <w:rsid w:val="00B17B20"/>
    <w:rsid w:val="00B20262"/>
    <w:rsid w:val="00B214E6"/>
    <w:rsid w:val="00B219B5"/>
    <w:rsid w:val="00B2428F"/>
    <w:rsid w:val="00B2632B"/>
    <w:rsid w:val="00B2727A"/>
    <w:rsid w:val="00B2770F"/>
    <w:rsid w:val="00B278A9"/>
    <w:rsid w:val="00B30D9D"/>
    <w:rsid w:val="00B31729"/>
    <w:rsid w:val="00B31940"/>
    <w:rsid w:val="00B31CBD"/>
    <w:rsid w:val="00B35E7B"/>
    <w:rsid w:val="00B36236"/>
    <w:rsid w:val="00B363F9"/>
    <w:rsid w:val="00B36995"/>
    <w:rsid w:val="00B40D4D"/>
    <w:rsid w:val="00B4273F"/>
    <w:rsid w:val="00B4287D"/>
    <w:rsid w:val="00B42AE8"/>
    <w:rsid w:val="00B433B5"/>
    <w:rsid w:val="00B43419"/>
    <w:rsid w:val="00B43545"/>
    <w:rsid w:val="00B456A2"/>
    <w:rsid w:val="00B45938"/>
    <w:rsid w:val="00B4664B"/>
    <w:rsid w:val="00B50CFE"/>
    <w:rsid w:val="00B50E17"/>
    <w:rsid w:val="00B521AF"/>
    <w:rsid w:val="00B545F3"/>
    <w:rsid w:val="00B54FB9"/>
    <w:rsid w:val="00B563E9"/>
    <w:rsid w:val="00B56BF5"/>
    <w:rsid w:val="00B56E1E"/>
    <w:rsid w:val="00B603D4"/>
    <w:rsid w:val="00B60BB0"/>
    <w:rsid w:val="00B61F6E"/>
    <w:rsid w:val="00B61FED"/>
    <w:rsid w:val="00B62622"/>
    <w:rsid w:val="00B62830"/>
    <w:rsid w:val="00B62A62"/>
    <w:rsid w:val="00B62EA0"/>
    <w:rsid w:val="00B63B09"/>
    <w:rsid w:val="00B64207"/>
    <w:rsid w:val="00B64F67"/>
    <w:rsid w:val="00B65533"/>
    <w:rsid w:val="00B65CE6"/>
    <w:rsid w:val="00B65FC0"/>
    <w:rsid w:val="00B66030"/>
    <w:rsid w:val="00B71922"/>
    <w:rsid w:val="00B71F1F"/>
    <w:rsid w:val="00B73EF6"/>
    <w:rsid w:val="00B74652"/>
    <w:rsid w:val="00B74D6F"/>
    <w:rsid w:val="00B75A38"/>
    <w:rsid w:val="00B76C12"/>
    <w:rsid w:val="00B772BD"/>
    <w:rsid w:val="00B7747F"/>
    <w:rsid w:val="00B77E7F"/>
    <w:rsid w:val="00B8226B"/>
    <w:rsid w:val="00B822B2"/>
    <w:rsid w:val="00B8251A"/>
    <w:rsid w:val="00B82D7E"/>
    <w:rsid w:val="00B83875"/>
    <w:rsid w:val="00B8459A"/>
    <w:rsid w:val="00B84E0B"/>
    <w:rsid w:val="00B85161"/>
    <w:rsid w:val="00B85F8B"/>
    <w:rsid w:val="00B867D5"/>
    <w:rsid w:val="00B87B91"/>
    <w:rsid w:val="00B9187E"/>
    <w:rsid w:val="00B92254"/>
    <w:rsid w:val="00B93382"/>
    <w:rsid w:val="00B93725"/>
    <w:rsid w:val="00B940F4"/>
    <w:rsid w:val="00B942C4"/>
    <w:rsid w:val="00B9520D"/>
    <w:rsid w:val="00B971D2"/>
    <w:rsid w:val="00BA0095"/>
    <w:rsid w:val="00BA2564"/>
    <w:rsid w:val="00BA4A44"/>
    <w:rsid w:val="00BA5039"/>
    <w:rsid w:val="00BA5069"/>
    <w:rsid w:val="00BA6293"/>
    <w:rsid w:val="00BA6EDA"/>
    <w:rsid w:val="00BA6F10"/>
    <w:rsid w:val="00BA70D3"/>
    <w:rsid w:val="00BA712B"/>
    <w:rsid w:val="00BA78CF"/>
    <w:rsid w:val="00BB011F"/>
    <w:rsid w:val="00BB129F"/>
    <w:rsid w:val="00BB3857"/>
    <w:rsid w:val="00BB3AA0"/>
    <w:rsid w:val="00BB40CE"/>
    <w:rsid w:val="00BB43F1"/>
    <w:rsid w:val="00BB4612"/>
    <w:rsid w:val="00BB4772"/>
    <w:rsid w:val="00BB7131"/>
    <w:rsid w:val="00BC03D3"/>
    <w:rsid w:val="00BC07E4"/>
    <w:rsid w:val="00BC0C45"/>
    <w:rsid w:val="00BC0EF2"/>
    <w:rsid w:val="00BC1017"/>
    <w:rsid w:val="00BC266A"/>
    <w:rsid w:val="00BC2832"/>
    <w:rsid w:val="00BC2ABC"/>
    <w:rsid w:val="00BC3FBB"/>
    <w:rsid w:val="00BC4734"/>
    <w:rsid w:val="00BC4A88"/>
    <w:rsid w:val="00BC5E84"/>
    <w:rsid w:val="00BC614B"/>
    <w:rsid w:val="00BC6CA8"/>
    <w:rsid w:val="00BC741A"/>
    <w:rsid w:val="00BD010C"/>
    <w:rsid w:val="00BD109A"/>
    <w:rsid w:val="00BD2C4C"/>
    <w:rsid w:val="00BD34DE"/>
    <w:rsid w:val="00BD5BDC"/>
    <w:rsid w:val="00BD6C2F"/>
    <w:rsid w:val="00BD78AD"/>
    <w:rsid w:val="00BE0233"/>
    <w:rsid w:val="00BE060C"/>
    <w:rsid w:val="00BE0A5A"/>
    <w:rsid w:val="00BE0EA1"/>
    <w:rsid w:val="00BE22D6"/>
    <w:rsid w:val="00BE344D"/>
    <w:rsid w:val="00BE46E2"/>
    <w:rsid w:val="00BE4E6D"/>
    <w:rsid w:val="00BE5108"/>
    <w:rsid w:val="00BE718A"/>
    <w:rsid w:val="00BE794B"/>
    <w:rsid w:val="00BF0010"/>
    <w:rsid w:val="00BF0E7A"/>
    <w:rsid w:val="00BF0F1E"/>
    <w:rsid w:val="00BF2DC1"/>
    <w:rsid w:val="00BF3EC3"/>
    <w:rsid w:val="00BF3FDF"/>
    <w:rsid w:val="00BF4020"/>
    <w:rsid w:val="00BF407B"/>
    <w:rsid w:val="00BF41ED"/>
    <w:rsid w:val="00BF7194"/>
    <w:rsid w:val="00BF73CA"/>
    <w:rsid w:val="00C0049A"/>
    <w:rsid w:val="00C01386"/>
    <w:rsid w:val="00C03A58"/>
    <w:rsid w:val="00C03A59"/>
    <w:rsid w:val="00C03F73"/>
    <w:rsid w:val="00C04813"/>
    <w:rsid w:val="00C04EE6"/>
    <w:rsid w:val="00C052DA"/>
    <w:rsid w:val="00C05451"/>
    <w:rsid w:val="00C05E0C"/>
    <w:rsid w:val="00C061CD"/>
    <w:rsid w:val="00C07712"/>
    <w:rsid w:val="00C07D2D"/>
    <w:rsid w:val="00C104CF"/>
    <w:rsid w:val="00C108DA"/>
    <w:rsid w:val="00C1148B"/>
    <w:rsid w:val="00C117BA"/>
    <w:rsid w:val="00C1236C"/>
    <w:rsid w:val="00C12C2E"/>
    <w:rsid w:val="00C1426F"/>
    <w:rsid w:val="00C152BC"/>
    <w:rsid w:val="00C157F2"/>
    <w:rsid w:val="00C16145"/>
    <w:rsid w:val="00C16587"/>
    <w:rsid w:val="00C174CA"/>
    <w:rsid w:val="00C17C65"/>
    <w:rsid w:val="00C17DE7"/>
    <w:rsid w:val="00C2076F"/>
    <w:rsid w:val="00C21A0C"/>
    <w:rsid w:val="00C2221F"/>
    <w:rsid w:val="00C223A2"/>
    <w:rsid w:val="00C23C16"/>
    <w:rsid w:val="00C245E7"/>
    <w:rsid w:val="00C249C0"/>
    <w:rsid w:val="00C25B64"/>
    <w:rsid w:val="00C261B1"/>
    <w:rsid w:val="00C268CA"/>
    <w:rsid w:val="00C27F30"/>
    <w:rsid w:val="00C3033B"/>
    <w:rsid w:val="00C3246C"/>
    <w:rsid w:val="00C32AA1"/>
    <w:rsid w:val="00C3488C"/>
    <w:rsid w:val="00C3685E"/>
    <w:rsid w:val="00C36B13"/>
    <w:rsid w:val="00C37403"/>
    <w:rsid w:val="00C418FF"/>
    <w:rsid w:val="00C42430"/>
    <w:rsid w:val="00C434BD"/>
    <w:rsid w:val="00C4364C"/>
    <w:rsid w:val="00C44E81"/>
    <w:rsid w:val="00C46AFB"/>
    <w:rsid w:val="00C51B7E"/>
    <w:rsid w:val="00C52E27"/>
    <w:rsid w:val="00C540C0"/>
    <w:rsid w:val="00C55317"/>
    <w:rsid w:val="00C56452"/>
    <w:rsid w:val="00C56C8B"/>
    <w:rsid w:val="00C61C16"/>
    <w:rsid w:val="00C6514D"/>
    <w:rsid w:val="00C65C4A"/>
    <w:rsid w:val="00C66443"/>
    <w:rsid w:val="00C66ADD"/>
    <w:rsid w:val="00C67889"/>
    <w:rsid w:val="00C70499"/>
    <w:rsid w:val="00C709A7"/>
    <w:rsid w:val="00C71886"/>
    <w:rsid w:val="00C732AA"/>
    <w:rsid w:val="00C7398A"/>
    <w:rsid w:val="00C7454E"/>
    <w:rsid w:val="00C74E2C"/>
    <w:rsid w:val="00C7505B"/>
    <w:rsid w:val="00C76C67"/>
    <w:rsid w:val="00C76F12"/>
    <w:rsid w:val="00C77658"/>
    <w:rsid w:val="00C83269"/>
    <w:rsid w:val="00C8438D"/>
    <w:rsid w:val="00C8478B"/>
    <w:rsid w:val="00C84EFD"/>
    <w:rsid w:val="00C85A76"/>
    <w:rsid w:val="00C863BE"/>
    <w:rsid w:val="00C86C44"/>
    <w:rsid w:val="00C914ED"/>
    <w:rsid w:val="00C92FCB"/>
    <w:rsid w:val="00C9387F"/>
    <w:rsid w:val="00C952E6"/>
    <w:rsid w:val="00C955EB"/>
    <w:rsid w:val="00C962F1"/>
    <w:rsid w:val="00C96C58"/>
    <w:rsid w:val="00C96DF9"/>
    <w:rsid w:val="00CA0CE6"/>
    <w:rsid w:val="00CA162F"/>
    <w:rsid w:val="00CA18F1"/>
    <w:rsid w:val="00CA1D18"/>
    <w:rsid w:val="00CA522B"/>
    <w:rsid w:val="00CA6441"/>
    <w:rsid w:val="00CA6E8A"/>
    <w:rsid w:val="00CA7AFE"/>
    <w:rsid w:val="00CB064B"/>
    <w:rsid w:val="00CB0B3D"/>
    <w:rsid w:val="00CB19F0"/>
    <w:rsid w:val="00CB1DEB"/>
    <w:rsid w:val="00CB28A0"/>
    <w:rsid w:val="00CB2CD7"/>
    <w:rsid w:val="00CB324C"/>
    <w:rsid w:val="00CB345D"/>
    <w:rsid w:val="00CB4406"/>
    <w:rsid w:val="00CB52E0"/>
    <w:rsid w:val="00CB60A4"/>
    <w:rsid w:val="00CB6975"/>
    <w:rsid w:val="00CB7B13"/>
    <w:rsid w:val="00CB7BC8"/>
    <w:rsid w:val="00CB7DD0"/>
    <w:rsid w:val="00CC08C8"/>
    <w:rsid w:val="00CC4AD5"/>
    <w:rsid w:val="00CC4B40"/>
    <w:rsid w:val="00CC6C8C"/>
    <w:rsid w:val="00CD1BB2"/>
    <w:rsid w:val="00CD2160"/>
    <w:rsid w:val="00CD2558"/>
    <w:rsid w:val="00CD25DE"/>
    <w:rsid w:val="00CD49DE"/>
    <w:rsid w:val="00CD5F3C"/>
    <w:rsid w:val="00CD606C"/>
    <w:rsid w:val="00CD65C8"/>
    <w:rsid w:val="00CD6D86"/>
    <w:rsid w:val="00CE173A"/>
    <w:rsid w:val="00CE1EB6"/>
    <w:rsid w:val="00CE26B2"/>
    <w:rsid w:val="00CE4042"/>
    <w:rsid w:val="00CE4C96"/>
    <w:rsid w:val="00CE4E7B"/>
    <w:rsid w:val="00CE5303"/>
    <w:rsid w:val="00CE5FEA"/>
    <w:rsid w:val="00CE71DE"/>
    <w:rsid w:val="00CF0713"/>
    <w:rsid w:val="00CF0804"/>
    <w:rsid w:val="00CF111A"/>
    <w:rsid w:val="00CF20DA"/>
    <w:rsid w:val="00CF24A9"/>
    <w:rsid w:val="00CF2F30"/>
    <w:rsid w:val="00CF465E"/>
    <w:rsid w:val="00CF4D88"/>
    <w:rsid w:val="00CF55CB"/>
    <w:rsid w:val="00CF5BCF"/>
    <w:rsid w:val="00CF66D6"/>
    <w:rsid w:val="00CF6DD3"/>
    <w:rsid w:val="00D00CB4"/>
    <w:rsid w:val="00D02B64"/>
    <w:rsid w:val="00D0330F"/>
    <w:rsid w:val="00D03346"/>
    <w:rsid w:val="00D03E4D"/>
    <w:rsid w:val="00D04C5C"/>
    <w:rsid w:val="00D05FCB"/>
    <w:rsid w:val="00D0636A"/>
    <w:rsid w:val="00D07DF7"/>
    <w:rsid w:val="00D12C27"/>
    <w:rsid w:val="00D12D80"/>
    <w:rsid w:val="00D14EDB"/>
    <w:rsid w:val="00D169E6"/>
    <w:rsid w:val="00D17909"/>
    <w:rsid w:val="00D20B10"/>
    <w:rsid w:val="00D21892"/>
    <w:rsid w:val="00D234A2"/>
    <w:rsid w:val="00D23897"/>
    <w:rsid w:val="00D24A09"/>
    <w:rsid w:val="00D24BAC"/>
    <w:rsid w:val="00D24BDD"/>
    <w:rsid w:val="00D26BC1"/>
    <w:rsid w:val="00D277BA"/>
    <w:rsid w:val="00D30470"/>
    <w:rsid w:val="00D3236B"/>
    <w:rsid w:val="00D330E8"/>
    <w:rsid w:val="00D33188"/>
    <w:rsid w:val="00D33ED3"/>
    <w:rsid w:val="00D34E63"/>
    <w:rsid w:val="00D354A8"/>
    <w:rsid w:val="00D35A5E"/>
    <w:rsid w:val="00D42230"/>
    <w:rsid w:val="00D42C80"/>
    <w:rsid w:val="00D43162"/>
    <w:rsid w:val="00D43F82"/>
    <w:rsid w:val="00D452B3"/>
    <w:rsid w:val="00D45556"/>
    <w:rsid w:val="00D50066"/>
    <w:rsid w:val="00D502F1"/>
    <w:rsid w:val="00D51939"/>
    <w:rsid w:val="00D52559"/>
    <w:rsid w:val="00D5284B"/>
    <w:rsid w:val="00D52A27"/>
    <w:rsid w:val="00D5570E"/>
    <w:rsid w:val="00D57480"/>
    <w:rsid w:val="00D61E96"/>
    <w:rsid w:val="00D64FFB"/>
    <w:rsid w:val="00D65AF4"/>
    <w:rsid w:val="00D65FAF"/>
    <w:rsid w:val="00D6749E"/>
    <w:rsid w:val="00D71C77"/>
    <w:rsid w:val="00D75EFD"/>
    <w:rsid w:val="00D77D85"/>
    <w:rsid w:val="00D80FB9"/>
    <w:rsid w:val="00D816CB"/>
    <w:rsid w:val="00D819DF"/>
    <w:rsid w:val="00D81BD8"/>
    <w:rsid w:val="00D8312A"/>
    <w:rsid w:val="00D84137"/>
    <w:rsid w:val="00D8533E"/>
    <w:rsid w:val="00D86490"/>
    <w:rsid w:val="00D8767D"/>
    <w:rsid w:val="00D91B8D"/>
    <w:rsid w:val="00D92F84"/>
    <w:rsid w:val="00D93C16"/>
    <w:rsid w:val="00D93F30"/>
    <w:rsid w:val="00D94E7C"/>
    <w:rsid w:val="00D952A6"/>
    <w:rsid w:val="00D95615"/>
    <w:rsid w:val="00D95AD2"/>
    <w:rsid w:val="00D976A1"/>
    <w:rsid w:val="00D97D3C"/>
    <w:rsid w:val="00DA1065"/>
    <w:rsid w:val="00DA108C"/>
    <w:rsid w:val="00DA249A"/>
    <w:rsid w:val="00DA2AF0"/>
    <w:rsid w:val="00DA339B"/>
    <w:rsid w:val="00DA368C"/>
    <w:rsid w:val="00DA4EF5"/>
    <w:rsid w:val="00DB0E28"/>
    <w:rsid w:val="00DB1E92"/>
    <w:rsid w:val="00DB251E"/>
    <w:rsid w:val="00DB3C3C"/>
    <w:rsid w:val="00DB4113"/>
    <w:rsid w:val="00DB457F"/>
    <w:rsid w:val="00DB4B78"/>
    <w:rsid w:val="00DB596C"/>
    <w:rsid w:val="00DB629C"/>
    <w:rsid w:val="00DB6821"/>
    <w:rsid w:val="00DB6A9B"/>
    <w:rsid w:val="00DC45AF"/>
    <w:rsid w:val="00DC554A"/>
    <w:rsid w:val="00DC6A8F"/>
    <w:rsid w:val="00DC706C"/>
    <w:rsid w:val="00DC7A63"/>
    <w:rsid w:val="00DD362F"/>
    <w:rsid w:val="00DD48C3"/>
    <w:rsid w:val="00DD4B26"/>
    <w:rsid w:val="00DD646F"/>
    <w:rsid w:val="00DD6804"/>
    <w:rsid w:val="00DD75AF"/>
    <w:rsid w:val="00DD7A5A"/>
    <w:rsid w:val="00DE068A"/>
    <w:rsid w:val="00DE1994"/>
    <w:rsid w:val="00DE1C72"/>
    <w:rsid w:val="00DE27F9"/>
    <w:rsid w:val="00DE30D4"/>
    <w:rsid w:val="00DE390A"/>
    <w:rsid w:val="00DE5347"/>
    <w:rsid w:val="00DE55F9"/>
    <w:rsid w:val="00DE598A"/>
    <w:rsid w:val="00DE6DB1"/>
    <w:rsid w:val="00DE6FB2"/>
    <w:rsid w:val="00DE7456"/>
    <w:rsid w:val="00DF1B3B"/>
    <w:rsid w:val="00DF2A53"/>
    <w:rsid w:val="00DF3318"/>
    <w:rsid w:val="00DF34F9"/>
    <w:rsid w:val="00DF3C19"/>
    <w:rsid w:val="00DF42E4"/>
    <w:rsid w:val="00DF4D48"/>
    <w:rsid w:val="00DF61A5"/>
    <w:rsid w:val="00DF7CDA"/>
    <w:rsid w:val="00E00762"/>
    <w:rsid w:val="00E01000"/>
    <w:rsid w:val="00E027CD"/>
    <w:rsid w:val="00E030A1"/>
    <w:rsid w:val="00E0324B"/>
    <w:rsid w:val="00E05743"/>
    <w:rsid w:val="00E05A10"/>
    <w:rsid w:val="00E068EF"/>
    <w:rsid w:val="00E069B9"/>
    <w:rsid w:val="00E06B5E"/>
    <w:rsid w:val="00E10934"/>
    <w:rsid w:val="00E10B53"/>
    <w:rsid w:val="00E11260"/>
    <w:rsid w:val="00E11695"/>
    <w:rsid w:val="00E11F5A"/>
    <w:rsid w:val="00E12856"/>
    <w:rsid w:val="00E1471D"/>
    <w:rsid w:val="00E15A7F"/>
    <w:rsid w:val="00E15C15"/>
    <w:rsid w:val="00E161EF"/>
    <w:rsid w:val="00E21C7F"/>
    <w:rsid w:val="00E252D9"/>
    <w:rsid w:val="00E25758"/>
    <w:rsid w:val="00E2723B"/>
    <w:rsid w:val="00E27664"/>
    <w:rsid w:val="00E31E69"/>
    <w:rsid w:val="00E31F0B"/>
    <w:rsid w:val="00E321AD"/>
    <w:rsid w:val="00E330C0"/>
    <w:rsid w:val="00E33FA9"/>
    <w:rsid w:val="00E34C58"/>
    <w:rsid w:val="00E34F5D"/>
    <w:rsid w:val="00E35812"/>
    <w:rsid w:val="00E35C42"/>
    <w:rsid w:val="00E36D33"/>
    <w:rsid w:val="00E3721D"/>
    <w:rsid w:val="00E379DB"/>
    <w:rsid w:val="00E40CAB"/>
    <w:rsid w:val="00E40E88"/>
    <w:rsid w:val="00E41660"/>
    <w:rsid w:val="00E4221D"/>
    <w:rsid w:val="00E4252B"/>
    <w:rsid w:val="00E43411"/>
    <w:rsid w:val="00E44240"/>
    <w:rsid w:val="00E4448B"/>
    <w:rsid w:val="00E45E95"/>
    <w:rsid w:val="00E46AC5"/>
    <w:rsid w:val="00E515BD"/>
    <w:rsid w:val="00E53C57"/>
    <w:rsid w:val="00E54314"/>
    <w:rsid w:val="00E54932"/>
    <w:rsid w:val="00E55212"/>
    <w:rsid w:val="00E6190F"/>
    <w:rsid w:val="00E62912"/>
    <w:rsid w:val="00E62BC1"/>
    <w:rsid w:val="00E631EE"/>
    <w:rsid w:val="00E63345"/>
    <w:rsid w:val="00E63A55"/>
    <w:rsid w:val="00E63E3A"/>
    <w:rsid w:val="00E65ECB"/>
    <w:rsid w:val="00E66085"/>
    <w:rsid w:val="00E6650D"/>
    <w:rsid w:val="00E66619"/>
    <w:rsid w:val="00E67422"/>
    <w:rsid w:val="00E7178C"/>
    <w:rsid w:val="00E71904"/>
    <w:rsid w:val="00E71AFE"/>
    <w:rsid w:val="00E71CA5"/>
    <w:rsid w:val="00E72B97"/>
    <w:rsid w:val="00E72C49"/>
    <w:rsid w:val="00E776B5"/>
    <w:rsid w:val="00E77BBC"/>
    <w:rsid w:val="00E800E4"/>
    <w:rsid w:val="00E803F3"/>
    <w:rsid w:val="00E82C7C"/>
    <w:rsid w:val="00E834B6"/>
    <w:rsid w:val="00E85990"/>
    <w:rsid w:val="00E866E2"/>
    <w:rsid w:val="00E8785E"/>
    <w:rsid w:val="00E901EA"/>
    <w:rsid w:val="00E9086B"/>
    <w:rsid w:val="00E91382"/>
    <w:rsid w:val="00E92599"/>
    <w:rsid w:val="00E92677"/>
    <w:rsid w:val="00E9289B"/>
    <w:rsid w:val="00E92B3B"/>
    <w:rsid w:val="00E93684"/>
    <w:rsid w:val="00E9381E"/>
    <w:rsid w:val="00E93C1F"/>
    <w:rsid w:val="00E96003"/>
    <w:rsid w:val="00E96CD9"/>
    <w:rsid w:val="00E97806"/>
    <w:rsid w:val="00E97CA3"/>
    <w:rsid w:val="00EA0727"/>
    <w:rsid w:val="00EA0A75"/>
    <w:rsid w:val="00EA46A4"/>
    <w:rsid w:val="00EA777A"/>
    <w:rsid w:val="00EA79E7"/>
    <w:rsid w:val="00EA7AB5"/>
    <w:rsid w:val="00EB131E"/>
    <w:rsid w:val="00EB2F3B"/>
    <w:rsid w:val="00EB35C8"/>
    <w:rsid w:val="00EB3A1B"/>
    <w:rsid w:val="00EB3E7D"/>
    <w:rsid w:val="00EB404D"/>
    <w:rsid w:val="00EB75F6"/>
    <w:rsid w:val="00EC1808"/>
    <w:rsid w:val="00EC444F"/>
    <w:rsid w:val="00EC74D8"/>
    <w:rsid w:val="00EC7719"/>
    <w:rsid w:val="00EC7E46"/>
    <w:rsid w:val="00ED03E8"/>
    <w:rsid w:val="00ED09CB"/>
    <w:rsid w:val="00ED44B0"/>
    <w:rsid w:val="00ED60C9"/>
    <w:rsid w:val="00ED7738"/>
    <w:rsid w:val="00EE0531"/>
    <w:rsid w:val="00EE0D04"/>
    <w:rsid w:val="00EE16F3"/>
    <w:rsid w:val="00EE1DAE"/>
    <w:rsid w:val="00EE31A7"/>
    <w:rsid w:val="00EE348A"/>
    <w:rsid w:val="00EE357E"/>
    <w:rsid w:val="00EE3C56"/>
    <w:rsid w:val="00EE3C77"/>
    <w:rsid w:val="00EE4062"/>
    <w:rsid w:val="00EE51B5"/>
    <w:rsid w:val="00EE5683"/>
    <w:rsid w:val="00EE71FA"/>
    <w:rsid w:val="00EF2D0C"/>
    <w:rsid w:val="00EF4DD5"/>
    <w:rsid w:val="00EF56EE"/>
    <w:rsid w:val="00EF73F2"/>
    <w:rsid w:val="00EF73FC"/>
    <w:rsid w:val="00F00615"/>
    <w:rsid w:val="00F00FDF"/>
    <w:rsid w:val="00F020DF"/>
    <w:rsid w:val="00F02415"/>
    <w:rsid w:val="00F03FA1"/>
    <w:rsid w:val="00F05A34"/>
    <w:rsid w:val="00F066A0"/>
    <w:rsid w:val="00F07C9A"/>
    <w:rsid w:val="00F07DC8"/>
    <w:rsid w:val="00F10E55"/>
    <w:rsid w:val="00F10F01"/>
    <w:rsid w:val="00F1119D"/>
    <w:rsid w:val="00F13874"/>
    <w:rsid w:val="00F13C32"/>
    <w:rsid w:val="00F13F4F"/>
    <w:rsid w:val="00F14AE8"/>
    <w:rsid w:val="00F17269"/>
    <w:rsid w:val="00F175CA"/>
    <w:rsid w:val="00F23131"/>
    <w:rsid w:val="00F2341A"/>
    <w:rsid w:val="00F24151"/>
    <w:rsid w:val="00F24903"/>
    <w:rsid w:val="00F24C50"/>
    <w:rsid w:val="00F271BA"/>
    <w:rsid w:val="00F27861"/>
    <w:rsid w:val="00F27C38"/>
    <w:rsid w:val="00F30580"/>
    <w:rsid w:val="00F313F4"/>
    <w:rsid w:val="00F329E4"/>
    <w:rsid w:val="00F32EB7"/>
    <w:rsid w:val="00F32FE8"/>
    <w:rsid w:val="00F3499E"/>
    <w:rsid w:val="00F349D4"/>
    <w:rsid w:val="00F34BBB"/>
    <w:rsid w:val="00F34BED"/>
    <w:rsid w:val="00F3526F"/>
    <w:rsid w:val="00F358E4"/>
    <w:rsid w:val="00F35DFD"/>
    <w:rsid w:val="00F37013"/>
    <w:rsid w:val="00F402EC"/>
    <w:rsid w:val="00F417B9"/>
    <w:rsid w:val="00F4245E"/>
    <w:rsid w:val="00F424F1"/>
    <w:rsid w:val="00F43682"/>
    <w:rsid w:val="00F43C90"/>
    <w:rsid w:val="00F4418C"/>
    <w:rsid w:val="00F45513"/>
    <w:rsid w:val="00F4773A"/>
    <w:rsid w:val="00F47897"/>
    <w:rsid w:val="00F50133"/>
    <w:rsid w:val="00F50EB4"/>
    <w:rsid w:val="00F528D1"/>
    <w:rsid w:val="00F52FAD"/>
    <w:rsid w:val="00F53AE5"/>
    <w:rsid w:val="00F544D5"/>
    <w:rsid w:val="00F55301"/>
    <w:rsid w:val="00F5586D"/>
    <w:rsid w:val="00F56A07"/>
    <w:rsid w:val="00F600B1"/>
    <w:rsid w:val="00F6179B"/>
    <w:rsid w:val="00F6291B"/>
    <w:rsid w:val="00F64810"/>
    <w:rsid w:val="00F66141"/>
    <w:rsid w:val="00F66EE9"/>
    <w:rsid w:val="00F6725F"/>
    <w:rsid w:val="00F67736"/>
    <w:rsid w:val="00F67951"/>
    <w:rsid w:val="00F718F9"/>
    <w:rsid w:val="00F7548E"/>
    <w:rsid w:val="00F75A32"/>
    <w:rsid w:val="00F8028C"/>
    <w:rsid w:val="00F807B5"/>
    <w:rsid w:val="00F82219"/>
    <w:rsid w:val="00F8231E"/>
    <w:rsid w:val="00F82D9E"/>
    <w:rsid w:val="00F83A19"/>
    <w:rsid w:val="00F849E4"/>
    <w:rsid w:val="00F86286"/>
    <w:rsid w:val="00F878EB"/>
    <w:rsid w:val="00F90461"/>
    <w:rsid w:val="00F90FF0"/>
    <w:rsid w:val="00F920B4"/>
    <w:rsid w:val="00F93406"/>
    <w:rsid w:val="00F949E8"/>
    <w:rsid w:val="00FA02E1"/>
    <w:rsid w:val="00FA1C50"/>
    <w:rsid w:val="00FA1DDE"/>
    <w:rsid w:val="00FA33D2"/>
    <w:rsid w:val="00FA3C69"/>
    <w:rsid w:val="00FA5AFF"/>
    <w:rsid w:val="00FA6AE7"/>
    <w:rsid w:val="00FA795C"/>
    <w:rsid w:val="00FA7B5E"/>
    <w:rsid w:val="00FB18FA"/>
    <w:rsid w:val="00FB2615"/>
    <w:rsid w:val="00FB4374"/>
    <w:rsid w:val="00FB5492"/>
    <w:rsid w:val="00FB6B06"/>
    <w:rsid w:val="00FB7E78"/>
    <w:rsid w:val="00FC02CE"/>
    <w:rsid w:val="00FC18EF"/>
    <w:rsid w:val="00FC1C22"/>
    <w:rsid w:val="00FC2499"/>
    <w:rsid w:val="00FC6397"/>
    <w:rsid w:val="00FC784D"/>
    <w:rsid w:val="00FD2DFD"/>
    <w:rsid w:val="00FD358E"/>
    <w:rsid w:val="00FD4ADC"/>
    <w:rsid w:val="00FD5D13"/>
    <w:rsid w:val="00FD671D"/>
    <w:rsid w:val="00FD6C57"/>
    <w:rsid w:val="00FD6FE1"/>
    <w:rsid w:val="00FD7E6F"/>
    <w:rsid w:val="00FE3AEC"/>
    <w:rsid w:val="00FE51C0"/>
    <w:rsid w:val="00FE5814"/>
    <w:rsid w:val="00FE5AFE"/>
    <w:rsid w:val="00FE6875"/>
    <w:rsid w:val="00FF04D8"/>
    <w:rsid w:val="00FF096B"/>
    <w:rsid w:val="00FF1321"/>
    <w:rsid w:val="00FF1C83"/>
    <w:rsid w:val="00FF250C"/>
    <w:rsid w:val="00FF262E"/>
    <w:rsid w:val="00FF36D8"/>
    <w:rsid w:val="00FF3E22"/>
    <w:rsid w:val="00FF510D"/>
    <w:rsid w:val="00FF52EB"/>
    <w:rsid w:val="00FF5BDE"/>
    <w:rsid w:val="00FF63D3"/>
    <w:rsid w:val="00FF727A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6A6E2D51"/>
  <w15:chartTrackingRefBased/>
  <w15:docId w15:val="{158E4378-6BA4-45E3-9925-E1CD31E61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3DC4"/>
    <w:rPr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uiPriority w:val="99"/>
    <w:rsid w:val="006C7245"/>
    <w:pPr>
      <w:tabs>
        <w:tab w:val="center" w:pos="4320"/>
        <w:tab w:val="right" w:pos="8640"/>
      </w:tabs>
      <w:ind w:right="-900"/>
    </w:pPr>
    <w:rPr>
      <w:szCs w:val="20"/>
    </w:rPr>
  </w:style>
  <w:style w:type="character" w:customStyle="1" w:styleId="HeaderChar">
    <w:name w:val="Header Char"/>
    <w:aliases w:val="encabezado Char"/>
    <w:link w:val="Header"/>
    <w:uiPriority w:val="99"/>
    <w:locked/>
    <w:rsid w:val="006C7245"/>
    <w:rPr>
      <w:sz w:val="24"/>
      <w:lang w:val="es-ES" w:eastAsia="en-US" w:bidi="ar-SA"/>
    </w:rPr>
  </w:style>
  <w:style w:type="paragraph" w:styleId="Footer">
    <w:name w:val="footer"/>
    <w:basedOn w:val="Normal"/>
    <w:link w:val="FooterChar"/>
    <w:uiPriority w:val="99"/>
    <w:rsid w:val="00975648"/>
    <w:pPr>
      <w:tabs>
        <w:tab w:val="center" w:pos="4320"/>
        <w:tab w:val="right" w:pos="8640"/>
      </w:tabs>
    </w:pPr>
    <w:rPr>
      <w:rFonts w:eastAsia="MS Mincho"/>
    </w:rPr>
  </w:style>
  <w:style w:type="character" w:styleId="PageNumber">
    <w:name w:val="page number"/>
    <w:basedOn w:val="DefaultParagraphFont"/>
    <w:rsid w:val="00975648"/>
  </w:style>
  <w:style w:type="paragraph" w:styleId="BodyText2">
    <w:name w:val="Body Text 2"/>
    <w:basedOn w:val="Normal"/>
    <w:rsid w:val="00975648"/>
    <w:pPr>
      <w:spacing w:line="250" w:lineRule="exact"/>
      <w:jc w:val="both"/>
    </w:pPr>
    <w:rPr>
      <w:rFonts w:ascii="Trebuchet MS" w:eastAsia="SimSun" w:hAnsi="Trebuchet MS" w:cs="Arial"/>
      <w:sz w:val="20"/>
      <w:szCs w:val="20"/>
    </w:rPr>
  </w:style>
  <w:style w:type="character" w:customStyle="1" w:styleId="encabezadoCharChar">
    <w:name w:val="encabezado Char Char"/>
    <w:rsid w:val="00975648"/>
    <w:rPr>
      <w:sz w:val="24"/>
      <w:szCs w:val="24"/>
      <w:lang w:val="es-ES"/>
    </w:rPr>
  </w:style>
  <w:style w:type="character" w:customStyle="1" w:styleId="FooterChar">
    <w:name w:val="Footer Char"/>
    <w:link w:val="Footer"/>
    <w:uiPriority w:val="99"/>
    <w:rsid w:val="00975648"/>
    <w:rPr>
      <w:rFonts w:eastAsia="MS Mincho"/>
      <w:sz w:val="24"/>
      <w:szCs w:val="24"/>
      <w:lang w:val="es-ES" w:eastAsia="en-US" w:bidi="ar-SA"/>
    </w:rPr>
  </w:style>
  <w:style w:type="paragraph" w:styleId="BalloonText">
    <w:name w:val="Balloon Text"/>
    <w:basedOn w:val="Normal"/>
    <w:link w:val="BalloonTextChar"/>
    <w:rsid w:val="00E05A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05A10"/>
    <w:rPr>
      <w:rFonts w:ascii="Tahoma" w:hAnsi="Tahoma" w:cs="Tahoma"/>
      <w:sz w:val="16"/>
      <w:szCs w:val="16"/>
      <w:lang w:val="es-ES"/>
    </w:rPr>
  </w:style>
  <w:style w:type="table" w:styleId="TableGrid">
    <w:name w:val="Table Grid"/>
    <w:basedOn w:val="TableNormal"/>
    <w:rsid w:val="00D23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FA3C69"/>
    <w:pPr>
      <w:spacing w:after="120"/>
    </w:pPr>
    <w:rPr>
      <w:rFonts w:eastAsia="MS Mincho"/>
      <w:lang w:val="es-CO"/>
    </w:rPr>
  </w:style>
  <w:style w:type="character" w:customStyle="1" w:styleId="BodyTextChar">
    <w:name w:val="Body Text Char"/>
    <w:link w:val="BodyText"/>
    <w:rsid w:val="00FA3C69"/>
    <w:rPr>
      <w:rFonts w:eastAsia="MS Mincho"/>
      <w:sz w:val="24"/>
      <w:szCs w:val="24"/>
      <w:lang w:val="es-CO"/>
    </w:rPr>
  </w:style>
  <w:style w:type="paragraph" w:styleId="ListParagraph">
    <w:name w:val="List Paragraph"/>
    <w:basedOn w:val="Normal"/>
    <w:uiPriority w:val="34"/>
    <w:qFormat/>
    <w:rsid w:val="00A61E5D"/>
    <w:pPr>
      <w:ind w:left="720"/>
    </w:pPr>
  </w:style>
  <w:style w:type="character" w:customStyle="1" w:styleId="HeaderChar1">
    <w:name w:val="Header Char1"/>
    <w:aliases w:val="encabezado Char1"/>
    <w:semiHidden/>
    <w:locked/>
    <w:rsid w:val="00D976A1"/>
    <w:rPr>
      <w:sz w:val="24"/>
      <w:lang w:val="en-US" w:eastAsia="en-US" w:bidi="ar-SA"/>
    </w:rPr>
  </w:style>
  <w:style w:type="character" w:styleId="CommentReference">
    <w:name w:val="annotation reference"/>
    <w:rsid w:val="009B26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269C"/>
    <w:rPr>
      <w:sz w:val="20"/>
      <w:szCs w:val="20"/>
    </w:rPr>
  </w:style>
  <w:style w:type="character" w:customStyle="1" w:styleId="CommentTextChar">
    <w:name w:val="Comment Text Char"/>
    <w:link w:val="CommentText"/>
    <w:rsid w:val="009B269C"/>
    <w:rPr>
      <w:lang w:val="es-ES"/>
    </w:rPr>
  </w:style>
  <w:style w:type="paragraph" w:styleId="CommentSubject">
    <w:name w:val="annotation subject"/>
    <w:basedOn w:val="CommentText"/>
    <w:next w:val="CommentText"/>
    <w:link w:val="CommentSubjectChar"/>
    <w:rsid w:val="009B269C"/>
    <w:rPr>
      <w:b/>
      <w:bCs/>
    </w:rPr>
  </w:style>
  <w:style w:type="character" w:customStyle="1" w:styleId="CommentSubjectChar">
    <w:name w:val="Comment Subject Char"/>
    <w:link w:val="CommentSubject"/>
    <w:rsid w:val="009B269C"/>
    <w:rPr>
      <w:b/>
      <w:bCs/>
      <w:lang w:val="es-ES"/>
    </w:rPr>
  </w:style>
  <w:style w:type="paragraph" w:styleId="Revision">
    <w:name w:val="Revision"/>
    <w:hidden/>
    <w:uiPriority w:val="99"/>
    <w:semiHidden/>
    <w:rsid w:val="009B269C"/>
    <w:rPr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8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5.e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c0ed026-2af2-4bd4-84a6-7e6cd39ea343">
      <UserInfo>
        <DisplayName/>
        <AccountId xsi:nil="true"/>
        <AccountType/>
      </UserInfo>
    </SharedWithUsers>
    <TaxCatchAll xmlns="730f74aa-8393-4aa5-b2f8-3c7aae566a68" xsi:nil="true"/>
    <lcf76f155ced4ddcb4097134ff3c332f xmlns="5c0ed026-2af2-4bd4-84a6-7e6cd39ea343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D60DE7C51F8C40AF6F34765F7D2D84" ma:contentTypeVersion="18" ma:contentTypeDescription="Create a new document." ma:contentTypeScope="" ma:versionID="0eb6e57147e9e94ac88f482e24ae98d6">
  <xsd:schema xmlns:xsd="http://www.w3.org/2001/XMLSchema" xmlns:xs="http://www.w3.org/2001/XMLSchema" xmlns:p="http://schemas.microsoft.com/office/2006/metadata/properties" xmlns:ns2="5c0ed026-2af2-4bd4-84a6-7e6cd39ea343" xmlns:ns3="730f74aa-8393-4aa5-b2f8-3c7aae566a68" targetNamespace="http://schemas.microsoft.com/office/2006/metadata/properties" ma:root="true" ma:fieldsID="0cb0e752d087c7da9106e2a9c96d90e6" ns2:_="" ns3:_="">
    <xsd:import namespace="5c0ed026-2af2-4bd4-84a6-7e6cd39ea343"/>
    <xsd:import namespace="730f74aa-8393-4aa5-b2f8-3c7aae566a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ed026-2af2-4bd4-84a6-7e6cd39ea3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f74aa-8393-4aa5-b2f8-3c7aae566a68" elementFormDefault="qualified">
    <xsd:import namespace="http://schemas.microsoft.com/office/2006/documentManagement/types"/>
    <xsd:import namespace="http://schemas.microsoft.com/office/infopath/2007/PartnerControls"/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8ad4931-68c8-477a-9f81-fb0684637bf5}" ma:internalName="TaxCatchAll" ma:showField="CatchAllData" ma:web="730f74aa-8393-4aa5-b2f8-3c7aae566a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20587A-CDE3-44BC-B62D-E5C5483D3C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169C7C-7708-47FE-8973-D705A93442B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9CBE0A5-553B-4B7A-9829-96D3184D1E16}">
  <ds:schemaRefs>
    <ds:schemaRef ds:uri="http://schemas.microsoft.com/office/2006/metadata/properties"/>
    <ds:schemaRef ds:uri="http://schemas.microsoft.com/office/infopath/2007/PartnerControls"/>
    <ds:schemaRef ds:uri="5c0ed026-2af2-4bd4-84a6-7e6cd39ea343"/>
    <ds:schemaRef ds:uri="730f74aa-8393-4aa5-b2f8-3c7aae566a68"/>
  </ds:schemaRefs>
</ds:datastoreItem>
</file>

<file path=customXml/itemProps4.xml><?xml version="1.0" encoding="utf-8"?>
<ds:datastoreItem xmlns:ds="http://schemas.openxmlformats.org/officeDocument/2006/customXml" ds:itemID="{6B22E87F-7F04-42E8-A5AC-22B3044D1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ed026-2af2-4bd4-84a6-7e6cd39ea343"/>
    <ds:schemaRef ds:uri="730f74aa-8393-4aa5-b2f8-3c7aae566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F4410F0-2087-4062-B896-4852AEF52E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12</Pages>
  <Words>2678</Words>
  <Characters>14884</Characters>
  <Application>Microsoft Office Word</Application>
  <DocSecurity>0</DocSecurity>
  <Lines>124</Lines>
  <Paragraphs>35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PRIMERA REUNION DE LOS GRUPOS DE TRABAJO</vt:lpstr>
      <vt:lpstr>PRIMERA REUNION DE LOS GRUPOS DE TRABAJO</vt:lpstr>
    </vt:vector>
  </TitlesOfParts>
  <Company>OAS</Company>
  <LinksUpToDate>false</LinksUpToDate>
  <CharactersWithSpaces>17527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REUNION DE LOS GRUPOS DE TRABAJO</dc:title>
  <dc:subject/>
  <dc:creator>DHillon</dc:creator>
  <cp:keywords/>
  <cp:lastModifiedBy>Camacho, Maria Claudia</cp:lastModifiedBy>
  <cp:revision>114</cp:revision>
  <cp:lastPrinted>2023-01-26T01:33:00Z</cp:lastPrinted>
  <dcterms:created xsi:type="dcterms:W3CDTF">2023-09-17T19:24:00Z</dcterms:created>
  <dcterms:modified xsi:type="dcterms:W3CDTF">2023-09-19T12:30:00Z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Calzada, Guillermo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  <property fmtid="{D5CDD505-2E9C-101B-9397-08002B2CF9AE}" pid="5" name="Order">
    <vt:lpwstr>10894500.0000000</vt:lpwstr>
  </property>
  <property fmtid="{D5CDD505-2E9C-101B-9397-08002B2CF9AE}" pid="6" name="display_urn:schemas-microsoft-com:office:office#Author">
    <vt:lpwstr>Camacho, Maria Claudia</vt:lpwstr>
  </property>
  <property fmtid="{D5CDD505-2E9C-101B-9397-08002B2CF9AE}" pid="7" name="ContentTypeId">
    <vt:lpwstr>0x0101003FD60DE7C51F8C40AF6F34765F7D2D84</vt:lpwstr>
  </property>
  <property fmtid="{D5CDD505-2E9C-101B-9397-08002B2CF9AE}" pid="8" name="MediaServiceImageTags">
    <vt:lpwstr/>
  </property>
</Properties>
</file>