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F417" w14:textId="77777777" w:rsidR="003E0970" w:rsidRPr="004E7708" w:rsidRDefault="003E0970" w:rsidP="003E0970">
      <w:pPr>
        <w:pStyle w:val="NoSpacing"/>
        <w:ind w:left="-720" w:right="-604"/>
        <w:jc w:val="center"/>
        <w:rPr>
          <w:rFonts w:ascii="Cambria" w:hAnsi="Cambria"/>
          <w:b/>
          <w:color w:val="000000" w:themeColor="text1"/>
          <w:sz w:val="20"/>
          <w:szCs w:val="20"/>
          <w:lang w:val="es-ES"/>
        </w:rPr>
      </w:pPr>
    </w:p>
    <w:p w14:paraId="6FF6CC27" w14:textId="77777777" w:rsidR="003E0970" w:rsidRPr="004E7708" w:rsidRDefault="003E0970" w:rsidP="003E0970">
      <w:pPr>
        <w:pStyle w:val="NoSpacing"/>
        <w:ind w:left="-720" w:right="-604"/>
        <w:jc w:val="center"/>
        <w:rPr>
          <w:rFonts w:ascii="Cambria" w:hAnsi="Cambria"/>
          <w:b/>
          <w:color w:val="000000" w:themeColor="text1"/>
          <w:sz w:val="20"/>
          <w:szCs w:val="20"/>
          <w:lang w:val="es-ES"/>
        </w:rPr>
      </w:pPr>
      <w:r w:rsidRPr="004E7708">
        <w:rPr>
          <w:rFonts w:ascii="Cambria" w:hAnsi="Cambria"/>
          <w:b/>
          <w:color w:val="000000" w:themeColor="text1"/>
          <w:sz w:val="20"/>
          <w:szCs w:val="20"/>
          <w:lang w:val="es-ES"/>
        </w:rPr>
        <w:t xml:space="preserve">FICHA DE SEGUIMIENTO DEL INFORME Nº </w:t>
      </w:r>
      <w:r w:rsidRPr="004E7708">
        <w:rPr>
          <w:rFonts w:ascii="Cambria" w:hAnsi="Cambria" w:cs="Calibri"/>
          <w:b/>
          <w:bCs/>
          <w:color w:val="000000" w:themeColor="text1"/>
          <w:sz w:val="20"/>
          <w:szCs w:val="20"/>
          <w:lang w:val="es-ES"/>
        </w:rPr>
        <w:t>02/06</w:t>
      </w:r>
    </w:p>
    <w:p w14:paraId="6A02DE0A" w14:textId="77777777" w:rsidR="003E0970" w:rsidRPr="004E7708" w:rsidRDefault="003E0970" w:rsidP="003E0970">
      <w:pPr>
        <w:pStyle w:val="NoSpacing"/>
        <w:ind w:left="-720" w:right="-604"/>
        <w:jc w:val="center"/>
        <w:rPr>
          <w:rFonts w:ascii="Cambria" w:hAnsi="Cambria"/>
          <w:b/>
          <w:color w:val="000000" w:themeColor="text1"/>
          <w:sz w:val="20"/>
          <w:szCs w:val="20"/>
          <w:lang w:val="es-ES"/>
        </w:rPr>
      </w:pPr>
      <w:r w:rsidRPr="004E7708">
        <w:rPr>
          <w:rFonts w:ascii="Cambria" w:hAnsi="Cambria"/>
          <w:b/>
          <w:color w:val="000000" w:themeColor="text1"/>
          <w:sz w:val="20"/>
          <w:szCs w:val="20"/>
          <w:lang w:val="es-ES"/>
        </w:rPr>
        <w:t>CASO 12.130</w:t>
      </w:r>
    </w:p>
    <w:p w14:paraId="0B0D2730" w14:textId="77777777" w:rsidR="003E0970" w:rsidRPr="004E7708" w:rsidRDefault="003E0970" w:rsidP="003E0970">
      <w:pPr>
        <w:pStyle w:val="NoSpacing"/>
        <w:ind w:left="-720" w:right="-604"/>
        <w:jc w:val="center"/>
        <w:rPr>
          <w:rFonts w:ascii="Cambria" w:hAnsi="Cambria"/>
          <w:b/>
          <w:color w:val="000000" w:themeColor="text1"/>
          <w:sz w:val="20"/>
          <w:szCs w:val="20"/>
          <w:lang w:val="es-ES"/>
        </w:rPr>
      </w:pPr>
      <w:r w:rsidRPr="004E7708">
        <w:rPr>
          <w:rFonts w:ascii="Cambria" w:hAnsi="Cambria"/>
          <w:b/>
          <w:color w:val="000000" w:themeColor="text1"/>
          <w:sz w:val="20"/>
          <w:szCs w:val="20"/>
          <w:lang w:val="es-ES"/>
        </w:rPr>
        <w:t>MIGUEL ORLANDO MUÑOZ GUZMÁN</w:t>
      </w:r>
    </w:p>
    <w:p w14:paraId="12A51217" w14:textId="77777777" w:rsidR="003E0970" w:rsidRPr="004E7708" w:rsidRDefault="003E0970" w:rsidP="003E0970">
      <w:pPr>
        <w:pStyle w:val="NoSpacing"/>
        <w:ind w:left="-720" w:right="-604"/>
        <w:jc w:val="center"/>
        <w:rPr>
          <w:rFonts w:ascii="Cambria" w:hAnsi="Cambria"/>
          <w:b/>
          <w:color w:val="000000" w:themeColor="text1"/>
          <w:sz w:val="20"/>
          <w:szCs w:val="20"/>
          <w:lang w:val="es-ES"/>
        </w:rPr>
      </w:pPr>
      <w:r w:rsidRPr="004E7708">
        <w:rPr>
          <w:rFonts w:ascii="Cambria" w:hAnsi="Cambria"/>
          <w:b/>
          <w:color w:val="000000" w:themeColor="text1"/>
          <w:sz w:val="20"/>
          <w:szCs w:val="20"/>
          <w:lang w:val="es-ES"/>
        </w:rPr>
        <w:t>(México)</w:t>
      </w:r>
    </w:p>
    <w:p w14:paraId="61B3B1ED" w14:textId="77777777" w:rsidR="003E0970" w:rsidRPr="004E7708" w:rsidRDefault="003E0970" w:rsidP="003E0970">
      <w:pPr>
        <w:pStyle w:val="NoSpacing"/>
        <w:jc w:val="center"/>
        <w:rPr>
          <w:rFonts w:ascii="Cambria" w:hAnsi="Cambria"/>
          <w:b/>
          <w:color w:val="000000" w:themeColor="text1"/>
          <w:sz w:val="20"/>
          <w:szCs w:val="20"/>
          <w:lang w:val="es-ES"/>
        </w:rPr>
      </w:pPr>
    </w:p>
    <w:p w14:paraId="45BDCC6E" w14:textId="77777777" w:rsidR="003E0970" w:rsidRPr="004E7708" w:rsidRDefault="003E0970" w:rsidP="003E0970">
      <w:pPr>
        <w:numPr>
          <w:ilvl w:val="0"/>
          <w:numId w:val="8"/>
        </w:numPr>
        <w:ind w:left="1440"/>
        <w:rPr>
          <w:rFonts w:ascii="Cambria" w:hAnsi="Cambria" w:cs="Calibri Light"/>
          <w:b/>
          <w:color w:val="000000" w:themeColor="text1"/>
          <w:sz w:val="20"/>
          <w:szCs w:val="20"/>
          <w:lang w:val="es-US"/>
        </w:rPr>
      </w:pPr>
      <w:r w:rsidRPr="004E7708">
        <w:rPr>
          <w:rFonts w:ascii="Cambria" w:hAnsi="Cambria" w:cs="Calibri Light"/>
          <w:b/>
          <w:color w:val="000000" w:themeColor="text1"/>
          <w:sz w:val="20"/>
          <w:szCs w:val="20"/>
          <w:lang w:val="es-US"/>
        </w:rPr>
        <w:t xml:space="preserve">Resumen del caso </w:t>
      </w:r>
    </w:p>
    <w:p w14:paraId="1D58710E" w14:textId="77777777" w:rsidR="003E0970" w:rsidRPr="004E7708" w:rsidRDefault="003E0970" w:rsidP="003E0970">
      <w:pPr>
        <w:ind w:left="1080"/>
        <w:rPr>
          <w:rFonts w:ascii="Cambria" w:hAnsi="Cambria" w:cs="Calibri Light"/>
          <w:b/>
          <w:color w:val="000000" w:themeColor="text1"/>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4E7708" w:rsidRPr="0043776E" w14:paraId="01D8A106" w14:textId="77777777" w:rsidTr="00B61D5E">
        <w:trPr>
          <w:jc w:val="center"/>
        </w:trPr>
        <w:tc>
          <w:tcPr>
            <w:tcW w:w="9576" w:type="dxa"/>
            <w:shd w:val="clear" w:color="auto" w:fill="F2F2F2"/>
          </w:tcPr>
          <w:p w14:paraId="64F5D870" w14:textId="77777777" w:rsidR="003E0970" w:rsidRPr="004E7708" w:rsidRDefault="003E0970" w:rsidP="00B61D5E">
            <w:pPr>
              <w:pStyle w:val="NoSpacing"/>
              <w:spacing w:before="120"/>
              <w:jc w:val="both"/>
              <w:rPr>
                <w:rFonts w:ascii="Cambria" w:hAnsi="Cambria"/>
                <w:color w:val="000000" w:themeColor="text1"/>
                <w:sz w:val="20"/>
                <w:szCs w:val="20"/>
                <w:lang w:val="pt-BR"/>
              </w:rPr>
            </w:pPr>
            <w:r w:rsidRPr="004E7708">
              <w:rPr>
                <w:rFonts w:ascii="Cambria" w:hAnsi="Cambria"/>
                <w:b/>
                <w:color w:val="000000" w:themeColor="text1"/>
                <w:sz w:val="20"/>
                <w:szCs w:val="20"/>
                <w:lang w:val="pt-BR"/>
              </w:rPr>
              <w:t>Víctima (s):</w:t>
            </w:r>
            <w:r w:rsidRPr="004E7708">
              <w:rPr>
                <w:rFonts w:ascii="Cambria" w:hAnsi="Cambria"/>
                <w:color w:val="000000" w:themeColor="text1"/>
                <w:sz w:val="20"/>
                <w:szCs w:val="20"/>
                <w:lang w:val="pt-BR"/>
              </w:rPr>
              <w:t xml:space="preserve"> Miguel Orlando Muñoz Guzmán</w:t>
            </w:r>
          </w:p>
          <w:p w14:paraId="467D1CED" w14:textId="77777777" w:rsidR="003E0970" w:rsidRPr="004E7708" w:rsidRDefault="003E0970" w:rsidP="00B61D5E">
            <w:pPr>
              <w:pStyle w:val="NoSpacing"/>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Peticionario (s):</w:t>
            </w:r>
            <w:r w:rsidRPr="004E7708">
              <w:rPr>
                <w:rFonts w:ascii="Cambria" w:hAnsi="Cambria"/>
                <w:color w:val="000000" w:themeColor="text1"/>
                <w:sz w:val="20"/>
                <w:szCs w:val="20"/>
                <w:lang w:val="es-ES"/>
              </w:rPr>
              <w:t xml:space="preserve"> Centro por la Justicia y el Derecho Internacional (CEJIL), la Comisión Mexicana de Defensa y Promoción de los Derechos Humanos (CMDPDH)</w:t>
            </w:r>
          </w:p>
          <w:p w14:paraId="48CB7A93" w14:textId="77777777" w:rsidR="003E0970" w:rsidRPr="004E7708" w:rsidRDefault="003E0970" w:rsidP="00B61D5E">
            <w:pPr>
              <w:pStyle w:val="NoSpacing"/>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Estado:</w:t>
            </w:r>
            <w:r w:rsidRPr="004E7708">
              <w:rPr>
                <w:rFonts w:ascii="Cambria" w:hAnsi="Cambria"/>
                <w:color w:val="000000" w:themeColor="text1"/>
                <w:sz w:val="20"/>
                <w:szCs w:val="20"/>
                <w:lang w:val="es-ES"/>
              </w:rPr>
              <w:t xml:space="preserve"> México</w:t>
            </w:r>
          </w:p>
          <w:p w14:paraId="412A485F" w14:textId="77777777" w:rsidR="003E0970" w:rsidRPr="004E7708" w:rsidRDefault="003E0970" w:rsidP="00B61D5E">
            <w:pPr>
              <w:pStyle w:val="NoSpacing"/>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 xml:space="preserve">Informe de Fondo </w:t>
            </w:r>
            <w:proofErr w:type="spellStart"/>
            <w:r w:rsidRPr="004E7708">
              <w:rPr>
                <w:rFonts w:ascii="Cambria" w:hAnsi="Cambria"/>
                <w:b/>
                <w:color w:val="000000" w:themeColor="text1"/>
                <w:sz w:val="20"/>
                <w:szCs w:val="20"/>
                <w:lang w:val="es-ES"/>
              </w:rPr>
              <w:t>Nº</w:t>
            </w:r>
            <w:proofErr w:type="spellEnd"/>
            <w:r w:rsidRPr="004E7708">
              <w:rPr>
                <w:rFonts w:ascii="Cambria" w:hAnsi="Cambria"/>
                <w:b/>
                <w:color w:val="000000" w:themeColor="text1"/>
                <w:sz w:val="20"/>
                <w:szCs w:val="20"/>
                <w:lang w:val="es-ES"/>
              </w:rPr>
              <w:t xml:space="preserve">: </w:t>
            </w:r>
            <w:hyperlink r:id="rId8" w:history="1">
              <w:r w:rsidRPr="004E7708">
                <w:rPr>
                  <w:rStyle w:val="Hyperlink"/>
                  <w:rFonts w:ascii="Cambria" w:hAnsi="Cambria"/>
                  <w:color w:val="000000" w:themeColor="text1"/>
                  <w:sz w:val="20"/>
                  <w:szCs w:val="20"/>
                  <w:lang w:val="es-ES"/>
                </w:rPr>
                <w:t>02/06</w:t>
              </w:r>
            </w:hyperlink>
            <w:r w:rsidRPr="004E7708">
              <w:rPr>
                <w:rFonts w:ascii="Cambria" w:hAnsi="Cambria"/>
                <w:color w:val="000000" w:themeColor="text1"/>
                <w:sz w:val="20"/>
                <w:szCs w:val="20"/>
                <w:lang w:val="es-ES"/>
              </w:rPr>
              <w:t>, publicado el 28 de febrero de 2006</w:t>
            </w:r>
          </w:p>
          <w:p w14:paraId="0E273EBB" w14:textId="77777777" w:rsidR="003E0970" w:rsidRPr="004E7708" w:rsidRDefault="003E0970" w:rsidP="00B61D5E">
            <w:pPr>
              <w:pStyle w:val="NoSpacing"/>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 xml:space="preserve">Informe de Admisibilidad </w:t>
            </w:r>
            <w:proofErr w:type="spellStart"/>
            <w:r w:rsidRPr="004E7708">
              <w:rPr>
                <w:rFonts w:ascii="Cambria" w:hAnsi="Cambria"/>
                <w:b/>
                <w:color w:val="000000" w:themeColor="text1"/>
                <w:sz w:val="20"/>
                <w:szCs w:val="20"/>
                <w:lang w:val="es-ES"/>
              </w:rPr>
              <w:t>Nº</w:t>
            </w:r>
            <w:proofErr w:type="spellEnd"/>
            <w:r w:rsidRPr="004E7708">
              <w:rPr>
                <w:rFonts w:ascii="Cambria" w:hAnsi="Cambria"/>
                <w:b/>
                <w:color w:val="000000" w:themeColor="text1"/>
                <w:sz w:val="20"/>
                <w:szCs w:val="20"/>
                <w:lang w:val="es-ES"/>
              </w:rPr>
              <w:t xml:space="preserve">: </w:t>
            </w:r>
            <w:hyperlink r:id="rId9" w:history="1">
              <w:r w:rsidRPr="004E7708">
                <w:rPr>
                  <w:rStyle w:val="Hyperlink"/>
                  <w:rFonts w:ascii="Cambria" w:hAnsi="Cambria"/>
                  <w:color w:val="000000" w:themeColor="text1"/>
                  <w:sz w:val="20"/>
                  <w:szCs w:val="20"/>
                  <w:lang w:val="es-ES"/>
                </w:rPr>
                <w:t>106/00</w:t>
              </w:r>
            </w:hyperlink>
            <w:r w:rsidRPr="004E7708">
              <w:rPr>
                <w:rFonts w:ascii="Cambria" w:hAnsi="Cambria"/>
                <w:color w:val="000000" w:themeColor="text1"/>
                <w:sz w:val="20"/>
                <w:szCs w:val="20"/>
                <w:lang w:val="es-ES"/>
              </w:rPr>
              <w:t>, publicado el 04 de diciembre de 2000</w:t>
            </w:r>
          </w:p>
          <w:p w14:paraId="129E33B9" w14:textId="77777777" w:rsidR="003E0970" w:rsidRPr="004E7708" w:rsidRDefault="003E0970" w:rsidP="00B61D5E">
            <w:pPr>
              <w:spacing w:after="120"/>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Temas:</w:t>
            </w:r>
            <w:r w:rsidRPr="004E7708">
              <w:rPr>
                <w:rFonts w:ascii="Cambria" w:hAnsi="Cambria"/>
                <w:color w:val="000000" w:themeColor="text1"/>
                <w:sz w:val="20"/>
                <w:szCs w:val="20"/>
                <w:lang w:val="es-ES"/>
              </w:rPr>
              <w:t xml:space="preserve"> Desaparición Forzada / Investigación y Debida Diligencia / Garantías Judiciales / Protección Judicial. </w:t>
            </w:r>
          </w:p>
          <w:p w14:paraId="5A3304FD" w14:textId="77777777" w:rsidR="003E0970" w:rsidRPr="004E7708" w:rsidRDefault="003E0970" w:rsidP="00B61D5E">
            <w:pPr>
              <w:spacing w:after="120"/>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Hechos:</w:t>
            </w:r>
            <w:r w:rsidRPr="004E7708">
              <w:rPr>
                <w:rFonts w:ascii="Cambria" w:hAnsi="Cambria"/>
                <w:color w:val="000000" w:themeColor="text1"/>
                <w:sz w:val="20"/>
                <w:szCs w:val="20"/>
                <w:lang w:val="es-ES"/>
              </w:rPr>
              <w:t xml:space="preserve"> El señor Miguel Orlando Muñoz Guzmán, teniente del Ejército mexicano, desapareció el 8 de mayo de 1993 a los 25 </w:t>
            </w:r>
            <w:proofErr w:type="gramStart"/>
            <w:r w:rsidRPr="004E7708">
              <w:rPr>
                <w:rFonts w:ascii="Cambria" w:hAnsi="Cambria"/>
                <w:color w:val="000000" w:themeColor="text1"/>
                <w:sz w:val="20"/>
                <w:szCs w:val="20"/>
                <w:lang w:val="es-ES"/>
              </w:rPr>
              <w:t>años de edad</w:t>
            </w:r>
            <w:proofErr w:type="gramEnd"/>
            <w:r w:rsidRPr="004E7708">
              <w:rPr>
                <w:rFonts w:ascii="Cambria" w:hAnsi="Cambria"/>
                <w:color w:val="000000" w:themeColor="text1"/>
                <w:sz w:val="20"/>
                <w:szCs w:val="20"/>
                <w:lang w:val="es-ES"/>
              </w:rPr>
              <w:t xml:space="preserve">.  Fue visto por última vez en dicha fecha por sus camaradas del 26º Batallón de Ciudad Juárez, estado de Chihuahua, México, cuando se preparaba para salir de franco.  La familia del Teniente Muñoz Guzmán indica que éste era un oficial dedicado a su carrera, y por lo tanto restan credibilidad a la versión oficial del Ejército, de acuerdo a la cual habría desertado y luego viajado a Estados Unidos.  Explican que hasta la fecha no se ha llevado adelante en México una investigación seria encaminada a establecer su paradero y sancionar a los responsables de su desaparición forzada.  Argumentan que las irregularidades que han rodeado a este caso han sido deliberadas, con la intención de encubrir a los responsables. También mencionan el hecho de que la familia empezó a recibir amenazas anónimas, que atribuyen a los militares, desde el momento en que acudieron a denunciar los hechos. </w:t>
            </w:r>
          </w:p>
          <w:p w14:paraId="7253545E" w14:textId="77777777" w:rsidR="003E0970" w:rsidRPr="004E7708" w:rsidRDefault="003E0970" w:rsidP="00B61D5E">
            <w:pPr>
              <w:spacing w:after="120"/>
              <w:jc w:val="both"/>
              <w:rPr>
                <w:rFonts w:ascii="Cambria" w:hAnsi="Cambria"/>
                <w:color w:val="000000" w:themeColor="text1"/>
                <w:sz w:val="20"/>
                <w:szCs w:val="20"/>
                <w:lang w:val="es-ES"/>
              </w:rPr>
            </w:pPr>
            <w:r w:rsidRPr="004E7708">
              <w:rPr>
                <w:rFonts w:ascii="Cambria" w:hAnsi="Cambria"/>
                <w:b/>
                <w:color w:val="000000" w:themeColor="text1"/>
                <w:sz w:val="20"/>
                <w:szCs w:val="20"/>
                <w:lang w:val="es-ES"/>
              </w:rPr>
              <w:t>Derechos violados</w:t>
            </w:r>
            <w:r w:rsidRPr="004E7708">
              <w:rPr>
                <w:rFonts w:ascii="Cambria" w:hAnsi="Cambria"/>
                <w:color w:val="000000" w:themeColor="text1"/>
                <w:sz w:val="20"/>
                <w:szCs w:val="20"/>
                <w:lang w:val="es-ES"/>
              </w:rPr>
              <w:t>: En el Informe No. 2/06, la Comisión concluyó que el Estado mexicano era responsable por la violación del derecho a las garantías judiciales y a la protección judicial contenidos en los artículos 8 y 25 de la Convención Americana, en conexión con el artículo 1.1 del mismo instrumento, en perjuicio de Miguel Orlando Muñoz Guzmán. Asimismo, determinó que el expediente no contenía elementos que permitieran imputar responsabilidad internacional al Estado por la alegada desaparición forzada de Miguel Orlando Muñoz Guzmán. En consecuencia, no halló responsabilidad del Estado por la alegada violación de los derechos a la vida, la integridad física y la libertad personal; como tampoco del derecho a la integridad personal de sus familiares. Sin embargo, recomendó al Estado investigar en la jurisdicción ordinaria el paradero de Miguel Orlando Muñoz Guzmán y, de establecer que hubo desaparición forzada, sancionar a los responsables.</w:t>
            </w:r>
          </w:p>
        </w:tc>
      </w:tr>
    </w:tbl>
    <w:p w14:paraId="6EA614DB" w14:textId="77777777" w:rsidR="003E0970" w:rsidRPr="004E7708" w:rsidRDefault="003E0970" w:rsidP="003E0970">
      <w:pPr>
        <w:ind w:left="180"/>
        <w:rPr>
          <w:rFonts w:ascii="Cambria" w:hAnsi="Cambria"/>
          <w:color w:val="000000" w:themeColor="text1"/>
          <w:sz w:val="20"/>
          <w:szCs w:val="20"/>
          <w:lang w:val="es-ES"/>
        </w:rPr>
      </w:pPr>
    </w:p>
    <w:p w14:paraId="747AFFCE" w14:textId="77777777" w:rsidR="003E0970" w:rsidRPr="004E7708" w:rsidRDefault="003E0970" w:rsidP="003E0970">
      <w:pPr>
        <w:numPr>
          <w:ilvl w:val="0"/>
          <w:numId w:val="8"/>
        </w:numPr>
        <w:ind w:left="1440"/>
        <w:jc w:val="both"/>
        <w:rPr>
          <w:rFonts w:ascii="Cambria" w:hAnsi="Cambria" w:cs="Calibri Light"/>
          <w:b/>
          <w:color w:val="000000" w:themeColor="text1"/>
          <w:sz w:val="20"/>
          <w:szCs w:val="20"/>
          <w:lang w:val="es-US"/>
        </w:rPr>
      </w:pPr>
      <w:r w:rsidRPr="004E7708">
        <w:rPr>
          <w:rFonts w:ascii="Cambria" w:hAnsi="Cambria" w:cs="Calibri Light"/>
          <w:b/>
          <w:color w:val="000000" w:themeColor="text1"/>
          <w:sz w:val="20"/>
          <w:szCs w:val="20"/>
          <w:lang w:val="es-US"/>
        </w:rPr>
        <w:t xml:space="preserve">Recomendaciones </w:t>
      </w:r>
    </w:p>
    <w:p w14:paraId="2DB4887C" w14:textId="77777777" w:rsidR="003E0970" w:rsidRPr="004E7708" w:rsidRDefault="003E0970" w:rsidP="003E0970">
      <w:pPr>
        <w:ind w:left="1080"/>
        <w:jc w:val="both"/>
        <w:rPr>
          <w:rFonts w:ascii="Cambria" w:hAnsi="Cambria" w:cs="Calibri Light"/>
          <w:b/>
          <w:color w:val="000000" w:themeColor="text1"/>
          <w:sz w:val="20"/>
          <w:szCs w:val="20"/>
          <w:lang w:val="es-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520"/>
      </w:tblGrid>
      <w:tr w:rsidR="004E7708" w:rsidRPr="0043776E" w14:paraId="7072F120" w14:textId="77777777" w:rsidTr="00B61D5E">
        <w:trPr>
          <w:trHeight w:val="337"/>
        </w:trPr>
        <w:tc>
          <w:tcPr>
            <w:tcW w:w="7020" w:type="dxa"/>
            <w:shd w:val="clear" w:color="auto" w:fill="auto"/>
            <w:vAlign w:val="center"/>
          </w:tcPr>
          <w:p w14:paraId="01E4C043" w14:textId="77777777" w:rsidR="003E0970" w:rsidRPr="004E7708" w:rsidRDefault="003E0970" w:rsidP="00B61D5E">
            <w:pPr>
              <w:jc w:val="center"/>
              <w:rPr>
                <w:rFonts w:ascii="Cambria" w:hAnsi="Cambria" w:cs="Calibri Light"/>
                <w:b/>
                <w:color w:val="000000" w:themeColor="text1"/>
                <w:sz w:val="18"/>
                <w:szCs w:val="18"/>
                <w:lang w:val="es-US"/>
              </w:rPr>
            </w:pPr>
            <w:r w:rsidRPr="004E7708">
              <w:rPr>
                <w:rFonts w:ascii="Cambria" w:hAnsi="Cambria" w:cs="Calibri Light"/>
                <w:b/>
                <w:color w:val="000000" w:themeColor="text1"/>
                <w:sz w:val="18"/>
                <w:szCs w:val="18"/>
                <w:lang w:val="es-US"/>
              </w:rPr>
              <w:t>Recomendaciones</w:t>
            </w:r>
          </w:p>
        </w:tc>
        <w:tc>
          <w:tcPr>
            <w:tcW w:w="2520" w:type="dxa"/>
            <w:shd w:val="clear" w:color="auto" w:fill="auto"/>
            <w:vAlign w:val="center"/>
          </w:tcPr>
          <w:p w14:paraId="3FB07B32" w14:textId="1ECC2D32" w:rsidR="003E0970" w:rsidRPr="004E7708" w:rsidRDefault="003E0970" w:rsidP="00B61D5E">
            <w:pPr>
              <w:jc w:val="center"/>
              <w:rPr>
                <w:rFonts w:ascii="Cambria" w:hAnsi="Cambria" w:cs="Calibri Light"/>
                <w:b/>
                <w:color w:val="000000" w:themeColor="text1"/>
                <w:sz w:val="18"/>
                <w:szCs w:val="18"/>
                <w:lang w:val="es-US"/>
              </w:rPr>
            </w:pPr>
            <w:r w:rsidRPr="004E7708">
              <w:rPr>
                <w:rFonts w:ascii="Cambria" w:hAnsi="Cambria" w:cs="Calibri Light"/>
                <w:b/>
                <w:color w:val="000000" w:themeColor="text1"/>
                <w:sz w:val="18"/>
                <w:szCs w:val="18"/>
                <w:lang w:val="es-US"/>
              </w:rPr>
              <w:t xml:space="preserve">Estado de cumplimiento en el </w:t>
            </w:r>
            <w:r w:rsidR="00ED764F" w:rsidRPr="004E7708">
              <w:rPr>
                <w:rFonts w:ascii="Cambria" w:hAnsi="Cambria" w:cs="Calibri Light"/>
                <w:b/>
                <w:color w:val="000000" w:themeColor="text1"/>
                <w:sz w:val="18"/>
                <w:szCs w:val="18"/>
                <w:lang w:val="es-US"/>
              </w:rPr>
              <w:t>2021</w:t>
            </w:r>
          </w:p>
        </w:tc>
      </w:tr>
      <w:tr w:rsidR="004E7708" w:rsidRPr="004E7708" w14:paraId="332087B8" w14:textId="77777777" w:rsidTr="00B61D5E">
        <w:trPr>
          <w:trHeight w:val="701"/>
        </w:trPr>
        <w:tc>
          <w:tcPr>
            <w:tcW w:w="7020" w:type="dxa"/>
            <w:shd w:val="clear" w:color="auto" w:fill="auto"/>
          </w:tcPr>
          <w:p w14:paraId="04993FCE" w14:textId="77777777" w:rsidR="003E0970" w:rsidRPr="004E7708" w:rsidRDefault="003E0970" w:rsidP="00B61D5E">
            <w:pPr>
              <w:jc w:val="both"/>
              <w:rPr>
                <w:rFonts w:ascii="Cambria" w:hAnsi="Cambria"/>
                <w:color w:val="000000" w:themeColor="text1"/>
                <w:sz w:val="18"/>
                <w:szCs w:val="18"/>
                <w:lang w:val="es-ES"/>
              </w:rPr>
            </w:pPr>
            <w:r w:rsidRPr="004E7708">
              <w:rPr>
                <w:rFonts w:ascii="Cambria" w:hAnsi="Cambria"/>
                <w:color w:val="000000" w:themeColor="text1"/>
                <w:sz w:val="18"/>
                <w:szCs w:val="18"/>
                <w:lang w:val="es-ES"/>
              </w:rPr>
              <w:t>1. Investigar de manera completa, imparcial y efectiva en la jurisdicción ordinaria mexicana para determinar el paradero de Miguel Orlando Muñoz Guzmán; y, de establecerse que hubo desaparición forzada, para sancionar a todos los responsables de los hechos que conforman dicha figura jurídica.</w:t>
            </w:r>
          </w:p>
        </w:tc>
        <w:tc>
          <w:tcPr>
            <w:tcW w:w="2520" w:type="dxa"/>
            <w:shd w:val="clear" w:color="auto" w:fill="auto"/>
            <w:vAlign w:val="center"/>
          </w:tcPr>
          <w:p w14:paraId="063179F6" w14:textId="77777777" w:rsidR="003E0970" w:rsidRPr="004E7708" w:rsidRDefault="003E0970" w:rsidP="00B61D5E">
            <w:pPr>
              <w:jc w:val="center"/>
              <w:rPr>
                <w:rFonts w:ascii="Cambria" w:hAnsi="Cambria"/>
                <w:color w:val="000000" w:themeColor="text1"/>
                <w:sz w:val="18"/>
                <w:szCs w:val="18"/>
                <w:lang w:val="es-ES"/>
              </w:rPr>
            </w:pPr>
            <w:r w:rsidRPr="004E7708">
              <w:rPr>
                <w:rFonts w:ascii="Cambria" w:hAnsi="Cambria"/>
                <w:color w:val="000000" w:themeColor="text1"/>
                <w:sz w:val="18"/>
                <w:szCs w:val="18"/>
                <w:lang w:val="es-ES"/>
              </w:rPr>
              <w:t>Pendiente de cumplimiento</w:t>
            </w:r>
          </w:p>
        </w:tc>
      </w:tr>
      <w:tr w:rsidR="004E7708" w:rsidRPr="004E7708" w14:paraId="01DC6DE5" w14:textId="77777777" w:rsidTr="00B61D5E">
        <w:trPr>
          <w:trHeight w:val="547"/>
        </w:trPr>
        <w:tc>
          <w:tcPr>
            <w:tcW w:w="7020" w:type="dxa"/>
            <w:shd w:val="clear" w:color="auto" w:fill="auto"/>
          </w:tcPr>
          <w:p w14:paraId="02035DE9" w14:textId="77777777" w:rsidR="003E0970" w:rsidRPr="004E7708" w:rsidRDefault="003E0970" w:rsidP="00B61D5E">
            <w:pPr>
              <w:jc w:val="both"/>
              <w:rPr>
                <w:rFonts w:ascii="Cambria" w:hAnsi="Cambria"/>
                <w:color w:val="000000" w:themeColor="text1"/>
                <w:sz w:val="18"/>
                <w:szCs w:val="18"/>
                <w:lang w:val="es-ES"/>
              </w:rPr>
            </w:pPr>
            <w:r w:rsidRPr="004E7708">
              <w:rPr>
                <w:rFonts w:ascii="Cambria" w:hAnsi="Cambria"/>
                <w:color w:val="000000" w:themeColor="text1"/>
                <w:sz w:val="18"/>
                <w:szCs w:val="18"/>
                <w:lang w:val="es-ES"/>
              </w:rPr>
              <w:t>2.</w:t>
            </w:r>
            <w:r w:rsidRPr="004E7708">
              <w:rPr>
                <w:rFonts w:ascii="Cambria" w:eastAsia="MS Mincho" w:hAnsi="Cambria"/>
                <w:color w:val="000000" w:themeColor="text1"/>
                <w:sz w:val="18"/>
                <w:szCs w:val="18"/>
                <w:lang w:val="es-ES" w:eastAsia="es-ES_tradnl"/>
              </w:rPr>
              <w:t xml:space="preserve"> </w:t>
            </w:r>
            <w:r w:rsidRPr="004E7708">
              <w:rPr>
                <w:rFonts w:ascii="Cambria" w:hAnsi="Cambria"/>
                <w:color w:val="000000" w:themeColor="text1"/>
                <w:sz w:val="18"/>
                <w:szCs w:val="18"/>
                <w:lang w:val="es-ES"/>
              </w:rPr>
              <w:t>Reparar adecuadamente a los familiares de Miguel Orlando Muñoz Guzmán por las violaciones de derechos humanos establecidas en el presente informe.</w:t>
            </w:r>
          </w:p>
        </w:tc>
        <w:tc>
          <w:tcPr>
            <w:tcW w:w="2520" w:type="dxa"/>
            <w:shd w:val="clear" w:color="auto" w:fill="auto"/>
            <w:vAlign w:val="center"/>
          </w:tcPr>
          <w:p w14:paraId="563672BC" w14:textId="77777777" w:rsidR="003E0970" w:rsidRPr="004E7708" w:rsidRDefault="003E0970" w:rsidP="00B61D5E">
            <w:pPr>
              <w:jc w:val="center"/>
              <w:rPr>
                <w:rFonts w:ascii="Cambria" w:hAnsi="Cambria"/>
                <w:color w:val="000000" w:themeColor="text1"/>
                <w:sz w:val="18"/>
                <w:szCs w:val="18"/>
                <w:lang w:val="es-ES"/>
              </w:rPr>
            </w:pPr>
            <w:r w:rsidRPr="004E7708">
              <w:rPr>
                <w:rFonts w:ascii="Cambria" w:hAnsi="Cambria"/>
                <w:color w:val="000000" w:themeColor="text1"/>
                <w:sz w:val="18"/>
                <w:szCs w:val="18"/>
                <w:lang w:val="es-ES"/>
              </w:rPr>
              <w:t>Pendiente de cumplimiento</w:t>
            </w:r>
          </w:p>
        </w:tc>
      </w:tr>
    </w:tbl>
    <w:p w14:paraId="00709B46" w14:textId="77777777" w:rsidR="003E0970" w:rsidRPr="004E7708" w:rsidRDefault="003E0970" w:rsidP="003E0970">
      <w:pPr>
        <w:jc w:val="both"/>
        <w:rPr>
          <w:rFonts w:ascii="Cambria" w:hAnsi="Cambria" w:cs="Calibri Light"/>
          <w:b/>
          <w:color w:val="000000" w:themeColor="text1"/>
          <w:sz w:val="20"/>
          <w:szCs w:val="20"/>
          <w:lang w:val="es-US"/>
        </w:rPr>
      </w:pPr>
    </w:p>
    <w:p w14:paraId="7B017EEE" w14:textId="77777777" w:rsidR="003E0970" w:rsidRPr="004E7708" w:rsidRDefault="003E0970" w:rsidP="003E0970">
      <w:pPr>
        <w:jc w:val="both"/>
        <w:rPr>
          <w:rFonts w:ascii="Cambria" w:hAnsi="Cambria" w:cs="Calibri Light"/>
          <w:b/>
          <w:color w:val="000000" w:themeColor="text1"/>
          <w:sz w:val="20"/>
          <w:szCs w:val="20"/>
          <w:lang w:val="es-US"/>
        </w:rPr>
      </w:pPr>
    </w:p>
    <w:p w14:paraId="036F71A3" w14:textId="77777777" w:rsidR="003E0970" w:rsidRPr="004E7708" w:rsidRDefault="003E0970" w:rsidP="003E0970">
      <w:pPr>
        <w:jc w:val="both"/>
        <w:rPr>
          <w:rFonts w:ascii="Cambria" w:hAnsi="Cambria" w:cs="Calibri Light"/>
          <w:b/>
          <w:color w:val="000000" w:themeColor="text1"/>
          <w:sz w:val="20"/>
          <w:szCs w:val="20"/>
          <w:lang w:val="es-US"/>
        </w:rPr>
      </w:pPr>
    </w:p>
    <w:p w14:paraId="6567205A" w14:textId="77777777" w:rsidR="003E0970" w:rsidRPr="004E7708" w:rsidRDefault="003E0970" w:rsidP="003E0970">
      <w:pPr>
        <w:jc w:val="both"/>
        <w:rPr>
          <w:rFonts w:ascii="Cambria" w:hAnsi="Cambria" w:cs="Calibri Light"/>
          <w:b/>
          <w:color w:val="000000" w:themeColor="text1"/>
          <w:sz w:val="20"/>
          <w:szCs w:val="20"/>
          <w:lang w:val="es-US"/>
        </w:rPr>
      </w:pPr>
    </w:p>
    <w:p w14:paraId="405107FE" w14:textId="77777777" w:rsidR="003E0970" w:rsidRPr="004E7708" w:rsidRDefault="003E0970" w:rsidP="003E0970">
      <w:pPr>
        <w:pStyle w:val="ListParagraph"/>
        <w:numPr>
          <w:ilvl w:val="0"/>
          <w:numId w:val="8"/>
        </w:numPr>
        <w:ind w:left="1440"/>
        <w:jc w:val="both"/>
        <w:rPr>
          <w:rFonts w:ascii="Cambria" w:hAnsi="Cambria" w:cs="Calibri Light"/>
          <w:b/>
          <w:color w:val="000000" w:themeColor="text1"/>
          <w:sz w:val="20"/>
          <w:szCs w:val="20"/>
          <w:lang w:val="es-ES_tradnl"/>
        </w:rPr>
      </w:pPr>
      <w:r w:rsidRPr="004E7708">
        <w:rPr>
          <w:rFonts w:ascii="Cambria" w:hAnsi="Cambria"/>
          <w:b/>
          <w:color w:val="000000" w:themeColor="text1"/>
          <w:sz w:val="20"/>
          <w:szCs w:val="20"/>
          <w:lang w:val="es-VE"/>
        </w:rPr>
        <w:lastRenderedPageBreak/>
        <w:t>Actividad Procesal</w:t>
      </w:r>
    </w:p>
    <w:p w14:paraId="7FAC794E" w14:textId="77777777" w:rsidR="003E0970" w:rsidRPr="004E7708" w:rsidRDefault="003E0970" w:rsidP="003E0970">
      <w:pPr>
        <w:jc w:val="both"/>
        <w:rPr>
          <w:rFonts w:ascii="Cambria" w:hAnsi="Cambria" w:cs="Calibri Light"/>
          <w:color w:val="000000" w:themeColor="text1"/>
          <w:sz w:val="20"/>
          <w:szCs w:val="20"/>
          <w:lang w:val="es-ES_tradnl"/>
        </w:rPr>
      </w:pPr>
    </w:p>
    <w:p w14:paraId="16B6A3F8" w14:textId="77777777" w:rsidR="003E0970" w:rsidRPr="004E7708" w:rsidRDefault="003E0970" w:rsidP="003E0970">
      <w:pPr>
        <w:numPr>
          <w:ilvl w:val="0"/>
          <w:numId w:val="14"/>
        </w:numPr>
        <w:spacing w:after="200"/>
        <w:ind w:left="0" w:firstLine="630"/>
        <w:jc w:val="both"/>
        <w:rPr>
          <w:rFonts w:ascii="Cambria" w:hAnsi="Cambria" w:cs="Calibri Light"/>
          <w:color w:val="000000" w:themeColor="text1"/>
          <w:sz w:val="20"/>
          <w:szCs w:val="20"/>
          <w:lang w:val="es-ES"/>
        </w:rPr>
      </w:pPr>
      <w:r w:rsidRPr="004E7708">
        <w:rPr>
          <w:rFonts w:ascii="Cambria" w:hAnsi="Cambria" w:cs="Calibri Light"/>
          <w:color w:val="000000" w:themeColor="text1"/>
          <w:sz w:val="20"/>
          <w:szCs w:val="20"/>
          <w:lang w:val="es-ES_tradnl"/>
        </w:rPr>
        <w:t xml:space="preserve">El 21 de marzo y el 21 de octubre de 2015 la CIDH sostuvo reuniones de trabajo con las partes en el marco de los 154º y 156º Periodos de Sesiones, respectivamente. El 6 de abril de 2016, la CIDH también sostuvo una reunión de trabajo con las partes en el marco del 157º Periodo de Sesiones, en seguimiento a las recomendaciones emitidas en el Informe de Fondo Nº 02/06. El 7 de mayo y el 13 de noviembre de 2019, la CIDH sostuvo reuniones de trabajo con las partes en el marco de los 172º y 174º Periodos de Sesiones, respectivamente. </w:t>
      </w:r>
    </w:p>
    <w:p w14:paraId="5A5277D9" w14:textId="77777777" w:rsidR="00ED764F" w:rsidRPr="004E7708" w:rsidRDefault="00ED764F" w:rsidP="00ED764F">
      <w:pPr>
        <w:numPr>
          <w:ilvl w:val="0"/>
          <w:numId w:val="14"/>
        </w:numPr>
        <w:spacing w:after="200"/>
        <w:ind w:left="0" w:firstLine="630"/>
        <w:jc w:val="both"/>
        <w:rPr>
          <w:rFonts w:ascii="Cambria" w:hAnsi="Cambria" w:cs="Calibri Light"/>
          <w:color w:val="000000" w:themeColor="text1"/>
          <w:sz w:val="20"/>
          <w:szCs w:val="20"/>
          <w:lang w:val="es-ES_tradnl"/>
        </w:rPr>
      </w:pPr>
      <w:r w:rsidRPr="004E7708">
        <w:rPr>
          <w:rFonts w:ascii="Cambria" w:hAnsi="Cambria" w:cs="Calibri Light"/>
          <w:color w:val="000000" w:themeColor="text1"/>
          <w:sz w:val="20"/>
          <w:szCs w:val="20"/>
          <w:lang w:val="es-ES_tradnl"/>
        </w:rPr>
        <w:t>En 2021, la CIDH solicitó al Estado información actualizada sobre el cumplimiento de recomendaciones el 23 de agosto. A la fecha de cierre de este informe, la Comisión no había recibido dicha información del Estado.</w:t>
      </w:r>
      <w:r w:rsidRPr="004E7708">
        <w:rPr>
          <w:rFonts w:ascii="Cambria" w:hAnsi="Cambria"/>
          <w:color w:val="000000" w:themeColor="text1"/>
          <w:sz w:val="20"/>
          <w:szCs w:val="20"/>
          <w:lang w:val="es-ES_tradnl"/>
        </w:rPr>
        <w:t xml:space="preserve"> </w:t>
      </w:r>
    </w:p>
    <w:p w14:paraId="34BD2CEF" w14:textId="5A97F1B1" w:rsidR="00ED764F" w:rsidRPr="004E7708" w:rsidRDefault="00ED764F" w:rsidP="00ED764F">
      <w:pPr>
        <w:numPr>
          <w:ilvl w:val="0"/>
          <w:numId w:val="14"/>
        </w:numPr>
        <w:spacing w:after="200"/>
        <w:ind w:left="0" w:firstLine="630"/>
        <w:jc w:val="both"/>
        <w:rPr>
          <w:rFonts w:ascii="Cambria" w:hAnsi="Cambria" w:cs="Calibri Light"/>
          <w:color w:val="000000" w:themeColor="text1"/>
          <w:sz w:val="20"/>
          <w:szCs w:val="20"/>
          <w:lang w:val="es-ES_tradnl"/>
        </w:rPr>
      </w:pPr>
      <w:r w:rsidRPr="004E7708">
        <w:rPr>
          <w:rFonts w:ascii="Cambria" w:hAnsi="Cambria" w:cs="Calibri Light"/>
          <w:color w:val="000000" w:themeColor="text1"/>
          <w:sz w:val="20"/>
          <w:szCs w:val="20"/>
          <w:lang w:val="es-ES"/>
        </w:rPr>
        <w:t xml:space="preserve">El 23 de agosto de 2021, la CIDH solicitó a los peticionarios información actualizada sobre el cumplimiento de las recomendaciones del Informe de Fondo </w:t>
      </w:r>
      <w:r w:rsidRPr="004E7708">
        <w:rPr>
          <w:rFonts w:ascii="Cambria" w:hAnsi="Cambria" w:cs="Calibri Light"/>
          <w:color w:val="000000" w:themeColor="text1"/>
          <w:sz w:val="20"/>
          <w:szCs w:val="20"/>
          <w:lang w:val="es-ES_tradnl"/>
        </w:rPr>
        <w:t xml:space="preserve">Nº 02/06. </w:t>
      </w:r>
      <w:r w:rsidRPr="004E7708">
        <w:rPr>
          <w:rFonts w:ascii="Cambria" w:hAnsi="Cambria" w:cs="Calibri Light"/>
          <w:color w:val="000000" w:themeColor="text1"/>
          <w:sz w:val="20"/>
          <w:szCs w:val="20"/>
          <w:lang w:val="es-ES"/>
        </w:rPr>
        <w:t>El 12 de octubre de 2021, los peticionarios presentaron dicha información.</w:t>
      </w:r>
    </w:p>
    <w:p w14:paraId="791A86F7" w14:textId="77777777" w:rsidR="003E0970" w:rsidRPr="004E7708" w:rsidRDefault="003E0970" w:rsidP="003E0970">
      <w:pPr>
        <w:pStyle w:val="ListParagraph"/>
        <w:numPr>
          <w:ilvl w:val="0"/>
          <w:numId w:val="8"/>
        </w:numPr>
        <w:shd w:val="clear" w:color="auto" w:fill="FFFFFF"/>
        <w:ind w:left="1440"/>
        <w:jc w:val="both"/>
        <w:rPr>
          <w:rFonts w:ascii="Cambria" w:hAnsi="Cambria" w:cs="Calibri Light"/>
          <w:b/>
          <w:color w:val="000000" w:themeColor="text1"/>
          <w:sz w:val="20"/>
          <w:szCs w:val="20"/>
          <w:lang w:val="es-ES_tradnl"/>
        </w:rPr>
      </w:pPr>
      <w:r w:rsidRPr="004E7708">
        <w:rPr>
          <w:rFonts w:ascii="Cambria" w:hAnsi="Cambria" w:cs="Calibri Light"/>
          <w:b/>
          <w:color w:val="000000" w:themeColor="text1"/>
          <w:sz w:val="20"/>
          <w:szCs w:val="20"/>
          <w:lang w:val="es-ES_tradnl"/>
        </w:rPr>
        <w:t>Análisis relativo a la información proporcionada</w:t>
      </w:r>
    </w:p>
    <w:p w14:paraId="09B8AFC3" w14:textId="77777777" w:rsidR="003E0970" w:rsidRPr="004E7708" w:rsidRDefault="003E0970" w:rsidP="003E0970">
      <w:pPr>
        <w:shd w:val="clear" w:color="auto" w:fill="FFFFFF"/>
        <w:jc w:val="both"/>
        <w:rPr>
          <w:rFonts w:ascii="Cambria" w:hAnsi="Cambria" w:cs="Calibri Light"/>
          <w:color w:val="000000" w:themeColor="text1"/>
          <w:sz w:val="20"/>
          <w:szCs w:val="20"/>
          <w:lang w:val="es-ES_tradnl"/>
        </w:rPr>
      </w:pPr>
    </w:p>
    <w:p w14:paraId="2AB02B2C" w14:textId="1AB89A22" w:rsidR="003E0970" w:rsidRPr="004E7708" w:rsidRDefault="003E0970" w:rsidP="003E0970">
      <w:pPr>
        <w:numPr>
          <w:ilvl w:val="0"/>
          <w:numId w:val="14"/>
        </w:numPr>
        <w:shd w:val="clear" w:color="auto" w:fill="FFFFFF"/>
        <w:ind w:left="0" w:firstLine="630"/>
        <w:jc w:val="both"/>
        <w:rPr>
          <w:rFonts w:ascii="Cambria" w:hAnsi="Cambria" w:cs="Calibri Light"/>
          <w:color w:val="000000" w:themeColor="text1"/>
          <w:sz w:val="20"/>
          <w:szCs w:val="20"/>
          <w:lang w:val="es-ES_tradnl"/>
        </w:rPr>
      </w:pPr>
      <w:r w:rsidRPr="004E7708">
        <w:rPr>
          <w:rFonts w:ascii="Cambria" w:hAnsi="Cambria" w:cs="Calibri Light"/>
          <w:color w:val="000000" w:themeColor="text1"/>
          <w:sz w:val="20"/>
          <w:szCs w:val="20"/>
          <w:lang w:val="es-ES_tradnl"/>
        </w:rPr>
        <w:t>La Comisión considera que la información proporcionada por los peticionarios</w:t>
      </w:r>
      <w:r w:rsidR="001D7A50" w:rsidRPr="004E7708">
        <w:rPr>
          <w:rFonts w:ascii="Cambria" w:hAnsi="Cambria" w:cs="Calibri Light"/>
          <w:color w:val="000000" w:themeColor="text1"/>
          <w:sz w:val="20"/>
          <w:szCs w:val="20"/>
          <w:lang w:val="es-ES_tradnl"/>
        </w:rPr>
        <w:t xml:space="preserve"> en 2021</w:t>
      </w:r>
      <w:r w:rsidRPr="004E7708">
        <w:rPr>
          <w:rFonts w:ascii="Cambria" w:hAnsi="Cambria" w:cs="Calibri Light"/>
          <w:color w:val="000000" w:themeColor="text1"/>
          <w:sz w:val="20"/>
          <w:szCs w:val="20"/>
          <w:lang w:val="es-ES_tradnl"/>
        </w:rPr>
        <w:t xml:space="preserve"> es relevante, actualizada y amplia sobre las medidas adoptadas relativas al cumplimiento de las recomendaciones del Informe de Fondo Nº 2/06. </w:t>
      </w:r>
    </w:p>
    <w:p w14:paraId="4374F686" w14:textId="77777777" w:rsidR="003E0970" w:rsidRPr="004E7708" w:rsidRDefault="003E0970" w:rsidP="003E0970">
      <w:pPr>
        <w:shd w:val="clear" w:color="auto" w:fill="FFFFFF"/>
        <w:jc w:val="both"/>
        <w:rPr>
          <w:rFonts w:ascii="Cambria" w:hAnsi="Cambria" w:cs="Calibri Light"/>
          <w:b/>
          <w:color w:val="000000" w:themeColor="text1"/>
          <w:sz w:val="20"/>
          <w:szCs w:val="20"/>
          <w:lang w:val="es-ES_tradnl"/>
        </w:rPr>
      </w:pPr>
    </w:p>
    <w:p w14:paraId="79224DB7" w14:textId="77777777" w:rsidR="003E0970" w:rsidRPr="004E7708" w:rsidRDefault="003E0970" w:rsidP="003E0970">
      <w:pPr>
        <w:pStyle w:val="ListParagraph"/>
        <w:numPr>
          <w:ilvl w:val="0"/>
          <w:numId w:val="8"/>
        </w:numPr>
        <w:shd w:val="clear" w:color="auto" w:fill="FFFFFF"/>
        <w:ind w:left="1440"/>
        <w:jc w:val="both"/>
        <w:rPr>
          <w:rFonts w:ascii="Cambria" w:hAnsi="Cambria" w:cs="Calibri Light"/>
          <w:b/>
          <w:color w:val="000000" w:themeColor="text1"/>
          <w:sz w:val="20"/>
          <w:szCs w:val="20"/>
          <w:lang w:val="es-ES_tradnl"/>
        </w:rPr>
      </w:pPr>
      <w:r w:rsidRPr="004E7708">
        <w:rPr>
          <w:rFonts w:ascii="Cambria" w:hAnsi="Cambria" w:cs="Calibri Light"/>
          <w:b/>
          <w:color w:val="000000" w:themeColor="text1"/>
          <w:sz w:val="20"/>
          <w:szCs w:val="20"/>
          <w:lang w:val="es-US"/>
        </w:rPr>
        <w:t>Análisis del cumplimiento de las recomendaciones</w:t>
      </w:r>
    </w:p>
    <w:p w14:paraId="340C59EC" w14:textId="77777777" w:rsidR="003E0970" w:rsidRPr="004E7708" w:rsidRDefault="003E0970" w:rsidP="003E0970">
      <w:pPr>
        <w:shd w:val="clear" w:color="auto" w:fill="FFFFFF"/>
        <w:jc w:val="both"/>
        <w:rPr>
          <w:rFonts w:ascii="Cambria" w:hAnsi="Cambria" w:cs="Calibri Light"/>
          <w:color w:val="000000" w:themeColor="text1"/>
          <w:sz w:val="20"/>
          <w:szCs w:val="20"/>
          <w:lang w:val="es-US"/>
        </w:rPr>
      </w:pPr>
    </w:p>
    <w:p w14:paraId="58E270B3" w14:textId="77777777" w:rsidR="003E0970" w:rsidRPr="004E7708" w:rsidRDefault="003E0970" w:rsidP="003E0970">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s="Cambria"/>
          <w:b/>
          <w:color w:val="000000" w:themeColor="text1"/>
          <w:sz w:val="20"/>
          <w:szCs w:val="20"/>
          <w:lang w:val="es-ES" w:eastAsia="pt-BR"/>
        </w:rPr>
        <w:t xml:space="preserve">En relación con la primera recomendación, </w:t>
      </w:r>
      <w:r w:rsidRPr="004E7708">
        <w:rPr>
          <w:rFonts w:ascii="Cambria" w:hAnsi="Cambria" w:cs="Cambria"/>
          <w:color w:val="000000" w:themeColor="text1"/>
          <w:sz w:val="20"/>
          <w:szCs w:val="20"/>
          <w:lang w:val="es-ES" w:eastAsia="pt-BR"/>
        </w:rPr>
        <w:t xml:space="preserve">el 6 de abril de 2016, las partes sostuvieron una reunión de trabajo con el acompañamiento de la CIDH, dentro del marco de su 157º Período de Sesiones. El Estado manifestó que la Procuraduría General de la República (PGR), a través de un estudio sobre la factibilidad de federalización del caso, determinó su incompetencia para conocer del mismo. En este sentido, el Estado afirmó que la investigación debía continuarse ante la Fiscalía local. El 5 de agosto de 2016, la Comisión solicitó al Estado presentar una decisión motivada de la PGR. A la fecha, el Estado no ha proporcionado dicha información. </w:t>
      </w:r>
    </w:p>
    <w:p w14:paraId="020A6530" w14:textId="77777777" w:rsidR="003E0970" w:rsidRPr="004E7708" w:rsidRDefault="003E0970" w:rsidP="003E0970">
      <w:pPr>
        <w:shd w:val="clear" w:color="auto" w:fill="FFFFFF"/>
        <w:ind w:left="630"/>
        <w:jc w:val="both"/>
        <w:rPr>
          <w:rFonts w:ascii="Cambria" w:hAnsi="Cambria" w:cs="Calibri Light"/>
          <w:color w:val="000000" w:themeColor="text1"/>
          <w:sz w:val="20"/>
          <w:szCs w:val="20"/>
          <w:lang w:val="es-US"/>
        </w:rPr>
      </w:pPr>
    </w:p>
    <w:p w14:paraId="63D893F7" w14:textId="77777777" w:rsidR="003E0970" w:rsidRPr="004E7708" w:rsidRDefault="003E0970" w:rsidP="003E0970">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s="Calibri Light"/>
          <w:color w:val="000000" w:themeColor="text1"/>
          <w:sz w:val="20"/>
          <w:szCs w:val="20"/>
          <w:lang w:val="es-US"/>
        </w:rPr>
        <w:t xml:space="preserve">En 2019, el Estado informó que </w:t>
      </w:r>
      <w:r w:rsidRPr="004E7708">
        <w:rPr>
          <w:rFonts w:ascii="Cambria" w:hAnsi="Cambria"/>
          <w:color w:val="000000" w:themeColor="text1"/>
          <w:sz w:val="20"/>
          <w:szCs w:val="20"/>
          <w:lang w:val="es-CO"/>
        </w:rPr>
        <w:t>la Fiscalía Especial en Materia de Derechos Humanos de la FGR asumió el conocimiento de la indagatoria que se integra para investigar la desaparición del señor Miguel Orlando Muñoz Guzmán, por lo que la Fiscalía Especializada en Investigación de los Delitos de Desaparición Forzada inició la averiguación previa AP/FGR/FEMDH/FEIDDF/M32/001/2019. Señaló que la FGR está realizando las diligencias necesarias para la integración de la indagatoria referida, con la finalidad de determinar la suerte y paradero del señor Muñoz Guzmán. Durante la reunión de trabajo sostenida durante el 174º Periodo de Sesiones de la CIDH, el Estado señaló que el agente de la Fiscalía Especializada en Investigación de los Delitos de Desaparición Forzada asignado a este caso ha entablado comunicación con la Comisión Nacional de Búsqueda con el fin de que brinde apoyo en el adelantamiento de la investigación. Igualmente, en dicha reunión de trabajo, la FRG se comprometió a entregar copia simple del expediente de investigación a los familiares de la víctima, a convocar a una reunión con los mismos y con sus representantes en enero de 2020, en la cual se les hará entrega de una hoja de ruta de las líneas de investigación a seguir, y a gestionar la realización de peritajes en el marco de la investigación.</w:t>
      </w:r>
    </w:p>
    <w:p w14:paraId="06B1470C" w14:textId="77777777" w:rsidR="003E0970" w:rsidRPr="004E7708" w:rsidRDefault="003E0970" w:rsidP="003E0970">
      <w:pPr>
        <w:shd w:val="clear" w:color="auto" w:fill="FFFFFF"/>
        <w:ind w:left="630"/>
        <w:jc w:val="both"/>
        <w:rPr>
          <w:rFonts w:ascii="Cambria" w:hAnsi="Cambria" w:cs="Calibri Light"/>
          <w:color w:val="000000" w:themeColor="text1"/>
          <w:sz w:val="20"/>
          <w:szCs w:val="20"/>
          <w:lang w:val="es-US"/>
        </w:rPr>
      </w:pPr>
    </w:p>
    <w:p w14:paraId="59FF5972" w14:textId="54AC611B" w:rsidR="003E0970" w:rsidRPr="004E7708" w:rsidRDefault="003E0970" w:rsidP="003E0970">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s="Calibri Light"/>
          <w:color w:val="000000" w:themeColor="text1"/>
          <w:sz w:val="20"/>
          <w:szCs w:val="20"/>
          <w:lang w:val="es-US"/>
        </w:rPr>
        <w:t>En 2020</w:t>
      </w:r>
      <w:r w:rsidR="00C61B99" w:rsidRPr="004E7708">
        <w:rPr>
          <w:rFonts w:ascii="Cambria" w:hAnsi="Cambria" w:cs="Calibri Light"/>
          <w:color w:val="000000" w:themeColor="text1"/>
          <w:sz w:val="20"/>
          <w:szCs w:val="20"/>
          <w:lang w:val="es-US"/>
        </w:rPr>
        <w:t>,</w:t>
      </w:r>
      <w:r w:rsidRPr="004E7708">
        <w:rPr>
          <w:rFonts w:ascii="Cambria" w:hAnsi="Cambria" w:cs="Calibri Light"/>
          <w:color w:val="000000" w:themeColor="text1"/>
          <w:sz w:val="20"/>
          <w:szCs w:val="20"/>
          <w:lang w:val="es-US"/>
        </w:rPr>
        <w:t xml:space="preserve"> el Estado informó sobre la realización de diversas diligencias encaminadas al cumplimiento de esta recomendación. Particularmente, resaltó que después de que la FGR asumiera el conocimiento del caso, se diseñó un plan de investigación que tiene como objetivo identificar el paradero de Miguel Orlando Muñoz Guzmán, así como determinar a los responsables de su desaparición. Asimismo, el Estado dio cuenta de diversas solicitudes de información realizadas a múltiples dependencias del gobierno mexicano, entre las que se encuentran la Fiscalía Especializada en Investigaciones de Violaciones a los Derechos Humanos y Desaparición Forzada, la Fiscalía General de Chihuahua, la 5ta Zona Militar de la Secretaría de la </w:t>
      </w:r>
      <w:r w:rsidRPr="004E7708">
        <w:rPr>
          <w:rFonts w:ascii="Cambria" w:hAnsi="Cambria" w:cs="Calibri Light"/>
          <w:color w:val="000000" w:themeColor="text1"/>
          <w:sz w:val="20"/>
          <w:szCs w:val="20"/>
          <w:lang w:val="es-US"/>
        </w:rPr>
        <w:lastRenderedPageBreak/>
        <w:t xml:space="preserve">Defensa Nacional, la Policía Federal, el Instituto Nacional de Migración, la Comisión Estatal de Atención a las Adicciones de Chihuahua, entre otras. EL Estado hizo del conocimiento de la Comisión que actualmente cuenta con información proporcionada por la Secretaría de la Defensa Nacional respecto de diversos elementos castrenses, así como de una red de vínculos, análisis de contexto y sistematización de la averiguación previa, las cuales se encuentran actualmente bajo análisis de las autoridades. </w:t>
      </w:r>
    </w:p>
    <w:p w14:paraId="34174C32" w14:textId="77777777" w:rsidR="003E0970" w:rsidRPr="004E7708" w:rsidRDefault="003E0970" w:rsidP="003E0970">
      <w:pPr>
        <w:shd w:val="clear" w:color="auto" w:fill="FFFFFF"/>
        <w:ind w:left="630"/>
        <w:jc w:val="both"/>
        <w:rPr>
          <w:rFonts w:ascii="Cambria" w:hAnsi="Cambria" w:cs="Calibri Light"/>
          <w:color w:val="000000" w:themeColor="text1"/>
          <w:sz w:val="20"/>
          <w:szCs w:val="20"/>
          <w:lang w:val="es-US"/>
        </w:rPr>
      </w:pPr>
    </w:p>
    <w:p w14:paraId="0B92ADD3" w14:textId="152321D7" w:rsidR="00ED764F" w:rsidRPr="004E7708" w:rsidRDefault="003E0970" w:rsidP="00ED764F">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s="Calibri Light"/>
          <w:color w:val="000000" w:themeColor="text1"/>
          <w:sz w:val="20"/>
          <w:szCs w:val="20"/>
          <w:lang w:val="es-US"/>
        </w:rPr>
        <w:t xml:space="preserve">Por otro lado, el Estado precisó que solicitó a la Comisión Nacional de Búsqueda incorporar al Miguel Orlando Muñoz Guzmán en el Registro Nacional de Personas Desaparecidas a fin de que las autoridades federales y locales puedan adelantar acciones de investigación. Respecto de la colaboración con los representantes, el Estado hizo mención de que, en febrero de 2020, les hizo entrega de la totalidad de los tomos de la averiguación previa digitalizada. De igual forma, informó que, en el mismo mes, sostuvo una reunión con los peticionarios en la que el Estado presentó un plan de trabajo para la búsqueda y localización del Miguel Orlando Muñoz Guzmán, quienes no aprobaron dicha estrategia. El Estado expresó que se comprometió a diseñar y presentar un nuevo plan a ser propuesto y acordado de nueva cuenta con los peticionarios. Por último, y en seguimiento a dicho acuerdo, el Estado informó sobre la determinación de una reunión de trabajo prevista para el 19 de marzo, la cual tuvo que ser suspendida por razones vinculadas con el COVID.19. Actualmente el Estado se encuentra trabajando en la definición de una nueva fecha con los peticionarios. </w:t>
      </w:r>
    </w:p>
    <w:p w14:paraId="7FD5F2B1" w14:textId="77777777" w:rsidR="00ED764F" w:rsidRPr="004E7708" w:rsidRDefault="00ED764F" w:rsidP="00ED764F">
      <w:pPr>
        <w:shd w:val="clear" w:color="auto" w:fill="FFFFFF"/>
        <w:ind w:left="630"/>
        <w:jc w:val="both"/>
        <w:rPr>
          <w:rFonts w:ascii="Cambria" w:hAnsi="Cambria" w:cs="Calibri Light"/>
          <w:color w:val="000000" w:themeColor="text1"/>
          <w:sz w:val="20"/>
          <w:szCs w:val="20"/>
          <w:lang w:val="es-US"/>
        </w:rPr>
      </w:pPr>
    </w:p>
    <w:p w14:paraId="76503540" w14:textId="59397036" w:rsidR="00ED764F" w:rsidRPr="004E7708" w:rsidRDefault="00ED764F" w:rsidP="00ED764F">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olor w:val="000000" w:themeColor="text1"/>
          <w:sz w:val="20"/>
          <w:szCs w:val="20"/>
          <w:lang w:val="es-CO"/>
        </w:rPr>
        <w:t xml:space="preserve">En 2021, el Estado no aportó información relacionada con la adopción de medidas desplegadas para avanzar en el cumplimiento de esta recomendación. </w:t>
      </w:r>
    </w:p>
    <w:p w14:paraId="4423F952" w14:textId="77777777" w:rsidR="003E0970" w:rsidRPr="004E7708" w:rsidRDefault="003E0970" w:rsidP="003E0970">
      <w:pPr>
        <w:shd w:val="clear" w:color="auto" w:fill="FFFFFF"/>
        <w:jc w:val="both"/>
        <w:rPr>
          <w:rFonts w:ascii="Cambria" w:hAnsi="Cambria" w:cs="Calibri Light"/>
          <w:color w:val="000000" w:themeColor="text1"/>
          <w:sz w:val="20"/>
          <w:szCs w:val="20"/>
          <w:lang w:val="es-US"/>
        </w:rPr>
      </w:pPr>
    </w:p>
    <w:p w14:paraId="33208E70" w14:textId="77777777" w:rsidR="003E0970" w:rsidRPr="004E7708" w:rsidRDefault="003E0970" w:rsidP="003E0970">
      <w:pPr>
        <w:numPr>
          <w:ilvl w:val="0"/>
          <w:numId w:val="14"/>
        </w:numPr>
        <w:shd w:val="clear" w:color="auto" w:fill="FFFFFF"/>
        <w:ind w:left="0" w:firstLine="630"/>
        <w:jc w:val="both"/>
        <w:rPr>
          <w:rFonts w:ascii="Cambria" w:hAnsi="Cambria" w:cs="Calibri Light"/>
          <w:color w:val="000000" w:themeColor="text1"/>
          <w:sz w:val="20"/>
          <w:szCs w:val="20"/>
          <w:lang w:val="es-US"/>
        </w:rPr>
      </w:pPr>
      <w:r w:rsidRPr="004E7708">
        <w:rPr>
          <w:rFonts w:ascii="Cambria" w:hAnsi="Cambria" w:cs="Cambria"/>
          <w:color w:val="000000" w:themeColor="text1"/>
          <w:sz w:val="20"/>
          <w:szCs w:val="20"/>
          <w:lang w:val="es-US" w:eastAsia="pt-BR"/>
        </w:rPr>
        <w:t>E</w:t>
      </w:r>
      <w:r w:rsidRPr="004E7708">
        <w:rPr>
          <w:rFonts w:ascii="Cambria" w:hAnsi="Cambria" w:cs="Cambria"/>
          <w:color w:val="000000" w:themeColor="text1"/>
          <w:sz w:val="20"/>
          <w:szCs w:val="20"/>
          <w:lang w:val="es-ES" w:eastAsia="pt-BR"/>
        </w:rPr>
        <w:t xml:space="preserve">l 22 de marzo de 2018, los representantes enviaron, vía correo electrónico, escrito recordatorio al Lic. Jorge Arnoldo Nava López, Fiscal de Distrito Zona Norte del Estado de Chihuahua sobre la remisión de la averiguación previa no. 2/2001 a la PGR. Sin embargo, no obtuvieron ninguna respuesta. El 9 de julio de 2018, los peticionarios interpusieron recurso de amparo indirecto reclamando la falta de una investigación efectiva en torno a la búsqueda y localización del Sr. Miguel Orlando por parte de la Fiscalía General del Estado de Chihuahua. El 10 de julio de 2018, el Juzgado Noveno de Distrito del Estado de Guanajuato admitió a trámite la demanda de amparo. De acuerdo con los peticionarios, las acciones tendientes a la investigación de los hechos realizadas por la Fiscalía de </w:t>
      </w:r>
      <w:proofErr w:type="gramStart"/>
      <w:r w:rsidRPr="004E7708">
        <w:rPr>
          <w:rFonts w:ascii="Cambria" w:hAnsi="Cambria" w:cs="Cambria"/>
          <w:color w:val="000000" w:themeColor="text1"/>
          <w:sz w:val="20"/>
          <w:szCs w:val="20"/>
          <w:lang w:val="es-ES" w:eastAsia="pt-BR"/>
        </w:rPr>
        <w:t>Distrito,</w:t>
      </w:r>
      <w:proofErr w:type="gramEnd"/>
      <w:r w:rsidRPr="004E7708">
        <w:rPr>
          <w:rFonts w:ascii="Cambria" w:hAnsi="Cambria" w:cs="Cambria"/>
          <w:color w:val="000000" w:themeColor="text1"/>
          <w:sz w:val="20"/>
          <w:szCs w:val="20"/>
          <w:lang w:val="es-ES" w:eastAsia="pt-BR"/>
        </w:rPr>
        <w:t xml:space="preserve"> iniciaron hasta cuando la autoridad tuvo conocimiento de la interposición de la demanda de amparo. Los peticionaros señalaron que las acciones de la Fiscalía local estarían dirigidas a ubicar el paradero del señor Miguel Orlando, y no a esclarecer la posible responsabilidad penal de agentes estatales, en particular de integrantes del ejército mexicano. Por último, en escrito del 23 de octubre de 2018, los peticionarios reiteraron la solicitud de federalización del caso. </w:t>
      </w:r>
    </w:p>
    <w:p w14:paraId="03053BC1" w14:textId="77777777" w:rsidR="003E0970" w:rsidRPr="004E7708" w:rsidRDefault="003E0970" w:rsidP="003E0970">
      <w:pPr>
        <w:ind w:left="630"/>
        <w:jc w:val="both"/>
        <w:rPr>
          <w:rFonts w:ascii="Cambria" w:hAnsi="Cambria" w:cs="Cambria"/>
          <w:color w:val="000000" w:themeColor="text1"/>
          <w:sz w:val="20"/>
          <w:szCs w:val="20"/>
          <w:lang w:val="es-ES" w:eastAsia="pt-BR"/>
        </w:rPr>
      </w:pPr>
    </w:p>
    <w:p w14:paraId="7AD1FF27" w14:textId="77777777" w:rsidR="003E0970" w:rsidRPr="004E7708" w:rsidRDefault="003E0970"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En 2019, los peticionarios inicialmente informaron a la Comisión que la investigación estaba paralizada por la alegada falta de competencia para conocer del caso, por parte de la Fiscalía General de la República (FGR) y por l</w:t>
      </w:r>
      <w:r w:rsidRPr="004E7708">
        <w:rPr>
          <w:rFonts w:ascii="Cambria" w:hAnsi="Cambria"/>
          <w:color w:val="000000" w:themeColor="text1"/>
          <w:sz w:val="20"/>
          <w:szCs w:val="20"/>
          <w:lang w:val="es-CO"/>
        </w:rPr>
        <w:t xml:space="preserve">a falta de actuación pronta y efectiva tanto de la Fiscalía General del Estado de Chihuahua como de la FGR, lo cual, según los peticionarios, dejaba a las víctimas en estado de indefensión y en claro detrimento de su derecho a la procuración de justicia. </w:t>
      </w:r>
      <w:r w:rsidRPr="004E7708">
        <w:rPr>
          <w:rFonts w:ascii="Cambria" w:hAnsi="Cambria" w:cs="Cambria"/>
          <w:color w:val="000000" w:themeColor="text1"/>
          <w:sz w:val="20"/>
          <w:szCs w:val="20"/>
          <w:lang w:val="es-CO" w:eastAsia="pt-BR"/>
        </w:rPr>
        <w:t>Sin embargo, posteriormente, los peticionarios</w:t>
      </w:r>
      <w:r w:rsidRPr="004E7708">
        <w:rPr>
          <w:rFonts w:ascii="Cambria" w:hAnsi="Cambria" w:cs="Cambria"/>
          <w:color w:val="000000" w:themeColor="text1"/>
          <w:sz w:val="20"/>
          <w:szCs w:val="20"/>
          <w:lang w:val="es-ES" w:eastAsia="pt-BR"/>
        </w:rPr>
        <w:t xml:space="preserve"> informaron a la Comisión que el 12 de septiembre de 2019 fueron informados de que</w:t>
      </w:r>
      <w:r w:rsidRPr="004E7708">
        <w:rPr>
          <w:rFonts w:ascii="Cambria" w:hAnsi="Cambria"/>
          <w:color w:val="000000" w:themeColor="text1"/>
          <w:sz w:val="20"/>
          <w:szCs w:val="20"/>
          <w:lang w:val="es-CO"/>
        </w:rPr>
        <w:t xml:space="preserve"> l</w:t>
      </w:r>
      <w:r w:rsidRPr="004E7708">
        <w:rPr>
          <w:rFonts w:ascii="Cambria" w:hAnsi="Cambria"/>
          <w:iCs/>
          <w:color w:val="000000" w:themeColor="text1"/>
          <w:sz w:val="20"/>
          <w:szCs w:val="20"/>
          <w:lang w:val="es-CO"/>
        </w:rPr>
        <w:t xml:space="preserve">a Fiscalía Especializada en Materia de Derechos Humanos aceptó la competencia del Caso 12.130 Miguel Orlando Muñoz Guzmán, iniciándose en la Fiscalía Especializada en Investigación de los Delitos de Desaparición Forzada, la averiguación previa AP/FGR/FEMDH/FEIDDF/M32/001/2019, a cargo del Ministerio Público de la Federación. Indican que esta decisión responde a la petición hecha por las víctimas y sus representantes, lo cual permite que </w:t>
      </w:r>
      <w:r w:rsidRPr="004E7708">
        <w:rPr>
          <w:rFonts w:ascii="Cambria" w:hAnsi="Cambria"/>
          <w:color w:val="000000" w:themeColor="text1"/>
          <w:sz w:val="20"/>
          <w:szCs w:val="20"/>
          <w:lang w:val="es-CO"/>
        </w:rPr>
        <w:t>la Fiscalía Especializada tenga facultades para investigar los hechos, no como delito de orden común -como lo estaba haciendo la Fiscalía de Chihuahua-, sino como desaparición forzada. Los peticionarios manifiestan que esto permitirá indagar, no sólo la búsqueda de Miguel Orlando Muñoz Guzmán, sino también la responsabilidad de los integrantes de la Secretaría de Defensa Nacional (SEDENA) que participaron en su desaparición, lo cual significa una nueva oportunidad para el Estado de realizar eficazmente la investigación y garantizar el acceso a la justicia en el presente caso, permitiendo la coadyuvancia de las víctimas y sus representantes. Durante la reunión de trabajo sostenida durante el 174º Periodo de Sesiones de la CIDH, los peticionarios señalaron que la FGR asumió la competencia de este caso como producto de una decisión de amparo. Asimismo, solicitaron copia integral simple del expediente de la investigación penal y la realización de dictámenes periciales con el fin de reconstruir la cadena de mando militar existente al momento de los hechos.</w:t>
      </w:r>
    </w:p>
    <w:p w14:paraId="6536632B" w14:textId="77777777" w:rsidR="003E0970" w:rsidRPr="004E7708" w:rsidRDefault="003E0970" w:rsidP="003E0970">
      <w:pPr>
        <w:ind w:left="630"/>
        <w:jc w:val="both"/>
        <w:rPr>
          <w:rFonts w:ascii="Cambria" w:hAnsi="Cambria" w:cs="Cambria"/>
          <w:color w:val="000000" w:themeColor="text1"/>
          <w:sz w:val="20"/>
          <w:szCs w:val="20"/>
          <w:lang w:val="es-ES" w:eastAsia="pt-BR"/>
        </w:rPr>
      </w:pPr>
    </w:p>
    <w:p w14:paraId="72875E08" w14:textId="77777777" w:rsidR="003E0970" w:rsidRPr="004E7708" w:rsidRDefault="003E0970"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 xml:space="preserve">En 2020, los peticionarios informaron que 14 de febrero de 2020 sostuvieron una reunión con autoridades estatales a fin de discutir diversos temas vinculados con la investigación. Informaron que, a pesar de que a dicha reunión asistieron diversas autoridades y familiares de la víctima, no estuvieron presentes los fiscales encargados de integrar la investigación, quienes resultaban indispensables para discutir sobre los hallazgos relacionados con la posible participación de agentes federales. Los peticionarios informaron que en dicha reunión les fue presentado un plan de trabajo que, aunque contenían en su mayoría propuestas encaminadas a adelantar acciones de búsqueda e identificación de Miguel Orlando Muñoz Guzmán, no detallaba posibles medidas tendientes a investigar y sancionar a los posibles responsables de su desaparición. A juicio de los representantes, esta situación deriva de las dificultades a las que se enfrentó la Fiscalía de Chihuahua para adelantar una investigación adecuada, lo que derivó en la obtención de una indagatoria descontextualizada en con la que resulta poco viable plantear diligencias de búsqueda sustentadas en datos objetivos. De igual forma, los peticionarios informaron que, en el marco de dicha reunión, la FGR les hizo entrega de un disco con una versión digitalizada de los 26 tomos que integran la averiguación previa del caso. </w:t>
      </w:r>
    </w:p>
    <w:p w14:paraId="4E2F4AF2" w14:textId="77777777" w:rsidR="003E0970" w:rsidRPr="004E7708" w:rsidRDefault="003E0970" w:rsidP="003E0970">
      <w:pPr>
        <w:ind w:left="630"/>
        <w:jc w:val="both"/>
        <w:rPr>
          <w:rFonts w:ascii="Cambria" w:hAnsi="Cambria" w:cs="Cambria"/>
          <w:color w:val="000000" w:themeColor="text1"/>
          <w:sz w:val="20"/>
          <w:szCs w:val="20"/>
          <w:lang w:val="es-ES" w:eastAsia="pt-BR"/>
        </w:rPr>
      </w:pPr>
    </w:p>
    <w:p w14:paraId="075B1171" w14:textId="3775359C" w:rsidR="003E0970" w:rsidRPr="004E7708" w:rsidRDefault="003E0970"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 xml:space="preserve">Respecto del desarrollo de un plan de investigación, los peticionarios informaron que el 22 de junio de 2020, la Fiscalía Especializada en Investigación de Delitos de Desaparición Forzada de la FGR remitió una propuesta de plan de trabajo que contempla tres grandes rubros: antecedentes; acciones de búsqueda con vida y sin vida, y plan de trabajo trimestral. A juicio de las representantes, dicha propuesta no refleja una metodología que parta de la descripción y análisis de los hechos, no señala las hipótesis y estrategias de investigación a seguir, ni tampoco menciona diligencias específicas a desarrollar ni un cronograma para su implementación. Asimismo, indicaron que, aunque la propuesta presentada contempla dos principales líneas de investigación, no incorpora el análisis de posibles responsables, así como de hechos ocurridos de manera previa a la desaparición de Miguel Orlando Muñoz Guzmán. De manera particular, los peticionarios expresaron que, a la fecha, las diligencias de investigación se han centrado en el seguimiento de una línea de investigación vinculada con el crimen organizado, mas no a identificar la posible participación de elementos castrenses en la desaparición del señor Muñoz Guzmán. Manifestaron su preocupación con el hecho de que el plan de investigación no contemple un análisis sobre la cadena de mando en el Ejército Mexicano, ni una posible línea de investigación sobre la posible participación de integrantes del 26º Batallón de Infantería. Por ello, expresaron que resulta fundamental realizar un análisis de contexto que ayude a reconstruir la situación que guardaba el municipio de Ciudad Juárez al momento en que ocurrió la desaparición del señor Muñoz Guzmán. </w:t>
      </w:r>
    </w:p>
    <w:p w14:paraId="26967C43" w14:textId="77777777" w:rsidR="00ED764F" w:rsidRPr="004E7708" w:rsidRDefault="00ED764F" w:rsidP="00ED764F">
      <w:pPr>
        <w:ind w:left="630"/>
        <w:jc w:val="both"/>
        <w:rPr>
          <w:rFonts w:ascii="Cambria" w:hAnsi="Cambria" w:cs="Cambria"/>
          <w:color w:val="000000" w:themeColor="text1"/>
          <w:sz w:val="20"/>
          <w:szCs w:val="20"/>
          <w:lang w:val="es-ES" w:eastAsia="pt-BR"/>
        </w:rPr>
      </w:pPr>
    </w:p>
    <w:p w14:paraId="4F082CC5" w14:textId="111B66F0" w:rsidR="00ED764F" w:rsidRPr="004E7708" w:rsidRDefault="00ED764F" w:rsidP="00C11132">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En 2021</w:t>
      </w:r>
      <w:r w:rsidR="00C11132" w:rsidRPr="004E7708">
        <w:rPr>
          <w:rFonts w:ascii="Cambria" w:hAnsi="Cambria" w:cs="Cambria"/>
          <w:color w:val="000000" w:themeColor="text1"/>
          <w:sz w:val="20"/>
          <w:szCs w:val="20"/>
          <w:lang w:val="es-ES" w:eastAsia="pt-BR"/>
        </w:rPr>
        <w:t xml:space="preserve">, los peticionarios informaron que el 4 de abril de 2021 </w:t>
      </w:r>
      <w:r w:rsidRPr="004E7708">
        <w:rPr>
          <w:rFonts w:ascii="Cambria" w:hAnsi="Cambria" w:cs="Cambria"/>
          <w:color w:val="000000" w:themeColor="text1"/>
          <w:sz w:val="20"/>
          <w:szCs w:val="20"/>
          <w:lang w:val="es-ES" w:eastAsia="pt-BR"/>
        </w:rPr>
        <w:t xml:space="preserve">la Unidad para la Defensa de los Derechos Humanos informó </w:t>
      </w:r>
      <w:r w:rsidR="00C11132" w:rsidRPr="004E7708">
        <w:rPr>
          <w:rFonts w:ascii="Cambria" w:hAnsi="Cambria" w:cs="Cambria"/>
          <w:color w:val="000000" w:themeColor="text1"/>
          <w:sz w:val="20"/>
          <w:szCs w:val="20"/>
          <w:lang w:val="es-ES" w:eastAsia="pt-BR"/>
        </w:rPr>
        <w:t xml:space="preserve">a los representantes </w:t>
      </w:r>
      <w:r w:rsidRPr="004E7708">
        <w:rPr>
          <w:rFonts w:ascii="Cambria" w:hAnsi="Cambria" w:cs="Cambria"/>
          <w:color w:val="000000" w:themeColor="text1"/>
          <w:sz w:val="20"/>
          <w:szCs w:val="20"/>
          <w:lang w:val="es-ES" w:eastAsia="pt-BR"/>
        </w:rPr>
        <w:t xml:space="preserve">sobre </w:t>
      </w:r>
      <w:r w:rsidR="00A44A75" w:rsidRPr="004E7708">
        <w:rPr>
          <w:rFonts w:ascii="Cambria" w:hAnsi="Cambria" w:cs="Cambria"/>
          <w:color w:val="000000" w:themeColor="text1"/>
          <w:sz w:val="20"/>
          <w:szCs w:val="20"/>
          <w:lang w:val="es-ES" w:eastAsia="pt-BR"/>
        </w:rPr>
        <w:t>la práctica</w:t>
      </w:r>
      <w:r w:rsidRPr="004E7708">
        <w:rPr>
          <w:rFonts w:ascii="Cambria" w:hAnsi="Cambria" w:cs="Cambria"/>
          <w:color w:val="000000" w:themeColor="text1"/>
          <w:sz w:val="20"/>
          <w:szCs w:val="20"/>
          <w:lang w:val="es-ES" w:eastAsia="pt-BR"/>
        </w:rPr>
        <w:t xml:space="preserve"> de algunas diligencias de </w:t>
      </w:r>
      <w:r w:rsidR="00C11132" w:rsidRPr="004E7708">
        <w:rPr>
          <w:rFonts w:ascii="Cambria" w:hAnsi="Cambria" w:cs="Cambria"/>
          <w:color w:val="000000" w:themeColor="text1"/>
          <w:sz w:val="20"/>
          <w:szCs w:val="20"/>
          <w:lang w:val="es-ES" w:eastAsia="pt-BR"/>
        </w:rPr>
        <w:t>investigación</w:t>
      </w:r>
      <w:r w:rsidRPr="004E7708">
        <w:rPr>
          <w:rFonts w:ascii="Cambria" w:hAnsi="Cambria" w:cs="Cambria"/>
          <w:color w:val="000000" w:themeColor="text1"/>
          <w:sz w:val="20"/>
          <w:szCs w:val="20"/>
          <w:lang w:val="es-ES" w:eastAsia="pt-BR"/>
        </w:rPr>
        <w:t xml:space="preserve"> por parte de la FGR</w:t>
      </w:r>
      <w:r w:rsidR="00C11132" w:rsidRPr="004E7708">
        <w:rPr>
          <w:rFonts w:ascii="Cambria" w:hAnsi="Cambria" w:cs="Cambria"/>
          <w:color w:val="000000" w:themeColor="text1"/>
          <w:sz w:val="20"/>
          <w:szCs w:val="20"/>
          <w:lang w:val="es-ES" w:eastAsia="pt-BR"/>
        </w:rPr>
        <w:t xml:space="preserve">. No obstante, los peticionarios manifestaron que la </w:t>
      </w:r>
      <w:r w:rsidRPr="004E7708">
        <w:rPr>
          <w:rFonts w:ascii="Cambria" w:hAnsi="Cambria" w:cs="Cambria"/>
          <w:color w:val="000000" w:themeColor="text1"/>
          <w:sz w:val="20"/>
          <w:szCs w:val="20"/>
          <w:lang w:val="es-ES" w:eastAsia="pt-BR"/>
        </w:rPr>
        <w:t xml:space="preserve">FGR no ha demostrado haber logrado </w:t>
      </w:r>
      <w:r w:rsidR="00C11132" w:rsidRPr="004E7708">
        <w:rPr>
          <w:rFonts w:ascii="Cambria" w:hAnsi="Cambria" w:cs="Cambria"/>
          <w:color w:val="000000" w:themeColor="text1"/>
          <w:sz w:val="20"/>
          <w:szCs w:val="20"/>
          <w:lang w:val="es-ES" w:eastAsia="pt-BR"/>
        </w:rPr>
        <w:t>ningún</w:t>
      </w:r>
      <w:r w:rsidRPr="004E7708">
        <w:rPr>
          <w:rFonts w:ascii="Cambria" w:hAnsi="Cambria" w:cs="Cambria"/>
          <w:color w:val="000000" w:themeColor="text1"/>
          <w:sz w:val="20"/>
          <w:szCs w:val="20"/>
          <w:lang w:val="es-ES" w:eastAsia="pt-BR"/>
        </w:rPr>
        <w:t xml:space="preserve"> resultado en cuanto a las labores de </w:t>
      </w:r>
      <w:r w:rsidR="00C11132" w:rsidRPr="004E7708">
        <w:rPr>
          <w:rFonts w:ascii="Cambria" w:hAnsi="Cambria" w:cs="Cambria"/>
          <w:color w:val="000000" w:themeColor="text1"/>
          <w:sz w:val="20"/>
          <w:szCs w:val="20"/>
          <w:lang w:val="es-ES" w:eastAsia="pt-BR"/>
        </w:rPr>
        <w:t>búsqueda</w:t>
      </w:r>
      <w:r w:rsidRPr="004E7708">
        <w:rPr>
          <w:rFonts w:ascii="Cambria" w:hAnsi="Cambria" w:cs="Cambria"/>
          <w:color w:val="000000" w:themeColor="text1"/>
          <w:sz w:val="20"/>
          <w:szCs w:val="20"/>
          <w:lang w:val="es-ES" w:eastAsia="pt-BR"/>
        </w:rPr>
        <w:t xml:space="preserve"> de la </w:t>
      </w:r>
      <w:r w:rsidR="00C11132" w:rsidRPr="004E7708">
        <w:rPr>
          <w:rFonts w:ascii="Cambria" w:hAnsi="Cambria" w:cs="Cambria"/>
          <w:color w:val="000000" w:themeColor="text1"/>
          <w:sz w:val="20"/>
          <w:szCs w:val="20"/>
          <w:lang w:val="es-ES" w:eastAsia="pt-BR"/>
        </w:rPr>
        <w:t>víctima</w:t>
      </w:r>
      <w:r w:rsidRPr="004E7708">
        <w:rPr>
          <w:rFonts w:ascii="Cambria" w:hAnsi="Cambria" w:cs="Cambria"/>
          <w:color w:val="000000" w:themeColor="text1"/>
          <w:sz w:val="20"/>
          <w:szCs w:val="20"/>
          <w:lang w:val="es-ES" w:eastAsia="pt-BR"/>
        </w:rPr>
        <w:t xml:space="preserve">. </w:t>
      </w:r>
      <w:r w:rsidR="00C11132" w:rsidRPr="004E7708">
        <w:rPr>
          <w:rFonts w:ascii="Cambria" w:hAnsi="Cambria" w:cs="Cambria"/>
          <w:color w:val="000000" w:themeColor="text1"/>
          <w:sz w:val="20"/>
          <w:szCs w:val="20"/>
          <w:lang w:val="es-ES" w:eastAsia="pt-BR"/>
        </w:rPr>
        <w:t xml:space="preserve">Los representantes tienen conocimiento que la FGR </w:t>
      </w:r>
      <w:r w:rsidRPr="004E7708">
        <w:rPr>
          <w:rFonts w:ascii="Cambria" w:hAnsi="Cambria" w:cs="Cambria"/>
          <w:color w:val="000000" w:themeColor="text1"/>
          <w:sz w:val="20"/>
          <w:szCs w:val="20"/>
          <w:lang w:val="es-ES" w:eastAsia="pt-BR"/>
        </w:rPr>
        <w:t xml:space="preserve">giró oficios a la CNB y </w:t>
      </w:r>
      <w:r w:rsidR="00C47CC7" w:rsidRPr="004E7708">
        <w:rPr>
          <w:rFonts w:ascii="Cambria" w:hAnsi="Cambria" w:cs="Cambria"/>
          <w:color w:val="000000" w:themeColor="text1"/>
          <w:sz w:val="20"/>
          <w:szCs w:val="20"/>
          <w:lang w:val="es-ES" w:eastAsia="pt-BR"/>
        </w:rPr>
        <w:t xml:space="preserve">a </w:t>
      </w:r>
      <w:r w:rsidRPr="004E7708">
        <w:rPr>
          <w:rFonts w:ascii="Cambria" w:hAnsi="Cambria" w:cs="Cambria"/>
          <w:color w:val="000000" w:themeColor="text1"/>
          <w:sz w:val="20"/>
          <w:szCs w:val="20"/>
          <w:lang w:val="es-ES" w:eastAsia="pt-BR"/>
        </w:rPr>
        <w:t xml:space="preserve">otras unidades administrativas de la propia FGR para emprender acciones de </w:t>
      </w:r>
      <w:r w:rsidR="00C11132" w:rsidRPr="004E7708">
        <w:rPr>
          <w:rFonts w:ascii="Cambria" w:hAnsi="Cambria" w:cs="Cambria"/>
          <w:color w:val="000000" w:themeColor="text1"/>
          <w:sz w:val="20"/>
          <w:szCs w:val="20"/>
          <w:lang w:val="es-ES" w:eastAsia="pt-BR"/>
        </w:rPr>
        <w:t>localización</w:t>
      </w:r>
      <w:r w:rsidRPr="004E7708">
        <w:rPr>
          <w:rFonts w:ascii="Cambria" w:hAnsi="Cambria" w:cs="Cambria"/>
          <w:color w:val="000000" w:themeColor="text1"/>
          <w:sz w:val="20"/>
          <w:szCs w:val="20"/>
          <w:lang w:val="es-ES" w:eastAsia="pt-BR"/>
        </w:rPr>
        <w:t xml:space="preserve"> de Miguel Orlando</w:t>
      </w:r>
      <w:r w:rsidR="00C11132" w:rsidRPr="004E7708">
        <w:rPr>
          <w:rFonts w:ascii="Cambria" w:hAnsi="Cambria" w:cs="Cambria"/>
          <w:color w:val="000000" w:themeColor="text1"/>
          <w:sz w:val="20"/>
          <w:szCs w:val="20"/>
          <w:lang w:val="es-ES" w:eastAsia="pt-BR"/>
        </w:rPr>
        <w:t xml:space="preserve">. Sin embargo, </w:t>
      </w:r>
      <w:r w:rsidRPr="004E7708">
        <w:rPr>
          <w:rFonts w:ascii="Cambria" w:hAnsi="Cambria" w:cs="Cambria"/>
          <w:color w:val="000000" w:themeColor="text1"/>
          <w:sz w:val="20"/>
          <w:szCs w:val="20"/>
          <w:lang w:val="es-ES" w:eastAsia="pt-BR"/>
        </w:rPr>
        <w:t>l</w:t>
      </w:r>
      <w:r w:rsidR="00C11132" w:rsidRPr="004E7708">
        <w:rPr>
          <w:rFonts w:ascii="Cambria" w:hAnsi="Cambria" w:cs="Cambria"/>
          <w:color w:val="000000" w:themeColor="text1"/>
          <w:sz w:val="20"/>
          <w:szCs w:val="20"/>
          <w:lang w:val="es-ES" w:eastAsia="pt-BR"/>
        </w:rPr>
        <w:t xml:space="preserve">as </w:t>
      </w:r>
      <w:r w:rsidR="00A44A75" w:rsidRPr="004E7708">
        <w:rPr>
          <w:rFonts w:ascii="Cambria" w:hAnsi="Cambria" w:cs="Cambria"/>
          <w:color w:val="000000" w:themeColor="text1"/>
          <w:sz w:val="20"/>
          <w:szCs w:val="20"/>
          <w:lang w:val="es-ES" w:eastAsia="pt-BR"/>
        </w:rPr>
        <w:t>acciones</w:t>
      </w:r>
      <w:r w:rsidRPr="004E7708">
        <w:rPr>
          <w:rFonts w:ascii="Cambria" w:hAnsi="Cambria" w:cs="Cambria"/>
          <w:color w:val="000000" w:themeColor="text1"/>
          <w:sz w:val="20"/>
          <w:szCs w:val="20"/>
          <w:lang w:val="es-ES" w:eastAsia="pt-BR"/>
        </w:rPr>
        <w:t xml:space="preserve"> se han estancado en un punto donde las autoridades </w:t>
      </w:r>
      <w:r w:rsidR="00A44A75" w:rsidRPr="004E7708">
        <w:rPr>
          <w:rFonts w:ascii="Cambria" w:hAnsi="Cambria" w:cs="Cambria"/>
          <w:color w:val="000000" w:themeColor="text1"/>
          <w:sz w:val="20"/>
          <w:szCs w:val="20"/>
          <w:lang w:val="es-ES" w:eastAsia="pt-BR"/>
        </w:rPr>
        <w:t xml:space="preserve">no </w:t>
      </w:r>
      <w:r w:rsidR="00C47CC7" w:rsidRPr="004E7708">
        <w:rPr>
          <w:rFonts w:ascii="Cambria" w:hAnsi="Cambria" w:cs="Cambria"/>
          <w:color w:val="000000" w:themeColor="text1"/>
          <w:sz w:val="20"/>
          <w:szCs w:val="20"/>
          <w:lang w:val="es-ES" w:eastAsia="pt-BR"/>
        </w:rPr>
        <w:t>han respondido</w:t>
      </w:r>
      <w:r w:rsidR="00A44A75" w:rsidRPr="004E7708">
        <w:rPr>
          <w:rFonts w:ascii="Cambria" w:hAnsi="Cambria" w:cs="Cambria"/>
          <w:color w:val="000000" w:themeColor="text1"/>
          <w:sz w:val="20"/>
          <w:szCs w:val="20"/>
          <w:lang w:val="es-ES" w:eastAsia="pt-BR"/>
        </w:rPr>
        <w:t xml:space="preserve"> </w:t>
      </w:r>
      <w:r w:rsidRPr="004E7708">
        <w:rPr>
          <w:rFonts w:ascii="Cambria" w:hAnsi="Cambria" w:cs="Cambria"/>
          <w:color w:val="000000" w:themeColor="text1"/>
          <w:sz w:val="20"/>
          <w:szCs w:val="20"/>
          <w:lang w:val="es-ES" w:eastAsia="pt-BR"/>
        </w:rPr>
        <w:t>a sus oficios</w:t>
      </w:r>
      <w:r w:rsidR="00A44A75" w:rsidRPr="004E7708">
        <w:rPr>
          <w:rFonts w:ascii="Cambria" w:hAnsi="Cambria" w:cs="Cambria"/>
          <w:color w:val="000000" w:themeColor="text1"/>
          <w:sz w:val="20"/>
          <w:szCs w:val="20"/>
          <w:lang w:val="es-ES" w:eastAsia="pt-BR"/>
        </w:rPr>
        <w:t xml:space="preserve">. </w:t>
      </w:r>
    </w:p>
    <w:p w14:paraId="5AE7A5AD" w14:textId="77777777" w:rsidR="00C11132" w:rsidRPr="004E7708" w:rsidRDefault="00C11132" w:rsidP="00C11132">
      <w:pPr>
        <w:pStyle w:val="ListParagraph"/>
        <w:rPr>
          <w:rFonts w:ascii="Cambria" w:hAnsi="Cambria" w:cs="Cambria"/>
          <w:color w:val="000000" w:themeColor="text1"/>
          <w:sz w:val="20"/>
          <w:szCs w:val="20"/>
          <w:lang w:val="es-ES" w:eastAsia="pt-BR"/>
        </w:rPr>
      </w:pPr>
    </w:p>
    <w:p w14:paraId="3B054F66" w14:textId="0398670F" w:rsidR="00A44A75" w:rsidRPr="004E7708" w:rsidRDefault="00C11132" w:rsidP="00533733">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 xml:space="preserve">Los peticionarios informaron que </w:t>
      </w:r>
      <w:r w:rsidR="00ED764F" w:rsidRPr="004E7708">
        <w:rPr>
          <w:rFonts w:ascii="Cambria" w:hAnsi="Cambria" w:cs="Cambria"/>
          <w:color w:val="000000" w:themeColor="text1"/>
          <w:sz w:val="20"/>
          <w:szCs w:val="20"/>
          <w:lang w:val="es-ES" w:eastAsia="pt-BR"/>
        </w:rPr>
        <w:t>a la fecha no ha sido posible construir un plan integral</w:t>
      </w:r>
      <w:r w:rsidR="00A44A75" w:rsidRPr="004E7708">
        <w:rPr>
          <w:rFonts w:ascii="Cambria" w:hAnsi="Cambria" w:cs="Cambria"/>
          <w:color w:val="000000" w:themeColor="text1"/>
          <w:sz w:val="20"/>
          <w:szCs w:val="20"/>
          <w:lang w:val="es-ES" w:eastAsia="pt-BR"/>
        </w:rPr>
        <w:t xml:space="preserve"> de investigación</w:t>
      </w:r>
      <w:r w:rsidR="00C47CC7" w:rsidRPr="004E7708">
        <w:rPr>
          <w:rFonts w:ascii="Cambria" w:hAnsi="Cambria" w:cs="Cambria"/>
          <w:color w:val="000000" w:themeColor="text1"/>
          <w:sz w:val="20"/>
          <w:szCs w:val="20"/>
          <w:lang w:val="es-ES" w:eastAsia="pt-BR"/>
        </w:rPr>
        <w:t xml:space="preserve"> del caso</w:t>
      </w:r>
      <w:r w:rsidR="00ED764F" w:rsidRPr="004E7708">
        <w:rPr>
          <w:rFonts w:ascii="Cambria" w:hAnsi="Cambria" w:cs="Cambria"/>
          <w:color w:val="000000" w:themeColor="text1"/>
          <w:sz w:val="20"/>
          <w:szCs w:val="20"/>
          <w:lang w:val="es-ES" w:eastAsia="pt-BR"/>
        </w:rPr>
        <w:t xml:space="preserve">. </w:t>
      </w:r>
      <w:r w:rsidR="00A44A75" w:rsidRPr="004E7708">
        <w:rPr>
          <w:rFonts w:ascii="Cambria" w:hAnsi="Cambria" w:cs="Cambria"/>
          <w:color w:val="000000" w:themeColor="text1"/>
          <w:sz w:val="20"/>
          <w:szCs w:val="20"/>
          <w:lang w:val="es-ES" w:eastAsia="pt-BR"/>
        </w:rPr>
        <w:t>Asimismo, informaron que se llevó a cabo una reunión de trabajo</w:t>
      </w:r>
      <w:r w:rsidR="006D6D37" w:rsidRPr="004E7708">
        <w:rPr>
          <w:rFonts w:ascii="Cambria" w:hAnsi="Cambria" w:cs="Cambria"/>
          <w:color w:val="000000" w:themeColor="text1"/>
          <w:sz w:val="20"/>
          <w:szCs w:val="20"/>
          <w:lang w:val="es-ES" w:eastAsia="pt-BR"/>
        </w:rPr>
        <w:t xml:space="preserve"> el 30 de abril de 2021</w:t>
      </w:r>
      <w:r w:rsidR="00A44A75" w:rsidRPr="004E7708">
        <w:rPr>
          <w:rFonts w:ascii="Cambria" w:hAnsi="Cambria" w:cs="Cambria"/>
          <w:color w:val="000000" w:themeColor="text1"/>
          <w:sz w:val="20"/>
          <w:szCs w:val="20"/>
          <w:lang w:val="es-ES" w:eastAsia="pt-BR"/>
        </w:rPr>
        <w:t xml:space="preserve"> a la que no asistió</w:t>
      </w:r>
      <w:r w:rsidR="006D6D37" w:rsidRPr="004E7708">
        <w:rPr>
          <w:rFonts w:ascii="Cambria" w:hAnsi="Cambria" w:cs="Cambria"/>
          <w:color w:val="000000" w:themeColor="text1"/>
          <w:sz w:val="20"/>
          <w:szCs w:val="20"/>
          <w:lang w:val="es-ES" w:eastAsia="pt-BR"/>
        </w:rPr>
        <w:t xml:space="preserve"> la </w:t>
      </w:r>
      <w:proofErr w:type="spellStart"/>
      <w:r w:rsidR="006D6D37" w:rsidRPr="004E7708">
        <w:rPr>
          <w:rFonts w:ascii="Cambria" w:hAnsi="Cambria" w:cs="Cambria"/>
          <w:color w:val="000000" w:themeColor="text1"/>
          <w:sz w:val="20"/>
          <w:szCs w:val="20"/>
          <w:lang w:val="es-ES" w:eastAsia="pt-BR"/>
        </w:rPr>
        <w:t>FGCh</w:t>
      </w:r>
      <w:proofErr w:type="spellEnd"/>
      <w:r w:rsidRPr="004E7708">
        <w:rPr>
          <w:rFonts w:ascii="Cambria" w:hAnsi="Cambria" w:cs="Cambria"/>
          <w:color w:val="000000" w:themeColor="text1"/>
          <w:sz w:val="20"/>
          <w:szCs w:val="20"/>
          <w:lang w:val="es-ES" w:eastAsia="pt-BR"/>
        </w:rPr>
        <w:t>.</w:t>
      </w:r>
      <w:r w:rsidR="00A44A75" w:rsidRPr="004E7708">
        <w:rPr>
          <w:rFonts w:ascii="Cambria" w:hAnsi="Cambria" w:cs="Cambria"/>
          <w:color w:val="000000" w:themeColor="text1"/>
          <w:sz w:val="20"/>
          <w:szCs w:val="20"/>
          <w:lang w:val="es-ES" w:eastAsia="pt-BR"/>
        </w:rPr>
        <w:t xml:space="preserve"> Al respecto,</w:t>
      </w:r>
      <w:r w:rsidRPr="004E7708">
        <w:rPr>
          <w:rFonts w:ascii="Cambria" w:hAnsi="Cambria" w:cs="Cambria"/>
          <w:color w:val="000000" w:themeColor="text1"/>
          <w:sz w:val="20"/>
          <w:szCs w:val="20"/>
          <w:lang w:val="es-ES" w:eastAsia="pt-BR"/>
        </w:rPr>
        <w:t xml:space="preserve"> </w:t>
      </w:r>
      <w:r w:rsidR="00C47CC7" w:rsidRPr="004E7708">
        <w:rPr>
          <w:rFonts w:ascii="Cambria" w:hAnsi="Cambria" w:cs="Cambria"/>
          <w:color w:val="000000" w:themeColor="text1"/>
          <w:sz w:val="20"/>
          <w:szCs w:val="20"/>
          <w:lang w:val="es-ES" w:eastAsia="pt-BR"/>
        </w:rPr>
        <w:t xml:space="preserve">señalaron que </w:t>
      </w:r>
      <w:r w:rsidR="00A44A75" w:rsidRPr="004E7708">
        <w:rPr>
          <w:rFonts w:ascii="Cambria" w:hAnsi="Cambria" w:cs="Cambria"/>
          <w:color w:val="000000" w:themeColor="text1"/>
          <w:sz w:val="20"/>
          <w:szCs w:val="20"/>
          <w:lang w:val="es-ES" w:eastAsia="pt-BR"/>
        </w:rPr>
        <w:t>l</w:t>
      </w:r>
      <w:r w:rsidR="006D6D37" w:rsidRPr="004E7708">
        <w:rPr>
          <w:rFonts w:ascii="Cambria" w:hAnsi="Cambria" w:cs="Cambria"/>
          <w:color w:val="000000" w:themeColor="text1"/>
          <w:sz w:val="20"/>
          <w:szCs w:val="20"/>
          <w:lang w:val="es-ES" w:eastAsia="pt-BR"/>
        </w:rPr>
        <w:t xml:space="preserve">a FGR </w:t>
      </w:r>
      <w:r w:rsidR="00C47CC7" w:rsidRPr="004E7708">
        <w:rPr>
          <w:rFonts w:ascii="Cambria" w:hAnsi="Cambria" w:cs="Cambria"/>
          <w:color w:val="000000" w:themeColor="text1"/>
          <w:sz w:val="20"/>
          <w:szCs w:val="20"/>
          <w:lang w:val="es-ES" w:eastAsia="pt-BR"/>
        </w:rPr>
        <w:t xml:space="preserve">les </w:t>
      </w:r>
      <w:r w:rsidR="006D6D37" w:rsidRPr="004E7708">
        <w:rPr>
          <w:rFonts w:ascii="Cambria" w:hAnsi="Cambria" w:cs="Cambria"/>
          <w:color w:val="000000" w:themeColor="text1"/>
          <w:sz w:val="20"/>
          <w:szCs w:val="20"/>
          <w:lang w:val="es-ES" w:eastAsia="pt-BR"/>
        </w:rPr>
        <w:t>informó que</w:t>
      </w:r>
      <w:r w:rsidR="00533733" w:rsidRPr="004E7708">
        <w:rPr>
          <w:rFonts w:ascii="Cambria" w:hAnsi="Cambria" w:cs="Cambria"/>
          <w:color w:val="000000" w:themeColor="text1"/>
          <w:sz w:val="20"/>
          <w:szCs w:val="20"/>
          <w:lang w:val="es-ES" w:eastAsia="pt-BR"/>
        </w:rPr>
        <w:t xml:space="preserve"> desde el 12 de junio de 2019 </w:t>
      </w:r>
      <w:r w:rsidR="006D6D37" w:rsidRPr="004E7708">
        <w:rPr>
          <w:rFonts w:ascii="Cambria" w:hAnsi="Cambria" w:cs="Cambria"/>
          <w:color w:val="000000" w:themeColor="text1"/>
          <w:sz w:val="20"/>
          <w:szCs w:val="20"/>
          <w:lang w:val="es-ES" w:eastAsia="pt-BR"/>
        </w:rPr>
        <w:t xml:space="preserve">contaba con </w:t>
      </w:r>
      <w:r w:rsidR="00A44A75" w:rsidRPr="004E7708">
        <w:rPr>
          <w:rFonts w:ascii="Cambria" w:hAnsi="Cambria" w:cs="Cambria"/>
          <w:color w:val="000000" w:themeColor="text1"/>
          <w:sz w:val="20"/>
          <w:szCs w:val="20"/>
          <w:lang w:val="es-ES" w:eastAsia="pt-BR"/>
        </w:rPr>
        <w:t xml:space="preserve">un </w:t>
      </w:r>
      <w:r w:rsidR="006D6D37" w:rsidRPr="004E7708">
        <w:rPr>
          <w:rFonts w:ascii="Cambria" w:hAnsi="Cambria" w:cs="Cambria"/>
          <w:color w:val="000000" w:themeColor="text1"/>
          <w:sz w:val="20"/>
          <w:szCs w:val="20"/>
          <w:lang w:val="es-ES" w:eastAsia="pt-BR"/>
        </w:rPr>
        <w:t xml:space="preserve">acuerdo de </w:t>
      </w:r>
      <w:r w:rsidRPr="004E7708">
        <w:rPr>
          <w:rFonts w:ascii="Cambria" w:hAnsi="Cambria" w:cs="Cambria"/>
          <w:color w:val="000000" w:themeColor="text1"/>
          <w:sz w:val="20"/>
          <w:szCs w:val="20"/>
          <w:lang w:val="es-ES" w:eastAsia="pt-BR"/>
        </w:rPr>
        <w:t>declinación</w:t>
      </w:r>
      <w:r w:rsidR="006D6D37" w:rsidRPr="004E7708">
        <w:rPr>
          <w:rFonts w:ascii="Cambria" w:hAnsi="Cambria" w:cs="Cambria"/>
          <w:color w:val="000000" w:themeColor="text1"/>
          <w:sz w:val="20"/>
          <w:szCs w:val="20"/>
          <w:lang w:val="es-ES" w:eastAsia="pt-BR"/>
        </w:rPr>
        <w:t xml:space="preserve"> de competencia</w:t>
      </w:r>
      <w:r w:rsidR="00533733" w:rsidRPr="004E7708">
        <w:rPr>
          <w:rFonts w:ascii="Cambria" w:hAnsi="Cambria" w:cs="Cambria"/>
          <w:color w:val="000000" w:themeColor="text1"/>
          <w:sz w:val="20"/>
          <w:szCs w:val="20"/>
          <w:lang w:val="es-ES" w:eastAsia="pt-BR"/>
        </w:rPr>
        <w:t xml:space="preserve"> de</w:t>
      </w:r>
      <w:r w:rsidR="006D6D37" w:rsidRPr="004E7708">
        <w:rPr>
          <w:rFonts w:ascii="Cambria" w:hAnsi="Cambria" w:cs="Cambria"/>
          <w:color w:val="000000" w:themeColor="text1"/>
          <w:sz w:val="20"/>
          <w:szCs w:val="20"/>
          <w:lang w:val="es-ES" w:eastAsia="pt-BR"/>
        </w:rPr>
        <w:t xml:space="preserve"> la </w:t>
      </w:r>
      <w:proofErr w:type="spellStart"/>
      <w:r w:rsidR="006D6D37" w:rsidRPr="004E7708">
        <w:rPr>
          <w:rFonts w:ascii="Cambria" w:hAnsi="Cambria" w:cs="Cambria"/>
          <w:color w:val="000000" w:themeColor="text1"/>
          <w:sz w:val="20"/>
          <w:szCs w:val="20"/>
          <w:lang w:val="es-ES" w:eastAsia="pt-BR"/>
        </w:rPr>
        <w:t>FGCh</w:t>
      </w:r>
      <w:proofErr w:type="spellEnd"/>
      <w:r w:rsidR="00533733" w:rsidRPr="004E7708">
        <w:rPr>
          <w:rFonts w:ascii="Cambria" w:hAnsi="Cambria" w:cs="Cambria"/>
          <w:color w:val="000000" w:themeColor="text1"/>
          <w:sz w:val="20"/>
          <w:szCs w:val="20"/>
          <w:lang w:val="es-ES" w:eastAsia="pt-BR"/>
        </w:rPr>
        <w:t xml:space="preserve">, por la que se </w:t>
      </w:r>
      <w:r w:rsidR="00C47CC7" w:rsidRPr="004E7708">
        <w:rPr>
          <w:rFonts w:ascii="Cambria" w:hAnsi="Cambria" w:cs="Cambria"/>
          <w:color w:val="000000" w:themeColor="text1"/>
          <w:sz w:val="20"/>
          <w:szCs w:val="20"/>
          <w:lang w:val="es-ES" w:eastAsia="pt-BR"/>
        </w:rPr>
        <w:t>determinó</w:t>
      </w:r>
      <w:r w:rsidR="00533733" w:rsidRPr="004E7708">
        <w:rPr>
          <w:rFonts w:ascii="Cambria" w:hAnsi="Cambria" w:cs="Cambria"/>
          <w:color w:val="000000" w:themeColor="text1"/>
          <w:sz w:val="20"/>
          <w:szCs w:val="20"/>
          <w:lang w:val="es-ES" w:eastAsia="pt-BR"/>
        </w:rPr>
        <w:t xml:space="preserve"> la competencia investigativa a favor de la FGR. </w:t>
      </w:r>
      <w:r w:rsidR="00A44A75" w:rsidRPr="004E7708">
        <w:rPr>
          <w:rFonts w:ascii="Cambria" w:hAnsi="Cambria" w:cs="Cambria"/>
          <w:color w:val="000000" w:themeColor="text1"/>
          <w:sz w:val="20"/>
          <w:szCs w:val="20"/>
          <w:lang w:val="es-ES" w:eastAsia="pt-BR"/>
        </w:rPr>
        <w:t xml:space="preserve"> </w:t>
      </w:r>
      <w:r w:rsidRPr="004E7708">
        <w:rPr>
          <w:rFonts w:ascii="Cambria" w:hAnsi="Cambria" w:cs="Cambria"/>
          <w:color w:val="000000" w:themeColor="text1"/>
          <w:sz w:val="20"/>
          <w:szCs w:val="20"/>
          <w:lang w:val="es-ES" w:eastAsia="pt-BR"/>
        </w:rPr>
        <w:t xml:space="preserve"> </w:t>
      </w:r>
    </w:p>
    <w:p w14:paraId="53C9712F" w14:textId="77777777" w:rsidR="00A44A75" w:rsidRPr="004E7708" w:rsidRDefault="00A44A75" w:rsidP="00A44A75">
      <w:pPr>
        <w:ind w:left="630"/>
        <w:jc w:val="both"/>
        <w:rPr>
          <w:rFonts w:ascii="Cambria" w:hAnsi="Cambria" w:cs="Cambria"/>
          <w:color w:val="000000" w:themeColor="text1"/>
          <w:sz w:val="20"/>
          <w:szCs w:val="20"/>
          <w:lang w:val="es-ES" w:eastAsia="pt-BR"/>
        </w:rPr>
      </w:pPr>
    </w:p>
    <w:p w14:paraId="72444EAE" w14:textId="4D098C76" w:rsidR="00C11132" w:rsidRPr="004E7708" w:rsidRDefault="00C11132" w:rsidP="00533733">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Los peticionarios informaron que e</w:t>
      </w:r>
      <w:r w:rsidR="006D6D37" w:rsidRPr="004E7708">
        <w:rPr>
          <w:rFonts w:ascii="Cambria" w:hAnsi="Cambria" w:cs="Cambria"/>
          <w:color w:val="000000" w:themeColor="text1"/>
          <w:sz w:val="20"/>
          <w:szCs w:val="20"/>
          <w:lang w:val="es-ES" w:eastAsia="pt-BR"/>
        </w:rPr>
        <w:t xml:space="preserve">l 28 de junio de 2021, el Ministerio </w:t>
      </w:r>
      <w:r w:rsidRPr="004E7708">
        <w:rPr>
          <w:rFonts w:ascii="Cambria" w:hAnsi="Cambria" w:cs="Cambria"/>
          <w:color w:val="000000" w:themeColor="text1"/>
          <w:sz w:val="20"/>
          <w:szCs w:val="20"/>
          <w:lang w:val="es-ES" w:eastAsia="pt-BR"/>
        </w:rPr>
        <w:t>Público</w:t>
      </w:r>
      <w:r w:rsidR="006D6D37" w:rsidRPr="004E7708">
        <w:rPr>
          <w:rFonts w:ascii="Cambria" w:hAnsi="Cambria" w:cs="Cambria"/>
          <w:color w:val="000000" w:themeColor="text1"/>
          <w:sz w:val="20"/>
          <w:szCs w:val="20"/>
          <w:lang w:val="es-ES" w:eastAsia="pt-BR"/>
        </w:rPr>
        <w:t xml:space="preserve"> </w:t>
      </w:r>
      <w:r w:rsidR="00533733" w:rsidRPr="004E7708">
        <w:rPr>
          <w:rFonts w:ascii="Cambria" w:hAnsi="Cambria" w:cs="Cambria"/>
          <w:color w:val="000000" w:themeColor="text1"/>
          <w:sz w:val="20"/>
          <w:szCs w:val="20"/>
          <w:lang w:val="es-ES" w:eastAsia="pt-BR"/>
        </w:rPr>
        <w:t xml:space="preserve">remitió </w:t>
      </w:r>
      <w:r w:rsidR="006D6D37" w:rsidRPr="004E7708">
        <w:rPr>
          <w:rFonts w:ascii="Cambria" w:hAnsi="Cambria" w:cs="Cambria"/>
          <w:color w:val="000000" w:themeColor="text1"/>
          <w:sz w:val="20"/>
          <w:szCs w:val="20"/>
          <w:lang w:val="es-ES" w:eastAsia="pt-BR"/>
        </w:rPr>
        <w:t xml:space="preserve">el plan de </w:t>
      </w:r>
      <w:r w:rsidRPr="004E7708">
        <w:rPr>
          <w:rFonts w:ascii="Cambria" w:hAnsi="Cambria" w:cs="Cambria"/>
          <w:color w:val="000000" w:themeColor="text1"/>
          <w:sz w:val="20"/>
          <w:szCs w:val="20"/>
          <w:lang w:val="es-ES" w:eastAsia="pt-BR"/>
        </w:rPr>
        <w:t>investigación</w:t>
      </w:r>
      <w:r w:rsidR="006D6D37" w:rsidRPr="004E7708">
        <w:rPr>
          <w:rFonts w:ascii="Cambria" w:hAnsi="Cambria" w:cs="Cambria"/>
          <w:color w:val="000000" w:themeColor="text1"/>
          <w:sz w:val="20"/>
          <w:szCs w:val="20"/>
          <w:lang w:val="es-ES" w:eastAsia="pt-BR"/>
        </w:rPr>
        <w:t xml:space="preserve"> sobre la </w:t>
      </w:r>
      <w:r w:rsidRPr="004E7708">
        <w:rPr>
          <w:rFonts w:ascii="Cambria" w:hAnsi="Cambria" w:cs="Cambria"/>
          <w:color w:val="000000" w:themeColor="text1"/>
          <w:sz w:val="20"/>
          <w:szCs w:val="20"/>
          <w:lang w:val="es-ES" w:eastAsia="pt-BR"/>
        </w:rPr>
        <w:t>desaparición</w:t>
      </w:r>
      <w:r w:rsidR="006D6D37" w:rsidRPr="004E7708">
        <w:rPr>
          <w:rFonts w:ascii="Cambria" w:hAnsi="Cambria" w:cs="Cambria"/>
          <w:color w:val="000000" w:themeColor="text1"/>
          <w:sz w:val="20"/>
          <w:szCs w:val="20"/>
          <w:lang w:val="es-ES" w:eastAsia="pt-BR"/>
        </w:rPr>
        <w:t xml:space="preserve"> de Miguel Orlando. </w:t>
      </w:r>
      <w:r w:rsidR="00533733" w:rsidRPr="004E7708">
        <w:rPr>
          <w:rFonts w:ascii="Cambria" w:hAnsi="Cambria" w:cs="Cambria"/>
          <w:color w:val="000000" w:themeColor="text1"/>
          <w:sz w:val="20"/>
          <w:szCs w:val="20"/>
          <w:lang w:val="es-ES" w:eastAsia="pt-BR"/>
        </w:rPr>
        <w:t xml:space="preserve">Al respecto, los peticionarios alegan que este no cumpliría </w:t>
      </w:r>
      <w:r w:rsidR="006D6D37" w:rsidRPr="004E7708">
        <w:rPr>
          <w:rFonts w:ascii="Cambria" w:hAnsi="Cambria" w:cs="Cambria"/>
          <w:color w:val="000000" w:themeColor="text1"/>
          <w:sz w:val="20"/>
          <w:szCs w:val="20"/>
          <w:lang w:val="es-ES" w:eastAsia="pt-BR"/>
        </w:rPr>
        <w:t xml:space="preserve">con uno de los acuerdos de la </w:t>
      </w:r>
      <w:r w:rsidRPr="004E7708">
        <w:rPr>
          <w:rFonts w:ascii="Cambria" w:hAnsi="Cambria" w:cs="Cambria"/>
          <w:color w:val="000000" w:themeColor="text1"/>
          <w:sz w:val="20"/>
          <w:szCs w:val="20"/>
          <w:lang w:val="es-ES" w:eastAsia="pt-BR"/>
        </w:rPr>
        <w:t>reunión</w:t>
      </w:r>
      <w:r w:rsidR="006D6D37" w:rsidRPr="004E7708">
        <w:rPr>
          <w:rFonts w:ascii="Cambria" w:hAnsi="Cambria" w:cs="Cambria"/>
          <w:color w:val="000000" w:themeColor="text1"/>
          <w:sz w:val="20"/>
          <w:szCs w:val="20"/>
          <w:lang w:val="es-ES" w:eastAsia="pt-BR"/>
        </w:rPr>
        <w:t xml:space="preserve"> del 7 de mayo de 2021, consistente en la entrega de un cronograma </w:t>
      </w:r>
      <w:r w:rsidRPr="004E7708">
        <w:rPr>
          <w:rFonts w:ascii="Cambria" w:hAnsi="Cambria" w:cs="Cambria"/>
          <w:color w:val="000000" w:themeColor="text1"/>
          <w:sz w:val="20"/>
          <w:szCs w:val="20"/>
          <w:lang w:val="es-ES" w:eastAsia="pt-BR"/>
        </w:rPr>
        <w:t>específico</w:t>
      </w:r>
      <w:r w:rsidR="006D6D37" w:rsidRPr="004E7708">
        <w:rPr>
          <w:rFonts w:ascii="Cambria" w:hAnsi="Cambria" w:cs="Cambria"/>
          <w:color w:val="000000" w:themeColor="text1"/>
          <w:sz w:val="20"/>
          <w:szCs w:val="20"/>
          <w:lang w:val="es-ES" w:eastAsia="pt-BR"/>
        </w:rPr>
        <w:t xml:space="preserve"> para el Plan de </w:t>
      </w:r>
      <w:r w:rsidRPr="004E7708">
        <w:rPr>
          <w:rFonts w:ascii="Cambria" w:hAnsi="Cambria" w:cs="Cambria"/>
          <w:color w:val="000000" w:themeColor="text1"/>
          <w:sz w:val="20"/>
          <w:szCs w:val="20"/>
          <w:lang w:val="es-ES" w:eastAsia="pt-BR"/>
        </w:rPr>
        <w:t>Investigación</w:t>
      </w:r>
      <w:r w:rsidR="006D6D37" w:rsidRPr="004E7708">
        <w:rPr>
          <w:rFonts w:ascii="Cambria" w:hAnsi="Cambria" w:cs="Cambria"/>
          <w:color w:val="000000" w:themeColor="text1"/>
          <w:sz w:val="20"/>
          <w:szCs w:val="20"/>
          <w:lang w:val="es-ES" w:eastAsia="pt-BR"/>
        </w:rPr>
        <w:t xml:space="preserve">. </w:t>
      </w:r>
      <w:r w:rsidRPr="004E7708">
        <w:rPr>
          <w:rFonts w:ascii="Cambria" w:hAnsi="Cambria" w:cs="Cambria"/>
          <w:color w:val="000000" w:themeColor="text1"/>
          <w:sz w:val="20"/>
          <w:szCs w:val="20"/>
          <w:lang w:val="es-ES" w:eastAsia="pt-BR"/>
        </w:rPr>
        <w:t xml:space="preserve">Asimismo, los representantes refirieron que </w:t>
      </w:r>
      <w:r w:rsidR="006D6D37" w:rsidRPr="004E7708">
        <w:rPr>
          <w:rFonts w:ascii="Cambria" w:hAnsi="Cambria" w:cs="Cambria"/>
          <w:color w:val="000000" w:themeColor="text1"/>
          <w:sz w:val="20"/>
          <w:szCs w:val="20"/>
          <w:lang w:val="es-ES" w:eastAsia="pt-BR"/>
        </w:rPr>
        <w:t xml:space="preserve">la diligencia consistente en una solicitud de </w:t>
      </w:r>
      <w:r w:rsidRPr="004E7708">
        <w:rPr>
          <w:rFonts w:ascii="Cambria" w:hAnsi="Cambria" w:cs="Cambria"/>
          <w:color w:val="000000" w:themeColor="text1"/>
          <w:sz w:val="20"/>
          <w:szCs w:val="20"/>
          <w:lang w:val="es-ES" w:eastAsia="pt-BR"/>
        </w:rPr>
        <w:t>información</w:t>
      </w:r>
      <w:r w:rsidR="006D6D37" w:rsidRPr="004E7708">
        <w:rPr>
          <w:rFonts w:ascii="Cambria" w:hAnsi="Cambria" w:cs="Cambria"/>
          <w:color w:val="000000" w:themeColor="text1"/>
          <w:sz w:val="20"/>
          <w:szCs w:val="20"/>
          <w:lang w:val="es-ES" w:eastAsia="pt-BR"/>
        </w:rPr>
        <w:t xml:space="preserve"> a la </w:t>
      </w:r>
      <w:r w:rsidRPr="004E7708">
        <w:rPr>
          <w:rFonts w:ascii="Cambria" w:hAnsi="Cambria" w:cs="Cambria"/>
          <w:color w:val="000000" w:themeColor="text1"/>
          <w:sz w:val="20"/>
          <w:szCs w:val="20"/>
          <w:lang w:val="es-ES" w:eastAsia="pt-BR"/>
        </w:rPr>
        <w:t>Secretaría</w:t>
      </w:r>
      <w:r w:rsidR="006D6D37" w:rsidRPr="004E7708">
        <w:rPr>
          <w:rFonts w:ascii="Cambria" w:hAnsi="Cambria" w:cs="Cambria"/>
          <w:color w:val="000000" w:themeColor="text1"/>
          <w:sz w:val="20"/>
          <w:szCs w:val="20"/>
          <w:lang w:val="es-ES" w:eastAsia="pt-BR"/>
        </w:rPr>
        <w:t xml:space="preserve"> de la Defensa Nacional (SEDENA) es ambigua y no permite establecer </w:t>
      </w:r>
      <w:r w:rsidRPr="004E7708">
        <w:rPr>
          <w:rFonts w:ascii="Cambria" w:hAnsi="Cambria" w:cs="Cambria"/>
          <w:color w:val="000000" w:themeColor="text1"/>
          <w:sz w:val="20"/>
          <w:szCs w:val="20"/>
          <w:lang w:val="es-ES" w:eastAsia="pt-BR"/>
        </w:rPr>
        <w:t>cuál</w:t>
      </w:r>
      <w:r w:rsidR="006D6D37" w:rsidRPr="004E7708">
        <w:rPr>
          <w:rFonts w:ascii="Cambria" w:hAnsi="Cambria" w:cs="Cambria"/>
          <w:color w:val="000000" w:themeColor="text1"/>
          <w:sz w:val="20"/>
          <w:szCs w:val="20"/>
          <w:lang w:val="es-ES" w:eastAsia="pt-BR"/>
        </w:rPr>
        <w:t xml:space="preserve"> es su objeto y finalidad</w:t>
      </w:r>
      <w:r w:rsidR="00533733" w:rsidRPr="004E7708">
        <w:rPr>
          <w:rFonts w:ascii="Cambria" w:hAnsi="Cambria" w:cs="Cambria"/>
          <w:color w:val="000000" w:themeColor="text1"/>
          <w:sz w:val="20"/>
          <w:szCs w:val="20"/>
          <w:lang w:val="es-ES" w:eastAsia="pt-BR"/>
        </w:rPr>
        <w:t xml:space="preserve">, y cuestionaron la práctica de otra serie diligencias. </w:t>
      </w:r>
    </w:p>
    <w:p w14:paraId="51D74E9C" w14:textId="025E5E6B" w:rsidR="00C11132" w:rsidRPr="004E7708" w:rsidRDefault="00C11132" w:rsidP="00C11132">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Los representantes refirieron que</w:t>
      </w:r>
      <w:r w:rsidR="006D6D37" w:rsidRPr="004E7708">
        <w:rPr>
          <w:rFonts w:ascii="Cambria" w:hAnsi="Cambria" w:cs="Cambria"/>
          <w:color w:val="000000" w:themeColor="text1"/>
          <w:sz w:val="20"/>
          <w:szCs w:val="20"/>
          <w:lang w:val="es-ES" w:eastAsia="pt-BR"/>
        </w:rPr>
        <w:t xml:space="preserve"> la FGR </w:t>
      </w:r>
      <w:r w:rsidRPr="004E7708">
        <w:rPr>
          <w:rFonts w:ascii="Cambria" w:hAnsi="Cambria" w:cs="Cambria"/>
          <w:color w:val="000000" w:themeColor="text1"/>
          <w:sz w:val="20"/>
          <w:szCs w:val="20"/>
          <w:lang w:val="es-ES" w:eastAsia="pt-BR"/>
        </w:rPr>
        <w:t xml:space="preserve">remitió </w:t>
      </w:r>
      <w:r w:rsidR="006D6D37" w:rsidRPr="004E7708">
        <w:rPr>
          <w:rFonts w:ascii="Cambria" w:hAnsi="Cambria" w:cs="Cambria"/>
          <w:color w:val="000000" w:themeColor="text1"/>
          <w:sz w:val="20"/>
          <w:szCs w:val="20"/>
          <w:lang w:val="es-ES" w:eastAsia="pt-BR"/>
        </w:rPr>
        <w:t xml:space="preserve">el 12 de agosto de 2021 a la UDDH un oficio al cual se anexó un Plan de </w:t>
      </w:r>
      <w:r w:rsidRPr="004E7708">
        <w:rPr>
          <w:rFonts w:ascii="Cambria" w:hAnsi="Cambria" w:cs="Cambria"/>
          <w:color w:val="000000" w:themeColor="text1"/>
          <w:sz w:val="20"/>
          <w:szCs w:val="20"/>
          <w:lang w:val="es-ES" w:eastAsia="pt-BR"/>
        </w:rPr>
        <w:t>investigación</w:t>
      </w:r>
      <w:r w:rsidR="006D6D37" w:rsidRPr="004E7708">
        <w:rPr>
          <w:rFonts w:ascii="Cambria" w:hAnsi="Cambria" w:cs="Cambria"/>
          <w:color w:val="000000" w:themeColor="text1"/>
          <w:sz w:val="20"/>
          <w:szCs w:val="20"/>
          <w:lang w:val="es-ES" w:eastAsia="pt-BR"/>
        </w:rPr>
        <w:t xml:space="preserve"> con ciertas adiciones pero que, en esencia, </w:t>
      </w:r>
      <w:r w:rsidRPr="004E7708">
        <w:rPr>
          <w:rFonts w:ascii="Cambria" w:hAnsi="Cambria" w:cs="Cambria"/>
          <w:color w:val="000000" w:themeColor="text1"/>
          <w:sz w:val="20"/>
          <w:szCs w:val="20"/>
          <w:lang w:val="es-ES" w:eastAsia="pt-BR"/>
        </w:rPr>
        <w:t>repetía</w:t>
      </w:r>
      <w:r w:rsidR="006D6D37" w:rsidRPr="004E7708">
        <w:rPr>
          <w:rFonts w:ascii="Cambria" w:hAnsi="Cambria" w:cs="Cambria"/>
          <w:color w:val="000000" w:themeColor="text1"/>
          <w:sz w:val="20"/>
          <w:szCs w:val="20"/>
          <w:lang w:val="es-ES" w:eastAsia="pt-BR"/>
        </w:rPr>
        <w:t xml:space="preserve"> las </w:t>
      </w:r>
      <w:r w:rsidRPr="004E7708">
        <w:rPr>
          <w:rFonts w:ascii="Cambria" w:hAnsi="Cambria" w:cs="Cambria"/>
          <w:color w:val="000000" w:themeColor="text1"/>
          <w:sz w:val="20"/>
          <w:szCs w:val="20"/>
          <w:lang w:val="es-ES" w:eastAsia="pt-BR"/>
        </w:rPr>
        <w:t>líneas</w:t>
      </w:r>
      <w:r w:rsidR="006D6D37" w:rsidRPr="004E7708">
        <w:rPr>
          <w:rFonts w:ascii="Cambria" w:hAnsi="Cambria" w:cs="Cambria"/>
          <w:color w:val="000000" w:themeColor="text1"/>
          <w:sz w:val="20"/>
          <w:szCs w:val="20"/>
          <w:lang w:val="es-ES" w:eastAsia="pt-BR"/>
        </w:rPr>
        <w:t xml:space="preserve"> de </w:t>
      </w:r>
      <w:r w:rsidRPr="004E7708">
        <w:rPr>
          <w:rFonts w:ascii="Cambria" w:hAnsi="Cambria" w:cs="Cambria"/>
          <w:color w:val="000000" w:themeColor="text1"/>
          <w:sz w:val="20"/>
          <w:szCs w:val="20"/>
          <w:lang w:val="es-ES" w:eastAsia="pt-BR"/>
        </w:rPr>
        <w:t>acción</w:t>
      </w:r>
      <w:r w:rsidR="006D6D37" w:rsidRPr="004E7708">
        <w:rPr>
          <w:rFonts w:ascii="Cambria" w:hAnsi="Cambria" w:cs="Cambria"/>
          <w:color w:val="000000" w:themeColor="text1"/>
          <w:sz w:val="20"/>
          <w:szCs w:val="20"/>
          <w:lang w:val="es-ES" w:eastAsia="pt-BR"/>
        </w:rPr>
        <w:t xml:space="preserve"> </w:t>
      </w:r>
      <w:r w:rsidR="006D6D37" w:rsidRPr="004E7708">
        <w:rPr>
          <w:rFonts w:ascii="Cambria" w:hAnsi="Cambria" w:cs="Cambria"/>
          <w:color w:val="000000" w:themeColor="text1"/>
          <w:sz w:val="20"/>
          <w:szCs w:val="20"/>
          <w:lang w:val="es-ES" w:eastAsia="pt-BR"/>
        </w:rPr>
        <w:lastRenderedPageBreak/>
        <w:t>propuestas en el plan anterior</w:t>
      </w:r>
      <w:r w:rsidRPr="004E7708">
        <w:rPr>
          <w:rFonts w:ascii="Cambria" w:hAnsi="Cambria" w:cs="Cambria"/>
          <w:color w:val="000000" w:themeColor="text1"/>
          <w:sz w:val="20"/>
          <w:szCs w:val="20"/>
          <w:lang w:val="es-ES" w:eastAsia="pt-BR"/>
        </w:rPr>
        <w:t xml:space="preserve">. </w:t>
      </w:r>
      <w:r w:rsidR="006D6D37" w:rsidRPr="004E7708">
        <w:rPr>
          <w:rFonts w:ascii="Cambria" w:hAnsi="Cambria" w:cs="Cambria"/>
          <w:color w:val="000000" w:themeColor="text1"/>
          <w:sz w:val="20"/>
          <w:szCs w:val="20"/>
          <w:lang w:val="es-ES" w:eastAsia="pt-BR"/>
        </w:rPr>
        <w:t xml:space="preserve">Aunado a lo anterior, </w:t>
      </w:r>
      <w:r w:rsidRPr="004E7708">
        <w:rPr>
          <w:rFonts w:ascii="Cambria" w:hAnsi="Cambria" w:cs="Cambria"/>
          <w:color w:val="000000" w:themeColor="text1"/>
          <w:sz w:val="20"/>
          <w:szCs w:val="20"/>
          <w:lang w:val="es-ES" w:eastAsia="pt-BR"/>
        </w:rPr>
        <w:t xml:space="preserve">los representantes manifestaron que </w:t>
      </w:r>
      <w:r w:rsidR="006D6D37" w:rsidRPr="004E7708">
        <w:rPr>
          <w:rFonts w:ascii="Cambria" w:hAnsi="Cambria" w:cs="Cambria"/>
          <w:color w:val="000000" w:themeColor="text1"/>
          <w:sz w:val="20"/>
          <w:szCs w:val="20"/>
          <w:lang w:val="es-ES" w:eastAsia="pt-BR"/>
        </w:rPr>
        <w:t xml:space="preserve">resulta preocupante el hecho de que la FGR </w:t>
      </w:r>
      <w:r w:rsidR="00097EFB" w:rsidRPr="004E7708">
        <w:rPr>
          <w:rFonts w:ascii="Cambria" w:hAnsi="Cambria" w:cs="Cambria"/>
          <w:color w:val="000000" w:themeColor="text1"/>
          <w:sz w:val="20"/>
          <w:szCs w:val="20"/>
          <w:lang w:val="es-ES" w:eastAsia="pt-BR"/>
        </w:rPr>
        <w:t xml:space="preserve">siga </w:t>
      </w:r>
      <w:r w:rsidR="006D6D37" w:rsidRPr="004E7708">
        <w:rPr>
          <w:rFonts w:ascii="Cambria" w:hAnsi="Cambria" w:cs="Cambria"/>
          <w:color w:val="000000" w:themeColor="text1"/>
          <w:sz w:val="20"/>
          <w:szCs w:val="20"/>
          <w:lang w:val="es-ES" w:eastAsia="pt-BR"/>
        </w:rPr>
        <w:t>contemplando como una</w:t>
      </w:r>
      <w:r w:rsidR="00097EFB" w:rsidRPr="004E7708">
        <w:rPr>
          <w:rFonts w:ascii="Cambria" w:hAnsi="Cambria" w:cs="Cambria"/>
          <w:color w:val="000000" w:themeColor="text1"/>
          <w:sz w:val="20"/>
          <w:szCs w:val="20"/>
          <w:lang w:val="es-ES" w:eastAsia="pt-BR"/>
        </w:rPr>
        <w:t xml:space="preserve"> hipótesis de investigación la</w:t>
      </w:r>
      <w:r w:rsidR="006D6D37" w:rsidRPr="004E7708">
        <w:rPr>
          <w:rFonts w:ascii="Cambria" w:hAnsi="Cambria" w:cs="Cambria"/>
          <w:color w:val="000000" w:themeColor="text1"/>
          <w:sz w:val="20"/>
          <w:szCs w:val="20"/>
          <w:lang w:val="es-ES" w:eastAsia="pt-BR"/>
        </w:rPr>
        <w:t xml:space="preserve"> posib</w:t>
      </w:r>
      <w:r w:rsidR="00097EFB" w:rsidRPr="004E7708">
        <w:rPr>
          <w:rFonts w:ascii="Cambria" w:hAnsi="Cambria" w:cs="Cambria"/>
          <w:color w:val="000000" w:themeColor="text1"/>
          <w:sz w:val="20"/>
          <w:szCs w:val="20"/>
          <w:lang w:val="es-ES" w:eastAsia="pt-BR"/>
        </w:rPr>
        <w:t>le</w:t>
      </w:r>
      <w:r w:rsidR="006D6D37" w:rsidRPr="004E7708">
        <w:rPr>
          <w:rFonts w:ascii="Cambria" w:hAnsi="Cambria" w:cs="Cambria"/>
          <w:color w:val="000000" w:themeColor="text1"/>
          <w:sz w:val="20"/>
          <w:szCs w:val="20"/>
          <w:lang w:val="es-ES" w:eastAsia="pt-BR"/>
        </w:rPr>
        <w:t xml:space="preserve"> </w:t>
      </w:r>
      <w:r w:rsidRPr="004E7708">
        <w:rPr>
          <w:rFonts w:ascii="Cambria" w:hAnsi="Cambria" w:cs="Cambria"/>
          <w:color w:val="000000" w:themeColor="text1"/>
          <w:sz w:val="20"/>
          <w:szCs w:val="20"/>
          <w:lang w:val="es-ES" w:eastAsia="pt-BR"/>
        </w:rPr>
        <w:t>deserción</w:t>
      </w:r>
      <w:r w:rsidR="006D6D37" w:rsidRPr="004E7708">
        <w:rPr>
          <w:rFonts w:ascii="Cambria" w:hAnsi="Cambria" w:cs="Cambria"/>
          <w:color w:val="000000" w:themeColor="text1"/>
          <w:sz w:val="20"/>
          <w:szCs w:val="20"/>
          <w:lang w:val="es-ES" w:eastAsia="pt-BR"/>
        </w:rPr>
        <w:t xml:space="preserve"> de Miguel Orlando al </w:t>
      </w:r>
      <w:r w:rsidRPr="004E7708">
        <w:rPr>
          <w:rFonts w:ascii="Cambria" w:hAnsi="Cambria" w:cs="Cambria"/>
          <w:color w:val="000000" w:themeColor="text1"/>
          <w:sz w:val="20"/>
          <w:szCs w:val="20"/>
          <w:lang w:val="es-ES" w:eastAsia="pt-BR"/>
        </w:rPr>
        <w:t>Ejército</w:t>
      </w:r>
      <w:r w:rsidR="006D6D37" w:rsidRPr="004E7708">
        <w:rPr>
          <w:rFonts w:ascii="Cambria" w:hAnsi="Cambria" w:cs="Cambria"/>
          <w:color w:val="000000" w:themeColor="text1"/>
          <w:sz w:val="20"/>
          <w:szCs w:val="20"/>
          <w:lang w:val="es-ES" w:eastAsia="pt-BR"/>
        </w:rPr>
        <w:t xml:space="preserve"> para dirigirse a los Estados Unidos</w:t>
      </w:r>
      <w:r w:rsidRPr="004E7708">
        <w:rPr>
          <w:rFonts w:ascii="Cambria" w:hAnsi="Cambria" w:cs="Cambria"/>
          <w:color w:val="000000" w:themeColor="text1"/>
          <w:sz w:val="20"/>
          <w:szCs w:val="20"/>
          <w:lang w:val="es-ES" w:eastAsia="pt-BR"/>
        </w:rPr>
        <w:t xml:space="preserve">. </w:t>
      </w:r>
    </w:p>
    <w:p w14:paraId="6CA61234" w14:textId="77777777" w:rsidR="003A366F" w:rsidRPr="004E7708" w:rsidRDefault="003A366F" w:rsidP="003A366F">
      <w:pPr>
        <w:pStyle w:val="ListParagraph"/>
        <w:rPr>
          <w:rFonts w:ascii="Cambria" w:hAnsi="Cambria" w:cs="Cambria"/>
          <w:color w:val="000000" w:themeColor="text1"/>
          <w:sz w:val="20"/>
          <w:szCs w:val="20"/>
          <w:lang w:val="es-ES" w:eastAsia="pt-BR"/>
        </w:rPr>
      </w:pPr>
    </w:p>
    <w:p w14:paraId="27DEB3CF" w14:textId="77777777" w:rsidR="0011070E" w:rsidRPr="004E7708" w:rsidRDefault="003A366F" w:rsidP="003A366F">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olor w:val="000000" w:themeColor="text1"/>
          <w:sz w:val="20"/>
          <w:szCs w:val="20"/>
          <w:lang w:val="es-ES"/>
        </w:rPr>
        <w:t xml:space="preserve">La Comisión valora los avances demostrados por el Estado mexicano para impulsar las investigaciones y permitir que </w:t>
      </w:r>
      <w:r w:rsidR="0011070E" w:rsidRPr="004E7708">
        <w:rPr>
          <w:rFonts w:ascii="Cambria" w:hAnsi="Cambria"/>
          <w:color w:val="000000" w:themeColor="text1"/>
          <w:sz w:val="20"/>
          <w:szCs w:val="20"/>
          <w:lang w:val="es-ES"/>
        </w:rPr>
        <w:t>la parte peticionaria forme</w:t>
      </w:r>
      <w:r w:rsidRPr="004E7708">
        <w:rPr>
          <w:rFonts w:ascii="Cambria" w:hAnsi="Cambria"/>
          <w:color w:val="000000" w:themeColor="text1"/>
          <w:sz w:val="20"/>
          <w:szCs w:val="20"/>
          <w:lang w:val="es-ES"/>
        </w:rPr>
        <w:t xml:space="preserve"> parte del proceso de investigación para determinar la responsabilidad de los autores de las violaciones de derechos humanos cometidas en perjuicio de Miguel Orlando</w:t>
      </w:r>
      <w:r w:rsidRPr="004E7708">
        <w:rPr>
          <w:rFonts w:ascii="Cambria" w:hAnsi="Cambria" w:cs="Cambria"/>
          <w:color w:val="000000" w:themeColor="text1"/>
          <w:sz w:val="20"/>
          <w:szCs w:val="20"/>
          <w:lang w:val="es-ES" w:eastAsia="pt-BR"/>
        </w:rPr>
        <w:t xml:space="preserve">. </w:t>
      </w:r>
      <w:r w:rsidR="003335D8" w:rsidRPr="004E7708">
        <w:rPr>
          <w:rFonts w:ascii="Cambria" w:hAnsi="Cambria"/>
          <w:color w:val="000000" w:themeColor="text1"/>
          <w:sz w:val="20"/>
          <w:szCs w:val="20"/>
          <w:lang w:val="es-ES"/>
        </w:rPr>
        <w:t xml:space="preserve">La CIDH toma nota de la información suministrada con anterioridad por </w:t>
      </w:r>
      <w:r w:rsidR="0011070E" w:rsidRPr="004E7708">
        <w:rPr>
          <w:rFonts w:ascii="Cambria" w:hAnsi="Cambria"/>
          <w:color w:val="000000" w:themeColor="text1"/>
          <w:sz w:val="20"/>
          <w:szCs w:val="20"/>
          <w:lang w:val="es-ES"/>
        </w:rPr>
        <w:t>la parte peticionaria</w:t>
      </w:r>
      <w:r w:rsidR="003335D8" w:rsidRPr="004E7708">
        <w:rPr>
          <w:rFonts w:ascii="Cambria" w:hAnsi="Cambria"/>
          <w:color w:val="000000" w:themeColor="text1"/>
          <w:sz w:val="20"/>
          <w:szCs w:val="20"/>
          <w:lang w:val="es-ES"/>
        </w:rPr>
        <w:t xml:space="preserve"> y </w:t>
      </w:r>
      <w:r w:rsidR="00C11132" w:rsidRPr="004E7708">
        <w:rPr>
          <w:rFonts w:ascii="Cambria" w:hAnsi="Cambria"/>
          <w:color w:val="000000" w:themeColor="text1"/>
          <w:sz w:val="20"/>
          <w:szCs w:val="20"/>
          <w:lang w:val="es-US"/>
        </w:rPr>
        <w:t>recuerda al Estado que el deber de investigar debe cumplirse con seriedad y no como una simple formalidad condenada de antemano a ser infructuosa, y debe tener un sentido y ser asumida por los Estados como un deber jurídico propio y no como una simple gestión de intereses particulares, que dependa de la iniciativa procesal de la víctima o de sus familiares o  de la aportación privada de elementos probatorios, sin que la autoridad pública busque efectivamente la verdad</w:t>
      </w:r>
      <w:r w:rsidR="00C11132" w:rsidRPr="004E7708">
        <w:rPr>
          <w:rFonts w:ascii="Cambria" w:hAnsi="Cambria"/>
          <w:color w:val="000000" w:themeColor="text1"/>
          <w:sz w:val="20"/>
          <w:szCs w:val="20"/>
          <w:vertAlign w:val="superscript"/>
          <w:lang w:val="es-US"/>
        </w:rPr>
        <w:footnoteReference w:id="1"/>
      </w:r>
      <w:r w:rsidR="00C11132" w:rsidRPr="004E7708">
        <w:rPr>
          <w:rFonts w:ascii="Cambria" w:hAnsi="Cambria"/>
          <w:color w:val="000000" w:themeColor="text1"/>
          <w:sz w:val="20"/>
          <w:szCs w:val="20"/>
          <w:lang w:val="es-US"/>
        </w:rPr>
        <w:t>.</w:t>
      </w:r>
      <w:r w:rsidR="003335D8" w:rsidRPr="004E7708">
        <w:rPr>
          <w:rFonts w:ascii="Cambria" w:hAnsi="Cambria"/>
          <w:color w:val="000000" w:themeColor="text1"/>
          <w:sz w:val="20"/>
          <w:szCs w:val="20"/>
          <w:lang w:val="es-US"/>
        </w:rPr>
        <w:t xml:space="preserve"> </w:t>
      </w:r>
    </w:p>
    <w:p w14:paraId="25A4E418" w14:textId="77777777" w:rsidR="0011070E" w:rsidRPr="004E7708" w:rsidRDefault="0011070E" w:rsidP="0011070E">
      <w:pPr>
        <w:pStyle w:val="ListParagraph"/>
        <w:rPr>
          <w:rFonts w:ascii="Cambria" w:hAnsi="Cambria" w:cs="Calibri Light"/>
          <w:color w:val="000000" w:themeColor="text1"/>
          <w:sz w:val="20"/>
          <w:szCs w:val="20"/>
          <w:lang w:val="es-US"/>
        </w:rPr>
      </w:pPr>
    </w:p>
    <w:p w14:paraId="4B6C4D59" w14:textId="6446457C" w:rsidR="003E0970" w:rsidRPr="004E7708" w:rsidRDefault="003335D8" w:rsidP="003A366F">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libri Light"/>
          <w:color w:val="000000" w:themeColor="text1"/>
          <w:sz w:val="20"/>
          <w:szCs w:val="20"/>
          <w:lang w:val="es-US"/>
        </w:rPr>
        <w:t>A juicio de la CIDH, tratándose de graves violaciones a derechos humanos, las investigaciones desplegadas por el Estado deben perseguir como uno de sus objetivos principales demostrar los contextos estructurales en los que ocurrieron dichas violaciones; las condiciones sistémicas que propiciaron o permitieron su realización, así como las estrategias coordinadas de mando surgidas entre los actores involucrados, sobre todo, cuando se trate de agentes del Estado</w:t>
      </w:r>
      <w:r w:rsidRPr="004E7708">
        <w:rPr>
          <w:rFonts w:ascii="Cambria" w:hAnsi="Cambria"/>
          <w:color w:val="000000" w:themeColor="text1"/>
          <w:sz w:val="20"/>
          <w:szCs w:val="20"/>
          <w:lang w:val="es-CO"/>
        </w:rPr>
        <w:t>.</w:t>
      </w:r>
      <w:r w:rsidRPr="004E7708">
        <w:rPr>
          <w:rFonts w:ascii="Cambria" w:hAnsi="Cambria"/>
          <w:color w:val="000000" w:themeColor="text1"/>
          <w:sz w:val="20"/>
          <w:szCs w:val="20"/>
          <w:lang w:val="es-US"/>
        </w:rPr>
        <w:t xml:space="preserve"> </w:t>
      </w:r>
      <w:r w:rsidRPr="004E7708">
        <w:rPr>
          <w:rFonts w:ascii="Cambria" w:hAnsi="Cambria" w:cs="Cambria"/>
          <w:color w:val="000000" w:themeColor="text1"/>
          <w:sz w:val="20"/>
          <w:szCs w:val="20"/>
          <w:lang w:val="es-US" w:eastAsia="pt-BR"/>
        </w:rPr>
        <w:t xml:space="preserve">La </w:t>
      </w:r>
      <w:r w:rsidR="00C11132" w:rsidRPr="004E7708">
        <w:rPr>
          <w:rFonts w:ascii="Cambria" w:hAnsi="Cambria" w:cs="Calibri Light"/>
          <w:color w:val="000000" w:themeColor="text1"/>
          <w:sz w:val="20"/>
          <w:szCs w:val="20"/>
          <w:lang w:val="es-ES_tradnl"/>
        </w:rPr>
        <w:t xml:space="preserve">CIDH </w:t>
      </w:r>
      <w:r w:rsidRPr="004E7708">
        <w:rPr>
          <w:rFonts w:ascii="Cambria" w:hAnsi="Cambria" w:cs="Calibri Light"/>
          <w:color w:val="000000" w:themeColor="text1"/>
          <w:sz w:val="20"/>
          <w:szCs w:val="20"/>
          <w:lang w:val="es-ES_tradnl"/>
        </w:rPr>
        <w:t>insta al Estado</w:t>
      </w:r>
      <w:r w:rsidR="00C11132" w:rsidRPr="004E7708">
        <w:rPr>
          <w:rFonts w:ascii="Cambria" w:hAnsi="Cambria" w:cs="Calibri Light"/>
          <w:color w:val="000000" w:themeColor="text1"/>
          <w:sz w:val="20"/>
          <w:szCs w:val="20"/>
          <w:lang w:val="es-ES_tradnl"/>
        </w:rPr>
        <w:t xml:space="preserve"> para que remit</w:t>
      </w:r>
      <w:r w:rsidRPr="004E7708">
        <w:rPr>
          <w:rFonts w:ascii="Cambria" w:hAnsi="Cambria" w:cs="Calibri Light"/>
          <w:color w:val="000000" w:themeColor="text1"/>
          <w:sz w:val="20"/>
          <w:szCs w:val="20"/>
          <w:lang w:val="es-ES_tradnl"/>
        </w:rPr>
        <w:t>a i</w:t>
      </w:r>
      <w:r w:rsidR="00C11132" w:rsidRPr="004E7708">
        <w:rPr>
          <w:rFonts w:ascii="Cambria" w:hAnsi="Cambria" w:cs="Calibri Light"/>
          <w:color w:val="000000" w:themeColor="text1"/>
          <w:sz w:val="20"/>
          <w:szCs w:val="20"/>
          <w:lang w:val="es-ES_tradnl"/>
        </w:rPr>
        <w:t xml:space="preserve">nformación sobre los avances en la ejecución de </w:t>
      </w:r>
      <w:r w:rsidRPr="004E7708">
        <w:rPr>
          <w:rFonts w:ascii="Cambria" w:hAnsi="Cambria" w:cs="Calibri Light"/>
          <w:color w:val="000000" w:themeColor="text1"/>
          <w:sz w:val="20"/>
          <w:szCs w:val="20"/>
          <w:lang w:val="es-ES_tradnl"/>
        </w:rPr>
        <w:t xml:space="preserve">las </w:t>
      </w:r>
      <w:r w:rsidR="00C11132" w:rsidRPr="004E7708">
        <w:rPr>
          <w:rFonts w:ascii="Cambria" w:hAnsi="Cambria" w:cs="Calibri Light"/>
          <w:color w:val="000000" w:themeColor="text1"/>
          <w:sz w:val="20"/>
          <w:szCs w:val="20"/>
          <w:lang w:val="es-ES_tradnl"/>
        </w:rPr>
        <w:t xml:space="preserve">diligencias y sobre otras actuaciones necesarias para realizar la investigación. Igualmente, la Comisión invita al Estado a que continúe reportando </w:t>
      </w:r>
      <w:r w:rsidRPr="004E7708">
        <w:rPr>
          <w:rFonts w:ascii="Cambria" w:hAnsi="Cambria"/>
          <w:color w:val="000000" w:themeColor="text1"/>
          <w:sz w:val="20"/>
          <w:szCs w:val="20"/>
          <w:lang w:val="es-ES"/>
        </w:rPr>
        <w:t>los representantes</w:t>
      </w:r>
      <w:r w:rsidR="00C11132" w:rsidRPr="004E7708">
        <w:rPr>
          <w:rFonts w:ascii="Cambria" w:hAnsi="Cambria"/>
          <w:color w:val="000000" w:themeColor="text1"/>
          <w:sz w:val="20"/>
          <w:szCs w:val="20"/>
          <w:lang w:val="es-ES"/>
        </w:rPr>
        <w:t xml:space="preserve"> sobre las líneas de investigación, diligencias y acciones que se realizan en el caso, </w:t>
      </w:r>
      <w:r w:rsidRPr="004E7708">
        <w:rPr>
          <w:rFonts w:ascii="Cambria" w:hAnsi="Cambria"/>
          <w:color w:val="000000" w:themeColor="text1"/>
          <w:sz w:val="20"/>
          <w:szCs w:val="20"/>
          <w:lang w:val="es-ES"/>
        </w:rPr>
        <w:t xml:space="preserve"> y a continuar trabajando </w:t>
      </w:r>
      <w:r w:rsidRPr="004E7708">
        <w:rPr>
          <w:rFonts w:ascii="Cambria" w:hAnsi="Cambria" w:cs="Cambria"/>
          <w:color w:val="000000" w:themeColor="text1"/>
          <w:sz w:val="20"/>
          <w:szCs w:val="20"/>
          <w:lang w:val="es-ES" w:eastAsia="pt-BR"/>
        </w:rPr>
        <w:t xml:space="preserve">de manera coordinada con las víctimas y sus representantes, en el diseño de un plan de investigación que sea capaz de ofrecer auténticas oportunidades para dar con el paradero e identificación del señor Miguel Orlando; de identificar a los posibles responsables de su desaparición y, sobre todo, a dar cuenta del contexto particular en que dicha violación a derechos humanos </w:t>
      </w:r>
      <w:r w:rsidR="009A4CA7" w:rsidRPr="004E7708">
        <w:rPr>
          <w:rFonts w:ascii="Cambria" w:hAnsi="Cambria" w:cs="Cambria"/>
          <w:color w:val="000000" w:themeColor="text1"/>
          <w:sz w:val="20"/>
          <w:szCs w:val="20"/>
          <w:lang w:val="es-ES" w:eastAsia="pt-BR"/>
        </w:rPr>
        <w:t>fue perpetrada</w:t>
      </w:r>
      <w:r w:rsidRPr="004E7708">
        <w:rPr>
          <w:rFonts w:ascii="Cambria" w:hAnsi="Cambria" w:cs="Cambria"/>
          <w:color w:val="000000" w:themeColor="text1"/>
          <w:sz w:val="20"/>
          <w:szCs w:val="20"/>
          <w:lang w:val="es-ES" w:eastAsia="pt-BR"/>
        </w:rPr>
        <w:t xml:space="preserve">. </w:t>
      </w:r>
      <w:r w:rsidR="009A4CA7" w:rsidRPr="004E7708">
        <w:rPr>
          <w:rFonts w:ascii="Cambria" w:hAnsi="Cambria" w:cs="Cambria"/>
          <w:color w:val="000000" w:themeColor="text1"/>
          <w:sz w:val="20"/>
          <w:szCs w:val="20"/>
          <w:lang w:val="es-ES" w:eastAsia="pt-BR"/>
        </w:rPr>
        <w:t>En este sentido</w:t>
      </w:r>
      <w:r w:rsidR="003E0970" w:rsidRPr="004E7708">
        <w:rPr>
          <w:rFonts w:ascii="Cambria" w:hAnsi="Cambria" w:cs="Cambria"/>
          <w:color w:val="000000" w:themeColor="text1"/>
          <w:sz w:val="20"/>
          <w:szCs w:val="20"/>
          <w:lang w:val="es-ES" w:eastAsia="pt-BR"/>
        </w:rPr>
        <w:t xml:space="preserve">, la CIDH considera que la </w:t>
      </w:r>
      <w:r w:rsidR="009A4CA7" w:rsidRPr="004E7708">
        <w:rPr>
          <w:rFonts w:ascii="Cambria" w:hAnsi="Cambria" w:cs="Cambria"/>
          <w:color w:val="000000" w:themeColor="text1"/>
          <w:sz w:val="20"/>
          <w:szCs w:val="20"/>
          <w:lang w:val="es-ES" w:eastAsia="pt-BR"/>
        </w:rPr>
        <w:t>r</w:t>
      </w:r>
      <w:r w:rsidR="003E0970" w:rsidRPr="004E7708">
        <w:rPr>
          <w:rFonts w:ascii="Cambria" w:hAnsi="Cambria" w:cs="Cambria"/>
          <w:color w:val="000000" w:themeColor="text1"/>
          <w:sz w:val="20"/>
          <w:szCs w:val="20"/>
          <w:lang w:val="es-ES" w:eastAsia="pt-BR"/>
        </w:rPr>
        <w:t>ecomendación 1 se encuentra aún pendiente de cumplimiento.</w:t>
      </w:r>
    </w:p>
    <w:p w14:paraId="14E024AE" w14:textId="77777777" w:rsidR="003E0970" w:rsidRPr="004E7708" w:rsidRDefault="003E0970" w:rsidP="003E0970">
      <w:pPr>
        <w:jc w:val="both"/>
        <w:rPr>
          <w:rFonts w:ascii="Cambria" w:hAnsi="Cambria" w:cs="Cambria"/>
          <w:color w:val="000000" w:themeColor="text1"/>
          <w:sz w:val="20"/>
          <w:szCs w:val="20"/>
          <w:lang w:val="es-ES" w:eastAsia="pt-BR"/>
        </w:rPr>
      </w:pPr>
    </w:p>
    <w:p w14:paraId="75EBD66A" w14:textId="7B471D9A" w:rsidR="003E0970" w:rsidRPr="004E7708" w:rsidRDefault="003E0970"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libri Light"/>
          <w:b/>
          <w:color w:val="000000" w:themeColor="text1"/>
          <w:sz w:val="20"/>
          <w:szCs w:val="20"/>
          <w:lang w:val="es-US"/>
        </w:rPr>
        <w:t>En relación con la segunda recomendación,</w:t>
      </w:r>
      <w:r w:rsidRPr="004E7708">
        <w:rPr>
          <w:rFonts w:ascii="Cambria" w:hAnsi="Cambria" w:cs="Calibri Light"/>
          <w:color w:val="000000" w:themeColor="text1"/>
          <w:sz w:val="20"/>
          <w:szCs w:val="20"/>
          <w:lang w:val="es-US"/>
        </w:rPr>
        <w:t xml:space="preserve"> el Estado no ha proporcionado ninguna información sobre las acciones tomadas para su cumplimiento. Sin embargo, en 2019, durante la reunión de trabajo</w:t>
      </w:r>
      <w:r w:rsidRPr="004E7708">
        <w:rPr>
          <w:rFonts w:ascii="Cambria" w:hAnsi="Cambria"/>
          <w:color w:val="000000" w:themeColor="text1"/>
          <w:sz w:val="20"/>
          <w:szCs w:val="20"/>
          <w:lang w:val="es-CO"/>
        </w:rPr>
        <w:t xml:space="preserve"> sostenida durante el 174º Periodo de Sesiones de la CIDH, el Estado manifestó que cuenta con una propuesta de reparación a favor de los familiares de la víctima. </w:t>
      </w:r>
      <w:r w:rsidRPr="004E7708">
        <w:rPr>
          <w:rFonts w:ascii="Cambria" w:hAnsi="Cambria" w:cs="Calibri Light"/>
          <w:color w:val="000000" w:themeColor="text1"/>
          <w:sz w:val="20"/>
          <w:szCs w:val="20"/>
          <w:lang w:val="es-US"/>
        </w:rPr>
        <w:t xml:space="preserve"> En 2020, el Estado no reportó ninguna acción tendiente a avanzar en el cumplimiento de esta recomendación.</w:t>
      </w:r>
    </w:p>
    <w:p w14:paraId="7247992C" w14:textId="77777777" w:rsidR="006D6D37" w:rsidRPr="004E7708" w:rsidRDefault="006D6D37" w:rsidP="006D6D37">
      <w:pPr>
        <w:jc w:val="both"/>
        <w:rPr>
          <w:rFonts w:ascii="Cambria" w:hAnsi="Cambria" w:cs="Cambria"/>
          <w:color w:val="000000" w:themeColor="text1"/>
          <w:sz w:val="20"/>
          <w:szCs w:val="20"/>
          <w:lang w:val="es-ES" w:eastAsia="pt-BR"/>
        </w:rPr>
      </w:pPr>
    </w:p>
    <w:p w14:paraId="30B3C2DB" w14:textId="77777777" w:rsidR="006D6D37" w:rsidRPr="004E7708" w:rsidRDefault="006D6D37" w:rsidP="006D6D37">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olor w:val="000000" w:themeColor="text1"/>
          <w:sz w:val="20"/>
          <w:szCs w:val="20"/>
          <w:lang w:val="es-CO"/>
        </w:rPr>
        <w:t xml:space="preserve">En 2021, el Estado no aportó información relacionada con la adopción de medidas desplegadas para avanzar en el cumplimiento de esta recomendación. </w:t>
      </w:r>
    </w:p>
    <w:p w14:paraId="738D8AFA" w14:textId="77777777" w:rsidR="003E0970" w:rsidRPr="004E7708" w:rsidRDefault="003E0970" w:rsidP="003E0970">
      <w:pPr>
        <w:jc w:val="both"/>
        <w:rPr>
          <w:rFonts w:ascii="Cambria" w:hAnsi="Cambria" w:cs="Cambria"/>
          <w:color w:val="000000" w:themeColor="text1"/>
          <w:sz w:val="20"/>
          <w:szCs w:val="20"/>
          <w:lang w:val="es-ES" w:eastAsia="pt-BR"/>
        </w:rPr>
      </w:pPr>
    </w:p>
    <w:p w14:paraId="118A5A8A" w14:textId="77777777" w:rsidR="003335D8" w:rsidRPr="004E7708" w:rsidRDefault="003E0970" w:rsidP="003335D8">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libri Light"/>
          <w:color w:val="000000" w:themeColor="text1"/>
          <w:sz w:val="20"/>
          <w:szCs w:val="20"/>
          <w:lang w:val="es-US"/>
        </w:rPr>
        <w:t>Por su parte, en escrito de fecha 23 de octubre de 2018, los representantes reiteraron que la familia Muñoz Guzmán no iniciará con el proceso de reparación integral hasta que exista plena identificación y sanción de los responsables de la alegada desaparición del Sr. Miguel Orlando. En consecuencia, no proporcionaron mayor información referente al cumplimiento de este punto recomendatorio. En 2020, los peticionarios reiteraron dicha información, manifestando que cualquier medida que adopte el Estado no tendrá efecto de reparación en tanto no haya verdad y justicia.</w:t>
      </w:r>
    </w:p>
    <w:p w14:paraId="03C012A3" w14:textId="77777777" w:rsidR="003335D8" w:rsidRPr="004E7708" w:rsidRDefault="003335D8" w:rsidP="003335D8">
      <w:pPr>
        <w:pStyle w:val="ListParagraph"/>
        <w:rPr>
          <w:rFonts w:ascii="Cambria" w:hAnsi="Cambria" w:cs="Calibri Light"/>
          <w:color w:val="000000" w:themeColor="text1"/>
          <w:sz w:val="20"/>
          <w:szCs w:val="20"/>
          <w:lang w:val="es-US"/>
        </w:rPr>
      </w:pPr>
    </w:p>
    <w:p w14:paraId="29B7056D" w14:textId="7D72B398" w:rsidR="003E0970" w:rsidRPr="0043776E" w:rsidRDefault="003335D8"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libri Light"/>
          <w:color w:val="000000" w:themeColor="text1"/>
          <w:sz w:val="20"/>
          <w:szCs w:val="20"/>
          <w:lang w:val="es-US"/>
        </w:rPr>
        <w:t>En 2021</w:t>
      </w:r>
      <w:r w:rsidR="00977A53" w:rsidRPr="004E7708">
        <w:rPr>
          <w:rFonts w:ascii="Cambria" w:hAnsi="Cambria" w:cs="Calibri Light"/>
          <w:color w:val="000000" w:themeColor="text1"/>
          <w:sz w:val="20"/>
          <w:szCs w:val="20"/>
          <w:lang w:val="es-US"/>
        </w:rPr>
        <w:t>,</w:t>
      </w:r>
      <w:r w:rsidRPr="004E7708">
        <w:rPr>
          <w:rFonts w:ascii="Cambria" w:hAnsi="Cambria" w:cs="Calibri Light"/>
          <w:color w:val="000000" w:themeColor="text1"/>
          <w:sz w:val="20"/>
          <w:szCs w:val="20"/>
          <w:lang w:val="es-US"/>
        </w:rPr>
        <w:t xml:space="preserve"> </w:t>
      </w:r>
      <w:r w:rsidR="0041482A" w:rsidRPr="004E7708">
        <w:rPr>
          <w:rFonts w:ascii="Cambria" w:hAnsi="Cambria" w:cs="Calibri Light"/>
          <w:color w:val="000000" w:themeColor="text1"/>
          <w:sz w:val="20"/>
          <w:szCs w:val="20"/>
          <w:lang w:val="es-US"/>
        </w:rPr>
        <w:t>la parte peticionaria reiteró</w:t>
      </w:r>
      <w:r w:rsidRPr="004E7708">
        <w:rPr>
          <w:rFonts w:ascii="Cambria" w:hAnsi="Cambria" w:cs="Calibri Light"/>
          <w:color w:val="000000" w:themeColor="text1"/>
          <w:sz w:val="20"/>
          <w:szCs w:val="20"/>
          <w:lang w:val="es-US"/>
        </w:rPr>
        <w:t xml:space="preserve"> lo manifestado en anteriores comunicaciones </w:t>
      </w:r>
      <w:r w:rsidR="00097EFB" w:rsidRPr="004E7708">
        <w:rPr>
          <w:rFonts w:ascii="Cambria" w:hAnsi="Cambria" w:cs="Calibri Light"/>
          <w:color w:val="000000" w:themeColor="text1"/>
          <w:sz w:val="20"/>
          <w:szCs w:val="20"/>
          <w:lang w:val="es-US"/>
        </w:rPr>
        <w:t>respecto del</w:t>
      </w:r>
      <w:r w:rsidRPr="004E7708">
        <w:rPr>
          <w:rFonts w:ascii="Cambria" w:hAnsi="Cambria" w:cs="Calibri Light"/>
          <w:color w:val="000000" w:themeColor="text1"/>
          <w:sz w:val="20"/>
          <w:szCs w:val="20"/>
          <w:lang w:val="es-US"/>
        </w:rPr>
        <w:t xml:space="preserve"> </w:t>
      </w:r>
      <w:r w:rsidR="006D6D37" w:rsidRPr="004E7708">
        <w:rPr>
          <w:rFonts w:ascii="Cambria" w:hAnsi="Cambria" w:cs="Calibri Light"/>
          <w:color w:val="000000" w:themeColor="text1"/>
          <w:sz w:val="20"/>
          <w:szCs w:val="20"/>
          <w:lang w:val="es-US"/>
        </w:rPr>
        <w:t xml:space="preserve">deseo de las </w:t>
      </w:r>
      <w:proofErr w:type="spellStart"/>
      <w:r w:rsidR="006D6D37" w:rsidRPr="004E7708">
        <w:rPr>
          <w:rFonts w:ascii="Cambria" w:hAnsi="Cambria" w:cs="Calibri Light"/>
          <w:color w:val="000000" w:themeColor="text1"/>
          <w:sz w:val="20"/>
          <w:szCs w:val="20"/>
          <w:lang w:val="es-US"/>
        </w:rPr>
        <w:t>víctimas</w:t>
      </w:r>
      <w:proofErr w:type="spellEnd"/>
      <w:r w:rsidR="006D6D37" w:rsidRPr="004E7708">
        <w:rPr>
          <w:rFonts w:ascii="Cambria" w:hAnsi="Cambria" w:cs="Calibri Light"/>
          <w:color w:val="000000" w:themeColor="text1"/>
          <w:sz w:val="20"/>
          <w:szCs w:val="20"/>
          <w:lang w:val="es-US"/>
        </w:rPr>
        <w:t xml:space="preserve"> de no iniciar los </w:t>
      </w:r>
      <w:proofErr w:type="spellStart"/>
      <w:r w:rsidR="006D6D37" w:rsidRPr="004E7708">
        <w:rPr>
          <w:rFonts w:ascii="Cambria" w:hAnsi="Cambria" w:cs="Calibri Light"/>
          <w:color w:val="000000" w:themeColor="text1"/>
          <w:sz w:val="20"/>
          <w:szCs w:val="20"/>
          <w:lang w:val="es-US"/>
        </w:rPr>
        <w:t>trámites</w:t>
      </w:r>
      <w:proofErr w:type="spellEnd"/>
      <w:r w:rsidR="006D6D37" w:rsidRPr="004E7708">
        <w:rPr>
          <w:rFonts w:ascii="Cambria" w:hAnsi="Cambria" w:cs="Calibri Light"/>
          <w:color w:val="000000" w:themeColor="text1"/>
          <w:sz w:val="20"/>
          <w:szCs w:val="20"/>
          <w:lang w:val="es-US"/>
        </w:rPr>
        <w:t xml:space="preserve"> para obtener una </w:t>
      </w:r>
      <w:proofErr w:type="spellStart"/>
      <w:r w:rsidR="006D6D37" w:rsidRPr="004E7708">
        <w:rPr>
          <w:rFonts w:ascii="Cambria" w:hAnsi="Cambria" w:cs="Calibri Light"/>
          <w:color w:val="000000" w:themeColor="text1"/>
          <w:sz w:val="20"/>
          <w:szCs w:val="20"/>
          <w:lang w:val="es-US"/>
        </w:rPr>
        <w:t>indemnización</w:t>
      </w:r>
      <w:proofErr w:type="spellEnd"/>
      <w:r w:rsidR="006D6D37" w:rsidRPr="004E7708">
        <w:rPr>
          <w:rFonts w:ascii="Cambria" w:hAnsi="Cambria" w:cs="Calibri Light"/>
          <w:color w:val="000000" w:themeColor="text1"/>
          <w:sz w:val="20"/>
          <w:szCs w:val="20"/>
          <w:lang w:val="es-US"/>
        </w:rPr>
        <w:t xml:space="preserve"> hasta que no </w:t>
      </w:r>
      <w:r w:rsidR="00097EFB" w:rsidRPr="004E7708">
        <w:rPr>
          <w:rFonts w:ascii="Cambria" w:hAnsi="Cambria" w:cs="Calibri Light"/>
          <w:color w:val="000000" w:themeColor="text1"/>
          <w:sz w:val="20"/>
          <w:szCs w:val="20"/>
          <w:lang w:val="es-US"/>
        </w:rPr>
        <w:t>se diera con</w:t>
      </w:r>
      <w:r w:rsidR="006D6D37" w:rsidRPr="004E7708">
        <w:rPr>
          <w:rFonts w:ascii="Cambria" w:hAnsi="Cambria" w:cs="Calibri Light"/>
          <w:color w:val="000000" w:themeColor="text1"/>
          <w:sz w:val="20"/>
          <w:szCs w:val="20"/>
          <w:lang w:val="es-US"/>
        </w:rPr>
        <w:t xml:space="preserve"> </w:t>
      </w:r>
      <w:r w:rsidR="00097EFB" w:rsidRPr="004E7708">
        <w:rPr>
          <w:rFonts w:ascii="Cambria" w:hAnsi="Cambria" w:cs="Calibri Light"/>
          <w:color w:val="000000" w:themeColor="text1"/>
          <w:sz w:val="20"/>
          <w:szCs w:val="20"/>
          <w:lang w:val="es-US"/>
        </w:rPr>
        <w:t xml:space="preserve"> el </w:t>
      </w:r>
      <w:r w:rsidR="006D6D37" w:rsidRPr="004E7708">
        <w:rPr>
          <w:rFonts w:ascii="Cambria" w:hAnsi="Cambria" w:cs="Calibri Light"/>
          <w:color w:val="000000" w:themeColor="text1"/>
          <w:sz w:val="20"/>
          <w:szCs w:val="20"/>
          <w:lang w:val="es-US"/>
        </w:rPr>
        <w:t>paradero o destino final de Miguel Orlando y hasta que s</w:t>
      </w:r>
      <w:r w:rsidR="0041482A" w:rsidRPr="004E7708">
        <w:rPr>
          <w:rFonts w:ascii="Cambria" w:hAnsi="Cambria" w:cs="Calibri Light"/>
          <w:color w:val="000000" w:themeColor="text1"/>
          <w:sz w:val="20"/>
          <w:szCs w:val="20"/>
          <w:lang w:val="es-US"/>
        </w:rPr>
        <w:t>e sancionen</w:t>
      </w:r>
      <w:r w:rsidR="006D6D37" w:rsidRPr="004E7708">
        <w:rPr>
          <w:rFonts w:ascii="Cambria" w:hAnsi="Cambria" w:cs="Calibri Light"/>
          <w:color w:val="000000" w:themeColor="text1"/>
          <w:sz w:val="20"/>
          <w:szCs w:val="20"/>
          <w:lang w:val="es-US"/>
        </w:rPr>
        <w:t xml:space="preserve"> a los responsables</w:t>
      </w:r>
      <w:r w:rsidR="00097EFB" w:rsidRPr="004E7708">
        <w:rPr>
          <w:rFonts w:ascii="Cambria" w:hAnsi="Cambria" w:cs="Calibri Light"/>
          <w:color w:val="000000" w:themeColor="text1"/>
          <w:sz w:val="20"/>
          <w:szCs w:val="20"/>
          <w:lang w:val="es-US"/>
        </w:rPr>
        <w:t xml:space="preserve">. </w:t>
      </w:r>
      <w:r w:rsidRPr="004E7708">
        <w:rPr>
          <w:rFonts w:ascii="Cambria" w:hAnsi="Cambria" w:cs="Calibri Light"/>
          <w:color w:val="000000" w:themeColor="text1"/>
          <w:sz w:val="20"/>
          <w:szCs w:val="20"/>
          <w:lang w:val="es-US"/>
        </w:rPr>
        <w:t>L</w:t>
      </w:r>
      <w:r w:rsidR="0041482A" w:rsidRPr="004E7708">
        <w:rPr>
          <w:rFonts w:ascii="Cambria" w:hAnsi="Cambria" w:cs="Calibri Light"/>
          <w:color w:val="000000" w:themeColor="text1"/>
          <w:sz w:val="20"/>
          <w:szCs w:val="20"/>
          <w:lang w:val="es-US"/>
        </w:rPr>
        <w:t>a parte peticionaria informó</w:t>
      </w:r>
      <w:r w:rsidRPr="004E7708">
        <w:rPr>
          <w:rFonts w:ascii="Cambria" w:hAnsi="Cambria" w:cs="Calibri Light"/>
          <w:color w:val="000000" w:themeColor="text1"/>
          <w:sz w:val="20"/>
          <w:szCs w:val="20"/>
          <w:lang w:val="es-US"/>
        </w:rPr>
        <w:t xml:space="preserve"> que en</w:t>
      </w:r>
      <w:r w:rsidR="006D6D37" w:rsidRPr="004E7708">
        <w:rPr>
          <w:rFonts w:ascii="Cambria" w:hAnsi="Cambria" w:cs="Calibri Light"/>
          <w:color w:val="000000" w:themeColor="text1"/>
          <w:sz w:val="20"/>
          <w:szCs w:val="20"/>
          <w:lang w:val="es-US"/>
        </w:rPr>
        <w:t xml:space="preserve"> </w:t>
      </w:r>
      <w:proofErr w:type="spellStart"/>
      <w:r w:rsidR="006D6D37" w:rsidRPr="004E7708">
        <w:rPr>
          <w:rFonts w:ascii="Cambria" w:hAnsi="Cambria" w:cs="Calibri Light"/>
          <w:color w:val="000000" w:themeColor="text1"/>
          <w:sz w:val="20"/>
          <w:szCs w:val="20"/>
          <w:lang w:val="es-US"/>
        </w:rPr>
        <w:t>contravención</w:t>
      </w:r>
      <w:proofErr w:type="spellEnd"/>
      <w:r w:rsidR="006D6D37" w:rsidRPr="004E7708">
        <w:rPr>
          <w:rFonts w:ascii="Cambria" w:hAnsi="Cambria" w:cs="Calibri Light"/>
          <w:color w:val="000000" w:themeColor="text1"/>
          <w:sz w:val="20"/>
          <w:szCs w:val="20"/>
          <w:lang w:val="es-US"/>
        </w:rPr>
        <w:t xml:space="preserve"> al deseo de las </w:t>
      </w:r>
      <w:proofErr w:type="spellStart"/>
      <w:r w:rsidR="006D6D37" w:rsidRPr="004E7708">
        <w:rPr>
          <w:rFonts w:ascii="Cambria" w:hAnsi="Cambria" w:cs="Calibri Light"/>
          <w:color w:val="000000" w:themeColor="text1"/>
          <w:sz w:val="20"/>
          <w:szCs w:val="20"/>
          <w:lang w:val="es-US"/>
        </w:rPr>
        <w:t>víctimas</w:t>
      </w:r>
      <w:proofErr w:type="spellEnd"/>
      <w:r w:rsidR="006D6D37" w:rsidRPr="004E7708">
        <w:rPr>
          <w:rFonts w:ascii="Cambria" w:hAnsi="Cambria" w:cs="Calibri Light"/>
          <w:color w:val="000000" w:themeColor="text1"/>
          <w:sz w:val="20"/>
          <w:szCs w:val="20"/>
          <w:lang w:val="es-US"/>
        </w:rPr>
        <w:t>, el 6 de abril de 2021</w:t>
      </w:r>
      <w:r w:rsidR="0041482A" w:rsidRPr="004E7708">
        <w:rPr>
          <w:rFonts w:ascii="Cambria" w:hAnsi="Cambria" w:cs="Calibri Light"/>
          <w:color w:val="000000" w:themeColor="text1"/>
          <w:sz w:val="20"/>
          <w:szCs w:val="20"/>
          <w:lang w:val="es-US"/>
        </w:rPr>
        <w:t>,</w:t>
      </w:r>
      <w:r w:rsidR="006D6D37" w:rsidRPr="004E7708">
        <w:rPr>
          <w:rFonts w:ascii="Cambria" w:hAnsi="Cambria" w:cs="Calibri Light"/>
          <w:color w:val="000000" w:themeColor="text1"/>
          <w:sz w:val="20"/>
          <w:szCs w:val="20"/>
          <w:lang w:val="es-US"/>
        </w:rPr>
        <w:t xml:space="preserve"> la FGR solicitó a la </w:t>
      </w:r>
      <w:proofErr w:type="spellStart"/>
      <w:r w:rsidR="006D6D37" w:rsidRPr="004E7708">
        <w:rPr>
          <w:rFonts w:ascii="Cambria" w:hAnsi="Cambria" w:cs="Calibri Light"/>
          <w:color w:val="000000" w:themeColor="text1"/>
          <w:sz w:val="20"/>
          <w:szCs w:val="20"/>
          <w:lang w:val="es-US"/>
        </w:rPr>
        <w:t>Comisión</w:t>
      </w:r>
      <w:proofErr w:type="spellEnd"/>
      <w:r w:rsidR="006D6D37" w:rsidRPr="004E7708">
        <w:rPr>
          <w:rFonts w:ascii="Cambria" w:hAnsi="Cambria" w:cs="Calibri Light"/>
          <w:color w:val="000000" w:themeColor="text1"/>
          <w:sz w:val="20"/>
          <w:szCs w:val="20"/>
          <w:lang w:val="es-US"/>
        </w:rPr>
        <w:t xml:space="preserve"> Ejecutiva de </w:t>
      </w:r>
      <w:proofErr w:type="spellStart"/>
      <w:r w:rsidR="006D6D37" w:rsidRPr="004E7708">
        <w:rPr>
          <w:rFonts w:ascii="Cambria" w:hAnsi="Cambria" w:cs="Calibri Light"/>
          <w:color w:val="000000" w:themeColor="text1"/>
          <w:sz w:val="20"/>
          <w:szCs w:val="20"/>
          <w:lang w:val="es-US"/>
        </w:rPr>
        <w:t>Atención</w:t>
      </w:r>
      <w:proofErr w:type="spellEnd"/>
      <w:r w:rsidR="006D6D37" w:rsidRPr="004E7708">
        <w:rPr>
          <w:rFonts w:ascii="Cambria" w:hAnsi="Cambria" w:cs="Calibri Light"/>
          <w:color w:val="000000" w:themeColor="text1"/>
          <w:sz w:val="20"/>
          <w:szCs w:val="20"/>
          <w:lang w:val="es-US"/>
        </w:rPr>
        <w:t xml:space="preserve"> a </w:t>
      </w:r>
      <w:proofErr w:type="spellStart"/>
      <w:r w:rsidR="006D6D37" w:rsidRPr="004E7708">
        <w:rPr>
          <w:rFonts w:ascii="Cambria" w:hAnsi="Cambria" w:cs="Calibri Light"/>
          <w:color w:val="000000" w:themeColor="text1"/>
          <w:sz w:val="20"/>
          <w:szCs w:val="20"/>
          <w:lang w:val="es-US"/>
        </w:rPr>
        <w:t>Víctimas</w:t>
      </w:r>
      <w:proofErr w:type="spellEnd"/>
      <w:r w:rsidR="006D6D37" w:rsidRPr="004E7708">
        <w:rPr>
          <w:rFonts w:ascii="Cambria" w:hAnsi="Cambria" w:cs="Calibri Light"/>
          <w:color w:val="000000" w:themeColor="text1"/>
          <w:sz w:val="20"/>
          <w:szCs w:val="20"/>
          <w:lang w:val="es-US"/>
        </w:rPr>
        <w:t xml:space="preserve"> </w:t>
      </w:r>
      <w:r w:rsidR="0041482A" w:rsidRPr="004E7708">
        <w:rPr>
          <w:rFonts w:ascii="Cambria" w:hAnsi="Cambria" w:cs="Calibri Light"/>
          <w:color w:val="000000" w:themeColor="text1"/>
          <w:sz w:val="20"/>
          <w:szCs w:val="20"/>
          <w:lang w:val="es-US"/>
        </w:rPr>
        <w:t>su</w:t>
      </w:r>
      <w:r w:rsidR="006D6D37" w:rsidRPr="004E7708">
        <w:rPr>
          <w:rFonts w:ascii="Cambria" w:hAnsi="Cambria" w:cs="Calibri Light"/>
          <w:color w:val="000000" w:themeColor="text1"/>
          <w:sz w:val="20"/>
          <w:szCs w:val="20"/>
          <w:lang w:val="es-US"/>
        </w:rPr>
        <w:t xml:space="preserve"> </w:t>
      </w:r>
      <w:proofErr w:type="spellStart"/>
      <w:r w:rsidR="006D6D37" w:rsidRPr="004E7708">
        <w:rPr>
          <w:rFonts w:ascii="Cambria" w:hAnsi="Cambria" w:cs="Calibri Light"/>
          <w:color w:val="000000" w:themeColor="text1"/>
          <w:sz w:val="20"/>
          <w:szCs w:val="20"/>
          <w:lang w:val="es-US"/>
        </w:rPr>
        <w:t>inscripción</w:t>
      </w:r>
      <w:proofErr w:type="spellEnd"/>
      <w:r w:rsidR="006D6D37" w:rsidRPr="004E7708">
        <w:rPr>
          <w:rFonts w:ascii="Cambria" w:hAnsi="Cambria" w:cs="Calibri Light"/>
          <w:color w:val="000000" w:themeColor="text1"/>
          <w:sz w:val="20"/>
          <w:szCs w:val="20"/>
          <w:lang w:val="es-US"/>
        </w:rPr>
        <w:t xml:space="preserve"> </w:t>
      </w:r>
      <w:r w:rsidR="0041482A" w:rsidRPr="004E7708">
        <w:rPr>
          <w:rFonts w:ascii="Cambria" w:hAnsi="Cambria" w:cs="Calibri Light"/>
          <w:color w:val="000000" w:themeColor="text1"/>
          <w:sz w:val="20"/>
          <w:szCs w:val="20"/>
          <w:lang w:val="es-US"/>
        </w:rPr>
        <w:t>en e</w:t>
      </w:r>
      <w:r w:rsidR="006D6D37" w:rsidRPr="004E7708">
        <w:rPr>
          <w:rFonts w:ascii="Cambria" w:hAnsi="Cambria" w:cs="Calibri Light"/>
          <w:color w:val="000000" w:themeColor="text1"/>
          <w:sz w:val="20"/>
          <w:szCs w:val="20"/>
          <w:lang w:val="es-US"/>
        </w:rPr>
        <w:t xml:space="preserve">l Registro Nacional de </w:t>
      </w:r>
      <w:proofErr w:type="spellStart"/>
      <w:r w:rsidR="006D6D37" w:rsidRPr="004E7708">
        <w:rPr>
          <w:rFonts w:ascii="Cambria" w:hAnsi="Cambria" w:cs="Calibri Light"/>
          <w:color w:val="000000" w:themeColor="text1"/>
          <w:sz w:val="20"/>
          <w:szCs w:val="20"/>
          <w:lang w:val="es-US"/>
        </w:rPr>
        <w:t>Víctimas</w:t>
      </w:r>
      <w:proofErr w:type="spellEnd"/>
      <w:r w:rsidR="006D6D37" w:rsidRPr="004E7708">
        <w:rPr>
          <w:rFonts w:ascii="Cambria" w:hAnsi="Cambria" w:cs="Calibri Light"/>
          <w:color w:val="000000" w:themeColor="text1"/>
          <w:sz w:val="20"/>
          <w:szCs w:val="20"/>
          <w:lang w:val="es-US"/>
        </w:rPr>
        <w:t xml:space="preserve">, sin haber consultado previamente a la familia de Miguel Orlando </w:t>
      </w:r>
      <w:proofErr w:type="spellStart"/>
      <w:r w:rsidR="006D6D37" w:rsidRPr="004E7708">
        <w:rPr>
          <w:rFonts w:ascii="Cambria" w:hAnsi="Cambria" w:cs="Calibri Light"/>
          <w:color w:val="000000" w:themeColor="text1"/>
          <w:sz w:val="20"/>
          <w:szCs w:val="20"/>
          <w:lang w:val="es-US"/>
        </w:rPr>
        <w:t>Muñoz</w:t>
      </w:r>
      <w:proofErr w:type="spellEnd"/>
      <w:r w:rsidR="006D6D37" w:rsidRPr="004E7708">
        <w:rPr>
          <w:rFonts w:ascii="Cambria" w:hAnsi="Cambria" w:cs="Calibri Light"/>
          <w:color w:val="000000" w:themeColor="text1"/>
          <w:sz w:val="20"/>
          <w:szCs w:val="20"/>
          <w:lang w:val="es-US"/>
        </w:rPr>
        <w:t xml:space="preserve"> </w:t>
      </w:r>
      <w:proofErr w:type="spellStart"/>
      <w:r w:rsidR="006D6D37" w:rsidRPr="004E7708">
        <w:rPr>
          <w:rFonts w:ascii="Cambria" w:hAnsi="Cambria" w:cs="Calibri Light"/>
          <w:color w:val="000000" w:themeColor="text1"/>
          <w:sz w:val="20"/>
          <w:szCs w:val="20"/>
          <w:lang w:val="es-US"/>
        </w:rPr>
        <w:t>Guzmán</w:t>
      </w:r>
      <w:proofErr w:type="spellEnd"/>
      <w:r w:rsidR="006D6D37" w:rsidRPr="004E7708">
        <w:rPr>
          <w:rFonts w:ascii="Cambria" w:hAnsi="Cambria" w:cs="Calibri Light"/>
          <w:color w:val="000000" w:themeColor="text1"/>
          <w:sz w:val="20"/>
          <w:szCs w:val="20"/>
          <w:lang w:val="es-US"/>
        </w:rPr>
        <w:t xml:space="preserve"> o a </w:t>
      </w:r>
      <w:r w:rsidR="0041482A" w:rsidRPr="004E7708">
        <w:rPr>
          <w:rFonts w:ascii="Cambria" w:hAnsi="Cambria" w:cs="Calibri Light"/>
          <w:color w:val="000000" w:themeColor="text1"/>
          <w:sz w:val="20"/>
          <w:szCs w:val="20"/>
          <w:lang w:val="es-US"/>
        </w:rPr>
        <w:t>su</w:t>
      </w:r>
      <w:r w:rsidR="006D6D37" w:rsidRPr="004E7708">
        <w:rPr>
          <w:rFonts w:ascii="Cambria" w:hAnsi="Cambria" w:cs="Calibri Light"/>
          <w:color w:val="000000" w:themeColor="text1"/>
          <w:sz w:val="20"/>
          <w:szCs w:val="20"/>
          <w:lang w:val="es-US"/>
        </w:rPr>
        <w:t xml:space="preserve"> </w:t>
      </w:r>
      <w:proofErr w:type="spellStart"/>
      <w:r w:rsidR="006D6D37" w:rsidRPr="004E7708">
        <w:rPr>
          <w:rFonts w:ascii="Cambria" w:hAnsi="Cambria" w:cs="Calibri Light"/>
          <w:color w:val="000000" w:themeColor="text1"/>
          <w:sz w:val="20"/>
          <w:szCs w:val="20"/>
          <w:lang w:val="es-US"/>
        </w:rPr>
        <w:t>representación</w:t>
      </w:r>
      <w:proofErr w:type="spellEnd"/>
      <w:r w:rsidR="006D6D37" w:rsidRPr="004E7708">
        <w:rPr>
          <w:rFonts w:ascii="Cambria" w:hAnsi="Cambria" w:cs="Calibri Light"/>
          <w:color w:val="000000" w:themeColor="text1"/>
          <w:sz w:val="20"/>
          <w:szCs w:val="20"/>
          <w:lang w:val="es-US"/>
        </w:rPr>
        <w:t>.</w:t>
      </w:r>
    </w:p>
    <w:p w14:paraId="7DA89BE9" w14:textId="77777777" w:rsidR="0043776E" w:rsidRDefault="0043776E" w:rsidP="0043776E">
      <w:pPr>
        <w:pStyle w:val="ListParagraph"/>
        <w:rPr>
          <w:rFonts w:ascii="Cambria" w:hAnsi="Cambria" w:cs="Cambria"/>
          <w:color w:val="000000" w:themeColor="text1"/>
          <w:sz w:val="20"/>
          <w:szCs w:val="20"/>
          <w:lang w:val="es-ES" w:eastAsia="pt-BR"/>
        </w:rPr>
      </w:pPr>
    </w:p>
    <w:p w14:paraId="3460B911" w14:textId="77777777" w:rsidR="0043776E" w:rsidRPr="004E7708" w:rsidRDefault="0043776E" w:rsidP="0043776E">
      <w:pPr>
        <w:jc w:val="both"/>
        <w:rPr>
          <w:rFonts w:ascii="Cambria" w:hAnsi="Cambria" w:cs="Cambria"/>
          <w:color w:val="000000" w:themeColor="text1"/>
          <w:sz w:val="20"/>
          <w:szCs w:val="20"/>
          <w:lang w:val="es-ES" w:eastAsia="pt-BR"/>
        </w:rPr>
      </w:pPr>
    </w:p>
    <w:p w14:paraId="6D57FE1D" w14:textId="1FF7F840" w:rsidR="003E0970" w:rsidRPr="004E7708" w:rsidRDefault="003335D8" w:rsidP="003E0970">
      <w:pPr>
        <w:numPr>
          <w:ilvl w:val="0"/>
          <w:numId w:val="14"/>
        </w:numPr>
        <w:ind w:left="0" w:firstLine="630"/>
        <w:jc w:val="both"/>
        <w:rPr>
          <w:rFonts w:ascii="Cambria" w:hAnsi="Cambria" w:cs="Cambria"/>
          <w:color w:val="000000" w:themeColor="text1"/>
          <w:sz w:val="20"/>
          <w:szCs w:val="20"/>
          <w:lang w:val="es-ES" w:eastAsia="pt-BR"/>
        </w:rPr>
      </w:pPr>
      <w:r w:rsidRPr="004E7708">
        <w:rPr>
          <w:rFonts w:ascii="Cambria" w:hAnsi="Cambria" w:cs="Calibri Light"/>
          <w:color w:val="000000" w:themeColor="text1"/>
          <w:sz w:val="20"/>
          <w:szCs w:val="20"/>
          <w:lang w:val="es-US"/>
        </w:rPr>
        <w:lastRenderedPageBreak/>
        <w:t xml:space="preserve">La CIDH invita al Estado a actuar de manera coordinada con las víctimas para impulsar el cumplimiento de las </w:t>
      </w:r>
      <w:r w:rsidR="00A21836" w:rsidRPr="004E7708">
        <w:rPr>
          <w:rFonts w:ascii="Cambria" w:hAnsi="Cambria" w:cs="Calibri Light"/>
          <w:color w:val="000000" w:themeColor="text1"/>
          <w:sz w:val="20"/>
          <w:szCs w:val="20"/>
          <w:lang w:val="es-US"/>
        </w:rPr>
        <w:t>r</w:t>
      </w:r>
      <w:r w:rsidRPr="004E7708">
        <w:rPr>
          <w:rFonts w:ascii="Cambria" w:hAnsi="Cambria" w:cs="Calibri Light"/>
          <w:color w:val="000000" w:themeColor="text1"/>
          <w:sz w:val="20"/>
          <w:szCs w:val="20"/>
          <w:lang w:val="es-US"/>
        </w:rPr>
        <w:t xml:space="preserve">ecomendaciones del Informe de Fondo </w:t>
      </w:r>
      <w:r w:rsidRPr="004E7708">
        <w:rPr>
          <w:rFonts w:ascii="Cambria" w:hAnsi="Cambria" w:cs="Cambria"/>
          <w:color w:val="000000" w:themeColor="text1"/>
          <w:sz w:val="20"/>
          <w:szCs w:val="20"/>
          <w:lang w:val="es-ES" w:eastAsia="pt-BR"/>
        </w:rPr>
        <w:t>Nº 02/06.</w:t>
      </w:r>
      <w:r w:rsidRPr="004E7708">
        <w:rPr>
          <w:rFonts w:ascii="Cambria" w:hAnsi="Cambria" w:cs="Calibri Light"/>
          <w:color w:val="000000" w:themeColor="text1"/>
          <w:sz w:val="20"/>
          <w:szCs w:val="20"/>
          <w:lang w:val="es-US"/>
        </w:rPr>
        <w:t xml:space="preserve"> </w:t>
      </w:r>
      <w:r w:rsidR="00097EFB" w:rsidRPr="004E7708">
        <w:rPr>
          <w:rFonts w:ascii="Cambria" w:hAnsi="Cambria" w:cs="Calibri Light"/>
          <w:color w:val="000000" w:themeColor="text1"/>
          <w:sz w:val="20"/>
          <w:szCs w:val="20"/>
          <w:lang w:val="es-US"/>
        </w:rPr>
        <w:t>En este sentido,</w:t>
      </w:r>
      <w:r w:rsidRPr="004E7708">
        <w:rPr>
          <w:rFonts w:ascii="Cambria" w:hAnsi="Cambria" w:cs="Calibri Light"/>
          <w:color w:val="000000" w:themeColor="text1"/>
          <w:sz w:val="20"/>
          <w:szCs w:val="20"/>
          <w:lang w:val="es-US"/>
        </w:rPr>
        <w:t xml:space="preserve"> a</w:t>
      </w:r>
      <w:r w:rsidR="003E0970" w:rsidRPr="004E7708">
        <w:rPr>
          <w:rFonts w:ascii="Cambria" w:hAnsi="Cambria" w:cs="Calibri Light"/>
          <w:color w:val="000000" w:themeColor="text1"/>
          <w:sz w:val="20"/>
          <w:szCs w:val="20"/>
          <w:lang w:val="es-US"/>
        </w:rPr>
        <w:t xml:space="preserve">nte la posición expresada por </w:t>
      </w:r>
      <w:r w:rsidR="00097EFB" w:rsidRPr="004E7708">
        <w:rPr>
          <w:rFonts w:ascii="Cambria" w:hAnsi="Cambria" w:cs="Calibri Light"/>
          <w:color w:val="000000" w:themeColor="text1"/>
          <w:sz w:val="20"/>
          <w:szCs w:val="20"/>
          <w:lang w:val="es-US"/>
        </w:rPr>
        <w:t>los peticionarios</w:t>
      </w:r>
      <w:r w:rsidR="003E0970" w:rsidRPr="004E7708">
        <w:rPr>
          <w:rFonts w:ascii="Cambria" w:hAnsi="Cambria" w:cs="Calibri Light"/>
          <w:color w:val="000000" w:themeColor="text1"/>
          <w:sz w:val="20"/>
          <w:szCs w:val="20"/>
          <w:lang w:val="es-US"/>
        </w:rPr>
        <w:t xml:space="preserve">, la CIDH insta al Estado </w:t>
      </w:r>
      <w:r w:rsidR="00097EFB" w:rsidRPr="004E7708">
        <w:rPr>
          <w:rFonts w:ascii="Cambria" w:hAnsi="Cambria" w:cs="Calibri Light"/>
          <w:color w:val="000000" w:themeColor="text1"/>
          <w:sz w:val="20"/>
          <w:szCs w:val="20"/>
          <w:lang w:val="es-US"/>
        </w:rPr>
        <w:t xml:space="preserve">a </w:t>
      </w:r>
      <w:r w:rsidR="003E0970" w:rsidRPr="004E7708">
        <w:rPr>
          <w:rFonts w:ascii="Cambria" w:hAnsi="Cambria" w:cs="Calibri Light"/>
          <w:color w:val="000000" w:themeColor="text1"/>
          <w:sz w:val="20"/>
          <w:szCs w:val="20"/>
          <w:lang w:val="es-US"/>
        </w:rPr>
        <w:t xml:space="preserve">avanzar en </w:t>
      </w:r>
      <w:r w:rsidR="00097EFB" w:rsidRPr="004E7708">
        <w:rPr>
          <w:rFonts w:ascii="Cambria" w:hAnsi="Cambria" w:cs="Calibri Light"/>
          <w:color w:val="000000" w:themeColor="text1"/>
          <w:sz w:val="20"/>
          <w:szCs w:val="20"/>
          <w:lang w:val="es-US"/>
        </w:rPr>
        <w:t xml:space="preserve">mutuo acuerdo con las víctimas </w:t>
      </w:r>
      <w:r w:rsidR="003E0970" w:rsidRPr="004E7708">
        <w:rPr>
          <w:rFonts w:ascii="Cambria" w:hAnsi="Cambria" w:cs="Calibri Light"/>
          <w:color w:val="000000" w:themeColor="text1"/>
          <w:sz w:val="20"/>
          <w:szCs w:val="20"/>
          <w:lang w:val="es-US"/>
        </w:rPr>
        <w:t>la concertación de medidas de reparación integral</w:t>
      </w:r>
      <w:r w:rsidRPr="004E7708">
        <w:rPr>
          <w:rFonts w:ascii="Cambria" w:hAnsi="Cambria" w:cs="Calibri Light"/>
          <w:color w:val="000000" w:themeColor="text1"/>
          <w:sz w:val="20"/>
          <w:szCs w:val="20"/>
          <w:lang w:val="es-US"/>
        </w:rPr>
        <w:t xml:space="preserve">. </w:t>
      </w:r>
      <w:r w:rsidR="00097EFB" w:rsidRPr="004E7708">
        <w:rPr>
          <w:rFonts w:ascii="Cambria" w:hAnsi="Cambria" w:cs="Cambria"/>
          <w:color w:val="000000" w:themeColor="text1"/>
          <w:sz w:val="20"/>
          <w:szCs w:val="20"/>
          <w:lang w:val="es-ES" w:eastAsia="pt-BR"/>
        </w:rPr>
        <w:t xml:space="preserve">En tanto, </w:t>
      </w:r>
      <w:r w:rsidR="003E0970" w:rsidRPr="004E7708">
        <w:rPr>
          <w:rFonts w:ascii="Cambria" w:hAnsi="Cambria" w:cs="Cambria"/>
          <w:color w:val="000000" w:themeColor="text1"/>
          <w:sz w:val="20"/>
          <w:szCs w:val="20"/>
          <w:lang w:val="es-ES" w:eastAsia="pt-BR"/>
        </w:rPr>
        <w:t xml:space="preserve">la CIDH considera que la </w:t>
      </w:r>
      <w:r w:rsidR="00A21836" w:rsidRPr="004E7708">
        <w:rPr>
          <w:rFonts w:ascii="Cambria" w:hAnsi="Cambria" w:cs="Cambria"/>
          <w:color w:val="000000" w:themeColor="text1"/>
          <w:sz w:val="20"/>
          <w:szCs w:val="20"/>
          <w:lang w:val="es-ES" w:eastAsia="pt-BR"/>
        </w:rPr>
        <w:t>r</w:t>
      </w:r>
      <w:r w:rsidR="003E0970" w:rsidRPr="004E7708">
        <w:rPr>
          <w:rFonts w:ascii="Cambria" w:hAnsi="Cambria" w:cs="Cambria"/>
          <w:color w:val="000000" w:themeColor="text1"/>
          <w:sz w:val="20"/>
          <w:szCs w:val="20"/>
          <w:lang w:val="es-ES" w:eastAsia="pt-BR"/>
        </w:rPr>
        <w:t>ecomendación 2 se encuentra pendiente de cumplimiento.</w:t>
      </w:r>
    </w:p>
    <w:p w14:paraId="63BC7E5E" w14:textId="77777777" w:rsidR="003E0970" w:rsidRPr="004E7708" w:rsidRDefault="003E0970" w:rsidP="003E0970">
      <w:pPr>
        <w:rPr>
          <w:rFonts w:ascii="Cambria" w:hAnsi="Cambria"/>
          <w:color w:val="000000" w:themeColor="text1"/>
          <w:sz w:val="20"/>
          <w:szCs w:val="20"/>
          <w:lang w:val="es-US"/>
        </w:rPr>
      </w:pPr>
    </w:p>
    <w:p w14:paraId="5148C246" w14:textId="77777777" w:rsidR="003E0970" w:rsidRPr="004E7708" w:rsidRDefault="003E0970" w:rsidP="003E0970">
      <w:pPr>
        <w:pStyle w:val="ListParagraph"/>
        <w:numPr>
          <w:ilvl w:val="0"/>
          <w:numId w:val="8"/>
        </w:numPr>
        <w:ind w:left="1440"/>
        <w:jc w:val="both"/>
        <w:rPr>
          <w:rFonts w:ascii="Cambria" w:hAnsi="Cambria" w:cs="Calibri Light"/>
          <w:b/>
          <w:color w:val="000000" w:themeColor="text1"/>
          <w:sz w:val="20"/>
          <w:szCs w:val="20"/>
          <w:lang w:val="es-US"/>
        </w:rPr>
      </w:pPr>
      <w:r w:rsidRPr="004E7708">
        <w:rPr>
          <w:rFonts w:ascii="Cambria" w:hAnsi="Cambria" w:cs="Calibri Light"/>
          <w:b/>
          <w:color w:val="000000" w:themeColor="text1"/>
          <w:sz w:val="20"/>
          <w:szCs w:val="20"/>
          <w:lang w:val="es-US"/>
        </w:rPr>
        <w:t xml:space="preserve">Nivel del cumplimiento del caso </w:t>
      </w:r>
    </w:p>
    <w:p w14:paraId="6F51E75F" w14:textId="77777777" w:rsidR="003E0970" w:rsidRPr="004E7708" w:rsidRDefault="003E0970" w:rsidP="003E0970">
      <w:pPr>
        <w:jc w:val="both"/>
        <w:rPr>
          <w:rFonts w:ascii="Cambria" w:hAnsi="Cambria" w:cs="Calibri Light"/>
          <w:color w:val="000000" w:themeColor="text1"/>
          <w:sz w:val="20"/>
          <w:szCs w:val="20"/>
          <w:lang w:val="es-US"/>
        </w:rPr>
      </w:pPr>
    </w:p>
    <w:p w14:paraId="34260F97" w14:textId="77777777" w:rsidR="003E0970" w:rsidRPr="004E7708" w:rsidRDefault="003E0970" w:rsidP="003E0970">
      <w:pPr>
        <w:numPr>
          <w:ilvl w:val="0"/>
          <w:numId w:val="14"/>
        </w:numPr>
        <w:tabs>
          <w:tab w:val="left" w:pos="630"/>
        </w:tabs>
        <w:ind w:left="0" w:firstLine="630"/>
        <w:jc w:val="both"/>
        <w:rPr>
          <w:rFonts w:ascii="Cambria" w:hAnsi="Cambria" w:cs="Calibri Light"/>
          <w:color w:val="000000" w:themeColor="text1"/>
          <w:sz w:val="20"/>
          <w:szCs w:val="20"/>
          <w:lang w:val="es-US"/>
        </w:rPr>
      </w:pPr>
      <w:r w:rsidRPr="004E7708">
        <w:rPr>
          <w:rFonts w:ascii="Cambria" w:hAnsi="Cambria" w:cs="Calibri Light"/>
          <w:color w:val="000000" w:themeColor="text1"/>
          <w:sz w:val="20"/>
          <w:szCs w:val="20"/>
          <w:lang w:val="es-US"/>
        </w:rPr>
        <w:t>En virtud de lo anterior, la CIDH concluye que el cumplimiento del caso está pendiente de cumplimiento. En consecuencia, la CIDH seguirá supervisando las Recomendaciones 1 y 2. En este sentido, la Comisión insta al Estado a adoptar las acciones necesarias para cumplir con las recomendaciones emitidas en el Informe de Fondo Nº 02/06, y proporcionar información actualizada y detallada sobre dichas acciones a la CIDH.</w:t>
      </w:r>
    </w:p>
    <w:p w14:paraId="3330D2DF" w14:textId="77777777" w:rsidR="003E0970" w:rsidRPr="004E7708" w:rsidRDefault="003E0970" w:rsidP="003E0970">
      <w:pPr>
        <w:rPr>
          <w:rFonts w:ascii="Cambria" w:hAnsi="Cambria"/>
          <w:color w:val="000000" w:themeColor="text1"/>
          <w:sz w:val="20"/>
          <w:szCs w:val="20"/>
          <w:lang w:val="es-US"/>
        </w:rPr>
      </w:pPr>
    </w:p>
    <w:p w14:paraId="731685A2" w14:textId="77777777" w:rsidR="003E0970" w:rsidRPr="004E7708" w:rsidRDefault="003E0970" w:rsidP="003E0970">
      <w:pPr>
        <w:pStyle w:val="ListParagraph"/>
        <w:numPr>
          <w:ilvl w:val="0"/>
          <w:numId w:val="8"/>
        </w:numPr>
        <w:ind w:left="1440"/>
        <w:jc w:val="both"/>
        <w:rPr>
          <w:rFonts w:ascii="Cambria" w:hAnsi="Cambria" w:cs="Calibri Light"/>
          <w:b/>
          <w:color w:val="000000" w:themeColor="text1"/>
          <w:sz w:val="20"/>
          <w:szCs w:val="20"/>
          <w:lang w:val="es-US"/>
        </w:rPr>
      </w:pPr>
      <w:r w:rsidRPr="004E7708">
        <w:rPr>
          <w:rFonts w:ascii="Cambria" w:hAnsi="Cambria" w:cs="Calibri Light"/>
          <w:b/>
          <w:color w:val="000000" w:themeColor="text1"/>
          <w:sz w:val="20"/>
          <w:szCs w:val="20"/>
          <w:lang w:val="es-US"/>
        </w:rPr>
        <w:t>Resultados individuales y estructurales del caso</w:t>
      </w:r>
    </w:p>
    <w:p w14:paraId="421182C6" w14:textId="77777777" w:rsidR="003E0970" w:rsidRPr="004E7708" w:rsidRDefault="003E0970" w:rsidP="003E0970">
      <w:pPr>
        <w:jc w:val="both"/>
        <w:rPr>
          <w:rFonts w:ascii="Cambria" w:hAnsi="Cambria" w:cs="Cambria"/>
          <w:color w:val="000000" w:themeColor="text1"/>
          <w:sz w:val="20"/>
          <w:szCs w:val="20"/>
          <w:lang w:val="es-ES" w:eastAsia="pt-BR"/>
        </w:rPr>
      </w:pPr>
    </w:p>
    <w:p w14:paraId="34D2C790" w14:textId="77777777" w:rsidR="003E0970" w:rsidRPr="004E7708" w:rsidRDefault="003E0970" w:rsidP="003E0970">
      <w:pPr>
        <w:numPr>
          <w:ilvl w:val="0"/>
          <w:numId w:val="14"/>
        </w:numPr>
        <w:ind w:left="0" w:firstLine="720"/>
        <w:jc w:val="both"/>
        <w:rPr>
          <w:rFonts w:ascii="Cambria" w:hAnsi="Cambria" w:cs="Cambria"/>
          <w:color w:val="000000" w:themeColor="text1"/>
          <w:sz w:val="20"/>
          <w:szCs w:val="20"/>
          <w:lang w:val="es-ES" w:eastAsia="pt-BR"/>
        </w:rPr>
      </w:pPr>
      <w:r w:rsidRPr="004E7708">
        <w:rPr>
          <w:rFonts w:ascii="Cambria" w:hAnsi="Cambria" w:cs="Cambria"/>
          <w:color w:val="000000" w:themeColor="text1"/>
          <w:sz w:val="20"/>
          <w:szCs w:val="20"/>
          <w:lang w:val="es-ES" w:eastAsia="pt-BR"/>
        </w:rPr>
        <w:t>En vista de que el asunto está pendiente de cumplimiento, la CIDH evidencia que no han existido resultados individuales o estructurales en el caso.</w:t>
      </w:r>
    </w:p>
    <w:p w14:paraId="153EACCB" w14:textId="77777777" w:rsidR="003E0970" w:rsidRPr="004E7708" w:rsidRDefault="003E0970" w:rsidP="003E0970">
      <w:pPr>
        <w:jc w:val="both"/>
        <w:rPr>
          <w:rFonts w:ascii="Cambria" w:hAnsi="Cambria" w:cs="Cambria"/>
          <w:color w:val="000000" w:themeColor="text1"/>
          <w:sz w:val="20"/>
          <w:szCs w:val="20"/>
          <w:lang w:val="es-ES" w:eastAsia="pt-BR"/>
        </w:rPr>
      </w:pPr>
    </w:p>
    <w:p w14:paraId="2077942E" w14:textId="77777777" w:rsidR="003E0970" w:rsidRPr="004E7708" w:rsidRDefault="003E0970" w:rsidP="003E0970">
      <w:pPr>
        <w:rPr>
          <w:rFonts w:ascii="Cambria" w:hAnsi="Cambria"/>
          <w:color w:val="000000" w:themeColor="text1"/>
          <w:sz w:val="20"/>
          <w:szCs w:val="20"/>
          <w:lang w:val="es-ES_tradnl"/>
        </w:rPr>
      </w:pPr>
    </w:p>
    <w:p w14:paraId="45B26099" w14:textId="77777777" w:rsidR="00BD17B0" w:rsidRPr="004E7708" w:rsidRDefault="00BD17B0" w:rsidP="003E0970">
      <w:pPr>
        <w:rPr>
          <w:rFonts w:ascii="Cambria" w:hAnsi="Cambria"/>
          <w:color w:val="000000" w:themeColor="text1"/>
          <w:sz w:val="20"/>
          <w:szCs w:val="20"/>
          <w:lang w:val="es-ES_tradnl"/>
        </w:rPr>
      </w:pPr>
    </w:p>
    <w:sectPr w:rsidR="00BD17B0" w:rsidRPr="004E7708"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D87B" w14:textId="77777777" w:rsidR="00416F25" w:rsidRDefault="00416F25" w:rsidP="00672733">
      <w:r>
        <w:separator/>
      </w:r>
    </w:p>
  </w:endnote>
  <w:endnote w:type="continuationSeparator" w:id="0">
    <w:p w14:paraId="553DE48A" w14:textId="77777777" w:rsidR="00416F25" w:rsidRDefault="00416F25"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DE" w14:textId="4D8815E6" w:rsidR="00E516AB" w:rsidRPr="004E7708" w:rsidRDefault="00E516AB">
    <w:pPr>
      <w:pStyle w:val="Footer"/>
      <w:tabs>
        <w:tab w:val="clear" w:pos="4680"/>
        <w:tab w:val="clear" w:pos="9360"/>
      </w:tabs>
      <w:jc w:val="center"/>
      <w:rPr>
        <w:rFonts w:ascii="Cambria" w:hAnsi="Cambria"/>
        <w:caps/>
        <w:noProof/>
        <w:color w:val="000000" w:themeColor="text1"/>
        <w:sz w:val="20"/>
        <w:szCs w:val="20"/>
      </w:rPr>
    </w:pPr>
    <w:r w:rsidRPr="004E7708">
      <w:rPr>
        <w:rFonts w:ascii="Cambria" w:hAnsi="Cambria"/>
        <w:caps/>
        <w:color w:val="000000" w:themeColor="text1"/>
        <w:sz w:val="20"/>
        <w:szCs w:val="20"/>
      </w:rPr>
      <w:fldChar w:fldCharType="begin"/>
    </w:r>
    <w:r w:rsidRPr="004E7708">
      <w:rPr>
        <w:rFonts w:ascii="Cambria" w:hAnsi="Cambria"/>
        <w:caps/>
        <w:color w:val="000000" w:themeColor="text1"/>
        <w:sz w:val="20"/>
        <w:szCs w:val="20"/>
      </w:rPr>
      <w:instrText xml:space="preserve"> PAGE   \* MERGEFORMAT </w:instrText>
    </w:r>
    <w:r w:rsidRPr="004E7708">
      <w:rPr>
        <w:rFonts w:ascii="Cambria" w:hAnsi="Cambria"/>
        <w:caps/>
        <w:color w:val="000000" w:themeColor="text1"/>
        <w:sz w:val="20"/>
        <w:szCs w:val="20"/>
      </w:rPr>
      <w:fldChar w:fldCharType="separate"/>
    </w:r>
    <w:r w:rsidR="00EA0262" w:rsidRPr="004E7708">
      <w:rPr>
        <w:rFonts w:ascii="Cambria" w:hAnsi="Cambria"/>
        <w:caps/>
        <w:noProof/>
        <w:color w:val="000000" w:themeColor="text1"/>
        <w:sz w:val="20"/>
        <w:szCs w:val="20"/>
      </w:rPr>
      <w:t>2</w:t>
    </w:r>
    <w:r w:rsidRPr="004E7708">
      <w:rPr>
        <w:rFonts w:ascii="Cambria" w:hAnsi="Cambria"/>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566A" w14:textId="77777777" w:rsidR="00416F25" w:rsidRDefault="00416F25" w:rsidP="00672733">
      <w:r>
        <w:separator/>
      </w:r>
    </w:p>
  </w:footnote>
  <w:footnote w:type="continuationSeparator" w:id="0">
    <w:p w14:paraId="26FF0351" w14:textId="77777777" w:rsidR="00416F25" w:rsidRDefault="00416F25" w:rsidP="00672733">
      <w:r>
        <w:continuationSeparator/>
      </w:r>
    </w:p>
  </w:footnote>
  <w:footnote w:id="1">
    <w:p w14:paraId="5C99E6A5" w14:textId="77777777" w:rsidR="00C11132" w:rsidRPr="005611A2" w:rsidRDefault="00C11132" w:rsidP="00C11132">
      <w:pPr>
        <w:pStyle w:val="FootnoteText"/>
        <w:rPr>
          <w:rFonts w:ascii="Cambria" w:hAnsi="Cambria"/>
          <w:sz w:val="16"/>
          <w:szCs w:val="16"/>
          <w:lang w:val="es-US"/>
        </w:rPr>
      </w:pPr>
      <w:r w:rsidRPr="005611A2">
        <w:rPr>
          <w:rStyle w:val="FootnoteReference"/>
          <w:rFonts w:ascii="Cambria" w:hAnsi="Cambria"/>
          <w:sz w:val="16"/>
          <w:szCs w:val="16"/>
        </w:rPr>
        <w:footnoteRef/>
      </w:r>
      <w:r w:rsidRPr="005611A2">
        <w:rPr>
          <w:rFonts w:ascii="Cambria" w:hAnsi="Cambria"/>
          <w:sz w:val="16"/>
          <w:szCs w:val="16"/>
          <w:lang w:val="es-US"/>
        </w:rPr>
        <w:t xml:space="preserve"> Corte IDH. Caso Albán Cornejo y otros. Vs. Ecuador. Sentencia de 22 de noviembre de 2007. Serie C No. 171, Párrafo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92C" w14:textId="768CDBE1" w:rsidR="00566CD0" w:rsidRPr="00ED1EBA" w:rsidRDefault="002248FB" w:rsidP="00ED1EBA">
    <w:pPr>
      <w:pStyle w:val="Header"/>
      <w:rPr>
        <w:rFonts w:ascii="Arial" w:hAnsi="Arial" w:cs="Arial"/>
        <w:color w:val="3B3838" w:themeColor="background2" w:themeShade="40"/>
        <w:sz w:val="22"/>
        <w:szCs w:val="28"/>
      </w:rPr>
    </w:pPr>
    <w:r w:rsidRPr="006B1F24">
      <w:rPr>
        <w:noProof/>
        <w:sz w:val="28"/>
        <w:szCs w:val="28"/>
      </w:rPr>
      <w:drawing>
        <wp:anchor distT="0" distB="0" distL="114300" distR="114300" simplePos="0" relativeHeight="251673600" behindDoc="0" locked="0" layoutInCell="1" allowOverlap="1" wp14:anchorId="13B2EED5" wp14:editId="2CF61D1B">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710C222" wp14:editId="74F643C0">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sidR="008861D6">
      <w:rPr>
        <w:rFonts w:ascii="Arial" w:hAnsi="Arial" w:cs="Arial"/>
        <w:color w:val="3B3838" w:themeColor="background2" w:themeShade="40"/>
        <w:sz w:val="22"/>
        <w:szCs w:val="28"/>
      </w:rPr>
      <w:softHyphen/>
    </w:r>
    <w:r w:rsidR="008861D6">
      <w:rPr>
        <w:rFonts w:ascii="Arial" w:hAnsi="Arial" w:cs="Arial"/>
        <w:color w:val="3B3838" w:themeColor="background2" w:themeShade="40"/>
        <w:sz w:val="22"/>
        <w:szCs w:val="28"/>
      </w:rPr>
      <w:softHyphen/>
    </w:r>
    <w:r w:rsidR="00ED1EBA">
      <w:rPr>
        <w:rFonts w:ascii="Arial" w:hAnsi="Arial" w:cs="Arial"/>
        <w:color w:val="3B3838" w:themeColor="background2" w:themeShade="40"/>
        <w:sz w:val="22"/>
        <w:szCs w:val="28"/>
      </w:rPr>
      <w:t xml:space="preserve">                       </w:t>
    </w:r>
  </w:p>
  <w:p w14:paraId="60E6F577" w14:textId="11DC20E0"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40D51816">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2F88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625" w14:textId="35B35F0D" w:rsidR="00BF7A78" w:rsidRDefault="008861D6" w:rsidP="00BF7A78">
    <w:pPr>
      <w:pStyle w:val="Header"/>
      <w:spacing w:line="216" w:lineRule="auto"/>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70528" behindDoc="0" locked="0" layoutInCell="1" allowOverlap="1" wp14:anchorId="2D05A8FA" wp14:editId="4480FD14">
          <wp:simplePos x="0" y="0"/>
          <wp:positionH relativeFrom="column">
            <wp:posOffset>4088765</wp:posOffset>
          </wp:positionH>
          <wp:positionV relativeFrom="paragraph">
            <wp:posOffset>72390</wp:posOffset>
          </wp:positionV>
          <wp:extent cx="2183130" cy="5086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83130" cy="508635"/>
                  </a:xfrm>
                  <a:prstGeom prst="rect">
                    <a:avLst/>
                  </a:prstGeom>
                </pic:spPr>
              </pic:pic>
            </a:graphicData>
          </a:graphic>
          <wp14:sizeRelH relativeFrom="page">
            <wp14:pctWidth>0</wp14:pctWidth>
          </wp14:sizeRelH>
          <wp14:sizeRelV relativeFrom="page">
            <wp14:pctHeight>0</wp14:pctHeight>
          </wp14:sizeRelV>
        </wp:anchor>
      </w:drawing>
    </w:r>
    <w:r w:rsidR="00181DA0">
      <w:rPr>
        <w:noProof/>
        <w:sz w:val="28"/>
        <w:szCs w:val="28"/>
      </w:rPr>
      <mc:AlternateContent>
        <mc:Choice Requires="wps">
          <w:drawing>
            <wp:anchor distT="0" distB="0" distL="114300" distR="114300" simplePos="0" relativeHeight="251671552" behindDoc="0" locked="0" layoutInCell="1" allowOverlap="1" wp14:anchorId="2422F4BE" wp14:editId="3D524A64">
              <wp:simplePos x="0" y="0"/>
              <wp:positionH relativeFrom="column">
                <wp:posOffset>-166255</wp:posOffset>
              </wp:positionH>
              <wp:positionV relativeFrom="paragraph">
                <wp:posOffset>49184</wp:posOffset>
              </wp:positionV>
              <wp:extent cx="2937164" cy="665018"/>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22F4BE" id="_x0000_t202" coordsize="21600,21600" o:spt="202" path="m,l,21600r21600,l21600,xe">
              <v:stroke joinstyle="miter"/>
              <v:path gradientshapeok="t" o:connecttype="rect"/>
            </v:shapetype>
            <v:shape id="Caixa de Texto 9" o:spid="_x0000_s1026" type="#_x0000_t202" style="position:absolute;margin-left:-13.1pt;margin-top:3.85pt;width:231.25pt;height:52.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4F74AD32" w14:textId="69328626" w:rsidR="00181DA0" w:rsidRDefault="00500FDE">
                    <w:r>
                      <w:rPr>
                        <w:noProof/>
                      </w:rPr>
                      <w:drawing>
                        <wp:inline distT="0" distB="0" distL="0" distR="0" wp14:anchorId="525149FA" wp14:editId="138FE46C">
                          <wp:extent cx="2022371" cy="471055"/>
                          <wp:effectExtent l="0" t="0" r="0" b="0"/>
                          <wp:docPr id="1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22371" cy="471055"/>
                                  </a:xfrm>
                                  <a:prstGeom prst="rect">
                                    <a:avLst/>
                                  </a:prstGeom>
                                </pic:spPr>
                              </pic:pic>
                            </a:graphicData>
                          </a:graphic>
                        </wp:inline>
                      </w:drawing>
                    </w:r>
                  </w:p>
                </w:txbxContent>
              </v:textbox>
            </v:shape>
          </w:pict>
        </mc:Fallback>
      </mc:AlternateContent>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r w:rsidR="00BF7A78">
      <w:rPr>
        <w:rFonts w:ascii="Arial" w:hAnsi="Arial" w:cs="Arial"/>
        <w:color w:val="3B3838" w:themeColor="background2" w:themeShade="40"/>
        <w:sz w:val="28"/>
        <w:szCs w:val="28"/>
        <w:lang w:val="es-ES"/>
      </w:rPr>
      <w:softHyphen/>
    </w:r>
  </w:p>
  <w:p w14:paraId="3BCF973F" w14:textId="3B9413A3" w:rsidR="00BF7A78" w:rsidRDefault="00BF7A78" w:rsidP="00BF7A78">
    <w:pPr>
      <w:pStyle w:val="Header"/>
      <w:spacing w:line="216" w:lineRule="auto"/>
      <w:rPr>
        <w:rFonts w:ascii="Arial" w:hAnsi="Arial" w:cs="Arial"/>
        <w:color w:val="3B3838" w:themeColor="background2" w:themeShade="40"/>
        <w:sz w:val="28"/>
        <w:szCs w:val="28"/>
        <w:lang w:val="es-ES"/>
      </w:rPr>
    </w:pPr>
  </w:p>
  <w:p w14:paraId="217CD057" w14:textId="77777777" w:rsidR="00BF7A78" w:rsidRDefault="00BF7A78" w:rsidP="00BF7A78">
    <w:pPr>
      <w:pStyle w:val="Header"/>
      <w:spacing w:line="216" w:lineRule="auto"/>
      <w:rPr>
        <w:rFonts w:ascii="Arial" w:hAnsi="Arial" w:cs="Arial"/>
        <w:color w:val="3B3838" w:themeColor="background2" w:themeShade="40"/>
        <w:sz w:val="28"/>
        <w:szCs w:val="28"/>
        <w:lang w:val="es-ES"/>
      </w:rPr>
    </w:pPr>
  </w:p>
  <w:p w14:paraId="2AF194D7" w14:textId="25EA1D8F" w:rsidR="00566CD0" w:rsidRPr="00566CD0" w:rsidRDefault="00566CD0" w:rsidP="00BF7A78">
    <w:pPr>
      <w:pStyle w:val="Header"/>
      <w:spacing w:line="216" w:lineRule="auto"/>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6057ACD9">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A03F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4033"/>
    <w:multiLevelType w:val="hybridMultilevel"/>
    <w:tmpl w:val="3AF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4"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6" w15:restartNumberingAfterBreak="0">
    <w:nsid w:val="2D6D7654"/>
    <w:multiLevelType w:val="hybridMultilevel"/>
    <w:tmpl w:val="8D42987C"/>
    <w:lvl w:ilvl="0" w:tplc="BAF8581E">
      <w:start w:val="1"/>
      <w:numFmt w:val="decimal"/>
      <w:lvlText w:val="%1."/>
      <w:lvlJc w:val="left"/>
      <w:pPr>
        <w:ind w:left="990" w:hanging="360"/>
      </w:pPr>
      <w:rPr>
        <w:rFonts w:hint="default"/>
        <w:color w:val="00000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8" w15:restartNumberingAfterBreak="0">
    <w:nsid w:val="41A21406"/>
    <w:multiLevelType w:val="hybridMultilevel"/>
    <w:tmpl w:val="CC94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02787"/>
    <w:multiLevelType w:val="hybridMultilevel"/>
    <w:tmpl w:val="5F62AAB6"/>
    <w:lvl w:ilvl="0" w:tplc="B8D076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D23DB"/>
    <w:multiLevelType w:val="hybridMultilevel"/>
    <w:tmpl w:val="B63E1E54"/>
    <w:lvl w:ilvl="0" w:tplc="012A1BB2">
      <w:start w:val="1"/>
      <w:numFmt w:val="decimal"/>
      <w:lvlText w:val="%1."/>
      <w:lvlJc w:val="left"/>
      <w:pPr>
        <w:ind w:left="720" w:hanging="360"/>
      </w:pPr>
      <w:rPr>
        <w:rFont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31569A"/>
    <w:multiLevelType w:val="hybridMultilevel"/>
    <w:tmpl w:val="2D36F870"/>
    <w:lvl w:ilvl="0" w:tplc="960007B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B586B"/>
    <w:multiLevelType w:val="hybridMultilevel"/>
    <w:tmpl w:val="8B4A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16cid:durableId="564293606">
    <w:abstractNumId w:val="7"/>
  </w:num>
  <w:num w:numId="2" w16cid:durableId="1067992374">
    <w:abstractNumId w:val="15"/>
  </w:num>
  <w:num w:numId="3" w16cid:durableId="124396626">
    <w:abstractNumId w:val="12"/>
  </w:num>
  <w:num w:numId="4" w16cid:durableId="497115356">
    <w:abstractNumId w:val="3"/>
  </w:num>
  <w:num w:numId="5" w16cid:durableId="1198422700">
    <w:abstractNumId w:val="2"/>
  </w:num>
  <w:num w:numId="6" w16cid:durableId="1423642148">
    <w:abstractNumId w:val="5"/>
  </w:num>
  <w:num w:numId="7" w16cid:durableId="415712238">
    <w:abstractNumId w:val="0"/>
  </w:num>
  <w:num w:numId="8" w16cid:durableId="1151827217">
    <w:abstractNumId w:val="11"/>
  </w:num>
  <w:num w:numId="9" w16cid:durableId="1094282787">
    <w:abstractNumId w:val="9"/>
  </w:num>
  <w:num w:numId="10" w16cid:durableId="8590098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7126408">
    <w:abstractNumId w:val="10"/>
  </w:num>
  <w:num w:numId="12" w16cid:durableId="297272738">
    <w:abstractNumId w:val="8"/>
  </w:num>
  <w:num w:numId="13" w16cid:durableId="607347297">
    <w:abstractNumId w:val="14"/>
  </w:num>
  <w:num w:numId="14" w16cid:durableId="1851065207">
    <w:abstractNumId w:val="6"/>
  </w:num>
  <w:num w:numId="15" w16cid:durableId="239296865">
    <w:abstractNumId w:val="13"/>
  </w:num>
  <w:num w:numId="16" w16cid:durableId="726876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3"/>
    <w:rsid w:val="00045E5E"/>
    <w:rsid w:val="000509F7"/>
    <w:rsid w:val="00097EFB"/>
    <w:rsid w:val="000B5E1D"/>
    <w:rsid w:val="000C172B"/>
    <w:rsid w:val="00105B23"/>
    <w:rsid w:val="0011070E"/>
    <w:rsid w:val="00181DA0"/>
    <w:rsid w:val="001D7A50"/>
    <w:rsid w:val="002248FB"/>
    <w:rsid w:val="00234E64"/>
    <w:rsid w:val="00294316"/>
    <w:rsid w:val="00322720"/>
    <w:rsid w:val="003335D8"/>
    <w:rsid w:val="00394FB9"/>
    <w:rsid w:val="003A366F"/>
    <w:rsid w:val="003E0970"/>
    <w:rsid w:val="004139E0"/>
    <w:rsid w:val="0041482A"/>
    <w:rsid w:val="00416F25"/>
    <w:rsid w:val="0043776E"/>
    <w:rsid w:val="00453115"/>
    <w:rsid w:val="004758C9"/>
    <w:rsid w:val="0048723C"/>
    <w:rsid w:val="004E7708"/>
    <w:rsid w:val="00500FDE"/>
    <w:rsid w:val="00533733"/>
    <w:rsid w:val="00550FF8"/>
    <w:rsid w:val="00566CD0"/>
    <w:rsid w:val="00637ED3"/>
    <w:rsid w:val="00642FEF"/>
    <w:rsid w:val="006638E5"/>
    <w:rsid w:val="00672733"/>
    <w:rsid w:val="006B1F24"/>
    <w:rsid w:val="006D6D37"/>
    <w:rsid w:val="007676C8"/>
    <w:rsid w:val="007C4DCE"/>
    <w:rsid w:val="008463D3"/>
    <w:rsid w:val="008818B0"/>
    <w:rsid w:val="008861D6"/>
    <w:rsid w:val="00977A53"/>
    <w:rsid w:val="009A4CA7"/>
    <w:rsid w:val="00A06B89"/>
    <w:rsid w:val="00A21836"/>
    <w:rsid w:val="00A44A75"/>
    <w:rsid w:val="00A84EE0"/>
    <w:rsid w:val="00BD17B0"/>
    <w:rsid w:val="00BF7A78"/>
    <w:rsid w:val="00C11132"/>
    <w:rsid w:val="00C47CC7"/>
    <w:rsid w:val="00C61B99"/>
    <w:rsid w:val="00D41A10"/>
    <w:rsid w:val="00D56DC4"/>
    <w:rsid w:val="00E042FE"/>
    <w:rsid w:val="00E516AB"/>
    <w:rsid w:val="00E90CB3"/>
    <w:rsid w:val="00EA0262"/>
    <w:rsid w:val="00EC61E3"/>
    <w:rsid w:val="00ED0AAA"/>
    <w:rsid w:val="00ED1EBA"/>
    <w:rsid w:val="00ED764F"/>
    <w:rsid w:val="00F02338"/>
    <w:rsid w:val="00F41E7E"/>
    <w:rsid w:val="00F5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B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iPriority w:val="99"/>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styleId="NoSpacing">
    <w:name w:val="No Spacing"/>
    <w:link w:val="NoSpacingChar"/>
    <w:uiPriority w:val="1"/>
    <w:qFormat/>
    <w:rsid w:val="004139E0"/>
    <w:rPr>
      <w:rFonts w:ascii="Calibri" w:eastAsia="MS Mincho" w:hAnsi="Calibri" w:cs="Arial"/>
      <w:sz w:val="22"/>
      <w:szCs w:val="22"/>
      <w:lang w:eastAsia="ja-JP"/>
    </w:rPr>
  </w:style>
  <w:style w:type="character" w:customStyle="1" w:styleId="NoSpacingChar">
    <w:name w:val="No Spacing Char"/>
    <w:link w:val="NoSpacing"/>
    <w:uiPriority w:val="1"/>
    <w:rsid w:val="004139E0"/>
    <w:rPr>
      <w:rFonts w:ascii="Calibri" w:eastAsia="MS Mincho" w:hAnsi="Calibri" w:cs="Arial"/>
      <w:sz w:val="22"/>
      <w:szCs w:val="22"/>
      <w:lang w:eastAsia="ja-JP"/>
    </w:rPr>
  </w:style>
  <w:style w:type="character" w:styleId="Hyperlink">
    <w:name w:val="Hyperlink"/>
    <w:uiPriority w:val="99"/>
    <w:unhideWhenUsed/>
    <w:rsid w:val="004139E0"/>
    <w:rPr>
      <w:color w:val="0000FF"/>
      <w:u w:val="single"/>
    </w:rPr>
  </w:style>
  <w:style w:type="paragraph" w:customStyle="1" w:styleId="Appelnotedebasde">
    <w:name w:val="Appel note de bas de..."/>
    <w:basedOn w:val="Normal"/>
    <w:link w:val="FootnoteReference"/>
    <w:uiPriority w:val="99"/>
    <w:rsid w:val="004139E0"/>
    <w:pPr>
      <w:spacing w:after="160" w:line="240" w:lineRule="exact"/>
    </w:pPr>
    <w:rPr>
      <w:vertAlign w:val="superscript"/>
    </w:rPr>
  </w:style>
  <w:style w:type="paragraph" w:customStyle="1" w:styleId="Default">
    <w:name w:val="Default"/>
    <w:rsid w:val="004139E0"/>
    <w:pPr>
      <w:autoSpaceDE w:val="0"/>
      <w:autoSpaceDN w:val="0"/>
      <w:adjustRightInd w:val="0"/>
    </w:pPr>
    <w:rPr>
      <w:rFonts w:ascii="Times New Roman" w:eastAsia="Calibri" w:hAnsi="Times New Roman" w:cs="Times New Roman"/>
      <w:color w:val="000000"/>
    </w:rPr>
  </w:style>
  <w:style w:type="paragraph" w:styleId="NormalWeb">
    <w:name w:val="Normal (Web)"/>
    <w:basedOn w:val="Normal"/>
    <w:uiPriority w:val="99"/>
    <w:unhideWhenUsed/>
    <w:rsid w:val="00ED764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97EFB"/>
    <w:rPr>
      <w:sz w:val="16"/>
      <w:szCs w:val="16"/>
    </w:rPr>
  </w:style>
  <w:style w:type="paragraph" w:styleId="CommentText">
    <w:name w:val="annotation text"/>
    <w:basedOn w:val="Normal"/>
    <w:link w:val="CommentTextChar"/>
    <w:uiPriority w:val="99"/>
    <w:semiHidden/>
    <w:unhideWhenUsed/>
    <w:rsid w:val="00097EFB"/>
    <w:rPr>
      <w:sz w:val="20"/>
      <w:szCs w:val="20"/>
    </w:rPr>
  </w:style>
  <w:style w:type="character" w:customStyle="1" w:styleId="CommentTextChar">
    <w:name w:val="Comment Text Char"/>
    <w:basedOn w:val="DefaultParagraphFont"/>
    <w:link w:val="CommentText"/>
    <w:uiPriority w:val="99"/>
    <w:semiHidden/>
    <w:rsid w:val="00097EFB"/>
    <w:rPr>
      <w:sz w:val="20"/>
      <w:szCs w:val="20"/>
    </w:rPr>
  </w:style>
  <w:style w:type="paragraph" w:styleId="CommentSubject">
    <w:name w:val="annotation subject"/>
    <w:basedOn w:val="CommentText"/>
    <w:next w:val="CommentText"/>
    <w:link w:val="CommentSubjectChar"/>
    <w:uiPriority w:val="99"/>
    <w:semiHidden/>
    <w:unhideWhenUsed/>
    <w:rsid w:val="00097EFB"/>
    <w:rPr>
      <w:b/>
      <w:bCs/>
    </w:rPr>
  </w:style>
  <w:style w:type="character" w:customStyle="1" w:styleId="CommentSubjectChar">
    <w:name w:val="Comment Subject Char"/>
    <w:basedOn w:val="CommentTextChar"/>
    <w:link w:val="CommentSubject"/>
    <w:uiPriority w:val="99"/>
    <w:semiHidden/>
    <w:rsid w:val="00097E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1485">
      <w:bodyDiv w:val="1"/>
      <w:marLeft w:val="0"/>
      <w:marRight w:val="0"/>
      <w:marTop w:val="0"/>
      <w:marBottom w:val="0"/>
      <w:divBdr>
        <w:top w:val="none" w:sz="0" w:space="0" w:color="auto"/>
        <w:left w:val="none" w:sz="0" w:space="0" w:color="auto"/>
        <w:bottom w:val="none" w:sz="0" w:space="0" w:color="auto"/>
        <w:right w:val="none" w:sz="0" w:space="0" w:color="auto"/>
      </w:divBdr>
      <w:divsChild>
        <w:div w:id="1993682457">
          <w:marLeft w:val="0"/>
          <w:marRight w:val="0"/>
          <w:marTop w:val="0"/>
          <w:marBottom w:val="0"/>
          <w:divBdr>
            <w:top w:val="none" w:sz="0" w:space="0" w:color="auto"/>
            <w:left w:val="none" w:sz="0" w:space="0" w:color="auto"/>
            <w:bottom w:val="none" w:sz="0" w:space="0" w:color="auto"/>
            <w:right w:val="none" w:sz="0" w:space="0" w:color="auto"/>
          </w:divBdr>
          <w:divsChild>
            <w:div w:id="267855104">
              <w:marLeft w:val="0"/>
              <w:marRight w:val="0"/>
              <w:marTop w:val="0"/>
              <w:marBottom w:val="0"/>
              <w:divBdr>
                <w:top w:val="none" w:sz="0" w:space="0" w:color="auto"/>
                <w:left w:val="none" w:sz="0" w:space="0" w:color="auto"/>
                <w:bottom w:val="none" w:sz="0" w:space="0" w:color="auto"/>
                <w:right w:val="none" w:sz="0" w:space="0" w:color="auto"/>
              </w:divBdr>
              <w:divsChild>
                <w:div w:id="13035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6075">
      <w:bodyDiv w:val="1"/>
      <w:marLeft w:val="0"/>
      <w:marRight w:val="0"/>
      <w:marTop w:val="0"/>
      <w:marBottom w:val="0"/>
      <w:divBdr>
        <w:top w:val="none" w:sz="0" w:space="0" w:color="auto"/>
        <w:left w:val="none" w:sz="0" w:space="0" w:color="auto"/>
        <w:bottom w:val="none" w:sz="0" w:space="0" w:color="auto"/>
        <w:right w:val="none" w:sz="0" w:space="0" w:color="auto"/>
      </w:divBdr>
      <w:divsChild>
        <w:div w:id="805776087">
          <w:marLeft w:val="0"/>
          <w:marRight w:val="0"/>
          <w:marTop w:val="0"/>
          <w:marBottom w:val="0"/>
          <w:divBdr>
            <w:top w:val="none" w:sz="0" w:space="0" w:color="auto"/>
            <w:left w:val="none" w:sz="0" w:space="0" w:color="auto"/>
            <w:bottom w:val="none" w:sz="0" w:space="0" w:color="auto"/>
            <w:right w:val="none" w:sz="0" w:space="0" w:color="auto"/>
          </w:divBdr>
          <w:divsChild>
            <w:div w:id="77023195">
              <w:marLeft w:val="0"/>
              <w:marRight w:val="0"/>
              <w:marTop w:val="0"/>
              <w:marBottom w:val="0"/>
              <w:divBdr>
                <w:top w:val="none" w:sz="0" w:space="0" w:color="auto"/>
                <w:left w:val="none" w:sz="0" w:space="0" w:color="auto"/>
                <w:bottom w:val="none" w:sz="0" w:space="0" w:color="auto"/>
                <w:right w:val="none" w:sz="0" w:space="0" w:color="auto"/>
              </w:divBdr>
              <w:divsChild>
                <w:div w:id="3080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679">
      <w:bodyDiv w:val="1"/>
      <w:marLeft w:val="0"/>
      <w:marRight w:val="0"/>
      <w:marTop w:val="0"/>
      <w:marBottom w:val="0"/>
      <w:divBdr>
        <w:top w:val="none" w:sz="0" w:space="0" w:color="auto"/>
        <w:left w:val="none" w:sz="0" w:space="0" w:color="auto"/>
        <w:bottom w:val="none" w:sz="0" w:space="0" w:color="auto"/>
        <w:right w:val="none" w:sz="0" w:space="0" w:color="auto"/>
      </w:divBdr>
      <w:divsChild>
        <w:div w:id="1332948862">
          <w:marLeft w:val="0"/>
          <w:marRight w:val="0"/>
          <w:marTop w:val="0"/>
          <w:marBottom w:val="0"/>
          <w:divBdr>
            <w:top w:val="none" w:sz="0" w:space="0" w:color="auto"/>
            <w:left w:val="none" w:sz="0" w:space="0" w:color="auto"/>
            <w:bottom w:val="none" w:sz="0" w:space="0" w:color="auto"/>
            <w:right w:val="none" w:sz="0" w:space="0" w:color="auto"/>
          </w:divBdr>
          <w:divsChild>
            <w:div w:id="1256405105">
              <w:marLeft w:val="0"/>
              <w:marRight w:val="0"/>
              <w:marTop w:val="0"/>
              <w:marBottom w:val="0"/>
              <w:divBdr>
                <w:top w:val="none" w:sz="0" w:space="0" w:color="auto"/>
                <w:left w:val="none" w:sz="0" w:space="0" w:color="auto"/>
                <w:bottom w:val="none" w:sz="0" w:space="0" w:color="auto"/>
                <w:right w:val="none" w:sz="0" w:space="0" w:color="auto"/>
              </w:divBdr>
              <w:divsChild>
                <w:div w:id="17859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0847">
      <w:bodyDiv w:val="1"/>
      <w:marLeft w:val="0"/>
      <w:marRight w:val="0"/>
      <w:marTop w:val="0"/>
      <w:marBottom w:val="0"/>
      <w:divBdr>
        <w:top w:val="none" w:sz="0" w:space="0" w:color="auto"/>
        <w:left w:val="none" w:sz="0" w:space="0" w:color="auto"/>
        <w:bottom w:val="none" w:sz="0" w:space="0" w:color="auto"/>
        <w:right w:val="none" w:sz="0" w:space="0" w:color="auto"/>
      </w:divBdr>
      <w:divsChild>
        <w:div w:id="1068696213">
          <w:marLeft w:val="0"/>
          <w:marRight w:val="0"/>
          <w:marTop w:val="0"/>
          <w:marBottom w:val="0"/>
          <w:divBdr>
            <w:top w:val="none" w:sz="0" w:space="0" w:color="auto"/>
            <w:left w:val="none" w:sz="0" w:space="0" w:color="auto"/>
            <w:bottom w:val="none" w:sz="0" w:space="0" w:color="auto"/>
            <w:right w:val="none" w:sz="0" w:space="0" w:color="auto"/>
          </w:divBdr>
          <w:divsChild>
            <w:div w:id="1975284422">
              <w:marLeft w:val="0"/>
              <w:marRight w:val="0"/>
              <w:marTop w:val="0"/>
              <w:marBottom w:val="0"/>
              <w:divBdr>
                <w:top w:val="none" w:sz="0" w:space="0" w:color="auto"/>
                <w:left w:val="none" w:sz="0" w:space="0" w:color="auto"/>
                <w:bottom w:val="none" w:sz="0" w:space="0" w:color="auto"/>
                <w:right w:val="none" w:sz="0" w:space="0" w:color="auto"/>
              </w:divBdr>
              <w:divsChild>
                <w:div w:id="12135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0370">
      <w:bodyDiv w:val="1"/>
      <w:marLeft w:val="0"/>
      <w:marRight w:val="0"/>
      <w:marTop w:val="0"/>
      <w:marBottom w:val="0"/>
      <w:divBdr>
        <w:top w:val="none" w:sz="0" w:space="0" w:color="auto"/>
        <w:left w:val="none" w:sz="0" w:space="0" w:color="auto"/>
        <w:bottom w:val="none" w:sz="0" w:space="0" w:color="auto"/>
        <w:right w:val="none" w:sz="0" w:space="0" w:color="auto"/>
      </w:divBdr>
      <w:divsChild>
        <w:div w:id="1068186762">
          <w:marLeft w:val="0"/>
          <w:marRight w:val="0"/>
          <w:marTop w:val="0"/>
          <w:marBottom w:val="0"/>
          <w:divBdr>
            <w:top w:val="none" w:sz="0" w:space="0" w:color="auto"/>
            <w:left w:val="none" w:sz="0" w:space="0" w:color="auto"/>
            <w:bottom w:val="none" w:sz="0" w:space="0" w:color="auto"/>
            <w:right w:val="none" w:sz="0" w:space="0" w:color="auto"/>
          </w:divBdr>
          <w:divsChild>
            <w:div w:id="1351761702">
              <w:marLeft w:val="0"/>
              <w:marRight w:val="0"/>
              <w:marTop w:val="0"/>
              <w:marBottom w:val="0"/>
              <w:divBdr>
                <w:top w:val="none" w:sz="0" w:space="0" w:color="auto"/>
                <w:left w:val="none" w:sz="0" w:space="0" w:color="auto"/>
                <w:bottom w:val="none" w:sz="0" w:space="0" w:color="auto"/>
                <w:right w:val="none" w:sz="0" w:space="0" w:color="auto"/>
              </w:divBdr>
              <w:divsChild>
                <w:div w:id="1321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007363">
      <w:bodyDiv w:val="1"/>
      <w:marLeft w:val="0"/>
      <w:marRight w:val="0"/>
      <w:marTop w:val="0"/>
      <w:marBottom w:val="0"/>
      <w:divBdr>
        <w:top w:val="none" w:sz="0" w:space="0" w:color="auto"/>
        <w:left w:val="none" w:sz="0" w:space="0" w:color="auto"/>
        <w:bottom w:val="none" w:sz="0" w:space="0" w:color="auto"/>
        <w:right w:val="none" w:sz="0" w:space="0" w:color="auto"/>
      </w:divBdr>
      <w:divsChild>
        <w:div w:id="452748352">
          <w:marLeft w:val="0"/>
          <w:marRight w:val="0"/>
          <w:marTop w:val="0"/>
          <w:marBottom w:val="0"/>
          <w:divBdr>
            <w:top w:val="none" w:sz="0" w:space="0" w:color="auto"/>
            <w:left w:val="none" w:sz="0" w:space="0" w:color="auto"/>
            <w:bottom w:val="none" w:sz="0" w:space="0" w:color="auto"/>
            <w:right w:val="none" w:sz="0" w:space="0" w:color="auto"/>
          </w:divBdr>
          <w:divsChild>
            <w:div w:id="801773267">
              <w:marLeft w:val="0"/>
              <w:marRight w:val="0"/>
              <w:marTop w:val="0"/>
              <w:marBottom w:val="0"/>
              <w:divBdr>
                <w:top w:val="none" w:sz="0" w:space="0" w:color="auto"/>
                <w:left w:val="none" w:sz="0" w:space="0" w:color="auto"/>
                <w:bottom w:val="none" w:sz="0" w:space="0" w:color="auto"/>
                <w:right w:val="none" w:sz="0" w:space="0" w:color="auto"/>
              </w:divBdr>
              <w:divsChild>
                <w:div w:id="11231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7055">
      <w:bodyDiv w:val="1"/>
      <w:marLeft w:val="0"/>
      <w:marRight w:val="0"/>
      <w:marTop w:val="0"/>
      <w:marBottom w:val="0"/>
      <w:divBdr>
        <w:top w:val="none" w:sz="0" w:space="0" w:color="auto"/>
        <w:left w:val="none" w:sz="0" w:space="0" w:color="auto"/>
        <w:bottom w:val="none" w:sz="0" w:space="0" w:color="auto"/>
        <w:right w:val="none" w:sz="0" w:space="0" w:color="auto"/>
      </w:divBdr>
      <w:divsChild>
        <w:div w:id="1532305010">
          <w:marLeft w:val="0"/>
          <w:marRight w:val="0"/>
          <w:marTop w:val="0"/>
          <w:marBottom w:val="0"/>
          <w:divBdr>
            <w:top w:val="none" w:sz="0" w:space="0" w:color="auto"/>
            <w:left w:val="none" w:sz="0" w:space="0" w:color="auto"/>
            <w:bottom w:val="none" w:sz="0" w:space="0" w:color="auto"/>
            <w:right w:val="none" w:sz="0" w:space="0" w:color="auto"/>
          </w:divBdr>
          <w:divsChild>
            <w:div w:id="2001960941">
              <w:marLeft w:val="0"/>
              <w:marRight w:val="0"/>
              <w:marTop w:val="0"/>
              <w:marBottom w:val="0"/>
              <w:divBdr>
                <w:top w:val="none" w:sz="0" w:space="0" w:color="auto"/>
                <w:left w:val="none" w:sz="0" w:space="0" w:color="auto"/>
                <w:bottom w:val="none" w:sz="0" w:space="0" w:color="auto"/>
                <w:right w:val="none" w:sz="0" w:space="0" w:color="auto"/>
              </w:divBdr>
              <w:divsChild>
                <w:div w:id="11047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06027">
      <w:bodyDiv w:val="1"/>
      <w:marLeft w:val="0"/>
      <w:marRight w:val="0"/>
      <w:marTop w:val="0"/>
      <w:marBottom w:val="0"/>
      <w:divBdr>
        <w:top w:val="none" w:sz="0" w:space="0" w:color="auto"/>
        <w:left w:val="none" w:sz="0" w:space="0" w:color="auto"/>
        <w:bottom w:val="none" w:sz="0" w:space="0" w:color="auto"/>
        <w:right w:val="none" w:sz="0" w:space="0" w:color="auto"/>
      </w:divBdr>
      <w:divsChild>
        <w:div w:id="1299146506">
          <w:marLeft w:val="0"/>
          <w:marRight w:val="0"/>
          <w:marTop w:val="0"/>
          <w:marBottom w:val="0"/>
          <w:divBdr>
            <w:top w:val="none" w:sz="0" w:space="0" w:color="auto"/>
            <w:left w:val="none" w:sz="0" w:space="0" w:color="auto"/>
            <w:bottom w:val="none" w:sz="0" w:space="0" w:color="auto"/>
            <w:right w:val="none" w:sz="0" w:space="0" w:color="auto"/>
          </w:divBdr>
          <w:divsChild>
            <w:div w:id="598566304">
              <w:marLeft w:val="0"/>
              <w:marRight w:val="0"/>
              <w:marTop w:val="0"/>
              <w:marBottom w:val="0"/>
              <w:divBdr>
                <w:top w:val="none" w:sz="0" w:space="0" w:color="auto"/>
                <w:left w:val="none" w:sz="0" w:space="0" w:color="auto"/>
                <w:bottom w:val="none" w:sz="0" w:space="0" w:color="auto"/>
                <w:right w:val="none" w:sz="0" w:space="0" w:color="auto"/>
              </w:divBdr>
              <w:divsChild>
                <w:div w:id="1684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16957">
      <w:bodyDiv w:val="1"/>
      <w:marLeft w:val="0"/>
      <w:marRight w:val="0"/>
      <w:marTop w:val="0"/>
      <w:marBottom w:val="0"/>
      <w:divBdr>
        <w:top w:val="none" w:sz="0" w:space="0" w:color="auto"/>
        <w:left w:val="none" w:sz="0" w:space="0" w:color="auto"/>
        <w:bottom w:val="none" w:sz="0" w:space="0" w:color="auto"/>
        <w:right w:val="none" w:sz="0" w:space="0" w:color="auto"/>
      </w:divBdr>
      <w:divsChild>
        <w:div w:id="539124000">
          <w:marLeft w:val="0"/>
          <w:marRight w:val="0"/>
          <w:marTop w:val="0"/>
          <w:marBottom w:val="0"/>
          <w:divBdr>
            <w:top w:val="none" w:sz="0" w:space="0" w:color="auto"/>
            <w:left w:val="none" w:sz="0" w:space="0" w:color="auto"/>
            <w:bottom w:val="none" w:sz="0" w:space="0" w:color="auto"/>
            <w:right w:val="none" w:sz="0" w:space="0" w:color="auto"/>
          </w:divBdr>
          <w:divsChild>
            <w:div w:id="1509978377">
              <w:marLeft w:val="0"/>
              <w:marRight w:val="0"/>
              <w:marTop w:val="0"/>
              <w:marBottom w:val="0"/>
              <w:divBdr>
                <w:top w:val="none" w:sz="0" w:space="0" w:color="auto"/>
                <w:left w:val="none" w:sz="0" w:space="0" w:color="auto"/>
                <w:bottom w:val="none" w:sz="0" w:space="0" w:color="auto"/>
                <w:right w:val="none" w:sz="0" w:space="0" w:color="auto"/>
              </w:divBdr>
              <w:divsChild>
                <w:div w:id="18257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4118">
      <w:bodyDiv w:val="1"/>
      <w:marLeft w:val="0"/>
      <w:marRight w:val="0"/>
      <w:marTop w:val="0"/>
      <w:marBottom w:val="0"/>
      <w:divBdr>
        <w:top w:val="none" w:sz="0" w:space="0" w:color="auto"/>
        <w:left w:val="none" w:sz="0" w:space="0" w:color="auto"/>
        <w:bottom w:val="none" w:sz="0" w:space="0" w:color="auto"/>
        <w:right w:val="none" w:sz="0" w:space="0" w:color="auto"/>
      </w:divBdr>
      <w:divsChild>
        <w:div w:id="908350584">
          <w:marLeft w:val="0"/>
          <w:marRight w:val="0"/>
          <w:marTop w:val="0"/>
          <w:marBottom w:val="0"/>
          <w:divBdr>
            <w:top w:val="none" w:sz="0" w:space="0" w:color="auto"/>
            <w:left w:val="none" w:sz="0" w:space="0" w:color="auto"/>
            <w:bottom w:val="none" w:sz="0" w:space="0" w:color="auto"/>
            <w:right w:val="none" w:sz="0" w:space="0" w:color="auto"/>
          </w:divBdr>
          <w:divsChild>
            <w:div w:id="2124762736">
              <w:marLeft w:val="0"/>
              <w:marRight w:val="0"/>
              <w:marTop w:val="0"/>
              <w:marBottom w:val="0"/>
              <w:divBdr>
                <w:top w:val="none" w:sz="0" w:space="0" w:color="auto"/>
                <w:left w:val="none" w:sz="0" w:space="0" w:color="auto"/>
                <w:bottom w:val="none" w:sz="0" w:space="0" w:color="auto"/>
                <w:right w:val="none" w:sz="0" w:space="0" w:color="auto"/>
              </w:divBdr>
              <w:divsChild>
                <w:div w:id="17981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95538">
      <w:bodyDiv w:val="1"/>
      <w:marLeft w:val="0"/>
      <w:marRight w:val="0"/>
      <w:marTop w:val="0"/>
      <w:marBottom w:val="0"/>
      <w:divBdr>
        <w:top w:val="none" w:sz="0" w:space="0" w:color="auto"/>
        <w:left w:val="none" w:sz="0" w:space="0" w:color="auto"/>
        <w:bottom w:val="none" w:sz="0" w:space="0" w:color="auto"/>
        <w:right w:val="none" w:sz="0" w:space="0" w:color="auto"/>
      </w:divBdr>
      <w:divsChild>
        <w:div w:id="601113115">
          <w:marLeft w:val="0"/>
          <w:marRight w:val="0"/>
          <w:marTop w:val="0"/>
          <w:marBottom w:val="0"/>
          <w:divBdr>
            <w:top w:val="none" w:sz="0" w:space="0" w:color="auto"/>
            <w:left w:val="none" w:sz="0" w:space="0" w:color="auto"/>
            <w:bottom w:val="none" w:sz="0" w:space="0" w:color="auto"/>
            <w:right w:val="none" w:sz="0" w:space="0" w:color="auto"/>
          </w:divBdr>
          <w:divsChild>
            <w:div w:id="1881236071">
              <w:marLeft w:val="0"/>
              <w:marRight w:val="0"/>
              <w:marTop w:val="0"/>
              <w:marBottom w:val="0"/>
              <w:divBdr>
                <w:top w:val="none" w:sz="0" w:space="0" w:color="auto"/>
                <w:left w:val="none" w:sz="0" w:space="0" w:color="auto"/>
                <w:bottom w:val="none" w:sz="0" w:space="0" w:color="auto"/>
                <w:right w:val="none" w:sz="0" w:space="0" w:color="auto"/>
              </w:divBdr>
              <w:divsChild>
                <w:div w:id="202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3040">
      <w:bodyDiv w:val="1"/>
      <w:marLeft w:val="0"/>
      <w:marRight w:val="0"/>
      <w:marTop w:val="0"/>
      <w:marBottom w:val="0"/>
      <w:divBdr>
        <w:top w:val="none" w:sz="0" w:space="0" w:color="auto"/>
        <w:left w:val="none" w:sz="0" w:space="0" w:color="auto"/>
        <w:bottom w:val="none" w:sz="0" w:space="0" w:color="auto"/>
        <w:right w:val="none" w:sz="0" w:space="0" w:color="auto"/>
      </w:divBdr>
      <w:divsChild>
        <w:div w:id="1353993259">
          <w:marLeft w:val="0"/>
          <w:marRight w:val="0"/>
          <w:marTop w:val="0"/>
          <w:marBottom w:val="0"/>
          <w:divBdr>
            <w:top w:val="none" w:sz="0" w:space="0" w:color="auto"/>
            <w:left w:val="none" w:sz="0" w:space="0" w:color="auto"/>
            <w:bottom w:val="none" w:sz="0" w:space="0" w:color="auto"/>
            <w:right w:val="none" w:sz="0" w:space="0" w:color="auto"/>
          </w:divBdr>
          <w:divsChild>
            <w:div w:id="664668539">
              <w:marLeft w:val="0"/>
              <w:marRight w:val="0"/>
              <w:marTop w:val="0"/>
              <w:marBottom w:val="0"/>
              <w:divBdr>
                <w:top w:val="none" w:sz="0" w:space="0" w:color="auto"/>
                <w:left w:val="none" w:sz="0" w:space="0" w:color="auto"/>
                <w:bottom w:val="none" w:sz="0" w:space="0" w:color="auto"/>
                <w:right w:val="none" w:sz="0" w:space="0" w:color="auto"/>
              </w:divBdr>
              <w:divsChild>
                <w:div w:id="19818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7316">
      <w:bodyDiv w:val="1"/>
      <w:marLeft w:val="0"/>
      <w:marRight w:val="0"/>
      <w:marTop w:val="0"/>
      <w:marBottom w:val="0"/>
      <w:divBdr>
        <w:top w:val="none" w:sz="0" w:space="0" w:color="auto"/>
        <w:left w:val="none" w:sz="0" w:space="0" w:color="auto"/>
        <w:bottom w:val="none" w:sz="0" w:space="0" w:color="auto"/>
        <w:right w:val="none" w:sz="0" w:space="0" w:color="auto"/>
      </w:divBdr>
      <w:divsChild>
        <w:div w:id="742877213">
          <w:marLeft w:val="0"/>
          <w:marRight w:val="0"/>
          <w:marTop w:val="0"/>
          <w:marBottom w:val="0"/>
          <w:divBdr>
            <w:top w:val="none" w:sz="0" w:space="0" w:color="auto"/>
            <w:left w:val="none" w:sz="0" w:space="0" w:color="auto"/>
            <w:bottom w:val="none" w:sz="0" w:space="0" w:color="auto"/>
            <w:right w:val="none" w:sz="0" w:space="0" w:color="auto"/>
          </w:divBdr>
          <w:divsChild>
            <w:div w:id="454300724">
              <w:marLeft w:val="0"/>
              <w:marRight w:val="0"/>
              <w:marTop w:val="0"/>
              <w:marBottom w:val="0"/>
              <w:divBdr>
                <w:top w:val="none" w:sz="0" w:space="0" w:color="auto"/>
                <w:left w:val="none" w:sz="0" w:space="0" w:color="auto"/>
                <w:bottom w:val="none" w:sz="0" w:space="0" w:color="auto"/>
                <w:right w:val="none" w:sz="0" w:space="0" w:color="auto"/>
              </w:divBdr>
              <w:divsChild>
                <w:div w:id="2243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7500">
      <w:bodyDiv w:val="1"/>
      <w:marLeft w:val="0"/>
      <w:marRight w:val="0"/>
      <w:marTop w:val="0"/>
      <w:marBottom w:val="0"/>
      <w:divBdr>
        <w:top w:val="none" w:sz="0" w:space="0" w:color="auto"/>
        <w:left w:val="none" w:sz="0" w:space="0" w:color="auto"/>
        <w:bottom w:val="none" w:sz="0" w:space="0" w:color="auto"/>
        <w:right w:val="none" w:sz="0" w:space="0" w:color="auto"/>
      </w:divBdr>
      <w:divsChild>
        <w:div w:id="2134589423">
          <w:marLeft w:val="0"/>
          <w:marRight w:val="0"/>
          <w:marTop w:val="0"/>
          <w:marBottom w:val="0"/>
          <w:divBdr>
            <w:top w:val="none" w:sz="0" w:space="0" w:color="auto"/>
            <w:left w:val="none" w:sz="0" w:space="0" w:color="auto"/>
            <w:bottom w:val="none" w:sz="0" w:space="0" w:color="auto"/>
            <w:right w:val="none" w:sz="0" w:space="0" w:color="auto"/>
          </w:divBdr>
          <w:divsChild>
            <w:div w:id="493643506">
              <w:marLeft w:val="0"/>
              <w:marRight w:val="0"/>
              <w:marTop w:val="0"/>
              <w:marBottom w:val="0"/>
              <w:divBdr>
                <w:top w:val="none" w:sz="0" w:space="0" w:color="auto"/>
                <w:left w:val="none" w:sz="0" w:space="0" w:color="auto"/>
                <w:bottom w:val="none" w:sz="0" w:space="0" w:color="auto"/>
                <w:right w:val="none" w:sz="0" w:space="0" w:color="auto"/>
              </w:divBdr>
              <w:divsChild>
                <w:div w:id="3604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6265">
      <w:bodyDiv w:val="1"/>
      <w:marLeft w:val="0"/>
      <w:marRight w:val="0"/>
      <w:marTop w:val="0"/>
      <w:marBottom w:val="0"/>
      <w:divBdr>
        <w:top w:val="none" w:sz="0" w:space="0" w:color="auto"/>
        <w:left w:val="none" w:sz="0" w:space="0" w:color="auto"/>
        <w:bottom w:val="none" w:sz="0" w:space="0" w:color="auto"/>
        <w:right w:val="none" w:sz="0" w:space="0" w:color="auto"/>
      </w:divBdr>
      <w:divsChild>
        <w:div w:id="738939748">
          <w:marLeft w:val="0"/>
          <w:marRight w:val="0"/>
          <w:marTop w:val="0"/>
          <w:marBottom w:val="0"/>
          <w:divBdr>
            <w:top w:val="none" w:sz="0" w:space="0" w:color="auto"/>
            <w:left w:val="none" w:sz="0" w:space="0" w:color="auto"/>
            <w:bottom w:val="none" w:sz="0" w:space="0" w:color="auto"/>
            <w:right w:val="none" w:sz="0" w:space="0" w:color="auto"/>
          </w:divBdr>
          <w:divsChild>
            <w:div w:id="2130852896">
              <w:marLeft w:val="0"/>
              <w:marRight w:val="0"/>
              <w:marTop w:val="0"/>
              <w:marBottom w:val="0"/>
              <w:divBdr>
                <w:top w:val="none" w:sz="0" w:space="0" w:color="auto"/>
                <w:left w:val="none" w:sz="0" w:space="0" w:color="auto"/>
                <w:bottom w:val="none" w:sz="0" w:space="0" w:color="auto"/>
                <w:right w:val="none" w:sz="0" w:space="0" w:color="auto"/>
              </w:divBdr>
              <w:divsChild>
                <w:div w:id="17760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73018">
      <w:bodyDiv w:val="1"/>
      <w:marLeft w:val="0"/>
      <w:marRight w:val="0"/>
      <w:marTop w:val="0"/>
      <w:marBottom w:val="0"/>
      <w:divBdr>
        <w:top w:val="none" w:sz="0" w:space="0" w:color="auto"/>
        <w:left w:val="none" w:sz="0" w:space="0" w:color="auto"/>
        <w:bottom w:val="none" w:sz="0" w:space="0" w:color="auto"/>
        <w:right w:val="none" w:sz="0" w:space="0" w:color="auto"/>
      </w:divBdr>
      <w:divsChild>
        <w:div w:id="629283123">
          <w:marLeft w:val="0"/>
          <w:marRight w:val="0"/>
          <w:marTop w:val="0"/>
          <w:marBottom w:val="0"/>
          <w:divBdr>
            <w:top w:val="none" w:sz="0" w:space="0" w:color="auto"/>
            <w:left w:val="none" w:sz="0" w:space="0" w:color="auto"/>
            <w:bottom w:val="none" w:sz="0" w:space="0" w:color="auto"/>
            <w:right w:val="none" w:sz="0" w:space="0" w:color="auto"/>
          </w:divBdr>
          <w:divsChild>
            <w:div w:id="279263113">
              <w:marLeft w:val="0"/>
              <w:marRight w:val="0"/>
              <w:marTop w:val="0"/>
              <w:marBottom w:val="0"/>
              <w:divBdr>
                <w:top w:val="none" w:sz="0" w:space="0" w:color="auto"/>
                <w:left w:val="none" w:sz="0" w:space="0" w:color="auto"/>
                <w:bottom w:val="none" w:sz="0" w:space="0" w:color="auto"/>
                <w:right w:val="none" w:sz="0" w:space="0" w:color="auto"/>
              </w:divBdr>
              <w:divsChild>
                <w:div w:id="165151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2394">
      <w:bodyDiv w:val="1"/>
      <w:marLeft w:val="0"/>
      <w:marRight w:val="0"/>
      <w:marTop w:val="0"/>
      <w:marBottom w:val="0"/>
      <w:divBdr>
        <w:top w:val="none" w:sz="0" w:space="0" w:color="auto"/>
        <w:left w:val="none" w:sz="0" w:space="0" w:color="auto"/>
        <w:bottom w:val="none" w:sz="0" w:space="0" w:color="auto"/>
        <w:right w:val="none" w:sz="0" w:space="0" w:color="auto"/>
      </w:divBdr>
      <w:divsChild>
        <w:div w:id="587422452">
          <w:marLeft w:val="0"/>
          <w:marRight w:val="0"/>
          <w:marTop w:val="0"/>
          <w:marBottom w:val="0"/>
          <w:divBdr>
            <w:top w:val="none" w:sz="0" w:space="0" w:color="auto"/>
            <w:left w:val="none" w:sz="0" w:space="0" w:color="auto"/>
            <w:bottom w:val="none" w:sz="0" w:space="0" w:color="auto"/>
            <w:right w:val="none" w:sz="0" w:space="0" w:color="auto"/>
          </w:divBdr>
          <w:divsChild>
            <w:div w:id="625887695">
              <w:marLeft w:val="0"/>
              <w:marRight w:val="0"/>
              <w:marTop w:val="0"/>
              <w:marBottom w:val="0"/>
              <w:divBdr>
                <w:top w:val="none" w:sz="0" w:space="0" w:color="auto"/>
                <w:left w:val="none" w:sz="0" w:space="0" w:color="auto"/>
                <w:bottom w:val="none" w:sz="0" w:space="0" w:color="auto"/>
                <w:right w:val="none" w:sz="0" w:space="0" w:color="auto"/>
              </w:divBdr>
              <w:divsChild>
                <w:div w:id="192094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550">
      <w:bodyDiv w:val="1"/>
      <w:marLeft w:val="0"/>
      <w:marRight w:val="0"/>
      <w:marTop w:val="0"/>
      <w:marBottom w:val="0"/>
      <w:divBdr>
        <w:top w:val="none" w:sz="0" w:space="0" w:color="auto"/>
        <w:left w:val="none" w:sz="0" w:space="0" w:color="auto"/>
        <w:bottom w:val="none" w:sz="0" w:space="0" w:color="auto"/>
        <w:right w:val="none" w:sz="0" w:space="0" w:color="auto"/>
      </w:divBdr>
      <w:divsChild>
        <w:div w:id="421074711">
          <w:marLeft w:val="0"/>
          <w:marRight w:val="0"/>
          <w:marTop w:val="0"/>
          <w:marBottom w:val="0"/>
          <w:divBdr>
            <w:top w:val="none" w:sz="0" w:space="0" w:color="auto"/>
            <w:left w:val="none" w:sz="0" w:space="0" w:color="auto"/>
            <w:bottom w:val="none" w:sz="0" w:space="0" w:color="auto"/>
            <w:right w:val="none" w:sz="0" w:space="0" w:color="auto"/>
          </w:divBdr>
          <w:divsChild>
            <w:div w:id="718168071">
              <w:marLeft w:val="0"/>
              <w:marRight w:val="0"/>
              <w:marTop w:val="0"/>
              <w:marBottom w:val="0"/>
              <w:divBdr>
                <w:top w:val="none" w:sz="0" w:space="0" w:color="auto"/>
                <w:left w:val="none" w:sz="0" w:space="0" w:color="auto"/>
                <w:bottom w:val="none" w:sz="0" w:space="0" w:color="auto"/>
                <w:right w:val="none" w:sz="0" w:space="0" w:color="auto"/>
              </w:divBdr>
              <w:divsChild>
                <w:div w:id="3235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2387">
      <w:bodyDiv w:val="1"/>
      <w:marLeft w:val="0"/>
      <w:marRight w:val="0"/>
      <w:marTop w:val="0"/>
      <w:marBottom w:val="0"/>
      <w:divBdr>
        <w:top w:val="none" w:sz="0" w:space="0" w:color="auto"/>
        <w:left w:val="none" w:sz="0" w:space="0" w:color="auto"/>
        <w:bottom w:val="none" w:sz="0" w:space="0" w:color="auto"/>
        <w:right w:val="none" w:sz="0" w:space="0" w:color="auto"/>
      </w:divBdr>
      <w:divsChild>
        <w:div w:id="1418862977">
          <w:marLeft w:val="0"/>
          <w:marRight w:val="0"/>
          <w:marTop w:val="0"/>
          <w:marBottom w:val="0"/>
          <w:divBdr>
            <w:top w:val="none" w:sz="0" w:space="0" w:color="auto"/>
            <w:left w:val="none" w:sz="0" w:space="0" w:color="auto"/>
            <w:bottom w:val="none" w:sz="0" w:space="0" w:color="auto"/>
            <w:right w:val="none" w:sz="0" w:space="0" w:color="auto"/>
          </w:divBdr>
          <w:divsChild>
            <w:div w:id="1518424615">
              <w:marLeft w:val="0"/>
              <w:marRight w:val="0"/>
              <w:marTop w:val="0"/>
              <w:marBottom w:val="0"/>
              <w:divBdr>
                <w:top w:val="none" w:sz="0" w:space="0" w:color="auto"/>
                <w:left w:val="none" w:sz="0" w:space="0" w:color="auto"/>
                <w:bottom w:val="none" w:sz="0" w:space="0" w:color="auto"/>
                <w:right w:val="none" w:sz="0" w:space="0" w:color="auto"/>
              </w:divBdr>
              <w:divsChild>
                <w:div w:id="9079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80666">
      <w:bodyDiv w:val="1"/>
      <w:marLeft w:val="0"/>
      <w:marRight w:val="0"/>
      <w:marTop w:val="0"/>
      <w:marBottom w:val="0"/>
      <w:divBdr>
        <w:top w:val="none" w:sz="0" w:space="0" w:color="auto"/>
        <w:left w:val="none" w:sz="0" w:space="0" w:color="auto"/>
        <w:bottom w:val="none" w:sz="0" w:space="0" w:color="auto"/>
        <w:right w:val="none" w:sz="0" w:space="0" w:color="auto"/>
      </w:divBdr>
      <w:divsChild>
        <w:div w:id="624238850">
          <w:marLeft w:val="0"/>
          <w:marRight w:val="0"/>
          <w:marTop w:val="0"/>
          <w:marBottom w:val="0"/>
          <w:divBdr>
            <w:top w:val="none" w:sz="0" w:space="0" w:color="auto"/>
            <w:left w:val="none" w:sz="0" w:space="0" w:color="auto"/>
            <w:bottom w:val="none" w:sz="0" w:space="0" w:color="auto"/>
            <w:right w:val="none" w:sz="0" w:space="0" w:color="auto"/>
          </w:divBdr>
          <w:divsChild>
            <w:div w:id="1423799915">
              <w:marLeft w:val="0"/>
              <w:marRight w:val="0"/>
              <w:marTop w:val="0"/>
              <w:marBottom w:val="0"/>
              <w:divBdr>
                <w:top w:val="none" w:sz="0" w:space="0" w:color="auto"/>
                <w:left w:val="none" w:sz="0" w:space="0" w:color="auto"/>
                <w:bottom w:val="none" w:sz="0" w:space="0" w:color="auto"/>
                <w:right w:val="none" w:sz="0" w:space="0" w:color="auto"/>
              </w:divBdr>
              <w:divsChild>
                <w:div w:id="7710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19255">
      <w:bodyDiv w:val="1"/>
      <w:marLeft w:val="0"/>
      <w:marRight w:val="0"/>
      <w:marTop w:val="0"/>
      <w:marBottom w:val="0"/>
      <w:divBdr>
        <w:top w:val="none" w:sz="0" w:space="0" w:color="auto"/>
        <w:left w:val="none" w:sz="0" w:space="0" w:color="auto"/>
        <w:bottom w:val="none" w:sz="0" w:space="0" w:color="auto"/>
        <w:right w:val="none" w:sz="0" w:space="0" w:color="auto"/>
      </w:divBdr>
      <w:divsChild>
        <w:div w:id="432166293">
          <w:marLeft w:val="0"/>
          <w:marRight w:val="0"/>
          <w:marTop w:val="0"/>
          <w:marBottom w:val="0"/>
          <w:divBdr>
            <w:top w:val="none" w:sz="0" w:space="0" w:color="auto"/>
            <w:left w:val="none" w:sz="0" w:space="0" w:color="auto"/>
            <w:bottom w:val="none" w:sz="0" w:space="0" w:color="auto"/>
            <w:right w:val="none" w:sz="0" w:space="0" w:color="auto"/>
          </w:divBdr>
          <w:divsChild>
            <w:div w:id="1109004870">
              <w:marLeft w:val="0"/>
              <w:marRight w:val="0"/>
              <w:marTop w:val="0"/>
              <w:marBottom w:val="0"/>
              <w:divBdr>
                <w:top w:val="none" w:sz="0" w:space="0" w:color="auto"/>
                <w:left w:val="none" w:sz="0" w:space="0" w:color="auto"/>
                <w:bottom w:val="none" w:sz="0" w:space="0" w:color="auto"/>
                <w:right w:val="none" w:sz="0" w:space="0" w:color="auto"/>
              </w:divBdr>
              <w:divsChild>
                <w:div w:id="17061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18276">
      <w:bodyDiv w:val="1"/>
      <w:marLeft w:val="0"/>
      <w:marRight w:val="0"/>
      <w:marTop w:val="0"/>
      <w:marBottom w:val="0"/>
      <w:divBdr>
        <w:top w:val="none" w:sz="0" w:space="0" w:color="auto"/>
        <w:left w:val="none" w:sz="0" w:space="0" w:color="auto"/>
        <w:bottom w:val="none" w:sz="0" w:space="0" w:color="auto"/>
        <w:right w:val="none" w:sz="0" w:space="0" w:color="auto"/>
      </w:divBdr>
      <w:divsChild>
        <w:div w:id="891037638">
          <w:marLeft w:val="0"/>
          <w:marRight w:val="0"/>
          <w:marTop w:val="0"/>
          <w:marBottom w:val="0"/>
          <w:divBdr>
            <w:top w:val="none" w:sz="0" w:space="0" w:color="auto"/>
            <w:left w:val="none" w:sz="0" w:space="0" w:color="auto"/>
            <w:bottom w:val="none" w:sz="0" w:space="0" w:color="auto"/>
            <w:right w:val="none" w:sz="0" w:space="0" w:color="auto"/>
          </w:divBdr>
          <w:divsChild>
            <w:div w:id="417020476">
              <w:marLeft w:val="0"/>
              <w:marRight w:val="0"/>
              <w:marTop w:val="0"/>
              <w:marBottom w:val="0"/>
              <w:divBdr>
                <w:top w:val="none" w:sz="0" w:space="0" w:color="auto"/>
                <w:left w:val="none" w:sz="0" w:space="0" w:color="auto"/>
                <w:bottom w:val="none" w:sz="0" w:space="0" w:color="auto"/>
                <w:right w:val="none" w:sz="0" w:space="0" w:color="auto"/>
              </w:divBdr>
              <w:divsChild>
                <w:div w:id="1958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84829">
      <w:bodyDiv w:val="1"/>
      <w:marLeft w:val="0"/>
      <w:marRight w:val="0"/>
      <w:marTop w:val="0"/>
      <w:marBottom w:val="0"/>
      <w:divBdr>
        <w:top w:val="none" w:sz="0" w:space="0" w:color="auto"/>
        <w:left w:val="none" w:sz="0" w:space="0" w:color="auto"/>
        <w:bottom w:val="none" w:sz="0" w:space="0" w:color="auto"/>
        <w:right w:val="none" w:sz="0" w:space="0" w:color="auto"/>
      </w:divBdr>
      <w:divsChild>
        <w:div w:id="631982785">
          <w:marLeft w:val="0"/>
          <w:marRight w:val="0"/>
          <w:marTop w:val="0"/>
          <w:marBottom w:val="0"/>
          <w:divBdr>
            <w:top w:val="none" w:sz="0" w:space="0" w:color="auto"/>
            <w:left w:val="none" w:sz="0" w:space="0" w:color="auto"/>
            <w:bottom w:val="none" w:sz="0" w:space="0" w:color="auto"/>
            <w:right w:val="none" w:sz="0" w:space="0" w:color="auto"/>
          </w:divBdr>
          <w:divsChild>
            <w:div w:id="1628123974">
              <w:marLeft w:val="0"/>
              <w:marRight w:val="0"/>
              <w:marTop w:val="0"/>
              <w:marBottom w:val="0"/>
              <w:divBdr>
                <w:top w:val="none" w:sz="0" w:space="0" w:color="auto"/>
                <w:left w:val="none" w:sz="0" w:space="0" w:color="auto"/>
                <w:bottom w:val="none" w:sz="0" w:space="0" w:color="auto"/>
                <w:right w:val="none" w:sz="0" w:space="0" w:color="auto"/>
              </w:divBdr>
              <w:divsChild>
                <w:div w:id="2127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4440">
      <w:bodyDiv w:val="1"/>
      <w:marLeft w:val="0"/>
      <w:marRight w:val="0"/>
      <w:marTop w:val="0"/>
      <w:marBottom w:val="0"/>
      <w:divBdr>
        <w:top w:val="none" w:sz="0" w:space="0" w:color="auto"/>
        <w:left w:val="none" w:sz="0" w:space="0" w:color="auto"/>
        <w:bottom w:val="none" w:sz="0" w:space="0" w:color="auto"/>
        <w:right w:val="none" w:sz="0" w:space="0" w:color="auto"/>
      </w:divBdr>
      <w:divsChild>
        <w:div w:id="169949054">
          <w:marLeft w:val="0"/>
          <w:marRight w:val="0"/>
          <w:marTop w:val="0"/>
          <w:marBottom w:val="0"/>
          <w:divBdr>
            <w:top w:val="none" w:sz="0" w:space="0" w:color="auto"/>
            <w:left w:val="none" w:sz="0" w:space="0" w:color="auto"/>
            <w:bottom w:val="none" w:sz="0" w:space="0" w:color="auto"/>
            <w:right w:val="none" w:sz="0" w:space="0" w:color="auto"/>
          </w:divBdr>
          <w:divsChild>
            <w:div w:id="1688021132">
              <w:marLeft w:val="0"/>
              <w:marRight w:val="0"/>
              <w:marTop w:val="0"/>
              <w:marBottom w:val="0"/>
              <w:divBdr>
                <w:top w:val="none" w:sz="0" w:space="0" w:color="auto"/>
                <w:left w:val="none" w:sz="0" w:space="0" w:color="auto"/>
                <w:bottom w:val="none" w:sz="0" w:space="0" w:color="auto"/>
                <w:right w:val="none" w:sz="0" w:space="0" w:color="auto"/>
              </w:divBdr>
              <w:divsChild>
                <w:div w:id="852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0514">
      <w:bodyDiv w:val="1"/>
      <w:marLeft w:val="0"/>
      <w:marRight w:val="0"/>
      <w:marTop w:val="0"/>
      <w:marBottom w:val="0"/>
      <w:divBdr>
        <w:top w:val="none" w:sz="0" w:space="0" w:color="auto"/>
        <w:left w:val="none" w:sz="0" w:space="0" w:color="auto"/>
        <w:bottom w:val="none" w:sz="0" w:space="0" w:color="auto"/>
        <w:right w:val="none" w:sz="0" w:space="0" w:color="auto"/>
      </w:divBdr>
      <w:divsChild>
        <w:div w:id="460999805">
          <w:marLeft w:val="0"/>
          <w:marRight w:val="0"/>
          <w:marTop w:val="0"/>
          <w:marBottom w:val="0"/>
          <w:divBdr>
            <w:top w:val="none" w:sz="0" w:space="0" w:color="auto"/>
            <w:left w:val="none" w:sz="0" w:space="0" w:color="auto"/>
            <w:bottom w:val="none" w:sz="0" w:space="0" w:color="auto"/>
            <w:right w:val="none" w:sz="0" w:space="0" w:color="auto"/>
          </w:divBdr>
          <w:divsChild>
            <w:div w:id="1716390043">
              <w:marLeft w:val="0"/>
              <w:marRight w:val="0"/>
              <w:marTop w:val="0"/>
              <w:marBottom w:val="0"/>
              <w:divBdr>
                <w:top w:val="none" w:sz="0" w:space="0" w:color="auto"/>
                <w:left w:val="none" w:sz="0" w:space="0" w:color="auto"/>
                <w:bottom w:val="none" w:sz="0" w:space="0" w:color="auto"/>
                <w:right w:val="none" w:sz="0" w:space="0" w:color="auto"/>
              </w:divBdr>
              <w:divsChild>
                <w:div w:id="21144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7278">
      <w:bodyDiv w:val="1"/>
      <w:marLeft w:val="0"/>
      <w:marRight w:val="0"/>
      <w:marTop w:val="0"/>
      <w:marBottom w:val="0"/>
      <w:divBdr>
        <w:top w:val="none" w:sz="0" w:space="0" w:color="auto"/>
        <w:left w:val="none" w:sz="0" w:space="0" w:color="auto"/>
        <w:bottom w:val="none" w:sz="0" w:space="0" w:color="auto"/>
        <w:right w:val="none" w:sz="0" w:space="0" w:color="auto"/>
      </w:divBdr>
      <w:divsChild>
        <w:div w:id="1792627517">
          <w:marLeft w:val="0"/>
          <w:marRight w:val="0"/>
          <w:marTop w:val="0"/>
          <w:marBottom w:val="0"/>
          <w:divBdr>
            <w:top w:val="none" w:sz="0" w:space="0" w:color="auto"/>
            <w:left w:val="none" w:sz="0" w:space="0" w:color="auto"/>
            <w:bottom w:val="none" w:sz="0" w:space="0" w:color="auto"/>
            <w:right w:val="none" w:sz="0" w:space="0" w:color="auto"/>
          </w:divBdr>
          <w:divsChild>
            <w:div w:id="1633704852">
              <w:marLeft w:val="0"/>
              <w:marRight w:val="0"/>
              <w:marTop w:val="0"/>
              <w:marBottom w:val="0"/>
              <w:divBdr>
                <w:top w:val="none" w:sz="0" w:space="0" w:color="auto"/>
                <w:left w:val="none" w:sz="0" w:space="0" w:color="auto"/>
                <w:bottom w:val="none" w:sz="0" w:space="0" w:color="auto"/>
                <w:right w:val="none" w:sz="0" w:space="0" w:color="auto"/>
              </w:divBdr>
              <w:divsChild>
                <w:div w:id="2062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1864">
      <w:bodyDiv w:val="1"/>
      <w:marLeft w:val="0"/>
      <w:marRight w:val="0"/>
      <w:marTop w:val="0"/>
      <w:marBottom w:val="0"/>
      <w:divBdr>
        <w:top w:val="none" w:sz="0" w:space="0" w:color="auto"/>
        <w:left w:val="none" w:sz="0" w:space="0" w:color="auto"/>
        <w:bottom w:val="none" w:sz="0" w:space="0" w:color="auto"/>
        <w:right w:val="none" w:sz="0" w:space="0" w:color="auto"/>
      </w:divBdr>
      <w:divsChild>
        <w:div w:id="1141581643">
          <w:marLeft w:val="0"/>
          <w:marRight w:val="0"/>
          <w:marTop w:val="0"/>
          <w:marBottom w:val="0"/>
          <w:divBdr>
            <w:top w:val="none" w:sz="0" w:space="0" w:color="auto"/>
            <w:left w:val="none" w:sz="0" w:space="0" w:color="auto"/>
            <w:bottom w:val="none" w:sz="0" w:space="0" w:color="auto"/>
            <w:right w:val="none" w:sz="0" w:space="0" w:color="auto"/>
          </w:divBdr>
          <w:divsChild>
            <w:div w:id="230233541">
              <w:marLeft w:val="0"/>
              <w:marRight w:val="0"/>
              <w:marTop w:val="0"/>
              <w:marBottom w:val="0"/>
              <w:divBdr>
                <w:top w:val="none" w:sz="0" w:space="0" w:color="auto"/>
                <w:left w:val="none" w:sz="0" w:space="0" w:color="auto"/>
                <w:bottom w:val="none" w:sz="0" w:space="0" w:color="auto"/>
                <w:right w:val="none" w:sz="0" w:space="0" w:color="auto"/>
              </w:divBdr>
              <w:divsChild>
                <w:div w:id="16725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6sp/Mexico12130s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0sp/CapituloIII/Admisible/Mexico12.130.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86B0-8222-46CA-9456-B45493D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2022-04-21T12:27:00Z</dcterms:created>
  <dcterms:modified xsi:type="dcterms:W3CDTF">2022-04-21T12:27:00Z</dcterms:modified>
</cp:coreProperties>
</file>