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628C4" w14:textId="77777777" w:rsidR="00DD7561" w:rsidRPr="004B37CC" w:rsidRDefault="00DD7561" w:rsidP="00B23FA7">
      <w:pPr>
        <w:spacing w:after="0" w:line="240" w:lineRule="auto"/>
        <w:jc w:val="center"/>
        <w:rPr>
          <w:rFonts w:ascii="Cambria" w:hAnsi="Cambria"/>
          <w:b/>
          <w:color w:val="000000"/>
          <w:sz w:val="20"/>
          <w:szCs w:val="20"/>
          <w:lang w:val="es-ES"/>
        </w:rPr>
      </w:pPr>
    </w:p>
    <w:p w14:paraId="6946E528" w14:textId="77777777" w:rsidR="00B23FA7" w:rsidRPr="004B37CC" w:rsidRDefault="00DD3F7F" w:rsidP="00B23FA7">
      <w:pPr>
        <w:spacing w:after="0" w:line="240" w:lineRule="auto"/>
        <w:jc w:val="center"/>
        <w:rPr>
          <w:rFonts w:ascii="Cambria" w:hAnsi="Cambria"/>
          <w:b/>
          <w:color w:val="000000"/>
          <w:sz w:val="20"/>
          <w:szCs w:val="20"/>
          <w:lang w:val="es-ES"/>
        </w:rPr>
      </w:pPr>
      <w:r w:rsidRPr="004B37CC">
        <w:rPr>
          <w:rFonts w:ascii="Cambria" w:hAnsi="Cambria"/>
          <w:b/>
          <w:color w:val="000000"/>
          <w:sz w:val="20"/>
          <w:szCs w:val="20"/>
          <w:lang w:val="es-ES"/>
        </w:rPr>
        <w:t xml:space="preserve">FICHA DE SEGUIMIENTO DEL INFORME Nº </w:t>
      </w:r>
      <w:r w:rsidR="00B23FA7" w:rsidRPr="004B37CC">
        <w:rPr>
          <w:rFonts w:ascii="Cambria" w:hAnsi="Cambria"/>
          <w:b/>
          <w:color w:val="000000"/>
          <w:sz w:val="20"/>
          <w:szCs w:val="20"/>
          <w:lang w:val="es-ES"/>
        </w:rPr>
        <w:t>61/06</w:t>
      </w:r>
    </w:p>
    <w:p w14:paraId="5FD21655" w14:textId="77777777" w:rsidR="00B23FA7" w:rsidRPr="004B37CC" w:rsidRDefault="00B23FA7" w:rsidP="00B23FA7">
      <w:pPr>
        <w:spacing w:after="0" w:line="240" w:lineRule="auto"/>
        <w:jc w:val="center"/>
        <w:rPr>
          <w:rFonts w:ascii="Cambria" w:hAnsi="Cambria"/>
          <w:b/>
          <w:color w:val="000000"/>
          <w:sz w:val="20"/>
          <w:szCs w:val="20"/>
          <w:lang w:val="es-ES"/>
        </w:rPr>
      </w:pPr>
      <w:r w:rsidRPr="004B37CC">
        <w:rPr>
          <w:rFonts w:ascii="Cambria" w:hAnsi="Cambria"/>
          <w:b/>
          <w:color w:val="000000"/>
          <w:sz w:val="20"/>
          <w:szCs w:val="20"/>
          <w:lang w:val="es-ES"/>
        </w:rPr>
        <w:t xml:space="preserve"> </w:t>
      </w:r>
      <w:r w:rsidR="00DD3F7F" w:rsidRPr="004B37CC">
        <w:rPr>
          <w:rFonts w:ascii="Cambria" w:hAnsi="Cambria"/>
          <w:b/>
          <w:color w:val="000000"/>
          <w:sz w:val="20"/>
          <w:szCs w:val="20"/>
          <w:lang w:val="es-ES"/>
        </w:rPr>
        <w:t>CASO</w:t>
      </w:r>
      <w:r w:rsidRPr="004B37CC">
        <w:rPr>
          <w:rFonts w:ascii="Cambria" w:hAnsi="Cambria"/>
          <w:b/>
          <w:color w:val="000000"/>
          <w:sz w:val="20"/>
          <w:szCs w:val="20"/>
          <w:lang w:val="es-ES"/>
        </w:rPr>
        <w:t xml:space="preserve"> 12.447</w:t>
      </w:r>
    </w:p>
    <w:p w14:paraId="19AF9CD0" w14:textId="77777777" w:rsidR="00B23FA7" w:rsidRPr="004B37CC" w:rsidRDefault="00B23FA7" w:rsidP="00B23FA7">
      <w:pPr>
        <w:spacing w:after="0" w:line="240" w:lineRule="auto"/>
        <w:jc w:val="center"/>
        <w:rPr>
          <w:rFonts w:ascii="Cambria" w:hAnsi="Cambria"/>
          <w:b/>
          <w:color w:val="000000"/>
          <w:sz w:val="20"/>
          <w:szCs w:val="20"/>
          <w:lang w:val="es-ES"/>
        </w:rPr>
      </w:pPr>
      <w:r w:rsidRPr="004B37CC">
        <w:rPr>
          <w:rFonts w:ascii="Cambria" w:hAnsi="Cambria"/>
          <w:b/>
          <w:color w:val="000000"/>
          <w:sz w:val="20"/>
          <w:szCs w:val="20"/>
          <w:lang w:val="es-ES"/>
        </w:rPr>
        <w:t xml:space="preserve">  DERRICK TRACEY</w:t>
      </w:r>
    </w:p>
    <w:p w14:paraId="011F9A8D" w14:textId="77777777" w:rsidR="00B23FA7" w:rsidRPr="004B37CC" w:rsidRDefault="00B23FA7" w:rsidP="00B23FA7">
      <w:pPr>
        <w:spacing w:after="0" w:line="240" w:lineRule="auto"/>
        <w:jc w:val="center"/>
        <w:rPr>
          <w:rFonts w:ascii="Cambria" w:hAnsi="Cambria"/>
          <w:b/>
          <w:color w:val="000000"/>
          <w:sz w:val="20"/>
          <w:szCs w:val="20"/>
          <w:lang w:val="es-ES"/>
        </w:rPr>
      </w:pPr>
      <w:r w:rsidRPr="004B37CC">
        <w:rPr>
          <w:rFonts w:ascii="Cambria" w:hAnsi="Cambria"/>
          <w:b/>
          <w:color w:val="000000"/>
          <w:sz w:val="20"/>
          <w:szCs w:val="20"/>
          <w:lang w:val="es-ES"/>
        </w:rPr>
        <w:t>(Jamaica)</w:t>
      </w:r>
    </w:p>
    <w:p w14:paraId="3478D589" w14:textId="77777777" w:rsidR="00B23FA7" w:rsidRPr="004B37CC" w:rsidRDefault="00B23FA7" w:rsidP="00B23FA7">
      <w:pPr>
        <w:spacing w:after="0" w:line="240" w:lineRule="auto"/>
        <w:rPr>
          <w:rFonts w:ascii="Cambria" w:hAnsi="Cambria"/>
          <w:color w:val="000000"/>
          <w:sz w:val="20"/>
          <w:szCs w:val="20"/>
          <w:lang w:val="es-ES"/>
        </w:rPr>
      </w:pPr>
    </w:p>
    <w:p w14:paraId="1AA4B919" w14:textId="77777777" w:rsidR="00DD3F7F" w:rsidRPr="004B37CC" w:rsidRDefault="00DD3F7F" w:rsidP="00DD3F7F">
      <w:pPr>
        <w:numPr>
          <w:ilvl w:val="0"/>
          <w:numId w:val="1"/>
        </w:numPr>
        <w:spacing w:after="0" w:line="240" w:lineRule="auto"/>
        <w:ind w:left="1440"/>
        <w:rPr>
          <w:rFonts w:ascii="Cambria" w:hAnsi="Cambria" w:cs="Calibri Light"/>
          <w:b/>
          <w:color w:val="000000"/>
          <w:sz w:val="20"/>
          <w:szCs w:val="20"/>
          <w:lang w:val="es-ES"/>
        </w:rPr>
      </w:pPr>
      <w:r w:rsidRPr="004B37CC">
        <w:rPr>
          <w:rFonts w:ascii="Cambria" w:hAnsi="Cambria" w:cs="Calibri Light"/>
          <w:b/>
          <w:color w:val="000000"/>
          <w:sz w:val="20"/>
          <w:szCs w:val="20"/>
          <w:lang w:val="es-ES"/>
        </w:rPr>
        <w:t xml:space="preserve">Resumen del caso </w:t>
      </w:r>
    </w:p>
    <w:p w14:paraId="3C5DA845" w14:textId="77777777" w:rsidR="00B23FA7" w:rsidRPr="004B37CC" w:rsidRDefault="00B23FA7" w:rsidP="00B23FA7">
      <w:pPr>
        <w:spacing w:after="0" w:line="240" w:lineRule="auto"/>
        <w:ind w:left="1080"/>
        <w:rPr>
          <w:rFonts w:ascii="Cambria" w:hAnsi="Cambria" w:cs="Calibri Light"/>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3B2F03" w:rsidRPr="004B37CC" w14:paraId="1E04CDDE" w14:textId="77777777" w:rsidTr="009B5AE3">
        <w:trPr>
          <w:jc w:val="center"/>
        </w:trPr>
        <w:tc>
          <w:tcPr>
            <w:tcW w:w="9576" w:type="dxa"/>
            <w:shd w:val="clear" w:color="auto" w:fill="F2F2F2"/>
          </w:tcPr>
          <w:p w14:paraId="700D3964" w14:textId="77777777" w:rsidR="00B23FA7" w:rsidRPr="004B37CC" w:rsidRDefault="00DD3F7F" w:rsidP="009B5AE3">
            <w:pPr>
              <w:spacing w:before="120" w:after="0" w:line="240" w:lineRule="auto"/>
              <w:jc w:val="both"/>
              <w:rPr>
                <w:rFonts w:ascii="Cambria" w:hAnsi="Cambria"/>
                <w:b/>
                <w:color w:val="000000"/>
                <w:sz w:val="20"/>
                <w:szCs w:val="20"/>
                <w:lang w:val="es-ES"/>
              </w:rPr>
            </w:pPr>
            <w:r w:rsidRPr="004B37CC">
              <w:rPr>
                <w:rFonts w:ascii="Cambria" w:hAnsi="Cambria"/>
                <w:b/>
                <w:color w:val="000000"/>
                <w:sz w:val="20"/>
                <w:szCs w:val="20"/>
                <w:lang w:val="es-ES"/>
              </w:rPr>
              <w:t>Ví</w:t>
            </w:r>
            <w:r w:rsidR="00B23FA7" w:rsidRPr="004B37CC">
              <w:rPr>
                <w:rFonts w:ascii="Cambria" w:hAnsi="Cambria"/>
                <w:b/>
                <w:color w:val="000000"/>
                <w:sz w:val="20"/>
                <w:szCs w:val="20"/>
                <w:lang w:val="es-ES"/>
              </w:rPr>
              <w:t>ctim</w:t>
            </w:r>
            <w:r w:rsidRPr="004B37CC">
              <w:rPr>
                <w:rFonts w:ascii="Cambria" w:hAnsi="Cambria"/>
                <w:b/>
                <w:color w:val="000000"/>
                <w:sz w:val="20"/>
                <w:szCs w:val="20"/>
                <w:lang w:val="es-ES"/>
              </w:rPr>
              <w:t>a</w:t>
            </w:r>
            <w:r w:rsidR="00B23FA7" w:rsidRPr="004B37CC">
              <w:rPr>
                <w:rFonts w:ascii="Cambria" w:hAnsi="Cambria"/>
                <w:b/>
                <w:color w:val="000000"/>
                <w:sz w:val="20"/>
                <w:szCs w:val="20"/>
                <w:lang w:val="es-ES"/>
              </w:rPr>
              <w:t xml:space="preserve"> (s): </w:t>
            </w:r>
            <w:r w:rsidR="00B23FA7" w:rsidRPr="004B37CC">
              <w:rPr>
                <w:rFonts w:ascii="Cambria" w:hAnsi="Cambria"/>
                <w:color w:val="000000"/>
                <w:sz w:val="20"/>
                <w:szCs w:val="20"/>
                <w:lang w:val="es-ES"/>
              </w:rPr>
              <w:t>Derrick Tracey</w:t>
            </w:r>
          </w:p>
          <w:p w14:paraId="465F9D13" w14:textId="77777777" w:rsidR="00B23FA7" w:rsidRPr="004B37CC" w:rsidRDefault="00DD3F7F" w:rsidP="009B5AE3">
            <w:pPr>
              <w:spacing w:after="0" w:line="240" w:lineRule="auto"/>
              <w:jc w:val="both"/>
              <w:rPr>
                <w:rFonts w:ascii="Cambria" w:hAnsi="Cambria"/>
                <w:b/>
                <w:color w:val="000000"/>
                <w:sz w:val="20"/>
                <w:szCs w:val="20"/>
                <w:lang w:val="es-ES"/>
              </w:rPr>
            </w:pPr>
            <w:r w:rsidRPr="004B37CC">
              <w:rPr>
                <w:rFonts w:ascii="Cambria" w:hAnsi="Cambria"/>
                <w:b/>
                <w:color w:val="000000"/>
                <w:sz w:val="20"/>
                <w:szCs w:val="20"/>
                <w:lang w:val="es-ES"/>
              </w:rPr>
              <w:t>Peticionario</w:t>
            </w:r>
            <w:r w:rsidR="00B23FA7" w:rsidRPr="004B37CC">
              <w:rPr>
                <w:rFonts w:ascii="Cambria" w:hAnsi="Cambria"/>
                <w:b/>
                <w:color w:val="000000"/>
                <w:sz w:val="20"/>
                <w:szCs w:val="20"/>
                <w:lang w:val="es-ES"/>
              </w:rPr>
              <w:t xml:space="preserve"> (s):</w:t>
            </w:r>
            <w:r w:rsidR="00B23FA7" w:rsidRPr="004B37CC">
              <w:rPr>
                <w:rFonts w:ascii="Cambria" w:hAnsi="Cambria"/>
                <w:color w:val="000000"/>
                <w:sz w:val="20"/>
                <w:szCs w:val="20"/>
                <w:lang w:val="es-ES"/>
              </w:rPr>
              <w:t xml:space="preserve"> Derrick Tracey</w:t>
            </w:r>
          </w:p>
          <w:p w14:paraId="5D19C388" w14:textId="77777777" w:rsidR="00B23FA7" w:rsidRPr="004B37CC" w:rsidRDefault="00DD3F7F" w:rsidP="009B5AE3">
            <w:pPr>
              <w:spacing w:after="0" w:line="240" w:lineRule="auto"/>
              <w:jc w:val="both"/>
              <w:rPr>
                <w:rFonts w:ascii="Cambria" w:hAnsi="Cambria"/>
                <w:color w:val="000000"/>
                <w:sz w:val="20"/>
                <w:szCs w:val="20"/>
                <w:lang w:val="es-ES"/>
              </w:rPr>
            </w:pPr>
            <w:r w:rsidRPr="004B37CC">
              <w:rPr>
                <w:rFonts w:ascii="Cambria" w:hAnsi="Cambria"/>
                <w:b/>
                <w:color w:val="000000"/>
                <w:sz w:val="20"/>
                <w:szCs w:val="20"/>
                <w:lang w:val="es-ES"/>
              </w:rPr>
              <w:t>Estado</w:t>
            </w:r>
            <w:r w:rsidR="00B23FA7" w:rsidRPr="004B37CC">
              <w:rPr>
                <w:rFonts w:ascii="Cambria" w:hAnsi="Cambria"/>
                <w:b/>
                <w:color w:val="000000"/>
                <w:sz w:val="20"/>
                <w:szCs w:val="20"/>
                <w:lang w:val="es-ES"/>
              </w:rPr>
              <w:t xml:space="preserve">: </w:t>
            </w:r>
            <w:r w:rsidR="00B23FA7" w:rsidRPr="004B37CC">
              <w:rPr>
                <w:rFonts w:ascii="Cambria" w:hAnsi="Cambria"/>
                <w:color w:val="000000"/>
                <w:sz w:val="20"/>
                <w:szCs w:val="20"/>
                <w:lang w:val="es-ES"/>
              </w:rPr>
              <w:t>Jamaica</w:t>
            </w:r>
          </w:p>
          <w:p w14:paraId="406F2C3F" w14:textId="77777777" w:rsidR="00B23FA7" w:rsidRPr="004B37CC" w:rsidRDefault="00DD3F7F" w:rsidP="009B5AE3">
            <w:pPr>
              <w:spacing w:after="0" w:line="240" w:lineRule="auto"/>
              <w:jc w:val="both"/>
              <w:rPr>
                <w:rFonts w:ascii="Cambria" w:hAnsi="Cambria"/>
                <w:color w:val="000000"/>
                <w:sz w:val="20"/>
                <w:szCs w:val="20"/>
                <w:lang w:val="es-ES"/>
              </w:rPr>
            </w:pPr>
            <w:r w:rsidRPr="004B37CC">
              <w:rPr>
                <w:rFonts w:ascii="Cambria" w:hAnsi="Cambria"/>
                <w:b/>
                <w:color w:val="000000"/>
                <w:sz w:val="20"/>
                <w:szCs w:val="20"/>
                <w:lang w:val="es-ES"/>
              </w:rPr>
              <w:t>Informe de Fondo Nº</w:t>
            </w:r>
            <w:r w:rsidR="00B23FA7" w:rsidRPr="004B37CC">
              <w:rPr>
                <w:rFonts w:ascii="Cambria" w:hAnsi="Cambria"/>
                <w:b/>
                <w:color w:val="000000"/>
                <w:sz w:val="20"/>
                <w:szCs w:val="20"/>
                <w:lang w:val="es-ES"/>
              </w:rPr>
              <w:t xml:space="preserve">: </w:t>
            </w:r>
            <w:hyperlink r:id="rId9" w:history="1">
              <w:r w:rsidR="00B23FA7" w:rsidRPr="004B37CC">
                <w:rPr>
                  <w:rStyle w:val="Hyperlink"/>
                  <w:rFonts w:ascii="Cambria" w:hAnsi="Cambria"/>
                  <w:color w:val="000000"/>
                  <w:sz w:val="20"/>
                  <w:szCs w:val="20"/>
                  <w:lang w:val="es-ES"/>
                </w:rPr>
                <w:t>61</w:t>
              </w:r>
              <w:r w:rsidR="00B23FA7" w:rsidRPr="004B37CC">
                <w:rPr>
                  <w:rStyle w:val="Hyperlink"/>
                  <w:rFonts w:ascii="Cambria" w:hAnsi="Cambria"/>
                  <w:color w:val="000000"/>
                  <w:sz w:val="20"/>
                  <w:szCs w:val="20"/>
                  <w:lang w:val="es-ES"/>
                </w:rPr>
                <w:t>/</w:t>
              </w:r>
              <w:r w:rsidR="00B23FA7" w:rsidRPr="004B37CC">
                <w:rPr>
                  <w:rStyle w:val="Hyperlink"/>
                  <w:rFonts w:ascii="Cambria" w:hAnsi="Cambria"/>
                  <w:color w:val="000000"/>
                  <w:sz w:val="20"/>
                  <w:szCs w:val="20"/>
                  <w:lang w:val="es-ES"/>
                </w:rPr>
                <w:t>0</w:t>
              </w:r>
              <w:r w:rsidR="00B23FA7" w:rsidRPr="004B37CC">
                <w:rPr>
                  <w:rStyle w:val="Hyperlink"/>
                  <w:rFonts w:ascii="Cambria" w:hAnsi="Cambria"/>
                  <w:color w:val="000000"/>
                  <w:sz w:val="20"/>
                  <w:szCs w:val="20"/>
                  <w:lang w:val="es-ES"/>
                </w:rPr>
                <w:t>6</w:t>
              </w:r>
            </w:hyperlink>
            <w:r w:rsidR="00B23FA7" w:rsidRPr="004B37CC">
              <w:rPr>
                <w:rFonts w:ascii="Cambria" w:hAnsi="Cambria"/>
                <w:color w:val="000000"/>
                <w:sz w:val="20"/>
                <w:szCs w:val="20"/>
                <w:lang w:val="es-ES"/>
              </w:rPr>
              <w:t xml:space="preserve">, </w:t>
            </w:r>
            <w:r w:rsidRPr="004B37CC">
              <w:rPr>
                <w:rFonts w:ascii="Cambria" w:hAnsi="Cambria"/>
                <w:color w:val="000000"/>
                <w:sz w:val="20"/>
                <w:szCs w:val="20"/>
                <w:lang w:val="es-ES"/>
              </w:rPr>
              <w:t>publicado el 20 de julio de 2006</w:t>
            </w:r>
          </w:p>
          <w:p w14:paraId="04013FB0" w14:textId="77777777" w:rsidR="00B23FA7" w:rsidRPr="004B37CC" w:rsidRDefault="00DD3F7F" w:rsidP="009B5AE3">
            <w:pPr>
              <w:spacing w:after="0" w:line="240" w:lineRule="auto"/>
              <w:jc w:val="both"/>
              <w:rPr>
                <w:rFonts w:ascii="Cambria" w:hAnsi="Cambria"/>
                <w:color w:val="000000"/>
                <w:sz w:val="20"/>
                <w:szCs w:val="20"/>
                <w:lang w:val="es-ES"/>
              </w:rPr>
            </w:pPr>
            <w:r w:rsidRPr="004B37CC">
              <w:rPr>
                <w:rFonts w:ascii="Cambria" w:hAnsi="Cambria"/>
                <w:b/>
                <w:color w:val="000000"/>
                <w:sz w:val="20"/>
                <w:szCs w:val="20"/>
                <w:lang w:val="es-ES"/>
              </w:rPr>
              <w:t>Informe de Admisib</w:t>
            </w:r>
            <w:r w:rsidRPr="004B37CC">
              <w:rPr>
                <w:rFonts w:ascii="Cambria" w:hAnsi="Cambria"/>
                <w:b/>
                <w:color w:val="000000"/>
                <w:sz w:val="20"/>
                <w:szCs w:val="20"/>
                <w:lang w:val="es-ES"/>
              </w:rPr>
              <w:t>i</w:t>
            </w:r>
            <w:r w:rsidRPr="004B37CC">
              <w:rPr>
                <w:rFonts w:ascii="Cambria" w:hAnsi="Cambria"/>
                <w:b/>
                <w:color w:val="000000"/>
                <w:sz w:val="20"/>
                <w:szCs w:val="20"/>
                <w:lang w:val="es-ES"/>
              </w:rPr>
              <w:t>lidad Nº</w:t>
            </w:r>
            <w:r w:rsidR="00B23FA7" w:rsidRPr="004B37CC">
              <w:rPr>
                <w:rFonts w:ascii="Cambria" w:hAnsi="Cambria"/>
                <w:b/>
                <w:color w:val="000000"/>
                <w:sz w:val="20"/>
                <w:szCs w:val="20"/>
                <w:lang w:val="es-ES"/>
              </w:rPr>
              <w:t xml:space="preserve">: </w:t>
            </w:r>
            <w:hyperlink r:id="rId10" w:history="1">
              <w:r w:rsidR="00B23FA7" w:rsidRPr="004B37CC">
                <w:rPr>
                  <w:rStyle w:val="Hyperlink"/>
                  <w:rFonts w:ascii="Cambria" w:hAnsi="Cambria"/>
                  <w:color w:val="000000"/>
                  <w:sz w:val="20"/>
                  <w:szCs w:val="20"/>
                  <w:lang w:val="es-ES"/>
                </w:rPr>
                <w:t>15/</w:t>
              </w:r>
              <w:r w:rsidR="00B23FA7" w:rsidRPr="004B37CC">
                <w:rPr>
                  <w:rStyle w:val="Hyperlink"/>
                  <w:rFonts w:ascii="Cambria" w:hAnsi="Cambria"/>
                  <w:color w:val="000000"/>
                  <w:sz w:val="20"/>
                  <w:szCs w:val="20"/>
                  <w:lang w:val="es-ES"/>
                </w:rPr>
                <w:t>0</w:t>
              </w:r>
              <w:r w:rsidR="00B23FA7" w:rsidRPr="004B37CC">
                <w:rPr>
                  <w:rStyle w:val="Hyperlink"/>
                  <w:rFonts w:ascii="Cambria" w:hAnsi="Cambria"/>
                  <w:color w:val="000000"/>
                  <w:sz w:val="20"/>
                  <w:szCs w:val="20"/>
                  <w:lang w:val="es-ES"/>
                </w:rPr>
                <w:t>4</w:t>
              </w:r>
            </w:hyperlink>
            <w:r w:rsidRPr="004B37CC">
              <w:rPr>
                <w:rFonts w:ascii="Cambria" w:hAnsi="Cambria"/>
                <w:color w:val="000000"/>
                <w:sz w:val="20"/>
                <w:szCs w:val="20"/>
                <w:lang w:val="es-ES"/>
              </w:rPr>
              <w:t>, adoptado el 27 de febrero de 2004</w:t>
            </w:r>
          </w:p>
          <w:p w14:paraId="3EF4EB66" w14:textId="77777777" w:rsidR="00B23FA7" w:rsidRPr="004B37CC" w:rsidRDefault="005D7A9A" w:rsidP="009B5AE3">
            <w:pPr>
              <w:spacing w:after="120" w:line="240" w:lineRule="auto"/>
              <w:jc w:val="both"/>
              <w:rPr>
                <w:rFonts w:ascii="Cambria" w:hAnsi="Cambria"/>
                <w:color w:val="000000"/>
                <w:sz w:val="20"/>
                <w:szCs w:val="20"/>
                <w:lang w:val="es-ES"/>
              </w:rPr>
            </w:pPr>
            <w:r w:rsidRPr="004B37CC">
              <w:rPr>
                <w:rFonts w:ascii="Cambria" w:hAnsi="Cambria"/>
                <w:b/>
                <w:color w:val="000000"/>
                <w:sz w:val="20"/>
                <w:szCs w:val="20"/>
                <w:lang w:val="es-ES"/>
              </w:rPr>
              <w:t xml:space="preserve">Temas: </w:t>
            </w:r>
            <w:r w:rsidR="007B39CE" w:rsidRPr="004B37CC">
              <w:rPr>
                <w:rFonts w:ascii="Cambria" w:hAnsi="Cambria"/>
                <w:color w:val="000000"/>
                <w:sz w:val="20"/>
                <w:szCs w:val="20"/>
                <w:lang w:val="es-ES"/>
              </w:rPr>
              <w:t>Deber de Adoptar Medidas y Disposiciones de Derecho Interno / Garantías Judiciales / Protección Judicial</w:t>
            </w:r>
            <w:r w:rsidR="00965586" w:rsidRPr="004B37CC">
              <w:rPr>
                <w:rFonts w:ascii="Cambria" w:hAnsi="Cambria"/>
                <w:color w:val="000000"/>
                <w:sz w:val="20"/>
                <w:szCs w:val="20"/>
                <w:lang w:val="es-ES"/>
              </w:rPr>
              <w:t xml:space="preserve"> / </w:t>
            </w:r>
            <w:r w:rsidR="00F766A7" w:rsidRPr="004B37CC">
              <w:rPr>
                <w:rFonts w:ascii="Cambria" w:hAnsi="Cambria"/>
                <w:color w:val="000000"/>
                <w:sz w:val="20"/>
                <w:szCs w:val="20"/>
                <w:lang w:val="es-ES"/>
              </w:rPr>
              <w:t xml:space="preserve">Derecho a la </w:t>
            </w:r>
            <w:r w:rsidR="00965586" w:rsidRPr="004B37CC">
              <w:rPr>
                <w:rFonts w:ascii="Cambria" w:hAnsi="Cambria"/>
                <w:color w:val="000000"/>
                <w:sz w:val="20"/>
                <w:szCs w:val="20"/>
                <w:lang w:val="es-ES"/>
              </w:rPr>
              <w:t>Libertad Personal</w:t>
            </w:r>
            <w:r w:rsidR="007B39CE" w:rsidRPr="004B37CC">
              <w:rPr>
                <w:rFonts w:ascii="Cambria" w:hAnsi="Cambria"/>
                <w:color w:val="000000"/>
                <w:sz w:val="20"/>
                <w:szCs w:val="20"/>
                <w:lang w:val="es-ES"/>
              </w:rPr>
              <w:t xml:space="preserve">.  </w:t>
            </w:r>
          </w:p>
          <w:p w14:paraId="54F78531" w14:textId="77777777" w:rsidR="00B23FA7" w:rsidRPr="004B37CC" w:rsidRDefault="00DD3F7F" w:rsidP="009B5AE3">
            <w:pPr>
              <w:spacing w:after="120" w:line="240" w:lineRule="auto"/>
              <w:jc w:val="both"/>
              <w:rPr>
                <w:rFonts w:ascii="Cambria" w:eastAsia="Times New Roman" w:hAnsi="Cambria"/>
                <w:color w:val="000000"/>
                <w:sz w:val="20"/>
                <w:szCs w:val="20"/>
                <w:lang w:val="es-ES"/>
              </w:rPr>
            </w:pPr>
            <w:r w:rsidRPr="004B37CC">
              <w:rPr>
                <w:rFonts w:ascii="Cambria" w:hAnsi="Cambria"/>
                <w:b/>
                <w:color w:val="000000"/>
                <w:sz w:val="20"/>
                <w:szCs w:val="20"/>
                <w:lang w:val="es-ES"/>
              </w:rPr>
              <w:t>Hechos</w:t>
            </w:r>
            <w:r w:rsidR="00B23FA7" w:rsidRPr="004B37CC">
              <w:rPr>
                <w:rFonts w:ascii="Cambria" w:hAnsi="Cambria"/>
                <w:b/>
                <w:color w:val="000000"/>
                <w:sz w:val="20"/>
                <w:szCs w:val="20"/>
                <w:lang w:val="es-ES"/>
              </w:rPr>
              <w:t xml:space="preserve">: </w:t>
            </w:r>
            <w:r w:rsidR="00BB37DD" w:rsidRPr="004B37CC">
              <w:rPr>
                <w:rFonts w:ascii="Cambria" w:eastAsia="Times New Roman" w:hAnsi="Cambria"/>
                <w:color w:val="000000"/>
                <w:sz w:val="20"/>
                <w:szCs w:val="20"/>
                <w:lang w:val="es-ES"/>
              </w:rPr>
              <w:t>El 14 de abril de 2000, la Corte de Circuito de St. Ann, en Jamaica, declaró al Sr. Tracey culpable de asalto a mano armada con agravantes y posesión ilegal de un arma de fuego, habiéndosele impuesto ulteriormente dos penas de 15 años de privación de libertad. El peticionario sostiene que no fue llevado a juicio dentro de un período razonable, que ni él ni su abogado defensor dispusieron de tiempo y medios suficientes para preparar la defensa, que se le negó toda asistencia letrada en la apelación y que, en el juicio, se usó en su contra una confesión de culpabilidad extraída bajo coerción. </w:t>
            </w:r>
          </w:p>
          <w:p w14:paraId="36BD7A2C" w14:textId="77777777" w:rsidR="00B23FA7" w:rsidRPr="004B37CC" w:rsidRDefault="005D7A9A" w:rsidP="00BB37DD">
            <w:pPr>
              <w:spacing w:after="120" w:line="240" w:lineRule="auto"/>
              <w:jc w:val="both"/>
              <w:rPr>
                <w:rFonts w:ascii="Cambria" w:hAnsi="Cambria"/>
                <w:snapToGrid w:val="0"/>
                <w:color w:val="000000"/>
                <w:sz w:val="20"/>
                <w:szCs w:val="20"/>
                <w:lang w:val="es-ES"/>
              </w:rPr>
            </w:pPr>
            <w:r w:rsidRPr="004B37CC">
              <w:rPr>
                <w:rFonts w:ascii="Cambria" w:hAnsi="Cambria"/>
                <w:b/>
                <w:color w:val="000000"/>
                <w:sz w:val="20"/>
                <w:szCs w:val="20"/>
                <w:lang w:val="es-ES"/>
              </w:rPr>
              <w:t xml:space="preserve">Derechos violados: </w:t>
            </w:r>
            <w:r w:rsidRPr="004B37CC">
              <w:rPr>
                <w:rFonts w:ascii="Cambria" w:hAnsi="Cambria"/>
                <w:color w:val="000000"/>
                <w:sz w:val="20"/>
                <w:szCs w:val="20"/>
                <w:lang w:val="es-ES"/>
              </w:rPr>
              <w:t>La Comisión concluyó que el Estado era responsable de</w:t>
            </w:r>
            <w:r w:rsidRPr="004B37CC">
              <w:rPr>
                <w:rFonts w:ascii="Cambria" w:hAnsi="Cambria"/>
                <w:snapToGrid w:val="0"/>
                <w:color w:val="000000"/>
                <w:sz w:val="20"/>
                <w:szCs w:val="20"/>
                <w:lang w:val="es-ES"/>
              </w:rPr>
              <w:t>: a) la violación del derecho del Sr. Tracey al asesoramiento letrado y de su derecho a obtener la comparecencia de personas que podrían arrojar luz sobre los hechos, en contravención del artículo 8(2)(d), (e) y (f) de la Convención, conjuntamente con los artículos 1(1) y 2 del mismo instrumento, en conexión con el uso en el juicio de su declaración en su contra; b) la violación del derecho del Sr. Tracey a un juicio imparcial, dispuesto en el artículo 8(2)(c) de la Convención, conjuntamente con la violación del artículo 1(1) de la  misma, debido al tiempo y los medios insuficientes otorgados al Sr. Tracey y a su abogado para preparar la defensa; y la violación del derecho del Sr. Tracey a un juicio imparcial y de su derecho a la protección judicial consagrados en los artículos 8(2)(e) y (h) y 25 de la Convención, conjuntamente con la violación de los artículos 1(1)  y 2 del mismo instrumento, debido a que el Estado no brindó al Sr. Tracey asesoramiento letrado para apelar su sentencia ante una instancia judicial superior.</w:t>
            </w:r>
          </w:p>
        </w:tc>
      </w:tr>
    </w:tbl>
    <w:p w14:paraId="395A75FF" w14:textId="77777777" w:rsidR="00B23FA7" w:rsidRPr="004B37CC" w:rsidRDefault="00B23FA7" w:rsidP="00B23FA7">
      <w:pPr>
        <w:spacing w:after="0" w:line="240" w:lineRule="auto"/>
        <w:ind w:left="180"/>
        <w:rPr>
          <w:rFonts w:ascii="Cambria" w:hAnsi="Cambria"/>
          <w:color w:val="000000"/>
          <w:sz w:val="20"/>
          <w:szCs w:val="20"/>
          <w:lang w:val="es-ES"/>
        </w:rPr>
      </w:pPr>
    </w:p>
    <w:p w14:paraId="5E6D81E4" w14:textId="77777777" w:rsidR="00B23FA7" w:rsidRPr="004B37CC" w:rsidRDefault="00BB37DD" w:rsidP="00B23FA7">
      <w:pPr>
        <w:numPr>
          <w:ilvl w:val="0"/>
          <w:numId w:val="1"/>
        </w:numPr>
        <w:spacing w:after="0" w:line="240" w:lineRule="auto"/>
        <w:ind w:left="1440"/>
        <w:jc w:val="both"/>
        <w:rPr>
          <w:rFonts w:ascii="Cambria" w:hAnsi="Cambria" w:cs="Calibri Light"/>
          <w:b/>
          <w:color w:val="000000"/>
          <w:sz w:val="20"/>
          <w:szCs w:val="20"/>
          <w:lang w:val="es-ES"/>
        </w:rPr>
      </w:pPr>
      <w:r w:rsidRPr="004B37CC">
        <w:rPr>
          <w:rFonts w:ascii="Cambria" w:hAnsi="Cambria" w:cs="Calibri Light"/>
          <w:b/>
          <w:color w:val="000000"/>
          <w:sz w:val="20"/>
          <w:szCs w:val="20"/>
          <w:lang w:val="es-ES"/>
        </w:rPr>
        <w:t>Recomendaciones</w:t>
      </w:r>
    </w:p>
    <w:p w14:paraId="2A1CE1E5" w14:textId="77777777" w:rsidR="00B23FA7" w:rsidRPr="004B37CC" w:rsidRDefault="00B23FA7" w:rsidP="00B23FA7">
      <w:pPr>
        <w:spacing w:after="0" w:line="240" w:lineRule="auto"/>
        <w:ind w:left="1080"/>
        <w:jc w:val="both"/>
        <w:rPr>
          <w:rFonts w:ascii="Cambria" w:hAnsi="Cambria" w:cs="Calibri Light"/>
          <w:color w:val="000000"/>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7"/>
        <w:gridCol w:w="2135"/>
      </w:tblGrid>
      <w:tr w:rsidR="00B23FA7" w:rsidRPr="004B37CC" w14:paraId="46E12C8C" w14:textId="77777777" w:rsidTr="005D7A9A">
        <w:tc>
          <w:tcPr>
            <w:tcW w:w="7380" w:type="dxa"/>
            <w:shd w:val="clear" w:color="auto" w:fill="auto"/>
            <w:vAlign w:val="center"/>
          </w:tcPr>
          <w:p w14:paraId="3112CE68" w14:textId="77777777" w:rsidR="00B23FA7" w:rsidRPr="004B37CC" w:rsidRDefault="00BB37DD" w:rsidP="005D7A9A">
            <w:pPr>
              <w:spacing w:after="0" w:line="240" w:lineRule="auto"/>
              <w:jc w:val="center"/>
              <w:rPr>
                <w:rFonts w:ascii="Cambria" w:hAnsi="Cambria" w:cs="Calibri Light"/>
                <w:b/>
                <w:color w:val="000000"/>
                <w:sz w:val="18"/>
                <w:szCs w:val="18"/>
                <w:lang w:val="es-ES"/>
              </w:rPr>
            </w:pPr>
            <w:r w:rsidRPr="004B37CC">
              <w:rPr>
                <w:rFonts w:ascii="Cambria" w:hAnsi="Cambria" w:cs="Calibri Light"/>
                <w:b/>
                <w:color w:val="000000"/>
                <w:sz w:val="18"/>
                <w:szCs w:val="18"/>
                <w:lang w:val="es-ES"/>
              </w:rPr>
              <w:t>Recomendaciones</w:t>
            </w:r>
          </w:p>
        </w:tc>
        <w:tc>
          <w:tcPr>
            <w:tcW w:w="2160" w:type="dxa"/>
            <w:shd w:val="clear" w:color="auto" w:fill="auto"/>
            <w:vAlign w:val="center"/>
          </w:tcPr>
          <w:p w14:paraId="398538CF" w14:textId="77777777" w:rsidR="00B23FA7" w:rsidRPr="004B37CC" w:rsidRDefault="00BB37DD" w:rsidP="002C611E">
            <w:pPr>
              <w:spacing w:after="0" w:line="240" w:lineRule="auto"/>
              <w:jc w:val="center"/>
              <w:rPr>
                <w:rFonts w:ascii="Cambria" w:hAnsi="Cambria" w:cs="Calibri Light"/>
                <w:b/>
                <w:color w:val="000000"/>
                <w:sz w:val="18"/>
                <w:szCs w:val="18"/>
                <w:lang w:val="es-ES"/>
              </w:rPr>
            </w:pPr>
            <w:r w:rsidRPr="004B37CC">
              <w:rPr>
                <w:rFonts w:ascii="Cambria" w:hAnsi="Cambria" w:cs="Calibri Light"/>
                <w:b/>
                <w:color w:val="000000"/>
                <w:sz w:val="18"/>
                <w:szCs w:val="18"/>
                <w:lang w:val="es-ES"/>
              </w:rPr>
              <w:t>Estado de cumplimiento en 20</w:t>
            </w:r>
            <w:r w:rsidR="002D44B2" w:rsidRPr="004B37CC">
              <w:rPr>
                <w:rFonts w:ascii="Cambria" w:hAnsi="Cambria" w:cs="Calibri Light"/>
                <w:b/>
                <w:color w:val="000000"/>
                <w:sz w:val="18"/>
                <w:szCs w:val="18"/>
                <w:lang w:val="es-ES"/>
              </w:rPr>
              <w:t>21</w:t>
            </w:r>
          </w:p>
        </w:tc>
      </w:tr>
      <w:tr w:rsidR="00B23FA7" w:rsidRPr="004B37CC" w14:paraId="33154269" w14:textId="77777777" w:rsidTr="005D7A9A">
        <w:tc>
          <w:tcPr>
            <w:tcW w:w="7380" w:type="dxa"/>
            <w:shd w:val="clear" w:color="auto" w:fill="auto"/>
          </w:tcPr>
          <w:p w14:paraId="4776DE69" w14:textId="77777777" w:rsidR="00B23FA7" w:rsidRPr="004B37CC" w:rsidRDefault="00BB37DD" w:rsidP="00BB37DD">
            <w:pPr>
              <w:pStyle w:val="ListParagraph"/>
              <w:tabs>
                <w:tab w:val="left" w:pos="162"/>
              </w:tabs>
              <w:spacing w:after="0" w:line="240" w:lineRule="auto"/>
              <w:ind w:left="0" w:right="-52"/>
              <w:jc w:val="both"/>
              <w:rPr>
                <w:rFonts w:ascii="Cambria" w:hAnsi="Cambria"/>
                <w:color w:val="000000"/>
                <w:sz w:val="18"/>
                <w:szCs w:val="18"/>
                <w:lang w:val="es-ES"/>
              </w:rPr>
            </w:pPr>
            <w:r w:rsidRPr="004B37CC">
              <w:rPr>
                <w:rFonts w:ascii="Cambria" w:hAnsi="Cambria"/>
                <w:color w:val="000000"/>
                <w:sz w:val="18"/>
                <w:szCs w:val="18"/>
                <w:lang w:val="es-ES"/>
              </w:rPr>
              <w:t>1. Otorgue una reparación efectiva, que incluya un nuevo juicio de los cargos imputados al Sr. Tracey, de acuerdo con las protecciones de un juicio imparcial dispuestas en la Convención Americana.</w:t>
            </w:r>
          </w:p>
        </w:tc>
        <w:tc>
          <w:tcPr>
            <w:tcW w:w="2160" w:type="dxa"/>
            <w:shd w:val="clear" w:color="auto" w:fill="auto"/>
            <w:vAlign w:val="center"/>
          </w:tcPr>
          <w:p w14:paraId="363F3D09" w14:textId="77777777" w:rsidR="00B23FA7" w:rsidRPr="004B37CC" w:rsidRDefault="00BB37DD" w:rsidP="009B5AE3">
            <w:pPr>
              <w:spacing w:after="0" w:line="240" w:lineRule="auto"/>
              <w:jc w:val="center"/>
              <w:outlineLvl w:val="0"/>
              <w:rPr>
                <w:rFonts w:ascii="Cambria" w:eastAsia="MS Mincho" w:hAnsi="Cambria" w:cs="Calibri"/>
                <w:b/>
                <w:bCs/>
                <w:color w:val="000000"/>
                <w:sz w:val="18"/>
                <w:szCs w:val="18"/>
                <w:lang w:val="es-ES" w:eastAsia="es-ES_tradnl"/>
              </w:rPr>
            </w:pPr>
            <w:r w:rsidRPr="004B37CC">
              <w:rPr>
                <w:rFonts w:ascii="Cambria" w:hAnsi="Cambria" w:cs="Calibri"/>
                <w:color w:val="000000"/>
                <w:sz w:val="18"/>
                <w:szCs w:val="18"/>
                <w:lang w:val="es-ES"/>
              </w:rPr>
              <w:t>Pendiente de cumplimiento</w:t>
            </w:r>
          </w:p>
        </w:tc>
      </w:tr>
      <w:tr w:rsidR="00B23FA7" w:rsidRPr="004B37CC" w14:paraId="55627299" w14:textId="77777777" w:rsidTr="005D7A9A">
        <w:tc>
          <w:tcPr>
            <w:tcW w:w="7380" w:type="dxa"/>
            <w:shd w:val="clear" w:color="auto" w:fill="auto"/>
          </w:tcPr>
          <w:p w14:paraId="51A17C34" w14:textId="77777777" w:rsidR="00B23FA7" w:rsidRPr="004B37CC" w:rsidRDefault="00BB37DD" w:rsidP="00BB37DD">
            <w:pPr>
              <w:pStyle w:val="ListParagraph"/>
              <w:tabs>
                <w:tab w:val="left" w:pos="162"/>
              </w:tabs>
              <w:spacing w:after="0" w:line="240" w:lineRule="auto"/>
              <w:ind w:left="0" w:right="-52"/>
              <w:jc w:val="both"/>
              <w:rPr>
                <w:rFonts w:ascii="Cambria" w:hAnsi="Cambria"/>
                <w:color w:val="000000"/>
                <w:sz w:val="18"/>
                <w:szCs w:val="18"/>
                <w:lang w:val="es-ES"/>
              </w:rPr>
            </w:pPr>
            <w:r w:rsidRPr="004B37CC">
              <w:rPr>
                <w:rFonts w:ascii="Cambria" w:hAnsi="Cambria"/>
                <w:color w:val="000000"/>
                <w:sz w:val="18"/>
                <w:szCs w:val="18"/>
                <w:lang w:val="es-ES"/>
              </w:rPr>
              <w:t>2. Adopte las medidas legislativas o de otra índole necesarias para asegurar que los acusados penales indigentes ejerzan el derecho al asesoramiento legal, de acuerdo con el artículo 8(2)(e) de la Convención Americana, en circunstancias en que dicho asesoramiento sea necesario para garantizar el derecho a un juicio imparcial y el derecho a apelar la sentencia ante una instancia superior.</w:t>
            </w:r>
          </w:p>
        </w:tc>
        <w:tc>
          <w:tcPr>
            <w:tcW w:w="2160" w:type="dxa"/>
            <w:shd w:val="clear" w:color="auto" w:fill="auto"/>
            <w:vAlign w:val="center"/>
          </w:tcPr>
          <w:p w14:paraId="3B26AA5D" w14:textId="77777777" w:rsidR="00B23FA7" w:rsidRPr="004B37CC" w:rsidRDefault="00BB37DD" w:rsidP="009B5AE3">
            <w:pPr>
              <w:spacing w:after="0" w:line="240" w:lineRule="auto"/>
              <w:jc w:val="center"/>
              <w:rPr>
                <w:rFonts w:ascii="Cambria" w:hAnsi="Cambria" w:cs="Calibri Light"/>
                <w:b/>
                <w:color w:val="000000"/>
                <w:sz w:val="18"/>
                <w:szCs w:val="18"/>
                <w:lang w:val="es-ES"/>
              </w:rPr>
            </w:pPr>
            <w:r w:rsidRPr="004B37CC">
              <w:rPr>
                <w:rFonts w:ascii="Cambria" w:hAnsi="Cambria" w:cs="Calibri"/>
                <w:color w:val="000000"/>
                <w:sz w:val="18"/>
                <w:szCs w:val="18"/>
                <w:lang w:val="es-ES"/>
              </w:rPr>
              <w:t>Cumplimiento total</w:t>
            </w:r>
            <w:r w:rsidR="00B23FA7" w:rsidRPr="004B37CC">
              <w:rPr>
                <w:rStyle w:val="FootnoteReference"/>
                <w:rFonts w:ascii="Cambria" w:hAnsi="Cambria" w:cs="Calibri"/>
                <w:color w:val="000000"/>
                <w:sz w:val="18"/>
                <w:szCs w:val="18"/>
                <w:lang w:val="es-ES"/>
              </w:rPr>
              <w:footnoteReference w:id="1"/>
            </w:r>
          </w:p>
        </w:tc>
      </w:tr>
      <w:tr w:rsidR="00B23FA7" w:rsidRPr="004B37CC" w14:paraId="457E5200" w14:textId="77777777" w:rsidTr="005D7A9A">
        <w:tc>
          <w:tcPr>
            <w:tcW w:w="7380" w:type="dxa"/>
            <w:shd w:val="clear" w:color="auto" w:fill="auto"/>
          </w:tcPr>
          <w:p w14:paraId="3CD335FE" w14:textId="77777777" w:rsidR="00B23FA7" w:rsidRPr="004B37CC" w:rsidRDefault="00BB37DD" w:rsidP="00BB37DD">
            <w:pPr>
              <w:pStyle w:val="ListParagraph"/>
              <w:tabs>
                <w:tab w:val="left" w:pos="162"/>
              </w:tabs>
              <w:spacing w:after="0" w:line="240" w:lineRule="auto"/>
              <w:ind w:left="0" w:right="-52"/>
              <w:jc w:val="both"/>
              <w:rPr>
                <w:rFonts w:ascii="Cambria" w:hAnsi="Cambria" w:cs="Calibri Light"/>
                <w:color w:val="000000"/>
                <w:sz w:val="18"/>
                <w:szCs w:val="18"/>
                <w:lang w:val="es-ES"/>
              </w:rPr>
            </w:pPr>
            <w:r w:rsidRPr="004B37CC">
              <w:rPr>
                <w:rFonts w:ascii="Cambria" w:hAnsi="Cambria"/>
                <w:color w:val="000000"/>
                <w:sz w:val="18"/>
                <w:szCs w:val="18"/>
                <w:lang w:val="es-ES"/>
              </w:rPr>
              <w:lastRenderedPageBreak/>
              <w:t>3. Adopte las medidas legislativas o de otra índole necesarias para asegurar que toda confesión de un acusado sea sólo válida si es brindada sin coerción de tipo alguno, de acuerdo con el artículo 8(3) de la Convención.</w:t>
            </w:r>
          </w:p>
        </w:tc>
        <w:tc>
          <w:tcPr>
            <w:tcW w:w="2160" w:type="dxa"/>
            <w:shd w:val="clear" w:color="auto" w:fill="auto"/>
            <w:vAlign w:val="center"/>
          </w:tcPr>
          <w:p w14:paraId="0DCB2605" w14:textId="77777777" w:rsidR="00B23FA7" w:rsidRPr="004B37CC" w:rsidRDefault="00BB37DD" w:rsidP="009B5AE3">
            <w:pPr>
              <w:spacing w:after="0" w:line="240" w:lineRule="auto"/>
              <w:jc w:val="center"/>
              <w:rPr>
                <w:rFonts w:ascii="Cambria" w:hAnsi="Cambria" w:cs="Calibri Light"/>
                <w:b/>
                <w:color w:val="000000"/>
                <w:sz w:val="18"/>
                <w:szCs w:val="18"/>
                <w:lang w:val="es-ES"/>
              </w:rPr>
            </w:pPr>
            <w:r w:rsidRPr="004B37CC">
              <w:rPr>
                <w:rFonts w:ascii="Cambria" w:hAnsi="Cambria" w:cs="Calibri"/>
                <w:color w:val="000000"/>
                <w:sz w:val="18"/>
                <w:szCs w:val="18"/>
                <w:lang w:val="es-ES"/>
              </w:rPr>
              <w:t>Cumplimiento total</w:t>
            </w:r>
            <w:r w:rsidR="00B23FA7" w:rsidRPr="004B37CC">
              <w:rPr>
                <w:rStyle w:val="FootnoteReference"/>
                <w:rFonts w:ascii="Cambria" w:hAnsi="Cambria" w:cs="Calibri"/>
                <w:color w:val="000000"/>
                <w:sz w:val="18"/>
                <w:szCs w:val="18"/>
                <w:lang w:val="es-ES"/>
              </w:rPr>
              <w:footnoteReference w:id="2"/>
            </w:r>
          </w:p>
        </w:tc>
      </w:tr>
    </w:tbl>
    <w:p w14:paraId="1A1CAF15" w14:textId="77777777" w:rsidR="00B23FA7" w:rsidRPr="004B37CC" w:rsidRDefault="00B23FA7" w:rsidP="00B23FA7">
      <w:pPr>
        <w:spacing w:after="0" w:line="240" w:lineRule="auto"/>
        <w:jc w:val="both"/>
        <w:rPr>
          <w:rFonts w:ascii="Cambria" w:hAnsi="Cambria" w:cs="Calibri Light"/>
          <w:color w:val="000000"/>
          <w:sz w:val="20"/>
          <w:szCs w:val="20"/>
          <w:lang w:val="es-ES"/>
        </w:rPr>
      </w:pPr>
    </w:p>
    <w:p w14:paraId="59756D61" w14:textId="77777777" w:rsidR="00B23FA7" w:rsidRPr="004B37CC" w:rsidRDefault="00BB37DD" w:rsidP="00B23FA7">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4B37CC">
        <w:rPr>
          <w:rFonts w:ascii="Cambria" w:hAnsi="Cambria"/>
          <w:b/>
          <w:color w:val="000000"/>
          <w:sz w:val="20"/>
          <w:szCs w:val="20"/>
          <w:lang w:val="es-ES"/>
        </w:rPr>
        <w:t>Actividad procesal</w:t>
      </w:r>
    </w:p>
    <w:p w14:paraId="08F1F749" w14:textId="77777777" w:rsidR="00B23FA7" w:rsidRPr="004B37CC" w:rsidRDefault="00B23FA7" w:rsidP="00B23FA7">
      <w:pPr>
        <w:spacing w:after="0" w:line="240" w:lineRule="auto"/>
        <w:jc w:val="both"/>
        <w:rPr>
          <w:rFonts w:ascii="Cambria" w:hAnsi="Cambria" w:cs="Calibri Light"/>
          <w:color w:val="000000"/>
          <w:sz w:val="20"/>
          <w:szCs w:val="20"/>
          <w:lang w:val="es-ES"/>
        </w:rPr>
      </w:pPr>
    </w:p>
    <w:p w14:paraId="45A86537" w14:textId="77777777" w:rsidR="00346868" w:rsidRPr="004B37CC" w:rsidRDefault="00346868" w:rsidP="00346868">
      <w:pPr>
        <w:numPr>
          <w:ilvl w:val="0"/>
          <w:numId w:val="36"/>
        </w:numPr>
        <w:spacing w:after="0" w:line="240" w:lineRule="auto"/>
        <w:ind w:left="0" w:firstLine="720"/>
        <w:jc w:val="both"/>
        <w:rPr>
          <w:rFonts w:ascii="Cambria" w:hAnsi="Cambria" w:cs="Calibri Light"/>
          <w:color w:val="000000"/>
          <w:sz w:val="20"/>
          <w:szCs w:val="20"/>
          <w:lang w:val="es-ES"/>
        </w:rPr>
      </w:pPr>
      <w:r w:rsidRPr="004B37CC">
        <w:rPr>
          <w:rFonts w:ascii="Cambria" w:hAnsi="Cambria" w:cs="Calibri Light"/>
          <w:color w:val="000000"/>
          <w:sz w:val="20"/>
          <w:szCs w:val="20"/>
          <w:lang w:val="es-ES"/>
        </w:rPr>
        <w:t>En 202</w:t>
      </w:r>
      <w:r w:rsidR="002D44B2" w:rsidRPr="004B37CC">
        <w:rPr>
          <w:rFonts w:ascii="Cambria" w:hAnsi="Cambria" w:cs="Calibri Light"/>
          <w:color w:val="000000"/>
          <w:sz w:val="20"/>
          <w:szCs w:val="20"/>
          <w:lang w:val="es-ES"/>
        </w:rPr>
        <w:t>1</w:t>
      </w:r>
      <w:r w:rsidRPr="004B37CC">
        <w:rPr>
          <w:rFonts w:ascii="Cambria" w:hAnsi="Cambria" w:cs="Calibri Light"/>
          <w:color w:val="000000"/>
          <w:sz w:val="20"/>
          <w:szCs w:val="20"/>
          <w:lang w:val="es-ES"/>
        </w:rPr>
        <w:t xml:space="preserve">, la CIDH solicitó información actualizada sobre el cumplimiento de las recomendaciones del Informe de Fondo Nº </w:t>
      </w:r>
      <w:r w:rsidR="009D601E" w:rsidRPr="004B37CC">
        <w:rPr>
          <w:rFonts w:ascii="Cambria" w:hAnsi="Cambria" w:cs="Calibri Light"/>
          <w:color w:val="000000"/>
          <w:sz w:val="20"/>
          <w:szCs w:val="20"/>
          <w:lang w:val="es-ES"/>
        </w:rPr>
        <w:t>6</w:t>
      </w:r>
      <w:r w:rsidRPr="004B37CC">
        <w:rPr>
          <w:rFonts w:ascii="Cambria" w:hAnsi="Cambria" w:cs="Calibri Light"/>
          <w:color w:val="000000"/>
          <w:sz w:val="20"/>
          <w:szCs w:val="20"/>
          <w:lang w:val="es-ES"/>
        </w:rPr>
        <w:t>1/0</w:t>
      </w:r>
      <w:r w:rsidR="009D601E" w:rsidRPr="004B37CC">
        <w:rPr>
          <w:rFonts w:ascii="Cambria" w:hAnsi="Cambria" w:cs="Calibri Light"/>
          <w:color w:val="000000"/>
          <w:sz w:val="20"/>
          <w:szCs w:val="20"/>
          <w:lang w:val="es-ES"/>
        </w:rPr>
        <w:t>6</w:t>
      </w:r>
      <w:r w:rsidRPr="004B37CC">
        <w:rPr>
          <w:rFonts w:ascii="Cambria" w:hAnsi="Cambria" w:cs="Calibri Light"/>
          <w:color w:val="000000"/>
          <w:sz w:val="20"/>
          <w:szCs w:val="20"/>
          <w:lang w:val="es-ES"/>
        </w:rPr>
        <w:t xml:space="preserve"> al Estado el </w:t>
      </w:r>
      <w:r w:rsidR="002D44B2" w:rsidRPr="004B37CC">
        <w:rPr>
          <w:rFonts w:ascii="Cambria" w:hAnsi="Cambria" w:cs="Calibri Light"/>
          <w:color w:val="000000"/>
          <w:sz w:val="20"/>
          <w:szCs w:val="20"/>
          <w:lang w:val="es-ES"/>
        </w:rPr>
        <w:t>23 de agosto</w:t>
      </w:r>
      <w:r w:rsidRPr="004B37CC">
        <w:rPr>
          <w:rFonts w:ascii="Cambria" w:hAnsi="Cambria" w:cs="Calibri Light"/>
          <w:color w:val="000000"/>
          <w:sz w:val="20"/>
          <w:szCs w:val="20"/>
          <w:lang w:val="es-ES"/>
        </w:rPr>
        <w:t>. El Estado presentó</w:t>
      </w:r>
      <w:r w:rsidRPr="004B37CC">
        <w:rPr>
          <w:rFonts w:ascii="Cambria" w:hAnsi="Cambria" w:cs="Calibri Light"/>
          <w:color w:val="000000"/>
          <w:sz w:val="20"/>
          <w:szCs w:val="20"/>
          <w:lang w:val="es-CO"/>
        </w:rPr>
        <w:t xml:space="preserve"> dicha información el 1</w:t>
      </w:r>
      <w:r w:rsidR="002D44B2" w:rsidRPr="004B37CC">
        <w:rPr>
          <w:rFonts w:ascii="Cambria" w:hAnsi="Cambria" w:cs="Calibri Light"/>
          <w:color w:val="000000"/>
          <w:sz w:val="20"/>
          <w:szCs w:val="20"/>
          <w:lang w:val="es-CO"/>
        </w:rPr>
        <w:t>8</w:t>
      </w:r>
      <w:r w:rsidRPr="004B37CC">
        <w:rPr>
          <w:rFonts w:ascii="Cambria" w:hAnsi="Cambria" w:cs="Calibri Light"/>
          <w:color w:val="000000"/>
          <w:sz w:val="20"/>
          <w:szCs w:val="20"/>
          <w:lang w:val="es-CO"/>
        </w:rPr>
        <w:t xml:space="preserve"> de octubre de 202</w:t>
      </w:r>
      <w:r w:rsidR="002D44B2" w:rsidRPr="004B37CC">
        <w:rPr>
          <w:rFonts w:ascii="Cambria" w:hAnsi="Cambria" w:cs="Calibri Light"/>
          <w:color w:val="000000"/>
          <w:sz w:val="20"/>
          <w:szCs w:val="20"/>
          <w:lang w:val="es-CO"/>
        </w:rPr>
        <w:t>1</w:t>
      </w:r>
      <w:r w:rsidRPr="004B37CC">
        <w:rPr>
          <w:rFonts w:ascii="Cambria" w:hAnsi="Cambria" w:cs="Calibri Light"/>
          <w:color w:val="000000"/>
          <w:sz w:val="20"/>
          <w:szCs w:val="20"/>
          <w:lang w:val="es-CO"/>
        </w:rPr>
        <w:t xml:space="preserve">. </w:t>
      </w:r>
    </w:p>
    <w:p w14:paraId="683FC393" w14:textId="77777777" w:rsidR="00346868" w:rsidRPr="004B37CC" w:rsidRDefault="00346868" w:rsidP="00346868">
      <w:pPr>
        <w:spacing w:after="0" w:line="240" w:lineRule="auto"/>
        <w:ind w:left="720"/>
        <w:jc w:val="both"/>
        <w:rPr>
          <w:rFonts w:ascii="Cambria" w:hAnsi="Cambria" w:cs="Calibri Light"/>
          <w:color w:val="000000"/>
          <w:sz w:val="20"/>
          <w:szCs w:val="20"/>
          <w:lang w:val="es-ES"/>
        </w:rPr>
      </w:pPr>
    </w:p>
    <w:p w14:paraId="713EBB03" w14:textId="77777777" w:rsidR="00346868" w:rsidRPr="004B37CC" w:rsidRDefault="00346868" w:rsidP="00346868">
      <w:pPr>
        <w:numPr>
          <w:ilvl w:val="0"/>
          <w:numId w:val="36"/>
        </w:numPr>
        <w:spacing w:after="0" w:line="240" w:lineRule="auto"/>
        <w:ind w:left="0" w:firstLine="720"/>
        <w:jc w:val="both"/>
        <w:rPr>
          <w:rFonts w:ascii="Cambria" w:hAnsi="Cambria" w:cs="Calibri Light"/>
          <w:color w:val="000000"/>
          <w:sz w:val="20"/>
          <w:szCs w:val="20"/>
          <w:lang w:val="es-ES"/>
        </w:rPr>
      </w:pPr>
      <w:r w:rsidRPr="004B37CC">
        <w:rPr>
          <w:rFonts w:ascii="Cambria" w:hAnsi="Cambria" w:cs="Calibri Light"/>
          <w:color w:val="000000"/>
          <w:sz w:val="20"/>
          <w:szCs w:val="20"/>
          <w:lang w:val="es-ES"/>
        </w:rPr>
        <w:t xml:space="preserve">La CIDH solicitó información actualizada sobre el cumplimiento a los peticionarios el </w:t>
      </w:r>
      <w:r w:rsidR="002D44B2" w:rsidRPr="004B37CC">
        <w:rPr>
          <w:rFonts w:ascii="Cambria" w:hAnsi="Cambria" w:cs="Calibri Light"/>
          <w:color w:val="000000"/>
          <w:sz w:val="20"/>
          <w:szCs w:val="20"/>
          <w:lang w:val="es-ES"/>
        </w:rPr>
        <w:t>23 de agosto de 2021</w:t>
      </w:r>
      <w:r w:rsidRPr="004B37CC">
        <w:rPr>
          <w:rFonts w:ascii="Cambria" w:hAnsi="Cambria" w:cs="Calibri Light"/>
          <w:color w:val="000000"/>
          <w:sz w:val="20"/>
          <w:szCs w:val="20"/>
          <w:lang w:val="es-ES"/>
        </w:rPr>
        <w:t xml:space="preserve">. A la fecha de cierre de este informe, </w:t>
      </w:r>
      <w:r w:rsidRPr="004B37CC">
        <w:rPr>
          <w:rFonts w:ascii="Cambria" w:hAnsi="Cambria"/>
          <w:color w:val="000000"/>
          <w:sz w:val="20"/>
          <w:szCs w:val="20"/>
          <w:lang w:val="es-ES_tradnl"/>
        </w:rPr>
        <w:t>la Comisión no había recibido dicha información de los peticionarios.</w:t>
      </w:r>
      <w:r w:rsidR="007973D9" w:rsidRPr="004B37CC">
        <w:rPr>
          <w:rFonts w:ascii="Cambria" w:hAnsi="Cambria" w:cs="Calibri Light"/>
          <w:color w:val="000000"/>
          <w:sz w:val="20"/>
          <w:szCs w:val="20"/>
          <w:lang w:val="es-US"/>
        </w:rPr>
        <w:t xml:space="preserve"> La Comisión observa con preocupación que los peticionarios no han presentado esta información desde la publicación de dicho Informe de Fondo en el 2006.</w:t>
      </w:r>
    </w:p>
    <w:p w14:paraId="0E994F6A" w14:textId="77777777" w:rsidR="00B23FA7" w:rsidRPr="004B37CC" w:rsidRDefault="00B23FA7" w:rsidP="00B23FA7">
      <w:pPr>
        <w:spacing w:after="0" w:line="240" w:lineRule="auto"/>
        <w:jc w:val="both"/>
        <w:rPr>
          <w:rFonts w:ascii="Cambria" w:hAnsi="Cambria" w:cs="Calibri Light"/>
          <w:color w:val="000000"/>
          <w:sz w:val="20"/>
          <w:szCs w:val="20"/>
          <w:lang w:val="es-ES"/>
        </w:rPr>
      </w:pPr>
    </w:p>
    <w:p w14:paraId="2A884996" w14:textId="77777777" w:rsidR="00B23FA7" w:rsidRPr="004B37CC" w:rsidRDefault="00BB37DD" w:rsidP="00B23FA7">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4B37CC">
        <w:rPr>
          <w:rFonts w:ascii="Cambria" w:hAnsi="Cambria" w:cs="Calibri Light"/>
          <w:b/>
          <w:color w:val="000000"/>
          <w:sz w:val="20"/>
          <w:szCs w:val="20"/>
          <w:lang w:val="es-ES"/>
        </w:rPr>
        <w:t xml:space="preserve">Análisis </w:t>
      </w:r>
      <w:r w:rsidR="00CB1AD9" w:rsidRPr="004B37CC">
        <w:rPr>
          <w:rFonts w:ascii="Cambria" w:hAnsi="Cambria" w:cs="Calibri Light"/>
          <w:b/>
          <w:color w:val="000000"/>
          <w:sz w:val="20"/>
          <w:szCs w:val="20"/>
          <w:lang w:val="es-ES"/>
        </w:rPr>
        <w:t xml:space="preserve">relativo a la información proporcionada </w:t>
      </w:r>
    </w:p>
    <w:p w14:paraId="497BBC2F" w14:textId="77777777" w:rsidR="009D601E" w:rsidRPr="004B37CC" w:rsidRDefault="009D601E" w:rsidP="009D601E">
      <w:pPr>
        <w:pStyle w:val="ListParagraph"/>
        <w:ind w:left="0"/>
        <w:rPr>
          <w:rFonts w:ascii="Cambria" w:hAnsi="Cambria" w:cs="Calibri Light"/>
          <w:color w:val="000000"/>
          <w:sz w:val="20"/>
          <w:szCs w:val="20"/>
          <w:lang w:val="es-ES"/>
        </w:rPr>
      </w:pPr>
    </w:p>
    <w:p w14:paraId="2AEF35DC" w14:textId="77777777" w:rsidR="009D601E" w:rsidRPr="004B37CC" w:rsidRDefault="009D601E" w:rsidP="009D601E">
      <w:pPr>
        <w:pStyle w:val="ListParagraph"/>
        <w:numPr>
          <w:ilvl w:val="0"/>
          <w:numId w:val="36"/>
        </w:numPr>
        <w:spacing w:after="0" w:line="240" w:lineRule="auto"/>
        <w:ind w:left="0" w:firstLine="720"/>
        <w:jc w:val="both"/>
        <w:rPr>
          <w:rFonts w:ascii="Cambria" w:hAnsi="Cambria" w:cs="Calibri Light"/>
          <w:color w:val="000000"/>
          <w:sz w:val="20"/>
          <w:szCs w:val="20"/>
          <w:lang w:val="es-ES"/>
        </w:rPr>
      </w:pPr>
      <w:r w:rsidRPr="004B37CC">
        <w:rPr>
          <w:rFonts w:ascii="Cambria" w:hAnsi="Cambria" w:cs="Calibri Light"/>
          <w:color w:val="000000"/>
          <w:sz w:val="20"/>
          <w:szCs w:val="20"/>
          <w:lang w:val="es-ES"/>
        </w:rPr>
        <w:t>La Comisión considera que la información proporcionada por el Estado en 202</w:t>
      </w:r>
      <w:r w:rsidR="002D44B2" w:rsidRPr="004B37CC">
        <w:rPr>
          <w:rFonts w:ascii="Cambria" w:hAnsi="Cambria" w:cs="Calibri Light"/>
          <w:color w:val="000000"/>
          <w:sz w:val="20"/>
          <w:szCs w:val="20"/>
          <w:lang w:val="es-ES"/>
        </w:rPr>
        <w:t>1</w:t>
      </w:r>
      <w:r w:rsidRPr="004B37CC">
        <w:rPr>
          <w:rFonts w:ascii="Cambria" w:hAnsi="Cambria" w:cs="Calibri Light"/>
          <w:color w:val="000000"/>
          <w:sz w:val="20"/>
          <w:szCs w:val="20"/>
          <w:lang w:val="es-ES"/>
        </w:rPr>
        <w:t xml:space="preserve"> es relevante sobre medidas adoptadas relativas al cumplimiento de al menos una de las recomendaciones emitidas en el Informe Nº 61/06. </w:t>
      </w:r>
    </w:p>
    <w:p w14:paraId="35F20A25" w14:textId="77777777" w:rsidR="00B23FA7" w:rsidRPr="004B37CC" w:rsidRDefault="00B23FA7" w:rsidP="00B23FA7">
      <w:pPr>
        <w:spacing w:after="0" w:line="240" w:lineRule="auto"/>
        <w:ind w:firstLine="720"/>
        <w:jc w:val="both"/>
        <w:rPr>
          <w:rFonts w:ascii="Cambria" w:hAnsi="Cambria" w:cs="Calibri Light"/>
          <w:color w:val="000000"/>
          <w:sz w:val="20"/>
          <w:szCs w:val="20"/>
          <w:lang w:val="es-ES"/>
        </w:rPr>
      </w:pPr>
    </w:p>
    <w:p w14:paraId="217C0363" w14:textId="77777777" w:rsidR="00B23FA7" w:rsidRPr="004B37CC" w:rsidRDefault="00BB37DD" w:rsidP="00B23FA7">
      <w:pPr>
        <w:pStyle w:val="ListParagraph"/>
        <w:numPr>
          <w:ilvl w:val="0"/>
          <w:numId w:val="1"/>
        </w:numPr>
        <w:spacing w:after="0" w:line="240" w:lineRule="auto"/>
        <w:ind w:left="1440"/>
        <w:jc w:val="both"/>
        <w:rPr>
          <w:rFonts w:ascii="Cambria" w:hAnsi="Cambria" w:cs="Calibri Light"/>
          <w:b/>
          <w:color w:val="000000"/>
          <w:sz w:val="20"/>
          <w:szCs w:val="20"/>
          <w:lang w:val="es-ES"/>
        </w:rPr>
      </w:pPr>
      <w:r w:rsidRPr="004B37CC">
        <w:rPr>
          <w:rFonts w:ascii="Cambria" w:hAnsi="Cambria" w:cs="Calibri Light"/>
          <w:b/>
          <w:color w:val="000000"/>
          <w:sz w:val="20"/>
          <w:szCs w:val="20"/>
          <w:lang w:val="es-ES"/>
        </w:rPr>
        <w:t>Análisis del cumplimiento de las recomendaciones</w:t>
      </w:r>
      <w:r w:rsidR="00B23FA7" w:rsidRPr="004B37CC">
        <w:rPr>
          <w:rFonts w:ascii="Cambria" w:hAnsi="Cambria" w:cs="Calibri Light"/>
          <w:b/>
          <w:color w:val="000000"/>
          <w:sz w:val="20"/>
          <w:szCs w:val="20"/>
          <w:lang w:val="es-ES"/>
        </w:rPr>
        <w:t xml:space="preserve"> </w:t>
      </w:r>
    </w:p>
    <w:p w14:paraId="2D9AAD8E" w14:textId="77777777" w:rsidR="00B23FA7" w:rsidRPr="004B37CC" w:rsidRDefault="00B23FA7" w:rsidP="00B23FA7">
      <w:pPr>
        <w:pStyle w:val="NoSpacing"/>
        <w:ind w:firstLine="720"/>
        <w:jc w:val="both"/>
        <w:rPr>
          <w:rFonts w:ascii="Cambria" w:hAnsi="Cambria"/>
          <w:color w:val="000000"/>
          <w:sz w:val="20"/>
          <w:szCs w:val="20"/>
          <w:lang w:val="es-ES"/>
        </w:rPr>
      </w:pPr>
    </w:p>
    <w:p w14:paraId="2200EA18" w14:textId="77777777" w:rsidR="00B23FA7" w:rsidRPr="004B37CC" w:rsidRDefault="00BB37DD" w:rsidP="00346868">
      <w:pPr>
        <w:pStyle w:val="NoSpacing"/>
        <w:numPr>
          <w:ilvl w:val="0"/>
          <w:numId w:val="36"/>
        </w:numPr>
        <w:ind w:left="0" w:firstLine="720"/>
        <w:jc w:val="both"/>
        <w:rPr>
          <w:rFonts w:ascii="Cambria" w:hAnsi="Cambria"/>
          <w:color w:val="000000"/>
          <w:sz w:val="20"/>
          <w:szCs w:val="20"/>
          <w:lang w:val="es-ES"/>
        </w:rPr>
      </w:pPr>
      <w:r w:rsidRPr="004B37CC">
        <w:rPr>
          <w:rFonts w:ascii="Cambria" w:hAnsi="Cambria"/>
          <w:b/>
          <w:color w:val="000000"/>
          <w:sz w:val="20"/>
          <w:szCs w:val="20"/>
          <w:lang w:val="es-ES"/>
        </w:rPr>
        <w:t>Con relación a la primera recomendación</w:t>
      </w:r>
      <w:r w:rsidR="00B23FA7" w:rsidRPr="004B37CC">
        <w:rPr>
          <w:rFonts w:ascii="Cambria" w:hAnsi="Cambria"/>
          <w:color w:val="000000"/>
          <w:sz w:val="20"/>
          <w:szCs w:val="20"/>
          <w:lang w:val="es-ES"/>
        </w:rPr>
        <w:t xml:space="preserve">, </w:t>
      </w:r>
      <w:r w:rsidRPr="004B37CC">
        <w:rPr>
          <w:rFonts w:ascii="Cambria" w:hAnsi="Cambria"/>
          <w:color w:val="000000"/>
          <w:sz w:val="20"/>
          <w:szCs w:val="20"/>
          <w:lang w:val="es-ES"/>
        </w:rPr>
        <w:t>e</w:t>
      </w:r>
      <w:r w:rsidR="00B23FA7" w:rsidRPr="004B37CC">
        <w:rPr>
          <w:rFonts w:ascii="Cambria" w:hAnsi="Cambria"/>
          <w:color w:val="000000"/>
          <w:sz w:val="20"/>
          <w:szCs w:val="20"/>
          <w:lang w:val="es-ES"/>
        </w:rPr>
        <w:t xml:space="preserve">n 2015, </w:t>
      </w:r>
      <w:r w:rsidR="00430252" w:rsidRPr="004B37CC">
        <w:rPr>
          <w:rFonts w:ascii="Cambria" w:eastAsia="MS Mincho" w:hAnsi="Cambria"/>
          <w:snapToGrid w:val="0"/>
          <w:color w:val="000000"/>
          <w:sz w:val="20"/>
          <w:szCs w:val="20"/>
          <w:lang w:val="es-ES" w:eastAsia="es-ES_tradnl"/>
        </w:rPr>
        <w:t xml:space="preserve">el Estado manifestó sus reservas </w:t>
      </w:r>
      <w:r w:rsidR="00933634" w:rsidRPr="004B37CC">
        <w:rPr>
          <w:rFonts w:ascii="Cambria" w:eastAsia="MS Mincho" w:hAnsi="Cambria"/>
          <w:snapToGrid w:val="0"/>
          <w:color w:val="000000"/>
          <w:sz w:val="20"/>
          <w:szCs w:val="20"/>
          <w:lang w:val="es-ES" w:eastAsia="es-ES_tradnl"/>
        </w:rPr>
        <w:t>con</w:t>
      </w:r>
      <w:r w:rsidR="00430252" w:rsidRPr="004B37CC">
        <w:rPr>
          <w:rFonts w:ascii="Cambria" w:eastAsia="MS Mincho" w:hAnsi="Cambria"/>
          <w:snapToGrid w:val="0"/>
          <w:color w:val="000000"/>
          <w:sz w:val="20"/>
          <w:szCs w:val="20"/>
          <w:lang w:val="es-ES" w:eastAsia="es-ES_tradnl"/>
        </w:rPr>
        <w:t xml:space="preserve"> relación a la primera recomendación al considerar que el señor Tracey fue condenado legalmente</w:t>
      </w:r>
      <w:r w:rsidR="00B23FA7" w:rsidRPr="004B37CC">
        <w:rPr>
          <w:rFonts w:ascii="Cambria" w:hAnsi="Cambria"/>
          <w:color w:val="000000"/>
          <w:sz w:val="20"/>
          <w:szCs w:val="20"/>
          <w:lang w:val="es-ES"/>
        </w:rPr>
        <w:t xml:space="preserve">. </w:t>
      </w:r>
      <w:r w:rsidR="00430252" w:rsidRPr="004B37CC">
        <w:rPr>
          <w:rFonts w:ascii="Cambria" w:hAnsi="Cambria"/>
          <w:color w:val="000000"/>
          <w:sz w:val="20"/>
          <w:szCs w:val="20"/>
          <w:lang w:val="es-ES"/>
        </w:rPr>
        <w:t xml:space="preserve">Asimismo, el Estado indicó que </w:t>
      </w:r>
      <w:r w:rsidR="00430252" w:rsidRPr="004B37CC">
        <w:rPr>
          <w:rFonts w:ascii="Cambria" w:eastAsia="MS Mincho" w:hAnsi="Cambria"/>
          <w:color w:val="000000"/>
          <w:sz w:val="20"/>
          <w:szCs w:val="20"/>
          <w:lang w:val="es-ES" w:eastAsia="es-ES_tradnl"/>
        </w:rPr>
        <w:t>la Corte de Apelaciones desestimó la apelación del señor Tracey y que éste no ha</w:t>
      </w:r>
      <w:r w:rsidR="00DB3436" w:rsidRPr="004B37CC">
        <w:rPr>
          <w:rFonts w:ascii="Cambria" w:eastAsia="MS Mincho" w:hAnsi="Cambria"/>
          <w:color w:val="000000"/>
          <w:sz w:val="20"/>
          <w:szCs w:val="20"/>
          <w:lang w:val="es-ES" w:eastAsia="es-ES_tradnl"/>
        </w:rPr>
        <w:t>bía</w:t>
      </w:r>
      <w:r w:rsidR="00430252" w:rsidRPr="004B37CC">
        <w:rPr>
          <w:rFonts w:ascii="Cambria" w:eastAsia="MS Mincho" w:hAnsi="Cambria"/>
          <w:color w:val="000000"/>
          <w:sz w:val="20"/>
          <w:szCs w:val="20"/>
          <w:lang w:val="es-ES" w:eastAsia="es-ES_tradnl"/>
        </w:rPr>
        <w:t xml:space="preserve"> llevado el caso ante el Comité</w:t>
      </w:r>
      <w:r w:rsidR="00DB3436" w:rsidRPr="004B37CC">
        <w:rPr>
          <w:rFonts w:ascii="Cambria" w:eastAsia="MS Mincho" w:hAnsi="Cambria"/>
          <w:color w:val="000000"/>
          <w:sz w:val="20"/>
          <w:szCs w:val="20"/>
          <w:lang w:val="es-ES" w:eastAsia="es-ES_tradnl"/>
        </w:rPr>
        <w:t xml:space="preserve"> Judicial del Consejo Privado, además </w:t>
      </w:r>
      <w:r w:rsidR="00430252" w:rsidRPr="004B37CC">
        <w:rPr>
          <w:rFonts w:ascii="Cambria" w:eastAsia="MS Mincho" w:hAnsi="Cambria"/>
          <w:color w:val="000000"/>
          <w:sz w:val="20"/>
          <w:szCs w:val="20"/>
          <w:lang w:val="es-ES" w:eastAsia="es-ES_tradnl"/>
        </w:rPr>
        <w:t>las leyes vigentes no permiten un nuevo juicio</w:t>
      </w:r>
      <w:r w:rsidR="00B23FA7" w:rsidRPr="004B37CC">
        <w:rPr>
          <w:rStyle w:val="FootnoteReference"/>
          <w:rFonts w:ascii="Cambria" w:hAnsi="Cambria"/>
          <w:color w:val="000000"/>
          <w:sz w:val="20"/>
          <w:szCs w:val="20"/>
          <w:lang w:val="es-ES"/>
        </w:rPr>
        <w:footnoteReference w:id="3"/>
      </w:r>
      <w:r w:rsidR="009009BC" w:rsidRPr="004B37CC">
        <w:rPr>
          <w:rFonts w:ascii="Cambria" w:eastAsia="MS Mincho" w:hAnsi="Cambria"/>
          <w:color w:val="000000"/>
          <w:sz w:val="20"/>
          <w:szCs w:val="20"/>
          <w:lang w:val="es-ES" w:eastAsia="es-ES_tradnl"/>
        </w:rPr>
        <w:t>.</w:t>
      </w:r>
      <w:r w:rsidR="00B23FA7" w:rsidRPr="004B37CC">
        <w:rPr>
          <w:rFonts w:ascii="Cambria" w:hAnsi="Cambria"/>
          <w:color w:val="000000"/>
          <w:sz w:val="20"/>
          <w:szCs w:val="20"/>
          <w:lang w:val="es-ES"/>
        </w:rPr>
        <w:t xml:space="preserve"> </w:t>
      </w:r>
      <w:r w:rsidR="00DB3436" w:rsidRPr="004B37CC">
        <w:rPr>
          <w:rFonts w:ascii="Cambria" w:hAnsi="Cambria"/>
          <w:color w:val="000000"/>
          <w:sz w:val="20"/>
          <w:szCs w:val="20"/>
          <w:lang w:val="es-ES"/>
        </w:rPr>
        <w:t xml:space="preserve">Finalmente, </w:t>
      </w:r>
      <w:r w:rsidR="00430252" w:rsidRPr="004B37CC">
        <w:rPr>
          <w:rFonts w:ascii="Cambria" w:hAnsi="Cambria"/>
          <w:color w:val="000000"/>
          <w:sz w:val="20"/>
          <w:szCs w:val="20"/>
          <w:lang w:val="es-ES"/>
        </w:rPr>
        <w:t xml:space="preserve">el Estado señaló que </w:t>
      </w:r>
      <w:r w:rsidR="00430252" w:rsidRPr="004B37CC">
        <w:rPr>
          <w:rFonts w:ascii="Cambria" w:eastAsia="MS Mincho" w:hAnsi="Cambria"/>
          <w:snapToGrid w:val="0"/>
          <w:color w:val="000000"/>
          <w:sz w:val="20"/>
          <w:szCs w:val="20"/>
          <w:lang w:val="es-ES" w:eastAsia="es-ES_tradnl"/>
        </w:rPr>
        <w:t>el señor Tracy había sido liberado el 1 de octubre de 2011 al haber cumplido su condena</w:t>
      </w:r>
      <w:r w:rsidR="00B23FA7" w:rsidRPr="004B37CC">
        <w:rPr>
          <w:rStyle w:val="FootnoteReference"/>
          <w:rFonts w:ascii="Cambria" w:hAnsi="Cambria"/>
          <w:color w:val="000000"/>
          <w:sz w:val="20"/>
          <w:szCs w:val="20"/>
          <w:lang w:val="es-ES"/>
        </w:rPr>
        <w:footnoteReference w:id="4"/>
      </w:r>
      <w:r w:rsidR="00DF6387" w:rsidRPr="004B37CC">
        <w:rPr>
          <w:rFonts w:ascii="Cambria" w:eastAsia="MS Mincho" w:hAnsi="Cambria"/>
          <w:snapToGrid w:val="0"/>
          <w:color w:val="000000"/>
          <w:sz w:val="20"/>
          <w:szCs w:val="20"/>
          <w:lang w:val="es-ES" w:eastAsia="es-ES_tradnl"/>
        </w:rPr>
        <w:t>.</w:t>
      </w:r>
    </w:p>
    <w:p w14:paraId="18215577" w14:textId="77777777" w:rsidR="00DF6387" w:rsidRPr="004B37CC" w:rsidRDefault="00DF6387" w:rsidP="00DF6387">
      <w:pPr>
        <w:pStyle w:val="NoSpacing"/>
        <w:ind w:left="720"/>
        <w:jc w:val="both"/>
        <w:rPr>
          <w:rFonts w:ascii="Cambria" w:hAnsi="Cambria"/>
          <w:color w:val="000000"/>
          <w:sz w:val="20"/>
          <w:szCs w:val="20"/>
          <w:lang w:val="es-ES"/>
        </w:rPr>
      </w:pPr>
    </w:p>
    <w:p w14:paraId="51D8794A" w14:textId="77777777" w:rsidR="00AB6A77" w:rsidRPr="004B37CC" w:rsidRDefault="00DF6387" w:rsidP="00AB6A77">
      <w:pPr>
        <w:pStyle w:val="NoSpacing"/>
        <w:numPr>
          <w:ilvl w:val="0"/>
          <w:numId w:val="36"/>
        </w:numPr>
        <w:ind w:left="0" w:firstLine="720"/>
        <w:jc w:val="both"/>
        <w:rPr>
          <w:rFonts w:ascii="Cambria" w:hAnsi="Cambria"/>
          <w:color w:val="000000"/>
          <w:sz w:val="20"/>
          <w:szCs w:val="20"/>
          <w:lang w:val="es-ES"/>
        </w:rPr>
      </w:pPr>
      <w:r w:rsidRPr="004B37CC">
        <w:rPr>
          <w:rFonts w:ascii="Cambria" w:hAnsi="Cambria"/>
          <w:color w:val="000000"/>
          <w:sz w:val="20"/>
          <w:szCs w:val="20"/>
          <w:lang w:val="es-ES"/>
        </w:rPr>
        <w:t>En 2020, el Estado reiteró la información proporcionada en años anteriores</w:t>
      </w:r>
      <w:r w:rsidR="00933634" w:rsidRPr="004B37CC">
        <w:rPr>
          <w:rFonts w:ascii="Cambria" w:hAnsi="Cambria"/>
          <w:color w:val="000000"/>
          <w:sz w:val="20"/>
          <w:szCs w:val="20"/>
          <w:lang w:val="es-ES"/>
        </w:rPr>
        <w:t>.</w:t>
      </w:r>
      <w:r w:rsidRPr="004B37CC">
        <w:rPr>
          <w:rFonts w:ascii="Cambria" w:hAnsi="Cambria"/>
          <w:color w:val="000000"/>
          <w:sz w:val="20"/>
          <w:szCs w:val="20"/>
          <w:lang w:val="es-ES"/>
        </w:rPr>
        <w:t xml:space="preserve"> </w:t>
      </w:r>
      <w:r w:rsidR="00933634" w:rsidRPr="004B37CC">
        <w:rPr>
          <w:rFonts w:ascii="Cambria" w:hAnsi="Cambria"/>
          <w:color w:val="000000"/>
          <w:sz w:val="20"/>
          <w:szCs w:val="20"/>
          <w:lang w:val="es-ES"/>
        </w:rPr>
        <w:t>S</w:t>
      </w:r>
      <w:r w:rsidRPr="004B37CC">
        <w:rPr>
          <w:rFonts w:ascii="Cambria" w:hAnsi="Cambria"/>
          <w:color w:val="000000"/>
          <w:sz w:val="20"/>
          <w:szCs w:val="20"/>
          <w:lang w:val="es-ES"/>
        </w:rPr>
        <w:t xml:space="preserve">ubrayó que, con arreglo a las leyes de Jamaica, el derecho del Sr. </w:t>
      </w:r>
      <w:proofErr w:type="spellStart"/>
      <w:r w:rsidRPr="004B37CC">
        <w:rPr>
          <w:rFonts w:ascii="Cambria" w:hAnsi="Cambria"/>
          <w:color w:val="000000"/>
          <w:sz w:val="20"/>
          <w:szCs w:val="20"/>
          <w:lang w:val="es-ES"/>
        </w:rPr>
        <w:t>Tracey</w:t>
      </w:r>
      <w:proofErr w:type="spellEnd"/>
      <w:r w:rsidRPr="004B37CC">
        <w:rPr>
          <w:rFonts w:ascii="Cambria" w:hAnsi="Cambria"/>
          <w:color w:val="000000"/>
          <w:sz w:val="20"/>
          <w:szCs w:val="20"/>
          <w:lang w:val="es-ES"/>
        </w:rPr>
        <w:t xml:space="preserve"> a un juicio imparcial está protegido por los tribunales de Jamaica</w:t>
      </w:r>
      <w:r w:rsidR="009009BC" w:rsidRPr="004B37CC">
        <w:rPr>
          <w:rFonts w:ascii="Cambria" w:hAnsi="Cambria"/>
          <w:color w:val="000000"/>
          <w:sz w:val="20"/>
          <w:szCs w:val="20"/>
          <w:lang w:val="es-ES"/>
        </w:rPr>
        <w:t xml:space="preserve">. Asimismo, indicó que el Sr. </w:t>
      </w:r>
      <w:proofErr w:type="spellStart"/>
      <w:r w:rsidR="009009BC" w:rsidRPr="004B37CC">
        <w:rPr>
          <w:rFonts w:ascii="Cambria" w:hAnsi="Cambria"/>
          <w:color w:val="000000"/>
          <w:sz w:val="20"/>
          <w:szCs w:val="20"/>
          <w:lang w:val="es-ES"/>
        </w:rPr>
        <w:t>Tracey</w:t>
      </w:r>
      <w:proofErr w:type="spellEnd"/>
      <w:r w:rsidRPr="004B37CC">
        <w:rPr>
          <w:rFonts w:ascii="Cambria" w:hAnsi="Cambria"/>
          <w:color w:val="000000"/>
          <w:sz w:val="20"/>
          <w:szCs w:val="20"/>
          <w:lang w:val="es-ES"/>
        </w:rPr>
        <w:t xml:space="preserve"> no agot</w:t>
      </w:r>
      <w:r w:rsidR="00933634" w:rsidRPr="004B37CC">
        <w:rPr>
          <w:rFonts w:ascii="Cambria" w:hAnsi="Cambria"/>
          <w:color w:val="000000"/>
          <w:sz w:val="20"/>
          <w:szCs w:val="20"/>
          <w:lang w:val="es-ES"/>
        </w:rPr>
        <w:t>ó</w:t>
      </w:r>
      <w:r w:rsidRPr="004B37CC">
        <w:rPr>
          <w:rFonts w:ascii="Cambria" w:hAnsi="Cambria"/>
          <w:color w:val="000000"/>
          <w:sz w:val="20"/>
          <w:szCs w:val="20"/>
          <w:lang w:val="es-ES"/>
        </w:rPr>
        <w:t xml:space="preserve"> los recursos internos</w:t>
      </w:r>
      <w:r w:rsidR="00933634" w:rsidRPr="004B37CC">
        <w:rPr>
          <w:rFonts w:ascii="Cambria" w:hAnsi="Cambria"/>
          <w:color w:val="000000"/>
          <w:sz w:val="20"/>
          <w:szCs w:val="20"/>
          <w:lang w:val="es-ES"/>
        </w:rPr>
        <w:t>. Asimismo, observó</w:t>
      </w:r>
      <w:r w:rsidR="009009BC" w:rsidRPr="004B37CC">
        <w:rPr>
          <w:rFonts w:ascii="Cambria" w:hAnsi="Cambria"/>
          <w:color w:val="000000"/>
          <w:sz w:val="20"/>
          <w:szCs w:val="20"/>
          <w:lang w:val="es-ES"/>
        </w:rPr>
        <w:t xml:space="preserve"> que</w:t>
      </w:r>
      <w:r w:rsidRPr="004B37CC">
        <w:rPr>
          <w:rFonts w:ascii="Cambria" w:hAnsi="Cambria"/>
          <w:color w:val="000000"/>
          <w:sz w:val="20"/>
          <w:szCs w:val="20"/>
          <w:lang w:val="es-ES"/>
        </w:rPr>
        <w:t xml:space="preserve"> la garantía constitucional del derecho a un juicio justo en un plazo razonable por un tribunal independiente e imparcial, junto con las directrices de condena de Jamaica y los precedentes locales, proporcionan el marco jurídico para asegurar una protección suficiente del derecho a un juicio justo. El Estado observ</w:t>
      </w:r>
      <w:r w:rsidR="009009BC" w:rsidRPr="004B37CC">
        <w:rPr>
          <w:rFonts w:ascii="Cambria" w:hAnsi="Cambria"/>
          <w:color w:val="000000"/>
          <w:sz w:val="20"/>
          <w:szCs w:val="20"/>
          <w:lang w:val="es-ES"/>
        </w:rPr>
        <w:t>ó</w:t>
      </w:r>
      <w:r w:rsidRPr="004B37CC">
        <w:rPr>
          <w:rFonts w:ascii="Cambria" w:hAnsi="Cambria"/>
          <w:color w:val="000000"/>
          <w:sz w:val="20"/>
          <w:szCs w:val="20"/>
          <w:lang w:val="es-ES"/>
        </w:rPr>
        <w:t xml:space="preserve"> además que, en su opinión, las leyes de Jamaica proporcionaron al Sr. </w:t>
      </w:r>
      <w:proofErr w:type="spellStart"/>
      <w:r w:rsidRPr="004B37CC">
        <w:rPr>
          <w:rFonts w:ascii="Cambria" w:hAnsi="Cambria"/>
          <w:color w:val="000000"/>
          <w:sz w:val="20"/>
          <w:szCs w:val="20"/>
          <w:lang w:val="es-ES"/>
        </w:rPr>
        <w:t>Tracey</w:t>
      </w:r>
      <w:proofErr w:type="spellEnd"/>
      <w:r w:rsidRPr="004B37CC">
        <w:rPr>
          <w:rFonts w:ascii="Cambria" w:hAnsi="Cambria"/>
          <w:color w:val="000000"/>
          <w:sz w:val="20"/>
          <w:szCs w:val="20"/>
          <w:lang w:val="es-ES"/>
        </w:rPr>
        <w:t xml:space="preserve"> recursos internos eficaces que no agotó.</w:t>
      </w:r>
      <w:r w:rsidR="009009BC" w:rsidRPr="004B37CC">
        <w:rPr>
          <w:rFonts w:ascii="Cambria" w:hAnsi="Cambria"/>
          <w:color w:val="000000"/>
          <w:sz w:val="20"/>
          <w:szCs w:val="20"/>
          <w:lang w:val="es-ES"/>
        </w:rPr>
        <w:t xml:space="preserve"> Asimismo, </w:t>
      </w:r>
      <w:r w:rsidRPr="004B37CC">
        <w:rPr>
          <w:rFonts w:ascii="Cambria" w:hAnsi="Cambria"/>
          <w:color w:val="000000"/>
          <w:sz w:val="20"/>
          <w:szCs w:val="20"/>
          <w:lang w:val="es-ES"/>
        </w:rPr>
        <w:t xml:space="preserve">el Estado </w:t>
      </w:r>
      <w:r w:rsidR="009009BC" w:rsidRPr="004B37CC">
        <w:rPr>
          <w:rFonts w:ascii="Cambria" w:hAnsi="Cambria"/>
          <w:color w:val="000000"/>
          <w:sz w:val="20"/>
          <w:szCs w:val="20"/>
          <w:lang w:val="es-ES"/>
        </w:rPr>
        <w:t>reiteró</w:t>
      </w:r>
      <w:r w:rsidRPr="004B37CC">
        <w:rPr>
          <w:rFonts w:ascii="Cambria" w:hAnsi="Cambria"/>
          <w:color w:val="000000"/>
          <w:sz w:val="20"/>
          <w:szCs w:val="20"/>
          <w:lang w:val="es-ES"/>
        </w:rPr>
        <w:t xml:space="preserve"> que el Sr. </w:t>
      </w:r>
      <w:proofErr w:type="spellStart"/>
      <w:r w:rsidRPr="004B37CC">
        <w:rPr>
          <w:rFonts w:ascii="Cambria" w:hAnsi="Cambria"/>
          <w:color w:val="000000"/>
          <w:sz w:val="20"/>
          <w:szCs w:val="20"/>
          <w:lang w:val="es-ES"/>
        </w:rPr>
        <w:t>Tracey</w:t>
      </w:r>
      <w:proofErr w:type="spellEnd"/>
      <w:r w:rsidRPr="004B37CC">
        <w:rPr>
          <w:rFonts w:ascii="Cambria" w:hAnsi="Cambria"/>
          <w:color w:val="000000"/>
          <w:sz w:val="20"/>
          <w:szCs w:val="20"/>
          <w:lang w:val="es-ES"/>
        </w:rPr>
        <w:t xml:space="preserve"> fue liber</w:t>
      </w:r>
      <w:r w:rsidR="009009BC" w:rsidRPr="004B37CC">
        <w:rPr>
          <w:rFonts w:ascii="Cambria" w:hAnsi="Cambria"/>
          <w:color w:val="000000"/>
          <w:sz w:val="20"/>
          <w:szCs w:val="20"/>
          <w:lang w:val="es-ES"/>
        </w:rPr>
        <w:t>ado</w:t>
      </w:r>
      <w:r w:rsidRPr="004B37CC">
        <w:rPr>
          <w:rFonts w:ascii="Cambria" w:hAnsi="Cambria"/>
          <w:color w:val="000000"/>
          <w:sz w:val="20"/>
          <w:szCs w:val="20"/>
          <w:lang w:val="es-ES"/>
        </w:rPr>
        <w:t xml:space="preserve"> el 1 de octubre de 2011 al cumplir su sentencia.</w:t>
      </w:r>
    </w:p>
    <w:p w14:paraId="78B1FB86" w14:textId="77777777" w:rsidR="00AB6A77" w:rsidRPr="004B37CC" w:rsidRDefault="00AB6A77" w:rsidP="00AB6A77">
      <w:pPr>
        <w:pStyle w:val="NoSpacing"/>
        <w:jc w:val="both"/>
        <w:rPr>
          <w:rFonts w:ascii="Cambria" w:hAnsi="Cambria"/>
          <w:color w:val="000000"/>
          <w:sz w:val="20"/>
          <w:szCs w:val="20"/>
          <w:lang w:val="es-ES"/>
        </w:rPr>
      </w:pPr>
    </w:p>
    <w:p w14:paraId="5F0B363E" w14:textId="77777777" w:rsidR="00AB6A77" w:rsidRPr="004B37CC" w:rsidRDefault="00AB6A77" w:rsidP="009009BC">
      <w:pPr>
        <w:pStyle w:val="NoSpacing"/>
        <w:numPr>
          <w:ilvl w:val="0"/>
          <w:numId w:val="36"/>
        </w:numPr>
        <w:ind w:left="0" w:firstLine="720"/>
        <w:jc w:val="both"/>
        <w:rPr>
          <w:rFonts w:ascii="Cambria" w:hAnsi="Cambria"/>
          <w:color w:val="000000"/>
          <w:sz w:val="20"/>
          <w:szCs w:val="20"/>
          <w:lang w:val="es-ES"/>
        </w:rPr>
      </w:pPr>
      <w:r w:rsidRPr="004B37CC">
        <w:rPr>
          <w:rFonts w:ascii="Cambria" w:hAnsi="Cambria"/>
          <w:color w:val="000000"/>
          <w:sz w:val="20"/>
          <w:szCs w:val="20"/>
          <w:lang w:val="es-ES"/>
        </w:rPr>
        <w:t xml:space="preserve">En 2021, el Estado reiteró la información proporcionada con anterioridad. </w:t>
      </w:r>
      <w:r w:rsidR="009B529A" w:rsidRPr="004B37CC">
        <w:rPr>
          <w:rFonts w:ascii="Cambria" w:hAnsi="Cambria"/>
          <w:color w:val="000000"/>
          <w:sz w:val="20"/>
          <w:szCs w:val="20"/>
          <w:lang w:val="es-ES"/>
        </w:rPr>
        <w:t xml:space="preserve">Indicó que no recibió ninguna correspondencia o petición por parte del Sr. </w:t>
      </w:r>
      <w:proofErr w:type="spellStart"/>
      <w:r w:rsidR="009B529A" w:rsidRPr="004B37CC">
        <w:rPr>
          <w:rFonts w:ascii="Cambria" w:hAnsi="Cambria"/>
          <w:color w:val="000000"/>
          <w:sz w:val="20"/>
          <w:szCs w:val="20"/>
          <w:lang w:val="es-ES"/>
        </w:rPr>
        <w:t>Tracey</w:t>
      </w:r>
      <w:proofErr w:type="spellEnd"/>
      <w:r w:rsidR="009B529A" w:rsidRPr="004B37CC">
        <w:rPr>
          <w:rFonts w:ascii="Cambria" w:hAnsi="Cambria"/>
          <w:color w:val="000000"/>
          <w:sz w:val="20"/>
          <w:szCs w:val="20"/>
          <w:lang w:val="es-ES"/>
        </w:rPr>
        <w:t xml:space="preserve"> ni sus representantes. </w:t>
      </w:r>
      <w:r w:rsidRPr="004B37CC">
        <w:rPr>
          <w:rFonts w:ascii="Cambria" w:hAnsi="Cambria"/>
          <w:color w:val="000000"/>
          <w:sz w:val="20"/>
          <w:szCs w:val="20"/>
          <w:lang w:val="es-ES"/>
        </w:rPr>
        <w:t>Además, señaló que el Estado ha adoptado las medidas legislativas que garantizan que la imposición de la pena de muerte no sea obligatoria</w:t>
      </w:r>
      <w:r w:rsidR="009B529A" w:rsidRPr="004B37CC">
        <w:rPr>
          <w:rFonts w:ascii="Cambria" w:hAnsi="Cambria"/>
          <w:color w:val="000000"/>
          <w:sz w:val="20"/>
          <w:szCs w:val="20"/>
          <w:lang w:val="es-ES"/>
        </w:rPr>
        <w:t xml:space="preserve"> en Jamaica</w:t>
      </w:r>
      <w:r w:rsidRPr="004B37CC">
        <w:rPr>
          <w:rFonts w:ascii="Cambria" w:hAnsi="Cambria"/>
          <w:color w:val="000000"/>
          <w:sz w:val="20"/>
          <w:szCs w:val="20"/>
          <w:lang w:val="es-ES"/>
        </w:rPr>
        <w:t xml:space="preserve"> y que la legislación actual y las Directrices para la imposición de penas obligan a los tribunales a que, antes de dictar una sentencia de cadena perpetua, escuchen los alegatos, representaciones y pruebas de la defensa. Además, señaló que se previó una revisión de todas las sentencias obligatorias impuestas anteriormente en virtud de la ley de delitos contra la persona (modificada) de 1992. Para el Estado, estas medidas constituyen compromisos y esfuerzos que aseguran la no repetición de l</w:t>
      </w:r>
      <w:r w:rsidR="009B529A" w:rsidRPr="004B37CC">
        <w:rPr>
          <w:rFonts w:ascii="Cambria" w:hAnsi="Cambria"/>
          <w:color w:val="000000"/>
          <w:sz w:val="20"/>
          <w:szCs w:val="20"/>
          <w:lang w:val="es-ES"/>
        </w:rPr>
        <w:t>os hechos de este caso</w:t>
      </w:r>
      <w:r w:rsidRPr="004B37CC">
        <w:rPr>
          <w:rFonts w:ascii="Cambria" w:hAnsi="Cambria"/>
          <w:color w:val="000000"/>
          <w:sz w:val="20"/>
          <w:szCs w:val="20"/>
          <w:lang w:val="es-ES"/>
        </w:rPr>
        <w:t>.</w:t>
      </w:r>
      <w:r w:rsidR="009B529A" w:rsidRPr="004B37CC">
        <w:rPr>
          <w:rFonts w:ascii="Cambria" w:hAnsi="Cambria"/>
          <w:color w:val="000000"/>
          <w:sz w:val="20"/>
          <w:szCs w:val="20"/>
          <w:lang w:val="es-ES"/>
        </w:rPr>
        <w:t xml:space="preserve"> </w:t>
      </w:r>
    </w:p>
    <w:p w14:paraId="4C2CDE63" w14:textId="77777777" w:rsidR="00B23FA7" w:rsidRPr="004B37CC" w:rsidRDefault="00B23FA7" w:rsidP="00B23FA7">
      <w:pPr>
        <w:pStyle w:val="NoSpacing"/>
        <w:ind w:left="720"/>
        <w:jc w:val="both"/>
        <w:rPr>
          <w:rFonts w:ascii="Cambria" w:hAnsi="Cambria"/>
          <w:color w:val="000000"/>
          <w:sz w:val="20"/>
          <w:szCs w:val="20"/>
          <w:lang w:val="es-ES"/>
        </w:rPr>
      </w:pPr>
    </w:p>
    <w:p w14:paraId="705C4B16" w14:textId="77777777" w:rsidR="00B23FA7" w:rsidRPr="004B37CC" w:rsidRDefault="00DB3436" w:rsidP="00346868">
      <w:pPr>
        <w:pStyle w:val="ListParagraph"/>
        <w:numPr>
          <w:ilvl w:val="0"/>
          <w:numId w:val="36"/>
        </w:numPr>
        <w:spacing w:after="0" w:line="240" w:lineRule="auto"/>
        <w:ind w:left="0" w:firstLine="720"/>
        <w:jc w:val="both"/>
        <w:rPr>
          <w:rFonts w:ascii="Cambria" w:hAnsi="Cambria"/>
          <w:color w:val="000000"/>
          <w:sz w:val="20"/>
          <w:szCs w:val="20"/>
          <w:lang w:val="es-ES"/>
        </w:rPr>
      </w:pPr>
      <w:r w:rsidRPr="004B37CC">
        <w:rPr>
          <w:rFonts w:ascii="Cambria" w:hAnsi="Cambria" w:cs="Calibri Light"/>
          <w:color w:val="000000"/>
          <w:sz w:val="20"/>
          <w:szCs w:val="20"/>
          <w:lang w:val="es-ES"/>
        </w:rPr>
        <w:lastRenderedPageBreak/>
        <w:t xml:space="preserve">Los peticionarios no han presentado información sobre acciones tomadas para dar cumplimiento a esta recomendación. </w:t>
      </w:r>
    </w:p>
    <w:p w14:paraId="1FB98401" w14:textId="77777777" w:rsidR="00B23FA7" w:rsidRPr="004B37CC" w:rsidRDefault="00B23FA7" w:rsidP="00B23FA7">
      <w:pPr>
        <w:pStyle w:val="ListParagraph"/>
        <w:rPr>
          <w:rFonts w:ascii="Cambria" w:hAnsi="Cambria"/>
          <w:color w:val="000000"/>
          <w:sz w:val="20"/>
          <w:szCs w:val="20"/>
          <w:lang w:val="es-ES"/>
        </w:rPr>
      </w:pPr>
    </w:p>
    <w:p w14:paraId="2B09DB54" w14:textId="77777777" w:rsidR="00A06F98" w:rsidRPr="004B37CC" w:rsidRDefault="00DB3436" w:rsidP="00346868">
      <w:pPr>
        <w:pStyle w:val="ListParagraph"/>
        <w:numPr>
          <w:ilvl w:val="0"/>
          <w:numId w:val="36"/>
        </w:numPr>
        <w:spacing w:after="0" w:line="240" w:lineRule="auto"/>
        <w:ind w:left="0" w:firstLine="720"/>
        <w:jc w:val="both"/>
        <w:rPr>
          <w:rFonts w:ascii="Cambria" w:hAnsi="Cambria"/>
          <w:color w:val="000000"/>
          <w:sz w:val="20"/>
          <w:szCs w:val="20"/>
          <w:lang w:val="es-ES"/>
        </w:rPr>
      </w:pPr>
      <w:r w:rsidRPr="004B37CC">
        <w:rPr>
          <w:rFonts w:ascii="Cambria" w:hAnsi="Cambria"/>
          <w:color w:val="000000"/>
          <w:sz w:val="20"/>
          <w:szCs w:val="20"/>
          <w:lang w:val="es-ES"/>
        </w:rPr>
        <w:t>La CIDH</w:t>
      </w:r>
      <w:r w:rsidR="009B529A" w:rsidRPr="004B37CC">
        <w:rPr>
          <w:rFonts w:ascii="Cambria" w:hAnsi="Cambria"/>
          <w:color w:val="000000"/>
          <w:sz w:val="20"/>
          <w:szCs w:val="20"/>
          <w:lang w:val="es-ES"/>
        </w:rPr>
        <w:t xml:space="preserve"> reitera que ha tomado nota</w:t>
      </w:r>
      <w:r w:rsidRPr="004B37CC">
        <w:rPr>
          <w:rFonts w:ascii="Cambria" w:hAnsi="Cambria"/>
          <w:color w:val="000000"/>
          <w:sz w:val="20"/>
          <w:szCs w:val="20"/>
          <w:lang w:val="es-ES"/>
        </w:rPr>
        <w:t xml:space="preserve"> sobre la liberación del señor </w:t>
      </w:r>
      <w:r w:rsidR="00B23FA7" w:rsidRPr="004B37CC">
        <w:rPr>
          <w:rFonts w:ascii="Cambria" w:hAnsi="Cambria"/>
          <w:color w:val="000000"/>
          <w:sz w:val="20"/>
          <w:szCs w:val="20"/>
          <w:lang w:val="es-ES"/>
        </w:rPr>
        <w:t xml:space="preserve">Tracey </w:t>
      </w:r>
      <w:r w:rsidRPr="004B37CC">
        <w:rPr>
          <w:rFonts w:ascii="Cambria" w:hAnsi="Cambria"/>
          <w:color w:val="000000"/>
          <w:sz w:val="20"/>
          <w:szCs w:val="20"/>
          <w:lang w:val="es-ES"/>
        </w:rPr>
        <w:t xml:space="preserve">en el 2011 debido al cumplimiento de su condena. </w:t>
      </w:r>
      <w:r w:rsidR="001B639A" w:rsidRPr="004B37CC">
        <w:rPr>
          <w:rFonts w:ascii="Cambria" w:hAnsi="Cambria"/>
          <w:color w:val="000000"/>
          <w:sz w:val="20"/>
          <w:szCs w:val="20"/>
          <w:lang w:val="es-ES"/>
        </w:rPr>
        <w:t xml:space="preserve">La Comisión toma nota la información proporcionada por el Estado en cuanto a las medidas que garantizan la no imposición de la pena obligatoria de muerte en Jamaica. Sin embargo, la Comisión considera que se trata de información que no está dirigida a describir las medidas de reparación emitidas en el informe del fondo de este caso concreto. </w:t>
      </w:r>
    </w:p>
    <w:p w14:paraId="342FEB80" w14:textId="77777777" w:rsidR="00A06F98" w:rsidRPr="004B37CC" w:rsidRDefault="00A06F98" w:rsidP="00A06F98">
      <w:pPr>
        <w:pStyle w:val="ListParagraph"/>
        <w:rPr>
          <w:rFonts w:ascii="Cambria" w:hAnsi="Cambria"/>
          <w:color w:val="000000"/>
          <w:sz w:val="20"/>
          <w:szCs w:val="20"/>
          <w:lang w:val="es-ES"/>
        </w:rPr>
      </w:pPr>
    </w:p>
    <w:p w14:paraId="2D6A5A01" w14:textId="77777777" w:rsidR="00B23FA7" w:rsidRPr="004B37CC" w:rsidRDefault="00A06F98" w:rsidP="00346868">
      <w:pPr>
        <w:pStyle w:val="ListParagraph"/>
        <w:numPr>
          <w:ilvl w:val="0"/>
          <w:numId w:val="36"/>
        </w:numPr>
        <w:spacing w:after="0" w:line="240" w:lineRule="auto"/>
        <w:ind w:left="0" w:firstLine="720"/>
        <w:jc w:val="both"/>
        <w:rPr>
          <w:rFonts w:ascii="Cambria" w:hAnsi="Cambria"/>
          <w:color w:val="000000"/>
          <w:sz w:val="20"/>
          <w:szCs w:val="20"/>
          <w:lang w:val="es-ES"/>
        </w:rPr>
      </w:pPr>
      <w:r w:rsidRPr="004B37CC">
        <w:rPr>
          <w:rFonts w:ascii="Cambria" w:eastAsia="Times New Roman" w:hAnsi="Cambria"/>
          <w:color w:val="000000"/>
          <w:sz w:val="20"/>
          <w:szCs w:val="20"/>
          <w:lang w:val="es-ES"/>
        </w:rPr>
        <w:t xml:space="preserve">A partir de lo anterior y de acuerdo con el principio de participación de las víctimas, la Comisión considera indispensable que la evaluación del cumplimiento de esta recomendación tenga en cuenta la perspectiva de las víctimas y sus representantes </w:t>
      </w:r>
      <w:r w:rsidRPr="004B37CC">
        <w:rPr>
          <w:rFonts w:ascii="Cambria" w:hAnsi="Cambria"/>
          <w:color w:val="000000"/>
          <w:sz w:val="20"/>
          <w:szCs w:val="20"/>
          <w:lang w:val="es-CO"/>
        </w:rPr>
        <w:t>sobre las acciones adoptadas por el Estado para cumplir con esta recomendación y que, además, esta perspectiva sea debidamente tenida en cuenta al momento de determinar si las medidas que ha implementado constituyen una reparación integral de los daños causados</w:t>
      </w:r>
      <w:r w:rsidRPr="004B37CC">
        <w:rPr>
          <w:rStyle w:val="FootnoteReference"/>
          <w:rFonts w:ascii="Cambria" w:hAnsi="Cambria"/>
          <w:color w:val="000000"/>
          <w:sz w:val="20"/>
          <w:szCs w:val="20"/>
          <w:lang w:val="es-CO"/>
        </w:rPr>
        <w:footnoteReference w:id="5"/>
      </w:r>
      <w:r w:rsidRPr="004B37CC">
        <w:rPr>
          <w:rFonts w:ascii="Cambria" w:hAnsi="Cambria"/>
          <w:color w:val="000000"/>
          <w:sz w:val="20"/>
          <w:szCs w:val="20"/>
          <w:lang w:val="es-CO"/>
        </w:rPr>
        <w:t xml:space="preserve">. En este sentido, </w:t>
      </w:r>
      <w:r w:rsidRPr="004B37CC">
        <w:rPr>
          <w:rFonts w:ascii="Cambria" w:hAnsi="Cambria"/>
          <w:color w:val="000000"/>
          <w:sz w:val="20"/>
          <w:szCs w:val="20"/>
          <w:lang w:val="es-ES"/>
        </w:rPr>
        <w:t>a</w:t>
      </w:r>
      <w:r w:rsidR="00DB3436" w:rsidRPr="004B37CC">
        <w:rPr>
          <w:rFonts w:ascii="Cambria" w:hAnsi="Cambria"/>
          <w:color w:val="000000"/>
          <w:sz w:val="20"/>
          <w:szCs w:val="20"/>
          <w:lang w:val="es-ES"/>
        </w:rPr>
        <w:t xml:space="preserve"> fin de declarar el cumplimiento total de esta recomendación relacionada con garantizar </w:t>
      </w:r>
      <w:r w:rsidR="001F3F47" w:rsidRPr="004B37CC">
        <w:rPr>
          <w:rFonts w:ascii="Cambria" w:hAnsi="Cambria"/>
          <w:color w:val="000000"/>
          <w:sz w:val="20"/>
          <w:szCs w:val="20"/>
          <w:lang w:val="es-ES"/>
        </w:rPr>
        <w:t>a la víctima</w:t>
      </w:r>
      <w:r w:rsidR="00DB3436" w:rsidRPr="004B37CC">
        <w:rPr>
          <w:rFonts w:ascii="Cambria" w:hAnsi="Cambria"/>
          <w:color w:val="000000"/>
          <w:sz w:val="20"/>
          <w:szCs w:val="20"/>
          <w:lang w:val="es-ES"/>
        </w:rPr>
        <w:t xml:space="preserve"> una reparación efectiva que incluya un nuevo juicio de los cargos imputados</w:t>
      </w:r>
      <w:r w:rsidR="00B23FA7" w:rsidRPr="004B37CC">
        <w:rPr>
          <w:rFonts w:ascii="Cambria" w:hAnsi="Cambria"/>
          <w:color w:val="000000"/>
          <w:sz w:val="20"/>
          <w:szCs w:val="20"/>
          <w:lang w:val="es-ES"/>
        </w:rPr>
        <w:t xml:space="preserve">, </w:t>
      </w:r>
      <w:r w:rsidR="00DB3436" w:rsidRPr="004B37CC">
        <w:rPr>
          <w:rFonts w:ascii="Cambria" w:hAnsi="Cambria"/>
          <w:color w:val="000000"/>
          <w:sz w:val="20"/>
          <w:szCs w:val="20"/>
          <w:lang w:val="es-ES"/>
        </w:rPr>
        <w:t xml:space="preserve">la Comisión </w:t>
      </w:r>
      <w:r w:rsidR="00933634" w:rsidRPr="004B37CC">
        <w:rPr>
          <w:rFonts w:ascii="Cambria" w:hAnsi="Cambria"/>
          <w:color w:val="000000"/>
          <w:sz w:val="20"/>
          <w:szCs w:val="20"/>
          <w:lang w:val="es-ES"/>
        </w:rPr>
        <w:t>reitera</w:t>
      </w:r>
      <w:r w:rsidR="00DB3436" w:rsidRPr="004B37CC">
        <w:rPr>
          <w:rFonts w:ascii="Cambria" w:hAnsi="Cambria"/>
          <w:color w:val="000000"/>
          <w:sz w:val="20"/>
          <w:szCs w:val="20"/>
          <w:lang w:val="es-ES"/>
        </w:rPr>
        <w:t xml:space="preserve"> que, si es el deseo de la víctima, el Estado debe revisar la sentencia conforme a los estándares de un juicio justo</w:t>
      </w:r>
      <w:r w:rsidR="00933634" w:rsidRPr="004B37CC">
        <w:rPr>
          <w:rFonts w:ascii="Cambria" w:hAnsi="Cambria"/>
          <w:color w:val="000000"/>
          <w:sz w:val="20"/>
          <w:szCs w:val="20"/>
          <w:lang w:val="es-ES"/>
        </w:rPr>
        <w:t>,</w:t>
      </w:r>
      <w:r w:rsidR="00DB3436" w:rsidRPr="004B37CC">
        <w:rPr>
          <w:rFonts w:ascii="Cambria" w:hAnsi="Cambria"/>
          <w:color w:val="000000"/>
          <w:sz w:val="20"/>
          <w:szCs w:val="20"/>
          <w:lang w:val="es-ES"/>
        </w:rPr>
        <w:t xml:space="preserve"> según lo establecido en el Informe de Fondo </w:t>
      </w:r>
      <w:r w:rsidR="00B23FA7" w:rsidRPr="004B37CC">
        <w:rPr>
          <w:rFonts w:ascii="Cambria" w:hAnsi="Cambria"/>
          <w:color w:val="000000"/>
          <w:sz w:val="20"/>
          <w:szCs w:val="20"/>
          <w:lang w:val="es-ES"/>
        </w:rPr>
        <w:t>N</w:t>
      </w:r>
      <w:r w:rsidR="0043095C" w:rsidRPr="004B37CC">
        <w:rPr>
          <w:rFonts w:ascii="Cambria" w:hAnsi="Cambria"/>
          <w:color w:val="000000"/>
          <w:sz w:val="20"/>
          <w:szCs w:val="20"/>
          <w:lang w:val="es-ES"/>
        </w:rPr>
        <w:t>º</w:t>
      </w:r>
      <w:r w:rsidR="00B23FA7" w:rsidRPr="004B37CC">
        <w:rPr>
          <w:rFonts w:ascii="Cambria" w:hAnsi="Cambria"/>
          <w:color w:val="000000"/>
          <w:sz w:val="20"/>
          <w:szCs w:val="20"/>
          <w:lang w:val="es-ES"/>
        </w:rPr>
        <w:t xml:space="preserve"> 61/06. </w:t>
      </w:r>
      <w:r w:rsidR="00DB3436" w:rsidRPr="004B37CC">
        <w:rPr>
          <w:rFonts w:ascii="Cambria" w:hAnsi="Cambria"/>
          <w:color w:val="000000"/>
          <w:sz w:val="20"/>
          <w:szCs w:val="20"/>
          <w:lang w:val="es-ES"/>
        </w:rPr>
        <w:t>En este sentido, la Comisión invita a la víctima a presentar información sobre este punto</w:t>
      </w:r>
      <w:r w:rsidRPr="004B37CC">
        <w:rPr>
          <w:rFonts w:ascii="Cambria" w:hAnsi="Cambria"/>
          <w:color w:val="000000"/>
          <w:sz w:val="20"/>
          <w:szCs w:val="20"/>
          <w:lang w:val="es-ES"/>
        </w:rPr>
        <w:t>. Por su parte, invita</w:t>
      </w:r>
      <w:r w:rsidR="00933634" w:rsidRPr="004B37CC">
        <w:rPr>
          <w:rFonts w:ascii="Cambria" w:hAnsi="Cambria"/>
          <w:color w:val="000000"/>
          <w:sz w:val="20"/>
          <w:szCs w:val="20"/>
          <w:lang w:val="es-ES"/>
        </w:rPr>
        <w:t xml:space="preserve"> al Estado a</w:t>
      </w:r>
      <w:r w:rsidRPr="004B37CC">
        <w:rPr>
          <w:rFonts w:ascii="Cambria" w:hAnsi="Cambria"/>
          <w:color w:val="000000"/>
          <w:sz w:val="20"/>
          <w:szCs w:val="20"/>
          <w:lang w:val="es-ES"/>
        </w:rPr>
        <w:t xml:space="preserve"> que, de manera activa, contacte a la víctima y a su representación para </w:t>
      </w:r>
      <w:r w:rsidR="00933634" w:rsidRPr="004B37CC">
        <w:rPr>
          <w:rFonts w:ascii="Cambria" w:hAnsi="Cambria"/>
          <w:color w:val="000000"/>
          <w:sz w:val="20"/>
          <w:szCs w:val="20"/>
          <w:lang w:val="es-ES"/>
        </w:rPr>
        <w:t>entablar un diálogo con miras a determinar las medidas concretas de reparación que le serán garantizadas, de acuerdo con el texto de esta recomendación</w:t>
      </w:r>
      <w:r w:rsidR="00DB3436" w:rsidRPr="004B37CC">
        <w:rPr>
          <w:rFonts w:ascii="Cambria" w:hAnsi="Cambria"/>
          <w:color w:val="000000"/>
          <w:sz w:val="20"/>
          <w:szCs w:val="20"/>
          <w:lang w:val="es-ES"/>
        </w:rPr>
        <w:t xml:space="preserve">. </w:t>
      </w:r>
      <w:r w:rsidR="00933634" w:rsidRPr="004B37CC">
        <w:rPr>
          <w:rFonts w:ascii="Cambria" w:hAnsi="Cambria"/>
          <w:color w:val="000000"/>
          <w:sz w:val="20"/>
          <w:szCs w:val="20"/>
          <w:lang w:val="es-ES"/>
        </w:rPr>
        <w:t>Con base en lo anterior</w:t>
      </w:r>
      <w:r w:rsidR="00DB3436" w:rsidRPr="004B37CC">
        <w:rPr>
          <w:rFonts w:ascii="Cambria" w:hAnsi="Cambria"/>
          <w:color w:val="000000"/>
          <w:sz w:val="20"/>
          <w:szCs w:val="20"/>
          <w:lang w:val="es-ES"/>
        </w:rPr>
        <w:t xml:space="preserve">, la Comisión concluye que la </w:t>
      </w:r>
      <w:r w:rsidR="00DA2C27" w:rsidRPr="004B37CC">
        <w:rPr>
          <w:rFonts w:ascii="Cambria" w:hAnsi="Cambria"/>
          <w:color w:val="000000"/>
          <w:sz w:val="20"/>
          <w:szCs w:val="20"/>
          <w:lang w:val="es-ES"/>
        </w:rPr>
        <w:t>r</w:t>
      </w:r>
      <w:r w:rsidR="00B23FA7" w:rsidRPr="004B37CC">
        <w:rPr>
          <w:rFonts w:ascii="Cambria" w:hAnsi="Cambria"/>
          <w:color w:val="000000"/>
          <w:sz w:val="20"/>
          <w:szCs w:val="20"/>
          <w:lang w:val="es-ES"/>
        </w:rPr>
        <w:t>ecom</w:t>
      </w:r>
      <w:r w:rsidR="00DB3436" w:rsidRPr="004B37CC">
        <w:rPr>
          <w:rFonts w:ascii="Cambria" w:hAnsi="Cambria"/>
          <w:color w:val="000000"/>
          <w:sz w:val="20"/>
          <w:szCs w:val="20"/>
          <w:lang w:val="es-ES"/>
        </w:rPr>
        <w:t xml:space="preserve">endación 1 está pendiente de cumplimiento. </w:t>
      </w:r>
    </w:p>
    <w:p w14:paraId="640B9D4C" w14:textId="77777777" w:rsidR="00B23FA7" w:rsidRPr="004B37CC" w:rsidRDefault="00B23FA7" w:rsidP="00B23FA7">
      <w:pPr>
        <w:pStyle w:val="NoSpacing"/>
        <w:ind w:firstLine="720"/>
        <w:jc w:val="both"/>
        <w:rPr>
          <w:rFonts w:ascii="Cambria" w:hAnsi="Cambria"/>
          <w:color w:val="000000"/>
          <w:sz w:val="20"/>
          <w:szCs w:val="20"/>
          <w:lang w:val="es-ES"/>
        </w:rPr>
      </w:pPr>
    </w:p>
    <w:p w14:paraId="2C9E4AA5" w14:textId="77777777" w:rsidR="00B23FA7" w:rsidRPr="004B37CC" w:rsidRDefault="00BB37DD" w:rsidP="00B23FA7">
      <w:pPr>
        <w:pStyle w:val="NoSpacing"/>
        <w:numPr>
          <w:ilvl w:val="0"/>
          <w:numId w:val="1"/>
        </w:numPr>
        <w:ind w:left="1440"/>
        <w:jc w:val="both"/>
        <w:rPr>
          <w:rFonts w:ascii="Cambria" w:hAnsi="Cambria" w:cs="Calibri Light"/>
          <w:b/>
          <w:color w:val="000000"/>
          <w:sz w:val="20"/>
          <w:szCs w:val="20"/>
          <w:lang w:val="es-ES"/>
        </w:rPr>
      </w:pPr>
      <w:r w:rsidRPr="004B37CC">
        <w:rPr>
          <w:rFonts w:ascii="Cambria" w:hAnsi="Cambria" w:cs="Calibri Light"/>
          <w:b/>
          <w:color w:val="000000"/>
          <w:sz w:val="20"/>
          <w:szCs w:val="20"/>
          <w:lang w:val="es-ES"/>
        </w:rPr>
        <w:t>Nivel del cumplimiento del caso</w:t>
      </w:r>
      <w:r w:rsidR="00B23FA7" w:rsidRPr="004B37CC">
        <w:rPr>
          <w:rFonts w:ascii="Cambria" w:hAnsi="Cambria" w:cs="Calibri Light"/>
          <w:b/>
          <w:color w:val="000000"/>
          <w:sz w:val="20"/>
          <w:szCs w:val="20"/>
          <w:lang w:val="es-ES"/>
        </w:rPr>
        <w:t xml:space="preserve">  </w:t>
      </w:r>
    </w:p>
    <w:p w14:paraId="4FA27435" w14:textId="77777777" w:rsidR="00B23FA7" w:rsidRPr="004B37CC" w:rsidRDefault="00B23FA7" w:rsidP="00B23FA7">
      <w:pPr>
        <w:spacing w:after="0" w:line="240" w:lineRule="auto"/>
        <w:jc w:val="both"/>
        <w:rPr>
          <w:rFonts w:ascii="Cambria" w:hAnsi="Cambria" w:cs="Calibri Light"/>
          <w:color w:val="000000"/>
          <w:sz w:val="20"/>
          <w:szCs w:val="20"/>
          <w:lang w:val="es-ES"/>
        </w:rPr>
      </w:pPr>
    </w:p>
    <w:p w14:paraId="2650EE0C" w14:textId="77777777" w:rsidR="00B23FA7" w:rsidRPr="004B37CC" w:rsidRDefault="001F3F47" w:rsidP="00346868">
      <w:pPr>
        <w:numPr>
          <w:ilvl w:val="0"/>
          <w:numId w:val="36"/>
        </w:numPr>
        <w:spacing w:after="0" w:line="240" w:lineRule="auto"/>
        <w:ind w:left="0" w:firstLine="720"/>
        <w:jc w:val="both"/>
        <w:rPr>
          <w:rFonts w:ascii="Cambria" w:hAnsi="Cambria" w:cs="Calibri Light"/>
          <w:color w:val="000000"/>
          <w:sz w:val="20"/>
          <w:szCs w:val="20"/>
          <w:lang w:val="es-ES"/>
        </w:rPr>
      </w:pPr>
      <w:r w:rsidRPr="004B37CC">
        <w:rPr>
          <w:rFonts w:ascii="Cambria" w:hAnsi="Cambria" w:cs="Calibri Light"/>
          <w:color w:val="000000"/>
          <w:sz w:val="20"/>
          <w:szCs w:val="20"/>
          <w:lang w:val="es-ES"/>
        </w:rPr>
        <w:t xml:space="preserve">En virtud de todo lo anterior, la CIDH concluye que el nivel de cumplimiento del caso es parcial. En consecuencia, la Comisión continuará supervisando la Recomendación 1. </w:t>
      </w:r>
      <w:r w:rsidR="00B23FA7" w:rsidRPr="004B37CC">
        <w:rPr>
          <w:rFonts w:ascii="Cambria" w:hAnsi="Cambria" w:cs="Calibri Light"/>
          <w:color w:val="000000"/>
          <w:sz w:val="20"/>
          <w:szCs w:val="20"/>
          <w:lang w:val="es-ES"/>
        </w:rPr>
        <w:t xml:space="preserve">  </w:t>
      </w:r>
    </w:p>
    <w:p w14:paraId="09C8FF34" w14:textId="77777777" w:rsidR="00346868" w:rsidRPr="004B37CC" w:rsidRDefault="00346868" w:rsidP="00B23FA7">
      <w:pPr>
        <w:spacing w:after="0" w:line="240" w:lineRule="auto"/>
        <w:jc w:val="both"/>
        <w:rPr>
          <w:rFonts w:ascii="Cambria" w:hAnsi="Cambria"/>
          <w:color w:val="000000"/>
          <w:sz w:val="20"/>
          <w:szCs w:val="20"/>
          <w:lang w:val="es-ES"/>
        </w:rPr>
      </w:pPr>
    </w:p>
    <w:p w14:paraId="7EF3343F" w14:textId="77777777" w:rsidR="00B23FA7" w:rsidRPr="004B37CC" w:rsidRDefault="00BB37DD" w:rsidP="00B23FA7">
      <w:pPr>
        <w:pStyle w:val="ListParagraph"/>
        <w:numPr>
          <w:ilvl w:val="0"/>
          <w:numId w:val="1"/>
        </w:numPr>
        <w:spacing w:after="0" w:line="240" w:lineRule="auto"/>
        <w:ind w:left="1440"/>
        <w:jc w:val="both"/>
        <w:rPr>
          <w:rFonts w:ascii="Cambria" w:hAnsi="Cambria"/>
          <w:b/>
          <w:color w:val="000000"/>
          <w:sz w:val="20"/>
          <w:szCs w:val="20"/>
          <w:lang w:val="es-ES"/>
        </w:rPr>
      </w:pPr>
      <w:r w:rsidRPr="004B37CC">
        <w:rPr>
          <w:rFonts w:ascii="Cambria" w:hAnsi="Cambria"/>
          <w:b/>
          <w:color w:val="000000"/>
          <w:sz w:val="20"/>
          <w:szCs w:val="20"/>
          <w:lang w:val="es-ES"/>
        </w:rPr>
        <w:t xml:space="preserve">Resultados individuales y estructurales del caso </w:t>
      </w:r>
    </w:p>
    <w:p w14:paraId="5328443B" w14:textId="77777777" w:rsidR="00B23FA7" w:rsidRPr="004B37CC" w:rsidRDefault="00B23FA7" w:rsidP="00B23FA7">
      <w:pPr>
        <w:spacing w:after="0" w:line="240" w:lineRule="auto"/>
        <w:jc w:val="both"/>
        <w:rPr>
          <w:rFonts w:ascii="Cambria" w:hAnsi="Cambria"/>
          <w:b/>
          <w:color w:val="000000"/>
          <w:sz w:val="20"/>
          <w:szCs w:val="20"/>
          <w:lang w:val="es-ES"/>
        </w:rPr>
      </w:pPr>
    </w:p>
    <w:p w14:paraId="4ACE6246" w14:textId="77777777" w:rsidR="001F3F47" w:rsidRPr="004B37CC" w:rsidRDefault="001F3F47" w:rsidP="00346868">
      <w:pPr>
        <w:pStyle w:val="ListParagraph"/>
        <w:numPr>
          <w:ilvl w:val="0"/>
          <w:numId w:val="36"/>
        </w:numPr>
        <w:spacing w:after="0" w:line="240" w:lineRule="auto"/>
        <w:ind w:left="0" w:firstLine="720"/>
        <w:jc w:val="both"/>
        <w:rPr>
          <w:rFonts w:ascii="Cambria" w:hAnsi="Cambria" w:cs="Calibri Light"/>
          <w:color w:val="000000"/>
          <w:sz w:val="20"/>
          <w:szCs w:val="20"/>
          <w:lang w:val="es-ES"/>
        </w:rPr>
      </w:pPr>
      <w:r w:rsidRPr="004B37CC">
        <w:rPr>
          <w:rFonts w:ascii="Cambria" w:hAnsi="Cambria" w:cs="Calibri Light"/>
          <w:color w:val="000000"/>
          <w:sz w:val="20"/>
          <w:szCs w:val="20"/>
          <w:lang w:val="es-ES"/>
        </w:rPr>
        <w:t xml:space="preserve">En esta sección se destacan los resultados individuales y estructurales del caso informados por las partes. </w:t>
      </w:r>
    </w:p>
    <w:p w14:paraId="6A9D0546" w14:textId="77777777" w:rsidR="00B23FA7" w:rsidRPr="004B37CC" w:rsidRDefault="00B23FA7" w:rsidP="00B23FA7">
      <w:pPr>
        <w:spacing w:after="0" w:line="240" w:lineRule="auto"/>
        <w:jc w:val="both"/>
        <w:rPr>
          <w:rFonts w:ascii="Cambria" w:hAnsi="Cambria"/>
          <w:b/>
          <w:color w:val="000000"/>
          <w:sz w:val="20"/>
          <w:szCs w:val="20"/>
          <w:lang w:val="es-ES"/>
        </w:rPr>
      </w:pPr>
    </w:p>
    <w:p w14:paraId="24E03336" w14:textId="77777777" w:rsidR="00B23FA7" w:rsidRPr="004B37CC" w:rsidRDefault="00BB37DD" w:rsidP="00B23FA7">
      <w:pPr>
        <w:pStyle w:val="ListParagraph"/>
        <w:numPr>
          <w:ilvl w:val="0"/>
          <w:numId w:val="3"/>
        </w:numPr>
        <w:spacing w:after="0" w:line="240" w:lineRule="auto"/>
        <w:ind w:left="1440" w:hanging="720"/>
        <w:jc w:val="both"/>
        <w:rPr>
          <w:rFonts w:ascii="Cambria" w:hAnsi="Cambria"/>
          <w:b/>
          <w:color w:val="000000"/>
          <w:sz w:val="20"/>
          <w:szCs w:val="20"/>
          <w:lang w:val="es-ES"/>
        </w:rPr>
      </w:pPr>
      <w:r w:rsidRPr="004B37CC">
        <w:rPr>
          <w:rFonts w:ascii="Cambria" w:hAnsi="Cambria"/>
          <w:b/>
          <w:color w:val="000000"/>
          <w:sz w:val="20"/>
          <w:szCs w:val="20"/>
          <w:lang w:val="es-ES"/>
        </w:rPr>
        <w:t>Resultados individuales del caso</w:t>
      </w:r>
      <w:r w:rsidR="00B23FA7" w:rsidRPr="004B37CC">
        <w:rPr>
          <w:rFonts w:ascii="Cambria" w:hAnsi="Cambria"/>
          <w:b/>
          <w:color w:val="000000"/>
          <w:sz w:val="20"/>
          <w:szCs w:val="20"/>
          <w:lang w:val="es-ES"/>
        </w:rPr>
        <w:t xml:space="preserve"> </w:t>
      </w:r>
    </w:p>
    <w:p w14:paraId="48195DDB" w14:textId="77777777" w:rsidR="00B23FA7" w:rsidRPr="004B37CC" w:rsidRDefault="00B23FA7" w:rsidP="00B23FA7">
      <w:pPr>
        <w:spacing w:after="0" w:line="240" w:lineRule="auto"/>
        <w:jc w:val="both"/>
        <w:rPr>
          <w:rFonts w:ascii="Cambria" w:hAnsi="Cambria"/>
          <w:color w:val="000000"/>
          <w:sz w:val="20"/>
          <w:szCs w:val="20"/>
          <w:lang w:val="es-ES"/>
        </w:rPr>
      </w:pPr>
    </w:p>
    <w:p w14:paraId="10328017" w14:textId="77777777" w:rsidR="00B23FA7" w:rsidRPr="004B37CC" w:rsidRDefault="005D7A9A" w:rsidP="00B23FA7">
      <w:pPr>
        <w:spacing w:after="0" w:line="240" w:lineRule="auto"/>
        <w:jc w:val="both"/>
        <w:rPr>
          <w:rFonts w:ascii="Cambria" w:hAnsi="Cambria"/>
          <w:i/>
          <w:color w:val="000000"/>
          <w:sz w:val="20"/>
          <w:szCs w:val="20"/>
          <w:lang w:val="es-ES"/>
        </w:rPr>
      </w:pPr>
      <w:r w:rsidRPr="004B37CC">
        <w:rPr>
          <w:rFonts w:ascii="Cambria" w:hAnsi="Cambria"/>
          <w:i/>
          <w:color w:val="000000"/>
          <w:sz w:val="20"/>
          <w:szCs w:val="20"/>
          <w:lang w:val="es-ES"/>
        </w:rPr>
        <w:t>Medidas en la r</w:t>
      </w:r>
      <w:r w:rsidR="001F3F47" w:rsidRPr="004B37CC">
        <w:rPr>
          <w:rFonts w:ascii="Cambria" w:hAnsi="Cambria"/>
          <w:i/>
          <w:color w:val="000000"/>
          <w:sz w:val="20"/>
          <w:szCs w:val="20"/>
          <w:lang w:val="es-ES"/>
        </w:rPr>
        <w:t>estitución en el ejercicio del derecho</w:t>
      </w:r>
      <w:r w:rsidR="003B2F03" w:rsidRPr="004B37CC">
        <w:rPr>
          <w:rFonts w:ascii="Cambria" w:hAnsi="Cambria"/>
          <w:color w:val="000000"/>
          <w:sz w:val="20"/>
          <w:szCs w:val="20"/>
          <w:lang w:val="es-ES"/>
        </w:rPr>
        <w:t xml:space="preserve"> </w:t>
      </w:r>
    </w:p>
    <w:p w14:paraId="7C68AA8C" w14:textId="77777777" w:rsidR="00B23FA7" w:rsidRPr="004B37CC" w:rsidRDefault="00B23FA7" w:rsidP="00B23FA7">
      <w:pPr>
        <w:numPr>
          <w:ilvl w:val="0"/>
          <w:numId w:val="34"/>
        </w:numPr>
        <w:spacing w:after="0" w:line="240" w:lineRule="auto"/>
        <w:jc w:val="both"/>
        <w:rPr>
          <w:rFonts w:ascii="Cambria" w:hAnsi="Cambria"/>
          <w:color w:val="000000"/>
          <w:sz w:val="20"/>
          <w:szCs w:val="20"/>
          <w:lang w:val="es-ES"/>
        </w:rPr>
      </w:pPr>
      <w:r w:rsidRPr="004B37CC">
        <w:rPr>
          <w:rFonts w:ascii="Cambria" w:hAnsi="Cambria"/>
          <w:color w:val="000000"/>
          <w:sz w:val="20"/>
          <w:szCs w:val="20"/>
          <w:lang w:val="es-ES"/>
        </w:rPr>
        <w:t xml:space="preserve">Derrick Tracey </w:t>
      </w:r>
      <w:r w:rsidR="001F3F47" w:rsidRPr="004B37CC">
        <w:rPr>
          <w:rFonts w:ascii="Cambria" w:hAnsi="Cambria"/>
          <w:color w:val="000000"/>
          <w:sz w:val="20"/>
          <w:szCs w:val="20"/>
          <w:lang w:val="es-ES"/>
        </w:rPr>
        <w:t>fue liberado el 1 de octubre de 2011 después del cumplimiento de la pena.</w:t>
      </w:r>
      <w:r w:rsidRPr="004B37CC">
        <w:rPr>
          <w:rFonts w:ascii="Cambria" w:hAnsi="Cambria"/>
          <w:color w:val="000000"/>
          <w:sz w:val="20"/>
          <w:szCs w:val="20"/>
          <w:lang w:val="es-ES"/>
        </w:rPr>
        <w:t xml:space="preserve"> </w:t>
      </w:r>
    </w:p>
    <w:p w14:paraId="5663C5E7" w14:textId="77777777" w:rsidR="00B23FA7" w:rsidRPr="004B37CC" w:rsidRDefault="00B23FA7" w:rsidP="00B23FA7">
      <w:pPr>
        <w:spacing w:after="0" w:line="240" w:lineRule="auto"/>
        <w:jc w:val="both"/>
        <w:rPr>
          <w:rFonts w:ascii="Cambria" w:hAnsi="Cambria"/>
          <w:color w:val="000000"/>
          <w:sz w:val="20"/>
          <w:szCs w:val="20"/>
          <w:lang w:val="es-ES"/>
        </w:rPr>
      </w:pPr>
    </w:p>
    <w:p w14:paraId="4CAC114C" w14:textId="77777777" w:rsidR="00B23FA7" w:rsidRPr="004B37CC" w:rsidRDefault="00BB37DD" w:rsidP="00B23FA7">
      <w:pPr>
        <w:pStyle w:val="ListParagraph"/>
        <w:numPr>
          <w:ilvl w:val="0"/>
          <w:numId w:val="3"/>
        </w:numPr>
        <w:spacing w:after="0" w:line="240" w:lineRule="auto"/>
        <w:ind w:left="1440" w:hanging="720"/>
        <w:jc w:val="both"/>
        <w:rPr>
          <w:rFonts w:ascii="Cambria" w:hAnsi="Cambria"/>
          <w:b/>
          <w:color w:val="000000"/>
          <w:sz w:val="20"/>
          <w:szCs w:val="20"/>
          <w:lang w:val="es-ES"/>
        </w:rPr>
      </w:pPr>
      <w:r w:rsidRPr="004B37CC">
        <w:rPr>
          <w:rFonts w:ascii="Cambria" w:hAnsi="Cambria"/>
          <w:b/>
          <w:color w:val="000000"/>
          <w:sz w:val="20"/>
          <w:szCs w:val="20"/>
          <w:lang w:val="es-ES"/>
        </w:rPr>
        <w:t>Resultados estructurales del caso</w:t>
      </w:r>
    </w:p>
    <w:p w14:paraId="00207D69" w14:textId="77777777" w:rsidR="00B23FA7" w:rsidRPr="004B37CC" w:rsidRDefault="00B23FA7" w:rsidP="00B23FA7">
      <w:pPr>
        <w:pStyle w:val="ListParagraph"/>
        <w:spacing w:after="0" w:line="240" w:lineRule="auto"/>
        <w:ind w:left="0"/>
        <w:jc w:val="both"/>
        <w:rPr>
          <w:rFonts w:ascii="Cambria" w:hAnsi="Cambria" w:cs="Calibri"/>
          <w:i/>
          <w:color w:val="000000"/>
          <w:sz w:val="20"/>
          <w:szCs w:val="20"/>
          <w:lang w:val="es-ES"/>
        </w:rPr>
      </w:pPr>
    </w:p>
    <w:p w14:paraId="7977CEBA" w14:textId="77777777" w:rsidR="00B23FA7" w:rsidRPr="004B37CC" w:rsidRDefault="001F3F47" w:rsidP="00B23FA7">
      <w:pPr>
        <w:pStyle w:val="ListParagraph"/>
        <w:spacing w:after="0" w:line="240" w:lineRule="auto"/>
        <w:ind w:left="0"/>
        <w:jc w:val="both"/>
        <w:rPr>
          <w:rFonts w:ascii="Cambria" w:hAnsi="Cambria" w:cs="Calibri"/>
          <w:i/>
          <w:color w:val="000000"/>
          <w:sz w:val="20"/>
          <w:szCs w:val="20"/>
          <w:lang w:val="es-ES"/>
        </w:rPr>
      </w:pPr>
      <w:r w:rsidRPr="004B37CC">
        <w:rPr>
          <w:rFonts w:ascii="Cambria" w:hAnsi="Cambria" w:cs="Calibri"/>
          <w:i/>
          <w:color w:val="000000"/>
          <w:sz w:val="20"/>
          <w:szCs w:val="20"/>
          <w:lang w:val="es-ES"/>
        </w:rPr>
        <w:t>Políticas públicas</w:t>
      </w:r>
    </w:p>
    <w:p w14:paraId="0442AE83" w14:textId="77777777" w:rsidR="00B23FA7" w:rsidRPr="004B37CC" w:rsidRDefault="001F3F47" w:rsidP="00B23FA7">
      <w:pPr>
        <w:pStyle w:val="NoSpacing"/>
        <w:numPr>
          <w:ilvl w:val="0"/>
          <w:numId w:val="33"/>
        </w:numPr>
        <w:jc w:val="both"/>
        <w:rPr>
          <w:rFonts w:ascii="Cambria" w:hAnsi="Cambria" w:cs="Calibri"/>
          <w:color w:val="000000"/>
          <w:sz w:val="20"/>
          <w:szCs w:val="20"/>
          <w:lang w:val="es-ES"/>
        </w:rPr>
      </w:pPr>
      <w:r w:rsidRPr="004B37CC">
        <w:rPr>
          <w:rFonts w:ascii="Cambria" w:hAnsi="Cambria" w:cs="Calibri"/>
          <w:color w:val="000000"/>
          <w:sz w:val="20"/>
          <w:szCs w:val="20"/>
          <w:lang w:val="es-ES"/>
        </w:rPr>
        <w:t>Implementación del “</w:t>
      </w:r>
      <w:r w:rsidR="00B23FA7" w:rsidRPr="004B37CC">
        <w:rPr>
          <w:rFonts w:ascii="Cambria" w:hAnsi="Cambria" w:cs="Calibri"/>
          <w:color w:val="000000"/>
          <w:sz w:val="20"/>
          <w:szCs w:val="20"/>
          <w:lang w:val="es-ES"/>
        </w:rPr>
        <w:t>Legal Aid Scheme</w:t>
      </w:r>
      <w:r w:rsidRPr="004B37CC">
        <w:rPr>
          <w:rFonts w:ascii="Cambria" w:hAnsi="Cambria" w:cs="Calibri"/>
          <w:color w:val="000000"/>
          <w:sz w:val="20"/>
          <w:szCs w:val="20"/>
          <w:lang w:val="es-ES"/>
        </w:rPr>
        <w:t>”</w:t>
      </w:r>
      <w:r w:rsidR="00B23FA7" w:rsidRPr="004B37CC">
        <w:rPr>
          <w:rFonts w:ascii="Cambria" w:hAnsi="Cambria" w:cs="Calibri"/>
          <w:color w:val="000000"/>
          <w:sz w:val="20"/>
          <w:szCs w:val="20"/>
          <w:lang w:val="es-ES"/>
        </w:rPr>
        <w:t xml:space="preserve"> </w:t>
      </w:r>
      <w:r w:rsidRPr="004B37CC">
        <w:rPr>
          <w:rFonts w:ascii="Cambria" w:hAnsi="Cambria" w:cs="Calibri"/>
          <w:color w:val="000000"/>
          <w:sz w:val="20"/>
          <w:szCs w:val="20"/>
          <w:lang w:val="es-ES"/>
        </w:rPr>
        <w:t xml:space="preserve">que prove a cada ciudadano de Jamaica que es detenido o acusado el acceso a un abogado, independientemente de la ofensa. </w:t>
      </w:r>
    </w:p>
    <w:p w14:paraId="0D2D7989" w14:textId="77777777" w:rsidR="00B23FA7" w:rsidRPr="004B37CC" w:rsidRDefault="001F3F47" w:rsidP="001F3F47">
      <w:pPr>
        <w:pStyle w:val="NoSpacing"/>
        <w:numPr>
          <w:ilvl w:val="0"/>
          <w:numId w:val="33"/>
        </w:numPr>
        <w:jc w:val="both"/>
        <w:rPr>
          <w:rFonts w:ascii="Cambria" w:hAnsi="Cambria" w:cs="Calibri"/>
          <w:color w:val="000000"/>
          <w:sz w:val="20"/>
          <w:szCs w:val="20"/>
          <w:lang w:val="es-ES"/>
        </w:rPr>
      </w:pPr>
      <w:r w:rsidRPr="004B37CC">
        <w:rPr>
          <w:rFonts w:ascii="Cambria" w:hAnsi="Cambria" w:cs="Calibri"/>
          <w:color w:val="000000"/>
          <w:sz w:val="20"/>
          <w:szCs w:val="20"/>
          <w:lang w:val="es-ES"/>
        </w:rPr>
        <w:t>Implementación por el Consejo de Asistencia jurídica del</w:t>
      </w:r>
      <w:r w:rsidR="00B23FA7" w:rsidRPr="004B37CC">
        <w:rPr>
          <w:rFonts w:ascii="Cambria" w:hAnsi="Cambria" w:cs="Calibri"/>
          <w:color w:val="000000"/>
          <w:sz w:val="20"/>
          <w:szCs w:val="20"/>
          <w:lang w:val="es-ES"/>
        </w:rPr>
        <w:t xml:space="preserve"> “Weekend Duty Counsel Programme” </w:t>
      </w:r>
      <w:r w:rsidRPr="004B37CC">
        <w:rPr>
          <w:rFonts w:ascii="Cambria" w:hAnsi="Cambria" w:cs="Calibri"/>
          <w:color w:val="000000"/>
          <w:sz w:val="20"/>
          <w:szCs w:val="20"/>
          <w:lang w:val="es-ES"/>
        </w:rPr>
        <w:t>para fortalecer el acceso y aumentar el uso del sistema de asistencia jurídica.</w:t>
      </w:r>
      <w:r w:rsidR="00B23FA7" w:rsidRPr="004B37CC">
        <w:rPr>
          <w:rFonts w:ascii="Cambria" w:hAnsi="Cambria" w:cs="Calibri"/>
          <w:color w:val="000000"/>
          <w:sz w:val="20"/>
          <w:szCs w:val="20"/>
          <w:lang w:val="es-ES"/>
        </w:rPr>
        <w:t xml:space="preserve">  </w:t>
      </w:r>
    </w:p>
    <w:p w14:paraId="249C3B1D" w14:textId="77777777" w:rsidR="00B23FA7" w:rsidRPr="004B37CC" w:rsidRDefault="00B23FA7" w:rsidP="00B23FA7">
      <w:pPr>
        <w:pStyle w:val="ListParagraph"/>
        <w:spacing w:after="0" w:line="240" w:lineRule="auto"/>
        <w:ind w:left="0"/>
        <w:jc w:val="both"/>
        <w:rPr>
          <w:rFonts w:ascii="Cambria" w:hAnsi="Cambria" w:cs="Calibri"/>
          <w:i/>
          <w:color w:val="000000"/>
          <w:sz w:val="20"/>
          <w:szCs w:val="20"/>
          <w:lang w:val="es-ES"/>
        </w:rPr>
      </w:pPr>
    </w:p>
    <w:p w14:paraId="18947FCF" w14:textId="77777777" w:rsidR="00B23FA7" w:rsidRPr="004B37CC" w:rsidRDefault="001F3F47" w:rsidP="00B23FA7">
      <w:pPr>
        <w:pStyle w:val="ListParagraph"/>
        <w:spacing w:after="0" w:line="240" w:lineRule="auto"/>
        <w:ind w:left="0"/>
        <w:jc w:val="both"/>
        <w:rPr>
          <w:rFonts w:ascii="Cambria" w:hAnsi="Cambria" w:cs="Calibri"/>
          <w:i/>
          <w:color w:val="000000"/>
          <w:sz w:val="20"/>
          <w:szCs w:val="20"/>
          <w:lang w:val="es-ES"/>
        </w:rPr>
      </w:pPr>
      <w:r w:rsidRPr="004B37CC">
        <w:rPr>
          <w:rFonts w:ascii="Cambria" w:hAnsi="Cambria" w:cs="Calibri"/>
          <w:i/>
          <w:color w:val="000000"/>
          <w:sz w:val="20"/>
          <w:szCs w:val="20"/>
          <w:lang w:val="es-ES"/>
        </w:rPr>
        <w:t>Fortalecimiento institucional</w:t>
      </w:r>
    </w:p>
    <w:p w14:paraId="13F7EB7D" w14:textId="77777777" w:rsidR="00B23FA7" w:rsidRPr="004B37CC" w:rsidRDefault="001F3F47" w:rsidP="001F3F47">
      <w:pPr>
        <w:pStyle w:val="NoSpacing"/>
        <w:numPr>
          <w:ilvl w:val="0"/>
          <w:numId w:val="4"/>
        </w:numPr>
        <w:jc w:val="both"/>
        <w:rPr>
          <w:rFonts w:ascii="Cambria" w:hAnsi="Cambria" w:cs="Calibri"/>
          <w:color w:val="000000"/>
          <w:sz w:val="20"/>
          <w:szCs w:val="20"/>
          <w:lang w:val="es-ES"/>
        </w:rPr>
      </w:pPr>
      <w:r w:rsidRPr="004B37CC">
        <w:rPr>
          <w:rFonts w:ascii="Cambria" w:hAnsi="Cambria" w:cs="Calibri"/>
          <w:color w:val="000000"/>
          <w:sz w:val="20"/>
          <w:szCs w:val="20"/>
          <w:lang w:val="es-ES"/>
        </w:rPr>
        <w:lastRenderedPageBreak/>
        <w:t>El Manual de la Fuerza de Policía de Jamaica sobre el Uso de la Fuerza (</w:t>
      </w:r>
      <w:r w:rsidRPr="004B37CC">
        <w:rPr>
          <w:rFonts w:ascii="Cambria" w:hAnsi="Cambria" w:cs="Calibri"/>
          <w:i/>
          <w:color w:val="000000"/>
          <w:sz w:val="20"/>
          <w:szCs w:val="20"/>
          <w:lang w:val="es-ES"/>
        </w:rPr>
        <w:t>The Jamaica Constabulary Force Manual on Force Standing Orders</w:t>
      </w:r>
      <w:r w:rsidRPr="004B37CC">
        <w:rPr>
          <w:rFonts w:ascii="Cambria" w:hAnsi="Cambria" w:cs="Calibri"/>
          <w:color w:val="000000"/>
          <w:sz w:val="20"/>
          <w:szCs w:val="20"/>
          <w:lang w:val="es-ES"/>
        </w:rPr>
        <w:t>), Volumen II, Capítulo 44, establece procedimientos obligatorios que deben ser adoptados por la policía al tomar declaraciones de personas acusadas.</w:t>
      </w:r>
    </w:p>
    <w:p w14:paraId="2911D23C" w14:textId="77777777" w:rsidR="00B23FA7" w:rsidRPr="004B37CC" w:rsidRDefault="00B23FA7" w:rsidP="00B23FA7">
      <w:pPr>
        <w:pStyle w:val="NoSpacing"/>
        <w:jc w:val="both"/>
        <w:rPr>
          <w:rFonts w:ascii="Cambria" w:hAnsi="Cambria" w:cs="Calibri"/>
          <w:color w:val="000000"/>
          <w:sz w:val="20"/>
          <w:szCs w:val="20"/>
          <w:lang w:val="es-ES"/>
        </w:rPr>
      </w:pPr>
    </w:p>
    <w:p w14:paraId="2BBB07A3" w14:textId="77777777" w:rsidR="004B3074" w:rsidRPr="004B37CC" w:rsidRDefault="004B3074" w:rsidP="00B23FA7">
      <w:pPr>
        <w:rPr>
          <w:rFonts w:ascii="Cambria" w:hAnsi="Cambria"/>
          <w:color w:val="000000"/>
          <w:sz w:val="20"/>
          <w:szCs w:val="20"/>
          <w:lang w:val="es-ES"/>
        </w:rPr>
      </w:pPr>
    </w:p>
    <w:sectPr w:rsidR="004B3074" w:rsidRPr="004B37CC" w:rsidSect="00004759">
      <w:headerReference w:type="default" r:id="rId11"/>
      <w:footerReference w:type="default" r:id="rId12"/>
      <w:headerReference w:type="first" r:id="rId13"/>
      <w:footerReference w:type="first" r:id="rId14"/>
      <w:pgSz w:w="12240" w:h="15840"/>
      <w:pgMar w:top="1440" w:right="1440" w:bottom="1440"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6DA4" w14:textId="77777777" w:rsidR="00677891" w:rsidRDefault="00677891" w:rsidP="00A343FF">
      <w:pPr>
        <w:spacing w:after="0" w:line="240" w:lineRule="auto"/>
      </w:pPr>
      <w:r>
        <w:separator/>
      </w:r>
    </w:p>
  </w:endnote>
  <w:endnote w:type="continuationSeparator" w:id="0">
    <w:p w14:paraId="352A9CB8" w14:textId="77777777" w:rsidR="00677891" w:rsidRDefault="00677891"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B62F" w14:textId="77777777" w:rsidR="007D0323" w:rsidRPr="00004759" w:rsidRDefault="007D0323">
    <w:pPr>
      <w:pStyle w:val="Footer"/>
      <w:jc w:val="center"/>
      <w:rPr>
        <w:rFonts w:ascii="Cambria" w:hAnsi="Cambria"/>
        <w:color w:val="404040"/>
        <w:sz w:val="20"/>
        <w:szCs w:val="20"/>
      </w:rPr>
    </w:pPr>
    <w:r w:rsidRPr="00004759">
      <w:rPr>
        <w:rFonts w:ascii="Cambria" w:hAnsi="Cambria"/>
        <w:color w:val="404040"/>
        <w:sz w:val="20"/>
        <w:szCs w:val="20"/>
      </w:rPr>
      <w:fldChar w:fldCharType="begin"/>
    </w:r>
    <w:r w:rsidRPr="00004759">
      <w:rPr>
        <w:rFonts w:ascii="Cambria" w:hAnsi="Cambria"/>
        <w:color w:val="404040"/>
        <w:sz w:val="20"/>
        <w:szCs w:val="20"/>
      </w:rPr>
      <w:instrText xml:space="preserve"> PAGE   \* MERGEFORMAT </w:instrText>
    </w:r>
    <w:r w:rsidRPr="00004759">
      <w:rPr>
        <w:rFonts w:ascii="Cambria" w:hAnsi="Cambria"/>
        <w:color w:val="404040"/>
        <w:sz w:val="20"/>
        <w:szCs w:val="20"/>
      </w:rPr>
      <w:fldChar w:fldCharType="separate"/>
    </w:r>
    <w:r w:rsidR="002F2DC8" w:rsidRPr="00004759">
      <w:rPr>
        <w:rFonts w:ascii="Cambria" w:hAnsi="Cambria"/>
        <w:noProof/>
        <w:color w:val="404040"/>
        <w:sz w:val="20"/>
        <w:szCs w:val="20"/>
      </w:rPr>
      <w:t>2</w:t>
    </w:r>
    <w:r w:rsidRPr="00004759">
      <w:rPr>
        <w:rFonts w:ascii="Cambria" w:hAnsi="Cambria"/>
        <w:noProof/>
        <w:color w:val="404040"/>
        <w:sz w:val="20"/>
        <w:szCs w:val="20"/>
      </w:rPr>
      <w:fldChar w:fldCharType="end"/>
    </w:r>
  </w:p>
  <w:p w14:paraId="0DB32742" w14:textId="77777777" w:rsidR="007D0323" w:rsidRDefault="007D0323" w:rsidP="008550EF">
    <w:pPr>
      <w:pStyle w:val="Footer"/>
      <w:spacing w:line="360" w:lineRule="auto"/>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3C4E" w14:textId="77777777" w:rsidR="007D0323" w:rsidRPr="007942FF" w:rsidRDefault="007D0323" w:rsidP="008F2248">
    <w:pPr>
      <w:pStyle w:val="Footer"/>
      <w:spacing w:line="360" w:lineRule="auto"/>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EDD3B" w14:textId="77777777" w:rsidR="00677891" w:rsidRDefault="00677891" w:rsidP="00A343FF">
      <w:pPr>
        <w:spacing w:after="0" w:line="240" w:lineRule="auto"/>
      </w:pPr>
      <w:r>
        <w:separator/>
      </w:r>
    </w:p>
  </w:footnote>
  <w:footnote w:type="continuationSeparator" w:id="0">
    <w:p w14:paraId="0A5F5F2E" w14:textId="77777777" w:rsidR="00677891" w:rsidRDefault="00677891" w:rsidP="00A343FF">
      <w:pPr>
        <w:spacing w:after="0" w:line="240" w:lineRule="auto"/>
      </w:pPr>
      <w:r>
        <w:continuationSeparator/>
      </w:r>
    </w:p>
  </w:footnote>
  <w:footnote w:id="1">
    <w:p w14:paraId="3CC17D83" w14:textId="77777777" w:rsidR="00B23FA7" w:rsidRPr="004B37CC" w:rsidRDefault="00B23FA7" w:rsidP="00004759">
      <w:pPr>
        <w:pStyle w:val="FootnoteText"/>
        <w:spacing w:after="120" w:line="240" w:lineRule="auto"/>
        <w:ind w:firstLine="720"/>
        <w:jc w:val="both"/>
        <w:rPr>
          <w:rFonts w:ascii="Cambria" w:hAnsi="Cambria"/>
          <w:color w:val="000000"/>
          <w:sz w:val="16"/>
          <w:szCs w:val="16"/>
          <w:lang w:val="es-US"/>
        </w:rPr>
      </w:pPr>
      <w:r w:rsidRPr="004B37CC">
        <w:rPr>
          <w:rStyle w:val="FootnoteReference"/>
          <w:rFonts w:ascii="Cambria" w:hAnsi="Cambria"/>
          <w:color w:val="000000"/>
          <w:sz w:val="16"/>
          <w:szCs w:val="16"/>
        </w:rPr>
        <w:footnoteRef/>
      </w:r>
      <w:r w:rsidRPr="004B37CC">
        <w:rPr>
          <w:rFonts w:ascii="Cambria" w:hAnsi="Cambria"/>
          <w:color w:val="000000"/>
          <w:sz w:val="16"/>
          <w:szCs w:val="16"/>
          <w:lang w:val="es-US"/>
        </w:rPr>
        <w:t xml:space="preserve"> </w:t>
      </w:r>
      <w:r w:rsidR="003B2F03" w:rsidRPr="004B37CC">
        <w:rPr>
          <w:rFonts w:ascii="Cambria" w:hAnsi="Cambria"/>
          <w:color w:val="000000"/>
          <w:sz w:val="16"/>
          <w:szCs w:val="16"/>
          <w:lang w:val="es-ES"/>
        </w:rPr>
        <w:t xml:space="preserve">CIDH, Informe Anual 2010, </w:t>
      </w:r>
      <w:hyperlink r:id="rId1" w:history="1">
        <w:r w:rsidR="003B2F03" w:rsidRPr="004B37CC">
          <w:rPr>
            <w:rStyle w:val="Hyperlink"/>
            <w:rFonts w:ascii="Cambria" w:hAnsi="Cambria"/>
            <w:color w:val="000000"/>
            <w:sz w:val="16"/>
            <w:szCs w:val="16"/>
            <w:lang w:val="es-ES"/>
          </w:rPr>
          <w:t>Capítulo III, Sección D: Estado del cumplimiento de las recomendaciones de la CIDH</w:t>
        </w:r>
      </w:hyperlink>
      <w:r w:rsidR="003B2F03" w:rsidRPr="004B37CC">
        <w:rPr>
          <w:rFonts w:ascii="Cambria" w:hAnsi="Cambria"/>
          <w:color w:val="000000"/>
          <w:sz w:val="16"/>
          <w:szCs w:val="16"/>
          <w:lang w:val="es-ES"/>
        </w:rPr>
        <w:t>, párr. 859</w:t>
      </w:r>
      <w:r w:rsidR="005D7A9A" w:rsidRPr="004B37CC">
        <w:rPr>
          <w:rFonts w:ascii="Cambria" w:hAnsi="Cambria"/>
          <w:color w:val="000000"/>
          <w:sz w:val="16"/>
          <w:szCs w:val="16"/>
          <w:lang w:val="es-ES"/>
        </w:rPr>
        <w:t>.</w:t>
      </w:r>
    </w:p>
  </w:footnote>
  <w:footnote w:id="2">
    <w:p w14:paraId="65F8EE51" w14:textId="77777777" w:rsidR="00B23FA7" w:rsidRPr="004B37CC" w:rsidRDefault="00B23FA7" w:rsidP="00004759">
      <w:pPr>
        <w:pStyle w:val="FootnoteText"/>
        <w:spacing w:after="120" w:line="240" w:lineRule="auto"/>
        <w:ind w:firstLine="720"/>
        <w:jc w:val="both"/>
        <w:rPr>
          <w:rFonts w:ascii="Cambria" w:hAnsi="Cambria"/>
          <w:color w:val="000000"/>
          <w:sz w:val="16"/>
          <w:szCs w:val="16"/>
        </w:rPr>
      </w:pPr>
      <w:r w:rsidRPr="004B37CC">
        <w:rPr>
          <w:rStyle w:val="FootnoteReference"/>
          <w:rFonts w:ascii="Cambria" w:hAnsi="Cambria"/>
          <w:color w:val="000000"/>
          <w:sz w:val="16"/>
          <w:szCs w:val="16"/>
        </w:rPr>
        <w:footnoteRef/>
      </w:r>
      <w:r w:rsidRPr="004B37CC">
        <w:rPr>
          <w:rFonts w:ascii="Cambria" w:hAnsi="Cambria"/>
          <w:color w:val="000000"/>
          <w:sz w:val="16"/>
          <w:szCs w:val="16"/>
          <w:lang w:val="es-US"/>
        </w:rPr>
        <w:t xml:space="preserve"> </w:t>
      </w:r>
      <w:r w:rsidR="003B2F03" w:rsidRPr="004B37CC">
        <w:rPr>
          <w:rFonts w:ascii="Cambria" w:hAnsi="Cambria"/>
          <w:color w:val="000000"/>
          <w:sz w:val="16"/>
          <w:szCs w:val="16"/>
          <w:lang w:val="es-ES"/>
        </w:rPr>
        <w:t xml:space="preserve">CIDH, Informe Anual 2010, </w:t>
      </w:r>
      <w:hyperlink r:id="rId2" w:history="1">
        <w:r w:rsidR="003B2F03" w:rsidRPr="004B37CC">
          <w:rPr>
            <w:rStyle w:val="Hyperlink"/>
            <w:rFonts w:ascii="Cambria" w:hAnsi="Cambria"/>
            <w:color w:val="000000"/>
            <w:sz w:val="16"/>
            <w:szCs w:val="16"/>
            <w:lang w:val="es-ES"/>
          </w:rPr>
          <w:t>Capítulo III, Sección D: Estado del cumplimiento de las recomendaciones de la CIDH</w:t>
        </w:r>
      </w:hyperlink>
      <w:r w:rsidR="003B2F03" w:rsidRPr="004B37CC">
        <w:rPr>
          <w:rFonts w:ascii="Cambria" w:hAnsi="Cambria"/>
          <w:color w:val="000000"/>
          <w:sz w:val="16"/>
          <w:szCs w:val="16"/>
          <w:lang w:val="es-ES"/>
        </w:rPr>
        <w:t>, párr. 859</w:t>
      </w:r>
      <w:r w:rsidR="005D7A9A" w:rsidRPr="004B37CC">
        <w:rPr>
          <w:rFonts w:ascii="Cambria" w:hAnsi="Cambria"/>
          <w:color w:val="000000"/>
          <w:sz w:val="16"/>
          <w:szCs w:val="16"/>
          <w:lang w:val="es-ES"/>
        </w:rPr>
        <w:t>.</w:t>
      </w:r>
    </w:p>
  </w:footnote>
  <w:footnote w:id="3">
    <w:p w14:paraId="19DB9090" w14:textId="77777777" w:rsidR="00B23FA7" w:rsidRPr="004B37CC" w:rsidRDefault="00B23FA7" w:rsidP="00004759">
      <w:pPr>
        <w:pStyle w:val="FootnoteText"/>
        <w:spacing w:after="120"/>
        <w:ind w:firstLine="720"/>
        <w:jc w:val="both"/>
        <w:rPr>
          <w:rFonts w:ascii="Cambria" w:hAnsi="Cambria"/>
          <w:color w:val="000000"/>
          <w:sz w:val="16"/>
          <w:szCs w:val="16"/>
        </w:rPr>
      </w:pPr>
      <w:r w:rsidRPr="004B37CC">
        <w:rPr>
          <w:rStyle w:val="FootnoteReference"/>
          <w:rFonts w:ascii="Cambria" w:hAnsi="Cambria"/>
          <w:color w:val="000000"/>
          <w:sz w:val="16"/>
          <w:szCs w:val="16"/>
        </w:rPr>
        <w:footnoteRef/>
      </w:r>
      <w:r w:rsidRPr="004B37CC">
        <w:rPr>
          <w:rFonts w:ascii="Cambria" w:hAnsi="Cambria"/>
          <w:color w:val="000000"/>
          <w:sz w:val="16"/>
          <w:szCs w:val="16"/>
          <w:lang w:val="es-US"/>
        </w:rPr>
        <w:t xml:space="preserve"> </w:t>
      </w:r>
      <w:r w:rsidR="001F3F47" w:rsidRPr="004B37CC">
        <w:rPr>
          <w:rFonts w:ascii="Cambria" w:hAnsi="Cambria"/>
          <w:color w:val="000000"/>
          <w:sz w:val="16"/>
          <w:szCs w:val="16"/>
          <w:lang w:val="es-ES"/>
        </w:rPr>
        <w:t xml:space="preserve">CIDH, Informe Anual 2017, </w:t>
      </w:r>
      <w:hyperlink r:id="rId3" w:history="1">
        <w:r w:rsidR="001F3F47" w:rsidRPr="004B37CC">
          <w:rPr>
            <w:rStyle w:val="Hyperlink"/>
            <w:rFonts w:ascii="Cambria" w:hAnsi="Cambria"/>
            <w:color w:val="000000"/>
            <w:sz w:val="16"/>
            <w:szCs w:val="16"/>
            <w:lang w:val="es-ES"/>
          </w:rPr>
          <w:t>Capítulo II, Sección F: Estado del cumplimiento de las recomendaciones de la CIDH</w:t>
        </w:r>
      </w:hyperlink>
      <w:r w:rsidR="001F3F47" w:rsidRPr="004B37CC">
        <w:rPr>
          <w:rFonts w:ascii="Cambria" w:hAnsi="Cambria"/>
          <w:color w:val="000000"/>
          <w:sz w:val="16"/>
          <w:szCs w:val="16"/>
          <w:lang w:val="es-ES"/>
        </w:rPr>
        <w:t xml:space="preserve">, párr. </w:t>
      </w:r>
      <w:r w:rsidR="001F3F47" w:rsidRPr="004B37CC">
        <w:rPr>
          <w:rFonts w:ascii="Cambria" w:hAnsi="Cambria"/>
          <w:color w:val="000000"/>
          <w:sz w:val="16"/>
          <w:szCs w:val="16"/>
          <w:lang w:val="es-US"/>
        </w:rPr>
        <w:t>1753.</w:t>
      </w:r>
    </w:p>
  </w:footnote>
  <w:footnote w:id="4">
    <w:p w14:paraId="1745B6D0" w14:textId="77777777" w:rsidR="00B23FA7" w:rsidRPr="004B37CC" w:rsidRDefault="00B23FA7" w:rsidP="00004759">
      <w:pPr>
        <w:pStyle w:val="FootnoteText"/>
        <w:spacing w:after="120"/>
        <w:ind w:firstLine="720"/>
        <w:jc w:val="both"/>
        <w:rPr>
          <w:rFonts w:ascii="Cambria" w:hAnsi="Cambria"/>
          <w:color w:val="000000"/>
          <w:sz w:val="16"/>
          <w:szCs w:val="16"/>
        </w:rPr>
      </w:pPr>
      <w:r w:rsidRPr="004B37CC">
        <w:rPr>
          <w:rStyle w:val="FootnoteReference"/>
          <w:rFonts w:ascii="Cambria" w:hAnsi="Cambria"/>
          <w:color w:val="000000"/>
          <w:sz w:val="16"/>
          <w:szCs w:val="16"/>
        </w:rPr>
        <w:footnoteRef/>
      </w:r>
      <w:r w:rsidRPr="004B37CC">
        <w:rPr>
          <w:rFonts w:ascii="Cambria" w:hAnsi="Cambria"/>
          <w:color w:val="000000"/>
          <w:sz w:val="16"/>
          <w:szCs w:val="16"/>
          <w:lang w:val="es-US"/>
        </w:rPr>
        <w:t xml:space="preserve"> </w:t>
      </w:r>
      <w:r w:rsidR="001F3F47" w:rsidRPr="004B37CC">
        <w:rPr>
          <w:rFonts w:ascii="Cambria" w:hAnsi="Cambria"/>
          <w:color w:val="000000"/>
          <w:sz w:val="16"/>
          <w:szCs w:val="16"/>
          <w:lang w:val="es-ES"/>
        </w:rPr>
        <w:t xml:space="preserve">CIDH, Informe Anual 2017, </w:t>
      </w:r>
      <w:hyperlink r:id="rId4" w:history="1">
        <w:r w:rsidR="001F3F47" w:rsidRPr="004B37CC">
          <w:rPr>
            <w:rStyle w:val="Hyperlink"/>
            <w:rFonts w:ascii="Cambria" w:hAnsi="Cambria"/>
            <w:color w:val="000000"/>
            <w:sz w:val="16"/>
            <w:szCs w:val="16"/>
            <w:lang w:val="es-ES"/>
          </w:rPr>
          <w:t>Capítulo II, Sección F: Estado del cumplimiento de las recomendaciones de la CIDH</w:t>
        </w:r>
      </w:hyperlink>
      <w:r w:rsidR="001F3F47" w:rsidRPr="004B37CC">
        <w:rPr>
          <w:rFonts w:ascii="Cambria" w:hAnsi="Cambria"/>
          <w:color w:val="000000"/>
          <w:sz w:val="16"/>
          <w:szCs w:val="16"/>
          <w:lang w:val="es-ES"/>
        </w:rPr>
        <w:t xml:space="preserve">, párr. </w:t>
      </w:r>
      <w:r w:rsidR="001F3F47" w:rsidRPr="004B37CC">
        <w:rPr>
          <w:rFonts w:ascii="Cambria" w:hAnsi="Cambria"/>
          <w:color w:val="000000"/>
          <w:sz w:val="16"/>
          <w:szCs w:val="16"/>
          <w:lang w:val="es-US"/>
        </w:rPr>
        <w:t>1753.</w:t>
      </w:r>
    </w:p>
  </w:footnote>
  <w:footnote w:id="5">
    <w:p w14:paraId="6882FC83" w14:textId="77777777" w:rsidR="00A06F98" w:rsidRPr="004B37CC" w:rsidRDefault="00A06F98" w:rsidP="00004759">
      <w:pPr>
        <w:pStyle w:val="FootnoteText"/>
        <w:ind w:firstLine="720"/>
        <w:jc w:val="both"/>
        <w:rPr>
          <w:rFonts w:ascii="Cambria" w:hAnsi="Cambria"/>
          <w:color w:val="000000"/>
          <w:sz w:val="16"/>
          <w:szCs w:val="16"/>
          <w:lang w:val="es-CO"/>
        </w:rPr>
      </w:pPr>
      <w:r w:rsidRPr="004B37CC">
        <w:rPr>
          <w:rStyle w:val="FootnoteReference"/>
          <w:rFonts w:ascii="Cambria" w:hAnsi="Cambria"/>
          <w:color w:val="000000"/>
          <w:sz w:val="16"/>
          <w:szCs w:val="16"/>
        </w:rPr>
        <w:footnoteRef/>
      </w:r>
      <w:r w:rsidRPr="004B37CC">
        <w:rPr>
          <w:rFonts w:ascii="Cambria" w:hAnsi="Cambria"/>
          <w:color w:val="000000"/>
          <w:sz w:val="16"/>
          <w:szCs w:val="16"/>
          <w:lang w:val="es-CO"/>
        </w:rPr>
        <w:t xml:space="preserve"> CIDH, </w:t>
      </w:r>
      <w:hyperlink r:id="rId5" w:history="1">
        <w:r w:rsidRPr="004B37CC">
          <w:rPr>
            <w:rStyle w:val="Hyperlink"/>
            <w:rFonts w:ascii="Cambria" w:hAnsi="Cambria"/>
            <w:color w:val="000000"/>
            <w:sz w:val="16"/>
            <w:szCs w:val="16"/>
            <w:lang w:val="es-CO"/>
          </w:rPr>
          <w:t>Directrices Generales de Seguimiento de Recomendaciones y Decisiones de la CIDH</w:t>
        </w:r>
      </w:hyperlink>
      <w:r w:rsidRPr="004B37CC">
        <w:rPr>
          <w:rFonts w:ascii="Cambria" w:hAnsi="Cambria"/>
          <w:color w:val="000000"/>
          <w:sz w:val="16"/>
          <w:szCs w:val="16"/>
          <w:lang w:val="es-CO"/>
        </w:rPr>
        <w:t>, OEA/</w:t>
      </w:r>
      <w:proofErr w:type="spellStart"/>
      <w:r w:rsidRPr="004B37CC">
        <w:rPr>
          <w:rFonts w:ascii="Cambria" w:hAnsi="Cambria"/>
          <w:color w:val="000000"/>
          <w:sz w:val="16"/>
          <w:szCs w:val="16"/>
          <w:lang w:val="es-CO"/>
        </w:rPr>
        <w:t>Ser.L</w:t>
      </w:r>
      <w:proofErr w:type="spellEnd"/>
      <w:r w:rsidRPr="004B37CC">
        <w:rPr>
          <w:rFonts w:ascii="Cambria" w:hAnsi="Cambria"/>
          <w:color w:val="000000"/>
          <w:sz w:val="16"/>
          <w:szCs w:val="16"/>
          <w:lang w:val="es-CO"/>
        </w:rPr>
        <w:t xml:space="preserve">/V/II.173 Doc. 177, 30 de septiembre de 2019, </w:t>
      </w:r>
      <w:proofErr w:type="spellStart"/>
      <w:r w:rsidRPr="004B37CC">
        <w:rPr>
          <w:rFonts w:ascii="Cambria" w:hAnsi="Cambria"/>
          <w:color w:val="000000"/>
          <w:sz w:val="16"/>
          <w:szCs w:val="16"/>
          <w:lang w:val="es-CO"/>
        </w:rPr>
        <w:t>párrs</w:t>
      </w:r>
      <w:proofErr w:type="spellEnd"/>
      <w:r w:rsidRPr="004B37CC">
        <w:rPr>
          <w:rFonts w:ascii="Cambria" w:hAnsi="Cambria"/>
          <w:color w:val="000000"/>
          <w:sz w:val="16"/>
          <w:szCs w:val="16"/>
          <w:lang w:val="es-CO"/>
        </w:rPr>
        <w:t xml:space="preserve">. 64 y 65. </w:t>
      </w:r>
      <w:r w:rsidRPr="004B37CC">
        <w:rPr>
          <w:rFonts w:ascii="Cambria" w:hAnsi="Cambria"/>
          <w:color w:val="000000"/>
          <w:sz w:val="16"/>
          <w:szCs w:val="16"/>
          <w:lang w:val="es-CO"/>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D475" w14:textId="16D2C2F2" w:rsidR="00FC17FA" w:rsidRPr="004B5CBB" w:rsidRDefault="00FC17FA" w:rsidP="00FC17FA">
    <w:pPr>
      <w:pStyle w:val="Header"/>
      <w:rPr>
        <w:rFonts w:ascii="Arial" w:hAnsi="Arial" w:cs="Arial"/>
        <w:color w:val="3B3838"/>
        <w:szCs w:val="28"/>
      </w:rPr>
    </w:pPr>
    <w:r>
      <w:rPr>
        <w:noProof/>
      </w:rPr>
      <w:drawing>
        <wp:anchor distT="0" distB="0" distL="114300" distR="114300" simplePos="0" relativeHeight="251662336" behindDoc="0" locked="0" layoutInCell="1" allowOverlap="1" wp14:anchorId="5EBAB67E" wp14:editId="1F33871A">
          <wp:simplePos x="0" y="0"/>
          <wp:positionH relativeFrom="column">
            <wp:posOffset>4658995</wp:posOffset>
          </wp:positionH>
          <wp:positionV relativeFrom="paragraph">
            <wp:posOffset>-3175</wp:posOffset>
          </wp:positionV>
          <wp:extent cx="1485900" cy="346075"/>
          <wp:effectExtent l="0" t="0" r="0" b="0"/>
          <wp:wrapSquare wrapText="bothSides"/>
          <wp:docPr id="7"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6A7">
      <w:rPr>
        <w:noProof/>
      </w:rPr>
      <w:drawing>
        <wp:inline distT="0" distB="0" distL="0" distR="0" wp14:anchorId="2EF9A6FC" wp14:editId="6C7D5721">
          <wp:extent cx="1333500" cy="314325"/>
          <wp:effectExtent l="0" t="0" r="0" b="0"/>
          <wp:docPr id="4"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sidRPr="004B5CBB">
      <w:rPr>
        <w:rFonts w:ascii="Arial" w:hAnsi="Arial" w:cs="Arial"/>
        <w:color w:val="3B3838"/>
        <w:szCs w:val="28"/>
      </w:rPr>
      <w:t xml:space="preserve">                      </w:t>
    </w:r>
  </w:p>
  <w:p w14:paraId="07EE6E37" w14:textId="28AC5817" w:rsidR="00FC17FA" w:rsidRPr="004B5CBB" w:rsidRDefault="00FC17FA" w:rsidP="00FC17FA">
    <w:pPr>
      <w:pStyle w:val="Header"/>
      <w:rPr>
        <w:rFonts w:ascii="Arial" w:hAnsi="Arial" w:cs="Arial"/>
        <w:b/>
        <w:bCs/>
        <w:color w:val="404040"/>
        <w:sz w:val="44"/>
        <w:szCs w:val="44"/>
        <w:lang w:val="es-ES"/>
      </w:rPr>
    </w:pPr>
    <w:r>
      <w:rPr>
        <w:noProof/>
      </w:rPr>
      <mc:AlternateContent>
        <mc:Choice Requires="wps">
          <w:drawing>
            <wp:anchor distT="4294967295" distB="4294967295" distL="114300" distR="114300" simplePos="0" relativeHeight="251661312" behindDoc="0" locked="0" layoutInCell="1" allowOverlap="1" wp14:anchorId="3BF7DD82" wp14:editId="78A68E41">
              <wp:simplePos x="0" y="0"/>
              <wp:positionH relativeFrom="column">
                <wp:posOffset>-5080</wp:posOffset>
              </wp:positionH>
              <wp:positionV relativeFrom="paragraph">
                <wp:posOffset>173989</wp:posOffset>
              </wp:positionV>
              <wp:extent cx="614807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512D2E"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" strokecolor="#262626" strokeweight="1.2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3592" w14:textId="714F113B" w:rsidR="002D44B2" w:rsidRDefault="00FC17FA" w:rsidP="002D44B2">
    <w:pPr>
      <w:tabs>
        <w:tab w:val="center" w:pos="4680"/>
        <w:tab w:val="right" w:pos="9360"/>
      </w:tabs>
      <w:spacing w:after="0" w:line="216" w:lineRule="auto"/>
      <w:rPr>
        <w:rFonts w:ascii="Arial" w:eastAsia="Times New Roman" w:hAnsi="Arial" w:cs="Arial"/>
        <w:color w:val="3B3838"/>
        <w:sz w:val="28"/>
        <w:szCs w:val="28"/>
        <w:lang w:val="es-ES"/>
      </w:rPr>
    </w:pPr>
    <w:r>
      <w:rPr>
        <w:noProof/>
      </w:rPr>
      <w:drawing>
        <wp:anchor distT="0" distB="0" distL="114300" distR="114300" simplePos="0" relativeHeight="251658240" behindDoc="0" locked="0" layoutInCell="1" allowOverlap="1" wp14:anchorId="45DB4C0C" wp14:editId="20A19147">
          <wp:simplePos x="0" y="0"/>
          <wp:positionH relativeFrom="column">
            <wp:posOffset>4088765</wp:posOffset>
          </wp:positionH>
          <wp:positionV relativeFrom="paragraph">
            <wp:posOffset>72390</wp:posOffset>
          </wp:positionV>
          <wp:extent cx="2183130" cy="508635"/>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9014696" wp14:editId="06D0E75D">
              <wp:simplePos x="0" y="0"/>
              <wp:positionH relativeFrom="column">
                <wp:posOffset>-166370</wp:posOffset>
              </wp:positionH>
              <wp:positionV relativeFrom="paragraph">
                <wp:posOffset>48895</wp:posOffset>
              </wp:positionV>
              <wp:extent cx="2936875" cy="6648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36875" cy="664845"/>
                      </a:xfrm>
                      <a:prstGeom prst="rect">
                        <a:avLst/>
                      </a:prstGeom>
                      <a:noFill/>
                      <a:ln w="6350">
                        <a:noFill/>
                      </a:ln>
                    </wps:spPr>
                    <wps:txbx>
                      <w:txbxContent>
                        <w:p w14:paraId="1206B67E" w14:textId="1A8750C3" w:rsidR="002D44B2" w:rsidRDefault="00FC17FA" w:rsidP="002D44B2">
                          <w:r>
                            <w:rPr>
                              <w:rFonts w:cs="Calibri"/>
                              <w:noProof/>
                              <w:sz w:val="20"/>
                              <w:szCs w:val="20"/>
                            </w:rPr>
                            <w:drawing>
                              <wp:inline distT="0" distB="0" distL="0" distR="0" wp14:anchorId="5C73BAEA" wp14:editId="4DDC6123">
                                <wp:extent cx="2009775" cy="476250"/>
                                <wp:effectExtent l="0" t="0" r="0" b="0"/>
                                <wp:docPr id="8" name="Imagem 11" descr="Uma imagem contendo placa, desenho, comida, placar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014696" id="_x0000_t202" coordsize="21600,21600" o:spt="202" path="m,l,21600r21600,l21600,xe">
              <v:stroke joinstyle="miter"/>
              <v:path gradientshapeok="t" o:connecttype="rect"/>
            </v:shapetype>
            <v:shape id="Text Box 3" o:spid="_x0000_s1026" type="#_x0000_t202" style="position:absolute;margin-left:-13.1pt;margin-top:3.85pt;width:231.25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" filled="f" stroked="f" strokeweight=".5pt">
              <v:textbox>
                <w:txbxContent>
                  <w:p w14:paraId="1206B67E" w14:textId="1A8750C3" w:rsidR="002D44B2" w:rsidRDefault="00FC17FA" w:rsidP="002D44B2">
                    <w:r>
                      <w:rPr>
                        <w:rFonts w:cs="Calibri"/>
                        <w:noProof/>
                        <w:sz w:val="20"/>
                        <w:szCs w:val="20"/>
                      </w:rPr>
                      <w:drawing>
                        <wp:inline distT="0" distB="0" distL="0" distR="0" wp14:anchorId="5C73BAEA" wp14:editId="4DDC6123">
                          <wp:extent cx="2009775" cy="476250"/>
                          <wp:effectExtent l="0" t="0" r="0" b="0"/>
                          <wp:docPr id="8" name="Imagem 11" descr="Uma imagem contendo placa, desenho, comida, placar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476250"/>
                                  </a:xfrm>
                                  <a:prstGeom prst="rect">
                                    <a:avLst/>
                                  </a:prstGeom>
                                  <a:noFill/>
                                  <a:ln>
                                    <a:noFill/>
                                  </a:ln>
                                </pic:spPr>
                              </pic:pic>
                            </a:graphicData>
                          </a:graphic>
                        </wp:inline>
                      </w:drawing>
                    </w:r>
                  </w:p>
                </w:txbxContent>
              </v:textbox>
            </v:shape>
          </w:pict>
        </mc:Fallback>
      </mc:AlternateContent>
    </w:r>
    <w:r w:rsidR="002D44B2">
      <w:rPr>
        <w:rFonts w:ascii="Arial" w:eastAsia="Times New Roman" w:hAnsi="Arial" w:cs="Arial"/>
        <w:color w:val="3B3838"/>
        <w:sz w:val="28"/>
        <w:szCs w:val="28"/>
        <w:lang w:val="es-ES"/>
      </w:rPr>
      <w:softHyphen/>
    </w:r>
    <w:r w:rsidR="002D44B2">
      <w:rPr>
        <w:rFonts w:ascii="Arial" w:eastAsia="Times New Roman" w:hAnsi="Arial" w:cs="Arial"/>
        <w:color w:val="3B3838"/>
        <w:sz w:val="28"/>
        <w:szCs w:val="28"/>
        <w:lang w:val="es-ES"/>
      </w:rPr>
      <w:softHyphen/>
    </w:r>
    <w:r w:rsidR="002D44B2">
      <w:rPr>
        <w:rFonts w:ascii="Arial" w:eastAsia="Times New Roman" w:hAnsi="Arial" w:cs="Arial"/>
        <w:color w:val="3B3838"/>
        <w:sz w:val="28"/>
        <w:szCs w:val="28"/>
        <w:lang w:val="es-ES"/>
      </w:rPr>
      <w:softHyphen/>
    </w:r>
  </w:p>
  <w:p w14:paraId="13650C84" w14:textId="77777777" w:rsidR="002D44B2" w:rsidRDefault="002D44B2" w:rsidP="002D44B2">
    <w:pPr>
      <w:tabs>
        <w:tab w:val="center" w:pos="4680"/>
        <w:tab w:val="right" w:pos="9360"/>
      </w:tabs>
      <w:spacing w:after="0" w:line="216" w:lineRule="auto"/>
      <w:rPr>
        <w:rFonts w:ascii="Arial" w:eastAsia="Times New Roman" w:hAnsi="Arial" w:cs="Arial"/>
        <w:color w:val="3B3838"/>
        <w:sz w:val="28"/>
        <w:szCs w:val="28"/>
        <w:lang w:val="es-ES"/>
      </w:rPr>
    </w:pPr>
  </w:p>
  <w:p w14:paraId="269DDBB4" w14:textId="77777777" w:rsidR="002D44B2" w:rsidRDefault="002D44B2" w:rsidP="002D44B2">
    <w:pPr>
      <w:tabs>
        <w:tab w:val="center" w:pos="4680"/>
        <w:tab w:val="right" w:pos="9360"/>
      </w:tabs>
      <w:spacing w:after="0" w:line="216" w:lineRule="auto"/>
      <w:rPr>
        <w:rFonts w:ascii="Arial" w:eastAsia="Times New Roman" w:hAnsi="Arial" w:cs="Arial"/>
        <w:color w:val="3B3838"/>
        <w:sz w:val="28"/>
        <w:szCs w:val="28"/>
        <w:lang w:val="es-ES"/>
      </w:rPr>
    </w:pPr>
  </w:p>
  <w:p w14:paraId="11024144" w14:textId="75648A69" w:rsidR="003D5EA1" w:rsidRPr="002D44B2" w:rsidRDefault="00FC17FA" w:rsidP="002D44B2">
    <w:pPr>
      <w:tabs>
        <w:tab w:val="center" w:pos="4680"/>
        <w:tab w:val="right" w:pos="9360"/>
      </w:tabs>
      <w:spacing w:after="0" w:line="216" w:lineRule="auto"/>
      <w:rPr>
        <w:rFonts w:ascii="Arial" w:eastAsia="Times New Roman" w:hAnsi="Arial" w:cs="Arial"/>
        <w:b/>
        <w:bCs/>
        <w:color w:val="404040"/>
        <w:sz w:val="44"/>
        <w:szCs w:val="44"/>
        <w:lang w:val="es-ES"/>
      </w:rPr>
    </w:pPr>
    <w:r>
      <w:rPr>
        <w:noProof/>
      </w:rPr>
      <mc:AlternateContent>
        <mc:Choice Requires="wps">
          <w:drawing>
            <wp:anchor distT="4294967293" distB="4294967293" distL="114300" distR="114300" simplePos="0" relativeHeight="251657216" behindDoc="0" locked="0" layoutInCell="1" allowOverlap="1" wp14:anchorId="10FD9899" wp14:editId="0C24A898">
              <wp:simplePos x="0" y="0"/>
              <wp:positionH relativeFrom="column">
                <wp:posOffset>-5715</wp:posOffset>
              </wp:positionH>
              <wp:positionV relativeFrom="paragraph">
                <wp:posOffset>167639</wp:posOffset>
              </wp:positionV>
              <wp:extent cx="614807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A2474D" id="Straight Connector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" strokecolor="#262626" strokeweight="1.25pt">
              <v:stroke joinstyle="miter"/>
            </v:line>
          </w:pict>
        </mc:Fallback>
      </mc:AlternateContent>
    </w:r>
    <w:r>
      <w:rPr>
        <w:noProof/>
      </w:rPr>
      <mc:AlternateContent>
        <mc:Choice Requires="wps">
          <w:drawing>
            <wp:anchor distT="4294967295" distB="4294967295" distL="114300" distR="114300" simplePos="0" relativeHeight="251656192" behindDoc="0" locked="0" layoutInCell="1" allowOverlap="1" wp14:anchorId="6BD3F095" wp14:editId="0F3223B3">
              <wp:simplePos x="0" y="0"/>
              <wp:positionH relativeFrom="column">
                <wp:posOffset>-5715</wp:posOffset>
              </wp:positionH>
              <wp:positionV relativeFrom="paragraph">
                <wp:posOffset>167640</wp:posOffset>
              </wp:positionV>
              <wp:extent cx="6148070" cy="0"/>
              <wp:effectExtent l="13335" t="15240" r="10795" b="1333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48070" cy="0"/>
                      </a:xfrm>
                      <a:prstGeom prst="line">
                        <a:avLst/>
                      </a:prstGeom>
                      <a:noFill/>
                      <a:ln w="15875">
                        <a:solidFill>
                          <a:srgbClr val="262626"/>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2C6E85A"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" strokecolor="#262626" strokeweight="1.2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906"/>
    <w:multiLevelType w:val="hybridMultilevel"/>
    <w:tmpl w:val="F502DEF6"/>
    <w:lvl w:ilvl="0" w:tplc="1788F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63727"/>
    <w:multiLevelType w:val="hybridMultilevel"/>
    <w:tmpl w:val="0322A2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F03F8"/>
    <w:multiLevelType w:val="hybridMultilevel"/>
    <w:tmpl w:val="BB2E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24F55"/>
    <w:multiLevelType w:val="hybridMultilevel"/>
    <w:tmpl w:val="95FC8FE6"/>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72C7E"/>
    <w:multiLevelType w:val="hybridMultilevel"/>
    <w:tmpl w:val="556E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01234"/>
    <w:multiLevelType w:val="hybridMultilevel"/>
    <w:tmpl w:val="1E04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01F10"/>
    <w:multiLevelType w:val="hybridMultilevel"/>
    <w:tmpl w:val="A60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E7A87"/>
    <w:multiLevelType w:val="hybridMultilevel"/>
    <w:tmpl w:val="6540A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4259BF"/>
    <w:multiLevelType w:val="hybridMultilevel"/>
    <w:tmpl w:val="AADE83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843AE"/>
    <w:multiLevelType w:val="hybridMultilevel"/>
    <w:tmpl w:val="CCFC76AA"/>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E5103"/>
    <w:multiLevelType w:val="hybridMultilevel"/>
    <w:tmpl w:val="5A62B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B5432"/>
    <w:multiLevelType w:val="hybridMultilevel"/>
    <w:tmpl w:val="EDB2787E"/>
    <w:lvl w:ilvl="0" w:tplc="FDCAF20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84775A5"/>
    <w:multiLevelType w:val="hybridMultilevel"/>
    <w:tmpl w:val="A7FA8D76"/>
    <w:lvl w:ilvl="0" w:tplc="3F203992">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D2EAC"/>
    <w:multiLevelType w:val="hybridMultilevel"/>
    <w:tmpl w:val="B9045BF2"/>
    <w:lvl w:ilvl="0" w:tplc="C5083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749E3"/>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A2AED"/>
    <w:multiLevelType w:val="hybridMultilevel"/>
    <w:tmpl w:val="116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555EC"/>
    <w:multiLevelType w:val="hybridMultilevel"/>
    <w:tmpl w:val="EAE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662E5"/>
    <w:multiLevelType w:val="hybridMultilevel"/>
    <w:tmpl w:val="CAE0B2CC"/>
    <w:lvl w:ilvl="0" w:tplc="ACA83A3E">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C5B82"/>
    <w:multiLevelType w:val="hybridMultilevel"/>
    <w:tmpl w:val="3E663DB0"/>
    <w:lvl w:ilvl="0" w:tplc="20327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BC0713"/>
    <w:multiLevelType w:val="hybridMultilevel"/>
    <w:tmpl w:val="908A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06FF9"/>
    <w:multiLevelType w:val="hybridMultilevel"/>
    <w:tmpl w:val="2682CB5C"/>
    <w:lvl w:ilvl="0" w:tplc="BA2A6F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5EC78F2">
      <w:start w:val="1"/>
      <w:numFmt w:val="lowerRoman"/>
      <w:lvlText w:val="%3."/>
      <w:lvlJc w:val="right"/>
      <w:pPr>
        <w:ind w:left="2160" w:hanging="180"/>
      </w:pPr>
      <w:rPr>
        <w:i w:val="0"/>
      </w:rPr>
    </w:lvl>
    <w:lvl w:ilvl="3" w:tplc="7C622A94">
      <w:start w:val="1"/>
      <w:numFmt w:val="bullet"/>
      <w:lvlText w:val="-"/>
      <w:lvlJc w:val="left"/>
      <w:pPr>
        <w:ind w:left="2880" w:hanging="360"/>
      </w:pPr>
      <w:rPr>
        <w:rFonts w:ascii="Calibri Light" w:eastAsia="Calibri" w:hAnsi="Calibri Light" w:cs="Calibri Light" w:hint="default"/>
      </w:rPr>
    </w:lvl>
    <w:lvl w:ilvl="4" w:tplc="3CAE6CA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16337"/>
    <w:multiLevelType w:val="hybridMultilevel"/>
    <w:tmpl w:val="8196C2FA"/>
    <w:lvl w:ilvl="0" w:tplc="8ADC943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A73172"/>
    <w:multiLevelType w:val="hybridMultilevel"/>
    <w:tmpl w:val="E37EFCB8"/>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933AB"/>
    <w:multiLevelType w:val="hybridMultilevel"/>
    <w:tmpl w:val="67C4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31F4E"/>
    <w:multiLevelType w:val="hybridMultilevel"/>
    <w:tmpl w:val="F60AA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92294D"/>
    <w:multiLevelType w:val="hybridMultilevel"/>
    <w:tmpl w:val="8A5A035E"/>
    <w:lvl w:ilvl="0" w:tplc="662AC064">
      <w:start w:val="1"/>
      <w:numFmt w:val="decimal"/>
      <w:lvlText w:val="%1."/>
      <w:lvlJc w:val="left"/>
      <w:pPr>
        <w:ind w:left="0" w:firstLine="720"/>
      </w:pPr>
      <w:rPr>
        <w:rFonts w:ascii="Cambria" w:hAnsi="Cambria" w:hint="default"/>
        <w:b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F5446"/>
    <w:multiLevelType w:val="hybridMultilevel"/>
    <w:tmpl w:val="0DF6D884"/>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71CBC"/>
    <w:multiLevelType w:val="hybridMultilevel"/>
    <w:tmpl w:val="ACDE6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75366"/>
    <w:multiLevelType w:val="hybridMultilevel"/>
    <w:tmpl w:val="707CB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6"/>
  </w:num>
  <w:num w:numId="3">
    <w:abstractNumId w:val="4"/>
  </w:num>
  <w:num w:numId="4">
    <w:abstractNumId w:val="33"/>
  </w:num>
  <w:num w:numId="5">
    <w:abstractNumId w:val="29"/>
  </w:num>
  <w:num w:numId="6">
    <w:abstractNumId w:val="32"/>
  </w:num>
  <w:num w:numId="7">
    <w:abstractNumId w:val="9"/>
  </w:num>
  <w:num w:numId="8">
    <w:abstractNumId w:val="24"/>
  </w:num>
  <w:num w:numId="9">
    <w:abstractNumId w:val="12"/>
  </w:num>
  <w:num w:numId="10">
    <w:abstractNumId w:val="23"/>
  </w:num>
  <w:num w:numId="11">
    <w:abstractNumId w:val="28"/>
  </w:num>
  <w:num w:numId="12">
    <w:abstractNumId w:val="13"/>
  </w:num>
  <w:num w:numId="13">
    <w:abstractNumId w:val="21"/>
  </w:num>
  <w:num w:numId="14">
    <w:abstractNumId w:val="20"/>
  </w:num>
  <w:num w:numId="15">
    <w:abstractNumId w:val="15"/>
  </w:num>
  <w:num w:numId="16">
    <w:abstractNumId w:val="7"/>
  </w:num>
  <w:num w:numId="17">
    <w:abstractNumId w:val="18"/>
  </w:num>
  <w:num w:numId="18">
    <w:abstractNumId w:val="19"/>
  </w:num>
  <w:num w:numId="19">
    <w:abstractNumId w:val="6"/>
  </w:num>
  <w:num w:numId="20">
    <w:abstractNumId w:val="8"/>
  </w:num>
  <w:num w:numId="21">
    <w:abstractNumId w:val="1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0"/>
  </w:num>
  <w:num w:numId="25">
    <w:abstractNumId w:val="1"/>
  </w:num>
  <w:num w:numId="26">
    <w:abstractNumId w:val="11"/>
  </w:num>
  <w:num w:numId="27">
    <w:abstractNumId w:val="25"/>
  </w:num>
  <w:num w:numId="28">
    <w:abstractNumId w:val="3"/>
  </w:num>
  <w:num w:numId="29">
    <w:abstractNumId w:val="30"/>
  </w:num>
  <w:num w:numId="30">
    <w:abstractNumId w:val="26"/>
  </w:num>
  <w:num w:numId="31">
    <w:abstractNumId w:val="34"/>
  </w:num>
  <w:num w:numId="32">
    <w:abstractNumId w:val="31"/>
  </w:num>
  <w:num w:numId="33">
    <w:abstractNumId w:val="5"/>
  </w:num>
  <w:num w:numId="34">
    <w:abstractNumId w:val="2"/>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131078" w:nlCheck="1" w:checkStyle="0"/>
  <w:activeWritingStyle w:appName="MSWord" w:lang="en-US" w:vendorID="64" w:dllVersion="131078" w:nlCheck="1" w:checkStyle="1"/>
  <w:activeWritingStyle w:appName="MSWord" w:lang="es-US" w:vendorID="64" w:dllVersion="131078" w:nlCheck="1" w:checkStyle="0"/>
  <w:activeWritingStyle w:appName="MSWord" w:lang="es-ES" w:vendorID="64" w:dllVersion="131078" w:nlCheck="1" w:checkStyle="0"/>
  <w:activeWritingStyle w:appName="MSWord" w:lang="es-VE" w:vendorID="64" w:dllVersion="131078" w:nlCheck="1" w:checkStyle="1"/>
  <w:activeWritingStyle w:appName="MSWord" w:lang="es-ES_tradnl" w:vendorID="64" w:dllVersion="131078" w:nlCheck="1" w:checkStyle="0"/>
  <w:activeWritingStyle w:appName="MSWord" w:lang="es-CO" w:vendorID="64" w:dllVersion="131078" w:nlCheck="1" w:checkStyle="1"/>
  <w:activeWritingStyle w:appName="MSWord" w:lang="en-US" w:vendorID="64" w:dllVersion="0" w:nlCheck="1" w:checkStyle="0"/>
  <w:activeWritingStyle w:appName="MSWord" w:lang="es-ES" w:vendorID="64" w:dllVersion="0" w:nlCheck="1" w:checkStyle="0"/>
  <w:activeWritingStyle w:appName="MSWord" w:lang="es-US" w:vendorID="64" w:dllVersion="0" w:nlCheck="1" w:checkStyle="0"/>
  <w:activeWritingStyle w:appName="MSWord" w:lang="es-CO"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4759"/>
    <w:rsid w:val="00016431"/>
    <w:rsid w:val="00024D04"/>
    <w:rsid w:val="000271B3"/>
    <w:rsid w:val="00030D97"/>
    <w:rsid w:val="00035D3C"/>
    <w:rsid w:val="000422E9"/>
    <w:rsid w:val="00046124"/>
    <w:rsid w:val="000468DD"/>
    <w:rsid w:val="00047B56"/>
    <w:rsid w:val="00053EDA"/>
    <w:rsid w:val="00056926"/>
    <w:rsid w:val="00056D2D"/>
    <w:rsid w:val="0006625E"/>
    <w:rsid w:val="000674CD"/>
    <w:rsid w:val="0007181A"/>
    <w:rsid w:val="00080D77"/>
    <w:rsid w:val="00096897"/>
    <w:rsid w:val="00097536"/>
    <w:rsid w:val="000A4686"/>
    <w:rsid w:val="000B5A27"/>
    <w:rsid w:val="000C0EC7"/>
    <w:rsid w:val="000C321F"/>
    <w:rsid w:val="000C4C38"/>
    <w:rsid w:val="000C6EFE"/>
    <w:rsid w:val="000D4183"/>
    <w:rsid w:val="000D4F09"/>
    <w:rsid w:val="000E445F"/>
    <w:rsid w:val="000F4331"/>
    <w:rsid w:val="000F44AD"/>
    <w:rsid w:val="00100A29"/>
    <w:rsid w:val="001028C1"/>
    <w:rsid w:val="00105C27"/>
    <w:rsid w:val="00107353"/>
    <w:rsid w:val="00110DF3"/>
    <w:rsid w:val="0011621C"/>
    <w:rsid w:val="00123312"/>
    <w:rsid w:val="00124305"/>
    <w:rsid w:val="0012586C"/>
    <w:rsid w:val="001276E9"/>
    <w:rsid w:val="001303D7"/>
    <w:rsid w:val="001313E1"/>
    <w:rsid w:val="001447EA"/>
    <w:rsid w:val="00145052"/>
    <w:rsid w:val="00151CA2"/>
    <w:rsid w:val="00152001"/>
    <w:rsid w:val="001538E3"/>
    <w:rsid w:val="001568E3"/>
    <w:rsid w:val="00163F30"/>
    <w:rsid w:val="00172525"/>
    <w:rsid w:val="00173590"/>
    <w:rsid w:val="00173F4F"/>
    <w:rsid w:val="001809C1"/>
    <w:rsid w:val="0018142C"/>
    <w:rsid w:val="00182285"/>
    <w:rsid w:val="001A1A27"/>
    <w:rsid w:val="001A214A"/>
    <w:rsid w:val="001B639A"/>
    <w:rsid w:val="001C62B0"/>
    <w:rsid w:val="001C7659"/>
    <w:rsid w:val="001E09F8"/>
    <w:rsid w:val="001E51BE"/>
    <w:rsid w:val="001F3708"/>
    <w:rsid w:val="001F3F47"/>
    <w:rsid w:val="001F5C41"/>
    <w:rsid w:val="001F7889"/>
    <w:rsid w:val="00203339"/>
    <w:rsid w:val="0020678C"/>
    <w:rsid w:val="00211030"/>
    <w:rsid w:val="002115E1"/>
    <w:rsid w:val="0021669C"/>
    <w:rsid w:val="002203C6"/>
    <w:rsid w:val="00221892"/>
    <w:rsid w:val="00224C05"/>
    <w:rsid w:val="00224E0D"/>
    <w:rsid w:val="0022574C"/>
    <w:rsid w:val="0023360E"/>
    <w:rsid w:val="00235EE9"/>
    <w:rsid w:val="00240E8E"/>
    <w:rsid w:val="00252AD1"/>
    <w:rsid w:val="00257941"/>
    <w:rsid w:val="00261869"/>
    <w:rsid w:val="00282C37"/>
    <w:rsid w:val="002859A9"/>
    <w:rsid w:val="002917A2"/>
    <w:rsid w:val="0029371A"/>
    <w:rsid w:val="00294B17"/>
    <w:rsid w:val="00296041"/>
    <w:rsid w:val="002964B5"/>
    <w:rsid w:val="002A39B2"/>
    <w:rsid w:val="002A3C3A"/>
    <w:rsid w:val="002A5E36"/>
    <w:rsid w:val="002C0B05"/>
    <w:rsid w:val="002C2DB4"/>
    <w:rsid w:val="002C4783"/>
    <w:rsid w:val="002C611E"/>
    <w:rsid w:val="002C61A1"/>
    <w:rsid w:val="002C70B0"/>
    <w:rsid w:val="002C7AD4"/>
    <w:rsid w:val="002D44B2"/>
    <w:rsid w:val="002D4B17"/>
    <w:rsid w:val="002E46B9"/>
    <w:rsid w:val="002E4913"/>
    <w:rsid w:val="002E4DAE"/>
    <w:rsid w:val="002F1192"/>
    <w:rsid w:val="002F2DC8"/>
    <w:rsid w:val="002F4ECF"/>
    <w:rsid w:val="00322E66"/>
    <w:rsid w:val="00327E8E"/>
    <w:rsid w:val="00330A0F"/>
    <w:rsid w:val="00333DC5"/>
    <w:rsid w:val="00335B75"/>
    <w:rsid w:val="00343CED"/>
    <w:rsid w:val="00346868"/>
    <w:rsid w:val="00355877"/>
    <w:rsid w:val="0035791F"/>
    <w:rsid w:val="0037203D"/>
    <w:rsid w:val="0037516A"/>
    <w:rsid w:val="00376C98"/>
    <w:rsid w:val="003802DA"/>
    <w:rsid w:val="00393310"/>
    <w:rsid w:val="0039422B"/>
    <w:rsid w:val="00396018"/>
    <w:rsid w:val="0039616F"/>
    <w:rsid w:val="00396C20"/>
    <w:rsid w:val="00397725"/>
    <w:rsid w:val="003A6747"/>
    <w:rsid w:val="003B2F03"/>
    <w:rsid w:val="003B7B05"/>
    <w:rsid w:val="003C4836"/>
    <w:rsid w:val="003C70F6"/>
    <w:rsid w:val="003D0F33"/>
    <w:rsid w:val="003D5EA1"/>
    <w:rsid w:val="003D60BF"/>
    <w:rsid w:val="003D762F"/>
    <w:rsid w:val="003E14CB"/>
    <w:rsid w:val="003E361D"/>
    <w:rsid w:val="003F6D90"/>
    <w:rsid w:val="003F7A99"/>
    <w:rsid w:val="004048B7"/>
    <w:rsid w:val="00422407"/>
    <w:rsid w:val="00430252"/>
    <w:rsid w:val="00430950"/>
    <w:rsid w:val="0043095C"/>
    <w:rsid w:val="00430BA1"/>
    <w:rsid w:val="00433072"/>
    <w:rsid w:val="00440073"/>
    <w:rsid w:val="00447EB5"/>
    <w:rsid w:val="00461EC4"/>
    <w:rsid w:val="0047146A"/>
    <w:rsid w:val="004722BC"/>
    <w:rsid w:val="00484E24"/>
    <w:rsid w:val="0049315F"/>
    <w:rsid w:val="004A1E39"/>
    <w:rsid w:val="004A699E"/>
    <w:rsid w:val="004B0DEF"/>
    <w:rsid w:val="004B3074"/>
    <w:rsid w:val="004B37CC"/>
    <w:rsid w:val="004B3F3B"/>
    <w:rsid w:val="004B5514"/>
    <w:rsid w:val="004C77A0"/>
    <w:rsid w:val="004E3579"/>
    <w:rsid w:val="004F190F"/>
    <w:rsid w:val="0050403C"/>
    <w:rsid w:val="00517622"/>
    <w:rsid w:val="005239D9"/>
    <w:rsid w:val="005242E6"/>
    <w:rsid w:val="00526234"/>
    <w:rsid w:val="00534F2B"/>
    <w:rsid w:val="00535317"/>
    <w:rsid w:val="005410BD"/>
    <w:rsid w:val="005566F5"/>
    <w:rsid w:val="00575A9D"/>
    <w:rsid w:val="00586C44"/>
    <w:rsid w:val="00592C5C"/>
    <w:rsid w:val="00596CC9"/>
    <w:rsid w:val="005A328E"/>
    <w:rsid w:val="005A5E14"/>
    <w:rsid w:val="005B6286"/>
    <w:rsid w:val="005B7B95"/>
    <w:rsid w:val="005C6E8D"/>
    <w:rsid w:val="005D0645"/>
    <w:rsid w:val="005D7A9A"/>
    <w:rsid w:val="005E5CAD"/>
    <w:rsid w:val="005F0A9E"/>
    <w:rsid w:val="005F0DA7"/>
    <w:rsid w:val="005F4AAA"/>
    <w:rsid w:val="00602DDE"/>
    <w:rsid w:val="00604132"/>
    <w:rsid w:val="0060712A"/>
    <w:rsid w:val="00616FF3"/>
    <w:rsid w:val="006236D7"/>
    <w:rsid w:val="00631D3A"/>
    <w:rsid w:val="00633243"/>
    <w:rsid w:val="00634C43"/>
    <w:rsid w:val="006469F3"/>
    <w:rsid w:val="006564BF"/>
    <w:rsid w:val="00663D68"/>
    <w:rsid w:val="00665E0C"/>
    <w:rsid w:val="00667B16"/>
    <w:rsid w:val="00671335"/>
    <w:rsid w:val="00677891"/>
    <w:rsid w:val="006813AE"/>
    <w:rsid w:val="00685EAD"/>
    <w:rsid w:val="00686F31"/>
    <w:rsid w:val="00696A87"/>
    <w:rsid w:val="006A0130"/>
    <w:rsid w:val="006A05BC"/>
    <w:rsid w:val="006B5F08"/>
    <w:rsid w:val="006C00DB"/>
    <w:rsid w:val="006C45AC"/>
    <w:rsid w:val="006C7DE8"/>
    <w:rsid w:val="006D2C54"/>
    <w:rsid w:val="006D6BAE"/>
    <w:rsid w:val="006D7FA9"/>
    <w:rsid w:val="006E2152"/>
    <w:rsid w:val="006E2BD8"/>
    <w:rsid w:val="006E4CE4"/>
    <w:rsid w:val="006F0429"/>
    <w:rsid w:val="006F7B54"/>
    <w:rsid w:val="0070311B"/>
    <w:rsid w:val="00715D81"/>
    <w:rsid w:val="00721BDC"/>
    <w:rsid w:val="007323C6"/>
    <w:rsid w:val="007660A1"/>
    <w:rsid w:val="00775C43"/>
    <w:rsid w:val="00781B28"/>
    <w:rsid w:val="007942FF"/>
    <w:rsid w:val="007973D9"/>
    <w:rsid w:val="007A0AA5"/>
    <w:rsid w:val="007A0B1E"/>
    <w:rsid w:val="007A1F6C"/>
    <w:rsid w:val="007A2520"/>
    <w:rsid w:val="007A470C"/>
    <w:rsid w:val="007B0327"/>
    <w:rsid w:val="007B29C9"/>
    <w:rsid w:val="007B39CE"/>
    <w:rsid w:val="007C2CC3"/>
    <w:rsid w:val="007C3213"/>
    <w:rsid w:val="007C351D"/>
    <w:rsid w:val="007C6D93"/>
    <w:rsid w:val="007D0323"/>
    <w:rsid w:val="007D6EEF"/>
    <w:rsid w:val="007E0C62"/>
    <w:rsid w:val="007E2AF4"/>
    <w:rsid w:val="007E446B"/>
    <w:rsid w:val="007E755F"/>
    <w:rsid w:val="007F4D6C"/>
    <w:rsid w:val="007F5F4E"/>
    <w:rsid w:val="00803D69"/>
    <w:rsid w:val="00807BAA"/>
    <w:rsid w:val="00817D72"/>
    <w:rsid w:val="0082413A"/>
    <w:rsid w:val="00826CD9"/>
    <w:rsid w:val="00827079"/>
    <w:rsid w:val="008270F6"/>
    <w:rsid w:val="0083397E"/>
    <w:rsid w:val="008550EF"/>
    <w:rsid w:val="00855E60"/>
    <w:rsid w:val="00861206"/>
    <w:rsid w:val="00862DD8"/>
    <w:rsid w:val="00864155"/>
    <w:rsid w:val="008721D8"/>
    <w:rsid w:val="00872944"/>
    <w:rsid w:val="0088557B"/>
    <w:rsid w:val="008B3D56"/>
    <w:rsid w:val="008C7C7F"/>
    <w:rsid w:val="008D0738"/>
    <w:rsid w:val="008D10A0"/>
    <w:rsid w:val="008D6E63"/>
    <w:rsid w:val="008E0A29"/>
    <w:rsid w:val="008E42E1"/>
    <w:rsid w:val="008F2248"/>
    <w:rsid w:val="008F2392"/>
    <w:rsid w:val="008F4BDC"/>
    <w:rsid w:val="009009BC"/>
    <w:rsid w:val="00933634"/>
    <w:rsid w:val="009362D5"/>
    <w:rsid w:val="009413A1"/>
    <w:rsid w:val="00961E4F"/>
    <w:rsid w:val="00965586"/>
    <w:rsid w:val="00985134"/>
    <w:rsid w:val="00987FD2"/>
    <w:rsid w:val="009A6413"/>
    <w:rsid w:val="009B178C"/>
    <w:rsid w:val="009B219C"/>
    <w:rsid w:val="009B529A"/>
    <w:rsid w:val="009B5AE3"/>
    <w:rsid w:val="009C11D5"/>
    <w:rsid w:val="009C18E2"/>
    <w:rsid w:val="009C227B"/>
    <w:rsid w:val="009C3C8C"/>
    <w:rsid w:val="009C4D87"/>
    <w:rsid w:val="009D2FB2"/>
    <w:rsid w:val="009D53FC"/>
    <w:rsid w:val="009D601E"/>
    <w:rsid w:val="009E1A9E"/>
    <w:rsid w:val="009E73F0"/>
    <w:rsid w:val="009F030C"/>
    <w:rsid w:val="009F605C"/>
    <w:rsid w:val="009F64CA"/>
    <w:rsid w:val="00A06F98"/>
    <w:rsid w:val="00A115B6"/>
    <w:rsid w:val="00A143FC"/>
    <w:rsid w:val="00A22451"/>
    <w:rsid w:val="00A2502C"/>
    <w:rsid w:val="00A25CA7"/>
    <w:rsid w:val="00A31C14"/>
    <w:rsid w:val="00A33F8D"/>
    <w:rsid w:val="00A343FF"/>
    <w:rsid w:val="00A404E4"/>
    <w:rsid w:val="00A53ADC"/>
    <w:rsid w:val="00A5528C"/>
    <w:rsid w:val="00A553B9"/>
    <w:rsid w:val="00A61B5E"/>
    <w:rsid w:val="00A64F60"/>
    <w:rsid w:val="00A6700B"/>
    <w:rsid w:val="00A7781B"/>
    <w:rsid w:val="00AB6075"/>
    <w:rsid w:val="00AB6A77"/>
    <w:rsid w:val="00AD0974"/>
    <w:rsid w:val="00AD68F2"/>
    <w:rsid w:val="00AE1B0F"/>
    <w:rsid w:val="00AE5BB3"/>
    <w:rsid w:val="00AE786B"/>
    <w:rsid w:val="00AF7331"/>
    <w:rsid w:val="00B011F0"/>
    <w:rsid w:val="00B056D9"/>
    <w:rsid w:val="00B06C78"/>
    <w:rsid w:val="00B13A40"/>
    <w:rsid w:val="00B14604"/>
    <w:rsid w:val="00B17CFD"/>
    <w:rsid w:val="00B205A7"/>
    <w:rsid w:val="00B23FA7"/>
    <w:rsid w:val="00B25E3B"/>
    <w:rsid w:val="00B40CF4"/>
    <w:rsid w:val="00B43529"/>
    <w:rsid w:val="00B437E0"/>
    <w:rsid w:val="00B502EB"/>
    <w:rsid w:val="00B55522"/>
    <w:rsid w:val="00B635E7"/>
    <w:rsid w:val="00B806AC"/>
    <w:rsid w:val="00B8714F"/>
    <w:rsid w:val="00B93993"/>
    <w:rsid w:val="00BA2B9F"/>
    <w:rsid w:val="00BB03A0"/>
    <w:rsid w:val="00BB37DD"/>
    <w:rsid w:val="00BB64B4"/>
    <w:rsid w:val="00BB76E3"/>
    <w:rsid w:val="00BB7FD7"/>
    <w:rsid w:val="00BC06B2"/>
    <w:rsid w:val="00BD654A"/>
    <w:rsid w:val="00BD6968"/>
    <w:rsid w:val="00BE3A1B"/>
    <w:rsid w:val="00BE646F"/>
    <w:rsid w:val="00BF2388"/>
    <w:rsid w:val="00BF6FAE"/>
    <w:rsid w:val="00C0235F"/>
    <w:rsid w:val="00C17F04"/>
    <w:rsid w:val="00C26B1C"/>
    <w:rsid w:val="00C402CB"/>
    <w:rsid w:val="00C45C25"/>
    <w:rsid w:val="00C55FDD"/>
    <w:rsid w:val="00C60183"/>
    <w:rsid w:val="00C60248"/>
    <w:rsid w:val="00C71EF9"/>
    <w:rsid w:val="00C829A1"/>
    <w:rsid w:val="00C850CA"/>
    <w:rsid w:val="00CB07E1"/>
    <w:rsid w:val="00CB1AD9"/>
    <w:rsid w:val="00CB4C1E"/>
    <w:rsid w:val="00CB6344"/>
    <w:rsid w:val="00CC28C3"/>
    <w:rsid w:val="00CC4BBD"/>
    <w:rsid w:val="00CC69BF"/>
    <w:rsid w:val="00CD0D88"/>
    <w:rsid w:val="00CE275A"/>
    <w:rsid w:val="00CE5842"/>
    <w:rsid w:val="00CE6C37"/>
    <w:rsid w:val="00D05BCC"/>
    <w:rsid w:val="00D14742"/>
    <w:rsid w:val="00D20737"/>
    <w:rsid w:val="00D27355"/>
    <w:rsid w:val="00D456E6"/>
    <w:rsid w:val="00D50370"/>
    <w:rsid w:val="00D54485"/>
    <w:rsid w:val="00D72B0E"/>
    <w:rsid w:val="00D736FF"/>
    <w:rsid w:val="00D73CCB"/>
    <w:rsid w:val="00D76420"/>
    <w:rsid w:val="00D76834"/>
    <w:rsid w:val="00D822C4"/>
    <w:rsid w:val="00DA2C27"/>
    <w:rsid w:val="00DA3B77"/>
    <w:rsid w:val="00DB3436"/>
    <w:rsid w:val="00DB5FA6"/>
    <w:rsid w:val="00DC2EBE"/>
    <w:rsid w:val="00DC5A37"/>
    <w:rsid w:val="00DC7C8F"/>
    <w:rsid w:val="00DD3F7F"/>
    <w:rsid w:val="00DD7561"/>
    <w:rsid w:val="00DE1F3B"/>
    <w:rsid w:val="00DE3BED"/>
    <w:rsid w:val="00DF0FE5"/>
    <w:rsid w:val="00DF6387"/>
    <w:rsid w:val="00E00441"/>
    <w:rsid w:val="00E004F0"/>
    <w:rsid w:val="00E075EA"/>
    <w:rsid w:val="00E07E59"/>
    <w:rsid w:val="00E13DE5"/>
    <w:rsid w:val="00E13ED4"/>
    <w:rsid w:val="00E174E4"/>
    <w:rsid w:val="00E21ACA"/>
    <w:rsid w:val="00E3040C"/>
    <w:rsid w:val="00E338AC"/>
    <w:rsid w:val="00E42F0E"/>
    <w:rsid w:val="00E43DF8"/>
    <w:rsid w:val="00E45EF1"/>
    <w:rsid w:val="00E518B2"/>
    <w:rsid w:val="00E56F5E"/>
    <w:rsid w:val="00E60889"/>
    <w:rsid w:val="00E6432D"/>
    <w:rsid w:val="00E6614F"/>
    <w:rsid w:val="00E7208A"/>
    <w:rsid w:val="00E75539"/>
    <w:rsid w:val="00E765B8"/>
    <w:rsid w:val="00E77406"/>
    <w:rsid w:val="00E9662E"/>
    <w:rsid w:val="00EB3AD2"/>
    <w:rsid w:val="00EB434D"/>
    <w:rsid w:val="00EC213A"/>
    <w:rsid w:val="00EC4817"/>
    <w:rsid w:val="00EC4FA8"/>
    <w:rsid w:val="00EC6E50"/>
    <w:rsid w:val="00EC71BD"/>
    <w:rsid w:val="00ED39F6"/>
    <w:rsid w:val="00EF70B8"/>
    <w:rsid w:val="00F04DAD"/>
    <w:rsid w:val="00F110A9"/>
    <w:rsid w:val="00F1307A"/>
    <w:rsid w:val="00F1673B"/>
    <w:rsid w:val="00F3429E"/>
    <w:rsid w:val="00F35890"/>
    <w:rsid w:val="00F360CF"/>
    <w:rsid w:val="00F436A4"/>
    <w:rsid w:val="00F43C79"/>
    <w:rsid w:val="00F54F60"/>
    <w:rsid w:val="00F55649"/>
    <w:rsid w:val="00F639C8"/>
    <w:rsid w:val="00F64E4D"/>
    <w:rsid w:val="00F66FEE"/>
    <w:rsid w:val="00F708B3"/>
    <w:rsid w:val="00F72F80"/>
    <w:rsid w:val="00F75B81"/>
    <w:rsid w:val="00F766A7"/>
    <w:rsid w:val="00F76F08"/>
    <w:rsid w:val="00F83AB1"/>
    <w:rsid w:val="00F92B07"/>
    <w:rsid w:val="00FA0AA8"/>
    <w:rsid w:val="00FA3B90"/>
    <w:rsid w:val="00FA5441"/>
    <w:rsid w:val="00FB163E"/>
    <w:rsid w:val="00FB5DAF"/>
    <w:rsid w:val="00FC00FF"/>
    <w:rsid w:val="00FC17FA"/>
    <w:rsid w:val="00FC2D3C"/>
    <w:rsid w:val="00FC35E9"/>
    <w:rsid w:val="00FC66C2"/>
    <w:rsid w:val="00FC79AE"/>
    <w:rsid w:val="00FC7AF6"/>
    <w:rsid w:val="00FE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74A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
    <w:basedOn w:val="Normal"/>
    <w:link w:val="ListParagraphChar"/>
    <w:uiPriority w:val="34"/>
    <w:qFormat/>
    <w:rsid w:val="00F1673B"/>
    <w:pPr>
      <w:ind w:left="720"/>
      <w:contextualSpacing/>
    </w:p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F1673B"/>
    <w:rPr>
      <w:sz w:val="22"/>
      <w:szCs w:val="22"/>
    </w:rPr>
  </w:style>
  <w:style w:type="character" w:styleId="Hyperlink">
    <w:name w:val="Hyperlink"/>
    <w:uiPriority w:val="99"/>
    <w:unhideWhenUsed/>
    <w:rsid w:val="00F1673B"/>
    <w:rPr>
      <w:color w:val="0563C1"/>
      <w:u w:val="single"/>
    </w:rPr>
  </w:style>
  <w:style w:type="character" w:styleId="FollowedHyperlink">
    <w:name w:val="FollowedHyperlink"/>
    <w:uiPriority w:val="99"/>
    <w:semiHidden/>
    <w:unhideWhenUsed/>
    <w:rsid w:val="00586C44"/>
    <w:rPr>
      <w:color w:val="954F72"/>
      <w:u w:val="single"/>
    </w:rPr>
  </w:style>
  <w:style w:type="paragraph" w:styleId="NoSpacing">
    <w:name w:val="No Spacing"/>
    <w:uiPriority w:val="1"/>
    <w:qFormat/>
    <w:rsid w:val="00FA5441"/>
    <w:rPr>
      <w:sz w:val="22"/>
      <w:szCs w:val="22"/>
    </w:rPr>
  </w:style>
  <w:style w:type="character" w:styleId="CommentReference">
    <w:name w:val="annotation reference"/>
    <w:uiPriority w:val="99"/>
    <w:semiHidden/>
    <w:unhideWhenUsed/>
    <w:rsid w:val="00440073"/>
    <w:rPr>
      <w:sz w:val="16"/>
      <w:szCs w:val="16"/>
    </w:rPr>
  </w:style>
  <w:style w:type="paragraph" w:styleId="CommentText">
    <w:name w:val="annotation text"/>
    <w:basedOn w:val="Normal"/>
    <w:link w:val="CommentTextChar"/>
    <w:uiPriority w:val="99"/>
    <w:unhideWhenUsed/>
    <w:rsid w:val="00440073"/>
    <w:rPr>
      <w:sz w:val="20"/>
      <w:szCs w:val="20"/>
    </w:rPr>
  </w:style>
  <w:style w:type="character" w:customStyle="1" w:styleId="CommentTextChar">
    <w:name w:val="Comment Text Char"/>
    <w:basedOn w:val="DefaultParagraphFont"/>
    <w:link w:val="CommentText"/>
    <w:uiPriority w:val="99"/>
    <w:rsid w:val="00440073"/>
  </w:style>
  <w:style w:type="paragraph" w:styleId="CommentSubject">
    <w:name w:val="annotation subject"/>
    <w:basedOn w:val="CommentText"/>
    <w:next w:val="CommentText"/>
    <w:link w:val="CommentSubjectChar"/>
    <w:uiPriority w:val="99"/>
    <w:semiHidden/>
    <w:unhideWhenUsed/>
    <w:rsid w:val="00440073"/>
    <w:rPr>
      <w:b/>
      <w:bCs/>
    </w:rPr>
  </w:style>
  <w:style w:type="character" w:customStyle="1" w:styleId="CommentSubjectChar">
    <w:name w:val="Comment Subject Char"/>
    <w:link w:val="CommentSubject"/>
    <w:uiPriority w:val="99"/>
    <w:semiHidden/>
    <w:rsid w:val="00440073"/>
    <w:rPr>
      <w:b/>
      <w:bC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Ca"/>
    <w:basedOn w:val="Normal"/>
    <w:link w:val="FootnoteTextChar"/>
    <w:unhideWhenUsed/>
    <w:qFormat/>
    <w:rsid w:val="002203C6"/>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2203C6"/>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2203C6"/>
    <w:rPr>
      <w:vertAlign w:val="superscript"/>
    </w:rPr>
  </w:style>
  <w:style w:type="paragraph" w:customStyle="1" w:styleId="Appelnotedebasde">
    <w:name w:val="Appel note de bas de..."/>
    <w:basedOn w:val="Normal"/>
    <w:link w:val="FootnoteReference"/>
    <w:uiPriority w:val="99"/>
    <w:rsid w:val="003F6D90"/>
    <w:pPr>
      <w:spacing w:after="160" w:line="240" w:lineRule="exact"/>
    </w:pPr>
    <w:rPr>
      <w:sz w:val="20"/>
      <w:szCs w:val="20"/>
      <w:vertAlign w:val="superscript"/>
    </w:rPr>
  </w:style>
  <w:style w:type="paragraph" w:styleId="BlockText">
    <w:name w:val="Block Text"/>
    <w:basedOn w:val="Normal"/>
    <w:uiPriority w:val="99"/>
    <w:rsid w:val="003F6D90"/>
    <w:pPr>
      <w:spacing w:before="120" w:after="120" w:line="240" w:lineRule="auto"/>
      <w:ind w:left="-180" w:right="-180" w:firstLine="900"/>
      <w:jc w:val="both"/>
    </w:pPr>
    <w:rPr>
      <w:rFonts w:ascii="Univers" w:eastAsia="Times New Roman" w:hAnsi="Univer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0398">
      <w:bodyDiv w:val="1"/>
      <w:marLeft w:val="0"/>
      <w:marRight w:val="0"/>
      <w:marTop w:val="0"/>
      <w:marBottom w:val="0"/>
      <w:divBdr>
        <w:top w:val="none" w:sz="0" w:space="0" w:color="auto"/>
        <w:left w:val="none" w:sz="0" w:space="0" w:color="auto"/>
        <w:bottom w:val="none" w:sz="0" w:space="0" w:color="auto"/>
        <w:right w:val="none" w:sz="0" w:space="0" w:color="auto"/>
      </w:divBdr>
    </w:div>
    <w:div w:id="1167094958">
      <w:bodyDiv w:val="1"/>
      <w:marLeft w:val="0"/>
      <w:marRight w:val="0"/>
      <w:marTop w:val="0"/>
      <w:marBottom w:val="0"/>
      <w:divBdr>
        <w:top w:val="none" w:sz="0" w:space="0" w:color="auto"/>
        <w:left w:val="none" w:sz="0" w:space="0" w:color="auto"/>
        <w:bottom w:val="none" w:sz="0" w:space="0" w:color="auto"/>
        <w:right w:val="none" w:sz="0" w:space="0" w:color="auto"/>
      </w:divBdr>
    </w:div>
    <w:div w:id="1283682721">
      <w:bodyDiv w:val="1"/>
      <w:marLeft w:val="0"/>
      <w:marRight w:val="0"/>
      <w:marTop w:val="0"/>
      <w:marBottom w:val="0"/>
      <w:divBdr>
        <w:top w:val="none" w:sz="0" w:space="0" w:color="auto"/>
        <w:left w:val="none" w:sz="0" w:space="0" w:color="auto"/>
        <w:bottom w:val="none" w:sz="0" w:space="0" w:color="auto"/>
        <w:right w:val="none" w:sz="0" w:space="0" w:color="auto"/>
      </w:divBdr>
    </w:div>
    <w:div w:id="1302727630">
      <w:bodyDiv w:val="1"/>
      <w:marLeft w:val="0"/>
      <w:marRight w:val="0"/>
      <w:marTop w:val="0"/>
      <w:marBottom w:val="0"/>
      <w:divBdr>
        <w:top w:val="none" w:sz="0" w:space="0" w:color="auto"/>
        <w:left w:val="none" w:sz="0" w:space="0" w:color="auto"/>
        <w:bottom w:val="none" w:sz="0" w:space="0" w:color="auto"/>
        <w:right w:val="none" w:sz="0" w:space="0" w:color="auto"/>
      </w:divBdr>
    </w:div>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 w:id="1596787542">
      <w:bodyDiv w:val="1"/>
      <w:marLeft w:val="0"/>
      <w:marRight w:val="0"/>
      <w:marTop w:val="0"/>
      <w:marBottom w:val="0"/>
      <w:divBdr>
        <w:top w:val="none" w:sz="0" w:space="0" w:color="auto"/>
        <w:left w:val="none" w:sz="0" w:space="0" w:color="auto"/>
        <w:bottom w:val="none" w:sz="0" w:space="0" w:color="auto"/>
        <w:right w:val="none" w:sz="0" w:space="0" w:color="auto"/>
      </w:divBdr>
    </w:div>
    <w:div w:id="207495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idh.org/annualrep/2004eng/Jamaica.518.01eng.htm" TargetMode="External"/><Relationship Id="rId4" Type="http://schemas.openxmlformats.org/officeDocument/2006/relationships/styles" Target="styles.xml"/><Relationship Id="rId9" Type="http://schemas.openxmlformats.org/officeDocument/2006/relationships/hyperlink" Target="http://www.cidh.oas.org/annualrep/2006sp/Jamaica12447sp.ht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17/docs/IA2017cap.2-es.pdf" TargetMode="External"/><Relationship Id="rId2" Type="http://schemas.openxmlformats.org/officeDocument/2006/relationships/hyperlink" Target="http://www.cidh.oas.org/annualrep/2010sp/CAP.III.D.doc" TargetMode="External"/><Relationship Id="rId1" Type="http://schemas.openxmlformats.org/officeDocument/2006/relationships/hyperlink" Target="http://www.cidh.oas.org/annualrep/2010sp/CAP.III.D.doc" TargetMode="External"/><Relationship Id="rId5" Type="http://schemas.openxmlformats.org/officeDocument/2006/relationships/hyperlink" Target="https://www.oas.org/es/cidh/actividades/seguimiento/pdf/Directrices-es.pdf" TargetMode="External"/><Relationship Id="rId4" Type="http://schemas.openxmlformats.org/officeDocument/2006/relationships/hyperlink" Target="http://www.oas.org/es/cidh/docs/anual/2017/docs/IA2017cap.2-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A0A70DDA-E4FF-4863-AB56-FC9DB79221E2}">
  <ds:schemaRefs>
    <ds:schemaRef ds:uri="http://schemas.openxmlformats.org/officeDocument/2006/bibliography"/>
  </ds:schemaRefs>
</ds:datastoreItem>
</file>

<file path=customXml/itemProps2.xml><?xml version="1.0" encoding="utf-8"?>
<ds:datastoreItem xmlns:ds="http://schemas.openxmlformats.org/officeDocument/2006/customXml" ds:itemID="{C940A5E2-C4B1-4AA8-97FC-C6F8413B7AC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Links>
    <vt:vector size="42" baseType="variant">
      <vt:variant>
        <vt:i4>7340084</vt:i4>
      </vt:variant>
      <vt:variant>
        <vt:i4>3</vt:i4>
      </vt:variant>
      <vt:variant>
        <vt:i4>0</vt:i4>
      </vt:variant>
      <vt:variant>
        <vt:i4>5</vt:i4>
      </vt:variant>
      <vt:variant>
        <vt:lpwstr>http://cidh.org/annualrep/2004eng/Jamaica.518.01eng.htm</vt:lpwstr>
      </vt:variant>
      <vt:variant>
        <vt:lpwstr/>
      </vt:variant>
      <vt:variant>
        <vt:i4>8060990</vt:i4>
      </vt:variant>
      <vt:variant>
        <vt:i4>0</vt:i4>
      </vt:variant>
      <vt:variant>
        <vt:i4>0</vt:i4>
      </vt:variant>
      <vt:variant>
        <vt:i4>5</vt:i4>
      </vt:variant>
      <vt:variant>
        <vt:lpwstr>http://www.cidh.oas.org/annualrep/2006sp/Jamaica12447sp.htm</vt:lpwstr>
      </vt:variant>
      <vt:variant>
        <vt:lpwstr/>
      </vt:variant>
      <vt:variant>
        <vt:i4>8192052</vt:i4>
      </vt:variant>
      <vt:variant>
        <vt:i4>12</vt:i4>
      </vt:variant>
      <vt:variant>
        <vt:i4>0</vt:i4>
      </vt:variant>
      <vt:variant>
        <vt:i4>5</vt:i4>
      </vt:variant>
      <vt:variant>
        <vt:lpwstr>https://www.oas.org/es/cidh/actividades/seguimiento/pdf/Directrices-es.pdf</vt:lpwstr>
      </vt:variant>
      <vt:variant>
        <vt:lpwstr/>
      </vt:variant>
      <vt:variant>
        <vt:i4>3276841</vt:i4>
      </vt:variant>
      <vt:variant>
        <vt:i4>9</vt:i4>
      </vt:variant>
      <vt:variant>
        <vt:i4>0</vt:i4>
      </vt:variant>
      <vt:variant>
        <vt:i4>5</vt:i4>
      </vt:variant>
      <vt:variant>
        <vt:lpwstr>http://www.oas.org/es/cidh/docs/anual/2017/docs/IA2017cap.2-es.pdf</vt:lpwstr>
      </vt:variant>
      <vt:variant>
        <vt:lpwstr/>
      </vt:variant>
      <vt:variant>
        <vt:i4>3276841</vt:i4>
      </vt:variant>
      <vt:variant>
        <vt:i4>6</vt:i4>
      </vt:variant>
      <vt:variant>
        <vt:i4>0</vt:i4>
      </vt:variant>
      <vt:variant>
        <vt:i4>5</vt:i4>
      </vt:variant>
      <vt:variant>
        <vt:lpwstr>http://www.oas.org/es/cidh/docs/anual/2017/docs/IA2017cap.2-es.pdf</vt:lpwstr>
      </vt:variant>
      <vt:variant>
        <vt:lpwstr/>
      </vt:variant>
      <vt:variant>
        <vt:i4>2949183</vt:i4>
      </vt:variant>
      <vt:variant>
        <vt:i4>3</vt:i4>
      </vt:variant>
      <vt:variant>
        <vt:i4>0</vt:i4>
      </vt:variant>
      <vt:variant>
        <vt:i4>5</vt:i4>
      </vt:variant>
      <vt:variant>
        <vt:lpwstr>http://www.cidh.oas.org/annualrep/2010sp/CAP.III.D.doc</vt:lpwstr>
      </vt:variant>
      <vt:variant>
        <vt:lpwstr/>
      </vt:variant>
      <vt:variant>
        <vt:i4>2949183</vt:i4>
      </vt:variant>
      <vt:variant>
        <vt:i4>0</vt:i4>
      </vt:variant>
      <vt:variant>
        <vt:i4>0</vt:i4>
      </vt:variant>
      <vt:variant>
        <vt:i4>5</vt:i4>
      </vt:variant>
      <vt:variant>
        <vt:lpwstr>http://www.cidh.oas.org/annualrep/2010sp/CAP.III.D.doc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2022-03-22T16:21:00Z</dcterms:created>
  <dcterms:modified xsi:type="dcterms:W3CDTF">2022-03-22T16:23:00Z</dcterms:modified>
</cp:coreProperties>
</file>