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6E00" w14:textId="77777777" w:rsidR="00DD26C7" w:rsidRPr="00E9200E" w:rsidRDefault="00AA5D33" w:rsidP="00697E30">
      <w:pPr>
        <w:spacing w:after="0" w:line="240" w:lineRule="auto"/>
        <w:jc w:val="center"/>
        <w:rPr>
          <w:rFonts w:ascii="Cambria" w:hAnsi="Cambria"/>
          <w:b/>
          <w:color w:val="000000"/>
          <w:sz w:val="20"/>
          <w:szCs w:val="20"/>
          <w:lang w:val="es-ES"/>
        </w:rPr>
      </w:pPr>
      <w:r w:rsidRPr="00E9200E">
        <w:rPr>
          <w:rFonts w:ascii="Cambria" w:hAnsi="Cambria"/>
          <w:b/>
          <w:color w:val="000000"/>
          <w:sz w:val="20"/>
          <w:szCs w:val="20"/>
          <w:lang w:val="es-ES"/>
        </w:rPr>
        <w:t xml:space="preserve"> </w:t>
      </w:r>
    </w:p>
    <w:p w14:paraId="652F0137" w14:textId="77777777" w:rsidR="00697E30" w:rsidRPr="00E9200E" w:rsidRDefault="006F2355" w:rsidP="00697E30">
      <w:pPr>
        <w:spacing w:after="0" w:line="240" w:lineRule="auto"/>
        <w:jc w:val="center"/>
        <w:rPr>
          <w:rFonts w:ascii="Cambria" w:hAnsi="Cambria"/>
          <w:b/>
          <w:color w:val="000000"/>
          <w:sz w:val="20"/>
          <w:szCs w:val="20"/>
          <w:lang w:val="es-ES"/>
        </w:rPr>
      </w:pPr>
      <w:r w:rsidRPr="00E9200E">
        <w:rPr>
          <w:rFonts w:ascii="Cambria" w:hAnsi="Cambria"/>
          <w:b/>
          <w:color w:val="000000"/>
          <w:sz w:val="20"/>
          <w:szCs w:val="20"/>
          <w:lang w:val="es-ES"/>
        </w:rPr>
        <w:t xml:space="preserve">FICHA DE SEGUIMIENTO DEL INFORME Nº </w:t>
      </w:r>
      <w:r w:rsidR="00697E30" w:rsidRPr="00E9200E">
        <w:rPr>
          <w:rFonts w:ascii="Cambria" w:hAnsi="Cambria"/>
          <w:b/>
          <w:color w:val="000000"/>
          <w:sz w:val="20"/>
          <w:szCs w:val="20"/>
          <w:lang w:val="es-ES"/>
        </w:rPr>
        <w:t>92/05</w:t>
      </w:r>
    </w:p>
    <w:p w14:paraId="574E87B3" w14:textId="77777777" w:rsidR="00697E30" w:rsidRPr="00E9200E" w:rsidRDefault="006F2355" w:rsidP="00697E30">
      <w:pPr>
        <w:spacing w:after="0" w:line="240" w:lineRule="auto"/>
        <w:jc w:val="center"/>
        <w:rPr>
          <w:rFonts w:ascii="Cambria" w:hAnsi="Cambria"/>
          <w:b/>
          <w:color w:val="000000"/>
          <w:sz w:val="20"/>
          <w:szCs w:val="20"/>
          <w:lang w:val="es-ES"/>
        </w:rPr>
      </w:pPr>
      <w:r w:rsidRPr="00E9200E">
        <w:rPr>
          <w:rFonts w:ascii="Cambria" w:hAnsi="Cambria"/>
          <w:b/>
          <w:color w:val="000000"/>
          <w:sz w:val="20"/>
          <w:szCs w:val="20"/>
          <w:lang w:val="es-ES"/>
        </w:rPr>
        <w:t xml:space="preserve"> CASO</w:t>
      </w:r>
      <w:r w:rsidR="00697E30" w:rsidRPr="00E9200E">
        <w:rPr>
          <w:rFonts w:ascii="Cambria" w:hAnsi="Cambria"/>
          <w:b/>
          <w:color w:val="000000"/>
          <w:sz w:val="20"/>
          <w:szCs w:val="20"/>
          <w:lang w:val="es-ES"/>
        </w:rPr>
        <w:t xml:space="preserve"> 12.418</w:t>
      </w:r>
    </w:p>
    <w:p w14:paraId="7AB8CD5E" w14:textId="77777777" w:rsidR="00697E30" w:rsidRPr="00E9200E" w:rsidRDefault="00697E30" w:rsidP="00697E30">
      <w:pPr>
        <w:spacing w:after="0" w:line="240" w:lineRule="auto"/>
        <w:jc w:val="center"/>
        <w:rPr>
          <w:rFonts w:ascii="Cambria" w:hAnsi="Cambria"/>
          <w:b/>
          <w:color w:val="000000"/>
          <w:sz w:val="20"/>
          <w:szCs w:val="20"/>
          <w:lang w:val="es-ES"/>
        </w:rPr>
      </w:pPr>
      <w:r w:rsidRPr="00E9200E">
        <w:rPr>
          <w:rFonts w:ascii="Cambria" w:hAnsi="Cambria"/>
          <w:b/>
          <w:color w:val="000000"/>
          <w:sz w:val="20"/>
          <w:szCs w:val="20"/>
          <w:lang w:val="es-ES"/>
        </w:rPr>
        <w:t>MICHAEL GAYLE</w:t>
      </w:r>
    </w:p>
    <w:p w14:paraId="1EAB8C35" w14:textId="77777777" w:rsidR="00697E30" w:rsidRPr="00E9200E" w:rsidRDefault="00697E30" w:rsidP="00697E30">
      <w:pPr>
        <w:spacing w:after="0" w:line="240" w:lineRule="auto"/>
        <w:jc w:val="center"/>
        <w:rPr>
          <w:rFonts w:ascii="Cambria" w:hAnsi="Cambria"/>
          <w:b/>
          <w:color w:val="000000"/>
          <w:sz w:val="20"/>
          <w:szCs w:val="20"/>
          <w:lang w:val="es-ES"/>
        </w:rPr>
      </w:pPr>
      <w:r w:rsidRPr="00E9200E">
        <w:rPr>
          <w:rFonts w:ascii="Cambria" w:hAnsi="Cambria"/>
          <w:b/>
          <w:color w:val="000000"/>
          <w:sz w:val="20"/>
          <w:szCs w:val="20"/>
          <w:lang w:val="es-ES"/>
        </w:rPr>
        <w:t xml:space="preserve"> (Jamaica)</w:t>
      </w:r>
    </w:p>
    <w:p w14:paraId="362E86E0" w14:textId="77777777" w:rsidR="00107876" w:rsidRPr="00E9200E" w:rsidRDefault="00107876" w:rsidP="00107876">
      <w:pPr>
        <w:spacing w:after="0" w:line="240" w:lineRule="auto"/>
        <w:jc w:val="center"/>
        <w:rPr>
          <w:rFonts w:ascii="Cambria" w:hAnsi="Cambria"/>
          <w:color w:val="000000"/>
          <w:sz w:val="20"/>
          <w:szCs w:val="20"/>
          <w:lang w:val="es-ES"/>
        </w:rPr>
      </w:pPr>
    </w:p>
    <w:p w14:paraId="31F90D00" w14:textId="77777777" w:rsidR="006F2355" w:rsidRPr="00E9200E" w:rsidRDefault="006F2355" w:rsidP="006F2355">
      <w:pPr>
        <w:numPr>
          <w:ilvl w:val="0"/>
          <w:numId w:val="1"/>
        </w:numPr>
        <w:spacing w:after="0" w:line="240" w:lineRule="auto"/>
        <w:ind w:left="1440"/>
        <w:rPr>
          <w:rFonts w:ascii="Cambria" w:hAnsi="Cambria" w:cs="Calibri Light"/>
          <w:b/>
          <w:color w:val="000000"/>
          <w:sz w:val="20"/>
          <w:szCs w:val="20"/>
          <w:lang w:val="es-ES"/>
        </w:rPr>
      </w:pPr>
      <w:r w:rsidRPr="00E9200E">
        <w:rPr>
          <w:rFonts w:ascii="Cambria" w:hAnsi="Cambria" w:cs="Calibri Light"/>
          <w:b/>
          <w:color w:val="000000"/>
          <w:sz w:val="20"/>
          <w:szCs w:val="20"/>
          <w:lang w:val="es-ES"/>
        </w:rPr>
        <w:t xml:space="preserve">Resumen del caso </w:t>
      </w:r>
    </w:p>
    <w:p w14:paraId="3A7499BC" w14:textId="77777777" w:rsidR="00107876" w:rsidRPr="00E9200E" w:rsidRDefault="00107876" w:rsidP="00107876">
      <w:pPr>
        <w:spacing w:after="0" w:line="240" w:lineRule="auto"/>
        <w:ind w:left="1080"/>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07876" w:rsidRPr="00E9200E" w14:paraId="246ED78E" w14:textId="77777777" w:rsidTr="00EC6A15">
        <w:trPr>
          <w:jc w:val="center"/>
        </w:trPr>
        <w:tc>
          <w:tcPr>
            <w:tcW w:w="9576" w:type="dxa"/>
            <w:shd w:val="clear" w:color="auto" w:fill="F2F2F2"/>
          </w:tcPr>
          <w:p w14:paraId="263A87E2" w14:textId="77777777" w:rsidR="00697E30" w:rsidRPr="00E9200E" w:rsidRDefault="006F2355" w:rsidP="006B11EC">
            <w:pPr>
              <w:spacing w:before="120" w:after="0" w:line="240" w:lineRule="auto"/>
              <w:jc w:val="both"/>
              <w:rPr>
                <w:rFonts w:ascii="Cambria" w:hAnsi="Cambria"/>
                <w:b/>
                <w:color w:val="000000"/>
                <w:sz w:val="20"/>
                <w:szCs w:val="20"/>
                <w:lang w:val="es-ES"/>
              </w:rPr>
            </w:pPr>
            <w:r w:rsidRPr="00E9200E">
              <w:rPr>
                <w:rFonts w:ascii="Cambria" w:hAnsi="Cambria"/>
                <w:b/>
                <w:color w:val="000000"/>
                <w:sz w:val="20"/>
                <w:szCs w:val="20"/>
                <w:lang w:val="es-ES"/>
              </w:rPr>
              <w:t xml:space="preserve">Víctima </w:t>
            </w:r>
            <w:r w:rsidR="00697E30" w:rsidRPr="00E9200E">
              <w:rPr>
                <w:rFonts w:ascii="Cambria" w:hAnsi="Cambria"/>
                <w:b/>
                <w:color w:val="000000"/>
                <w:sz w:val="20"/>
                <w:szCs w:val="20"/>
                <w:lang w:val="es-ES"/>
              </w:rPr>
              <w:t xml:space="preserve">(s): </w:t>
            </w:r>
            <w:r w:rsidR="00697E30" w:rsidRPr="00E9200E">
              <w:rPr>
                <w:rFonts w:ascii="Cambria" w:hAnsi="Cambria"/>
                <w:color w:val="000000"/>
                <w:sz w:val="20"/>
                <w:szCs w:val="20"/>
                <w:lang w:val="es-ES"/>
              </w:rPr>
              <w:t>Michael Gayle</w:t>
            </w:r>
          </w:p>
          <w:p w14:paraId="2E7BA0A0" w14:textId="77777777" w:rsidR="00697E30" w:rsidRPr="00E9200E" w:rsidRDefault="006F2355" w:rsidP="006B11EC">
            <w:pPr>
              <w:spacing w:after="0" w:line="240" w:lineRule="auto"/>
              <w:jc w:val="both"/>
              <w:rPr>
                <w:rFonts w:ascii="Cambria" w:hAnsi="Cambria"/>
                <w:b/>
                <w:color w:val="000000"/>
                <w:sz w:val="20"/>
                <w:szCs w:val="20"/>
                <w:lang w:val="es-ES"/>
              </w:rPr>
            </w:pPr>
            <w:r w:rsidRPr="00E9200E">
              <w:rPr>
                <w:rFonts w:ascii="Cambria" w:hAnsi="Cambria"/>
                <w:b/>
                <w:color w:val="000000"/>
                <w:sz w:val="20"/>
                <w:szCs w:val="20"/>
                <w:lang w:val="es-ES"/>
              </w:rPr>
              <w:t xml:space="preserve">Peticionario </w:t>
            </w:r>
            <w:r w:rsidR="00697E30" w:rsidRPr="00E9200E">
              <w:rPr>
                <w:rFonts w:ascii="Cambria" w:hAnsi="Cambria"/>
                <w:b/>
                <w:color w:val="000000"/>
                <w:sz w:val="20"/>
                <w:szCs w:val="20"/>
                <w:lang w:val="es-ES"/>
              </w:rPr>
              <w:t>(s):</w:t>
            </w:r>
            <w:r w:rsidR="00697E30" w:rsidRPr="00E9200E">
              <w:rPr>
                <w:rFonts w:ascii="Cambria" w:hAnsi="Cambria"/>
                <w:color w:val="000000"/>
                <w:sz w:val="20"/>
                <w:szCs w:val="20"/>
                <w:lang w:val="es-ES"/>
              </w:rPr>
              <w:t xml:space="preserve"> Jamaicans for Justice</w:t>
            </w:r>
          </w:p>
          <w:p w14:paraId="57CDE474" w14:textId="77777777" w:rsidR="00697E30" w:rsidRPr="00E9200E" w:rsidRDefault="006F2355" w:rsidP="006B11EC">
            <w:pPr>
              <w:spacing w:after="0" w:line="240" w:lineRule="auto"/>
              <w:jc w:val="both"/>
              <w:rPr>
                <w:rFonts w:ascii="Cambria" w:hAnsi="Cambria"/>
                <w:color w:val="000000"/>
                <w:sz w:val="20"/>
                <w:szCs w:val="20"/>
                <w:lang w:val="es-ES"/>
              </w:rPr>
            </w:pPr>
            <w:r w:rsidRPr="00E9200E">
              <w:rPr>
                <w:rFonts w:ascii="Cambria" w:hAnsi="Cambria"/>
                <w:b/>
                <w:color w:val="000000"/>
                <w:sz w:val="20"/>
                <w:szCs w:val="20"/>
                <w:lang w:val="es-ES"/>
              </w:rPr>
              <w:t>Estado</w:t>
            </w:r>
            <w:r w:rsidR="00697E30" w:rsidRPr="00E9200E">
              <w:rPr>
                <w:rFonts w:ascii="Cambria" w:hAnsi="Cambria"/>
                <w:b/>
                <w:color w:val="000000"/>
                <w:sz w:val="20"/>
                <w:szCs w:val="20"/>
                <w:lang w:val="es-ES"/>
              </w:rPr>
              <w:t xml:space="preserve">: </w:t>
            </w:r>
            <w:r w:rsidR="00697E30" w:rsidRPr="00E9200E">
              <w:rPr>
                <w:rFonts w:ascii="Cambria" w:hAnsi="Cambria"/>
                <w:color w:val="000000"/>
                <w:sz w:val="20"/>
                <w:szCs w:val="20"/>
                <w:lang w:val="es-ES"/>
              </w:rPr>
              <w:t>Jamaica</w:t>
            </w:r>
          </w:p>
          <w:p w14:paraId="10C2172D" w14:textId="77777777" w:rsidR="00697E30" w:rsidRPr="00E9200E" w:rsidRDefault="006F2355" w:rsidP="006B11EC">
            <w:pPr>
              <w:spacing w:after="0" w:line="240" w:lineRule="auto"/>
              <w:jc w:val="both"/>
              <w:rPr>
                <w:rFonts w:ascii="Cambria" w:hAnsi="Cambria"/>
                <w:color w:val="000000"/>
                <w:sz w:val="20"/>
                <w:szCs w:val="20"/>
                <w:lang w:val="es-ES"/>
              </w:rPr>
            </w:pPr>
            <w:r w:rsidRPr="00E9200E">
              <w:rPr>
                <w:rFonts w:ascii="Cambria" w:hAnsi="Cambria"/>
                <w:b/>
                <w:color w:val="000000"/>
                <w:sz w:val="20"/>
                <w:szCs w:val="20"/>
                <w:lang w:val="es-ES"/>
              </w:rPr>
              <w:t>Informe de Fondo Nº</w:t>
            </w:r>
            <w:r w:rsidR="00697E30" w:rsidRPr="00E9200E">
              <w:rPr>
                <w:rFonts w:ascii="Cambria" w:hAnsi="Cambria"/>
                <w:b/>
                <w:color w:val="000000"/>
                <w:sz w:val="20"/>
                <w:szCs w:val="20"/>
                <w:lang w:val="es-ES"/>
              </w:rPr>
              <w:t xml:space="preserve">: </w:t>
            </w:r>
            <w:hyperlink r:id="rId9" w:history="1">
              <w:r w:rsidR="00697E30" w:rsidRPr="00E9200E">
                <w:rPr>
                  <w:rStyle w:val="Hyperlink"/>
                  <w:rFonts w:ascii="Cambria" w:hAnsi="Cambria"/>
                  <w:color w:val="000000"/>
                  <w:sz w:val="20"/>
                  <w:szCs w:val="20"/>
                  <w:lang w:val="es-ES"/>
                </w:rPr>
                <w:t>92/</w:t>
              </w:r>
              <w:r w:rsidR="00697E30" w:rsidRPr="00E9200E">
                <w:rPr>
                  <w:rStyle w:val="Hyperlink"/>
                  <w:rFonts w:ascii="Cambria" w:hAnsi="Cambria"/>
                  <w:color w:val="000000"/>
                  <w:sz w:val="20"/>
                  <w:szCs w:val="20"/>
                  <w:lang w:val="es-ES"/>
                </w:rPr>
                <w:t>0</w:t>
              </w:r>
              <w:r w:rsidR="00697E30" w:rsidRPr="00E9200E">
                <w:rPr>
                  <w:rStyle w:val="Hyperlink"/>
                  <w:rFonts w:ascii="Cambria" w:hAnsi="Cambria"/>
                  <w:color w:val="000000"/>
                  <w:sz w:val="20"/>
                  <w:szCs w:val="20"/>
                  <w:lang w:val="es-ES"/>
                </w:rPr>
                <w:t>5</w:t>
              </w:r>
            </w:hyperlink>
            <w:r w:rsidR="00697E30" w:rsidRPr="00E9200E">
              <w:rPr>
                <w:rFonts w:ascii="Cambria" w:hAnsi="Cambria"/>
                <w:color w:val="000000"/>
                <w:sz w:val="20"/>
                <w:szCs w:val="20"/>
                <w:lang w:val="es-ES"/>
              </w:rPr>
              <w:t xml:space="preserve">, </w:t>
            </w:r>
            <w:r w:rsidRPr="00E9200E">
              <w:rPr>
                <w:rFonts w:ascii="Cambria" w:hAnsi="Cambria"/>
                <w:color w:val="000000"/>
                <w:sz w:val="20"/>
                <w:szCs w:val="20"/>
                <w:lang w:val="es-ES"/>
              </w:rPr>
              <w:t xml:space="preserve">publicado el 24 de octubre de </w:t>
            </w:r>
            <w:r w:rsidR="00697E30" w:rsidRPr="00E9200E">
              <w:rPr>
                <w:rFonts w:ascii="Cambria" w:hAnsi="Cambria"/>
                <w:color w:val="000000"/>
                <w:sz w:val="20"/>
                <w:szCs w:val="20"/>
                <w:lang w:val="es-ES"/>
              </w:rPr>
              <w:t>2005</w:t>
            </w:r>
          </w:p>
          <w:p w14:paraId="00FFD572" w14:textId="77777777" w:rsidR="00697E30" w:rsidRPr="00E9200E" w:rsidRDefault="006F2355" w:rsidP="006B11EC">
            <w:pPr>
              <w:spacing w:after="0" w:line="240" w:lineRule="auto"/>
              <w:jc w:val="both"/>
              <w:rPr>
                <w:rFonts w:ascii="Cambria" w:hAnsi="Cambria"/>
                <w:color w:val="000000"/>
                <w:sz w:val="20"/>
                <w:szCs w:val="20"/>
                <w:lang w:val="es-ES"/>
              </w:rPr>
            </w:pPr>
            <w:r w:rsidRPr="00E9200E">
              <w:rPr>
                <w:rFonts w:ascii="Cambria" w:hAnsi="Cambria"/>
                <w:b/>
                <w:color w:val="000000"/>
                <w:sz w:val="20"/>
                <w:szCs w:val="20"/>
                <w:lang w:val="es-ES"/>
              </w:rPr>
              <w:t>Informe de Admisib</w:t>
            </w:r>
            <w:r w:rsidRPr="00E9200E">
              <w:rPr>
                <w:rFonts w:ascii="Cambria" w:hAnsi="Cambria"/>
                <w:b/>
                <w:color w:val="000000"/>
                <w:sz w:val="20"/>
                <w:szCs w:val="20"/>
                <w:lang w:val="es-ES"/>
              </w:rPr>
              <w:t>i</w:t>
            </w:r>
            <w:r w:rsidRPr="00E9200E">
              <w:rPr>
                <w:rFonts w:ascii="Cambria" w:hAnsi="Cambria"/>
                <w:b/>
                <w:color w:val="000000"/>
                <w:sz w:val="20"/>
                <w:szCs w:val="20"/>
                <w:lang w:val="es-ES"/>
              </w:rPr>
              <w:t>lidad Nº</w:t>
            </w:r>
            <w:r w:rsidR="00697E30" w:rsidRPr="00E9200E">
              <w:rPr>
                <w:rFonts w:ascii="Cambria" w:hAnsi="Cambria"/>
                <w:b/>
                <w:color w:val="000000"/>
                <w:sz w:val="20"/>
                <w:szCs w:val="20"/>
                <w:lang w:val="es-ES"/>
              </w:rPr>
              <w:t xml:space="preserve">: </w:t>
            </w:r>
            <w:hyperlink r:id="rId10" w:history="1">
              <w:r w:rsidR="00697E30" w:rsidRPr="00E9200E">
                <w:rPr>
                  <w:rStyle w:val="Hyperlink"/>
                  <w:rFonts w:ascii="Cambria" w:hAnsi="Cambria"/>
                  <w:color w:val="000000"/>
                  <w:sz w:val="20"/>
                  <w:szCs w:val="20"/>
                  <w:lang w:val="es-ES"/>
                </w:rPr>
                <w:t>8/03</w:t>
              </w:r>
            </w:hyperlink>
            <w:r w:rsidR="00697E30" w:rsidRPr="00E9200E">
              <w:rPr>
                <w:rFonts w:ascii="Cambria" w:hAnsi="Cambria"/>
                <w:color w:val="000000"/>
                <w:sz w:val="20"/>
                <w:szCs w:val="20"/>
                <w:lang w:val="es-ES"/>
              </w:rPr>
              <w:t xml:space="preserve">, </w:t>
            </w:r>
            <w:r w:rsidRPr="00E9200E">
              <w:rPr>
                <w:rFonts w:ascii="Cambria" w:hAnsi="Cambria"/>
                <w:color w:val="000000"/>
                <w:sz w:val="20"/>
                <w:szCs w:val="20"/>
                <w:lang w:val="es-ES"/>
              </w:rPr>
              <w:t>adoptado el 20 de febrero de</w:t>
            </w:r>
            <w:r w:rsidR="00697E30" w:rsidRPr="00E9200E">
              <w:rPr>
                <w:rFonts w:ascii="Cambria" w:hAnsi="Cambria"/>
                <w:color w:val="000000"/>
                <w:sz w:val="20"/>
                <w:szCs w:val="20"/>
                <w:lang w:val="es-ES"/>
              </w:rPr>
              <w:t xml:space="preserve"> 2003</w:t>
            </w:r>
          </w:p>
          <w:p w14:paraId="71AC1D73" w14:textId="77777777" w:rsidR="006C437E" w:rsidRPr="00E9200E" w:rsidRDefault="006F2355" w:rsidP="006B11EC">
            <w:pPr>
              <w:spacing w:after="120" w:line="240" w:lineRule="auto"/>
              <w:jc w:val="both"/>
              <w:rPr>
                <w:rFonts w:ascii="Cambria" w:hAnsi="Cambria"/>
                <w:color w:val="000000"/>
                <w:sz w:val="20"/>
                <w:szCs w:val="20"/>
                <w:lang w:val="es-ES"/>
              </w:rPr>
            </w:pPr>
            <w:r w:rsidRPr="00E9200E">
              <w:rPr>
                <w:rFonts w:ascii="Cambria" w:hAnsi="Cambria"/>
                <w:b/>
                <w:color w:val="000000"/>
                <w:sz w:val="20"/>
                <w:szCs w:val="20"/>
                <w:lang w:val="es-ES"/>
              </w:rPr>
              <w:t>Temas</w:t>
            </w:r>
            <w:r w:rsidR="009B1B08" w:rsidRPr="00E9200E">
              <w:rPr>
                <w:rFonts w:ascii="Cambria" w:hAnsi="Cambria"/>
                <w:b/>
                <w:color w:val="000000"/>
                <w:sz w:val="20"/>
                <w:szCs w:val="20"/>
                <w:lang w:val="es-ES"/>
              </w:rPr>
              <w:t>:</w:t>
            </w:r>
            <w:r w:rsidR="00697E30" w:rsidRPr="00E9200E">
              <w:rPr>
                <w:rFonts w:ascii="Cambria" w:hAnsi="Cambria"/>
                <w:b/>
                <w:color w:val="000000"/>
                <w:sz w:val="20"/>
                <w:szCs w:val="20"/>
                <w:lang w:val="es-ES"/>
              </w:rPr>
              <w:t xml:space="preserve"> </w:t>
            </w:r>
            <w:r w:rsidR="007B1F58" w:rsidRPr="00E9200E">
              <w:rPr>
                <w:rFonts w:ascii="Cambria" w:hAnsi="Cambria"/>
                <w:color w:val="000000"/>
                <w:sz w:val="20"/>
                <w:szCs w:val="20"/>
                <w:lang w:val="es-ES"/>
              </w:rPr>
              <w:t>Deber de Adoptar Medidas y Disposiciones de Derecho Interno / Derecho a la Vida / Derecho a la Integridad Personal / Tortura, Tratos Crueles, Inhumanos y/o Degradantes /</w:t>
            </w:r>
            <w:r w:rsidR="007B1F58" w:rsidRPr="00E9200E">
              <w:rPr>
                <w:rFonts w:ascii="Cambria" w:hAnsi="Cambria"/>
                <w:b/>
                <w:color w:val="000000"/>
                <w:sz w:val="20"/>
                <w:szCs w:val="20"/>
                <w:lang w:val="es-ES"/>
              </w:rPr>
              <w:t xml:space="preserve"> </w:t>
            </w:r>
            <w:r w:rsidR="007B1F58" w:rsidRPr="00E9200E">
              <w:rPr>
                <w:rFonts w:ascii="Cambria" w:hAnsi="Cambria"/>
                <w:color w:val="000000"/>
                <w:sz w:val="20"/>
                <w:szCs w:val="20"/>
                <w:lang w:val="es-ES"/>
              </w:rPr>
              <w:t>Garantías Judiciales</w:t>
            </w:r>
            <w:r w:rsidR="006C437E" w:rsidRPr="00E9200E">
              <w:rPr>
                <w:rFonts w:ascii="Cambria" w:hAnsi="Cambria"/>
                <w:color w:val="000000"/>
                <w:sz w:val="20"/>
                <w:szCs w:val="20"/>
                <w:lang w:val="es-ES"/>
              </w:rPr>
              <w:t xml:space="preserve"> / </w:t>
            </w:r>
            <w:r w:rsidR="007B1F58" w:rsidRPr="00E9200E">
              <w:rPr>
                <w:rFonts w:ascii="Cambria" w:hAnsi="Cambria"/>
                <w:color w:val="000000"/>
                <w:sz w:val="20"/>
                <w:szCs w:val="20"/>
                <w:lang w:val="es-ES"/>
              </w:rPr>
              <w:t>Protección J</w:t>
            </w:r>
            <w:r w:rsidR="006C437E" w:rsidRPr="00E9200E">
              <w:rPr>
                <w:rFonts w:ascii="Cambria" w:hAnsi="Cambria"/>
                <w:color w:val="000000"/>
                <w:sz w:val="20"/>
                <w:szCs w:val="20"/>
                <w:lang w:val="es-ES"/>
              </w:rPr>
              <w:t xml:space="preserve">udicial / </w:t>
            </w:r>
            <w:r w:rsidR="007B1F58" w:rsidRPr="00E9200E">
              <w:rPr>
                <w:rFonts w:ascii="Cambria" w:hAnsi="Cambria"/>
                <w:color w:val="000000"/>
                <w:sz w:val="20"/>
                <w:szCs w:val="20"/>
                <w:lang w:val="es-ES"/>
              </w:rPr>
              <w:t xml:space="preserve">Derecho a la Libertad Personal / Investigación y Debida Diligencia. </w:t>
            </w:r>
          </w:p>
          <w:p w14:paraId="72F2B6F7" w14:textId="77777777" w:rsidR="00A96BF5" w:rsidRPr="00E9200E" w:rsidRDefault="002F799C" w:rsidP="00A96BF5">
            <w:pPr>
              <w:keepNext/>
              <w:spacing w:after="120" w:line="240" w:lineRule="auto"/>
              <w:jc w:val="both"/>
              <w:rPr>
                <w:rFonts w:ascii="Cambria" w:hAnsi="Cambria"/>
                <w:color w:val="000000"/>
                <w:sz w:val="20"/>
                <w:szCs w:val="20"/>
                <w:lang w:val="es-ES"/>
              </w:rPr>
            </w:pPr>
            <w:r w:rsidRPr="00E9200E">
              <w:rPr>
                <w:rFonts w:ascii="Cambria" w:hAnsi="Cambria"/>
                <w:b/>
                <w:color w:val="000000"/>
                <w:sz w:val="20"/>
                <w:szCs w:val="20"/>
                <w:lang w:val="es-ES"/>
              </w:rPr>
              <w:t>Hechos</w:t>
            </w:r>
            <w:r w:rsidR="00697E30" w:rsidRPr="00E9200E">
              <w:rPr>
                <w:rFonts w:ascii="Cambria" w:hAnsi="Cambria"/>
                <w:b/>
                <w:color w:val="000000"/>
                <w:sz w:val="20"/>
                <w:szCs w:val="20"/>
                <w:lang w:val="es-ES"/>
              </w:rPr>
              <w:t xml:space="preserve">: </w:t>
            </w:r>
            <w:r w:rsidR="009C4ED8" w:rsidRPr="00E9200E">
              <w:rPr>
                <w:rFonts w:ascii="Cambria" w:hAnsi="Cambria"/>
                <w:color w:val="000000"/>
                <w:sz w:val="20"/>
                <w:szCs w:val="20"/>
                <w:lang w:val="es-ES"/>
              </w:rPr>
              <w:t>Este caso se refiere a la muerte de Michael Gayle que resultó de un asalto perpetrado contra él por las fuerzas de seguridad y la policía de Jamaica el 21 de agosto de 1999, y el hecho de que el Estado no haya desplegado una investigación inmediata, efectiva e imparcial sobre las circunstancias de su muerte.</w:t>
            </w:r>
          </w:p>
          <w:p w14:paraId="64622694" w14:textId="77777777" w:rsidR="00107876" w:rsidRPr="00E9200E" w:rsidRDefault="002F799C" w:rsidP="00A96BF5">
            <w:pPr>
              <w:keepNext/>
              <w:spacing w:after="120" w:line="240" w:lineRule="auto"/>
              <w:jc w:val="both"/>
              <w:rPr>
                <w:rFonts w:ascii="Cambria" w:hAnsi="Cambria"/>
                <w:color w:val="000000"/>
                <w:sz w:val="20"/>
                <w:szCs w:val="20"/>
                <w:lang w:val="es-ES"/>
              </w:rPr>
            </w:pPr>
            <w:r w:rsidRPr="00E9200E">
              <w:rPr>
                <w:rFonts w:ascii="Cambria" w:hAnsi="Cambria"/>
                <w:b/>
                <w:color w:val="000000"/>
                <w:sz w:val="20"/>
                <w:szCs w:val="20"/>
                <w:lang w:val="es-ES"/>
              </w:rPr>
              <w:t>Derechos violados</w:t>
            </w:r>
            <w:r w:rsidR="00697E30" w:rsidRPr="00E9200E">
              <w:rPr>
                <w:rFonts w:ascii="Cambria" w:hAnsi="Cambria"/>
                <w:b/>
                <w:color w:val="000000"/>
                <w:sz w:val="20"/>
                <w:szCs w:val="20"/>
                <w:lang w:val="es-ES"/>
              </w:rPr>
              <w:t xml:space="preserve">: </w:t>
            </w:r>
            <w:r w:rsidR="005434E0" w:rsidRPr="00E9200E">
              <w:rPr>
                <w:rFonts w:ascii="Cambria" w:hAnsi="Cambria"/>
                <w:color w:val="000000"/>
                <w:sz w:val="20"/>
                <w:szCs w:val="20"/>
                <w:lang w:val="es-ES"/>
              </w:rPr>
              <w:t>La Comisión concluyó que el Estado, era responsable: a) de la violación del derecho a la vida del señor Gayle previsto en el artículo 4 de la Convención, en conjunción con violaciones del artículo 1(1) de la Convención, por el hecho de que miembros de las fuerzas de seguridad jamaicanas le dieron muerte en forma ilegal; b) de la violación del derecho del señor Gayle a no ser sometido a torturas u otro trato inhumano conforme a los artículos 5(1) y 5(2) de la Convención, en conjunción con violaciones del artículo 1(1) de la misma, debido a la agresión contra él perpetrada por agentes del Estado, y a sus secuelas, que determinaron su fallecimiento; c) de la violación del derecho del señor Gayle a la libertad personal previsto en el artículo 7 de la Convención, en conjunción con violaciones del artículo 1(1) de la Convención, debido a su detención y arresto ilegales por falsas imputaciones; y d) de la violación de los derechos del señor Gayle a un juicio justo y a la protección judicial previstos en los artículos 8 y 25 de la Convención, en conjunción con violaciones del artículo 1(1) de ese instrumento, por omisión de iniciar una investigación inmediata, efectiva e independiente de las violaciones de derechos humanos cometidas contra el señor Gayle y procesar y castigar a los responsables.</w:t>
            </w:r>
          </w:p>
        </w:tc>
      </w:tr>
    </w:tbl>
    <w:p w14:paraId="4B50299E" w14:textId="77777777" w:rsidR="00107876" w:rsidRPr="00E9200E" w:rsidRDefault="00107876" w:rsidP="00107876">
      <w:pPr>
        <w:spacing w:after="0" w:line="240" w:lineRule="auto"/>
        <w:ind w:left="180"/>
        <w:rPr>
          <w:rFonts w:ascii="Cambria" w:hAnsi="Cambria"/>
          <w:color w:val="000000"/>
          <w:sz w:val="20"/>
          <w:szCs w:val="20"/>
          <w:lang w:val="es-ES"/>
        </w:rPr>
      </w:pPr>
    </w:p>
    <w:p w14:paraId="5D5973BB" w14:textId="77777777" w:rsidR="00BD13C1" w:rsidRPr="00E9200E" w:rsidRDefault="00BD13C1" w:rsidP="00BD13C1">
      <w:pPr>
        <w:numPr>
          <w:ilvl w:val="0"/>
          <w:numId w:val="1"/>
        </w:numPr>
        <w:spacing w:after="0" w:line="240" w:lineRule="auto"/>
        <w:ind w:left="1440"/>
        <w:jc w:val="both"/>
        <w:rPr>
          <w:rFonts w:ascii="Cambria" w:hAnsi="Cambria" w:cs="Calibri Light"/>
          <w:b/>
          <w:color w:val="000000"/>
          <w:sz w:val="20"/>
          <w:szCs w:val="20"/>
          <w:lang w:val="es-ES"/>
        </w:rPr>
      </w:pPr>
      <w:r w:rsidRPr="00E9200E">
        <w:rPr>
          <w:rFonts w:ascii="Cambria" w:hAnsi="Cambria" w:cs="Calibri Light"/>
          <w:b/>
          <w:color w:val="000000"/>
          <w:sz w:val="20"/>
          <w:szCs w:val="20"/>
          <w:lang w:val="es-ES"/>
        </w:rPr>
        <w:t xml:space="preserve">Recomendaciones </w:t>
      </w:r>
    </w:p>
    <w:p w14:paraId="4BB9A4E6" w14:textId="77777777" w:rsidR="00107876" w:rsidRPr="00E9200E" w:rsidRDefault="00107876" w:rsidP="00107876">
      <w:pPr>
        <w:spacing w:after="0" w:line="240" w:lineRule="auto"/>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2309"/>
      </w:tblGrid>
      <w:tr w:rsidR="00227CDB" w:rsidRPr="00E9200E" w14:paraId="45D65866" w14:textId="77777777" w:rsidTr="00396DA4">
        <w:tc>
          <w:tcPr>
            <w:tcW w:w="7200" w:type="dxa"/>
            <w:shd w:val="clear" w:color="auto" w:fill="auto"/>
            <w:vAlign w:val="center"/>
          </w:tcPr>
          <w:p w14:paraId="2BF7EED6" w14:textId="77777777" w:rsidR="00227CDB" w:rsidRPr="00E9200E" w:rsidRDefault="00227CDB" w:rsidP="008A567E">
            <w:pPr>
              <w:spacing w:after="0" w:line="240" w:lineRule="auto"/>
              <w:jc w:val="center"/>
              <w:rPr>
                <w:rFonts w:ascii="Cambria" w:hAnsi="Cambria" w:cs="Calibri Light"/>
                <w:b/>
                <w:color w:val="000000"/>
                <w:sz w:val="18"/>
                <w:szCs w:val="18"/>
                <w:lang w:val="es-ES"/>
              </w:rPr>
            </w:pPr>
            <w:r w:rsidRPr="00E9200E">
              <w:rPr>
                <w:rFonts w:ascii="Cambria" w:hAnsi="Cambria" w:cs="Calibri Light"/>
                <w:b/>
                <w:color w:val="000000"/>
                <w:sz w:val="18"/>
                <w:szCs w:val="18"/>
                <w:lang w:val="es-ES"/>
              </w:rPr>
              <w:t>Recomendaciones</w:t>
            </w:r>
          </w:p>
        </w:tc>
        <w:tc>
          <w:tcPr>
            <w:tcW w:w="2340" w:type="dxa"/>
            <w:shd w:val="clear" w:color="auto" w:fill="auto"/>
            <w:vAlign w:val="center"/>
          </w:tcPr>
          <w:p w14:paraId="61925511" w14:textId="77777777" w:rsidR="00227CDB" w:rsidRPr="00E9200E" w:rsidRDefault="00227CDB" w:rsidP="008A567E">
            <w:pPr>
              <w:spacing w:after="0" w:line="240" w:lineRule="auto"/>
              <w:jc w:val="center"/>
              <w:rPr>
                <w:rFonts w:ascii="Cambria" w:hAnsi="Cambria" w:cs="Calibri Light"/>
                <w:b/>
                <w:color w:val="000000"/>
                <w:sz w:val="18"/>
                <w:szCs w:val="18"/>
                <w:lang w:val="es-ES"/>
              </w:rPr>
            </w:pPr>
            <w:r w:rsidRPr="00E9200E">
              <w:rPr>
                <w:rFonts w:ascii="Cambria" w:hAnsi="Cambria" w:cs="Calibri Light"/>
                <w:b/>
                <w:color w:val="000000"/>
                <w:sz w:val="18"/>
                <w:szCs w:val="18"/>
                <w:lang w:val="es-ES"/>
              </w:rPr>
              <w:t>E</w:t>
            </w:r>
            <w:r w:rsidR="005456CA" w:rsidRPr="00E9200E">
              <w:rPr>
                <w:rFonts w:ascii="Cambria" w:hAnsi="Cambria" w:cs="Calibri Light"/>
                <w:b/>
                <w:color w:val="000000"/>
                <w:sz w:val="18"/>
                <w:szCs w:val="18"/>
                <w:lang w:val="es-ES"/>
              </w:rPr>
              <w:t>stado de cumplimiento en el 20</w:t>
            </w:r>
            <w:r w:rsidR="006A4D6C" w:rsidRPr="00E9200E">
              <w:rPr>
                <w:rFonts w:ascii="Cambria" w:hAnsi="Cambria" w:cs="Calibri Light"/>
                <w:b/>
                <w:color w:val="000000"/>
                <w:sz w:val="18"/>
                <w:szCs w:val="18"/>
                <w:lang w:val="es-ES"/>
              </w:rPr>
              <w:t>21</w:t>
            </w:r>
          </w:p>
        </w:tc>
      </w:tr>
      <w:tr w:rsidR="00697E30" w:rsidRPr="00E9200E" w14:paraId="504C6DB8" w14:textId="77777777" w:rsidTr="00396DA4">
        <w:tc>
          <w:tcPr>
            <w:tcW w:w="7200" w:type="dxa"/>
            <w:shd w:val="clear" w:color="auto" w:fill="auto"/>
          </w:tcPr>
          <w:p w14:paraId="4B0A181F" w14:textId="77777777" w:rsidR="00697E30" w:rsidRPr="00E9200E" w:rsidRDefault="003A46FE" w:rsidP="003A46FE">
            <w:pPr>
              <w:pStyle w:val="ListParagraph"/>
              <w:tabs>
                <w:tab w:val="left" w:pos="165"/>
              </w:tabs>
              <w:spacing w:after="0" w:line="240" w:lineRule="auto"/>
              <w:ind w:left="0" w:right="-55"/>
              <w:jc w:val="both"/>
              <w:rPr>
                <w:rFonts w:ascii="Cambria" w:hAnsi="Cambria"/>
                <w:color w:val="000000"/>
                <w:sz w:val="18"/>
                <w:szCs w:val="18"/>
                <w:lang w:val="es-ES"/>
              </w:rPr>
            </w:pPr>
            <w:r w:rsidRPr="00E9200E">
              <w:rPr>
                <w:rFonts w:ascii="Cambria" w:hAnsi="Cambria"/>
                <w:color w:val="000000"/>
                <w:sz w:val="18"/>
                <w:szCs w:val="18"/>
                <w:lang w:val="es-ES"/>
              </w:rPr>
              <w:t>1. Conceder una reparación efectiva, que incluya el pago de una indemnización por el daño moral padecido, a la madre y parienta más próxima de Michael Gayle, Jenny Cameron, y disculparse públicamente ante la familia de Michael Gayle.</w:t>
            </w:r>
          </w:p>
        </w:tc>
        <w:tc>
          <w:tcPr>
            <w:tcW w:w="2340" w:type="dxa"/>
            <w:shd w:val="clear" w:color="auto" w:fill="auto"/>
            <w:vAlign w:val="center"/>
          </w:tcPr>
          <w:p w14:paraId="5D4C39A6" w14:textId="77777777" w:rsidR="00697E30" w:rsidRPr="00E9200E" w:rsidRDefault="0027163F" w:rsidP="006966A5">
            <w:pPr>
              <w:spacing w:after="0" w:line="240" w:lineRule="auto"/>
              <w:jc w:val="center"/>
              <w:rPr>
                <w:rFonts w:ascii="Cambria" w:hAnsi="Cambria" w:cs="Calibri Light"/>
                <w:b/>
                <w:color w:val="000000"/>
                <w:sz w:val="18"/>
                <w:szCs w:val="18"/>
                <w:lang w:val="es-ES"/>
              </w:rPr>
            </w:pPr>
            <w:r w:rsidRPr="00E9200E">
              <w:rPr>
                <w:rFonts w:ascii="Cambria" w:hAnsi="Cambria" w:cs="Calibri"/>
                <w:color w:val="000000"/>
                <w:sz w:val="18"/>
                <w:szCs w:val="18"/>
                <w:lang w:val="es-ES"/>
              </w:rPr>
              <w:t>Cumplimiento parcial</w:t>
            </w:r>
          </w:p>
        </w:tc>
      </w:tr>
      <w:tr w:rsidR="00697E30" w:rsidRPr="00E9200E" w14:paraId="37555B79" w14:textId="77777777" w:rsidTr="00396DA4">
        <w:tc>
          <w:tcPr>
            <w:tcW w:w="7200" w:type="dxa"/>
            <w:shd w:val="clear" w:color="auto" w:fill="auto"/>
          </w:tcPr>
          <w:p w14:paraId="1F1A1293" w14:textId="77777777" w:rsidR="00697E30" w:rsidRPr="00E9200E" w:rsidRDefault="003A46FE" w:rsidP="003A46FE">
            <w:pPr>
              <w:pStyle w:val="ListParagraph"/>
              <w:tabs>
                <w:tab w:val="left" w:pos="165"/>
              </w:tabs>
              <w:spacing w:after="0" w:line="240" w:lineRule="auto"/>
              <w:ind w:left="0" w:right="-55"/>
              <w:jc w:val="both"/>
              <w:rPr>
                <w:rFonts w:ascii="Cambria" w:hAnsi="Cambria"/>
                <w:color w:val="000000"/>
                <w:sz w:val="18"/>
                <w:szCs w:val="18"/>
                <w:lang w:val="es-ES"/>
              </w:rPr>
            </w:pPr>
            <w:r w:rsidRPr="00E9200E">
              <w:rPr>
                <w:rFonts w:ascii="Cambria" w:hAnsi="Cambria"/>
                <w:color w:val="000000"/>
                <w:sz w:val="18"/>
                <w:szCs w:val="18"/>
                <w:lang w:val="es-ES"/>
              </w:rPr>
              <w:t>2. Adoptar las medidas legislativas o de otro género que sean necesarias para realizar una investigación exhaustiva e imparcial de las violaciones de derechos humanos cometidas contra el Sr. Gayle, para identificar, procesar y castigar a todas las personas que sean responsables de esas violaciones de derechos.</w:t>
            </w:r>
          </w:p>
        </w:tc>
        <w:tc>
          <w:tcPr>
            <w:tcW w:w="2340" w:type="dxa"/>
            <w:shd w:val="clear" w:color="auto" w:fill="auto"/>
            <w:vAlign w:val="center"/>
          </w:tcPr>
          <w:p w14:paraId="46474600" w14:textId="77777777" w:rsidR="00697E30" w:rsidRPr="00E9200E" w:rsidRDefault="0027163F" w:rsidP="006966A5">
            <w:pPr>
              <w:spacing w:after="0" w:line="240" w:lineRule="auto"/>
              <w:jc w:val="center"/>
              <w:rPr>
                <w:rFonts w:ascii="Cambria" w:hAnsi="Cambria" w:cs="Calibri Light"/>
                <w:b/>
                <w:color w:val="000000"/>
                <w:sz w:val="18"/>
                <w:szCs w:val="18"/>
                <w:lang w:val="es-ES"/>
              </w:rPr>
            </w:pPr>
            <w:r w:rsidRPr="00E9200E">
              <w:rPr>
                <w:rFonts w:ascii="Cambria" w:hAnsi="Cambria" w:cs="Calibri"/>
                <w:color w:val="000000"/>
                <w:sz w:val="18"/>
                <w:szCs w:val="18"/>
                <w:lang w:val="es-ES"/>
              </w:rPr>
              <w:t>Pendiente de cumplimiento</w:t>
            </w:r>
          </w:p>
        </w:tc>
      </w:tr>
      <w:tr w:rsidR="00697E30" w:rsidRPr="00E9200E" w14:paraId="3546AFED" w14:textId="77777777" w:rsidTr="00396DA4">
        <w:trPr>
          <w:trHeight w:val="188"/>
        </w:trPr>
        <w:tc>
          <w:tcPr>
            <w:tcW w:w="7200" w:type="dxa"/>
            <w:shd w:val="clear" w:color="auto" w:fill="auto"/>
          </w:tcPr>
          <w:p w14:paraId="60A2F2E4" w14:textId="77777777" w:rsidR="00697E30" w:rsidRPr="00E9200E" w:rsidRDefault="003A46FE" w:rsidP="003A46FE">
            <w:pPr>
              <w:pStyle w:val="ListParagraph"/>
              <w:tabs>
                <w:tab w:val="left" w:pos="165"/>
              </w:tabs>
              <w:spacing w:after="0" w:line="240" w:lineRule="auto"/>
              <w:ind w:left="0" w:right="-55"/>
              <w:jc w:val="both"/>
              <w:rPr>
                <w:rFonts w:ascii="Cambria" w:hAnsi="Cambria"/>
                <w:color w:val="000000"/>
                <w:sz w:val="18"/>
                <w:szCs w:val="18"/>
                <w:lang w:val="es-ES"/>
              </w:rPr>
            </w:pPr>
            <w:r w:rsidRPr="00E9200E">
              <w:rPr>
                <w:rFonts w:ascii="Cambria" w:hAnsi="Cambria"/>
                <w:color w:val="000000"/>
                <w:sz w:val="18"/>
                <w:szCs w:val="18"/>
                <w:lang w:val="es-ES"/>
              </w:rPr>
              <w:t xml:space="preserve">3. Adoptar las medidas legislativas o de otro género que sean necesarias para prevenir futuras violaciones de derechos como las cometidas contra el Sr. Gayle, entre otras cosas capacitando a los miembros de las fuerzas de seguridad de Jamaica en la aplicación de normas internacionales sobre uso de la fuerza, e introduciendo apropiadas reformas en los procedimientos de investigación y procesamiento por privaciones de la vida cometidas por miembros de las fuerzas de seguridad de Jamaica, para garantizar que sean exhaustivas, inmediatas e imparciales, conforme a las conclusiones del presente informe.  A este respecto la Comisión recomienda específicamente al Estado que revise y fortalezca </w:t>
            </w:r>
            <w:r w:rsidRPr="00E9200E">
              <w:rPr>
                <w:rFonts w:ascii="Cambria" w:hAnsi="Cambria"/>
                <w:color w:val="000000"/>
                <w:sz w:val="18"/>
                <w:szCs w:val="18"/>
                <w:lang w:val="es-ES"/>
              </w:rPr>
              <w:lastRenderedPageBreak/>
              <w:t>la Dirección de Denuncias Públicas sobre la Policía, como garantía de que pueda investigar eficazmente abusos de derechos humanos cometidos por miembros de las fuerzas de seguridad de Jamaica.</w:t>
            </w:r>
          </w:p>
        </w:tc>
        <w:tc>
          <w:tcPr>
            <w:tcW w:w="2340" w:type="dxa"/>
            <w:shd w:val="clear" w:color="auto" w:fill="auto"/>
            <w:vAlign w:val="center"/>
          </w:tcPr>
          <w:p w14:paraId="664D0F09" w14:textId="77777777" w:rsidR="00697E30" w:rsidRPr="00E9200E" w:rsidRDefault="0027163F" w:rsidP="006966A5">
            <w:pPr>
              <w:spacing w:after="0" w:line="240" w:lineRule="auto"/>
              <w:jc w:val="center"/>
              <w:rPr>
                <w:rFonts w:ascii="Cambria" w:hAnsi="Cambria" w:cs="Calibri Light"/>
                <w:b/>
                <w:color w:val="000000"/>
                <w:sz w:val="18"/>
                <w:szCs w:val="18"/>
                <w:lang w:val="es-ES"/>
              </w:rPr>
            </w:pPr>
            <w:r w:rsidRPr="00E9200E">
              <w:rPr>
                <w:rFonts w:ascii="Cambria" w:hAnsi="Cambria" w:cs="Calibri"/>
                <w:color w:val="000000"/>
                <w:sz w:val="18"/>
                <w:szCs w:val="18"/>
                <w:lang w:val="es-ES"/>
              </w:rPr>
              <w:lastRenderedPageBreak/>
              <w:t>Cumplimiento parcial</w:t>
            </w:r>
            <w:r w:rsidR="009625C0" w:rsidRPr="00E9200E">
              <w:rPr>
                <w:rFonts w:ascii="Cambria" w:hAnsi="Cambria" w:cs="Calibri"/>
                <w:color w:val="000000"/>
                <w:sz w:val="18"/>
                <w:szCs w:val="18"/>
                <w:lang w:val="es-ES"/>
              </w:rPr>
              <w:t xml:space="preserve"> sustancial</w:t>
            </w:r>
          </w:p>
        </w:tc>
      </w:tr>
    </w:tbl>
    <w:p w14:paraId="73D7E0E6" w14:textId="77777777" w:rsidR="0021300D" w:rsidRPr="00E9200E" w:rsidRDefault="0021300D" w:rsidP="00107876">
      <w:pPr>
        <w:spacing w:after="0" w:line="240" w:lineRule="auto"/>
        <w:jc w:val="both"/>
        <w:rPr>
          <w:rFonts w:ascii="Cambria" w:hAnsi="Cambria" w:cs="Calibri Light"/>
          <w:color w:val="000000"/>
          <w:sz w:val="20"/>
          <w:szCs w:val="20"/>
          <w:lang w:val="es-ES"/>
        </w:rPr>
      </w:pPr>
    </w:p>
    <w:p w14:paraId="3BDBD489" w14:textId="77777777" w:rsidR="009A12C6" w:rsidRPr="00E9200E" w:rsidRDefault="009A12C6" w:rsidP="009A12C6">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E9200E">
        <w:rPr>
          <w:rFonts w:ascii="Cambria" w:hAnsi="Cambria"/>
          <w:b/>
          <w:color w:val="000000"/>
          <w:sz w:val="20"/>
          <w:szCs w:val="20"/>
          <w:lang w:val="es-ES"/>
        </w:rPr>
        <w:t xml:space="preserve">Actividad Procesal </w:t>
      </w:r>
    </w:p>
    <w:p w14:paraId="7B7564B5" w14:textId="77777777" w:rsidR="00107876" w:rsidRPr="00E9200E" w:rsidRDefault="00107876" w:rsidP="00107876">
      <w:pPr>
        <w:spacing w:after="0" w:line="240" w:lineRule="auto"/>
        <w:jc w:val="both"/>
        <w:rPr>
          <w:rFonts w:ascii="Cambria" w:hAnsi="Cambria" w:cs="Calibri Light"/>
          <w:color w:val="000000"/>
          <w:sz w:val="20"/>
          <w:szCs w:val="20"/>
          <w:lang w:val="es-ES"/>
        </w:rPr>
      </w:pPr>
    </w:p>
    <w:p w14:paraId="61A564E5" w14:textId="77777777" w:rsidR="00AC4052" w:rsidRPr="00E9200E" w:rsidRDefault="00AC4052" w:rsidP="00AC4052">
      <w:pPr>
        <w:numPr>
          <w:ilvl w:val="0"/>
          <w:numId w:val="7"/>
        </w:numPr>
        <w:spacing w:after="0" w:line="240" w:lineRule="auto"/>
        <w:ind w:firstLine="720"/>
        <w:jc w:val="both"/>
        <w:rPr>
          <w:rFonts w:ascii="Cambria" w:eastAsia="Times New Roman" w:hAnsi="Cambria" w:cs="Calibri Light"/>
          <w:color w:val="000000"/>
          <w:sz w:val="20"/>
          <w:szCs w:val="20"/>
          <w:lang w:val="es-ES"/>
        </w:rPr>
      </w:pPr>
      <w:r w:rsidRPr="00E9200E">
        <w:rPr>
          <w:rFonts w:ascii="Cambria" w:eastAsia="Times New Roman" w:hAnsi="Cambria" w:cs="Calibri Light"/>
          <w:color w:val="000000"/>
          <w:sz w:val="20"/>
          <w:szCs w:val="20"/>
          <w:lang w:val="es-ES"/>
        </w:rPr>
        <w:t>En 202</w:t>
      </w:r>
      <w:r w:rsidR="006A4D6C" w:rsidRPr="00E9200E">
        <w:rPr>
          <w:rFonts w:ascii="Cambria" w:eastAsia="Times New Roman" w:hAnsi="Cambria" w:cs="Calibri Light"/>
          <w:color w:val="000000"/>
          <w:sz w:val="20"/>
          <w:szCs w:val="20"/>
          <w:lang w:val="es-ES"/>
        </w:rPr>
        <w:t>1</w:t>
      </w:r>
      <w:r w:rsidRPr="00E9200E">
        <w:rPr>
          <w:rFonts w:ascii="Cambria" w:eastAsia="Times New Roman" w:hAnsi="Cambria" w:cs="Calibri Light"/>
          <w:color w:val="000000"/>
          <w:sz w:val="20"/>
          <w:szCs w:val="20"/>
          <w:lang w:val="es-ES"/>
        </w:rPr>
        <w:t xml:space="preserve">, la CIDH solicitó información actualizada sobre el cumplimiento de las recomendaciones del Informe de Fondo Nº 92/05 al Estado el </w:t>
      </w:r>
      <w:r w:rsidR="006A4D6C" w:rsidRPr="00E9200E">
        <w:rPr>
          <w:rFonts w:ascii="Cambria" w:eastAsia="Times New Roman" w:hAnsi="Cambria" w:cs="Calibri Light"/>
          <w:color w:val="000000"/>
          <w:sz w:val="20"/>
          <w:szCs w:val="20"/>
          <w:lang w:val="es-ES"/>
        </w:rPr>
        <w:t>23 de agosto</w:t>
      </w:r>
      <w:r w:rsidRPr="00E9200E">
        <w:rPr>
          <w:rFonts w:ascii="Cambria" w:eastAsia="Times New Roman" w:hAnsi="Cambria" w:cs="Calibri Light"/>
          <w:color w:val="000000"/>
          <w:sz w:val="20"/>
          <w:szCs w:val="20"/>
          <w:lang w:val="es-ES"/>
        </w:rPr>
        <w:t>. El Estado presentó</w:t>
      </w:r>
      <w:r w:rsidRPr="00E9200E">
        <w:rPr>
          <w:rFonts w:ascii="Cambria" w:eastAsia="Times New Roman" w:hAnsi="Cambria" w:cs="Calibri Light"/>
          <w:color w:val="000000"/>
          <w:sz w:val="20"/>
          <w:szCs w:val="20"/>
          <w:lang w:val="es-CO"/>
        </w:rPr>
        <w:t xml:space="preserve"> dicha información el </w:t>
      </w:r>
      <w:r w:rsidR="006A4D6C" w:rsidRPr="00E9200E">
        <w:rPr>
          <w:rFonts w:ascii="Cambria" w:eastAsia="Times New Roman" w:hAnsi="Cambria" w:cs="Calibri Light"/>
          <w:color w:val="000000"/>
          <w:sz w:val="20"/>
          <w:szCs w:val="20"/>
          <w:lang w:val="es-CO"/>
        </w:rPr>
        <w:t>15 de octubre de 2021</w:t>
      </w:r>
      <w:r w:rsidRPr="00E9200E">
        <w:rPr>
          <w:rFonts w:ascii="Cambria" w:eastAsia="Times New Roman" w:hAnsi="Cambria" w:cs="Calibri Light"/>
          <w:color w:val="000000"/>
          <w:sz w:val="20"/>
          <w:szCs w:val="20"/>
          <w:lang w:val="es-CO"/>
        </w:rPr>
        <w:t xml:space="preserve">. </w:t>
      </w:r>
    </w:p>
    <w:p w14:paraId="211C89D3" w14:textId="77777777" w:rsidR="00AC4052" w:rsidRPr="00E9200E" w:rsidRDefault="00AC4052" w:rsidP="00AC4052">
      <w:pPr>
        <w:spacing w:after="0" w:line="240" w:lineRule="auto"/>
        <w:ind w:left="720"/>
        <w:jc w:val="both"/>
        <w:rPr>
          <w:rFonts w:ascii="Cambria" w:eastAsia="Times New Roman" w:hAnsi="Cambria" w:cs="Calibri Light"/>
          <w:color w:val="000000"/>
          <w:sz w:val="20"/>
          <w:szCs w:val="20"/>
          <w:lang w:val="es-ES"/>
        </w:rPr>
      </w:pPr>
    </w:p>
    <w:p w14:paraId="5EE014F4" w14:textId="77777777" w:rsidR="00AC4052" w:rsidRPr="00E9200E" w:rsidRDefault="00AC4052" w:rsidP="00AC4052">
      <w:pPr>
        <w:numPr>
          <w:ilvl w:val="0"/>
          <w:numId w:val="7"/>
        </w:numPr>
        <w:spacing w:after="0" w:line="240" w:lineRule="auto"/>
        <w:ind w:firstLine="720"/>
        <w:jc w:val="both"/>
        <w:rPr>
          <w:rFonts w:ascii="Cambria" w:eastAsia="Times New Roman" w:hAnsi="Cambria" w:cs="Calibri Light"/>
          <w:color w:val="000000"/>
          <w:sz w:val="20"/>
          <w:szCs w:val="20"/>
          <w:lang w:val="es-ES"/>
        </w:rPr>
      </w:pPr>
      <w:r w:rsidRPr="00E9200E">
        <w:rPr>
          <w:rFonts w:ascii="Cambria" w:eastAsia="Times New Roman" w:hAnsi="Cambria" w:cs="Calibri Light"/>
          <w:color w:val="000000"/>
          <w:sz w:val="20"/>
          <w:szCs w:val="20"/>
          <w:lang w:val="es-ES"/>
        </w:rPr>
        <w:t xml:space="preserve">La CIDH solicitó información actualizada sobre el cumplimiento a los peticionarios el </w:t>
      </w:r>
      <w:r w:rsidR="008542F2" w:rsidRPr="00E9200E">
        <w:rPr>
          <w:rFonts w:ascii="Cambria" w:eastAsia="Times New Roman" w:hAnsi="Cambria" w:cs="Calibri Light"/>
          <w:color w:val="000000"/>
          <w:sz w:val="20"/>
          <w:szCs w:val="20"/>
          <w:lang w:val="es-ES"/>
        </w:rPr>
        <w:t>23 de agosto de 2021</w:t>
      </w:r>
      <w:r w:rsidRPr="00E9200E">
        <w:rPr>
          <w:rFonts w:ascii="Cambria" w:eastAsia="Times New Roman" w:hAnsi="Cambria" w:cs="Calibri Light"/>
          <w:color w:val="000000"/>
          <w:sz w:val="20"/>
          <w:szCs w:val="20"/>
          <w:lang w:val="es-ES"/>
        </w:rPr>
        <w:t xml:space="preserve">. A la fecha de cierre de este informe, </w:t>
      </w:r>
      <w:r w:rsidRPr="00E9200E">
        <w:rPr>
          <w:rFonts w:ascii="Cambria" w:eastAsia="Times New Roman" w:hAnsi="Cambria"/>
          <w:color w:val="000000"/>
          <w:sz w:val="20"/>
          <w:szCs w:val="20"/>
          <w:lang w:val="es-ES_tradnl"/>
        </w:rPr>
        <w:t>la Comisión no había recibido dicha información de los peticionarios.</w:t>
      </w:r>
      <w:r w:rsidR="00704695" w:rsidRPr="00E9200E">
        <w:rPr>
          <w:rFonts w:ascii="Cambria" w:hAnsi="Cambria" w:cs="Calibri Light"/>
          <w:color w:val="000000"/>
          <w:sz w:val="20"/>
          <w:szCs w:val="20"/>
          <w:lang w:val="es-US"/>
        </w:rPr>
        <w:t xml:space="preserve"> La Comisión observa con preocupación que los peticionarios no han presentado esta información desde el 2010.</w:t>
      </w:r>
    </w:p>
    <w:p w14:paraId="5590C269" w14:textId="77777777" w:rsidR="00107876" w:rsidRPr="00E9200E" w:rsidRDefault="00107876" w:rsidP="00107876">
      <w:pPr>
        <w:spacing w:after="0" w:line="240" w:lineRule="auto"/>
        <w:jc w:val="both"/>
        <w:rPr>
          <w:rFonts w:ascii="Cambria" w:hAnsi="Cambria" w:cs="Calibri Light"/>
          <w:color w:val="000000"/>
          <w:sz w:val="20"/>
          <w:szCs w:val="20"/>
          <w:lang w:val="es-ES"/>
        </w:rPr>
      </w:pPr>
    </w:p>
    <w:p w14:paraId="2D7F13F5" w14:textId="77777777" w:rsidR="00F37A44" w:rsidRPr="00E9200E" w:rsidRDefault="00F37A44" w:rsidP="00F37A44">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E9200E">
        <w:rPr>
          <w:rFonts w:ascii="Cambria" w:hAnsi="Cambria" w:cs="Calibri Light"/>
          <w:b/>
          <w:color w:val="000000"/>
          <w:sz w:val="20"/>
          <w:szCs w:val="20"/>
          <w:lang w:val="es-ES"/>
        </w:rPr>
        <w:t>Análisis relativo a</w:t>
      </w:r>
      <w:r w:rsidR="002612AA" w:rsidRPr="00E9200E">
        <w:rPr>
          <w:rFonts w:ascii="Cambria" w:hAnsi="Cambria" w:cs="Calibri Light"/>
          <w:b/>
          <w:color w:val="000000"/>
          <w:sz w:val="20"/>
          <w:szCs w:val="20"/>
          <w:lang w:val="es-ES"/>
        </w:rPr>
        <w:t xml:space="preserve"> la</w:t>
      </w:r>
      <w:r w:rsidRPr="00E9200E">
        <w:rPr>
          <w:rFonts w:ascii="Cambria" w:hAnsi="Cambria" w:cs="Calibri Light"/>
          <w:b/>
          <w:color w:val="000000"/>
          <w:sz w:val="20"/>
          <w:szCs w:val="20"/>
          <w:lang w:val="es-ES"/>
        </w:rPr>
        <w:t xml:space="preserve"> información proporcionada</w:t>
      </w:r>
    </w:p>
    <w:p w14:paraId="7F2D615C" w14:textId="77777777" w:rsidR="00107876" w:rsidRPr="00E9200E" w:rsidRDefault="00107876" w:rsidP="00EF1D6C">
      <w:pPr>
        <w:spacing w:after="0" w:line="240" w:lineRule="auto"/>
        <w:ind w:firstLine="720"/>
        <w:jc w:val="both"/>
        <w:rPr>
          <w:rFonts w:ascii="Cambria" w:hAnsi="Cambria" w:cs="Calibri Light"/>
          <w:color w:val="000000"/>
          <w:sz w:val="20"/>
          <w:szCs w:val="20"/>
          <w:lang w:val="es-ES"/>
        </w:rPr>
      </w:pPr>
    </w:p>
    <w:p w14:paraId="0AFD11F1" w14:textId="77777777" w:rsidR="00107876" w:rsidRPr="00E9200E" w:rsidRDefault="00617343" w:rsidP="0084178B">
      <w:pPr>
        <w:pStyle w:val="ListParagraph"/>
        <w:numPr>
          <w:ilvl w:val="0"/>
          <w:numId w:val="7"/>
        </w:numPr>
        <w:spacing w:after="0" w:line="240" w:lineRule="auto"/>
        <w:ind w:left="0" w:firstLine="720"/>
        <w:jc w:val="both"/>
        <w:rPr>
          <w:rFonts w:ascii="Cambria" w:hAnsi="Cambria" w:cs="Calibri Light"/>
          <w:color w:val="000000"/>
          <w:sz w:val="20"/>
          <w:szCs w:val="20"/>
          <w:lang w:val="es-ES"/>
        </w:rPr>
      </w:pPr>
      <w:r w:rsidRPr="00E9200E">
        <w:rPr>
          <w:rFonts w:ascii="Cambria" w:hAnsi="Cambria" w:cs="Calibri Light"/>
          <w:color w:val="000000"/>
          <w:sz w:val="20"/>
          <w:szCs w:val="20"/>
          <w:lang w:val="es-ES"/>
        </w:rPr>
        <w:t>La Comisión considera que la información proporcionada por el Estado en 202</w:t>
      </w:r>
      <w:r w:rsidR="00E16343" w:rsidRPr="00E9200E">
        <w:rPr>
          <w:rFonts w:ascii="Cambria" w:hAnsi="Cambria" w:cs="Calibri Light"/>
          <w:color w:val="000000"/>
          <w:sz w:val="20"/>
          <w:szCs w:val="20"/>
          <w:lang w:val="es-ES"/>
        </w:rPr>
        <w:t>1</w:t>
      </w:r>
      <w:r w:rsidRPr="00E9200E">
        <w:rPr>
          <w:rFonts w:ascii="Cambria" w:hAnsi="Cambria" w:cs="Calibri Light"/>
          <w:color w:val="000000"/>
          <w:sz w:val="20"/>
          <w:szCs w:val="20"/>
          <w:lang w:val="es-ES"/>
        </w:rPr>
        <w:t xml:space="preserve"> es relevante sobre medidas adoptadas relativas al cumplimiento de al menos una de las recomendaciones emitidas en el Informe Nº 92/05. </w:t>
      </w:r>
    </w:p>
    <w:p w14:paraId="29A6066C" w14:textId="77777777" w:rsidR="00617343" w:rsidRPr="00E9200E" w:rsidRDefault="00617343" w:rsidP="00617343">
      <w:pPr>
        <w:pStyle w:val="ListParagraph"/>
        <w:spacing w:after="0" w:line="240" w:lineRule="auto"/>
        <w:ind w:left="0"/>
        <w:jc w:val="both"/>
        <w:rPr>
          <w:rFonts w:ascii="Cambria" w:hAnsi="Cambria" w:cs="Calibri Light"/>
          <w:color w:val="000000"/>
          <w:sz w:val="20"/>
          <w:szCs w:val="20"/>
          <w:lang w:val="es-ES"/>
        </w:rPr>
      </w:pPr>
    </w:p>
    <w:p w14:paraId="615115BB" w14:textId="77777777" w:rsidR="0030704E" w:rsidRPr="00E9200E" w:rsidRDefault="0030704E" w:rsidP="0030704E">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E9200E">
        <w:rPr>
          <w:rFonts w:ascii="Cambria" w:hAnsi="Cambria" w:cs="Calibri Light"/>
          <w:b/>
          <w:color w:val="000000"/>
          <w:sz w:val="20"/>
          <w:szCs w:val="20"/>
          <w:lang w:val="es-ES"/>
        </w:rPr>
        <w:t>Análisis del cumplimiento de las recomendaciones</w:t>
      </w:r>
    </w:p>
    <w:p w14:paraId="7EBB7F1F" w14:textId="77777777" w:rsidR="00107876" w:rsidRPr="00E9200E" w:rsidRDefault="00107876" w:rsidP="00EF1D6C">
      <w:pPr>
        <w:pStyle w:val="NoSpacing"/>
        <w:ind w:firstLine="720"/>
        <w:jc w:val="both"/>
        <w:rPr>
          <w:rFonts w:ascii="Cambria" w:hAnsi="Cambria"/>
          <w:color w:val="000000"/>
          <w:sz w:val="20"/>
          <w:szCs w:val="20"/>
          <w:lang w:val="es-ES"/>
        </w:rPr>
      </w:pPr>
    </w:p>
    <w:p w14:paraId="7A08C072" w14:textId="77777777" w:rsidR="0052648D" w:rsidRPr="00E9200E" w:rsidRDefault="00960A03" w:rsidP="00E1619F">
      <w:pPr>
        <w:pStyle w:val="NoSpacing"/>
        <w:numPr>
          <w:ilvl w:val="0"/>
          <w:numId w:val="7"/>
        </w:numPr>
        <w:ind w:firstLine="720"/>
        <w:jc w:val="both"/>
        <w:rPr>
          <w:rFonts w:ascii="Cambria" w:hAnsi="Cambria"/>
          <w:color w:val="000000"/>
          <w:sz w:val="20"/>
          <w:szCs w:val="20"/>
          <w:lang w:val="es-ES"/>
        </w:rPr>
      </w:pPr>
      <w:r w:rsidRPr="00E9200E">
        <w:rPr>
          <w:rFonts w:ascii="Cambria" w:hAnsi="Cambria" w:cs="Calibri Light"/>
          <w:b/>
          <w:color w:val="000000"/>
          <w:sz w:val="20"/>
          <w:szCs w:val="20"/>
          <w:lang w:val="es-ES"/>
        </w:rPr>
        <w:t>En relación con la primera recomendación</w:t>
      </w:r>
      <w:r w:rsidR="009420D8" w:rsidRPr="00E9200E">
        <w:rPr>
          <w:rFonts w:ascii="Cambria" w:hAnsi="Cambria" w:cs="Calibri Light"/>
          <w:color w:val="000000"/>
          <w:sz w:val="20"/>
          <w:szCs w:val="20"/>
          <w:lang w:val="es-ES"/>
        </w:rPr>
        <w:t>, en 2005, e</w:t>
      </w:r>
      <w:r w:rsidR="009420D8" w:rsidRPr="00E9200E">
        <w:rPr>
          <w:rFonts w:ascii="Cambria" w:hAnsi="Cambria"/>
          <w:color w:val="000000"/>
          <w:sz w:val="20"/>
          <w:szCs w:val="20"/>
          <w:lang w:val="es-ES"/>
        </w:rPr>
        <w:t>l Estado indicó que en vista de la aceptación de responsabilidad por parte del Estado por la muerte del señor Gayle se llegó a un acuerdo en los tribunales locales entre la madre del señor Gayle, su pariente más cercano, Jenny Cameron, el Estado está actualmente cumpliendo con los pagos de compensación por los daños sufridos por ella como resulta</w:t>
      </w:r>
      <w:r w:rsidR="00404CFB" w:rsidRPr="00E9200E">
        <w:rPr>
          <w:rFonts w:ascii="Cambria" w:hAnsi="Cambria"/>
          <w:color w:val="000000"/>
          <w:sz w:val="20"/>
          <w:szCs w:val="20"/>
          <w:lang w:val="es-ES"/>
        </w:rPr>
        <w:t>do de la muerte del señor Gayle</w:t>
      </w:r>
      <w:r w:rsidR="00404CFB" w:rsidRPr="00E9200E">
        <w:rPr>
          <w:rStyle w:val="FootnoteReference"/>
          <w:rFonts w:ascii="Cambria" w:hAnsi="Cambria"/>
          <w:color w:val="000000"/>
          <w:sz w:val="20"/>
          <w:szCs w:val="20"/>
          <w:lang w:val="es-ES"/>
        </w:rPr>
        <w:footnoteReference w:id="1"/>
      </w:r>
      <w:r w:rsidR="009420D8" w:rsidRPr="00E9200E">
        <w:rPr>
          <w:rFonts w:ascii="Cambria" w:hAnsi="Cambria"/>
          <w:color w:val="000000"/>
          <w:sz w:val="20"/>
          <w:szCs w:val="20"/>
          <w:lang w:val="es-ES"/>
        </w:rPr>
        <w:t>.</w:t>
      </w:r>
      <w:r w:rsidR="00404CFB" w:rsidRPr="00E9200E">
        <w:rPr>
          <w:rFonts w:ascii="Cambria" w:hAnsi="Cambria"/>
          <w:color w:val="000000"/>
          <w:sz w:val="20"/>
          <w:szCs w:val="20"/>
          <w:lang w:val="es-ES"/>
        </w:rPr>
        <w:t xml:space="preserve"> En 2006, el Estado señaló que ya se había pagado una indemnización a la madre y parienta más próxima de Michael Gayle, Jenny Cameron, y que no aceptaba la recomendación de la Comisión de que se “volviera a considerar entre las partes” la cuestión de la compensación.  El Estado especificó que la cuestión se resolvió a través de negociaciones a distancia, que la suma ofrecida estaba en consonancia con los precedentes y normas jamaicanos, y que fue aceptada por la Sra. Cameron, quien tuvo la oportunidad de impugnarla. Además, el Estado informó a la Comisión que se habían pedido disculpas públicas a través del </w:t>
      </w:r>
      <w:proofErr w:type="gramStart"/>
      <w:r w:rsidR="005A28D0" w:rsidRPr="00E9200E">
        <w:rPr>
          <w:rFonts w:ascii="Cambria" w:hAnsi="Cambria"/>
          <w:color w:val="000000"/>
          <w:sz w:val="20"/>
          <w:szCs w:val="20"/>
          <w:lang w:val="es-ES"/>
        </w:rPr>
        <w:t>Fiscal General</w:t>
      </w:r>
      <w:proofErr w:type="gramEnd"/>
      <w:r w:rsidR="005A28D0" w:rsidRPr="00E9200E">
        <w:rPr>
          <w:rFonts w:ascii="Cambria" w:hAnsi="Cambria"/>
          <w:color w:val="000000"/>
          <w:sz w:val="20"/>
          <w:szCs w:val="20"/>
          <w:lang w:val="es-ES"/>
        </w:rPr>
        <w:t xml:space="preserve"> </w:t>
      </w:r>
      <w:r w:rsidR="00404CFB" w:rsidRPr="00E9200E">
        <w:rPr>
          <w:rFonts w:ascii="Cambria" w:hAnsi="Cambria"/>
          <w:color w:val="000000"/>
          <w:sz w:val="20"/>
          <w:szCs w:val="20"/>
          <w:lang w:val="es-ES"/>
        </w:rPr>
        <w:t xml:space="preserve">y Ministro de Justicia, cuyo texto se publicó en el </w:t>
      </w:r>
      <w:r w:rsidR="00404CFB" w:rsidRPr="00E9200E">
        <w:rPr>
          <w:rFonts w:ascii="Cambria" w:hAnsi="Cambria"/>
          <w:i/>
          <w:color w:val="000000"/>
          <w:sz w:val="20"/>
          <w:szCs w:val="20"/>
          <w:lang w:val="es-ES"/>
        </w:rPr>
        <w:t>Sunday Herald</w:t>
      </w:r>
      <w:r w:rsidR="00404CFB" w:rsidRPr="00E9200E">
        <w:rPr>
          <w:rFonts w:ascii="Cambria" w:hAnsi="Cambria"/>
          <w:color w:val="000000"/>
          <w:sz w:val="20"/>
          <w:szCs w:val="20"/>
          <w:lang w:val="es-ES"/>
        </w:rPr>
        <w:t xml:space="preserve">, </w:t>
      </w:r>
      <w:r w:rsidR="00C1391D" w:rsidRPr="00E9200E">
        <w:rPr>
          <w:rFonts w:ascii="Cambria" w:hAnsi="Cambria"/>
          <w:color w:val="000000"/>
          <w:sz w:val="20"/>
          <w:szCs w:val="20"/>
          <w:lang w:val="es-ES"/>
        </w:rPr>
        <w:t xml:space="preserve">los días </w:t>
      </w:r>
      <w:r w:rsidR="00404CFB" w:rsidRPr="00E9200E">
        <w:rPr>
          <w:rFonts w:ascii="Cambria" w:hAnsi="Cambria"/>
          <w:color w:val="000000"/>
          <w:sz w:val="20"/>
          <w:szCs w:val="20"/>
          <w:lang w:val="es-ES"/>
        </w:rPr>
        <w:t>14</w:t>
      </w:r>
      <w:r w:rsidR="00C1391D" w:rsidRPr="00E9200E">
        <w:rPr>
          <w:rFonts w:ascii="Cambria" w:hAnsi="Cambria"/>
          <w:color w:val="000000"/>
          <w:sz w:val="20"/>
          <w:szCs w:val="20"/>
          <w:lang w:val="es-ES"/>
        </w:rPr>
        <w:t xml:space="preserve"> a </w:t>
      </w:r>
      <w:r w:rsidR="00404CFB" w:rsidRPr="00E9200E">
        <w:rPr>
          <w:rFonts w:ascii="Cambria" w:hAnsi="Cambria"/>
          <w:color w:val="000000"/>
          <w:sz w:val="20"/>
          <w:szCs w:val="20"/>
          <w:lang w:val="es-ES"/>
        </w:rPr>
        <w:t xml:space="preserve">20 de marzo de 2004, bajo el título “El caso de Michael Gayle”, </w:t>
      </w:r>
      <w:r w:rsidR="00C1391D" w:rsidRPr="00E9200E">
        <w:rPr>
          <w:rFonts w:ascii="Cambria" w:hAnsi="Cambria"/>
          <w:color w:val="000000"/>
          <w:sz w:val="20"/>
          <w:szCs w:val="20"/>
          <w:lang w:val="es-ES"/>
        </w:rPr>
        <w:t xml:space="preserve">y en </w:t>
      </w:r>
      <w:r w:rsidR="00404CFB" w:rsidRPr="00E9200E">
        <w:rPr>
          <w:rFonts w:ascii="Cambria" w:hAnsi="Cambria"/>
          <w:color w:val="000000"/>
          <w:sz w:val="20"/>
          <w:szCs w:val="20"/>
          <w:lang w:val="es-ES"/>
        </w:rPr>
        <w:t xml:space="preserve">el </w:t>
      </w:r>
      <w:r w:rsidR="00404CFB" w:rsidRPr="00E9200E">
        <w:rPr>
          <w:rFonts w:ascii="Cambria" w:hAnsi="Cambria"/>
          <w:i/>
          <w:color w:val="000000"/>
          <w:sz w:val="20"/>
          <w:szCs w:val="20"/>
          <w:lang w:val="es-ES"/>
        </w:rPr>
        <w:t>Daily Gleaner</w:t>
      </w:r>
      <w:r w:rsidR="00404CFB" w:rsidRPr="00E9200E">
        <w:rPr>
          <w:rFonts w:ascii="Cambria" w:hAnsi="Cambria"/>
          <w:color w:val="000000"/>
          <w:sz w:val="20"/>
          <w:szCs w:val="20"/>
          <w:lang w:val="es-ES"/>
        </w:rPr>
        <w:t>, el 11 de marzo de 200</w:t>
      </w:r>
      <w:r w:rsidR="00E44F55" w:rsidRPr="00E9200E">
        <w:rPr>
          <w:rFonts w:ascii="Cambria" w:hAnsi="Cambria"/>
          <w:color w:val="000000"/>
          <w:sz w:val="20"/>
          <w:szCs w:val="20"/>
          <w:lang w:val="es-ES"/>
        </w:rPr>
        <w:t xml:space="preserve">4, bajo el título “El Gobierno </w:t>
      </w:r>
      <w:r w:rsidR="009854BD" w:rsidRPr="00E9200E">
        <w:rPr>
          <w:rFonts w:ascii="Cambria" w:hAnsi="Cambria"/>
          <w:color w:val="000000"/>
          <w:sz w:val="20"/>
          <w:szCs w:val="20"/>
          <w:lang w:val="es-ES"/>
        </w:rPr>
        <w:t>‘</w:t>
      </w:r>
      <w:r w:rsidR="00404CFB" w:rsidRPr="00E9200E">
        <w:rPr>
          <w:rFonts w:ascii="Cambria" w:hAnsi="Cambria"/>
          <w:color w:val="000000"/>
          <w:sz w:val="20"/>
          <w:szCs w:val="20"/>
          <w:lang w:val="es-ES"/>
        </w:rPr>
        <w:t>lamenta</w:t>
      </w:r>
      <w:r w:rsidR="009854BD" w:rsidRPr="00E9200E">
        <w:rPr>
          <w:rFonts w:ascii="Cambria" w:hAnsi="Cambria"/>
          <w:color w:val="000000"/>
          <w:sz w:val="20"/>
          <w:szCs w:val="20"/>
          <w:lang w:val="es-ES"/>
        </w:rPr>
        <w:t>’</w:t>
      </w:r>
      <w:r w:rsidR="00404CFB" w:rsidRPr="00E9200E">
        <w:rPr>
          <w:rFonts w:ascii="Cambria" w:hAnsi="Cambria"/>
          <w:color w:val="000000"/>
          <w:sz w:val="20"/>
          <w:szCs w:val="20"/>
          <w:lang w:val="es-ES"/>
        </w:rPr>
        <w:t xml:space="preserve"> la muerte de Michael Gayle”</w:t>
      </w:r>
      <w:r w:rsidR="00404CFB" w:rsidRPr="00E9200E">
        <w:rPr>
          <w:rStyle w:val="FootnoteReference"/>
          <w:rFonts w:ascii="Cambria" w:hAnsi="Cambria"/>
          <w:color w:val="000000"/>
          <w:sz w:val="20"/>
          <w:szCs w:val="20"/>
          <w:lang w:val="es-ES"/>
        </w:rPr>
        <w:footnoteReference w:id="2"/>
      </w:r>
      <w:r w:rsidR="005E26DE" w:rsidRPr="00E9200E">
        <w:rPr>
          <w:rFonts w:ascii="Cambria" w:hAnsi="Cambria"/>
          <w:color w:val="000000"/>
          <w:sz w:val="20"/>
          <w:szCs w:val="20"/>
          <w:lang w:val="es-ES"/>
        </w:rPr>
        <w:t>. En 2010, el Estado agregó que la disculpa se difundió por radio y que fue suficiente teniendo en cuenta que fue una expresión de pesar y un reconocimiento del actuar erróneo por parte del Estado en contra de Michael Gayle</w:t>
      </w:r>
      <w:r w:rsidR="005E26DE" w:rsidRPr="00E9200E">
        <w:rPr>
          <w:rStyle w:val="FootnoteReference"/>
          <w:rFonts w:ascii="Cambria" w:hAnsi="Cambria"/>
          <w:color w:val="000000"/>
          <w:sz w:val="20"/>
          <w:szCs w:val="20"/>
          <w:lang w:val="es-ES"/>
        </w:rPr>
        <w:footnoteReference w:id="3"/>
      </w:r>
      <w:r w:rsidR="005E26DE" w:rsidRPr="00E9200E">
        <w:rPr>
          <w:rFonts w:ascii="Cambria" w:hAnsi="Cambria"/>
          <w:color w:val="000000"/>
          <w:sz w:val="20"/>
          <w:szCs w:val="20"/>
          <w:lang w:val="es-ES"/>
        </w:rPr>
        <w:t xml:space="preserve">. En 2015, el Estado reiteró información presentada en años anteriores informado que J$2.886.265,00 había sido pagado a la madre del señor Michael Gayle hasta marzo </w:t>
      </w:r>
      <w:r w:rsidR="00480897" w:rsidRPr="00E9200E">
        <w:rPr>
          <w:rFonts w:ascii="Cambria" w:hAnsi="Cambria"/>
          <w:color w:val="000000"/>
          <w:sz w:val="20"/>
          <w:szCs w:val="20"/>
          <w:lang w:val="es-ES"/>
        </w:rPr>
        <w:t xml:space="preserve">de </w:t>
      </w:r>
      <w:r w:rsidR="005E26DE" w:rsidRPr="00E9200E">
        <w:rPr>
          <w:rFonts w:ascii="Cambria" w:hAnsi="Cambria"/>
          <w:color w:val="000000"/>
          <w:sz w:val="20"/>
          <w:szCs w:val="20"/>
          <w:lang w:val="es-ES"/>
        </w:rPr>
        <w:t>2005 y al respecto mencionó que la suma de dicha indemnización fue aceptada voluntariamente y formalizada por sentencia de fecha 2 de noviembre de 2004. Asimismo, señaló que una acción independiente por daños morales no ha sido ejercida, y que cuando el asunto estaba ante el tribunal, la señora Cameron representada por un abogado, no presentó en ningún momento evidencia a la atención del Gobierno que hubiera justificado cualquier reclamo adicional por daños y perjuicios.</w:t>
      </w:r>
      <w:r w:rsidR="006444F2" w:rsidRPr="00E9200E">
        <w:rPr>
          <w:rFonts w:ascii="Cambria" w:hAnsi="Cambria"/>
          <w:color w:val="000000"/>
          <w:sz w:val="20"/>
          <w:szCs w:val="20"/>
          <w:lang w:val="es-ES"/>
        </w:rPr>
        <w:t xml:space="preserve"> </w:t>
      </w:r>
      <w:r w:rsidR="005E26DE" w:rsidRPr="00E9200E">
        <w:rPr>
          <w:rFonts w:ascii="Cambria" w:hAnsi="Cambria"/>
          <w:color w:val="000000"/>
          <w:sz w:val="20"/>
          <w:szCs w:val="20"/>
          <w:lang w:val="es-ES"/>
        </w:rPr>
        <w:t>El Estado solicitó respetuosamente que la Comisión considere que esta recomendación se ha cumplido</w:t>
      </w:r>
      <w:r w:rsidR="006444F2" w:rsidRPr="00E9200E">
        <w:rPr>
          <w:rFonts w:ascii="Cambria" w:hAnsi="Cambria"/>
          <w:color w:val="000000"/>
          <w:sz w:val="20"/>
          <w:szCs w:val="20"/>
          <w:lang w:val="es-ES"/>
        </w:rPr>
        <w:t xml:space="preserve"> totalmente</w:t>
      </w:r>
      <w:r w:rsidR="006444F2" w:rsidRPr="00E9200E">
        <w:rPr>
          <w:rStyle w:val="FootnoteReference"/>
          <w:rFonts w:ascii="Cambria" w:hAnsi="Cambria"/>
          <w:color w:val="000000"/>
          <w:sz w:val="20"/>
          <w:szCs w:val="20"/>
          <w:lang w:val="es-ES"/>
        </w:rPr>
        <w:footnoteReference w:id="4"/>
      </w:r>
      <w:r w:rsidR="006444F2" w:rsidRPr="00E9200E">
        <w:rPr>
          <w:rFonts w:ascii="Cambria" w:hAnsi="Cambria"/>
          <w:color w:val="000000"/>
          <w:sz w:val="20"/>
          <w:szCs w:val="20"/>
          <w:lang w:val="es-ES"/>
        </w:rPr>
        <w:t xml:space="preserve">. </w:t>
      </w:r>
    </w:p>
    <w:p w14:paraId="3CCBBCBE" w14:textId="77777777" w:rsidR="00576A71" w:rsidRPr="00E9200E" w:rsidRDefault="00576A71" w:rsidP="00576A71">
      <w:pPr>
        <w:pStyle w:val="NoSpacing"/>
        <w:ind w:left="720"/>
        <w:jc w:val="both"/>
        <w:rPr>
          <w:rFonts w:ascii="Cambria" w:hAnsi="Cambria"/>
          <w:color w:val="000000"/>
          <w:sz w:val="20"/>
          <w:szCs w:val="20"/>
          <w:lang w:val="es-ES"/>
        </w:rPr>
      </w:pPr>
    </w:p>
    <w:p w14:paraId="6F148B14" w14:textId="77777777" w:rsidR="0052648D" w:rsidRPr="00E9200E" w:rsidRDefault="002362AD" w:rsidP="007372DD">
      <w:pPr>
        <w:pStyle w:val="NoSpacing"/>
        <w:numPr>
          <w:ilvl w:val="0"/>
          <w:numId w:val="7"/>
        </w:numPr>
        <w:ind w:firstLine="720"/>
        <w:jc w:val="both"/>
        <w:rPr>
          <w:rFonts w:ascii="Cambria" w:hAnsi="Cambria"/>
          <w:color w:val="000000"/>
          <w:sz w:val="20"/>
          <w:szCs w:val="20"/>
          <w:lang w:val="es-ES"/>
        </w:rPr>
      </w:pPr>
      <w:r w:rsidRPr="00E9200E">
        <w:rPr>
          <w:rFonts w:ascii="Cambria" w:hAnsi="Cambria" w:cs="Calibri Light"/>
          <w:bCs/>
          <w:color w:val="000000"/>
          <w:sz w:val="20"/>
          <w:szCs w:val="20"/>
          <w:lang w:val="es-ES"/>
        </w:rPr>
        <w:lastRenderedPageBreak/>
        <w:t>En 2020</w:t>
      </w:r>
      <w:r w:rsidR="002C035E" w:rsidRPr="00E9200E">
        <w:rPr>
          <w:rFonts w:ascii="Cambria" w:hAnsi="Cambria" w:cs="Calibri Light"/>
          <w:bCs/>
          <w:color w:val="000000"/>
          <w:sz w:val="20"/>
          <w:szCs w:val="20"/>
          <w:lang w:val="es-ES"/>
        </w:rPr>
        <w:t xml:space="preserve"> y en 2021</w:t>
      </w:r>
      <w:r w:rsidRPr="00E9200E">
        <w:rPr>
          <w:rFonts w:ascii="Cambria" w:hAnsi="Cambria" w:cs="Calibri Light"/>
          <w:bCs/>
          <w:color w:val="000000"/>
          <w:sz w:val="20"/>
          <w:szCs w:val="20"/>
          <w:lang w:val="es-ES"/>
        </w:rPr>
        <w:t>, el Estado reiteró la información proporcionada en 2015</w:t>
      </w:r>
      <w:r w:rsidR="007372DD" w:rsidRPr="00E9200E">
        <w:rPr>
          <w:rFonts w:ascii="Cambria" w:hAnsi="Cambria" w:cs="Calibri Light"/>
          <w:bCs/>
          <w:color w:val="000000"/>
          <w:sz w:val="20"/>
          <w:szCs w:val="20"/>
          <w:lang w:val="es-ES"/>
        </w:rPr>
        <w:t>. E</w:t>
      </w:r>
      <w:r w:rsidRPr="00E9200E">
        <w:rPr>
          <w:rFonts w:ascii="Cambria" w:hAnsi="Cambria" w:cs="Calibri Light"/>
          <w:bCs/>
          <w:color w:val="000000"/>
          <w:sz w:val="20"/>
          <w:szCs w:val="20"/>
          <w:lang w:val="es-ES"/>
        </w:rPr>
        <w:t xml:space="preserve">n cuanto </w:t>
      </w:r>
      <w:r w:rsidR="007372DD" w:rsidRPr="00E9200E">
        <w:rPr>
          <w:rFonts w:ascii="Cambria" w:hAnsi="Cambria" w:cs="Calibri Light"/>
          <w:bCs/>
          <w:color w:val="000000"/>
          <w:sz w:val="20"/>
          <w:szCs w:val="20"/>
          <w:lang w:val="es-ES"/>
        </w:rPr>
        <w:t>a la suma de</w:t>
      </w:r>
      <w:r w:rsidRPr="00E9200E">
        <w:rPr>
          <w:rFonts w:ascii="Cambria" w:hAnsi="Cambria" w:cs="Calibri Light"/>
          <w:bCs/>
          <w:color w:val="000000"/>
          <w:sz w:val="20"/>
          <w:szCs w:val="20"/>
          <w:lang w:val="es-ES"/>
        </w:rPr>
        <w:t xml:space="preserve"> </w:t>
      </w:r>
      <w:r w:rsidR="005C4BC0" w:rsidRPr="00E9200E">
        <w:rPr>
          <w:rFonts w:ascii="Cambria" w:hAnsi="Cambria"/>
          <w:color w:val="000000"/>
          <w:sz w:val="20"/>
          <w:szCs w:val="20"/>
          <w:lang w:val="es-ES"/>
        </w:rPr>
        <w:t xml:space="preserve">J$2.886.265,00 </w:t>
      </w:r>
      <w:r w:rsidR="007372DD" w:rsidRPr="00E9200E">
        <w:rPr>
          <w:rFonts w:ascii="Cambria" w:hAnsi="Cambria"/>
          <w:color w:val="000000"/>
          <w:sz w:val="20"/>
          <w:szCs w:val="20"/>
          <w:lang w:val="es-ES"/>
        </w:rPr>
        <w:t>que el Estado pagó a</w:t>
      </w:r>
      <w:r w:rsidRPr="00E9200E">
        <w:rPr>
          <w:rFonts w:ascii="Cambria" w:hAnsi="Cambria"/>
          <w:color w:val="000000"/>
          <w:sz w:val="20"/>
          <w:szCs w:val="20"/>
          <w:lang w:val="es-ES"/>
        </w:rPr>
        <w:t xml:space="preserve"> la madre de Michael Gayle y</w:t>
      </w:r>
      <w:r w:rsidR="00B02F2F" w:rsidRPr="00E9200E">
        <w:rPr>
          <w:rFonts w:ascii="Cambria" w:hAnsi="Cambria"/>
          <w:color w:val="000000"/>
          <w:sz w:val="20"/>
          <w:szCs w:val="20"/>
          <w:lang w:val="es-ES"/>
        </w:rPr>
        <w:t xml:space="preserve"> a Jenny Cameron,</w:t>
      </w:r>
      <w:r w:rsidRPr="00E9200E">
        <w:rPr>
          <w:rFonts w:ascii="Cambria" w:hAnsi="Cambria"/>
          <w:color w:val="000000"/>
          <w:sz w:val="20"/>
          <w:szCs w:val="20"/>
          <w:lang w:val="es-ES"/>
        </w:rPr>
        <w:t xml:space="preserve"> su pariente más cercano, </w:t>
      </w:r>
      <w:r w:rsidR="007372DD" w:rsidRPr="00E9200E">
        <w:rPr>
          <w:rFonts w:ascii="Cambria" w:hAnsi="Cambria"/>
          <w:color w:val="000000"/>
          <w:sz w:val="20"/>
          <w:szCs w:val="20"/>
          <w:lang w:val="es-ES"/>
        </w:rPr>
        <w:t xml:space="preserve">indicó que dicha indemnización fue aceptada por la Sra. Cameron, a pesar de que no estaba obligada a aceptarla y resaltó que fue asesorada por un abogado. Para el Estado, el hecho de que las víctimas aceptaron el ofrecimiento es prueba fehaciente de que la indemnización fue efectiva y adecuada, por lo que indicó que el Estado no está obligado a ofrecer ninguna otra compensación y manifestó que la mera expresión de insatisfacción con la cantidad ofrecida no constituye base suficiente para considerar lo contrario. Por otra parte, el Estado </w:t>
      </w:r>
      <w:r w:rsidRPr="00E9200E">
        <w:rPr>
          <w:rFonts w:ascii="Cambria" w:hAnsi="Cambria"/>
          <w:color w:val="000000"/>
          <w:sz w:val="20"/>
          <w:szCs w:val="20"/>
          <w:lang w:val="es-ES"/>
        </w:rPr>
        <w:t xml:space="preserve">reiteró que el </w:t>
      </w:r>
      <w:proofErr w:type="gramStart"/>
      <w:r w:rsidRPr="00E9200E">
        <w:rPr>
          <w:rFonts w:ascii="Cambria" w:hAnsi="Cambria"/>
          <w:color w:val="000000"/>
          <w:sz w:val="20"/>
          <w:szCs w:val="20"/>
          <w:lang w:val="es-ES"/>
        </w:rPr>
        <w:t>Ministro</w:t>
      </w:r>
      <w:proofErr w:type="gramEnd"/>
      <w:r w:rsidRPr="00E9200E">
        <w:rPr>
          <w:rFonts w:ascii="Cambria" w:hAnsi="Cambria"/>
          <w:color w:val="000000"/>
          <w:sz w:val="20"/>
          <w:szCs w:val="20"/>
          <w:lang w:val="es-ES"/>
        </w:rPr>
        <w:t xml:space="preserve"> de Justicia y el Fiscal General de Jamaica presentaron una disculpa pública</w:t>
      </w:r>
      <w:r w:rsidR="00B02F2F" w:rsidRPr="00E9200E">
        <w:rPr>
          <w:rFonts w:ascii="Cambria" w:hAnsi="Cambria"/>
          <w:color w:val="000000"/>
          <w:sz w:val="20"/>
          <w:szCs w:val="20"/>
          <w:lang w:val="es-ES"/>
        </w:rPr>
        <w:t xml:space="preserve"> </w:t>
      </w:r>
      <w:r w:rsidR="007372DD" w:rsidRPr="00E9200E">
        <w:rPr>
          <w:rFonts w:ascii="Cambria" w:hAnsi="Cambria"/>
          <w:color w:val="000000"/>
          <w:sz w:val="20"/>
          <w:szCs w:val="20"/>
          <w:lang w:val="es-ES"/>
        </w:rPr>
        <w:t xml:space="preserve">y que, aunque </w:t>
      </w:r>
      <w:r w:rsidRPr="00E9200E">
        <w:rPr>
          <w:rFonts w:ascii="Cambria" w:hAnsi="Cambria"/>
          <w:color w:val="000000"/>
          <w:sz w:val="20"/>
          <w:szCs w:val="20"/>
          <w:lang w:val="es-ES"/>
        </w:rPr>
        <w:t xml:space="preserve">las víctimas deseaban que el Primer Ministro de Jamaica también </w:t>
      </w:r>
      <w:r w:rsidR="00B02F2F" w:rsidRPr="00E9200E">
        <w:rPr>
          <w:rFonts w:ascii="Cambria" w:hAnsi="Cambria"/>
          <w:color w:val="000000"/>
          <w:sz w:val="20"/>
          <w:szCs w:val="20"/>
          <w:lang w:val="es-ES"/>
        </w:rPr>
        <w:t>lo hiciera</w:t>
      </w:r>
      <w:r w:rsidR="007372DD" w:rsidRPr="00E9200E">
        <w:rPr>
          <w:rFonts w:ascii="Cambria" w:hAnsi="Cambria"/>
          <w:color w:val="000000"/>
          <w:sz w:val="20"/>
          <w:szCs w:val="20"/>
          <w:lang w:val="es-ES"/>
        </w:rPr>
        <w:t xml:space="preserve">, </w:t>
      </w:r>
      <w:r w:rsidRPr="00E9200E">
        <w:rPr>
          <w:rFonts w:ascii="Cambria" w:hAnsi="Cambria"/>
          <w:color w:val="000000"/>
          <w:sz w:val="20"/>
          <w:szCs w:val="20"/>
          <w:lang w:val="es-ES"/>
        </w:rPr>
        <w:t xml:space="preserve">no es necesario que más de un funcionario </w:t>
      </w:r>
      <w:r w:rsidR="007372DD" w:rsidRPr="00E9200E">
        <w:rPr>
          <w:rFonts w:ascii="Cambria" w:hAnsi="Cambria"/>
          <w:color w:val="000000"/>
          <w:sz w:val="20"/>
          <w:szCs w:val="20"/>
          <w:lang w:val="es-ES"/>
        </w:rPr>
        <w:t>lo ha</w:t>
      </w:r>
      <w:r w:rsidR="00B02F2F" w:rsidRPr="00E9200E">
        <w:rPr>
          <w:rFonts w:ascii="Cambria" w:hAnsi="Cambria"/>
          <w:color w:val="000000"/>
          <w:sz w:val="20"/>
          <w:szCs w:val="20"/>
          <w:lang w:val="es-ES"/>
        </w:rPr>
        <w:t>g</w:t>
      </w:r>
      <w:r w:rsidR="007372DD" w:rsidRPr="00E9200E">
        <w:rPr>
          <w:rFonts w:ascii="Cambria" w:hAnsi="Cambria"/>
          <w:color w:val="000000"/>
          <w:sz w:val="20"/>
          <w:szCs w:val="20"/>
          <w:lang w:val="es-ES"/>
        </w:rPr>
        <w:t>a</w:t>
      </w:r>
      <w:r w:rsidR="00B02F2F" w:rsidRPr="00E9200E">
        <w:rPr>
          <w:rFonts w:ascii="Cambria" w:hAnsi="Cambria"/>
          <w:color w:val="000000"/>
          <w:sz w:val="20"/>
          <w:szCs w:val="20"/>
          <w:lang w:val="es-ES"/>
        </w:rPr>
        <w:t>. Además,</w:t>
      </w:r>
      <w:r w:rsidR="007372DD" w:rsidRPr="00E9200E">
        <w:rPr>
          <w:rFonts w:ascii="Cambria" w:hAnsi="Cambria"/>
          <w:color w:val="000000"/>
          <w:sz w:val="20"/>
          <w:szCs w:val="20"/>
          <w:lang w:val="es-ES"/>
        </w:rPr>
        <w:t xml:space="preserve"> indicó que la </w:t>
      </w:r>
      <w:r w:rsidRPr="00E9200E">
        <w:rPr>
          <w:rFonts w:ascii="Cambria" w:hAnsi="Cambria"/>
          <w:color w:val="000000"/>
          <w:sz w:val="20"/>
          <w:szCs w:val="20"/>
          <w:lang w:val="es-ES"/>
        </w:rPr>
        <w:t xml:space="preserve">disculpa del entonces </w:t>
      </w:r>
      <w:proofErr w:type="gramStart"/>
      <w:r w:rsidRPr="00E9200E">
        <w:rPr>
          <w:rFonts w:ascii="Cambria" w:hAnsi="Cambria"/>
          <w:color w:val="000000"/>
          <w:sz w:val="20"/>
          <w:szCs w:val="20"/>
          <w:lang w:val="es-ES"/>
        </w:rPr>
        <w:t>Ministro</w:t>
      </w:r>
      <w:proofErr w:type="gramEnd"/>
      <w:r w:rsidRPr="00E9200E">
        <w:rPr>
          <w:rFonts w:ascii="Cambria" w:hAnsi="Cambria"/>
          <w:color w:val="000000"/>
          <w:sz w:val="20"/>
          <w:szCs w:val="20"/>
          <w:lang w:val="es-ES"/>
        </w:rPr>
        <w:t xml:space="preserve"> de Justicia y Fiscal General</w:t>
      </w:r>
      <w:r w:rsidR="007372DD" w:rsidRPr="00E9200E">
        <w:rPr>
          <w:rFonts w:ascii="Cambria" w:hAnsi="Cambria"/>
          <w:color w:val="000000"/>
          <w:sz w:val="20"/>
          <w:szCs w:val="20"/>
          <w:lang w:val="es-ES"/>
        </w:rPr>
        <w:t xml:space="preserve"> fue adecuada considerando que el primero era</w:t>
      </w:r>
      <w:r w:rsidRPr="00E9200E">
        <w:rPr>
          <w:rFonts w:ascii="Cambria" w:hAnsi="Cambria"/>
          <w:color w:val="000000"/>
          <w:sz w:val="20"/>
          <w:szCs w:val="20"/>
          <w:lang w:val="es-ES"/>
        </w:rPr>
        <w:t xml:space="preserve"> responsable de la administración de la justicia y </w:t>
      </w:r>
      <w:r w:rsidR="007372DD" w:rsidRPr="00E9200E">
        <w:rPr>
          <w:rFonts w:ascii="Cambria" w:hAnsi="Cambria"/>
          <w:color w:val="000000"/>
          <w:sz w:val="20"/>
          <w:szCs w:val="20"/>
          <w:lang w:val="es-ES"/>
        </w:rPr>
        <w:t xml:space="preserve">el segundo, </w:t>
      </w:r>
      <w:r w:rsidRPr="00E9200E">
        <w:rPr>
          <w:rFonts w:ascii="Cambria" w:hAnsi="Cambria"/>
          <w:color w:val="000000"/>
          <w:sz w:val="20"/>
          <w:szCs w:val="20"/>
          <w:lang w:val="es-ES"/>
        </w:rPr>
        <w:t>principal asesor jurídico del Estado.</w:t>
      </w:r>
      <w:r w:rsidR="007372DD" w:rsidRPr="00E9200E">
        <w:rPr>
          <w:rFonts w:ascii="Cambria" w:hAnsi="Cambria"/>
          <w:color w:val="000000"/>
          <w:sz w:val="20"/>
          <w:szCs w:val="20"/>
          <w:lang w:val="es-ES"/>
        </w:rPr>
        <w:t xml:space="preserve"> </w:t>
      </w:r>
    </w:p>
    <w:p w14:paraId="0228781A" w14:textId="77777777" w:rsidR="007372DD" w:rsidRPr="00E9200E" w:rsidRDefault="007372DD" w:rsidP="002C035E">
      <w:pPr>
        <w:pStyle w:val="NoSpacing"/>
        <w:jc w:val="both"/>
        <w:rPr>
          <w:rFonts w:ascii="Cambria" w:hAnsi="Cambria"/>
          <w:color w:val="000000"/>
          <w:sz w:val="20"/>
          <w:szCs w:val="20"/>
          <w:lang w:val="es-ES"/>
        </w:rPr>
      </w:pPr>
    </w:p>
    <w:p w14:paraId="65943E68" w14:textId="77777777" w:rsidR="001151AC" w:rsidRPr="00E9200E" w:rsidRDefault="0052648D" w:rsidP="00E1619F">
      <w:pPr>
        <w:pStyle w:val="NoSpacing"/>
        <w:numPr>
          <w:ilvl w:val="0"/>
          <w:numId w:val="7"/>
        </w:numPr>
        <w:ind w:firstLine="720"/>
        <w:jc w:val="both"/>
        <w:rPr>
          <w:rFonts w:ascii="Cambria" w:hAnsi="Cambria"/>
          <w:color w:val="000000"/>
          <w:sz w:val="20"/>
          <w:szCs w:val="20"/>
          <w:lang w:val="es-ES"/>
        </w:rPr>
      </w:pPr>
      <w:r w:rsidRPr="00E9200E">
        <w:rPr>
          <w:rFonts w:ascii="Cambria" w:hAnsi="Cambria"/>
          <w:color w:val="000000"/>
          <w:sz w:val="20"/>
          <w:szCs w:val="20"/>
          <w:lang w:val="es-ES"/>
        </w:rPr>
        <w:t>En 2005, los Peticionarios indicaron que</w:t>
      </w:r>
      <w:r w:rsidR="002362AD" w:rsidRPr="00E9200E">
        <w:rPr>
          <w:rFonts w:ascii="Cambria" w:hAnsi="Cambria"/>
          <w:color w:val="000000"/>
          <w:sz w:val="20"/>
          <w:szCs w:val="20"/>
          <w:lang w:val="es-ES"/>
        </w:rPr>
        <w:t>,</w:t>
      </w:r>
      <w:r w:rsidRPr="00E9200E">
        <w:rPr>
          <w:rFonts w:ascii="Cambria" w:hAnsi="Cambria"/>
          <w:color w:val="000000"/>
          <w:sz w:val="20"/>
          <w:szCs w:val="20"/>
          <w:lang w:val="es-ES"/>
        </w:rPr>
        <w:t xml:space="preserve"> si bien la señora Cameron decidió hacer un arreglo del juicio civil en los tribunales locales, lo hizo porque creyó que no tenían ninguna otra opción y está insatisfecha con la cantidad que recibió, a </w:t>
      </w:r>
      <w:r w:rsidR="002362AD" w:rsidRPr="00E9200E">
        <w:rPr>
          <w:rFonts w:ascii="Cambria" w:hAnsi="Cambria"/>
          <w:color w:val="000000"/>
          <w:sz w:val="20"/>
          <w:szCs w:val="20"/>
          <w:lang w:val="es-ES"/>
        </w:rPr>
        <w:t>saber,</w:t>
      </w:r>
      <w:r w:rsidRPr="00E9200E">
        <w:rPr>
          <w:rFonts w:ascii="Cambria" w:hAnsi="Cambria"/>
          <w:color w:val="000000"/>
          <w:sz w:val="20"/>
          <w:szCs w:val="20"/>
          <w:lang w:val="es-ES"/>
        </w:rPr>
        <w:t xml:space="preserve"> JA$1.9 millones, o sea, US$34.000,00, después de pagar los honorarios de abogado</w:t>
      </w:r>
      <w:r w:rsidRPr="00E9200E">
        <w:rPr>
          <w:rStyle w:val="FootnoteReference"/>
          <w:rFonts w:ascii="Cambria" w:hAnsi="Cambria"/>
          <w:color w:val="000000"/>
          <w:sz w:val="20"/>
          <w:szCs w:val="20"/>
          <w:lang w:val="es-ES"/>
        </w:rPr>
        <w:footnoteReference w:id="5"/>
      </w:r>
      <w:r w:rsidRPr="00E9200E">
        <w:rPr>
          <w:rFonts w:ascii="Cambria" w:hAnsi="Cambria"/>
          <w:color w:val="000000"/>
          <w:sz w:val="20"/>
          <w:szCs w:val="20"/>
          <w:lang w:val="es-ES"/>
        </w:rPr>
        <w:t xml:space="preserve">. En 2009, los peticionarios señalan que el Estado de Jamaica no cumplió la primera de las recomendaciones, pese a solicitudes verbales y por escrito de Jamaicans for Justice (JFJ) al </w:t>
      </w:r>
      <w:proofErr w:type="gramStart"/>
      <w:r w:rsidRPr="00E9200E">
        <w:rPr>
          <w:rFonts w:ascii="Cambria" w:hAnsi="Cambria"/>
          <w:color w:val="000000"/>
          <w:sz w:val="20"/>
          <w:szCs w:val="20"/>
          <w:lang w:val="es-ES"/>
        </w:rPr>
        <w:t>Primer Ministro</w:t>
      </w:r>
      <w:proofErr w:type="gramEnd"/>
      <w:r w:rsidRPr="00E9200E">
        <w:rPr>
          <w:rFonts w:ascii="Cambria" w:hAnsi="Cambria"/>
          <w:color w:val="000000"/>
          <w:sz w:val="20"/>
          <w:szCs w:val="20"/>
          <w:lang w:val="es-ES"/>
        </w:rPr>
        <w:t xml:space="preserve"> del país</w:t>
      </w:r>
      <w:r w:rsidRPr="00E9200E">
        <w:rPr>
          <w:rStyle w:val="FootnoteReference"/>
          <w:rFonts w:ascii="Cambria" w:hAnsi="Cambria"/>
          <w:color w:val="000000"/>
          <w:sz w:val="20"/>
          <w:szCs w:val="20"/>
          <w:lang w:val="es-ES"/>
        </w:rPr>
        <w:footnoteReference w:id="6"/>
      </w:r>
      <w:r w:rsidRPr="00E9200E">
        <w:rPr>
          <w:rFonts w:ascii="Cambria" w:hAnsi="Cambria"/>
          <w:color w:val="000000"/>
          <w:sz w:val="20"/>
          <w:szCs w:val="20"/>
          <w:lang w:val="es-ES"/>
        </w:rPr>
        <w:t>.</w:t>
      </w:r>
      <w:r w:rsidR="00EF704A" w:rsidRPr="00E9200E">
        <w:rPr>
          <w:rFonts w:ascii="Cambria" w:hAnsi="Cambria"/>
          <w:color w:val="000000"/>
          <w:sz w:val="20"/>
          <w:szCs w:val="20"/>
          <w:lang w:val="es-ES"/>
        </w:rPr>
        <w:t xml:space="preserve"> </w:t>
      </w:r>
      <w:r w:rsidR="00D862B6" w:rsidRPr="00E9200E">
        <w:rPr>
          <w:rFonts w:ascii="Cambria" w:hAnsi="Cambria"/>
          <w:color w:val="000000"/>
          <w:sz w:val="20"/>
          <w:szCs w:val="20"/>
          <w:lang w:val="es-ES"/>
        </w:rPr>
        <w:t>En 2010, los peticionarios informaron que la compensación por daño moral no había sido pagada a la familia de Michael Gayle y que la suma ya recibida es considerada como un remedio inadecu</w:t>
      </w:r>
      <w:r w:rsidR="00EF704A" w:rsidRPr="00E9200E">
        <w:rPr>
          <w:rFonts w:ascii="Cambria" w:hAnsi="Cambria"/>
          <w:color w:val="000000"/>
          <w:sz w:val="20"/>
          <w:szCs w:val="20"/>
          <w:lang w:val="es-ES"/>
        </w:rPr>
        <w:t>ado para compensar a la familia</w:t>
      </w:r>
      <w:r w:rsidR="00D862B6" w:rsidRPr="00E9200E">
        <w:rPr>
          <w:rFonts w:ascii="Cambria" w:hAnsi="Cambria"/>
          <w:color w:val="000000"/>
          <w:sz w:val="20"/>
          <w:szCs w:val="20"/>
          <w:lang w:val="es-ES"/>
        </w:rPr>
        <w:t>.</w:t>
      </w:r>
      <w:r w:rsidR="00EF704A" w:rsidRPr="00E9200E">
        <w:rPr>
          <w:rFonts w:ascii="Cambria" w:hAnsi="Cambria"/>
          <w:color w:val="000000"/>
          <w:sz w:val="20"/>
          <w:szCs w:val="20"/>
          <w:lang w:val="es-ES"/>
        </w:rPr>
        <w:t xml:space="preserve"> En relación </w:t>
      </w:r>
      <w:r w:rsidR="002362AD" w:rsidRPr="00E9200E">
        <w:rPr>
          <w:rFonts w:ascii="Cambria" w:hAnsi="Cambria"/>
          <w:color w:val="000000"/>
          <w:sz w:val="20"/>
          <w:szCs w:val="20"/>
          <w:lang w:val="es-ES"/>
        </w:rPr>
        <w:t>con</w:t>
      </w:r>
      <w:r w:rsidR="00EF704A" w:rsidRPr="00E9200E">
        <w:rPr>
          <w:rFonts w:ascii="Cambria" w:hAnsi="Cambria"/>
          <w:color w:val="000000"/>
          <w:sz w:val="20"/>
          <w:szCs w:val="20"/>
          <w:lang w:val="es-ES"/>
        </w:rPr>
        <w:t xml:space="preserve"> la disculpa pública, los peticionarios señalaron que la carta que fuera enviada al </w:t>
      </w:r>
      <w:proofErr w:type="gramStart"/>
      <w:r w:rsidR="00EF704A" w:rsidRPr="00E9200E">
        <w:rPr>
          <w:rFonts w:ascii="Cambria" w:hAnsi="Cambria"/>
          <w:color w:val="000000"/>
          <w:sz w:val="20"/>
          <w:szCs w:val="20"/>
          <w:lang w:val="es-ES"/>
        </w:rPr>
        <w:t>Primer Ministro</w:t>
      </w:r>
      <w:proofErr w:type="gramEnd"/>
      <w:r w:rsidR="00EF704A" w:rsidRPr="00E9200E">
        <w:rPr>
          <w:rFonts w:ascii="Cambria" w:hAnsi="Cambria"/>
          <w:color w:val="000000"/>
          <w:sz w:val="20"/>
          <w:szCs w:val="20"/>
          <w:lang w:val="es-ES"/>
        </w:rPr>
        <w:t xml:space="preserve"> de Jamaica solicitando el cumplimiento con este punto fue respondida con una copia de la opinión del Fiscal General en el sentido de que era discreción del Primer Ministro pedir perdón, pero lo prevenía sobre las implicaciones que podía tener en otros casos. Los peticionarios indican que, en todo caso, el </w:t>
      </w:r>
      <w:proofErr w:type="gramStart"/>
      <w:r w:rsidR="00EF704A" w:rsidRPr="00E9200E">
        <w:rPr>
          <w:rFonts w:ascii="Cambria" w:hAnsi="Cambria"/>
          <w:color w:val="000000"/>
          <w:sz w:val="20"/>
          <w:szCs w:val="20"/>
          <w:lang w:val="es-ES"/>
        </w:rPr>
        <w:t>Primer Ministro</w:t>
      </w:r>
      <w:proofErr w:type="gramEnd"/>
      <w:r w:rsidR="00EF704A" w:rsidRPr="00E9200E">
        <w:rPr>
          <w:rFonts w:ascii="Cambria" w:hAnsi="Cambria"/>
          <w:color w:val="000000"/>
          <w:sz w:val="20"/>
          <w:szCs w:val="20"/>
          <w:lang w:val="es-ES"/>
        </w:rPr>
        <w:t xml:space="preserve"> no realizó ningún pedido público de perdón</w:t>
      </w:r>
      <w:r w:rsidR="00EF704A" w:rsidRPr="00E9200E">
        <w:rPr>
          <w:rStyle w:val="FootnoteReference"/>
          <w:rFonts w:ascii="Cambria" w:hAnsi="Cambria"/>
          <w:color w:val="000000"/>
          <w:sz w:val="20"/>
          <w:szCs w:val="20"/>
          <w:lang w:val="es-ES"/>
        </w:rPr>
        <w:footnoteReference w:id="7"/>
      </w:r>
      <w:r w:rsidR="00EF704A" w:rsidRPr="00E9200E">
        <w:rPr>
          <w:rFonts w:ascii="Cambria" w:hAnsi="Cambria"/>
          <w:color w:val="000000"/>
          <w:sz w:val="20"/>
          <w:szCs w:val="20"/>
          <w:lang w:val="es-ES"/>
        </w:rPr>
        <w:t>. En 2018,</w:t>
      </w:r>
      <w:r w:rsidR="002362AD" w:rsidRPr="00E9200E">
        <w:rPr>
          <w:rFonts w:ascii="Cambria" w:hAnsi="Cambria"/>
          <w:color w:val="000000"/>
          <w:sz w:val="20"/>
          <w:szCs w:val="20"/>
          <w:lang w:val="es-ES"/>
        </w:rPr>
        <w:t xml:space="preserve"> 2019 y 2020</w:t>
      </w:r>
      <w:r w:rsidR="00EF704A" w:rsidRPr="00E9200E">
        <w:rPr>
          <w:rFonts w:ascii="Cambria" w:hAnsi="Cambria"/>
          <w:color w:val="000000"/>
          <w:sz w:val="20"/>
          <w:szCs w:val="20"/>
          <w:lang w:val="es-ES"/>
        </w:rPr>
        <w:t xml:space="preserve"> los peticionarios no presentaron información actualizada sobre las medidas adoptadas por parte del Estado para cumplir con esta recomendación.</w:t>
      </w:r>
    </w:p>
    <w:p w14:paraId="032B0822" w14:textId="77777777" w:rsidR="001151AC" w:rsidRPr="00E9200E" w:rsidRDefault="001151AC" w:rsidP="001151AC">
      <w:pPr>
        <w:pStyle w:val="NoSpacing"/>
        <w:ind w:left="720"/>
        <w:jc w:val="both"/>
        <w:rPr>
          <w:rFonts w:ascii="Cambria" w:hAnsi="Cambria"/>
          <w:color w:val="000000"/>
          <w:sz w:val="20"/>
          <w:szCs w:val="20"/>
          <w:lang w:val="es-ES"/>
        </w:rPr>
      </w:pPr>
    </w:p>
    <w:p w14:paraId="24E3BD7F" w14:textId="77777777" w:rsidR="001224C2" w:rsidRPr="00E9200E" w:rsidRDefault="001151AC" w:rsidP="00E1619F">
      <w:pPr>
        <w:pStyle w:val="NoSpacing"/>
        <w:numPr>
          <w:ilvl w:val="0"/>
          <w:numId w:val="7"/>
        </w:numPr>
        <w:ind w:firstLine="720"/>
        <w:jc w:val="both"/>
        <w:rPr>
          <w:rFonts w:ascii="Cambria" w:hAnsi="Cambria"/>
          <w:color w:val="000000"/>
          <w:sz w:val="20"/>
          <w:szCs w:val="20"/>
          <w:lang w:val="es-ES"/>
        </w:rPr>
      </w:pPr>
      <w:r w:rsidRPr="00E9200E">
        <w:rPr>
          <w:rFonts w:ascii="Cambria" w:hAnsi="Cambria"/>
          <w:color w:val="000000"/>
          <w:sz w:val="20"/>
          <w:szCs w:val="20"/>
          <w:lang w:val="es-ES"/>
        </w:rPr>
        <w:t xml:space="preserve">La Comisión </w:t>
      </w:r>
      <w:r w:rsidR="002C035E" w:rsidRPr="00E9200E">
        <w:rPr>
          <w:rFonts w:ascii="Cambria" w:hAnsi="Cambria"/>
          <w:color w:val="000000"/>
          <w:sz w:val="20"/>
          <w:szCs w:val="20"/>
          <w:lang w:val="es-ES"/>
        </w:rPr>
        <w:t xml:space="preserve">reitera que, toma </w:t>
      </w:r>
      <w:r w:rsidRPr="00E9200E">
        <w:rPr>
          <w:rFonts w:ascii="Cambria" w:hAnsi="Cambria"/>
          <w:color w:val="000000"/>
          <w:sz w:val="20"/>
          <w:szCs w:val="20"/>
          <w:lang w:val="es-ES"/>
        </w:rPr>
        <w:t>nota</w:t>
      </w:r>
      <w:r w:rsidR="002C035E" w:rsidRPr="00E9200E">
        <w:rPr>
          <w:rFonts w:ascii="Cambria" w:hAnsi="Cambria"/>
          <w:color w:val="000000"/>
          <w:sz w:val="20"/>
          <w:szCs w:val="20"/>
          <w:lang w:val="es-ES"/>
        </w:rPr>
        <w:t xml:space="preserve"> de</w:t>
      </w:r>
      <w:r w:rsidR="002362AD" w:rsidRPr="00E9200E">
        <w:rPr>
          <w:rFonts w:ascii="Cambria" w:hAnsi="Cambria"/>
          <w:color w:val="000000"/>
          <w:sz w:val="20"/>
          <w:szCs w:val="20"/>
          <w:lang w:val="es-ES"/>
        </w:rPr>
        <w:t xml:space="preserve"> que, a pesar de</w:t>
      </w:r>
      <w:r w:rsidRPr="00E9200E">
        <w:rPr>
          <w:rFonts w:ascii="Cambria" w:hAnsi="Cambria"/>
          <w:color w:val="000000"/>
          <w:sz w:val="20"/>
          <w:szCs w:val="20"/>
          <w:lang w:val="es-ES"/>
        </w:rPr>
        <w:t xml:space="preserve"> la declaración del Estado de que ha pagado una compensación y formulado una disculpa pública a los familiares del señor Gayle,</w:t>
      </w:r>
      <w:r w:rsidR="005C4BC0" w:rsidRPr="00E9200E">
        <w:rPr>
          <w:rFonts w:ascii="Cambria" w:hAnsi="Cambria"/>
          <w:color w:val="000000"/>
          <w:sz w:val="20"/>
          <w:szCs w:val="20"/>
          <w:lang w:val="es-ES"/>
        </w:rPr>
        <w:t xml:space="preserve"> lo último que fue expresado por</w:t>
      </w:r>
      <w:r w:rsidRPr="00E9200E">
        <w:rPr>
          <w:rFonts w:ascii="Cambria" w:hAnsi="Cambria"/>
          <w:color w:val="000000"/>
          <w:sz w:val="20"/>
          <w:szCs w:val="20"/>
          <w:lang w:val="es-ES"/>
        </w:rPr>
        <w:t xml:space="preserve"> los familiares más cercanos del señor Gayle </w:t>
      </w:r>
      <w:r w:rsidR="005C4BC0" w:rsidRPr="00E9200E">
        <w:rPr>
          <w:rFonts w:ascii="Cambria" w:hAnsi="Cambria"/>
          <w:color w:val="000000"/>
          <w:sz w:val="20"/>
          <w:szCs w:val="20"/>
          <w:lang w:val="es-ES"/>
        </w:rPr>
        <w:t>fue que no</w:t>
      </w:r>
      <w:r w:rsidRPr="00E9200E">
        <w:rPr>
          <w:rFonts w:ascii="Cambria" w:hAnsi="Cambria"/>
          <w:color w:val="000000"/>
          <w:sz w:val="20"/>
          <w:szCs w:val="20"/>
          <w:lang w:val="es-ES"/>
        </w:rPr>
        <w:t xml:space="preserve"> están satisfechos con </w:t>
      </w:r>
      <w:r w:rsidR="007B51EC" w:rsidRPr="00E9200E">
        <w:rPr>
          <w:rFonts w:ascii="Cambria" w:hAnsi="Cambria"/>
          <w:color w:val="000000"/>
          <w:sz w:val="20"/>
          <w:szCs w:val="20"/>
          <w:lang w:val="es-ES"/>
        </w:rPr>
        <w:t>la</w:t>
      </w:r>
      <w:r w:rsidRPr="00E9200E">
        <w:rPr>
          <w:rFonts w:ascii="Cambria" w:hAnsi="Cambria"/>
          <w:color w:val="000000"/>
          <w:sz w:val="20"/>
          <w:szCs w:val="20"/>
          <w:lang w:val="es-ES"/>
        </w:rPr>
        <w:t xml:space="preserve"> compensación suministrada por el Estado.</w:t>
      </w:r>
      <w:r w:rsidR="007B51EC" w:rsidRPr="00E9200E">
        <w:rPr>
          <w:rFonts w:ascii="Cambria" w:hAnsi="Cambria"/>
          <w:color w:val="000000"/>
          <w:sz w:val="20"/>
          <w:szCs w:val="20"/>
          <w:lang w:val="es-ES"/>
        </w:rPr>
        <w:t xml:space="preserve"> Igualmente, nota que</w:t>
      </w:r>
      <w:r w:rsidR="003F5DE2" w:rsidRPr="00E9200E">
        <w:rPr>
          <w:rFonts w:ascii="Cambria" w:hAnsi="Cambria"/>
          <w:color w:val="000000"/>
          <w:sz w:val="20"/>
          <w:szCs w:val="20"/>
          <w:lang w:val="es-ES"/>
        </w:rPr>
        <w:t xml:space="preserve">, aun cuando la Comisión extendió la invitación de diálogo con la parte peticionaria, </w:t>
      </w:r>
      <w:r w:rsidR="007B51EC" w:rsidRPr="00E9200E">
        <w:rPr>
          <w:rFonts w:ascii="Cambria" w:hAnsi="Cambria"/>
          <w:color w:val="000000"/>
          <w:sz w:val="20"/>
          <w:szCs w:val="20"/>
          <w:lang w:val="es-ES"/>
        </w:rPr>
        <w:t xml:space="preserve">el Estado no reportó ninguna acción dirigida a acercarse a las víctimas </w:t>
      </w:r>
      <w:r w:rsidR="003F5DE2" w:rsidRPr="00E9200E">
        <w:rPr>
          <w:rFonts w:ascii="Cambria" w:hAnsi="Cambria"/>
          <w:color w:val="000000"/>
          <w:sz w:val="20"/>
          <w:szCs w:val="20"/>
          <w:lang w:val="es-ES"/>
        </w:rPr>
        <w:t xml:space="preserve">o a su representación, </w:t>
      </w:r>
      <w:r w:rsidR="007B51EC" w:rsidRPr="00E9200E">
        <w:rPr>
          <w:rFonts w:ascii="Cambria" w:hAnsi="Cambria"/>
          <w:color w:val="000000"/>
          <w:sz w:val="20"/>
          <w:szCs w:val="20"/>
          <w:lang w:val="es-ES"/>
        </w:rPr>
        <w:t>a pesar de que la CIDH</w:t>
      </w:r>
      <w:r w:rsidRPr="00E9200E">
        <w:rPr>
          <w:rFonts w:ascii="Cambria" w:hAnsi="Cambria"/>
          <w:color w:val="000000"/>
          <w:sz w:val="20"/>
          <w:szCs w:val="20"/>
          <w:lang w:val="es-ES"/>
        </w:rPr>
        <w:t xml:space="preserve"> reiter</w:t>
      </w:r>
      <w:r w:rsidR="007B51EC" w:rsidRPr="00E9200E">
        <w:rPr>
          <w:rFonts w:ascii="Cambria" w:hAnsi="Cambria"/>
          <w:color w:val="000000"/>
          <w:sz w:val="20"/>
          <w:szCs w:val="20"/>
          <w:lang w:val="es-ES"/>
        </w:rPr>
        <w:t>ó</w:t>
      </w:r>
      <w:r w:rsidRPr="00E9200E">
        <w:rPr>
          <w:rFonts w:ascii="Cambria" w:hAnsi="Cambria"/>
          <w:color w:val="000000"/>
          <w:sz w:val="20"/>
          <w:szCs w:val="20"/>
          <w:lang w:val="es-ES"/>
        </w:rPr>
        <w:t xml:space="preserve"> </w:t>
      </w:r>
      <w:r w:rsidR="007B51EC" w:rsidRPr="00E9200E">
        <w:rPr>
          <w:rFonts w:ascii="Cambria" w:hAnsi="Cambria"/>
          <w:color w:val="000000"/>
          <w:sz w:val="20"/>
          <w:szCs w:val="20"/>
          <w:lang w:val="es-ES"/>
        </w:rPr>
        <w:t>la</w:t>
      </w:r>
      <w:r w:rsidRPr="00E9200E">
        <w:rPr>
          <w:rFonts w:ascii="Cambria" w:hAnsi="Cambria"/>
          <w:color w:val="000000"/>
          <w:sz w:val="20"/>
          <w:szCs w:val="20"/>
          <w:lang w:val="es-ES"/>
        </w:rPr>
        <w:t xml:space="preserve"> posición declarada en el Informe de Fondo </w:t>
      </w:r>
      <w:r w:rsidR="001F14E7" w:rsidRPr="00E9200E">
        <w:rPr>
          <w:rFonts w:ascii="Cambria" w:hAnsi="Cambria"/>
          <w:color w:val="000000"/>
          <w:sz w:val="20"/>
          <w:szCs w:val="20"/>
          <w:lang w:val="es-ES"/>
        </w:rPr>
        <w:t>Nº</w:t>
      </w:r>
      <w:r w:rsidRPr="00E9200E">
        <w:rPr>
          <w:rFonts w:ascii="Cambria" w:hAnsi="Cambria"/>
          <w:color w:val="000000"/>
          <w:sz w:val="20"/>
          <w:szCs w:val="20"/>
          <w:lang w:val="es-ES"/>
        </w:rPr>
        <w:t xml:space="preserve"> 92/05</w:t>
      </w:r>
      <w:r w:rsidR="007B51EC" w:rsidRPr="00E9200E">
        <w:rPr>
          <w:rFonts w:ascii="Cambria" w:hAnsi="Cambria"/>
          <w:color w:val="000000"/>
          <w:sz w:val="20"/>
          <w:szCs w:val="20"/>
          <w:lang w:val="es-ES"/>
        </w:rPr>
        <w:t xml:space="preserve"> en cuanto a </w:t>
      </w:r>
      <w:r w:rsidRPr="00E9200E">
        <w:rPr>
          <w:rFonts w:ascii="Cambria" w:hAnsi="Cambria"/>
          <w:color w:val="000000"/>
          <w:sz w:val="20"/>
          <w:szCs w:val="20"/>
          <w:lang w:val="es-ES"/>
        </w:rPr>
        <w:t xml:space="preserve">que </w:t>
      </w:r>
      <w:r w:rsidR="007B51EC" w:rsidRPr="00E9200E">
        <w:rPr>
          <w:rFonts w:ascii="Cambria" w:hAnsi="Cambria"/>
          <w:color w:val="000000"/>
          <w:sz w:val="20"/>
          <w:szCs w:val="20"/>
          <w:lang w:val="es-ES"/>
        </w:rPr>
        <w:t xml:space="preserve">la posición de insatisfacción de las víctimas con las reparaciones ofrecidas por el Estado </w:t>
      </w:r>
      <w:r w:rsidRPr="00E9200E">
        <w:rPr>
          <w:rFonts w:ascii="Cambria" w:hAnsi="Cambria"/>
          <w:color w:val="000000"/>
          <w:sz w:val="20"/>
          <w:szCs w:val="20"/>
          <w:lang w:val="es-ES"/>
        </w:rPr>
        <w:t>debe ser examinad</w:t>
      </w:r>
      <w:r w:rsidR="007B51EC" w:rsidRPr="00E9200E">
        <w:rPr>
          <w:rFonts w:ascii="Cambria" w:hAnsi="Cambria"/>
          <w:color w:val="000000"/>
          <w:sz w:val="20"/>
          <w:szCs w:val="20"/>
          <w:lang w:val="es-ES"/>
        </w:rPr>
        <w:t>a</w:t>
      </w:r>
      <w:r w:rsidRPr="00E9200E">
        <w:rPr>
          <w:rFonts w:ascii="Cambria" w:hAnsi="Cambria"/>
          <w:color w:val="000000"/>
          <w:sz w:val="20"/>
          <w:szCs w:val="20"/>
          <w:lang w:val="es-ES"/>
        </w:rPr>
        <w:t xml:space="preserve"> nuevamente entre las partes</w:t>
      </w:r>
      <w:r w:rsidR="001224C2" w:rsidRPr="00E9200E">
        <w:rPr>
          <w:rStyle w:val="FootnoteReference"/>
          <w:rFonts w:ascii="Cambria" w:hAnsi="Cambria"/>
          <w:color w:val="000000"/>
          <w:sz w:val="20"/>
          <w:szCs w:val="20"/>
          <w:lang w:val="es-ES"/>
        </w:rPr>
        <w:footnoteReference w:id="8"/>
      </w:r>
      <w:r w:rsidR="007B51EC" w:rsidRPr="00E9200E">
        <w:rPr>
          <w:rFonts w:ascii="Cambria" w:hAnsi="Cambria"/>
          <w:color w:val="000000"/>
          <w:sz w:val="20"/>
          <w:szCs w:val="20"/>
          <w:lang w:val="es-ES"/>
        </w:rPr>
        <w:t xml:space="preserve">. En este sentido, la Comisión reitera su llamado a </w:t>
      </w:r>
      <w:r w:rsidRPr="00E9200E">
        <w:rPr>
          <w:rFonts w:ascii="Cambria" w:hAnsi="Cambria"/>
          <w:color w:val="000000"/>
          <w:sz w:val="20"/>
          <w:szCs w:val="20"/>
          <w:lang w:val="es-ES"/>
        </w:rPr>
        <w:t xml:space="preserve">las partes a trabajar conjuntamente para llegar a un acuerdo sobre estos temas. </w:t>
      </w:r>
      <w:r w:rsidR="001224C2" w:rsidRPr="00E9200E">
        <w:rPr>
          <w:rFonts w:ascii="Cambria" w:hAnsi="Cambria"/>
          <w:color w:val="000000"/>
          <w:sz w:val="20"/>
          <w:szCs w:val="20"/>
          <w:lang w:val="es-ES"/>
        </w:rPr>
        <w:t xml:space="preserve">Por lo anterior, la CIDH considera que la Recomendación 1 se encuentra </w:t>
      </w:r>
      <w:r w:rsidRPr="00E9200E">
        <w:rPr>
          <w:rFonts w:ascii="Cambria" w:hAnsi="Cambria"/>
          <w:color w:val="000000"/>
          <w:sz w:val="20"/>
          <w:szCs w:val="20"/>
          <w:lang w:val="es-ES"/>
        </w:rPr>
        <w:t>parcialmente</w:t>
      </w:r>
      <w:r w:rsidR="001224C2" w:rsidRPr="00E9200E">
        <w:rPr>
          <w:rFonts w:ascii="Cambria" w:hAnsi="Cambria"/>
          <w:color w:val="000000"/>
          <w:sz w:val="20"/>
          <w:szCs w:val="20"/>
          <w:lang w:val="es-ES"/>
        </w:rPr>
        <w:t xml:space="preserve"> cumplida. </w:t>
      </w:r>
    </w:p>
    <w:p w14:paraId="4FE96D02" w14:textId="77777777" w:rsidR="001224C2" w:rsidRPr="00E9200E" w:rsidRDefault="001224C2" w:rsidP="001224C2">
      <w:pPr>
        <w:pStyle w:val="NoSpacing"/>
        <w:ind w:left="720"/>
        <w:jc w:val="both"/>
        <w:rPr>
          <w:rFonts w:ascii="Cambria" w:hAnsi="Cambria"/>
          <w:color w:val="000000"/>
          <w:sz w:val="20"/>
          <w:szCs w:val="20"/>
          <w:lang w:val="es-ES"/>
        </w:rPr>
      </w:pPr>
    </w:p>
    <w:p w14:paraId="4907B53A" w14:textId="77777777" w:rsidR="00C575AA" w:rsidRPr="00E9200E" w:rsidRDefault="00960A03" w:rsidP="00E1619F">
      <w:pPr>
        <w:pStyle w:val="NoSpacing"/>
        <w:numPr>
          <w:ilvl w:val="0"/>
          <w:numId w:val="7"/>
        </w:numPr>
        <w:ind w:firstLine="720"/>
        <w:jc w:val="both"/>
        <w:rPr>
          <w:rFonts w:ascii="Cambria" w:hAnsi="Cambria"/>
          <w:color w:val="000000"/>
          <w:sz w:val="20"/>
          <w:szCs w:val="20"/>
          <w:lang w:val="es-ES"/>
        </w:rPr>
      </w:pPr>
      <w:r w:rsidRPr="00E9200E">
        <w:rPr>
          <w:rFonts w:ascii="Cambria" w:hAnsi="Cambria" w:cs="Calibri Light"/>
          <w:b/>
          <w:color w:val="000000"/>
          <w:sz w:val="20"/>
          <w:szCs w:val="20"/>
          <w:lang w:val="es-ES"/>
        </w:rPr>
        <w:t>Respecto de la segunda recomendación</w:t>
      </w:r>
      <w:r w:rsidRPr="00E9200E">
        <w:rPr>
          <w:rFonts w:ascii="Cambria" w:hAnsi="Cambria" w:cs="Calibri Light"/>
          <w:color w:val="000000"/>
          <w:sz w:val="20"/>
          <w:szCs w:val="20"/>
          <w:lang w:val="es-ES"/>
        </w:rPr>
        <w:t>,</w:t>
      </w:r>
      <w:r w:rsidR="001224C2" w:rsidRPr="00E9200E">
        <w:rPr>
          <w:rFonts w:ascii="Cambria" w:hAnsi="Cambria" w:cs="Calibri Light"/>
          <w:b/>
          <w:color w:val="000000"/>
          <w:sz w:val="20"/>
          <w:szCs w:val="20"/>
          <w:lang w:val="es-ES"/>
        </w:rPr>
        <w:t xml:space="preserve"> </w:t>
      </w:r>
      <w:r w:rsidR="001224C2" w:rsidRPr="00E9200E">
        <w:rPr>
          <w:rFonts w:ascii="Cambria" w:hAnsi="Cambria"/>
          <w:color w:val="000000"/>
          <w:sz w:val="20"/>
          <w:szCs w:val="20"/>
          <w:lang w:val="es-ES"/>
        </w:rPr>
        <w:t>en 2006, el Estado informó a la CIDH que en el caso de Michael Gayle se realizaron investigaciones minuciosas e imparciales</w:t>
      </w:r>
      <w:r w:rsidR="001224C2" w:rsidRPr="00E9200E">
        <w:rPr>
          <w:rStyle w:val="FootnoteReference"/>
          <w:rFonts w:ascii="Cambria" w:hAnsi="Cambria"/>
          <w:color w:val="000000"/>
          <w:sz w:val="20"/>
          <w:szCs w:val="20"/>
          <w:lang w:val="es-ES"/>
        </w:rPr>
        <w:footnoteReference w:id="9"/>
      </w:r>
      <w:r w:rsidR="001224C2" w:rsidRPr="00E9200E">
        <w:rPr>
          <w:rFonts w:ascii="Cambria" w:hAnsi="Cambria"/>
          <w:color w:val="000000"/>
          <w:sz w:val="20"/>
          <w:szCs w:val="20"/>
          <w:lang w:val="es-ES"/>
        </w:rPr>
        <w:t>.</w:t>
      </w:r>
      <w:r w:rsidR="00E237F5" w:rsidRPr="00E9200E">
        <w:rPr>
          <w:rFonts w:ascii="Cambria" w:hAnsi="Cambria"/>
          <w:color w:val="000000"/>
          <w:sz w:val="20"/>
          <w:szCs w:val="20"/>
          <w:lang w:val="es-ES"/>
        </w:rPr>
        <w:t xml:space="preserve"> En 2015, el Estado indicó que las leyes de Jamaica, incluyendo la Carta de Derechos y Libertades Fundamentales de Jamaica, proveen una protección adecuada en contra de las violaciones a los derechos humanos y facilitan una adecuada investigación, y agregó que</w:t>
      </w:r>
      <w:r w:rsidR="00857C27" w:rsidRPr="00E9200E">
        <w:rPr>
          <w:rFonts w:ascii="Cambria" w:hAnsi="Cambria"/>
          <w:color w:val="000000"/>
          <w:sz w:val="20"/>
          <w:szCs w:val="20"/>
          <w:lang w:val="es-ES"/>
        </w:rPr>
        <w:t>,</w:t>
      </w:r>
      <w:r w:rsidR="00E237F5" w:rsidRPr="00E9200E">
        <w:rPr>
          <w:rFonts w:ascii="Cambria" w:hAnsi="Cambria"/>
          <w:color w:val="000000"/>
          <w:sz w:val="20"/>
          <w:szCs w:val="20"/>
          <w:lang w:val="es-ES"/>
        </w:rPr>
        <w:t xml:space="preserve"> aunque en el presente caso se realizaron investigaciones imparciales, el </w:t>
      </w:r>
      <w:proofErr w:type="gramStart"/>
      <w:r w:rsidR="00E237F5" w:rsidRPr="00E9200E">
        <w:rPr>
          <w:rFonts w:ascii="Cambria" w:hAnsi="Cambria"/>
          <w:color w:val="000000"/>
          <w:sz w:val="20"/>
          <w:szCs w:val="20"/>
          <w:lang w:val="es-ES"/>
        </w:rPr>
        <w:t>Director</w:t>
      </w:r>
      <w:proofErr w:type="gramEnd"/>
      <w:r w:rsidR="00E237F5" w:rsidRPr="00E9200E">
        <w:rPr>
          <w:rFonts w:ascii="Cambria" w:hAnsi="Cambria"/>
          <w:color w:val="000000"/>
          <w:sz w:val="20"/>
          <w:szCs w:val="20"/>
          <w:lang w:val="es-ES"/>
        </w:rPr>
        <w:t xml:space="preserve"> de </w:t>
      </w:r>
      <w:r w:rsidR="00E237F5" w:rsidRPr="00E9200E">
        <w:rPr>
          <w:rFonts w:ascii="Cambria" w:hAnsi="Cambria"/>
          <w:i/>
          <w:color w:val="000000"/>
          <w:sz w:val="20"/>
          <w:szCs w:val="20"/>
          <w:lang w:val="es-ES"/>
        </w:rPr>
        <w:t>Public Prosecution</w:t>
      </w:r>
      <w:r w:rsidR="00E237F5" w:rsidRPr="00E9200E">
        <w:rPr>
          <w:rFonts w:ascii="Cambria" w:hAnsi="Cambria"/>
          <w:color w:val="000000"/>
          <w:sz w:val="20"/>
          <w:szCs w:val="20"/>
          <w:lang w:val="es-ES"/>
        </w:rPr>
        <w:t xml:space="preserve"> (DPP) concluyó que no había suficientes evidencias para seguir con una acusación penal. En este sentido, el Estado expresó que las decisiones de continuar o no con un proceso penal corresponden </w:t>
      </w:r>
      <w:r w:rsidR="00E237F5" w:rsidRPr="00E9200E">
        <w:rPr>
          <w:rFonts w:ascii="Cambria" w:hAnsi="Cambria"/>
          <w:color w:val="000000"/>
          <w:sz w:val="20"/>
          <w:szCs w:val="20"/>
          <w:lang w:val="es-ES"/>
        </w:rPr>
        <w:lastRenderedPageBreak/>
        <w:t>únicamente al DPP de conformidad con la sección 94 de la Constitución de Jamaica, y que la discrecionalidad de dichas decisiones no está sujeta al control de ninguna persona o autoridad</w:t>
      </w:r>
      <w:r w:rsidR="00E237F5" w:rsidRPr="00E9200E">
        <w:rPr>
          <w:rStyle w:val="FootnoteReference"/>
          <w:rFonts w:ascii="Cambria" w:hAnsi="Cambria"/>
          <w:color w:val="000000"/>
          <w:sz w:val="20"/>
          <w:szCs w:val="20"/>
          <w:lang w:val="es-ES"/>
        </w:rPr>
        <w:footnoteReference w:id="10"/>
      </w:r>
      <w:r w:rsidR="00E237F5" w:rsidRPr="00E9200E">
        <w:rPr>
          <w:rFonts w:ascii="Cambria" w:hAnsi="Cambria"/>
          <w:color w:val="000000"/>
          <w:sz w:val="20"/>
          <w:szCs w:val="20"/>
          <w:lang w:val="es-ES"/>
        </w:rPr>
        <w:t>. Sin embargo, el Estado indicó que</w:t>
      </w:r>
      <w:r w:rsidR="00E1619F" w:rsidRPr="00E9200E">
        <w:rPr>
          <w:rFonts w:ascii="Cambria" w:hAnsi="Cambria"/>
          <w:color w:val="000000"/>
          <w:sz w:val="20"/>
          <w:szCs w:val="20"/>
          <w:lang w:val="es-ES"/>
        </w:rPr>
        <w:t>,</w:t>
      </w:r>
      <w:r w:rsidR="00E237F5" w:rsidRPr="00E9200E">
        <w:rPr>
          <w:rFonts w:ascii="Cambria" w:hAnsi="Cambria"/>
          <w:color w:val="000000"/>
          <w:sz w:val="20"/>
          <w:szCs w:val="20"/>
          <w:lang w:val="es-ES"/>
        </w:rPr>
        <w:t xml:space="preserve"> aunque el DPP concluyó que no había pruebas suficientes para un proceso penal, el </w:t>
      </w:r>
      <w:proofErr w:type="gramStart"/>
      <w:r w:rsidR="00E237F5" w:rsidRPr="00E9200E">
        <w:rPr>
          <w:rFonts w:ascii="Cambria" w:hAnsi="Cambria"/>
          <w:color w:val="000000"/>
          <w:sz w:val="20"/>
          <w:szCs w:val="20"/>
          <w:lang w:val="es-ES"/>
        </w:rPr>
        <w:t>Ministro</w:t>
      </w:r>
      <w:proofErr w:type="gramEnd"/>
      <w:r w:rsidR="00E237F5" w:rsidRPr="00E9200E">
        <w:rPr>
          <w:rFonts w:ascii="Cambria" w:hAnsi="Cambria"/>
          <w:color w:val="000000"/>
          <w:sz w:val="20"/>
          <w:szCs w:val="20"/>
          <w:lang w:val="es-ES"/>
        </w:rPr>
        <w:t xml:space="preserve"> de Justicia y el Fiscal General determinaron que había pruebas suficientes para justificar la resolución de la demanda civil presentada por la Sra. </w:t>
      </w:r>
      <w:r w:rsidR="00E1619F" w:rsidRPr="00E9200E">
        <w:rPr>
          <w:rFonts w:ascii="Cambria" w:hAnsi="Cambria"/>
          <w:color w:val="000000"/>
          <w:sz w:val="20"/>
          <w:szCs w:val="20"/>
          <w:lang w:val="es-ES"/>
        </w:rPr>
        <w:t>Cameron,</w:t>
      </w:r>
      <w:r w:rsidR="00E237F5" w:rsidRPr="00E9200E">
        <w:rPr>
          <w:rFonts w:ascii="Cambria" w:hAnsi="Cambria"/>
          <w:color w:val="000000"/>
          <w:sz w:val="20"/>
          <w:szCs w:val="20"/>
          <w:lang w:val="es-ES"/>
        </w:rPr>
        <w:t xml:space="preserve"> así como para emitir una disculpa pública.</w:t>
      </w:r>
    </w:p>
    <w:p w14:paraId="47C04132" w14:textId="77777777" w:rsidR="00857C27" w:rsidRPr="00E9200E" w:rsidRDefault="00857C27" w:rsidP="00857C27">
      <w:pPr>
        <w:pStyle w:val="NoSpacing"/>
        <w:ind w:left="720"/>
        <w:jc w:val="both"/>
        <w:rPr>
          <w:rFonts w:ascii="Cambria" w:hAnsi="Cambria"/>
          <w:color w:val="000000"/>
          <w:sz w:val="20"/>
          <w:szCs w:val="20"/>
          <w:lang w:val="es-ES"/>
        </w:rPr>
      </w:pPr>
    </w:p>
    <w:p w14:paraId="3591EDD0" w14:textId="77777777" w:rsidR="00596C28" w:rsidRPr="00E9200E" w:rsidRDefault="00857C27" w:rsidP="00596C28">
      <w:pPr>
        <w:pStyle w:val="NoSpacing"/>
        <w:numPr>
          <w:ilvl w:val="0"/>
          <w:numId w:val="7"/>
        </w:numPr>
        <w:ind w:firstLine="720"/>
        <w:jc w:val="both"/>
        <w:rPr>
          <w:rFonts w:ascii="Cambria" w:hAnsi="Cambria"/>
          <w:color w:val="000000"/>
          <w:sz w:val="20"/>
          <w:szCs w:val="20"/>
          <w:lang w:val="es-ES"/>
        </w:rPr>
      </w:pPr>
      <w:r w:rsidRPr="00E9200E">
        <w:rPr>
          <w:rFonts w:ascii="Cambria" w:hAnsi="Cambria"/>
          <w:color w:val="000000"/>
          <w:sz w:val="20"/>
          <w:szCs w:val="20"/>
          <w:lang w:val="es-ES"/>
        </w:rPr>
        <w:t>En 2020</w:t>
      </w:r>
      <w:r w:rsidR="00596C28" w:rsidRPr="00E9200E">
        <w:rPr>
          <w:rFonts w:ascii="Cambria" w:hAnsi="Cambria"/>
          <w:color w:val="000000"/>
          <w:sz w:val="20"/>
          <w:szCs w:val="20"/>
          <w:lang w:val="es-ES"/>
        </w:rPr>
        <w:t xml:space="preserve"> y en 2021</w:t>
      </w:r>
      <w:r w:rsidRPr="00E9200E">
        <w:rPr>
          <w:rFonts w:ascii="Cambria" w:hAnsi="Cambria"/>
          <w:color w:val="000000"/>
          <w:sz w:val="20"/>
          <w:szCs w:val="20"/>
          <w:lang w:val="es-ES"/>
        </w:rPr>
        <w:t xml:space="preserve">, el Estado </w:t>
      </w:r>
      <w:r w:rsidR="00CB32B3" w:rsidRPr="00E9200E">
        <w:rPr>
          <w:rFonts w:ascii="Cambria" w:hAnsi="Cambria"/>
          <w:color w:val="000000"/>
          <w:sz w:val="20"/>
          <w:szCs w:val="20"/>
          <w:lang w:val="es-ES"/>
        </w:rPr>
        <w:t xml:space="preserve">indicó que, a pesar de las consideraciones de la Comisión, </w:t>
      </w:r>
      <w:r w:rsidRPr="00E9200E">
        <w:rPr>
          <w:rFonts w:ascii="Cambria" w:hAnsi="Cambria"/>
          <w:color w:val="000000"/>
          <w:sz w:val="20"/>
          <w:szCs w:val="20"/>
          <w:lang w:val="es-ES"/>
        </w:rPr>
        <w:t>el paso del tiempo</w:t>
      </w:r>
      <w:r w:rsidR="00CB32B3" w:rsidRPr="00E9200E">
        <w:rPr>
          <w:rFonts w:ascii="Cambria" w:hAnsi="Cambria"/>
          <w:color w:val="000000"/>
          <w:sz w:val="20"/>
          <w:szCs w:val="20"/>
          <w:lang w:val="es-ES"/>
        </w:rPr>
        <w:t xml:space="preserve"> </w:t>
      </w:r>
      <w:r w:rsidR="0085665E" w:rsidRPr="00E9200E">
        <w:rPr>
          <w:rFonts w:ascii="Cambria" w:hAnsi="Cambria"/>
          <w:color w:val="000000"/>
          <w:sz w:val="20"/>
          <w:szCs w:val="20"/>
          <w:lang w:val="es-ES"/>
        </w:rPr>
        <w:t>implica</w:t>
      </w:r>
      <w:r w:rsidR="00CB32B3" w:rsidRPr="00E9200E">
        <w:rPr>
          <w:rFonts w:ascii="Cambria" w:hAnsi="Cambria"/>
          <w:color w:val="000000"/>
          <w:sz w:val="20"/>
          <w:szCs w:val="20"/>
          <w:lang w:val="es-ES"/>
        </w:rPr>
        <w:t xml:space="preserve"> que</w:t>
      </w:r>
      <w:r w:rsidRPr="00E9200E">
        <w:rPr>
          <w:rFonts w:ascii="Cambria" w:hAnsi="Cambria"/>
          <w:color w:val="000000"/>
          <w:sz w:val="20"/>
          <w:szCs w:val="20"/>
          <w:lang w:val="es-ES"/>
        </w:rPr>
        <w:t xml:space="preserve"> todo nuevo intento de reunir pruebas físicas o incluso pruebas de testigos oculares es manifiestamente inútil. </w:t>
      </w:r>
      <w:r w:rsidR="00CB32B3" w:rsidRPr="00E9200E">
        <w:rPr>
          <w:rFonts w:ascii="Cambria" w:hAnsi="Cambria"/>
          <w:color w:val="000000"/>
          <w:sz w:val="20"/>
          <w:szCs w:val="20"/>
          <w:lang w:val="es-ES"/>
        </w:rPr>
        <w:t xml:space="preserve">Indicó que esta imposibilidad persiste, </w:t>
      </w:r>
      <w:r w:rsidRPr="00E9200E">
        <w:rPr>
          <w:rFonts w:ascii="Cambria" w:hAnsi="Cambria"/>
          <w:color w:val="000000"/>
          <w:sz w:val="20"/>
          <w:szCs w:val="20"/>
          <w:lang w:val="es-ES"/>
        </w:rPr>
        <w:t>a pesar de que el Estado establec</w:t>
      </w:r>
      <w:r w:rsidR="00CB32B3" w:rsidRPr="00E9200E">
        <w:rPr>
          <w:rFonts w:ascii="Cambria" w:hAnsi="Cambria"/>
          <w:color w:val="000000"/>
          <w:sz w:val="20"/>
          <w:szCs w:val="20"/>
          <w:lang w:val="es-ES"/>
        </w:rPr>
        <w:t>ió</w:t>
      </w:r>
      <w:r w:rsidRPr="00E9200E">
        <w:rPr>
          <w:rFonts w:ascii="Cambria" w:hAnsi="Cambria"/>
          <w:color w:val="000000"/>
          <w:sz w:val="20"/>
          <w:szCs w:val="20"/>
          <w:lang w:val="es-ES"/>
        </w:rPr>
        <w:t xml:space="preserve"> un órgano independiente para llevar a cabo investigaciones sobre la conducta de las fuerzas de seguridad en la forma de la Comisión Independiente de Investigaciones (INDECOM). Además, </w:t>
      </w:r>
      <w:r w:rsidR="00CB32B3" w:rsidRPr="00E9200E">
        <w:rPr>
          <w:rFonts w:ascii="Cambria" w:hAnsi="Cambria"/>
          <w:color w:val="000000"/>
          <w:sz w:val="20"/>
          <w:szCs w:val="20"/>
          <w:lang w:val="es-ES"/>
        </w:rPr>
        <w:t xml:space="preserve">el Estado </w:t>
      </w:r>
      <w:r w:rsidR="0085665E" w:rsidRPr="00E9200E">
        <w:rPr>
          <w:rFonts w:ascii="Cambria" w:hAnsi="Cambria"/>
          <w:color w:val="000000"/>
          <w:sz w:val="20"/>
          <w:szCs w:val="20"/>
          <w:lang w:val="es-ES"/>
        </w:rPr>
        <w:t>manifestó</w:t>
      </w:r>
      <w:r w:rsidR="00CB32B3" w:rsidRPr="00E9200E">
        <w:rPr>
          <w:rFonts w:ascii="Cambria" w:hAnsi="Cambria"/>
          <w:color w:val="000000"/>
          <w:sz w:val="20"/>
          <w:szCs w:val="20"/>
          <w:lang w:val="es-ES"/>
        </w:rPr>
        <w:t xml:space="preserve"> que, considerando la escasez de pruebas reunidas, </w:t>
      </w:r>
      <w:r w:rsidRPr="00E9200E">
        <w:rPr>
          <w:rFonts w:ascii="Cambria" w:hAnsi="Cambria"/>
          <w:color w:val="000000"/>
          <w:sz w:val="20"/>
          <w:szCs w:val="20"/>
          <w:lang w:val="es-ES"/>
        </w:rPr>
        <w:t xml:space="preserve">no es lógico esperar que en esta etapa se pueda encontrar alguna prueba convincente que lleve a </w:t>
      </w:r>
      <w:r w:rsidR="0085665E" w:rsidRPr="00E9200E">
        <w:rPr>
          <w:rFonts w:ascii="Cambria" w:hAnsi="Cambria"/>
          <w:color w:val="000000"/>
          <w:sz w:val="20"/>
          <w:szCs w:val="20"/>
          <w:lang w:val="es-ES"/>
        </w:rPr>
        <w:t>la</w:t>
      </w:r>
      <w:r w:rsidRPr="00E9200E">
        <w:rPr>
          <w:rFonts w:ascii="Cambria" w:hAnsi="Cambria"/>
          <w:color w:val="000000"/>
          <w:sz w:val="20"/>
          <w:szCs w:val="20"/>
          <w:lang w:val="es-ES"/>
        </w:rPr>
        <w:t xml:space="preserve"> condena contra cualquier miembro de las fuerzas de seguridad. </w:t>
      </w:r>
    </w:p>
    <w:p w14:paraId="3A5D0573" w14:textId="77777777" w:rsidR="00596C28" w:rsidRPr="00E9200E" w:rsidRDefault="00596C28" w:rsidP="00596C28">
      <w:pPr>
        <w:pStyle w:val="NoSpacing"/>
        <w:jc w:val="both"/>
        <w:rPr>
          <w:rFonts w:ascii="Cambria" w:hAnsi="Cambria"/>
          <w:color w:val="000000"/>
          <w:sz w:val="20"/>
          <w:szCs w:val="20"/>
          <w:lang w:val="es-ES"/>
        </w:rPr>
      </w:pPr>
    </w:p>
    <w:p w14:paraId="1DA6F228" w14:textId="77777777" w:rsidR="00596C28" w:rsidRPr="00E9200E" w:rsidRDefault="007B09EE" w:rsidP="00BA4EF1">
      <w:pPr>
        <w:pStyle w:val="NoSpacing"/>
        <w:numPr>
          <w:ilvl w:val="0"/>
          <w:numId w:val="7"/>
        </w:numPr>
        <w:ind w:firstLine="720"/>
        <w:jc w:val="both"/>
        <w:rPr>
          <w:rFonts w:ascii="Cambria" w:hAnsi="Cambria"/>
          <w:color w:val="000000"/>
          <w:sz w:val="20"/>
          <w:szCs w:val="20"/>
          <w:lang w:val="es-ES"/>
        </w:rPr>
      </w:pPr>
      <w:r w:rsidRPr="00E9200E">
        <w:rPr>
          <w:rFonts w:ascii="Cambria" w:hAnsi="Cambria"/>
          <w:color w:val="000000"/>
          <w:sz w:val="20"/>
          <w:szCs w:val="20"/>
          <w:lang w:val="es-ES"/>
        </w:rPr>
        <w:t xml:space="preserve">Asimismo, en 2021, el Estado además manifestó que </w:t>
      </w:r>
      <w:r w:rsidR="00596C28" w:rsidRPr="00E9200E">
        <w:rPr>
          <w:rFonts w:ascii="Cambria" w:hAnsi="Cambria"/>
          <w:color w:val="000000"/>
          <w:sz w:val="20"/>
          <w:szCs w:val="20"/>
          <w:lang w:val="es-ES"/>
        </w:rPr>
        <w:t xml:space="preserve">proseguir con cualquier enjuiciamiento en este momento sería irresponsable y reflejaría </w:t>
      </w:r>
      <w:r w:rsidR="00453472" w:rsidRPr="00E9200E">
        <w:rPr>
          <w:rFonts w:ascii="Cambria" w:hAnsi="Cambria"/>
          <w:color w:val="000000"/>
          <w:sz w:val="20"/>
          <w:szCs w:val="20"/>
          <w:lang w:val="es-ES"/>
        </w:rPr>
        <w:t>desconocería</w:t>
      </w:r>
      <w:r w:rsidR="00596C28" w:rsidRPr="00E9200E">
        <w:rPr>
          <w:rFonts w:ascii="Cambria" w:hAnsi="Cambria"/>
          <w:color w:val="000000"/>
          <w:sz w:val="20"/>
          <w:szCs w:val="20"/>
          <w:lang w:val="es-ES"/>
        </w:rPr>
        <w:t xml:space="preserve"> los derechos al debido proceso de </w:t>
      </w:r>
      <w:r w:rsidR="00453472" w:rsidRPr="00E9200E">
        <w:rPr>
          <w:rFonts w:ascii="Cambria" w:hAnsi="Cambria"/>
          <w:color w:val="000000"/>
          <w:sz w:val="20"/>
          <w:szCs w:val="20"/>
          <w:lang w:val="es-ES"/>
        </w:rPr>
        <w:t xml:space="preserve">un </w:t>
      </w:r>
      <w:r w:rsidR="00596C28" w:rsidRPr="00E9200E">
        <w:rPr>
          <w:rFonts w:ascii="Cambria" w:hAnsi="Cambria"/>
          <w:color w:val="000000"/>
          <w:sz w:val="20"/>
          <w:szCs w:val="20"/>
          <w:lang w:val="es-ES"/>
        </w:rPr>
        <w:t xml:space="preserve">posible acusado. </w:t>
      </w:r>
      <w:r w:rsidR="00BA4EF1" w:rsidRPr="00E9200E">
        <w:rPr>
          <w:rFonts w:ascii="Cambria" w:hAnsi="Cambria"/>
          <w:color w:val="000000"/>
          <w:sz w:val="20"/>
          <w:szCs w:val="20"/>
          <w:lang w:val="es-ES"/>
        </w:rPr>
        <w:t xml:space="preserve">Para el Estado, </w:t>
      </w:r>
      <w:r w:rsidR="00596C28" w:rsidRPr="00E9200E">
        <w:rPr>
          <w:rFonts w:ascii="Cambria" w:hAnsi="Cambria"/>
          <w:color w:val="000000"/>
          <w:sz w:val="20"/>
          <w:szCs w:val="20"/>
          <w:lang w:val="es-ES"/>
        </w:rPr>
        <w:t>la imposibilidad de enjuiciar es la consecuencia lógica de una evaluación exhaustiva e imparcial de las pruebas disponibles o que pueden estarlo a través de cualquier investigación adicional.</w:t>
      </w:r>
      <w:r w:rsidR="00BA4EF1" w:rsidRPr="00E9200E">
        <w:rPr>
          <w:rFonts w:ascii="Cambria" w:hAnsi="Cambria"/>
          <w:color w:val="000000"/>
          <w:sz w:val="20"/>
          <w:szCs w:val="20"/>
          <w:lang w:val="es-ES"/>
        </w:rPr>
        <w:t xml:space="preserve"> En este sentido</w:t>
      </w:r>
      <w:r w:rsidR="00453472" w:rsidRPr="00E9200E">
        <w:rPr>
          <w:rFonts w:ascii="Cambria" w:hAnsi="Cambria"/>
          <w:color w:val="000000"/>
          <w:sz w:val="20"/>
          <w:szCs w:val="20"/>
          <w:lang w:val="es-ES"/>
        </w:rPr>
        <w:t>,</w:t>
      </w:r>
      <w:r w:rsidR="00BA4EF1" w:rsidRPr="00E9200E">
        <w:rPr>
          <w:rFonts w:ascii="Cambria" w:hAnsi="Cambria"/>
          <w:color w:val="000000"/>
          <w:sz w:val="20"/>
          <w:szCs w:val="20"/>
          <w:lang w:val="es-ES"/>
        </w:rPr>
        <w:t xml:space="preserve"> señal</w:t>
      </w:r>
      <w:r w:rsidR="00453472" w:rsidRPr="00E9200E">
        <w:rPr>
          <w:rFonts w:ascii="Cambria" w:hAnsi="Cambria"/>
          <w:color w:val="000000"/>
          <w:sz w:val="20"/>
          <w:szCs w:val="20"/>
          <w:lang w:val="es-ES"/>
        </w:rPr>
        <w:t>ó</w:t>
      </w:r>
      <w:r w:rsidR="00BA4EF1" w:rsidRPr="00E9200E">
        <w:rPr>
          <w:rFonts w:ascii="Cambria" w:hAnsi="Cambria"/>
          <w:color w:val="000000"/>
          <w:sz w:val="20"/>
          <w:szCs w:val="20"/>
          <w:lang w:val="es-ES"/>
        </w:rPr>
        <w:t xml:space="preserve"> que</w:t>
      </w:r>
      <w:r w:rsidR="00596C28" w:rsidRPr="00E9200E">
        <w:rPr>
          <w:rFonts w:ascii="Cambria" w:hAnsi="Cambria"/>
          <w:color w:val="000000"/>
          <w:sz w:val="20"/>
          <w:szCs w:val="20"/>
          <w:lang w:val="es-ES"/>
        </w:rPr>
        <w:t xml:space="preserve"> es necesario examinar qué otras medidas </w:t>
      </w:r>
      <w:r w:rsidR="00BA4EF1" w:rsidRPr="00E9200E">
        <w:rPr>
          <w:rFonts w:ascii="Cambria" w:hAnsi="Cambria"/>
          <w:color w:val="000000"/>
          <w:sz w:val="20"/>
          <w:szCs w:val="20"/>
          <w:lang w:val="es-ES"/>
        </w:rPr>
        <w:t xml:space="preserve">se </w:t>
      </w:r>
      <w:r w:rsidR="00596C28" w:rsidRPr="00E9200E">
        <w:rPr>
          <w:rFonts w:ascii="Cambria" w:hAnsi="Cambria"/>
          <w:color w:val="000000"/>
          <w:sz w:val="20"/>
          <w:szCs w:val="20"/>
          <w:lang w:val="es-ES"/>
        </w:rPr>
        <w:t>puede</w:t>
      </w:r>
      <w:r w:rsidR="00BA4EF1" w:rsidRPr="00E9200E">
        <w:rPr>
          <w:rFonts w:ascii="Cambria" w:hAnsi="Cambria"/>
          <w:color w:val="000000"/>
          <w:sz w:val="20"/>
          <w:szCs w:val="20"/>
          <w:lang w:val="es-ES"/>
        </w:rPr>
        <w:t xml:space="preserve">n </w:t>
      </w:r>
      <w:r w:rsidR="00596C28" w:rsidRPr="00E9200E">
        <w:rPr>
          <w:rFonts w:ascii="Cambria" w:hAnsi="Cambria"/>
          <w:color w:val="000000"/>
          <w:sz w:val="20"/>
          <w:szCs w:val="20"/>
          <w:lang w:val="es-ES"/>
        </w:rPr>
        <w:t xml:space="preserve">tomar considerando el objetivo en juego. </w:t>
      </w:r>
      <w:r w:rsidR="00BA4EF1" w:rsidRPr="00E9200E">
        <w:rPr>
          <w:rFonts w:ascii="Cambria" w:hAnsi="Cambria"/>
          <w:color w:val="000000"/>
          <w:sz w:val="20"/>
          <w:szCs w:val="20"/>
          <w:lang w:val="es-ES"/>
        </w:rPr>
        <w:t>Para el Estado, el hecho de que</w:t>
      </w:r>
      <w:r w:rsidR="00596C28" w:rsidRPr="00E9200E">
        <w:rPr>
          <w:rFonts w:ascii="Cambria" w:hAnsi="Cambria"/>
          <w:color w:val="000000"/>
          <w:sz w:val="20"/>
          <w:szCs w:val="20"/>
          <w:lang w:val="es-ES"/>
        </w:rPr>
        <w:t xml:space="preserve"> </w:t>
      </w:r>
      <w:r w:rsidR="00EF313C" w:rsidRPr="00E9200E">
        <w:rPr>
          <w:rFonts w:ascii="Cambria" w:hAnsi="Cambria"/>
          <w:color w:val="000000"/>
          <w:sz w:val="20"/>
          <w:szCs w:val="20"/>
          <w:lang w:val="es-ES"/>
        </w:rPr>
        <w:t>su</w:t>
      </w:r>
      <w:r w:rsidR="00596C28" w:rsidRPr="00E9200E">
        <w:rPr>
          <w:rFonts w:ascii="Cambria" w:hAnsi="Cambria"/>
          <w:color w:val="000000"/>
          <w:sz w:val="20"/>
          <w:szCs w:val="20"/>
          <w:lang w:val="es-ES"/>
        </w:rPr>
        <w:t xml:space="preserve"> incapacidad para procesar esté</w:t>
      </w:r>
      <w:r w:rsidR="00EF313C" w:rsidRPr="00E9200E">
        <w:rPr>
          <w:rFonts w:ascii="Cambria" w:hAnsi="Cambria"/>
          <w:color w:val="000000"/>
          <w:sz w:val="20"/>
          <w:szCs w:val="20"/>
          <w:lang w:val="es-ES"/>
        </w:rPr>
        <w:t xml:space="preserve">, en su criterio, </w:t>
      </w:r>
      <w:r w:rsidR="00596C28" w:rsidRPr="00E9200E">
        <w:rPr>
          <w:rFonts w:ascii="Cambria" w:hAnsi="Cambria"/>
          <w:color w:val="000000"/>
          <w:sz w:val="20"/>
          <w:szCs w:val="20"/>
          <w:lang w:val="es-ES"/>
        </w:rPr>
        <w:t>justificada implica que</w:t>
      </w:r>
      <w:r w:rsidR="00BA4EF1" w:rsidRPr="00E9200E">
        <w:rPr>
          <w:rFonts w:ascii="Cambria" w:hAnsi="Cambria"/>
          <w:color w:val="000000"/>
          <w:sz w:val="20"/>
          <w:szCs w:val="20"/>
          <w:lang w:val="es-ES"/>
        </w:rPr>
        <w:t xml:space="preserve"> se</w:t>
      </w:r>
      <w:r w:rsidR="00596C28" w:rsidRPr="00E9200E">
        <w:rPr>
          <w:rFonts w:ascii="Cambria" w:hAnsi="Cambria"/>
          <w:color w:val="000000"/>
          <w:sz w:val="20"/>
          <w:szCs w:val="20"/>
          <w:lang w:val="es-ES"/>
        </w:rPr>
        <w:t xml:space="preserve"> ha</w:t>
      </w:r>
      <w:r w:rsidR="00BA4EF1" w:rsidRPr="00E9200E">
        <w:rPr>
          <w:rFonts w:ascii="Cambria" w:hAnsi="Cambria"/>
          <w:color w:val="000000"/>
          <w:sz w:val="20"/>
          <w:szCs w:val="20"/>
          <w:lang w:val="es-ES"/>
        </w:rPr>
        <w:t>n</w:t>
      </w:r>
      <w:r w:rsidR="00596C28" w:rsidRPr="00E9200E">
        <w:rPr>
          <w:rFonts w:ascii="Cambria" w:hAnsi="Cambria"/>
          <w:color w:val="000000"/>
          <w:sz w:val="20"/>
          <w:szCs w:val="20"/>
          <w:lang w:val="es-ES"/>
        </w:rPr>
        <w:t xml:space="preserve"> cumplido los elementos de la recomendación. </w:t>
      </w:r>
      <w:r w:rsidR="00EF313C" w:rsidRPr="00E9200E">
        <w:rPr>
          <w:rFonts w:ascii="Cambria" w:hAnsi="Cambria"/>
          <w:color w:val="000000"/>
          <w:sz w:val="20"/>
          <w:szCs w:val="20"/>
          <w:lang w:val="es-ES"/>
        </w:rPr>
        <w:t>De ahí, señaló que se prescinde de</w:t>
      </w:r>
      <w:r w:rsidR="00596C28" w:rsidRPr="00E9200E">
        <w:rPr>
          <w:rFonts w:ascii="Cambria" w:hAnsi="Cambria"/>
          <w:color w:val="000000"/>
          <w:sz w:val="20"/>
          <w:szCs w:val="20"/>
          <w:lang w:val="es-ES"/>
        </w:rPr>
        <w:t xml:space="preserve"> la necesidad de cualquier otra evaluación del cumplimiento de esta recomendación por parte del Estado.</w:t>
      </w:r>
    </w:p>
    <w:p w14:paraId="28A4B928" w14:textId="77777777" w:rsidR="00C575AA" w:rsidRPr="00E9200E" w:rsidRDefault="00C575AA" w:rsidP="00C575AA">
      <w:pPr>
        <w:pStyle w:val="NoSpacing"/>
        <w:ind w:left="720"/>
        <w:jc w:val="both"/>
        <w:rPr>
          <w:rFonts w:ascii="Cambria" w:hAnsi="Cambria"/>
          <w:color w:val="000000"/>
          <w:sz w:val="20"/>
          <w:szCs w:val="20"/>
          <w:lang w:val="es-ES"/>
        </w:rPr>
      </w:pPr>
    </w:p>
    <w:p w14:paraId="525FF817" w14:textId="77777777" w:rsidR="00917253" w:rsidRPr="00E9200E" w:rsidRDefault="00C575AA" w:rsidP="00E1619F">
      <w:pPr>
        <w:pStyle w:val="NoSpacing"/>
        <w:numPr>
          <w:ilvl w:val="0"/>
          <w:numId w:val="7"/>
        </w:numPr>
        <w:ind w:firstLine="720"/>
        <w:jc w:val="both"/>
        <w:rPr>
          <w:rFonts w:ascii="Cambria" w:hAnsi="Cambria"/>
          <w:color w:val="000000"/>
          <w:sz w:val="20"/>
          <w:szCs w:val="20"/>
          <w:lang w:val="es-ES"/>
        </w:rPr>
      </w:pPr>
      <w:r w:rsidRPr="00E9200E">
        <w:rPr>
          <w:rFonts w:ascii="Cambria" w:hAnsi="Cambria" w:cs="Calibri Light"/>
          <w:color w:val="000000"/>
          <w:sz w:val="20"/>
          <w:szCs w:val="20"/>
          <w:lang w:val="es-ES"/>
        </w:rPr>
        <w:t>En 2009, los peticionarios informaron que el Estado no emprendió una investigación exhaustiva e imparcial de las violaciones de derechos humanos específicas cometidas contra el Sr. Gayle a fin de identificar, procesar y sancionar a todas las personas responsables de tales violaciones</w:t>
      </w:r>
      <w:r w:rsidRPr="00E9200E">
        <w:rPr>
          <w:rStyle w:val="FootnoteReference"/>
          <w:rFonts w:ascii="Cambria" w:hAnsi="Cambria" w:cs="Calibri Light"/>
          <w:color w:val="000000"/>
          <w:sz w:val="20"/>
          <w:szCs w:val="20"/>
          <w:lang w:val="es-ES"/>
        </w:rPr>
        <w:footnoteReference w:id="11"/>
      </w:r>
      <w:r w:rsidRPr="00E9200E">
        <w:rPr>
          <w:rFonts w:ascii="Cambria" w:hAnsi="Cambria" w:cs="Calibri Light"/>
          <w:color w:val="000000"/>
          <w:sz w:val="20"/>
          <w:szCs w:val="20"/>
          <w:lang w:val="es-ES"/>
        </w:rPr>
        <w:t>.</w:t>
      </w:r>
      <w:r w:rsidR="00917253" w:rsidRPr="00E9200E">
        <w:rPr>
          <w:rFonts w:ascii="Cambria" w:hAnsi="Cambria"/>
          <w:color w:val="000000"/>
          <w:sz w:val="20"/>
          <w:szCs w:val="20"/>
          <w:lang w:val="es-ES"/>
        </w:rPr>
        <w:t xml:space="preserve"> En 2010, los peticionarios informaron que el Estado no había dado indicaciones sobre su intención de revisar las circunstancias que desencadenaron en la muerte de Michael Gayle o de tomar ninguna medida para identificar, perseguir o condenar a sus atacantes</w:t>
      </w:r>
      <w:r w:rsidR="00917253" w:rsidRPr="00E9200E">
        <w:rPr>
          <w:rStyle w:val="FootnoteReference"/>
          <w:rFonts w:ascii="Cambria" w:hAnsi="Cambria"/>
          <w:color w:val="000000"/>
          <w:sz w:val="20"/>
          <w:szCs w:val="20"/>
          <w:lang w:val="es-ES"/>
        </w:rPr>
        <w:footnoteReference w:id="12"/>
      </w:r>
      <w:r w:rsidR="00917253" w:rsidRPr="00E9200E">
        <w:rPr>
          <w:rFonts w:ascii="Cambria" w:hAnsi="Cambria"/>
          <w:color w:val="000000"/>
          <w:sz w:val="20"/>
          <w:szCs w:val="20"/>
          <w:lang w:val="es-ES"/>
        </w:rPr>
        <w:t>.</w:t>
      </w:r>
    </w:p>
    <w:p w14:paraId="46BD6BE9" w14:textId="77777777" w:rsidR="006C6B93" w:rsidRPr="00E9200E" w:rsidRDefault="006C6B93" w:rsidP="006C6B93">
      <w:pPr>
        <w:pStyle w:val="NoSpacing"/>
        <w:jc w:val="both"/>
        <w:rPr>
          <w:rFonts w:ascii="Cambria" w:hAnsi="Cambria"/>
          <w:color w:val="000000"/>
          <w:sz w:val="20"/>
          <w:szCs w:val="20"/>
          <w:lang w:val="es-ES"/>
        </w:rPr>
      </w:pPr>
    </w:p>
    <w:p w14:paraId="6BE1B683" w14:textId="77777777" w:rsidR="00301C18" w:rsidRPr="00E9200E" w:rsidRDefault="00BE7698" w:rsidP="004C138D">
      <w:pPr>
        <w:pStyle w:val="NoSpacing"/>
        <w:numPr>
          <w:ilvl w:val="0"/>
          <w:numId w:val="7"/>
        </w:numPr>
        <w:ind w:firstLine="720"/>
        <w:jc w:val="both"/>
        <w:rPr>
          <w:rFonts w:ascii="Cambria" w:hAnsi="Cambria"/>
          <w:color w:val="000000"/>
          <w:sz w:val="20"/>
          <w:szCs w:val="20"/>
          <w:lang w:val="es-ES"/>
        </w:rPr>
      </w:pPr>
      <w:r w:rsidRPr="00E9200E">
        <w:rPr>
          <w:rFonts w:ascii="Cambria" w:hAnsi="Cambria"/>
          <w:color w:val="000000"/>
          <w:sz w:val="20"/>
          <w:szCs w:val="20"/>
          <w:lang w:val="es-ES"/>
        </w:rPr>
        <w:t xml:space="preserve">La Comisión nota con preocupación que, desde la publicación del Informe de Fondo </w:t>
      </w:r>
      <w:r w:rsidR="00F74551" w:rsidRPr="00E9200E">
        <w:rPr>
          <w:rFonts w:ascii="Cambria" w:hAnsi="Cambria"/>
          <w:color w:val="000000"/>
          <w:sz w:val="20"/>
          <w:szCs w:val="20"/>
          <w:lang w:val="es-ES"/>
        </w:rPr>
        <w:t>en el año 2005</w:t>
      </w:r>
      <w:r w:rsidRPr="00E9200E">
        <w:rPr>
          <w:rFonts w:ascii="Cambria" w:hAnsi="Cambria"/>
          <w:color w:val="000000"/>
          <w:sz w:val="20"/>
          <w:szCs w:val="20"/>
          <w:lang w:val="es-ES"/>
        </w:rPr>
        <w:t>, el Estado</w:t>
      </w:r>
      <w:r w:rsidR="007E6F48" w:rsidRPr="00E9200E">
        <w:rPr>
          <w:rFonts w:ascii="Cambria" w:hAnsi="Cambria"/>
          <w:color w:val="000000"/>
          <w:sz w:val="20"/>
          <w:szCs w:val="20"/>
          <w:lang w:val="es-ES"/>
        </w:rPr>
        <w:t xml:space="preserve"> </w:t>
      </w:r>
      <w:r w:rsidR="00F74551" w:rsidRPr="00E9200E">
        <w:rPr>
          <w:rFonts w:ascii="Cambria" w:hAnsi="Cambria"/>
          <w:color w:val="000000"/>
          <w:sz w:val="20"/>
          <w:szCs w:val="20"/>
          <w:lang w:val="es-ES"/>
        </w:rPr>
        <w:t>no</w:t>
      </w:r>
      <w:r w:rsidRPr="00E9200E">
        <w:rPr>
          <w:rFonts w:ascii="Cambria" w:hAnsi="Cambria"/>
          <w:color w:val="000000"/>
          <w:sz w:val="20"/>
          <w:szCs w:val="20"/>
          <w:lang w:val="es-ES"/>
        </w:rPr>
        <w:t xml:space="preserve"> ha</w:t>
      </w:r>
      <w:r w:rsidR="00AA3AA8" w:rsidRPr="00E9200E">
        <w:rPr>
          <w:rFonts w:ascii="Cambria" w:hAnsi="Cambria"/>
          <w:color w:val="000000"/>
          <w:sz w:val="20"/>
          <w:szCs w:val="20"/>
          <w:lang w:val="es-ES"/>
        </w:rPr>
        <w:t xml:space="preserve">ya remitido ninguna información específica que describa </w:t>
      </w:r>
      <w:r w:rsidR="007E6F48" w:rsidRPr="00E9200E">
        <w:rPr>
          <w:rFonts w:ascii="Cambria" w:hAnsi="Cambria"/>
          <w:color w:val="000000"/>
          <w:sz w:val="20"/>
          <w:szCs w:val="20"/>
          <w:lang w:val="es-ES"/>
        </w:rPr>
        <w:t>en qué han consistido</w:t>
      </w:r>
      <w:r w:rsidR="00AA3AA8" w:rsidRPr="00E9200E">
        <w:rPr>
          <w:rFonts w:ascii="Cambria" w:hAnsi="Cambria"/>
          <w:color w:val="000000"/>
          <w:sz w:val="20"/>
          <w:szCs w:val="20"/>
          <w:lang w:val="es-ES"/>
        </w:rPr>
        <w:t xml:space="preserve"> las</w:t>
      </w:r>
      <w:r w:rsidRPr="00E9200E">
        <w:rPr>
          <w:rFonts w:ascii="Cambria" w:hAnsi="Cambria"/>
          <w:color w:val="000000"/>
          <w:sz w:val="20"/>
          <w:szCs w:val="20"/>
          <w:lang w:val="es-ES"/>
        </w:rPr>
        <w:t xml:space="preserve"> medidas</w:t>
      </w:r>
      <w:r w:rsidR="00AA3AA8" w:rsidRPr="00E9200E">
        <w:rPr>
          <w:rFonts w:ascii="Cambria" w:hAnsi="Cambria"/>
          <w:color w:val="000000"/>
          <w:sz w:val="20"/>
          <w:szCs w:val="20"/>
          <w:lang w:val="es-ES"/>
        </w:rPr>
        <w:t xml:space="preserve"> </w:t>
      </w:r>
      <w:r w:rsidR="007E6F48" w:rsidRPr="00E9200E">
        <w:rPr>
          <w:rFonts w:ascii="Cambria" w:hAnsi="Cambria"/>
          <w:color w:val="000000"/>
          <w:sz w:val="20"/>
          <w:szCs w:val="20"/>
          <w:lang w:val="es-ES"/>
        </w:rPr>
        <w:t xml:space="preserve">concretamente adoptadas </w:t>
      </w:r>
      <w:r w:rsidR="00F74551" w:rsidRPr="00E9200E">
        <w:rPr>
          <w:rFonts w:ascii="Cambria" w:hAnsi="Cambria"/>
          <w:color w:val="000000"/>
          <w:sz w:val="20"/>
          <w:szCs w:val="20"/>
          <w:lang w:val="es-ES"/>
        </w:rPr>
        <w:t>para cumplir con esta recomendación</w:t>
      </w:r>
      <w:r w:rsidR="007E6F48" w:rsidRPr="00E9200E">
        <w:rPr>
          <w:rFonts w:ascii="Cambria" w:hAnsi="Cambria"/>
          <w:color w:val="000000"/>
          <w:sz w:val="20"/>
          <w:szCs w:val="20"/>
          <w:lang w:val="es-ES"/>
        </w:rPr>
        <w:t xml:space="preserve">. </w:t>
      </w:r>
      <w:r w:rsidR="00385012" w:rsidRPr="00E9200E">
        <w:rPr>
          <w:rFonts w:ascii="Cambria" w:hAnsi="Cambria"/>
          <w:color w:val="000000"/>
          <w:sz w:val="20"/>
          <w:szCs w:val="20"/>
          <w:lang w:val="es-ES"/>
        </w:rPr>
        <w:t>Asimismo, lamenta que</w:t>
      </w:r>
      <w:r w:rsidR="009631EB" w:rsidRPr="00E9200E">
        <w:rPr>
          <w:rFonts w:ascii="Cambria" w:hAnsi="Cambria"/>
          <w:color w:val="000000"/>
          <w:sz w:val="20"/>
          <w:szCs w:val="20"/>
          <w:lang w:val="es-ES"/>
        </w:rPr>
        <w:t xml:space="preserve"> en 2020</w:t>
      </w:r>
      <w:r w:rsidR="00CD00FC" w:rsidRPr="00E9200E">
        <w:rPr>
          <w:rFonts w:ascii="Cambria" w:hAnsi="Cambria"/>
          <w:color w:val="000000"/>
          <w:sz w:val="20"/>
          <w:szCs w:val="20"/>
          <w:lang w:val="es-ES"/>
        </w:rPr>
        <w:t xml:space="preserve"> y en 2021,</w:t>
      </w:r>
      <w:r w:rsidR="009631EB" w:rsidRPr="00E9200E">
        <w:rPr>
          <w:rFonts w:ascii="Cambria" w:hAnsi="Cambria"/>
          <w:color w:val="000000"/>
          <w:sz w:val="20"/>
          <w:szCs w:val="20"/>
          <w:lang w:val="es-ES"/>
        </w:rPr>
        <w:t xml:space="preserve"> el Estado </w:t>
      </w:r>
      <w:r w:rsidR="00CD00FC" w:rsidRPr="00E9200E">
        <w:rPr>
          <w:rFonts w:ascii="Cambria" w:hAnsi="Cambria"/>
          <w:color w:val="000000"/>
          <w:sz w:val="20"/>
          <w:szCs w:val="20"/>
          <w:lang w:val="es-ES"/>
        </w:rPr>
        <w:t>solo haya manifestado</w:t>
      </w:r>
      <w:r w:rsidR="00385012" w:rsidRPr="00E9200E">
        <w:rPr>
          <w:rFonts w:ascii="Cambria" w:hAnsi="Cambria"/>
          <w:color w:val="000000"/>
          <w:sz w:val="20"/>
          <w:szCs w:val="20"/>
          <w:lang w:val="es-ES"/>
        </w:rPr>
        <w:t xml:space="preserve"> la imposibilidad de llevar a cabo cualquier investigación </w:t>
      </w:r>
      <w:r w:rsidR="00F74551" w:rsidRPr="00E9200E">
        <w:rPr>
          <w:rFonts w:ascii="Cambria" w:hAnsi="Cambria"/>
          <w:color w:val="000000"/>
          <w:sz w:val="20"/>
          <w:szCs w:val="20"/>
          <w:lang w:val="es-ES"/>
        </w:rPr>
        <w:t xml:space="preserve">con un resultado </w:t>
      </w:r>
      <w:r w:rsidR="00385012" w:rsidRPr="00E9200E">
        <w:rPr>
          <w:rFonts w:ascii="Cambria" w:hAnsi="Cambria"/>
          <w:color w:val="000000"/>
          <w:sz w:val="20"/>
          <w:szCs w:val="20"/>
          <w:lang w:val="es-ES"/>
        </w:rPr>
        <w:t>exitos</w:t>
      </w:r>
      <w:r w:rsidR="00F74551" w:rsidRPr="00E9200E">
        <w:rPr>
          <w:rFonts w:ascii="Cambria" w:hAnsi="Cambria"/>
          <w:color w:val="000000"/>
          <w:sz w:val="20"/>
          <w:szCs w:val="20"/>
          <w:lang w:val="es-ES"/>
        </w:rPr>
        <w:t>o</w:t>
      </w:r>
      <w:r w:rsidR="00385012" w:rsidRPr="00E9200E">
        <w:rPr>
          <w:rFonts w:ascii="Cambria" w:hAnsi="Cambria"/>
          <w:color w:val="000000"/>
          <w:sz w:val="20"/>
          <w:szCs w:val="20"/>
          <w:lang w:val="es-ES"/>
        </w:rPr>
        <w:t>, sin haber informado</w:t>
      </w:r>
      <w:r w:rsidR="00CD00FC" w:rsidRPr="00E9200E">
        <w:rPr>
          <w:rFonts w:ascii="Cambria" w:hAnsi="Cambria"/>
          <w:color w:val="000000"/>
          <w:sz w:val="20"/>
          <w:szCs w:val="20"/>
          <w:lang w:val="es-ES"/>
        </w:rPr>
        <w:t xml:space="preserve"> y descrito el contenido de las diligencias de investigación realizadas respecto de los hechos de este caso</w:t>
      </w:r>
      <w:r w:rsidR="00385012" w:rsidRPr="00E9200E">
        <w:rPr>
          <w:rFonts w:ascii="Cambria" w:hAnsi="Cambria"/>
          <w:color w:val="000000"/>
          <w:sz w:val="20"/>
          <w:szCs w:val="20"/>
          <w:lang w:val="es-ES"/>
        </w:rPr>
        <w:t>.</w:t>
      </w:r>
      <w:r w:rsidRPr="00E9200E">
        <w:rPr>
          <w:rFonts w:ascii="Cambria" w:hAnsi="Cambria"/>
          <w:color w:val="000000"/>
          <w:sz w:val="20"/>
          <w:szCs w:val="20"/>
          <w:lang w:val="es-ES"/>
        </w:rPr>
        <w:t xml:space="preserve"> </w:t>
      </w:r>
      <w:r w:rsidR="00CD00FC" w:rsidRPr="00E9200E">
        <w:rPr>
          <w:rFonts w:ascii="Cambria" w:hAnsi="Cambria"/>
          <w:color w:val="000000"/>
          <w:sz w:val="20"/>
          <w:szCs w:val="20"/>
          <w:lang w:val="es-ES"/>
        </w:rPr>
        <w:t>Al respecto, l</w:t>
      </w:r>
      <w:r w:rsidRPr="00E9200E">
        <w:rPr>
          <w:rFonts w:ascii="Cambria" w:hAnsi="Cambria"/>
          <w:color w:val="000000"/>
          <w:sz w:val="20"/>
          <w:szCs w:val="20"/>
          <w:lang w:val="es-ES"/>
        </w:rPr>
        <w:t>a Comisión recuerda al Estado que</w:t>
      </w:r>
      <w:r w:rsidR="00E1619F" w:rsidRPr="00E9200E">
        <w:rPr>
          <w:rFonts w:ascii="Cambria" w:hAnsi="Cambria"/>
          <w:color w:val="000000"/>
          <w:sz w:val="20"/>
          <w:szCs w:val="20"/>
          <w:lang w:val="es-ES"/>
        </w:rPr>
        <w:t>,</w:t>
      </w:r>
      <w:r w:rsidRPr="00E9200E">
        <w:rPr>
          <w:rFonts w:ascii="Cambria" w:hAnsi="Cambria"/>
          <w:color w:val="000000"/>
          <w:sz w:val="20"/>
          <w:szCs w:val="20"/>
          <w:lang w:val="es-ES"/>
        </w:rPr>
        <w:t xml:space="preserve"> en el informe de fondo del presente caso, la CIDH </w:t>
      </w:r>
      <w:r w:rsidR="00EF313C" w:rsidRPr="00E9200E">
        <w:rPr>
          <w:rFonts w:ascii="Cambria" w:hAnsi="Cambria"/>
          <w:color w:val="000000"/>
          <w:sz w:val="20"/>
          <w:szCs w:val="20"/>
          <w:lang w:val="es-ES"/>
        </w:rPr>
        <w:t xml:space="preserve">ya </w:t>
      </w:r>
      <w:r w:rsidRPr="00E9200E">
        <w:rPr>
          <w:rFonts w:ascii="Cambria" w:hAnsi="Cambria"/>
          <w:color w:val="000000"/>
          <w:sz w:val="20"/>
          <w:szCs w:val="20"/>
          <w:lang w:val="es-ES"/>
        </w:rPr>
        <w:t>concluyó que el Estado no realizó una investigación exhaustiva, inmediata e imparcial</w:t>
      </w:r>
      <w:r w:rsidR="00F74551" w:rsidRPr="00E9200E">
        <w:rPr>
          <w:rFonts w:ascii="Cambria" w:hAnsi="Cambria"/>
          <w:color w:val="000000"/>
          <w:sz w:val="20"/>
          <w:szCs w:val="20"/>
          <w:lang w:val="es-ES"/>
        </w:rPr>
        <w:t xml:space="preserve">, por lo cual emitió esta recomendación con </w:t>
      </w:r>
      <w:r w:rsidR="004C138D" w:rsidRPr="00E9200E">
        <w:rPr>
          <w:rFonts w:ascii="Cambria" w:hAnsi="Cambria"/>
          <w:color w:val="000000"/>
          <w:sz w:val="20"/>
          <w:szCs w:val="20"/>
          <w:lang w:val="es-ES"/>
        </w:rPr>
        <w:t>miras a</w:t>
      </w:r>
      <w:r w:rsidR="00F74551" w:rsidRPr="00E9200E">
        <w:rPr>
          <w:rFonts w:ascii="Cambria" w:hAnsi="Cambria"/>
          <w:color w:val="000000"/>
          <w:sz w:val="20"/>
          <w:szCs w:val="20"/>
          <w:lang w:val="es-ES"/>
        </w:rPr>
        <w:t xml:space="preserve"> que el Estado cumpliera</w:t>
      </w:r>
      <w:r w:rsidR="004C138D" w:rsidRPr="00E9200E">
        <w:rPr>
          <w:rFonts w:ascii="Cambria" w:hAnsi="Cambria"/>
          <w:color w:val="000000"/>
          <w:sz w:val="20"/>
          <w:szCs w:val="20"/>
          <w:lang w:val="es-ES"/>
        </w:rPr>
        <w:t xml:space="preserve"> con esta</w:t>
      </w:r>
      <w:r w:rsidR="00F74551" w:rsidRPr="00E9200E">
        <w:rPr>
          <w:rFonts w:ascii="Cambria" w:hAnsi="Cambria"/>
          <w:color w:val="000000"/>
          <w:sz w:val="20"/>
          <w:szCs w:val="20"/>
          <w:lang w:val="es-ES"/>
        </w:rPr>
        <w:t xml:space="preserve"> investigación</w:t>
      </w:r>
      <w:r w:rsidRPr="00E9200E">
        <w:rPr>
          <w:rStyle w:val="FootnoteReference"/>
          <w:rFonts w:ascii="Cambria" w:hAnsi="Cambria"/>
          <w:color w:val="000000"/>
          <w:sz w:val="20"/>
          <w:szCs w:val="20"/>
          <w:lang w:val="es-ES"/>
        </w:rPr>
        <w:footnoteReference w:id="13"/>
      </w:r>
      <w:r w:rsidRPr="00E9200E">
        <w:rPr>
          <w:rFonts w:ascii="Cambria" w:hAnsi="Cambria"/>
          <w:color w:val="000000"/>
          <w:sz w:val="20"/>
          <w:szCs w:val="20"/>
          <w:lang w:val="es-ES"/>
        </w:rPr>
        <w:t xml:space="preserve">. </w:t>
      </w:r>
      <w:r w:rsidR="00F74551" w:rsidRPr="00E9200E">
        <w:rPr>
          <w:rFonts w:ascii="Cambria" w:hAnsi="Cambria"/>
          <w:color w:val="000000"/>
          <w:sz w:val="20"/>
          <w:szCs w:val="20"/>
          <w:lang w:val="es-ES"/>
        </w:rPr>
        <w:t>E</w:t>
      </w:r>
      <w:r w:rsidR="001A0D50" w:rsidRPr="00E9200E">
        <w:rPr>
          <w:rFonts w:ascii="Cambria" w:hAnsi="Cambria"/>
          <w:color w:val="000000"/>
          <w:sz w:val="20"/>
          <w:szCs w:val="20"/>
          <w:lang w:val="es-ES"/>
        </w:rPr>
        <w:t xml:space="preserv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w:t>
      </w:r>
      <w:proofErr w:type="gramStart"/>
      <w:r w:rsidR="001A0D50" w:rsidRPr="00E9200E">
        <w:rPr>
          <w:rFonts w:ascii="Cambria" w:hAnsi="Cambria"/>
          <w:color w:val="000000"/>
          <w:sz w:val="20"/>
          <w:szCs w:val="20"/>
          <w:lang w:val="es-ES"/>
        </w:rPr>
        <w:t>autoridad pública</w:t>
      </w:r>
      <w:proofErr w:type="gramEnd"/>
      <w:r w:rsidR="001A0D50" w:rsidRPr="00E9200E">
        <w:rPr>
          <w:rFonts w:ascii="Cambria" w:hAnsi="Cambria"/>
          <w:color w:val="000000"/>
          <w:sz w:val="20"/>
          <w:szCs w:val="20"/>
          <w:lang w:val="es-ES"/>
        </w:rPr>
        <w:t xml:space="preserve"> busque efectivamente la verdad</w:t>
      </w:r>
      <w:r w:rsidR="001A0D50" w:rsidRPr="00E9200E">
        <w:rPr>
          <w:rStyle w:val="FootnoteReference"/>
          <w:rFonts w:ascii="Cambria" w:hAnsi="Cambria"/>
          <w:color w:val="000000"/>
          <w:sz w:val="20"/>
          <w:szCs w:val="20"/>
          <w:lang w:val="es-ES"/>
        </w:rPr>
        <w:footnoteReference w:id="14"/>
      </w:r>
      <w:r w:rsidR="001A0D50" w:rsidRPr="00E9200E">
        <w:rPr>
          <w:rFonts w:ascii="Cambria" w:hAnsi="Cambria"/>
          <w:color w:val="000000"/>
          <w:sz w:val="20"/>
          <w:szCs w:val="20"/>
          <w:lang w:val="es-ES"/>
        </w:rPr>
        <w:t>.</w:t>
      </w:r>
      <w:r w:rsidR="00A9439A" w:rsidRPr="00E9200E">
        <w:rPr>
          <w:rFonts w:ascii="Cambria" w:hAnsi="Cambria"/>
          <w:color w:val="000000"/>
          <w:sz w:val="20"/>
          <w:szCs w:val="20"/>
          <w:lang w:val="es-ES"/>
        </w:rPr>
        <w:t xml:space="preserve"> </w:t>
      </w:r>
    </w:p>
    <w:p w14:paraId="4D23BCDF" w14:textId="77777777" w:rsidR="00301C18" w:rsidRPr="00E9200E" w:rsidRDefault="00301C18" w:rsidP="00301C18">
      <w:pPr>
        <w:pStyle w:val="NoSpacing"/>
        <w:ind w:left="720"/>
        <w:jc w:val="both"/>
        <w:rPr>
          <w:rFonts w:ascii="Cambria" w:hAnsi="Cambria"/>
          <w:color w:val="000000"/>
          <w:sz w:val="20"/>
          <w:szCs w:val="20"/>
          <w:lang w:val="es-ES"/>
        </w:rPr>
      </w:pPr>
    </w:p>
    <w:p w14:paraId="6F118576" w14:textId="77777777" w:rsidR="001A0D50" w:rsidRPr="00E9200E" w:rsidRDefault="00A9439A" w:rsidP="004C138D">
      <w:pPr>
        <w:pStyle w:val="NoSpacing"/>
        <w:numPr>
          <w:ilvl w:val="0"/>
          <w:numId w:val="7"/>
        </w:numPr>
        <w:ind w:firstLine="720"/>
        <w:jc w:val="both"/>
        <w:rPr>
          <w:rFonts w:ascii="Cambria" w:hAnsi="Cambria"/>
          <w:color w:val="000000"/>
          <w:sz w:val="20"/>
          <w:szCs w:val="20"/>
          <w:lang w:val="es-ES"/>
        </w:rPr>
      </w:pPr>
      <w:r w:rsidRPr="00E9200E">
        <w:rPr>
          <w:rFonts w:ascii="Cambria" w:hAnsi="Cambria"/>
          <w:color w:val="000000"/>
          <w:sz w:val="20"/>
          <w:szCs w:val="20"/>
          <w:lang w:val="es-ES"/>
        </w:rPr>
        <w:t xml:space="preserve">En este sentido, </w:t>
      </w:r>
      <w:r w:rsidR="00CD00FC" w:rsidRPr="00E9200E">
        <w:rPr>
          <w:rFonts w:ascii="Cambria" w:hAnsi="Cambria"/>
          <w:color w:val="000000"/>
          <w:sz w:val="20"/>
          <w:szCs w:val="20"/>
          <w:lang w:val="es-ES"/>
        </w:rPr>
        <w:t xml:space="preserve">con miras a </w:t>
      </w:r>
      <w:r w:rsidR="004C138D" w:rsidRPr="00E9200E">
        <w:rPr>
          <w:rFonts w:ascii="Cambria" w:hAnsi="Cambria"/>
          <w:color w:val="000000"/>
          <w:sz w:val="20"/>
          <w:szCs w:val="20"/>
          <w:lang w:val="es-ES"/>
        </w:rPr>
        <w:t xml:space="preserve">que la Comisión identifique con claridad si se ha cumplido con esta recomendación, </w:t>
      </w:r>
      <w:r w:rsidR="00CD00FC" w:rsidRPr="00E9200E">
        <w:rPr>
          <w:rFonts w:ascii="Cambria" w:hAnsi="Cambria"/>
          <w:color w:val="000000"/>
          <w:sz w:val="20"/>
          <w:szCs w:val="20"/>
          <w:lang w:val="es-ES"/>
        </w:rPr>
        <w:t>se</w:t>
      </w:r>
      <w:r w:rsidRPr="00E9200E">
        <w:rPr>
          <w:rFonts w:ascii="Cambria" w:hAnsi="Cambria"/>
          <w:color w:val="000000"/>
          <w:sz w:val="20"/>
          <w:szCs w:val="20"/>
          <w:lang w:val="es-ES"/>
        </w:rPr>
        <w:t xml:space="preserve"> invita al Estado a </w:t>
      </w:r>
      <w:r w:rsidR="00CD00FC" w:rsidRPr="00E9200E">
        <w:rPr>
          <w:rFonts w:ascii="Cambria" w:hAnsi="Cambria"/>
          <w:color w:val="000000"/>
          <w:sz w:val="20"/>
          <w:szCs w:val="20"/>
          <w:lang w:val="es-ES"/>
        </w:rPr>
        <w:t>reportar</w:t>
      </w:r>
      <w:r w:rsidRPr="00E9200E">
        <w:rPr>
          <w:rFonts w:ascii="Cambria" w:hAnsi="Cambria"/>
          <w:color w:val="000000"/>
          <w:sz w:val="20"/>
          <w:szCs w:val="20"/>
          <w:lang w:val="es-ES"/>
        </w:rPr>
        <w:t xml:space="preserve"> la información que considere </w:t>
      </w:r>
      <w:r w:rsidR="00301C18" w:rsidRPr="00E9200E">
        <w:rPr>
          <w:rFonts w:ascii="Cambria" w:hAnsi="Cambria"/>
          <w:color w:val="000000"/>
          <w:sz w:val="20"/>
          <w:szCs w:val="20"/>
          <w:lang w:val="es-ES"/>
        </w:rPr>
        <w:t>relevante</w:t>
      </w:r>
      <w:r w:rsidRPr="00E9200E">
        <w:rPr>
          <w:rFonts w:ascii="Cambria" w:hAnsi="Cambria"/>
          <w:color w:val="000000"/>
          <w:sz w:val="20"/>
          <w:szCs w:val="20"/>
          <w:lang w:val="es-ES"/>
        </w:rPr>
        <w:t xml:space="preserve"> para describir las </w:t>
      </w:r>
      <w:r w:rsidRPr="00E9200E">
        <w:rPr>
          <w:rFonts w:ascii="Cambria" w:hAnsi="Cambria"/>
          <w:color w:val="000000"/>
          <w:sz w:val="20"/>
          <w:szCs w:val="20"/>
          <w:lang w:val="es-ES"/>
        </w:rPr>
        <w:lastRenderedPageBreak/>
        <w:t xml:space="preserve">condiciones de tiempo, modo y lugar en las que realizó las actividades de investigación y con base en las cuales ha concluido que, a pesar de su desarrollo, el paso del tiempo no permitió tener un resultado exitoso. Esta información podrá, por ejemplo, referirse a: </w:t>
      </w:r>
      <w:r w:rsidRPr="00E9200E">
        <w:rPr>
          <w:rFonts w:ascii="Cambria" w:hAnsi="Cambria"/>
          <w:color w:val="000000"/>
          <w:sz w:val="20"/>
          <w:szCs w:val="20"/>
          <w:lang w:val="es-CO"/>
        </w:rPr>
        <w:t xml:space="preserve">investigaciones o procesos judiciales sobre los hechos del caso, así como las entidades estatales a cargo; su estado actual; últimas actuaciones; y, sobre si hubo personas vinculadas a las investigaciones </w:t>
      </w:r>
      <w:r w:rsidR="00301C18" w:rsidRPr="00E9200E">
        <w:rPr>
          <w:rFonts w:ascii="Cambria" w:hAnsi="Cambria"/>
          <w:color w:val="000000"/>
          <w:sz w:val="20"/>
          <w:szCs w:val="20"/>
          <w:lang w:val="es-CO"/>
        </w:rPr>
        <w:t>como</w:t>
      </w:r>
      <w:r w:rsidRPr="00E9200E">
        <w:rPr>
          <w:rFonts w:ascii="Cambria" w:hAnsi="Cambria"/>
          <w:color w:val="000000"/>
          <w:sz w:val="20"/>
          <w:szCs w:val="20"/>
          <w:lang w:val="es-CO"/>
        </w:rPr>
        <w:t xml:space="preserve"> presuntos responsables; sobre las hojas de ruta de las investigaciones o procesos; medidas </w:t>
      </w:r>
      <w:r w:rsidR="00453472" w:rsidRPr="00E9200E">
        <w:rPr>
          <w:rFonts w:ascii="Cambria" w:hAnsi="Cambria"/>
          <w:color w:val="000000"/>
          <w:sz w:val="20"/>
          <w:szCs w:val="20"/>
          <w:lang w:val="es-CO"/>
        </w:rPr>
        <w:t>de</w:t>
      </w:r>
      <w:r w:rsidRPr="00E9200E">
        <w:rPr>
          <w:rFonts w:ascii="Cambria" w:hAnsi="Cambria"/>
          <w:color w:val="000000"/>
          <w:sz w:val="20"/>
          <w:szCs w:val="20"/>
          <w:lang w:val="es-CO"/>
        </w:rPr>
        <w:t xml:space="preserve"> participación de los(as) peticionarios(as), las víctimas y/o sus familiares; resultados de las investigaciones o de los procesos judiciales, en relación con la obtención de la verdad sobre lo ocurrido y los desafíos identificados para su avance; y</w:t>
      </w:r>
      <w:r w:rsidR="00CD00FC" w:rsidRPr="00E9200E">
        <w:rPr>
          <w:rFonts w:ascii="Cambria" w:hAnsi="Cambria"/>
          <w:color w:val="000000"/>
          <w:sz w:val="20"/>
          <w:szCs w:val="20"/>
          <w:lang w:val="es-CO"/>
        </w:rPr>
        <w:t xml:space="preserve">, de ser procedente, </w:t>
      </w:r>
      <w:r w:rsidR="00453472" w:rsidRPr="00E9200E">
        <w:rPr>
          <w:rFonts w:ascii="Cambria" w:hAnsi="Cambria"/>
          <w:color w:val="000000"/>
          <w:sz w:val="20"/>
          <w:szCs w:val="20"/>
          <w:lang w:val="es-CO"/>
        </w:rPr>
        <w:t>sobre</w:t>
      </w:r>
      <w:r w:rsidRPr="00E9200E">
        <w:rPr>
          <w:rFonts w:ascii="Cambria" w:hAnsi="Cambria"/>
          <w:color w:val="000000"/>
          <w:sz w:val="20"/>
          <w:szCs w:val="20"/>
          <w:lang w:val="es-CO"/>
        </w:rPr>
        <w:t xml:space="preserve"> las decisiones judiciales adoptadas y sobre los recursos que se han interpuesto o que podrían interponerse frente a esas decisiones</w:t>
      </w:r>
      <w:r w:rsidR="00CD00FC" w:rsidRPr="00E9200E">
        <w:rPr>
          <w:rStyle w:val="FootnoteReference"/>
          <w:rFonts w:ascii="Cambria" w:hAnsi="Cambria"/>
          <w:color w:val="000000"/>
          <w:sz w:val="20"/>
          <w:szCs w:val="20"/>
          <w:lang w:val="es-ES"/>
        </w:rPr>
        <w:footnoteReference w:id="15"/>
      </w:r>
      <w:r w:rsidRPr="00E9200E">
        <w:rPr>
          <w:rFonts w:ascii="Cambria" w:hAnsi="Cambria"/>
          <w:color w:val="000000"/>
          <w:sz w:val="20"/>
          <w:szCs w:val="20"/>
          <w:lang w:val="es-CO"/>
        </w:rPr>
        <w:t>.</w:t>
      </w:r>
      <w:r w:rsidRPr="00E9200E">
        <w:rPr>
          <w:rFonts w:ascii="Cambria" w:hAnsi="Cambria"/>
          <w:color w:val="000000"/>
          <w:sz w:val="20"/>
          <w:szCs w:val="20"/>
          <w:lang w:val="es-ES"/>
        </w:rPr>
        <w:t xml:space="preserve"> </w:t>
      </w:r>
      <w:r w:rsidR="00F077B9" w:rsidRPr="00E9200E">
        <w:rPr>
          <w:rFonts w:ascii="Cambria" w:hAnsi="Cambria"/>
          <w:color w:val="000000"/>
          <w:sz w:val="20"/>
          <w:szCs w:val="20"/>
          <w:lang w:val="es-ES"/>
        </w:rPr>
        <w:t>A la espera de esta información</w:t>
      </w:r>
      <w:r w:rsidR="001A0D50" w:rsidRPr="00E9200E">
        <w:rPr>
          <w:rFonts w:ascii="Cambria" w:hAnsi="Cambria"/>
          <w:color w:val="000000"/>
          <w:sz w:val="20"/>
          <w:szCs w:val="20"/>
          <w:lang w:val="es-ES"/>
        </w:rPr>
        <w:t xml:space="preserve">, la CIDH considera que la Recomendación 2 se encuentra pendiente de cumplimiento. </w:t>
      </w:r>
    </w:p>
    <w:p w14:paraId="0E39E087" w14:textId="77777777" w:rsidR="0057448F" w:rsidRPr="00E9200E" w:rsidRDefault="0057448F" w:rsidP="0057448F">
      <w:pPr>
        <w:pStyle w:val="NoSpacing"/>
        <w:ind w:left="720"/>
        <w:jc w:val="both"/>
        <w:rPr>
          <w:rFonts w:ascii="Cambria" w:hAnsi="Cambria"/>
          <w:color w:val="000000"/>
          <w:sz w:val="20"/>
          <w:szCs w:val="20"/>
          <w:lang w:val="es-ES"/>
        </w:rPr>
      </w:pPr>
    </w:p>
    <w:p w14:paraId="5D675ACE" w14:textId="77777777" w:rsidR="001B301A" w:rsidRPr="00E9200E" w:rsidRDefault="00960A03" w:rsidP="00E1619F">
      <w:pPr>
        <w:pStyle w:val="NoSpacing"/>
        <w:numPr>
          <w:ilvl w:val="0"/>
          <w:numId w:val="7"/>
        </w:numPr>
        <w:ind w:firstLine="720"/>
        <w:jc w:val="both"/>
        <w:rPr>
          <w:rFonts w:ascii="Cambria" w:hAnsi="Cambria"/>
          <w:color w:val="000000"/>
          <w:sz w:val="20"/>
          <w:szCs w:val="20"/>
          <w:lang w:val="es-ES"/>
        </w:rPr>
      </w:pPr>
      <w:r w:rsidRPr="00E9200E">
        <w:rPr>
          <w:rFonts w:ascii="Cambria" w:hAnsi="Cambria" w:cs="Calibri Light"/>
          <w:b/>
          <w:color w:val="000000"/>
          <w:sz w:val="20"/>
          <w:szCs w:val="20"/>
          <w:lang w:val="es-ES"/>
        </w:rPr>
        <w:t>En relación con la tercera recomendación</w:t>
      </w:r>
      <w:r w:rsidR="0057448F" w:rsidRPr="00E9200E">
        <w:rPr>
          <w:rFonts w:ascii="Cambria" w:hAnsi="Cambria" w:cs="Calibri Light"/>
          <w:color w:val="000000"/>
          <w:sz w:val="20"/>
          <w:szCs w:val="20"/>
          <w:lang w:val="es-ES"/>
        </w:rPr>
        <w:t xml:space="preserve">, en 2010, </w:t>
      </w:r>
      <w:r w:rsidR="0057448F" w:rsidRPr="00E9200E">
        <w:rPr>
          <w:rFonts w:ascii="Cambria" w:hAnsi="Cambria"/>
          <w:color w:val="000000"/>
          <w:sz w:val="20"/>
          <w:szCs w:val="20"/>
          <w:lang w:val="es-ES"/>
        </w:rPr>
        <w:t>el Estado informó que se han identificado oficinas temporales para el Forense Especial de la Corte y los problemas relacionados con el Forense Especial están siendo solucionados. El Estado señaló, asimismo, que se propuso legislación para proteger a “denunciantes” (</w:t>
      </w:r>
      <w:r w:rsidR="0057448F" w:rsidRPr="00E9200E">
        <w:rPr>
          <w:rFonts w:ascii="Cambria" w:hAnsi="Cambria"/>
          <w:i/>
          <w:color w:val="000000"/>
          <w:sz w:val="20"/>
          <w:szCs w:val="20"/>
          <w:lang w:val="es-ES"/>
        </w:rPr>
        <w:t>whistle blowers</w:t>
      </w:r>
      <w:r w:rsidR="0057448F" w:rsidRPr="00E9200E">
        <w:rPr>
          <w:rFonts w:ascii="Cambria" w:hAnsi="Cambria"/>
          <w:color w:val="000000"/>
          <w:sz w:val="20"/>
          <w:szCs w:val="20"/>
          <w:lang w:val="es-ES"/>
        </w:rPr>
        <w:t>) la cual se encontraba, en aquel momento, ante el Comité Conjunto de Selección del Parlamento, bajo el nombre de “Ley de Protección de Denunciantes, 2010”, la cual buscaba animar y facilitar a empleado/as que realizan denuncias de conducta indebida en el interés general; regular la recepción e investigación de denuncias de conducta indebida; y proteger empleados que hacen dichas denuncias. Asimismo, el Estado destacó su compromiso para asegurar que se tomen medidas legislativas para prevenir futuras violaciones de la naturaleza de la cometida contra Michael Gayle y al respecto, señaló que fue aprobada la Ley de Comisión Independiente de Investigaciones, 2010 que entró en vigor el 15 de abril de 2010</w:t>
      </w:r>
      <w:r w:rsidR="0057448F" w:rsidRPr="00E9200E">
        <w:rPr>
          <w:rStyle w:val="FootnoteReference"/>
          <w:rFonts w:ascii="Cambria" w:hAnsi="Cambria"/>
          <w:color w:val="000000"/>
          <w:sz w:val="20"/>
          <w:szCs w:val="20"/>
          <w:lang w:val="es-ES"/>
        </w:rPr>
        <w:footnoteReference w:id="16"/>
      </w:r>
      <w:r w:rsidR="0057448F" w:rsidRPr="00E9200E">
        <w:rPr>
          <w:rFonts w:ascii="Cambria" w:hAnsi="Cambria"/>
          <w:color w:val="000000"/>
          <w:sz w:val="20"/>
          <w:szCs w:val="20"/>
          <w:lang w:val="es-ES"/>
        </w:rPr>
        <w:t>.</w:t>
      </w:r>
      <w:r w:rsidR="00EC3285" w:rsidRPr="00E9200E">
        <w:rPr>
          <w:rFonts w:ascii="Cambria" w:hAnsi="Cambria"/>
          <w:color w:val="000000"/>
          <w:sz w:val="20"/>
          <w:szCs w:val="20"/>
          <w:lang w:val="es-ES"/>
        </w:rPr>
        <w:t xml:space="preserve"> En 2015, el Estado reiteró información aportada en comunicaciones anteriores en cuanto a que las fuerzas de seguridad reciben entrenamiento extensivo en los estándares internacionales sobre el uso de la fuerza, sobre la prohibición de la tortura y los tratos inhumanos, crueles y degradantes, sobre las ejecuciones extrajudiciales y sobre las detenciones arbitrarias. El Estado explicó que</w:t>
      </w:r>
      <w:r w:rsidR="00AE10D3" w:rsidRPr="00E9200E">
        <w:rPr>
          <w:rFonts w:ascii="Cambria" w:hAnsi="Cambria"/>
          <w:color w:val="000000"/>
          <w:sz w:val="20"/>
          <w:szCs w:val="20"/>
          <w:lang w:val="es-ES"/>
        </w:rPr>
        <w:t>,</w:t>
      </w:r>
      <w:r w:rsidR="00EC3285" w:rsidRPr="00E9200E">
        <w:rPr>
          <w:rFonts w:ascii="Cambria" w:hAnsi="Cambria"/>
          <w:color w:val="000000"/>
          <w:sz w:val="20"/>
          <w:szCs w:val="20"/>
          <w:lang w:val="es-ES"/>
        </w:rPr>
        <w:t xml:space="preserve"> como política, la fuerza policial jamaicana es entrenada en cuanto a los derechos y libertades fundamentales establecidas en la Constitución, agregando que dicho entrenamiento está diseñado para asegurar que los miembros de la policía estén expuestos a legislaciones actuales. Señaló como medidas implementadas por el Estado para asegurar la protección de los derechos humanos, la creación de la Comisión Independiente de Investigaciones, cuyo mandato incluye las investigaciones de las denuncias realizadas por abusos cometidos por las fuerzas de seguridad en violación a los derechos humanos. Finalmente, el Estado expresó que está trabajando con el fin de establecer un Instituto Nacional de los Derechos Humanos, de conformidad con los Principios de Paris para la promoción y protección de los derechos humanos</w:t>
      </w:r>
      <w:r w:rsidR="00EC3285" w:rsidRPr="00E9200E">
        <w:rPr>
          <w:rStyle w:val="FootnoteReference"/>
          <w:rFonts w:ascii="Cambria" w:hAnsi="Cambria"/>
          <w:color w:val="000000"/>
          <w:sz w:val="20"/>
          <w:szCs w:val="20"/>
          <w:lang w:val="es-ES"/>
        </w:rPr>
        <w:footnoteReference w:id="17"/>
      </w:r>
      <w:r w:rsidR="00EC3285" w:rsidRPr="00E9200E">
        <w:rPr>
          <w:rFonts w:ascii="Cambria" w:hAnsi="Cambria"/>
          <w:color w:val="000000"/>
          <w:sz w:val="20"/>
          <w:szCs w:val="20"/>
          <w:lang w:val="es-ES"/>
        </w:rPr>
        <w:t>.</w:t>
      </w:r>
    </w:p>
    <w:p w14:paraId="611380C7" w14:textId="77777777" w:rsidR="00AE10D3" w:rsidRPr="00E9200E" w:rsidRDefault="00AE10D3" w:rsidP="00AE10D3">
      <w:pPr>
        <w:pStyle w:val="NoSpacing"/>
        <w:ind w:left="720"/>
        <w:jc w:val="both"/>
        <w:rPr>
          <w:rFonts w:ascii="Cambria" w:hAnsi="Cambria"/>
          <w:color w:val="000000"/>
          <w:sz w:val="20"/>
          <w:szCs w:val="20"/>
          <w:lang w:val="es-ES"/>
        </w:rPr>
      </w:pPr>
    </w:p>
    <w:p w14:paraId="44403A5E" w14:textId="77777777" w:rsidR="00AF1F44" w:rsidRPr="00E9200E" w:rsidRDefault="00AE10D3" w:rsidP="00AF1F44">
      <w:pPr>
        <w:pStyle w:val="NoSpacing"/>
        <w:numPr>
          <w:ilvl w:val="0"/>
          <w:numId w:val="7"/>
        </w:numPr>
        <w:ind w:firstLine="720"/>
        <w:jc w:val="both"/>
        <w:rPr>
          <w:rFonts w:ascii="Cambria" w:hAnsi="Cambria"/>
          <w:color w:val="000000"/>
          <w:sz w:val="20"/>
          <w:szCs w:val="20"/>
          <w:lang w:val="es-ES"/>
        </w:rPr>
      </w:pPr>
      <w:r w:rsidRPr="00E9200E">
        <w:rPr>
          <w:rFonts w:ascii="Cambria" w:hAnsi="Cambria"/>
          <w:color w:val="000000"/>
          <w:sz w:val="20"/>
          <w:szCs w:val="20"/>
          <w:lang w:val="es-ES"/>
        </w:rPr>
        <w:t>En 2020, el Estado informó que se ha asociado con</w:t>
      </w:r>
      <w:r w:rsidR="002D3E88" w:rsidRPr="00E9200E">
        <w:rPr>
          <w:rFonts w:ascii="Cambria" w:hAnsi="Cambria"/>
          <w:color w:val="000000"/>
          <w:sz w:val="20"/>
          <w:szCs w:val="20"/>
          <w:lang w:val="es-ES"/>
        </w:rPr>
        <w:t xml:space="preserve"> la organización</w:t>
      </w:r>
      <w:r w:rsidRPr="00E9200E">
        <w:rPr>
          <w:rFonts w:ascii="Cambria" w:hAnsi="Cambria"/>
          <w:color w:val="000000"/>
          <w:sz w:val="20"/>
          <w:szCs w:val="20"/>
          <w:lang w:val="es-ES"/>
        </w:rPr>
        <w:t xml:space="preserve"> </w:t>
      </w:r>
      <w:proofErr w:type="spellStart"/>
      <w:r w:rsidRPr="00E9200E">
        <w:rPr>
          <w:rFonts w:ascii="Cambria" w:hAnsi="Cambria"/>
          <w:i/>
          <w:iCs/>
          <w:color w:val="000000"/>
          <w:sz w:val="20"/>
          <w:szCs w:val="20"/>
          <w:lang w:val="es-ES"/>
        </w:rPr>
        <w:t>Jamaicans</w:t>
      </w:r>
      <w:proofErr w:type="spellEnd"/>
      <w:r w:rsidRPr="00E9200E">
        <w:rPr>
          <w:rFonts w:ascii="Cambria" w:hAnsi="Cambria"/>
          <w:i/>
          <w:iCs/>
          <w:color w:val="000000"/>
          <w:sz w:val="20"/>
          <w:szCs w:val="20"/>
          <w:lang w:val="es-ES"/>
        </w:rPr>
        <w:t xml:space="preserve"> </w:t>
      </w:r>
      <w:proofErr w:type="spellStart"/>
      <w:r w:rsidRPr="00E9200E">
        <w:rPr>
          <w:rFonts w:ascii="Cambria" w:hAnsi="Cambria"/>
          <w:i/>
          <w:iCs/>
          <w:color w:val="000000"/>
          <w:sz w:val="20"/>
          <w:szCs w:val="20"/>
          <w:lang w:val="es-ES"/>
        </w:rPr>
        <w:t>for</w:t>
      </w:r>
      <w:proofErr w:type="spellEnd"/>
      <w:r w:rsidRPr="00E9200E">
        <w:rPr>
          <w:rFonts w:ascii="Cambria" w:hAnsi="Cambria"/>
          <w:i/>
          <w:iCs/>
          <w:color w:val="000000"/>
          <w:sz w:val="20"/>
          <w:szCs w:val="20"/>
          <w:lang w:val="es-ES"/>
        </w:rPr>
        <w:t xml:space="preserve"> </w:t>
      </w:r>
      <w:proofErr w:type="spellStart"/>
      <w:r w:rsidRPr="00E9200E">
        <w:rPr>
          <w:rFonts w:ascii="Cambria" w:hAnsi="Cambria"/>
          <w:i/>
          <w:iCs/>
          <w:color w:val="000000"/>
          <w:sz w:val="20"/>
          <w:szCs w:val="20"/>
          <w:lang w:val="es-ES"/>
        </w:rPr>
        <w:t>Justice</w:t>
      </w:r>
      <w:proofErr w:type="spellEnd"/>
      <w:r w:rsidRPr="00E9200E">
        <w:rPr>
          <w:rFonts w:ascii="Cambria" w:hAnsi="Cambria"/>
          <w:color w:val="000000"/>
          <w:sz w:val="20"/>
          <w:szCs w:val="20"/>
          <w:lang w:val="es-ES"/>
        </w:rPr>
        <w:t>, peticionarios en este caso, para impartir capacitación en materia de derechos humanos a las fuerzas de seguridad, incluid</w:t>
      </w:r>
      <w:r w:rsidR="002D3E88" w:rsidRPr="00E9200E">
        <w:rPr>
          <w:rFonts w:ascii="Cambria" w:hAnsi="Cambria"/>
          <w:color w:val="000000"/>
          <w:sz w:val="20"/>
          <w:szCs w:val="20"/>
          <w:lang w:val="es-ES"/>
        </w:rPr>
        <w:t>os</w:t>
      </w:r>
      <w:r w:rsidRPr="00E9200E">
        <w:rPr>
          <w:rFonts w:ascii="Cambria" w:hAnsi="Cambria"/>
          <w:color w:val="000000"/>
          <w:sz w:val="20"/>
          <w:szCs w:val="20"/>
          <w:lang w:val="es-ES"/>
        </w:rPr>
        <w:t xml:space="preserve"> reclutas de la Fuerza de Policía de Jamaica. Indicó que, desde 2019, las Naciones Unidas han proporcionado 2.500 guías de bolsillo sobre derechos humanos en la aplicación de la ley a la Fuerza de Policía de Jamaica, </w:t>
      </w:r>
      <w:r w:rsidR="002D3E88" w:rsidRPr="00E9200E">
        <w:rPr>
          <w:rFonts w:ascii="Cambria" w:hAnsi="Cambria"/>
          <w:color w:val="000000"/>
          <w:sz w:val="20"/>
          <w:szCs w:val="20"/>
          <w:lang w:val="es-ES"/>
        </w:rPr>
        <w:t>y que dichas guías tocan las temáticas de</w:t>
      </w:r>
      <w:r w:rsidRPr="00E9200E">
        <w:rPr>
          <w:rFonts w:ascii="Cambria" w:hAnsi="Cambria"/>
          <w:color w:val="000000"/>
          <w:sz w:val="20"/>
          <w:szCs w:val="20"/>
          <w:lang w:val="es-ES"/>
        </w:rPr>
        <w:t xml:space="preserve"> investigaciones penales, uso de la fuerza, armas de fuego, arresto y detención. </w:t>
      </w:r>
      <w:r w:rsidR="002D3E88" w:rsidRPr="00E9200E">
        <w:rPr>
          <w:rFonts w:ascii="Cambria" w:hAnsi="Cambria"/>
          <w:color w:val="000000"/>
          <w:sz w:val="20"/>
          <w:szCs w:val="20"/>
          <w:lang w:val="es-ES"/>
        </w:rPr>
        <w:t>También señaló que dicha</w:t>
      </w:r>
      <w:r w:rsidRPr="00E9200E">
        <w:rPr>
          <w:rFonts w:ascii="Cambria" w:hAnsi="Cambria"/>
          <w:color w:val="000000"/>
          <w:sz w:val="20"/>
          <w:szCs w:val="20"/>
          <w:lang w:val="es-ES"/>
        </w:rPr>
        <w:t xml:space="preserve"> provisión forma parte de una colaboración más amplia entre la Oficina de las Naciones Unidas en Jamaica y la Escuela Nacional de Policía de Jamaica, </w:t>
      </w:r>
      <w:r w:rsidR="002D3E88" w:rsidRPr="00E9200E">
        <w:rPr>
          <w:rFonts w:ascii="Cambria" w:hAnsi="Cambria"/>
          <w:color w:val="000000"/>
          <w:sz w:val="20"/>
          <w:szCs w:val="20"/>
          <w:lang w:val="es-ES"/>
        </w:rPr>
        <w:t>la cual</w:t>
      </w:r>
      <w:r w:rsidRPr="00E9200E">
        <w:rPr>
          <w:rFonts w:ascii="Cambria" w:hAnsi="Cambria"/>
          <w:color w:val="000000"/>
          <w:sz w:val="20"/>
          <w:szCs w:val="20"/>
          <w:lang w:val="es-ES"/>
        </w:rPr>
        <w:t xml:space="preserve"> incluye planes para una serie de cursos prácticos, un manual de casos y un curso de capacitación en línea para la policía. El Estado también manifestó que el INDECOM ha sido muy activo en la evaluación de las denuncias de abusos contra miembros de las fuerzas de seguridad y que, entre enero de 2019 y marzo de 2020, completó 120 investigaciones sobre tiroteos mortales, y formuló recomendaciones sobre la conveniencia de iniciar procedimientos penales o disciplinarios.</w:t>
      </w:r>
      <w:r w:rsidR="002D3E88" w:rsidRPr="00E9200E">
        <w:rPr>
          <w:rFonts w:ascii="Cambria" w:hAnsi="Cambria"/>
          <w:color w:val="000000"/>
          <w:sz w:val="20"/>
          <w:szCs w:val="20"/>
          <w:lang w:val="es-ES"/>
        </w:rPr>
        <w:t xml:space="preserve"> </w:t>
      </w:r>
      <w:r w:rsidR="003D3248" w:rsidRPr="00E9200E">
        <w:rPr>
          <w:rFonts w:ascii="Cambria" w:hAnsi="Cambria"/>
          <w:color w:val="000000"/>
          <w:sz w:val="20"/>
          <w:szCs w:val="20"/>
          <w:lang w:val="es-ES"/>
        </w:rPr>
        <w:t>Asimismo, e</w:t>
      </w:r>
      <w:r w:rsidR="002D3E88" w:rsidRPr="00E9200E">
        <w:rPr>
          <w:rFonts w:ascii="Cambria" w:hAnsi="Cambria"/>
          <w:color w:val="000000"/>
          <w:sz w:val="20"/>
          <w:szCs w:val="20"/>
          <w:lang w:val="es-ES"/>
        </w:rPr>
        <w:t>l Estado informó que,</w:t>
      </w:r>
      <w:r w:rsidRPr="00E9200E">
        <w:rPr>
          <w:rFonts w:ascii="Cambria" w:hAnsi="Cambria"/>
          <w:color w:val="000000"/>
          <w:sz w:val="20"/>
          <w:szCs w:val="20"/>
          <w:lang w:val="es-ES"/>
        </w:rPr>
        <w:t xml:space="preserve"> </w:t>
      </w:r>
      <w:r w:rsidR="002D3E88" w:rsidRPr="00E9200E">
        <w:rPr>
          <w:rFonts w:ascii="Cambria" w:hAnsi="Cambria"/>
          <w:color w:val="000000"/>
          <w:sz w:val="20"/>
          <w:szCs w:val="20"/>
          <w:lang w:val="es-ES"/>
        </w:rPr>
        <w:t>d</w:t>
      </w:r>
      <w:r w:rsidRPr="00E9200E">
        <w:rPr>
          <w:rFonts w:ascii="Cambria" w:hAnsi="Cambria"/>
          <w:color w:val="000000"/>
          <w:sz w:val="20"/>
          <w:szCs w:val="20"/>
          <w:lang w:val="es-ES"/>
        </w:rPr>
        <w:t xml:space="preserve">urante el mismo período, 19 miembros de las fuerzas de seguridad fueron acusados de delitos </w:t>
      </w:r>
      <w:r w:rsidR="002D3E88" w:rsidRPr="00E9200E">
        <w:rPr>
          <w:rFonts w:ascii="Cambria" w:hAnsi="Cambria"/>
          <w:color w:val="000000"/>
          <w:sz w:val="20"/>
          <w:szCs w:val="20"/>
          <w:lang w:val="es-ES"/>
        </w:rPr>
        <w:t xml:space="preserve">de </w:t>
      </w:r>
      <w:r w:rsidRPr="00E9200E">
        <w:rPr>
          <w:rFonts w:ascii="Cambria" w:hAnsi="Cambria"/>
          <w:color w:val="000000"/>
          <w:sz w:val="20"/>
          <w:szCs w:val="20"/>
          <w:lang w:val="es-ES"/>
        </w:rPr>
        <w:t xml:space="preserve">homicidio, asalto ocasional, </w:t>
      </w:r>
      <w:r w:rsidR="002D3E88" w:rsidRPr="00E9200E">
        <w:rPr>
          <w:rFonts w:ascii="Cambria" w:hAnsi="Cambria"/>
          <w:color w:val="000000"/>
          <w:sz w:val="20"/>
          <w:szCs w:val="20"/>
          <w:lang w:val="es-ES"/>
        </w:rPr>
        <w:t>lesiones corporales</w:t>
      </w:r>
      <w:r w:rsidRPr="00E9200E">
        <w:rPr>
          <w:rFonts w:ascii="Cambria" w:hAnsi="Cambria"/>
          <w:color w:val="000000"/>
          <w:sz w:val="20"/>
          <w:szCs w:val="20"/>
          <w:lang w:val="es-ES"/>
        </w:rPr>
        <w:t xml:space="preserve"> y heridas ilegales</w:t>
      </w:r>
      <w:r w:rsidR="002D3E88" w:rsidRPr="00E9200E">
        <w:rPr>
          <w:rFonts w:ascii="Cambria" w:hAnsi="Cambria"/>
          <w:color w:val="000000"/>
          <w:sz w:val="20"/>
          <w:szCs w:val="20"/>
          <w:lang w:val="es-ES"/>
        </w:rPr>
        <w:t xml:space="preserve"> (</w:t>
      </w:r>
      <w:proofErr w:type="spellStart"/>
      <w:r w:rsidR="002D3E88" w:rsidRPr="00E9200E">
        <w:rPr>
          <w:rFonts w:ascii="Cambria" w:hAnsi="Cambria"/>
          <w:i/>
          <w:iCs/>
          <w:color w:val="000000"/>
          <w:sz w:val="20"/>
          <w:szCs w:val="20"/>
          <w:lang w:val="es-CO"/>
        </w:rPr>
        <w:t>murder</w:t>
      </w:r>
      <w:proofErr w:type="spellEnd"/>
      <w:r w:rsidR="002D3E88" w:rsidRPr="00E9200E">
        <w:rPr>
          <w:rFonts w:ascii="Cambria" w:hAnsi="Cambria"/>
          <w:i/>
          <w:iCs/>
          <w:color w:val="000000"/>
          <w:sz w:val="20"/>
          <w:szCs w:val="20"/>
          <w:lang w:val="es-CO"/>
        </w:rPr>
        <w:t xml:space="preserve">, </w:t>
      </w:r>
      <w:proofErr w:type="spellStart"/>
      <w:r w:rsidR="002D3E88" w:rsidRPr="00E9200E">
        <w:rPr>
          <w:rFonts w:ascii="Cambria" w:hAnsi="Cambria"/>
          <w:i/>
          <w:iCs/>
          <w:color w:val="000000"/>
          <w:sz w:val="20"/>
          <w:szCs w:val="20"/>
          <w:lang w:val="es-CO"/>
        </w:rPr>
        <w:t>manslaughter</w:t>
      </w:r>
      <w:proofErr w:type="spellEnd"/>
      <w:r w:rsidR="002D3E88" w:rsidRPr="00E9200E">
        <w:rPr>
          <w:rFonts w:ascii="Cambria" w:hAnsi="Cambria"/>
          <w:i/>
          <w:iCs/>
          <w:color w:val="000000"/>
          <w:sz w:val="20"/>
          <w:szCs w:val="20"/>
          <w:lang w:val="es-CO"/>
        </w:rPr>
        <w:t xml:space="preserve">, </w:t>
      </w:r>
      <w:proofErr w:type="spellStart"/>
      <w:r w:rsidR="002D3E88" w:rsidRPr="00E9200E">
        <w:rPr>
          <w:rFonts w:ascii="Cambria" w:hAnsi="Cambria"/>
          <w:i/>
          <w:iCs/>
          <w:color w:val="000000"/>
          <w:sz w:val="20"/>
          <w:szCs w:val="20"/>
          <w:lang w:val="es-CO"/>
        </w:rPr>
        <w:t>assault</w:t>
      </w:r>
      <w:proofErr w:type="spellEnd"/>
      <w:r w:rsidR="002D3E88" w:rsidRPr="00E9200E">
        <w:rPr>
          <w:rFonts w:ascii="Cambria" w:hAnsi="Cambria"/>
          <w:i/>
          <w:iCs/>
          <w:color w:val="000000"/>
          <w:sz w:val="20"/>
          <w:szCs w:val="20"/>
          <w:lang w:val="es-CO"/>
        </w:rPr>
        <w:t xml:space="preserve"> </w:t>
      </w:r>
      <w:proofErr w:type="spellStart"/>
      <w:r w:rsidR="002D3E88" w:rsidRPr="00E9200E">
        <w:rPr>
          <w:rFonts w:ascii="Cambria" w:hAnsi="Cambria"/>
          <w:i/>
          <w:iCs/>
          <w:color w:val="000000"/>
          <w:sz w:val="20"/>
          <w:szCs w:val="20"/>
          <w:lang w:val="es-CO"/>
        </w:rPr>
        <w:t>occasional</w:t>
      </w:r>
      <w:proofErr w:type="spellEnd"/>
      <w:r w:rsidR="002D3E88" w:rsidRPr="00E9200E">
        <w:rPr>
          <w:rFonts w:ascii="Cambria" w:hAnsi="Cambria"/>
          <w:i/>
          <w:iCs/>
          <w:color w:val="000000"/>
          <w:sz w:val="20"/>
          <w:szCs w:val="20"/>
          <w:lang w:val="es-CO"/>
        </w:rPr>
        <w:t xml:space="preserve"> actual </w:t>
      </w:r>
      <w:proofErr w:type="spellStart"/>
      <w:r w:rsidR="002D3E88" w:rsidRPr="00E9200E">
        <w:rPr>
          <w:rFonts w:ascii="Cambria" w:hAnsi="Cambria"/>
          <w:i/>
          <w:iCs/>
          <w:color w:val="000000"/>
          <w:sz w:val="20"/>
          <w:szCs w:val="20"/>
          <w:lang w:val="es-CO"/>
        </w:rPr>
        <w:t>bodily</w:t>
      </w:r>
      <w:proofErr w:type="spellEnd"/>
      <w:r w:rsidR="002D3E88" w:rsidRPr="00E9200E">
        <w:rPr>
          <w:rFonts w:ascii="Cambria" w:hAnsi="Cambria"/>
          <w:i/>
          <w:iCs/>
          <w:color w:val="000000"/>
          <w:sz w:val="20"/>
          <w:szCs w:val="20"/>
          <w:lang w:val="es-CO"/>
        </w:rPr>
        <w:t xml:space="preserve"> </w:t>
      </w:r>
      <w:proofErr w:type="spellStart"/>
      <w:r w:rsidR="002D3E88" w:rsidRPr="00E9200E">
        <w:rPr>
          <w:rFonts w:ascii="Cambria" w:hAnsi="Cambria"/>
          <w:i/>
          <w:iCs/>
          <w:color w:val="000000"/>
          <w:sz w:val="20"/>
          <w:szCs w:val="20"/>
          <w:lang w:val="es-CO"/>
        </w:rPr>
        <w:t>harm</w:t>
      </w:r>
      <w:proofErr w:type="spellEnd"/>
      <w:r w:rsidR="002D3E88" w:rsidRPr="00E9200E">
        <w:rPr>
          <w:rFonts w:ascii="Cambria" w:hAnsi="Cambria"/>
          <w:i/>
          <w:iCs/>
          <w:color w:val="000000"/>
          <w:sz w:val="20"/>
          <w:szCs w:val="20"/>
          <w:lang w:val="es-CO"/>
        </w:rPr>
        <w:t xml:space="preserve"> and </w:t>
      </w:r>
      <w:proofErr w:type="spellStart"/>
      <w:r w:rsidR="002D3E88" w:rsidRPr="00E9200E">
        <w:rPr>
          <w:rFonts w:ascii="Cambria" w:hAnsi="Cambria"/>
          <w:i/>
          <w:iCs/>
          <w:color w:val="000000"/>
          <w:sz w:val="20"/>
          <w:szCs w:val="20"/>
          <w:lang w:val="es-CO"/>
        </w:rPr>
        <w:t>unlawful</w:t>
      </w:r>
      <w:proofErr w:type="spellEnd"/>
      <w:r w:rsidR="002D3E88" w:rsidRPr="00E9200E">
        <w:rPr>
          <w:rFonts w:ascii="Cambria" w:hAnsi="Cambria"/>
          <w:i/>
          <w:iCs/>
          <w:color w:val="000000"/>
          <w:sz w:val="20"/>
          <w:szCs w:val="20"/>
          <w:lang w:val="es-CO"/>
        </w:rPr>
        <w:t xml:space="preserve"> </w:t>
      </w:r>
      <w:proofErr w:type="spellStart"/>
      <w:r w:rsidR="002D3E88" w:rsidRPr="00E9200E">
        <w:rPr>
          <w:rFonts w:ascii="Cambria" w:hAnsi="Cambria"/>
          <w:i/>
          <w:iCs/>
          <w:color w:val="000000"/>
          <w:sz w:val="20"/>
          <w:szCs w:val="20"/>
          <w:lang w:val="es-CO"/>
        </w:rPr>
        <w:lastRenderedPageBreak/>
        <w:t>wounding</w:t>
      </w:r>
      <w:proofErr w:type="spellEnd"/>
      <w:r w:rsidR="002D3E88" w:rsidRPr="00E9200E">
        <w:rPr>
          <w:rFonts w:ascii="Cambria" w:hAnsi="Cambria"/>
          <w:i/>
          <w:iCs/>
          <w:color w:val="000000"/>
          <w:sz w:val="20"/>
          <w:szCs w:val="20"/>
          <w:lang w:val="es-ES"/>
        </w:rPr>
        <w:t xml:space="preserve">), </w:t>
      </w:r>
      <w:r w:rsidRPr="00E9200E">
        <w:rPr>
          <w:rFonts w:ascii="Cambria" w:hAnsi="Cambria"/>
          <w:color w:val="000000"/>
          <w:sz w:val="20"/>
          <w:szCs w:val="20"/>
          <w:lang w:val="es-ES"/>
        </w:rPr>
        <w:t xml:space="preserve">a raíz de investigaciones del INDECOM. </w:t>
      </w:r>
      <w:r w:rsidR="003D3248" w:rsidRPr="00E9200E">
        <w:rPr>
          <w:rFonts w:ascii="Cambria" w:hAnsi="Cambria"/>
          <w:color w:val="000000"/>
          <w:sz w:val="20"/>
          <w:szCs w:val="20"/>
          <w:lang w:val="es-ES"/>
        </w:rPr>
        <w:t>E</w:t>
      </w:r>
      <w:r w:rsidRPr="00E9200E">
        <w:rPr>
          <w:rFonts w:ascii="Cambria" w:hAnsi="Cambria"/>
          <w:color w:val="000000"/>
          <w:sz w:val="20"/>
          <w:szCs w:val="20"/>
          <w:lang w:val="es-ES"/>
        </w:rPr>
        <w:t>l Estado</w:t>
      </w:r>
      <w:r w:rsidR="003D3248" w:rsidRPr="00E9200E">
        <w:rPr>
          <w:rFonts w:ascii="Cambria" w:hAnsi="Cambria"/>
          <w:color w:val="000000"/>
          <w:sz w:val="20"/>
          <w:szCs w:val="20"/>
          <w:lang w:val="es-ES"/>
        </w:rPr>
        <w:t xml:space="preserve"> también</w:t>
      </w:r>
      <w:r w:rsidRPr="00E9200E">
        <w:rPr>
          <w:rFonts w:ascii="Cambria" w:hAnsi="Cambria"/>
          <w:color w:val="000000"/>
          <w:sz w:val="20"/>
          <w:szCs w:val="20"/>
          <w:lang w:val="es-ES"/>
        </w:rPr>
        <w:t xml:space="preserve"> aclar</w:t>
      </w:r>
      <w:r w:rsidR="002D3E88" w:rsidRPr="00E9200E">
        <w:rPr>
          <w:rFonts w:ascii="Cambria" w:hAnsi="Cambria"/>
          <w:color w:val="000000"/>
          <w:sz w:val="20"/>
          <w:szCs w:val="20"/>
          <w:lang w:val="es-ES"/>
        </w:rPr>
        <w:t>ó</w:t>
      </w:r>
      <w:r w:rsidRPr="00E9200E">
        <w:rPr>
          <w:rFonts w:ascii="Cambria" w:hAnsi="Cambria"/>
          <w:color w:val="000000"/>
          <w:sz w:val="20"/>
          <w:szCs w:val="20"/>
          <w:lang w:val="es-ES"/>
        </w:rPr>
        <w:t xml:space="preserve"> que el Servicio de Denuncias de la Policía Pública </w:t>
      </w:r>
      <w:r w:rsidR="002D3E88" w:rsidRPr="00E9200E">
        <w:rPr>
          <w:rFonts w:ascii="Cambria" w:hAnsi="Cambria"/>
          <w:color w:val="000000"/>
          <w:sz w:val="20"/>
          <w:szCs w:val="20"/>
          <w:lang w:val="es-ES"/>
        </w:rPr>
        <w:t>fue</w:t>
      </w:r>
      <w:r w:rsidRPr="00E9200E">
        <w:rPr>
          <w:rFonts w:ascii="Cambria" w:hAnsi="Cambria"/>
          <w:color w:val="000000"/>
          <w:sz w:val="20"/>
          <w:szCs w:val="20"/>
          <w:lang w:val="es-ES"/>
        </w:rPr>
        <w:t xml:space="preserve"> abolido</w:t>
      </w:r>
      <w:r w:rsidR="002D3E88" w:rsidRPr="00E9200E">
        <w:rPr>
          <w:rFonts w:ascii="Cambria" w:hAnsi="Cambria"/>
          <w:color w:val="000000"/>
          <w:sz w:val="20"/>
          <w:szCs w:val="20"/>
          <w:lang w:val="es-ES"/>
        </w:rPr>
        <w:t xml:space="preserve"> y que</w:t>
      </w:r>
      <w:r w:rsidR="003D3248" w:rsidRPr="00E9200E">
        <w:rPr>
          <w:rFonts w:ascii="Cambria" w:hAnsi="Cambria"/>
          <w:color w:val="000000"/>
          <w:sz w:val="20"/>
          <w:szCs w:val="20"/>
          <w:lang w:val="es-ES"/>
        </w:rPr>
        <w:t>, en su reemplazo,</w:t>
      </w:r>
      <w:r w:rsidR="002D3E88" w:rsidRPr="00E9200E">
        <w:rPr>
          <w:rFonts w:ascii="Cambria" w:hAnsi="Cambria"/>
          <w:color w:val="000000"/>
          <w:sz w:val="20"/>
          <w:szCs w:val="20"/>
          <w:lang w:val="es-ES"/>
        </w:rPr>
        <w:t xml:space="preserve"> </w:t>
      </w:r>
      <w:r w:rsidR="00387F7F" w:rsidRPr="00E9200E">
        <w:rPr>
          <w:rFonts w:ascii="Cambria" w:hAnsi="Cambria"/>
          <w:color w:val="000000"/>
          <w:sz w:val="20"/>
          <w:szCs w:val="20"/>
          <w:lang w:val="es-ES"/>
        </w:rPr>
        <w:t xml:space="preserve">se </w:t>
      </w:r>
      <w:r w:rsidRPr="00E9200E">
        <w:rPr>
          <w:rFonts w:ascii="Cambria" w:hAnsi="Cambria"/>
          <w:color w:val="000000"/>
          <w:sz w:val="20"/>
          <w:szCs w:val="20"/>
          <w:lang w:val="es-ES"/>
        </w:rPr>
        <w:t xml:space="preserve">estableció el INDECOM, </w:t>
      </w:r>
      <w:r w:rsidR="003D3248" w:rsidRPr="00E9200E">
        <w:rPr>
          <w:rFonts w:ascii="Cambria" w:hAnsi="Cambria"/>
          <w:color w:val="000000"/>
          <w:sz w:val="20"/>
          <w:szCs w:val="20"/>
          <w:lang w:val="es-ES"/>
        </w:rPr>
        <w:t xml:space="preserve">como </w:t>
      </w:r>
      <w:r w:rsidRPr="00E9200E">
        <w:rPr>
          <w:rFonts w:ascii="Cambria" w:hAnsi="Cambria"/>
          <w:color w:val="000000"/>
          <w:sz w:val="20"/>
          <w:szCs w:val="20"/>
          <w:lang w:val="es-ES"/>
        </w:rPr>
        <w:t xml:space="preserve">entidad independiente. No obstante, </w:t>
      </w:r>
      <w:r w:rsidR="002D3E88" w:rsidRPr="00E9200E">
        <w:rPr>
          <w:rFonts w:ascii="Cambria" w:hAnsi="Cambria"/>
          <w:color w:val="000000"/>
          <w:sz w:val="20"/>
          <w:szCs w:val="20"/>
          <w:lang w:val="es-ES"/>
        </w:rPr>
        <w:t xml:space="preserve">explicó que </w:t>
      </w:r>
      <w:r w:rsidRPr="00E9200E">
        <w:rPr>
          <w:rFonts w:ascii="Cambria" w:hAnsi="Cambria"/>
          <w:color w:val="000000"/>
          <w:sz w:val="20"/>
          <w:szCs w:val="20"/>
          <w:lang w:val="es-ES"/>
        </w:rPr>
        <w:t>la Fuerza de Policía de Jamaica tiene</w:t>
      </w:r>
      <w:r w:rsidR="003D3248" w:rsidRPr="00E9200E">
        <w:rPr>
          <w:rFonts w:ascii="Cambria" w:hAnsi="Cambria"/>
          <w:color w:val="000000"/>
          <w:sz w:val="20"/>
          <w:szCs w:val="20"/>
          <w:lang w:val="es-ES"/>
        </w:rPr>
        <w:t xml:space="preserve"> la Oficina de Inspección y Supervisión de Normas Profesionales (</w:t>
      </w:r>
      <w:proofErr w:type="spellStart"/>
      <w:r w:rsidR="003D3248" w:rsidRPr="00E9200E">
        <w:rPr>
          <w:rFonts w:ascii="Cambria" w:hAnsi="Cambria"/>
          <w:i/>
          <w:iCs/>
          <w:color w:val="000000"/>
          <w:sz w:val="20"/>
          <w:szCs w:val="20"/>
          <w:lang w:val="es-CO"/>
        </w:rPr>
        <w:t>Inspectorate</w:t>
      </w:r>
      <w:proofErr w:type="spellEnd"/>
      <w:r w:rsidR="003D3248" w:rsidRPr="00E9200E">
        <w:rPr>
          <w:rFonts w:ascii="Cambria" w:hAnsi="Cambria"/>
          <w:i/>
          <w:iCs/>
          <w:color w:val="000000"/>
          <w:sz w:val="20"/>
          <w:szCs w:val="20"/>
          <w:lang w:val="es-CO"/>
        </w:rPr>
        <w:t xml:space="preserve"> and Professional </w:t>
      </w:r>
      <w:proofErr w:type="spellStart"/>
      <w:r w:rsidR="003D3248" w:rsidRPr="00E9200E">
        <w:rPr>
          <w:rFonts w:ascii="Cambria" w:hAnsi="Cambria"/>
          <w:i/>
          <w:iCs/>
          <w:color w:val="000000"/>
          <w:sz w:val="20"/>
          <w:szCs w:val="20"/>
          <w:lang w:val="es-CO"/>
        </w:rPr>
        <w:t>Standards</w:t>
      </w:r>
      <w:proofErr w:type="spellEnd"/>
      <w:r w:rsidR="003D3248" w:rsidRPr="00E9200E">
        <w:rPr>
          <w:rFonts w:ascii="Cambria" w:hAnsi="Cambria"/>
          <w:i/>
          <w:iCs/>
          <w:color w:val="000000"/>
          <w:sz w:val="20"/>
          <w:szCs w:val="20"/>
          <w:lang w:val="es-CO"/>
        </w:rPr>
        <w:t xml:space="preserve"> </w:t>
      </w:r>
      <w:proofErr w:type="spellStart"/>
      <w:r w:rsidR="003D3248" w:rsidRPr="00E9200E">
        <w:rPr>
          <w:rFonts w:ascii="Cambria" w:hAnsi="Cambria"/>
          <w:i/>
          <w:iCs/>
          <w:color w:val="000000"/>
          <w:sz w:val="20"/>
          <w:szCs w:val="20"/>
          <w:lang w:val="es-CO"/>
        </w:rPr>
        <w:t>Oversight</w:t>
      </w:r>
      <w:proofErr w:type="spellEnd"/>
      <w:r w:rsidR="003D3248" w:rsidRPr="00E9200E">
        <w:rPr>
          <w:rFonts w:ascii="Cambria" w:hAnsi="Cambria"/>
          <w:i/>
          <w:iCs/>
          <w:color w:val="000000"/>
          <w:sz w:val="20"/>
          <w:szCs w:val="20"/>
          <w:lang w:val="es-CO"/>
        </w:rPr>
        <w:t xml:space="preserve"> Bureau</w:t>
      </w:r>
      <w:r w:rsidR="003D3248" w:rsidRPr="00E9200E">
        <w:rPr>
          <w:rFonts w:ascii="Cambria" w:hAnsi="Cambria"/>
          <w:color w:val="000000"/>
          <w:sz w:val="20"/>
          <w:szCs w:val="20"/>
          <w:lang w:val="es-ES"/>
        </w:rPr>
        <w:t>)</w:t>
      </w:r>
      <w:r w:rsidR="00387F7F" w:rsidRPr="00E9200E">
        <w:rPr>
          <w:rFonts w:ascii="Cambria" w:hAnsi="Cambria"/>
          <w:color w:val="000000"/>
          <w:sz w:val="20"/>
          <w:szCs w:val="20"/>
          <w:lang w:val="es-ES"/>
        </w:rPr>
        <w:t xml:space="preserve"> como</w:t>
      </w:r>
      <w:r w:rsidRPr="00E9200E">
        <w:rPr>
          <w:rFonts w:ascii="Cambria" w:hAnsi="Cambria"/>
          <w:color w:val="000000"/>
          <w:sz w:val="20"/>
          <w:szCs w:val="20"/>
          <w:lang w:val="es-ES"/>
        </w:rPr>
        <w:t xml:space="preserve"> </w:t>
      </w:r>
      <w:r w:rsidR="002D3E88" w:rsidRPr="00E9200E">
        <w:rPr>
          <w:rFonts w:ascii="Cambria" w:hAnsi="Cambria"/>
          <w:color w:val="000000"/>
          <w:sz w:val="20"/>
          <w:szCs w:val="20"/>
          <w:lang w:val="es-ES"/>
        </w:rPr>
        <w:t>área</w:t>
      </w:r>
      <w:r w:rsidRPr="00E9200E">
        <w:rPr>
          <w:rFonts w:ascii="Cambria" w:hAnsi="Cambria"/>
          <w:color w:val="000000"/>
          <w:sz w:val="20"/>
          <w:szCs w:val="20"/>
          <w:lang w:val="es-ES"/>
        </w:rPr>
        <w:t xml:space="preserve"> de investigación interna de las faltas de conducta de la policía.</w:t>
      </w:r>
      <w:r w:rsidR="002D3E88" w:rsidRPr="00E9200E">
        <w:rPr>
          <w:rFonts w:ascii="Cambria" w:hAnsi="Cambria"/>
          <w:color w:val="000000"/>
          <w:sz w:val="20"/>
          <w:szCs w:val="20"/>
          <w:lang w:val="es-ES"/>
        </w:rPr>
        <w:t xml:space="preserve"> Con base en lo anterior, </w:t>
      </w:r>
      <w:r w:rsidRPr="00E9200E">
        <w:rPr>
          <w:rFonts w:ascii="Cambria" w:hAnsi="Cambria"/>
          <w:color w:val="000000"/>
          <w:sz w:val="20"/>
          <w:szCs w:val="20"/>
          <w:lang w:val="es-ES"/>
        </w:rPr>
        <w:t>el Estado afirm</w:t>
      </w:r>
      <w:r w:rsidR="002D3E88" w:rsidRPr="00E9200E">
        <w:rPr>
          <w:rFonts w:ascii="Cambria" w:hAnsi="Cambria"/>
          <w:color w:val="000000"/>
          <w:sz w:val="20"/>
          <w:szCs w:val="20"/>
          <w:lang w:val="es-ES"/>
        </w:rPr>
        <w:t>ó</w:t>
      </w:r>
      <w:r w:rsidRPr="00E9200E">
        <w:rPr>
          <w:rFonts w:ascii="Cambria" w:hAnsi="Cambria"/>
          <w:color w:val="000000"/>
          <w:sz w:val="20"/>
          <w:szCs w:val="20"/>
          <w:lang w:val="es-ES"/>
        </w:rPr>
        <w:t xml:space="preserve"> ha</w:t>
      </w:r>
      <w:r w:rsidR="002D3E88" w:rsidRPr="00E9200E">
        <w:rPr>
          <w:rFonts w:ascii="Cambria" w:hAnsi="Cambria"/>
          <w:color w:val="000000"/>
          <w:sz w:val="20"/>
          <w:szCs w:val="20"/>
          <w:lang w:val="es-ES"/>
        </w:rPr>
        <w:t>ber</w:t>
      </w:r>
      <w:r w:rsidRPr="00E9200E">
        <w:rPr>
          <w:rFonts w:ascii="Cambria" w:hAnsi="Cambria"/>
          <w:color w:val="000000"/>
          <w:sz w:val="20"/>
          <w:szCs w:val="20"/>
          <w:lang w:val="es-ES"/>
        </w:rPr>
        <w:t xml:space="preserve"> adoptado medidas apropiadas para garantizar una formación adecuada en materia de derechos humanos a las fuerzas de seguridad</w:t>
      </w:r>
      <w:r w:rsidR="002D3E88" w:rsidRPr="00E9200E">
        <w:rPr>
          <w:rFonts w:ascii="Cambria" w:hAnsi="Cambria"/>
          <w:color w:val="000000"/>
          <w:sz w:val="20"/>
          <w:szCs w:val="20"/>
          <w:lang w:val="es-ES"/>
        </w:rPr>
        <w:t xml:space="preserve"> y que, a través de </w:t>
      </w:r>
      <w:r w:rsidRPr="00E9200E">
        <w:rPr>
          <w:rFonts w:ascii="Cambria" w:hAnsi="Cambria"/>
          <w:color w:val="000000"/>
          <w:sz w:val="20"/>
          <w:szCs w:val="20"/>
          <w:lang w:val="es-ES"/>
        </w:rPr>
        <w:t xml:space="preserve">INDECOM, ha tomado las medidas apropiadas para asegurar la existencia de una </w:t>
      </w:r>
      <w:proofErr w:type="gramStart"/>
      <w:r w:rsidRPr="00E9200E">
        <w:rPr>
          <w:rFonts w:ascii="Cambria" w:hAnsi="Cambria"/>
          <w:color w:val="000000"/>
          <w:sz w:val="20"/>
          <w:szCs w:val="20"/>
          <w:lang w:val="es-ES"/>
        </w:rPr>
        <w:t>autoridad pública</w:t>
      </w:r>
      <w:proofErr w:type="gramEnd"/>
      <w:r w:rsidRPr="00E9200E">
        <w:rPr>
          <w:rFonts w:ascii="Cambria" w:hAnsi="Cambria"/>
          <w:color w:val="000000"/>
          <w:sz w:val="20"/>
          <w:szCs w:val="20"/>
          <w:lang w:val="es-ES"/>
        </w:rPr>
        <w:t xml:space="preserve"> independiente y efectiva</w:t>
      </w:r>
      <w:r w:rsidR="002D3E88" w:rsidRPr="00E9200E">
        <w:rPr>
          <w:rFonts w:ascii="Cambria" w:hAnsi="Cambria"/>
          <w:color w:val="000000"/>
          <w:sz w:val="20"/>
          <w:szCs w:val="20"/>
          <w:lang w:val="es-ES"/>
        </w:rPr>
        <w:t xml:space="preserve"> para investigar</w:t>
      </w:r>
      <w:r w:rsidRPr="00E9200E">
        <w:rPr>
          <w:rFonts w:ascii="Cambria" w:hAnsi="Cambria"/>
          <w:color w:val="000000"/>
          <w:sz w:val="20"/>
          <w:szCs w:val="20"/>
          <w:lang w:val="es-ES"/>
        </w:rPr>
        <w:t xml:space="preserve"> presuntos abusos de las fuerzas de seguridad. </w:t>
      </w:r>
    </w:p>
    <w:p w14:paraId="6F0C0D73" w14:textId="77777777" w:rsidR="00AF1F44" w:rsidRPr="00E9200E" w:rsidRDefault="00AF1F44" w:rsidP="00AF1F44">
      <w:pPr>
        <w:pStyle w:val="NoSpacing"/>
        <w:ind w:left="720"/>
        <w:jc w:val="both"/>
        <w:rPr>
          <w:rFonts w:ascii="Cambria" w:hAnsi="Cambria"/>
          <w:color w:val="000000"/>
          <w:sz w:val="20"/>
          <w:szCs w:val="20"/>
          <w:lang w:val="es-ES"/>
        </w:rPr>
      </w:pPr>
    </w:p>
    <w:p w14:paraId="3C6CE4CC" w14:textId="77777777" w:rsidR="009032A4" w:rsidRPr="00E9200E" w:rsidRDefault="00AF1F44" w:rsidP="00326444">
      <w:pPr>
        <w:pStyle w:val="NoSpacing"/>
        <w:numPr>
          <w:ilvl w:val="0"/>
          <w:numId w:val="7"/>
        </w:numPr>
        <w:ind w:firstLine="720"/>
        <w:jc w:val="both"/>
        <w:rPr>
          <w:rFonts w:ascii="Cambria" w:hAnsi="Cambria"/>
          <w:color w:val="000000"/>
          <w:sz w:val="20"/>
          <w:szCs w:val="20"/>
          <w:lang w:val="es-ES"/>
        </w:rPr>
      </w:pPr>
      <w:r w:rsidRPr="00E9200E">
        <w:rPr>
          <w:rFonts w:ascii="Cambria" w:hAnsi="Cambria"/>
          <w:color w:val="000000"/>
          <w:sz w:val="20"/>
          <w:szCs w:val="20"/>
          <w:lang w:val="es-ES"/>
        </w:rPr>
        <w:t>En 2021, el Estado afirmó que reconoce que los derechos humanos son un aspecto importante del trabajo policial</w:t>
      </w:r>
      <w:r w:rsidR="004822DC" w:rsidRPr="00E9200E">
        <w:rPr>
          <w:rFonts w:ascii="Cambria" w:hAnsi="Cambria"/>
          <w:color w:val="000000"/>
          <w:sz w:val="20"/>
          <w:szCs w:val="20"/>
          <w:lang w:val="es-ES"/>
        </w:rPr>
        <w:t xml:space="preserve"> y manifestó que ha tomado las medidas apropiadas para garantizar que las fuerzas de seguridad reciban una formación adecuada en materia de derechos humanos y para garantizar la existencia de una </w:t>
      </w:r>
      <w:proofErr w:type="gramStart"/>
      <w:r w:rsidR="004822DC" w:rsidRPr="00E9200E">
        <w:rPr>
          <w:rFonts w:ascii="Cambria" w:hAnsi="Cambria"/>
          <w:color w:val="000000"/>
          <w:sz w:val="20"/>
          <w:szCs w:val="20"/>
          <w:lang w:val="es-ES"/>
        </w:rPr>
        <w:t>autoridad pública</w:t>
      </w:r>
      <w:proofErr w:type="gramEnd"/>
      <w:r w:rsidR="004822DC" w:rsidRPr="00E9200E">
        <w:rPr>
          <w:rFonts w:ascii="Cambria" w:hAnsi="Cambria"/>
          <w:color w:val="000000"/>
          <w:sz w:val="20"/>
          <w:szCs w:val="20"/>
          <w:lang w:val="es-ES"/>
        </w:rPr>
        <w:t xml:space="preserve"> capaz de investigar de forma independiente y eficaz los presuntos abusos de los derechos humanos cometidos por miembros de las fuerzas de seguridad. </w:t>
      </w:r>
      <w:r w:rsidR="00326444" w:rsidRPr="00E9200E">
        <w:rPr>
          <w:rFonts w:ascii="Cambria" w:hAnsi="Cambria"/>
          <w:color w:val="000000"/>
          <w:sz w:val="20"/>
          <w:szCs w:val="20"/>
          <w:lang w:val="es-ES"/>
        </w:rPr>
        <w:t>Además de reiterar alguna información reportada con anterioridad, e</w:t>
      </w:r>
      <w:r w:rsidRPr="00E9200E">
        <w:rPr>
          <w:rFonts w:ascii="Cambria" w:hAnsi="Cambria"/>
          <w:color w:val="000000"/>
          <w:sz w:val="20"/>
          <w:szCs w:val="20"/>
          <w:lang w:val="es-ES"/>
        </w:rPr>
        <w:t xml:space="preserve">xplicó que la Escuela Nacional de Policía de Jamaica se asocia con representantes de los derechos humanos para impartir sistemáticamente, como parte de su curso de formación básica de seis meses, </w:t>
      </w:r>
      <w:r w:rsidR="00F077B9" w:rsidRPr="00E9200E">
        <w:rPr>
          <w:rFonts w:ascii="Cambria" w:hAnsi="Cambria"/>
          <w:color w:val="000000"/>
          <w:sz w:val="20"/>
          <w:szCs w:val="20"/>
          <w:lang w:val="es-ES"/>
        </w:rPr>
        <w:t xml:space="preserve">la temática de </w:t>
      </w:r>
      <w:r w:rsidRPr="00E9200E">
        <w:rPr>
          <w:rFonts w:ascii="Cambria" w:hAnsi="Cambria"/>
          <w:color w:val="000000"/>
          <w:sz w:val="20"/>
          <w:szCs w:val="20"/>
          <w:lang w:val="es-ES"/>
        </w:rPr>
        <w:t xml:space="preserve">derechos humanos a los nuevos reclutas de la policía. Informó que ese curso es un requisito previo para ser incorporado al cuerpo de policía. Además, indicó que </w:t>
      </w:r>
      <w:r w:rsidR="00E41A3B" w:rsidRPr="00E9200E">
        <w:rPr>
          <w:rFonts w:ascii="Cambria" w:hAnsi="Cambria"/>
          <w:color w:val="000000"/>
          <w:sz w:val="20"/>
          <w:szCs w:val="20"/>
          <w:lang w:val="es-ES"/>
        </w:rPr>
        <w:t>el Cuerpo de Policía de Jamaica emitió</w:t>
      </w:r>
      <w:r w:rsidRPr="00E9200E">
        <w:rPr>
          <w:rFonts w:ascii="Cambria" w:hAnsi="Cambria"/>
          <w:color w:val="000000"/>
          <w:sz w:val="20"/>
          <w:szCs w:val="20"/>
          <w:lang w:val="es-ES"/>
        </w:rPr>
        <w:t xml:space="preserve"> la Orden de la Fuerza #2248 sobre el uso de la fuerza</w:t>
      </w:r>
      <w:r w:rsidR="00E41A3B" w:rsidRPr="00E9200E">
        <w:rPr>
          <w:rFonts w:ascii="Cambria" w:hAnsi="Cambria"/>
          <w:color w:val="000000"/>
          <w:sz w:val="20"/>
          <w:szCs w:val="20"/>
          <w:lang w:val="es-ES"/>
        </w:rPr>
        <w:t xml:space="preserve"> que</w:t>
      </w:r>
      <w:r w:rsidRPr="00E9200E">
        <w:rPr>
          <w:rFonts w:ascii="Cambria" w:hAnsi="Cambria"/>
          <w:color w:val="000000"/>
          <w:sz w:val="20"/>
          <w:szCs w:val="20"/>
          <w:lang w:val="es-ES"/>
        </w:rPr>
        <w:t xml:space="preserve"> establece directrices específicas relativas al uso de la fuerza letal y no letal por parte de </w:t>
      </w:r>
      <w:r w:rsidR="00E41A3B" w:rsidRPr="00E9200E">
        <w:rPr>
          <w:rFonts w:ascii="Cambria" w:hAnsi="Cambria"/>
          <w:color w:val="000000"/>
          <w:sz w:val="20"/>
          <w:szCs w:val="20"/>
          <w:lang w:val="es-ES"/>
        </w:rPr>
        <w:t>sus</w:t>
      </w:r>
      <w:r w:rsidRPr="00E9200E">
        <w:rPr>
          <w:rFonts w:ascii="Cambria" w:hAnsi="Cambria"/>
          <w:color w:val="000000"/>
          <w:sz w:val="20"/>
          <w:szCs w:val="20"/>
          <w:lang w:val="es-ES"/>
        </w:rPr>
        <w:t xml:space="preserve"> miembros y auxiliares.</w:t>
      </w:r>
      <w:r w:rsidR="00E41A3B" w:rsidRPr="00E9200E">
        <w:rPr>
          <w:rFonts w:ascii="Cambria" w:hAnsi="Cambria"/>
          <w:color w:val="000000"/>
          <w:sz w:val="20"/>
          <w:szCs w:val="20"/>
          <w:lang w:val="es-ES"/>
        </w:rPr>
        <w:t xml:space="preserve"> </w:t>
      </w:r>
    </w:p>
    <w:p w14:paraId="38922EDE" w14:textId="77777777" w:rsidR="009032A4" w:rsidRPr="00E9200E" w:rsidRDefault="009032A4" w:rsidP="009032A4">
      <w:pPr>
        <w:pStyle w:val="NoSpacing"/>
        <w:jc w:val="both"/>
        <w:rPr>
          <w:rFonts w:ascii="Cambria" w:hAnsi="Cambria"/>
          <w:color w:val="000000"/>
          <w:sz w:val="20"/>
          <w:szCs w:val="20"/>
          <w:lang w:val="es-ES"/>
        </w:rPr>
      </w:pPr>
    </w:p>
    <w:p w14:paraId="5B1CBC6F" w14:textId="77777777" w:rsidR="004822DC" w:rsidRPr="00E9200E" w:rsidRDefault="009032A4" w:rsidP="004822DC">
      <w:pPr>
        <w:pStyle w:val="NoSpacing"/>
        <w:numPr>
          <w:ilvl w:val="0"/>
          <w:numId w:val="7"/>
        </w:numPr>
        <w:ind w:firstLine="720"/>
        <w:jc w:val="both"/>
        <w:rPr>
          <w:rFonts w:ascii="Cambria" w:hAnsi="Cambria"/>
          <w:color w:val="000000"/>
          <w:sz w:val="20"/>
          <w:szCs w:val="20"/>
          <w:lang w:val="es-ES"/>
        </w:rPr>
      </w:pPr>
      <w:r w:rsidRPr="00E9200E">
        <w:rPr>
          <w:rFonts w:ascii="Cambria" w:hAnsi="Cambria"/>
          <w:color w:val="000000"/>
          <w:sz w:val="20"/>
          <w:szCs w:val="20"/>
          <w:lang w:val="es-ES"/>
        </w:rPr>
        <w:t>También en 2021, e</w:t>
      </w:r>
      <w:r w:rsidR="00AF1F44" w:rsidRPr="00E9200E">
        <w:rPr>
          <w:rFonts w:ascii="Cambria" w:hAnsi="Cambria"/>
          <w:color w:val="000000"/>
          <w:sz w:val="20"/>
          <w:szCs w:val="20"/>
          <w:lang w:val="es-ES"/>
        </w:rPr>
        <w:t>n cuanto a reformas en los procedimientos de investigación y enjuiciamiento de los actos contra la vida cometidos por miembros de las fuerzas de seguridad, el Estado reiter</w:t>
      </w:r>
      <w:r w:rsidR="00E41A3B" w:rsidRPr="00E9200E">
        <w:rPr>
          <w:rFonts w:ascii="Cambria" w:hAnsi="Cambria"/>
          <w:color w:val="000000"/>
          <w:sz w:val="20"/>
          <w:szCs w:val="20"/>
          <w:lang w:val="es-ES"/>
        </w:rPr>
        <w:t>ó</w:t>
      </w:r>
      <w:r w:rsidR="00AF1F44" w:rsidRPr="00E9200E">
        <w:rPr>
          <w:rFonts w:ascii="Cambria" w:hAnsi="Cambria"/>
          <w:color w:val="000000"/>
          <w:sz w:val="20"/>
          <w:szCs w:val="20"/>
          <w:lang w:val="es-ES"/>
        </w:rPr>
        <w:t xml:space="preserve"> que</w:t>
      </w:r>
      <w:r w:rsidR="00E41A3B" w:rsidRPr="00E9200E">
        <w:rPr>
          <w:rFonts w:ascii="Cambria" w:hAnsi="Cambria"/>
          <w:color w:val="000000"/>
          <w:sz w:val="20"/>
          <w:szCs w:val="20"/>
          <w:lang w:val="es-ES"/>
        </w:rPr>
        <w:t xml:space="preserve"> creó </w:t>
      </w:r>
      <w:r w:rsidR="00AF1F44" w:rsidRPr="00E9200E">
        <w:rPr>
          <w:rFonts w:ascii="Cambria" w:hAnsi="Cambria"/>
          <w:color w:val="000000"/>
          <w:sz w:val="20"/>
          <w:szCs w:val="20"/>
          <w:lang w:val="es-ES"/>
        </w:rPr>
        <w:t xml:space="preserve">la Comisión Independiente de Investigaciones ("INDECOM"), </w:t>
      </w:r>
      <w:r w:rsidR="00F90D0A" w:rsidRPr="00E9200E">
        <w:rPr>
          <w:rFonts w:ascii="Cambria" w:hAnsi="Cambria"/>
          <w:color w:val="000000"/>
          <w:sz w:val="20"/>
          <w:szCs w:val="20"/>
          <w:lang w:val="es-ES"/>
        </w:rPr>
        <w:t xml:space="preserve">la cual sigue </w:t>
      </w:r>
      <w:r w:rsidR="00AF1F44" w:rsidRPr="00E9200E">
        <w:rPr>
          <w:rFonts w:ascii="Cambria" w:hAnsi="Cambria"/>
          <w:color w:val="000000"/>
          <w:sz w:val="20"/>
          <w:szCs w:val="20"/>
          <w:lang w:val="es-ES"/>
        </w:rPr>
        <w:t>siendo muy activ</w:t>
      </w:r>
      <w:r w:rsidR="00F90D0A" w:rsidRPr="00E9200E">
        <w:rPr>
          <w:rFonts w:ascii="Cambria" w:hAnsi="Cambria"/>
          <w:color w:val="000000"/>
          <w:sz w:val="20"/>
          <w:szCs w:val="20"/>
          <w:lang w:val="es-ES"/>
        </w:rPr>
        <w:t>a</w:t>
      </w:r>
      <w:r w:rsidR="00AF1F44" w:rsidRPr="00E9200E">
        <w:rPr>
          <w:rFonts w:ascii="Cambria" w:hAnsi="Cambria"/>
          <w:color w:val="000000"/>
          <w:sz w:val="20"/>
          <w:szCs w:val="20"/>
          <w:lang w:val="es-ES"/>
        </w:rPr>
        <w:t xml:space="preserve"> en la evaluación de las denuncias de abusos </w:t>
      </w:r>
      <w:r w:rsidR="00F077B9" w:rsidRPr="00E9200E">
        <w:rPr>
          <w:rFonts w:ascii="Cambria" w:hAnsi="Cambria"/>
          <w:color w:val="000000"/>
          <w:sz w:val="20"/>
          <w:szCs w:val="20"/>
          <w:lang w:val="es-ES"/>
        </w:rPr>
        <w:t>por parte de</w:t>
      </w:r>
      <w:r w:rsidR="00AF1F44" w:rsidRPr="00E9200E">
        <w:rPr>
          <w:rFonts w:ascii="Cambria" w:hAnsi="Cambria"/>
          <w:color w:val="000000"/>
          <w:sz w:val="20"/>
          <w:szCs w:val="20"/>
          <w:lang w:val="es-ES"/>
        </w:rPr>
        <w:t xml:space="preserve"> miembros de las fuerzas de seguridad</w:t>
      </w:r>
      <w:r w:rsidR="00F90D0A" w:rsidRPr="00E9200E">
        <w:rPr>
          <w:rFonts w:ascii="Cambria" w:hAnsi="Cambria"/>
          <w:color w:val="000000"/>
          <w:sz w:val="20"/>
          <w:szCs w:val="20"/>
          <w:lang w:val="es-ES"/>
        </w:rPr>
        <w:t>. Informó</w:t>
      </w:r>
      <w:r w:rsidRPr="00E9200E">
        <w:rPr>
          <w:rFonts w:ascii="Cambria" w:hAnsi="Cambria"/>
          <w:color w:val="000000"/>
          <w:sz w:val="20"/>
          <w:szCs w:val="20"/>
          <w:lang w:val="es-ES"/>
        </w:rPr>
        <w:t xml:space="preserve"> que, p</w:t>
      </w:r>
      <w:r w:rsidR="00AF1F44" w:rsidRPr="00E9200E">
        <w:rPr>
          <w:rFonts w:ascii="Cambria" w:hAnsi="Cambria"/>
          <w:color w:val="000000"/>
          <w:sz w:val="20"/>
          <w:szCs w:val="20"/>
          <w:lang w:val="es-ES"/>
        </w:rPr>
        <w:t xml:space="preserve">or ejemplo, de enero a junio de 2021, </w:t>
      </w:r>
      <w:r w:rsidR="00F90D0A" w:rsidRPr="00E9200E">
        <w:rPr>
          <w:rFonts w:ascii="Cambria" w:hAnsi="Cambria"/>
          <w:color w:val="000000"/>
          <w:sz w:val="20"/>
          <w:szCs w:val="20"/>
          <w:lang w:val="es-ES"/>
        </w:rPr>
        <w:t xml:space="preserve">el INDECOM </w:t>
      </w:r>
      <w:r w:rsidR="00AF1F44" w:rsidRPr="00E9200E">
        <w:rPr>
          <w:rFonts w:ascii="Cambria" w:hAnsi="Cambria"/>
          <w:color w:val="000000"/>
          <w:sz w:val="20"/>
          <w:szCs w:val="20"/>
          <w:lang w:val="es-ES"/>
        </w:rPr>
        <w:t>recibió 536 nuevas denuncias</w:t>
      </w:r>
      <w:r w:rsidRPr="00E9200E">
        <w:rPr>
          <w:rFonts w:ascii="Cambria" w:hAnsi="Cambria"/>
          <w:color w:val="000000"/>
          <w:sz w:val="20"/>
          <w:szCs w:val="20"/>
          <w:lang w:val="es-ES"/>
        </w:rPr>
        <w:t xml:space="preserve"> (</w:t>
      </w:r>
      <w:r w:rsidR="00AF1F44" w:rsidRPr="00E9200E">
        <w:rPr>
          <w:rFonts w:ascii="Cambria" w:hAnsi="Cambria"/>
          <w:color w:val="000000"/>
          <w:sz w:val="20"/>
          <w:szCs w:val="20"/>
          <w:lang w:val="es-ES"/>
        </w:rPr>
        <w:t>64 quejas relacionadas con disparos mortales</w:t>
      </w:r>
      <w:r w:rsidRPr="00E9200E">
        <w:rPr>
          <w:rFonts w:ascii="Cambria" w:hAnsi="Cambria"/>
          <w:color w:val="000000"/>
          <w:sz w:val="20"/>
          <w:szCs w:val="20"/>
          <w:lang w:val="es-ES"/>
        </w:rPr>
        <w:t>)</w:t>
      </w:r>
      <w:r w:rsidR="00F90D0A" w:rsidRPr="00E9200E">
        <w:rPr>
          <w:rFonts w:ascii="Cambria" w:hAnsi="Cambria"/>
          <w:color w:val="000000"/>
          <w:sz w:val="20"/>
          <w:szCs w:val="20"/>
          <w:lang w:val="es-ES"/>
        </w:rPr>
        <w:t xml:space="preserve"> y </w:t>
      </w:r>
      <w:r w:rsidR="00066457" w:rsidRPr="00E9200E">
        <w:rPr>
          <w:rFonts w:ascii="Cambria" w:hAnsi="Cambria"/>
          <w:color w:val="000000"/>
          <w:sz w:val="20"/>
          <w:szCs w:val="20"/>
          <w:lang w:val="es-ES"/>
        </w:rPr>
        <w:t>completó</w:t>
      </w:r>
      <w:r w:rsidR="00AF1F44" w:rsidRPr="00E9200E">
        <w:rPr>
          <w:rFonts w:ascii="Cambria" w:hAnsi="Cambria"/>
          <w:color w:val="000000"/>
          <w:sz w:val="20"/>
          <w:szCs w:val="20"/>
          <w:lang w:val="es-ES"/>
        </w:rPr>
        <w:t xml:space="preserve"> 373 informes </w:t>
      </w:r>
      <w:r w:rsidR="00F90D0A" w:rsidRPr="00E9200E">
        <w:rPr>
          <w:rFonts w:ascii="Cambria" w:hAnsi="Cambria"/>
          <w:color w:val="000000"/>
          <w:sz w:val="20"/>
          <w:szCs w:val="20"/>
          <w:lang w:val="es-ES"/>
        </w:rPr>
        <w:t xml:space="preserve">en los que recomendó </w:t>
      </w:r>
      <w:r w:rsidR="00AF1F44" w:rsidRPr="00E9200E">
        <w:rPr>
          <w:rFonts w:ascii="Cambria" w:hAnsi="Cambria"/>
          <w:color w:val="000000"/>
          <w:sz w:val="20"/>
          <w:szCs w:val="20"/>
          <w:lang w:val="es-ES"/>
        </w:rPr>
        <w:t xml:space="preserve">la apertura de procedimientos penales o disciplinarios. </w:t>
      </w:r>
      <w:r w:rsidR="00066457" w:rsidRPr="00E9200E">
        <w:rPr>
          <w:rFonts w:ascii="Cambria" w:hAnsi="Cambria"/>
          <w:color w:val="000000"/>
          <w:sz w:val="20"/>
          <w:szCs w:val="20"/>
          <w:lang w:val="es-ES"/>
        </w:rPr>
        <w:t>Además, informó que, d</w:t>
      </w:r>
      <w:r w:rsidR="00AF1F44" w:rsidRPr="00E9200E">
        <w:rPr>
          <w:rFonts w:ascii="Cambria" w:hAnsi="Cambria"/>
          <w:color w:val="000000"/>
          <w:sz w:val="20"/>
          <w:szCs w:val="20"/>
          <w:lang w:val="es-ES"/>
        </w:rPr>
        <w:t>urante el mismo periodo, 10 miembros de las fuerzas de seguridad fueron acusados de delitos como asesinato, homicidio, agresión con resultado de lesiones corporales y heridas ilegales, a raíz de las investigaciones del INDECOM.</w:t>
      </w:r>
    </w:p>
    <w:p w14:paraId="7875DA98" w14:textId="77777777" w:rsidR="004822DC" w:rsidRPr="00E9200E" w:rsidRDefault="004822DC" w:rsidP="004822DC">
      <w:pPr>
        <w:pStyle w:val="NoSpacing"/>
        <w:jc w:val="both"/>
        <w:rPr>
          <w:rFonts w:ascii="Cambria" w:hAnsi="Cambria"/>
          <w:color w:val="000000"/>
          <w:sz w:val="20"/>
          <w:szCs w:val="20"/>
          <w:lang w:val="es-ES"/>
        </w:rPr>
      </w:pPr>
    </w:p>
    <w:p w14:paraId="5C4FE51D" w14:textId="77777777" w:rsidR="004822DC" w:rsidRPr="00E9200E" w:rsidRDefault="004822DC" w:rsidP="004822DC">
      <w:pPr>
        <w:pStyle w:val="NoSpacing"/>
        <w:numPr>
          <w:ilvl w:val="0"/>
          <w:numId w:val="7"/>
        </w:numPr>
        <w:ind w:firstLine="720"/>
        <w:jc w:val="both"/>
        <w:rPr>
          <w:rFonts w:ascii="Cambria" w:hAnsi="Cambria"/>
          <w:color w:val="000000"/>
          <w:sz w:val="20"/>
          <w:szCs w:val="20"/>
          <w:lang w:val="es-ES"/>
        </w:rPr>
      </w:pPr>
      <w:r w:rsidRPr="00E9200E">
        <w:rPr>
          <w:rFonts w:ascii="Cambria" w:hAnsi="Cambria"/>
          <w:color w:val="000000"/>
          <w:sz w:val="20"/>
          <w:szCs w:val="20"/>
          <w:lang w:val="es-ES"/>
        </w:rPr>
        <w:t xml:space="preserve">Finalmente, también en 2021, el Estado </w:t>
      </w:r>
      <w:r w:rsidR="00F90D0A" w:rsidRPr="00E9200E">
        <w:rPr>
          <w:rFonts w:ascii="Cambria" w:hAnsi="Cambria"/>
          <w:color w:val="000000"/>
          <w:sz w:val="20"/>
          <w:szCs w:val="20"/>
          <w:lang w:val="es-ES"/>
        </w:rPr>
        <w:t>reiteró</w:t>
      </w:r>
      <w:r w:rsidRPr="00E9200E">
        <w:rPr>
          <w:rFonts w:ascii="Cambria" w:hAnsi="Cambria"/>
          <w:color w:val="000000"/>
          <w:sz w:val="20"/>
          <w:szCs w:val="20"/>
          <w:lang w:val="es-ES"/>
        </w:rPr>
        <w:t xml:space="preserve"> que el Cuerpo de Policía de Jamaica </w:t>
      </w:r>
      <w:r w:rsidR="00AF1F44" w:rsidRPr="00E9200E">
        <w:rPr>
          <w:rFonts w:ascii="Cambria" w:hAnsi="Cambria"/>
          <w:color w:val="000000"/>
          <w:sz w:val="20"/>
          <w:szCs w:val="20"/>
          <w:lang w:val="es-ES"/>
        </w:rPr>
        <w:t xml:space="preserve">también cuenta con </w:t>
      </w:r>
      <w:r w:rsidRPr="00E9200E">
        <w:rPr>
          <w:rFonts w:ascii="Cambria" w:hAnsi="Cambria"/>
          <w:color w:val="000000"/>
          <w:sz w:val="20"/>
          <w:szCs w:val="20"/>
          <w:lang w:val="es-ES"/>
        </w:rPr>
        <w:t>la Oficina de Inspección y Supervisión de Normas Profesionales</w:t>
      </w:r>
      <w:r w:rsidR="00F90D0A" w:rsidRPr="00E9200E">
        <w:rPr>
          <w:rFonts w:ascii="Cambria" w:hAnsi="Cambria"/>
          <w:color w:val="000000"/>
          <w:sz w:val="20"/>
          <w:szCs w:val="20"/>
          <w:lang w:val="es-ES"/>
        </w:rPr>
        <w:t xml:space="preserve"> (</w:t>
      </w:r>
      <w:proofErr w:type="spellStart"/>
      <w:r w:rsidR="00F90D0A" w:rsidRPr="00E9200E">
        <w:rPr>
          <w:rFonts w:ascii="Cambria" w:hAnsi="Cambria"/>
          <w:i/>
          <w:iCs/>
          <w:color w:val="000000"/>
          <w:sz w:val="20"/>
          <w:szCs w:val="20"/>
          <w:lang w:val="es-CO"/>
        </w:rPr>
        <w:t>Inspectorate</w:t>
      </w:r>
      <w:proofErr w:type="spellEnd"/>
      <w:r w:rsidR="00F90D0A" w:rsidRPr="00E9200E">
        <w:rPr>
          <w:rFonts w:ascii="Cambria" w:hAnsi="Cambria"/>
          <w:i/>
          <w:iCs/>
          <w:color w:val="000000"/>
          <w:sz w:val="20"/>
          <w:szCs w:val="20"/>
          <w:lang w:val="es-CO"/>
        </w:rPr>
        <w:t xml:space="preserve"> and Professional </w:t>
      </w:r>
      <w:proofErr w:type="spellStart"/>
      <w:r w:rsidR="00F90D0A" w:rsidRPr="00E9200E">
        <w:rPr>
          <w:rFonts w:ascii="Cambria" w:hAnsi="Cambria"/>
          <w:i/>
          <w:iCs/>
          <w:color w:val="000000"/>
          <w:sz w:val="20"/>
          <w:szCs w:val="20"/>
          <w:lang w:val="es-CO"/>
        </w:rPr>
        <w:t>Standards</w:t>
      </w:r>
      <w:proofErr w:type="spellEnd"/>
      <w:r w:rsidR="00F90D0A" w:rsidRPr="00E9200E">
        <w:rPr>
          <w:rFonts w:ascii="Cambria" w:hAnsi="Cambria"/>
          <w:i/>
          <w:iCs/>
          <w:color w:val="000000"/>
          <w:sz w:val="20"/>
          <w:szCs w:val="20"/>
          <w:lang w:val="es-CO"/>
        </w:rPr>
        <w:t xml:space="preserve"> </w:t>
      </w:r>
      <w:proofErr w:type="spellStart"/>
      <w:r w:rsidR="00F90D0A" w:rsidRPr="00E9200E">
        <w:rPr>
          <w:rFonts w:ascii="Cambria" w:hAnsi="Cambria"/>
          <w:i/>
          <w:iCs/>
          <w:color w:val="000000"/>
          <w:sz w:val="20"/>
          <w:szCs w:val="20"/>
          <w:lang w:val="es-CO"/>
        </w:rPr>
        <w:t>Oversight</w:t>
      </w:r>
      <w:proofErr w:type="spellEnd"/>
      <w:r w:rsidR="00F90D0A" w:rsidRPr="00E9200E">
        <w:rPr>
          <w:rFonts w:ascii="Cambria" w:hAnsi="Cambria"/>
          <w:i/>
          <w:iCs/>
          <w:color w:val="000000"/>
          <w:sz w:val="20"/>
          <w:szCs w:val="20"/>
          <w:lang w:val="es-CO"/>
        </w:rPr>
        <w:t xml:space="preserve"> Bureau</w:t>
      </w:r>
      <w:r w:rsidR="00F90D0A" w:rsidRPr="00E9200E">
        <w:rPr>
          <w:rFonts w:ascii="Cambria" w:hAnsi="Cambria"/>
          <w:color w:val="000000"/>
          <w:sz w:val="20"/>
          <w:szCs w:val="20"/>
          <w:lang w:val="es-ES"/>
        </w:rPr>
        <w:t>)</w:t>
      </w:r>
      <w:r w:rsidRPr="00E9200E">
        <w:rPr>
          <w:rFonts w:ascii="Cambria" w:hAnsi="Cambria"/>
          <w:color w:val="000000"/>
          <w:sz w:val="20"/>
          <w:szCs w:val="20"/>
          <w:lang w:val="es-ES"/>
        </w:rPr>
        <w:t xml:space="preserve"> </w:t>
      </w:r>
      <w:r w:rsidR="00F90D0A" w:rsidRPr="00E9200E">
        <w:rPr>
          <w:rFonts w:ascii="Cambria" w:hAnsi="Cambria"/>
          <w:color w:val="000000"/>
          <w:sz w:val="20"/>
          <w:szCs w:val="20"/>
          <w:lang w:val="es-ES"/>
        </w:rPr>
        <w:t>y</w:t>
      </w:r>
      <w:r w:rsidRPr="00E9200E">
        <w:rPr>
          <w:rFonts w:ascii="Cambria" w:hAnsi="Cambria"/>
          <w:color w:val="000000"/>
          <w:sz w:val="20"/>
          <w:szCs w:val="20"/>
          <w:lang w:val="es-ES"/>
        </w:rPr>
        <w:t xml:space="preserve"> que </w:t>
      </w:r>
      <w:r w:rsidR="00AF1F44" w:rsidRPr="00E9200E">
        <w:rPr>
          <w:rFonts w:ascii="Cambria" w:hAnsi="Cambria"/>
          <w:color w:val="000000"/>
          <w:sz w:val="20"/>
          <w:szCs w:val="20"/>
          <w:lang w:val="es-ES"/>
        </w:rPr>
        <w:t xml:space="preserve">las Órdenes Permanentes de la Fuerza de Policía de Jamaica </w:t>
      </w:r>
      <w:r w:rsidR="00120F5B" w:rsidRPr="00E9200E">
        <w:rPr>
          <w:rFonts w:ascii="Cambria" w:hAnsi="Cambria"/>
          <w:color w:val="000000"/>
          <w:sz w:val="20"/>
          <w:szCs w:val="20"/>
          <w:lang w:val="es-ES"/>
        </w:rPr>
        <w:t>establecen</w:t>
      </w:r>
      <w:r w:rsidR="00AF1F44" w:rsidRPr="00E9200E">
        <w:rPr>
          <w:rFonts w:ascii="Cambria" w:hAnsi="Cambria"/>
          <w:color w:val="000000"/>
          <w:sz w:val="20"/>
          <w:szCs w:val="20"/>
          <w:lang w:val="es-ES"/>
        </w:rPr>
        <w:t xml:space="preserve"> que </w:t>
      </w:r>
      <w:r w:rsidR="00F077B9" w:rsidRPr="00E9200E">
        <w:rPr>
          <w:rFonts w:ascii="Cambria" w:hAnsi="Cambria"/>
          <w:color w:val="000000"/>
          <w:sz w:val="20"/>
          <w:szCs w:val="20"/>
          <w:lang w:val="es-ES"/>
        </w:rPr>
        <w:t>las dispo</w:t>
      </w:r>
      <w:r w:rsidR="00120F5B" w:rsidRPr="00E9200E">
        <w:rPr>
          <w:rFonts w:ascii="Cambria" w:hAnsi="Cambria"/>
          <w:color w:val="000000"/>
          <w:sz w:val="20"/>
          <w:szCs w:val="20"/>
          <w:lang w:val="es-ES"/>
        </w:rPr>
        <w:t>siciones</w:t>
      </w:r>
      <w:r w:rsidR="00AF1F44" w:rsidRPr="00E9200E">
        <w:rPr>
          <w:rFonts w:ascii="Cambria" w:hAnsi="Cambria"/>
          <w:color w:val="000000"/>
          <w:sz w:val="20"/>
          <w:szCs w:val="20"/>
          <w:lang w:val="es-ES"/>
        </w:rPr>
        <w:t xml:space="preserve"> relativas a las quejas contra la policía tienen por objeto garantizar la integridad de la Fuerza de Policía de Jamaica mediante procedimientos para el tratamiento de quejas contra sus miembros por parte de ciudadanos. Las Órdenes también tienen por objeto garantizar la investigación rápida y exhaustiva de los incidentes para exculpar a los inocentes, establecer la culpabilidad y facilitar las medidas disciplinarias apropiadas.</w:t>
      </w:r>
      <w:r w:rsidRPr="00E9200E">
        <w:rPr>
          <w:rFonts w:ascii="Cambria" w:hAnsi="Cambria"/>
          <w:color w:val="000000"/>
          <w:sz w:val="20"/>
          <w:szCs w:val="20"/>
          <w:lang w:val="es-ES"/>
        </w:rPr>
        <w:t xml:space="preserve"> </w:t>
      </w:r>
    </w:p>
    <w:p w14:paraId="001578F5" w14:textId="77777777" w:rsidR="004822DC" w:rsidRPr="00E9200E" w:rsidRDefault="004822DC" w:rsidP="004822DC">
      <w:pPr>
        <w:pStyle w:val="NoSpacing"/>
        <w:jc w:val="both"/>
        <w:rPr>
          <w:rFonts w:ascii="Cambria" w:hAnsi="Cambria"/>
          <w:color w:val="000000"/>
          <w:sz w:val="20"/>
          <w:szCs w:val="20"/>
          <w:lang w:val="es-ES"/>
        </w:rPr>
      </w:pPr>
    </w:p>
    <w:p w14:paraId="52CE064D" w14:textId="77777777" w:rsidR="00D27DBD" w:rsidRPr="00E9200E" w:rsidRDefault="001B301A" w:rsidP="00E1619F">
      <w:pPr>
        <w:pStyle w:val="NoSpacing"/>
        <w:numPr>
          <w:ilvl w:val="0"/>
          <w:numId w:val="7"/>
        </w:numPr>
        <w:ind w:firstLine="720"/>
        <w:jc w:val="both"/>
        <w:rPr>
          <w:rFonts w:ascii="Cambria" w:hAnsi="Cambria"/>
          <w:color w:val="000000"/>
          <w:sz w:val="20"/>
          <w:szCs w:val="20"/>
          <w:lang w:val="es-ES"/>
        </w:rPr>
      </w:pPr>
      <w:r w:rsidRPr="00E9200E">
        <w:rPr>
          <w:rFonts w:ascii="Cambria" w:hAnsi="Cambria"/>
          <w:color w:val="000000"/>
          <w:sz w:val="20"/>
          <w:szCs w:val="20"/>
          <w:lang w:val="es-ES"/>
        </w:rPr>
        <w:t>En 2009, los peticionarios señalaron que el Estado de Jamaica se encontraba en vías de aprobar una ley que crea</w:t>
      </w:r>
      <w:r w:rsidR="006A380F" w:rsidRPr="00E9200E">
        <w:rPr>
          <w:rFonts w:ascii="Cambria" w:hAnsi="Cambria"/>
          <w:color w:val="000000"/>
          <w:sz w:val="20"/>
          <w:szCs w:val="20"/>
          <w:lang w:val="es-ES"/>
        </w:rPr>
        <w:t>ría</w:t>
      </w:r>
      <w:r w:rsidRPr="00E9200E">
        <w:rPr>
          <w:rFonts w:ascii="Cambria" w:hAnsi="Cambria"/>
          <w:color w:val="000000"/>
          <w:sz w:val="20"/>
          <w:szCs w:val="20"/>
          <w:lang w:val="es-ES"/>
        </w:rPr>
        <w:t xml:space="preserve"> la Comisión Independiente de Investigaciones para investigar las muertes, abusos y excesos de los agentes del Estado. Además, los peticionarios menciona</w:t>
      </w:r>
      <w:r w:rsidR="000C3C26" w:rsidRPr="00E9200E">
        <w:rPr>
          <w:rFonts w:ascii="Cambria" w:hAnsi="Cambria"/>
          <w:color w:val="000000"/>
          <w:sz w:val="20"/>
          <w:szCs w:val="20"/>
          <w:lang w:val="es-ES"/>
        </w:rPr>
        <w:t>ron</w:t>
      </w:r>
      <w:r w:rsidRPr="00E9200E">
        <w:rPr>
          <w:rFonts w:ascii="Cambria" w:hAnsi="Cambria"/>
          <w:color w:val="000000"/>
          <w:sz w:val="20"/>
          <w:szCs w:val="20"/>
          <w:lang w:val="es-ES"/>
        </w:rPr>
        <w:t xml:space="preserve"> que también ha</w:t>
      </w:r>
      <w:r w:rsidR="003C73AD" w:rsidRPr="00E9200E">
        <w:rPr>
          <w:rFonts w:ascii="Cambria" w:hAnsi="Cambria"/>
          <w:color w:val="000000"/>
          <w:sz w:val="20"/>
          <w:szCs w:val="20"/>
          <w:lang w:val="es-ES"/>
        </w:rPr>
        <w:t xml:space="preserve">bía </w:t>
      </w:r>
      <w:r w:rsidRPr="00E9200E">
        <w:rPr>
          <w:rFonts w:ascii="Cambria" w:hAnsi="Cambria"/>
          <w:color w:val="000000"/>
          <w:sz w:val="20"/>
          <w:szCs w:val="20"/>
          <w:lang w:val="es-ES"/>
        </w:rPr>
        <w:t xml:space="preserve">proyectos de ley pendientes en el Parlamento que apuntan a lo siguiente: la creación de una Oficina de Instrucción Penal para investigar los casos de muertes a manos de agentes del Estado, y para establecer una ley de denunciantes y una Oficina del Fiscal especial para investigar y procesar los actos de corrupción. </w:t>
      </w:r>
      <w:r w:rsidR="003C73AD" w:rsidRPr="00E9200E">
        <w:rPr>
          <w:rFonts w:ascii="Cambria" w:hAnsi="Cambria"/>
          <w:color w:val="000000"/>
          <w:sz w:val="20"/>
          <w:szCs w:val="20"/>
          <w:lang w:val="es-ES"/>
        </w:rPr>
        <w:t>L</w:t>
      </w:r>
      <w:r w:rsidRPr="00E9200E">
        <w:rPr>
          <w:rFonts w:ascii="Cambria" w:hAnsi="Cambria"/>
          <w:color w:val="000000"/>
          <w:sz w:val="20"/>
          <w:szCs w:val="20"/>
          <w:lang w:val="es-ES"/>
        </w:rPr>
        <w:t xml:space="preserve">os peticionarios </w:t>
      </w:r>
      <w:r w:rsidR="003C73AD" w:rsidRPr="00E9200E">
        <w:rPr>
          <w:rFonts w:ascii="Cambria" w:hAnsi="Cambria"/>
          <w:color w:val="000000"/>
          <w:sz w:val="20"/>
          <w:szCs w:val="20"/>
          <w:lang w:val="es-ES"/>
        </w:rPr>
        <w:t xml:space="preserve">también indicaron que </w:t>
      </w:r>
      <w:r w:rsidRPr="00E9200E">
        <w:rPr>
          <w:rFonts w:ascii="Cambria" w:hAnsi="Cambria"/>
          <w:color w:val="000000"/>
          <w:sz w:val="20"/>
          <w:szCs w:val="20"/>
          <w:lang w:val="es-ES"/>
        </w:rPr>
        <w:t xml:space="preserve">se </w:t>
      </w:r>
      <w:r w:rsidR="003C73AD" w:rsidRPr="00E9200E">
        <w:rPr>
          <w:rFonts w:ascii="Cambria" w:hAnsi="Cambria"/>
          <w:color w:val="000000"/>
          <w:sz w:val="20"/>
          <w:szCs w:val="20"/>
          <w:lang w:val="es-ES"/>
        </w:rPr>
        <w:t xml:space="preserve">habían </w:t>
      </w:r>
      <w:r w:rsidRPr="00E9200E">
        <w:rPr>
          <w:rFonts w:ascii="Cambria" w:hAnsi="Cambria"/>
          <w:color w:val="000000"/>
          <w:sz w:val="20"/>
          <w:szCs w:val="20"/>
          <w:lang w:val="es-ES"/>
        </w:rPr>
        <w:t>tomado medidas para capacitar a los funcionario</w:t>
      </w:r>
      <w:r w:rsidR="003C73AD" w:rsidRPr="00E9200E">
        <w:rPr>
          <w:rFonts w:ascii="Cambria" w:hAnsi="Cambria"/>
          <w:color w:val="000000"/>
          <w:sz w:val="20"/>
          <w:szCs w:val="20"/>
          <w:lang w:val="es-ES"/>
        </w:rPr>
        <w:t>/a</w:t>
      </w:r>
      <w:r w:rsidRPr="00E9200E">
        <w:rPr>
          <w:rFonts w:ascii="Cambria" w:hAnsi="Cambria"/>
          <w:color w:val="000000"/>
          <w:sz w:val="20"/>
          <w:szCs w:val="20"/>
          <w:lang w:val="es-ES"/>
        </w:rPr>
        <w:t>s policiales en derechos humanos, con participación de representantes de</w:t>
      </w:r>
      <w:r w:rsidR="003C73AD" w:rsidRPr="00E9200E">
        <w:rPr>
          <w:rFonts w:ascii="Cambria" w:hAnsi="Cambria"/>
          <w:color w:val="000000"/>
          <w:sz w:val="20"/>
          <w:szCs w:val="20"/>
          <w:lang w:val="es-ES"/>
        </w:rPr>
        <w:t xml:space="preserve"> Jamaicans for Justice (JFJ)</w:t>
      </w:r>
      <w:r w:rsidR="00A76740" w:rsidRPr="00E9200E">
        <w:rPr>
          <w:rStyle w:val="FootnoteReference"/>
          <w:rFonts w:ascii="Cambria" w:hAnsi="Cambria"/>
          <w:color w:val="000000"/>
          <w:sz w:val="20"/>
          <w:szCs w:val="20"/>
          <w:lang w:val="es-ES"/>
        </w:rPr>
        <w:footnoteReference w:id="18"/>
      </w:r>
      <w:r w:rsidRPr="00E9200E">
        <w:rPr>
          <w:rFonts w:ascii="Cambria" w:hAnsi="Cambria"/>
          <w:color w:val="000000"/>
          <w:sz w:val="20"/>
          <w:szCs w:val="20"/>
          <w:lang w:val="es-ES"/>
        </w:rPr>
        <w:t xml:space="preserve">. </w:t>
      </w:r>
      <w:r w:rsidR="002E4883" w:rsidRPr="00E9200E">
        <w:rPr>
          <w:rFonts w:ascii="Cambria" w:hAnsi="Cambria"/>
          <w:color w:val="000000"/>
          <w:sz w:val="20"/>
          <w:szCs w:val="20"/>
          <w:lang w:val="es-ES"/>
        </w:rPr>
        <w:t>En 2010, los peticionarios indicaron JFJ ha participado, junto con Amnistía Internacional, en</w:t>
      </w:r>
      <w:r w:rsidR="00D46231" w:rsidRPr="00E9200E">
        <w:rPr>
          <w:rFonts w:ascii="Cambria" w:hAnsi="Cambria"/>
          <w:color w:val="000000"/>
          <w:sz w:val="20"/>
          <w:szCs w:val="20"/>
          <w:lang w:val="es-ES"/>
        </w:rPr>
        <w:t xml:space="preserve"> capacitaciones</w:t>
      </w:r>
      <w:r w:rsidR="002E4883" w:rsidRPr="00E9200E">
        <w:rPr>
          <w:rFonts w:ascii="Cambria" w:hAnsi="Cambria"/>
          <w:color w:val="000000"/>
          <w:sz w:val="20"/>
          <w:szCs w:val="20"/>
          <w:lang w:val="es-ES"/>
        </w:rPr>
        <w:t xml:space="preserve"> </w:t>
      </w:r>
      <w:r w:rsidR="00FC55CA" w:rsidRPr="00E9200E">
        <w:rPr>
          <w:rFonts w:ascii="Cambria" w:hAnsi="Cambria"/>
          <w:color w:val="000000"/>
          <w:sz w:val="20"/>
          <w:szCs w:val="20"/>
          <w:lang w:val="es-ES"/>
        </w:rPr>
        <w:t>a</w:t>
      </w:r>
      <w:r w:rsidR="002E4883" w:rsidRPr="00E9200E">
        <w:rPr>
          <w:rFonts w:ascii="Cambria" w:hAnsi="Cambria"/>
          <w:color w:val="000000"/>
          <w:sz w:val="20"/>
          <w:szCs w:val="20"/>
          <w:lang w:val="es-ES"/>
        </w:rPr>
        <w:t xml:space="preserve"> la Fuerza Policial de Jamaica (</w:t>
      </w:r>
      <w:r w:rsidR="002E4883" w:rsidRPr="00E9200E">
        <w:rPr>
          <w:rFonts w:ascii="Cambria" w:hAnsi="Cambria"/>
          <w:i/>
          <w:color w:val="000000"/>
          <w:sz w:val="20"/>
          <w:szCs w:val="20"/>
          <w:lang w:val="es-ES"/>
        </w:rPr>
        <w:t>Jamaica Constabulary Force</w:t>
      </w:r>
      <w:r w:rsidR="002E4883" w:rsidRPr="00E9200E">
        <w:rPr>
          <w:rFonts w:ascii="Cambria" w:hAnsi="Cambria"/>
          <w:color w:val="000000"/>
          <w:sz w:val="20"/>
          <w:szCs w:val="20"/>
          <w:lang w:val="es-ES"/>
        </w:rPr>
        <w:t xml:space="preserve">), y que desde 2008 esta fuerza ha comenzado a incorporar temas de derechos humanos en sus sesiones generales de entrenamiento, lo cual se ha encaminado hacia encauzar a sus oficiales en la </w:t>
      </w:r>
      <w:r w:rsidR="002E4883" w:rsidRPr="00E9200E">
        <w:rPr>
          <w:rFonts w:ascii="Cambria" w:hAnsi="Cambria"/>
          <w:color w:val="000000"/>
          <w:sz w:val="20"/>
          <w:szCs w:val="20"/>
          <w:lang w:val="es-ES"/>
        </w:rPr>
        <w:lastRenderedPageBreak/>
        <w:t>importancia de los derechos humanos a través de programas como el Uso de la Fuerza y Armas de Fuego, Encuentro Seguro y Manejo de incidentes Críticos. Asimismo, los peticionarios informaron que la Oficina Especial del Forense fue establecida de acuerdo con la reforma de la Ley Forense, pero que la persona a cargo no ha sido nombrada aun y no se han provisto instalaciones para la sede de dicha institución. Respecto de la Autoridad de Quejas Públicas de Policía, los peticionarios indicaron que se creó la Comisión Independiente de Investigaciones para reemplazarla. A pesar de describir los poderes adicionales otorgados por la ley a esta institución como “alentadores”, los peticionarios expresaron su preocupación respecto de que puede no recibir recursos suficientes para funcionar de manera apropiada y efectiva</w:t>
      </w:r>
      <w:r w:rsidR="002E4883" w:rsidRPr="00E9200E">
        <w:rPr>
          <w:rStyle w:val="FootnoteReference"/>
          <w:rFonts w:ascii="Cambria" w:hAnsi="Cambria"/>
          <w:color w:val="000000"/>
          <w:sz w:val="20"/>
          <w:szCs w:val="20"/>
          <w:lang w:val="es-ES"/>
        </w:rPr>
        <w:footnoteReference w:id="19"/>
      </w:r>
      <w:r w:rsidR="002E4883" w:rsidRPr="00E9200E">
        <w:rPr>
          <w:rFonts w:ascii="Cambria" w:hAnsi="Cambria"/>
          <w:color w:val="000000"/>
          <w:sz w:val="20"/>
          <w:szCs w:val="20"/>
          <w:lang w:val="es-ES"/>
        </w:rPr>
        <w:t>.</w:t>
      </w:r>
    </w:p>
    <w:p w14:paraId="44D493C3" w14:textId="77777777" w:rsidR="00D27DBD" w:rsidRPr="00E9200E" w:rsidRDefault="00D27DBD" w:rsidP="00D27DBD">
      <w:pPr>
        <w:pStyle w:val="NoSpacing"/>
        <w:ind w:left="720"/>
        <w:jc w:val="both"/>
        <w:rPr>
          <w:rFonts w:ascii="Cambria" w:hAnsi="Cambria"/>
          <w:color w:val="000000"/>
          <w:sz w:val="20"/>
          <w:szCs w:val="20"/>
          <w:lang w:val="es-ES"/>
        </w:rPr>
      </w:pPr>
    </w:p>
    <w:p w14:paraId="2A357483" w14:textId="77777777" w:rsidR="00FE6C71" w:rsidRPr="00E9200E" w:rsidRDefault="00D27DBD" w:rsidP="00FE6C71">
      <w:pPr>
        <w:pStyle w:val="NoSpacing"/>
        <w:numPr>
          <w:ilvl w:val="0"/>
          <w:numId w:val="7"/>
        </w:numPr>
        <w:ind w:firstLine="720"/>
        <w:jc w:val="both"/>
        <w:rPr>
          <w:rFonts w:ascii="Cambria" w:hAnsi="Cambria"/>
          <w:color w:val="000000"/>
          <w:sz w:val="20"/>
          <w:szCs w:val="20"/>
          <w:lang w:val="es-ES"/>
        </w:rPr>
      </w:pPr>
      <w:r w:rsidRPr="00E9200E">
        <w:rPr>
          <w:rFonts w:ascii="Cambria" w:hAnsi="Cambria"/>
          <w:color w:val="000000"/>
          <w:sz w:val="20"/>
          <w:szCs w:val="20"/>
          <w:lang w:val="es-ES"/>
        </w:rPr>
        <w:t xml:space="preserve">La CIDH valora </w:t>
      </w:r>
      <w:r w:rsidR="003D3248" w:rsidRPr="00E9200E">
        <w:rPr>
          <w:rFonts w:ascii="Cambria" w:hAnsi="Cambria"/>
          <w:color w:val="000000"/>
          <w:sz w:val="20"/>
          <w:szCs w:val="20"/>
          <w:lang w:val="es-ES"/>
        </w:rPr>
        <w:t>la información proporcionada por el Estado de Jamaica en cuanto a las acciones de capacitación en materia de derecho</w:t>
      </w:r>
      <w:r w:rsidR="00387F7F" w:rsidRPr="00E9200E">
        <w:rPr>
          <w:rFonts w:ascii="Cambria" w:hAnsi="Cambria"/>
          <w:color w:val="000000"/>
          <w:sz w:val="20"/>
          <w:szCs w:val="20"/>
          <w:lang w:val="es-ES"/>
        </w:rPr>
        <w:t>s</w:t>
      </w:r>
      <w:r w:rsidR="003D3248" w:rsidRPr="00E9200E">
        <w:rPr>
          <w:rFonts w:ascii="Cambria" w:hAnsi="Cambria"/>
          <w:color w:val="000000"/>
          <w:sz w:val="20"/>
          <w:szCs w:val="20"/>
          <w:lang w:val="es-ES"/>
        </w:rPr>
        <w:t xml:space="preserve"> humanos para los miembros de la fuerza de seguridad</w:t>
      </w:r>
      <w:r w:rsidR="00FE6C71" w:rsidRPr="00E9200E">
        <w:rPr>
          <w:rFonts w:ascii="Cambria" w:hAnsi="Cambria"/>
          <w:color w:val="000000"/>
          <w:sz w:val="20"/>
          <w:szCs w:val="20"/>
          <w:lang w:val="es-ES"/>
        </w:rPr>
        <w:t>. Al respecto, la Comisión toma nota de que estas capacitaciones se están dando a las personas que están por integrarse a la policía</w:t>
      </w:r>
      <w:r w:rsidR="00CE78BC" w:rsidRPr="00E9200E">
        <w:rPr>
          <w:rFonts w:ascii="Cambria" w:hAnsi="Cambria"/>
          <w:color w:val="000000"/>
          <w:sz w:val="20"/>
          <w:szCs w:val="20"/>
          <w:lang w:val="es-ES"/>
        </w:rPr>
        <w:t xml:space="preserve"> y valora positivamente que estos cursos sean requisito para ingresar a ejercer las funciones</w:t>
      </w:r>
      <w:r w:rsidR="00FE6C71" w:rsidRPr="00E9200E">
        <w:rPr>
          <w:rFonts w:ascii="Cambria" w:hAnsi="Cambria"/>
          <w:color w:val="000000"/>
          <w:sz w:val="20"/>
          <w:szCs w:val="20"/>
          <w:lang w:val="es-ES"/>
        </w:rPr>
        <w:t>. Asimismo, la Comisión toma nota de la Orden de la Fuerza #2248 emitida por el Cuerpo de Policía de Jamaica</w:t>
      </w:r>
      <w:r w:rsidR="003D3248" w:rsidRPr="00E9200E">
        <w:rPr>
          <w:rFonts w:ascii="Cambria" w:hAnsi="Cambria"/>
          <w:color w:val="000000"/>
          <w:sz w:val="20"/>
          <w:szCs w:val="20"/>
          <w:lang w:val="es-ES"/>
        </w:rPr>
        <w:t xml:space="preserve"> y sobre </w:t>
      </w:r>
      <w:r w:rsidR="00BD1D12" w:rsidRPr="00E9200E">
        <w:rPr>
          <w:rFonts w:ascii="Cambria" w:hAnsi="Cambria"/>
          <w:color w:val="000000"/>
          <w:sz w:val="20"/>
          <w:szCs w:val="20"/>
          <w:lang w:val="es-ES"/>
        </w:rPr>
        <w:t xml:space="preserve">los mecanismos existentes para garantizar la investigación efectiva de denuncias contra miembros de las fuerzas de seguridad. </w:t>
      </w:r>
      <w:r w:rsidR="00FE6C71" w:rsidRPr="00E9200E">
        <w:rPr>
          <w:rFonts w:ascii="Cambria" w:hAnsi="Cambria"/>
          <w:color w:val="000000"/>
          <w:sz w:val="20"/>
          <w:szCs w:val="20"/>
          <w:lang w:val="es-ES"/>
        </w:rPr>
        <w:t>La Comisión también</w:t>
      </w:r>
      <w:r w:rsidR="00AC4475" w:rsidRPr="00E9200E">
        <w:rPr>
          <w:rFonts w:ascii="Cambria" w:hAnsi="Cambria"/>
          <w:color w:val="000000"/>
          <w:sz w:val="20"/>
          <w:szCs w:val="20"/>
          <w:lang w:val="es-ES"/>
        </w:rPr>
        <w:t xml:space="preserve"> </w:t>
      </w:r>
      <w:r w:rsidR="00670B41" w:rsidRPr="00E9200E">
        <w:rPr>
          <w:rFonts w:ascii="Cambria" w:hAnsi="Cambria"/>
          <w:color w:val="000000"/>
          <w:sz w:val="20"/>
          <w:szCs w:val="20"/>
          <w:lang w:val="es-ES"/>
        </w:rPr>
        <w:t>valora positivamente</w:t>
      </w:r>
      <w:r w:rsidR="00AC4475" w:rsidRPr="00E9200E">
        <w:rPr>
          <w:rFonts w:ascii="Cambria" w:hAnsi="Cambria"/>
          <w:color w:val="000000"/>
          <w:sz w:val="20"/>
          <w:szCs w:val="20"/>
          <w:lang w:val="es-ES"/>
        </w:rPr>
        <w:t xml:space="preserve"> que el Estado haya entregado</w:t>
      </w:r>
      <w:r w:rsidR="00434F94" w:rsidRPr="00E9200E">
        <w:rPr>
          <w:rFonts w:ascii="Cambria" w:hAnsi="Cambria"/>
          <w:color w:val="000000"/>
          <w:sz w:val="20"/>
          <w:szCs w:val="20"/>
          <w:lang w:val="es-ES"/>
        </w:rPr>
        <w:t xml:space="preserve"> información sobre</w:t>
      </w:r>
      <w:r w:rsidR="00670B41" w:rsidRPr="00E9200E">
        <w:rPr>
          <w:rFonts w:ascii="Cambria" w:hAnsi="Cambria"/>
          <w:color w:val="000000"/>
          <w:sz w:val="20"/>
          <w:szCs w:val="20"/>
          <w:lang w:val="es-ES"/>
        </w:rPr>
        <w:t xml:space="preserve"> el número de</w:t>
      </w:r>
      <w:r w:rsidR="00434F94" w:rsidRPr="00E9200E">
        <w:rPr>
          <w:rFonts w:ascii="Cambria" w:hAnsi="Cambria"/>
          <w:color w:val="000000"/>
          <w:sz w:val="20"/>
          <w:szCs w:val="20"/>
          <w:lang w:val="es-ES"/>
        </w:rPr>
        <w:t xml:space="preserve"> denuncias recibidas en 2021 por INDECO</w:t>
      </w:r>
      <w:r w:rsidR="0053006D" w:rsidRPr="00E9200E">
        <w:rPr>
          <w:rFonts w:ascii="Cambria" w:hAnsi="Cambria"/>
          <w:color w:val="000000"/>
          <w:sz w:val="20"/>
          <w:szCs w:val="20"/>
          <w:lang w:val="es-ES"/>
        </w:rPr>
        <w:t>M</w:t>
      </w:r>
      <w:r w:rsidR="00670B41" w:rsidRPr="00E9200E">
        <w:rPr>
          <w:rFonts w:ascii="Cambria" w:hAnsi="Cambria"/>
          <w:color w:val="000000"/>
          <w:sz w:val="20"/>
          <w:szCs w:val="20"/>
          <w:lang w:val="es-ES"/>
        </w:rPr>
        <w:t>,</w:t>
      </w:r>
      <w:r w:rsidR="00434F94" w:rsidRPr="00E9200E">
        <w:rPr>
          <w:rFonts w:ascii="Cambria" w:hAnsi="Cambria"/>
          <w:color w:val="000000"/>
          <w:sz w:val="20"/>
          <w:szCs w:val="20"/>
          <w:lang w:val="es-ES"/>
        </w:rPr>
        <w:t xml:space="preserve"> de recomendaciones que emitió para la apertura de procedimientos y de</w:t>
      </w:r>
      <w:r w:rsidR="00670B41" w:rsidRPr="00E9200E">
        <w:rPr>
          <w:rFonts w:ascii="Cambria" w:hAnsi="Cambria"/>
          <w:color w:val="000000"/>
          <w:sz w:val="20"/>
          <w:szCs w:val="20"/>
          <w:lang w:val="es-ES"/>
        </w:rPr>
        <w:t xml:space="preserve"> los</w:t>
      </w:r>
      <w:r w:rsidR="00434F94" w:rsidRPr="00E9200E">
        <w:rPr>
          <w:rFonts w:ascii="Cambria" w:hAnsi="Cambria"/>
          <w:color w:val="000000"/>
          <w:sz w:val="20"/>
          <w:szCs w:val="20"/>
          <w:lang w:val="es-ES"/>
        </w:rPr>
        <w:t xml:space="preserve"> miembros de las fuerzas de seguridad </w:t>
      </w:r>
      <w:r w:rsidR="00670B41" w:rsidRPr="00E9200E">
        <w:rPr>
          <w:rFonts w:ascii="Cambria" w:hAnsi="Cambria"/>
          <w:color w:val="000000"/>
          <w:sz w:val="20"/>
          <w:szCs w:val="20"/>
          <w:lang w:val="es-ES"/>
        </w:rPr>
        <w:t xml:space="preserve">que </w:t>
      </w:r>
      <w:r w:rsidR="00434F94" w:rsidRPr="00E9200E">
        <w:rPr>
          <w:rFonts w:ascii="Cambria" w:hAnsi="Cambria"/>
          <w:color w:val="000000"/>
          <w:sz w:val="20"/>
          <w:szCs w:val="20"/>
          <w:lang w:val="es-ES"/>
        </w:rPr>
        <w:t xml:space="preserve">fueron acusados de delitos como asesinato, homicidio, agresión con resultado de lesiones corporales y heridas ilegales, a raíz de sus investigaciones. </w:t>
      </w:r>
    </w:p>
    <w:p w14:paraId="5FC382CE" w14:textId="77777777" w:rsidR="00FE6C71" w:rsidRPr="00E9200E" w:rsidRDefault="00FE6C71" w:rsidP="00FE6C71">
      <w:pPr>
        <w:pStyle w:val="NoSpacing"/>
        <w:jc w:val="both"/>
        <w:rPr>
          <w:rFonts w:ascii="Cambria" w:hAnsi="Cambria"/>
          <w:color w:val="000000"/>
          <w:sz w:val="20"/>
          <w:szCs w:val="20"/>
          <w:lang w:val="es-ES"/>
        </w:rPr>
      </w:pPr>
    </w:p>
    <w:p w14:paraId="6A7E0208" w14:textId="77777777" w:rsidR="00D27DBD" w:rsidRPr="00E9200E" w:rsidRDefault="00FE6C71" w:rsidP="00670B41">
      <w:pPr>
        <w:pStyle w:val="NoSpacing"/>
        <w:numPr>
          <w:ilvl w:val="0"/>
          <w:numId w:val="7"/>
        </w:numPr>
        <w:ind w:firstLine="720"/>
        <w:jc w:val="both"/>
        <w:rPr>
          <w:rFonts w:ascii="Cambria" w:hAnsi="Cambria"/>
          <w:color w:val="000000"/>
          <w:sz w:val="20"/>
          <w:szCs w:val="20"/>
          <w:lang w:val="es-ES"/>
        </w:rPr>
      </w:pPr>
      <w:r w:rsidRPr="00E9200E">
        <w:rPr>
          <w:rFonts w:ascii="Cambria" w:hAnsi="Cambria"/>
          <w:color w:val="000000"/>
          <w:sz w:val="20"/>
          <w:szCs w:val="20"/>
          <w:lang w:val="es-ES"/>
        </w:rPr>
        <w:t>Para que la Comisión pueda evaluar de manera integral el cumplimiento de esta recomendación, invita al Estado a remitir información adicional que describa las condiciones de tiempo, modo y lugar de las acciones de capacitación, número de personas capacitadas, fechas de sesiones de capacitación y mecanismos de sostenibilidad que permitan concluir que las capacitaciones continuarán ejecutándose.</w:t>
      </w:r>
      <w:r w:rsidR="00CE78BC" w:rsidRPr="00E9200E">
        <w:rPr>
          <w:rFonts w:ascii="Cambria" w:hAnsi="Cambria"/>
          <w:color w:val="000000"/>
          <w:sz w:val="20"/>
          <w:szCs w:val="20"/>
          <w:lang w:val="es-ES"/>
        </w:rPr>
        <w:t xml:space="preserve"> Asimismo, </w:t>
      </w:r>
      <w:r w:rsidR="00FE6C6B" w:rsidRPr="00E9200E">
        <w:rPr>
          <w:rFonts w:ascii="Cambria" w:hAnsi="Cambria"/>
          <w:color w:val="000000"/>
          <w:sz w:val="20"/>
          <w:szCs w:val="20"/>
          <w:lang w:val="es-ES"/>
        </w:rPr>
        <w:t>le</w:t>
      </w:r>
      <w:r w:rsidR="00CE78BC" w:rsidRPr="00E9200E">
        <w:rPr>
          <w:rFonts w:ascii="Cambria" w:hAnsi="Cambria"/>
          <w:color w:val="000000"/>
          <w:sz w:val="20"/>
          <w:szCs w:val="20"/>
          <w:lang w:val="es-ES"/>
        </w:rPr>
        <w:t xml:space="preserve"> invita a que informe los detalles de medidas de capacitación que se hayan realizado o se vayan a realizar con personas que ya son miembros activos de la policía y no solo respecto de las personas que se van a integrar</w:t>
      </w:r>
      <w:r w:rsidR="00387F7F" w:rsidRPr="00E9200E">
        <w:rPr>
          <w:rFonts w:ascii="Cambria" w:hAnsi="Cambria"/>
          <w:color w:val="000000"/>
          <w:sz w:val="20"/>
          <w:szCs w:val="20"/>
          <w:lang w:val="es-ES"/>
        </w:rPr>
        <w:t>.</w:t>
      </w:r>
      <w:r w:rsidR="00453472" w:rsidRPr="00E9200E">
        <w:rPr>
          <w:rFonts w:ascii="Cambria" w:hAnsi="Cambria"/>
          <w:color w:val="000000"/>
          <w:sz w:val="20"/>
          <w:szCs w:val="20"/>
          <w:lang w:val="es-ES"/>
        </w:rPr>
        <w:t xml:space="preserve"> Por su parte, la Comisión también solicita información adicional que demuestre de qué forma se implementan </w:t>
      </w:r>
      <w:r w:rsidR="00FE6C6B" w:rsidRPr="00E9200E">
        <w:rPr>
          <w:rFonts w:ascii="Cambria" w:hAnsi="Cambria"/>
          <w:color w:val="000000"/>
          <w:sz w:val="20"/>
          <w:szCs w:val="20"/>
          <w:lang w:val="es-ES"/>
        </w:rPr>
        <w:t xml:space="preserve">las </w:t>
      </w:r>
      <w:r w:rsidR="00453472" w:rsidRPr="00E9200E">
        <w:rPr>
          <w:rFonts w:ascii="Cambria" w:hAnsi="Cambria"/>
          <w:color w:val="000000"/>
          <w:sz w:val="20"/>
          <w:szCs w:val="20"/>
          <w:lang w:val="es-ES"/>
        </w:rPr>
        <w:t xml:space="preserve">reformas en la investigación y procesamiento </w:t>
      </w:r>
      <w:r w:rsidR="00FE6C6B" w:rsidRPr="00E9200E">
        <w:rPr>
          <w:rFonts w:ascii="Cambria" w:hAnsi="Cambria"/>
          <w:color w:val="000000"/>
          <w:sz w:val="20"/>
          <w:szCs w:val="20"/>
          <w:lang w:val="es-ES"/>
        </w:rPr>
        <w:t xml:space="preserve">realizadas </w:t>
      </w:r>
      <w:r w:rsidR="00453472" w:rsidRPr="00E9200E">
        <w:rPr>
          <w:rFonts w:ascii="Cambria" w:hAnsi="Cambria"/>
          <w:color w:val="000000"/>
          <w:sz w:val="20"/>
          <w:szCs w:val="20"/>
          <w:lang w:val="es-ES"/>
        </w:rPr>
        <w:t xml:space="preserve">por privaciones a la vida cometidas por miembros de las fuerzas de seguridad. Específicamente, la Comisión invita a remitir información que describa de qué manera se ha fortalecido la Dirección de Denuncias Públicas sobre la Policía con miras a investigar eficazmente abusos de derechos humanos por parte de las fuerzas de seguridad. </w:t>
      </w:r>
      <w:r w:rsidR="00704695" w:rsidRPr="00E9200E">
        <w:rPr>
          <w:rFonts w:ascii="Cambria" w:hAnsi="Cambria" w:cs="Calibri Light"/>
          <w:color w:val="000000"/>
          <w:sz w:val="20"/>
          <w:szCs w:val="20"/>
          <w:lang w:val="es-US"/>
        </w:rPr>
        <w:t>En</w:t>
      </w:r>
      <w:r w:rsidR="00CE78BC" w:rsidRPr="00E9200E">
        <w:rPr>
          <w:rFonts w:ascii="Cambria" w:hAnsi="Cambria" w:cs="Calibri Light"/>
          <w:color w:val="000000"/>
          <w:sz w:val="20"/>
          <w:szCs w:val="20"/>
          <w:lang w:val="es-US"/>
        </w:rPr>
        <w:t xml:space="preserve"> </w:t>
      </w:r>
      <w:r w:rsidR="00704695" w:rsidRPr="00E9200E">
        <w:rPr>
          <w:rFonts w:ascii="Cambria" w:hAnsi="Cambria" w:cs="Calibri Light"/>
          <w:color w:val="000000"/>
          <w:sz w:val="20"/>
          <w:szCs w:val="20"/>
          <w:lang w:val="es-US"/>
        </w:rPr>
        <w:t xml:space="preserve">vista de lo anterior, la Comisión observa que </w:t>
      </w:r>
      <w:r w:rsidR="00BD1D12" w:rsidRPr="00E9200E">
        <w:rPr>
          <w:rFonts w:ascii="Cambria" w:hAnsi="Cambria" w:cs="Calibri Light"/>
          <w:color w:val="000000"/>
          <w:sz w:val="20"/>
          <w:szCs w:val="20"/>
          <w:lang w:val="es-US"/>
        </w:rPr>
        <w:t xml:space="preserve">el nivel de cumplimiento de la tercera recomendación es parcial sustancial. </w:t>
      </w:r>
    </w:p>
    <w:p w14:paraId="7F20EE01" w14:textId="77777777" w:rsidR="00DD199F" w:rsidRPr="00E9200E" w:rsidRDefault="00DD199F" w:rsidP="00DD199F">
      <w:pPr>
        <w:pStyle w:val="NoSpacing"/>
        <w:ind w:left="1080"/>
        <w:jc w:val="both"/>
        <w:rPr>
          <w:rFonts w:ascii="Cambria" w:hAnsi="Cambria" w:cs="Calibri Light"/>
          <w:b/>
          <w:color w:val="000000"/>
          <w:sz w:val="20"/>
          <w:szCs w:val="20"/>
          <w:lang w:val="es-ES"/>
        </w:rPr>
      </w:pPr>
    </w:p>
    <w:p w14:paraId="2D579B4B" w14:textId="77777777" w:rsidR="00960A03" w:rsidRPr="00E9200E" w:rsidRDefault="00960A03" w:rsidP="00960A03">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E9200E">
        <w:rPr>
          <w:rFonts w:ascii="Cambria" w:hAnsi="Cambria" w:cs="Calibri Light"/>
          <w:b/>
          <w:color w:val="000000"/>
          <w:sz w:val="20"/>
          <w:szCs w:val="20"/>
          <w:lang w:val="es-ES"/>
        </w:rPr>
        <w:t xml:space="preserve">Nivel del cumplimiento del caso </w:t>
      </w:r>
    </w:p>
    <w:p w14:paraId="14ED5AB3" w14:textId="77777777" w:rsidR="00107876" w:rsidRPr="00E9200E" w:rsidRDefault="00107876" w:rsidP="00107876">
      <w:pPr>
        <w:spacing w:after="0" w:line="240" w:lineRule="auto"/>
        <w:jc w:val="both"/>
        <w:rPr>
          <w:rFonts w:ascii="Cambria" w:hAnsi="Cambria" w:cs="Calibri Light"/>
          <w:color w:val="000000"/>
          <w:sz w:val="20"/>
          <w:szCs w:val="20"/>
          <w:lang w:val="es-ES"/>
        </w:rPr>
      </w:pPr>
    </w:p>
    <w:p w14:paraId="70BD3F52" w14:textId="77777777" w:rsidR="00960A03" w:rsidRPr="00E9200E" w:rsidRDefault="00960A03" w:rsidP="00E1619F">
      <w:pPr>
        <w:numPr>
          <w:ilvl w:val="0"/>
          <w:numId w:val="7"/>
        </w:numPr>
        <w:spacing w:after="0" w:line="240" w:lineRule="auto"/>
        <w:ind w:firstLine="720"/>
        <w:jc w:val="both"/>
        <w:rPr>
          <w:rFonts w:ascii="Cambria" w:hAnsi="Cambria" w:cs="Calibri Light"/>
          <w:color w:val="000000"/>
          <w:sz w:val="20"/>
          <w:szCs w:val="20"/>
          <w:lang w:val="es-ES"/>
        </w:rPr>
      </w:pPr>
      <w:r w:rsidRPr="00E9200E">
        <w:rPr>
          <w:rFonts w:ascii="Cambria" w:hAnsi="Cambria" w:cs="Calibri Light"/>
          <w:color w:val="000000"/>
          <w:sz w:val="20"/>
          <w:szCs w:val="20"/>
          <w:lang w:val="es-ES"/>
        </w:rPr>
        <w:t xml:space="preserve">Por lo anterior, la Comisión concluye que el nivel de cumplimiento del caso es parcial. En consecuencia, la CIDH seguirá supervisando el cumplimiento de las Recomendaciones 1, 2 y 3. </w:t>
      </w:r>
    </w:p>
    <w:p w14:paraId="273312C5" w14:textId="77777777" w:rsidR="00684727" w:rsidRPr="00E9200E" w:rsidRDefault="00684727" w:rsidP="00684727">
      <w:pPr>
        <w:spacing w:after="0" w:line="240" w:lineRule="auto"/>
        <w:jc w:val="both"/>
        <w:rPr>
          <w:rFonts w:ascii="Cambria" w:hAnsi="Cambria"/>
          <w:color w:val="000000"/>
          <w:sz w:val="20"/>
          <w:szCs w:val="20"/>
          <w:lang w:val="es-ES"/>
        </w:rPr>
      </w:pPr>
    </w:p>
    <w:p w14:paraId="6D63CB48" w14:textId="77777777" w:rsidR="00E37134" w:rsidRPr="00E9200E" w:rsidRDefault="00E37134" w:rsidP="00E37134">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E9200E">
        <w:rPr>
          <w:rFonts w:ascii="Cambria" w:hAnsi="Cambria" w:cs="Calibri Light"/>
          <w:b/>
          <w:color w:val="000000"/>
          <w:sz w:val="20"/>
          <w:szCs w:val="20"/>
          <w:lang w:val="es-ES"/>
        </w:rPr>
        <w:t xml:space="preserve">Resultados individuales y estructurales del caso </w:t>
      </w:r>
    </w:p>
    <w:p w14:paraId="287A8072" w14:textId="77777777" w:rsidR="00684727" w:rsidRPr="00E9200E" w:rsidRDefault="00684727" w:rsidP="00684727">
      <w:pPr>
        <w:spacing w:after="0" w:line="240" w:lineRule="auto"/>
        <w:jc w:val="both"/>
        <w:rPr>
          <w:rFonts w:ascii="Cambria" w:hAnsi="Cambria"/>
          <w:b/>
          <w:color w:val="000000"/>
          <w:sz w:val="20"/>
          <w:szCs w:val="20"/>
          <w:lang w:val="es-ES"/>
        </w:rPr>
      </w:pPr>
    </w:p>
    <w:p w14:paraId="7E9E4F7B" w14:textId="77777777" w:rsidR="00E37134" w:rsidRPr="00E9200E" w:rsidRDefault="00E37134" w:rsidP="00E1619F">
      <w:pPr>
        <w:pStyle w:val="ListParagraph"/>
        <w:numPr>
          <w:ilvl w:val="0"/>
          <w:numId w:val="7"/>
        </w:numPr>
        <w:spacing w:after="0" w:line="240" w:lineRule="auto"/>
        <w:ind w:left="0" w:firstLine="720"/>
        <w:jc w:val="both"/>
        <w:rPr>
          <w:rFonts w:ascii="Cambria" w:hAnsi="Cambria"/>
          <w:color w:val="000000"/>
          <w:sz w:val="20"/>
          <w:szCs w:val="20"/>
          <w:lang w:val="es-ES"/>
        </w:rPr>
      </w:pPr>
      <w:r w:rsidRPr="00E9200E">
        <w:rPr>
          <w:rFonts w:ascii="Cambria" w:hAnsi="Cambria" w:cs="Calibri Light"/>
          <w:color w:val="000000"/>
          <w:sz w:val="20"/>
          <w:szCs w:val="20"/>
          <w:lang w:val="es-ES"/>
        </w:rPr>
        <w:t xml:space="preserve">En esta sección se destacan los resultados individuales y estructurales del caso informados por las partes. </w:t>
      </w:r>
    </w:p>
    <w:p w14:paraId="1A5C191F" w14:textId="77777777" w:rsidR="00EF1D6C" w:rsidRPr="00E9200E" w:rsidRDefault="00EF1D6C" w:rsidP="00684727">
      <w:pPr>
        <w:spacing w:after="0" w:line="240" w:lineRule="auto"/>
        <w:jc w:val="both"/>
        <w:rPr>
          <w:rFonts w:ascii="Cambria" w:hAnsi="Cambria"/>
          <w:b/>
          <w:color w:val="000000"/>
          <w:sz w:val="20"/>
          <w:szCs w:val="20"/>
          <w:lang w:val="es-ES"/>
        </w:rPr>
      </w:pPr>
    </w:p>
    <w:p w14:paraId="5A3C826B" w14:textId="77777777" w:rsidR="00E37134" w:rsidRPr="00E9200E" w:rsidRDefault="00E37134" w:rsidP="00E37134">
      <w:pPr>
        <w:pStyle w:val="ListParagraph"/>
        <w:numPr>
          <w:ilvl w:val="0"/>
          <w:numId w:val="28"/>
        </w:numPr>
        <w:spacing w:after="0" w:line="240" w:lineRule="auto"/>
        <w:ind w:left="1440" w:hanging="720"/>
        <w:jc w:val="both"/>
        <w:rPr>
          <w:rFonts w:ascii="Cambria" w:hAnsi="Cambria" w:cs="Calibri Light"/>
          <w:b/>
          <w:color w:val="000000"/>
          <w:sz w:val="20"/>
          <w:szCs w:val="20"/>
          <w:lang w:val="es-ES"/>
        </w:rPr>
      </w:pPr>
      <w:r w:rsidRPr="00E9200E">
        <w:rPr>
          <w:rFonts w:ascii="Cambria" w:hAnsi="Cambria" w:cs="Calibri Light"/>
          <w:b/>
          <w:color w:val="000000"/>
          <w:sz w:val="20"/>
          <w:szCs w:val="20"/>
          <w:lang w:val="es-ES"/>
        </w:rPr>
        <w:t>Resultados individuales del caso</w:t>
      </w:r>
    </w:p>
    <w:p w14:paraId="5E6419A3" w14:textId="77777777" w:rsidR="00C114EB" w:rsidRPr="00E9200E" w:rsidRDefault="00C114EB" w:rsidP="00546B99">
      <w:pPr>
        <w:spacing w:after="0" w:line="240" w:lineRule="auto"/>
        <w:jc w:val="both"/>
        <w:rPr>
          <w:rFonts w:ascii="Cambria" w:hAnsi="Cambria"/>
          <w:i/>
          <w:color w:val="000000"/>
          <w:sz w:val="20"/>
          <w:szCs w:val="20"/>
          <w:lang w:val="es-ES"/>
        </w:rPr>
      </w:pPr>
    </w:p>
    <w:p w14:paraId="41386917" w14:textId="77777777" w:rsidR="005A28D0" w:rsidRPr="00E9200E" w:rsidRDefault="005A28D0" w:rsidP="00546B99">
      <w:pPr>
        <w:spacing w:after="0" w:line="240" w:lineRule="auto"/>
        <w:jc w:val="both"/>
        <w:rPr>
          <w:rFonts w:ascii="Cambria" w:hAnsi="Cambria"/>
          <w:i/>
          <w:color w:val="000000"/>
          <w:sz w:val="20"/>
          <w:szCs w:val="20"/>
          <w:lang w:val="es-ES"/>
        </w:rPr>
      </w:pPr>
      <w:r w:rsidRPr="00E9200E">
        <w:rPr>
          <w:rFonts w:ascii="Cambria" w:hAnsi="Cambria"/>
          <w:i/>
          <w:color w:val="000000"/>
          <w:sz w:val="20"/>
          <w:szCs w:val="20"/>
          <w:lang w:val="es-ES"/>
        </w:rPr>
        <w:t>Medidas de satisfacción</w:t>
      </w:r>
    </w:p>
    <w:p w14:paraId="2C248042" w14:textId="77777777" w:rsidR="006B1CC2" w:rsidRPr="00E9200E" w:rsidRDefault="006B1CC2" w:rsidP="006B1CC2">
      <w:pPr>
        <w:numPr>
          <w:ilvl w:val="0"/>
          <w:numId w:val="6"/>
        </w:numPr>
        <w:spacing w:after="0" w:line="240" w:lineRule="auto"/>
        <w:ind w:left="720"/>
        <w:jc w:val="both"/>
        <w:rPr>
          <w:rFonts w:ascii="Cambria" w:hAnsi="Cambria"/>
          <w:color w:val="000000"/>
          <w:sz w:val="20"/>
          <w:szCs w:val="20"/>
          <w:lang w:val="es-ES"/>
        </w:rPr>
      </w:pPr>
      <w:r w:rsidRPr="00E9200E">
        <w:rPr>
          <w:rFonts w:ascii="Cambria" w:hAnsi="Cambria"/>
          <w:color w:val="000000"/>
          <w:sz w:val="20"/>
          <w:szCs w:val="20"/>
          <w:lang w:val="es-ES"/>
        </w:rPr>
        <w:t xml:space="preserve">Pedido de disculpas </w:t>
      </w:r>
      <w:r w:rsidR="00A67BF8" w:rsidRPr="00E9200E">
        <w:rPr>
          <w:rFonts w:ascii="Cambria" w:hAnsi="Cambria"/>
          <w:color w:val="000000"/>
          <w:sz w:val="20"/>
          <w:szCs w:val="20"/>
          <w:lang w:val="es-ES"/>
        </w:rPr>
        <w:t>públicas</w:t>
      </w:r>
      <w:r w:rsidRPr="00E9200E">
        <w:rPr>
          <w:rFonts w:ascii="Cambria" w:hAnsi="Cambria"/>
          <w:color w:val="000000"/>
          <w:sz w:val="20"/>
          <w:szCs w:val="20"/>
          <w:lang w:val="es-ES"/>
        </w:rPr>
        <w:t xml:space="preserve"> realizado por el </w:t>
      </w:r>
      <w:proofErr w:type="gramStart"/>
      <w:r w:rsidRPr="00E9200E">
        <w:rPr>
          <w:rFonts w:ascii="Cambria" w:hAnsi="Cambria"/>
          <w:color w:val="000000"/>
          <w:sz w:val="20"/>
          <w:szCs w:val="20"/>
          <w:lang w:val="es-ES"/>
        </w:rPr>
        <w:t>Fiscal General</w:t>
      </w:r>
      <w:proofErr w:type="gramEnd"/>
      <w:r w:rsidRPr="00E9200E">
        <w:rPr>
          <w:rFonts w:ascii="Cambria" w:hAnsi="Cambria"/>
          <w:color w:val="000000"/>
          <w:sz w:val="20"/>
          <w:szCs w:val="20"/>
          <w:lang w:val="es-ES"/>
        </w:rPr>
        <w:t xml:space="preserve"> y el Ministro de Justicia a los familiares de </w:t>
      </w:r>
      <w:r w:rsidRPr="00E9200E">
        <w:rPr>
          <w:rFonts w:ascii="Cambria" w:hAnsi="Cambria" w:cs="Calibri"/>
          <w:color w:val="000000"/>
          <w:sz w:val="20"/>
          <w:szCs w:val="20"/>
          <w:lang w:val="es-ES"/>
        </w:rPr>
        <w:t xml:space="preserve">Michael Gayle, el cual fue difundido en la radio y </w:t>
      </w:r>
      <w:r w:rsidRPr="00E9200E">
        <w:rPr>
          <w:rFonts w:ascii="Cambria" w:hAnsi="Cambria"/>
          <w:color w:val="000000"/>
          <w:sz w:val="20"/>
          <w:szCs w:val="20"/>
          <w:lang w:val="es-ES"/>
        </w:rPr>
        <w:t xml:space="preserve">cuyo texto se publicó en el </w:t>
      </w:r>
      <w:r w:rsidRPr="00E9200E">
        <w:rPr>
          <w:rFonts w:ascii="Cambria" w:hAnsi="Cambria"/>
          <w:i/>
          <w:color w:val="000000"/>
          <w:sz w:val="20"/>
          <w:szCs w:val="20"/>
          <w:lang w:val="es-ES"/>
        </w:rPr>
        <w:t>Sunday Herald</w:t>
      </w:r>
      <w:r w:rsidRPr="00E9200E">
        <w:rPr>
          <w:rFonts w:ascii="Cambria" w:hAnsi="Cambria"/>
          <w:color w:val="000000"/>
          <w:sz w:val="20"/>
          <w:szCs w:val="20"/>
          <w:lang w:val="es-ES"/>
        </w:rPr>
        <w:t xml:space="preserve">, los días 14 a 20 de marzo de 2004, bajo el título “El caso de Michael Gayle”, </w:t>
      </w:r>
      <w:r w:rsidR="00C1391D" w:rsidRPr="00E9200E">
        <w:rPr>
          <w:rFonts w:ascii="Cambria" w:hAnsi="Cambria"/>
          <w:color w:val="000000"/>
          <w:sz w:val="20"/>
          <w:szCs w:val="20"/>
          <w:lang w:val="es-ES"/>
        </w:rPr>
        <w:t xml:space="preserve">y en </w:t>
      </w:r>
      <w:r w:rsidRPr="00E9200E">
        <w:rPr>
          <w:rFonts w:ascii="Cambria" w:hAnsi="Cambria"/>
          <w:color w:val="000000"/>
          <w:sz w:val="20"/>
          <w:szCs w:val="20"/>
          <w:lang w:val="es-ES"/>
        </w:rPr>
        <w:t xml:space="preserve">el </w:t>
      </w:r>
      <w:r w:rsidRPr="00E9200E">
        <w:rPr>
          <w:rFonts w:ascii="Cambria" w:hAnsi="Cambria"/>
          <w:i/>
          <w:color w:val="000000"/>
          <w:sz w:val="20"/>
          <w:szCs w:val="20"/>
          <w:lang w:val="es-ES"/>
        </w:rPr>
        <w:t>Daily Gleaner</w:t>
      </w:r>
      <w:r w:rsidRPr="00E9200E">
        <w:rPr>
          <w:rFonts w:ascii="Cambria" w:hAnsi="Cambria"/>
          <w:color w:val="000000"/>
          <w:sz w:val="20"/>
          <w:szCs w:val="20"/>
          <w:lang w:val="es-ES"/>
        </w:rPr>
        <w:t>, el 11 de marzo de 2004, bajo el título “El Gobierno ‘lamenta</w:t>
      </w:r>
      <w:r w:rsidR="007D4AFD" w:rsidRPr="00E9200E">
        <w:rPr>
          <w:rFonts w:ascii="Cambria" w:hAnsi="Cambria"/>
          <w:color w:val="000000"/>
          <w:sz w:val="20"/>
          <w:szCs w:val="20"/>
          <w:lang w:val="es-ES"/>
        </w:rPr>
        <w:t>’</w:t>
      </w:r>
      <w:r w:rsidRPr="00E9200E">
        <w:rPr>
          <w:rFonts w:ascii="Cambria" w:hAnsi="Cambria"/>
          <w:color w:val="000000"/>
          <w:sz w:val="20"/>
          <w:szCs w:val="20"/>
          <w:lang w:val="es-ES"/>
        </w:rPr>
        <w:t xml:space="preserve"> la muerte de Michael Gayle”</w:t>
      </w:r>
      <w:r w:rsidR="00C1391D" w:rsidRPr="00E9200E">
        <w:rPr>
          <w:rFonts w:ascii="Cambria" w:hAnsi="Cambria"/>
          <w:color w:val="000000"/>
          <w:sz w:val="20"/>
          <w:szCs w:val="20"/>
          <w:lang w:val="es-ES"/>
        </w:rPr>
        <w:t>.</w:t>
      </w:r>
    </w:p>
    <w:p w14:paraId="0F5922D8" w14:textId="77777777" w:rsidR="005A28D0" w:rsidRPr="00E9200E" w:rsidRDefault="005A28D0" w:rsidP="00615C8C">
      <w:pPr>
        <w:spacing w:after="0" w:line="240" w:lineRule="auto"/>
        <w:jc w:val="both"/>
        <w:rPr>
          <w:rFonts w:ascii="Cambria" w:hAnsi="Cambria" w:cs="Calibri"/>
          <w:color w:val="000000"/>
          <w:sz w:val="20"/>
          <w:szCs w:val="20"/>
          <w:lang w:val="es-ES"/>
        </w:rPr>
      </w:pPr>
    </w:p>
    <w:p w14:paraId="699A7B27" w14:textId="77777777" w:rsidR="0004454B" w:rsidRPr="00E9200E" w:rsidRDefault="0004454B" w:rsidP="00615C8C">
      <w:pPr>
        <w:spacing w:after="0" w:line="240" w:lineRule="auto"/>
        <w:jc w:val="both"/>
        <w:rPr>
          <w:rFonts w:ascii="Cambria" w:hAnsi="Cambria" w:cs="Calibri"/>
          <w:i/>
          <w:color w:val="000000"/>
          <w:sz w:val="20"/>
          <w:szCs w:val="20"/>
          <w:lang w:val="es-ES"/>
        </w:rPr>
      </w:pPr>
      <w:r w:rsidRPr="00E9200E">
        <w:rPr>
          <w:rFonts w:ascii="Cambria" w:hAnsi="Cambria" w:cs="Calibri"/>
          <w:i/>
          <w:color w:val="000000"/>
          <w:sz w:val="20"/>
          <w:szCs w:val="20"/>
          <w:lang w:val="es-ES"/>
        </w:rPr>
        <w:lastRenderedPageBreak/>
        <w:t>Medida de compensación pecuniaria</w:t>
      </w:r>
    </w:p>
    <w:p w14:paraId="66737A55" w14:textId="77777777" w:rsidR="0004454B" w:rsidRPr="00E9200E" w:rsidRDefault="00480897" w:rsidP="0004454B">
      <w:pPr>
        <w:numPr>
          <w:ilvl w:val="0"/>
          <w:numId w:val="6"/>
        </w:numPr>
        <w:spacing w:after="0" w:line="240" w:lineRule="auto"/>
        <w:ind w:left="720"/>
        <w:jc w:val="both"/>
        <w:rPr>
          <w:rFonts w:ascii="Cambria" w:hAnsi="Cambria"/>
          <w:color w:val="000000"/>
          <w:sz w:val="20"/>
          <w:szCs w:val="20"/>
          <w:lang w:val="es-ES"/>
        </w:rPr>
      </w:pPr>
      <w:r w:rsidRPr="00E9200E">
        <w:rPr>
          <w:rFonts w:ascii="Cambria" w:hAnsi="Cambria"/>
          <w:color w:val="000000"/>
          <w:sz w:val="20"/>
          <w:szCs w:val="20"/>
          <w:lang w:val="es-ES"/>
        </w:rPr>
        <w:t xml:space="preserve">Pago </w:t>
      </w:r>
      <w:r w:rsidR="0004454B" w:rsidRPr="00E9200E">
        <w:rPr>
          <w:rFonts w:ascii="Cambria" w:hAnsi="Cambria"/>
          <w:color w:val="000000"/>
          <w:sz w:val="20"/>
          <w:szCs w:val="20"/>
          <w:lang w:val="es-ES"/>
        </w:rPr>
        <w:t>de una suma de J$2.886.265,00 a los familiares de Michael Gayle hasta marzo de 2005</w:t>
      </w:r>
      <w:r w:rsidRPr="00E9200E">
        <w:rPr>
          <w:rFonts w:ascii="Cambria" w:hAnsi="Cambria"/>
          <w:color w:val="000000"/>
          <w:sz w:val="20"/>
          <w:szCs w:val="20"/>
          <w:lang w:val="es-ES"/>
        </w:rPr>
        <w:t>, lo cual fue formalizado</w:t>
      </w:r>
      <w:r w:rsidR="0004454B" w:rsidRPr="00E9200E">
        <w:rPr>
          <w:rFonts w:ascii="Cambria" w:hAnsi="Cambria"/>
          <w:color w:val="000000"/>
          <w:sz w:val="20"/>
          <w:szCs w:val="20"/>
          <w:lang w:val="es-ES"/>
        </w:rPr>
        <w:t xml:space="preserve"> por sentencia de fecha 2 de noviembre de 2004</w:t>
      </w:r>
      <w:r w:rsidRPr="00E9200E">
        <w:rPr>
          <w:rFonts w:ascii="Cambria" w:hAnsi="Cambria"/>
          <w:color w:val="000000"/>
          <w:sz w:val="20"/>
          <w:szCs w:val="20"/>
          <w:lang w:val="es-ES"/>
        </w:rPr>
        <w:t>.</w:t>
      </w:r>
    </w:p>
    <w:p w14:paraId="7728EFAF" w14:textId="77777777" w:rsidR="00E50908" w:rsidRPr="00E9200E" w:rsidRDefault="00E50908" w:rsidP="00E50908">
      <w:pPr>
        <w:spacing w:after="0" w:line="240" w:lineRule="auto"/>
        <w:jc w:val="both"/>
        <w:rPr>
          <w:rFonts w:ascii="Cambria" w:hAnsi="Cambria"/>
          <w:color w:val="000000"/>
          <w:sz w:val="20"/>
          <w:szCs w:val="20"/>
          <w:lang w:val="es-ES"/>
        </w:rPr>
      </w:pPr>
    </w:p>
    <w:p w14:paraId="7880007C" w14:textId="77777777" w:rsidR="00E37134" w:rsidRPr="00E9200E" w:rsidRDefault="00E37134" w:rsidP="00E37134">
      <w:pPr>
        <w:pStyle w:val="ListParagraph"/>
        <w:numPr>
          <w:ilvl w:val="0"/>
          <w:numId w:val="28"/>
        </w:numPr>
        <w:spacing w:after="0" w:line="240" w:lineRule="auto"/>
        <w:ind w:left="1440" w:hanging="720"/>
        <w:jc w:val="both"/>
        <w:rPr>
          <w:rFonts w:ascii="Cambria" w:hAnsi="Cambria" w:cs="Calibri Light"/>
          <w:b/>
          <w:color w:val="000000"/>
          <w:sz w:val="20"/>
          <w:szCs w:val="20"/>
          <w:lang w:val="es-ES"/>
        </w:rPr>
      </w:pPr>
      <w:r w:rsidRPr="00E9200E">
        <w:rPr>
          <w:rFonts w:ascii="Cambria" w:hAnsi="Cambria" w:cs="Calibri Light"/>
          <w:b/>
          <w:color w:val="000000"/>
          <w:sz w:val="20"/>
          <w:szCs w:val="20"/>
          <w:lang w:val="es-ES"/>
        </w:rPr>
        <w:t>Resultados estructurales del caso</w:t>
      </w:r>
    </w:p>
    <w:p w14:paraId="619F953F" w14:textId="77777777" w:rsidR="004177BF" w:rsidRPr="00E9200E" w:rsidRDefault="004177BF" w:rsidP="00546B99">
      <w:pPr>
        <w:spacing w:after="0" w:line="240" w:lineRule="auto"/>
        <w:jc w:val="both"/>
        <w:rPr>
          <w:rFonts w:ascii="Cambria" w:hAnsi="Cambria"/>
          <w:i/>
          <w:color w:val="000000"/>
          <w:sz w:val="20"/>
          <w:szCs w:val="20"/>
          <w:lang w:val="es-ES"/>
        </w:rPr>
      </w:pPr>
    </w:p>
    <w:p w14:paraId="422D89FF" w14:textId="77777777" w:rsidR="00E37134" w:rsidRPr="00E9200E" w:rsidRDefault="00E37134" w:rsidP="00E51851">
      <w:pPr>
        <w:spacing w:after="0" w:line="240" w:lineRule="auto"/>
        <w:jc w:val="both"/>
        <w:rPr>
          <w:rFonts w:ascii="Cambria" w:hAnsi="Cambria"/>
          <w:i/>
          <w:color w:val="000000"/>
          <w:sz w:val="20"/>
          <w:szCs w:val="20"/>
          <w:lang w:val="es-ES"/>
        </w:rPr>
      </w:pPr>
      <w:r w:rsidRPr="00E9200E">
        <w:rPr>
          <w:rFonts w:ascii="Cambria" w:hAnsi="Cambria"/>
          <w:i/>
          <w:color w:val="000000"/>
          <w:sz w:val="20"/>
          <w:szCs w:val="20"/>
          <w:lang w:val="es-ES"/>
        </w:rPr>
        <w:t xml:space="preserve">Legislación/Normativa </w:t>
      </w:r>
    </w:p>
    <w:p w14:paraId="6813DBFE" w14:textId="77777777" w:rsidR="00C3470C" w:rsidRPr="00E9200E" w:rsidRDefault="00C3470C" w:rsidP="00C3470C">
      <w:pPr>
        <w:pStyle w:val="NoSpacing"/>
        <w:numPr>
          <w:ilvl w:val="0"/>
          <w:numId w:val="6"/>
        </w:numPr>
        <w:ind w:left="720"/>
        <w:jc w:val="both"/>
        <w:rPr>
          <w:rFonts w:ascii="Cambria" w:hAnsi="Cambria"/>
          <w:color w:val="000000"/>
          <w:sz w:val="20"/>
          <w:szCs w:val="20"/>
          <w:lang w:val="es-ES"/>
        </w:rPr>
      </w:pPr>
      <w:r w:rsidRPr="00E9200E">
        <w:rPr>
          <w:rFonts w:ascii="Cambria" w:hAnsi="Cambria"/>
          <w:color w:val="000000"/>
          <w:sz w:val="20"/>
          <w:szCs w:val="20"/>
          <w:lang w:val="es-ES"/>
        </w:rPr>
        <w:t xml:space="preserve">Aprobación de la Ley de Comisión Independiente de Investigaciones, 2010, que entró en vigor el 15 de abril de 2010, la cual creó la Comisión Independiente de Investigaciones, </w:t>
      </w:r>
      <w:proofErr w:type="gramStart"/>
      <w:r w:rsidRPr="00E9200E">
        <w:rPr>
          <w:rFonts w:ascii="Cambria" w:hAnsi="Cambria"/>
          <w:color w:val="000000"/>
          <w:sz w:val="20"/>
          <w:szCs w:val="20"/>
          <w:lang w:val="es-ES"/>
        </w:rPr>
        <w:t>cuya propósito</w:t>
      </w:r>
      <w:proofErr w:type="gramEnd"/>
      <w:r w:rsidRPr="00E9200E">
        <w:rPr>
          <w:rFonts w:ascii="Cambria" w:hAnsi="Cambria"/>
          <w:color w:val="000000"/>
          <w:sz w:val="20"/>
          <w:szCs w:val="20"/>
          <w:lang w:val="es-ES"/>
        </w:rPr>
        <w:t xml:space="preserve"> es llevar adelante investigaciones independientes en relación con acciones de miembros de las fuerzas de seguridad y otros agentes del Estado, que resulten en muerte o lesiones de personas, o el abuso de los derechos de las personas.</w:t>
      </w:r>
    </w:p>
    <w:p w14:paraId="5CEB8FBD" w14:textId="77777777" w:rsidR="00C3470C" w:rsidRPr="00E9200E" w:rsidRDefault="00C3470C" w:rsidP="00C3470C">
      <w:pPr>
        <w:pStyle w:val="NoSpacing"/>
        <w:numPr>
          <w:ilvl w:val="0"/>
          <w:numId w:val="6"/>
        </w:numPr>
        <w:ind w:left="720"/>
        <w:jc w:val="both"/>
        <w:rPr>
          <w:rFonts w:ascii="Cambria" w:hAnsi="Cambria"/>
          <w:color w:val="000000"/>
          <w:sz w:val="20"/>
          <w:szCs w:val="20"/>
          <w:lang w:val="es-ES"/>
        </w:rPr>
      </w:pPr>
      <w:r w:rsidRPr="00E9200E">
        <w:rPr>
          <w:rFonts w:ascii="Cambria" w:hAnsi="Cambria"/>
          <w:color w:val="000000"/>
          <w:sz w:val="20"/>
          <w:szCs w:val="20"/>
          <w:lang w:val="es-ES"/>
        </w:rPr>
        <w:t>Reformas a la Ley Forense en 2010 que resultaron en la creación de la Oficina Especial del Forense, cuy</w:t>
      </w:r>
      <w:r w:rsidR="00E1619F" w:rsidRPr="00E9200E">
        <w:rPr>
          <w:rFonts w:ascii="Cambria" w:hAnsi="Cambria"/>
          <w:color w:val="000000"/>
          <w:sz w:val="20"/>
          <w:szCs w:val="20"/>
          <w:lang w:val="es-ES"/>
        </w:rPr>
        <w:t>o</w:t>
      </w:r>
      <w:r w:rsidRPr="00E9200E">
        <w:rPr>
          <w:rFonts w:ascii="Cambria" w:hAnsi="Cambria"/>
          <w:color w:val="000000"/>
          <w:sz w:val="20"/>
          <w:szCs w:val="20"/>
          <w:lang w:val="es-ES"/>
        </w:rPr>
        <w:t xml:space="preserve"> propósito es llevar a cabo investigaciones en casos de muertes a manos de agentes estatales.</w:t>
      </w:r>
    </w:p>
    <w:p w14:paraId="53F63826" w14:textId="77777777" w:rsidR="00FE6C71" w:rsidRPr="00E9200E" w:rsidRDefault="00FE6C71" w:rsidP="00C3470C">
      <w:pPr>
        <w:pStyle w:val="NoSpacing"/>
        <w:numPr>
          <w:ilvl w:val="0"/>
          <w:numId w:val="6"/>
        </w:numPr>
        <w:ind w:left="720"/>
        <w:jc w:val="both"/>
        <w:rPr>
          <w:rFonts w:ascii="Cambria" w:hAnsi="Cambria"/>
          <w:color w:val="000000"/>
          <w:sz w:val="20"/>
          <w:szCs w:val="20"/>
          <w:lang w:val="es-ES"/>
        </w:rPr>
      </w:pPr>
      <w:r w:rsidRPr="00E9200E">
        <w:rPr>
          <w:rFonts w:ascii="Cambria" w:hAnsi="Cambria"/>
          <w:color w:val="000000"/>
          <w:sz w:val="20"/>
          <w:szCs w:val="20"/>
          <w:lang w:val="es-ES"/>
        </w:rPr>
        <w:t xml:space="preserve">Orden de la Fuerza #2248 emitida por el Cuerpo de Policía de Jamaica sobre el uso de la fuerza que establece directrices específicas relativas al uso de la fuerza letal y no letal por parte de sus miembros y auxiliares. </w:t>
      </w:r>
    </w:p>
    <w:p w14:paraId="27D4F8A0" w14:textId="77777777" w:rsidR="00E1619F" w:rsidRPr="00E9200E" w:rsidRDefault="00E1619F" w:rsidP="00546B99">
      <w:pPr>
        <w:spacing w:after="0" w:line="240" w:lineRule="auto"/>
        <w:jc w:val="both"/>
        <w:rPr>
          <w:rFonts w:ascii="Cambria" w:hAnsi="Cambria"/>
          <w:i/>
          <w:color w:val="000000"/>
          <w:sz w:val="20"/>
          <w:szCs w:val="20"/>
          <w:lang w:val="es-ES"/>
        </w:rPr>
      </w:pPr>
    </w:p>
    <w:p w14:paraId="3052DE67" w14:textId="77777777" w:rsidR="0085665E" w:rsidRPr="00E9200E" w:rsidRDefault="0085665E" w:rsidP="00546B99">
      <w:pPr>
        <w:spacing w:after="0" w:line="240" w:lineRule="auto"/>
        <w:jc w:val="both"/>
        <w:rPr>
          <w:rFonts w:ascii="Cambria" w:hAnsi="Cambria"/>
          <w:i/>
          <w:color w:val="000000"/>
          <w:sz w:val="20"/>
          <w:szCs w:val="20"/>
          <w:lang w:val="es-ES"/>
        </w:rPr>
      </w:pPr>
    </w:p>
    <w:p w14:paraId="762AEBCF" w14:textId="77777777" w:rsidR="00193C20" w:rsidRPr="00E9200E" w:rsidRDefault="00193C20" w:rsidP="00193C20">
      <w:pPr>
        <w:pStyle w:val="NoSpacing"/>
        <w:jc w:val="both"/>
        <w:rPr>
          <w:rFonts w:ascii="Cambria" w:hAnsi="Cambria"/>
          <w:color w:val="000000"/>
          <w:sz w:val="20"/>
          <w:szCs w:val="20"/>
          <w:lang w:val="es-ES"/>
        </w:rPr>
      </w:pPr>
      <w:r w:rsidRPr="00E9200E">
        <w:rPr>
          <w:rFonts w:ascii="Cambria" w:hAnsi="Cambria"/>
          <w:i/>
          <w:color w:val="000000"/>
          <w:sz w:val="20"/>
          <w:szCs w:val="20"/>
          <w:lang w:val="es-ES"/>
        </w:rPr>
        <w:t xml:space="preserve">Fortalecimiento institucional </w:t>
      </w:r>
    </w:p>
    <w:p w14:paraId="67A54E98" w14:textId="77777777" w:rsidR="00FC55CA" w:rsidRPr="00E9200E" w:rsidRDefault="00027E6F" w:rsidP="00FC55CA">
      <w:pPr>
        <w:pStyle w:val="NoSpacing"/>
        <w:numPr>
          <w:ilvl w:val="0"/>
          <w:numId w:val="30"/>
        </w:numPr>
        <w:jc w:val="both"/>
        <w:rPr>
          <w:rFonts w:ascii="Cambria" w:hAnsi="Cambria"/>
          <w:color w:val="000000"/>
          <w:sz w:val="20"/>
          <w:szCs w:val="20"/>
          <w:lang w:val="es-ES"/>
        </w:rPr>
      </w:pPr>
      <w:r w:rsidRPr="00E9200E">
        <w:rPr>
          <w:rFonts w:ascii="Cambria" w:hAnsi="Cambria"/>
          <w:color w:val="000000"/>
          <w:sz w:val="20"/>
          <w:szCs w:val="20"/>
          <w:lang w:val="es-ES"/>
        </w:rPr>
        <w:t xml:space="preserve">Realización de </w:t>
      </w:r>
      <w:r w:rsidR="00FC55CA" w:rsidRPr="00E9200E">
        <w:rPr>
          <w:rFonts w:ascii="Cambria" w:hAnsi="Cambria"/>
          <w:color w:val="000000"/>
          <w:sz w:val="20"/>
          <w:szCs w:val="20"/>
          <w:lang w:val="es-ES"/>
        </w:rPr>
        <w:t>programas de capacitación a</w:t>
      </w:r>
      <w:r w:rsidRPr="00E9200E">
        <w:rPr>
          <w:rFonts w:ascii="Cambria" w:hAnsi="Cambria"/>
          <w:color w:val="000000"/>
          <w:sz w:val="20"/>
          <w:szCs w:val="20"/>
          <w:lang w:val="es-ES"/>
        </w:rPr>
        <w:t xml:space="preserve"> la Fuerza Policial de Jamaica (</w:t>
      </w:r>
      <w:r w:rsidRPr="00E9200E">
        <w:rPr>
          <w:rFonts w:ascii="Cambria" w:hAnsi="Cambria"/>
          <w:i/>
          <w:color w:val="000000"/>
          <w:sz w:val="20"/>
          <w:szCs w:val="20"/>
          <w:lang w:val="es-ES"/>
        </w:rPr>
        <w:t>Jamaica Constabulary Force</w:t>
      </w:r>
      <w:r w:rsidRPr="00E9200E">
        <w:rPr>
          <w:rFonts w:ascii="Cambria" w:hAnsi="Cambria"/>
          <w:color w:val="000000"/>
          <w:sz w:val="20"/>
          <w:szCs w:val="20"/>
          <w:lang w:val="es-ES"/>
        </w:rPr>
        <w:t>) sobre los estándares internacionales sobre el uso de la fuerza, sobre la prohibición de la tortura y los tratos inhumanos, crueles y degradantes, sobre las ejecuciones extrajudiciales y sobre las detenciones arbitrarias</w:t>
      </w:r>
      <w:r w:rsidR="00FC55CA" w:rsidRPr="00E9200E">
        <w:rPr>
          <w:rFonts w:ascii="Cambria" w:hAnsi="Cambria"/>
          <w:color w:val="000000"/>
          <w:sz w:val="20"/>
          <w:szCs w:val="20"/>
          <w:lang w:val="es-ES"/>
        </w:rPr>
        <w:t>, así como sobre los derechos y libertades fundamentales establecidos en la Constitución de Jamaica.</w:t>
      </w:r>
      <w:r w:rsidR="00D50E50" w:rsidRPr="00E9200E">
        <w:rPr>
          <w:rFonts w:ascii="Cambria" w:hAnsi="Cambria"/>
          <w:color w:val="000000"/>
          <w:sz w:val="20"/>
          <w:szCs w:val="20"/>
          <w:lang w:val="es-ES"/>
        </w:rPr>
        <w:t xml:space="preserve"> Resalta la incorporación de esta capacitación como parte de Curso Básico de Entrenamiento de Seis Meses que se imparte a las personas que se van a integrar a la Fuerza Policial. </w:t>
      </w:r>
    </w:p>
    <w:p w14:paraId="4BC51AB9" w14:textId="77777777" w:rsidR="00027E6F" w:rsidRPr="00E9200E" w:rsidRDefault="00FC55CA" w:rsidP="00027E6F">
      <w:pPr>
        <w:pStyle w:val="NoSpacing"/>
        <w:numPr>
          <w:ilvl w:val="0"/>
          <w:numId w:val="30"/>
        </w:numPr>
        <w:jc w:val="both"/>
        <w:rPr>
          <w:rFonts w:ascii="Cambria" w:hAnsi="Cambria"/>
          <w:color w:val="000000"/>
          <w:sz w:val="20"/>
          <w:szCs w:val="20"/>
          <w:lang w:val="es-ES"/>
        </w:rPr>
      </w:pPr>
      <w:r w:rsidRPr="00E9200E">
        <w:rPr>
          <w:rFonts w:ascii="Cambria" w:hAnsi="Cambria"/>
          <w:color w:val="000000"/>
          <w:sz w:val="20"/>
          <w:szCs w:val="20"/>
          <w:lang w:val="es-ES"/>
        </w:rPr>
        <w:t>Realización de programas de capacitación a la Fuerza Policial de Jamaica (</w:t>
      </w:r>
      <w:r w:rsidRPr="00E9200E">
        <w:rPr>
          <w:rFonts w:ascii="Cambria" w:hAnsi="Cambria"/>
          <w:i/>
          <w:color w:val="000000"/>
          <w:sz w:val="20"/>
          <w:szCs w:val="20"/>
          <w:lang w:val="es-ES"/>
        </w:rPr>
        <w:t>Jamaica Constabulary Force</w:t>
      </w:r>
      <w:r w:rsidRPr="00E9200E">
        <w:rPr>
          <w:rFonts w:ascii="Cambria" w:hAnsi="Cambria"/>
          <w:color w:val="000000"/>
          <w:sz w:val="20"/>
          <w:szCs w:val="20"/>
          <w:lang w:val="es-ES"/>
        </w:rPr>
        <w:t xml:space="preserve">), sobre </w:t>
      </w:r>
      <w:r w:rsidR="00027E6F" w:rsidRPr="00E9200E">
        <w:rPr>
          <w:rFonts w:ascii="Cambria" w:hAnsi="Cambria"/>
          <w:color w:val="000000"/>
          <w:sz w:val="20"/>
          <w:szCs w:val="20"/>
          <w:lang w:val="es-ES"/>
        </w:rPr>
        <w:t>la importancia de los derechos humanos a través de programas</w:t>
      </w:r>
      <w:r w:rsidRPr="00E9200E">
        <w:rPr>
          <w:rFonts w:ascii="Cambria" w:hAnsi="Cambria"/>
          <w:color w:val="000000"/>
          <w:sz w:val="20"/>
          <w:szCs w:val="20"/>
          <w:lang w:val="es-ES"/>
        </w:rPr>
        <w:t xml:space="preserve">, incluyendo </w:t>
      </w:r>
      <w:r w:rsidR="00027E6F" w:rsidRPr="00E9200E">
        <w:rPr>
          <w:rFonts w:ascii="Cambria" w:hAnsi="Cambria"/>
          <w:color w:val="000000"/>
          <w:sz w:val="20"/>
          <w:szCs w:val="20"/>
          <w:lang w:val="es-ES"/>
        </w:rPr>
        <w:t>el Uso de la Fuerza y Armas de Fuego, Encuentro Seguro y Manejo de incidentes Críticos</w:t>
      </w:r>
      <w:r w:rsidR="00CB6A68" w:rsidRPr="00E9200E">
        <w:rPr>
          <w:rFonts w:ascii="Cambria" w:hAnsi="Cambria"/>
          <w:color w:val="000000"/>
          <w:sz w:val="20"/>
          <w:szCs w:val="20"/>
          <w:lang w:val="es-ES"/>
        </w:rPr>
        <w:t xml:space="preserve">. </w:t>
      </w:r>
    </w:p>
    <w:p w14:paraId="639F0E8F" w14:textId="77777777" w:rsidR="00CB6A68" w:rsidRPr="00E9200E" w:rsidRDefault="00CB6A68" w:rsidP="00CB6A68">
      <w:pPr>
        <w:pStyle w:val="NoSpacing"/>
        <w:numPr>
          <w:ilvl w:val="0"/>
          <w:numId w:val="6"/>
        </w:numPr>
        <w:ind w:left="720"/>
        <w:jc w:val="both"/>
        <w:rPr>
          <w:rFonts w:ascii="Cambria" w:hAnsi="Cambria"/>
          <w:color w:val="000000"/>
          <w:sz w:val="20"/>
          <w:szCs w:val="20"/>
          <w:lang w:val="es-ES"/>
        </w:rPr>
      </w:pPr>
      <w:r w:rsidRPr="00E9200E">
        <w:rPr>
          <w:rFonts w:ascii="Cambria" w:hAnsi="Cambria"/>
          <w:color w:val="000000"/>
          <w:sz w:val="20"/>
          <w:szCs w:val="20"/>
          <w:lang w:val="es-ES"/>
        </w:rPr>
        <w:t>Creación de la Comisión Independiente de Investigaciones</w:t>
      </w:r>
      <w:r w:rsidR="00D50E50" w:rsidRPr="00E9200E">
        <w:rPr>
          <w:rFonts w:ascii="Cambria" w:hAnsi="Cambria"/>
          <w:color w:val="000000"/>
          <w:sz w:val="20"/>
          <w:szCs w:val="20"/>
          <w:lang w:val="es-ES"/>
        </w:rPr>
        <w:t xml:space="preserve"> (INDECOM)</w:t>
      </w:r>
      <w:r w:rsidRPr="00E9200E">
        <w:rPr>
          <w:rFonts w:ascii="Cambria" w:hAnsi="Cambria"/>
          <w:color w:val="000000"/>
          <w:sz w:val="20"/>
          <w:szCs w:val="20"/>
          <w:lang w:val="es-ES"/>
        </w:rPr>
        <w:t>, mediante la Ley de Comisión Independiente de Investigaciones, 2010, cuy</w:t>
      </w:r>
      <w:r w:rsidR="00E1619F" w:rsidRPr="00E9200E">
        <w:rPr>
          <w:rFonts w:ascii="Cambria" w:hAnsi="Cambria"/>
          <w:color w:val="000000"/>
          <w:sz w:val="20"/>
          <w:szCs w:val="20"/>
          <w:lang w:val="es-ES"/>
        </w:rPr>
        <w:t>o</w:t>
      </w:r>
      <w:r w:rsidRPr="00E9200E">
        <w:rPr>
          <w:rFonts w:ascii="Cambria" w:hAnsi="Cambria"/>
          <w:color w:val="000000"/>
          <w:sz w:val="20"/>
          <w:szCs w:val="20"/>
          <w:lang w:val="es-ES"/>
        </w:rPr>
        <w:t xml:space="preserve"> propósito es llevar adelante investigaciones independientes en relación con acciones de miembros de las fuerzas de seguridad y otros agentes del Estado, que resulten en muerte o lesiones de personas, o el abuso de los derechos de las personas.</w:t>
      </w:r>
      <w:r w:rsidR="00D50E50" w:rsidRPr="00E9200E">
        <w:rPr>
          <w:rFonts w:ascii="Cambria" w:hAnsi="Cambria"/>
          <w:color w:val="000000"/>
          <w:sz w:val="20"/>
          <w:szCs w:val="20"/>
          <w:lang w:val="es-ES"/>
        </w:rPr>
        <w:t xml:space="preserve"> Los resultados de su funcionamiento reportan: </w:t>
      </w:r>
    </w:p>
    <w:p w14:paraId="67FE7E9B" w14:textId="77777777" w:rsidR="00B8221D" w:rsidRPr="00E9200E" w:rsidRDefault="00D50E50" w:rsidP="00B8221D">
      <w:pPr>
        <w:pStyle w:val="NoSpacing"/>
        <w:numPr>
          <w:ilvl w:val="0"/>
          <w:numId w:val="35"/>
        </w:numPr>
        <w:jc w:val="both"/>
        <w:rPr>
          <w:rFonts w:ascii="Cambria" w:hAnsi="Cambria"/>
          <w:color w:val="000000"/>
          <w:sz w:val="20"/>
          <w:szCs w:val="20"/>
          <w:lang w:val="es-ES"/>
        </w:rPr>
      </w:pPr>
      <w:r w:rsidRPr="00E9200E">
        <w:rPr>
          <w:rFonts w:ascii="Cambria" w:hAnsi="Cambria"/>
          <w:color w:val="000000"/>
          <w:sz w:val="20"/>
          <w:szCs w:val="20"/>
          <w:lang w:val="es-ES"/>
        </w:rPr>
        <w:t>Entre enero de 2019 y marzo de 2020: 120 investigaciones sobre tiroteos mortales, y formulación de recomendaciones sobre la conveniencia de iniciar procedimientos penales o disciplinarios por parte de INDECOM respecto a denuncias de abusos contra miembros de las fuerzas de seguridad entre enero de 2019 y marzo de 2020.</w:t>
      </w:r>
    </w:p>
    <w:p w14:paraId="294BE769" w14:textId="77777777" w:rsidR="00D50E50" w:rsidRPr="00E9200E" w:rsidRDefault="00D50E50" w:rsidP="00B8221D">
      <w:pPr>
        <w:pStyle w:val="NoSpacing"/>
        <w:numPr>
          <w:ilvl w:val="0"/>
          <w:numId w:val="35"/>
        </w:numPr>
        <w:jc w:val="both"/>
        <w:rPr>
          <w:rFonts w:ascii="Cambria" w:hAnsi="Cambria"/>
          <w:color w:val="000000"/>
          <w:sz w:val="20"/>
          <w:szCs w:val="20"/>
          <w:lang w:val="es-ES"/>
        </w:rPr>
      </w:pPr>
      <w:r w:rsidRPr="00E9200E">
        <w:rPr>
          <w:rFonts w:ascii="Cambria" w:hAnsi="Cambria"/>
          <w:color w:val="000000"/>
          <w:sz w:val="20"/>
          <w:szCs w:val="20"/>
          <w:lang w:val="es-ES"/>
        </w:rPr>
        <w:t>Entre enero y junio de 2021, el INDECOM recibió 536 nuevas denuncias (64 quejas relacionadas con disparos mortales)</w:t>
      </w:r>
      <w:r w:rsidR="005E0C59" w:rsidRPr="00E9200E">
        <w:rPr>
          <w:rFonts w:ascii="Cambria" w:hAnsi="Cambria"/>
          <w:color w:val="000000"/>
          <w:sz w:val="20"/>
          <w:szCs w:val="20"/>
          <w:lang w:val="es-ES"/>
        </w:rPr>
        <w:t>;</w:t>
      </w:r>
      <w:r w:rsidRPr="00E9200E">
        <w:rPr>
          <w:rFonts w:ascii="Cambria" w:hAnsi="Cambria"/>
          <w:color w:val="000000"/>
          <w:sz w:val="20"/>
          <w:szCs w:val="20"/>
          <w:lang w:val="es-ES"/>
        </w:rPr>
        <w:t xml:space="preserve"> completó 373 informes en los que recomendó la apertura de procedimientos penales o disciplinarios</w:t>
      </w:r>
      <w:r w:rsidR="005E0C59" w:rsidRPr="00E9200E">
        <w:rPr>
          <w:rFonts w:ascii="Cambria" w:hAnsi="Cambria"/>
          <w:color w:val="000000"/>
          <w:sz w:val="20"/>
          <w:szCs w:val="20"/>
          <w:lang w:val="es-ES"/>
        </w:rPr>
        <w:t xml:space="preserve">; </w:t>
      </w:r>
      <w:r w:rsidRPr="00E9200E">
        <w:rPr>
          <w:rFonts w:ascii="Cambria" w:hAnsi="Cambria"/>
          <w:color w:val="000000"/>
          <w:sz w:val="20"/>
          <w:szCs w:val="20"/>
          <w:lang w:val="es-ES"/>
        </w:rPr>
        <w:t>10 miembros de las fuerzas de seguridad fueron acusados de delitos como asesinato, homicidio, agresión con resultado de lesiones corporales y heridas ilegales, a raíz de las investigaciones del INDECOM.</w:t>
      </w:r>
    </w:p>
    <w:p w14:paraId="5FF97E96" w14:textId="77777777" w:rsidR="00CB6A68" w:rsidRPr="00E9200E" w:rsidRDefault="00CB6A68" w:rsidP="00CB6A68">
      <w:pPr>
        <w:pStyle w:val="NoSpacing"/>
        <w:numPr>
          <w:ilvl w:val="0"/>
          <w:numId w:val="6"/>
        </w:numPr>
        <w:ind w:left="720"/>
        <w:jc w:val="both"/>
        <w:rPr>
          <w:rFonts w:ascii="Cambria" w:hAnsi="Cambria"/>
          <w:color w:val="000000"/>
          <w:sz w:val="20"/>
          <w:szCs w:val="20"/>
          <w:lang w:val="es-ES"/>
        </w:rPr>
      </w:pPr>
      <w:r w:rsidRPr="00E9200E">
        <w:rPr>
          <w:rFonts w:ascii="Cambria" w:hAnsi="Cambria"/>
          <w:color w:val="000000"/>
          <w:sz w:val="20"/>
          <w:szCs w:val="20"/>
          <w:lang w:val="es-ES"/>
        </w:rPr>
        <w:t>Creación de la Oficina Especial del Forense, mediante reformas a la Ley Forense en 2010, cuy</w:t>
      </w:r>
      <w:r w:rsidR="00E1619F" w:rsidRPr="00E9200E">
        <w:rPr>
          <w:rFonts w:ascii="Cambria" w:hAnsi="Cambria"/>
          <w:color w:val="000000"/>
          <w:sz w:val="20"/>
          <w:szCs w:val="20"/>
          <w:lang w:val="es-ES"/>
        </w:rPr>
        <w:t>o</w:t>
      </w:r>
      <w:r w:rsidRPr="00E9200E">
        <w:rPr>
          <w:rFonts w:ascii="Cambria" w:hAnsi="Cambria"/>
          <w:color w:val="000000"/>
          <w:sz w:val="20"/>
          <w:szCs w:val="20"/>
          <w:lang w:val="es-ES"/>
        </w:rPr>
        <w:t xml:space="preserve"> propósito es llevar a cabo investigaciones en casos de muertes a manos de agentes estatales.</w:t>
      </w:r>
    </w:p>
    <w:p w14:paraId="017A195C" w14:textId="77777777" w:rsidR="00A4588D" w:rsidRPr="00E9200E" w:rsidRDefault="00A4588D" w:rsidP="00A4588D">
      <w:pPr>
        <w:pStyle w:val="NoSpacing"/>
        <w:numPr>
          <w:ilvl w:val="0"/>
          <w:numId w:val="6"/>
        </w:numPr>
        <w:ind w:left="720"/>
        <w:jc w:val="both"/>
        <w:rPr>
          <w:rFonts w:ascii="Cambria" w:hAnsi="Cambria"/>
          <w:color w:val="000000"/>
          <w:sz w:val="20"/>
          <w:szCs w:val="20"/>
          <w:lang w:val="es-ES"/>
        </w:rPr>
      </w:pPr>
      <w:r w:rsidRPr="00E9200E">
        <w:rPr>
          <w:rFonts w:ascii="Cambria" w:hAnsi="Cambria"/>
          <w:color w:val="000000"/>
          <w:sz w:val="20"/>
          <w:szCs w:val="20"/>
          <w:lang w:val="es-ES"/>
        </w:rPr>
        <w:t xml:space="preserve">Capacitación en materia de derechos humanos a fuerzas de seguridad provista por el Estado en asociación </w:t>
      </w:r>
      <w:r w:rsidR="00387F7F" w:rsidRPr="00E9200E">
        <w:rPr>
          <w:rFonts w:ascii="Cambria" w:hAnsi="Cambria"/>
          <w:color w:val="000000"/>
          <w:sz w:val="20"/>
          <w:szCs w:val="20"/>
          <w:lang w:val="es-ES"/>
        </w:rPr>
        <w:t xml:space="preserve">con la organización </w:t>
      </w:r>
      <w:proofErr w:type="spellStart"/>
      <w:r w:rsidR="00387F7F" w:rsidRPr="00E9200E">
        <w:rPr>
          <w:rFonts w:ascii="Cambria" w:hAnsi="Cambria"/>
          <w:i/>
          <w:iCs/>
          <w:color w:val="000000"/>
          <w:sz w:val="20"/>
          <w:szCs w:val="20"/>
          <w:lang w:val="es-ES"/>
        </w:rPr>
        <w:t>Jamaicans</w:t>
      </w:r>
      <w:proofErr w:type="spellEnd"/>
      <w:r w:rsidR="00387F7F" w:rsidRPr="00E9200E">
        <w:rPr>
          <w:rFonts w:ascii="Cambria" w:hAnsi="Cambria"/>
          <w:i/>
          <w:iCs/>
          <w:color w:val="000000"/>
          <w:sz w:val="20"/>
          <w:szCs w:val="20"/>
          <w:lang w:val="es-ES"/>
        </w:rPr>
        <w:t xml:space="preserve"> </w:t>
      </w:r>
      <w:proofErr w:type="spellStart"/>
      <w:r w:rsidR="00387F7F" w:rsidRPr="00E9200E">
        <w:rPr>
          <w:rFonts w:ascii="Cambria" w:hAnsi="Cambria"/>
          <w:i/>
          <w:iCs/>
          <w:color w:val="000000"/>
          <w:sz w:val="20"/>
          <w:szCs w:val="20"/>
          <w:lang w:val="es-ES"/>
        </w:rPr>
        <w:t>for</w:t>
      </w:r>
      <w:proofErr w:type="spellEnd"/>
      <w:r w:rsidR="00387F7F" w:rsidRPr="00E9200E">
        <w:rPr>
          <w:rFonts w:ascii="Cambria" w:hAnsi="Cambria"/>
          <w:i/>
          <w:iCs/>
          <w:color w:val="000000"/>
          <w:sz w:val="20"/>
          <w:szCs w:val="20"/>
          <w:lang w:val="es-ES"/>
        </w:rPr>
        <w:t xml:space="preserve"> </w:t>
      </w:r>
      <w:proofErr w:type="spellStart"/>
      <w:r w:rsidR="00387F7F" w:rsidRPr="00E9200E">
        <w:rPr>
          <w:rFonts w:ascii="Cambria" w:hAnsi="Cambria"/>
          <w:i/>
          <w:iCs/>
          <w:color w:val="000000"/>
          <w:sz w:val="20"/>
          <w:szCs w:val="20"/>
          <w:lang w:val="es-ES"/>
        </w:rPr>
        <w:t>Justice</w:t>
      </w:r>
      <w:proofErr w:type="spellEnd"/>
      <w:r w:rsidR="00387F7F" w:rsidRPr="00E9200E">
        <w:rPr>
          <w:rFonts w:ascii="Cambria" w:hAnsi="Cambria"/>
          <w:color w:val="000000"/>
          <w:sz w:val="20"/>
          <w:szCs w:val="20"/>
          <w:lang w:val="es-ES"/>
        </w:rPr>
        <w:t xml:space="preserve">. </w:t>
      </w:r>
    </w:p>
    <w:p w14:paraId="442BA23B" w14:textId="77777777" w:rsidR="00A4588D" w:rsidRPr="00E9200E" w:rsidRDefault="00387F7F" w:rsidP="00A4588D">
      <w:pPr>
        <w:pStyle w:val="NoSpacing"/>
        <w:numPr>
          <w:ilvl w:val="0"/>
          <w:numId w:val="6"/>
        </w:numPr>
        <w:ind w:left="720"/>
        <w:jc w:val="both"/>
        <w:rPr>
          <w:rFonts w:ascii="Cambria" w:hAnsi="Cambria"/>
          <w:color w:val="000000"/>
          <w:sz w:val="20"/>
          <w:szCs w:val="20"/>
          <w:lang w:val="es-ES"/>
        </w:rPr>
      </w:pPr>
      <w:r w:rsidRPr="00E9200E">
        <w:rPr>
          <w:rFonts w:ascii="Cambria" w:hAnsi="Cambria"/>
          <w:color w:val="000000"/>
          <w:sz w:val="20"/>
          <w:szCs w:val="20"/>
          <w:lang w:val="es-ES"/>
        </w:rPr>
        <w:t>2.500 guías de bolsillo</w:t>
      </w:r>
      <w:r w:rsidR="00A4588D" w:rsidRPr="00E9200E">
        <w:rPr>
          <w:rFonts w:ascii="Cambria" w:hAnsi="Cambria"/>
          <w:color w:val="000000"/>
          <w:sz w:val="20"/>
          <w:szCs w:val="20"/>
          <w:lang w:val="es-ES"/>
        </w:rPr>
        <w:t xml:space="preserve"> entregadas por Naciones Unidas desde 2019</w:t>
      </w:r>
      <w:r w:rsidRPr="00E9200E">
        <w:rPr>
          <w:rFonts w:ascii="Cambria" w:hAnsi="Cambria"/>
          <w:color w:val="000000"/>
          <w:sz w:val="20"/>
          <w:szCs w:val="20"/>
          <w:lang w:val="es-ES"/>
        </w:rPr>
        <w:t xml:space="preserve"> sobre derechos humanos en la aplicación de la ley a la Fuerza de Policía de Jamaica</w:t>
      </w:r>
      <w:r w:rsidR="00A4588D" w:rsidRPr="00E9200E">
        <w:rPr>
          <w:rFonts w:ascii="Cambria" w:hAnsi="Cambria"/>
          <w:color w:val="000000"/>
          <w:sz w:val="20"/>
          <w:szCs w:val="20"/>
          <w:lang w:val="es-ES"/>
        </w:rPr>
        <w:t>. Las guías abarcan</w:t>
      </w:r>
      <w:r w:rsidRPr="00E9200E">
        <w:rPr>
          <w:rFonts w:ascii="Cambria" w:hAnsi="Cambria"/>
          <w:color w:val="000000"/>
          <w:sz w:val="20"/>
          <w:szCs w:val="20"/>
          <w:lang w:val="es-ES"/>
        </w:rPr>
        <w:t xml:space="preserve"> las temáticas de investigaciones penales, uso de la fuerza, armas de fuego, arresto y detención. </w:t>
      </w:r>
      <w:r w:rsidR="00A4588D" w:rsidRPr="00E9200E">
        <w:rPr>
          <w:rFonts w:ascii="Cambria" w:hAnsi="Cambria"/>
          <w:color w:val="000000"/>
          <w:sz w:val="20"/>
          <w:szCs w:val="20"/>
          <w:lang w:val="es-ES"/>
        </w:rPr>
        <w:t>D</w:t>
      </w:r>
      <w:r w:rsidRPr="00E9200E">
        <w:rPr>
          <w:rFonts w:ascii="Cambria" w:hAnsi="Cambria"/>
          <w:color w:val="000000"/>
          <w:sz w:val="20"/>
          <w:szCs w:val="20"/>
          <w:lang w:val="es-ES"/>
        </w:rPr>
        <w:t xml:space="preserve">icha provisión forma parte de una colaboración más amplia entre la Oficina de las Naciones Unidas en Jamaica y la Escuela Nacional de Policía de Jamaica, la cual incluye planes para una serie de cursos prácticos, un manual de casos y un curso de capacitación en línea para la policía. </w:t>
      </w:r>
    </w:p>
    <w:p w14:paraId="58FB9A09" w14:textId="77777777" w:rsidR="00A4588D" w:rsidRPr="00E9200E" w:rsidRDefault="00387F7F" w:rsidP="00A4588D">
      <w:pPr>
        <w:pStyle w:val="NoSpacing"/>
        <w:numPr>
          <w:ilvl w:val="0"/>
          <w:numId w:val="6"/>
        </w:numPr>
        <w:ind w:left="720"/>
        <w:jc w:val="both"/>
        <w:rPr>
          <w:rFonts w:ascii="Cambria" w:hAnsi="Cambria"/>
          <w:color w:val="000000"/>
          <w:sz w:val="20"/>
          <w:szCs w:val="20"/>
          <w:lang w:val="es-ES"/>
        </w:rPr>
      </w:pPr>
      <w:r w:rsidRPr="00E9200E">
        <w:rPr>
          <w:rFonts w:ascii="Cambria" w:hAnsi="Cambria"/>
          <w:color w:val="000000"/>
          <w:sz w:val="20"/>
          <w:szCs w:val="20"/>
          <w:lang w:val="es-ES"/>
        </w:rPr>
        <w:lastRenderedPageBreak/>
        <w:t>19 miembros de las fuerzas de seguridad acusados de delitos de homicidio, asalto ocasional, lesiones corporales y heridas ilegales (</w:t>
      </w:r>
      <w:proofErr w:type="spellStart"/>
      <w:r w:rsidRPr="00E9200E">
        <w:rPr>
          <w:rFonts w:ascii="Cambria" w:hAnsi="Cambria"/>
          <w:i/>
          <w:iCs/>
          <w:color w:val="000000"/>
          <w:sz w:val="20"/>
          <w:szCs w:val="20"/>
          <w:lang w:val="es-CO"/>
        </w:rPr>
        <w:t>murder</w:t>
      </w:r>
      <w:proofErr w:type="spellEnd"/>
      <w:r w:rsidRPr="00E9200E">
        <w:rPr>
          <w:rFonts w:ascii="Cambria" w:hAnsi="Cambria"/>
          <w:i/>
          <w:iCs/>
          <w:color w:val="000000"/>
          <w:sz w:val="20"/>
          <w:szCs w:val="20"/>
          <w:lang w:val="es-CO"/>
        </w:rPr>
        <w:t xml:space="preserve">, </w:t>
      </w:r>
      <w:proofErr w:type="spellStart"/>
      <w:r w:rsidRPr="00E9200E">
        <w:rPr>
          <w:rFonts w:ascii="Cambria" w:hAnsi="Cambria"/>
          <w:i/>
          <w:iCs/>
          <w:color w:val="000000"/>
          <w:sz w:val="20"/>
          <w:szCs w:val="20"/>
          <w:lang w:val="es-CO"/>
        </w:rPr>
        <w:t>manslaughter</w:t>
      </w:r>
      <w:proofErr w:type="spellEnd"/>
      <w:r w:rsidRPr="00E9200E">
        <w:rPr>
          <w:rFonts w:ascii="Cambria" w:hAnsi="Cambria"/>
          <w:i/>
          <w:iCs/>
          <w:color w:val="000000"/>
          <w:sz w:val="20"/>
          <w:szCs w:val="20"/>
          <w:lang w:val="es-CO"/>
        </w:rPr>
        <w:t xml:space="preserve">, </w:t>
      </w:r>
      <w:proofErr w:type="spellStart"/>
      <w:r w:rsidRPr="00E9200E">
        <w:rPr>
          <w:rFonts w:ascii="Cambria" w:hAnsi="Cambria"/>
          <w:i/>
          <w:iCs/>
          <w:color w:val="000000"/>
          <w:sz w:val="20"/>
          <w:szCs w:val="20"/>
          <w:lang w:val="es-CO"/>
        </w:rPr>
        <w:t>assault</w:t>
      </w:r>
      <w:proofErr w:type="spellEnd"/>
      <w:r w:rsidRPr="00E9200E">
        <w:rPr>
          <w:rFonts w:ascii="Cambria" w:hAnsi="Cambria"/>
          <w:i/>
          <w:iCs/>
          <w:color w:val="000000"/>
          <w:sz w:val="20"/>
          <w:szCs w:val="20"/>
          <w:lang w:val="es-CO"/>
        </w:rPr>
        <w:t xml:space="preserve"> </w:t>
      </w:r>
      <w:proofErr w:type="spellStart"/>
      <w:r w:rsidRPr="00E9200E">
        <w:rPr>
          <w:rFonts w:ascii="Cambria" w:hAnsi="Cambria"/>
          <w:i/>
          <w:iCs/>
          <w:color w:val="000000"/>
          <w:sz w:val="20"/>
          <w:szCs w:val="20"/>
          <w:lang w:val="es-CO"/>
        </w:rPr>
        <w:t>occasional</w:t>
      </w:r>
      <w:proofErr w:type="spellEnd"/>
      <w:r w:rsidRPr="00E9200E">
        <w:rPr>
          <w:rFonts w:ascii="Cambria" w:hAnsi="Cambria"/>
          <w:i/>
          <w:iCs/>
          <w:color w:val="000000"/>
          <w:sz w:val="20"/>
          <w:szCs w:val="20"/>
          <w:lang w:val="es-CO"/>
        </w:rPr>
        <w:t xml:space="preserve"> actual </w:t>
      </w:r>
      <w:proofErr w:type="spellStart"/>
      <w:r w:rsidRPr="00E9200E">
        <w:rPr>
          <w:rFonts w:ascii="Cambria" w:hAnsi="Cambria"/>
          <w:i/>
          <w:iCs/>
          <w:color w:val="000000"/>
          <w:sz w:val="20"/>
          <w:szCs w:val="20"/>
          <w:lang w:val="es-CO"/>
        </w:rPr>
        <w:t>bodily</w:t>
      </w:r>
      <w:proofErr w:type="spellEnd"/>
      <w:r w:rsidRPr="00E9200E">
        <w:rPr>
          <w:rFonts w:ascii="Cambria" w:hAnsi="Cambria"/>
          <w:i/>
          <w:iCs/>
          <w:color w:val="000000"/>
          <w:sz w:val="20"/>
          <w:szCs w:val="20"/>
          <w:lang w:val="es-CO"/>
        </w:rPr>
        <w:t xml:space="preserve"> </w:t>
      </w:r>
      <w:proofErr w:type="spellStart"/>
      <w:r w:rsidRPr="00E9200E">
        <w:rPr>
          <w:rFonts w:ascii="Cambria" w:hAnsi="Cambria"/>
          <w:i/>
          <w:iCs/>
          <w:color w:val="000000"/>
          <w:sz w:val="20"/>
          <w:szCs w:val="20"/>
          <w:lang w:val="es-CO"/>
        </w:rPr>
        <w:t>harm</w:t>
      </w:r>
      <w:proofErr w:type="spellEnd"/>
      <w:r w:rsidRPr="00E9200E">
        <w:rPr>
          <w:rFonts w:ascii="Cambria" w:hAnsi="Cambria"/>
          <w:i/>
          <w:iCs/>
          <w:color w:val="000000"/>
          <w:sz w:val="20"/>
          <w:szCs w:val="20"/>
          <w:lang w:val="es-CO"/>
        </w:rPr>
        <w:t xml:space="preserve"> and </w:t>
      </w:r>
      <w:proofErr w:type="spellStart"/>
      <w:r w:rsidRPr="00E9200E">
        <w:rPr>
          <w:rFonts w:ascii="Cambria" w:hAnsi="Cambria"/>
          <w:i/>
          <w:iCs/>
          <w:color w:val="000000"/>
          <w:sz w:val="20"/>
          <w:szCs w:val="20"/>
          <w:lang w:val="es-CO"/>
        </w:rPr>
        <w:t>unlawful</w:t>
      </w:r>
      <w:proofErr w:type="spellEnd"/>
      <w:r w:rsidRPr="00E9200E">
        <w:rPr>
          <w:rFonts w:ascii="Cambria" w:hAnsi="Cambria"/>
          <w:i/>
          <w:iCs/>
          <w:color w:val="000000"/>
          <w:sz w:val="20"/>
          <w:szCs w:val="20"/>
          <w:lang w:val="es-CO"/>
        </w:rPr>
        <w:t xml:space="preserve"> </w:t>
      </w:r>
      <w:proofErr w:type="spellStart"/>
      <w:r w:rsidRPr="00E9200E">
        <w:rPr>
          <w:rFonts w:ascii="Cambria" w:hAnsi="Cambria"/>
          <w:i/>
          <w:iCs/>
          <w:color w:val="000000"/>
          <w:sz w:val="20"/>
          <w:szCs w:val="20"/>
          <w:lang w:val="es-CO"/>
        </w:rPr>
        <w:t>wounding</w:t>
      </w:r>
      <w:proofErr w:type="spellEnd"/>
      <w:r w:rsidRPr="00E9200E">
        <w:rPr>
          <w:rFonts w:ascii="Cambria" w:hAnsi="Cambria"/>
          <w:i/>
          <w:iCs/>
          <w:color w:val="000000"/>
          <w:sz w:val="20"/>
          <w:szCs w:val="20"/>
          <w:lang w:val="es-ES"/>
        </w:rPr>
        <w:t xml:space="preserve">), </w:t>
      </w:r>
      <w:r w:rsidRPr="00E9200E">
        <w:rPr>
          <w:rFonts w:ascii="Cambria" w:hAnsi="Cambria"/>
          <w:color w:val="000000"/>
          <w:sz w:val="20"/>
          <w:szCs w:val="20"/>
          <w:lang w:val="es-ES"/>
        </w:rPr>
        <w:t>a raíz de investigaciones del INDECOM</w:t>
      </w:r>
      <w:r w:rsidR="00A4588D" w:rsidRPr="00E9200E">
        <w:rPr>
          <w:rFonts w:ascii="Cambria" w:hAnsi="Cambria"/>
          <w:color w:val="000000"/>
          <w:sz w:val="20"/>
          <w:szCs w:val="20"/>
          <w:lang w:val="es-ES"/>
        </w:rPr>
        <w:t xml:space="preserve"> entre enero de 2019 y marzo de 2020</w:t>
      </w:r>
      <w:r w:rsidRPr="00E9200E">
        <w:rPr>
          <w:rFonts w:ascii="Cambria" w:hAnsi="Cambria"/>
          <w:color w:val="000000"/>
          <w:sz w:val="20"/>
          <w:szCs w:val="20"/>
          <w:lang w:val="es-ES"/>
        </w:rPr>
        <w:t xml:space="preserve">. </w:t>
      </w:r>
    </w:p>
    <w:p w14:paraId="47512017" w14:textId="77777777" w:rsidR="00387F7F" w:rsidRPr="00E9200E" w:rsidRDefault="00387F7F" w:rsidP="00CB6A68">
      <w:pPr>
        <w:pStyle w:val="NoSpacing"/>
        <w:jc w:val="both"/>
        <w:rPr>
          <w:rFonts w:ascii="Cambria" w:hAnsi="Cambria"/>
          <w:color w:val="000000"/>
          <w:sz w:val="20"/>
          <w:szCs w:val="20"/>
          <w:lang w:val="es-ES"/>
        </w:rPr>
      </w:pPr>
    </w:p>
    <w:sectPr w:rsidR="00387F7F" w:rsidRPr="00E9200E" w:rsidSect="00AA5D33">
      <w:headerReference w:type="default" r:id="rId11"/>
      <w:footerReference w:type="default" r:id="rId12"/>
      <w:headerReference w:type="first" r:id="rId13"/>
      <w:footerReference w:type="first" r:id="rId14"/>
      <w:pgSz w:w="12240" w:h="15840"/>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176F" w14:textId="77777777" w:rsidR="00871248" w:rsidRDefault="00871248" w:rsidP="00A343FF">
      <w:pPr>
        <w:spacing w:after="0" w:line="240" w:lineRule="auto"/>
      </w:pPr>
      <w:r>
        <w:separator/>
      </w:r>
    </w:p>
  </w:endnote>
  <w:endnote w:type="continuationSeparator" w:id="0">
    <w:p w14:paraId="0E5E139C" w14:textId="77777777" w:rsidR="00871248" w:rsidRDefault="00871248"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78E6" w14:textId="77777777" w:rsidR="00A61B5E" w:rsidRPr="00E9200E" w:rsidRDefault="00A61B5E">
    <w:pPr>
      <w:pStyle w:val="Footer"/>
      <w:jc w:val="center"/>
      <w:rPr>
        <w:rFonts w:ascii="Cambria" w:hAnsi="Cambria"/>
        <w:color w:val="000000"/>
        <w:sz w:val="20"/>
        <w:szCs w:val="20"/>
      </w:rPr>
    </w:pPr>
    <w:r w:rsidRPr="00E9200E">
      <w:rPr>
        <w:rFonts w:ascii="Cambria" w:hAnsi="Cambria"/>
        <w:color w:val="000000"/>
        <w:sz w:val="20"/>
        <w:szCs w:val="20"/>
      </w:rPr>
      <w:fldChar w:fldCharType="begin"/>
    </w:r>
    <w:r w:rsidRPr="00E9200E">
      <w:rPr>
        <w:rFonts w:ascii="Cambria" w:hAnsi="Cambria"/>
        <w:color w:val="000000"/>
        <w:sz w:val="20"/>
        <w:szCs w:val="20"/>
      </w:rPr>
      <w:instrText xml:space="preserve"> PAGE   \* MERGEFORMAT </w:instrText>
    </w:r>
    <w:r w:rsidRPr="00E9200E">
      <w:rPr>
        <w:rFonts w:ascii="Cambria" w:hAnsi="Cambria"/>
        <w:color w:val="000000"/>
        <w:sz w:val="20"/>
        <w:szCs w:val="20"/>
      </w:rPr>
      <w:fldChar w:fldCharType="separate"/>
    </w:r>
    <w:r w:rsidR="00F508D3" w:rsidRPr="00E9200E">
      <w:rPr>
        <w:rFonts w:ascii="Cambria" w:hAnsi="Cambria"/>
        <w:noProof/>
        <w:color w:val="000000"/>
        <w:sz w:val="20"/>
        <w:szCs w:val="20"/>
      </w:rPr>
      <w:t>2</w:t>
    </w:r>
    <w:r w:rsidRPr="00E9200E">
      <w:rPr>
        <w:rFonts w:ascii="Cambria" w:hAnsi="Cambria"/>
        <w:noProof/>
        <w:color w:val="000000"/>
        <w:sz w:val="20"/>
        <w:szCs w:val="20"/>
      </w:rPr>
      <w:fldChar w:fldCharType="end"/>
    </w:r>
  </w:p>
  <w:p w14:paraId="6CE7C952" w14:textId="77777777" w:rsidR="00F66FEE" w:rsidRDefault="00F66FEE"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E86A" w14:textId="77777777" w:rsidR="008F2248" w:rsidRPr="007942FF" w:rsidRDefault="008F2248" w:rsidP="008F2248">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37E3" w14:textId="77777777" w:rsidR="00871248" w:rsidRDefault="00871248" w:rsidP="00A343FF">
      <w:pPr>
        <w:spacing w:after="0" w:line="240" w:lineRule="auto"/>
      </w:pPr>
      <w:r>
        <w:separator/>
      </w:r>
    </w:p>
  </w:footnote>
  <w:footnote w:type="continuationSeparator" w:id="0">
    <w:p w14:paraId="30BBB757" w14:textId="77777777" w:rsidR="00871248" w:rsidRDefault="00871248" w:rsidP="00A343FF">
      <w:pPr>
        <w:spacing w:after="0" w:line="240" w:lineRule="auto"/>
      </w:pPr>
      <w:r>
        <w:continuationSeparator/>
      </w:r>
    </w:p>
  </w:footnote>
  <w:footnote w:id="1">
    <w:p w14:paraId="13F50D0A" w14:textId="77777777" w:rsidR="00404CFB" w:rsidRPr="00E9200E" w:rsidRDefault="00404CFB" w:rsidP="006444F2">
      <w:pPr>
        <w:pStyle w:val="FootnoteText"/>
        <w:spacing w:after="120" w:line="240" w:lineRule="auto"/>
        <w:ind w:firstLine="720"/>
        <w:jc w:val="both"/>
        <w:rPr>
          <w:rFonts w:ascii="Cambria" w:hAnsi="Cambria"/>
          <w:color w:val="000000"/>
          <w:sz w:val="16"/>
          <w:szCs w:val="16"/>
        </w:rPr>
      </w:pPr>
      <w:r w:rsidRPr="00E9200E">
        <w:rPr>
          <w:rStyle w:val="FootnoteReference"/>
          <w:rFonts w:ascii="Cambria" w:hAnsi="Cambria"/>
          <w:color w:val="000000"/>
          <w:sz w:val="16"/>
          <w:szCs w:val="16"/>
        </w:rPr>
        <w:footnoteRef/>
      </w:r>
      <w:r w:rsidRPr="00E9200E">
        <w:rPr>
          <w:rFonts w:ascii="Cambria" w:hAnsi="Cambria"/>
          <w:color w:val="000000"/>
          <w:sz w:val="16"/>
          <w:szCs w:val="16"/>
        </w:rPr>
        <w:t xml:space="preserve"> CIDH, </w:t>
      </w:r>
      <w:hyperlink r:id="rId1" w:history="1">
        <w:r w:rsidRPr="00E9200E">
          <w:rPr>
            <w:rStyle w:val="Hyperlink"/>
            <w:rFonts w:ascii="Cambria" w:hAnsi="Cambria"/>
            <w:color w:val="000000"/>
            <w:sz w:val="16"/>
            <w:szCs w:val="16"/>
          </w:rPr>
          <w:t>Caso 12.418, Informe de Fondo Nº 92/05, Michael Gayle (Jamaica)</w:t>
        </w:r>
      </w:hyperlink>
      <w:r w:rsidRPr="00E9200E">
        <w:rPr>
          <w:rFonts w:ascii="Cambria" w:hAnsi="Cambria"/>
          <w:color w:val="000000"/>
          <w:sz w:val="16"/>
          <w:szCs w:val="16"/>
        </w:rPr>
        <w:t xml:space="preserve">, párr. 116. </w:t>
      </w:r>
    </w:p>
  </w:footnote>
  <w:footnote w:id="2">
    <w:p w14:paraId="3B01EDC2" w14:textId="77777777" w:rsidR="00404CFB" w:rsidRPr="00E9200E" w:rsidRDefault="00404CFB" w:rsidP="006444F2">
      <w:pPr>
        <w:pStyle w:val="FootnoteText"/>
        <w:spacing w:after="120" w:line="240" w:lineRule="auto"/>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2006, </w:t>
      </w:r>
      <w:hyperlink r:id="rId2"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w:t>
      </w:r>
      <w:r w:rsidR="005E26DE" w:rsidRPr="00E9200E">
        <w:rPr>
          <w:rFonts w:ascii="Cambria" w:hAnsi="Cambria"/>
          <w:color w:val="000000"/>
          <w:sz w:val="16"/>
          <w:szCs w:val="16"/>
          <w:lang w:val="es-ES"/>
        </w:rPr>
        <w:t xml:space="preserve">párr. 358. </w:t>
      </w:r>
    </w:p>
  </w:footnote>
  <w:footnote w:id="3">
    <w:p w14:paraId="540AFCFF" w14:textId="77777777" w:rsidR="005E26DE" w:rsidRPr="00E9200E" w:rsidRDefault="005E26DE" w:rsidP="006444F2">
      <w:pPr>
        <w:pStyle w:val="FootnoteText"/>
        <w:spacing w:after="120" w:line="240" w:lineRule="auto"/>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3" w:history="1">
        <w:r w:rsidRPr="00E9200E">
          <w:rPr>
            <w:rStyle w:val="Hyperlink"/>
            <w:rFonts w:ascii="Cambria" w:hAnsi="Cambria"/>
            <w:color w:val="000000"/>
            <w:sz w:val="16"/>
            <w:szCs w:val="16"/>
            <w:lang w:val="es-ES"/>
          </w:rPr>
          <w:t>Capítulo III, Secci</w:t>
        </w:r>
        <w:r w:rsidRPr="00E9200E">
          <w:rPr>
            <w:rStyle w:val="Hyperlink"/>
            <w:rFonts w:ascii="Cambria" w:hAnsi="Cambria"/>
            <w:color w:val="000000"/>
            <w:sz w:val="16"/>
            <w:szCs w:val="16"/>
            <w:lang w:val="es-ES"/>
          </w:rPr>
          <w:t>ó</w:t>
        </w:r>
        <w:r w:rsidRPr="00E9200E">
          <w:rPr>
            <w:rStyle w:val="Hyperlink"/>
            <w:rFonts w:ascii="Cambria" w:hAnsi="Cambria"/>
            <w:color w:val="000000"/>
            <w:sz w:val="16"/>
            <w:szCs w:val="16"/>
            <w:lang w:val="es-ES"/>
          </w:rPr>
          <w:t>n</w:t>
        </w:r>
        <w:r w:rsidRPr="00E9200E">
          <w:rPr>
            <w:rStyle w:val="Hyperlink"/>
            <w:rFonts w:ascii="Cambria" w:hAnsi="Cambria"/>
            <w:color w:val="000000"/>
            <w:sz w:val="16"/>
            <w:szCs w:val="16"/>
            <w:lang w:val="es-ES"/>
          </w:rPr>
          <w:t xml:space="preserve"> D: Estado del cumplimiento de las recomendaciones de la CIDH</w:t>
        </w:r>
      </w:hyperlink>
      <w:r w:rsidRPr="00E9200E">
        <w:rPr>
          <w:rFonts w:ascii="Cambria" w:hAnsi="Cambria"/>
          <w:color w:val="000000"/>
          <w:sz w:val="16"/>
          <w:szCs w:val="16"/>
          <w:lang w:val="es-ES"/>
        </w:rPr>
        <w:t xml:space="preserve">, párr. 909. </w:t>
      </w:r>
    </w:p>
  </w:footnote>
  <w:footnote w:id="4">
    <w:p w14:paraId="4498B474" w14:textId="77777777" w:rsidR="006444F2" w:rsidRPr="00E9200E" w:rsidRDefault="006444F2" w:rsidP="006444F2">
      <w:pPr>
        <w:pStyle w:val="FootnoteText"/>
        <w:spacing w:after="120" w:line="240" w:lineRule="auto"/>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2017, </w:t>
      </w:r>
      <w:hyperlink r:id="rId4" w:history="1">
        <w:r w:rsidRPr="00E9200E">
          <w:rPr>
            <w:rStyle w:val="Hyperlink"/>
            <w:rFonts w:ascii="Cambria" w:hAnsi="Cambria"/>
            <w:color w:val="000000"/>
            <w:sz w:val="16"/>
            <w:szCs w:val="16"/>
            <w:lang w:val="es-ES"/>
          </w:rPr>
          <w:t>Capítulo II, Sección F: Estado del cumplimiento de las recomendaciones de la CIDH</w:t>
        </w:r>
      </w:hyperlink>
      <w:r w:rsidRPr="00E9200E">
        <w:rPr>
          <w:rFonts w:ascii="Cambria" w:hAnsi="Cambria"/>
          <w:color w:val="000000"/>
          <w:sz w:val="16"/>
          <w:szCs w:val="16"/>
          <w:lang w:val="es-ES"/>
        </w:rPr>
        <w:t xml:space="preserve">, párr. 1746. </w:t>
      </w:r>
    </w:p>
  </w:footnote>
  <w:footnote w:id="5">
    <w:p w14:paraId="314F9C9C" w14:textId="77777777" w:rsidR="0052648D" w:rsidRPr="00E9200E" w:rsidRDefault="0052648D" w:rsidP="0052648D">
      <w:pPr>
        <w:pStyle w:val="FootnoteText"/>
        <w:spacing w:after="120" w:line="240" w:lineRule="auto"/>
        <w:ind w:firstLine="720"/>
        <w:jc w:val="both"/>
        <w:rPr>
          <w:rFonts w:ascii="Cambria" w:hAnsi="Cambria"/>
          <w:color w:val="000000"/>
          <w:sz w:val="16"/>
          <w:szCs w:val="16"/>
        </w:rPr>
      </w:pPr>
      <w:r w:rsidRPr="00E9200E">
        <w:rPr>
          <w:rStyle w:val="FootnoteReference"/>
          <w:rFonts w:ascii="Cambria" w:hAnsi="Cambria"/>
          <w:color w:val="000000"/>
          <w:sz w:val="16"/>
          <w:szCs w:val="16"/>
        </w:rPr>
        <w:footnoteRef/>
      </w:r>
      <w:r w:rsidRPr="00E9200E">
        <w:rPr>
          <w:rFonts w:ascii="Cambria" w:hAnsi="Cambria"/>
          <w:color w:val="000000"/>
          <w:sz w:val="16"/>
          <w:szCs w:val="16"/>
        </w:rPr>
        <w:t xml:space="preserve"> CIDH, </w:t>
      </w:r>
      <w:hyperlink r:id="rId5" w:history="1">
        <w:r w:rsidRPr="00E9200E">
          <w:rPr>
            <w:rStyle w:val="Hyperlink"/>
            <w:rFonts w:ascii="Cambria" w:hAnsi="Cambria"/>
            <w:color w:val="000000"/>
            <w:sz w:val="16"/>
            <w:szCs w:val="16"/>
          </w:rPr>
          <w:t>Caso 12.418, Informe de Fondo Nº 92/05, Michael Gayle (Jamaica)</w:t>
        </w:r>
      </w:hyperlink>
      <w:r w:rsidRPr="00E9200E">
        <w:rPr>
          <w:rFonts w:ascii="Cambria" w:hAnsi="Cambria"/>
          <w:color w:val="000000"/>
          <w:sz w:val="16"/>
          <w:szCs w:val="16"/>
        </w:rPr>
        <w:t xml:space="preserve">, párr. 117. </w:t>
      </w:r>
    </w:p>
  </w:footnote>
  <w:footnote w:id="6">
    <w:p w14:paraId="5637D7AD" w14:textId="77777777" w:rsidR="0052648D" w:rsidRPr="00E9200E" w:rsidRDefault="0052648D" w:rsidP="00E237F5">
      <w:pPr>
        <w:pStyle w:val="FootnoteText"/>
        <w:spacing w:after="120" w:line="240" w:lineRule="auto"/>
        <w:ind w:firstLine="720"/>
        <w:jc w:val="both"/>
        <w:rPr>
          <w:rFonts w:ascii="Cambria" w:hAnsi="Cambria"/>
          <w:color w:val="000000"/>
          <w:sz w:val="16"/>
          <w:szCs w:val="16"/>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6"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w:t>
      </w:r>
      <w:r w:rsidRPr="00E9200E">
        <w:rPr>
          <w:rFonts w:ascii="Cambria" w:hAnsi="Cambria"/>
          <w:color w:val="000000"/>
          <w:sz w:val="16"/>
          <w:szCs w:val="16"/>
        </w:rPr>
        <w:t>907.</w:t>
      </w:r>
    </w:p>
  </w:footnote>
  <w:footnote w:id="7">
    <w:p w14:paraId="3759DADE" w14:textId="77777777" w:rsidR="00EF704A" w:rsidRPr="00E9200E" w:rsidRDefault="00EF704A" w:rsidP="00E237F5">
      <w:pPr>
        <w:pStyle w:val="FootnoteText"/>
        <w:spacing w:after="120" w:line="240" w:lineRule="auto"/>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7"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párr. 909.</w:t>
      </w:r>
    </w:p>
  </w:footnote>
  <w:footnote w:id="8">
    <w:p w14:paraId="0D2E5A62" w14:textId="77777777" w:rsidR="001224C2" w:rsidRPr="00E9200E" w:rsidRDefault="001224C2" w:rsidP="00E237F5">
      <w:pPr>
        <w:pStyle w:val="FootnoteText"/>
        <w:spacing w:after="120" w:line="240" w:lineRule="auto"/>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rPr>
        <w:t xml:space="preserve"> CIDH, </w:t>
      </w:r>
      <w:hyperlink r:id="rId8" w:history="1">
        <w:r w:rsidRPr="00E9200E">
          <w:rPr>
            <w:rStyle w:val="Hyperlink"/>
            <w:rFonts w:ascii="Cambria" w:hAnsi="Cambria"/>
            <w:color w:val="000000"/>
            <w:sz w:val="16"/>
            <w:szCs w:val="16"/>
          </w:rPr>
          <w:t>Caso 12.418, Informe de Fondo Nº 92/05, Michael Ga</w:t>
        </w:r>
        <w:r w:rsidRPr="00E9200E">
          <w:rPr>
            <w:rStyle w:val="Hyperlink"/>
            <w:rFonts w:ascii="Cambria" w:hAnsi="Cambria"/>
            <w:color w:val="000000"/>
            <w:sz w:val="16"/>
            <w:szCs w:val="16"/>
          </w:rPr>
          <w:t>y</w:t>
        </w:r>
        <w:r w:rsidRPr="00E9200E">
          <w:rPr>
            <w:rStyle w:val="Hyperlink"/>
            <w:rFonts w:ascii="Cambria" w:hAnsi="Cambria"/>
            <w:color w:val="000000"/>
            <w:sz w:val="16"/>
            <w:szCs w:val="16"/>
          </w:rPr>
          <w:t>le (Jamaica)</w:t>
        </w:r>
      </w:hyperlink>
      <w:r w:rsidRPr="00E9200E">
        <w:rPr>
          <w:rFonts w:ascii="Cambria" w:hAnsi="Cambria"/>
          <w:color w:val="000000"/>
          <w:sz w:val="16"/>
          <w:szCs w:val="16"/>
        </w:rPr>
        <w:t xml:space="preserve">, párr. 118. </w:t>
      </w:r>
    </w:p>
  </w:footnote>
  <w:footnote w:id="9">
    <w:p w14:paraId="464E0C03" w14:textId="77777777" w:rsidR="001224C2" w:rsidRPr="00E9200E" w:rsidRDefault="001224C2" w:rsidP="00E237F5">
      <w:pPr>
        <w:pStyle w:val="FootnoteText"/>
        <w:spacing w:after="120" w:line="240" w:lineRule="auto"/>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9"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906. </w:t>
      </w:r>
    </w:p>
  </w:footnote>
  <w:footnote w:id="10">
    <w:p w14:paraId="3B2FA196" w14:textId="77777777" w:rsidR="00E237F5" w:rsidRPr="00E9200E" w:rsidRDefault="00E237F5" w:rsidP="00E237F5">
      <w:pPr>
        <w:pStyle w:val="FootnoteText"/>
        <w:spacing w:after="120" w:line="240" w:lineRule="auto"/>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2017, </w:t>
      </w:r>
      <w:hyperlink r:id="rId10" w:history="1">
        <w:r w:rsidRPr="00E9200E">
          <w:rPr>
            <w:rStyle w:val="Hyperlink"/>
            <w:rFonts w:ascii="Cambria" w:hAnsi="Cambria"/>
            <w:color w:val="000000"/>
            <w:sz w:val="16"/>
            <w:szCs w:val="16"/>
            <w:lang w:val="es-ES"/>
          </w:rPr>
          <w:t>Capítulo II, Sección F: Estado del cumplimiento de las recomendaciones de la CIDH</w:t>
        </w:r>
      </w:hyperlink>
      <w:r w:rsidRPr="00E9200E">
        <w:rPr>
          <w:rFonts w:ascii="Cambria" w:hAnsi="Cambria"/>
          <w:color w:val="000000"/>
          <w:sz w:val="16"/>
          <w:szCs w:val="16"/>
          <w:lang w:val="es-ES"/>
        </w:rPr>
        <w:t xml:space="preserve">, párr. 1746. </w:t>
      </w:r>
    </w:p>
  </w:footnote>
  <w:footnote w:id="11">
    <w:p w14:paraId="2D56D0CF" w14:textId="77777777" w:rsidR="00C575AA" w:rsidRPr="00E9200E" w:rsidRDefault="00C575AA" w:rsidP="00C575AA">
      <w:pPr>
        <w:pStyle w:val="FootnoteText"/>
        <w:spacing w:after="120" w:line="240" w:lineRule="auto"/>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11"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907. </w:t>
      </w:r>
    </w:p>
  </w:footnote>
  <w:footnote w:id="12">
    <w:p w14:paraId="76955C74" w14:textId="77777777" w:rsidR="00917253" w:rsidRPr="00E9200E" w:rsidRDefault="00917253" w:rsidP="00917253">
      <w:pPr>
        <w:pStyle w:val="FootnoteText"/>
        <w:spacing w:after="120" w:line="240" w:lineRule="auto"/>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12"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909. </w:t>
      </w:r>
    </w:p>
  </w:footnote>
  <w:footnote w:id="13">
    <w:p w14:paraId="5B08C460" w14:textId="77777777" w:rsidR="00BE7698" w:rsidRPr="00E9200E" w:rsidRDefault="00BE7698" w:rsidP="00EC3285">
      <w:pPr>
        <w:pStyle w:val="FootnoteText"/>
        <w:spacing w:after="120" w:line="240" w:lineRule="auto"/>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w:t>
      </w:r>
      <w:hyperlink r:id="rId13" w:history="1">
        <w:r w:rsidRPr="00E9200E">
          <w:rPr>
            <w:rStyle w:val="Hyperlink"/>
            <w:rFonts w:ascii="Cambria" w:hAnsi="Cambria"/>
            <w:color w:val="000000"/>
            <w:sz w:val="16"/>
            <w:szCs w:val="16"/>
            <w:lang w:val="es-ES"/>
          </w:rPr>
          <w:t>Caso 12.418, Informe de Fondo Nº 92/05, Michael Gayle (Jamaica)</w:t>
        </w:r>
      </w:hyperlink>
      <w:r w:rsidRPr="00E9200E">
        <w:rPr>
          <w:rFonts w:ascii="Cambria" w:hAnsi="Cambria"/>
          <w:color w:val="000000"/>
          <w:sz w:val="16"/>
          <w:szCs w:val="16"/>
          <w:lang w:val="es-ES"/>
        </w:rPr>
        <w:t>, párr. 102.</w:t>
      </w:r>
    </w:p>
  </w:footnote>
  <w:footnote w:id="14">
    <w:p w14:paraId="7A6288FD" w14:textId="77777777" w:rsidR="001A0D50" w:rsidRPr="00E9200E" w:rsidRDefault="001A0D50" w:rsidP="00346B6F">
      <w:pPr>
        <w:pStyle w:val="FootnoteText"/>
        <w:spacing w:after="120" w:line="240" w:lineRule="auto"/>
        <w:ind w:firstLine="720"/>
        <w:jc w:val="both"/>
        <w:rPr>
          <w:rFonts w:ascii="Cambria" w:hAnsi="Cambria"/>
          <w:color w:val="000000"/>
          <w:sz w:val="16"/>
          <w:szCs w:val="16"/>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Corte IDH. </w:t>
      </w:r>
      <w:hyperlink r:id="rId14" w:history="1">
        <w:r w:rsidR="00282882" w:rsidRPr="00E9200E">
          <w:rPr>
            <w:rStyle w:val="Hyperlink"/>
            <w:rFonts w:ascii="Cambria" w:hAnsi="Cambria"/>
            <w:color w:val="000000"/>
            <w:sz w:val="16"/>
            <w:szCs w:val="16"/>
            <w:lang w:val="es-US"/>
          </w:rPr>
          <w:t>Caso Albán Cornejo y otros</w:t>
        </w:r>
        <w:r w:rsidRPr="00E9200E">
          <w:rPr>
            <w:rStyle w:val="Hyperlink"/>
            <w:rFonts w:ascii="Cambria" w:hAnsi="Cambria"/>
            <w:color w:val="000000"/>
            <w:sz w:val="16"/>
            <w:szCs w:val="16"/>
            <w:lang w:val="es-US"/>
          </w:rPr>
          <w:t xml:space="preserve"> Vs. Ecuador, Sentencia de 22 de noviembre de 2007</w:t>
        </w:r>
      </w:hyperlink>
      <w:r w:rsidRPr="00E9200E">
        <w:rPr>
          <w:rFonts w:ascii="Cambria" w:hAnsi="Cambria"/>
          <w:color w:val="000000"/>
          <w:sz w:val="16"/>
          <w:szCs w:val="16"/>
          <w:lang w:val="es-US"/>
        </w:rPr>
        <w:t>. Serie C No. 171, párr.</w:t>
      </w:r>
      <w:r w:rsidRPr="00E9200E">
        <w:rPr>
          <w:rFonts w:ascii="Cambria" w:hAnsi="Cambria"/>
          <w:color w:val="000000"/>
          <w:sz w:val="16"/>
          <w:szCs w:val="16"/>
          <w:lang w:val="es-ES"/>
        </w:rPr>
        <w:t xml:space="preserve"> </w:t>
      </w:r>
      <w:r w:rsidRPr="00E9200E">
        <w:rPr>
          <w:rFonts w:ascii="Cambria" w:hAnsi="Cambria"/>
          <w:color w:val="000000"/>
          <w:sz w:val="16"/>
          <w:szCs w:val="16"/>
        </w:rPr>
        <w:t>62.</w:t>
      </w:r>
    </w:p>
  </w:footnote>
  <w:footnote w:id="15">
    <w:p w14:paraId="312E4441" w14:textId="77777777" w:rsidR="00CD00FC" w:rsidRPr="00E9200E" w:rsidRDefault="00CD00FC" w:rsidP="00CD00FC">
      <w:pPr>
        <w:pStyle w:val="FootnoteText"/>
        <w:spacing w:after="120" w:line="240" w:lineRule="auto"/>
        <w:ind w:firstLine="720"/>
        <w:jc w:val="both"/>
        <w:rPr>
          <w:rFonts w:ascii="Cambria" w:hAnsi="Cambria" w:cs="Calibri"/>
          <w:color w:val="000000"/>
          <w:sz w:val="16"/>
          <w:szCs w:val="16"/>
          <w:lang w:val="es-CO"/>
        </w:rPr>
      </w:pPr>
      <w:r w:rsidRPr="00E9200E">
        <w:rPr>
          <w:rStyle w:val="FootnoteReference"/>
          <w:rFonts w:ascii="Cambria" w:hAnsi="Cambria" w:cs="Calibri"/>
          <w:color w:val="000000"/>
          <w:sz w:val="16"/>
          <w:szCs w:val="16"/>
        </w:rPr>
        <w:footnoteRef/>
      </w:r>
      <w:r w:rsidRPr="00E9200E">
        <w:rPr>
          <w:rFonts w:ascii="Cambria" w:hAnsi="Cambria" w:cs="Calibri"/>
          <w:color w:val="000000"/>
          <w:sz w:val="16"/>
          <w:szCs w:val="16"/>
          <w:lang w:val="es-ES"/>
        </w:rPr>
        <w:t xml:space="preserve"> CIDH, </w:t>
      </w:r>
      <w:hyperlink r:id="rId15" w:history="1">
        <w:r w:rsidRPr="00E9200E">
          <w:rPr>
            <w:rStyle w:val="Hyperlink"/>
            <w:rFonts w:ascii="Cambria" w:hAnsi="Cambria" w:cs="Calibri"/>
            <w:color w:val="000000"/>
            <w:sz w:val="16"/>
            <w:szCs w:val="16"/>
            <w:lang w:val="es-ES"/>
          </w:rPr>
          <w:t>Directrices Generales de Seguimiento de Recomendaciones y Decisiones de la CIDH</w:t>
        </w:r>
      </w:hyperlink>
      <w:r w:rsidRPr="00E9200E">
        <w:rPr>
          <w:rFonts w:ascii="Cambria" w:hAnsi="Cambria" w:cs="Calibri"/>
          <w:color w:val="000000"/>
          <w:sz w:val="16"/>
          <w:szCs w:val="16"/>
          <w:lang w:val="es-ES"/>
        </w:rPr>
        <w:t xml:space="preserve">, </w:t>
      </w:r>
      <w:r w:rsidRPr="00E9200E">
        <w:rPr>
          <w:rFonts w:ascii="Cambria" w:hAnsi="Cambria" w:cs="Calibri"/>
          <w:color w:val="000000"/>
          <w:sz w:val="16"/>
          <w:szCs w:val="16"/>
          <w:lang w:val="es-CO"/>
        </w:rPr>
        <w:t>OEA/</w:t>
      </w:r>
      <w:proofErr w:type="spellStart"/>
      <w:r w:rsidRPr="00E9200E">
        <w:rPr>
          <w:rFonts w:ascii="Cambria" w:hAnsi="Cambria" w:cs="Calibri"/>
          <w:color w:val="000000"/>
          <w:sz w:val="16"/>
          <w:szCs w:val="16"/>
          <w:lang w:val="es-CO"/>
        </w:rPr>
        <w:t>Ser.L</w:t>
      </w:r>
      <w:proofErr w:type="spellEnd"/>
      <w:r w:rsidRPr="00E9200E">
        <w:rPr>
          <w:rFonts w:ascii="Cambria" w:hAnsi="Cambria" w:cs="Calibri"/>
          <w:color w:val="000000"/>
          <w:sz w:val="16"/>
          <w:szCs w:val="16"/>
          <w:lang w:val="es-CO"/>
        </w:rPr>
        <w:t>/V/II.173, Doc. 177, 30 de septiembre de 2019, Anexo 2, p. 33.</w:t>
      </w:r>
    </w:p>
  </w:footnote>
  <w:footnote w:id="16">
    <w:p w14:paraId="56FD2C48" w14:textId="77777777" w:rsidR="0057448F" w:rsidRPr="00E9200E" w:rsidRDefault="0057448F" w:rsidP="00346B6F">
      <w:pPr>
        <w:pStyle w:val="FootnoteText"/>
        <w:spacing w:after="120" w:line="240" w:lineRule="auto"/>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16"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párr.</w:t>
      </w:r>
      <w:r w:rsidR="00EC3285" w:rsidRPr="00E9200E">
        <w:rPr>
          <w:rFonts w:ascii="Cambria" w:hAnsi="Cambria"/>
          <w:color w:val="000000"/>
          <w:sz w:val="16"/>
          <w:szCs w:val="16"/>
          <w:lang w:val="es-ES"/>
        </w:rPr>
        <w:t xml:space="preserve"> 911. </w:t>
      </w:r>
    </w:p>
  </w:footnote>
  <w:footnote w:id="17">
    <w:p w14:paraId="4998A89D" w14:textId="77777777" w:rsidR="00EC3285" w:rsidRPr="00E9200E" w:rsidRDefault="00EC3285" w:rsidP="00346B6F">
      <w:pPr>
        <w:pStyle w:val="FootnoteText"/>
        <w:spacing w:after="120" w:line="240" w:lineRule="auto"/>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2017, </w:t>
      </w:r>
      <w:hyperlink r:id="rId17" w:history="1">
        <w:r w:rsidRPr="00E9200E">
          <w:rPr>
            <w:rStyle w:val="Hyperlink"/>
            <w:rFonts w:ascii="Cambria" w:hAnsi="Cambria"/>
            <w:color w:val="000000"/>
            <w:sz w:val="16"/>
            <w:szCs w:val="16"/>
            <w:lang w:val="es-ES"/>
          </w:rPr>
          <w:t>Capítulo II, Sección F: Estado del cumplimiento de las recomendaciones de la CIDH</w:t>
        </w:r>
      </w:hyperlink>
      <w:r w:rsidRPr="00E9200E">
        <w:rPr>
          <w:rFonts w:ascii="Cambria" w:hAnsi="Cambria"/>
          <w:color w:val="000000"/>
          <w:sz w:val="16"/>
          <w:szCs w:val="16"/>
          <w:lang w:val="es-ES"/>
        </w:rPr>
        <w:t xml:space="preserve">, párr. 1747. </w:t>
      </w:r>
    </w:p>
  </w:footnote>
  <w:footnote w:id="18">
    <w:p w14:paraId="00895C71" w14:textId="77777777" w:rsidR="00A76740" w:rsidRPr="00E9200E" w:rsidRDefault="00A76740" w:rsidP="00346B6F">
      <w:pPr>
        <w:pStyle w:val="FootnoteText"/>
        <w:spacing w:after="120" w:line="240" w:lineRule="auto"/>
        <w:ind w:firstLine="720"/>
        <w:jc w:val="both"/>
        <w:rPr>
          <w:rFonts w:ascii="Cambria" w:hAnsi="Cambria"/>
          <w:color w:val="000000"/>
          <w:sz w:val="16"/>
          <w:szCs w:val="16"/>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18"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w:t>
      </w:r>
      <w:r w:rsidRPr="00E9200E">
        <w:rPr>
          <w:rFonts w:ascii="Cambria" w:hAnsi="Cambria"/>
          <w:color w:val="000000"/>
          <w:sz w:val="16"/>
          <w:szCs w:val="16"/>
        </w:rPr>
        <w:t>907.</w:t>
      </w:r>
    </w:p>
  </w:footnote>
  <w:footnote w:id="19">
    <w:p w14:paraId="30AC0084" w14:textId="77777777" w:rsidR="002E4883" w:rsidRPr="00E9200E" w:rsidRDefault="002E4883" w:rsidP="00346B6F">
      <w:pPr>
        <w:pStyle w:val="FootnoteText"/>
        <w:spacing w:after="120" w:line="240" w:lineRule="auto"/>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19"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911.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692F" w14:textId="46659F39" w:rsidR="00521AE9" w:rsidRPr="004B5CBB" w:rsidRDefault="00521AE9" w:rsidP="00521AE9">
    <w:pPr>
      <w:pStyle w:val="Header"/>
      <w:rPr>
        <w:rFonts w:ascii="Arial" w:hAnsi="Arial" w:cs="Arial"/>
        <w:color w:val="3B3838"/>
        <w:szCs w:val="28"/>
      </w:rPr>
    </w:pPr>
    <w:r>
      <w:rPr>
        <w:noProof/>
      </w:rPr>
      <w:drawing>
        <wp:anchor distT="0" distB="0" distL="114300" distR="114300" simplePos="0" relativeHeight="251662336" behindDoc="0" locked="0" layoutInCell="1" allowOverlap="1" wp14:anchorId="1C7B4B79" wp14:editId="69283427">
          <wp:simplePos x="0" y="0"/>
          <wp:positionH relativeFrom="column">
            <wp:posOffset>4658995</wp:posOffset>
          </wp:positionH>
          <wp:positionV relativeFrom="paragraph">
            <wp:posOffset>-3175</wp:posOffset>
          </wp:positionV>
          <wp:extent cx="1485900" cy="346075"/>
          <wp:effectExtent l="0" t="0" r="0" b="0"/>
          <wp:wrapSquare wrapText="bothSides"/>
          <wp:docPr id="6"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6A7">
      <w:rPr>
        <w:noProof/>
      </w:rPr>
      <w:drawing>
        <wp:inline distT="0" distB="0" distL="0" distR="0" wp14:anchorId="659C6422" wp14:editId="1AF98184">
          <wp:extent cx="1333500" cy="314325"/>
          <wp:effectExtent l="0" t="0" r="0" b="0"/>
          <wp:docPr id="4"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Pr="004B5CBB">
      <w:rPr>
        <w:rFonts w:ascii="Arial" w:hAnsi="Arial" w:cs="Arial"/>
        <w:color w:val="3B3838"/>
        <w:szCs w:val="28"/>
      </w:rPr>
      <w:t xml:space="preserve">                      </w:t>
    </w:r>
  </w:p>
  <w:p w14:paraId="7961FB13" w14:textId="2B209E0C" w:rsidR="00521AE9" w:rsidRPr="004B5CBB" w:rsidRDefault="00521AE9" w:rsidP="00521AE9">
    <w:pPr>
      <w:pStyle w:val="Header"/>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61312" behindDoc="0" locked="0" layoutInCell="1" allowOverlap="1" wp14:anchorId="410B327B" wp14:editId="44F94D8B">
              <wp:simplePos x="0" y="0"/>
              <wp:positionH relativeFrom="column">
                <wp:posOffset>-5080</wp:posOffset>
              </wp:positionH>
              <wp:positionV relativeFrom="paragraph">
                <wp:posOffset>173989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104D9C"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" strokecolor="#262626" strokeweight="1.2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551F" w14:textId="75F973BC" w:rsidR="006A4D6C" w:rsidRDefault="00521AE9" w:rsidP="006A4D6C">
    <w:pPr>
      <w:tabs>
        <w:tab w:val="center" w:pos="4680"/>
        <w:tab w:val="right" w:pos="9360"/>
      </w:tabs>
      <w:spacing w:after="0" w:line="216" w:lineRule="auto"/>
      <w:rPr>
        <w:rFonts w:ascii="Arial" w:eastAsia="Times New Roman" w:hAnsi="Arial" w:cs="Arial"/>
        <w:color w:val="3B3838"/>
        <w:sz w:val="28"/>
        <w:szCs w:val="28"/>
        <w:lang w:val="es-ES"/>
      </w:rPr>
    </w:pPr>
    <w:r>
      <w:rPr>
        <w:noProof/>
      </w:rPr>
      <w:drawing>
        <wp:anchor distT="0" distB="0" distL="114300" distR="114300" simplePos="0" relativeHeight="251658240" behindDoc="0" locked="0" layoutInCell="1" allowOverlap="1" wp14:anchorId="746CF85E" wp14:editId="5A7C84A4">
          <wp:simplePos x="0" y="0"/>
          <wp:positionH relativeFrom="column">
            <wp:posOffset>4088765</wp:posOffset>
          </wp:positionH>
          <wp:positionV relativeFrom="paragraph">
            <wp:posOffset>72390</wp:posOffset>
          </wp:positionV>
          <wp:extent cx="2183130" cy="50863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3812E21" wp14:editId="11A0FD4E">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7FEF51D0" w14:textId="640F7259" w:rsidR="006A4D6C" w:rsidRDefault="00521AE9" w:rsidP="006A4D6C">
                          <w:r>
                            <w:rPr>
                              <w:rFonts w:cs="Calibri"/>
                              <w:noProof/>
                              <w:sz w:val="20"/>
                              <w:szCs w:val="20"/>
                            </w:rPr>
                            <w:drawing>
                              <wp:inline distT="0" distB="0" distL="0" distR="0" wp14:anchorId="218AFBA3" wp14:editId="19260EB8">
                                <wp:extent cx="2009775" cy="476250"/>
                                <wp:effectExtent l="0" t="0" r="0" b="0"/>
                                <wp:docPr id="7"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812E21"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7FEF51D0" w14:textId="640F7259" w:rsidR="006A4D6C" w:rsidRDefault="00521AE9" w:rsidP="006A4D6C">
                    <w:r>
                      <w:rPr>
                        <w:rFonts w:cs="Calibri"/>
                        <w:noProof/>
                        <w:sz w:val="20"/>
                        <w:szCs w:val="20"/>
                      </w:rPr>
                      <w:drawing>
                        <wp:inline distT="0" distB="0" distL="0" distR="0" wp14:anchorId="218AFBA3" wp14:editId="19260EB8">
                          <wp:extent cx="2009775" cy="476250"/>
                          <wp:effectExtent l="0" t="0" r="0" b="0"/>
                          <wp:docPr id="7"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txbxContent>
              </v:textbox>
            </v:shape>
          </w:pict>
        </mc:Fallback>
      </mc:AlternateContent>
    </w:r>
    <w:r w:rsidR="006A4D6C">
      <w:rPr>
        <w:rFonts w:ascii="Arial" w:eastAsia="Times New Roman" w:hAnsi="Arial" w:cs="Arial"/>
        <w:color w:val="3B3838"/>
        <w:sz w:val="28"/>
        <w:szCs w:val="28"/>
        <w:lang w:val="es-ES"/>
      </w:rPr>
      <w:softHyphen/>
    </w:r>
    <w:r w:rsidR="006A4D6C">
      <w:rPr>
        <w:rFonts w:ascii="Arial" w:eastAsia="Times New Roman" w:hAnsi="Arial" w:cs="Arial"/>
        <w:color w:val="3B3838"/>
        <w:sz w:val="28"/>
        <w:szCs w:val="28"/>
        <w:lang w:val="es-ES"/>
      </w:rPr>
      <w:softHyphen/>
    </w:r>
    <w:r w:rsidR="006A4D6C">
      <w:rPr>
        <w:rFonts w:ascii="Arial" w:eastAsia="Times New Roman" w:hAnsi="Arial" w:cs="Arial"/>
        <w:color w:val="3B3838"/>
        <w:sz w:val="28"/>
        <w:szCs w:val="28"/>
        <w:lang w:val="es-ES"/>
      </w:rPr>
      <w:softHyphen/>
    </w:r>
  </w:p>
  <w:p w14:paraId="3BBA5B88" w14:textId="77777777" w:rsidR="006A4D6C" w:rsidRDefault="006A4D6C" w:rsidP="006A4D6C">
    <w:pPr>
      <w:tabs>
        <w:tab w:val="center" w:pos="4680"/>
        <w:tab w:val="right" w:pos="9360"/>
      </w:tabs>
      <w:spacing w:after="0" w:line="216" w:lineRule="auto"/>
      <w:rPr>
        <w:rFonts w:ascii="Arial" w:eastAsia="Times New Roman" w:hAnsi="Arial" w:cs="Arial"/>
        <w:color w:val="3B3838"/>
        <w:sz w:val="28"/>
        <w:szCs w:val="28"/>
        <w:lang w:val="es-ES"/>
      </w:rPr>
    </w:pPr>
  </w:p>
  <w:p w14:paraId="77563F01" w14:textId="77777777" w:rsidR="006A4D6C" w:rsidRDefault="006A4D6C" w:rsidP="006A4D6C">
    <w:pPr>
      <w:tabs>
        <w:tab w:val="center" w:pos="4680"/>
        <w:tab w:val="right" w:pos="9360"/>
      </w:tabs>
      <w:spacing w:after="0" w:line="216" w:lineRule="auto"/>
      <w:rPr>
        <w:rFonts w:ascii="Arial" w:eastAsia="Times New Roman" w:hAnsi="Arial" w:cs="Arial"/>
        <w:color w:val="3B3838"/>
        <w:sz w:val="28"/>
        <w:szCs w:val="28"/>
        <w:lang w:val="es-ES"/>
      </w:rPr>
    </w:pPr>
  </w:p>
  <w:p w14:paraId="42BBF7F5" w14:textId="28FC627A" w:rsidR="00A61B5E" w:rsidRPr="006A4D6C" w:rsidRDefault="00521AE9" w:rsidP="006A4D6C">
    <w:pPr>
      <w:tabs>
        <w:tab w:val="center" w:pos="4680"/>
        <w:tab w:val="right" w:pos="9360"/>
      </w:tabs>
      <w:spacing w:after="0" w:line="216" w:lineRule="auto"/>
      <w:rPr>
        <w:rFonts w:ascii="Arial" w:eastAsia="Times New Roman" w:hAnsi="Arial" w:cs="Arial"/>
        <w:b/>
        <w:bCs/>
        <w:color w:val="404040"/>
        <w:sz w:val="44"/>
        <w:szCs w:val="44"/>
        <w:lang w:val="es-ES"/>
      </w:rPr>
    </w:pPr>
    <w:r>
      <w:rPr>
        <w:noProof/>
      </w:rPr>
      <mc:AlternateContent>
        <mc:Choice Requires="wps">
          <w:drawing>
            <wp:anchor distT="4294967294" distB="4294967294" distL="114300" distR="114300" simplePos="0" relativeHeight="251657216" behindDoc="0" locked="0" layoutInCell="1" allowOverlap="1" wp14:anchorId="5DD37324" wp14:editId="6C62E51C">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1D43AF"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906"/>
    <w:multiLevelType w:val="hybridMultilevel"/>
    <w:tmpl w:val="DA5C9A4A"/>
    <w:lvl w:ilvl="0" w:tplc="AB044B74">
      <w:start w:val="1"/>
      <w:numFmt w:val="decimal"/>
      <w:lvlText w:val="%1."/>
      <w:lvlJc w:val="left"/>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5BDC"/>
    <w:multiLevelType w:val="hybridMultilevel"/>
    <w:tmpl w:val="9D74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443D5"/>
    <w:multiLevelType w:val="hybridMultilevel"/>
    <w:tmpl w:val="D146286E"/>
    <w:lvl w:ilvl="0" w:tplc="E5FEBEB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60AEC"/>
    <w:multiLevelType w:val="hybridMultilevel"/>
    <w:tmpl w:val="21A8A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D3502"/>
    <w:multiLevelType w:val="hybridMultilevel"/>
    <w:tmpl w:val="5BF68232"/>
    <w:lvl w:ilvl="0" w:tplc="C27A4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552C4"/>
    <w:multiLevelType w:val="hybridMultilevel"/>
    <w:tmpl w:val="843EDF0C"/>
    <w:lvl w:ilvl="0" w:tplc="5E2C5C58">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7" w15:restartNumberingAfterBreak="0">
    <w:nsid w:val="14CA4669"/>
    <w:multiLevelType w:val="hybridMultilevel"/>
    <w:tmpl w:val="880CC98C"/>
    <w:lvl w:ilvl="0" w:tplc="BCB01FA6">
      <w:start w:val="24"/>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6E7A87"/>
    <w:multiLevelType w:val="hybridMultilevel"/>
    <w:tmpl w:val="17325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0B5432"/>
    <w:multiLevelType w:val="hybridMultilevel"/>
    <w:tmpl w:val="803AC4DE"/>
    <w:lvl w:ilvl="0" w:tplc="FE467348">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AA704A"/>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103543"/>
    <w:multiLevelType w:val="hybridMultilevel"/>
    <w:tmpl w:val="FA3A3E24"/>
    <w:lvl w:ilvl="0" w:tplc="49BE80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3178E"/>
    <w:multiLevelType w:val="hybridMultilevel"/>
    <w:tmpl w:val="300E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605DE"/>
    <w:multiLevelType w:val="hybridMultilevel"/>
    <w:tmpl w:val="9A16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C732C"/>
    <w:multiLevelType w:val="hybridMultilevel"/>
    <w:tmpl w:val="4386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77D25"/>
    <w:multiLevelType w:val="hybridMultilevel"/>
    <w:tmpl w:val="7F62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B3CCD"/>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A49EC"/>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C70B7"/>
    <w:multiLevelType w:val="hybridMultilevel"/>
    <w:tmpl w:val="EDDA469E"/>
    <w:lvl w:ilvl="0" w:tplc="8634E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216337"/>
    <w:multiLevelType w:val="hybridMultilevel"/>
    <w:tmpl w:val="DA744C7C"/>
    <w:lvl w:ilvl="0" w:tplc="C742E25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8BF"/>
    <w:multiLevelType w:val="hybridMultilevel"/>
    <w:tmpl w:val="D2161C6C"/>
    <w:lvl w:ilvl="0" w:tplc="5E3A4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92294D"/>
    <w:multiLevelType w:val="hybridMultilevel"/>
    <w:tmpl w:val="8A5A035E"/>
    <w:lvl w:ilvl="0" w:tplc="662AC064">
      <w:start w:val="1"/>
      <w:numFmt w:val="decimal"/>
      <w:lvlText w:val="%1."/>
      <w:lvlJc w:val="left"/>
      <w:pPr>
        <w:ind w:left="0" w:firstLine="720"/>
      </w:pPr>
      <w:rPr>
        <w:rFonts w:ascii="Cambria" w:hAnsi="Cambria"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D4AFE"/>
    <w:multiLevelType w:val="hybridMultilevel"/>
    <w:tmpl w:val="9AA4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021DD"/>
    <w:multiLevelType w:val="hybridMultilevel"/>
    <w:tmpl w:val="E932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A5DFE"/>
    <w:multiLevelType w:val="hybridMultilevel"/>
    <w:tmpl w:val="56D0C0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06780"/>
    <w:multiLevelType w:val="hybridMultilevel"/>
    <w:tmpl w:val="B610F3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74DF1"/>
    <w:multiLevelType w:val="hybridMultilevel"/>
    <w:tmpl w:val="5FB039E4"/>
    <w:lvl w:ilvl="0" w:tplc="5AE0B4E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F0B8E"/>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C487D"/>
    <w:multiLevelType w:val="hybridMultilevel"/>
    <w:tmpl w:val="A39AB83C"/>
    <w:lvl w:ilvl="0" w:tplc="A9F0FFB6">
      <w:start w:val="9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3D7C91"/>
    <w:multiLevelType w:val="hybridMultilevel"/>
    <w:tmpl w:val="3B408F42"/>
    <w:lvl w:ilvl="0" w:tplc="9E72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75366"/>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32"/>
  </w:num>
  <w:num w:numId="4">
    <w:abstractNumId w:val="3"/>
  </w:num>
  <w:num w:numId="5">
    <w:abstractNumId w:val="20"/>
  </w:num>
  <w:num w:numId="6">
    <w:abstractNumId w:val="8"/>
  </w:num>
  <w:num w:numId="7">
    <w:abstractNumId w:val="0"/>
  </w:num>
  <w:num w:numId="8">
    <w:abstractNumId w:val="24"/>
  </w:num>
  <w:num w:numId="9">
    <w:abstractNumId w:val="14"/>
  </w:num>
  <w:num w:numId="10">
    <w:abstractNumId w:val="13"/>
  </w:num>
  <w:num w:numId="11">
    <w:abstractNumId w:val="31"/>
  </w:num>
  <w:num w:numId="12">
    <w:abstractNumId w:val="25"/>
  </w:num>
  <w:num w:numId="13">
    <w:abstractNumId w:val="19"/>
  </w:num>
  <w:num w:numId="14">
    <w:abstractNumId w:val="27"/>
  </w:num>
  <w:num w:numId="15">
    <w:abstractNumId w:val="33"/>
  </w:num>
  <w:num w:numId="16">
    <w:abstractNumId w:val="16"/>
  </w:num>
  <w:num w:numId="17">
    <w:abstractNumId w:val="23"/>
  </w:num>
  <w:num w:numId="18">
    <w:abstractNumId w:val="5"/>
  </w:num>
  <w:num w:numId="19">
    <w:abstractNumId w:val="22"/>
  </w:num>
  <w:num w:numId="20">
    <w:abstractNumId w:val="29"/>
  </w:num>
  <w:num w:numId="21">
    <w:abstractNumId w:val="30"/>
  </w:num>
  <w:num w:numId="22">
    <w:abstractNumId w:val="6"/>
  </w:num>
  <w:num w:numId="23">
    <w:abstractNumId w:val="18"/>
  </w:num>
  <w:num w:numId="24">
    <w:abstractNumId w:val="1"/>
  </w:num>
  <w:num w:numId="25">
    <w:abstractNumId w:val="26"/>
  </w:num>
  <w:num w:numId="26">
    <w:abstractNumId w:val="17"/>
  </w:num>
  <w:num w:numId="27">
    <w:abstractNumId w:val="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5"/>
  </w:num>
  <w:num w:numId="31">
    <w:abstractNumId w:val="1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7843"/>
    <w:rsid w:val="00011C43"/>
    <w:rsid w:val="000146D7"/>
    <w:rsid w:val="00027E6F"/>
    <w:rsid w:val="000412CC"/>
    <w:rsid w:val="0004454B"/>
    <w:rsid w:val="00047B56"/>
    <w:rsid w:val="00053EDA"/>
    <w:rsid w:val="0006625E"/>
    <w:rsid w:val="00066457"/>
    <w:rsid w:val="000745D0"/>
    <w:rsid w:val="000A3DA2"/>
    <w:rsid w:val="000A4DE6"/>
    <w:rsid w:val="000B188E"/>
    <w:rsid w:val="000C3C26"/>
    <w:rsid w:val="000C56A6"/>
    <w:rsid w:val="000D3F7F"/>
    <w:rsid w:val="000F68C9"/>
    <w:rsid w:val="00105385"/>
    <w:rsid w:val="00107876"/>
    <w:rsid w:val="001151AC"/>
    <w:rsid w:val="001202AC"/>
    <w:rsid w:val="00120F5B"/>
    <w:rsid w:val="001224C2"/>
    <w:rsid w:val="0012586C"/>
    <w:rsid w:val="00147EC7"/>
    <w:rsid w:val="00180C9C"/>
    <w:rsid w:val="00185AFF"/>
    <w:rsid w:val="001871E3"/>
    <w:rsid w:val="001900BE"/>
    <w:rsid w:val="00193C20"/>
    <w:rsid w:val="00197BF3"/>
    <w:rsid w:val="001A09E9"/>
    <w:rsid w:val="001A0D50"/>
    <w:rsid w:val="001A1FFE"/>
    <w:rsid w:val="001B301A"/>
    <w:rsid w:val="001C0929"/>
    <w:rsid w:val="001C0EC1"/>
    <w:rsid w:val="001C6C4A"/>
    <w:rsid w:val="001D2DCF"/>
    <w:rsid w:val="001D42A4"/>
    <w:rsid w:val="001E4258"/>
    <w:rsid w:val="001E4F3F"/>
    <w:rsid w:val="001F0BE8"/>
    <w:rsid w:val="001F14E7"/>
    <w:rsid w:val="001F5BFE"/>
    <w:rsid w:val="002120FC"/>
    <w:rsid w:val="0021300D"/>
    <w:rsid w:val="0021669C"/>
    <w:rsid w:val="00227CDB"/>
    <w:rsid w:val="002362AD"/>
    <w:rsid w:val="00240E8E"/>
    <w:rsid w:val="00251B3E"/>
    <w:rsid w:val="00256394"/>
    <w:rsid w:val="002602A2"/>
    <w:rsid w:val="002612AA"/>
    <w:rsid w:val="0026383B"/>
    <w:rsid w:val="0027086D"/>
    <w:rsid w:val="0027163F"/>
    <w:rsid w:val="00282882"/>
    <w:rsid w:val="002859A9"/>
    <w:rsid w:val="00294B17"/>
    <w:rsid w:val="00294D75"/>
    <w:rsid w:val="002A39B2"/>
    <w:rsid w:val="002A3DC3"/>
    <w:rsid w:val="002B246A"/>
    <w:rsid w:val="002B68C1"/>
    <w:rsid w:val="002C035E"/>
    <w:rsid w:val="002C068C"/>
    <w:rsid w:val="002C4B9C"/>
    <w:rsid w:val="002D3E88"/>
    <w:rsid w:val="002D6922"/>
    <w:rsid w:val="002E29EC"/>
    <w:rsid w:val="002E4883"/>
    <w:rsid w:val="002E71F8"/>
    <w:rsid w:val="002F4EC0"/>
    <w:rsid w:val="002F799C"/>
    <w:rsid w:val="00301C18"/>
    <w:rsid w:val="0030704E"/>
    <w:rsid w:val="00307D6C"/>
    <w:rsid w:val="00326444"/>
    <w:rsid w:val="00331735"/>
    <w:rsid w:val="003323EF"/>
    <w:rsid w:val="00334047"/>
    <w:rsid w:val="003364CF"/>
    <w:rsid w:val="00336F09"/>
    <w:rsid w:val="00343CED"/>
    <w:rsid w:val="00345BF8"/>
    <w:rsid w:val="00345CC5"/>
    <w:rsid w:val="00346B6F"/>
    <w:rsid w:val="00354D8C"/>
    <w:rsid w:val="003574B8"/>
    <w:rsid w:val="00361960"/>
    <w:rsid w:val="00364599"/>
    <w:rsid w:val="003652A9"/>
    <w:rsid w:val="00365957"/>
    <w:rsid w:val="00374262"/>
    <w:rsid w:val="0037516A"/>
    <w:rsid w:val="00385012"/>
    <w:rsid w:val="00387F7F"/>
    <w:rsid w:val="00393310"/>
    <w:rsid w:val="003952D9"/>
    <w:rsid w:val="00396DA4"/>
    <w:rsid w:val="003A46FE"/>
    <w:rsid w:val="003B32E9"/>
    <w:rsid w:val="003B7996"/>
    <w:rsid w:val="003C4836"/>
    <w:rsid w:val="003C671F"/>
    <w:rsid w:val="003C73AD"/>
    <w:rsid w:val="003D3248"/>
    <w:rsid w:val="003E6B9A"/>
    <w:rsid w:val="003F1C2A"/>
    <w:rsid w:val="003F5DE2"/>
    <w:rsid w:val="00401106"/>
    <w:rsid w:val="00404CFB"/>
    <w:rsid w:val="004108D0"/>
    <w:rsid w:val="004166C6"/>
    <w:rsid w:val="004177BF"/>
    <w:rsid w:val="004241A2"/>
    <w:rsid w:val="00427673"/>
    <w:rsid w:val="00433C94"/>
    <w:rsid w:val="00434F94"/>
    <w:rsid w:val="0044316B"/>
    <w:rsid w:val="00453472"/>
    <w:rsid w:val="00454D69"/>
    <w:rsid w:val="0045725F"/>
    <w:rsid w:val="00461DDC"/>
    <w:rsid w:val="0047146A"/>
    <w:rsid w:val="004722BC"/>
    <w:rsid w:val="00480897"/>
    <w:rsid w:val="004822DC"/>
    <w:rsid w:val="00486115"/>
    <w:rsid w:val="00496EDF"/>
    <w:rsid w:val="004A22D3"/>
    <w:rsid w:val="004A38C6"/>
    <w:rsid w:val="004B3074"/>
    <w:rsid w:val="004C138D"/>
    <w:rsid w:val="004C6FB1"/>
    <w:rsid w:val="004D49F5"/>
    <w:rsid w:val="004F21F8"/>
    <w:rsid w:val="004F4E68"/>
    <w:rsid w:val="00502502"/>
    <w:rsid w:val="00503AAA"/>
    <w:rsid w:val="00510312"/>
    <w:rsid w:val="00514F0D"/>
    <w:rsid w:val="00516E52"/>
    <w:rsid w:val="00521AE9"/>
    <w:rsid w:val="005223C9"/>
    <w:rsid w:val="0052262F"/>
    <w:rsid w:val="0052648D"/>
    <w:rsid w:val="005270ED"/>
    <w:rsid w:val="0053006D"/>
    <w:rsid w:val="00532DC7"/>
    <w:rsid w:val="00534F2B"/>
    <w:rsid w:val="005434E0"/>
    <w:rsid w:val="005456CA"/>
    <w:rsid w:val="00546B99"/>
    <w:rsid w:val="00555B3A"/>
    <w:rsid w:val="005566F5"/>
    <w:rsid w:val="00557988"/>
    <w:rsid w:val="00565521"/>
    <w:rsid w:val="00567B43"/>
    <w:rsid w:val="00570221"/>
    <w:rsid w:val="0057448F"/>
    <w:rsid w:val="00575197"/>
    <w:rsid w:val="00576A71"/>
    <w:rsid w:val="00583C28"/>
    <w:rsid w:val="00596C28"/>
    <w:rsid w:val="0059790A"/>
    <w:rsid w:val="00597EA0"/>
    <w:rsid w:val="005A28D0"/>
    <w:rsid w:val="005A328E"/>
    <w:rsid w:val="005A5E14"/>
    <w:rsid w:val="005C3DDA"/>
    <w:rsid w:val="005C465E"/>
    <w:rsid w:val="005C4BC0"/>
    <w:rsid w:val="005C78C2"/>
    <w:rsid w:val="005D06B9"/>
    <w:rsid w:val="005E0C59"/>
    <w:rsid w:val="005E26DE"/>
    <w:rsid w:val="005E5CA5"/>
    <w:rsid w:val="005E64DA"/>
    <w:rsid w:val="005E7F72"/>
    <w:rsid w:val="005F4AAA"/>
    <w:rsid w:val="00604132"/>
    <w:rsid w:val="00614A48"/>
    <w:rsid w:val="00615C8C"/>
    <w:rsid w:val="00617343"/>
    <w:rsid w:val="006428C1"/>
    <w:rsid w:val="006444F2"/>
    <w:rsid w:val="00647BE6"/>
    <w:rsid w:val="00652C7F"/>
    <w:rsid w:val="006604B0"/>
    <w:rsid w:val="00670B41"/>
    <w:rsid w:val="00682BB0"/>
    <w:rsid w:val="00683187"/>
    <w:rsid w:val="00684727"/>
    <w:rsid w:val="00694C0E"/>
    <w:rsid w:val="006966A5"/>
    <w:rsid w:val="006973BD"/>
    <w:rsid w:val="00697E30"/>
    <w:rsid w:val="006A0BAC"/>
    <w:rsid w:val="006A380F"/>
    <w:rsid w:val="006A4D6C"/>
    <w:rsid w:val="006B11EC"/>
    <w:rsid w:val="006B1CC2"/>
    <w:rsid w:val="006C437E"/>
    <w:rsid w:val="006C6B93"/>
    <w:rsid w:val="006D0A26"/>
    <w:rsid w:val="006E2BD8"/>
    <w:rsid w:val="006F0429"/>
    <w:rsid w:val="006F2355"/>
    <w:rsid w:val="006F6EE0"/>
    <w:rsid w:val="006F7B54"/>
    <w:rsid w:val="00700EDA"/>
    <w:rsid w:val="00704695"/>
    <w:rsid w:val="00710AA1"/>
    <w:rsid w:val="00714DAA"/>
    <w:rsid w:val="00716F21"/>
    <w:rsid w:val="00723334"/>
    <w:rsid w:val="007372DD"/>
    <w:rsid w:val="0074160D"/>
    <w:rsid w:val="007707BD"/>
    <w:rsid w:val="0077524D"/>
    <w:rsid w:val="007816BA"/>
    <w:rsid w:val="007942FF"/>
    <w:rsid w:val="007A2438"/>
    <w:rsid w:val="007A3554"/>
    <w:rsid w:val="007A6E84"/>
    <w:rsid w:val="007B0150"/>
    <w:rsid w:val="007B0327"/>
    <w:rsid w:val="007B09EE"/>
    <w:rsid w:val="007B1F58"/>
    <w:rsid w:val="007B51EC"/>
    <w:rsid w:val="007B70FF"/>
    <w:rsid w:val="007C08BC"/>
    <w:rsid w:val="007C2CC3"/>
    <w:rsid w:val="007C3422"/>
    <w:rsid w:val="007C351D"/>
    <w:rsid w:val="007C352F"/>
    <w:rsid w:val="007D4AFD"/>
    <w:rsid w:val="007D5C65"/>
    <w:rsid w:val="007D5EA1"/>
    <w:rsid w:val="007E0101"/>
    <w:rsid w:val="007E6DA8"/>
    <w:rsid w:val="007E6F48"/>
    <w:rsid w:val="007F3C6B"/>
    <w:rsid w:val="007F5F4E"/>
    <w:rsid w:val="00807BAA"/>
    <w:rsid w:val="00807C95"/>
    <w:rsid w:val="008156EC"/>
    <w:rsid w:val="00833EB4"/>
    <w:rsid w:val="0084178B"/>
    <w:rsid w:val="00844964"/>
    <w:rsid w:val="008542F2"/>
    <w:rsid w:val="008550EF"/>
    <w:rsid w:val="0085665E"/>
    <w:rsid w:val="00857C27"/>
    <w:rsid w:val="00861212"/>
    <w:rsid w:val="00862D28"/>
    <w:rsid w:val="008700CE"/>
    <w:rsid w:val="00871248"/>
    <w:rsid w:val="00877E70"/>
    <w:rsid w:val="008954AB"/>
    <w:rsid w:val="008A567E"/>
    <w:rsid w:val="008B65B4"/>
    <w:rsid w:val="008C69B8"/>
    <w:rsid w:val="008D6A76"/>
    <w:rsid w:val="008E22BF"/>
    <w:rsid w:val="008E42E1"/>
    <w:rsid w:val="008E6AEA"/>
    <w:rsid w:val="008F2248"/>
    <w:rsid w:val="009032A4"/>
    <w:rsid w:val="009033A6"/>
    <w:rsid w:val="0091054A"/>
    <w:rsid w:val="00917253"/>
    <w:rsid w:val="00921F22"/>
    <w:rsid w:val="009413A1"/>
    <w:rsid w:val="009420D8"/>
    <w:rsid w:val="009470AB"/>
    <w:rsid w:val="00951CD9"/>
    <w:rsid w:val="00952598"/>
    <w:rsid w:val="0096094B"/>
    <w:rsid w:val="00960A03"/>
    <w:rsid w:val="009625C0"/>
    <w:rsid w:val="009631EB"/>
    <w:rsid w:val="00966EB8"/>
    <w:rsid w:val="00967479"/>
    <w:rsid w:val="00967661"/>
    <w:rsid w:val="009750A9"/>
    <w:rsid w:val="00982761"/>
    <w:rsid w:val="009854BD"/>
    <w:rsid w:val="00986302"/>
    <w:rsid w:val="00987A91"/>
    <w:rsid w:val="0099052E"/>
    <w:rsid w:val="009909D6"/>
    <w:rsid w:val="00992221"/>
    <w:rsid w:val="00992BAE"/>
    <w:rsid w:val="009969DC"/>
    <w:rsid w:val="009A12C6"/>
    <w:rsid w:val="009A1A2C"/>
    <w:rsid w:val="009A1C94"/>
    <w:rsid w:val="009B1B08"/>
    <w:rsid w:val="009B219C"/>
    <w:rsid w:val="009C227B"/>
    <w:rsid w:val="009C4D87"/>
    <w:rsid w:val="009C4ED8"/>
    <w:rsid w:val="009E3108"/>
    <w:rsid w:val="009E64E2"/>
    <w:rsid w:val="009E73F0"/>
    <w:rsid w:val="009F1149"/>
    <w:rsid w:val="00A026BC"/>
    <w:rsid w:val="00A044C1"/>
    <w:rsid w:val="00A211EF"/>
    <w:rsid w:val="00A24432"/>
    <w:rsid w:val="00A2502C"/>
    <w:rsid w:val="00A25CA7"/>
    <w:rsid w:val="00A343FF"/>
    <w:rsid w:val="00A429EB"/>
    <w:rsid w:val="00A43294"/>
    <w:rsid w:val="00A4588D"/>
    <w:rsid w:val="00A47ADC"/>
    <w:rsid w:val="00A61B5E"/>
    <w:rsid w:val="00A67BF8"/>
    <w:rsid w:val="00A76740"/>
    <w:rsid w:val="00A7781B"/>
    <w:rsid w:val="00A83B25"/>
    <w:rsid w:val="00A919D7"/>
    <w:rsid w:val="00A9439A"/>
    <w:rsid w:val="00A96BF5"/>
    <w:rsid w:val="00A97E3B"/>
    <w:rsid w:val="00AA39D1"/>
    <w:rsid w:val="00AA3AA8"/>
    <w:rsid w:val="00AA4784"/>
    <w:rsid w:val="00AA5D33"/>
    <w:rsid w:val="00AA7961"/>
    <w:rsid w:val="00AB1A6B"/>
    <w:rsid w:val="00AB3C28"/>
    <w:rsid w:val="00AC0DD4"/>
    <w:rsid w:val="00AC4052"/>
    <w:rsid w:val="00AC4475"/>
    <w:rsid w:val="00AE10D3"/>
    <w:rsid w:val="00AE1B0F"/>
    <w:rsid w:val="00AE5119"/>
    <w:rsid w:val="00AE653A"/>
    <w:rsid w:val="00AF1F44"/>
    <w:rsid w:val="00AF7172"/>
    <w:rsid w:val="00B00984"/>
    <w:rsid w:val="00B011F0"/>
    <w:rsid w:val="00B02F2F"/>
    <w:rsid w:val="00B053B4"/>
    <w:rsid w:val="00B056D9"/>
    <w:rsid w:val="00B134F6"/>
    <w:rsid w:val="00B205A7"/>
    <w:rsid w:val="00B21262"/>
    <w:rsid w:val="00B41A79"/>
    <w:rsid w:val="00B50331"/>
    <w:rsid w:val="00B67115"/>
    <w:rsid w:val="00B6720D"/>
    <w:rsid w:val="00B672B7"/>
    <w:rsid w:val="00B70655"/>
    <w:rsid w:val="00B75C19"/>
    <w:rsid w:val="00B7617C"/>
    <w:rsid w:val="00B806AC"/>
    <w:rsid w:val="00B8221D"/>
    <w:rsid w:val="00B8576F"/>
    <w:rsid w:val="00B93993"/>
    <w:rsid w:val="00BA2B9F"/>
    <w:rsid w:val="00BA48D1"/>
    <w:rsid w:val="00BA49EB"/>
    <w:rsid w:val="00BA4EF1"/>
    <w:rsid w:val="00BA69DC"/>
    <w:rsid w:val="00BB03A0"/>
    <w:rsid w:val="00BB14F7"/>
    <w:rsid w:val="00BD13C1"/>
    <w:rsid w:val="00BD1D12"/>
    <w:rsid w:val="00BD1FAF"/>
    <w:rsid w:val="00BD48E8"/>
    <w:rsid w:val="00BE7698"/>
    <w:rsid w:val="00BF5963"/>
    <w:rsid w:val="00C01A38"/>
    <w:rsid w:val="00C03E32"/>
    <w:rsid w:val="00C114EB"/>
    <w:rsid w:val="00C1391D"/>
    <w:rsid w:val="00C17F04"/>
    <w:rsid w:val="00C3470C"/>
    <w:rsid w:val="00C35721"/>
    <w:rsid w:val="00C36092"/>
    <w:rsid w:val="00C402CB"/>
    <w:rsid w:val="00C47048"/>
    <w:rsid w:val="00C5078E"/>
    <w:rsid w:val="00C53AA5"/>
    <w:rsid w:val="00C56743"/>
    <w:rsid w:val="00C575AA"/>
    <w:rsid w:val="00C61F20"/>
    <w:rsid w:val="00C827FB"/>
    <w:rsid w:val="00C85177"/>
    <w:rsid w:val="00CA27C8"/>
    <w:rsid w:val="00CB32B3"/>
    <w:rsid w:val="00CB6344"/>
    <w:rsid w:val="00CB6A68"/>
    <w:rsid w:val="00CC5874"/>
    <w:rsid w:val="00CC7174"/>
    <w:rsid w:val="00CD00FC"/>
    <w:rsid w:val="00CD4DD9"/>
    <w:rsid w:val="00CE3DE0"/>
    <w:rsid w:val="00CE4449"/>
    <w:rsid w:val="00CE457D"/>
    <w:rsid w:val="00CE5842"/>
    <w:rsid w:val="00CE78BC"/>
    <w:rsid w:val="00D05BCC"/>
    <w:rsid w:val="00D147D6"/>
    <w:rsid w:val="00D21DA0"/>
    <w:rsid w:val="00D22590"/>
    <w:rsid w:val="00D27DBD"/>
    <w:rsid w:val="00D34F86"/>
    <w:rsid w:val="00D35CDC"/>
    <w:rsid w:val="00D364E0"/>
    <w:rsid w:val="00D45AB7"/>
    <w:rsid w:val="00D46231"/>
    <w:rsid w:val="00D46496"/>
    <w:rsid w:val="00D50E50"/>
    <w:rsid w:val="00D862B6"/>
    <w:rsid w:val="00D90242"/>
    <w:rsid w:val="00DA200F"/>
    <w:rsid w:val="00DB0AE6"/>
    <w:rsid w:val="00DB32DF"/>
    <w:rsid w:val="00DC295E"/>
    <w:rsid w:val="00DC2EA7"/>
    <w:rsid w:val="00DC4B94"/>
    <w:rsid w:val="00DC5A37"/>
    <w:rsid w:val="00DC7C8F"/>
    <w:rsid w:val="00DD199F"/>
    <w:rsid w:val="00DD26C7"/>
    <w:rsid w:val="00DE2F7B"/>
    <w:rsid w:val="00DF0FE5"/>
    <w:rsid w:val="00DF772E"/>
    <w:rsid w:val="00DF7FAE"/>
    <w:rsid w:val="00E0083C"/>
    <w:rsid w:val="00E062EA"/>
    <w:rsid w:val="00E146E9"/>
    <w:rsid w:val="00E15D05"/>
    <w:rsid w:val="00E1619F"/>
    <w:rsid w:val="00E16343"/>
    <w:rsid w:val="00E16AB4"/>
    <w:rsid w:val="00E237F5"/>
    <w:rsid w:val="00E23ED0"/>
    <w:rsid w:val="00E3040C"/>
    <w:rsid w:val="00E30E55"/>
    <w:rsid w:val="00E33606"/>
    <w:rsid w:val="00E34E22"/>
    <w:rsid w:val="00E361B0"/>
    <w:rsid w:val="00E37134"/>
    <w:rsid w:val="00E41A3B"/>
    <w:rsid w:val="00E41C0B"/>
    <w:rsid w:val="00E44F55"/>
    <w:rsid w:val="00E50908"/>
    <w:rsid w:val="00E51851"/>
    <w:rsid w:val="00E518B2"/>
    <w:rsid w:val="00E55784"/>
    <w:rsid w:val="00E5623B"/>
    <w:rsid w:val="00E6031B"/>
    <w:rsid w:val="00E64809"/>
    <w:rsid w:val="00E6614F"/>
    <w:rsid w:val="00E7783F"/>
    <w:rsid w:val="00E8281B"/>
    <w:rsid w:val="00E9200E"/>
    <w:rsid w:val="00EA4A66"/>
    <w:rsid w:val="00EA5337"/>
    <w:rsid w:val="00EB41C0"/>
    <w:rsid w:val="00EB4EC4"/>
    <w:rsid w:val="00EC3285"/>
    <w:rsid w:val="00EC4F2F"/>
    <w:rsid w:val="00EC6A15"/>
    <w:rsid w:val="00ED468A"/>
    <w:rsid w:val="00EE144B"/>
    <w:rsid w:val="00EE6A77"/>
    <w:rsid w:val="00EF1D6C"/>
    <w:rsid w:val="00EF313C"/>
    <w:rsid w:val="00EF554B"/>
    <w:rsid w:val="00EF55F5"/>
    <w:rsid w:val="00EF704A"/>
    <w:rsid w:val="00F00E3D"/>
    <w:rsid w:val="00F077B9"/>
    <w:rsid w:val="00F13949"/>
    <w:rsid w:val="00F15B03"/>
    <w:rsid w:val="00F22E60"/>
    <w:rsid w:val="00F3515A"/>
    <w:rsid w:val="00F37A44"/>
    <w:rsid w:val="00F443C5"/>
    <w:rsid w:val="00F456CA"/>
    <w:rsid w:val="00F508D3"/>
    <w:rsid w:val="00F54F60"/>
    <w:rsid w:val="00F60B47"/>
    <w:rsid w:val="00F62707"/>
    <w:rsid w:val="00F6396A"/>
    <w:rsid w:val="00F66FEE"/>
    <w:rsid w:val="00F71779"/>
    <w:rsid w:val="00F735D2"/>
    <w:rsid w:val="00F74551"/>
    <w:rsid w:val="00F90D0A"/>
    <w:rsid w:val="00FA342C"/>
    <w:rsid w:val="00FB08F0"/>
    <w:rsid w:val="00FB621E"/>
    <w:rsid w:val="00FC55CA"/>
    <w:rsid w:val="00FC66C2"/>
    <w:rsid w:val="00FC68B6"/>
    <w:rsid w:val="00FD0474"/>
    <w:rsid w:val="00FD2C04"/>
    <w:rsid w:val="00FD2D7F"/>
    <w:rsid w:val="00FE65ED"/>
    <w:rsid w:val="00FE6C6B"/>
    <w:rsid w:val="00FE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3C1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107876"/>
    <w:pPr>
      <w:ind w:left="720"/>
      <w:contextualSpacing/>
    </w:pPr>
  </w:style>
  <w:style w:type="character" w:styleId="Hyperlink">
    <w:name w:val="Hyperlink"/>
    <w:uiPriority w:val="99"/>
    <w:unhideWhenUsed/>
    <w:rsid w:val="00107876"/>
    <w:rPr>
      <w:color w:val="0000FF"/>
      <w:u w:val="single"/>
    </w:rPr>
  </w:style>
  <w:style w:type="paragraph" w:styleId="BodyTextIndent2">
    <w:name w:val="Body Text Indent 2"/>
    <w:basedOn w:val="Normal"/>
    <w:link w:val="BodyTextIndent2Char"/>
    <w:rsid w:val="00107876"/>
    <w:pPr>
      <w:spacing w:after="0" w:line="240" w:lineRule="auto"/>
      <w:ind w:firstLine="720"/>
      <w:jc w:val="both"/>
    </w:pPr>
    <w:rPr>
      <w:rFonts w:ascii="Univers" w:eastAsia="Times New Roman" w:hAnsi="Univers"/>
      <w:szCs w:val="20"/>
      <w:lang w:val="es-ES" w:eastAsia="es-ES"/>
    </w:rPr>
  </w:style>
  <w:style w:type="character" w:customStyle="1" w:styleId="BodyTextIndent2Char">
    <w:name w:val="Body Text Indent 2 Char"/>
    <w:link w:val="BodyTextIndent2"/>
    <w:rsid w:val="00107876"/>
    <w:rPr>
      <w:rFonts w:ascii="Univers" w:eastAsia="Times New Roman" w:hAnsi="Univers"/>
      <w:sz w:val="22"/>
      <w:lang w:val="es-ES" w:eastAsia="es-E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107876"/>
    <w:rPr>
      <w:sz w:val="22"/>
      <w:szCs w:val="22"/>
    </w:rPr>
  </w:style>
  <w:style w:type="character" w:styleId="FollowedHyperlink">
    <w:name w:val="FollowedHyperlink"/>
    <w:uiPriority w:val="99"/>
    <w:semiHidden/>
    <w:unhideWhenUsed/>
    <w:rsid w:val="001C6C4A"/>
    <w:rPr>
      <w:color w:val="954F72"/>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Ca"/>
    <w:basedOn w:val="Normal"/>
    <w:link w:val="FootnoteTextChar"/>
    <w:unhideWhenUsed/>
    <w:qFormat/>
    <w:rsid w:val="00967661"/>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967661"/>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967661"/>
    <w:rPr>
      <w:vertAlign w:val="superscript"/>
    </w:rPr>
  </w:style>
  <w:style w:type="paragraph" w:styleId="NoSpacing">
    <w:name w:val="No Spacing"/>
    <w:uiPriority w:val="1"/>
    <w:qFormat/>
    <w:rsid w:val="002F4EC0"/>
    <w:rPr>
      <w:sz w:val="22"/>
      <w:szCs w:val="22"/>
    </w:rPr>
  </w:style>
  <w:style w:type="paragraph" w:customStyle="1" w:styleId="Default">
    <w:name w:val="Default"/>
    <w:rsid w:val="00B67115"/>
    <w:pPr>
      <w:autoSpaceDE w:val="0"/>
      <w:autoSpaceDN w:val="0"/>
      <w:adjustRightInd w:val="0"/>
    </w:pPr>
    <w:rPr>
      <w:rFonts w:ascii="Cambria" w:hAnsi="Cambria" w:cs="Cambria"/>
      <w:color w:val="000000"/>
      <w:sz w:val="24"/>
      <w:szCs w:val="24"/>
    </w:rPr>
  </w:style>
  <w:style w:type="paragraph" w:styleId="CommentText">
    <w:name w:val="annotation text"/>
    <w:basedOn w:val="Normal"/>
    <w:link w:val="CommentTextChar"/>
    <w:uiPriority w:val="99"/>
    <w:unhideWhenUsed/>
    <w:rsid w:val="004166C6"/>
    <w:rPr>
      <w:sz w:val="20"/>
      <w:szCs w:val="20"/>
    </w:rPr>
  </w:style>
  <w:style w:type="character" w:customStyle="1" w:styleId="CommentTextChar">
    <w:name w:val="Comment Text Char"/>
    <w:basedOn w:val="DefaultParagraphFont"/>
    <w:link w:val="CommentText"/>
    <w:uiPriority w:val="99"/>
    <w:rsid w:val="004166C6"/>
  </w:style>
  <w:style w:type="paragraph" w:styleId="CommentSubject">
    <w:name w:val="annotation subject"/>
    <w:basedOn w:val="CommentText"/>
    <w:next w:val="CommentText"/>
    <w:link w:val="CommentSubjectChar"/>
    <w:uiPriority w:val="99"/>
    <w:semiHidden/>
    <w:unhideWhenUsed/>
    <w:rsid w:val="004166C6"/>
    <w:rPr>
      <w:b/>
      <w:bCs/>
    </w:rPr>
  </w:style>
  <w:style w:type="character" w:customStyle="1" w:styleId="CommentSubjectChar">
    <w:name w:val="Comment Subject Char"/>
    <w:link w:val="CommentSubject"/>
    <w:uiPriority w:val="99"/>
    <w:semiHidden/>
    <w:rsid w:val="004166C6"/>
    <w:rPr>
      <w:b/>
      <w:bCs/>
    </w:rPr>
  </w:style>
  <w:style w:type="paragraph" w:customStyle="1" w:styleId="Appelnotedebasde">
    <w:name w:val="Appel note de bas de..."/>
    <w:basedOn w:val="Normal"/>
    <w:link w:val="FootnoteReference"/>
    <w:uiPriority w:val="99"/>
    <w:rsid w:val="00307D6C"/>
    <w:pPr>
      <w:spacing w:after="160" w:line="240" w:lineRule="exact"/>
    </w:pPr>
    <w:rPr>
      <w:sz w:val="20"/>
      <w:szCs w:val="20"/>
      <w:vertAlign w:val="superscript"/>
    </w:rPr>
  </w:style>
  <w:style w:type="character" w:styleId="CommentReference">
    <w:name w:val="annotation reference"/>
    <w:uiPriority w:val="99"/>
    <w:semiHidden/>
    <w:unhideWhenUsed/>
    <w:rsid w:val="002D6922"/>
    <w:rPr>
      <w:sz w:val="16"/>
      <w:szCs w:val="16"/>
    </w:rPr>
  </w:style>
  <w:style w:type="character" w:styleId="Emphasis">
    <w:name w:val="Emphasis"/>
    <w:uiPriority w:val="20"/>
    <w:qFormat/>
    <w:rsid w:val="0052262F"/>
    <w:rPr>
      <w:i/>
      <w:iCs/>
    </w:rPr>
  </w:style>
  <w:style w:type="character" w:styleId="UnresolvedMention">
    <w:name w:val="Unresolved Mention"/>
    <w:uiPriority w:val="99"/>
    <w:semiHidden/>
    <w:unhideWhenUsed/>
    <w:rsid w:val="00CD0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4877">
      <w:bodyDiv w:val="1"/>
      <w:marLeft w:val="0"/>
      <w:marRight w:val="0"/>
      <w:marTop w:val="0"/>
      <w:marBottom w:val="0"/>
      <w:divBdr>
        <w:top w:val="none" w:sz="0" w:space="0" w:color="auto"/>
        <w:left w:val="none" w:sz="0" w:space="0" w:color="auto"/>
        <w:bottom w:val="none" w:sz="0" w:space="0" w:color="auto"/>
        <w:right w:val="none" w:sz="0" w:space="0" w:color="auto"/>
      </w:divBdr>
    </w:div>
    <w:div w:id="462819530">
      <w:bodyDiv w:val="1"/>
      <w:marLeft w:val="0"/>
      <w:marRight w:val="0"/>
      <w:marTop w:val="0"/>
      <w:marBottom w:val="0"/>
      <w:divBdr>
        <w:top w:val="none" w:sz="0" w:space="0" w:color="auto"/>
        <w:left w:val="none" w:sz="0" w:space="0" w:color="auto"/>
        <w:bottom w:val="none" w:sz="0" w:space="0" w:color="auto"/>
        <w:right w:val="none" w:sz="0" w:space="0" w:color="auto"/>
      </w:divBdr>
    </w:div>
    <w:div w:id="1394502577">
      <w:bodyDiv w:val="1"/>
      <w:marLeft w:val="0"/>
      <w:marRight w:val="0"/>
      <w:marTop w:val="0"/>
      <w:marBottom w:val="0"/>
      <w:divBdr>
        <w:top w:val="none" w:sz="0" w:space="0" w:color="auto"/>
        <w:left w:val="none" w:sz="0" w:space="0" w:color="auto"/>
        <w:bottom w:val="none" w:sz="0" w:space="0" w:color="auto"/>
        <w:right w:val="none" w:sz="0" w:space="0" w:color="auto"/>
      </w:divBdr>
    </w:div>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 w:id="18717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dh.oas.org/annualrep/2003sp/Jamaica.191.02.htm" TargetMode="External"/><Relationship Id="rId4" Type="http://schemas.openxmlformats.org/officeDocument/2006/relationships/styles" Target="styles.xml"/><Relationship Id="rId9" Type="http://schemas.openxmlformats.org/officeDocument/2006/relationships/hyperlink" Target="http://www.cidh.oas.org/annualrep/2005sp/Jamaica12418sp.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2005sp/Jamaica12418sp.htm" TargetMode="External"/><Relationship Id="rId13" Type="http://schemas.openxmlformats.org/officeDocument/2006/relationships/hyperlink" Target="http://www.cidh.oas.org/annualrep/2005sp/Jamaica12418sp.htm" TargetMode="External"/><Relationship Id="rId18" Type="http://schemas.openxmlformats.org/officeDocument/2006/relationships/hyperlink" Target="http://www.oas.org/es/cidh/docs/anual/2011/Cap3D.doc" TargetMode="External"/><Relationship Id="rId3" Type="http://schemas.openxmlformats.org/officeDocument/2006/relationships/hyperlink" Target="http://www.oas.org/es/cidh/docs/anual/2011/Cap3D.doc" TargetMode="External"/><Relationship Id="rId7" Type="http://schemas.openxmlformats.org/officeDocument/2006/relationships/hyperlink" Target="http://www.oas.org/es/cidh/docs/anual/2011/Cap3D.doc" TargetMode="External"/><Relationship Id="rId12" Type="http://schemas.openxmlformats.org/officeDocument/2006/relationships/hyperlink" Target="http://www.oas.org/es/cidh/docs/anual/2011/Cap3D.doc" TargetMode="External"/><Relationship Id="rId17" Type="http://schemas.openxmlformats.org/officeDocument/2006/relationships/hyperlink" Target="http://www.oas.org/es/cidh/docs/anual/2017/docs/IA2017cap.2-es.pdf" TargetMode="External"/><Relationship Id="rId2" Type="http://schemas.openxmlformats.org/officeDocument/2006/relationships/hyperlink" Target="http://www.cidh.oas.org/annualrep/2006sp/cap3d.2006.sp.htm" TargetMode="External"/><Relationship Id="rId16" Type="http://schemas.openxmlformats.org/officeDocument/2006/relationships/hyperlink" Target="http://www.oas.org/es/cidh/docs/anual/2011/Cap3D.doc" TargetMode="External"/><Relationship Id="rId1" Type="http://schemas.openxmlformats.org/officeDocument/2006/relationships/hyperlink" Target="http://www.cidh.oas.org/annualrep/2005sp/Jamaica12418sp.htm" TargetMode="External"/><Relationship Id="rId6" Type="http://schemas.openxmlformats.org/officeDocument/2006/relationships/hyperlink" Target="http://www.oas.org/es/cidh/docs/anual/2011/Cap3D.doc" TargetMode="External"/><Relationship Id="rId11" Type="http://schemas.openxmlformats.org/officeDocument/2006/relationships/hyperlink" Target="http://www.oas.org/es/cidh/docs/anual/2011/Cap3D.doc" TargetMode="External"/><Relationship Id="rId5" Type="http://schemas.openxmlformats.org/officeDocument/2006/relationships/hyperlink" Target="http://www.cidh.oas.org/annualrep/2005sp/Jamaica12418sp.htm" TargetMode="External"/><Relationship Id="rId15" Type="http://schemas.openxmlformats.org/officeDocument/2006/relationships/hyperlink" Target="https://www.oas.org/es/cidh/actividades/seguimiento/pdf/Directrices-es.pdf" TargetMode="External"/><Relationship Id="rId10" Type="http://schemas.openxmlformats.org/officeDocument/2006/relationships/hyperlink" Target="http://www.oas.org/es/cidh/docs/anual/2017/docs/IA2017cap.2-es.pdf" TargetMode="External"/><Relationship Id="rId19" Type="http://schemas.openxmlformats.org/officeDocument/2006/relationships/hyperlink" Target="http://www.oas.org/es/cidh/docs/anual/2011/Cap3D.doc" TargetMode="External"/><Relationship Id="rId4" Type="http://schemas.openxmlformats.org/officeDocument/2006/relationships/hyperlink" Target="http://www.oas.org/es/cidh/docs/anual/2017/docs/IA2017cap.2-es.pdf" TargetMode="External"/><Relationship Id="rId9" Type="http://schemas.openxmlformats.org/officeDocument/2006/relationships/hyperlink" Target="http://www.oas.org/es/cidh/docs/anual/2011/Cap3D.doc" TargetMode="External"/><Relationship Id="rId14" Type="http://schemas.openxmlformats.org/officeDocument/2006/relationships/hyperlink" Target="http://www.corteidh.or.cr/docs/casos/articulos/seriec_171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4CBD2BCE-B1DF-4834-8646-5A07989F3908}">
  <ds:schemaRefs>
    <ds:schemaRef ds:uri="http://schemas.openxmlformats.org/officeDocument/2006/bibliography"/>
  </ds:schemaRefs>
</ds:datastoreItem>
</file>

<file path=customXml/itemProps2.xml><?xml version="1.0" encoding="utf-8"?>
<ds:datastoreItem xmlns:ds="http://schemas.openxmlformats.org/officeDocument/2006/customXml" ds:itemID="{981CAFDD-87D2-4AC6-89C4-AEFF68B1647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33499</CharactersWithSpaces>
  <SharedDoc>false</SharedDoc>
  <HLinks>
    <vt:vector size="126" baseType="variant">
      <vt:variant>
        <vt:i4>3866743</vt:i4>
      </vt:variant>
      <vt:variant>
        <vt:i4>3</vt:i4>
      </vt:variant>
      <vt:variant>
        <vt:i4>0</vt:i4>
      </vt:variant>
      <vt:variant>
        <vt:i4>5</vt:i4>
      </vt:variant>
      <vt:variant>
        <vt:lpwstr>http://www.cidh.oas.org/annualrep/2003sp/Jamaica.191.02.htm</vt:lpwstr>
      </vt:variant>
      <vt:variant>
        <vt:lpwstr/>
      </vt:variant>
      <vt:variant>
        <vt:i4>8192049</vt:i4>
      </vt:variant>
      <vt:variant>
        <vt:i4>0</vt:i4>
      </vt:variant>
      <vt:variant>
        <vt:i4>0</vt:i4>
      </vt:variant>
      <vt:variant>
        <vt:i4>5</vt:i4>
      </vt:variant>
      <vt:variant>
        <vt:lpwstr>http://www.cidh.oas.org/annualrep/2005sp/Jamaica12418sp.htm</vt:lpwstr>
      </vt:variant>
      <vt:variant>
        <vt:lpwstr/>
      </vt:variant>
      <vt:variant>
        <vt:i4>852034</vt:i4>
      </vt:variant>
      <vt:variant>
        <vt:i4>54</vt:i4>
      </vt:variant>
      <vt:variant>
        <vt:i4>0</vt:i4>
      </vt:variant>
      <vt:variant>
        <vt:i4>5</vt:i4>
      </vt:variant>
      <vt:variant>
        <vt:lpwstr>http://www.oas.org/es/cidh/docs/anual/2011/Cap3D.doc</vt:lpwstr>
      </vt:variant>
      <vt:variant>
        <vt:lpwstr/>
      </vt:variant>
      <vt:variant>
        <vt:i4>852034</vt:i4>
      </vt:variant>
      <vt:variant>
        <vt:i4>51</vt:i4>
      </vt:variant>
      <vt:variant>
        <vt:i4>0</vt:i4>
      </vt:variant>
      <vt:variant>
        <vt:i4>5</vt:i4>
      </vt:variant>
      <vt:variant>
        <vt:lpwstr>http://www.oas.org/es/cidh/docs/anual/2011/Cap3D.doc</vt:lpwstr>
      </vt:variant>
      <vt:variant>
        <vt:lpwstr/>
      </vt:variant>
      <vt:variant>
        <vt:i4>3276841</vt:i4>
      </vt:variant>
      <vt:variant>
        <vt:i4>48</vt:i4>
      </vt:variant>
      <vt:variant>
        <vt:i4>0</vt:i4>
      </vt:variant>
      <vt:variant>
        <vt:i4>5</vt:i4>
      </vt:variant>
      <vt:variant>
        <vt:lpwstr>http://www.oas.org/es/cidh/docs/anual/2017/docs/IA2017cap.2-es.pdf</vt:lpwstr>
      </vt:variant>
      <vt:variant>
        <vt:lpwstr/>
      </vt:variant>
      <vt:variant>
        <vt:i4>852034</vt:i4>
      </vt:variant>
      <vt:variant>
        <vt:i4>45</vt:i4>
      </vt:variant>
      <vt:variant>
        <vt:i4>0</vt:i4>
      </vt:variant>
      <vt:variant>
        <vt:i4>5</vt:i4>
      </vt:variant>
      <vt:variant>
        <vt:lpwstr>http://www.oas.org/es/cidh/docs/anual/2011/Cap3D.doc</vt:lpwstr>
      </vt:variant>
      <vt:variant>
        <vt:lpwstr/>
      </vt:variant>
      <vt:variant>
        <vt:i4>8192052</vt:i4>
      </vt:variant>
      <vt:variant>
        <vt:i4>42</vt:i4>
      </vt:variant>
      <vt:variant>
        <vt:i4>0</vt:i4>
      </vt:variant>
      <vt:variant>
        <vt:i4>5</vt:i4>
      </vt:variant>
      <vt:variant>
        <vt:lpwstr>https://www.oas.org/es/cidh/actividades/seguimiento/pdf/Directrices-es.pdf</vt:lpwstr>
      </vt:variant>
      <vt:variant>
        <vt:lpwstr/>
      </vt:variant>
      <vt:variant>
        <vt:i4>5701716</vt:i4>
      </vt:variant>
      <vt:variant>
        <vt:i4>39</vt:i4>
      </vt:variant>
      <vt:variant>
        <vt:i4>0</vt:i4>
      </vt:variant>
      <vt:variant>
        <vt:i4>5</vt:i4>
      </vt:variant>
      <vt:variant>
        <vt:lpwstr>http://www.corteidh.or.cr/docs/casos/articulos/seriec_171_esp.pdf</vt:lpwstr>
      </vt:variant>
      <vt:variant>
        <vt:lpwstr/>
      </vt:variant>
      <vt:variant>
        <vt:i4>8192049</vt:i4>
      </vt:variant>
      <vt:variant>
        <vt:i4>36</vt:i4>
      </vt:variant>
      <vt:variant>
        <vt:i4>0</vt:i4>
      </vt:variant>
      <vt:variant>
        <vt:i4>5</vt:i4>
      </vt:variant>
      <vt:variant>
        <vt:lpwstr>http://www.cidh.oas.org/annualrep/2005sp/Jamaica12418sp.htm</vt:lpwstr>
      </vt:variant>
      <vt:variant>
        <vt:lpwstr/>
      </vt:variant>
      <vt:variant>
        <vt:i4>852034</vt:i4>
      </vt:variant>
      <vt:variant>
        <vt:i4>33</vt:i4>
      </vt:variant>
      <vt:variant>
        <vt:i4>0</vt:i4>
      </vt:variant>
      <vt:variant>
        <vt:i4>5</vt:i4>
      </vt:variant>
      <vt:variant>
        <vt:lpwstr>http://www.oas.org/es/cidh/docs/anual/2011/Cap3D.doc</vt:lpwstr>
      </vt:variant>
      <vt:variant>
        <vt:lpwstr/>
      </vt:variant>
      <vt:variant>
        <vt:i4>852034</vt:i4>
      </vt:variant>
      <vt:variant>
        <vt:i4>30</vt:i4>
      </vt:variant>
      <vt:variant>
        <vt:i4>0</vt:i4>
      </vt:variant>
      <vt:variant>
        <vt:i4>5</vt:i4>
      </vt:variant>
      <vt:variant>
        <vt:lpwstr>http://www.oas.org/es/cidh/docs/anual/2011/Cap3D.doc</vt:lpwstr>
      </vt:variant>
      <vt:variant>
        <vt:lpwstr/>
      </vt:variant>
      <vt:variant>
        <vt:i4>3276841</vt:i4>
      </vt:variant>
      <vt:variant>
        <vt:i4>27</vt:i4>
      </vt:variant>
      <vt:variant>
        <vt:i4>0</vt:i4>
      </vt:variant>
      <vt:variant>
        <vt:i4>5</vt:i4>
      </vt:variant>
      <vt:variant>
        <vt:lpwstr>http://www.oas.org/es/cidh/docs/anual/2017/docs/IA2017cap.2-es.pdf</vt:lpwstr>
      </vt:variant>
      <vt:variant>
        <vt:lpwstr/>
      </vt:variant>
      <vt:variant>
        <vt:i4>852034</vt:i4>
      </vt:variant>
      <vt:variant>
        <vt:i4>24</vt:i4>
      </vt:variant>
      <vt:variant>
        <vt:i4>0</vt:i4>
      </vt:variant>
      <vt:variant>
        <vt:i4>5</vt:i4>
      </vt:variant>
      <vt:variant>
        <vt:lpwstr>http://www.oas.org/es/cidh/docs/anual/2011/Cap3D.doc</vt:lpwstr>
      </vt:variant>
      <vt:variant>
        <vt:lpwstr/>
      </vt:variant>
      <vt:variant>
        <vt:i4>8192049</vt:i4>
      </vt:variant>
      <vt:variant>
        <vt:i4>21</vt:i4>
      </vt:variant>
      <vt:variant>
        <vt:i4>0</vt:i4>
      </vt:variant>
      <vt:variant>
        <vt:i4>5</vt:i4>
      </vt:variant>
      <vt:variant>
        <vt:lpwstr>http://www.cidh.oas.org/annualrep/2005sp/Jamaica12418sp.htm</vt:lpwstr>
      </vt:variant>
      <vt:variant>
        <vt:lpwstr/>
      </vt:variant>
      <vt:variant>
        <vt:i4>852034</vt:i4>
      </vt:variant>
      <vt:variant>
        <vt:i4>18</vt:i4>
      </vt:variant>
      <vt:variant>
        <vt:i4>0</vt:i4>
      </vt:variant>
      <vt:variant>
        <vt:i4>5</vt:i4>
      </vt:variant>
      <vt:variant>
        <vt:lpwstr>http://www.oas.org/es/cidh/docs/anual/2011/Cap3D.doc</vt:lpwstr>
      </vt:variant>
      <vt:variant>
        <vt:lpwstr/>
      </vt:variant>
      <vt:variant>
        <vt:i4>852034</vt:i4>
      </vt:variant>
      <vt:variant>
        <vt:i4>15</vt:i4>
      </vt:variant>
      <vt:variant>
        <vt:i4>0</vt:i4>
      </vt:variant>
      <vt:variant>
        <vt:i4>5</vt:i4>
      </vt:variant>
      <vt:variant>
        <vt:lpwstr>http://www.oas.org/es/cidh/docs/anual/2011/Cap3D.doc</vt:lpwstr>
      </vt:variant>
      <vt:variant>
        <vt:lpwstr/>
      </vt:variant>
      <vt:variant>
        <vt:i4>8192049</vt:i4>
      </vt:variant>
      <vt:variant>
        <vt:i4>12</vt:i4>
      </vt:variant>
      <vt:variant>
        <vt:i4>0</vt:i4>
      </vt:variant>
      <vt:variant>
        <vt:i4>5</vt:i4>
      </vt:variant>
      <vt:variant>
        <vt:lpwstr>http://www.cidh.oas.org/annualrep/2005sp/Jamaica12418sp.htm</vt:lpwstr>
      </vt:variant>
      <vt:variant>
        <vt:lpwstr/>
      </vt:variant>
      <vt:variant>
        <vt:i4>3276841</vt:i4>
      </vt:variant>
      <vt:variant>
        <vt:i4>9</vt:i4>
      </vt:variant>
      <vt:variant>
        <vt:i4>0</vt:i4>
      </vt:variant>
      <vt:variant>
        <vt:i4>5</vt:i4>
      </vt:variant>
      <vt:variant>
        <vt:lpwstr>http://www.oas.org/es/cidh/docs/anual/2017/docs/IA2017cap.2-es.pdf</vt:lpwstr>
      </vt:variant>
      <vt:variant>
        <vt:lpwstr/>
      </vt:variant>
      <vt:variant>
        <vt:i4>852034</vt:i4>
      </vt:variant>
      <vt:variant>
        <vt:i4>6</vt:i4>
      </vt:variant>
      <vt:variant>
        <vt:i4>0</vt:i4>
      </vt:variant>
      <vt:variant>
        <vt:i4>5</vt:i4>
      </vt:variant>
      <vt:variant>
        <vt:lpwstr>http://www.oas.org/es/cidh/docs/anual/2011/Cap3D.doc</vt:lpwstr>
      </vt:variant>
      <vt:variant>
        <vt:lpwstr/>
      </vt:variant>
      <vt:variant>
        <vt:i4>7667748</vt:i4>
      </vt:variant>
      <vt:variant>
        <vt:i4>3</vt:i4>
      </vt:variant>
      <vt:variant>
        <vt:i4>0</vt:i4>
      </vt:variant>
      <vt:variant>
        <vt:i4>5</vt:i4>
      </vt:variant>
      <vt:variant>
        <vt:lpwstr>http://www.cidh.oas.org/annualrep/2006sp/cap3d.2006.sp.htm</vt:lpwstr>
      </vt:variant>
      <vt:variant>
        <vt:lpwstr/>
      </vt:variant>
      <vt:variant>
        <vt:i4>8192049</vt:i4>
      </vt:variant>
      <vt:variant>
        <vt:i4>0</vt:i4>
      </vt:variant>
      <vt:variant>
        <vt:i4>0</vt:i4>
      </vt:variant>
      <vt:variant>
        <vt:i4>5</vt:i4>
      </vt:variant>
      <vt:variant>
        <vt:lpwstr>http://www.cidh.oas.org/annualrep/2005sp/Jamaica12418sp.htm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2022-03-22T16:24:00Z</dcterms:created>
  <dcterms:modified xsi:type="dcterms:W3CDTF">2022-03-22T16:25:00Z</dcterms:modified>
</cp:coreProperties>
</file>