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724E" w14:textId="77777777" w:rsidR="002B1E1E" w:rsidRPr="004A440C" w:rsidRDefault="002B1E1E" w:rsidP="004B567F">
      <w:pPr>
        <w:pStyle w:val="NoSpacing"/>
        <w:ind w:right="-604"/>
        <w:rPr>
          <w:rFonts w:ascii="Cambria" w:hAnsi="Cambria"/>
          <w:b/>
          <w:color w:val="000000"/>
          <w:sz w:val="20"/>
          <w:szCs w:val="20"/>
          <w:lang w:val="es-ES"/>
        </w:rPr>
      </w:pPr>
    </w:p>
    <w:p w14:paraId="72E1D3A7" w14:textId="77777777" w:rsidR="00AD2DB9" w:rsidRPr="004A440C" w:rsidRDefault="00CA0830" w:rsidP="00AD2DB9">
      <w:pPr>
        <w:pStyle w:val="NoSpacing"/>
        <w:ind w:left="-720" w:right="-604"/>
        <w:jc w:val="center"/>
        <w:rPr>
          <w:rFonts w:ascii="Cambria" w:hAnsi="Cambria"/>
          <w:b/>
          <w:color w:val="000000"/>
          <w:sz w:val="20"/>
          <w:szCs w:val="20"/>
          <w:lang w:val="es-ES"/>
        </w:rPr>
      </w:pPr>
      <w:r w:rsidRPr="004A440C">
        <w:rPr>
          <w:rFonts w:ascii="Cambria" w:hAnsi="Cambria"/>
          <w:b/>
          <w:color w:val="000000"/>
          <w:sz w:val="20"/>
          <w:szCs w:val="20"/>
          <w:lang w:val="es-ES"/>
        </w:rPr>
        <w:t xml:space="preserve">FICHA DE SEGUIMIENTO DEL INFORME Nº </w:t>
      </w:r>
      <w:r w:rsidRPr="004A440C">
        <w:rPr>
          <w:rFonts w:ascii="Cambria" w:hAnsi="Cambria" w:cs="Calibri"/>
          <w:b/>
          <w:bCs/>
          <w:color w:val="000000"/>
          <w:sz w:val="20"/>
          <w:szCs w:val="20"/>
          <w:lang w:val="es-ES"/>
        </w:rPr>
        <w:t>80/07</w:t>
      </w:r>
    </w:p>
    <w:p w14:paraId="5C81AC25" w14:textId="77777777" w:rsidR="00AD2DB9" w:rsidRPr="004A440C" w:rsidRDefault="00CA0830" w:rsidP="00AD2DB9">
      <w:pPr>
        <w:pStyle w:val="NoSpacing"/>
        <w:ind w:left="-720" w:right="-604"/>
        <w:jc w:val="center"/>
        <w:rPr>
          <w:rFonts w:ascii="Cambria" w:hAnsi="Cambria"/>
          <w:b/>
          <w:color w:val="000000"/>
          <w:sz w:val="20"/>
          <w:szCs w:val="20"/>
          <w:lang w:val="es-ES"/>
        </w:rPr>
      </w:pPr>
      <w:r w:rsidRPr="004A440C">
        <w:rPr>
          <w:rFonts w:ascii="Cambria" w:hAnsi="Cambria"/>
          <w:b/>
          <w:color w:val="000000"/>
          <w:sz w:val="20"/>
          <w:szCs w:val="20"/>
          <w:lang w:val="es-ES"/>
        </w:rPr>
        <w:t>CASO 11.658</w:t>
      </w:r>
    </w:p>
    <w:p w14:paraId="75B5F8A8" w14:textId="77777777" w:rsidR="00AD2DB9" w:rsidRPr="004A440C" w:rsidRDefault="00CA0830" w:rsidP="00AD2DB9">
      <w:pPr>
        <w:pStyle w:val="NoSpacing"/>
        <w:ind w:left="-720" w:right="-604"/>
        <w:jc w:val="center"/>
        <w:rPr>
          <w:rFonts w:ascii="Cambria" w:hAnsi="Cambria"/>
          <w:b/>
          <w:color w:val="000000"/>
          <w:sz w:val="20"/>
          <w:szCs w:val="20"/>
          <w:lang w:val="es-ES"/>
        </w:rPr>
      </w:pPr>
      <w:r w:rsidRPr="004A440C">
        <w:rPr>
          <w:rFonts w:ascii="Cambria" w:hAnsi="Cambria"/>
          <w:b/>
          <w:color w:val="000000"/>
          <w:sz w:val="20"/>
          <w:szCs w:val="20"/>
          <w:lang w:val="es-ES"/>
        </w:rPr>
        <w:t>MARTÍN PELICÓ COXIC</w:t>
      </w:r>
    </w:p>
    <w:p w14:paraId="6111307A" w14:textId="77777777" w:rsidR="00AD2DB9" w:rsidRPr="004A440C" w:rsidRDefault="00AD2DB9" w:rsidP="00AD2DB9">
      <w:pPr>
        <w:pStyle w:val="NoSpacing"/>
        <w:ind w:left="-720" w:right="-604"/>
        <w:jc w:val="center"/>
        <w:rPr>
          <w:rFonts w:ascii="Cambria" w:hAnsi="Cambria"/>
          <w:b/>
          <w:color w:val="000000"/>
          <w:sz w:val="20"/>
          <w:szCs w:val="20"/>
          <w:lang w:val="es-ES"/>
        </w:rPr>
      </w:pPr>
      <w:r w:rsidRPr="004A440C">
        <w:rPr>
          <w:rFonts w:ascii="Cambria" w:hAnsi="Cambria"/>
          <w:b/>
          <w:color w:val="000000"/>
          <w:sz w:val="20"/>
          <w:szCs w:val="20"/>
          <w:lang w:val="es-ES"/>
        </w:rPr>
        <w:t>(Guatemala)</w:t>
      </w:r>
    </w:p>
    <w:p w14:paraId="6B7DA471" w14:textId="77777777" w:rsidR="00FC6379" w:rsidRPr="004A440C" w:rsidRDefault="00FC6379" w:rsidP="00AD2DB9">
      <w:pPr>
        <w:pStyle w:val="NoSpacing"/>
        <w:ind w:left="-720" w:right="-604"/>
        <w:jc w:val="center"/>
        <w:rPr>
          <w:rFonts w:ascii="Cambria" w:hAnsi="Cambria"/>
          <w:color w:val="000000"/>
          <w:sz w:val="20"/>
          <w:szCs w:val="20"/>
          <w:lang w:val="es-ES"/>
        </w:rPr>
      </w:pPr>
    </w:p>
    <w:p w14:paraId="4E1A6103" w14:textId="77777777" w:rsidR="00AD2DB9" w:rsidRPr="004A440C" w:rsidRDefault="00AD2DB9" w:rsidP="00FC6379">
      <w:pPr>
        <w:numPr>
          <w:ilvl w:val="0"/>
          <w:numId w:val="1"/>
        </w:numPr>
        <w:spacing w:after="0" w:line="240" w:lineRule="auto"/>
        <w:ind w:left="1440"/>
        <w:rPr>
          <w:rFonts w:ascii="Cambria" w:hAnsi="Cambria" w:cs="Calibri Light"/>
          <w:b/>
          <w:color w:val="000000"/>
          <w:sz w:val="20"/>
          <w:szCs w:val="20"/>
          <w:lang w:val="es-ES"/>
        </w:rPr>
      </w:pPr>
      <w:r w:rsidRPr="004A440C">
        <w:rPr>
          <w:rFonts w:ascii="Cambria" w:hAnsi="Cambria" w:cs="Calibri Light"/>
          <w:b/>
          <w:color w:val="000000"/>
          <w:sz w:val="20"/>
          <w:szCs w:val="20"/>
          <w:lang w:val="es-ES"/>
        </w:rPr>
        <w:t xml:space="preserve">Resumen del caso </w:t>
      </w:r>
    </w:p>
    <w:p w14:paraId="65088189" w14:textId="77777777" w:rsidR="00FC6379" w:rsidRPr="004A440C" w:rsidRDefault="00FC6379" w:rsidP="00FC6379">
      <w:pPr>
        <w:spacing w:after="0" w:line="240" w:lineRule="auto"/>
        <w:ind w:left="1440"/>
        <w:rPr>
          <w:rFonts w:ascii="Cambria" w:hAnsi="Cambria" w:cs="Calibri Light"/>
          <w:color w:val="000000"/>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AD2DB9" w:rsidRPr="004A440C" w14:paraId="48E9D6C4" w14:textId="77777777" w:rsidTr="00964455">
        <w:trPr>
          <w:jc w:val="center"/>
        </w:trPr>
        <w:tc>
          <w:tcPr>
            <w:tcW w:w="9409" w:type="dxa"/>
            <w:shd w:val="clear" w:color="auto" w:fill="F2F2F2"/>
          </w:tcPr>
          <w:p w14:paraId="125E4F9F" w14:textId="77777777" w:rsidR="00AD2DB9" w:rsidRPr="004A440C" w:rsidRDefault="00AD2DB9" w:rsidP="00CA0830">
            <w:pPr>
              <w:spacing w:before="120" w:after="0" w:line="240" w:lineRule="auto"/>
              <w:jc w:val="both"/>
              <w:rPr>
                <w:rFonts w:ascii="Cambria" w:hAnsi="Cambria"/>
                <w:b/>
                <w:color w:val="000000"/>
                <w:sz w:val="20"/>
                <w:szCs w:val="20"/>
                <w:lang w:val="es-ES"/>
              </w:rPr>
            </w:pPr>
            <w:r w:rsidRPr="004A440C">
              <w:rPr>
                <w:rFonts w:ascii="Cambria" w:hAnsi="Cambria"/>
                <w:b/>
                <w:color w:val="000000"/>
                <w:sz w:val="20"/>
                <w:szCs w:val="20"/>
                <w:lang w:val="es-ES"/>
              </w:rPr>
              <w:t>Víctima (s):</w:t>
            </w:r>
            <w:r w:rsidR="00CA0830" w:rsidRPr="004A440C">
              <w:rPr>
                <w:rFonts w:ascii="Cambria" w:hAnsi="Cambria"/>
                <w:b/>
                <w:color w:val="000000"/>
                <w:sz w:val="20"/>
                <w:szCs w:val="20"/>
                <w:lang w:val="es-ES"/>
              </w:rPr>
              <w:t xml:space="preserve"> Martín Pelicó Coxic</w:t>
            </w:r>
          </w:p>
          <w:p w14:paraId="47213AFD" w14:textId="77777777" w:rsidR="00AD2DB9" w:rsidRPr="004A440C" w:rsidRDefault="00FC6379" w:rsidP="000D680A">
            <w:pPr>
              <w:pStyle w:val="NoSpacing"/>
              <w:jc w:val="both"/>
              <w:rPr>
                <w:rFonts w:ascii="Cambria" w:hAnsi="Cambria"/>
                <w:color w:val="000000"/>
                <w:sz w:val="20"/>
                <w:szCs w:val="20"/>
                <w:lang w:val="es-ES"/>
              </w:rPr>
            </w:pPr>
            <w:r w:rsidRPr="004A440C">
              <w:rPr>
                <w:rFonts w:ascii="Cambria" w:hAnsi="Cambria"/>
                <w:b/>
                <w:color w:val="000000"/>
                <w:sz w:val="20"/>
                <w:szCs w:val="20"/>
                <w:lang w:val="es-ES"/>
              </w:rPr>
              <w:t>Peticionario</w:t>
            </w:r>
            <w:r w:rsidR="00AD2DB9" w:rsidRPr="004A440C">
              <w:rPr>
                <w:rFonts w:ascii="Cambria" w:hAnsi="Cambria"/>
                <w:b/>
                <w:color w:val="000000"/>
                <w:sz w:val="20"/>
                <w:szCs w:val="20"/>
                <w:lang w:val="es-ES"/>
              </w:rPr>
              <w:t xml:space="preserve"> (s): </w:t>
            </w:r>
            <w:r w:rsidR="00AD2DB9" w:rsidRPr="004A440C">
              <w:rPr>
                <w:rFonts w:ascii="Cambria" w:hAnsi="Cambria"/>
                <w:color w:val="000000"/>
                <w:sz w:val="20"/>
                <w:szCs w:val="20"/>
                <w:lang w:val="es-ES"/>
              </w:rPr>
              <w:t xml:space="preserve">Consejo de Comunidades Étnicas Runujel Junam (CERJ) </w:t>
            </w:r>
          </w:p>
          <w:p w14:paraId="60E0C689" w14:textId="77777777" w:rsidR="00AD2DB9" w:rsidRPr="004A440C" w:rsidRDefault="00AD2DB9" w:rsidP="000D680A">
            <w:pPr>
              <w:pStyle w:val="NoSpacing"/>
              <w:jc w:val="both"/>
              <w:rPr>
                <w:rFonts w:ascii="Cambria" w:hAnsi="Cambria"/>
                <w:color w:val="000000"/>
                <w:sz w:val="20"/>
                <w:szCs w:val="20"/>
                <w:lang w:val="es-ES"/>
              </w:rPr>
            </w:pPr>
            <w:r w:rsidRPr="004A440C">
              <w:rPr>
                <w:rFonts w:ascii="Cambria" w:hAnsi="Cambria"/>
                <w:b/>
                <w:color w:val="000000"/>
                <w:sz w:val="20"/>
                <w:szCs w:val="20"/>
                <w:lang w:val="es-ES"/>
              </w:rPr>
              <w:t>Estado:</w:t>
            </w:r>
            <w:r w:rsidRPr="004A440C">
              <w:rPr>
                <w:rFonts w:ascii="Cambria" w:hAnsi="Cambria"/>
                <w:color w:val="000000"/>
                <w:sz w:val="20"/>
                <w:szCs w:val="20"/>
                <w:lang w:val="es-ES"/>
              </w:rPr>
              <w:t xml:space="preserve"> Guatemala</w:t>
            </w:r>
          </w:p>
          <w:p w14:paraId="2A2D72AD" w14:textId="77777777" w:rsidR="00AD2DB9" w:rsidRPr="004A440C" w:rsidRDefault="00AD2DB9" w:rsidP="000D680A">
            <w:pPr>
              <w:pStyle w:val="NoSpacing"/>
              <w:jc w:val="both"/>
              <w:rPr>
                <w:rFonts w:ascii="Cambria" w:hAnsi="Cambria"/>
                <w:color w:val="000000"/>
                <w:sz w:val="20"/>
                <w:szCs w:val="20"/>
                <w:lang w:val="es-ES"/>
              </w:rPr>
            </w:pPr>
            <w:r w:rsidRPr="004A440C">
              <w:rPr>
                <w:rFonts w:ascii="Cambria" w:hAnsi="Cambria"/>
                <w:b/>
                <w:color w:val="000000"/>
                <w:sz w:val="20"/>
                <w:szCs w:val="20"/>
                <w:lang w:val="es-ES"/>
              </w:rPr>
              <w:t xml:space="preserve">Informe de Fondo </w:t>
            </w:r>
            <w:r w:rsidR="002A1893" w:rsidRPr="004A440C">
              <w:rPr>
                <w:rFonts w:ascii="Cambria" w:hAnsi="Cambria"/>
                <w:b/>
                <w:color w:val="000000"/>
                <w:sz w:val="20"/>
                <w:szCs w:val="20"/>
                <w:lang w:val="es-ES"/>
              </w:rPr>
              <w:t>N</w:t>
            </w:r>
            <w:r w:rsidRPr="004A440C">
              <w:rPr>
                <w:rFonts w:ascii="Cambria" w:hAnsi="Cambria"/>
                <w:b/>
                <w:color w:val="000000"/>
                <w:sz w:val="20"/>
                <w:szCs w:val="20"/>
                <w:lang w:val="es-ES"/>
              </w:rPr>
              <w:t>º</w:t>
            </w:r>
            <w:r w:rsidR="00FC6379" w:rsidRPr="004A440C">
              <w:rPr>
                <w:rFonts w:ascii="Cambria" w:hAnsi="Cambria"/>
                <w:b/>
                <w:color w:val="000000"/>
                <w:sz w:val="20"/>
                <w:szCs w:val="20"/>
                <w:lang w:val="es-ES"/>
              </w:rPr>
              <w:t>:</w:t>
            </w:r>
            <w:r w:rsidRPr="004A440C">
              <w:rPr>
                <w:rFonts w:ascii="Cambria" w:hAnsi="Cambria"/>
                <w:b/>
                <w:color w:val="000000"/>
                <w:sz w:val="20"/>
                <w:szCs w:val="20"/>
                <w:lang w:val="es-ES"/>
              </w:rPr>
              <w:t xml:space="preserve"> </w:t>
            </w:r>
            <w:hyperlink r:id="rId9" w:history="1">
              <w:r w:rsidRPr="004A440C">
                <w:rPr>
                  <w:rStyle w:val="Hyperlink"/>
                  <w:rFonts w:ascii="Cambria" w:hAnsi="Cambria"/>
                  <w:color w:val="000000"/>
                  <w:sz w:val="20"/>
                  <w:szCs w:val="20"/>
                  <w:lang w:val="es-ES"/>
                </w:rPr>
                <w:t>80/</w:t>
              </w:r>
              <w:r w:rsidRPr="004A440C">
                <w:rPr>
                  <w:rStyle w:val="Hyperlink"/>
                  <w:rFonts w:ascii="Cambria" w:hAnsi="Cambria"/>
                  <w:color w:val="000000"/>
                  <w:sz w:val="20"/>
                  <w:szCs w:val="20"/>
                  <w:lang w:val="es-ES"/>
                </w:rPr>
                <w:t>0</w:t>
              </w:r>
              <w:r w:rsidRPr="004A440C">
                <w:rPr>
                  <w:rStyle w:val="Hyperlink"/>
                  <w:rFonts w:ascii="Cambria" w:hAnsi="Cambria"/>
                  <w:color w:val="000000"/>
                  <w:sz w:val="20"/>
                  <w:szCs w:val="20"/>
                  <w:lang w:val="es-ES"/>
                </w:rPr>
                <w:t>7</w:t>
              </w:r>
            </w:hyperlink>
            <w:r w:rsidRPr="004A440C">
              <w:rPr>
                <w:rFonts w:ascii="Cambria" w:hAnsi="Cambria"/>
                <w:color w:val="000000"/>
                <w:sz w:val="20"/>
                <w:szCs w:val="20"/>
                <w:lang w:val="es-ES"/>
              </w:rPr>
              <w:t>, publicado el 15 de octubre de 2007.</w:t>
            </w:r>
          </w:p>
          <w:p w14:paraId="2C9528D2" w14:textId="77777777" w:rsidR="00AD2DB9" w:rsidRPr="004A440C" w:rsidRDefault="00AD2DB9" w:rsidP="000D680A">
            <w:pPr>
              <w:pStyle w:val="NoSpacing"/>
              <w:jc w:val="both"/>
              <w:rPr>
                <w:rFonts w:ascii="Cambria" w:hAnsi="Cambria"/>
                <w:color w:val="000000"/>
                <w:sz w:val="20"/>
                <w:szCs w:val="20"/>
                <w:lang w:val="es-ES"/>
              </w:rPr>
            </w:pPr>
            <w:r w:rsidRPr="004A440C">
              <w:rPr>
                <w:rFonts w:ascii="Cambria" w:hAnsi="Cambria"/>
                <w:b/>
                <w:color w:val="000000"/>
                <w:sz w:val="20"/>
                <w:szCs w:val="20"/>
                <w:lang w:val="es-ES"/>
              </w:rPr>
              <w:t>Informe de Admisibilidad:</w:t>
            </w:r>
            <w:r w:rsidRPr="004A440C">
              <w:rPr>
                <w:rFonts w:ascii="Cambria" w:hAnsi="Cambria"/>
                <w:color w:val="000000"/>
                <w:sz w:val="20"/>
                <w:szCs w:val="20"/>
                <w:lang w:val="es-ES"/>
              </w:rPr>
              <w:t xml:space="preserve"> Analizado junto con el Informe de Fondo </w:t>
            </w:r>
            <w:r w:rsidR="002A1893" w:rsidRPr="004A440C">
              <w:rPr>
                <w:rFonts w:ascii="Cambria" w:hAnsi="Cambria"/>
                <w:color w:val="000000"/>
                <w:sz w:val="20"/>
                <w:szCs w:val="20"/>
                <w:lang w:val="es-ES"/>
              </w:rPr>
              <w:t>N</w:t>
            </w:r>
            <w:r w:rsidRPr="004A440C">
              <w:rPr>
                <w:rFonts w:ascii="Cambria" w:hAnsi="Cambria"/>
                <w:color w:val="000000"/>
                <w:sz w:val="20"/>
                <w:szCs w:val="20"/>
                <w:lang w:val="es-ES"/>
              </w:rPr>
              <w:t>º 80/07</w:t>
            </w:r>
            <w:r w:rsidR="001D50BE" w:rsidRPr="004A440C">
              <w:rPr>
                <w:rFonts w:ascii="Cambria" w:hAnsi="Cambria"/>
                <w:color w:val="000000"/>
                <w:sz w:val="20"/>
                <w:szCs w:val="20"/>
                <w:lang w:val="es-ES"/>
              </w:rPr>
              <w:t>.</w:t>
            </w:r>
          </w:p>
          <w:p w14:paraId="714BCF30" w14:textId="77777777" w:rsidR="00C21971" w:rsidRPr="004A440C" w:rsidRDefault="00C21971" w:rsidP="000D680A">
            <w:pPr>
              <w:pStyle w:val="NoSpacing"/>
              <w:jc w:val="both"/>
              <w:rPr>
                <w:rFonts w:ascii="Cambria" w:hAnsi="Cambria"/>
                <w:color w:val="000000"/>
                <w:sz w:val="20"/>
                <w:szCs w:val="20"/>
                <w:lang w:val="es-ES"/>
              </w:rPr>
            </w:pPr>
            <w:r w:rsidRPr="004A440C">
              <w:rPr>
                <w:rFonts w:ascii="Cambria" w:hAnsi="Cambria"/>
                <w:b/>
                <w:color w:val="000000"/>
                <w:sz w:val="20"/>
                <w:szCs w:val="20"/>
                <w:lang w:val="es-ES"/>
              </w:rPr>
              <w:t>Acuerdo de cumplimiento de recomendaciones:</w:t>
            </w:r>
            <w:r w:rsidRPr="004A440C">
              <w:rPr>
                <w:rFonts w:ascii="Cambria" w:hAnsi="Cambria" w:cs="Calibri Light"/>
                <w:color w:val="000000"/>
                <w:sz w:val="20"/>
                <w:szCs w:val="20"/>
                <w:lang w:val="es-ES"/>
              </w:rPr>
              <w:t xml:space="preserve"> firmado en el 19 de julio de 2005</w:t>
            </w:r>
            <w:r w:rsidR="001D50BE" w:rsidRPr="004A440C">
              <w:rPr>
                <w:rFonts w:ascii="Cambria" w:hAnsi="Cambria" w:cs="Calibri Light"/>
                <w:color w:val="000000"/>
                <w:sz w:val="20"/>
                <w:szCs w:val="20"/>
                <w:lang w:val="es-ES"/>
              </w:rPr>
              <w:t>.</w:t>
            </w:r>
          </w:p>
          <w:p w14:paraId="0458488C" w14:textId="77777777" w:rsidR="00770A91" w:rsidRPr="004A440C" w:rsidRDefault="00AD2DB9" w:rsidP="00CA0830">
            <w:pPr>
              <w:spacing w:after="120" w:line="240" w:lineRule="auto"/>
              <w:jc w:val="both"/>
              <w:rPr>
                <w:rFonts w:ascii="Cambria" w:hAnsi="Cambria"/>
                <w:color w:val="000000"/>
                <w:sz w:val="20"/>
                <w:szCs w:val="20"/>
                <w:lang w:val="es-CO"/>
              </w:rPr>
            </w:pPr>
            <w:r w:rsidRPr="004A440C">
              <w:rPr>
                <w:rFonts w:ascii="Cambria" w:hAnsi="Cambria"/>
                <w:b/>
                <w:color w:val="000000"/>
                <w:sz w:val="20"/>
                <w:szCs w:val="20"/>
                <w:lang w:val="es-ES"/>
              </w:rPr>
              <w:t>Temas:</w:t>
            </w:r>
            <w:r w:rsidRPr="004A440C">
              <w:rPr>
                <w:rFonts w:ascii="Cambria" w:hAnsi="Cambria"/>
                <w:color w:val="000000"/>
                <w:sz w:val="20"/>
                <w:szCs w:val="20"/>
                <w:lang w:val="es-ES"/>
              </w:rPr>
              <w:t xml:space="preserve"> </w:t>
            </w:r>
            <w:r w:rsidR="00770A91" w:rsidRPr="004A440C">
              <w:rPr>
                <w:rFonts w:ascii="Cambria" w:hAnsi="Cambria"/>
                <w:color w:val="000000"/>
                <w:sz w:val="20"/>
                <w:szCs w:val="20"/>
                <w:lang w:val="es-ES"/>
              </w:rPr>
              <w:t xml:space="preserve">Derecho a la Vida / </w:t>
            </w:r>
            <w:r w:rsidR="00A075F1" w:rsidRPr="004A440C">
              <w:rPr>
                <w:rFonts w:ascii="Cambria" w:hAnsi="Cambria"/>
                <w:color w:val="000000"/>
                <w:sz w:val="20"/>
                <w:szCs w:val="20"/>
                <w:lang w:val="es-ES"/>
              </w:rPr>
              <w:t xml:space="preserve">Derecho a la Integridad Personal / Garantías Judiciales / Protección Judicial / </w:t>
            </w:r>
            <w:r w:rsidR="00770A91" w:rsidRPr="004A440C">
              <w:rPr>
                <w:rFonts w:ascii="Cambria" w:eastAsia="Times New Roman" w:hAnsi="Cambria"/>
                <w:color w:val="000000"/>
                <w:sz w:val="20"/>
                <w:szCs w:val="20"/>
                <w:lang w:val="es-MX" w:eastAsia="es-MX"/>
              </w:rPr>
              <w:t xml:space="preserve">Ejecuciones sumarias, extrajudiciales o arbitrarias / </w:t>
            </w:r>
            <w:r w:rsidR="00A075F1" w:rsidRPr="004A440C">
              <w:rPr>
                <w:rFonts w:ascii="Cambria" w:eastAsia="Times New Roman" w:hAnsi="Cambria"/>
                <w:color w:val="000000"/>
                <w:sz w:val="20"/>
                <w:szCs w:val="20"/>
                <w:lang w:val="es-MX" w:eastAsia="es-MX"/>
              </w:rPr>
              <w:t>Investigación y Debida Diligencia</w:t>
            </w:r>
          </w:p>
          <w:p w14:paraId="49E3C9BF" w14:textId="77777777" w:rsidR="00AD2DB9" w:rsidRPr="004A440C" w:rsidRDefault="00AD2DB9" w:rsidP="00CA0830">
            <w:pPr>
              <w:spacing w:after="120" w:line="240" w:lineRule="auto"/>
              <w:jc w:val="both"/>
              <w:rPr>
                <w:rFonts w:ascii="Cambria" w:hAnsi="Cambria"/>
                <w:color w:val="000000"/>
                <w:sz w:val="20"/>
                <w:szCs w:val="20"/>
                <w:lang w:val="es-ES"/>
              </w:rPr>
            </w:pPr>
            <w:r w:rsidRPr="004A440C">
              <w:rPr>
                <w:rFonts w:ascii="Cambria" w:hAnsi="Cambria"/>
                <w:b/>
                <w:color w:val="000000"/>
                <w:sz w:val="20"/>
                <w:szCs w:val="20"/>
                <w:lang w:val="es-ES"/>
              </w:rPr>
              <w:t>Hechos:</w:t>
            </w:r>
            <w:r w:rsidRPr="004A440C">
              <w:rPr>
                <w:rFonts w:ascii="Cambria" w:hAnsi="Cambria"/>
                <w:color w:val="000000"/>
                <w:sz w:val="20"/>
                <w:szCs w:val="20"/>
                <w:lang w:val="es-ES"/>
              </w:rPr>
              <w:t xml:space="preserve"> </w:t>
            </w:r>
            <w:bookmarkStart w:id="0" w:name="_Hlk90457150"/>
            <w:r w:rsidRPr="004A440C">
              <w:rPr>
                <w:rFonts w:ascii="Cambria" w:hAnsi="Cambria"/>
                <w:color w:val="000000"/>
                <w:sz w:val="20"/>
                <w:szCs w:val="20"/>
                <w:lang w:val="es-ES"/>
              </w:rPr>
              <w:t>El día 27 de junio de 1995</w:t>
            </w:r>
            <w:r w:rsidR="00BC6CAB" w:rsidRPr="004A440C">
              <w:rPr>
                <w:rFonts w:ascii="Cambria" w:hAnsi="Cambria"/>
                <w:color w:val="000000"/>
                <w:sz w:val="20"/>
                <w:szCs w:val="20"/>
                <w:lang w:val="es-ES"/>
              </w:rPr>
              <w:t>,</w:t>
            </w:r>
            <w:r w:rsidRPr="004A440C">
              <w:rPr>
                <w:rFonts w:ascii="Cambria" w:hAnsi="Cambria"/>
                <w:color w:val="000000"/>
                <w:sz w:val="20"/>
                <w:szCs w:val="20"/>
                <w:lang w:val="es-ES"/>
              </w:rPr>
              <w:t xml:space="preserve"> el señor Martín Pelicó Coxic, indígena maya, promotor de derechos humanos y miembro activo del Consejo de Comunidades Étnicas Runujel Junam (CERJ), fue ejecutado arbitrariamente por miembros de las Patrullas de Autodefensa Civil (en adelante las "PAC"). Con posterioridad a la ejecución arbitraria del señor Pelicó, familiares, testigos y abogados de la parte acusadora particular recibieron una serie de amenazas, incluso de muerte, por parte de miembros de las PAC y solicitaron medidas cautelares en favor de la señora Rosario Hernández Grave y los señores Manuel Hernández Ajbac, Manuel Mendoza Jolocomox, Jesús Chaperón Marroquín, Gustavo</w:t>
            </w:r>
            <w:r w:rsidR="00CA0830" w:rsidRPr="004A440C">
              <w:rPr>
                <w:rFonts w:ascii="Cambria" w:hAnsi="Cambria"/>
                <w:color w:val="000000"/>
                <w:sz w:val="20"/>
                <w:szCs w:val="20"/>
                <w:lang w:val="es-ES"/>
              </w:rPr>
              <w:t xml:space="preserve"> Vásquez Peralta y Rogelio CánsI.</w:t>
            </w:r>
            <w:bookmarkEnd w:id="0"/>
          </w:p>
          <w:p w14:paraId="42BF88A4" w14:textId="77777777" w:rsidR="00AD2DB9" w:rsidRPr="004A440C" w:rsidRDefault="00AD2DB9" w:rsidP="00CA0830">
            <w:pPr>
              <w:spacing w:after="120" w:line="240" w:lineRule="auto"/>
              <w:jc w:val="both"/>
              <w:rPr>
                <w:rFonts w:ascii="Cambria" w:hAnsi="Cambria"/>
                <w:color w:val="000000"/>
                <w:sz w:val="20"/>
                <w:szCs w:val="20"/>
                <w:lang w:val="es-ES"/>
              </w:rPr>
            </w:pPr>
            <w:r w:rsidRPr="004A440C">
              <w:rPr>
                <w:rFonts w:ascii="Cambria" w:hAnsi="Cambria"/>
                <w:b/>
                <w:color w:val="000000"/>
                <w:sz w:val="20"/>
                <w:szCs w:val="20"/>
                <w:lang w:val="es-ES"/>
              </w:rPr>
              <w:t>Derechos violados:</w:t>
            </w:r>
            <w:r w:rsidRPr="004A440C">
              <w:rPr>
                <w:rFonts w:ascii="Cambria" w:hAnsi="Cambria"/>
                <w:color w:val="000000"/>
                <w:sz w:val="20"/>
                <w:szCs w:val="20"/>
                <w:lang w:val="es-ES"/>
              </w:rPr>
              <w:t xml:space="preserve"> La Comisión concluye que el Estado de Guatemala violó el derecho a la vida por la ejecución extrajudicial realizada por agentes del Estado el día 27 de junio de 1995, en perjuicio de Martín Pelicó Coxic, de conformidad con el artículo 4 de la Convención Americana, en relación con el artículo 1.1 de dicho instrumento. Asimismo, la Comisión concluye que el Estado de Guatemala es responsable por la violación del derecho a la integridad personal, a las garantías judiciales y a la protección judicial, de conformidad con los artículos 5, 8 y 25 de la Convención Americana, en relación con el artículo 1.1 de dicho instrumento, por los hechos ocurridos el 27 de junio de 1995 y sus consecuencias de impunidad, en perjuicio de Martín Pelicó Coxic y sus familiares.</w:t>
            </w:r>
          </w:p>
        </w:tc>
      </w:tr>
    </w:tbl>
    <w:p w14:paraId="4DE0F937" w14:textId="77777777" w:rsidR="00AD2DB9" w:rsidRPr="004A440C" w:rsidRDefault="00AD2DB9" w:rsidP="00AD2DB9">
      <w:pPr>
        <w:spacing w:after="0" w:line="240" w:lineRule="auto"/>
        <w:ind w:left="180"/>
        <w:rPr>
          <w:rFonts w:ascii="Cambria" w:hAnsi="Cambria"/>
          <w:color w:val="000000"/>
          <w:sz w:val="20"/>
          <w:szCs w:val="20"/>
          <w:lang w:val="es-ES"/>
        </w:rPr>
      </w:pPr>
    </w:p>
    <w:p w14:paraId="4AC58EEB" w14:textId="77777777" w:rsidR="00AD2DB9" w:rsidRPr="004A440C" w:rsidRDefault="00AD2DB9" w:rsidP="00FC6379">
      <w:pPr>
        <w:numPr>
          <w:ilvl w:val="0"/>
          <w:numId w:val="1"/>
        </w:numPr>
        <w:spacing w:after="0" w:line="240" w:lineRule="auto"/>
        <w:ind w:left="1440"/>
        <w:jc w:val="both"/>
        <w:rPr>
          <w:rFonts w:ascii="Cambria" w:hAnsi="Cambria" w:cs="Calibri Light"/>
          <w:b/>
          <w:color w:val="000000"/>
          <w:sz w:val="20"/>
          <w:szCs w:val="20"/>
          <w:lang w:val="es-ES"/>
        </w:rPr>
      </w:pPr>
      <w:r w:rsidRPr="004A440C">
        <w:rPr>
          <w:rFonts w:ascii="Cambria" w:hAnsi="Cambria" w:cs="Calibri Light"/>
          <w:b/>
          <w:color w:val="000000"/>
          <w:sz w:val="20"/>
          <w:szCs w:val="20"/>
          <w:lang w:val="es-ES"/>
        </w:rPr>
        <w:t xml:space="preserve">Recomendaciones </w:t>
      </w:r>
    </w:p>
    <w:p w14:paraId="1808A258" w14:textId="77777777" w:rsidR="00AD2DB9" w:rsidRPr="004A440C" w:rsidRDefault="00AD2DB9" w:rsidP="00AD2DB9">
      <w:pPr>
        <w:spacing w:after="0" w:line="240" w:lineRule="auto"/>
        <w:ind w:left="1080"/>
        <w:jc w:val="both"/>
        <w:rPr>
          <w:rFonts w:ascii="Cambria" w:hAnsi="Cambria" w:cs="Calibri Light"/>
          <w:color w:val="000000"/>
          <w:sz w:val="20"/>
          <w:szCs w:val="20"/>
          <w:lang w:val="es-E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AD2DB9" w:rsidRPr="004A440C" w14:paraId="141C527A" w14:textId="77777777" w:rsidTr="00016B8F">
        <w:tc>
          <w:tcPr>
            <w:tcW w:w="7020" w:type="dxa"/>
            <w:shd w:val="clear" w:color="auto" w:fill="auto"/>
            <w:vAlign w:val="center"/>
          </w:tcPr>
          <w:p w14:paraId="1E48BCB3" w14:textId="77777777" w:rsidR="00AD2DB9" w:rsidRPr="004A440C" w:rsidRDefault="00AD2DB9" w:rsidP="000D680A">
            <w:pPr>
              <w:spacing w:after="0" w:line="240" w:lineRule="auto"/>
              <w:jc w:val="center"/>
              <w:rPr>
                <w:rFonts w:ascii="Cambria" w:hAnsi="Cambria" w:cs="Calibri Light"/>
                <w:b/>
                <w:color w:val="000000"/>
                <w:sz w:val="18"/>
                <w:szCs w:val="18"/>
                <w:lang w:val="es-ES"/>
              </w:rPr>
            </w:pPr>
            <w:r w:rsidRPr="004A440C">
              <w:rPr>
                <w:rFonts w:ascii="Cambria" w:hAnsi="Cambria" w:cs="Calibri Light"/>
                <w:b/>
                <w:color w:val="000000"/>
                <w:sz w:val="18"/>
                <w:szCs w:val="18"/>
                <w:lang w:val="es-ES"/>
              </w:rPr>
              <w:t>Recomendaciones</w:t>
            </w:r>
          </w:p>
        </w:tc>
        <w:tc>
          <w:tcPr>
            <w:tcW w:w="2250" w:type="dxa"/>
            <w:shd w:val="clear" w:color="auto" w:fill="auto"/>
            <w:vAlign w:val="center"/>
          </w:tcPr>
          <w:p w14:paraId="677BD161" w14:textId="77777777" w:rsidR="00AD2DB9" w:rsidRPr="004A440C" w:rsidRDefault="00AD2DB9" w:rsidP="000D680A">
            <w:pPr>
              <w:spacing w:after="0" w:line="240" w:lineRule="auto"/>
              <w:jc w:val="center"/>
              <w:rPr>
                <w:rFonts w:ascii="Cambria" w:hAnsi="Cambria" w:cs="Calibri Light"/>
                <w:b/>
                <w:color w:val="000000"/>
                <w:sz w:val="18"/>
                <w:szCs w:val="18"/>
                <w:lang w:val="es-ES"/>
              </w:rPr>
            </w:pPr>
            <w:r w:rsidRPr="004A440C">
              <w:rPr>
                <w:rFonts w:ascii="Cambria" w:hAnsi="Cambria" w:cs="Calibri Light"/>
                <w:b/>
                <w:color w:val="000000"/>
                <w:sz w:val="18"/>
                <w:szCs w:val="18"/>
                <w:lang w:val="es-ES"/>
              </w:rPr>
              <w:t>E</w:t>
            </w:r>
            <w:r w:rsidR="00C21971" w:rsidRPr="004A440C">
              <w:rPr>
                <w:rFonts w:ascii="Cambria" w:hAnsi="Cambria" w:cs="Calibri Light"/>
                <w:b/>
                <w:color w:val="000000"/>
                <w:sz w:val="18"/>
                <w:szCs w:val="18"/>
                <w:lang w:val="es-ES"/>
              </w:rPr>
              <w:t>stado de cumplimiento en el 20</w:t>
            </w:r>
            <w:r w:rsidR="000F3C7A" w:rsidRPr="004A440C">
              <w:rPr>
                <w:rFonts w:ascii="Cambria" w:hAnsi="Cambria" w:cs="Calibri Light"/>
                <w:b/>
                <w:color w:val="000000"/>
                <w:sz w:val="18"/>
                <w:szCs w:val="18"/>
                <w:lang w:val="es-ES"/>
              </w:rPr>
              <w:t>21</w:t>
            </w:r>
          </w:p>
        </w:tc>
      </w:tr>
      <w:tr w:rsidR="00AD2DB9" w:rsidRPr="004A440C" w14:paraId="3350727B" w14:textId="77777777" w:rsidTr="00016B8F">
        <w:trPr>
          <w:trHeight w:val="863"/>
        </w:trPr>
        <w:tc>
          <w:tcPr>
            <w:tcW w:w="7020" w:type="dxa"/>
            <w:shd w:val="clear" w:color="auto" w:fill="auto"/>
          </w:tcPr>
          <w:p w14:paraId="1D94DCCD" w14:textId="77777777" w:rsidR="00AD2DB9" w:rsidRPr="004A440C" w:rsidRDefault="00AD2DB9" w:rsidP="000D680A">
            <w:pPr>
              <w:spacing w:after="0" w:line="240" w:lineRule="auto"/>
              <w:jc w:val="both"/>
              <w:rPr>
                <w:rFonts w:ascii="Cambria" w:hAnsi="Cambria"/>
                <w:color w:val="000000"/>
                <w:sz w:val="18"/>
                <w:szCs w:val="18"/>
                <w:lang w:val="es-ES"/>
              </w:rPr>
            </w:pPr>
            <w:r w:rsidRPr="004A440C">
              <w:rPr>
                <w:rFonts w:ascii="Cambria" w:hAnsi="Cambria"/>
                <w:color w:val="000000"/>
                <w:sz w:val="18"/>
                <w:szCs w:val="18"/>
                <w:lang w:val="es-ES"/>
              </w:rPr>
              <w:t>1. Realizar una investigación de manera completa, imparcial y efectiva de los hechos denunciados a fin de juzgar y sancionar a los responsables, materiales e intelectuales, de las violaciones a los derechos humanos cometidas en perjuicio de Martín Pelicó Coxic y sus familiares.</w:t>
            </w:r>
          </w:p>
        </w:tc>
        <w:tc>
          <w:tcPr>
            <w:tcW w:w="2250" w:type="dxa"/>
            <w:shd w:val="clear" w:color="auto" w:fill="auto"/>
            <w:vAlign w:val="center"/>
          </w:tcPr>
          <w:p w14:paraId="72E76D13" w14:textId="77777777" w:rsidR="00AD2DB9" w:rsidRPr="004A440C" w:rsidRDefault="00AD2DB9" w:rsidP="000D680A">
            <w:pPr>
              <w:spacing w:after="0" w:line="240" w:lineRule="auto"/>
              <w:jc w:val="center"/>
              <w:rPr>
                <w:rFonts w:ascii="Cambria" w:hAnsi="Cambria"/>
                <w:color w:val="000000"/>
                <w:sz w:val="18"/>
                <w:szCs w:val="18"/>
                <w:lang w:val="es-ES"/>
              </w:rPr>
            </w:pPr>
            <w:r w:rsidRPr="004A440C">
              <w:rPr>
                <w:rFonts w:ascii="Cambria" w:hAnsi="Cambria"/>
                <w:color w:val="000000"/>
                <w:sz w:val="18"/>
                <w:szCs w:val="18"/>
                <w:lang w:val="es-ES"/>
              </w:rPr>
              <w:t>Pendiente de cumplimiento</w:t>
            </w:r>
          </w:p>
        </w:tc>
      </w:tr>
      <w:tr w:rsidR="00AD2DB9" w:rsidRPr="004A440C" w14:paraId="10A31F25" w14:textId="77777777" w:rsidTr="00016B8F">
        <w:tc>
          <w:tcPr>
            <w:tcW w:w="7020" w:type="dxa"/>
            <w:shd w:val="clear" w:color="auto" w:fill="auto"/>
          </w:tcPr>
          <w:p w14:paraId="3044A6D6" w14:textId="77777777" w:rsidR="00AD2DB9" w:rsidRPr="004A440C" w:rsidRDefault="00AD2DB9" w:rsidP="000D680A">
            <w:pPr>
              <w:spacing w:after="0" w:line="240" w:lineRule="auto"/>
              <w:jc w:val="both"/>
              <w:rPr>
                <w:rFonts w:ascii="Cambria" w:hAnsi="Cambria"/>
                <w:color w:val="000000"/>
                <w:sz w:val="18"/>
                <w:szCs w:val="18"/>
                <w:lang w:val="es-ES"/>
              </w:rPr>
            </w:pPr>
            <w:r w:rsidRPr="004A440C">
              <w:rPr>
                <w:rFonts w:ascii="Cambria" w:hAnsi="Cambria"/>
                <w:color w:val="000000"/>
                <w:sz w:val="18"/>
                <w:szCs w:val="18"/>
                <w:lang w:val="es-ES"/>
              </w:rPr>
              <w:t>2. Evitar efectivamente el resurgimiento y reorganización de las Patrullas de Autodefensa Civil.</w:t>
            </w:r>
          </w:p>
        </w:tc>
        <w:tc>
          <w:tcPr>
            <w:tcW w:w="2250" w:type="dxa"/>
            <w:shd w:val="clear" w:color="auto" w:fill="auto"/>
            <w:vAlign w:val="center"/>
          </w:tcPr>
          <w:p w14:paraId="54C12487" w14:textId="77777777" w:rsidR="00AD2DB9" w:rsidRPr="004A440C" w:rsidRDefault="00AD2DB9" w:rsidP="000D680A">
            <w:pPr>
              <w:spacing w:after="0" w:line="240" w:lineRule="auto"/>
              <w:jc w:val="center"/>
              <w:rPr>
                <w:rFonts w:ascii="Cambria" w:hAnsi="Cambria"/>
                <w:color w:val="000000"/>
                <w:sz w:val="18"/>
                <w:szCs w:val="18"/>
                <w:lang w:val="es-ES"/>
              </w:rPr>
            </w:pPr>
            <w:r w:rsidRPr="004A440C">
              <w:rPr>
                <w:rFonts w:ascii="Cambria" w:hAnsi="Cambria"/>
                <w:color w:val="000000"/>
                <w:sz w:val="18"/>
                <w:szCs w:val="18"/>
                <w:lang w:val="es-ES"/>
              </w:rPr>
              <w:t>Cumplimiento total</w:t>
            </w:r>
          </w:p>
        </w:tc>
      </w:tr>
      <w:tr w:rsidR="00AD2DB9" w:rsidRPr="004A440C" w14:paraId="3ED2DDA8" w14:textId="77777777" w:rsidTr="00016B8F">
        <w:tc>
          <w:tcPr>
            <w:tcW w:w="7020" w:type="dxa"/>
            <w:shd w:val="clear" w:color="auto" w:fill="auto"/>
          </w:tcPr>
          <w:p w14:paraId="5CEE8896" w14:textId="77777777" w:rsidR="00AD2DB9" w:rsidRPr="004A440C" w:rsidRDefault="00AD2DB9" w:rsidP="000D680A">
            <w:pPr>
              <w:spacing w:after="0" w:line="240" w:lineRule="auto"/>
              <w:jc w:val="both"/>
              <w:rPr>
                <w:rFonts w:ascii="Cambria" w:hAnsi="Cambria"/>
                <w:color w:val="000000"/>
                <w:sz w:val="18"/>
                <w:szCs w:val="18"/>
                <w:lang w:val="es-ES"/>
              </w:rPr>
            </w:pPr>
            <w:r w:rsidRPr="004A440C">
              <w:rPr>
                <w:rFonts w:ascii="Cambria" w:hAnsi="Cambria"/>
                <w:color w:val="000000"/>
                <w:sz w:val="18"/>
                <w:szCs w:val="18"/>
                <w:lang w:val="es-ES"/>
              </w:rPr>
              <w:t xml:space="preserve">3. </w:t>
            </w:r>
            <w:bookmarkStart w:id="1" w:name="_Hlk90457251"/>
            <w:r w:rsidRPr="004A440C">
              <w:rPr>
                <w:rFonts w:ascii="Cambria" w:hAnsi="Cambria"/>
                <w:color w:val="000000"/>
                <w:sz w:val="18"/>
                <w:szCs w:val="18"/>
                <w:lang w:val="es-ES"/>
              </w:rPr>
              <w:t>Promover en Guatemala los principios establecidos en la “Declaración sobre el derecho y el deber de los individuos, los grupos y las instituciones, de promover y proteger los derechos humanos y las libertades fundamentales universalmente reconocidos" adoptada por Naciones Unidas, y se tomen las medidas necesarias para que se respete la libertad de expresión de quienes han asumido la tarea de trabajar por el respeto de los derechos fundamentales, y para que se proteja su vida e integridad personal.</w:t>
            </w:r>
            <w:bookmarkEnd w:id="1"/>
          </w:p>
        </w:tc>
        <w:tc>
          <w:tcPr>
            <w:tcW w:w="2250" w:type="dxa"/>
            <w:shd w:val="clear" w:color="auto" w:fill="auto"/>
            <w:vAlign w:val="center"/>
          </w:tcPr>
          <w:p w14:paraId="45FABA88" w14:textId="77777777" w:rsidR="00AD2DB9" w:rsidRPr="004A440C" w:rsidRDefault="00AD2DB9" w:rsidP="000D680A">
            <w:pPr>
              <w:spacing w:after="0" w:line="240" w:lineRule="auto"/>
              <w:jc w:val="center"/>
              <w:rPr>
                <w:rFonts w:ascii="Cambria" w:hAnsi="Cambria"/>
                <w:color w:val="000000"/>
                <w:sz w:val="18"/>
                <w:szCs w:val="18"/>
                <w:lang w:val="es-ES"/>
              </w:rPr>
            </w:pPr>
            <w:r w:rsidRPr="004A440C">
              <w:rPr>
                <w:rFonts w:ascii="Cambria" w:hAnsi="Cambria"/>
                <w:color w:val="000000"/>
                <w:sz w:val="18"/>
                <w:szCs w:val="18"/>
                <w:lang w:val="es-ES"/>
              </w:rPr>
              <w:t>Pendiente de cumplimiento</w:t>
            </w:r>
          </w:p>
        </w:tc>
      </w:tr>
      <w:tr w:rsidR="00AD2DB9" w:rsidRPr="004A440C" w14:paraId="31DA123D" w14:textId="77777777" w:rsidTr="00016B8F">
        <w:tc>
          <w:tcPr>
            <w:tcW w:w="7020" w:type="dxa"/>
            <w:shd w:val="clear" w:color="auto" w:fill="auto"/>
          </w:tcPr>
          <w:p w14:paraId="3A8E3F3D" w14:textId="77777777" w:rsidR="00AD2DB9" w:rsidRPr="004A440C" w:rsidRDefault="00AD2DB9" w:rsidP="000D680A">
            <w:pPr>
              <w:spacing w:after="0" w:line="240" w:lineRule="auto"/>
              <w:jc w:val="both"/>
              <w:rPr>
                <w:rFonts w:ascii="Cambria" w:hAnsi="Cambria"/>
                <w:color w:val="000000"/>
                <w:sz w:val="18"/>
                <w:szCs w:val="18"/>
                <w:lang w:val="es-ES"/>
              </w:rPr>
            </w:pPr>
            <w:bookmarkStart w:id="2" w:name="_Hlk90457311"/>
            <w:r w:rsidRPr="004A440C">
              <w:rPr>
                <w:rFonts w:ascii="Cambria" w:hAnsi="Cambria"/>
                <w:color w:val="000000"/>
                <w:sz w:val="18"/>
                <w:szCs w:val="18"/>
                <w:lang w:val="es-ES"/>
              </w:rPr>
              <w:lastRenderedPageBreak/>
              <w:t>4. Adoptar las medidas necesarias para evitar que en el futuro se produzcan hechos similares, conforme al deber de prevención y garantía de los derechos fundamentales reconocidos en la Convención Americana.</w:t>
            </w:r>
          </w:p>
        </w:tc>
        <w:tc>
          <w:tcPr>
            <w:tcW w:w="2250" w:type="dxa"/>
            <w:shd w:val="clear" w:color="auto" w:fill="auto"/>
            <w:vAlign w:val="center"/>
          </w:tcPr>
          <w:p w14:paraId="7E1CCC64" w14:textId="77777777" w:rsidR="00AD2DB9" w:rsidRPr="004A440C" w:rsidRDefault="00AD2DB9" w:rsidP="000D680A">
            <w:pPr>
              <w:spacing w:after="0" w:line="240" w:lineRule="auto"/>
              <w:jc w:val="center"/>
              <w:rPr>
                <w:rFonts w:ascii="Cambria" w:hAnsi="Cambria"/>
                <w:color w:val="000000"/>
                <w:sz w:val="18"/>
                <w:szCs w:val="18"/>
                <w:lang w:val="es-ES"/>
              </w:rPr>
            </w:pPr>
            <w:r w:rsidRPr="004A440C">
              <w:rPr>
                <w:rFonts w:ascii="Cambria" w:hAnsi="Cambria"/>
                <w:color w:val="000000"/>
                <w:sz w:val="18"/>
                <w:szCs w:val="18"/>
                <w:lang w:val="es-ES"/>
              </w:rPr>
              <w:t>Pendiente de cumplimiento</w:t>
            </w:r>
          </w:p>
        </w:tc>
      </w:tr>
      <w:bookmarkEnd w:id="2"/>
      <w:tr w:rsidR="00AD2DB9" w:rsidRPr="004A440C" w14:paraId="23EE0F1E" w14:textId="77777777" w:rsidTr="00016B8F">
        <w:tc>
          <w:tcPr>
            <w:tcW w:w="7020" w:type="dxa"/>
            <w:shd w:val="clear" w:color="auto" w:fill="auto"/>
          </w:tcPr>
          <w:p w14:paraId="15FA7605" w14:textId="77777777" w:rsidR="00AD2DB9" w:rsidRPr="004A440C" w:rsidRDefault="00AD2DB9" w:rsidP="000D680A">
            <w:pPr>
              <w:spacing w:after="0" w:line="240" w:lineRule="auto"/>
              <w:jc w:val="both"/>
              <w:rPr>
                <w:rFonts w:ascii="Cambria" w:hAnsi="Cambria"/>
                <w:color w:val="000000"/>
                <w:sz w:val="18"/>
                <w:szCs w:val="18"/>
                <w:lang w:val="es-ES"/>
              </w:rPr>
            </w:pPr>
            <w:r w:rsidRPr="004A440C">
              <w:rPr>
                <w:rFonts w:ascii="Cambria" w:hAnsi="Cambria"/>
                <w:color w:val="000000"/>
                <w:sz w:val="18"/>
                <w:szCs w:val="18"/>
                <w:lang w:val="es-ES"/>
              </w:rPr>
              <w:t>5. Cumplir con las obligaciones pendientes en materia de reparaciones a los familiares de la víctima.</w:t>
            </w:r>
          </w:p>
        </w:tc>
        <w:tc>
          <w:tcPr>
            <w:tcW w:w="2250" w:type="dxa"/>
            <w:shd w:val="clear" w:color="auto" w:fill="auto"/>
            <w:vAlign w:val="center"/>
          </w:tcPr>
          <w:p w14:paraId="448E58B6" w14:textId="77777777" w:rsidR="00AD2DB9" w:rsidRPr="004A440C" w:rsidRDefault="00AD2DB9" w:rsidP="000D680A">
            <w:pPr>
              <w:spacing w:after="0" w:line="240" w:lineRule="auto"/>
              <w:jc w:val="center"/>
              <w:rPr>
                <w:rFonts w:ascii="Cambria" w:hAnsi="Cambria"/>
                <w:color w:val="000000"/>
                <w:sz w:val="18"/>
                <w:szCs w:val="18"/>
                <w:lang w:val="es-ES"/>
              </w:rPr>
            </w:pPr>
            <w:r w:rsidRPr="004A440C">
              <w:rPr>
                <w:rFonts w:ascii="Cambria" w:hAnsi="Cambria"/>
                <w:color w:val="000000"/>
                <w:sz w:val="18"/>
                <w:szCs w:val="18"/>
                <w:lang w:val="es-ES"/>
              </w:rPr>
              <w:t>Cumplimiento total</w:t>
            </w:r>
          </w:p>
        </w:tc>
      </w:tr>
      <w:tr w:rsidR="00AD2DB9" w:rsidRPr="004A440C" w14:paraId="0709A1C1" w14:textId="77777777" w:rsidTr="00016B8F">
        <w:tc>
          <w:tcPr>
            <w:tcW w:w="7020" w:type="dxa"/>
            <w:shd w:val="clear" w:color="auto" w:fill="auto"/>
          </w:tcPr>
          <w:p w14:paraId="7EC6B2EF" w14:textId="77777777" w:rsidR="00AD2DB9" w:rsidRPr="004A440C" w:rsidRDefault="00AD2DB9" w:rsidP="000D680A">
            <w:pPr>
              <w:spacing w:after="0" w:line="240" w:lineRule="auto"/>
              <w:jc w:val="both"/>
              <w:rPr>
                <w:rFonts w:ascii="Cambria" w:hAnsi="Cambria"/>
                <w:b/>
                <w:color w:val="000000"/>
                <w:sz w:val="18"/>
                <w:szCs w:val="18"/>
                <w:lang w:val="es-ES"/>
              </w:rPr>
            </w:pPr>
            <w:r w:rsidRPr="004A440C">
              <w:rPr>
                <w:rFonts w:ascii="Cambria" w:hAnsi="Cambria"/>
                <w:b/>
                <w:color w:val="000000"/>
                <w:sz w:val="18"/>
                <w:szCs w:val="18"/>
                <w:lang w:val="es-ES"/>
              </w:rPr>
              <w:t xml:space="preserve">*Acuerdo de cumplimiento suscrito entre las partes: </w:t>
            </w:r>
          </w:p>
          <w:p w14:paraId="27CB6E24" w14:textId="77777777" w:rsidR="00AD2DB9" w:rsidRPr="004A440C" w:rsidRDefault="00AD2DB9" w:rsidP="000D680A">
            <w:pPr>
              <w:spacing w:after="0" w:line="240" w:lineRule="auto"/>
              <w:jc w:val="both"/>
              <w:rPr>
                <w:rFonts w:ascii="Cambria" w:hAnsi="Cambria"/>
                <w:b/>
                <w:color w:val="000000"/>
                <w:sz w:val="18"/>
                <w:szCs w:val="18"/>
                <w:lang w:val="es-ES"/>
              </w:rPr>
            </w:pPr>
            <w:r w:rsidRPr="004A440C">
              <w:rPr>
                <w:rFonts w:ascii="Cambria" w:hAnsi="Cambria"/>
                <w:b/>
                <w:color w:val="000000"/>
                <w:sz w:val="18"/>
                <w:szCs w:val="18"/>
                <w:lang w:val="es-ES"/>
              </w:rPr>
              <w:t>Justicia</w:t>
            </w:r>
          </w:p>
          <w:p w14:paraId="424D2389" w14:textId="77777777" w:rsidR="00AD2DB9" w:rsidRPr="004A440C" w:rsidRDefault="00AD2DB9" w:rsidP="000D680A">
            <w:pPr>
              <w:spacing w:after="0" w:line="240" w:lineRule="auto"/>
              <w:jc w:val="both"/>
              <w:rPr>
                <w:rFonts w:ascii="Cambria" w:hAnsi="Cambria"/>
                <w:b/>
                <w:color w:val="000000"/>
                <w:sz w:val="18"/>
                <w:szCs w:val="18"/>
                <w:lang w:val="es-ES"/>
              </w:rPr>
            </w:pPr>
            <w:r w:rsidRPr="004A440C">
              <w:rPr>
                <w:rFonts w:ascii="Cambria" w:hAnsi="Cambria"/>
                <w:color w:val="000000"/>
                <w:sz w:val="18"/>
                <w:szCs w:val="18"/>
                <w:lang w:val="es-ES"/>
              </w:rPr>
              <w:t xml:space="preserve">En virtud de que se realizó un procedimiento penal en el cual se dictó una sentencia absolutoria y al no haber ningún recurso de apelación, con el objeto de revertir el fallo, se tiene carácter de cosa juzgada. Se realizarán las gestiones para que se reactiven las órdenes de captura que se encuentran pendientes y de ser necesario se harán las gestiones para que las mismas se hagan en el ámbito internacional, para que se continúe el proceso pendiente en contra de los presuntos responsables para su juicio y sanción.  El Gobierno se compromete a entregar un informe a los peticionarios sobre el libramiento de las órdenes de captura internacional. Considerando la cosa juzgada dictada a favor de uno de los presuntos responsables, la COPREDEH realizará en coordinación con la Corte Suprema de Justicia un Foro al más alto nivel, en el que se desarrolle la problemática que enfrenta el sistema de administración de justicia.  COPREDEH se compromete a presentar una propuesta logística y metodológica de ese foro en el mes de agosto, y se establece como fecha posible para la realización del foro el 8 de octubre de 2005. El hecho de realizar un Foro sobre la problemática del sistema de justicia en </w:t>
            </w:r>
            <w:proofErr w:type="gramStart"/>
            <w:r w:rsidRPr="004A440C">
              <w:rPr>
                <w:rFonts w:ascii="Cambria" w:hAnsi="Cambria"/>
                <w:color w:val="000000"/>
                <w:sz w:val="18"/>
                <w:szCs w:val="18"/>
                <w:lang w:val="es-ES"/>
              </w:rPr>
              <w:t>Guatemala,</w:t>
            </w:r>
            <w:proofErr w:type="gramEnd"/>
            <w:r w:rsidRPr="004A440C">
              <w:rPr>
                <w:rFonts w:ascii="Cambria" w:hAnsi="Cambria"/>
                <w:color w:val="000000"/>
                <w:sz w:val="18"/>
                <w:szCs w:val="18"/>
                <w:lang w:val="es-ES"/>
              </w:rPr>
              <w:t xml:space="preserve"> no implica negativa por parte del Estado de cumplir con su responsabilidad de continuar con la investigación y sancionar a los responsables de los hechos, sino como una forma de fortalecer la justicia en Guatemala.</w:t>
            </w:r>
          </w:p>
        </w:tc>
        <w:tc>
          <w:tcPr>
            <w:tcW w:w="2250" w:type="dxa"/>
            <w:shd w:val="clear" w:color="auto" w:fill="auto"/>
            <w:vAlign w:val="center"/>
          </w:tcPr>
          <w:p w14:paraId="24590B0C" w14:textId="77777777" w:rsidR="00AD2DB9" w:rsidRPr="004A440C" w:rsidRDefault="00AD2DB9" w:rsidP="000D680A">
            <w:pPr>
              <w:spacing w:after="0" w:line="240" w:lineRule="auto"/>
              <w:jc w:val="center"/>
              <w:rPr>
                <w:rFonts w:ascii="Cambria" w:hAnsi="Cambria"/>
                <w:color w:val="000000"/>
                <w:sz w:val="18"/>
                <w:szCs w:val="18"/>
                <w:lang w:val="es-ES"/>
              </w:rPr>
            </w:pPr>
            <w:r w:rsidRPr="004A440C">
              <w:rPr>
                <w:rFonts w:ascii="Cambria" w:hAnsi="Cambria"/>
                <w:color w:val="000000"/>
                <w:sz w:val="18"/>
                <w:szCs w:val="18"/>
                <w:lang w:val="es-ES"/>
              </w:rPr>
              <w:t>Pendiente de cumplimiento</w:t>
            </w:r>
          </w:p>
        </w:tc>
      </w:tr>
      <w:tr w:rsidR="00AD2DB9" w:rsidRPr="004A440C" w14:paraId="2FE55399" w14:textId="77777777" w:rsidTr="00016B8F">
        <w:tc>
          <w:tcPr>
            <w:tcW w:w="7020" w:type="dxa"/>
            <w:shd w:val="clear" w:color="auto" w:fill="auto"/>
          </w:tcPr>
          <w:p w14:paraId="178F2D27" w14:textId="77777777" w:rsidR="00AD2DB9" w:rsidRPr="004A440C" w:rsidRDefault="00AD2DB9" w:rsidP="000D680A">
            <w:pPr>
              <w:spacing w:after="0" w:line="240" w:lineRule="auto"/>
              <w:jc w:val="both"/>
              <w:rPr>
                <w:rFonts w:ascii="Cambria" w:hAnsi="Cambria"/>
                <w:b/>
                <w:color w:val="000000"/>
                <w:sz w:val="18"/>
                <w:szCs w:val="18"/>
                <w:lang w:val="es-ES"/>
              </w:rPr>
            </w:pPr>
            <w:r w:rsidRPr="004A440C">
              <w:rPr>
                <w:rFonts w:ascii="Cambria" w:hAnsi="Cambria"/>
                <w:b/>
                <w:color w:val="000000"/>
                <w:sz w:val="18"/>
                <w:szCs w:val="18"/>
                <w:lang w:val="es-ES"/>
              </w:rPr>
              <w:t xml:space="preserve">*Acuerdo de cumplimiento suscrito entre las partes: </w:t>
            </w:r>
          </w:p>
          <w:p w14:paraId="6AC3E1F2" w14:textId="77777777" w:rsidR="00AD2DB9" w:rsidRPr="004A440C" w:rsidRDefault="00AD2DB9" w:rsidP="000D680A">
            <w:pPr>
              <w:spacing w:after="0" w:line="240" w:lineRule="auto"/>
              <w:jc w:val="both"/>
              <w:rPr>
                <w:rFonts w:ascii="Cambria" w:hAnsi="Cambria"/>
                <w:b/>
                <w:color w:val="000000"/>
                <w:sz w:val="18"/>
                <w:szCs w:val="18"/>
                <w:lang w:val="es-ES"/>
              </w:rPr>
            </w:pPr>
            <w:r w:rsidRPr="004A440C">
              <w:rPr>
                <w:rFonts w:ascii="Cambria" w:hAnsi="Cambria"/>
                <w:b/>
                <w:color w:val="000000"/>
                <w:sz w:val="18"/>
                <w:szCs w:val="18"/>
                <w:lang w:val="es-ES"/>
              </w:rPr>
              <w:t>Educación</w:t>
            </w:r>
          </w:p>
          <w:p w14:paraId="77BFE444" w14:textId="77777777" w:rsidR="00AD2DB9" w:rsidRPr="004A440C" w:rsidRDefault="00AD2DB9" w:rsidP="000D680A">
            <w:pPr>
              <w:spacing w:after="0" w:line="240" w:lineRule="auto"/>
              <w:jc w:val="both"/>
              <w:rPr>
                <w:rFonts w:ascii="Cambria" w:hAnsi="Cambria"/>
                <w:color w:val="000000"/>
                <w:sz w:val="18"/>
                <w:szCs w:val="18"/>
                <w:lang w:val="es-ES"/>
              </w:rPr>
            </w:pPr>
            <w:r w:rsidRPr="004A440C">
              <w:rPr>
                <w:rFonts w:ascii="Cambria" w:hAnsi="Cambria"/>
                <w:color w:val="000000"/>
                <w:sz w:val="18"/>
                <w:szCs w:val="18"/>
                <w:lang w:val="es-ES"/>
              </w:rPr>
              <w:t xml:space="preserve">El Gobierno del Guatemala otorgará una beca de estudio a la niña Marta Raquel Pelicó Hernández que iniciará en el ciclo el año 2006.  Se harán las gestiones para que la continuidad de la beca no esté sujeta al rendimiento escolar de la beneficiada. El Gobierno otorgará una beca de estudios al joven Eliseo David Pelicó Hernández, haciendo la consulta al beneficiario. En el caso de Martha Pelicó Hernández y Doris Sulamita Pelicó Hernández, quienes han expresado su deseo de no continuar sus estudios y que preferirían se les proporcione una máquina de coser a cada una, el Gobierno entregará al momento de firmar este convenio una de esas máquinas y la otra en el mes de octubre.  Si no fuere posible entregar la máquina de coser se le entregará una suma de dinero equivalente al valor en el mercado de </w:t>
            </w:r>
            <w:proofErr w:type="gramStart"/>
            <w:r w:rsidRPr="004A440C">
              <w:rPr>
                <w:rFonts w:ascii="Cambria" w:hAnsi="Cambria"/>
                <w:color w:val="000000"/>
                <w:sz w:val="18"/>
                <w:szCs w:val="18"/>
                <w:lang w:val="es-ES"/>
              </w:rPr>
              <w:t>la misma</w:t>
            </w:r>
            <w:proofErr w:type="gramEnd"/>
            <w:r w:rsidRPr="004A440C">
              <w:rPr>
                <w:rFonts w:ascii="Cambria" w:hAnsi="Cambria"/>
                <w:color w:val="000000"/>
                <w:sz w:val="18"/>
                <w:szCs w:val="18"/>
                <w:lang w:val="es-ES"/>
              </w:rPr>
              <w:t xml:space="preserve">.  </w:t>
            </w:r>
          </w:p>
        </w:tc>
        <w:tc>
          <w:tcPr>
            <w:tcW w:w="2250" w:type="dxa"/>
            <w:shd w:val="clear" w:color="auto" w:fill="auto"/>
            <w:vAlign w:val="center"/>
          </w:tcPr>
          <w:p w14:paraId="17A4FF5D" w14:textId="77777777" w:rsidR="00AD2DB9" w:rsidRPr="004A440C" w:rsidRDefault="00AD2DB9" w:rsidP="000D680A">
            <w:pPr>
              <w:spacing w:after="0" w:line="240" w:lineRule="auto"/>
              <w:jc w:val="center"/>
              <w:rPr>
                <w:rFonts w:ascii="Cambria" w:hAnsi="Cambria"/>
                <w:color w:val="000000"/>
                <w:sz w:val="18"/>
                <w:szCs w:val="18"/>
                <w:lang w:val="es-ES"/>
              </w:rPr>
            </w:pPr>
            <w:r w:rsidRPr="004A440C">
              <w:rPr>
                <w:rFonts w:ascii="Cambria" w:hAnsi="Cambria"/>
                <w:color w:val="000000"/>
                <w:sz w:val="18"/>
                <w:szCs w:val="18"/>
                <w:lang w:val="es-ES"/>
              </w:rPr>
              <w:t>Cumplimiento total</w:t>
            </w:r>
          </w:p>
        </w:tc>
      </w:tr>
      <w:tr w:rsidR="00AD2DB9" w:rsidRPr="004A440C" w14:paraId="2FDBBA61" w14:textId="77777777" w:rsidTr="00016B8F">
        <w:tc>
          <w:tcPr>
            <w:tcW w:w="7020" w:type="dxa"/>
            <w:shd w:val="clear" w:color="auto" w:fill="auto"/>
          </w:tcPr>
          <w:p w14:paraId="0BC4F2FF" w14:textId="77777777" w:rsidR="00AD2DB9" w:rsidRPr="004A440C" w:rsidRDefault="00AD2DB9" w:rsidP="000D680A">
            <w:pPr>
              <w:spacing w:after="0" w:line="240" w:lineRule="auto"/>
              <w:jc w:val="both"/>
              <w:rPr>
                <w:rFonts w:ascii="Cambria" w:hAnsi="Cambria"/>
                <w:b/>
                <w:color w:val="000000"/>
                <w:sz w:val="18"/>
                <w:szCs w:val="18"/>
                <w:lang w:val="es-ES"/>
              </w:rPr>
            </w:pPr>
            <w:r w:rsidRPr="004A440C">
              <w:rPr>
                <w:rFonts w:ascii="Cambria" w:hAnsi="Cambria"/>
                <w:b/>
                <w:color w:val="000000"/>
                <w:sz w:val="18"/>
                <w:szCs w:val="18"/>
                <w:lang w:val="es-ES"/>
              </w:rPr>
              <w:t xml:space="preserve">*Acuerdo de cumplimiento suscrito entre las partes: </w:t>
            </w:r>
          </w:p>
          <w:p w14:paraId="1DAACF05" w14:textId="77777777" w:rsidR="00AD2DB9" w:rsidRPr="004A440C" w:rsidRDefault="00AD2DB9" w:rsidP="000D680A">
            <w:pPr>
              <w:spacing w:after="0" w:line="240" w:lineRule="auto"/>
              <w:jc w:val="both"/>
              <w:rPr>
                <w:rFonts w:ascii="Cambria" w:hAnsi="Cambria"/>
                <w:b/>
                <w:color w:val="000000"/>
                <w:sz w:val="18"/>
                <w:szCs w:val="18"/>
                <w:lang w:val="es-ES"/>
              </w:rPr>
            </w:pPr>
            <w:r w:rsidRPr="004A440C">
              <w:rPr>
                <w:rFonts w:ascii="Cambria" w:hAnsi="Cambria"/>
                <w:b/>
                <w:color w:val="000000"/>
                <w:sz w:val="18"/>
                <w:szCs w:val="18"/>
                <w:lang w:val="es-ES"/>
              </w:rPr>
              <w:t>Vivienda Familiar</w:t>
            </w:r>
          </w:p>
          <w:p w14:paraId="3CD4B700" w14:textId="77777777" w:rsidR="00AD2DB9" w:rsidRPr="004A440C" w:rsidRDefault="00AD2DB9" w:rsidP="000A03DB">
            <w:pPr>
              <w:spacing w:after="0" w:line="240" w:lineRule="auto"/>
              <w:jc w:val="both"/>
              <w:rPr>
                <w:rFonts w:ascii="Cambria" w:hAnsi="Cambria"/>
                <w:color w:val="000000"/>
                <w:sz w:val="18"/>
                <w:szCs w:val="18"/>
                <w:lang w:val="es-ES"/>
              </w:rPr>
            </w:pPr>
            <w:r w:rsidRPr="004A440C">
              <w:rPr>
                <w:rFonts w:ascii="Cambria" w:hAnsi="Cambria"/>
                <w:color w:val="000000"/>
                <w:sz w:val="18"/>
                <w:szCs w:val="18"/>
                <w:lang w:val="es-ES"/>
              </w:rPr>
              <w:t xml:space="preserve">El Gobierno de Guatemala se compromete a entregar un terreno para la vivienda de la viuda y los cuatro hijos del señor Pelicó Coxic, con un valor de seis mil dólares ($6,000.00), de conformidad con la tasa de cambio utilizada en la negociación, </w:t>
            </w:r>
            <w:proofErr w:type="gramStart"/>
            <w:r w:rsidRPr="004A440C">
              <w:rPr>
                <w:rFonts w:ascii="Cambria" w:hAnsi="Cambria"/>
                <w:color w:val="000000"/>
                <w:sz w:val="18"/>
                <w:szCs w:val="18"/>
                <w:lang w:val="es-ES"/>
              </w:rPr>
              <w:t>en razón del</w:t>
            </w:r>
            <w:proofErr w:type="gramEnd"/>
            <w:r w:rsidRPr="004A440C">
              <w:rPr>
                <w:rFonts w:ascii="Cambria" w:hAnsi="Cambria"/>
                <w:color w:val="000000"/>
                <w:sz w:val="18"/>
                <w:szCs w:val="18"/>
                <w:lang w:val="es-ES"/>
              </w:rPr>
              <w:t xml:space="preserve"> valor indicado por los peticionarios. El Gobierno de Guatemala se compromete a entregar el diez por ciento (10%) equivalente a seiscientos dólares ($600.00), en concepto de adelanto del monto destinado al tema de vivienda, antes del 28 de Julio de 2005, con el objeto de que se reserve el terreno, en tanto se completa el monto total dentro del plazo del año 2005. El Gobierno de Guatemala, se compromete a entregar materiales de construcción para la vivienda durante el año 2005, que consistirá en tres dormitorios, sala, comedor, cocina y un baño, por lo que se harán las gestiones necesarias, antes del 28 de julio de 2005, en la Secretaría de Coordinación Ejecutiva de la Presidencia.</w:t>
            </w:r>
          </w:p>
        </w:tc>
        <w:tc>
          <w:tcPr>
            <w:tcW w:w="2250" w:type="dxa"/>
            <w:shd w:val="clear" w:color="auto" w:fill="auto"/>
            <w:vAlign w:val="center"/>
          </w:tcPr>
          <w:p w14:paraId="477D6014" w14:textId="77777777" w:rsidR="00AD2DB9" w:rsidRPr="004A440C" w:rsidRDefault="00AD2DB9" w:rsidP="000D680A">
            <w:pPr>
              <w:spacing w:after="0" w:line="240" w:lineRule="auto"/>
              <w:jc w:val="center"/>
              <w:rPr>
                <w:rFonts w:ascii="Cambria" w:hAnsi="Cambria"/>
                <w:color w:val="000000"/>
                <w:sz w:val="18"/>
                <w:szCs w:val="18"/>
                <w:lang w:val="es-ES"/>
              </w:rPr>
            </w:pPr>
            <w:r w:rsidRPr="004A440C">
              <w:rPr>
                <w:rFonts w:ascii="Cambria" w:hAnsi="Cambria"/>
                <w:color w:val="000000"/>
                <w:sz w:val="18"/>
                <w:szCs w:val="18"/>
                <w:lang w:val="es-ES"/>
              </w:rPr>
              <w:t>Cumplimiento total</w:t>
            </w:r>
            <w:r w:rsidRPr="004A440C">
              <w:rPr>
                <w:rStyle w:val="FootnoteReference"/>
                <w:rFonts w:ascii="Cambria" w:hAnsi="Cambria"/>
                <w:color w:val="000000"/>
                <w:sz w:val="18"/>
                <w:szCs w:val="18"/>
                <w:lang w:val="es-ES"/>
              </w:rPr>
              <w:footnoteReference w:id="1"/>
            </w:r>
          </w:p>
        </w:tc>
      </w:tr>
      <w:tr w:rsidR="00AD2DB9" w:rsidRPr="004A440C" w14:paraId="01DA986A" w14:textId="77777777" w:rsidTr="00016B8F">
        <w:tc>
          <w:tcPr>
            <w:tcW w:w="7020" w:type="dxa"/>
            <w:shd w:val="clear" w:color="auto" w:fill="auto"/>
          </w:tcPr>
          <w:p w14:paraId="1B89F049" w14:textId="77777777" w:rsidR="00AD2DB9" w:rsidRPr="004A440C" w:rsidRDefault="00AD2DB9" w:rsidP="000D680A">
            <w:pPr>
              <w:spacing w:after="0" w:line="240" w:lineRule="auto"/>
              <w:jc w:val="both"/>
              <w:rPr>
                <w:rFonts w:ascii="Cambria" w:hAnsi="Cambria"/>
                <w:b/>
                <w:color w:val="000000"/>
                <w:sz w:val="18"/>
                <w:szCs w:val="18"/>
                <w:lang w:val="es-ES"/>
              </w:rPr>
            </w:pPr>
            <w:r w:rsidRPr="004A440C">
              <w:rPr>
                <w:rFonts w:ascii="Cambria" w:hAnsi="Cambria"/>
                <w:b/>
                <w:color w:val="000000"/>
                <w:sz w:val="18"/>
                <w:szCs w:val="18"/>
                <w:lang w:val="es-ES"/>
              </w:rPr>
              <w:t xml:space="preserve">*Acuerdo de cumplimiento suscrito entre las partes: </w:t>
            </w:r>
          </w:p>
          <w:p w14:paraId="15D3DA38" w14:textId="77777777" w:rsidR="00AD2DB9" w:rsidRPr="004A440C" w:rsidRDefault="00AD2DB9" w:rsidP="000D680A">
            <w:pPr>
              <w:spacing w:after="0" w:line="240" w:lineRule="auto"/>
              <w:jc w:val="both"/>
              <w:rPr>
                <w:rFonts w:ascii="Cambria" w:hAnsi="Cambria"/>
                <w:b/>
                <w:color w:val="000000"/>
                <w:sz w:val="18"/>
                <w:szCs w:val="18"/>
                <w:lang w:val="es-ES"/>
              </w:rPr>
            </w:pPr>
            <w:r w:rsidRPr="004A440C">
              <w:rPr>
                <w:rFonts w:ascii="Cambria" w:hAnsi="Cambria"/>
                <w:b/>
                <w:color w:val="000000"/>
                <w:sz w:val="18"/>
                <w:szCs w:val="18"/>
                <w:lang w:val="es-ES"/>
              </w:rPr>
              <w:t>Manutención Familiar</w:t>
            </w:r>
          </w:p>
          <w:p w14:paraId="7B674492" w14:textId="77777777" w:rsidR="00AD2DB9" w:rsidRPr="004A440C" w:rsidRDefault="00AD2DB9" w:rsidP="000D680A">
            <w:pPr>
              <w:spacing w:after="0" w:line="240" w:lineRule="auto"/>
              <w:jc w:val="both"/>
              <w:rPr>
                <w:rFonts w:ascii="Cambria" w:hAnsi="Cambria"/>
                <w:color w:val="000000"/>
                <w:sz w:val="18"/>
                <w:szCs w:val="18"/>
                <w:lang w:val="es-ES"/>
              </w:rPr>
            </w:pPr>
            <w:r w:rsidRPr="004A440C">
              <w:rPr>
                <w:rFonts w:ascii="Cambria" w:hAnsi="Cambria"/>
                <w:color w:val="000000"/>
                <w:sz w:val="18"/>
                <w:szCs w:val="18"/>
                <w:lang w:val="es-ES"/>
              </w:rPr>
              <w:t xml:space="preserve">El Gobierno de Guatemala, capacitará a Martha Pelicó Hernández y Doris Sulamita Pelicó Hernández, en corte y confección; asimismo, se hará gestiones para que a la viuda Rosario Hernández Grave y los hijos de Martín Pelicó Coxic, se les proporcione asesoría, </w:t>
            </w:r>
            <w:r w:rsidRPr="004A440C">
              <w:rPr>
                <w:rFonts w:ascii="Cambria" w:hAnsi="Cambria"/>
                <w:color w:val="000000"/>
                <w:sz w:val="18"/>
                <w:szCs w:val="18"/>
                <w:lang w:val="es-ES"/>
              </w:rPr>
              <w:lastRenderedPageBreak/>
              <w:t>capacitación e insumos para desarrollar otro proyecto productivo de carácter familiar que consistirá en la entrega de cinco cerdos –marranos- (4 hembras y 1 macho), para crianza.</w:t>
            </w:r>
          </w:p>
        </w:tc>
        <w:tc>
          <w:tcPr>
            <w:tcW w:w="2250" w:type="dxa"/>
            <w:shd w:val="clear" w:color="auto" w:fill="auto"/>
            <w:vAlign w:val="center"/>
          </w:tcPr>
          <w:p w14:paraId="43BE9804" w14:textId="77777777" w:rsidR="00AD2DB9" w:rsidRPr="004A440C" w:rsidRDefault="00AD2DB9" w:rsidP="000D680A">
            <w:pPr>
              <w:spacing w:after="0" w:line="240" w:lineRule="auto"/>
              <w:jc w:val="center"/>
              <w:rPr>
                <w:rFonts w:ascii="Cambria" w:hAnsi="Cambria"/>
                <w:color w:val="000000"/>
                <w:sz w:val="18"/>
                <w:szCs w:val="18"/>
                <w:lang w:val="es-ES"/>
              </w:rPr>
            </w:pPr>
            <w:r w:rsidRPr="004A440C">
              <w:rPr>
                <w:rFonts w:ascii="Cambria" w:hAnsi="Cambria"/>
                <w:color w:val="000000"/>
                <w:sz w:val="18"/>
                <w:szCs w:val="18"/>
                <w:lang w:val="es-ES"/>
              </w:rPr>
              <w:lastRenderedPageBreak/>
              <w:t>Cumplimiento total</w:t>
            </w:r>
            <w:r w:rsidRPr="004A440C">
              <w:rPr>
                <w:rStyle w:val="FootnoteReference"/>
                <w:rFonts w:ascii="Cambria" w:hAnsi="Cambria"/>
                <w:color w:val="000000"/>
                <w:sz w:val="18"/>
                <w:szCs w:val="18"/>
                <w:lang w:val="es-ES"/>
              </w:rPr>
              <w:footnoteReference w:id="2"/>
            </w:r>
            <w:r w:rsidRPr="004A440C">
              <w:rPr>
                <w:rFonts w:ascii="Cambria" w:hAnsi="Cambria"/>
                <w:color w:val="000000"/>
                <w:sz w:val="18"/>
                <w:szCs w:val="18"/>
                <w:lang w:val="es-ES"/>
              </w:rPr>
              <w:t xml:space="preserve"> </w:t>
            </w:r>
          </w:p>
        </w:tc>
      </w:tr>
      <w:tr w:rsidR="00AD2DB9" w:rsidRPr="004A440C" w14:paraId="1C5B9D52" w14:textId="77777777" w:rsidTr="00016B8F">
        <w:tc>
          <w:tcPr>
            <w:tcW w:w="7020" w:type="dxa"/>
            <w:shd w:val="clear" w:color="auto" w:fill="auto"/>
          </w:tcPr>
          <w:p w14:paraId="3A15CE82" w14:textId="77777777" w:rsidR="00AD2DB9" w:rsidRPr="004A440C" w:rsidRDefault="00AD2DB9" w:rsidP="000D680A">
            <w:pPr>
              <w:spacing w:after="0" w:line="240" w:lineRule="auto"/>
              <w:jc w:val="both"/>
              <w:rPr>
                <w:rFonts w:ascii="Cambria" w:hAnsi="Cambria"/>
                <w:b/>
                <w:color w:val="000000"/>
                <w:sz w:val="18"/>
                <w:szCs w:val="18"/>
                <w:lang w:val="es-ES"/>
              </w:rPr>
            </w:pPr>
            <w:r w:rsidRPr="004A440C">
              <w:rPr>
                <w:rFonts w:ascii="Cambria" w:hAnsi="Cambria"/>
                <w:b/>
                <w:color w:val="000000"/>
                <w:sz w:val="18"/>
                <w:szCs w:val="18"/>
                <w:lang w:val="es-ES"/>
              </w:rPr>
              <w:t xml:space="preserve">*Acuerdo de cumplimiento suscrito entre las partes: </w:t>
            </w:r>
          </w:p>
          <w:p w14:paraId="71A02D50" w14:textId="77777777" w:rsidR="00AD2DB9" w:rsidRPr="004A440C" w:rsidRDefault="00AD2DB9" w:rsidP="000D680A">
            <w:pPr>
              <w:spacing w:after="0" w:line="240" w:lineRule="auto"/>
              <w:jc w:val="both"/>
              <w:rPr>
                <w:rFonts w:ascii="Cambria" w:hAnsi="Cambria"/>
                <w:b/>
                <w:color w:val="000000"/>
                <w:sz w:val="18"/>
                <w:szCs w:val="18"/>
                <w:lang w:val="es-ES"/>
              </w:rPr>
            </w:pPr>
            <w:r w:rsidRPr="004A440C">
              <w:rPr>
                <w:rFonts w:ascii="Cambria" w:hAnsi="Cambria"/>
                <w:b/>
                <w:color w:val="000000"/>
                <w:sz w:val="18"/>
                <w:szCs w:val="18"/>
                <w:lang w:val="es-ES"/>
              </w:rPr>
              <w:t>Atención Médica</w:t>
            </w:r>
          </w:p>
          <w:p w14:paraId="28F74FF9" w14:textId="77777777" w:rsidR="00AD2DB9" w:rsidRPr="004A440C" w:rsidRDefault="00AD2DB9" w:rsidP="000A03DB">
            <w:pPr>
              <w:spacing w:after="0" w:line="240" w:lineRule="auto"/>
              <w:jc w:val="both"/>
              <w:rPr>
                <w:rFonts w:ascii="Cambria" w:hAnsi="Cambria"/>
                <w:color w:val="000000"/>
                <w:sz w:val="18"/>
                <w:szCs w:val="18"/>
                <w:lang w:val="es-ES"/>
              </w:rPr>
            </w:pPr>
            <w:r w:rsidRPr="004A440C">
              <w:rPr>
                <w:rFonts w:ascii="Cambria" w:hAnsi="Cambria"/>
                <w:color w:val="000000"/>
                <w:sz w:val="18"/>
                <w:szCs w:val="18"/>
                <w:lang w:val="es-ES"/>
              </w:rPr>
              <w:t>El Gobierno de Guatemala, a través de la entidad que corresponda, realizará un diagnóstico médico a la viuda y a los hijos del señor Martín Pelicó Coxic, a fin de determinar su condición médica, y en caso requieran atención y medicamentos se proporcionarán hasta que sus padecimientos se alivien, lo cual debe ser determinado por un facultativo de la red de hospitales nacionales o bien el que designe el Ministerio de Salud Pública. En aras del cumplimiento de este compromiso, el 22 de julio de 2005, la familia completa se hará presente en el Hospital General de Santa Cruz, El Quiché para que se concluya los exámenes que se encuentran pendientes, y que se realice la programación de las próximas consultas.</w:t>
            </w:r>
          </w:p>
        </w:tc>
        <w:tc>
          <w:tcPr>
            <w:tcW w:w="2250" w:type="dxa"/>
            <w:shd w:val="clear" w:color="auto" w:fill="auto"/>
            <w:vAlign w:val="center"/>
          </w:tcPr>
          <w:p w14:paraId="32C3CB50" w14:textId="77777777" w:rsidR="00AD2DB9" w:rsidRPr="004A440C" w:rsidRDefault="00AD2DB9" w:rsidP="000D680A">
            <w:pPr>
              <w:spacing w:after="0" w:line="240" w:lineRule="auto"/>
              <w:jc w:val="center"/>
              <w:rPr>
                <w:rFonts w:ascii="Cambria" w:hAnsi="Cambria"/>
                <w:color w:val="000000"/>
                <w:sz w:val="18"/>
                <w:szCs w:val="18"/>
                <w:lang w:val="es-ES"/>
              </w:rPr>
            </w:pPr>
            <w:r w:rsidRPr="004A440C">
              <w:rPr>
                <w:rFonts w:ascii="Cambria" w:hAnsi="Cambria"/>
                <w:color w:val="000000"/>
                <w:sz w:val="18"/>
                <w:szCs w:val="18"/>
                <w:lang w:val="es-ES"/>
              </w:rPr>
              <w:t>Cumplimiento total</w:t>
            </w:r>
            <w:r w:rsidRPr="004A440C">
              <w:rPr>
                <w:rStyle w:val="FootnoteReference"/>
                <w:rFonts w:ascii="Cambria" w:hAnsi="Cambria"/>
                <w:color w:val="000000"/>
                <w:sz w:val="18"/>
                <w:szCs w:val="18"/>
                <w:lang w:val="es-ES"/>
              </w:rPr>
              <w:footnoteReference w:id="3"/>
            </w:r>
            <w:r w:rsidRPr="004A440C">
              <w:rPr>
                <w:rFonts w:ascii="Cambria" w:hAnsi="Cambria"/>
                <w:color w:val="000000"/>
                <w:sz w:val="18"/>
                <w:szCs w:val="18"/>
                <w:lang w:val="es-ES"/>
              </w:rPr>
              <w:t xml:space="preserve"> </w:t>
            </w:r>
          </w:p>
        </w:tc>
      </w:tr>
      <w:tr w:rsidR="00AD2DB9" w:rsidRPr="004A440C" w14:paraId="6D3BB7E4" w14:textId="77777777" w:rsidTr="00016B8F">
        <w:tc>
          <w:tcPr>
            <w:tcW w:w="7020" w:type="dxa"/>
            <w:shd w:val="clear" w:color="auto" w:fill="auto"/>
          </w:tcPr>
          <w:p w14:paraId="01AF23CA" w14:textId="77777777" w:rsidR="00AD2DB9" w:rsidRPr="004A440C" w:rsidRDefault="00AD2DB9" w:rsidP="000D680A">
            <w:pPr>
              <w:spacing w:after="0" w:line="240" w:lineRule="auto"/>
              <w:jc w:val="both"/>
              <w:rPr>
                <w:rFonts w:ascii="Cambria" w:hAnsi="Cambria"/>
                <w:b/>
                <w:color w:val="000000"/>
                <w:sz w:val="18"/>
                <w:szCs w:val="18"/>
                <w:lang w:val="es-ES"/>
              </w:rPr>
            </w:pPr>
            <w:r w:rsidRPr="004A440C">
              <w:rPr>
                <w:rFonts w:ascii="Cambria" w:hAnsi="Cambria"/>
                <w:b/>
                <w:color w:val="000000"/>
                <w:sz w:val="18"/>
                <w:szCs w:val="18"/>
                <w:lang w:val="es-ES"/>
              </w:rPr>
              <w:t xml:space="preserve">*Acuerdo de cumplimiento suscrito entre las partes: </w:t>
            </w:r>
          </w:p>
          <w:p w14:paraId="36FCBD6C" w14:textId="77777777" w:rsidR="00AD2DB9" w:rsidRPr="004A440C" w:rsidRDefault="00AD2DB9" w:rsidP="000D680A">
            <w:pPr>
              <w:spacing w:after="0" w:line="240" w:lineRule="auto"/>
              <w:jc w:val="both"/>
              <w:rPr>
                <w:rFonts w:ascii="Cambria" w:hAnsi="Cambria"/>
                <w:b/>
                <w:color w:val="000000"/>
                <w:sz w:val="18"/>
                <w:szCs w:val="18"/>
                <w:lang w:val="es-ES"/>
              </w:rPr>
            </w:pPr>
            <w:r w:rsidRPr="004A440C">
              <w:rPr>
                <w:rFonts w:ascii="Cambria" w:hAnsi="Cambria"/>
                <w:b/>
                <w:color w:val="000000"/>
                <w:sz w:val="18"/>
                <w:szCs w:val="18"/>
                <w:lang w:val="es-ES"/>
              </w:rPr>
              <w:t>Reconocimiento de Responsabilidad Internacional y Perdón a los familiares de la Víctima</w:t>
            </w:r>
          </w:p>
          <w:p w14:paraId="18FBA531" w14:textId="77777777" w:rsidR="00AD2DB9" w:rsidRPr="004A440C" w:rsidRDefault="00AD2DB9" w:rsidP="000D680A">
            <w:pPr>
              <w:spacing w:after="0" w:line="240" w:lineRule="auto"/>
              <w:jc w:val="both"/>
              <w:rPr>
                <w:rFonts w:ascii="Cambria" w:hAnsi="Cambria"/>
                <w:color w:val="000000"/>
                <w:sz w:val="18"/>
                <w:szCs w:val="18"/>
                <w:lang w:val="es-ES"/>
              </w:rPr>
            </w:pPr>
            <w:r w:rsidRPr="004A440C">
              <w:rPr>
                <w:rFonts w:ascii="Cambria" w:hAnsi="Cambria"/>
                <w:color w:val="000000"/>
                <w:sz w:val="18"/>
                <w:szCs w:val="18"/>
                <w:lang w:val="es-ES"/>
              </w:rPr>
              <w:t xml:space="preserve">El Gobierno de Guatemala, en el Discurso del </w:t>
            </w:r>
            <w:proofErr w:type="gramStart"/>
            <w:r w:rsidRPr="004A440C">
              <w:rPr>
                <w:rFonts w:ascii="Cambria" w:hAnsi="Cambria"/>
                <w:color w:val="000000"/>
                <w:sz w:val="18"/>
                <w:szCs w:val="18"/>
                <w:lang w:val="es-ES"/>
              </w:rPr>
              <w:t>Presidente</w:t>
            </w:r>
            <w:proofErr w:type="gramEnd"/>
            <w:r w:rsidRPr="004A440C">
              <w:rPr>
                <w:rFonts w:ascii="Cambria" w:hAnsi="Cambria"/>
                <w:color w:val="000000"/>
                <w:sz w:val="18"/>
                <w:szCs w:val="18"/>
                <w:lang w:val="es-ES"/>
              </w:rPr>
              <w:t xml:space="preserve"> de la República, de fecha 25 de febrero de 2004, expresó lo siguiente: “En mi calidad de Presidente de la República deseo aprovechar este acto conmemorativo de la dignificación de las víctimas de la violencia, como una oportunidad especial para pedir perdón, en nombre del Estado de Guatemala, a cada uno de los familiares de las víctimas por el sufrimiento derivado de ese conflicto fratricida que padecimos los guatemaltecos por 4 décadas.” Derivado de lo anterior, el Gobierno se compromete a entregar en forma privada, atendiendo la petición de la familia, una comunicación escrita, dirigida a la familia del señor Martín Pelicó Coxic, que contenga el reconocimiento de la responsabilidad estatal por la violación a los derechos constitucionales y consagrados, en la Convención Americana de Derechos Humanos, de la víctima y sus familiares, lo que no implica un reconocimiento sobre responsabilidades individuales de presuntos autores, ya que esto corresponde y es obligación del Estado establecer de conformidad con su ordenamiento legal interno.</w:t>
            </w:r>
          </w:p>
        </w:tc>
        <w:tc>
          <w:tcPr>
            <w:tcW w:w="2250" w:type="dxa"/>
            <w:shd w:val="clear" w:color="auto" w:fill="auto"/>
            <w:vAlign w:val="center"/>
          </w:tcPr>
          <w:p w14:paraId="08FD01D3" w14:textId="77777777" w:rsidR="00AD2DB9" w:rsidRPr="004A440C" w:rsidRDefault="00AD2DB9" w:rsidP="000D680A">
            <w:pPr>
              <w:spacing w:after="0" w:line="240" w:lineRule="auto"/>
              <w:jc w:val="center"/>
              <w:rPr>
                <w:rFonts w:ascii="Cambria" w:hAnsi="Cambria"/>
                <w:color w:val="000000"/>
                <w:sz w:val="18"/>
                <w:szCs w:val="18"/>
                <w:lang w:val="es-ES"/>
              </w:rPr>
            </w:pPr>
            <w:r w:rsidRPr="004A440C">
              <w:rPr>
                <w:rFonts w:ascii="Cambria" w:hAnsi="Cambria"/>
                <w:color w:val="000000"/>
                <w:sz w:val="18"/>
                <w:szCs w:val="18"/>
                <w:lang w:val="es-ES"/>
              </w:rPr>
              <w:t>Cumplimiento total</w:t>
            </w:r>
            <w:r w:rsidRPr="004A440C">
              <w:rPr>
                <w:rStyle w:val="FootnoteReference"/>
                <w:rFonts w:ascii="Cambria" w:hAnsi="Cambria"/>
                <w:color w:val="000000"/>
                <w:sz w:val="18"/>
                <w:szCs w:val="18"/>
                <w:lang w:val="es-ES"/>
              </w:rPr>
              <w:footnoteReference w:id="4"/>
            </w:r>
          </w:p>
        </w:tc>
      </w:tr>
      <w:tr w:rsidR="00AD2DB9" w:rsidRPr="004A440C" w14:paraId="77515CBD" w14:textId="77777777" w:rsidTr="00016B8F">
        <w:tc>
          <w:tcPr>
            <w:tcW w:w="7020" w:type="dxa"/>
            <w:shd w:val="clear" w:color="auto" w:fill="auto"/>
            <w:vAlign w:val="center"/>
          </w:tcPr>
          <w:p w14:paraId="270AA788" w14:textId="77777777" w:rsidR="00AD2DB9" w:rsidRPr="004A440C" w:rsidRDefault="00AD2DB9" w:rsidP="000D680A">
            <w:pPr>
              <w:spacing w:after="0" w:line="240" w:lineRule="auto"/>
              <w:jc w:val="both"/>
              <w:rPr>
                <w:rFonts w:ascii="Cambria" w:hAnsi="Cambria"/>
                <w:b/>
                <w:color w:val="000000"/>
                <w:sz w:val="18"/>
                <w:szCs w:val="18"/>
                <w:lang w:val="es-ES"/>
              </w:rPr>
            </w:pPr>
            <w:r w:rsidRPr="004A440C">
              <w:rPr>
                <w:rFonts w:ascii="Cambria" w:hAnsi="Cambria"/>
                <w:b/>
                <w:color w:val="000000"/>
                <w:sz w:val="18"/>
                <w:szCs w:val="18"/>
                <w:lang w:val="es-ES"/>
              </w:rPr>
              <w:t xml:space="preserve">*Acuerdo de cumplimiento suscrito entre las partes: </w:t>
            </w:r>
          </w:p>
          <w:p w14:paraId="5EC9D011" w14:textId="77777777" w:rsidR="00AD2DB9" w:rsidRPr="004A440C" w:rsidRDefault="00AD2DB9" w:rsidP="000D680A">
            <w:pPr>
              <w:spacing w:after="0" w:line="240" w:lineRule="auto"/>
              <w:jc w:val="both"/>
              <w:rPr>
                <w:rFonts w:ascii="Cambria" w:hAnsi="Cambria"/>
                <w:b/>
                <w:color w:val="000000"/>
                <w:sz w:val="18"/>
                <w:szCs w:val="18"/>
                <w:lang w:val="es-ES"/>
              </w:rPr>
            </w:pPr>
            <w:r w:rsidRPr="004A440C">
              <w:rPr>
                <w:rFonts w:ascii="Cambria" w:hAnsi="Cambria"/>
                <w:b/>
                <w:color w:val="000000"/>
                <w:sz w:val="18"/>
                <w:szCs w:val="18"/>
                <w:lang w:val="es-ES"/>
              </w:rPr>
              <w:t xml:space="preserve">Reparación económica </w:t>
            </w:r>
          </w:p>
          <w:p w14:paraId="7F3FF6D6" w14:textId="77777777" w:rsidR="00AD2DB9" w:rsidRPr="004A440C" w:rsidRDefault="00AD2DB9" w:rsidP="000D680A">
            <w:pPr>
              <w:spacing w:after="0" w:line="240" w:lineRule="auto"/>
              <w:jc w:val="both"/>
              <w:rPr>
                <w:rFonts w:ascii="Cambria" w:hAnsi="Cambria"/>
                <w:color w:val="000000"/>
                <w:sz w:val="18"/>
                <w:szCs w:val="18"/>
                <w:lang w:val="es-ES"/>
              </w:rPr>
            </w:pPr>
            <w:r w:rsidRPr="004A440C">
              <w:rPr>
                <w:rFonts w:ascii="Cambria" w:hAnsi="Cambria"/>
                <w:color w:val="000000"/>
                <w:sz w:val="18"/>
                <w:szCs w:val="18"/>
                <w:lang w:val="es-ES"/>
              </w:rPr>
              <w:t>Por lucro cesante, se estima procedente la suma de Q. 461,478.21 ($60,490.00).</w:t>
            </w:r>
          </w:p>
          <w:p w14:paraId="53ED67B4" w14:textId="77777777" w:rsidR="00AD2DB9" w:rsidRPr="004A440C" w:rsidRDefault="00AD2DB9" w:rsidP="000D680A">
            <w:pPr>
              <w:spacing w:after="0" w:line="240" w:lineRule="auto"/>
              <w:jc w:val="both"/>
              <w:rPr>
                <w:rFonts w:ascii="Cambria" w:hAnsi="Cambria"/>
                <w:color w:val="000000"/>
                <w:sz w:val="18"/>
                <w:szCs w:val="18"/>
                <w:lang w:val="es-ES"/>
              </w:rPr>
            </w:pPr>
            <w:r w:rsidRPr="004A440C">
              <w:rPr>
                <w:rFonts w:ascii="Cambria" w:hAnsi="Cambria"/>
                <w:color w:val="000000"/>
                <w:sz w:val="18"/>
                <w:szCs w:val="18"/>
                <w:lang w:val="es-ES"/>
              </w:rPr>
              <w:t>En consecuencia, por daño emergente, se reconocen los gastos funerarios y se estima procedente la suma de Q. 7000.00 ($917.55).</w:t>
            </w:r>
          </w:p>
          <w:p w14:paraId="55B036E3" w14:textId="77777777" w:rsidR="00AD2DB9" w:rsidRPr="004A440C" w:rsidRDefault="00AD2DB9" w:rsidP="000D680A">
            <w:pPr>
              <w:spacing w:after="0" w:line="240" w:lineRule="auto"/>
              <w:jc w:val="both"/>
              <w:rPr>
                <w:rFonts w:ascii="Cambria" w:hAnsi="Cambria"/>
                <w:color w:val="000000"/>
                <w:sz w:val="18"/>
                <w:szCs w:val="18"/>
                <w:lang w:val="es-ES"/>
              </w:rPr>
            </w:pPr>
            <w:r w:rsidRPr="004A440C">
              <w:rPr>
                <w:rFonts w:ascii="Cambria" w:hAnsi="Cambria"/>
                <w:color w:val="000000"/>
                <w:sz w:val="18"/>
                <w:szCs w:val="18"/>
                <w:lang w:val="es-ES"/>
              </w:rPr>
              <w:t>Las personas que deben ser indemnizadas por daño moral son: 1) Martín Pelicó Coxic (Víctima), 2) Rosario Hernández Grave (esposa), 3) Eliseo David Pelicó Hernández (hijo), 4) Martha Pelicó Hernández, 5) Doris Sulamita Pelicó Hernández (hija), 6) Marta Raquel Pelicó Hernández (hija). Por daño moral se estima procedente la suma de Q 457,740.00 ($60,000.00).</w:t>
            </w:r>
          </w:p>
          <w:p w14:paraId="64367BC7" w14:textId="77777777" w:rsidR="00AD2DB9" w:rsidRPr="004A440C" w:rsidRDefault="00AD2DB9" w:rsidP="000D680A">
            <w:pPr>
              <w:spacing w:after="0" w:line="240" w:lineRule="auto"/>
              <w:jc w:val="both"/>
              <w:rPr>
                <w:rFonts w:ascii="Cambria" w:hAnsi="Cambria"/>
                <w:color w:val="000000"/>
                <w:sz w:val="18"/>
                <w:szCs w:val="18"/>
                <w:lang w:val="es-ES"/>
              </w:rPr>
            </w:pPr>
            <w:r w:rsidRPr="004A440C">
              <w:rPr>
                <w:rFonts w:ascii="Cambria" w:hAnsi="Cambria"/>
                <w:color w:val="000000"/>
                <w:sz w:val="18"/>
                <w:szCs w:val="18"/>
                <w:lang w:val="es-ES"/>
              </w:rPr>
              <w:t>La suma de Lucro Cesante, Daño Emergente y Daño Moral da un total de Q. 926,218.21.</w:t>
            </w:r>
          </w:p>
          <w:p w14:paraId="19376EEA" w14:textId="77777777" w:rsidR="00AD2DB9" w:rsidRPr="004A440C" w:rsidRDefault="00AD2DB9" w:rsidP="000D680A">
            <w:pPr>
              <w:spacing w:after="0" w:line="240" w:lineRule="auto"/>
              <w:jc w:val="both"/>
              <w:rPr>
                <w:rFonts w:ascii="Cambria" w:hAnsi="Cambria"/>
                <w:color w:val="000000"/>
                <w:sz w:val="18"/>
                <w:szCs w:val="18"/>
                <w:lang w:val="es-ES"/>
              </w:rPr>
            </w:pPr>
            <w:r w:rsidRPr="004A440C">
              <w:rPr>
                <w:rFonts w:ascii="Cambria" w:hAnsi="Cambria"/>
                <w:color w:val="000000"/>
                <w:sz w:val="18"/>
                <w:szCs w:val="18"/>
                <w:lang w:val="es-ES"/>
              </w:rPr>
              <w:t>Para la compra de un terreno para la familia de Martín Pelicó Coxic, se incluirá dentro de esta indemnización económica la suma de Q. 45,774.00 ($6,000.00).</w:t>
            </w:r>
          </w:p>
          <w:p w14:paraId="7EA6D6E1" w14:textId="77777777" w:rsidR="00AD2DB9" w:rsidRPr="004A440C" w:rsidRDefault="00AD2DB9" w:rsidP="000D680A">
            <w:pPr>
              <w:spacing w:after="0" w:line="240" w:lineRule="auto"/>
              <w:jc w:val="both"/>
              <w:rPr>
                <w:rFonts w:ascii="Cambria" w:hAnsi="Cambria"/>
                <w:color w:val="000000"/>
                <w:sz w:val="18"/>
                <w:szCs w:val="18"/>
                <w:lang w:val="es-ES"/>
              </w:rPr>
            </w:pPr>
            <w:r w:rsidRPr="004A440C">
              <w:rPr>
                <w:rFonts w:ascii="Cambria" w:hAnsi="Cambria"/>
                <w:color w:val="000000"/>
                <w:sz w:val="18"/>
                <w:szCs w:val="18"/>
                <w:lang w:val="es-ES"/>
              </w:rPr>
              <w:t>Además, se incluirá el valor en el mercado de una máquina de coser, para las hijas de Martín Pelicó Coxic.</w:t>
            </w:r>
          </w:p>
          <w:p w14:paraId="618E67B4" w14:textId="77777777" w:rsidR="00AD2DB9" w:rsidRPr="004A440C" w:rsidRDefault="00AD2DB9" w:rsidP="000D680A">
            <w:pPr>
              <w:spacing w:after="0" w:line="240" w:lineRule="auto"/>
              <w:jc w:val="both"/>
              <w:rPr>
                <w:rFonts w:ascii="Cambria" w:hAnsi="Cambria"/>
                <w:color w:val="000000"/>
                <w:sz w:val="18"/>
                <w:szCs w:val="18"/>
                <w:lang w:val="es-ES"/>
              </w:rPr>
            </w:pPr>
            <w:r w:rsidRPr="004A440C">
              <w:rPr>
                <w:rFonts w:ascii="Cambria" w:hAnsi="Cambria"/>
                <w:color w:val="000000"/>
                <w:sz w:val="18"/>
                <w:szCs w:val="18"/>
                <w:lang w:val="es-ES"/>
              </w:rPr>
              <w:t>La suma de estos dos rubros haría un total de Q 45,774.00 ($ 6,000.00).</w:t>
            </w:r>
          </w:p>
        </w:tc>
        <w:tc>
          <w:tcPr>
            <w:tcW w:w="2250" w:type="dxa"/>
            <w:shd w:val="clear" w:color="auto" w:fill="auto"/>
            <w:vAlign w:val="center"/>
          </w:tcPr>
          <w:p w14:paraId="2F2D48DF" w14:textId="77777777" w:rsidR="00AD2DB9" w:rsidRPr="004A440C" w:rsidRDefault="00AD2DB9" w:rsidP="000D680A">
            <w:pPr>
              <w:spacing w:after="0" w:line="240" w:lineRule="auto"/>
              <w:jc w:val="center"/>
              <w:rPr>
                <w:rFonts w:ascii="Cambria" w:hAnsi="Cambria"/>
                <w:color w:val="000000"/>
                <w:sz w:val="18"/>
                <w:szCs w:val="18"/>
                <w:lang w:val="es-ES"/>
              </w:rPr>
            </w:pPr>
            <w:r w:rsidRPr="004A440C">
              <w:rPr>
                <w:rFonts w:ascii="Cambria" w:hAnsi="Cambria"/>
                <w:color w:val="000000"/>
                <w:sz w:val="18"/>
                <w:szCs w:val="18"/>
                <w:lang w:val="es-ES"/>
              </w:rPr>
              <w:t>Cumplimiento total</w:t>
            </w:r>
            <w:r w:rsidRPr="004A440C">
              <w:rPr>
                <w:rStyle w:val="FootnoteReference"/>
                <w:rFonts w:ascii="Cambria" w:hAnsi="Cambria"/>
                <w:color w:val="000000"/>
                <w:sz w:val="18"/>
                <w:szCs w:val="18"/>
                <w:lang w:val="es-ES"/>
              </w:rPr>
              <w:footnoteReference w:id="5"/>
            </w:r>
            <w:r w:rsidRPr="004A440C">
              <w:rPr>
                <w:rFonts w:ascii="Cambria" w:hAnsi="Cambria"/>
                <w:color w:val="000000"/>
                <w:sz w:val="18"/>
                <w:szCs w:val="18"/>
                <w:lang w:val="es-ES"/>
              </w:rPr>
              <w:t xml:space="preserve"> </w:t>
            </w:r>
          </w:p>
        </w:tc>
      </w:tr>
    </w:tbl>
    <w:p w14:paraId="075FB4AD" w14:textId="77777777" w:rsidR="00AD2DB9" w:rsidRPr="004A440C" w:rsidRDefault="00AD2DB9" w:rsidP="00AD2DB9">
      <w:pPr>
        <w:spacing w:after="0" w:line="240" w:lineRule="auto"/>
        <w:jc w:val="both"/>
        <w:rPr>
          <w:rFonts w:ascii="Cambria" w:hAnsi="Cambria" w:cs="Calibri Light"/>
          <w:b/>
          <w:color w:val="000000"/>
          <w:sz w:val="20"/>
          <w:szCs w:val="20"/>
          <w:lang w:val="es-ES"/>
        </w:rPr>
      </w:pPr>
    </w:p>
    <w:p w14:paraId="7DA3079E" w14:textId="77777777" w:rsidR="00AD2DB9" w:rsidRPr="004A440C" w:rsidRDefault="00AD2DB9" w:rsidP="00FC6379">
      <w:pPr>
        <w:pStyle w:val="ListParagraph"/>
        <w:numPr>
          <w:ilvl w:val="0"/>
          <w:numId w:val="1"/>
        </w:numPr>
        <w:spacing w:after="0" w:line="240" w:lineRule="auto"/>
        <w:ind w:left="1440"/>
        <w:jc w:val="both"/>
        <w:rPr>
          <w:rFonts w:ascii="Cambria" w:hAnsi="Cambria" w:cs="Calibri Light"/>
          <w:b/>
          <w:color w:val="000000"/>
          <w:sz w:val="20"/>
          <w:szCs w:val="20"/>
          <w:lang w:val="es-ES"/>
        </w:rPr>
      </w:pPr>
      <w:r w:rsidRPr="004A440C">
        <w:rPr>
          <w:rFonts w:ascii="Cambria" w:hAnsi="Cambria"/>
          <w:b/>
          <w:color w:val="000000"/>
          <w:sz w:val="20"/>
          <w:szCs w:val="20"/>
          <w:lang w:val="es-ES"/>
        </w:rPr>
        <w:t>Actividad Procesal</w:t>
      </w:r>
    </w:p>
    <w:p w14:paraId="72683022" w14:textId="77777777" w:rsidR="00AD2DB9" w:rsidRPr="004A440C" w:rsidRDefault="00AD2DB9" w:rsidP="00AD2DB9">
      <w:pPr>
        <w:spacing w:after="0" w:line="240" w:lineRule="auto"/>
        <w:jc w:val="both"/>
        <w:rPr>
          <w:rFonts w:ascii="Cambria" w:hAnsi="Cambria" w:cs="Calibri Light"/>
          <w:color w:val="000000"/>
          <w:sz w:val="20"/>
          <w:szCs w:val="20"/>
          <w:lang w:val="es-ES"/>
        </w:rPr>
      </w:pPr>
    </w:p>
    <w:p w14:paraId="220B6C62" w14:textId="77777777" w:rsidR="000F3C7A" w:rsidRPr="004A440C" w:rsidRDefault="00AD2DB9" w:rsidP="000F3C7A">
      <w:pPr>
        <w:numPr>
          <w:ilvl w:val="0"/>
          <w:numId w:val="4"/>
        </w:numPr>
        <w:spacing w:after="0" w:line="240" w:lineRule="auto"/>
        <w:ind w:firstLine="720"/>
        <w:jc w:val="both"/>
        <w:rPr>
          <w:rFonts w:ascii="Cambria" w:hAnsi="Cambria" w:cs="Calibri Light"/>
          <w:color w:val="000000"/>
          <w:sz w:val="20"/>
          <w:szCs w:val="20"/>
          <w:lang w:val="es-ES"/>
        </w:rPr>
      </w:pPr>
      <w:r w:rsidRPr="004A440C">
        <w:rPr>
          <w:rFonts w:ascii="Cambria" w:hAnsi="Cambria" w:cs="Calibri Light"/>
          <w:color w:val="000000"/>
          <w:sz w:val="20"/>
          <w:szCs w:val="20"/>
          <w:lang w:val="es-ES"/>
        </w:rPr>
        <w:t xml:space="preserve">El 19 de julio de 2005, las partes firmaron un “Acuerdo de cumplimiento de recomendaciones del Informe </w:t>
      </w:r>
      <w:r w:rsidR="00964455" w:rsidRPr="004A440C">
        <w:rPr>
          <w:rFonts w:ascii="Cambria" w:hAnsi="Cambria" w:cs="Calibri Light"/>
          <w:color w:val="000000"/>
          <w:sz w:val="20"/>
          <w:szCs w:val="20"/>
          <w:lang w:val="es-ES"/>
        </w:rPr>
        <w:t xml:space="preserve">Nº </w:t>
      </w:r>
      <w:r w:rsidRPr="004A440C">
        <w:rPr>
          <w:rFonts w:ascii="Cambria" w:hAnsi="Cambria" w:cs="Calibri Light"/>
          <w:color w:val="000000"/>
          <w:sz w:val="20"/>
          <w:szCs w:val="20"/>
          <w:lang w:val="es-ES"/>
        </w:rPr>
        <w:t>48/03”.</w:t>
      </w:r>
    </w:p>
    <w:p w14:paraId="2B49B1F6" w14:textId="77777777" w:rsidR="000F3C7A" w:rsidRPr="004A440C" w:rsidRDefault="000F3C7A" w:rsidP="000F3C7A">
      <w:pPr>
        <w:spacing w:after="0" w:line="240" w:lineRule="auto"/>
        <w:ind w:left="720"/>
        <w:jc w:val="both"/>
        <w:rPr>
          <w:rFonts w:ascii="Cambria" w:hAnsi="Cambria" w:cs="Calibri Light"/>
          <w:color w:val="000000"/>
          <w:sz w:val="20"/>
          <w:szCs w:val="20"/>
          <w:lang w:val="es-ES"/>
        </w:rPr>
      </w:pPr>
    </w:p>
    <w:p w14:paraId="453CF359" w14:textId="77777777" w:rsidR="000F3C7A" w:rsidRPr="004A440C" w:rsidRDefault="000F3C7A" w:rsidP="000F3C7A">
      <w:pPr>
        <w:numPr>
          <w:ilvl w:val="0"/>
          <w:numId w:val="4"/>
        </w:numPr>
        <w:spacing w:after="0" w:line="240" w:lineRule="auto"/>
        <w:ind w:firstLine="720"/>
        <w:jc w:val="both"/>
        <w:rPr>
          <w:rFonts w:ascii="Cambria" w:hAnsi="Cambria" w:cs="Calibri Light"/>
          <w:color w:val="000000"/>
          <w:sz w:val="20"/>
          <w:szCs w:val="20"/>
          <w:lang w:val="es-ES"/>
        </w:rPr>
      </w:pPr>
      <w:r w:rsidRPr="004A440C">
        <w:rPr>
          <w:rFonts w:ascii="Cambria" w:hAnsi="Cambria" w:cs="Calibri Light"/>
          <w:color w:val="000000"/>
          <w:sz w:val="20"/>
          <w:szCs w:val="20"/>
          <w:lang w:val="es-ES"/>
        </w:rPr>
        <w:lastRenderedPageBreak/>
        <w:t xml:space="preserve">El 20 de agosto de 2021, la CIDH solicitó al Estado remitir información actualizada sobre el cumplimiento de las recomendaciones emitidas en el Informe de Fondo No. 80/07. Los días 17 de septiembre, 13 de octubre y 3 de noviembre, el Estado presentó dicha información a la Comisión. </w:t>
      </w:r>
    </w:p>
    <w:p w14:paraId="4E507406" w14:textId="77777777" w:rsidR="000F3C7A" w:rsidRPr="004A440C" w:rsidRDefault="000F3C7A" w:rsidP="000F3C7A">
      <w:pPr>
        <w:pStyle w:val="ListParagraph"/>
        <w:rPr>
          <w:rFonts w:ascii="Cambria" w:hAnsi="Cambria" w:cs="Calibri Light"/>
          <w:color w:val="000000"/>
          <w:sz w:val="20"/>
          <w:szCs w:val="20"/>
          <w:lang w:val="es-ES"/>
        </w:rPr>
      </w:pPr>
    </w:p>
    <w:p w14:paraId="7F7FEA16" w14:textId="77777777" w:rsidR="000F3C7A" w:rsidRPr="004A440C" w:rsidRDefault="000F3C7A" w:rsidP="000F3C7A">
      <w:pPr>
        <w:numPr>
          <w:ilvl w:val="0"/>
          <w:numId w:val="4"/>
        </w:numPr>
        <w:spacing w:after="0" w:line="240" w:lineRule="auto"/>
        <w:ind w:firstLine="720"/>
        <w:jc w:val="both"/>
        <w:rPr>
          <w:rFonts w:ascii="Cambria" w:hAnsi="Cambria" w:cs="Calibri Light"/>
          <w:color w:val="000000"/>
          <w:sz w:val="20"/>
          <w:szCs w:val="20"/>
          <w:lang w:val="es-ES"/>
        </w:rPr>
      </w:pPr>
      <w:r w:rsidRPr="004A440C">
        <w:rPr>
          <w:rFonts w:ascii="Cambria" w:hAnsi="Cambria" w:cs="Calibri Light"/>
          <w:color w:val="000000"/>
          <w:sz w:val="20"/>
          <w:szCs w:val="20"/>
          <w:lang w:val="es-ES"/>
        </w:rPr>
        <w:t>El 20 de agosto de 2021, la CIDH solicitó a la parte peticionaria remitir información actualizada sobre el cumplimiento de las recomendaciones emitidas en el Informe de Fondo No. 80/07.</w:t>
      </w:r>
      <w:r w:rsidRPr="004A440C">
        <w:rPr>
          <w:rFonts w:ascii="Cambria" w:hAnsi="Cambria" w:cs="Cambria"/>
          <w:color w:val="000000"/>
          <w:sz w:val="20"/>
          <w:szCs w:val="20"/>
          <w:lang w:val="es-ES" w:eastAsia="pt-BR"/>
        </w:rPr>
        <w:t xml:space="preserve"> </w:t>
      </w:r>
      <w:r w:rsidRPr="004A440C">
        <w:rPr>
          <w:rFonts w:ascii="Cambria" w:hAnsi="Cambria" w:cs="Calibri Light"/>
          <w:color w:val="000000"/>
          <w:sz w:val="20"/>
          <w:szCs w:val="20"/>
          <w:lang w:val="es-ES"/>
        </w:rPr>
        <w:t>A la fecha de cierre de este informe, la Comisión no había recibido dicha información. La Comisión observa con preocupación que la parte peticionaria no ha presentado esta información desde el 2016.</w:t>
      </w:r>
    </w:p>
    <w:p w14:paraId="69443B03" w14:textId="77777777" w:rsidR="00AD2DB9" w:rsidRPr="004A440C" w:rsidRDefault="00AD2DB9" w:rsidP="00AD2DB9">
      <w:pPr>
        <w:spacing w:after="0" w:line="240" w:lineRule="auto"/>
        <w:jc w:val="both"/>
        <w:rPr>
          <w:rFonts w:ascii="Cambria" w:hAnsi="Cambria" w:cs="Calibri Light"/>
          <w:color w:val="000000"/>
          <w:sz w:val="20"/>
          <w:szCs w:val="20"/>
          <w:lang w:val="es-ES"/>
        </w:rPr>
      </w:pPr>
    </w:p>
    <w:p w14:paraId="7998C704" w14:textId="77777777" w:rsidR="00CB1752" w:rsidRPr="004A440C" w:rsidRDefault="00AD2DB9" w:rsidP="00CB1752">
      <w:pPr>
        <w:pStyle w:val="ListParagraph"/>
        <w:numPr>
          <w:ilvl w:val="0"/>
          <w:numId w:val="1"/>
        </w:numPr>
        <w:spacing w:after="0" w:line="240" w:lineRule="auto"/>
        <w:ind w:left="1440"/>
        <w:jc w:val="both"/>
        <w:rPr>
          <w:rFonts w:ascii="Cambria" w:hAnsi="Cambria" w:cs="Calibri Light"/>
          <w:b/>
          <w:color w:val="000000"/>
          <w:sz w:val="20"/>
          <w:szCs w:val="20"/>
          <w:lang w:val="es-ES"/>
        </w:rPr>
      </w:pPr>
      <w:r w:rsidRPr="004A440C">
        <w:rPr>
          <w:rFonts w:ascii="Cambria" w:hAnsi="Cambria" w:cs="Calibri Light"/>
          <w:b/>
          <w:color w:val="000000"/>
          <w:sz w:val="20"/>
          <w:szCs w:val="20"/>
          <w:lang w:val="es-ES"/>
        </w:rPr>
        <w:t>Análisis relativ</w:t>
      </w:r>
      <w:r w:rsidR="00FC6379" w:rsidRPr="004A440C">
        <w:rPr>
          <w:rFonts w:ascii="Cambria" w:hAnsi="Cambria" w:cs="Calibri Light"/>
          <w:b/>
          <w:color w:val="000000"/>
          <w:sz w:val="20"/>
          <w:szCs w:val="20"/>
          <w:lang w:val="es-ES"/>
        </w:rPr>
        <w:t>o</w:t>
      </w:r>
      <w:r w:rsidRPr="004A440C">
        <w:rPr>
          <w:rFonts w:ascii="Cambria" w:hAnsi="Cambria" w:cs="Calibri Light"/>
          <w:b/>
          <w:color w:val="000000"/>
          <w:sz w:val="20"/>
          <w:szCs w:val="20"/>
          <w:lang w:val="es-ES"/>
        </w:rPr>
        <w:t xml:space="preserve"> a</w:t>
      </w:r>
      <w:r w:rsidR="00836E44" w:rsidRPr="004A440C">
        <w:rPr>
          <w:rFonts w:ascii="Cambria" w:hAnsi="Cambria" w:cs="Calibri Light"/>
          <w:b/>
          <w:color w:val="000000"/>
          <w:sz w:val="20"/>
          <w:szCs w:val="20"/>
          <w:lang w:val="es-ES"/>
        </w:rPr>
        <w:t xml:space="preserve"> la</w:t>
      </w:r>
      <w:r w:rsidRPr="004A440C">
        <w:rPr>
          <w:rFonts w:ascii="Cambria" w:hAnsi="Cambria" w:cs="Calibri Light"/>
          <w:b/>
          <w:color w:val="000000"/>
          <w:sz w:val="20"/>
          <w:szCs w:val="20"/>
          <w:lang w:val="es-ES"/>
        </w:rPr>
        <w:t xml:space="preserve"> información proporcionada</w:t>
      </w:r>
    </w:p>
    <w:p w14:paraId="7517D7FD" w14:textId="77777777" w:rsidR="000F3C7A" w:rsidRPr="004A440C" w:rsidRDefault="000F3C7A" w:rsidP="000F3C7A">
      <w:pPr>
        <w:pStyle w:val="ListParagraph"/>
        <w:spacing w:after="0" w:line="240" w:lineRule="auto"/>
        <w:ind w:left="1440"/>
        <w:jc w:val="both"/>
        <w:rPr>
          <w:rFonts w:ascii="Cambria" w:hAnsi="Cambria" w:cs="Calibri Light"/>
          <w:b/>
          <w:color w:val="000000"/>
          <w:sz w:val="20"/>
          <w:szCs w:val="20"/>
          <w:lang w:val="es-ES"/>
        </w:rPr>
      </w:pPr>
    </w:p>
    <w:p w14:paraId="2EC608B6" w14:textId="77777777" w:rsidR="00CB1752" w:rsidRPr="004A440C" w:rsidRDefault="00CB1752" w:rsidP="000F3C7A">
      <w:pPr>
        <w:pStyle w:val="ListParagraph"/>
        <w:numPr>
          <w:ilvl w:val="0"/>
          <w:numId w:val="4"/>
        </w:numPr>
        <w:spacing w:after="0" w:line="240" w:lineRule="auto"/>
        <w:ind w:left="0" w:firstLine="720"/>
        <w:jc w:val="both"/>
        <w:rPr>
          <w:rFonts w:ascii="Cambria" w:hAnsi="Cambria" w:cs="Calibri Light"/>
          <w:color w:val="000000"/>
          <w:sz w:val="20"/>
          <w:szCs w:val="20"/>
          <w:lang w:val="es-ES"/>
        </w:rPr>
      </w:pPr>
      <w:r w:rsidRPr="004A440C">
        <w:rPr>
          <w:rFonts w:ascii="Cambria" w:hAnsi="Cambria" w:cs="Calibri Light"/>
          <w:color w:val="000000"/>
          <w:sz w:val="20"/>
          <w:szCs w:val="20"/>
          <w:lang w:val="es-ES"/>
        </w:rPr>
        <w:t>La Comisión considera que la información proporcionada por el Estado 20</w:t>
      </w:r>
      <w:r w:rsidR="000F3C7A" w:rsidRPr="004A440C">
        <w:rPr>
          <w:rFonts w:ascii="Cambria" w:hAnsi="Cambria" w:cs="Calibri Light"/>
          <w:color w:val="000000"/>
          <w:sz w:val="20"/>
          <w:szCs w:val="20"/>
          <w:lang w:val="es-ES"/>
        </w:rPr>
        <w:t>21</w:t>
      </w:r>
      <w:r w:rsidRPr="004A440C">
        <w:rPr>
          <w:rFonts w:ascii="Cambria" w:hAnsi="Cambria" w:cs="Calibri Light"/>
          <w:color w:val="000000"/>
          <w:sz w:val="20"/>
          <w:szCs w:val="20"/>
          <w:lang w:val="es-ES"/>
        </w:rPr>
        <w:t xml:space="preserve"> es relevante </w:t>
      </w:r>
      <w:r w:rsidR="00B60353" w:rsidRPr="004A440C">
        <w:rPr>
          <w:rFonts w:ascii="Cambria" w:hAnsi="Cambria" w:cs="Calibri Light"/>
          <w:color w:val="000000"/>
          <w:sz w:val="20"/>
          <w:szCs w:val="20"/>
          <w:lang w:val="es-ES"/>
        </w:rPr>
        <w:t xml:space="preserve">respecto de las medidas implementadas para cumplir con </w:t>
      </w:r>
      <w:r w:rsidRPr="004A440C">
        <w:rPr>
          <w:rFonts w:ascii="Cambria" w:hAnsi="Cambria" w:cs="Calibri Light"/>
          <w:color w:val="000000"/>
          <w:sz w:val="20"/>
          <w:szCs w:val="20"/>
          <w:lang w:val="es-ES"/>
        </w:rPr>
        <w:t xml:space="preserve">las recomendaciones incluidas en el Informe de Fondo Nº 80/07. </w:t>
      </w:r>
    </w:p>
    <w:p w14:paraId="7E48F512" w14:textId="77777777" w:rsidR="00CB1752" w:rsidRPr="004A440C" w:rsidRDefault="00CB1752" w:rsidP="00CB1752">
      <w:pPr>
        <w:pStyle w:val="ListParagraph"/>
        <w:spacing w:after="0" w:line="240" w:lineRule="auto"/>
        <w:ind w:left="0"/>
        <w:jc w:val="both"/>
        <w:rPr>
          <w:rFonts w:ascii="Cambria" w:hAnsi="Cambria" w:cs="Calibri Light"/>
          <w:color w:val="000000"/>
          <w:sz w:val="20"/>
          <w:szCs w:val="20"/>
          <w:lang w:val="es-ES"/>
        </w:rPr>
      </w:pPr>
    </w:p>
    <w:p w14:paraId="4FEEB444" w14:textId="77777777" w:rsidR="00AD2DB9" w:rsidRPr="004A440C" w:rsidRDefault="00AD2DB9" w:rsidP="00FC6379">
      <w:pPr>
        <w:pStyle w:val="ListParagraph"/>
        <w:numPr>
          <w:ilvl w:val="0"/>
          <w:numId w:val="1"/>
        </w:numPr>
        <w:spacing w:after="0" w:line="240" w:lineRule="auto"/>
        <w:ind w:left="1440"/>
        <w:jc w:val="both"/>
        <w:rPr>
          <w:rFonts w:ascii="Cambria" w:hAnsi="Cambria" w:cs="Calibri Light"/>
          <w:b/>
          <w:color w:val="000000"/>
          <w:sz w:val="20"/>
          <w:szCs w:val="20"/>
          <w:lang w:val="es-ES"/>
        </w:rPr>
      </w:pPr>
      <w:r w:rsidRPr="004A440C">
        <w:rPr>
          <w:rFonts w:ascii="Cambria" w:hAnsi="Cambria" w:cs="Calibri Light"/>
          <w:b/>
          <w:color w:val="000000"/>
          <w:sz w:val="20"/>
          <w:szCs w:val="20"/>
          <w:lang w:val="es-ES"/>
        </w:rPr>
        <w:t>Análisis del cumplimiento de las recomendaciones</w:t>
      </w:r>
    </w:p>
    <w:p w14:paraId="138670F1" w14:textId="77777777" w:rsidR="00AD2DB9" w:rsidRPr="004A440C" w:rsidRDefault="00AD2DB9" w:rsidP="00AD2DB9">
      <w:pPr>
        <w:spacing w:after="0" w:line="240" w:lineRule="auto"/>
        <w:ind w:firstLine="720"/>
        <w:jc w:val="both"/>
        <w:rPr>
          <w:rFonts w:ascii="Cambria" w:hAnsi="Cambria" w:cs="Calibri Light"/>
          <w:color w:val="000000"/>
          <w:sz w:val="20"/>
          <w:szCs w:val="20"/>
          <w:lang w:val="es-ES"/>
        </w:rPr>
      </w:pPr>
    </w:p>
    <w:p w14:paraId="27A79808" w14:textId="77777777" w:rsidR="0072175C" w:rsidRPr="004A440C" w:rsidRDefault="00AD2DB9" w:rsidP="000F3C7A">
      <w:pPr>
        <w:numPr>
          <w:ilvl w:val="0"/>
          <w:numId w:val="4"/>
        </w:numPr>
        <w:spacing w:after="0" w:line="240" w:lineRule="auto"/>
        <w:ind w:firstLine="810"/>
        <w:jc w:val="both"/>
        <w:rPr>
          <w:rFonts w:ascii="Cambria" w:hAnsi="Cambria" w:cs="Calibri Light"/>
          <w:color w:val="000000"/>
          <w:sz w:val="20"/>
          <w:szCs w:val="20"/>
          <w:lang w:val="es-ES"/>
        </w:rPr>
      </w:pPr>
      <w:r w:rsidRPr="004A440C">
        <w:rPr>
          <w:rFonts w:ascii="Cambria" w:hAnsi="Cambria" w:cs="Calibri Light"/>
          <w:b/>
          <w:color w:val="000000"/>
          <w:sz w:val="20"/>
          <w:szCs w:val="20"/>
          <w:lang w:val="es-ES"/>
        </w:rPr>
        <w:t xml:space="preserve">En relación con la primera recomendación, </w:t>
      </w:r>
      <w:r w:rsidRPr="004A440C">
        <w:rPr>
          <w:rFonts w:ascii="Cambria" w:hAnsi="Cambria" w:cs="Calibri Light"/>
          <w:color w:val="000000"/>
          <w:sz w:val="20"/>
          <w:szCs w:val="20"/>
          <w:lang w:val="es-ES"/>
        </w:rPr>
        <w:t>en el 2018, el Estado informó que giró instrucción a la Dirección de Investigaciones Criminalísticas del Ministerio Público –DICRI- para llevar a cabo entrevistas a informantes claves, a fin de presentar declaración sobre la veracidad de los hechos ocurridos respecto la muerte del señor Martín Pelicó Coxic y de los posibles autores de su muerte, motivo por lo cual la investigación continúa. Anteriormente, el Estado informó que por medio del COPREDEH está trabajando en un mecanismo de coordinación y apoyo con el Ministerio Público por medio de la conformación de una mesa de trabajo que contempla la prioridad de atender los casos presentados ante los órganos del Sistema Interamericano.  Asimismo, resaltó la conformación de una mesa de trabajo integrada por la COPREDEH, la Fundación de Antropología Forense de Guatemala – FAFG -, el Ministerio Público, el Instituto Nacional de Ciencias Forenses - INACIF - y la sociedad civil con el propósito de dar seguimiento a la realización de exhumaciones para la búsqueda, identificación y entrega de restos de las personas desaparecidas</w:t>
      </w:r>
      <w:r w:rsidRPr="004A440C">
        <w:rPr>
          <w:rStyle w:val="FootnoteReference"/>
          <w:rFonts w:ascii="Cambria" w:hAnsi="Cambria" w:cs="Calibri Light"/>
          <w:color w:val="000000"/>
          <w:sz w:val="20"/>
          <w:szCs w:val="20"/>
          <w:lang w:val="es-ES"/>
        </w:rPr>
        <w:footnoteReference w:id="6"/>
      </w:r>
      <w:r w:rsidRPr="004A440C">
        <w:rPr>
          <w:rFonts w:ascii="Cambria" w:hAnsi="Cambria" w:cs="Calibri Light"/>
          <w:color w:val="000000"/>
          <w:sz w:val="20"/>
          <w:szCs w:val="20"/>
          <w:lang w:val="es-ES"/>
        </w:rPr>
        <w:t xml:space="preserve">. </w:t>
      </w:r>
    </w:p>
    <w:p w14:paraId="63803383" w14:textId="77777777" w:rsidR="0072175C" w:rsidRPr="004A440C" w:rsidRDefault="0072175C" w:rsidP="00B453D2">
      <w:pPr>
        <w:spacing w:after="0" w:line="240" w:lineRule="auto"/>
        <w:ind w:left="810"/>
        <w:jc w:val="both"/>
        <w:rPr>
          <w:rFonts w:ascii="Cambria" w:hAnsi="Cambria" w:cs="Calibri Light"/>
          <w:color w:val="000000"/>
          <w:sz w:val="20"/>
          <w:szCs w:val="20"/>
          <w:lang w:val="es-ES"/>
        </w:rPr>
      </w:pPr>
    </w:p>
    <w:p w14:paraId="484502CE" w14:textId="77777777" w:rsidR="00C16D03" w:rsidRPr="004A440C" w:rsidRDefault="0072175C" w:rsidP="00C16D03">
      <w:pPr>
        <w:numPr>
          <w:ilvl w:val="0"/>
          <w:numId w:val="4"/>
        </w:numPr>
        <w:spacing w:after="0" w:line="240" w:lineRule="auto"/>
        <w:ind w:firstLine="810"/>
        <w:jc w:val="both"/>
        <w:rPr>
          <w:rFonts w:ascii="Cambria" w:hAnsi="Cambria" w:cs="Calibri Light"/>
          <w:color w:val="000000"/>
          <w:sz w:val="20"/>
          <w:szCs w:val="20"/>
          <w:lang w:val="es-ES"/>
        </w:rPr>
      </w:pPr>
      <w:r w:rsidRPr="004A440C">
        <w:rPr>
          <w:rFonts w:ascii="Cambria" w:hAnsi="Cambria" w:cs="Calibri Light"/>
          <w:color w:val="000000"/>
          <w:sz w:val="20"/>
          <w:szCs w:val="20"/>
          <w:lang w:val="es-ES"/>
        </w:rPr>
        <w:t>Durante el 2019, el Estado manifestó a la Comisión</w:t>
      </w:r>
      <w:r w:rsidRPr="004A440C">
        <w:rPr>
          <w:rFonts w:ascii="Cambria" w:hAnsi="Cambria" w:cs="Calibri Light"/>
          <w:b/>
          <w:color w:val="000000"/>
          <w:sz w:val="20"/>
          <w:szCs w:val="20"/>
          <w:lang w:val="es-ES"/>
        </w:rPr>
        <w:t xml:space="preserve"> </w:t>
      </w:r>
      <w:r w:rsidRPr="004A440C">
        <w:rPr>
          <w:rFonts w:ascii="Cambria" w:hAnsi="Cambria"/>
          <w:color w:val="000000"/>
          <w:sz w:val="20"/>
          <w:szCs w:val="20"/>
          <w:lang w:val="es-US"/>
        </w:rPr>
        <w:t xml:space="preserve">que la única recomendación pendiente de cumplimiento en el presente caso es la investigación respecto a </w:t>
      </w:r>
      <w:r w:rsidRPr="004A440C">
        <w:rPr>
          <w:rFonts w:ascii="Cambria" w:hAnsi="Cambria"/>
          <w:color w:val="000000"/>
          <w:sz w:val="20"/>
          <w:szCs w:val="20"/>
          <w:lang w:val="es-ES"/>
        </w:rPr>
        <w:t xml:space="preserve">los hechos contenidos </w:t>
      </w:r>
      <w:r w:rsidRPr="004A440C">
        <w:rPr>
          <w:rFonts w:ascii="Cambria" w:hAnsi="Cambria" w:cs="Calibri Light"/>
          <w:color w:val="000000"/>
          <w:sz w:val="20"/>
          <w:szCs w:val="20"/>
          <w:lang w:val="es-ES"/>
        </w:rPr>
        <w:t xml:space="preserve">Informe Nº </w:t>
      </w:r>
      <w:r w:rsidR="00610F29" w:rsidRPr="004A440C">
        <w:rPr>
          <w:rFonts w:ascii="Cambria" w:hAnsi="Cambria" w:cs="Calibri Light"/>
          <w:color w:val="000000"/>
          <w:sz w:val="20"/>
          <w:szCs w:val="20"/>
          <w:lang w:val="es-ES"/>
        </w:rPr>
        <w:t>80/07</w:t>
      </w:r>
      <w:r w:rsidR="00FC3DAB" w:rsidRPr="004A440C">
        <w:rPr>
          <w:rFonts w:ascii="Cambria" w:hAnsi="Cambria" w:cs="Calibri Light"/>
          <w:color w:val="000000"/>
          <w:sz w:val="20"/>
          <w:szCs w:val="20"/>
          <w:lang w:val="es-ES"/>
        </w:rPr>
        <w:t xml:space="preserve"> y que la investigación continuaba en curso por parte del Ministerio Público.</w:t>
      </w:r>
      <w:r w:rsidRPr="004A440C">
        <w:rPr>
          <w:rFonts w:ascii="Cambria" w:hAnsi="Cambria"/>
          <w:color w:val="000000"/>
          <w:sz w:val="20"/>
          <w:szCs w:val="20"/>
          <w:lang w:val="es-ES"/>
        </w:rPr>
        <w:t xml:space="preserve"> </w:t>
      </w:r>
    </w:p>
    <w:p w14:paraId="1A8966FD" w14:textId="77777777" w:rsidR="00C16D03" w:rsidRPr="004A440C" w:rsidRDefault="00C16D03" w:rsidP="00C16D03">
      <w:pPr>
        <w:spacing w:after="0" w:line="240" w:lineRule="auto"/>
        <w:jc w:val="both"/>
        <w:rPr>
          <w:rFonts w:ascii="Cambria" w:hAnsi="Cambria" w:cs="Calibri Light"/>
          <w:color w:val="000000"/>
          <w:sz w:val="20"/>
          <w:szCs w:val="20"/>
          <w:lang w:val="es-ES"/>
        </w:rPr>
      </w:pPr>
    </w:p>
    <w:p w14:paraId="2440BCB2" w14:textId="77777777" w:rsidR="00C16D03" w:rsidRPr="004A440C" w:rsidRDefault="00C16D03" w:rsidP="00C16D03">
      <w:pPr>
        <w:numPr>
          <w:ilvl w:val="0"/>
          <w:numId w:val="4"/>
        </w:numPr>
        <w:spacing w:after="0" w:line="240" w:lineRule="auto"/>
        <w:ind w:firstLine="810"/>
        <w:jc w:val="both"/>
        <w:rPr>
          <w:rFonts w:ascii="Cambria" w:hAnsi="Cambria" w:cs="Calibri Light"/>
          <w:color w:val="000000"/>
          <w:sz w:val="20"/>
          <w:szCs w:val="20"/>
          <w:lang w:val="es-ES"/>
        </w:rPr>
      </w:pPr>
      <w:r w:rsidRPr="004A440C">
        <w:rPr>
          <w:rFonts w:ascii="Cambria" w:hAnsi="Cambria" w:cs="Calibri Light"/>
          <w:color w:val="000000"/>
          <w:sz w:val="20"/>
          <w:szCs w:val="20"/>
          <w:lang w:val="es-ES"/>
        </w:rPr>
        <w:t>En 2021, el Estado indicó que</w:t>
      </w:r>
      <w:r w:rsidR="007F306B" w:rsidRPr="004A440C">
        <w:rPr>
          <w:rFonts w:ascii="Cambria" w:hAnsi="Cambria" w:cs="Calibri Light"/>
          <w:color w:val="000000"/>
          <w:sz w:val="20"/>
          <w:szCs w:val="20"/>
          <w:lang w:val="es-ES"/>
        </w:rPr>
        <w:t xml:space="preserve"> el Ministerio Público continúa realizando las diligencias de investigación en el marco del presente caso. Al respecto, señaló que se ha dificultado la obtención de testimonios importantes para el desarrollo de la investigación. Indicó que informará a la CIDH sobre avances adicionales.</w:t>
      </w:r>
    </w:p>
    <w:p w14:paraId="6293C8C3" w14:textId="77777777" w:rsidR="00C16D03" w:rsidRPr="004A440C" w:rsidRDefault="00C16D03" w:rsidP="00C16D03">
      <w:pPr>
        <w:spacing w:after="0" w:line="240" w:lineRule="auto"/>
        <w:jc w:val="both"/>
        <w:rPr>
          <w:rFonts w:ascii="Cambria" w:hAnsi="Cambria" w:cs="Calibri Light"/>
          <w:color w:val="000000"/>
          <w:sz w:val="20"/>
          <w:szCs w:val="20"/>
          <w:lang w:val="es-ES"/>
        </w:rPr>
      </w:pPr>
    </w:p>
    <w:p w14:paraId="5A89C159" w14:textId="77777777" w:rsidR="00AD2DB9" w:rsidRPr="004A440C" w:rsidRDefault="00AD2DB9" w:rsidP="00C16D03">
      <w:pPr>
        <w:numPr>
          <w:ilvl w:val="0"/>
          <w:numId w:val="4"/>
        </w:numPr>
        <w:spacing w:after="0" w:line="240" w:lineRule="auto"/>
        <w:ind w:firstLine="810"/>
        <w:jc w:val="both"/>
        <w:rPr>
          <w:rFonts w:ascii="Cambria" w:hAnsi="Cambria" w:cs="Calibri Light"/>
          <w:color w:val="000000"/>
          <w:sz w:val="20"/>
          <w:szCs w:val="20"/>
          <w:lang w:val="es-ES"/>
        </w:rPr>
      </w:pPr>
      <w:r w:rsidRPr="004A440C">
        <w:rPr>
          <w:rFonts w:ascii="Cambria" w:hAnsi="Cambria" w:cs="Calibri Light"/>
          <w:color w:val="000000"/>
          <w:sz w:val="20"/>
          <w:szCs w:val="20"/>
          <w:lang w:val="es-ES"/>
        </w:rPr>
        <w:t>Los peticionarios no proporcionaron información sobre esta recomendación en 201</w:t>
      </w:r>
      <w:r w:rsidR="0072175C" w:rsidRPr="004A440C">
        <w:rPr>
          <w:rFonts w:ascii="Cambria" w:hAnsi="Cambria" w:cs="Calibri Light"/>
          <w:color w:val="000000"/>
          <w:sz w:val="20"/>
          <w:szCs w:val="20"/>
          <w:lang w:val="es-ES"/>
        </w:rPr>
        <w:t>9</w:t>
      </w:r>
      <w:r w:rsidRPr="004A440C">
        <w:rPr>
          <w:rFonts w:ascii="Cambria" w:hAnsi="Cambria" w:cs="Calibri Light"/>
          <w:color w:val="000000"/>
          <w:sz w:val="20"/>
          <w:szCs w:val="20"/>
          <w:lang w:val="es-ES"/>
        </w:rPr>
        <w:t xml:space="preserve">. Anteriormente, en comunicaciones del año 2013 y 2015, los representantes habían informado que la última diligencia de investigación fue realizada el 28 de mayo de 1996, cuando se practicó una reconstrucción de los hechos con presencia de testigos. Así, señalan que no se ha acreditado por ningún medio que el Estado haya orientado la investigación a determinar toda la verdad de los hechos ni la totalidad de las responsabilidades intelectuales y materiales de </w:t>
      </w:r>
      <w:proofErr w:type="gramStart"/>
      <w:r w:rsidRPr="004A440C">
        <w:rPr>
          <w:rFonts w:ascii="Cambria" w:hAnsi="Cambria" w:cs="Calibri Light"/>
          <w:color w:val="000000"/>
          <w:sz w:val="20"/>
          <w:szCs w:val="20"/>
          <w:lang w:val="es-ES"/>
        </w:rPr>
        <w:t>los mismos</w:t>
      </w:r>
      <w:proofErr w:type="gramEnd"/>
      <w:r w:rsidRPr="004A440C">
        <w:rPr>
          <w:rFonts w:ascii="Cambria" w:hAnsi="Cambria" w:cs="Calibri Light"/>
          <w:color w:val="000000"/>
          <w:sz w:val="20"/>
          <w:szCs w:val="20"/>
          <w:lang w:val="es-ES"/>
        </w:rPr>
        <w:t xml:space="preserve">. En particular, los peticionarios manifestaron que las últimas diligencias de las entidades investigativas han sido de mero trámite, lo que ha devenido en que tampoco sean efectivas. </w:t>
      </w:r>
    </w:p>
    <w:p w14:paraId="71CB4B5F" w14:textId="77777777" w:rsidR="00AD2DB9" w:rsidRPr="004A440C" w:rsidRDefault="00AD2DB9" w:rsidP="00AD2DB9">
      <w:pPr>
        <w:spacing w:after="0" w:line="240" w:lineRule="auto"/>
        <w:ind w:left="720"/>
        <w:jc w:val="both"/>
        <w:rPr>
          <w:rFonts w:ascii="Cambria" w:hAnsi="Cambria" w:cs="Calibri Light"/>
          <w:color w:val="000000"/>
          <w:sz w:val="20"/>
          <w:szCs w:val="20"/>
          <w:lang w:val="es-ES"/>
        </w:rPr>
      </w:pPr>
    </w:p>
    <w:p w14:paraId="1F1765C3" w14:textId="77777777" w:rsidR="00AD2DB9" w:rsidRPr="004A440C" w:rsidRDefault="00AD2DB9" w:rsidP="007F306B">
      <w:pPr>
        <w:numPr>
          <w:ilvl w:val="0"/>
          <w:numId w:val="4"/>
        </w:numPr>
        <w:spacing w:after="0" w:line="240" w:lineRule="auto"/>
        <w:ind w:firstLine="720"/>
        <w:jc w:val="both"/>
        <w:rPr>
          <w:rFonts w:ascii="Cambria" w:hAnsi="Cambria" w:cs="Calibri Light"/>
          <w:color w:val="000000"/>
          <w:sz w:val="20"/>
          <w:szCs w:val="20"/>
          <w:lang w:val="es-ES"/>
        </w:rPr>
      </w:pPr>
      <w:r w:rsidRPr="004A440C">
        <w:rPr>
          <w:rFonts w:ascii="Cambria" w:hAnsi="Cambria" w:cs="Calibri Light"/>
          <w:color w:val="000000"/>
          <w:sz w:val="20"/>
          <w:szCs w:val="20"/>
          <w:lang w:val="es-ES"/>
        </w:rPr>
        <w:t>La CIDH</w:t>
      </w:r>
      <w:r w:rsidR="007F306B" w:rsidRPr="004A440C">
        <w:rPr>
          <w:rFonts w:ascii="Cambria" w:hAnsi="Cambria" w:cs="Calibri Light"/>
          <w:color w:val="000000"/>
          <w:sz w:val="20"/>
          <w:szCs w:val="20"/>
          <w:lang w:val="es-ES"/>
        </w:rPr>
        <w:t xml:space="preserve"> toma nota de la información remitida por el Estado. </w:t>
      </w:r>
      <w:r w:rsidRPr="004A440C">
        <w:rPr>
          <w:rFonts w:ascii="Cambria" w:hAnsi="Cambria" w:cs="Arial"/>
          <w:color w:val="000000"/>
          <w:sz w:val="20"/>
          <w:szCs w:val="20"/>
          <w:lang w:val="es-ES"/>
        </w:rPr>
        <w:t xml:space="preserve">La CIDH recuerda que el deber de investigar debe cumplirse con seriedad y no como una simple formalidad condenada de antemano a ser infructuosa, y debe tener un sentido y ser asumida por los Estados como un deber jurídico propio y no como </w:t>
      </w:r>
      <w:r w:rsidRPr="004A440C">
        <w:rPr>
          <w:rFonts w:ascii="Cambria" w:hAnsi="Cambria" w:cs="Arial"/>
          <w:color w:val="000000"/>
          <w:sz w:val="20"/>
          <w:szCs w:val="20"/>
          <w:lang w:val="es-ES"/>
        </w:rPr>
        <w:lastRenderedPageBreak/>
        <w:t xml:space="preserve">una simple gestión de intereses particulares, que dependa de la iniciativa procesal de la víctima o de sus familiares o de la aportación privada de elementos probatorios, sin que la </w:t>
      </w:r>
      <w:proofErr w:type="gramStart"/>
      <w:r w:rsidRPr="004A440C">
        <w:rPr>
          <w:rFonts w:ascii="Cambria" w:hAnsi="Cambria" w:cs="Arial"/>
          <w:color w:val="000000"/>
          <w:sz w:val="20"/>
          <w:szCs w:val="20"/>
          <w:lang w:val="es-ES"/>
        </w:rPr>
        <w:t>autoridad pública</w:t>
      </w:r>
      <w:proofErr w:type="gramEnd"/>
      <w:r w:rsidRPr="004A440C">
        <w:rPr>
          <w:rFonts w:ascii="Cambria" w:hAnsi="Cambria" w:cs="Arial"/>
          <w:color w:val="000000"/>
          <w:sz w:val="20"/>
          <w:szCs w:val="20"/>
          <w:lang w:val="es-ES"/>
        </w:rPr>
        <w:t xml:space="preserve"> busque efectivamente la verdad”</w:t>
      </w:r>
      <w:r w:rsidRPr="004A440C">
        <w:rPr>
          <w:rStyle w:val="FootnoteReference"/>
          <w:rFonts w:ascii="Cambria" w:hAnsi="Cambria" w:cs="Arial"/>
          <w:color w:val="000000"/>
          <w:sz w:val="20"/>
          <w:szCs w:val="20"/>
          <w:lang w:val="es-ES"/>
        </w:rPr>
        <w:footnoteReference w:id="7"/>
      </w:r>
      <w:r w:rsidRPr="004A440C">
        <w:rPr>
          <w:rFonts w:ascii="Cambria" w:hAnsi="Cambria" w:cs="Arial"/>
          <w:color w:val="000000"/>
          <w:sz w:val="20"/>
          <w:szCs w:val="20"/>
          <w:lang w:val="es-ES"/>
        </w:rPr>
        <w:t>.</w:t>
      </w:r>
      <w:r w:rsidR="007F306B" w:rsidRPr="004A440C">
        <w:rPr>
          <w:rFonts w:ascii="Cambria" w:hAnsi="Cambria" w:cs="Arial"/>
          <w:color w:val="000000"/>
          <w:sz w:val="20"/>
          <w:szCs w:val="20"/>
          <w:lang w:val="es-ES"/>
        </w:rPr>
        <w:t xml:space="preserve"> En este sentido, la Comisión invita al Estado a continuar adoptando todas las medidas necesarias para cumplir con esta recomendación y a reportar los avances sustanciales en su cumplimiento. </w:t>
      </w:r>
      <w:r w:rsidRPr="004A440C">
        <w:rPr>
          <w:rFonts w:ascii="Cambria" w:hAnsi="Cambria" w:cs="Calibri Light"/>
          <w:color w:val="000000"/>
          <w:sz w:val="20"/>
          <w:szCs w:val="20"/>
          <w:lang w:val="es-ES"/>
        </w:rPr>
        <w:t xml:space="preserve">Por lo anterior, la CIDH considera que la Recomendación 1 </w:t>
      </w:r>
      <w:r w:rsidR="007F306B" w:rsidRPr="004A440C">
        <w:rPr>
          <w:rFonts w:ascii="Cambria" w:hAnsi="Cambria" w:cs="Calibri Light"/>
          <w:color w:val="000000"/>
          <w:sz w:val="20"/>
          <w:szCs w:val="20"/>
          <w:lang w:val="es-ES"/>
        </w:rPr>
        <w:t>continúa</w:t>
      </w:r>
      <w:r w:rsidRPr="004A440C">
        <w:rPr>
          <w:rFonts w:ascii="Cambria" w:hAnsi="Cambria" w:cs="Calibri Light"/>
          <w:color w:val="000000"/>
          <w:sz w:val="20"/>
          <w:szCs w:val="20"/>
          <w:lang w:val="es-ES"/>
        </w:rPr>
        <w:t xml:space="preserve"> pendiente de cumplimiento. </w:t>
      </w:r>
    </w:p>
    <w:p w14:paraId="5FA7B331" w14:textId="77777777" w:rsidR="00AD2DB9" w:rsidRPr="004A440C" w:rsidRDefault="00AD2DB9" w:rsidP="00012153">
      <w:pPr>
        <w:spacing w:after="0" w:line="240" w:lineRule="auto"/>
        <w:jc w:val="both"/>
        <w:rPr>
          <w:rFonts w:ascii="Cambria" w:hAnsi="Cambria" w:cs="Calibri Light"/>
          <w:color w:val="000000"/>
          <w:sz w:val="20"/>
          <w:szCs w:val="20"/>
          <w:lang w:val="es-ES"/>
        </w:rPr>
      </w:pPr>
    </w:p>
    <w:p w14:paraId="3F925856" w14:textId="77777777" w:rsidR="00565741" w:rsidRPr="004A440C" w:rsidRDefault="00AD2DB9" w:rsidP="00565741">
      <w:pPr>
        <w:numPr>
          <w:ilvl w:val="0"/>
          <w:numId w:val="4"/>
        </w:numPr>
        <w:spacing w:after="0" w:line="240" w:lineRule="auto"/>
        <w:ind w:firstLine="720"/>
        <w:jc w:val="both"/>
        <w:rPr>
          <w:rFonts w:ascii="Cambria" w:hAnsi="Cambria" w:cs="Calibri Light"/>
          <w:color w:val="000000"/>
          <w:sz w:val="20"/>
          <w:szCs w:val="20"/>
          <w:lang w:val="es-ES"/>
        </w:rPr>
      </w:pPr>
      <w:r w:rsidRPr="004A440C">
        <w:rPr>
          <w:rFonts w:ascii="Cambria" w:hAnsi="Cambria" w:cs="Calibri Light"/>
          <w:b/>
          <w:color w:val="000000"/>
          <w:sz w:val="20"/>
          <w:szCs w:val="20"/>
          <w:lang w:val="es-ES"/>
        </w:rPr>
        <w:t>En relación con las recomendaciones 3 y 4,</w:t>
      </w:r>
      <w:r w:rsidRPr="004A440C">
        <w:rPr>
          <w:rFonts w:ascii="Cambria" w:hAnsi="Cambria" w:cs="Calibri Light"/>
          <w:color w:val="000000"/>
          <w:sz w:val="20"/>
          <w:szCs w:val="20"/>
          <w:lang w:val="es-ES"/>
        </w:rPr>
        <w:t xml:space="preserve"> </w:t>
      </w:r>
      <w:r w:rsidR="00423BA7" w:rsidRPr="004A440C">
        <w:rPr>
          <w:rFonts w:ascii="Cambria" w:hAnsi="Cambria" w:cs="Calibri Light"/>
          <w:color w:val="000000"/>
          <w:sz w:val="20"/>
          <w:szCs w:val="20"/>
          <w:lang w:val="es-ES"/>
        </w:rPr>
        <w:t xml:space="preserve">en 2019 </w:t>
      </w:r>
      <w:r w:rsidRPr="004A440C">
        <w:rPr>
          <w:rFonts w:ascii="Cambria" w:hAnsi="Cambria" w:cs="Calibri Light"/>
          <w:color w:val="000000"/>
          <w:sz w:val="20"/>
          <w:szCs w:val="20"/>
          <w:lang w:val="es-ES"/>
        </w:rPr>
        <w:t xml:space="preserve">el Estado informó a la CIDH que considera el único compromiso pendiente de cumplimiento es la investigación penal. </w:t>
      </w:r>
    </w:p>
    <w:p w14:paraId="6C53A68B" w14:textId="77777777" w:rsidR="00565741" w:rsidRPr="004A440C" w:rsidRDefault="00565741" w:rsidP="00565741">
      <w:pPr>
        <w:spacing w:after="0" w:line="240" w:lineRule="auto"/>
        <w:jc w:val="both"/>
        <w:rPr>
          <w:rFonts w:ascii="Cambria" w:hAnsi="Cambria" w:cs="Calibri Light"/>
          <w:color w:val="000000"/>
          <w:sz w:val="20"/>
          <w:szCs w:val="20"/>
          <w:lang w:val="es-ES"/>
        </w:rPr>
      </w:pPr>
    </w:p>
    <w:p w14:paraId="60291163" w14:textId="77777777" w:rsidR="00565741" w:rsidRPr="004A440C" w:rsidRDefault="00565741" w:rsidP="00565741">
      <w:pPr>
        <w:numPr>
          <w:ilvl w:val="0"/>
          <w:numId w:val="4"/>
        </w:numPr>
        <w:spacing w:after="0" w:line="240" w:lineRule="auto"/>
        <w:ind w:firstLine="720"/>
        <w:jc w:val="both"/>
        <w:rPr>
          <w:rFonts w:ascii="Cambria" w:hAnsi="Cambria" w:cs="Calibri Light"/>
          <w:color w:val="000000"/>
          <w:sz w:val="20"/>
          <w:szCs w:val="20"/>
          <w:lang w:val="es-ES"/>
        </w:rPr>
      </w:pPr>
      <w:r w:rsidRPr="004A440C">
        <w:rPr>
          <w:rFonts w:ascii="Cambria" w:hAnsi="Cambria" w:cs="Calibri Light"/>
          <w:color w:val="000000"/>
          <w:sz w:val="20"/>
          <w:szCs w:val="20"/>
          <w:lang w:val="es-ES"/>
        </w:rPr>
        <w:t xml:space="preserve">En 2021, </w:t>
      </w:r>
      <w:bookmarkStart w:id="3" w:name="_Hlk90457290"/>
      <w:r w:rsidRPr="004A440C">
        <w:rPr>
          <w:rFonts w:ascii="Cambria" w:hAnsi="Cambria" w:cs="Calibri Light"/>
          <w:color w:val="000000"/>
          <w:sz w:val="20"/>
          <w:szCs w:val="20"/>
          <w:lang w:val="es-ES"/>
        </w:rPr>
        <w:t>el Estado indicó que COPADEH gestionará las medidas de cumplimiento respecto al cumplimiento de la tercera recomendación e informará de estas acciones a la Comisión. Asimismo, como garantía de no repetición, el Estado informó que COPREDEH y la Corte Suprema de Justicia realizaron un foro denominado “Debilidades y Desafíos del Sistema de Justicia Guatemalteco” en 2005. Asimismo, señaló que el Decreto 19/86 que dio vida a los Comités Voluntarios de Defensa Civil fue derogado por el Decreto 143/96</w:t>
      </w:r>
      <w:bookmarkEnd w:id="3"/>
      <w:r w:rsidRPr="004A440C">
        <w:rPr>
          <w:rFonts w:ascii="Cambria" w:hAnsi="Cambria" w:cs="Calibri Light"/>
          <w:color w:val="000000"/>
          <w:sz w:val="20"/>
          <w:szCs w:val="20"/>
          <w:lang w:val="es-ES"/>
        </w:rPr>
        <w:t>.</w:t>
      </w:r>
      <w:r w:rsidRPr="004A440C">
        <w:rPr>
          <w:rFonts w:ascii="Cambria" w:hAnsi="Cambria" w:cs="Calibri Light"/>
          <w:color w:val="000000"/>
          <w:sz w:val="20"/>
          <w:szCs w:val="20"/>
          <w:lang w:val="es-ES"/>
        </w:rPr>
        <w:tab/>
      </w:r>
    </w:p>
    <w:p w14:paraId="228CFC93" w14:textId="77777777" w:rsidR="00AD2DB9" w:rsidRPr="004A440C" w:rsidRDefault="00AD2DB9" w:rsidP="002D6FD8">
      <w:pPr>
        <w:spacing w:after="0" w:line="240" w:lineRule="auto"/>
        <w:jc w:val="both"/>
        <w:rPr>
          <w:rFonts w:ascii="Cambria" w:hAnsi="Cambria" w:cs="Calibri Light"/>
          <w:color w:val="000000"/>
          <w:sz w:val="20"/>
          <w:szCs w:val="20"/>
          <w:lang w:val="es-ES"/>
        </w:rPr>
      </w:pPr>
    </w:p>
    <w:p w14:paraId="15C265AD" w14:textId="77777777" w:rsidR="00AD2DB9" w:rsidRPr="004A440C" w:rsidRDefault="00AD2DB9" w:rsidP="00565741">
      <w:pPr>
        <w:numPr>
          <w:ilvl w:val="0"/>
          <w:numId w:val="4"/>
        </w:numPr>
        <w:spacing w:after="0" w:line="240" w:lineRule="auto"/>
        <w:ind w:firstLine="720"/>
        <w:jc w:val="both"/>
        <w:rPr>
          <w:rFonts w:ascii="Cambria" w:hAnsi="Cambria" w:cs="Calibri Light"/>
          <w:color w:val="000000"/>
          <w:sz w:val="20"/>
          <w:szCs w:val="20"/>
          <w:lang w:val="es-ES"/>
        </w:rPr>
      </w:pPr>
      <w:r w:rsidRPr="004A440C">
        <w:rPr>
          <w:rFonts w:ascii="Cambria" w:hAnsi="Cambria" w:cs="Calibri Light"/>
          <w:color w:val="000000"/>
          <w:sz w:val="20"/>
          <w:szCs w:val="20"/>
          <w:lang w:val="es-ES"/>
        </w:rPr>
        <w:t xml:space="preserve">La CIDH </w:t>
      </w:r>
      <w:r w:rsidR="0057387C" w:rsidRPr="004A440C">
        <w:rPr>
          <w:rFonts w:ascii="Cambria" w:hAnsi="Cambria" w:cs="Calibri Light"/>
          <w:color w:val="000000"/>
          <w:sz w:val="20"/>
          <w:szCs w:val="20"/>
          <w:lang w:val="es-ES"/>
        </w:rPr>
        <w:t>toma nota de la información reportada por el Estado. Sin embargo, observa que las acciones reportadas no han sido adoptadas recientemente y no explican a profundidad de qué manera han incidido en la no repetición de los hechos</w:t>
      </w:r>
      <w:r w:rsidRPr="004A440C">
        <w:rPr>
          <w:rFonts w:ascii="Cambria" w:hAnsi="Cambria"/>
          <w:color w:val="000000"/>
          <w:sz w:val="20"/>
          <w:szCs w:val="20"/>
          <w:lang w:val="es-ES"/>
        </w:rPr>
        <w:t>.</w:t>
      </w:r>
      <w:r w:rsidR="0057387C" w:rsidRPr="004A440C">
        <w:rPr>
          <w:rFonts w:ascii="Cambria" w:hAnsi="Cambria"/>
          <w:color w:val="000000"/>
          <w:sz w:val="20"/>
          <w:szCs w:val="20"/>
          <w:lang w:val="es-ES"/>
        </w:rPr>
        <w:t xml:space="preserve"> En este sentido, la Comisión invita al Estado a reportar información sobre medidas sustanciales dirigidas a cumplir con esta recomendación.</w:t>
      </w:r>
      <w:r w:rsidR="00565741" w:rsidRPr="004A440C">
        <w:rPr>
          <w:rFonts w:ascii="Cambria" w:hAnsi="Cambria" w:cs="Calibri Light"/>
          <w:color w:val="000000"/>
          <w:sz w:val="20"/>
          <w:szCs w:val="20"/>
          <w:lang w:val="es-ES"/>
        </w:rPr>
        <w:t xml:space="preserve"> </w:t>
      </w:r>
      <w:r w:rsidRPr="004A440C">
        <w:rPr>
          <w:rFonts w:ascii="Cambria" w:hAnsi="Cambria" w:cs="Calibri Light"/>
          <w:color w:val="000000"/>
          <w:sz w:val="20"/>
          <w:szCs w:val="20"/>
          <w:lang w:val="es-ES"/>
        </w:rPr>
        <w:t>Por lo anterior, la CIDH considera que las Recomendación 3, y 4 se encuentran pendientes de cumplimiento.</w:t>
      </w:r>
    </w:p>
    <w:p w14:paraId="5DC36241" w14:textId="77777777" w:rsidR="00AD2DB9" w:rsidRPr="004A440C" w:rsidRDefault="00AD2DB9" w:rsidP="00AD2DB9">
      <w:pPr>
        <w:spacing w:after="0" w:line="240" w:lineRule="auto"/>
        <w:jc w:val="both"/>
        <w:rPr>
          <w:rFonts w:ascii="Cambria" w:hAnsi="Cambria" w:cs="Calibri Light"/>
          <w:color w:val="000000"/>
          <w:sz w:val="20"/>
          <w:szCs w:val="20"/>
          <w:lang w:val="es-ES"/>
        </w:rPr>
      </w:pPr>
    </w:p>
    <w:p w14:paraId="2B9D5199" w14:textId="77777777" w:rsidR="00AD2DB9" w:rsidRPr="004A440C" w:rsidRDefault="00FC6379" w:rsidP="00FC6379">
      <w:pPr>
        <w:pStyle w:val="ListParagraph"/>
        <w:numPr>
          <w:ilvl w:val="0"/>
          <w:numId w:val="1"/>
        </w:numPr>
        <w:spacing w:after="0" w:line="240" w:lineRule="auto"/>
        <w:ind w:left="1440"/>
        <w:jc w:val="both"/>
        <w:rPr>
          <w:rFonts w:ascii="Cambria" w:hAnsi="Cambria" w:cs="Calibri Light"/>
          <w:b/>
          <w:color w:val="000000"/>
          <w:sz w:val="20"/>
          <w:szCs w:val="20"/>
          <w:lang w:val="es-ES"/>
        </w:rPr>
      </w:pPr>
      <w:r w:rsidRPr="004A440C">
        <w:rPr>
          <w:rFonts w:ascii="Cambria" w:hAnsi="Cambria" w:cs="Calibri Light"/>
          <w:b/>
          <w:color w:val="000000"/>
          <w:sz w:val="20"/>
          <w:szCs w:val="20"/>
          <w:lang w:val="es-ES"/>
        </w:rPr>
        <w:t>Nivel</w:t>
      </w:r>
      <w:r w:rsidR="00AD2DB9" w:rsidRPr="004A440C">
        <w:rPr>
          <w:rFonts w:ascii="Cambria" w:hAnsi="Cambria" w:cs="Calibri Light"/>
          <w:b/>
          <w:color w:val="000000"/>
          <w:sz w:val="20"/>
          <w:szCs w:val="20"/>
          <w:lang w:val="es-ES"/>
        </w:rPr>
        <w:t xml:space="preserve"> del cumplimiento del caso </w:t>
      </w:r>
    </w:p>
    <w:p w14:paraId="4D502955" w14:textId="77777777" w:rsidR="00AD2DB9" w:rsidRPr="004A440C" w:rsidRDefault="00AD2DB9" w:rsidP="00AD2DB9">
      <w:pPr>
        <w:spacing w:after="0" w:line="240" w:lineRule="auto"/>
        <w:jc w:val="both"/>
        <w:rPr>
          <w:rFonts w:ascii="Cambria" w:hAnsi="Cambria" w:cs="Calibri Light"/>
          <w:color w:val="000000"/>
          <w:sz w:val="20"/>
          <w:szCs w:val="20"/>
          <w:lang w:val="es-ES"/>
        </w:rPr>
      </w:pPr>
    </w:p>
    <w:p w14:paraId="174E780D" w14:textId="77777777" w:rsidR="00AD2DB9" w:rsidRPr="004A440C" w:rsidRDefault="00AD2DB9" w:rsidP="000F3C7A">
      <w:pPr>
        <w:numPr>
          <w:ilvl w:val="0"/>
          <w:numId w:val="4"/>
        </w:numPr>
        <w:spacing w:after="0" w:line="240" w:lineRule="auto"/>
        <w:ind w:firstLine="720"/>
        <w:jc w:val="both"/>
        <w:rPr>
          <w:rFonts w:ascii="Cambria" w:hAnsi="Cambria" w:cs="Calibri Light"/>
          <w:color w:val="000000"/>
          <w:sz w:val="20"/>
          <w:szCs w:val="20"/>
          <w:lang w:val="es-ES"/>
        </w:rPr>
      </w:pPr>
      <w:r w:rsidRPr="004A440C">
        <w:rPr>
          <w:rFonts w:ascii="Cambria" w:hAnsi="Cambria" w:cs="Calibri Light"/>
          <w:color w:val="000000"/>
          <w:sz w:val="20"/>
          <w:szCs w:val="20"/>
          <w:lang w:val="es-ES"/>
        </w:rPr>
        <w:t xml:space="preserve">Por lo anterior, la Comisión concluye que el caso se encuentra cumplido de manera parcial. En consecuencia, la CIDH seguirá supervisando el cumplimiento de las Recomendaciones 1, 3 y 4. Además, llama al Estado de Guatemala a presentar información actualizada y a realizar acciones para avanzar de manera sustancial en el cumplimiento a las recomendaciones formuladas por la CIDH en su Informe de fondo </w:t>
      </w:r>
      <w:r w:rsidRPr="004A440C">
        <w:rPr>
          <w:rFonts w:ascii="Cambria" w:hAnsi="Cambria"/>
          <w:color w:val="000000"/>
          <w:sz w:val="20"/>
          <w:szCs w:val="20"/>
          <w:lang w:val="es-ES"/>
        </w:rPr>
        <w:t>80/07.</w:t>
      </w:r>
    </w:p>
    <w:p w14:paraId="386039DA" w14:textId="77777777" w:rsidR="00AD2DB9" w:rsidRPr="004A440C" w:rsidRDefault="00AD2DB9" w:rsidP="00AD2DB9">
      <w:pPr>
        <w:spacing w:after="0" w:line="240" w:lineRule="auto"/>
        <w:rPr>
          <w:rFonts w:ascii="Cambria" w:hAnsi="Cambria"/>
          <w:color w:val="000000"/>
          <w:sz w:val="20"/>
          <w:szCs w:val="20"/>
          <w:lang w:val="es-ES"/>
        </w:rPr>
      </w:pPr>
    </w:p>
    <w:p w14:paraId="5E9843B3" w14:textId="77777777" w:rsidR="00AD2DB9" w:rsidRPr="004A440C" w:rsidRDefault="00FC6379" w:rsidP="00FC6379">
      <w:pPr>
        <w:pStyle w:val="ListParagraph"/>
        <w:numPr>
          <w:ilvl w:val="0"/>
          <w:numId w:val="1"/>
        </w:numPr>
        <w:spacing w:after="0" w:line="240" w:lineRule="auto"/>
        <w:ind w:left="1440"/>
        <w:jc w:val="both"/>
        <w:rPr>
          <w:rFonts w:ascii="Cambria" w:hAnsi="Cambria" w:cs="Calibri Light"/>
          <w:b/>
          <w:color w:val="000000"/>
          <w:sz w:val="20"/>
          <w:szCs w:val="20"/>
          <w:lang w:val="es-ES"/>
        </w:rPr>
      </w:pPr>
      <w:r w:rsidRPr="004A440C">
        <w:rPr>
          <w:rFonts w:ascii="Cambria" w:hAnsi="Cambria" w:cs="Calibri Light"/>
          <w:b/>
          <w:color w:val="000000"/>
          <w:sz w:val="20"/>
          <w:szCs w:val="20"/>
          <w:lang w:val="es-ES"/>
        </w:rPr>
        <w:t>Resultados</w:t>
      </w:r>
      <w:r w:rsidR="00AD2DB9" w:rsidRPr="004A440C">
        <w:rPr>
          <w:rFonts w:ascii="Cambria" w:hAnsi="Cambria" w:cs="Calibri Light"/>
          <w:b/>
          <w:color w:val="000000"/>
          <w:sz w:val="20"/>
          <w:szCs w:val="20"/>
          <w:lang w:val="es-ES"/>
        </w:rPr>
        <w:t xml:space="preserve"> individual</w:t>
      </w:r>
      <w:r w:rsidRPr="004A440C">
        <w:rPr>
          <w:rFonts w:ascii="Cambria" w:hAnsi="Cambria" w:cs="Calibri Light"/>
          <w:b/>
          <w:color w:val="000000"/>
          <w:sz w:val="20"/>
          <w:szCs w:val="20"/>
          <w:lang w:val="es-ES"/>
        </w:rPr>
        <w:t>es</w:t>
      </w:r>
      <w:r w:rsidR="00AD2DB9" w:rsidRPr="004A440C">
        <w:rPr>
          <w:rFonts w:ascii="Cambria" w:hAnsi="Cambria" w:cs="Calibri Light"/>
          <w:b/>
          <w:color w:val="000000"/>
          <w:sz w:val="20"/>
          <w:szCs w:val="20"/>
          <w:lang w:val="es-ES"/>
        </w:rPr>
        <w:t xml:space="preserve"> y estructural</w:t>
      </w:r>
      <w:r w:rsidRPr="004A440C">
        <w:rPr>
          <w:rFonts w:ascii="Cambria" w:hAnsi="Cambria" w:cs="Calibri Light"/>
          <w:b/>
          <w:color w:val="000000"/>
          <w:sz w:val="20"/>
          <w:szCs w:val="20"/>
          <w:lang w:val="es-ES"/>
        </w:rPr>
        <w:t>es</w:t>
      </w:r>
      <w:r w:rsidR="00AD2DB9" w:rsidRPr="004A440C">
        <w:rPr>
          <w:rFonts w:ascii="Cambria" w:hAnsi="Cambria" w:cs="Calibri Light"/>
          <w:b/>
          <w:color w:val="000000"/>
          <w:sz w:val="20"/>
          <w:szCs w:val="20"/>
          <w:lang w:val="es-ES"/>
        </w:rPr>
        <w:t xml:space="preserve"> del caso </w:t>
      </w:r>
    </w:p>
    <w:p w14:paraId="126A0C43" w14:textId="77777777" w:rsidR="00AD2DB9" w:rsidRPr="004A440C" w:rsidRDefault="00AD2DB9" w:rsidP="00AD2DB9">
      <w:pPr>
        <w:spacing w:after="0" w:line="240" w:lineRule="auto"/>
        <w:jc w:val="both"/>
        <w:rPr>
          <w:rFonts w:ascii="Cambria" w:hAnsi="Cambria" w:cs="Calibri Light"/>
          <w:b/>
          <w:color w:val="000000"/>
          <w:sz w:val="20"/>
          <w:szCs w:val="20"/>
          <w:lang w:val="es-ES"/>
        </w:rPr>
      </w:pPr>
    </w:p>
    <w:p w14:paraId="09651ED7" w14:textId="77777777" w:rsidR="00FC6379" w:rsidRPr="004A440C" w:rsidRDefault="00FC6379" w:rsidP="000F3C7A">
      <w:pPr>
        <w:numPr>
          <w:ilvl w:val="0"/>
          <w:numId w:val="4"/>
        </w:numPr>
        <w:spacing w:after="0" w:line="240" w:lineRule="auto"/>
        <w:ind w:firstLine="720"/>
        <w:jc w:val="both"/>
        <w:rPr>
          <w:rFonts w:ascii="Cambria" w:hAnsi="Cambria" w:cs="Calibri Light"/>
          <w:color w:val="000000"/>
          <w:sz w:val="20"/>
          <w:szCs w:val="20"/>
          <w:lang w:val="es-ES"/>
        </w:rPr>
      </w:pPr>
      <w:r w:rsidRPr="004A440C">
        <w:rPr>
          <w:rFonts w:ascii="Cambria" w:hAnsi="Cambria" w:cs="Calibri Light"/>
          <w:color w:val="000000"/>
          <w:sz w:val="20"/>
          <w:szCs w:val="20"/>
          <w:lang w:val="es-ES"/>
        </w:rPr>
        <w:t>En esta sección se destaca</w:t>
      </w:r>
      <w:r w:rsidR="005445D2" w:rsidRPr="004A440C">
        <w:rPr>
          <w:rFonts w:ascii="Cambria" w:hAnsi="Cambria" w:cs="Calibri Light"/>
          <w:color w:val="000000"/>
          <w:sz w:val="20"/>
          <w:szCs w:val="20"/>
          <w:lang w:val="es-ES"/>
        </w:rPr>
        <w:t>n</w:t>
      </w:r>
      <w:r w:rsidRPr="004A440C">
        <w:rPr>
          <w:rFonts w:ascii="Cambria" w:hAnsi="Cambria" w:cs="Calibri Light"/>
          <w:color w:val="000000"/>
          <w:sz w:val="20"/>
          <w:szCs w:val="20"/>
          <w:lang w:val="es-ES"/>
        </w:rPr>
        <w:t xml:space="preserve"> los resultados individuales y estructurales del caso informados por las partes. </w:t>
      </w:r>
    </w:p>
    <w:p w14:paraId="075CCFF0" w14:textId="77777777" w:rsidR="00FC6379" w:rsidRPr="004A440C" w:rsidRDefault="00FC6379" w:rsidP="00AD2DB9">
      <w:pPr>
        <w:spacing w:after="0" w:line="240" w:lineRule="auto"/>
        <w:jc w:val="both"/>
        <w:rPr>
          <w:rFonts w:ascii="Cambria" w:hAnsi="Cambria" w:cs="Calibri Light"/>
          <w:b/>
          <w:color w:val="000000"/>
          <w:sz w:val="20"/>
          <w:szCs w:val="20"/>
          <w:lang w:val="es-ES"/>
        </w:rPr>
      </w:pPr>
    </w:p>
    <w:p w14:paraId="0EA1D5A6" w14:textId="77777777" w:rsidR="00AD2DB9" w:rsidRPr="004A440C" w:rsidRDefault="00FC6379" w:rsidP="00FC6379">
      <w:pPr>
        <w:pStyle w:val="ListParagraph"/>
        <w:numPr>
          <w:ilvl w:val="0"/>
          <w:numId w:val="2"/>
        </w:numPr>
        <w:spacing w:after="0" w:line="240" w:lineRule="auto"/>
        <w:ind w:left="1440" w:hanging="720"/>
        <w:jc w:val="both"/>
        <w:rPr>
          <w:rFonts w:ascii="Cambria" w:hAnsi="Cambria" w:cs="Calibri Light"/>
          <w:b/>
          <w:color w:val="000000"/>
          <w:sz w:val="20"/>
          <w:szCs w:val="20"/>
          <w:lang w:val="es-ES"/>
        </w:rPr>
      </w:pPr>
      <w:r w:rsidRPr="004A440C">
        <w:rPr>
          <w:rFonts w:ascii="Cambria" w:hAnsi="Cambria" w:cs="Calibri Light"/>
          <w:b/>
          <w:color w:val="000000"/>
          <w:sz w:val="20"/>
          <w:szCs w:val="20"/>
          <w:lang w:val="es-ES"/>
        </w:rPr>
        <w:t>Resultados</w:t>
      </w:r>
      <w:r w:rsidR="00AD2DB9" w:rsidRPr="004A440C">
        <w:rPr>
          <w:rFonts w:ascii="Cambria" w:hAnsi="Cambria" w:cs="Calibri Light"/>
          <w:b/>
          <w:color w:val="000000"/>
          <w:sz w:val="20"/>
          <w:szCs w:val="20"/>
          <w:lang w:val="es-ES"/>
        </w:rPr>
        <w:t xml:space="preserve"> individual</w:t>
      </w:r>
      <w:r w:rsidRPr="004A440C">
        <w:rPr>
          <w:rFonts w:ascii="Cambria" w:hAnsi="Cambria" w:cs="Calibri Light"/>
          <w:b/>
          <w:color w:val="000000"/>
          <w:sz w:val="20"/>
          <w:szCs w:val="20"/>
          <w:lang w:val="es-ES"/>
        </w:rPr>
        <w:t>es</w:t>
      </w:r>
      <w:r w:rsidR="00AD2DB9" w:rsidRPr="004A440C">
        <w:rPr>
          <w:rFonts w:ascii="Cambria" w:hAnsi="Cambria" w:cs="Calibri Light"/>
          <w:b/>
          <w:color w:val="000000"/>
          <w:sz w:val="20"/>
          <w:szCs w:val="20"/>
          <w:lang w:val="es-ES"/>
        </w:rPr>
        <w:t xml:space="preserve"> del caso</w:t>
      </w:r>
    </w:p>
    <w:p w14:paraId="718E0244" w14:textId="77777777" w:rsidR="00AD2DB9" w:rsidRPr="004A440C" w:rsidRDefault="00AD2DB9" w:rsidP="00AD2DB9">
      <w:pPr>
        <w:pStyle w:val="ListParagraph"/>
        <w:spacing w:after="0" w:line="240" w:lineRule="auto"/>
        <w:ind w:left="0"/>
        <w:jc w:val="both"/>
        <w:rPr>
          <w:rFonts w:ascii="Cambria" w:hAnsi="Cambria" w:cs="Calibri Light"/>
          <w:b/>
          <w:color w:val="000000"/>
          <w:sz w:val="20"/>
          <w:szCs w:val="20"/>
          <w:lang w:val="es-ES"/>
        </w:rPr>
      </w:pPr>
    </w:p>
    <w:p w14:paraId="6FF9D70C" w14:textId="77777777" w:rsidR="00AD2DB9" w:rsidRPr="004A440C" w:rsidRDefault="00AD2DB9" w:rsidP="00AD2DB9">
      <w:pPr>
        <w:spacing w:after="0" w:line="240" w:lineRule="auto"/>
        <w:jc w:val="both"/>
        <w:rPr>
          <w:rFonts w:ascii="Cambria" w:hAnsi="Cambria" w:cs="Calibri Light"/>
          <w:i/>
          <w:color w:val="000000"/>
          <w:sz w:val="20"/>
          <w:szCs w:val="20"/>
          <w:lang w:val="es-ES"/>
        </w:rPr>
      </w:pPr>
      <w:r w:rsidRPr="004A440C">
        <w:rPr>
          <w:rFonts w:ascii="Cambria" w:hAnsi="Cambria" w:cs="Calibri Light"/>
          <w:i/>
          <w:color w:val="000000"/>
          <w:sz w:val="20"/>
          <w:szCs w:val="20"/>
          <w:lang w:val="es-ES"/>
        </w:rPr>
        <w:t>Medidas de compensación pecuniaria</w:t>
      </w:r>
    </w:p>
    <w:p w14:paraId="5EBBDA5F" w14:textId="77777777" w:rsidR="00AD2DB9" w:rsidRPr="004A440C" w:rsidRDefault="00AD2DB9" w:rsidP="00AD2DB9">
      <w:pPr>
        <w:pStyle w:val="ListParagraph"/>
        <w:numPr>
          <w:ilvl w:val="0"/>
          <w:numId w:val="3"/>
        </w:numPr>
        <w:spacing w:after="0" w:line="240" w:lineRule="auto"/>
        <w:jc w:val="both"/>
        <w:rPr>
          <w:rFonts w:ascii="Cambria" w:hAnsi="Cambria" w:cs="Calibri Light"/>
          <w:color w:val="000000"/>
          <w:sz w:val="20"/>
          <w:szCs w:val="20"/>
          <w:lang w:val="es-ES"/>
        </w:rPr>
      </w:pPr>
      <w:r w:rsidRPr="004A440C">
        <w:rPr>
          <w:rFonts w:ascii="Cambria" w:hAnsi="Cambria" w:cs="Calibri Light"/>
          <w:color w:val="000000"/>
          <w:sz w:val="20"/>
          <w:szCs w:val="20"/>
          <w:lang w:val="es-ES"/>
        </w:rPr>
        <w:t>El Estado pagó en el mes de diciembre de 2005 a la viuda e hijos de Martín Pelicó la suma correspondiente a la reparación económica por lucro cesante, daño emergente y daño moral, equivalente al momento del pago a $121,407.55 dólares.</w:t>
      </w:r>
    </w:p>
    <w:p w14:paraId="67B567D2" w14:textId="77777777" w:rsidR="00AD2DB9" w:rsidRPr="004A440C" w:rsidRDefault="00AD2DB9" w:rsidP="00AD2DB9">
      <w:pPr>
        <w:pStyle w:val="ListParagraph"/>
        <w:spacing w:after="0" w:line="240" w:lineRule="auto"/>
        <w:ind w:left="0"/>
        <w:jc w:val="both"/>
        <w:rPr>
          <w:rFonts w:ascii="Cambria" w:hAnsi="Cambria" w:cs="Calibri Light"/>
          <w:color w:val="000000"/>
          <w:sz w:val="20"/>
          <w:szCs w:val="20"/>
          <w:lang w:val="es-ES"/>
        </w:rPr>
      </w:pPr>
    </w:p>
    <w:p w14:paraId="355CC00D" w14:textId="77777777" w:rsidR="00AD2DB9" w:rsidRPr="004A440C" w:rsidRDefault="00AD2DB9" w:rsidP="00AD2DB9">
      <w:pPr>
        <w:pStyle w:val="ListParagraph"/>
        <w:spacing w:after="0" w:line="240" w:lineRule="auto"/>
        <w:ind w:left="0"/>
        <w:jc w:val="both"/>
        <w:rPr>
          <w:rFonts w:ascii="Cambria" w:hAnsi="Cambria" w:cs="Calibri Light"/>
          <w:color w:val="000000"/>
          <w:sz w:val="20"/>
          <w:szCs w:val="20"/>
          <w:lang w:val="es-ES"/>
        </w:rPr>
      </w:pPr>
      <w:r w:rsidRPr="004A440C">
        <w:rPr>
          <w:rFonts w:ascii="Cambria" w:hAnsi="Cambria" w:cs="Calibri Light"/>
          <w:i/>
          <w:color w:val="000000"/>
          <w:sz w:val="20"/>
          <w:szCs w:val="20"/>
          <w:lang w:val="es-ES"/>
        </w:rPr>
        <w:t>Medidas de satisfacción</w:t>
      </w:r>
    </w:p>
    <w:p w14:paraId="4240879E" w14:textId="77777777" w:rsidR="00AD2DB9" w:rsidRPr="004A440C" w:rsidRDefault="00AD2DB9" w:rsidP="00AD2DB9">
      <w:pPr>
        <w:pStyle w:val="ListParagraph"/>
        <w:numPr>
          <w:ilvl w:val="0"/>
          <w:numId w:val="3"/>
        </w:numPr>
        <w:spacing w:line="240" w:lineRule="auto"/>
        <w:jc w:val="both"/>
        <w:rPr>
          <w:rFonts w:ascii="Cambria" w:hAnsi="Cambria" w:cs="Calibri Light"/>
          <w:color w:val="000000"/>
          <w:sz w:val="20"/>
          <w:szCs w:val="20"/>
          <w:lang w:val="es-ES"/>
        </w:rPr>
      </w:pPr>
      <w:r w:rsidRPr="004A440C">
        <w:rPr>
          <w:rFonts w:ascii="Cambria" w:hAnsi="Cambria"/>
          <w:color w:val="000000"/>
          <w:sz w:val="20"/>
          <w:szCs w:val="20"/>
          <w:lang w:val="es-ES"/>
        </w:rPr>
        <w:t xml:space="preserve">El Gobierno de Guatemala, en el Discurso del </w:t>
      </w:r>
      <w:proofErr w:type="gramStart"/>
      <w:r w:rsidRPr="004A440C">
        <w:rPr>
          <w:rFonts w:ascii="Cambria" w:hAnsi="Cambria"/>
          <w:color w:val="000000"/>
          <w:sz w:val="20"/>
          <w:szCs w:val="20"/>
          <w:lang w:val="es-ES"/>
        </w:rPr>
        <w:t>Presidente</w:t>
      </w:r>
      <w:proofErr w:type="gramEnd"/>
      <w:r w:rsidRPr="004A440C">
        <w:rPr>
          <w:rFonts w:ascii="Cambria" w:hAnsi="Cambria"/>
          <w:color w:val="000000"/>
          <w:sz w:val="20"/>
          <w:szCs w:val="20"/>
          <w:lang w:val="es-ES"/>
        </w:rPr>
        <w:t xml:space="preserve"> de la República, de fecha 25 de febrero de 2004, expresó lo siguiente: “En mi calidad de Presidente de la República deseo aprovechar este acto conmemorativo de la dignificación de las víctimas de la violencia, como una oportunidad especial para pedir perdón, en nombre del Estado de Guatemala, a cada uno de los familiares de las víctimas por el sufrimiento derivado de ese conflicto fratricida que padecimos los guatemaltecos por 4 décadas.” Derivado de lo anterior, </w:t>
      </w:r>
      <w:r w:rsidRPr="004A440C">
        <w:rPr>
          <w:rFonts w:ascii="Cambria" w:hAnsi="Cambria" w:cs="Calibri Light"/>
          <w:color w:val="000000"/>
          <w:sz w:val="20"/>
          <w:szCs w:val="20"/>
          <w:lang w:val="es-ES"/>
        </w:rPr>
        <w:t xml:space="preserve">a solicitud de los familiares de la víctima, la solicitud de perdón por los hechos, la realizó el Estado el día 9 de noviembre de 2006 en un acto privado, mediante la entrega de una carta entregada en la vivienda de la familia Pelicó Hernández por el </w:t>
      </w:r>
      <w:proofErr w:type="gramStart"/>
      <w:r w:rsidRPr="004A440C">
        <w:rPr>
          <w:rFonts w:ascii="Cambria" w:hAnsi="Cambria" w:cs="Calibri Light"/>
          <w:color w:val="000000"/>
          <w:sz w:val="20"/>
          <w:szCs w:val="20"/>
          <w:lang w:val="es-ES"/>
        </w:rPr>
        <w:t>Presidente</w:t>
      </w:r>
      <w:proofErr w:type="gramEnd"/>
      <w:r w:rsidRPr="004A440C">
        <w:rPr>
          <w:rFonts w:ascii="Cambria" w:hAnsi="Cambria" w:cs="Calibri Light"/>
          <w:color w:val="000000"/>
          <w:sz w:val="20"/>
          <w:szCs w:val="20"/>
          <w:lang w:val="es-ES"/>
        </w:rPr>
        <w:t xml:space="preserve"> de COPREDEH. </w:t>
      </w:r>
    </w:p>
    <w:p w14:paraId="409F8A85" w14:textId="77777777" w:rsidR="00AD2DB9" w:rsidRPr="004A440C" w:rsidRDefault="00AD2DB9" w:rsidP="00AD2DB9">
      <w:pPr>
        <w:pStyle w:val="ListParagraph"/>
        <w:jc w:val="both"/>
        <w:rPr>
          <w:rFonts w:ascii="Cambria" w:hAnsi="Cambria" w:cs="Calibri Light"/>
          <w:color w:val="000000"/>
          <w:sz w:val="20"/>
          <w:szCs w:val="20"/>
          <w:lang w:val="es-ES"/>
        </w:rPr>
      </w:pPr>
    </w:p>
    <w:p w14:paraId="4391ED27" w14:textId="77777777" w:rsidR="00AD2DB9" w:rsidRPr="004A440C" w:rsidRDefault="00AD2DB9" w:rsidP="00AD2DB9">
      <w:pPr>
        <w:pStyle w:val="ListParagraph"/>
        <w:spacing w:after="0" w:line="240" w:lineRule="auto"/>
        <w:ind w:left="0"/>
        <w:jc w:val="both"/>
        <w:rPr>
          <w:rFonts w:ascii="Cambria" w:hAnsi="Cambria" w:cs="Calibri Light"/>
          <w:color w:val="000000"/>
          <w:sz w:val="20"/>
          <w:szCs w:val="20"/>
          <w:lang w:val="es-ES"/>
        </w:rPr>
      </w:pPr>
      <w:r w:rsidRPr="004A440C">
        <w:rPr>
          <w:rFonts w:ascii="Cambria" w:hAnsi="Cambria" w:cs="Calibri Light"/>
          <w:i/>
          <w:color w:val="000000"/>
          <w:sz w:val="20"/>
          <w:szCs w:val="20"/>
          <w:lang w:val="es-ES"/>
        </w:rPr>
        <w:t>Medidas de rehabilitación</w:t>
      </w:r>
    </w:p>
    <w:p w14:paraId="5043CD08" w14:textId="77777777" w:rsidR="00AD2DB9" w:rsidRPr="004A440C" w:rsidRDefault="00AD2DB9" w:rsidP="00FC6379">
      <w:pPr>
        <w:pStyle w:val="ListParagraph"/>
        <w:numPr>
          <w:ilvl w:val="0"/>
          <w:numId w:val="3"/>
        </w:numPr>
        <w:spacing w:after="0" w:line="240" w:lineRule="auto"/>
        <w:jc w:val="both"/>
        <w:rPr>
          <w:rFonts w:ascii="Cambria" w:hAnsi="Cambria" w:cs="Calibri Light"/>
          <w:color w:val="000000"/>
          <w:sz w:val="20"/>
          <w:szCs w:val="20"/>
          <w:lang w:val="es-ES"/>
        </w:rPr>
      </w:pPr>
      <w:r w:rsidRPr="004A440C">
        <w:rPr>
          <w:rFonts w:ascii="Cambria" w:hAnsi="Cambria" w:cs="Calibri Light"/>
          <w:color w:val="000000"/>
          <w:sz w:val="20"/>
          <w:szCs w:val="20"/>
          <w:lang w:val="es-ES"/>
        </w:rPr>
        <w:lastRenderedPageBreak/>
        <w:t xml:space="preserve">En 2005, el Estado otorgó becas de estudio a Marta Raquel Pelicó y a Eliseo David Pelicó. En relación con </w:t>
      </w:r>
      <w:proofErr w:type="gramStart"/>
      <w:r w:rsidRPr="004A440C">
        <w:rPr>
          <w:rFonts w:ascii="Cambria" w:hAnsi="Cambria" w:cs="Calibri Light"/>
          <w:color w:val="000000"/>
          <w:sz w:val="20"/>
          <w:szCs w:val="20"/>
          <w:lang w:val="es-ES"/>
        </w:rPr>
        <w:t>éste</w:t>
      </w:r>
      <w:proofErr w:type="gramEnd"/>
      <w:r w:rsidRPr="004A440C">
        <w:rPr>
          <w:rFonts w:ascii="Cambria" w:hAnsi="Cambria" w:cs="Calibri Light"/>
          <w:color w:val="000000"/>
          <w:sz w:val="20"/>
          <w:szCs w:val="20"/>
          <w:lang w:val="es-ES"/>
        </w:rPr>
        <w:t xml:space="preserve"> último, el Estado afirmó que la beca otorgada incluía una suma para gastos de manutención, pero que el beneficiario había abandonado sus estudios.  Al respecto, los peticionarios explicaron que efectivamente David Pelicó se integró al programa gubernamental "mi primer empleo". Sin embargo, informaron que la beca no le permitía solventar los gastos de vivienda, transporte y alimentación que requería para realizar los estudios, por lo que se vio obligado a regresar al hogar familiar en El Quiché. </w:t>
      </w:r>
    </w:p>
    <w:p w14:paraId="541D79E8" w14:textId="77777777" w:rsidR="00AD2DB9" w:rsidRPr="004A440C" w:rsidRDefault="00AD2DB9" w:rsidP="00FC6379">
      <w:pPr>
        <w:pStyle w:val="ListParagraph"/>
        <w:numPr>
          <w:ilvl w:val="0"/>
          <w:numId w:val="3"/>
        </w:numPr>
        <w:spacing w:after="0" w:line="240" w:lineRule="auto"/>
        <w:jc w:val="both"/>
        <w:rPr>
          <w:rFonts w:ascii="Cambria" w:hAnsi="Cambria" w:cs="Calibri Light"/>
          <w:color w:val="000000"/>
          <w:sz w:val="20"/>
          <w:szCs w:val="20"/>
          <w:lang w:val="es-ES"/>
        </w:rPr>
      </w:pPr>
      <w:r w:rsidRPr="004A440C">
        <w:rPr>
          <w:rFonts w:ascii="Cambria" w:hAnsi="Cambria" w:cs="Calibri Light"/>
          <w:color w:val="000000"/>
          <w:sz w:val="20"/>
          <w:szCs w:val="20"/>
          <w:lang w:val="es-ES"/>
        </w:rPr>
        <w:t>El 5 de junio de 2012, el Estado entregó al joven Eliseo David Pelicó Hernández un teclado y un cheque correspondiente a la cantidad de treinta y cuatro mil ochocientos cuarenta quetzales (Q 34,840.00) para cubrir el costo de clases de música con un profesor de su confianza, así como los costos transporte, alimentación y hospedaje, conforme al acuerdo establecido con los peticionarios.</w:t>
      </w:r>
    </w:p>
    <w:p w14:paraId="09DA967F" w14:textId="77777777" w:rsidR="00AD2DB9" w:rsidRPr="004A440C" w:rsidRDefault="00AD2DB9" w:rsidP="00FC6379">
      <w:pPr>
        <w:pStyle w:val="ListParagraph"/>
        <w:numPr>
          <w:ilvl w:val="0"/>
          <w:numId w:val="3"/>
        </w:numPr>
        <w:spacing w:after="0" w:line="240" w:lineRule="auto"/>
        <w:jc w:val="both"/>
        <w:rPr>
          <w:rFonts w:ascii="Cambria" w:hAnsi="Cambria" w:cs="Calibri Light"/>
          <w:color w:val="000000"/>
          <w:sz w:val="20"/>
          <w:szCs w:val="20"/>
          <w:lang w:val="es-ES"/>
        </w:rPr>
      </w:pPr>
      <w:r w:rsidRPr="004A440C">
        <w:rPr>
          <w:rFonts w:ascii="Cambria" w:hAnsi="Cambria" w:cs="Calibri Light"/>
          <w:color w:val="000000"/>
          <w:sz w:val="20"/>
          <w:szCs w:val="20"/>
          <w:lang w:val="es-ES"/>
        </w:rPr>
        <w:t xml:space="preserve">En 2005, el Estado entregó dos máquinas de coser a Martha y Doris Sulamita Pelicó Hernández. </w:t>
      </w:r>
    </w:p>
    <w:p w14:paraId="21CC381E" w14:textId="77777777" w:rsidR="00AD2DB9" w:rsidRPr="004A440C" w:rsidRDefault="00AD2DB9" w:rsidP="00FC6379">
      <w:pPr>
        <w:pStyle w:val="ListParagraph"/>
        <w:numPr>
          <w:ilvl w:val="0"/>
          <w:numId w:val="3"/>
        </w:numPr>
        <w:spacing w:after="0" w:line="240" w:lineRule="auto"/>
        <w:jc w:val="both"/>
        <w:rPr>
          <w:rFonts w:ascii="Cambria" w:hAnsi="Cambria" w:cs="Calibri Light"/>
          <w:color w:val="000000"/>
          <w:sz w:val="20"/>
          <w:szCs w:val="20"/>
          <w:lang w:val="es-ES"/>
        </w:rPr>
      </w:pPr>
      <w:r w:rsidRPr="004A440C">
        <w:rPr>
          <w:rFonts w:ascii="Cambria" w:hAnsi="Cambria" w:cs="Calibri Light"/>
          <w:color w:val="000000"/>
          <w:sz w:val="20"/>
          <w:szCs w:val="20"/>
          <w:lang w:val="es-ES"/>
        </w:rPr>
        <w:t xml:space="preserve">En 2005, el Estado entregó el monto acordado para la compra de un terreno durante 2005, y los materiales para la construcción de una vivienda. </w:t>
      </w:r>
    </w:p>
    <w:p w14:paraId="3291904B" w14:textId="77777777" w:rsidR="00AD2DB9" w:rsidRPr="004A440C" w:rsidRDefault="00AD2DB9" w:rsidP="00FC6379">
      <w:pPr>
        <w:pStyle w:val="ListParagraph"/>
        <w:numPr>
          <w:ilvl w:val="0"/>
          <w:numId w:val="3"/>
        </w:numPr>
        <w:spacing w:after="0" w:line="240" w:lineRule="auto"/>
        <w:jc w:val="both"/>
        <w:rPr>
          <w:rFonts w:ascii="Cambria" w:hAnsi="Cambria" w:cs="Calibri Light"/>
          <w:color w:val="000000"/>
          <w:sz w:val="20"/>
          <w:szCs w:val="20"/>
          <w:lang w:val="es-ES"/>
        </w:rPr>
      </w:pPr>
      <w:r w:rsidRPr="004A440C">
        <w:rPr>
          <w:rFonts w:ascii="Cambria" w:hAnsi="Cambria" w:cs="Calibri Light"/>
          <w:color w:val="000000"/>
          <w:sz w:val="20"/>
          <w:szCs w:val="20"/>
          <w:lang w:val="es-ES"/>
        </w:rPr>
        <w:t xml:space="preserve">El Estado capacitó en corte y confección a Martha Pelicó Hernández. Respecto de Doris Sulamita Pelicó Hernández, el Estado habría sido informado que por motivos personales no realizaría el curso. </w:t>
      </w:r>
    </w:p>
    <w:p w14:paraId="15596C55" w14:textId="77777777" w:rsidR="00AD2DB9" w:rsidRPr="004A440C" w:rsidRDefault="00AD2DB9" w:rsidP="00FC6379">
      <w:pPr>
        <w:pStyle w:val="ListParagraph"/>
        <w:numPr>
          <w:ilvl w:val="0"/>
          <w:numId w:val="3"/>
        </w:numPr>
        <w:spacing w:after="0" w:line="240" w:lineRule="auto"/>
        <w:jc w:val="both"/>
        <w:rPr>
          <w:rFonts w:ascii="Cambria" w:hAnsi="Cambria" w:cs="Calibri Light"/>
          <w:color w:val="000000"/>
          <w:sz w:val="20"/>
          <w:szCs w:val="20"/>
          <w:lang w:val="es-ES"/>
        </w:rPr>
      </w:pPr>
      <w:r w:rsidRPr="004A440C">
        <w:rPr>
          <w:rFonts w:ascii="Cambria" w:hAnsi="Cambria" w:cs="Calibri Light"/>
          <w:color w:val="000000"/>
          <w:sz w:val="20"/>
          <w:szCs w:val="20"/>
          <w:lang w:val="es-ES"/>
        </w:rPr>
        <w:t xml:space="preserve"> En 2005, el Estado entregó cinco cerdos para crianza. </w:t>
      </w:r>
    </w:p>
    <w:p w14:paraId="229DBF9D" w14:textId="77777777" w:rsidR="00AD2DB9" w:rsidRPr="004A440C" w:rsidRDefault="00AD2DB9" w:rsidP="00FC6379">
      <w:pPr>
        <w:pStyle w:val="ListParagraph"/>
        <w:numPr>
          <w:ilvl w:val="0"/>
          <w:numId w:val="3"/>
        </w:numPr>
        <w:spacing w:after="0" w:line="240" w:lineRule="auto"/>
        <w:jc w:val="both"/>
        <w:rPr>
          <w:rFonts w:ascii="Cambria" w:hAnsi="Cambria" w:cs="Calibri Light"/>
          <w:color w:val="000000"/>
          <w:sz w:val="20"/>
          <w:szCs w:val="20"/>
          <w:lang w:val="es-ES"/>
        </w:rPr>
      </w:pPr>
      <w:r w:rsidRPr="004A440C">
        <w:rPr>
          <w:rFonts w:ascii="Cambria" w:hAnsi="Cambria" w:cs="Calibri Light"/>
          <w:color w:val="000000"/>
          <w:sz w:val="20"/>
          <w:szCs w:val="20"/>
          <w:lang w:val="es-ES"/>
        </w:rPr>
        <w:t xml:space="preserve">El estado de salud de los miembros de la familia Pelicó Hernández fue evaluado en el mes de septiembre de 2005 y les fue proporcionado los medicamentos requeridos. </w:t>
      </w:r>
    </w:p>
    <w:p w14:paraId="18CCAF7F" w14:textId="77777777" w:rsidR="00AD2DB9" w:rsidRPr="004A440C" w:rsidRDefault="00AD2DB9" w:rsidP="00AD2DB9">
      <w:pPr>
        <w:pStyle w:val="ListParagraph"/>
        <w:spacing w:after="0" w:line="240" w:lineRule="auto"/>
        <w:ind w:left="0"/>
        <w:jc w:val="both"/>
        <w:rPr>
          <w:rFonts w:ascii="Cambria" w:hAnsi="Cambria" w:cs="Calibri Light"/>
          <w:color w:val="000000"/>
          <w:sz w:val="20"/>
          <w:szCs w:val="20"/>
          <w:lang w:val="es-ES"/>
        </w:rPr>
      </w:pPr>
    </w:p>
    <w:p w14:paraId="7F755D38" w14:textId="77777777" w:rsidR="00AD2DB9" w:rsidRPr="004A440C" w:rsidRDefault="00AD2DB9" w:rsidP="00FC6379">
      <w:pPr>
        <w:pStyle w:val="ListParagraph"/>
        <w:numPr>
          <w:ilvl w:val="0"/>
          <w:numId w:val="2"/>
        </w:numPr>
        <w:spacing w:after="0" w:line="240" w:lineRule="auto"/>
        <w:ind w:left="1440" w:hanging="720"/>
        <w:jc w:val="both"/>
        <w:rPr>
          <w:rFonts w:ascii="Cambria" w:hAnsi="Cambria" w:cs="Calibri Light"/>
          <w:b/>
          <w:color w:val="000000"/>
          <w:sz w:val="20"/>
          <w:szCs w:val="20"/>
          <w:lang w:val="es-ES"/>
        </w:rPr>
      </w:pPr>
      <w:r w:rsidRPr="004A440C">
        <w:rPr>
          <w:rFonts w:ascii="Cambria" w:hAnsi="Cambria" w:cs="Calibri Light"/>
          <w:b/>
          <w:color w:val="000000"/>
          <w:sz w:val="20"/>
          <w:szCs w:val="20"/>
          <w:lang w:val="es-ES"/>
        </w:rPr>
        <w:t>Resultado</w:t>
      </w:r>
      <w:r w:rsidR="00FC6379" w:rsidRPr="004A440C">
        <w:rPr>
          <w:rFonts w:ascii="Cambria" w:hAnsi="Cambria" w:cs="Calibri Light"/>
          <w:b/>
          <w:color w:val="000000"/>
          <w:sz w:val="20"/>
          <w:szCs w:val="20"/>
          <w:lang w:val="es-ES"/>
        </w:rPr>
        <w:t>s</w:t>
      </w:r>
      <w:r w:rsidRPr="004A440C">
        <w:rPr>
          <w:rFonts w:ascii="Cambria" w:hAnsi="Cambria" w:cs="Calibri Light"/>
          <w:b/>
          <w:color w:val="000000"/>
          <w:sz w:val="20"/>
          <w:szCs w:val="20"/>
          <w:lang w:val="es-ES"/>
        </w:rPr>
        <w:t xml:space="preserve"> estructural</w:t>
      </w:r>
      <w:r w:rsidR="00FC6379" w:rsidRPr="004A440C">
        <w:rPr>
          <w:rFonts w:ascii="Cambria" w:hAnsi="Cambria" w:cs="Calibri Light"/>
          <w:b/>
          <w:color w:val="000000"/>
          <w:sz w:val="20"/>
          <w:szCs w:val="20"/>
          <w:lang w:val="es-ES"/>
        </w:rPr>
        <w:t>es</w:t>
      </w:r>
      <w:r w:rsidRPr="004A440C">
        <w:rPr>
          <w:rFonts w:ascii="Cambria" w:hAnsi="Cambria" w:cs="Calibri Light"/>
          <w:b/>
          <w:color w:val="000000"/>
          <w:sz w:val="20"/>
          <w:szCs w:val="20"/>
          <w:lang w:val="es-ES"/>
        </w:rPr>
        <w:t xml:space="preserve"> del caso</w:t>
      </w:r>
    </w:p>
    <w:p w14:paraId="5486357D" w14:textId="77777777" w:rsidR="00AD2DB9" w:rsidRPr="004A440C" w:rsidRDefault="00AD2DB9" w:rsidP="00AD2DB9">
      <w:pPr>
        <w:spacing w:after="0" w:line="240" w:lineRule="auto"/>
        <w:jc w:val="both"/>
        <w:rPr>
          <w:rFonts w:ascii="Cambria" w:hAnsi="Cambria"/>
          <w:color w:val="000000"/>
          <w:sz w:val="20"/>
          <w:szCs w:val="20"/>
          <w:lang w:val="es-ES"/>
        </w:rPr>
      </w:pPr>
    </w:p>
    <w:p w14:paraId="3BBED7E6" w14:textId="77777777" w:rsidR="00AD2DB9" w:rsidRPr="004A440C" w:rsidRDefault="00AD2DB9" w:rsidP="00AD2DB9">
      <w:pPr>
        <w:spacing w:after="0" w:line="240" w:lineRule="auto"/>
        <w:jc w:val="both"/>
        <w:rPr>
          <w:rFonts w:ascii="Cambria" w:hAnsi="Cambria"/>
          <w:i/>
          <w:color w:val="000000"/>
          <w:sz w:val="20"/>
          <w:szCs w:val="20"/>
          <w:lang w:val="es-ES"/>
        </w:rPr>
      </w:pPr>
      <w:r w:rsidRPr="004A440C">
        <w:rPr>
          <w:rFonts w:ascii="Cambria" w:hAnsi="Cambria"/>
          <w:i/>
          <w:color w:val="000000"/>
          <w:sz w:val="20"/>
          <w:szCs w:val="20"/>
          <w:lang w:val="es-ES"/>
        </w:rPr>
        <w:t xml:space="preserve">Medidas de no repetición </w:t>
      </w:r>
    </w:p>
    <w:p w14:paraId="236D6414" w14:textId="77777777" w:rsidR="00AD2DB9" w:rsidRPr="004A440C" w:rsidRDefault="00AD2DB9" w:rsidP="00AD2DB9">
      <w:pPr>
        <w:numPr>
          <w:ilvl w:val="0"/>
          <w:numId w:val="5"/>
        </w:numPr>
        <w:spacing w:after="0" w:line="240" w:lineRule="auto"/>
        <w:jc w:val="both"/>
        <w:rPr>
          <w:rFonts w:ascii="Cambria" w:hAnsi="Cambria" w:cs="Calibri Light"/>
          <w:color w:val="000000"/>
          <w:sz w:val="20"/>
          <w:szCs w:val="20"/>
          <w:lang w:val="es-ES"/>
        </w:rPr>
      </w:pPr>
      <w:r w:rsidRPr="004A440C">
        <w:rPr>
          <w:rFonts w:ascii="Cambria" w:hAnsi="Cambria"/>
          <w:color w:val="000000"/>
          <w:sz w:val="20"/>
          <w:szCs w:val="20"/>
          <w:lang w:val="es-ES"/>
        </w:rPr>
        <w:t>El 22 de septiembre de 2005 se realizó el foro denominado “Debilidades y Desafíos del Sistema de Justicia Guatemalteco”, sobre la problemática enfrentada por el Sistema de Administración de Justicia, el cual fue organizado por COPREDEH y la Corte Suprema de Justicia de Guatemala.</w:t>
      </w:r>
    </w:p>
    <w:p w14:paraId="36A51EB8" w14:textId="77777777" w:rsidR="00AD2DB9" w:rsidRPr="004A440C" w:rsidRDefault="00AD2DB9" w:rsidP="00AD2DB9">
      <w:pPr>
        <w:spacing w:after="0" w:line="240" w:lineRule="auto"/>
        <w:ind w:left="360"/>
        <w:jc w:val="both"/>
        <w:rPr>
          <w:rFonts w:ascii="Cambria" w:hAnsi="Cambria" w:cs="Calibri Light"/>
          <w:color w:val="000000"/>
          <w:sz w:val="20"/>
          <w:szCs w:val="20"/>
          <w:lang w:val="es-ES"/>
        </w:rPr>
      </w:pPr>
    </w:p>
    <w:p w14:paraId="77984F4F" w14:textId="77777777" w:rsidR="00AD2DB9" w:rsidRPr="004A440C" w:rsidRDefault="00575701" w:rsidP="002A1893">
      <w:pPr>
        <w:spacing w:after="0" w:line="240" w:lineRule="auto"/>
        <w:jc w:val="both"/>
        <w:rPr>
          <w:rFonts w:ascii="Cambria" w:hAnsi="Cambria" w:cs="Calibri Light"/>
          <w:i/>
          <w:color w:val="000000"/>
          <w:sz w:val="20"/>
          <w:szCs w:val="20"/>
          <w:lang w:val="es-ES"/>
        </w:rPr>
      </w:pPr>
      <w:r w:rsidRPr="004A440C">
        <w:rPr>
          <w:rFonts w:ascii="Cambria" w:hAnsi="Cambria" w:cs="Calibri Light"/>
          <w:i/>
          <w:color w:val="000000"/>
          <w:sz w:val="20"/>
          <w:szCs w:val="20"/>
          <w:lang w:val="es-ES"/>
        </w:rPr>
        <w:t>Legislación</w:t>
      </w:r>
      <w:r w:rsidR="005445D2" w:rsidRPr="004A440C">
        <w:rPr>
          <w:rFonts w:ascii="Cambria" w:hAnsi="Cambria" w:cs="Calibri Light"/>
          <w:i/>
          <w:color w:val="000000"/>
          <w:sz w:val="20"/>
          <w:szCs w:val="20"/>
          <w:lang w:val="es-ES"/>
        </w:rPr>
        <w:t xml:space="preserve">/Normativa </w:t>
      </w:r>
    </w:p>
    <w:p w14:paraId="29277B11" w14:textId="77777777" w:rsidR="00AD2DB9" w:rsidRPr="004A440C" w:rsidRDefault="00AD2DB9" w:rsidP="00AD2DB9">
      <w:pPr>
        <w:numPr>
          <w:ilvl w:val="0"/>
          <w:numId w:val="5"/>
        </w:numPr>
        <w:spacing w:after="0" w:line="240" w:lineRule="auto"/>
        <w:jc w:val="both"/>
        <w:rPr>
          <w:rFonts w:ascii="Cambria" w:hAnsi="Cambria" w:cs="Calibri Light"/>
          <w:color w:val="000000"/>
          <w:sz w:val="20"/>
          <w:szCs w:val="20"/>
          <w:lang w:val="es-ES"/>
        </w:rPr>
      </w:pPr>
      <w:r w:rsidRPr="004A440C">
        <w:rPr>
          <w:rFonts w:ascii="Cambria" w:hAnsi="Cambria" w:cs="Calibri Light"/>
          <w:color w:val="000000"/>
          <w:sz w:val="20"/>
          <w:szCs w:val="20"/>
          <w:lang w:val="es-ES"/>
        </w:rPr>
        <w:t>El Decreto</w:t>
      </w:r>
      <w:r w:rsidR="00964455" w:rsidRPr="004A440C">
        <w:rPr>
          <w:rFonts w:ascii="Cambria" w:hAnsi="Cambria" w:cs="Calibri Light"/>
          <w:color w:val="000000"/>
          <w:sz w:val="20"/>
          <w:szCs w:val="20"/>
          <w:lang w:val="es-ES"/>
        </w:rPr>
        <w:t xml:space="preserve"> Nº </w:t>
      </w:r>
      <w:r w:rsidRPr="004A440C">
        <w:rPr>
          <w:rFonts w:ascii="Cambria" w:hAnsi="Cambria" w:cs="Calibri Light"/>
          <w:color w:val="000000"/>
          <w:sz w:val="20"/>
          <w:szCs w:val="20"/>
          <w:lang w:val="es-ES"/>
        </w:rPr>
        <w:t>143-96 del Congreso de la República de Guatemala de fecha 28 de noviembre de 1996 que disuelve las patrullas de autodefensa civil</w:t>
      </w:r>
      <w:r w:rsidR="002A1893" w:rsidRPr="004A440C">
        <w:rPr>
          <w:rFonts w:ascii="Cambria" w:hAnsi="Cambria" w:cs="Calibri Light"/>
          <w:color w:val="000000"/>
          <w:sz w:val="20"/>
          <w:szCs w:val="20"/>
          <w:lang w:val="es-ES"/>
        </w:rPr>
        <w:t>.</w:t>
      </w:r>
    </w:p>
    <w:p w14:paraId="6AA90E45" w14:textId="77777777" w:rsidR="00AD2DB9" w:rsidRPr="004A440C" w:rsidRDefault="00AD2DB9" w:rsidP="00AD2DB9">
      <w:pPr>
        <w:pStyle w:val="ListParagraph"/>
        <w:spacing w:after="0" w:line="240" w:lineRule="auto"/>
        <w:rPr>
          <w:rFonts w:ascii="Cambria" w:hAnsi="Cambria"/>
          <w:color w:val="000000"/>
          <w:sz w:val="20"/>
          <w:szCs w:val="20"/>
          <w:lang w:val="es-ES"/>
        </w:rPr>
      </w:pPr>
    </w:p>
    <w:p w14:paraId="729557C3" w14:textId="77777777" w:rsidR="003A4802" w:rsidRPr="004A440C" w:rsidRDefault="003A4802" w:rsidP="006964C0">
      <w:pPr>
        <w:rPr>
          <w:rFonts w:ascii="Cambria" w:hAnsi="Cambria"/>
          <w:color w:val="000000"/>
          <w:sz w:val="20"/>
          <w:szCs w:val="20"/>
          <w:lang w:val="es-ES"/>
        </w:rPr>
      </w:pPr>
    </w:p>
    <w:sectPr w:rsidR="003A4802" w:rsidRPr="004A440C" w:rsidSect="007E4ED5">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F5D1A" w14:textId="77777777" w:rsidR="008F21BF" w:rsidRDefault="008F21BF" w:rsidP="00A343FF">
      <w:pPr>
        <w:spacing w:after="0" w:line="240" w:lineRule="auto"/>
      </w:pPr>
      <w:r>
        <w:separator/>
      </w:r>
    </w:p>
  </w:endnote>
  <w:endnote w:type="continuationSeparator" w:id="0">
    <w:p w14:paraId="5FB6A886" w14:textId="77777777" w:rsidR="008F21BF" w:rsidRDefault="008F21BF"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EAFA"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226DF3">
      <w:rPr>
        <w:noProof/>
        <w:color w:val="7F7F7F"/>
        <w:sz w:val="16"/>
      </w:rPr>
      <w:t>6</w:t>
    </w:r>
    <w:r w:rsidRPr="00A72869">
      <w:rPr>
        <w:noProof/>
        <w:color w:val="7F7F7F"/>
        <w:sz w:val="16"/>
      </w:rPr>
      <w:fldChar w:fldCharType="end"/>
    </w:r>
  </w:p>
  <w:p w14:paraId="726061CB"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19C1" w14:textId="77777777" w:rsidR="00D13990" w:rsidRPr="003A4802" w:rsidRDefault="00D13990" w:rsidP="003A4802">
    <w:pPr>
      <w:pStyle w:val="Footer"/>
      <w:spacing w:line="360" w:lineRule="auto"/>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6A75" w14:textId="77777777" w:rsidR="008F21BF" w:rsidRDefault="008F21BF" w:rsidP="00A343FF">
      <w:pPr>
        <w:spacing w:after="0" w:line="240" w:lineRule="auto"/>
      </w:pPr>
      <w:r>
        <w:separator/>
      </w:r>
    </w:p>
  </w:footnote>
  <w:footnote w:type="continuationSeparator" w:id="0">
    <w:p w14:paraId="15F8A3ED" w14:textId="77777777" w:rsidR="008F21BF" w:rsidRDefault="008F21BF" w:rsidP="00A343FF">
      <w:pPr>
        <w:spacing w:after="0" w:line="240" w:lineRule="auto"/>
      </w:pPr>
      <w:r>
        <w:continuationSeparator/>
      </w:r>
    </w:p>
  </w:footnote>
  <w:footnote w:id="1">
    <w:p w14:paraId="1FB5BAAA" w14:textId="77777777" w:rsidR="00AD2DB9" w:rsidRPr="004A440C" w:rsidRDefault="00AD2DB9" w:rsidP="002D6FD8">
      <w:pPr>
        <w:pStyle w:val="FootnoteText"/>
        <w:spacing w:after="120"/>
        <w:ind w:firstLine="720"/>
        <w:jc w:val="both"/>
        <w:rPr>
          <w:color w:val="000000"/>
          <w:sz w:val="16"/>
          <w:szCs w:val="16"/>
          <w:lang w:val="es-US"/>
        </w:rPr>
      </w:pPr>
      <w:r w:rsidRPr="004A440C">
        <w:rPr>
          <w:rStyle w:val="FootnoteReference"/>
          <w:rFonts w:ascii="Cambria" w:hAnsi="Cambria"/>
          <w:color w:val="000000"/>
          <w:sz w:val="16"/>
          <w:szCs w:val="16"/>
        </w:rPr>
        <w:footnoteRef/>
      </w:r>
      <w:r w:rsidRPr="004A440C">
        <w:rPr>
          <w:rFonts w:ascii="Cambria" w:hAnsi="Cambria"/>
          <w:color w:val="000000"/>
          <w:sz w:val="16"/>
          <w:szCs w:val="16"/>
          <w:lang w:val="es-US"/>
        </w:rPr>
        <w:t xml:space="preserve"> CIDH, </w:t>
      </w:r>
      <w:hyperlink r:id="rId1" w:history="1">
        <w:r w:rsidRPr="004A440C">
          <w:rPr>
            <w:rStyle w:val="Hyperlink"/>
            <w:rFonts w:ascii="Cambria" w:hAnsi="Cambria"/>
            <w:color w:val="000000"/>
            <w:sz w:val="16"/>
            <w:szCs w:val="16"/>
            <w:lang w:val="es-US"/>
          </w:rPr>
          <w:t xml:space="preserve">Caso 11.658, </w:t>
        </w:r>
        <w:r w:rsidRPr="004A440C">
          <w:rPr>
            <w:rStyle w:val="Hyperlink"/>
            <w:rFonts w:ascii="Cambria" w:hAnsi="Cambria"/>
            <w:color w:val="000000"/>
            <w:sz w:val="16"/>
            <w:szCs w:val="16"/>
            <w:lang w:val="es-ES"/>
          </w:rPr>
          <w:t xml:space="preserve">Informe de Fondo </w:t>
        </w:r>
        <w:r w:rsidR="002239C3" w:rsidRPr="004A440C">
          <w:rPr>
            <w:rStyle w:val="Hyperlink"/>
            <w:rFonts w:ascii="Cambria" w:hAnsi="Cambria"/>
            <w:color w:val="000000"/>
            <w:sz w:val="16"/>
            <w:szCs w:val="16"/>
            <w:lang w:val="es-ES"/>
          </w:rPr>
          <w:t>N</w:t>
        </w:r>
        <w:r w:rsidRPr="004A440C">
          <w:rPr>
            <w:rStyle w:val="Hyperlink"/>
            <w:rFonts w:ascii="Cambria" w:hAnsi="Cambria"/>
            <w:color w:val="000000"/>
            <w:sz w:val="16"/>
            <w:szCs w:val="16"/>
            <w:lang w:val="es-ES"/>
          </w:rPr>
          <w:t xml:space="preserve">º 80/07, Martín </w:t>
        </w:r>
        <w:proofErr w:type="spellStart"/>
        <w:r w:rsidRPr="004A440C">
          <w:rPr>
            <w:rStyle w:val="Hyperlink"/>
            <w:rFonts w:ascii="Cambria" w:hAnsi="Cambria"/>
            <w:color w:val="000000"/>
            <w:sz w:val="16"/>
            <w:szCs w:val="16"/>
            <w:lang w:val="es-ES"/>
          </w:rPr>
          <w:t>Pelicó</w:t>
        </w:r>
        <w:proofErr w:type="spellEnd"/>
        <w:r w:rsidRPr="004A440C">
          <w:rPr>
            <w:rStyle w:val="Hyperlink"/>
            <w:rFonts w:ascii="Cambria" w:hAnsi="Cambria"/>
            <w:color w:val="000000"/>
            <w:sz w:val="16"/>
            <w:szCs w:val="16"/>
            <w:lang w:val="es-ES"/>
          </w:rPr>
          <w:t xml:space="preserve"> </w:t>
        </w:r>
        <w:proofErr w:type="spellStart"/>
        <w:r w:rsidRPr="004A440C">
          <w:rPr>
            <w:rStyle w:val="Hyperlink"/>
            <w:rFonts w:ascii="Cambria" w:hAnsi="Cambria"/>
            <w:color w:val="000000"/>
            <w:sz w:val="16"/>
            <w:szCs w:val="16"/>
            <w:lang w:val="es-ES"/>
          </w:rPr>
          <w:t>Coxic</w:t>
        </w:r>
        <w:proofErr w:type="spellEnd"/>
        <w:r w:rsidRPr="004A440C">
          <w:rPr>
            <w:rStyle w:val="Hyperlink"/>
            <w:rFonts w:ascii="Cambria" w:hAnsi="Cambria"/>
            <w:color w:val="000000"/>
            <w:sz w:val="16"/>
            <w:szCs w:val="16"/>
            <w:lang w:val="es-ES"/>
          </w:rPr>
          <w:t xml:space="preserve"> (Guatemala)</w:t>
        </w:r>
      </w:hyperlink>
      <w:r w:rsidRPr="004A440C">
        <w:rPr>
          <w:rFonts w:ascii="Cambria" w:hAnsi="Cambria"/>
          <w:color w:val="000000"/>
          <w:sz w:val="16"/>
          <w:szCs w:val="16"/>
          <w:lang w:val="es-ES"/>
        </w:rPr>
        <w:t>, párr. 219.</w:t>
      </w:r>
    </w:p>
  </w:footnote>
  <w:footnote w:id="2">
    <w:p w14:paraId="19C6DF88" w14:textId="77777777" w:rsidR="00AD2DB9" w:rsidRPr="004A440C" w:rsidRDefault="00AD2DB9" w:rsidP="002D6FD8">
      <w:pPr>
        <w:pStyle w:val="FootnoteText"/>
        <w:spacing w:after="120"/>
        <w:ind w:firstLine="720"/>
        <w:jc w:val="both"/>
        <w:rPr>
          <w:rFonts w:ascii="Cambria" w:hAnsi="Cambria"/>
          <w:color w:val="000000"/>
          <w:sz w:val="16"/>
          <w:szCs w:val="16"/>
          <w:lang w:val="es-US"/>
        </w:rPr>
      </w:pPr>
      <w:r w:rsidRPr="004A440C">
        <w:rPr>
          <w:rStyle w:val="FootnoteReference"/>
          <w:rFonts w:ascii="Cambria" w:hAnsi="Cambria"/>
          <w:color w:val="000000"/>
          <w:sz w:val="16"/>
          <w:szCs w:val="16"/>
        </w:rPr>
        <w:footnoteRef/>
      </w:r>
      <w:r w:rsidRPr="004A440C">
        <w:rPr>
          <w:rFonts w:ascii="Cambria" w:hAnsi="Cambria"/>
          <w:color w:val="000000"/>
          <w:sz w:val="16"/>
          <w:szCs w:val="16"/>
          <w:lang w:val="es-US"/>
        </w:rPr>
        <w:t xml:space="preserve"> CIDH, </w:t>
      </w:r>
      <w:hyperlink r:id="rId2" w:history="1">
        <w:r w:rsidRPr="004A440C">
          <w:rPr>
            <w:rStyle w:val="Hyperlink"/>
            <w:rFonts w:ascii="Cambria" w:hAnsi="Cambria"/>
            <w:color w:val="000000"/>
            <w:sz w:val="16"/>
            <w:szCs w:val="16"/>
            <w:lang w:val="es-US"/>
          </w:rPr>
          <w:t xml:space="preserve">Caso 11.658, </w:t>
        </w:r>
        <w:r w:rsidR="002239C3" w:rsidRPr="004A440C">
          <w:rPr>
            <w:rStyle w:val="Hyperlink"/>
            <w:rFonts w:ascii="Cambria" w:hAnsi="Cambria"/>
            <w:color w:val="000000"/>
            <w:sz w:val="16"/>
            <w:szCs w:val="16"/>
            <w:lang w:val="es-ES"/>
          </w:rPr>
          <w:t>Informe de Fondo N</w:t>
        </w:r>
        <w:r w:rsidRPr="004A440C">
          <w:rPr>
            <w:rStyle w:val="Hyperlink"/>
            <w:rFonts w:ascii="Cambria" w:hAnsi="Cambria"/>
            <w:color w:val="000000"/>
            <w:sz w:val="16"/>
            <w:szCs w:val="16"/>
            <w:lang w:val="es-ES"/>
          </w:rPr>
          <w:t xml:space="preserve">º 80/07, Martín </w:t>
        </w:r>
        <w:proofErr w:type="spellStart"/>
        <w:r w:rsidRPr="004A440C">
          <w:rPr>
            <w:rStyle w:val="Hyperlink"/>
            <w:rFonts w:ascii="Cambria" w:hAnsi="Cambria"/>
            <w:color w:val="000000"/>
            <w:sz w:val="16"/>
            <w:szCs w:val="16"/>
            <w:lang w:val="es-ES"/>
          </w:rPr>
          <w:t>Pelicó</w:t>
        </w:r>
        <w:proofErr w:type="spellEnd"/>
        <w:r w:rsidRPr="004A440C">
          <w:rPr>
            <w:rStyle w:val="Hyperlink"/>
            <w:rFonts w:ascii="Cambria" w:hAnsi="Cambria"/>
            <w:color w:val="000000"/>
            <w:sz w:val="16"/>
            <w:szCs w:val="16"/>
            <w:lang w:val="es-ES"/>
          </w:rPr>
          <w:t xml:space="preserve"> </w:t>
        </w:r>
        <w:proofErr w:type="spellStart"/>
        <w:r w:rsidRPr="004A440C">
          <w:rPr>
            <w:rStyle w:val="Hyperlink"/>
            <w:rFonts w:ascii="Cambria" w:hAnsi="Cambria"/>
            <w:color w:val="000000"/>
            <w:sz w:val="16"/>
            <w:szCs w:val="16"/>
            <w:lang w:val="es-ES"/>
          </w:rPr>
          <w:t>Coxic</w:t>
        </w:r>
        <w:proofErr w:type="spellEnd"/>
        <w:r w:rsidRPr="004A440C">
          <w:rPr>
            <w:rStyle w:val="Hyperlink"/>
            <w:rFonts w:ascii="Cambria" w:hAnsi="Cambria"/>
            <w:color w:val="000000"/>
            <w:sz w:val="16"/>
            <w:szCs w:val="16"/>
            <w:lang w:val="es-ES"/>
          </w:rPr>
          <w:t xml:space="preserve"> (Guatemala)</w:t>
        </w:r>
      </w:hyperlink>
      <w:r w:rsidRPr="004A440C">
        <w:rPr>
          <w:rFonts w:ascii="Cambria" w:hAnsi="Cambria"/>
          <w:color w:val="000000"/>
          <w:sz w:val="16"/>
          <w:szCs w:val="16"/>
          <w:lang w:val="es-ES"/>
        </w:rPr>
        <w:t>, párr. 211.</w:t>
      </w:r>
    </w:p>
  </w:footnote>
  <w:footnote w:id="3">
    <w:p w14:paraId="7D7A1ABA" w14:textId="77777777" w:rsidR="00AD2DB9" w:rsidRPr="004A440C" w:rsidRDefault="00AD2DB9" w:rsidP="002D6FD8">
      <w:pPr>
        <w:pStyle w:val="FootnoteText"/>
        <w:spacing w:after="120"/>
        <w:ind w:firstLine="720"/>
        <w:jc w:val="both"/>
        <w:rPr>
          <w:rFonts w:ascii="Cambria" w:hAnsi="Cambria"/>
          <w:color w:val="000000"/>
          <w:sz w:val="16"/>
          <w:szCs w:val="16"/>
          <w:lang w:val="es-US"/>
        </w:rPr>
      </w:pPr>
      <w:r w:rsidRPr="004A440C">
        <w:rPr>
          <w:rStyle w:val="FootnoteReference"/>
          <w:rFonts w:ascii="Cambria" w:hAnsi="Cambria"/>
          <w:color w:val="000000"/>
          <w:sz w:val="16"/>
          <w:szCs w:val="16"/>
        </w:rPr>
        <w:footnoteRef/>
      </w:r>
      <w:r w:rsidRPr="004A440C">
        <w:rPr>
          <w:rFonts w:ascii="Cambria" w:hAnsi="Cambria"/>
          <w:color w:val="000000"/>
          <w:sz w:val="16"/>
          <w:szCs w:val="16"/>
          <w:lang w:val="es-US"/>
        </w:rPr>
        <w:t xml:space="preserve"> CIDH, </w:t>
      </w:r>
      <w:hyperlink r:id="rId3" w:history="1">
        <w:r w:rsidRPr="004A440C">
          <w:rPr>
            <w:rStyle w:val="Hyperlink"/>
            <w:rFonts w:ascii="Cambria" w:hAnsi="Cambria"/>
            <w:color w:val="000000"/>
            <w:sz w:val="16"/>
            <w:szCs w:val="16"/>
            <w:lang w:val="es-US"/>
          </w:rPr>
          <w:t xml:space="preserve">Caso 11.658, </w:t>
        </w:r>
        <w:r w:rsidR="002239C3" w:rsidRPr="004A440C">
          <w:rPr>
            <w:rStyle w:val="Hyperlink"/>
            <w:rFonts w:ascii="Cambria" w:hAnsi="Cambria"/>
            <w:color w:val="000000"/>
            <w:sz w:val="16"/>
            <w:szCs w:val="16"/>
            <w:lang w:val="es-ES"/>
          </w:rPr>
          <w:t>Informe de Fondo N</w:t>
        </w:r>
        <w:r w:rsidRPr="004A440C">
          <w:rPr>
            <w:rStyle w:val="Hyperlink"/>
            <w:rFonts w:ascii="Cambria" w:hAnsi="Cambria"/>
            <w:color w:val="000000"/>
            <w:sz w:val="16"/>
            <w:szCs w:val="16"/>
            <w:lang w:val="es-ES"/>
          </w:rPr>
          <w:t xml:space="preserve">º 80/07, Martín </w:t>
        </w:r>
        <w:proofErr w:type="spellStart"/>
        <w:r w:rsidRPr="004A440C">
          <w:rPr>
            <w:rStyle w:val="Hyperlink"/>
            <w:rFonts w:ascii="Cambria" w:hAnsi="Cambria"/>
            <w:color w:val="000000"/>
            <w:sz w:val="16"/>
            <w:szCs w:val="16"/>
            <w:lang w:val="es-ES"/>
          </w:rPr>
          <w:t>Pelicó</w:t>
        </w:r>
        <w:proofErr w:type="spellEnd"/>
        <w:r w:rsidRPr="004A440C">
          <w:rPr>
            <w:rStyle w:val="Hyperlink"/>
            <w:rFonts w:ascii="Cambria" w:hAnsi="Cambria"/>
            <w:color w:val="000000"/>
            <w:sz w:val="16"/>
            <w:szCs w:val="16"/>
            <w:lang w:val="es-ES"/>
          </w:rPr>
          <w:t xml:space="preserve"> </w:t>
        </w:r>
        <w:proofErr w:type="spellStart"/>
        <w:r w:rsidRPr="004A440C">
          <w:rPr>
            <w:rStyle w:val="Hyperlink"/>
            <w:rFonts w:ascii="Cambria" w:hAnsi="Cambria"/>
            <w:color w:val="000000"/>
            <w:sz w:val="16"/>
            <w:szCs w:val="16"/>
            <w:lang w:val="es-ES"/>
          </w:rPr>
          <w:t>Coxic</w:t>
        </w:r>
        <w:proofErr w:type="spellEnd"/>
        <w:r w:rsidRPr="004A440C">
          <w:rPr>
            <w:rStyle w:val="Hyperlink"/>
            <w:rFonts w:ascii="Cambria" w:hAnsi="Cambria"/>
            <w:color w:val="000000"/>
            <w:sz w:val="16"/>
            <w:szCs w:val="16"/>
            <w:lang w:val="es-ES"/>
          </w:rPr>
          <w:t xml:space="preserve"> (Guatemala)</w:t>
        </w:r>
      </w:hyperlink>
      <w:r w:rsidRPr="004A440C">
        <w:rPr>
          <w:rFonts w:ascii="Cambria" w:hAnsi="Cambria"/>
          <w:color w:val="000000"/>
          <w:sz w:val="16"/>
          <w:szCs w:val="16"/>
          <w:lang w:val="es-ES"/>
        </w:rPr>
        <w:t>, párr. 211.</w:t>
      </w:r>
    </w:p>
  </w:footnote>
  <w:footnote w:id="4">
    <w:p w14:paraId="506045DC" w14:textId="77777777" w:rsidR="00AD2DB9" w:rsidRPr="004A440C" w:rsidRDefault="00AD2DB9" w:rsidP="002D6FD8">
      <w:pPr>
        <w:pStyle w:val="FootnoteText"/>
        <w:spacing w:after="120"/>
        <w:ind w:firstLine="720"/>
        <w:jc w:val="both"/>
        <w:rPr>
          <w:rFonts w:ascii="Cambria" w:hAnsi="Cambria"/>
          <w:color w:val="000000"/>
          <w:sz w:val="16"/>
          <w:szCs w:val="16"/>
          <w:lang w:val="es-US"/>
        </w:rPr>
      </w:pPr>
      <w:r w:rsidRPr="004A440C">
        <w:rPr>
          <w:rStyle w:val="FootnoteReference"/>
          <w:rFonts w:ascii="Cambria" w:hAnsi="Cambria"/>
          <w:color w:val="000000"/>
          <w:sz w:val="16"/>
          <w:szCs w:val="16"/>
        </w:rPr>
        <w:footnoteRef/>
      </w:r>
      <w:r w:rsidRPr="004A440C">
        <w:rPr>
          <w:rFonts w:ascii="Cambria" w:hAnsi="Cambria"/>
          <w:color w:val="000000"/>
          <w:sz w:val="16"/>
          <w:szCs w:val="16"/>
          <w:lang w:val="es-US"/>
        </w:rPr>
        <w:t xml:space="preserve"> CIDH, </w:t>
      </w:r>
      <w:hyperlink r:id="rId4" w:history="1">
        <w:r w:rsidRPr="004A440C">
          <w:rPr>
            <w:rStyle w:val="Hyperlink"/>
            <w:rFonts w:ascii="Cambria" w:hAnsi="Cambria"/>
            <w:color w:val="000000"/>
            <w:sz w:val="16"/>
            <w:szCs w:val="16"/>
            <w:lang w:val="es-US"/>
          </w:rPr>
          <w:t xml:space="preserve">Caso 11.658, </w:t>
        </w:r>
        <w:r w:rsidRPr="004A440C">
          <w:rPr>
            <w:rStyle w:val="Hyperlink"/>
            <w:rFonts w:ascii="Cambria" w:hAnsi="Cambria"/>
            <w:color w:val="000000"/>
            <w:sz w:val="16"/>
            <w:szCs w:val="16"/>
            <w:lang w:val="es-ES"/>
          </w:rPr>
          <w:t xml:space="preserve">Informe de Fondo </w:t>
        </w:r>
        <w:r w:rsidR="002239C3" w:rsidRPr="004A440C">
          <w:rPr>
            <w:rStyle w:val="Hyperlink"/>
            <w:rFonts w:ascii="Cambria" w:hAnsi="Cambria"/>
            <w:color w:val="000000"/>
            <w:sz w:val="16"/>
            <w:szCs w:val="16"/>
            <w:lang w:val="es-ES"/>
          </w:rPr>
          <w:t>N</w:t>
        </w:r>
        <w:r w:rsidR="000A03DB" w:rsidRPr="004A440C">
          <w:rPr>
            <w:rStyle w:val="Hyperlink"/>
            <w:rFonts w:ascii="Cambria" w:hAnsi="Cambria"/>
            <w:color w:val="000000"/>
            <w:sz w:val="16"/>
            <w:szCs w:val="16"/>
            <w:lang w:val="es-ES"/>
          </w:rPr>
          <w:t xml:space="preserve">º 80/07, Martín </w:t>
        </w:r>
        <w:proofErr w:type="spellStart"/>
        <w:r w:rsidR="000A03DB" w:rsidRPr="004A440C">
          <w:rPr>
            <w:rStyle w:val="Hyperlink"/>
            <w:rFonts w:ascii="Cambria" w:hAnsi="Cambria"/>
            <w:color w:val="000000"/>
            <w:sz w:val="16"/>
            <w:szCs w:val="16"/>
            <w:lang w:val="es-ES"/>
          </w:rPr>
          <w:t>Pelicó</w:t>
        </w:r>
        <w:proofErr w:type="spellEnd"/>
        <w:r w:rsidR="000A03DB" w:rsidRPr="004A440C">
          <w:rPr>
            <w:rStyle w:val="Hyperlink"/>
            <w:rFonts w:ascii="Cambria" w:hAnsi="Cambria"/>
            <w:color w:val="000000"/>
            <w:sz w:val="16"/>
            <w:szCs w:val="16"/>
            <w:lang w:val="es-ES"/>
          </w:rPr>
          <w:t xml:space="preserve"> </w:t>
        </w:r>
        <w:proofErr w:type="spellStart"/>
        <w:r w:rsidR="000A03DB" w:rsidRPr="004A440C">
          <w:rPr>
            <w:rStyle w:val="Hyperlink"/>
            <w:rFonts w:ascii="Cambria" w:hAnsi="Cambria"/>
            <w:color w:val="000000"/>
            <w:sz w:val="16"/>
            <w:szCs w:val="16"/>
            <w:lang w:val="es-ES"/>
          </w:rPr>
          <w:t>Coxic</w:t>
        </w:r>
        <w:proofErr w:type="spellEnd"/>
        <w:r w:rsidR="000A03DB" w:rsidRPr="004A440C">
          <w:rPr>
            <w:rStyle w:val="Hyperlink"/>
            <w:rFonts w:ascii="Cambria" w:hAnsi="Cambria"/>
            <w:color w:val="000000"/>
            <w:sz w:val="16"/>
            <w:szCs w:val="16"/>
            <w:lang w:val="es-ES"/>
          </w:rPr>
          <w:t xml:space="preserve"> (</w:t>
        </w:r>
        <w:r w:rsidRPr="004A440C">
          <w:rPr>
            <w:rStyle w:val="Hyperlink"/>
            <w:rFonts w:ascii="Cambria" w:hAnsi="Cambria"/>
            <w:color w:val="000000"/>
            <w:sz w:val="16"/>
            <w:szCs w:val="16"/>
            <w:lang w:val="es-ES"/>
          </w:rPr>
          <w:t>Guatemala)</w:t>
        </w:r>
      </w:hyperlink>
      <w:r w:rsidRPr="004A440C">
        <w:rPr>
          <w:rFonts w:ascii="Cambria" w:hAnsi="Cambria"/>
          <w:color w:val="000000"/>
          <w:sz w:val="16"/>
          <w:szCs w:val="16"/>
          <w:lang w:val="es-ES"/>
        </w:rPr>
        <w:t>, párr. 211.</w:t>
      </w:r>
    </w:p>
  </w:footnote>
  <w:footnote w:id="5">
    <w:p w14:paraId="1864DF2B" w14:textId="77777777" w:rsidR="00AD2DB9" w:rsidRPr="004A440C" w:rsidRDefault="00AD2DB9" w:rsidP="002D6FD8">
      <w:pPr>
        <w:pStyle w:val="FootnoteText"/>
        <w:spacing w:after="120"/>
        <w:ind w:firstLine="720"/>
        <w:jc w:val="both"/>
        <w:rPr>
          <w:color w:val="000000"/>
          <w:sz w:val="16"/>
          <w:szCs w:val="16"/>
          <w:lang w:val="es-US"/>
        </w:rPr>
      </w:pPr>
      <w:r w:rsidRPr="004A440C">
        <w:rPr>
          <w:rStyle w:val="FootnoteReference"/>
          <w:rFonts w:ascii="Cambria" w:hAnsi="Cambria"/>
          <w:color w:val="000000"/>
          <w:sz w:val="16"/>
          <w:szCs w:val="16"/>
        </w:rPr>
        <w:footnoteRef/>
      </w:r>
      <w:r w:rsidRPr="004A440C">
        <w:rPr>
          <w:rFonts w:ascii="Cambria" w:hAnsi="Cambria"/>
          <w:color w:val="000000"/>
          <w:sz w:val="16"/>
          <w:szCs w:val="16"/>
          <w:lang w:val="es-US"/>
        </w:rPr>
        <w:t xml:space="preserve"> CIDH, </w:t>
      </w:r>
      <w:hyperlink r:id="rId5" w:history="1">
        <w:r w:rsidRPr="004A440C">
          <w:rPr>
            <w:rStyle w:val="Hyperlink"/>
            <w:rFonts w:ascii="Cambria" w:hAnsi="Cambria"/>
            <w:color w:val="000000"/>
            <w:sz w:val="16"/>
            <w:szCs w:val="16"/>
            <w:lang w:val="es-US"/>
          </w:rPr>
          <w:t xml:space="preserve">Caso 11.658, </w:t>
        </w:r>
        <w:r w:rsidR="002239C3" w:rsidRPr="004A440C">
          <w:rPr>
            <w:rStyle w:val="Hyperlink"/>
            <w:rFonts w:ascii="Cambria" w:hAnsi="Cambria"/>
            <w:color w:val="000000"/>
            <w:sz w:val="16"/>
            <w:szCs w:val="16"/>
            <w:lang w:val="es-ES"/>
          </w:rPr>
          <w:t>Informe de Fondo N</w:t>
        </w:r>
        <w:r w:rsidR="000A03DB" w:rsidRPr="004A440C">
          <w:rPr>
            <w:rStyle w:val="Hyperlink"/>
            <w:rFonts w:ascii="Cambria" w:hAnsi="Cambria"/>
            <w:color w:val="000000"/>
            <w:sz w:val="16"/>
            <w:szCs w:val="16"/>
            <w:lang w:val="es-ES"/>
          </w:rPr>
          <w:t xml:space="preserve">º 80/07, Martín </w:t>
        </w:r>
        <w:proofErr w:type="spellStart"/>
        <w:r w:rsidR="000A03DB" w:rsidRPr="004A440C">
          <w:rPr>
            <w:rStyle w:val="Hyperlink"/>
            <w:rFonts w:ascii="Cambria" w:hAnsi="Cambria"/>
            <w:color w:val="000000"/>
            <w:sz w:val="16"/>
            <w:szCs w:val="16"/>
            <w:lang w:val="es-ES"/>
          </w:rPr>
          <w:t>Pelicó</w:t>
        </w:r>
        <w:proofErr w:type="spellEnd"/>
        <w:r w:rsidR="000A03DB" w:rsidRPr="004A440C">
          <w:rPr>
            <w:rStyle w:val="Hyperlink"/>
            <w:rFonts w:ascii="Cambria" w:hAnsi="Cambria"/>
            <w:color w:val="000000"/>
            <w:sz w:val="16"/>
            <w:szCs w:val="16"/>
            <w:lang w:val="es-ES"/>
          </w:rPr>
          <w:t xml:space="preserve"> </w:t>
        </w:r>
        <w:proofErr w:type="spellStart"/>
        <w:r w:rsidR="000A03DB" w:rsidRPr="004A440C">
          <w:rPr>
            <w:rStyle w:val="Hyperlink"/>
            <w:rFonts w:ascii="Cambria" w:hAnsi="Cambria"/>
            <w:color w:val="000000"/>
            <w:sz w:val="16"/>
            <w:szCs w:val="16"/>
            <w:lang w:val="es-ES"/>
          </w:rPr>
          <w:t>Coxic</w:t>
        </w:r>
        <w:proofErr w:type="spellEnd"/>
        <w:r w:rsidR="000A03DB" w:rsidRPr="004A440C">
          <w:rPr>
            <w:rStyle w:val="Hyperlink"/>
            <w:rFonts w:ascii="Cambria" w:hAnsi="Cambria"/>
            <w:color w:val="000000"/>
            <w:sz w:val="16"/>
            <w:szCs w:val="16"/>
            <w:lang w:val="es-ES"/>
          </w:rPr>
          <w:t xml:space="preserve"> (</w:t>
        </w:r>
        <w:r w:rsidRPr="004A440C">
          <w:rPr>
            <w:rStyle w:val="Hyperlink"/>
            <w:rFonts w:ascii="Cambria" w:hAnsi="Cambria"/>
            <w:color w:val="000000"/>
            <w:sz w:val="16"/>
            <w:szCs w:val="16"/>
            <w:lang w:val="es-ES"/>
          </w:rPr>
          <w:t>Guatemala)</w:t>
        </w:r>
      </w:hyperlink>
      <w:r w:rsidRPr="004A440C">
        <w:rPr>
          <w:rFonts w:ascii="Cambria" w:hAnsi="Cambria"/>
          <w:color w:val="000000"/>
          <w:sz w:val="16"/>
          <w:szCs w:val="16"/>
          <w:lang w:val="es-ES"/>
        </w:rPr>
        <w:t>, párr. 211.</w:t>
      </w:r>
    </w:p>
  </w:footnote>
  <w:footnote w:id="6">
    <w:p w14:paraId="70D22AB7" w14:textId="77777777" w:rsidR="00AD2DB9" w:rsidRPr="004A440C" w:rsidRDefault="00AD2DB9" w:rsidP="002D6FD8">
      <w:pPr>
        <w:spacing w:after="120"/>
        <w:ind w:firstLine="720"/>
        <w:jc w:val="both"/>
        <w:rPr>
          <w:rFonts w:ascii="Cambria" w:hAnsi="Cambria" w:cs="Calibri Light"/>
          <w:color w:val="000000"/>
          <w:sz w:val="16"/>
          <w:szCs w:val="16"/>
          <w:lang w:val="es-ES"/>
        </w:rPr>
      </w:pPr>
      <w:r w:rsidRPr="004A440C">
        <w:rPr>
          <w:rStyle w:val="FootnoteReference"/>
          <w:rFonts w:ascii="Cambria" w:hAnsi="Cambria" w:cs="Calibri Light"/>
          <w:color w:val="000000"/>
          <w:sz w:val="16"/>
          <w:szCs w:val="16"/>
        </w:rPr>
        <w:footnoteRef/>
      </w:r>
      <w:r w:rsidRPr="004A440C">
        <w:rPr>
          <w:rFonts w:ascii="Cambria" w:hAnsi="Cambria" w:cs="Calibri Light"/>
          <w:color w:val="000000"/>
          <w:sz w:val="16"/>
          <w:szCs w:val="16"/>
          <w:lang w:val="es-US"/>
        </w:rPr>
        <w:t xml:space="preserve"> </w:t>
      </w:r>
      <w:r w:rsidRPr="004A440C">
        <w:rPr>
          <w:rFonts w:ascii="Cambria" w:hAnsi="Cambria" w:cs="Calibri Light"/>
          <w:color w:val="000000"/>
          <w:sz w:val="16"/>
          <w:szCs w:val="16"/>
          <w:lang w:val="es-ES"/>
        </w:rPr>
        <w:t xml:space="preserve">CIDH, Informe Anual 2017, </w:t>
      </w:r>
      <w:hyperlink r:id="rId6" w:history="1">
        <w:r w:rsidRPr="004A440C">
          <w:rPr>
            <w:rStyle w:val="Hyperlink"/>
            <w:rFonts w:ascii="Cambria" w:hAnsi="Cambria" w:cs="Calibri Light"/>
            <w:color w:val="000000"/>
            <w:sz w:val="16"/>
            <w:szCs w:val="16"/>
            <w:lang w:val="es-ES"/>
          </w:rPr>
          <w:t>Capítulo II, Sección F: Estado del cumplimiento de las recomendaciones de la CIDH</w:t>
        </w:r>
      </w:hyperlink>
      <w:r w:rsidRPr="004A440C">
        <w:rPr>
          <w:rFonts w:ascii="Cambria" w:hAnsi="Cambria" w:cs="Calibri Light"/>
          <w:color w:val="000000"/>
          <w:sz w:val="16"/>
          <w:szCs w:val="16"/>
          <w:lang w:val="es-ES"/>
        </w:rPr>
        <w:t>, párr. 1610</w:t>
      </w:r>
    </w:p>
  </w:footnote>
  <w:footnote w:id="7">
    <w:p w14:paraId="49BDB43A" w14:textId="77777777" w:rsidR="00AD2DB9" w:rsidRPr="004A440C" w:rsidRDefault="00AD2DB9" w:rsidP="002D6FD8">
      <w:pPr>
        <w:pStyle w:val="FootnoteText"/>
        <w:spacing w:after="120"/>
        <w:ind w:firstLine="720"/>
        <w:jc w:val="both"/>
        <w:rPr>
          <w:rFonts w:ascii="Cambria" w:hAnsi="Cambria"/>
          <w:color w:val="000000"/>
          <w:sz w:val="16"/>
          <w:szCs w:val="16"/>
          <w:lang w:val="es-US"/>
        </w:rPr>
      </w:pPr>
      <w:r w:rsidRPr="004A440C">
        <w:rPr>
          <w:rStyle w:val="FootnoteReference"/>
          <w:rFonts w:ascii="Cambria" w:hAnsi="Cambria"/>
          <w:color w:val="000000"/>
          <w:sz w:val="16"/>
          <w:szCs w:val="16"/>
        </w:rPr>
        <w:footnoteRef/>
      </w:r>
      <w:r w:rsidRPr="004A440C">
        <w:rPr>
          <w:rFonts w:ascii="Cambria" w:hAnsi="Cambria"/>
          <w:color w:val="000000"/>
          <w:sz w:val="16"/>
          <w:szCs w:val="16"/>
          <w:lang w:val="es-US"/>
        </w:rPr>
        <w:t xml:space="preserve"> Corte IDH. </w:t>
      </w:r>
      <w:hyperlink r:id="rId7" w:history="1">
        <w:r w:rsidRPr="004A440C">
          <w:rPr>
            <w:rStyle w:val="Hyperlink"/>
            <w:rFonts w:ascii="Cambria" w:hAnsi="Cambria"/>
            <w:color w:val="000000"/>
            <w:sz w:val="16"/>
            <w:szCs w:val="16"/>
            <w:lang w:val="es-US"/>
          </w:rPr>
          <w:t>Caso Albán Cornejo y otros. Vs. Ecuador. Sentencia de 22 de noviembre de 2007</w:t>
        </w:r>
      </w:hyperlink>
      <w:r w:rsidR="002239C3" w:rsidRPr="004A440C">
        <w:rPr>
          <w:rFonts w:ascii="Cambria" w:hAnsi="Cambria"/>
          <w:color w:val="000000"/>
          <w:sz w:val="16"/>
          <w:szCs w:val="16"/>
          <w:lang w:val="es-US"/>
        </w:rPr>
        <w:t>. Serie C No. 171, párr.</w:t>
      </w:r>
      <w:r w:rsidRPr="004A440C">
        <w:rPr>
          <w:rFonts w:ascii="Cambria" w:hAnsi="Cambria"/>
          <w:color w:val="000000"/>
          <w:sz w:val="16"/>
          <w:szCs w:val="16"/>
          <w:lang w:val="es-US"/>
        </w:rPr>
        <w:t xml:space="preserve"> 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3864" w14:textId="77777777" w:rsidR="00B00BB2" w:rsidRPr="00ED1EBA" w:rsidRDefault="00B00BB2" w:rsidP="00B00BB2">
    <w:pPr>
      <w:pStyle w:val="Header"/>
      <w:rPr>
        <w:rFonts w:ascii="Arial" w:hAnsi="Arial" w:cs="Arial"/>
        <w:color w:val="3B3838" w:themeColor="background2" w:themeShade="40"/>
        <w:szCs w:val="28"/>
      </w:rPr>
    </w:pPr>
    <w:r w:rsidRPr="006B1F24">
      <w:rPr>
        <w:noProof/>
        <w:sz w:val="28"/>
        <w:szCs w:val="28"/>
      </w:rPr>
      <w:drawing>
        <wp:anchor distT="0" distB="0" distL="114300" distR="114300" simplePos="0" relativeHeight="251661824" behindDoc="0" locked="0" layoutInCell="1" allowOverlap="1" wp14:anchorId="1BE52D32" wp14:editId="4203985A">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EF88F96" wp14:editId="40A92DA2">
          <wp:extent cx="1328057" cy="309334"/>
          <wp:effectExtent l="0" t="0" r="5715" b="0"/>
          <wp:docPr id="7"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61022" cy="317012"/>
                  </a:xfrm>
                  <a:prstGeom prst="rect">
                    <a:avLst/>
                  </a:prstGeom>
                </pic:spPr>
              </pic:pic>
            </a:graphicData>
          </a:graphic>
        </wp:inline>
      </w:drawing>
    </w:r>
    <w:r>
      <w:rPr>
        <w:rFonts w:ascii="Arial" w:hAnsi="Arial" w:cs="Arial"/>
        <w:color w:val="3B3838" w:themeColor="background2" w:themeShade="40"/>
        <w:szCs w:val="28"/>
      </w:rPr>
      <w:t xml:space="preserve">                      </w:t>
    </w:r>
  </w:p>
  <w:p w14:paraId="1AED47B8" w14:textId="77777777" w:rsidR="00B00BB2" w:rsidRPr="00D56DC4" w:rsidRDefault="00B00BB2" w:rsidP="00B00BB2">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800" behindDoc="0" locked="0" layoutInCell="1" allowOverlap="1" wp14:anchorId="354865E9" wp14:editId="357A6F1E">
              <wp:simplePos x="0" y="0"/>
              <wp:positionH relativeFrom="column">
                <wp:posOffset>-5080</wp:posOffset>
              </wp:positionH>
              <wp:positionV relativeFrom="paragraph">
                <wp:posOffset>174133</wp:posOffset>
              </wp:positionV>
              <wp:extent cx="6148358" cy="0"/>
              <wp:effectExtent l="0" t="0" r="11430" b="12700"/>
              <wp:wrapNone/>
              <wp:docPr id="6" name="Straight Connector 6"/>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B4EC3" id="Straight Connector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C67B" w14:textId="53A8A97A" w:rsidR="000F3C7A" w:rsidRDefault="00B00BB2" w:rsidP="000F3C7A">
    <w:pPr>
      <w:pStyle w:val="Header"/>
      <w:spacing w:line="216" w:lineRule="auto"/>
      <w:rPr>
        <w:rFonts w:ascii="Arial" w:hAnsi="Arial" w:cs="Arial"/>
        <w:color w:val="3B3838"/>
        <w:sz w:val="28"/>
        <w:szCs w:val="28"/>
        <w:lang w:val="es-ES"/>
      </w:rPr>
    </w:pPr>
    <w:bookmarkStart w:id="4" w:name="_Hlk89378175"/>
    <w:bookmarkStart w:id="5" w:name="_Hlk89378176"/>
    <w:r>
      <w:rPr>
        <w:noProof/>
      </w:rPr>
      <w:drawing>
        <wp:anchor distT="0" distB="0" distL="114300" distR="114300" simplePos="0" relativeHeight="251657728" behindDoc="0" locked="0" layoutInCell="1" allowOverlap="1" wp14:anchorId="092DBE72" wp14:editId="64A2C692">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313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3AEFC0A7" wp14:editId="3B8901BD">
              <wp:simplePos x="0" y="0"/>
              <wp:positionH relativeFrom="column">
                <wp:posOffset>-166370</wp:posOffset>
              </wp:positionH>
              <wp:positionV relativeFrom="paragraph">
                <wp:posOffset>48895</wp:posOffset>
              </wp:positionV>
              <wp:extent cx="2936875" cy="6648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936875" cy="664845"/>
                      </a:xfrm>
                      <a:prstGeom prst="rect">
                        <a:avLst/>
                      </a:prstGeom>
                      <a:noFill/>
                      <a:ln w="6350">
                        <a:noFill/>
                      </a:ln>
                    </wps:spPr>
                    <wps:txbx>
                      <w:txbxContent>
                        <w:p w14:paraId="65A8630E" w14:textId="59A5A08E" w:rsidR="000F3C7A" w:rsidRDefault="00B00BB2" w:rsidP="000F3C7A">
                          <w:r w:rsidRPr="00AD498E">
                            <w:rPr>
                              <w:noProof/>
                            </w:rPr>
                            <w:drawing>
                              <wp:inline distT="0" distB="0" distL="0" distR="0" wp14:anchorId="0C615F77" wp14:editId="229F7058">
                                <wp:extent cx="2019300" cy="476250"/>
                                <wp:effectExtent l="0" t="0" r="0" b="0"/>
                                <wp:docPr id="5"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476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AEFC0A7" id="_x0000_t202" coordsize="21600,21600" o:spt="202" path="m,l,21600r21600,l21600,xe">
              <v:stroke joinstyle="miter"/>
              <v:path gradientshapeok="t" o:connecttype="rect"/>
            </v:shapetype>
            <v:shape id="Text Box 2" o:spid="_x0000_s1026" type="#_x0000_t202" style="position:absolute;margin-left:-13.1pt;margin-top:3.85pt;width:231.25pt;height:5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" filled="f" stroked="f" strokeweight=".5pt">
              <v:textbox>
                <w:txbxContent>
                  <w:p w14:paraId="65A8630E" w14:textId="59A5A08E" w:rsidR="000F3C7A" w:rsidRDefault="00B00BB2" w:rsidP="000F3C7A">
                    <w:r w:rsidRPr="00AD498E">
                      <w:rPr>
                        <w:noProof/>
                      </w:rPr>
                      <w:drawing>
                        <wp:inline distT="0" distB="0" distL="0" distR="0" wp14:anchorId="0C615F77" wp14:editId="229F7058">
                          <wp:extent cx="2019300" cy="476250"/>
                          <wp:effectExtent l="0" t="0" r="0" b="0"/>
                          <wp:docPr id="5"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476250"/>
                                  </a:xfrm>
                                  <a:prstGeom prst="rect">
                                    <a:avLst/>
                                  </a:prstGeom>
                                  <a:noFill/>
                                  <a:ln>
                                    <a:noFill/>
                                  </a:ln>
                                </pic:spPr>
                              </pic:pic>
                            </a:graphicData>
                          </a:graphic>
                        </wp:inline>
                      </w:drawing>
                    </w:r>
                  </w:p>
                </w:txbxContent>
              </v:textbox>
            </v:shape>
          </w:pict>
        </mc:Fallback>
      </mc:AlternateContent>
    </w:r>
    <w:r w:rsidR="000F3C7A" w:rsidRPr="00AD498E">
      <w:rPr>
        <w:rFonts w:ascii="Arial" w:hAnsi="Arial" w:cs="Arial"/>
        <w:color w:val="3B3838"/>
        <w:sz w:val="28"/>
        <w:szCs w:val="28"/>
        <w:lang w:val="es-ES"/>
      </w:rPr>
      <w:softHyphen/>
    </w:r>
    <w:r w:rsidR="000F3C7A" w:rsidRPr="00AD498E">
      <w:rPr>
        <w:rFonts w:ascii="Arial" w:hAnsi="Arial" w:cs="Arial"/>
        <w:color w:val="3B3838"/>
        <w:sz w:val="28"/>
        <w:szCs w:val="28"/>
        <w:lang w:val="es-ES"/>
      </w:rPr>
      <w:softHyphen/>
    </w:r>
    <w:r w:rsidR="000F3C7A" w:rsidRPr="00AD498E">
      <w:rPr>
        <w:rFonts w:ascii="Arial" w:hAnsi="Arial" w:cs="Arial"/>
        <w:color w:val="3B3838"/>
        <w:sz w:val="28"/>
        <w:szCs w:val="28"/>
        <w:lang w:val="es-ES"/>
      </w:rPr>
      <w:softHyphen/>
    </w:r>
  </w:p>
  <w:p w14:paraId="7A2529EE" w14:textId="77777777" w:rsidR="000F3C7A" w:rsidRPr="00AD498E" w:rsidRDefault="000F3C7A" w:rsidP="000F3C7A">
    <w:pPr>
      <w:pStyle w:val="Header"/>
      <w:spacing w:line="216" w:lineRule="auto"/>
      <w:rPr>
        <w:rFonts w:ascii="Arial" w:hAnsi="Arial" w:cs="Arial"/>
        <w:color w:val="3B3838"/>
        <w:sz w:val="28"/>
        <w:szCs w:val="28"/>
        <w:lang w:val="es-ES"/>
      </w:rPr>
    </w:pPr>
  </w:p>
  <w:p w14:paraId="7EC69A13" w14:textId="77777777" w:rsidR="000F3C7A" w:rsidRDefault="000F3C7A" w:rsidP="000F3C7A">
    <w:pPr>
      <w:pStyle w:val="Header"/>
      <w:spacing w:line="216" w:lineRule="auto"/>
      <w:rPr>
        <w:rFonts w:ascii="Arial" w:hAnsi="Arial" w:cs="Arial"/>
        <w:b/>
        <w:bCs/>
        <w:color w:val="404040"/>
        <w:sz w:val="44"/>
        <w:szCs w:val="44"/>
        <w:lang w:val="es-ES"/>
      </w:rPr>
    </w:pPr>
  </w:p>
  <w:p w14:paraId="2411CC9B" w14:textId="57E59367" w:rsidR="00D13990" w:rsidRPr="000F3C7A" w:rsidRDefault="00B00BB2" w:rsidP="000F3C7A">
    <w:pPr>
      <w:pStyle w:val="Header"/>
      <w:spacing w:line="216" w:lineRule="auto"/>
      <w:rPr>
        <w:rFonts w:ascii="Arial" w:hAnsi="Arial" w:cs="Arial"/>
        <w:b/>
        <w:bCs/>
        <w:color w:val="404040"/>
        <w:sz w:val="44"/>
        <w:szCs w:val="44"/>
        <w:lang w:val="es-ES"/>
      </w:rPr>
    </w:pPr>
    <w:r>
      <w:rPr>
        <w:noProof/>
      </w:rPr>
      <mc:AlternateContent>
        <mc:Choice Requires="wps">
          <w:drawing>
            <wp:anchor distT="4294967294" distB="4294967294" distL="114300" distR="114300" simplePos="0" relativeHeight="251656704" behindDoc="0" locked="0" layoutInCell="1" allowOverlap="1" wp14:anchorId="1ABEAB13" wp14:editId="0603B93A">
              <wp:simplePos x="0" y="0"/>
              <wp:positionH relativeFrom="column">
                <wp:posOffset>-5715</wp:posOffset>
              </wp:positionH>
              <wp:positionV relativeFrom="paragraph">
                <wp:posOffset>167639</wp:posOffset>
              </wp:positionV>
              <wp:extent cx="61480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148070" cy="0"/>
                      </a:xfrm>
                      <a:prstGeom prst="line">
                        <a:avLst/>
                      </a:prstGeom>
                      <a:noFill/>
                      <a:ln w="15875" cap="flat" cmpd="sng" algn="ctr">
                        <a:solidFill>
                          <a:sysClr val="windowText" lastClr="000000">
                            <a:lumMod val="85000"/>
                            <a:lumOff val="1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EDEAF3" id="Straight Connector 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" strokecolor="#262626" strokeweight="1.25pt">
              <v:stroke joinstyle="miter"/>
            </v:line>
          </w:pict>
        </mc:Fallback>
      </mc:AlternateConten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5AA9"/>
    <w:multiLevelType w:val="hybridMultilevel"/>
    <w:tmpl w:val="3342B6BE"/>
    <w:lvl w:ilvl="0" w:tplc="4C00FE1C">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E60B5"/>
    <w:multiLevelType w:val="hybridMultilevel"/>
    <w:tmpl w:val="B52627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534E7A"/>
    <w:multiLevelType w:val="hybridMultilevel"/>
    <w:tmpl w:val="F2A8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662E5"/>
    <w:multiLevelType w:val="hybridMultilevel"/>
    <w:tmpl w:val="53AC71AA"/>
    <w:lvl w:ilvl="0" w:tplc="ACA83A3E">
      <w:start w:val="1"/>
      <w:numFmt w:val="decimal"/>
      <w:lvlText w:val="%1."/>
      <w:lvlJc w:val="left"/>
      <w:pPr>
        <w:ind w:left="0" w:firstLine="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BC0713"/>
    <w:multiLevelType w:val="hybridMultilevel"/>
    <w:tmpl w:val="908A6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CBD23DB"/>
    <w:multiLevelType w:val="hybridMultilevel"/>
    <w:tmpl w:val="5CAC8E70"/>
    <w:lvl w:ilvl="0" w:tplc="D30E3A72">
      <w:start w:val="1"/>
      <w:numFmt w:val="decimal"/>
      <w:lvlText w:val="%1."/>
      <w:lvlJc w:val="left"/>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4B7C6B"/>
    <w:multiLevelType w:val="hybridMultilevel"/>
    <w:tmpl w:val="C3A04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131078" w:nlCheck="1" w:checkStyle="0"/>
  <w:activeWritingStyle w:appName="MSWord" w:lang="es-US" w:vendorID="64" w:dllVersion="131078" w:nlCheck="1" w:checkStyle="0"/>
  <w:activeWritingStyle w:appName="MSWord" w:lang="es-ES" w:vendorID="64" w:dllVersion="131078" w:nlCheck="1" w:checkStyle="0"/>
  <w:activeWritingStyle w:appName="MSWord" w:lang="es-VE"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n-US" w:vendorID="64" w:dllVersion="131078" w:nlCheck="1" w:checkStyle="1"/>
  <w:activeWritingStyle w:appName="MSWord" w:lang="en-US" w:vendorID="64" w:dllVersion="0" w:nlCheck="1" w:checkStyle="0"/>
  <w:activeWritingStyle w:appName="MSWord" w:lang="es-ES" w:vendorID="64" w:dllVersion="0" w:nlCheck="1" w:checkStyle="0"/>
  <w:activeWritingStyle w:appName="MSWord" w:lang="es-US" w:vendorID="64" w:dllVersion="0" w:nlCheck="1" w:checkStyle="0"/>
  <w:activeWritingStyle w:appName="MSWord" w:lang="es-ES_tradnl"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12153"/>
    <w:rsid w:val="00016B8F"/>
    <w:rsid w:val="0001720F"/>
    <w:rsid w:val="0005228B"/>
    <w:rsid w:val="0006625E"/>
    <w:rsid w:val="00096CA7"/>
    <w:rsid w:val="000A03DB"/>
    <w:rsid w:val="000A1D48"/>
    <w:rsid w:val="000D680A"/>
    <w:rsid w:val="000F3C7A"/>
    <w:rsid w:val="0015208A"/>
    <w:rsid w:val="00153DB3"/>
    <w:rsid w:val="00197CC8"/>
    <w:rsid w:val="001C0A6D"/>
    <w:rsid w:val="001C271B"/>
    <w:rsid w:val="001C2CB6"/>
    <w:rsid w:val="001D50BE"/>
    <w:rsid w:val="001F495A"/>
    <w:rsid w:val="0021669C"/>
    <w:rsid w:val="00217A39"/>
    <w:rsid w:val="00223193"/>
    <w:rsid w:val="002239C3"/>
    <w:rsid w:val="0022501E"/>
    <w:rsid w:val="00226DF3"/>
    <w:rsid w:val="00227880"/>
    <w:rsid w:val="00250058"/>
    <w:rsid w:val="00255C56"/>
    <w:rsid w:val="002A1893"/>
    <w:rsid w:val="002A39B2"/>
    <w:rsid w:val="002B0B2A"/>
    <w:rsid w:val="002B1E1E"/>
    <w:rsid w:val="002B3F77"/>
    <w:rsid w:val="002C23F0"/>
    <w:rsid w:val="002D6FD8"/>
    <w:rsid w:val="002F42C2"/>
    <w:rsid w:val="002F44FE"/>
    <w:rsid w:val="003013C4"/>
    <w:rsid w:val="00301425"/>
    <w:rsid w:val="00393310"/>
    <w:rsid w:val="003A4802"/>
    <w:rsid w:val="003E3690"/>
    <w:rsid w:val="00400974"/>
    <w:rsid w:val="00423BA7"/>
    <w:rsid w:val="0045358E"/>
    <w:rsid w:val="0045423C"/>
    <w:rsid w:val="0047116C"/>
    <w:rsid w:val="0049258C"/>
    <w:rsid w:val="004A15BA"/>
    <w:rsid w:val="004A440C"/>
    <w:rsid w:val="004B567F"/>
    <w:rsid w:val="004D7999"/>
    <w:rsid w:val="004F1B0D"/>
    <w:rsid w:val="005445D2"/>
    <w:rsid w:val="00565741"/>
    <w:rsid w:val="005713AD"/>
    <w:rsid w:val="0057387C"/>
    <w:rsid w:val="00575701"/>
    <w:rsid w:val="00576E11"/>
    <w:rsid w:val="0058688A"/>
    <w:rsid w:val="00590BCD"/>
    <w:rsid w:val="005B23B6"/>
    <w:rsid w:val="005C5563"/>
    <w:rsid w:val="005D1EFF"/>
    <w:rsid w:val="005F4AAA"/>
    <w:rsid w:val="00604132"/>
    <w:rsid w:val="00604541"/>
    <w:rsid w:val="00604F1C"/>
    <w:rsid w:val="00610F29"/>
    <w:rsid w:val="006964C0"/>
    <w:rsid w:val="006C5CF4"/>
    <w:rsid w:val="006F0429"/>
    <w:rsid w:val="006F5E16"/>
    <w:rsid w:val="00713B10"/>
    <w:rsid w:val="0072175C"/>
    <w:rsid w:val="00726BCE"/>
    <w:rsid w:val="00770A91"/>
    <w:rsid w:val="00777342"/>
    <w:rsid w:val="0079696B"/>
    <w:rsid w:val="007C2CC3"/>
    <w:rsid w:val="007C351D"/>
    <w:rsid w:val="007D543E"/>
    <w:rsid w:val="007E4ED5"/>
    <w:rsid w:val="007F306B"/>
    <w:rsid w:val="007F5F4E"/>
    <w:rsid w:val="00807BAA"/>
    <w:rsid w:val="0081785A"/>
    <w:rsid w:val="00836E44"/>
    <w:rsid w:val="008550EF"/>
    <w:rsid w:val="00872762"/>
    <w:rsid w:val="00884B00"/>
    <w:rsid w:val="008A55FB"/>
    <w:rsid w:val="008F0421"/>
    <w:rsid w:val="008F21BF"/>
    <w:rsid w:val="009331A5"/>
    <w:rsid w:val="009641AD"/>
    <w:rsid w:val="00964455"/>
    <w:rsid w:val="00965991"/>
    <w:rsid w:val="009775C6"/>
    <w:rsid w:val="009C4D87"/>
    <w:rsid w:val="009D5BC1"/>
    <w:rsid w:val="00A075F1"/>
    <w:rsid w:val="00A25CA7"/>
    <w:rsid w:val="00A32010"/>
    <w:rsid w:val="00A343FF"/>
    <w:rsid w:val="00A41353"/>
    <w:rsid w:val="00A6096D"/>
    <w:rsid w:val="00A72869"/>
    <w:rsid w:val="00A935D5"/>
    <w:rsid w:val="00AA46C3"/>
    <w:rsid w:val="00AD2DB9"/>
    <w:rsid w:val="00AE1B0F"/>
    <w:rsid w:val="00AF0867"/>
    <w:rsid w:val="00AF5DDC"/>
    <w:rsid w:val="00B00BB2"/>
    <w:rsid w:val="00B056D9"/>
    <w:rsid w:val="00B2161A"/>
    <w:rsid w:val="00B453D2"/>
    <w:rsid w:val="00B51C9E"/>
    <w:rsid w:val="00B60353"/>
    <w:rsid w:val="00B806AC"/>
    <w:rsid w:val="00B93993"/>
    <w:rsid w:val="00BC6CAB"/>
    <w:rsid w:val="00C04C07"/>
    <w:rsid w:val="00C16D03"/>
    <w:rsid w:val="00C21971"/>
    <w:rsid w:val="00C715BA"/>
    <w:rsid w:val="00CA0830"/>
    <w:rsid w:val="00CA2777"/>
    <w:rsid w:val="00CB1752"/>
    <w:rsid w:val="00CC4274"/>
    <w:rsid w:val="00D05BCC"/>
    <w:rsid w:val="00D137E3"/>
    <w:rsid w:val="00D13990"/>
    <w:rsid w:val="00D222B7"/>
    <w:rsid w:val="00D5166A"/>
    <w:rsid w:val="00D82E91"/>
    <w:rsid w:val="00DF0FE5"/>
    <w:rsid w:val="00E04605"/>
    <w:rsid w:val="00E067E7"/>
    <w:rsid w:val="00E145FA"/>
    <w:rsid w:val="00E24DFC"/>
    <w:rsid w:val="00E3040C"/>
    <w:rsid w:val="00EB4526"/>
    <w:rsid w:val="00ED4C58"/>
    <w:rsid w:val="00EF1BD7"/>
    <w:rsid w:val="00F06B1D"/>
    <w:rsid w:val="00F06E69"/>
    <w:rsid w:val="00F07E0F"/>
    <w:rsid w:val="00F44E43"/>
    <w:rsid w:val="00F52F31"/>
    <w:rsid w:val="00F52F88"/>
    <w:rsid w:val="00F54F60"/>
    <w:rsid w:val="00F66FEE"/>
    <w:rsid w:val="00FA6697"/>
    <w:rsid w:val="00FC2BC1"/>
    <w:rsid w:val="00FC3DAB"/>
    <w:rsid w:val="00FC6379"/>
    <w:rsid w:val="00FC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43F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
    <w:basedOn w:val="Normal"/>
    <w:link w:val="ListParagraphChar"/>
    <w:uiPriority w:val="34"/>
    <w:qFormat/>
    <w:rsid w:val="00AD2DB9"/>
    <w:pPr>
      <w:ind w:left="720"/>
      <w:contextualSpacing/>
    </w:pPr>
  </w:style>
  <w:style w:type="character" w:styleId="Hyperlink">
    <w:name w:val="Hyperlink"/>
    <w:uiPriority w:val="99"/>
    <w:unhideWhenUsed/>
    <w:rsid w:val="00AD2DB9"/>
    <w:rPr>
      <w:color w:val="0000FF"/>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AD2DB9"/>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AD2DB9"/>
    <w:rPr>
      <w:rFonts w:ascii="Times New Roman" w:hAnsi="Times New Roman"/>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AD2DB9"/>
    <w:rPr>
      <w:vertAlign w:val="superscript"/>
    </w:rPr>
  </w:style>
  <w:style w:type="paragraph" w:customStyle="1" w:styleId="Appelnotedebasde">
    <w:name w:val="Appel note de bas de..."/>
    <w:basedOn w:val="Normal"/>
    <w:link w:val="FootnoteReference"/>
    <w:uiPriority w:val="99"/>
    <w:rsid w:val="00AD2DB9"/>
    <w:pPr>
      <w:spacing w:after="160" w:line="240" w:lineRule="exact"/>
    </w:pPr>
    <w:rPr>
      <w:sz w:val="20"/>
      <w:szCs w:val="20"/>
      <w:vertAlign w:val="superscript"/>
    </w:rPr>
  </w:style>
  <w:style w:type="character" w:styleId="CommentReference">
    <w:name w:val="annotation reference"/>
    <w:uiPriority w:val="99"/>
    <w:semiHidden/>
    <w:unhideWhenUsed/>
    <w:rsid w:val="00576E11"/>
    <w:rPr>
      <w:sz w:val="16"/>
      <w:szCs w:val="16"/>
    </w:rPr>
  </w:style>
  <w:style w:type="character" w:customStyle="1" w:styleId="ListParagraphChar">
    <w:name w:val="List Paragraph Char"/>
    <w:aliases w:val="Párrafo de lista1 Char,List Paragraph1 Char,Colorful List - Accent 11 Char,List Paragraph11 Char,Colorful List - Accent 1 Char"/>
    <w:link w:val="ListParagraph"/>
    <w:uiPriority w:val="34"/>
    <w:qFormat/>
    <w:locked/>
    <w:rsid w:val="00CB175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33107">
      <w:bodyDiv w:val="1"/>
      <w:marLeft w:val="0"/>
      <w:marRight w:val="0"/>
      <w:marTop w:val="0"/>
      <w:marBottom w:val="0"/>
      <w:divBdr>
        <w:top w:val="none" w:sz="0" w:space="0" w:color="auto"/>
        <w:left w:val="none" w:sz="0" w:space="0" w:color="auto"/>
        <w:bottom w:val="none" w:sz="0" w:space="0" w:color="auto"/>
        <w:right w:val="none" w:sz="0" w:space="0" w:color="auto"/>
      </w:divBdr>
    </w:div>
    <w:div w:id="174882201">
      <w:bodyDiv w:val="1"/>
      <w:marLeft w:val="0"/>
      <w:marRight w:val="0"/>
      <w:marTop w:val="0"/>
      <w:marBottom w:val="0"/>
      <w:divBdr>
        <w:top w:val="none" w:sz="0" w:space="0" w:color="auto"/>
        <w:left w:val="none" w:sz="0" w:space="0" w:color="auto"/>
        <w:bottom w:val="none" w:sz="0" w:space="0" w:color="auto"/>
        <w:right w:val="none" w:sz="0" w:space="0" w:color="auto"/>
      </w:divBdr>
    </w:div>
    <w:div w:id="187568098">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274822924">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1796868113">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idh.oas.org/annualrep/2007sp/Guatemala11658sp.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idh.oas.org/annualrep/2007sp/Guatemala11658sp.htmhttp:/www.cidh.oas.org/annualrep/2007sp/Guatemala11658sp.htm" TargetMode="External"/><Relationship Id="rId7" Type="http://schemas.openxmlformats.org/officeDocument/2006/relationships/hyperlink" Target="http://www.corteidh.or.cr/docs/casos/articulos/seriec_171_esp.pdf" TargetMode="External"/><Relationship Id="rId2" Type="http://schemas.openxmlformats.org/officeDocument/2006/relationships/hyperlink" Target="http://www.cidh.oas.org/annualrep/2007sp/Guatemala11658sp.htmhttp:/www.cidh.oas.org/annualrep/2007sp/Guatemala11658sp.htm" TargetMode="External"/><Relationship Id="rId1" Type="http://schemas.openxmlformats.org/officeDocument/2006/relationships/hyperlink" Target="http://www.cidh.oas.org/annualrep/2007sp/Guatemala11658sp.htmhttp:/www.cidh.oas.org/annualrep/2007sp/Guatemala11658sp.htm" TargetMode="External"/><Relationship Id="rId6" Type="http://schemas.openxmlformats.org/officeDocument/2006/relationships/hyperlink" Target="http://www.oas.org/es/cidh/docs/anual/2017/docs/IA2017cap.2-es.pdf" TargetMode="External"/><Relationship Id="rId5" Type="http://schemas.openxmlformats.org/officeDocument/2006/relationships/hyperlink" Target="http://www.cidh.oas.org/annualrep/2007sp/Guatemala11658sp.htmhttp:/www.cidh.oas.org/annualrep/2007sp/Guatemala11658sp.htm" TargetMode="External"/><Relationship Id="rId4" Type="http://schemas.openxmlformats.org/officeDocument/2006/relationships/hyperlink" Target="http://www.cidh.oas.org/annualrep/2007sp/Guatemala11658sp.htmhttp:/www.cidh.oas.org/annualrep/2007sp/Guatemala11658sp.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02112669-2910-4CA8-853E-B00EE1983EE3}">
  <ds:schemaRefs>
    <ds:schemaRef ds:uri="http://schemas.openxmlformats.org/officeDocument/2006/bibliography"/>
  </ds:schemaRefs>
</ds:datastoreItem>
</file>

<file path=customXml/itemProps2.xml><?xml version="1.0" encoding="utf-8"?>
<ds:datastoreItem xmlns:ds="http://schemas.openxmlformats.org/officeDocument/2006/customXml" ds:itemID="{A3248AC0-E474-4D11-829A-AF4632C78E8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3020</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20194</CharactersWithSpaces>
  <SharedDoc>false</SharedDoc>
  <HLinks>
    <vt:vector size="48" baseType="variant">
      <vt:variant>
        <vt:i4>1310800</vt:i4>
      </vt:variant>
      <vt:variant>
        <vt:i4>0</vt:i4>
      </vt:variant>
      <vt:variant>
        <vt:i4>0</vt:i4>
      </vt:variant>
      <vt:variant>
        <vt:i4>5</vt:i4>
      </vt:variant>
      <vt:variant>
        <vt:lpwstr>http://www.cidh.oas.org/annualrep/2007sp/Guatemala11658sp.htm</vt:lpwstr>
      </vt:variant>
      <vt:variant>
        <vt:lpwstr/>
      </vt:variant>
      <vt:variant>
        <vt:i4>5701716</vt:i4>
      </vt:variant>
      <vt:variant>
        <vt:i4>18</vt:i4>
      </vt:variant>
      <vt:variant>
        <vt:i4>0</vt:i4>
      </vt:variant>
      <vt:variant>
        <vt:i4>5</vt:i4>
      </vt:variant>
      <vt:variant>
        <vt:lpwstr>http://www.corteidh.or.cr/docs/casos/articulos/seriec_171_esp.pdf</vt:lpwstr>
      </vt:variant>
      <vt:variant>
        <vt:lpwstr/>
      </vt:variant>
      <vt:variant>
        <vt:i4>3276841</vt:i4>
      </vt:variant>
      <vt:variant>
        <vt:i4>15</vt:i4>
      </vt:variant>
      <vt:variant>
        <vt:i4>0</vt:i4>
      </vt:variant>
      <vt:variant>
        <vt:i4>5</vt:i4>
      </vt:variant>
      <vt:variant>
        <vt:lpwstr>http://www.oas.org/es/cidh/docs/anual/2017/docs/IA2017cap.2-es.pdf</vt:lpwstr>
      </vt:variant>
      <vt:variant>
        <vt:lpwstr/>
      </vt:variant>
      <vt:variant>
        <vt:i4>852047</vt:i4>
      </vt:variant>
      <vt:variant>
        <vt:i4>12</vt:i4>
      </vt:variant>
      <vt:variant>
        <vt:i4>0</vt:i4>
      </vt:variant>
      <vt:variant>
        <vt:i4>5</vt:i4>
      </vt:variant>
      <vt:variant>
        <vt:lpwstr>http://www.cidh.oas.org/annualrep/2007sp/Guatemala11658sp.htmhttp:/www.cidh.oas.org/annualrep/2007sp/Guatemala11658sp.htm</vt:lpwstr>
      </vt:variant>
      <vt:variant>
        <vt:lpwstr/>
      </vt:variant>
      <vt:variant>
        <vt:i4>852047</vt:i4>
      </vt:variant>
      <vt:variant>
        <vt:i4>9</vt:i4>
      </vt:variant>
      <vt:variant>
        <vt:i4>0</vt:i4>
      </vt:variant>
      <vt:variant>
        <vt:i4>5</vt:i4>
      </vt:variant>
      <vt:variant>
        <vt:lpwstr>http://www.cidh.oas.org/annualrep/2007sp/Guatemala11658sp.htmhttp:/www.cidh.oas.org/annualrep/2007sp/Guatemala11658sp.htm</vt:lpwstr>
      </vt:variant>
      <vt:variant>
        <vt:lpwstr/>
      </vt:variant>
      <vt:variant>
        <vt:i4>852047</vt:i4>
      </vt:variant>
      <vt:variant>
        <vt:i4>6</vt:i4>
      </vt:variant>
      <vt:variant>
        <vt:i4>0</vt:i4>
      </vt:variant>
      <vt:variant>
        <vt:i4>5</vt:i4>
      </vt:variant>
      <vt:variant>
        <vt:lpwstr>http://www.cidh.oas.org/annualrep/2007sp/Guatemala11658sp.htmhttp:/www.cidh.oas.org/annualrep/2007sp/Guatemala11658sp.htm</vt:lpwstr>
      </vt:variant>
      <vt:variant>
        <vt:lpwstr/>
      </vt:variant>
      <vt:variant>
        <vt:i4>852047</vt:i4>
      </vt:variant>
      <vt:variant>
        <vt:i4>3</vt:i4>
      </vt:variant>
      <vt:variant>
        <vt:i4>0</vt:i4>
      </vt:variant>
      <vt:variant>
        <vt:i4>5</vt:i4>
      </vt:variant>
      <vt:variant>
        <vt:lpwstr>http://www.cidh.oas.org/annualrep/2007sp/Guatemala11658sp.htmhttp:/www.cidh.oas.org/annualrep/2007sp/Guatemala11658sp.htm</vt:lpwstr>
      </vt:variant>
      <vt:variant>
        <vt:lpwstr/>
      </vt:variant>
      <vt:variant>
        <vt:i4>852047</vt:i4>
      </vt:variant>
      <vt:variant>
        <vt:i4>0</vt:i4>
      </vt:variant>
      <vt:variant>
        <vt:i4>0</vt:i4>
      </vt:variant>
      <vt:variant>
        <vt:i4>5</vt:i4>
      </vt:variant>
      <vt:variant>
        <vt:lpwstr>http://www.cidh.oas.org/annualrep/2007sp/Guatemala11658sp.htmhttp:/www.cidh.oas.org/annualrep/2007sp/Guatemala11658sp.htm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2022-03-22T15:06:00Z</dcterms:created>
  <dcterms:modified xsi:type="dcterms:W3CDTF">2022-03-22T15:06:00Z</dcterms:modified>
</cp:coreProperties>
</file>