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C30C" w14:textId="77777777" w:rsidR="00554ED1" w:rsidRDefault="00554ED1" w:rsidP="0052799E">
      <w:pPr>
        <w:pStyle w:val="Header"/>
        <w:jc w:val="center"/>
        <w:rPr>
          <w:rFonts w:ascii="Cambria" w:hAnsi="Cambria"/>
          <w:b/>
          <w:bCs/>
          <w:sz w:val="20"/>
          <w:szCs w:val="20"/>
          <w:lang w:val="es-ES"/>
        </w:rPr>
      </w:pPr>
    </w:p>
    <w:p w14:paraId="6A0EBE79" w14:textId="24539527" w:rsidR="0052799E" w:rsidRPr="00391BB0" w:rsidRDefault="0052799E" w:rsidP="0052799E">
      <w:pPr>
        <w:pStyle w:val="Header"/>
        <w:jc w:val="center"/>
        <w:rPr>
          <w:rFonts w:ascii="Cambria" w:hAnsi="Cambria"/>
          <w:snapToGrid w:val="0"/>
          <w:sz w:val="20"/>
          <w:szCs w:val="20"/>
          <w:lang w:val="es-ES"/>
        </w:rPr>
      </w:pPr>
      <w:r w:rsidRPr="2E110AC2">
        <w:rPr>
          <w:rFonts w:ascii="Cambria" w:hAnsi="Cambria"/>
          <w:b/>
          <w:bCs/>
          <w:sz w:val="20"/>
          <w:szCs w:val="20"/>
          <w:lang w:val="es-ES"/>
        </w:rPr>
        <w:t>FICHA DE SEGUIMIENTO DEL INFORME Nº 11/15</w:t>
      </w:r>
    </w:p>
    <w:p w14:paraId="52AE17AD" w14:textId="77777777" w:rsidR="0052799E" w:rsidRPr="00391BB0" w:rsidRDefault="0052799E" w:rsidP="2E110AC2">
      <w:pPr>
        <w:jc w:val="center"/>
        <w:rPr>
          <w:rFonts w:ascii="Cambria" w:hAnsi="Cambria"/>
          <w:b/>
          <w:bCs/>
          <w:sz w:val="20"/>
          <w:szCs w:val="20"/>
          <w:lang w:val="es-ES"/>
        </w:rPr>
      </w:pPr>
      <w:r w:rsidRPr="2E110AC2">
        <w:rPr>
          <w:rFonts w:ascii="Cambria" w:hAnsi="Cambria"/>
          <w:b/>
          <w:bCs/>
          <w:sz w:val="20"/>
          <w:szCs w:val="20"/>
          <w:lang w:val="es-ES"/>
        </w:rPr>
        <w:t>CASO 12.833</w:t>
      </w:r>
    </w:p>
    <w:p w14:paraId="7BCF1B04" w14:textId="77777777" w:rsidR="0052799E" w:rsidRPr="00391BB0" w:rsidRDefault="0052799E" w:rsidP="2E110AC2">
      <w:pPr>
        <w:jc w:val="center"/>
        <w:rPr>
          <w:rFonts w:ascii="Cambria" w:hAnsi="Cambria"/>
          <w:b/>
          <w:bCs/>
          <w:sz w:val="20"/>
          <w:szCs w:val="20"/>
          <w:lang w:val="es-ES"/>
        </w:rPr>
      </w:pPr>
      <w:r w:rsidRPr="2E110AC2">
        <w:rPr>
          <w:rFonts w:ascii="Cambria" w:hAnsi="Cambria"/>
          <w:b/>
          <w:bCs/>
          <w:sz w:val="20"/>
          <w:szCs w:val="20"/>
          <w:lang w:val="es-ES"/>
        </w:rPr>
        <w:t>FÉLIX ROCHA DÍAZ</w:t>
      </w:r>
    </w:p>
    <w:p w14:paraId="534C5A1E" w14:textId="77777777" w:rsidR="0052799E" w:rsidRPr="00391BB0" w:rsidRDefault="0052799E" w:rsidP="2E110AC2">
      <w:pPr>
        <w:jc w:val="center"/>
        <w:rPr>
          <w:rFonts w:ascii="Cambria" w:hAnsi="Cambria"/>
          <w:b/>
          <w:bCs/>
          <w:sz w:val="20"/>
          <w:szCs w:val="20"/>
          <w:lang w:val="es-ES"/>
        </w:rPr>
      </w:pPr>
      <w:r w:rsidRPr="2E110AC2">
        <w:rPr>
          <w:rFonts w:ascii="Cambria" w:hAnsi="Cambria"/>
          <w:b/>
          <w:bCs/>
          <w:sz w:val="20"/>
          <w:szCs w:val="20"/>
          <w:lang w:val="es-ES"/>
        </w:rPr>
        <w:t>(Estados Unidos)</w:t>
      </w:r>
    </w:p>
    <w:p w14:paraId="332A1FDE" w14:textId="77777777" w:rsidR="0052799E" w:rsidRPr="00391BB0" w:rsidRDefault="0052799E" w:rsidP="0052799E">
      <w:pPr>
        <w:jc w:val="both"/>
        <w:rPr>
          <w:rFonts w:ascii="Cambria" w:hAnsi="Cambria"/>
          <w:sz w:val="20"/>
          <w:szCs w:val="20"/>
          <w:lang w:val="es-ES"/>
        </w:rPr>
      </w:pPr>
    </w:p>
    <w:p w14:paraId="721561DC" w14:textId="77777777" w:rsidR="0052799E" w:rsidRPr="00391BB0" w:rsidRDefault="0052799E" w:rsidP="2E110AC2">
      <w:pPr>
        <w:numPr>
          <w:ilvl w:val="0"/>
          <w:numId w:val="8"/>
        </w:numPr>
        <w:ind w:left="1440"/>
        <w:rPr>
          <w:rFonts w:ascii="Cambria" w:hAnsi="Cambria" w:cs="Calibri Light"/>
          <w:b/>
          <w:bCs/>
          <w:sz w:val="20"/>
          <w:szCs w:val="20"/>
          <w:lang w:val="es-ES"/>
        </w:rPr>
      </w:pPr>
      <w:r w:rsidRPr="2E110AC2">
        <w:rPr>
          <w:rFonts w:ascii="Cambria" w:hAnsi="Cambria" w:cs="Calibri Light"/>
          <w:b/>
          <w:bCs/>
          <w:sz w:val="20"/>
          <w:szCs w:val="20"/>
          <w:lang w:val="es-ES"/>
        </w:rPr>
        <w:t xml:space="preserve">Resumen del caso </w:t>
      </w:r>
    </w:p>
    <w:p w14:paraId="39582970" w14:textId="77777777" w:rsidR="0052799E" w:rsidRPr="00391BB0" w:rsidRDefault="0052799E" w:rsidP="0052799E">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2799E" w:rsidRPr="00554ED1" w14:paraId="47D0047B" w14:textId="77777777" w:rsidTr="2E110AC2">
        <w:trPr>
          <w:jc w:val="center"/>
        </w:trPr>
        <w:tc>
          <w:tcPr>
            <w:tcW w:w="9576" w:type="dxa"/>
            <w:shd w:val="clear" w:color="auto" w:fill="F2F2F2" w:themeFill="background1" w:themeFillShade="F2"/>
          </w:tcPr>
          <w:p w14:paraId="063A728D" w14:textId="77777777" w:rsidR="0052799E" w:rsidRPr="00391BB0" w:rsidRDefault="0052799E" w:rsidP="2E110AC2">
            <w:pPr>
              <w:spacing w:before="120"/>
              <w:jc w:val="both"/>
              <w:rPr>
                <w:rFonts w:ascii="Cambria" w:hAnsi="Cambria"/>
                <w:b/>
                <w:bCs/>
                <w:sz w:val="20"/>
                <w:szCs w:val="20"/>
                <w:lang w:val="es-ES"/>
              </w:rPr>
            </w:pPr>
            <w:r w:rsidRPr="2E110AC2">
              <w:rPr>
                <w:rFonts w:ascii="Cambria" w:hAnsi="Cambria"/>
                <w:b/>
                <w:bCs/>
                <w:sz w:val="20"/>
                <w:szCs w:val="20"/>
                <w:lang w:val="es-ES"/>
              </w:rPr>
              <w:t xml:space="preserve">Víctima (s): </w:t>
            </w:r>
            <w:r w:rsidRPr="2E110AC2">
              <w:rPr>
                <w:rFonts w:ascii="Cambria" w:hAnsi="Cambria"/>
                <w:sz w:val="20"/>
                <w:szCs w:val="20"/>
                <w:lang w:val="es-ES"/>
              </w:rPr>
              <w:t>Félix Rocha Díaz</w:t>
            </w:r>
          </w:p>
          <w:p w14:paraId="0B493BEE" w14:textId="77777777" w:rsidR="0052799E" w:rsidRPr="00391BB0" w:rsidRDefault="0052799E" w:rsidP="2E110AC2">
            <w:pPr>
              <w:jc w:val="both"/>
              <w:rPr>
                <w:rFonts w:ascii="Cambria" w:hAnsi="Cambria"/>
                <w:b/>
                <w:bCs/>
                <w:sz w:val="20"/>
                <w:szCs w:val="20"/>
                <w:lang w:val="es-ES"/>
              </w:rPr>
            </w:pPr>
            <w:r w:rsidRPr="2E110AC2">
              <w:rPr>
                <w:rFonts w:ascii="Cambria" w:hAnsi="Cambria"/>
                <w:b/>
                <w:bCs/>
                <w:sz w:val="20"/>
                <w:szCs w:val="20"/>
                <w:lang w:val="es-ES"/>
              </w:rPr>
              <w:t>Peticionario (s):</w:t>
            </w:r>
            <w:r w:rsidRPr="2E110AC2">
              <w:rPr>
                <w:rFonts w:ascii="Cambria" w:hAnsi="Cambria"/>
                <w:sz w:val="20"/>
                <w:szCs w:val="20"/>
                <w:lang w:val="es-ES"/>
              </w:rPr>
              <w:t xml:space="preserve"> Sandra L. Babcock</w:t>
            </w:r>
          </w:p>
          <w:p w14:paraId="138CCF7D" w14:textId="77777777" w:rsidR="0052799E" w:rsidRPr="00391BB0" w:rsidRDefault="0052799E" w:rsidP="00D33854">
            <w:pPr>
              <w:jc w:val="both"/>
              <w:rPr>
                <w:rFonts w:ascii="Cambria" w:hAnsi="Cambria"/>
                <w:sz w:val="20"/>
                <w:szCs w:val="20"/>
                <w:lang w:val="es-ES"/>
              </w:rPr>
            </w:pPr>
            <w:r w:rsidRPr="2E110AC2">
              <w:rPr>
                <w:rFonts w:ascii="Cambria" w:hAnsi="Cambria"/>
                <w:b/>
                <w:bCs/>
                <w:sz w:val="20"/>
                <w:szCs w:val="20"/>
                <w:lang w:val="es-ES"/>
              </w:rPr>
              <w:t xml:space="preserve">Estado: </w:t>
            </w:r>
            <w:r w:rsidRPr="2E110AC2">
              <w:rPr>
                <w:rFonts w:ascii="Cambria" w:hAnsi="Cambria"/>
                <w:sz w:val="20"/>
                <w:szCs w:val="20"/>
                <w:lang w:val="es-ES"/>
              </w:rPr>
              <w:t>Estados Unidos</w:t>
            </w:r>
          </w:p>
          <w:p w14:paraId="1C00A077" w14:textId="77777777" w:rsidR="0052799E" w:rsidRPr="00391BB0" w:rsidRDefault="0052799E" w:rsidP="00D33854">
            <w:pPr>
              <w:jc w:val="both"/>
              <w:rPr>
                <w:rFonts w:ascii="Cambria" w:hAnsi="Cambria"/>
                <w:sz w:val="20"/>
                <w:szCs w:val="20"/>
                <w:lang w:val="es-ES"/>
              </w:rPr>
            </w:pPr>
            <w:r w:rsidRPr="2E110AC2">
              <w:rPr>
                <w:rFonts w:ascii="Cambria" w:hAnsi="Cambria"/>
                <w:b/>
                <w:bCs/>
                <w:sz w:val="20"/>
                <w:szCs w:val="20"/>
                <w:lang w:val="es-ES"/>
              </w:rPr>
              <w:t xml:space="preserve">Informe de Fondo </w:t>
            </w:r>
            <w:proofErr w:type="spellStart"/>
            <w:r w:rsidRPr="2E110AC2">
              <w:rPr>
                <w:rFonts w:ascii="Cambria" w:hAnsi="Cambria"/>
                <w:b/>
                <w:bCs/>
                <w:sz w:val="20"/>
                <w:szCs w:val="20"/>
                <w:lang w:val="es-ES"/>
              </w:rPr>
              <w:t>Nº</w:t>
            </w:r>
            <w:proofErr w:type="spellEnd"/>
            <w:r w:rsidRPr="2E110AC2">
              <w:rPr>
                <w:rFonts w:ascii="Cambria" w:hAnsi="Cambria"/>
                <w:b/>
                <w:bCs/>
                <w:sz w:val="20"/>
                <w:szCs w:val="20"/>
                <w:lang w:val="es-ES"/>
              </w:rPr>
              <w:t xml:space="preserve">: </w:t>
            </w:r>
            <w:hyperlink r:id="rId8">
              <w:r w:rsidRPr="2E110AC2">
                <w:rPr>
                  <w:rStyle w:val="Hyperlink"/>
                  <w:rFonts w:ascii="Cambria" w:hAnsi="Cambria"/>
                  <w:sz w:val="20"/>
                  <w:szCs w:val="20"/>
                  <w:lang w:val="es-ES"/>
                </w:rPr>
                <w:t>11/15</w:t>
              </w:r>
            </w:hyperlink>
            <w:r w:rsidRPr="2E110AC2">
              <w:rPr>
                <w:rFonts w:ascii="Cambria" w:hAnsi="Cambria"/>
                <w:sz w:val="20"/>
                <w:szCs w:val="20"/>
                <w:lang w:val="es-ES"/>
              </w:rPr>
              <w:t>, publicado el 23 de marzo de 2015</w:t>
            </w:r>
          </w:p>
          <w:p w14:paraId="5F18B598" w14:textId="77777777" w:rsidR="0052799E" w:rsidRPr="00391BB0" w:rsidRDefault="0052799E" w:rsidP="00D33854">
            <w:pPr>
              <w:jc w:val="both"/>
              <w:rPr>
                <w:rFonts w:ascii="Cambria" w:hAnsi="Cambria"/>
                <w:sz w:val="20"/>
                <w:szCs w:val="20"/>
                <w:lang w:val="es-ES"/>
              </w:rPr>
            </w:pPr>
            <w:r w:rsidRPr="2E110AC2">
              <w:rPr>
                <w:rFonts w:ascii="Cambria" w:hAnsi="Cambria"/>
                <w:b/>
                <w:bCs/>
                <w:sz w:val="20"/>
                <w:szCs w:val="20"/>
                <w:lang w:val="es-ES"/>
              </w:rPr>
              <w:t xml:space="preserve">Informe de Admisibilidad Nº: </w:t>
            </w:r>
            <w:hyperlink r:id="rId9" w:history="1">
              <w:r w:rsidRPr="2E110AC2">
                <w:rPr>
                  <w:rStyle w:val="Hyperlink"/>
                  <w:rFonts w:ascii="Cambria" w:hAnsi="Cambria"/>
                  <w:sz w:val="20"/>
                  <w:szCs w:val="20"/>
                  <w:lang w:val="es-ES"/>
                </w:rPr>
                <w:t>133/11</w:t>
              </w:r>
            </w:hyperlink>
            <w:r w:rsidRPr="2E110AC2">
              <w:rPr>
                <w:rFonts w:ascii="Cambria" w:hAnsi="Cambria"/>
                <w:sz w:val="20"/>
                <w:szCs w:val="20"/>
                <w:lang w:val="es-ES"/>
              </w:rPr>
              <w:t>, publicado el 19 de octubre de 2011</w:t>
            </w:r>
          </w:p>
          <w:p w14:paraId="51FB632E" w14:textId="77777777" w:rsidR="0052799E" w:rsidRPr="00391BB0" w:rsidRDefault="0052799E" w:rsidP="00D33854">
            <w:pPr>
              <w:jc w:val="both"/>
              <w:rPr>
                <w:rFonts w:ascii="Cambria" w:hAnsi="Cambria"/>
                <w:sz w:val="20"/>
                <w:szCs w:val="20"/>
                <w:lang w:val="es-ES"/>
              </w:rPr>
            </w:pPr>
            <w:r w:rsidRPr="2E110AC2">
              <w:rPr>
                <w:rFonts w:ascii="Cambria" w:hAnsi="Cambria"/>
                <w:b/>
                <w:bCs/>
                <w:sz w:val="20"/>
                <w:szCs w:val="20"/>
                <w:lang w:val="es-ES"/>
              </w:rPr>
              <w:t>Medidas cautelares:</w:t>
            </w:r>
            <w:r w:rsidRPr="2E110AC2">
              <w:rPr>
                <w:rFonts w:ascii="Cambria" w:hAnsi="Cambria"/>
                <w:sz w:val="20"/>
                <w:szCs w:val="20"/>
                <w:lang w:val="es-ES"/>
              </w:rPr>
              <w:t xml:space="preserve"> </w:t>
            </w:r>
            <w:hyperlink r:id="rId10" w:anchor="tab2011" w:history="1">
              <w:r w:rsidRPr="2E110AC2">
                <w:rPr>
                  <w:rStyle w:val="Hyperlink"/>
                  <w:rFonts w:ascii="Cambria" w:hAnsi="Cambria"/>
                  <w:sz w:val="20"/>
                  <w:szCs w:val="20"/>
                  <w:lang w:val="es-ES"/>
                </w:rPr>
                <w:t>62/11</w:t>
              </w:r>
            </w:hyperlink>
            <w:r w:rsidRPr="2E110AC2">
              <w:rPr>
                <w:rFonts w:ascii="Cambria" w:hAnsi="Cambria"/>
                <w:sz w:val="20"/>
                <w:szCs w:val="20"/>
                <w:lang w:val="es-ES"/>
              </w:rPr>
              <w:t xml:space="preserve">, otorgadas el 10 de marzo de 2011  </w:t>
            </w:r>
          </w:p>
          <w:p w14:paraId="3418C92F" w14:textId="77777777" w:rsidR="0052799E" w:rsidRPr="00391BB0" w:rsidRDefault="0052799E" w:rsidP="2E110AC2">
            <w:pPr>
              <w:spacing w:after="120"/>
              <w:jc w:val="both"/>
              <w:rPr>
                <w:rFonts w:ascii="Cambria" w:hAnsi="Cambria"/>
                <w:b/>
                <w:bCs/>
                <w:sz w:val="20"/>
                <w:szCs w:val="20"/>
                <w:lang w:val="es-ES"/>
              </w:rPr>
            </w:pPr>
            <w:r w:rsidRPr="2E110AC2">
              <w:rPr>
                <w:rFonts w:ascii="Cambria" w:hAnsi="Cambria"/>
                <w:b/>
                <w:bCs/>
                <w:sz w:val="20"/>
                <w:szCs w:val="20"/>
                <w:lang w:val="es-ES"/>
              </w:rPr>
              <w:t xml:space="preserve">Temas: </w:t>
            </w:r>
            <w:r w:rsidRPr="2E110AC2">
              <w:rPr>
                <w:rFonts w:ascii="Cambria" w:hAnsi="Cambria"/>
                <w:sz w:val="20"/>
                <w:szCs w:val="20"/>
                <w:lang w:val="es-ES"/>
              </w:rPr>
              <w:t>Pena de Muerte / Derecho a la Vida / Derecho a la Libertad Personal / Garantías Judiciales / Protección Judicial / Deber de Adoptar Medidas y Disposiciones de Derecho Interno / Notificación Consular o Información de Asistencia Consular / Condiciones de Detención / Derecho a la Integridad Personal / Tortura y otros Tratos Crueles, Inhumanos y/o Degradantes.</w:t>
            </w:r>
          </w:p>
          <w:p w14:paraId="35EAD203" w14:textId="77777777" w:rsidR="0052799E" w:rsidRPr="00391BB0" w:rsidRDefault="0052799E" w:rsidP="00D33854">
            <w:pPr>
              <w:pStyle w:val="Default"/>
              <w:spacing w:after="120"/>
              <w:jc w:val="both"/>
              <w:rPr>
                <w:color w:val="auto"/>
                <w:sz w:val="20"/>
                <w:szCs w:val="20"/>
                <w:lang w:val="es-ES"/>
              </w:rPr>
            </w:pPr>
            <w:r w:rsidRPr="2E110AC2">
              <w:rPr>
                <w:b/>
                <w:bCs/>
                <w:color w:val="auto"/>
                <w:sz w:val="20"/>
                <w:szCs w:val="20"/>
                <w:lang w:val="es-ES"/>
              </w:rPr>
              <w:t xml:space="preserve">Hechos: </w:t>
            </w:r>
            <w:r w:rsidRPr="2E110AC2">
              <w:rPr>
                <w:color w:val="auto"/>
                <w:sz w:val="20"/>
                <w:szCs w:val="20"/>
                <w:lang w:val="es-ES"/>
              </w:rPr>
              <w:t xml:space="preserve">Este caso se refiere a violaciones al debido proceso legal de las que fue víctima Félix Rocha Díaz, ciudadano mexicano que ha sido privado de libertad y permanece en el corredor de la muerte en el estado de Texas desde 1998. Dichas violaciones consisten en que no se informó al señor Fierro sobre su derecho a la notificación y al acceso consular, lo cual constituye una violación del artículo 36 de la Convención de Viena sobre Relaciones Consulares; en que el abogado designado de oficio fue ineficaz; en que la inyección letal que se usa actualmente en Texas plantea un riesgo inaceptable de ocasionar un dolor y sufrimiento atroz, y en que el señor Rocha ha estado detenido en el corredor de la muerte de Texas desde 1998 en condiciones inhumanas. </w:t>
            </w:r>
          </w:p>
          <w:p w14:paraId="0C8790F0" w14:textId="77777777" w:rsidR="0052799E" w:rsidRPr="00391BB0" w:rsidRDefault="0052799E" w:rsidP="00D33854">
            <w:pPr>
              <w:pStyle w:val="Default"/>
              <w:spacing w:after="120"/>
              <w:jc w:val="both"/>
              <w:rPr>
                <w:color w:val="auto"/>
                <w:lang w:val="es-ES"/>
              </w:rPr>
            </w:pPr>
            <w:r w:rsidRPr="2E110AC2">
              <w:rPr>
                <w:b/>
                <w:bCs/>
                <w:color w:val="auto"/>
                <w:sz w:val="20"/>
                <w:szCs w:val="20"/>
                <w:lang w:val="es-ES"/>
              </w:rPr>
              <w:t>Derechos violados:</w:t>
            </w:r>
            <w:r w:rsidRPr="2E110AC2">
              <w:rPr>
                <w:color w:val="auto"/>
                <w:sz w:val="20"/>
                <w:szCs w:val="20"/>
                <w:lang w:val="es-ES"/>
              </w:rPr>
              <w:t xml:space="preserve"> La Comisión concluyó que Estados Unidos era responsable por la violación de los artículos I (Derecho a la vida, a la libertad, a la seguridad e integridad de la persona), XVIII (Derecho de justicia), XXV (Derecho de protección contra la detención arbitraria) y XXVI (Derecho a proceso regular) de la Declaración Americana, en perjuicio de Félix Rocha Díaz. Consecuentemente, si el señor Rocha fuese ejecutado, también se estaría cometiendo una violación grave e irreparable al derecho a la vida reconocido en el Artículo I de la Declaración Americana. </w:t>
            </w:r>
          </w:p>
        </w:tc>
      </w:tr>
    </w:tbl>
    <w:p w14:paraId="1248AC7E" w14:textId="77777777" w:rsidR="0052799E" w:rsidRPr="00391BB0" w:rsidRDefault="0052799E" w:rsidP="0052799E">
      <w:pPr>
        <w:ind w:left="180"/>
        <w:jc w:val="both"/>
        <w:rPr>
          <w:rFonts w:ascii="Cambria" w:hAnsi="Cambria"/>
          <w:sz w:val="20"/>
          <w:szCs w:val="20"/>
          <w:lang w:val="es-ES"/>
        </w:rPr>
      </w:pPr>
    </w:p>
    <w:p w14:paraId="090E0E08" w14:textId="77777777" w:rsidR="0052799E" w:rsidRPr="00391BB0" w:rsidRDefault="0052799E" w:rsidP="2E110AC2">
      <w:pPr>
        <w:numPr>
          <w:ilvl w:val="0"/>
          <w:numId w:val="8"/>
        </w:numPr>
        <w:ind w:left="1440"/>
        <w:jc w:val="both"/>
        <w:rPr>
          <w:rFonts w:ascii="Cambria" w:hAnsi="Cambria" w:cs="Calibri Light"/>
          <w:b/>
          <w:bCs/>
          <w:sz w:val="20"/>
          <w:szCs w:val="20"/>
          <w:lang w:val="es-ES"/>
        </w:rPr>
      </w:pPr>
      <w:r w:rsidRPr="2E110AC2">
        <w:rPr>
          <w:rFonts w:ascii="Cambria" w:hAnsi="Cambria" w:cs="Calibri Light"/>
          <w:b/>
          <w:bCs/>
          <w:sz w:val="20"/>
          <w:szCs w:val="20"/>
          <w:lang w:val="es-ES"/>
        </w:rPr>
        <w:t>Recomendaciones</w:t>
      </w:r>
    </w:p>
    <w:p w14:paraId="7B3CFB7B" w14:textId="77777777" w:rsidR="0052799E" w:rsidRPr="00391BB0" w:rsidRDefault="0052799E" w:rsidP="0052799E">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193"/>
      </w:tblGrid>
      <w:tr w:rsidR="0052799E" w:rsidRPr="00554ED1" w14:paraId="58C2B6E5" w14:textId="77777777" w:rsidTr="2E110AC2">
        <w:tc>
          <w:tcPr>
            <w:tcW w:w="7320" w:type="dxa"/>
            <w:shd w:val="clear" w:color="auto" w:fill="auto"/>
            <w:vAlign w:val="center"/>
          </w:tcPr>
          <w:p w14:paraId="6D888ED3" w14:textId="77777777" w:rsidR="0052799E" w:rsidRPr="00391BB0" w:rsidRDefault="0052799E" w:rsidP="2E110AC2">
            <w:pPr>
              <w:jc w:val="center"/>
              <w:rPr>
                <w:rFonts w:ascii="Cambria" w:hAnsi="Cambria" w:cs="Calibri Light"/>
                <w:b/>
                <w:bCs/>
                <w:color w:val="000000" w:themeColor="text1"/>
                <w:sz w:val="18"/>
                <w:szCs w:val="18"/>
                <w:lang w:val="es-ES"/>
              </w:rPr>
            </w:pPr>
            <w:r w:rsidRPr="2E110AC2">
              <w:rPr>
                <w:rFonts w:ascii="Cambria" w:hAnsi="Cambria" w:cs="Calibri Light"/>
                <w:b/>
                <w:bCs/>
                <w:color w:val="000000" w:themeColor="text1"/>
                <w:sz w:val="18"/>
                <w:szCs w:val="18"/>
                <w:lang w:val="es-ES"/>
              </w:rPr>
              <w:t>Recomendaciones</w:t>
            </w:r>
          </w:p>
        </w:tc>
        <w:tc>
          <w:tcPr>
            <w:tcW w:w="2220" w:type="dxa"/>
            <w:shd w:val="clear" w:color="auto" w:fill="auto"/>
            <w:vAlign w:val="center"/>
          </w:tcPr>
          <w:p w14:paraId="2ADC1948" w14:textId="201248F8" w:rsidR="0052799E" w:rsidRPr="00391BB0" w:rsidRDefault="0052799E" w:rsidP="2E110AC2">
            <w:pPr>
              <w:jc w:val="center"/>
              <w:rPr>
                <w:rFonts w:ascii="Cambria" w:hAnsi="Cambria" w:cs="Calibri Light"/>
                <w:b/>
                <w:bCs/>
                <w:color w:val="000000" w:themeColor="text1"/>
                <w:sz w:val="18"/>
                <w:szCs w:val="18"/>
                <w:lang w:val="es-ES"/>
              </w:rPr>
            </w:pPr>
            <w:r w:rsidRPr="2E110AC2">
              <w:rPr>
                <w:rFonts w:ascii="Cambria" w:hAnsi="Cambria" w:cs="Calibri Light"/>
                <w:b/>
                <w:bCs/>
                <w:color w:val="000000" w:themeColor="text1"/>
                <w:sz w:val="18"/>
                <w:szCs w:val="18"/>
                <w:lang w:val="es-ES"/>
              </w:rPr>
              <w:t>Estado de cumplimiento en el 2021</w:t>
            </w:r>
          </w:p>
        </w:tc>
      </w:tr>
      <w:tr w:rsidR="0052799E" w:rsidRPr="00391BB0" w14:paraId="44564AE7" w14:textId="77777777" w:rsidTr="2E110AC2">
        <w:tc>
          <w:tcPr>
            <w:tcW w:w="7320" w:type="dxa"/>
            <w:shd w:val="clear" w:color="auto" w:fill="auto"/>
          </w:tcPr>
          <w:p w14:paraId="40EF63EE" w14:textId="77777777" w:rsidR="0052799E" w:rsidRPr="00391BB0" w:rsidRDefault="0052799E" w:rsidP="00D33854">
            <w:pPr>
              <w:jc w:val="both"/>
              <w:rPr>
                <w:rFonts w:ascii="Cambria" w:hAnsi="Cambria"/>
                <w:color w:val="000000" w:themeColor="text1"/>
                <w:sz w:val="18"/>
                <w:szCs w:val="18"/>
                <w:lang w:val="es-ES"/>
              </w:rPr>
            </w:pPr>
            <w:r w:rsidRPr="2E110AC2">
              <w:rPr>
                <w:rFonts w:ascii="Cambria" w:hAnsi="Cambria"/>
                <w:color w:val="000000" w:themeColor="text1"/>
                <w:sz w:val="18"/>
                <w:szCs w:val="18"/>
                <w:lang w:val="es-ES"/>
              </w:rPr>
              <w:t xml:space="preserve">1. Garantizar al señor Félix Rocha Díaz un recurso efectivo, que incluya la revisión de su juicio de conformidad con las garantías del debido proceso consagradas en los artículos I, XVIII y XXVI de la Declaración Americana. </w:t>
            </w:r>
          </w:p>
        </w:tc>
        <w:tc>
          <w:tcPr>
            <w:tcW w:w="2220" w:type="dxa"/>
            <w:shd w:val="clear" w:color="auto" w:fill="auto"/>
            <w:vAlign w:val="center"/>
          </w:tcPr>
          <w:p w14:paraId="3AD97B27" w14:textId="77777777" w:rsidR="0052799E" w:rsidRPr="00391BB0" w:rsidRDefault="0052799E" w:rsidP="2E110AC2">
            <w:pPr>
              <w:jc w:val="center"/>
              <w:rPr>
                <w:rFonts w:ascii="Cambria" w:hAnsi="Cambria" w:cs="Calibri Light"/>
                <w:b/>
                <w:bCs/>
                <w:color w:val="000000" w:themeColor="text1"/>
                <w:sz w:val="18"/>
                <w:szCs w:val="18"/>
                <w:lang w:val="es-ES"/>
              </w:rPr>
            </w:pPr>
            <w:r w:rsidRPr="2E110AC2">
              <w:rPr>
                <w:rFonts w:ascii="Cambria" w:hAnsi="Cambria"/>
                <w:color w:val="000000" w:themeColor="text1"/>
                <w:sz w:val="18"/>
                <w:szCs w:val="18"/>
                <w:lang w:val="es-ES"/>
              </w:rPr>
              <w:t>Pendiente de cumplimiento</w:t>
            </w:r>
          </w:p>
        </w:tc>
      </w:tr>
      <w:tr w:rsidR="0052799E" w:rsidRPr="00391BB0" w14:paraId="675C44D2" w14:textId="77777777" w:rsidTr="2E110AC2">
        <w:tc>
          <w:tcPr>
            <w:tcW w:w="7320" w:type="dxa"/>
            <w:shd w:val="clear" w:color="auto" w:fill="auto"/>
          </w:tcPr>
          <w:p w14:paraId="3D84618D" w14:textId="77777777" w:rsidR="0052799E" w:rsidRPr="00391BB0" w:rsidRDefault="0052799E" w:rsidP="00D33854">
            <w:pPr>
              <w:jc w:val="both"/>
              <w:rPr>
                <w:rFonts w:ascii="Cambria" w:hAnsi="Cambria"/>
                <w:color w:val="000000" w:themeColor="text1"/>
                <w:sz w:val="18"/>
                <w:szCs w:val="18"/>
                <w:lang w:val="es-ES"/>
              </w:rPr>
            </w:pPr>
            <w:r w:rsidRPr="2E110AC2">
              <w:rPr>
                <w:rFonts w:ascii="Cambria" w:hAnsi="Cambria"/>
                <w:color w:val="000000" w:themeColor="text1"/>
                <w:sz w:val="18"/>
                <w:szCs w:val="18"/>
                <w:lang w:val="es-ES"/>
              </w:rPr>
              <w:t xml:space="preserve">2. Revisar sus normas, procedimientos y prácticas a fin de garantizar que las personas acusadas de delitos que puedan dar lugar a la pena capital sean juzgadas y, si son declaradas culpables, sean sancionadas conforme a los derechos establecidos en la Declaración Americana, incluyendo los artículos I, XVIII, XXV y XXVI de la misma. </w:t>
            </w:r>
          </w:p>
        </w:tc>
        <w:tc>
          <w:tcPr>
            <w:tcW w:w="2220" w:type="dxa"/>
            <w:shd w:val="clear" w:color="auto" w:fill="auto"/>
            <w:vAlign w:val="center"/>
          </w:tcPr>
          <w:p w14:paraId="1A9F2BB3" w14:textId="77777777" w:rsidR="0052799E" w:rsidRPr="00391BB0" w:rsidRDefault="0052799E" w:rsidP="2E110AC2">
            <w:pPr>
              <w:jc w:val="center"/>
              <w:rPr>
                <w:rFonts w:ascii="Cambria" w:hAnsi="Cambria" w:cs="Calibri Light"/>
                <w:b/>
                <w:bCs/>
                <w:color w:val="000000" w:themeColor="text1"/>
                <w:sz w:val="18"/>
                <w:szCs w:val="18"/>
                <w:lang w:val="es-ES"/>
              </w:rPr>
            </w:pPr>
            <w:r w:rsidRPr="2E110AC2">
              <w:rPr>
                <w:rFonts w:ascii="Cambria" w:hAnsi="Cambria"/>
                <w:color w:val="000000" w:themeColor="text1"/>
                <w:sz w:val="18"/>
                <w:szCs w:val="18"/>
                <w:lang w:val="es-ES"/>
              </w:rPr>
              <w:t>Pendiente de cumplimiento</w:t>
            </w:r>
          </w:p>
        </w:tc>
      </w:tr>
      <w:tr w:rsidR="0052799E" w:rsidRPr="00391BB0" w14:paraId="3034B3E1" w14:textId="77777777" w:rsidTr="2E110AC2">
        <w:tc>
          <w:tcPr>
            <w:tcW w:w="7320" w:type="dxa"/>
            <w:shd w:val="clear" w:color="auto" w:fill="auto"/>
          </w:tcPr>
          <w:p w14:paraId="59C9217A" w14:textId="77777777" w:rsidR="0052799E" w:rsidRPr="00391BB0" w:rsidRDefault="0052799E" w:rsidP="00D33854">
            <w:pPr>
              <w:jc w:val="both"/>
              <w:rPr>
                <w:rFonts w:ascii="Cambria" w:hAnsi="Cambria" w:cs="Calibri Light"/>
                <w:color w:val="000000" w:themeColor="text1"/>
                <w:sz w:val="18"/>
                <w:szCs w:val="18"/>
                <w:lang w:val="es-ES"/>
              </w:rPr>
            </w:pPr>
            <w:r w:rsidRPr="2E110AC2">
              <w:rPr>
                <w:rFonts w:ascii="Cambria" w:hAnsi="Cambria" w:cs="Calibri"/>
                <w:color w:val="000000" w:themeColor="text1"/>
                <w:sz w:val="18"/>
                <w:szCs w:val="18"/>
                <w:lang w:val="es-ES"/>
              </w:rPr>
              <w:t xml:space="preserve">3. </w:t>
            </w:r>
            <w:r w:rsidRPr="2E110AC2">
              <w:rPr>
                <w:rFonts w:ascii="Cambria" w:hAnsi="Cambria"/>
                <w:color w:val="000000" w:themeColor="text1"/>
                <w:sz w:val="18"/>
                <w:szCs w:val="18"/>
                <w:lang w:val="es-ES"/>
              </w:rPr>
              <w:t>Garantizar que cada ciudadano extranjero privado de su libertad sea informado, sin demora y de manera previa a su primera declaración, sobre su derecho a la asistencia consular y a requerir que las autoridades diplomáticas sean notificadas inmediatamente sobre el arresto o la detención</w:t>
            </w:r>
            <w:r w:rsidRPr="2E110AC2">
              <w:rPr>
                <w:rFonts w:ascii="Cambria" w:hAnsi="Cambria" w:cs="Calibri"/>
                <w:color w:val="000000" w:themeColor="text1"/>
                <w:sz w:val="18"/>
                <w:szCs w:val="18"/>
                <w:lang w:val="es-ES"/>
              </w:rPr>
              <w:t xml:space="preserve">.  </w:t>
            </w:r>
          </w:p>
        </w:tc>
        <w:tc>
          <w:tcPr>
            <w:tcW w:w="2220" w:type="dxa"/>
            <w:shd w:val="clear" w:color="auto" w:fill="auto"/>
            <w:vAlign w:val="center"/>
          </w:tcPr>
          <w:p w14:paraId="14162276" w14:textId="77777777" w:rsidR="0052799E" w:rsidRPr="00391BB0" w:rsidRDefault="0052799E" w:rsidP="2E110AC2">
            <w:pPr>
              <w:jc w:val="center"/>
              <w:rPr>
                <w:rFonts w:ascii="Cambria" w:hAnsi="Cambria" w:cs="Calibri Light"/>
                <w:b/>
                <w:bCs/>
                <w:color w:val="000000" w:themeColor="text1"/>
                <w:sz w:val="18"/>
                <w:szCs w:val="18"/>
                <w:lang w:val="es-ES"/>
              </w:rPr>
            </w:pPr>
            <w:r w:rsidRPr="2E110AC2">
              <w:rPr>
                <w:rFonts w:ascii="Cambria" w:hAnsi="Cambria"/>
                <w:color w:val="000000" w:themeColor="text1"/>
                <w:sz w:val="18"/>
                <w:szCs w:val="18"/>
                <w:lang w:val="es-ES"/>
              </w:rPr>
              <w:t>Cumplimiento parcial</w:t>
            </w:r>
          </w:p>
        </w:tc>
      </w:tr>
      <w:tr w:rsidR="0052799E" w:rsidRPr="00391BB0" w14:paraId="62324268" w14:textId="77777777" w:rsidTr="2E110AC2">
        <w:tc>
          <w:tcPr>
            <w:tcW w:w="7320" w:type="dxa"/>
            <w:shd w:val="clear" w:color="auto" w:fill="auto"/>
          </w:tcPr>
          <w:p w14:paraId="70E57C40" w14:textId="77777777" w:rsidR="0052799E" w:rsidRPr="00391BB0" w:rsidRDefault="0052799E" w:rsidP="00D33854">
            <w:pPr>
              <w:autoSpaceDE w:val="0"/>
              <w:autoSpaceDN w:val="0"/>
              <w:adjustRightInd w:val="0"/>
              <w:jc w:val="both"/>
              <w:rPr>
                <w:rFonts w:ascii="Cambria" w:hAnsi="Cambria" w:cs="Calibri"/>
                <w:sz w:val="18"/>
                <w:szCs w:val="18"/>
                <w:lang w:val="es-ES"/>
              </w:rPr>
            </w:pPr>
            <w:r w:rsidRPr="2E110AC2">
              <w:rPr>
                <w:rFonts w:ascii="Cambria" w:hAnsi="Cambria" w:cs="Calibri"/>
                <w:sz w:val="18"/>
                <w:szCs w:val="18"/>
                <w:lang w:val="es-ES"/>
              </w:rPr>
              <w:t xml:space="preserve">4. </w:t>
            </w:r>
            <w:r w:rsidRPr="2E110AC2">
              <w:rPr>
                <w:rFonts w:ascii="Cambria" w:hAnsi="Cambria"/>
                <w:sz w:val="18"/>
                <w:szCs w:val="18"/>
                <w:lang w:val="es-ES"/>
              </w:rPr>
              <w:t>Impulsar la aprobación urgente del proyecto de “Ley para el Cumplimiento de la Notificación Consular” (“CNCA” por sus siglas en inglés), que se encuentra pendiente ante el Congreso de los Estados Unidos desde 2011</w:t>
            </w:r>
            <w:r w:rsidRPr="2E110AC2">
              <w:rPr>
                <w:rFonts w:ascii="Cambria" w:hAnsi="Cambria" w:cs="Calibri"/>
                <w:sz w:val="18"/>
                <w:szCs w:val="18"/>
                <w:lang w:val="es-ES"/>
              </w:rPr>
              <w:t xml:space="preserve">. </w:t>
            </w:r>
          </w:p>
        </w:tc>
        <w:tc>
          <w:tcPr>
            <w:tcW w:w="2220" w:type="dxa"/>
            <w:shd w:val="clear" w:color="auto" w:fill="auto"/>
            <w:vAlign w:val="center"/>
          </w:tcPr>
          <w:p w14:paraId="2EDCA853" w14:textId="77777777" w:rsidR="0052799E" w:rsidRPr="00391BB0" w:rsidRDefault="0052799E" w:rsidP="2E110AC2">
            <w:pPr>
              <w:jc w:val="center"/>
              <w:rPr>
                <w:rFonts w:ascii="Cambria" w:hAnsi="Cambria" w:cs="Calibri Light"/>
                <w:b/>
                <w:bCs/>
                <w:sz w:val="18"/>
                <w:szCs w:val="18"/>
                <w:lang w:val="es-ES"/>
              </w:rPr>
            </w:pPr>
            <w:r w:rsidRPr="2E110AC2">
              <w:rPr>
                <w:rFonts w:ascii="Cambria" w:hAnsi="Cambria"/>
                <w:sz w:val="18"/>
                <w:szCs w:val="18"/>
                <w:lang w:val="es-ES"/>
              </w:rPr>
              <w:t>Pendiente de cumplimiento</w:t>
            </w:r>
          </w:p>
        </w:tc>
      </w:tr>
      <w:tr w:rsidR="0052799E" w:rsidRPr="00391BB0" w14:paraId="5F901B62" w14:textId="77777777" w:rsidTr="2E110AC2">
        <w:tc>
          <w:tcPr>
            <w:tcW w:w="7320" w:type="dxa"/>
            <w:shd w:val="clear" w:color="auto" w:fill="auto"/>
          </w:tcPr>
          <w:p w14:paraId="3D2A69D8" w14:textId="77777777" w:rsidR="0052799E" w:rsidRPr="00391BB0" w:rsidRDefault="0052799E" w:rsidP="00D33854">
            <w:pPr>
              <w:jc w:val="both"/>
              <w:rPr>
                <w:rFonts w:ascii="Cambria" w:hAnsi="Cambria" w:cs="Calibri"/>
                <w:sz w:val="18"/>
                <w:szCs w:val="18"/>
                <w:lang w:val="es-ES"/>
              </w:rPr>
            </w:pPr>
            <w:r w:rsidRPr="2E110AC2">
              <w:rPr>
                <w:rFonts w:ascii="Cambria" w:hAnsi="Cambria" w:cs="Calibri"/>
                <w:sz w:val="18"/>
                <w:szCs w:val="18"/>
                <w:lang w:val="es-ES"/>
              </w:rPr>
              <w:lastRenderedPageBreak/>
              <w:t xml:space="preserve">5. </w:t>
            </w:r>
            <w:r w:rsidRPr="2E110AC2">
              <w:rPr>
                <w:rFonts w:ascii="Cambria" w:hAnsi="Cambria"/>
                <w:sz w:val="18"/>
                <w:szCs w:val="18"/>
                <w:lang w:val="es-ES"/>
              </w:rPr>
              <w:t>Garantizar que la asistencia letrada provista por el Estado en los casos de pena de muerte sea efectiva, esté entrenada para actuar en casos de pena de muerte, y sea capaz de investigar de manera completa y diligente toda la evidencia atenuante</w:t>
            </w:r>
            <w:r w:rsidRPr="2E110AC2">
              <w:rPr>
                <w:rFonts w:ascii="Cambria" w:hAnsi="Cambria" w:cs="Calibri"/>
                <w:sz w:val="18"/>
                <w:szCs w:val="18"/>
                <w:lang w:val="es-ES"/>
              </w:rPr>
              <w:t xml:space="preserve">. </w:t>
            </w:r>
          </w:p>
        </w:tc>
        <w:tc>
          <w:tcPr>
            <w:tcW w:w="2220" w:type="dxa"/>
            <w:shd w:val="clear" w:color="auto" w:fill="auto"/>
            <w:vAlign w:val="center"/>
          </w:tcPr>
          <w:p w14:paraId="1F2B6A0C" w14:textId="77777777" w:rsidR="0052799E" w:rsidRPr="00391BB0" w:rsidRDefault="0052799E" w:rsidP="2E110AC2">
            <w:pPr>
              <w:jc w:val="center"/>
              <w:rPr>
                <w:rFonts w:ascii="Cambria" w:hAnsi="Cambria" w:cs="Calibri Light"/>
                <w:b/>
                <w:bCs/>
                <w:sz w:val="18"/>
                <w:szCs w:val="18"/>
                <w:lang w:val="es-ES"/>
              </w:rPr>
            </w:pPr>
            <w:r w:rsidRPr="2E110AC2">
              <w:rPr>
                <w:rFonts w:ascii="Cambria" w:hAnsi="Cambria"/>
                <w:sz w:val="18"/>
                <w:szCs w:val="18"/>
                <w:lang w:val="es-ES"/>
              </w:rPr>
              <w:t>Pendiente de cumplimiento</w:t>
            </w:r>
          </w:p>
        </w:tc>
      </w:tr>
      <w:tr w:rsidR="0052799E" w:rsidRPr="00391BB0" w14:paraId="257549ED" w14:textId="77777777" w:rsidTr="2E110AC2">
        <w:tc>
          <w:tcPr>
            <w:tcW w:w="7320" w:type="dxa"/>
            <w:shd w:val="clear" w:color="auto" w:fill="auto"/>
          </w:tcPr>
          <w:p w14:paraId="36777451" w14:textId="77777777" w:rsidR="0052799E" w:rsidRPr="00391BB0" w:rsidRDefault="0052799E" w:rsidP="00D33854">
            <w:pPr>
              <w:jc w:val="both"/>
              <w:rPr>
                <w:rFonts w:ascii="Cambria" w:hAnsi="Cambria" w:cs="Calibri"/>
                <w:sz w:val="18"/>
                <w:szCs w:val="18"/>
                <w:lang w:val="es-ES"/>
              </w:rPr>
            </w:pPr>
            <w:r w:rsidRPr="2E110AC2">
              <w:rPr>
                <w:rFonts w:ascii="Cambria" w:hAnsi="Cambria" w:cs="Calibri"/>
                <w:sz w:val="18"/>
                <w:szCs w:val="18"/>
                <w:lang w:val="es-ES"/>
              </w:rPr>
              <w:t xml:space="preserve">6. </w:t>
            </w:r>
            <w:r w:rsidRPr="2E110AC2">
              <w:rPr>
                <w:rFonts w:ascii="Cambria" w:hAnsi="Cambria"/>
                <w:sz w:val="18"/>
                <w:szCs w:val="18"/>
                <w:lang w:val="es-ES"/>
              </w:rPr>
              <w:t>Garantizar que las sustancias utilizadas en la inyección letal sean sometidas a aprobación y regulación gubernamental, que el personal a cargo de la ejecución obtenga capacitación médica adecuada y que los protocolos de la inyección letal estén disponibles al público</w:t>
            </w:r>
            <w:r w:rsidRPr="2E110AC2">
              <w:rPr>
                <w:rFonts w:ascii="Cambria" w:hAnsi="Cambria" w:cs="Calibri"/>
                <w:sz w:val="18"/>
                <w:szCs w:val="18"/>
                <w:lang w:val="es-ES"/>
              </w:rPr>
              <w:t xml:space="preserve">. </w:t>
            </w:r>
          </w:p>
        </w:tc>
        <w:tc>
          <w:tcPr>
            <w:tcW w:w="2220" w:type="dxa"/>
            <w:shd w:val="clear" w:color="auto" w:fill="auto"/>
            <w:vAlign w:val="center"/>
          </w:tcPr>
          <w:p w14:paraId="1FB6089E" w14:textId="77777777" w:rsidR="0052799E" w:rsidRPr="00391BB0" w:rsidRDefault="0052799E" w:rsidP="2E110AC2">
            <w:pPr>
              <w:jc w:val="center"/>
              <w:rPr>
                <w:rFonts w:ascii="Cambria" w:hAnsi="Cambria" w:cs="Calibri Light"/>
                <w:b/>
                <w:bCs/>
                <w:sz w:val="18"/>
                <w:szCs w:val="18"/>
                <w:lang w:val="es-ES"/>
              </w:rPr>
            </w:pPr>
            <w:r w:rsidRPr="2E110AC2">
              <w:rPr>
                <w:rFonts w:ascii="Cambria" w:hAnsi="Cambria"/>
                <w:sz w:val="18"/>
                <w:szCs w:val="18"/>
                <w:lang w:val="es-ES"/>
              </w:rPr>
              <w:t>Pendiente de cumplimiento</w:t>
            </w:r>
          </w:p>
        </w:tc>
      </w:tr>
      <w:tr w:rsidR="0052799E" w:rsidRPr="00391BB0" w14:paraId="71330AD0" w14:textId="77777777" w:rsidTr="2E110AC2">
        <w:tc>
          <w:tcPr>
            <w:tcW w:w="7320" w:type="dxa"/>
            <w:shd w:val="clear" w:color="auto" w:fill="auto"/>
          </w:tcPr>
          <w:p w14:paraId="1FA1C93D" w14:textId="77777777" w:rsidR="0052799E" w:rsidRPr="00391BB0" w:rsidRDefault="0052799E" w:rsidP="00D33854">
            <w:pPr>
              <w:jc w:val="both"/>
              <w:rPr>
                <w:rFonts w:ascii="Cambria" w:hAnsi="Cambria" w:cs="Calibri"/>
                <w:sz w:val="18"/>
                <w:szCs w:val="18"/>
                <w:lang w:val="es-ES"/>
              </w:rPr>
            </w:pPr>
            <w:r w:rsidRPr="2E110AC2">
              <w:rPr>
                <w:rFonts w:ascii="Cambria" w:hAnsi="Cambria" w:cs="Calibri"/>
                <w:sz w:val="18"/>
                <w:szCs w:val="18"/>
                <w:lang w:val="es-ES"/>
              </w:rPr>
              <w:t xml:space="preserve">7. </w:t>
            </w:r>
            <w:r w:rsidRPr="2E110AC2">
              <w:rPr>
                <w:rFonts w:ascii="Cambria" w:hAnsi="Cambria"/>
                <w:sz w:val="18"/>
                <w:szCs w:val="18"/>
                <w:lang w:val="es-ES"/>
              </w:rPr>
              <w:t xml:space="preserve">Garantizar que las personas sentenciadas a pena de muerte tengan acceso a información, de manera oportuna, relativa a los procedimientos precisos que se seguirán durante su ejecución, las sustancias y dosis a ser utilizadas, y la composición del equipo de </w:t>
            </w:r>
            <w:proofErr w:type="gramStart"/>
            <w:r w:rsidRPr="2E110AC2">
              <w:rPr>
                <w:rFonts w:ascii="Cambria" w:hAnsi="Cambria"/>
                <w:sz w:val="18"/>
                <w:szCs w:val="18"/>
                <w:lang w:val="es-ES"/>
              </w:rPr>
              <w:t>ejecución</w:t>
            </w:r>
            <w:proofErr w:type="gramEnd"/>
            <w:r w:rsidRPr="2E110AC2">
              <w:rPr>
                <w:rFonts w:ascii="Cambria" w:hAnsi="Cambria"/>
                <w:sz w:val="18"/>
                <w:szCs w:val="18"/>
                <w:lang w:val="es-ES"/>
              </w:rPr>
              <w:t xml:space="preserve"> así como la capacitación de sus miembros. El Estado también debe garantizar que las personas sentenciadas a pena de muerte tengan la oportunidad de reclamar judicialmente cada aspecto del procedimiento de ejecución</w:t>
            </w:r>
            <w:r w:rsidRPr="2E110AC2">
              <w:rPr>
                <w:rFonts w:ascii="Cambria" w:hAnsi="Cambria" w:cs="Calibri"/>
                <w:sz w:val="18"/>
                <w:szCs w:val="18"/>
                <w:lang w:val="es-ES"/>
              </w:rPr>
              <w:t xml:space="preserve">. </w:t>
            </w:r>
          </w:p>
        </w:tc>
        <w:tc>
          <w:tcPr>
            <w:tcW w:w="2220" w:type="dxa"/>
            <w:shd w:val="clear" w:color="auto" w:fill="auto"/>
            <w:vAlign w:val="center"/>
          </w:tcPr>
          <w:p w14:paraId="1CB1EF38" w14:textId="77777777" w:rsidR="0052799E" w:rsidRPr="00391BB0" w:rsidRDefault="0052799E" w:rsidP="2E110AC2">
            <w:pPr>
              <w:jc w:val="center"/>
              <w:rPr>
                <w:rFonts w:ascii="Cambria" w:hAnsi="Cambria" w:cs="Calibri Light"/>
                <w:b/>
                <w:bCs/>
                <w:sz w:val="18"/>
                <w:szCs w:val="18"/>
                <w:lang w:val="es-ES"/>
              </w:rPr>
            </w:pPr>
            <w:r w:rsidRPr="2E110AC2">
              <w:rPr>
                <w:rFonts w:ascii="Cambria" w:hAnsi="Cambria"/>
                <w:sz w:val="18"/>
                <w:szCs w:val="18"/>
                <w:lang w:val="es-ES"/>
              </w:rPr>
              <w:t>Pendiente de cumplimiento</w:t>
            </w:r>
          </w:p>
        </w:tc>
      </w:tr>
      <w:tr w:rsidR="0052799E" w:rsidRPr="00391BB0" w14:paraId="37028828" w14:textId="77777777" w:rsidTr="2E110AC2">
        <w:tc>
          <w:tcPr>
            <w:tcW w:w="7320" w:type="dxa"/>
            <w:shd w:val="clear" w:color="auto" w:fill="auto"/>
          </w:tcPr>
          <w:p w14:paraId="4E32B4BD" w14:textId="77777777" w:rsidR="0052799E" w:rsidRPr="00391BB0" w:rsidRDefault="0052799E" w:rsidP="00D33854">
            <w:pPr>
              <w:jc w:val="both"/>
              <w:rPr>
                <w:rFonts w:ascii="Cambria" w:hAnsi="Cambria" w:cs="Calibri"/>
                <w:sz w:val="18"/>
                <w:szCs w:val="18"/>
                <w:lang w:val="es-ES"/>
              </w:rPr>
            </w:pPr>
            <w:r w:rsidRPr="2E110AC2">
              <w:rPr>
                <w:rFonts w:ascii="Cambria" w:hAnsi="Cambria" w:cs="Calibri"/>
                <w:sz w:val="18"/>
                <w:szCs w:val="18"/>
                <w:lang w:val="es-ES"/>
              </w:rPr>
              <w:t xml:space="preserve">8. </w:t>
            </w:r>
            <w:r w:rsidRPr="2E110AC2">
              <w:rPr>
                <w:rFonts w:ascii="Cambria" w:hAnsi="Cambria"/>
                <w:sz w:val="18"/>
                <w:szCs w:val="18"/>
                <w:lang w:val="es-ES"/>
              </w:rPr>
              <w:t>Revisar sus normas, procedimientos y prácticas para garantizar que el régimen de aislamiento no sea utilizado como una sanción impuesta por la corte en los casos de personas condenadas a pena de muerte. Garantice que el régimen de aislamiento se limite a las circunstancias más excepcionales, de conformidad con los estándares internacionales</w:t>
            </w:r>
            <w:r w:rsidRPr="2E110AC2">
              <w:rPr>
                <w:rFonts w:ascii="Cambria" w:hAnsi="Cambria" w:cs="Calibri"/>
                <w:sz w:val="18"/>
                <w:szCs w:val="18"/>
                <w:lang w:val="es-ES"/>
              </w:rPr>
              <w:t xml:space="preserve">. </w:t>
            </w:r>
          </w:p>
        </w:tc>
        <w:tc>
          <w:tcPr>
            <w:tcW w:w="2220" w:type="dxa"/>
            <w:shd w:val="clear" w:color="auto" w:fill="auto"/>
            <w:vAlign w:val="center"/>
          </w:tcPr>
          <w:p w14:paraId="0A4C9526" w14:textId="77777777" w:rsidR="0052799E" w:rsidRPr="00391BB0" w:rsidRDefault="0052799E" w:rsidP="2E110AC2">
            <w:pPr>
              <w:jc w:val="center"/>
              <w:rPr>
                <w:rFonts w:ascii="Cambria" w:hAnsi="Cambria" w:cs="Calibri Light"/>
                <w:b/>
                <w:bCs/>
                <w:sz w:val="18"/>
                <w:szCs w:val="18"/>
                <w:lang w:val="es-ES"/>
              </w:rPr>
            </w:pPr>
            <w:r w:rsidRPr="2E110AC2">
              <w:rPr>
                <w:rFonts w:ascii="Cambria" w:hAnsi="Cambria"/>
                <w:sz w:val="18"/>
                <w:szCs w:val="18"/>
                <w:lang w:val="es-ES"/>
              </w:rPr>
              <w:t>Pendiente de cumplimiento</w:t>
            </w:r>
          </w:p>
        </w:tc>
      </w:tr>
      <w:tr w:rsidR="0052799E" w:rsidRPr="00391BB0" w14:paraId="41EDF03A" w14:textId="77777777" w:rsidTr="2E110AC2">
        <w:tc>
          <w:tcPr>
            <w:tcW w:w="7320" w:type="dxa"/>
            <w:shd w:val="clear" w:color="auto" w:fill="auto"/>
          </w:tcPr>
          <w:p w14:paraId="772E2698" w14:textId="77777777" w:rsidR="0052799E" w:rsidRPr="00391BB0" w:rsidRDefault="0052799E" w:rsidP="00D33854">
            <w:pPr>
              <w:jc w:val="both"/>
              <w:rPr>
                <w:rFonts w:ascii="Cambria" w:hAnsi="Cambria" w:cs="Calibri"/>
                <w:sz w:val="18"/>
                <w:szCs w:val="18"/>
                <w:lang w:val="es-ES"/>
              </w:rPr>
            </w:pPr>
            <w:r w:rsidRPr="2E110AC2">
              <w:rPr>
                <w:rFonts w:ascii="Cambria" w:hAnsi="Cambria"/>
                <w:sz w:val="18"/>
                <w:szCs w:val="18"/>
                <w:lang w:val="es-ES"/>
              </w:rPr>
              <w:t xml:space="preserve">9. Garantizar que las personas sentenciadas a pena de muerte tengan la oportunidad de estar en contacto con los miembros de sus familias y tengan acceso a diversos programas y actividades. </w:t>
            </w:r>
          </w:p>
        </w:tc>
        <w:tc>
          <w:tcPr>
            <w:tcW w:w="2220" w:type="dxa"/>
            <w:shd w:val="clear" w:color="auto" w:fill="auto"/>
            <w:vAlign w:val="center"/>
          </w:tcPr>
          <w:p w14:paraId="408B7AAC" w14:textId="77777777" w:rsidR="0052799E" w:rsidRPr="00391BB0" w:rsidRDefault="0052799E" w:rsidP="2E110AC2">
            <w:pPr>
              <w:jc w:val="center"/>
              <w:rPr>
                <w:rFonts w:ascii="Cambria" w:hAnsi="Cambria" w:cs="Calibri Light"/>
                <w:b/>
                <w:bCs/>
                <w:sz w:val="18"/>
                <w:szCs w:val="18"/>
                <w:lang w:val="es-ES"/>
              </w:rPr>
            </w:pPr>
            <w:r w:rsidRPr="2E110AC2">
              <w:rPr>
                <w:rFonts w:ascii="Cambria" w:hAnsi="Cambria"/>
                <w:sz w:val="18"/>
                <w:szCs w:val="18"/>
                <w:lang w:val="es-ES"/>
              </w:rPr>
              <w:t>Pendiente de cumplimiento</w:t>
            </w:r>
          </w:p>
        </w:tc>
      </w:tr>
      <w:tr w:rsidR="0052799E" w:rsidRPr="00391BB0" w14:paraId="4734098B" w14:textId="77777777" w:rsidTr="2E110AC2">
        <w:tc>
          <w:tcPr>
            <w:tcW w:w="7320" w:type="dxa"/>
            <w:shd w:val="clear" w:color="auto" w:fill="auto"/>
          </w:tcPr>
          <w:p w14:paraId="6025AF72" w14:textId="77777777" w:rsidR="0052799E" w:rsidRPr="00391BB0" w:rsidRDefault="0052799E" w:rsidP="00D33854">
            <w:pPr>
              <w:jc w:val="both"/>
              <w:rPr>
                <w:rFonts w:ascii="Cambria" w:hAnsi="Cambria" w:cs="Calibri"/>
                <w:sz w:val="18"/>
                <w:szCs w:val="18"/>
                <w:lang w:val="es-ES"/>
              </w:rPr>
            </w:pPr>
            <w:r w:rsidRPr="2E110AC2">
              <w:rPr>
                <w:rFonts w:ascii="Cambria" w:hAnsi="Cambria"/>
                <w:sz w:val="18"/>
                <w:szCs w:val="18"/>
                <w:lang w:val="es-ES"/>
              </w:rPr>
              <w:t xml:space="preserve">10. En consideración de las violaciones a la Declaración Americana que la CIDH ha establecido en el presente caso y en otros relacionados con la aplicación de la pena de muerte, la Comisión Interamericana recomienda a Estados Unidos adoptar una moratoria de las ejecuciones de personas condenadas a pena de muerte.  </w:t>
            </w:r>
          </w:p>
        </w:tc>
        <w:tc>
          <w:tcPr>
            <w:tcW w:w="2220" w:type="dxa"/>
            <w:shd w:val="clear" w:color="auto" w:fill="auto"/>
            <w:vAlign w:val="center"/>
          </w:tcPr>
          <w:p w14:paraId="20C8821B" w14:textId="77777777" w:rsidR="0052799E" w:rsidRPr="00391BB0" w:rsidRDefault="0052799E" w:rsidP="2E110AC2">
            <w:pPr>
              <w:jc w:val="center"/>
              <w:rPr>
                <w:rFonts w:ascii="Cambria" w:hAnsi="Cambria" w:cs="Calibri Light"/>
                <w:b/>
                <w:bCs/>
                <w:sz w:val="18"/>
                <w:szCs w:val="18"/>
                <w:lang w:val="es-ES"/>
              </w:rPr>
            </w:pPr>
            <w:r w:rsidRPr="2E110AC2">
              <w:rPr>
                <w:rFonts w:ascii="Cambria" w:hAnsi="Cambria"/>
                <w:sz w:val="18"/>
                <w:szCs w:val="18"/>
                <w:lang w:val="es-ES"/>
              </w:rPr>
              <w:t>Pendiente de cumplimiento</w:t>
            </w:r>
          </w:p>
        </w:tc>
      </w:tr>
    </w:tbl>
    <w:p w14:paraId="325EFB21" w14:textId="77777777" w:rsidR="0052799E" w:rsidRPr="00391BB0" w:rsidRDefault="0052799E" w:rsidP="0052799E">
      <w:pPr>
        <w:jc w:val="both"/>
        <w:rPr>
          <w:rFonts w:ascii="Cambria" w:hAnsi="Cambria" w:cs="Calibri Light"/>
          <w:sz w:val="20"/>
          <w:szCs w:val="20"/>
          <w:lang w:val="es-ES"/>
        </w:rPr>
      </w:pPr>
    </w:p>
    <w:p w14:paraId="00D4EE78" w14:textId="77777777" w:rsidR="0052799E" w:rsidRPr="00391BB0" w:rsidRDefault="0052799E" w:rsidP="2E110AC2">
      <w:pPr>
        <w:pStyle w:val="ListParagraph"/>
        <w:numPr>
          <w:ilvl w:val="0"/>
          <w:numId w:val="8"/>
        </w:numPr>
        <w:ind w:left="1440"/>
        <w:jc w:val="both"/>
        <w:rPr>
          <w:rFonts w:ascii="Cambria" w:hAnsi="Cambria" w:cs="Calibri Light"/>
          <w:b/>
          <w:bCs/>
          <w:sz w:val="20"/>
          <w:szCs w:val="20"/>
          <w:lang w:val="es-ES"/>
        </w:rPr>
      </w:pPr>
      <w:r w:rsidRPr="2E110AC2">
        <w:rPr>
          <w:rFonts w:ascii="Cambria" w:hAnsi="Cambria"/>
          <w:b/>
          <w:bCs/>
          <w:sz w:val="20"/>
          <w:szCs w:val="20"/>
          <w:lang w:val="es-ES"/>
        </w:rPr>
        <w:t>Actividad procesal</w:t>
      </w:r>
    </w:p>
    <w:p w14:paraId="03CD1E08" w14:textId="77777777" w:rsidR="0052799E" w:rsidRPr="00391BB0" w:rsidRDefault="0052799E" w:rsidP="0052799E">
      <w:pPr>
        <w:jc w:val="both"/>
        <w:rPr>
          <w:rFonts w:ascii="Cambria" w:hAnsi="Cambria" w:cs="Calibri Light"/>
          <w:sz w:val="20"/>
          <w:szCs w:val="20"/>
          <w:lang w:val="es-ES"/>
        </w:rPr>
      </w:pPr>
    </w:p>
    <w:p w14:paraId="4CFE0EC8" w14:textId="59F996F6" w:rsidR="0052799E" w:rsidRPr="0052799E" w:rsidRDefault="0052799E" w:rsidP="0052799E">
      <w:pPr>
        <w:pStyle w:val="ListParagraph"/>
        <w:numPr>
          <w:ilvl w:val="0"/>
          <w:numId w:val="12"/>
        </w:numPr>
        <w:jc w:val="both"/>
        <w:rPr>
          <w:rFonts w:ascii="Cambria" w:hAnsi="Cambria" w:cs="Calibri Light"/>
          <w:color w:val="000000" w:themeColor="text1"/>
          <w:sz w:val="20"/>
          <w:szCs w:val="20"/>
          <w:lang w:val="es-ES"/>
        </w:rPr>
      </w:pPr>
      <w:r w:rsidRPr="2E110AC2">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2E110AC2">
        <w:rPr>
          <w:rFonts w:ascii="Cambria" w:hAnsi="Cambria" w:cs="Calibri Light"/>
          <w:color w:val="000000" w:themeColor="text1"/>
          <w:sz w:val="20"/>
          <w:szCs w:val="20"/>
          <w:lang w:val="es-ES"/>
        </w:rPr>
        <w:t xml:space="preserve"> </w:t>
      </w:r>
      <w:bookmarkStart w:id="1" w:name="_Hlk57239069"/>
      <w:bookmarkEnd w:id="0"/>
      <w:r w:rsidR="00A569DA" w:rsidRPr="2E110AC2">
        <w:rPr>
          <w:rFonts w:ascii="Cambria" w:hAnsi="Cambria" w:cs="Calibri Light"/>
          <w:color w:val="000000" w:themeColor="text1"/>
          <w:sz w:val="20"/>
          <w:szCs w:val="20"/>
          <w:lang w:val="es-ES"/>
        </w:rPr>
        <w:t xml:space="preserve">El Estado </w:t>
      </w:r>
      <w:r w:rsidR="00A569DA" w:rsidRPr="2E110AC2">
        <w:rPr>
          <w:rFonts w:ascii="Cambria" w:hAnsi="Cambria"/>
          <w:sz w:val="20"/>
          <w:szCs w:val="20"/>
          <w:lang w:val="es-ES"/>
        </w:rPr>
        <w:t xml:space="preserve">presentó dicha información el 17 de noviembre de 2021.  </w:t>
      </w:r>
    </w:p>
    <w:p w14:paraId="4B8397FB" w14:textId="77777777" w:rsidR="0052799E" w:rsidRPr="0052799E" w:rsidRDefault="0052799E" w:rsidP="0052799E">
      <w:pPr>
        <w:pStyle w:val="ListParagraph"/>
        <w:jc w:val="both"/>
        <w:rPr>
          <w:rFonts w:ascii="Cambria" w:hAnsi="Cambria" w:cs="Calibri Light"/>
          <w:color w:val="000000" w:themeColor="text1"/>
          <w:sz w:val="20"/>
          <w:szCs w:val="20"/>
          <w:lang w:val="es-ES"/>
        </w:rPr>
      </w:pPr>
    </w:p>
    <w:p w14:paraId="5FAEA025" w14:textId="1AABD459" w:rsidR="0052799E" w:rsidRPr="0052799E" w:rsidRDefault="0052799E" w:rsidP="0052799E">
      <w:pPr>
        <w:pStyle w:val="ListParagraph"/>
        <w:numPr>
          <w:ilvl w:val="0"/>
          <w:numId w:val="12"/>
        </w:numPr>
        <w:jc w:val="both"/>
        <w:rPr>
          <w:rFonts w:ascii="Cambria" w:hAnsi="Cambria" w:cs="Calibri Light"/>
          <w:color w:val="000000" w:themeColor="text1"/>
          <w:sz w:val="20"/>
          <w:szCs w:val="20"/>
          <w:lang w:val="es-ES"/>
        </w:rPr>
      </w:pPr>
      <w:r w:rsidRPr="2E110AC2">
        <w:rPr>
          <w:rFonts w:ascii="Cambria" w:hAnsi="Cambria" w:cs="Calibri Light"/>
          <w:color w:val="000000" w:themeColor="text1"/>
          <w:sz w:val="20"/>
          <w:szCs w:val="20"/>
          <w:lang w:val="es-ES"/>
        </w:rPr>
        <w:t xml:space="preserve">La CIDH </w:t>
      </w:r>
      <w:r w:rsidRPr="2E110AC2">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2E110AC2">
        <w:rPr>
          <w:rFonts w:ascii="Cambria" w:hAnsi="Cambria"/>
          <w:sz w:val="20"/>
          <w:szCs w:val="20"/>
          <w:lang w:val="es-ES"/>
        </w:rPr>
        <w:t>A la fecha de cierre de este informe, la Comisión no había recibido dicha información del peticionario.</w:t>
      </w:r>
      <w:bookmarkEnd w:id="1"/>
      <w:bookmarkEnd w:id="2"/>
      <w:r w:rsidRPr="2E110AC2">
        <w:rPr>
          <w:rFonts w:ascii="Cambria" w:hAnsi="Cambria"/>
          <w:sz w:val="20"/>
          <w:szCs w:val="20"/>
          <w:lang w:val="es-ES"/>
        </w:rPr>
        <w:t xml:space="preserve"> </w:t>
      </w:r>
      <w:r w:rsidRPr="2E110AC2">
        <w:rPr>
          <w:rFonts w:ascii="Cambria" w:hAnsi="Cambria" w:cs="Calibri Light"/>
          <w:color w:val="000000" w:themeColor="text1"/>
          <w:sz w:val="20"/>
          <w:szCs w:val="20"/>
          <w:lang w:val="es-ES"/>
        </w:rPr>
        <w:t xml:space="preserve">La CIDH nota que la peticionaria no ha presentado información a la Comisión sobre las medidas adoptadas por parte del Estado para implementar las recomendaciones emitidas en el Informe de Fondo </w:t>
      </w:r>
      <w:r w:rsidRPr="2E110AC2">
        <w:rPr>
          <w:rFonts w:ascii="Cambria" w:hAnsi="Cambria"/>
          <w:color w:val="000000" w:themeColor="text1"/>
          <w:sz w:val="20"/>
          <w:szCs w:val="20"/>
          <w:lang w:val="es-ES"/>
        </w:rPr>
        <w:t>Nº</w:t>
      </w:r>
      <w:r w:rsidRPr="2E110AC2">
        <w:rPr>
          <w:rFonts w:ascii="Cambria" w:hAnsi="Cambria" w:cs="Calibri Light"/>
          <w:color w:val="000000" w:themeColor="text1"/>
          <w:sz w:val="20"/>
          <w:szCs w:val="20"/>
          <w:lang w:val="es-ES"/>
        </w:rPr>
        <w:t xml:space="preserve"> 11/15 desde su publicación.  </w:t>
      </w:r>
    </w:p>
    <w:p w14:paraId="49429923" w14:textId="77777777" w:rsidR="0052799E" w:rsidRPr="00391BB0" w:rsidRDefault="0052799E" w:rsidP="0052799E">
      <w:pPr>
        <w:jc w:val="both"/>
        <w:rPr>
          <w:rFonts w:ascii="Cambria" w:hAnsi="Cambria" w:cs="Calibri Light"/>
          <w:sz w:val="20"/>
          <w:szCs w:val="20"/>
          <w:lang w:val="es-ES"/>
        </w:rPr>
      </w:pPr>
    </w:p>
    <w:p w14:paraId="1AF9AA8F" w14:textId="77777777" w:rsidR="0052799E" w:rsidRPr="00391BB0" w:rsidRDefault="0052799E" w:rsidP="2E110AC2">
      <w:pPr>
        <w:pStyle w:val="ListParagraph"/>
        <w:numPr>
          <w:ilvl w:val="0"/>
          <w:numId w:val="8"/>
        </w:numPr>
        <w:ind w:left="1440"/>
        <w:jc w:val="both"/>
        <w:rPr>
          <w:rFonts w:ascii="Cambria" w:hAnsi="Cambria" w:cs="Calibri Light"/>
          <w:b/>
          <w:bCs/>
          <w:sz w:val="20"/>
          <w:szCs w:val="20"/>
          <w:lang w:val="es-ES"/>
        </w:rPr>
      </w:pPr>
      <w:r w:rsidRPr="2E110AC2">
        <w:rPr>
          <w:rFonts w:ascii="Cambria" w:hAnsi="Cambria" w:cs="Calibri Light"/>
          <w:b/>
          <w:bCs/>
          <w:sz w:val="20"/>
          <w:szCs w:val="20"/>
          <w:lang w:val="es-ES"/>
        </w:rPr>
        <w:t>Análisis relativo a la información proporcionada</w:t>
      </w:r>
    </w:p>
    <w:p w14:paraId="7710F76E" w14:textId="77777777" w:rsidR="0052799E" w:rsidRPr="00391BB0" w:rsidRDefault="0052799E" w:rsidP="0052799E">
      <w:pPr>
        <w:jc w:val="both"/>
        <w:rPr>
          <w:rFonts w:ascii="Cambria" w:hAnsi="Cambria" w:cs="Calibri Light"/>
          <w:color w:val="000000" w:themeColor="text1"/>
          <w:sz w:val="20"/>
          <w:szCs w:val="20"/>
          <w:lang w:val="es-ES"/>
        </w:rPr>
      </w:pPr>
    </w:p>
    <w:p w14:paraId="730C415D" w14:textId="0E3C3990" w:rsidR="00A569DA" w:rsidRPr="008417E9" w:rsidRDefault="00A569DA" w:rsidP="2E110AC2">
      <w:pPr>
        <w:pStyle w:val="ListParagraph"/>
        <w:numPr>
          <w:ilvl w:val="0"/>
          <w:numId w:val="12"/>
        </w:numPr>
        <w:jc w:val="both"/>
        <w:rPr>
          <w:rFonts w:ascii="Cambria" w:hAnsi="Cambria" w:cs="Calibri Light"/>
          <w:color w:val="000000" w:themeColor="text1"/>
          <w:sz w:val="20"/>
          <w:szCs w:val="20"/>
          <w:lang w:val="es-ES"/>
        </w:rPr>
      </w:pPr>
      <w:r w:rsidRPr="2E110AC2">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p>
    <w:p w14:paraId="635D979E" w14:textId="07EA60DF" w:rsidR="00A569DA" w:rsidRPr="008417E9" w:rsidRDefault="00A569DA" w:rsidP="2E110AC2">
      <w:pPr>
        <w:ind w:left="360"/>
        <w:jc w:val="both"/>
        <w:rPr>
          <w:rFonts w:ascii="Cambria" w:hAnsi="Cambria" w:cs="Calibri Light"/>
          <w:color w:val="000000" w:themeColor="text1"/>
          <w:sz w:val="20"/>
          <w:szCs w:val="20"/>
          <w:lang w:val="es-ES"/>
        </w:rPr>
      </w:pPr>
    </w:p>
    <w:p w14:paraId="56C50CF5" w14:textId="3532E735" w:rsidR="00A569DA" w:rsidRPr="008417E9" w:rsidRDefault="00A569DA" w:rsidP="2E110AC2">
      <w:pPr>
        <w:pStyle w:val="ListParagraph"/>
        <w:numPr>
          <w:ilvl w:val="0"/>
          <w:numId w:val="12"/>
        </w:numPr>
        <w:jc w:val="both"/>
        <w:rPr>
          <w:color w:val="000000" w:themeColor="text1"/>
          <w:sz w:val="20"/>
          <w:szCs w:val="20"/>
          <w:lang w:val="es-ES"/>
        </w:rPr>
      </w:pPr>
      <w:r w:rsidRPr="2E110AC2">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54C5DF19" w14:textId="3385EA17" w:rsidR="0052799E" w:rsidRPr="00391BB0" w:rsidRDefault="0052799E" w:rsidP="2E110AC2">
      <w:pPr>
        <w:jc w:val="both"/>
        <w:rPr>
          <w:rFonts w:ascii="Cambria" w:hAnsi="Cambria" w:cs="Calibri Light"/>
          <w:color w:val="000000" w:themeColor="text1"/>
          <w:sz w:val="20"/>
          <w:szCs w:val="20"/>
          <w:lang w:val="es-ES"/>
        </w:rPr>
      </w:pPr>
    </w:p>
    <w:p w14:paraId="460CA523" w14:textId="77777777" w:rsidR="0052799E" w:rsidRPr="00391BB0" w:rsidRDefault="0052799E" w:rsidP="2E110AC2">
      <w:pPr>
        <w:pStyle w:val="ListParagraph"/>
        <w:numPr>
          <w:ilvl w:val="0"/>
          <w:numId w:val="8"/>
        </w:numPr>
        <w:ind w:left="1440"/>
        <w:jc w:val="both"/>
        <w:rPr>
          <w:rFonts w:ascii="Cambria" w:hAnsi="Cambria" w:cs="Calibri Light"/>
          <w:b/>
          <w:bCs/>
          <w:sz w:val="20"/>
          <w:szCs w:val="20"/>
          <w:lang w:val="es-ES"/>
        </w:rPr>
      </w:pPr>
      <w:r w:rsidRPr="2E110AC2">
        <w:rPr>
          <w:rFonts w:ascii="Cambria" w:hAnsi="Cambria" w:cs="Calibri Light"/>
          <w:b/>
          <w:bCs/>
          <w:sz w:val="20"/>
          <w:szCs w:val="20"/>
          <w:lang w:val="es-ES"/>
        </w:rPr>
        <w:t xml:space="preserve">Análisis del cumplimiento de las recomendaciones </w:t>
      </w:r>
    </w:p>
    <w:p w14:paraId="6E280E7F" w14:textId="77777777" w:rsidR="0052799E" w:rsidRPr="00391BB0" w:rsidRDefault="0052799E" w:rsidP="0052799E">
      <w:pPr>
        <w:jc w:val="both"/>
        <w:rPr>
          <w:rFonts w:ascii="Cambria" w:hAnsi="Cambria" w:cs="Calibri Light"/>
          <w:sz w:val="20"/>
          <w:szCs w:val="20"/>
          <w:lang w:val="es-ES"/>
        </w:rPr>
      </w:pPr>
    </w:p>
    <w:p w14:paraId="11C115BA" w14:textId="77777777" w:rsidR="0052799E" w:rsidRPr="00391BB0" w:rsidRDefault="0052799E" w:rsidP="0052799E">
      <w:pPr>
        <w:pStyle w:val="ListParagraph"/>
        <w:numPr>
          <w:ilvl w:val="0"/>
          <w:numId w:val="12"/>
        </w:numPr>
        <w:jc w:val="both"/>
        <w:rPr>
          <w:rFonts w:ascii="Cambria" w:hAnsi="Cambria" w:cs="Calibri Light"/>
          <w:sz w:val="20"/>
          <w:szCs w:val="20"/>
          <w:lang w:val="es-ES"/>
        </w:rPr>
      </w:pPr>
      <w:r w:rsidRPr="2E110AC2">
        <w:rPr>
          <w:rFonts w:ascii="Cambria" w:hAnsi="Cambria" w:cs="Calibri Light"/>
          <w:b/>
          <w:bCs/>
          <w:sz w:val="20"/>
          <w:szCs w:val="20"/>
          <w:lang w:val="es-ES"/>
        </w:rPr>
        <w:t>En relación con la primera recomendación</w:t>
      </w:r>
      <w:r w:rsidRPr="2E110AC2">
        <w:rPr>
          <w:rFonts w:ascii="Cambria" w:hAnsi="Cambria" w:cs="Calibri Light"/>
          <w:sz w:val="20"/>
          <w:szCs w:val="20"/>
          <w:lang w:val="es-ES"/>
        </w:rPr>
        <w:t xml:space="preserve">, ninguna de las partes ha remitido información sobre las acciones adoptadas por el Estado para cumplirla. </w:t>
      </w:r>
    </w:p>
    <w:p w14:paraId="376B3027" w14:textId="77777777" w:rsidR="0052799E" w:rsidRPr="00391BB0" w:rsidRDefault="0052799E" w:rsidP="0052799E">
      <w:pPr>
        <w:pStyle w:val="ListParagraph"/>
        <w:jc w:val="both"/>
        <w:rPr>
          <w:rFonts w:ascii="Cambria" w:hAnsi="Cambria" w:cs="Calibri Light"/>
          <w:sz w:val="20"/>
          <w:szCs w:val="20"/>
          <w:lang w:val="es-ES"/>
        </w:rPr>
      </w:pPr>
    </w:p>
    <w:p w14:paraId="262308C2" w14:textId="77777777" w:rsidR="0052799E" w:rsidRPr="00391BB0" w:rsidRDefault="0052799E" w:rsidP="0052799E">
      <w:pPr>
        <w:pStyle w:val="ListParagraph"/>
        <w:numPr>
          <w:ilvl w:val="0"/>
          <w:numId w:val="12"/>
        </w:numPr>
        <w:jc w:val="both"/>
        <w:rPr>
          <w:rFonts w:ascii="Cambria" w:hAnsi="Cambria" w:cs="Calibri Light"/>
          <w:sz w:val="20"/>
          <w:szCs w:val="20"/>
          <w:lang w:val="es-ES"/>
        </w:rPr>
      </w:pPr>
      <w:r w:rsidRPr="2E110AC2">
        <w:rPr>
          <w:rFonts w:ascii="Cambria" w:hAnsi="Cambria" w:cs="Calibri Light"/>
          <w:sz w:val="20"/>
          <w:szCs w:val="20"/>
          <w:lang w:val="es-ES"/>
        </w:rPr>
        <w:t xml:space="preserve">La Comisión observa con preocupación que Félix Rocha Díaz ha estado detenido en el corredor de la muerte en el estado de Texas desde 1998 y que el Estado aún no ha adoptado acciones para otorgarle un recurso efectivo, incluyendo la revisión de su juicio. </w:t>
      </w:r>
      <w:r w:rsidRPr="2E110AC2">
        <w:rPr>
          <w:rFonts w:ascii="Cambria" w:hAnsi="Cambria"/>
          <w:sz w:val="20"/>
          <w:szCs w:val="20"/>
          <w:lang w:val="es-ES"/>
        </w:rPr>
        <w:t xml:space="preserve">Por lo anterior, la Comisión considera que la Recomendación 1 se encuentra pendiente de cumplimiento. </w:t>
      </w:r>
    </w:p>
    <w:p w14:paraId="2913C3FC" w14:textId="77777777" w:rsidR="0052799E" w:rsidRPr="00391BB0" w:rsidRDefault="0052799E" w:rsidP="0052799E">
      <w:pPr>
        <w:pStyle w:val="ListParagraph"/>
        <w:rPr>
          <w:rFonts w:ascii="Cambria" w:hAnsi="Cambria" w:cs="Calibri Light"/>
          <w:sz w:val="20"/>
          <w:szCs w:val="20"/>
          <w:lang w:val="es-ES"/>
        </w:rPr>
      </w:pPr>
    </w:p>
    <w:p w14:paraId="7652554A" w14:textId="77777777" w:rsidR="0052799E" w:rsidRPr="00391BB0" w:rsidRDefault="0052799E" w:rsidP="0052799E">
      <w:pPr>
        <w:pStyle w:val="ListParagraph"/>
        <w:numPr>
          <w:ilvl w:val="0"/>
          <w:numId w:val="12"/>
        </w:numPr>
        <w:jc w:val="both"/>
        <w:rPr>
          <w:rFonts w:ascii="Cambria" w:hAnsi="Cambria" w:cs="Calibri Light"/>
          <w:sz w:val="20"/>
          <w:szCs w:val="20"/>
          <w:lang w:val="es-ES"/>
        </w:rPr>
      </w:pPr>
      <w:r w:rsidRPr="2E110AC2">
        <w:rPr>
          <w:rFonts w:ascii="Cambria" w:hAnsi="Cambria" w:cs="Calibri Light"/>
          <w:sz w:val="20"/>
          <w:szCs w:val="20"/>
          <w:lang w:val="es-ES"/>
        </w:rPr>
        <w:lastRenderedPageBreak/>
        <w:t xml:space="preserve"> </w:t>
      </w:r>
      <w:r w:rsidRPr="2E110AC2">
        <w:rPr>
          <w:rFonts w:ascii="Cambria" w:hAnsi="Cambria" w:cs="Calibri Light"/>
          <w:b/>
          <w:bCs/>
          <w:sz w:val="20"/>
          <w:szCs w:val="20"/>
          <w:lang w:val="es-ES"/>
        </w:rPr>
        <w:t>Respecto de la segunda recomendación</w:t>
      </w:r>
      <w:r w:rsidRPr="2E110AC2">
        <w:rPr>
          <w:rFonts w:ascii="Cambria" w:hAnsi="Cambria" w:cs="Calibri Light"/>
          <w:sz w:val="20"/>
          <w:szCs w:val="20"/>
          <w:lang w:val="es-ES"/>
        </w:rPr>
        <w:t xml:space="preserve">, ninguna de las partes ha remitido información sobre las acciones adoptadas por el Estado para cumplirla. </w:t>
      </w:r>
    </w:p>
    <w:p w14:paraId="4F9EE14E" w14:textId="77777777" w:rsidR="0052799E" w:rsidRPr="00391BB0" w:rsidRDefault="0052799E" w:rsidP="0052799E">
      <w:pPr>
        <w:pStyle w:val="ListParagraph"/>
        <w:rPr>
          <w:rFonts w:ascii="Cambria" w:hAnsi="Cambria"/>
          <w:sz w:val="20"/>
          <w:szCs w:val="20"/>
          <w:lang w:val="es-ES"/>
        </w:rPr>
      </w:pPr>
    </w:p>
    <w:p w14:paraId="1D365D0E" w14:textId="77777777" w:rsidR="0052799E" w:rsidRPr="00391BB0" w:rsidRDefault="0052799E" w:rsidP="0052799E">
      <w:pPr>
        <w:pStyle w:val="ListParagraph"/>
        <w:numPr>
          <w:ilvl w:val="0"/>
          <w:numId w:val="12"/>
        </w:numPr>
        <w:jc w:val="both"/>
        <w:rPr>
          <w:rFonts w:ascii="Cambria" w:hAnsi="Cambria" w:cs="Calibri Light"/>
          <w:sz w:val="20"/>
          <w:szCs w:val="20"/>
          <w:lang w:val="es-ES"/>
        </w:rPr>
      </w:pPr>
      <w:r w:rsidRPr="2E110AC2">
        <w:rPr>
          <w:rFonts w:ascii="Cambria" w:hAnsi="Cambria"/>
          <w:sz w:val="20"/>
          <w:szCs w:val="20"/>
          <w:lang w:val="es-ES"/>
        </w:rPr>
        <w:t xml:space="preserve">Por lo anterior, la Comisión considera que la Recomendación se encuentra pendiente de cumplimiento.   </w:t>
      </w:r>
    </w:p>
    <w:p w14:paraId="499CB542" w14:textId="77777777" w:rsidR="0052799E" w:rsidRPr="00391BB0" w:rsidRDefault="0052799E" w:rsidP="2E110AC2">
      <w:pPr>
        <w:pStyle w:val="ListParagraph"/>
        <w:rPr>
          <w:rFonts w:ascii="Cambria" w:hAnsi="Cambria" w:cs="Calibri Light"/>
          <w:b/>
          <w:bCs/>
          <w:sz w:val="20"/>
          <w:szCs w:val="20"/>
          <w:lang w:val="es-ES"/>
        </w:rPr>
      </w:pPr>
    </w:p>
    <w:p w14:paraId="1BE27048" w14:textId="77777777" w:rsidR="0052799E" w:rsidRPr="00391BB0" w:rsidRDefault="0052799E" w:rsidP="0052799E">
      <w:pPr>
        <w:pStyle w:val="ListParagraph"/>
        <w:numPr>
          <w:ilvl w:val="0"/>
          <w:numId w:val="12"/>
        </w:numPr>
        <w:jc w:val="both"/>
        <w:rPr>
          <w:rFonts w:ascii="Cambria" w:hAnsi="Cambria" w:cs="Calibri Light"/>
          <w:sz w:val="20"/>
          <w:szCs w:val="20"/>
          <w:lang w:val="es-ES"/>
        </w:rPr>
      </w:pPr>
      <w:r w:rsidRPr="2E110AC2">
        <w:rPr>
          <w:rFonts w:ascii="Cambria" w:hAnsi="Cambria" w:cs="Calibri Light"/>
          <w:b/>
          <w:bCs/>
          <w:sz w:val="20"/>
          <w:szCs w:val="20"/>
          <w:lang w:val="es-ES"/>
        </w:rPr>
        <w:t>Respecto de la tercera recomendación</w:t>
      </w:r>
      <w:r w:rsidRPr="2E110AC2">
        <w:rPr>
          <w:rFonts w:ascii="Cambria" w:hAnsi="Cambria" w:cs="Calibri Light"/>
          <w:sz w:val="20"/>
          <w:szCs w:val="20"/>
          <w:lang w:val="es-ES"/>
        </w:rPr>
        <w:t>, en 2015, el Estado informó que es parte de la Convención de Viena sobre Relaciones Consulares y que está completamente comprometido con cumplir las obligaciones establecidas en este instrumento para proveer notificación y acceso consular en los casos de ciudadanos extranjeros detenidos.</w:t>
      </w:r>
    </w:p>
    <w:p w14:paraId="58FA42B0" w14:textId="77777777" w:rsidR="0052799E" w:rsidRPr="00391BB0" w:rsidRDefault="0052799E" w:rsidP="0052799E">
      <w:pPr>
        <w:pStyle w:val="ListParagraph"/>
        <w:rPr>
          <w:rFonts w:ascii="Cambria" w:hAnsi="Cambria" w:cs="Calibri Light"/>
          <w:sz w:val="20"/>
          <w:szCs w:val="20"/>
          <w:lang w:val="es-ES"/>
        </w:rPr>
      </w:pPr>
    </w:p>
    <w:p w14:paraId="13DD2D30" w14:textId="77777777" w:rsidR="0052799E" w:rsidRPr="00391BB0" w:rsidRDefault="0052799E" w:rsidP="0052799E">
      <w:pPr>
        <w:pStyle w:val="ListParagraph"/>
        <w:numPr>
          <w:ilvl w:val="0"/>
          <w:numId w:val="12"/>
        </w:numPr>
        <w:jc w:val="both"/>
        <w:rPr>
          <w:rFonts w:ascii="Cambria" w:hAnsi="Cambria" w:cs="Calibri Light"/>
          <w:sz w:val="20"/>
          <w:szCs w:val="20"/>
          <w:lang w:val="es-ES"/>
        </w:rPr>
      </w:pPr>
      <w:r w:rsidRPr="2E110AC2">
        <w:rPr>
          <w:rFonts w:ascii="Cambria" w:hAnsi="Cambria" w:cs="Calibri Light"/>
          <w:sz w:val="20"/>
          <w:szCs w:val="20"/>
          <w:lang w:val="es-ES"/>
        </w:rPr>
        <w:t>La peticionaria no ha presentado información sobre las acciones adoptadas por el Estado para cumplir con esta recomendación.</w:t>
      </w:r>
    </w:p>
    <w:p w14:paraId="271B3659" w14:textId="77777777" w:rsidR="0052799E" w:rsidRPr="00391BB0" w:rsidRDefault="0052799E" w:rsidP="0052799E">
      <w:pPr>
        <w:pStyle w:val="ListParagraph"/>
        <w:rPr>
          <w:rFonts w:ascii="Cambria" w:hAnsi="Cambria" w:cs="Calibri Light"/>
          <w:sz w:val="20"/>
          <w:szCs w:val="20"/>
          <w:lang w:val="es-ES"/>
        </w:rPr>
      </w:pPr>
    </w:p>
    <w:p w14:paraId="5A00B8BE" w14:textId="77777777" w:rsidR="0052799E" w:rsidRPr="00391BB0" w:rsidRDefault="0052799E" w:rsidP="0052799E">
      <w:pPr>
        <w:pStyle w:val="ListParagraph"/>
        <w:numPr>
          <w:ilvl w:val="0"/>
          <w:numId w:val="12"/>
        </w:numPr>
        <w:jc w:val="both"/>
        <w:rPr>
          <w:rFonts w:ascii="Cambria" w:hAnsi="Cambria" w:cs="Calibri Light"/>
          <w:sz w:val="20"/>
          <w:szCs w:val="20"/>
          <w:lang w:val="es-ES"/>
        </w:rPr>
      </w:pPr>
      <w:r w:rsidRPr="2E110AC2">
        <w:rPr>
          <w:rFonts w:ascii="Cambria" w:hAnsi="Cambria" w:cs="Calibri Light"/>
          <w:sz w:val="20"/>
          <w:szCs w:val="20"/>
          <w:lang w:val="es-ES"/>
        </w:rPr>
        <w:t xml:space="preserve">La Comisión valora el compromiso del Estado de cumplir las obligaciones asumidas en el marco de la Convención de Viena sobre Relaciones Consulares, mientras que nota, al mismo tiempo, que el Estado no ha presentado información detallada y actualizada sobre las acciones adoptadas para garantizar que cada extranjero privado de su libertad sea informado de su derecho a la información sobre asistencia consular. </w:t>
      </w:r>
      <w:r w:rsidRPr="2E110AC2">
        <w:rPr>
          <w:rFonts w:ascii="Cambria" w:hAnsi="Cambria"/>
          <w:sz w:val="20"/>
          <w:szCs w:val="20"/>
          <w:lang w:val="es-ES"/>
        </w:rPr>
        <w:t>Por lo anterior, la Comisión considera que la Recomendación 3 se encuentra parcialmente cumplida.</w:t>
      </w:r>
    </w:p>
    <w:p w14:paraId="68BC24A4" w14:textId="77777777" w:rsidR="0052799E" w:rsidRPr="00391BB0" w:rsidRDefault="0052799E" w:rsidP="0052799E">
      <w:pPr>
        <w:pStyle w:val="ListParagraph"/>
        <w:rPr>
          <w:rFonts w:ascii="Cambria" w:hAnsi="Cambria" w:cs="Calibri Light"/>
          <w:sz w:val="20"/>
          <w:szCs w:val="20"/>
          <w:lang w:val="es-ES"/>
        </w:rPr>
      </w:pPr>
    </w:p>
    <w:p w14:paraId="14D69CB2" w14:textId="77777777" w:rsidR="0052799E" w:rsidRPr="00391BB0" w:rsidRDefault="0052799E" w:rsidP="0052799E">
      <w:pPr>
        <w:pStyle w:val="ListParagraph"/>
        <w:numPr>
          <w:ilvl w:val="0"/>
          <w:numId w:val="12"/>
        </w:numPr>
        <w:jc w:val="both"/>
        <w:rPr>
          <w:rFonts w:ascii="Cambria" w:hAnsi="Cambria" w:cs="Calibri Light"/>
          <w:sz w:val="20"/>
          <w:szCs w:val="20"/>
          <w:lang w:val="es-ES"/>
        </w:rPr>
      </w:pPr>
      <w:r w:rsidRPr="2E110AC2">
        <w:rPr>
          <w:rFonts w:ascii="Cambria" w:hAnsi="Cambria" w:cs="Calibri Light"/>
          <w:b/>
          <w:bCs/>
          <w:sz w:val="20"/>
          <w:szCs w:val="20"/>
          <w:lang w:val="es-ES"/>
        </w:rPr>
        <w:t>Respecto de las recomendaciones 4, 5, 6, 7, 8, 9 y 10</w:t>
      </w:r>
      <w:r w:rsidRPr="2E110AC2">
        <w:rPr>
          <w:rFonts w:ascii="Cambria" w:hAnsi="Cambria" w:cs="Calibri Light"/>
          <w:sz w:val="20"/>
          <w:szCs w:val="20"/>
          <w:lang w:val="es-ES"/>
        </w:rPr>
        <w:t xml:space="preserve">, ninguna de las partes ha remitido información sobre las acciones adoptadas por el Estado para cumplirlas. </w:t>
      </w:r>
    </w:p>
    <w:p w14:paraId="08460879" w14:textId="77777777" w:rsidR="0052799E" w:rsidRPr="00391BB0" w:rsidRDefault="0052799E" w:rsidP="0052799E">
      <w:pPr>
        <w:pStyle w:val="ListParagraph"/>
        <w:rPr>
          <w:rFonts w:ascii="Cambria" w:hAnsi="Cambria" w:cs="Calibri Light"/>
          <w:sz w:val="20"/>
          <w:szCs w:val="20"/>
          <w:lang w:val="es-ES"/>
        </w:rPr>
      </w:pPr>
    </w:p>
    <w:p w14:paraId="01BFB917" w14:textId="77777777" w:rsidR="0052799E" w:rsidRPr="00391BB0" w:rsidRDefault="0052799E" w:rsidP="2E110AC2">
      <w:pPr>
        <w:pStyle w:val="ListParagraph"/>
        <w:numPr>
          <w:ilvl w:val="0"/>
          <w:numId w:val="12"/>
        </w:numPr>
        <w:jc w:val="both"/>
        <w:rPr>
          <w:rFonts w:ascii="Cambria" w:hAnsi="Cambria" w:cs="Calibri Light"/>
          <w:b/>
          <w:bCs/>
          <w:sz w:val="20"/>
          <w:szCs w:val="20"/>
          <w:lang w:val="es-ES"/>
        </w:rPr>
      </w:pPr>
      <w:r w:rsidRPr="2E110AC2">
        <w:rPr>
          <w:rFonts w:ascii="Cambria" w:hAnsi="Cambria"/>
          <w:sz w:val="20"/>
          <w:szCs w:val="20"/>
          <w:lang w:val="es-ES"/>
        </w:rPr>
        <w:t>Por lo anterior, la Comisión considera que las Recomendaciones 4 a 10 se encuentran pendientes de cumplimiento.</w:t>
      </w:r>
    </w:p>
    <w:p w14:paraId="332C6480" w14:textId="77777777" w:rsidR="0052799E" w:rsidRPr="00391BB0" w:rsidRDefault="0052799E" w:rsidP="0052799E">
      <w:pPr>
        <w:jc w:val="both"/>
        <w:rPr>
          <w:rFonts w:ascii="Cambria" w:hAnsi="Cambria"/>
          <w:sz w:val="20"/>
          <w:szCs w:val="20"/>
          <w:lang w:val="es-ES"/>
        </w:rPr>
      </w:pPr>
    </w:p>
    <w:p w14:paraId="49183E5F" w14:textId="77777777" w:rsidR="0052799E" w:rsidRPr="00391BB0" w:rsidRDefault="0052799E" w:rsidP="2E110AC2">
      <w:pPr>
        <w:pStyle w:val="ListParagraph"/>
        <w:numPr>
          <w:ilvl w:val="0"/>
          <w:numId w:val="8"/>
        </w:numPr>
        <w:ind w:left="1440"/>
        <w:jc w:val="both"/>
        <w:rPr>
          <w:rFonts w:ascii="Cambria" w:hAnsi="Cambria" w:cs="Calibri Light"/>
          <w:b/>
          <w:bCs/>
          <w:sz w:val="20"/>
          <w:szCs w:val="20"/>
          <w:lang w:val="es-ES"/>
        </w:rPr>
      </w:pPr>
      <w:r w:rsidRPr="2E110AC2">
        <w:rPr>
          <w:rFonts w:ascii="Cambria" w:hAnsi="Cambria" w:cs="Calibri Light"/>
          <w:b/>
          <w:bCs/>
          <w:sz w:val="20"/>
          <w:szCs w:val="20"/>
          <w:lang w:val="es-ES"/>
        </w:rPr>
        <w:t xml:space="preserve">Nivel del cumplimiento del caso  </w:t>
      </w:r>
    </w:p>
    <w:p w14:paraId="421D9203" w14:textId="77777777" w:rsidR="0052799E" w:rsidRPr="00391BB0" w:rsidRDefault="0052799E" w:rsidP="0052799E">
      <w:pPr>
        <w:jc w:val="both"/>
        <w:rPr>
          <w:rFonts w:ascii="Cambria" w:hAnsi="Cambria" w:cs="Calibri Light"/>
          <w:sz w:val="20"/>
          <w:szCs w:val="20"/>
          <w:lang w:val="es-ES"/>
        </w:rPr>
      </w:pPr>
    </w:p>
    <w:p w14:paraId="03774C38" w14:textId="77777777" w:rsidR="0052799E" w:rsidRPr="00391BB0" w:rsidRDefault="0052799E" w:rsidP="0052799E">
      <w:pPr>
        <w:pStyle w:val="ListParagraph"/>
        <w:numPr>
          <w:ilvl w:val="0"/>
          <w:numId w:val="12"/>
        </w:numPr>
        <w:jc w:val="both"/>
        <w:rPr>
          <w:rFonts w:ascii="Cambria" w:hAnsi="Cambria" w:cs="Calibri Light"/>
          <w:sz w:val="20"/>
          <w:szCs w:val="20"/>
          <w:lang w:val="es-ES"/>
        </w:rPr>
      </w:pPr>
      <w:r w:rsidRPr="2E110AC2">
        <w:rPr>
          <w:rFonts w:ascii="Cambria" w:hAnsi="Cambria" w:cs="Calibri Light"/>
          <w:sz w:val="20"/>
          <w:szCs w:val="20"/>
          <w:lang w:val="es-ES"/>
        </w:rPr>
        <w:t>Por lo anterior, la Comisión concluye que el nivel de cumplimiento del caso es parcial. En consecuencia, la CIDH seguirá supervisando el cumplimiento de todas las recomendaciones.</w:t>
      </w:r>
    </w:p>
    <w:p w14:paraId="12B3ACA1" w14:textId="77777777" w:rsidR="0052799E" w:rsidRPr="00391BB0" w:rsidRDefault="0052799E" w:rsidP="0052799E">
      <w:pPr>
        <w:pStyle w:val="ListParagraph"/>
        <w:jc w:val="both"/>
        <w:rPr>
          <w:rFonts w:ascii="Cambria" w:hAnsi="Cambria" w:cs="Calibri Light"/>
          <w:sz w:val="20"/>
          <w:szCs w:val="20"/>
          <w:lang w:val="es-ES"/>
        </w:rPr>
      </w:pPr>
    </w:p>
    <w:p w14:paraId="11F25D61" w14:textId="77777777" w:rsidR="0052799E" w:rsidRPr="00391BB0" w:rsidRDefault="0052799E" w:rsidP="0052799E">
      <w:pPr>
        <w:pStyle w:val="ListParagraph"/>
        <w:numPr>
          <w:ilvl w:val="0"/>
          <w:numId w:val="12"/>
        </w:numPr>
        <w:jc w:val="both"/>
        <w:rPr>
          <w:rFonts w:ascii="Cambria" w:hAnsi="Cambria" w:cs="Calibri Light"/>
          <w:sz w:val="20"/>
          <w:szCs w:val="20"/>
          <w:lang w:val="es-ES"/>
        </w:rPr>
      </w:pPr>
      <w:r w:rsidRPr="00391BB0">
        <w:rPr>
          <w:rFonts w:ascii="Cambria" w:hAnsi="Cambria" w:cs="Calibri Light"/>
          <w:sz w:val="20"/>
          <w:szCs w:val="20"/>
          <w:lang w:val="es-ES"/>
        </w:rPr>
        <w:t xml:space="preserve">La Comisión insta al Estado a adoptar las acciones necesarias para implementar las recomendaciones emitidas en el Informe de Fondo </w:t>
      </w:r>
      <w:r w:rsidRPr="00391BB0">
        <w:rPr>
          <w:rFonts w:ascii="Cambria" w:hAnsi="Cambria"/>
          <w:sz w:val="20"/>
          <w:szCs w:val="20"/>
          <w:lang w:val="es-ES"/>
        </w:rPr>
        <w:t>Nº</w:t>
      </w:r>
      <w:r w:rsidRPr="00391BB0">
        <w:rPr>
          <w:rFonts w:ascii="Cambria" w:hAnsi="Cambria" w:cs="Calibri Light"/>
          <w:sz w:val="20"/>
          <w:szCs w:val="20"/>
          <w:lang w:val="es-ES"/>
        </w:rPr>
        <w:t xml:space="preserve"> 11/15 y a remitir a la Comisión información detallada y actualizada sobre estas acciones. La Comisión recuerda a</w:t>
      </w:r>
      <w:r w:rsidRPr="00391BB0">
        <w:rPr>
          <w:rFonts w:ascii="Cambria" w:hAnsi="Cambria"/>
          <w:sz w:val="20"/>
          <w:szCs w:val="20"/>
          <w:lang w:val="es-ES"/>
        </w:rPr>
        <w:t>l Estado que, si el señor Rocha fuese ejecutado, también se estaría cometiendo una violación grave e irreparable al derecho a la vida reconocido en el Artículo I de la Declaración Americana</w:t>
      </w:r>
      <w:r w:rsidRPr="00391BB0">
        <w:rPr>
          <w:rStyle w:val="FootnoteReference"/>
          <w:rFonts w:ascii="Cambria" w:hAnsi="Cambria"/>
          <w:sz w:val="20"/>
          <w:szCs w:val="20"/>
          <w:lang w:val="es-ES"/>
        </w:rPr>
        <w:footnoteReference w:id="1"/>
      </w:r>
      <w:r w:rsidRPr="00391BB0">
        <w:rPr>
          <w:rFonts w:ascii="Cambria" w:hAnsi="Cambria" w:cs="Calibri Light"/>
          <w:sz w:val="20"/>
          <w:szCs w:val="20"/>
          <w:lang w:val="es-ES"/>
        </w:rPr>
        <w:t>.</w:t>
      </w:r>
    </w:p>
    <w:p w14:paraId="19F51141" w14:textId="77777777" w:rsidR="0052799E" w:rsidRPr="00391BB0" w:rsidRDefault="0052799E" w:rsidP="0052799E">
      <w:pPr>
        <w:jc w:val="both"/>
        <w:rPr>
          <w:rFonts w:ascii="Cambria" w:hAnsi="Cambria" w:cs="Calibri Light"/>
          <w:sz w:val="20"/>
          <w:szCs w:val="20"/>
          <w:lang w:val="es-ES"/>
        </w:rPr>
      </w:pPr>
    </w:p>
    <w:p w14:paraId="69A3BB3C" w14:textId="77777777" w:rsidR="0052799E" w:rsidRPr="00391BB0" w:rsidRDefault="0052799E" w:rsidP="2E110AC2">
      <w:pPr>
        <w:pStyle w:val="ListParagraph"/>
        <w:numPr>
          <w:ilvl w:val="0"/>
          <w:numId w:val="8"/>
        </w:numPr>
        <w:ind w:left="1440"/>
        <w:jc w:val="both"/>
        <w:rPr>
          <w:rFonts w:ascii="Cambria" w:hAnsi="Cambria"/>
          <w:b/>
          <w:bCs/>
          <w:sz w:val="20"/>
          <w:szCs w:val="20"/>
          <w:lang w:val="es-ES"/>
        </w:rPr>
      </w:pPr>
      <w:r w:rsidRPr="2E110AC2">
        <w:rPr>
          <w:rFonts w:ascii="Cambria" w:hAnsi="Cambria"/>
          <w:b/>
          <w:bCs/>
          <w:sz w:val="20"/>
          <w:szCs w:val="20"/>
          <w:lang w:val="es-ES"/>
        </w:rPr>
        <w:t xml:space="preserve">Resultados individuales y estructurales del caso </w:t>
      </w:r>
    </w:p>
    <w:p w14:paraId="4952D7B8" w14:textId="77777777" w:rsidR="0052799E" w:rsidRPr="00391BB0" w:rsidRDefault="0052799E" w:rsidP="2E110AC2">
      <w:pPr>
        <w:jc w:val="both"/>
        <w:rPr>
          <w:rFonts w:ascii="Cambria" w:hAnsi="Cambria"/>
          <w:b/>
          <w:bCs/>
          <w:sz w:val="20"/>
          <w:szCs w:val="20"/>
          <w:lang w:val="es-ES"/>
        </w:rPr>
      </w:pPr>
    </w:p>
    <w:p w14:paraId="0A2A8F67" w14:textId="77777777" w:rsidR="0052799E" w:rsidRPr="00391BB0" w:rsidRDefault="0052799E" w:rsidP="0052799E">
      <w:pPr>
        <w:pStyle w:val="ListParagraph"/>
        <w:numPr>
          <w:ilvl w:val="0"/>
          <w:numId w:val="12"/>
        </w:numPr>
        <w:jc w:val="both"/>
        <w:rPr>
          <w:rFonts w:ascii="Cambria" w:hAnsi="Cambria"/>
          <w:sz w:val="20"/>
          <w:szCs w:val="20"/>
          <w:lang w:val="es-ES"/>
        </w:rPr>
      </w:pPr>
      <w:r w:rsidRPr="2E110AC2">
        <w:rPr>
          <w:rFonts w:ascii="Cambria" w:hAnsi="Cambria" w:cs="Calibri Light"/>
          <w:sz w:val="20"/>
          <w:szCs w:val="20"/>
          <w:lang w:val="es-ES"/>
        </w:rPr>
        <w:t>En esta sección se destacan los resultados individuales y estructurales del caso informados por las partes</w:t>
      </w:r>
      <w:r w:rsidRPr="2E110AC2">
        <w:rPr>
          <w:rFonts w:ascii="Cambria" w:hAnsi="Cambria"/>
          <w:sz w:val="20"/>
          <w:szCs w:val="20"/>
          <w:lang w:val="es-ES"/>
        </w:rPr>
        <w:t xml:space="preserve">. </w:t>
      </w:r>
    </w:p>
    <w:p w14:paraId="1DCC28EE" w14:textId="77777777" w:rsidR="0052799E" w:rsidRPr="00391BB0" w:rsidRDefault="0052799E" w:rsidP="2E110AC2">
      <w:pPr>
        <w:jc w:val="both"/>
        <w:rPr>
          <w:rFonts w:ascii="Cambria" w:hAnsi="Cambria"/>
          <w:b/>
          <w:bCs/>
          <w:sz w:val="20"/>
          <w:szCs w:val="20"/>
          <w:lang w:val="es-ES"/>
        </w:rPr>
      </w:pPr>
    </w:p>
    <w:p w14:paraId="3C4AE304" w14:textId="77777777" w:rsidR="0052799E" w:rsidRPr="00391BB0" w:rsidRDefault="0052799E" w:rsidP="2E110AC2">
      <w:pPr>
        <w:pStyle w:val="ListParagraph"/>
        <w:numPr>
          <w:ilvl w:val="0"/>
          <w:numId w:val="9"/>
        </w:numPr>
        <w:ind w:left="1440" w:hanging="720"/>
        <w:jc w:val="both"/>
        <w:rPr>
          <w:rFonts w:ascii="Cambria" w:hAnsi="Cambria"/>
          <w:b/>
          <w:bCs/>
          <w:sz w:val="20"/>
          <w:szCs w:val="20"/>
          <w:lang w:val="es-ES"/>
        </w:rPr>
      </w:pPr>
      <w:r w:rsidRPr="2E110AC2">
        <w:rPr>
          <w:rFonts w:ascii="Cambria" w:hAnsi="Cambria"/>
          <w:b/>
          <w:bCs/>
          <w:sz w:val="20"/>
          <w:szCs w:val="20"/>
          <w:lang w:val="es-ES"/>
        </w:rPr>
        <w:t>Resultados individuales del caso</w:t>
      </w:r>
    </w:p>
    <w:p w14:paraId="1FF3DEE8" w14:textId="77777777" w:rsidR="0052799E" w:rsidRPr="00391BB0" w:rsidRDefault="0052799E" w:rsidP="0052799E">
      <w:pPr>
        <w:pStyle w:val="ListParagraph"/>
        <w:numPr>
          <w:ilvl w:val="0"/>
          <w:numId w:val="10"/>
        </w:numPr>
        <w:jc w:val="both"/>
        <w:rPr>
          <w:rFonts w:ascii="Cambria" w:hAnsi="Cambria"/>
          <w:sz w:val="20"/>
          <w:szCs w:val="20"/>
          <w:lang w:val="es-ES"/>
        </w:rPr>
      </w:pPr>
      <w:r w:rsidRPr="2E110AC2">
        <w:rPr>
          <w:rFonts w:ascii="Cambria" w:hAnsi="Cambria"/>
          <w:sz w:val="20"/>
          <w:szCs w:val="20"/>
          <w:lang w:val="es-ES"/>
        </w:rPr>
        <w:t xml:space="preserve">No hay resultados individuales informados por las partes.  </w:t>
      </w:r>
    </w:p>
    <w:p w14:paraId="69BB2493" w14:textId="77777777" w:rsidR="0052799E" w:rsidRPr="00391BB0" w:rsidRDefault="0052799E" w:rsidP="0052799E">
      <w:pPr>
        <w:jc w:val="both"/>
        <w:rPr>
          <w:rFonts w:ascii="Cambria" w:hAnsi="Cambria"/>
          <w:sz w:val="20"/>
          <w:szCs w:val="20"/>
          <w:lang w:val="es-ES"/>
        </w:rPr>
      </w:pPr>
    </w:p>
    <w:p w14:paraId="4B770161" w14:textId="77777777" w:rsidR="0052799E" w:rsidRPr="00391BB0" w:rsidRDefault="0052799E" w:rsidP="2E110AC2">
      <w:pPr>
        <w:pStyle w:val="ListParagraph"/>
        <w:numPr>
          <w:ilvl w:val="0"/>
          <w:numId w:val="9"/>
        </w:numPr>
        <w:ind w:left="1440" w:hanging="720"/>
        <w:jc w:val="both"/>
        <w:rPr>
          <w:rFonts w:ascii="Cambria" w:hAnsi="Cambria"/>
          <w:b/>
          <w:bCs/>
          <w:sz w:val="20"/>
          <w:szCs w:val="20"/>
          <w:lang w:val="es-ES"/>
        </w:rPr>
      </w:pPr>
      <w:r w:rsidRPr="2E110AC2">
        <w:rPr>
          <w:rFonts w:ascii="Cambria" w:hAnsi="Cambria"/>
          <w:b/>
          <w:bCs/>
          <w:sz w:val="20"/>
          <w:szCs w:val="20"/>
          <w:lang w:val="es-ES"/>
        </w:rPr>
        <w:t>Resultados estructurales del caso</w:t>
      </w:r>
    </w:p>
    <w:p w14:paraId="2F7CC83F" w14:textId="77777777" w:rsidR="0052799E" w:rsidRPr="00391BB0" w:rsidRDefault="0052799E" w:rsidP="0052799E">
      <w:pPr>
        <w:jc w:val="both"/>
        <w:rPr>
          <w:rFonts w:ascii="Cambria" w:hAnsi="Cambria"/>
          <w:sz w:val="20"/>
          <w:szCs w:val="20"/>
          <w:lang w:val="es-ES"/>
        </w:rPr>
      </w:pPr>
    </w:p>
    <w:p w14:paraId="611AE2D7" w14:textId="77777777" w:rsidR="0052799E" w:rsidRPr="00391BB0" w:rsidRDefault="0052799E" w:rsidP="2E110AC2">
      <w:pPr>
        <w:jc w:val="both"/>
        <w:rPr>
          <w:rFonts w:ascii="Cambria" w:hAnsi="Cambria"/>
          <w:i/>
          <w:iCs/>
          <w:sz w:val="20"/>
          <w:szCs w:val="20"/>
          <w:lang w:val="es-ES"/>
        </w:rPr>
      </w:pPr>
      <w:r w:rsidRPr="2E110AC2">
        <w:rPr>
          <w:rFonts w:ascii="Cambria" w:hAnsi="Cambria"/>
          <w:i/>
          <w:iCs/>
          <w:sz w:val="20"/>
          <w:szCs w:val="20"/>
          <w:lang w:val="es-ES"/>
        </w:rPr>
        <w:t>Fortalecimiento institucional</w:t>
      </w:r>
    </w:p>
    <w:p w14:paraId="5F7D36A8" w14:textId="77777777" w:rsidR="0052799E" w:rsidRPr="00391BB0" w:rsidRDefault="0052799E" w:rsidP="0052799E">
      <w:pPr>
        <w:pStyle w:val="ListParagraph"/>
        <w:numPr>
          <w:ilvl w:val="0"/>
          <w:numId w:val="10"/>
        </w:numPr>
        <w:jc w:val="both"/>
        <w:rPr>
          <w:rFonts w:ascii="Cambria" w:hAnsi="Cambria"/>
          <w:sz w:val="20"/>
          <w:szCs w:val="20"/>
          <w:lang w:val="es-ES"/>
        </w:rPr>
      </w:pPr>
      <w:r w:rsidRPr="2E110AC2">
        <w:rPr>
          <w:rFonts w:ascii="Cambria" w:hAnsi="Cambria"/>
          <w:sz w:val="20"/>
          <w:szCs w:val="20"/>
          <w:lang w:val="es-ES"/>
        </w:rPr>
        <w:t>Publicación del Manual Consular</w:t>
      </w:r>
      <w:r w:rsidRPr="2E110AC2">
        <w:rPr>
          <w:rFonts w:ascii="Cambria" w:hAnsi="Cambria"/>
          <w:i/>
          <w:iCs/>
          <w:sz w:val="20"/>
          <w:szCs w:val="20"/>
          <w:lang w:val="es-ES"/>
        </w:rPr>
        <w:t xml:space="preserve"> “</w:t>
      </w:r>
      <w:r w:rsidRPr="2E110AC2">
        <w:rPr>
          <w:rFonts w:ascii="Cambria" w:hAnsi="Cambria"/>
          <w:sz w:val="20"/>
          <w:szCs w:val="20"/>
          <w:lang w:val="es-ES"/>
        </w:rPr>
        <w:t xml:space="preserve">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w:t>
      </w:r>
      <w:r w:rsidRPr="2E110AC2">
        <w:rPr>
          <w:rFonts w:ascii="Cambria" w:hAnsi="Cambria"/>
          <w:sz w:val="20"/>
          <w:szCs w:val="20"/>
          <w:lang w:val="es-ES"/>
        </w:rPr>
        <w:lastRenderedPageBreak/>
        <w:t>ciudadano extranjero, a fin de cumplir las disposiciones de la Convención de Viena y los acuerdos consulares bilaterales (última revisión: septiembre de 2018).</w:t>
      </w:r>
    </w:p>
    <w:p w14:paraId="45B26099" w14:textId="77777777" w:rsidR="00BD17B0" w:rsidRPr="0052799E" w:rsidRDefault="00BD17B0" w:rsidP="0052799E">
      <w:pPr>
        <w:rPr>
          <w:lang w:val="es-ES"/>
        </w:rPr>
      </w:pPr>
    </w:p>
    <w:sectPr w:rsidR="00BD17B0" w:rsidRPr="0052799E"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3A5E" w14:textId="77777777" w:rsidR="00C2193A" w:rsidRDefault="00C2193A" w:rsidP="00672733">
      <w:r>
        <w:separator/>
      </w:r>
    </w:p>
  </w:endnote>
  <w:endnote w:type="continuationSeparator" w:id="0">
    <w:p w14:paraId="02D001B6" w14:textId="77777777" w:rsidR="00C2193A" w:rsidRDefault="00C2193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6ACF" w14:textId="77777777" w:rsidR="00C2193A" w:rsidRDefault="00C2193A" w:rsidP="00672733">
      <w:r>
        <w:separator/>
      </w:r>
    </w:p>
  </w:footnote>
  <w:footnote w:type="continuationSeparator" w:id="0">
    <w:p w14:paraId="375B1645" w14:textId="77777777" w:rsidR="00C2193A" w:rsidRDefault="00C2193A" w:rsidP="00672733">
      <w:r>
        <w:continuationSeparator/>
      </w:r>
    </w:p>
  </w:footnote>
  <w:footnote w:id="1">
    <w:p w14:paraId="61A6C217" w14:textId="77777777" w:rsidR="0052799E" w:rsidRPr="00080CBA" w:rsidRDefault="0052799E" w:rsidP="0052799E">
      <w:pPr>
        <w:pStyle w:val="FootnoteText"/>
        <w:ind w:firstLine="720"/>
        <w:jc w:val="both"/>
        <w:rPr>
          <w:rFonts w:ascii="Cambria" w:hAnsi="Cambria"/>
          <w:sz w:val="16"/>
          <w:szCs w:val="16"/>
          <w:lang w:val="es-CO"/>
        </w:rPr>
      </w:pPr>
      <w:r w:rsidRPr="00080CBA">
        <w:rPr>
          <w:rStyle w:val="FootnoteReference"/>
          <w:rFonts w:ascii="Cambria" w:hAnsi="Cambria"/>
          <w:sz w:val="16"/>
          <w:szCs w:val="16"/>
        </w:rPr>
        <w:footnoteRef/>
      </w:r>
      <w:r w:rsidRPr="00080CBA">
        <w:rPr>
          <w:rFonts w:ascii="Cambria" w:hAnsi="Cambria"/>
          <w:sz w:val="16"/>
          <w:szCs w:val="16"/>
          <w:lang w:val="es-CO"/>
        </w:rPr>
        <w:t xml:space="preserve"> </w:t>
      </w:r>
      <w:r w:rsidRPr="005B7B3E">
        <w:rPr>
          <w:rFonts w:ascii="Cambria" w:hAnsi="Cambria"/>
          <w:sz w:val="16"/>
          <w:szCs w:val="16"/>
          <w:lang w:val="es-ES"/>
        </w:rPr>
        <w:t xml:space="preserve">CIDH, </w:t>
      </w:r>
      <w:hyperlink r:id="rId1" w:history="1">
        <w:r w:rsidRPr="005B7B3E">
          <w:rPr>
            <w:rStyle w:val="Hyperlink"/>
            <w:rFonts w:ascii="Cambria" w:hAnsi="Cambria"/>
            <w:sz w:val="16"/>
            <w:szCs w:val="16"/>
            <w:lang w:val="es-ES"/>
          </w:rPr>
          <w:t xml:space="preserve">Caso 12.833, Informe </w:t>
        </w:r>
        <w:r>
          <w:rPr>
            <w:rStyle w:val="Hyperlink"/>
            <w:rFonts w:ascii="Cambria" w:hAnsi="Cambria"/>
            <w:sz w:val="16"/>
            <w:szCs w:val="16"/>
            <w:lang w:val="es-ES"/>
          </w:rPr>
          <w:t>de Fondo Nº 11/15, Félix</w:t>
        </w:r>
        <w:r w:rsidRPr="005B7B3E">
          <w:rPr>
            <w:rStyle w:val="Hyperlink"/>
            <w:rFonts w:ascii="Cambria" w:hAnsi="Cambria"/>
            <w:sz w:val="16"/>
            <w:szCs w:val="16"/>
            <w:lang w:val="es-ES"/>
          </w:rPr>
          <w:t xml:space="preserve"> Rocha Díaz (Estados Unidos)</w:t>
        </w:r>
      </w:hyperlink>
      <w:r w:rsidRPr="005B7B3E">
        <w:rPr>
          <w:rFonts w:ascii="Cambria" w:hAnsi="Cambria"/>
          <w:sz w:val="16"/>
          <w:szCs w:val="16"/>
          <w:lang w:val="es-ES"/>
        </w:rPr>
        <w:t xml:space="preserve">, párr.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427662E5"/>
    <w:multiLevelType w:val="hybridMultilevel"/>
    <w:tmpl w:val="CAF25D28"/>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67EAC"/>
    <w:multiLevelType w:val="hybridMultilevel"/>
    <w:tmpl w:val="C6E48FB2"/>
    <w:lvl w:ilvl="0" w:tplc="0BFE59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2294D"/>
    <w:multiLevelType w:val="hybridMultilevel"/>
    <w:tmpl w:val="70784D20"/>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857E5"/>
    <w:multiLevelType w:val="hybridMultilevel"/>
    <w:tmpl w:val="1B1A2E4C"/>
    <w:lvl w:ilvl="0" w:tplc="6CC6615C">
      <w:start w:val="1"/>
      <w:numFmt w:val="decimal"/>
      <w:lvlText w:val="%1."/>
      <w:lvlJc w:val="left"/>
      <w:pPr>
        <w:ind w:left="720" w:hanging="360"/>
      </w:pPr>
      <w:rPr>
        <w:rFonts w:ascii="Cambria" w:hAnsi="Cambri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321667144">
    <w:abstractNumId w:val="12"/>
  </w:num>
  <w:num w:numId="2" w16cid:durableId="661473593">
    <w:abstractNumId w:val="20"/>
  </w:num>
  <w:num w:numId="3" w16cid:durableId="552500602">
    <w:abstractNumId w:val="16"/>
  </w:num>
  <w:num w:numId="4" w16cid:durableId="527916952">
    <w:abstractNumId w:val="7"/>
  </w:num>
  <w:num w:numId="5" w16cid:durableId="1275867751">
    <w:abstractNumId w:val="5"/>
  </w:num>
  <w:num w:numId="6" w16cid:durableId="298460181">
    <w:abstractNumId w:val="9"/>
  </w:num>
  <w:num w:numId="7" w16cid:durableId="1904367675">
    <w:abstractNumId w:val="1"/>
  </w:num>
  <w:num w:numId="8" w16cid:durableId="1335886539">
    <w:abstractNumId w:val="15"/>
  </w:num>
  <w:num w:numId="9" w16cid:durableId="850945853">
    <w:abstractNumId w:val="2"/>
  </w:num>
  <w:num w:numId="10" w16cid:durableId="232739668">
    <w:abstractNumId w:val="19"/>
  </w:num>
  <w:num w:numId="11" w16cid:durableId="755784920">
    <w:abstractNumId w:val="17"/>
  </w:num>
  <w:num w:numId="12" w16cid:durableId="1223443153">
    <w:abstractNumId w:val="13"/>
  </w:num>
  <w:num w:numId="13" w16cid:durableId="557858497">
    <w:abstractNumId w:val="6"/>
  </w:num>
  <w:num w:numId="14" w16cid:durableId="1113553578">
    <w:abstractNumId w:val="11"/>
  </w:num>
  <w:num w:numId="15" w16cid:durableId="1890722811">
    <w:abstractNumId w:val="0"/>
  </w:num>
  <w:num w:numId="16" w16cid:durableId="1550532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0906682">
    <w:abstractNumId w:val="10"/>
  </w:num>
  <w:num w:numId="18" w16cid:durableId="1077283083">
    <w:abstractNumId w:val="3"/>
  </w:num>
  <w:num w:numId="19" w16cid:durableId="797800489">
    <w:abstractNumId w:val="4"/>
  </w:num>
  <w:num w:numId="20" w16cid:durableId="1941911344">
    <w:abstractNumId w:val="14"/>
  </w:num>
  <w:num w:numId="21" w16cid:durableId="61744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6F53"/>
    <w:rsid w:val="00045E5E"/>
    <w:rsid w:val="000B5E1D"/>
    <w:rsid w:val="001026E7"/>
    <w:rsid w:val="00105B23"/>
    <w:rsid w:val="00181DA0"/>
    <w:rsid w:val="0021271E"/>
    <w:rsid w:val="002248FB"/>
    <w:rsid w:val="00234E64"/>
    <w:rsid w:val="00300F5D"/>
    <w:rsid w:val="00322720"/>
    <w:rsid w:val="00453115"/>
    <w:rsid w:val="004758C9"/>
    <w:rsid w:val="0048723C"/>
    <w:rsid w:val="00500FDE"/>
    <w:rsid w:val="0052799E"/>
    <w:rsid w:val="00554ED1"/>
    <w:rsid w:val="00566CD0"/>
    <w:rsid w:val="006265E9"/>
    <w:rsid w:val="00637ED3"/>
    <w:rsid w:val="00662A17"/>
    <w:rsid w:val="006638E5"/>
    <w:rsid w:val="00672733"/>
    <w:rsid w:val="006B1F24"/>
    <w:rsid w:val="006C11E1"/>
    <w:rsid w:val="007C4DCE"/>
    <w:rsid w:val="007D31D6"/>
    <w:rsid w:val="007E5D3C"/>
    <w:rsid w:val="008463D3"/>
    <w:rsid w:val="00862E37"/>
    <w:rsid w:val="008818B0"/>
    <w:rsid w:val="008861D6"/>
    <w:rsid w:val="00975F82"/>
    <w:rsid w:val="0097712A"/>
    <w:rsid w:val="00987D94"/>
    <w:rsid w:val="00A569DA"/>
    <w:rsid w:val="00B2018D"/>
    <w:rsid w:val="00BD17B0"/>
    <w:rsid w:val="00BF7A78"/>
    <w:rsid w:val="00C2193A"/>
    <w:rsid w:val="00CD5456"/>
    <w:rsid w:val="00D56DC4"/>
    <w:rsid w:val="00E042FE"/>
    <w:rsid w:val="00E516AB"/>
    <w:rsid w:val="00E90CB3"/>
    <w:rsid w:val="00EA0262"/>
    <w:rsid w:val="00EC61E3"/>
    <w:rsid w:val="00ED0AAA"/>
    <w:rsid w:val="00ED1EBA"/>
    <w:rsid w:val="00F41E7E"/>
    <w:rsid w:val="00FD65F9"/>
    <w:rsid w:val="2E11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 w:type="character" w:customStyle="1" w:styleId="CharacterStyle1">
    <w:name w:val="Character Style 1"/>
    <w:uiPriority w:val="99"/>
    <w:rsid w:val="001026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5/USPU12833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cautelares.asp" TargetMode="External"/><Relationship Id="rId4" Type="http://schemas.openxmlformats.org/officeDocument/2006/relationships/settings" Target="settings.xml"/><Relationship Id="rId9" Type="http://schemas.openxmlformats.org/officeDocument/2006/relationships/hyperlink" Target="http://www.oas.org/es/cidh/decisiones/2011/EEUUAD259-11ES.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2015/USPU12833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2022-04-21T12:46:00Z</dcterms:created>
  <dcterms:modified xsi:type="dcterms:W3CDTF">2022-04-21T12:46:00Z</dcterms:modified>
</cp:coreProperties>
</file>