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AE2F" w14:textId="77777777" w:rsidR="008B2D40" w:rsidRPr="002A31EB" w:rsidRDefault="008B2D40" w:rsidP="008B2D40">
      <w:pPr>
        <w:pStyle w:val="Header"/>
        <w:rPr>
          <w:rFonts w:ascii="Cambria" w:hAnsi="Cambria"/>
          <w:snapToGrid w:val="0"/>
          <w:sz w:val="20"/>
          <w:szCs w:val="20"/>
          <w:lang w:val="es-ES"/>
        </w:rPr>
      </w:pPr>
      <w:r w:rsidRPr="002A31EB">
        <w:rPr>
          <w:rFonts w:ascii="Cambria" w:hAnsi="Cambria"/>
          <w:snapToGrid w:val="0"/>
          <w:sz w:val="20"/>
          <w:szCs w:val="20"/>
          <w:lang w:val="es-ES"/>
        </w:rPr>
        <w:t xml:space="preserve">                                                             </w:t>
      </w:r>
    </w:p>
    <w:p w14:paraId="6FC0EB08" w14:textId="77777777" w:rsidR="008B2D40" w:rsidRPr="008917E4" w:rsidRDefault="008B2D40" w:rsidP="008B2D40">
      <w:pPr>
        <w:pStyle w:val="Header"/>
        <w:rPr>
          <w:rFonts w:ascii="Cambria" w:hAnsi="Cambria"/>
          <w:sz w:val="20"/>
          <w:szCs w:val="20"/>
          <w:lang w:val="es-ES"/>
        </w:rPr>
      </w:pPr>
      <w:r w:rsidRPr="002A31EB">
        <w:rPr>
          <w:rFonts w:ascii="Cambria" w:hAnsi="Cambria"/>
          <w:snapToGrid w:val="0"/>
          <w:sz w:val="20"/>
          <w:szCs w:val="20"/>
          <w:lang w:val="es-ES"/>
        </w:rPr>
        <w:tab/>
      </w:r>
      <w:r w:rsidRPr="008917E4">
        <w:rPr>
          <w:rFonts w:ascii="Cambria" w:hAnsi="Cambria"/>
          <w:b/>
          <w:sz w:val="20"/>
          <w:szCs w:val="20"/>
          <w:lang w:val="es-ES"/>
        </w:rPr>
        <w:t>FICHA DE SEGUIMIENTO DEL INFORME Nº 98/03</w:t>
      </w:r>
    </w:p>
    <w:p w14:paraId="57058751" w14:textId="77777777" w:rsidR="008B2D40" w:rsidRPr="008917E4" w:rsidRDefault="008B2D40" w:rsidP="008B2D40">
      <w:pPr>
        <w:spacing w:after="0" w:line="240" w:lineRule="auto"/>
        <w:jc w:val="center"/>
        <w:rPr>
          <w:rFonts w:ascii="Cambria" w:hAnsi="Cambria"/>
          <w:b/>
          <w:sz w:val="20"/>
          <w:szCs w:val="20"/>
          <w:lang w:val="es-ES"/>
        </w:rPr>
      </w:pPr>
      <w:r w:rsidRPr="008917E4">
        <w:rPr>
          <w:rFonts w:ascii="Cambria" w:hAnsi="Cambria"/>
          <w:b/>
          <w:sz w:val="20"/>
          <w:szCs w:val="20"/>
          <w:lang w:val="es-ES"/>
        </w:rPr>
        <w:t xml:space="preserve"> CASO 11.204</w:t>
      </w:r>
    </w:p>
    <w:p w14:paraId="0A25208C" w14:textId="77777777" w:rsidR="008B2D40" w:rsidRPr="008917E4" w:rsidRDefault="008B2D40" w:rsidP="008B2D40">
      <w:pPr>
        <w:spacing w:after="0" w:line="240" w:lineRule="auto"/>
        <w:jc w:val="center"/>
        <w:rPr>
          <w:rFonts w:ascii="Cambria" w:hAnsi="Cambria"/>
          <w:b/>
          <w:sz w:val="20"/>
          <w:szCs w:val="20"/>
          <w:lang w:val="es-ES"/>
        </w:rPr>
      </w:pPr>
      <w:r w:rsidRPr="008917E4">
        <w:rPr>
          <w:rFonts w:ascii="Cambria" w:hAnsi="Cambria"/>
          <w:b/>
          <w:bCs/>
          <w:sz w:val="20"/>
          <w:szCs w:val="20"/>
          <w:lang w:val="es-ES"/>
        </w:rPr>
        <w:t>STATEHOOD SOLIDARITY COMMITTEE</w:t>
      </w:r>
    </w:p>
    <w:p w14:paraId="4D5E4079" w14:textId="77777777" w:rsidR="008B2D40" w:rsidRPr="008917E4" w:rsidRDefault="008B2D40" w:rsidP="008B2D40">
      <w:pPr>
        <w:spacing w:after="0" w:line="240" w:lineRule="auto"/>
        <w:jc w:val="center"/>
        <w:rPr>
          <w:rFonts w:ascii="Cambria" w:hAnsi="Cambria"/>
          <w:b/>
          <w:sz w:val="20"/>
          <w:szCs w:val="20"/>
          <w:lang w:val="es-ES"/>
        </w:rPr>
      </w:pPr>
      <w:r w:rsidRPr="008917E4">
        <w:rPr>
          <w:rFonts w:ascii="Cambria" w:hAnsi="Cambria"/>
          <w:b/>
          <w:sz w:val="20"/>
          <w:szCs w:val="20"/>
          <w:lang w:val="es-ES"/>
        </w:rPr>
        <w:t xml:space="preserve"> (Estados Unidos)</w:t>
      </w:r>
    </w:p>
    <w:p w14:paraId="33DC42D7" w14:textId="77777777" w:rsidR="008B2D40" w:rsidRPr="008917E4" w:rsidRDefault="008B2D40" w:rsidP="008B2D40">
      <w:pPr>
        <w:spacing w:after="0" w:line="240" w:lineRule="auto"/>
        <w:jc w:val="center"/>
        <w:rPr>
          <w:rFonts w:ascii="Cambria" w:hAnsi="Cambria"/>
          <w:b/>
          <w:sz w:val="20"/>
          <w:szCs w:val="20"/>
          <w:lang w:val="es-ES"/>
        </w:rPr>
      </w:pPr>
    </w:p>
    <w:p w14:paraId="23FD06A0" w14:textId="77777777" w:rsidR="008B2D40" w:rsidRPr="008917E4" w:rsidRDefault="008B2D40" w:rsidP="008B2D40">
      <w:pPr>
        <w:numPr>
          <w:ilvl w:val="0"/>
          <w:numId w:val="14"/>
        </w:numPr>
        <w:spacing w:after="0" w:line="240" w:lineRule="auto"/>
        <w:ind w:left="1440"/>
        <w:rPr>
          <w:rFonts w:ascii="Cambria" w:hAnsi="Cambria" w:cs="Calibri Light"/>
          <w:b/>
          <w:sz w:val="20"/>
          <w:szCs w:val="20"/>
          <w:lang w:val="es-ES"/>
        </w:rPr>
      </w:pPr>
      <w:r w:rsidRPr="008917E4">
        <w:rPr>
          <w:rFonts w:ascii="Cambria" w:hAnsi="Cambria" w:cs="Calibri Light"/>
          <w:b/>
          <w:sz w:val="20"/>
          <w:szCs w:val="20"/>
          <w:lang w:val="es-ES"/>
        </w:rPr>
        <w:t xml:space="preserve">Resumen del caso </w:t>
      </w:r>
    </w:p>
    <w:p w14:paraId="3CF3FDC5" w14:textId="77777777" w:rsidR="008B2D40" w:rsidRPr="008917E4" w:rsidRDefault="008B2D40" w:rsidP="008B2D40">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B2D40" w:rsidRPr="008917E4" w14:paraId="4DF5ADBE" w14:textId="77777777" w:rsidTr="00F11355">
        <w:trPr>
          <w:jc w:val="center"/>
        </w:trPr>
        <w:tc>
          <w:tcPr>
            <w:tcW w:w="9576" w:type="dxa"/>
            <w:shd w:val="clear" w:color="auto" w:fill="F2F2F2"/>
          </w:tcPr>
          <w:p w14:paraId="775B39A4" w14:textId="77777777" w:rsidR="008B2D40" w:rsidRPr="008917E4" w:rsidRDefault="008B2D40" w:rsidP="00F11355">
            <w:pPr>
              <w:spacing w:before="120" w:after="0" w:line="240" w:lineRule="auto"/>
              <w:rPr>
                <w:rFonts w:ascii="Cambria" w:hAnsi="Cambria"/>
                <w:b/>
                <w:sz w:val="20"/>
                <w:szCs w:val="20"/>
                <w:lang w:val="es-ES"/>
              </w:rPr>
            </w:pPr>
            <w:r w:rsidRPr="008917E4">
              <w:rPr>
                <w:rFonts w:ascii="Cambria" w:hAnsi="Cambria"/>
                <w:b/>
                <w:sz w:val="20"/>
                <w:szCs w:val="20"/>
                <w:lang w:val="es-ES"/>
              </w:rPr>
              <w:t xml:space="preserve">Víctima (s): </w:t>
            </w:r>
            <w:proofErr w:type="spellStart"/>
            <w:r w:rsidRPr="008917E4">
              <w:rPr>
                <w:rFonts w:ascii="Cambria" w:hAnsi="Cambria"/>
                <w:sz w:val="20"/>
                <w:szCs w:val="20"/>
                <w:lang w:val="es-ES"/>
              </w:rPr>
              <w:t>Statehood</w:t>
            </w:r>
            <w:proofErr w:type="spellEnd"/>
            <w:r w:rsidRPr="008917E4">
              <w:rPr>
                <w:rFonts w:ascii="Cambria" w:hAnsi="Cambria"/>
                <w:sz w:val="20"/>
                <w:szCs w:val="20"/>
                <w:lang w:val="es-ES"/>
              </w:rPr>
              <w:t xml:space="preserve"> </w:t>
            </w:r>
            <w:proofErr w:type="spellStart"/>
            <w:r w:rsidRPr="008917E4">
              <w:rPr>
                <w:rFonts w:ascii="Cambria" w:hAnsi="Cambria"/>
                <w:sz w:val="20"/>
                <w:szCs w:val="20"/>
                <w:lang w:val="es-ES"/>
              </w:rPr>
              <w:t>Solidarity</w:t>
            </w:r>
            <w:proofErr w:type="spellEnd"/>
            <w:r w:rsidRPr="008917E4">
              <w:rPr>
                <w:rFonts w:ascii="Cambria" w:hAnsi="Cambria"/>
                <w:sz w:val="20"/>
                <w:szCs w:val="20"/>
                <w:lang w:val="es-ES"/>
              </w:rPr>
              <w:t xml:space="preserve"> </w:t>
            </w:r>
            <w:proofErr w:type="spellStart"/>
            <w:r w:rsidRPr="008917E4">
              <w:rPr>
                <w:rFonts w:ascii="Cambria" w:hAnsi="Cambria"/>
                <w:sz w:val="20"/>
                <w:szCs w:val="20"/>
                <w:lang w:val="es-ES"/>
              </w:rPr>
              <w:t>Committee</w:t>
            </w:r>
            <w:proofErr w:type="spellEnd"/>
          </w:p>
          <w:p w14:paraId="01BF48EF" w14:textId="77777777" w:rsidR="008B2D40" w:rsidRPr="008917E4" w:rsidRDefault="008B2D40" w:rsidP="00F11355">
            <w:pPr>
              <w:spacing w:after="0" w:line="240" w:lineRule="auto"/>
              <w:rPr>
                <w:rFonts w:ascii="Cambria" w:hAnsi="Cambria"/>
                <w:b/>
                <w:sz w:val="20"/>
                <w:szCs w:val="20"/>
              </w:rPr>
            </w:pPr>
            <w:r w:rsidRPr="008917E4">
              <w:rPr>
                <w:rFonts w:ascii="Cambria" w:hAnsi="Cambria"/>
                <w:b/>
                <w:sz w:val="20"/>
                <w:szCs w:val="20"/>
              </w:rPr>
              <w:t>Peticionario (s):</w:t>
            </w:r>
            <w:r w:rsidRPr="008917E4">
              <w:rPr>
                <w:rFonts w:ascii="Cambria" w:hAnsi="Cambria"/>
                <w:sz w:val="20"/>
                <w:szCs w:val="20"/>
              </w:rPr>
              <w:t xml:space="preserve"> Statehood Solidarity Committee</w:t>
            </w:r>
          </w:p>
          <w:p w14:paraId="225DB226" w14:textId="77777777" w:rsidR="008B2D40" w:rsidRPr="008917E4" w:rsidRDefault="008B2D40" w:rsidP="00F11355">
            <w:pPr>
              <w:spacing w:after="0" w:line="240" w:lineRule="auto"/>
              <w:rPr>
                <w:rFonts w:ascii="Cambria" w:hAnsi="Cambria"/>
                <w:sz w:val="20"/>
                <w:szCs w:val="20"/>
                <w:lang w:val="es-ES"/>
              </w:rPr>
            </w:pPr>
            <w:r w:rsidRPr="008917E4">
              <w:rPr>
                <w:rFonts w:ascii="Cambria" w:hAnsi="Cambria"/>
                <w:b/>
                <w:sz w:val="20"/>
                <w:szCs w:val="20"/>
                <w:lang w:val="es-ES"/>
              </w:rPr>
              <w:t xml:space="preserve">Estado: </w:t>
            </w:r>
            <w:r w:rsidRPr="008917E4">
              <w:rPr>
                <w:rFonts w:ascii="Cambria" w:hAnsi="Cambria"/>
                <w:sz w:val="20"/>
                <w:szCs w:val="20"/>
                <w:lang w:val="es-ES"/>
              </w:rPr>
              <w:t>Estados Unidos</w:t>
            </w:r>
          </w:p>
          <w:p w14:paraId="7F880D8E" w14:textId="77777777" w:rsidR="008B2D40" w:rsidRPr="008917E4" w:rsidRDefault="008B2D40" w:rsidP="00F11355">
            <w:pPr>
              <w:spacing w:after="0" w:line="240" w:lineRule="auto"/>
              <w:rPr>
                <w:rFonts w:ascii="Cambria" w:hAnsi="Cambria"/>
                <w:sz w:val="20"/>
                <w:szCs w:val="20"/>
                <w:lang w:val="es-ES"/>
              </w:rPr>
            </w:pPr>
            <w:r w:rsidRPr="008917E4">
              <w:rPr>
                <w:rFonts w:ascii="Cambria" w:hAnsi="Cambria"/>
                <w:b/>
                <w:sz w:val="20"/>
                <w:szCs w:val="20"/>
                <w:lang w:val="es-ES"/>
              </w:rPr>
              <w:t xml:space="preserve">Informe de Fondo Nº: </w:t>
            </w:r>
            <w:hyperlink r:id="rId8" w:history="1">
              <w:r w:rsidRPr="008917E4">
                <w:rPr>
                  <w:rStyle w:val="Hyperlink"/>
                  <w:rFonts w:ascii="Cambria" w:hAnsi="Cambria"/>
                  <w:sz w:val="20"/>
                  <w:szCs w:val="20"/>
                  <w:lang w:val="es-ES"/>
                </w:rPr>
                <w:t>98/03</w:t>
              </w:r>
            </w:hyperlink>
            <w:r w:rsidRPr="008917E4">
              <w:rPr>
                <w:rFonts w:ascii="Cambria" w:hAnsi="Cambria"/>
                <w:sz w:val="20"/>
                <w:szCs w:val="20"/>
                <w:lang w:val="es-ES"/>
              </w:rPr>
              <w:t>, publicado el 29 de diciembre de 2003</w:t>
            </w:r>
          </w:p>
          <w:p w14:paraId="217D08CF" w14:textId="77777777" w:rsidR="008B2D40" w:rsidRPr="008917E4" w:rsidRDefault="008B2D40" w:rsidP="00F11355">
            <w:pPr>
              <w:spacing w:after="0" w:line="240" w:lineRule="auto"/>
              <w:rPr>
                <w:rFonts w:ascii="Cambria" w:hAnsi="Cambria"/>
                <w:sz w:val="20"/>
                <w:szCs w:val="20"/>
                <w:lang w:val="es-ES"/>
              </w:rPr>
            </w:pPr>
            <w:r w:rsidRPr="008917E4">
              <w:rPr>
                <w:rFonts w:ascii="Cambria" w:hAnsi="Cambria"/>
                <w:b/>
                <w:sz w:val="20"/>
                <w:szCs w:val="20"/>
                <w:lang w:val="es-ES"/>
              </w:rPr>
              <w:t xml:space="preserve">Informe de Admisibilidad: </w:t>
            </w:r>
            <w:r w:rsidRPr="008917E4">
              <w:rPr>
                <w:rFonts w:ascii="Cambria" w:hAnsi="Cambria"/>
                <w:sz w:val="20"/>
                <w:szCs w:val="20"/>
                <w:lang w:val="es-ES"/>
              </w:rPr>
              <w:t xml:space="preserve">Analizado junto con el Informe de Fondo Nº 98/03 </w:t>
            </w:r>
          </w:p>
          <w:p w14:paraId="54C7A95E" w14:textId="77777777" w:rsidR="008B2D40" w:rsidRPr="008917E4" w:rsidRDefault="008B2D40" w:rsidP="00F11355">
            <w:pPr>
              <w:spacing w:after="120" w:line="240" w:lineRule="auto"/>
              <w:jc w:val="both"/>
              <w:rPr>
                <w:rFonts w:ascii="Cambria" w:hAnsi="Cambria"/>
                <w:sz w:val="20"/>
                <w:szCs w:val="20"/>
                <w:lang w:val="es-ES"/>
              </w:rPr>
            </w:pPr>
            <w:r w:rsidRPr="008917E4">
              <w:rPr>
                <w:rFonts w:ascii="Cambria" w:hAnsi="Cambria"/>
                <w:b/>
                <w:sz w:val="20"/>
                <w:szCs w:val="20"/>
                <w:lang w:val="es-ES"/>
              </w:rPr>
              <w:t xml:space="preserve">Temas: </w:t>
            </w:r>
            <w:r w:rsidRPr="008917E4">
              <w:rPr>
                <w:rFonts w:ascii="Cambria" w:hAnsi="Cambria"/>
                <w:sz w:val="20"/>
                <w:szCs w:val="20"/>
                <w:lang w:val="es-ES"/>
              </w:rPr>
              <w:t>Participación y</w:t>
            </w:r>
            <w:r w:rsidRPr="008917E4">
              <w:rPr>
                <w:rFonts w:ascii="Cambria" w:hAnsi="Cambria"/>
                <w:b/>
                <w:sz w:val="20"/>
                <w:szCs w:val="20"/>
                <w:lang w:val="es-ES"/>
              </w:rPr>
              <w:t xml:space="preserve"> </w:t>
            </w:r>
            <w:r w:rsidRPr="008917E4">
              <w:rPr>
                <w:rFonts w:ascii="Cambria" w:hAnsi="Cambria"/>
                <w:sz w:val="20"/>
                <w:szCs w:val="20"/>
                <w:lang w:val="es-ES"/>
              </w:rPr>
              <w:t xml:space="preserve">Derechos Políticos / Igualdad y No Discriminación / Deber de Adoptar Medidas y Disposiciones de Derecho Interno. </w:t>
            </w:r>
          </w:p>
          <w:p w14:paraId="0AB94F85" w14:textId="77777777" w:rsidR="008B2D40" w:rsidRPr="008917E4" w:rsidRDefault="008B2D40" w:rsidP="00F11355">
            <w:pPr>
              <w:spacing w:after="0" w:line="240" w:lineRule="auto"/>
              <w:jc w:val="both"/>
              <w:rPr>
                <w:rFonts w:ascii="Cambria" w:hAnsi="Cambria"/>
                <w:sz w:val="20"/>
                <w:szCs w:val="20"/>
                <w:lang w:val="es-ES"/>
              </w:rPr>
            </w:pPr>
            <w:r w:rsidRPr="008917E4">
              <w:rPr>
                <w:rFonts w:ascii="Cambria" w:hAnsi="Cambria"/>
                <w:b/>
                <w:sz w:val="20"/>
                <w:szCs w:val="20"/>
                <w:lang w:val="es-ES"/>
              </w:rPr>
              <w:t xml:space="preserve">Hechos: </w:t>
            </w:r>
            <w:r w:rsidRPr="008917E4">
              <w:rPr>
                <w:rFonts w:ascii="Cambria" w:hAnsi="Cambria"/>
                <w:sz w:val="20"/>
                <w:szCs w:val="20"/>
                <w:lang w:val="es-ES"/>
              </w:rPr>
              <w:t>El caso se refiere al hecho de que, en virtud del párrafo 8 del artículo 1 de la Constitución de Estados Unidos y de la Ley del Congreso que creó el Distrito de Columbia en 1801, las personas ciudadanas residentes en el Distrito de Columbia carecen de representación efectiva en el Congreso de los Estados Unidos al no tener representación en el Senado ni un representante con voto efectivo en la Cámara de Representantes. Si bien las personas ciudadanas residentes en el Distrito pueden elegir un miembro de la Cámara de Representantes, ese miembro no puede emitir un voto decisivo respecto de ninguna materia sometida a consideración de la Cámara. Ello contrasta con los(as) residentes de los demás estados de Estados Unidos, que tienen el derecho otorgado por la Constitución de elegir miembros del Senado y de la Cámara de Representantes.</w:t>
            </w:r>
          </w:p>
          <w:p w14:paraId="022C6907" w14:textId="77777777" w:rsidR="008B2D40" w:rsidRPr="008917E4" w:rsidRDefault="008B2D40" w:rsidP="00F11355">
            <w:pPr>
              <w:spacing w:after="0" w:line="240" w:lineRule="auto"/>
              <w:rPr>
                <w:rFonts w:ascii="Cambria" w:hAnsi="Cambria"/>
                <w:b/>
                <w:sz w:val="20"/>
                <w:szCs w:val="20"/>
                <w:lang w:val="es-ES"/>
              </w:rPr>
            </w:pPr>
          </w:p>
          <w:p w14:paraId="7CC5DE7F" w14:textId="77777777" w:rsidR="008B2D40" w:rsidRPr="008917E4" w:rsidRDefault="008B2D40" w:rsidP="00F11355">
            <w:pPr>
              <w:spacing w:after="120" w:line="240" w:lineRule="auto"/>
              <w:jc w:val="both"/>
              <w:rPr>
                <w:rFonts w:ascii="Cambria" w:hAnsi="Cambria"/>
                <w:b/>
                <w:sz w:val="20"/>
                <w:szCs w:val="20"/>
                <w:lang w:val="es-ES"/>
              </w:rPr>
            </w:pPr>
            <w:r w:rsidRPr="008917E4">
              <w:rPr>
                <w:rFonts w:ascii="Cambria" w:hAnsi="Cambria"/>
                <w:b/>
                <w:sz w:val="20"/>
                <w:szCs w:val="20"/>
                <w:lang w:val="es-ES"/>
              </w:rPr>
              <w:t xml:space="preserve">Derechos violados: </w:t>
            </w:r>
            <w:r w:rsidRPr="008917E4">
              <w:rPr>
                <w:rFonts w:ascii="Cambria" w:hAnsi="Cambria"/>
                <w:sz w:val="20"/>
                <w:szCs w:val="20"/>
                <w:lang w:val="es-ES"/>
              </w:rPr>
              <w:t>La Comisión concluyó que el Estado era responsable de la violación de los derechos de los peticionarios consagrados en los artículos II y XX de la Declaración Americana, por negarles una oportunidad efectiva de participar en el parlamento federal.</w:t>
            </w:r>
          </w:p>
        </w:tc>
      </w:tr>
    </w:tbl>
    <w:p w14:paraId="65172950" w14:textId="77777777" w:rsidR="008B2D40" w:rsidRPr="008917E4" w:rsidRDefault="008B2D40" w:rsidP="008B2D40">
      <w:pPr>
        <w:spacing w:after="0" w:line="240" w:lineRule="auto"/>
        <w:ind w:left="180"/>
        <w:rPr>
          <w:rFonts w:ascii="Cambria" w:hAnsi="Cambria"/>
          <w:sz w:val="20"/>
          <w:szCs w:val="20"/>
          <w:lang w:val="es-ES"/>
        </w:rPr>
      </w:pPr>
    </w:p>
    <w:p w14:paraId="4498D35B" w14:textId="77777777" w:rsidR="008B2D40" w:rsidRPr="008917E4" w:rsidRDefault="008B2D40" w:rsidP="008B2D40">
      <w:pPr>
        <w:pStyle w:val="ListParagraph"/>
        <w:numPr>
          <w:ilvl w:val="0"/>
          <w:numId w:val="14"/>
        </w:numPr>
        <w:ind w:left="1440"/>
        <w:jc w:val="both"/>
        <w:rPr>
          <w:rFonts w:ascii="Cambria" w:hAnsi="Cambria" w:cs="Calibri Light"/>
          <w:b/>
          <w:sz w:val="20"/>
          <w:szCs w:val="20"/>
          <w:lang w:val="es-ES"/>
        </w:rPr>
      </w:pPr>
      <w:r w:rsidRPr="008917E4">
        <w:rPr>
          <w:rFonts w:ascii="Cambria" w:hAnsi="Cambria" w:cs="Calibri Light"/>
          <w:b/>
          <w:sz w:val="20"/>
          <w:szCs w:val="20"/>
          <w:lang w:val="es-ES"/>
        </w:rPr>
        <w:t>Recomendaciones</w:t>
      </w:r>
    </w:p>
    <w:p w14:paraId="35F1161D" w14:textId="77777777" w:rsidR="008B2D40" w:rsidRPr="008917E4" w:rsidRDefault="008B2D40" w:rsidP="008B2D40">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8B2D40" w:rsidRPr="008917E4" w14:paraId="47A6F9DC" w14:textId="77777777" w:rsidTr="00F11355">
        <w:tc>
          <w:tcPr>
            <w:tcW w:w="7290" w:type="dxa"/>
            <w:shd w:val="clear" w:color="auto" w:fill="auto"/>
            <w:vAlign w:val="center"/>
          </w:tcPr>
          <w:p w14:paraId="7CEA1805" w14:textId="77777777" w:rsidR="008B2D40" w:rsidRPr="008917E4" w:rsidRDefault="008B2D40" w:rsidP="00F11355">
            <w:pPr>
              <w:spacing w:after="0" w:line="240" w:lineRule="auto"/>
              <w:jc w:val="center"/>
              <w:rPr>
                <w:rFonts w:ascii="Cambria" w:hAnsi="Cambria" w:cs="Calibri Light"/>
                <w:b/>
                <w:sz w:val="18"/>
                <w:szCs w:val="18"/>
                <w:lang w:val="es-ES"/>
              </w:rPr>
            </w:pPr>
            <w:r w:rsidRPr="008917E4">
              <w:rPr>
                <w:rFonts w:ascii="Cambria" w:hAnsi="Cambria" w:cs="Calibri Light"/>
                <w:b/>
                <w:sz w:val="18"/>
                <w:szCs w:val="18"/>
                <w:lang w:val="es-ES"/>
              </w:rPr>
              <w:t>Recomendaciones</w:t>
            </w:r>
          </w:p>
        </w:tc>
        <w:tc>
          <w:tcPr>
            <w:tcW w:w="2250" w:type="dxa"/>
            <w:shd w:val="clear" w:color="auto" w:fill="auto"/>
            <w:vAlign w:val="center"/>
          </w:tcPr>
          <w:p w14:paraId="3BA86E94" w14:textId="13C41BB0" w:rsidR="008B2D40" w:rsidRPr="001A7AB0" w:rsidRDefault="008B2D40" w:rsidP="00F11355">
            <w:pPr>
              <w:spacing w:after="0" w:line="240" w:lineRule="auto"/>
              <w:jc w:val="center"/>
              <w:rPr>
                <w:rFonts w:ascii="Cambria" w:hAnsi="Cambria" w:cs="Calibri Light"/>
                <w:b/>
                <w:sz w:val="18"/>
                <w:szCs w:val="18"/>
                <w:lang w:val="es-ES"/>
              </w:rPr>
            </w:pPr>
            <w:r w:rsidRPr="001A7AB0">
              <w:rPr>
                <w:rFonts w:ascii="Cambria" w:hAnsi="Cambria" w:cs="Calibri Light"/>
                <w:b/>
                <w:sz w:val="18"/>
                <w:szCs w:val="18"/>
                <w:lang w:val="es-ES"/>
              </w:rPr>
              <w:t>Estado de cumplimiento en el 202</w:t>
            </w:r>
            <w:r w:rsidR="009C0442" w:rsidRPr="001A7AB0">
              <w:rPr>
                <w:rFonts w:ascii="Cambria" w:hAnsi="Cambria" w:cs="Calibri Light"/>
                <w:b/>
                <w:sz w:val="18"/>
                <w:szCs w:val="18"/>
                <w:lang w:val="es-ES"/>
              </w:rPr>
              <w:t>1</w:t>
            </w:r>
          </w:p>
        </w:tc>
      </w:tr>
      <w:tr w:rsidR="008B2D40" w:rsidRPr="008917E4" w14:paraId="586A9D90" w14:textId="77777777" w:rsidTr="00F11355">
        <w:trPr>
          <w:trHeight w:val="881"/>
        </w:trPr>
        <w:tc>
          <w:tcPr>
            <w:tcW w:w="7290" w:type="dxa"/>
            <w:shd w:val="clear" w:color="auto" w:fill="auto"/>
          </w:tcPr>
          <w:p w14:paraId="6BCC3B72" w14:textId="77777777" w:rsidR="008B2D40" w:rsidRPr="008917E4" w:rsidRDefault="008B2D40" w:rsidP="00F11355">
            <w:pPr>
              <w:spacing w:after="0" w:line="240" w:lineRule="auto"/>
              <w:jc w:val="both"/>
              <w:rPr>
                <w:rFonts w:ascii="Cambria" w:hAnsi="Cambria"/>
                <w:sz w:val="18"/>
                <w:szCs w:val="18"/>
                <w:lang w:val="es-ES"/>
              </w:rPr>
            </w:pPr>
            <w:r w:rsidRPr="008917E4">
              <w:rPr>
                <w:rFonts w:ascii="Cambria" w:hAnsi="Cambria"/>
                <w:sz w:val="18"/>
                <w:szCs w:val="18"/>
                <w:lang w:val="es-ES"/>
              </w:rPr>
              <w:t>1. Otorgar a los peticionarios una reparación efectiva, que incluya la adopción de las medidas legislativas y de otra índole necesarias para garantizar a los peticionarios el derecho efectivo a participar en su parlamento nacional, directamente o a través de representantes libremente elegidos y en condiciones de igualdad.</w:t>
            </w:r>
          </w:p>
        </w:tc>
        <w:tc>
          <w:tcPr>
            <w:tcW w:w="2250" w:type="dxa"/>
            <w:shd w:val="clear" w:color="auto" w:fill="auto"/>
            <w:vAlign w:val="center"/>
          </w:tcPr>
          <w:p w14:paraId="15116C0B" w14:textId="77777777" w:rsidR="008B2D40" w:rsidRPr="001A7AB0" w:rsidRDefault="008B2D40" w:rsidP="00F11355">
            <w:pPr>
              <w:spacing w:after="0" w:line="240" w:lineRule="auto"/>
              <w:jc w:val="center"/>
              <w:rPr>
                <w:rFonts w:ascii="Cambria" w:hAnsi="Cambria" w:cs="Calibri Light"/>
                <w:b/>
                <w:sz w:val="18"/>
                <w:szCs w:val="18"/>
                <w:lang w:val="es-ES"/>
              </w:rPr>
            </w:pPr>
            <w:r w:rsidRPr="001A7AB0">
              <w:rPr>
                <w:rFonts w:ascii="Cambria" w:hAnsi="Cambria"/>
                <w:sz w:val="18"/>
                <w:szCs w:val="18"/>
                <w:lang w:val="es-ES"/>
              </w:rPr>
              <w:t>Pendiente de cumplimiento</w:t>
            </w:r>
          </w:p>
        </w:tc>
      </w:tr>
    </w:tbl>
    <w:p w14:paraId="0D2B86AA" w14:textId="77777777" w:rsidR="008B2D40" w:rsidRPr="008917E4" w:rsidRDefault="008B2D40" w:rsidP="008B2D40">
      <w:pPr>
        <w:spacing w:after="0" w:line="240" w:lineRule="auto"/>
        <w:jc w:val="both"/>
        <w:rPr>
          <w:rFonts w:ascii="Cambria" w:hAnsi="Cambria" w:cs="Calibri Light"/>
          <w:sz w:val="20"/>
          <w:szCs w:val="20"/>
          <w:lang w:val="es-ES"/>
        </w:rPr>
      </w:pPr>
    </w:p>
    <w:p w14:paraId="59D9EA11" w14:textId="77777777" w:rsidR="008B2D40" w:rsidRPr="008917E4" w:rsidRDefault="008B2D40" w:rsidP="008B2D40">
      <w:pPr>
        <w:pStyle w:val="ListParagraph"/>
        <w:numPr>
          <w:ilvl w:val="0"/>
          <w:numId w:val="14"/>
        </w:numPr>
        <w:ind w:left="1440"/>
        <w:jc w:val="both"/>
        <w:rPr>
          <w:rFonts w:ascii="Cambria" w:hAnsi="Cambria" w:cs="Calibri Light"/>
          <w:b/>
          <w:sz w:val="20"/>
          <w:szCs w:val="20"/>
          <w:lang w:val="es-ES"/>
        </w:rPr>
      </w:pPr>
      <w:r w:rsidRPr="008917E4">
        <w:rPr>
          <w:rFonts w:ascii="Cambria" w:hAnsi="Cambria"/>
          <w:b/>
          <w:sz w:val="20"/>
          <w:szCs w:val="20"/>
          <w:lang w:val="es-ES"/>
        </w:rPr>
        <w:t>Actividad Procesal</w:t>
      </w:r>
    </w:p>
    <w:p w14:paraId="17F584DD" w14:textId="77777777" w:rsidR="008B2D40" w:rsidRPr="008917E4" w:rsidRDefault="008B2D40" w:rsidP="008B2D40">
      <w:pPr>
        <w:spacing w:after="0" w:line="240" w:lineRule="auto"/>
        <w:jc w:val="both"/>
        <w:rPr>
          <w:rFonts w:ascii="Cambria" w:hAnsi="Cambria" w:cs="Calibri Light"/>
          <w:sz w:val="20"/>
          <w:szCs w:val="20"/>
          <w:lang w:val="es-ES"/>
        </w:rPr>
      </w:pPr>
    </w:p>
    <w:p w14:paraId="69A8BF5C" w14:textId="50AFEFC9" w:rsidR="009C0442" w:rsidRPr="001A7AB0" w:rsidRDefault="009C0442" w:rsidP="009C0442">
      <w:pPr>
        <w:pStyle w:val="ListParagraph"/>
        <w:numPr>
          <w:ilvl w:val="0"/>
          <w:numId w:val="10"/>
        </w:numPr>
        <w:jc w:val="both"/>
        <w:rPr>
          <w:rFonts w:ascii="Cambria" w:hAnsi="Cambria" w:cs="Calibri Light"/>
          <w:color w:val="000000" w:themeColor="text1"/>
          <w:sz w:val="20"/>
          <w:szCs w:val="20"/>
          <w:lang w:val="es-ES"/>
        </w:rPr>
      </w:pPr>
      <w:r w:rsidRPr="001A7AB0">
        <w:rPr>
          <w:rFonts w:ascii="Cambria" w:hAnsi="Cambria" w:cs="Calibri Light"/>
          <w:color w:val="000000" w:themeColor="text1"/>
          <w:sz w:val="20"/>
          <w:szCs w:val="20"/>
          <w:lang w:val="es-ES"/>
        </w:rPr>
        <w:t xml:space="preserve">En 2021, la CIDH solicitó al Estado información actualizada sobre el cumplimiento de recomendaciones el 17 de agosto. </w:t>
      </w:r>
      <w:r w:rsidR="00467277" w:rsidRPr="001A7AB0">
        <w:rPr>
          <w:rFonts w:ascii="Cambria" w:hAnsi="Cambria" w:cs="Calibri Light"/>
          <w:color w:val="000000" w:themeColor="text1"/>
          <w:sz w:val="20"/>
          <w:szCs w:val="20"/>
          <w:lang w:val="es-ES"/>
        </w:rPr>
        <w:t xml:space="preserve">El Estado </w:t>
      </w:r>
      <w:r w:rsidR="00467277" w:rsidRPr="001A7AB0">
        <w:rPr>
          <w:rFonts w:ascii="Cambria" w:hAnsi="Cambria"/>
          <w:sz w:val="20"/>
          <w:szCs w:val="20"/>
          <w:lang w:val="es-ES"/>
        </w:rPr>
        <w:t xml:space="preserve">presentó dicha información el 17 de noviembre de 2021.  </w:t>
      </w:r>
    </w:p>
    <w:p w14:paraId="5A2F6BEB" w14:textId="77777777" w:rsidR="008B2D40" w:rsidRPr="001A7AB0" w:rsidRDefault="008B2D40" w:rsidP="008B2D40">
      <w:pPr>
        <w:pStyle w:val="ListParagraph"/>
        <w:jc w:val="both"/>
        <w:rPr>
          <w:rFonts w:ascii="Cambria" w:hAnsi="Cambria" w:cs="Calibri Light"/>
          <w:sz w:val="20"/>
          <w:szCs w:val="20"/>
          <w:lang w:val="es-ES"/>
        </w:rPr>
      </w:pPr>
    </w:p>
    <w:p w14:paraId="684C01BE" w14:textId="437C1468" w:rsidR="008B2D40" w:rsidRPr="001A7AB0" w:rsidRDefault="008B2D40" w:rsidP="003D5BC1">
      <w:pPr>
        <w:pStyle w:val="ListParagraph"/>
        <w:numPr>
          <w:ilvl w:val="0"/>
          <w:numId w:val="10"/>
        </w:numPr>
        <w:jc w:val="both"/>
        <w:rPr>
          <w:rFonts w:ascii="Cambria" w:hAnsi="Cambria" w:cs="Calibri Light"/>
          <w:sz w:val="20"/>
          <w:szCs w:val="20"/>
          <w:lang w:val="es-ES"/>
        </w:rPr>
      </w:pPr>
      <w:r w:rsidRPr="001A7AB0">
        <w:rPr>
          <w:rFonts w:ascii="Cambria" w:hAnsi="Cambria" w:cs="Calibri Light"/>
          <w:sz w:val="20"/>
          <w:szCs w:val="20"/>
          <w:lang w:val="es-ES"/>
        </w:rPr>
        <w:t xml:space="preserve">La CIDH </w:t>
      </w:r>
      <w:r w:rsidRPr="001A7AB0">
        <w:rPr>
          <w:rFonts w:ascii="Cambria" w:hAnsi="Cambria"/>
          <w:sz w:val="20"/>
          <w:szCs w:val="20"/>
          <w:lang w:val="es-ES"/>
        </w:rPr>
        <w:t>solicitó a los peticionarios información actualizada sobre el cumplimiento de recomendaciones el 1</w:t>
      </w:r>
      <w:r w:rsidR="009C0442" w:rsidRPr="001A7AB0">
        <w:rPr>
          <w:rFonts w:ascii="Cambria" w:hAnsi="Cambria"/>
          <w:sz w:val="20"/>
          <w:szCs w:val="20"/>
          <w:lang w:val="es-ES"/>
        </w:rPr>
        <w:t>7</w:t>
      </w:r>
      <w:r w:rsidRPr="001A7AB0">
        <w:rPr>
          <w:rFonts w:ascii="Cambria" w:hAnsi="Cambria"/>
          <w:sz w:val="20"/>
          <w:szCs w:val="20"/>
          <w:lang w:val="es-ES"/>
        </w:rPr>
        <w:t xml:space="preserve"> de agosto de 2020. Los peticionarios presentaron dicha información el </w:t>
      </w:r>
      <w:r w:rsidR="009C0442" w:rsidRPr="001A7AB0">
        <w:rPr>
          <w:rFonts w:ascii="Cambria" w:hAnsi="Cambria"/>
          <w:sz w:val="20"/>
          <w:szCs w:val="20"/>
          <w:lang w:val="es-ES"/>
        </w:rPr>
        <w:t>09</w:t>
      </w:r>
      <w:r w:rsidRPr="001A7AB0">
        <w:rPr>
          <w:rFonts w:ascii="Cambria" w:hAnsi="Cambria"/>
          <w:sz w:val="20"/>
          <w:szCs w:val="20"/>
          <w:lang w:val="es-ES"/>
        </w:rPr>
        <w:t xml:space="preserve"> de septiembre de 202</w:t>
      </w:r>
      <w:r w:rsidR="009C0442" w:rsidRPr="001A7AB0">
        <w:rPr>
          <w:rFonts w:ascii="Cambria" w:hAnsi="Cambria"/>
          <w:sz w:val="20"/>
          <w:szCs w:val="20"/>
          <w:lang w:val="es-ES"/>
        </w:rPr>
        <w:t>1</w:t>
      </w:r>
      <w:r w:rsidRPr="001A7AB0">
        <w:rPr>
          <w:rFonts w:ascii="Cambria" w:hAnsi="Cambria"/>
          <w:sz w:val="20"/>
          <w:szCs w:val="20"/>
          <w:lang w:val="es-ES"/>
        </w:rPr>
        <w:t xml:space="preserve">.  </w:t>
      </w:r>
    </w:p>
    <w:p w14:paraId="46EBBB07" w14:textId="77777777" w:rsidR="008B2D40" w:rsidRPr="001A7AB0" w:rsidRDefault="008B2D40" w:rsidP="008B2D40">
      <w:pPr>
        <w:spacing w:after="0" w:line="240" w:lineRule="auto"/>
        <w:jc w:val="both"/>
        <w:rPr>
          <w:rFonts w:ascii="Cambria" w:hAnsi="Cambria" w:cs="Calibri Light"/>
          <w:sz w:val="20"/>
          <w:szCs w:val="20"/>
          <w:lang w:val="es-ES"/>
        </w:rPr>
      </w:pPr>
    </w:p>
    <w:p w14:paraId="5C72CFB0" w14:textId="77777777" w:rsidR="008B2D40" w:rsidRPr="001A7AB0" w:rsidRDefault="008B2D40" w:rsidP="008B2D40">
      <w:pPr>
        <w:pStyle w:val="ListParagraph"/>
        <w:numPr>
          <w:ilvl w:val="0"/>
          <w:numId w:val="14"/>
        </w:numPr>
        <w:ind w:left="1440"/>
        <w:jc w:val="both"/>
        <w:rPr>
          <w:rFonts w:ascii="Cambria" w:hAnsi="Cambria" w:cs="Calibri Light"/>
          <w:b/>
          <w:sz w:val="20"/>
          <w:szCs w:val="20"/>
          <w:lang w:val="es-ES"/>
        </w:rPr>
      </w:pPr>
      <w:r w:rsidRPr="001A7AB0">
        <w:rPr>
          <w:rFonts w:ascii="Cambria" w:hAnsi="Cambria" w:cs="Calibri Light"/>
          <w:b/>
          <w:sz w:val="20"/>
          <w:szCs w:val="20"/>
          <w:lang w:val="es-ES"/>
        </w:rPr>
        <w:t xml:space="preserve">Análisis relativo a </w:t>
      </w:r>
      <w:r w:rsidRPr="001A7AB0">
        <w:rPr>
          <w:rFonts w:ascii="Cambria" w:hAnsi="Cambria" w:cs="Calibri Light"/>
          <w:b/>
          <w:sz w:val="20"/>
          <w:szCs w:val="20"/>
          <w:lang w:val="es-ES_tradnl"/>
        </w:rPr>
        <w:t xml:space="preserve">la </w:t>
      </w:r>
      <w:r w:rsidRPr="001A7AB0">
        <w:rPr>
          <w:rFonts w:ascii="Cambria" w:hAnsi="Cambria" w:cs="Calibri Light"/>
          <w:b/>
          <w:sz w:val="20"/>
          <w:szCs w:val="20"/>
          <w:lang w:val="es-ES"/>
        </w:rPr>
        <w:t>información proporcionada</w:t>
      </w:r>
    </w:p>
    <w:p w14:paraId="3B966C1A" w14:textId="77777777" w:rsidR="008B2D40" w:rsidRPr="001A7AB0" w:rsidRDefault="008B2D40" w:rsidP="008B2D40">
      <w:pPr>
        <w:spacing w:after="0" w:line="240" w:lineRule="auto"/>
        <w:jc w:val="both"/>
        <w:rPr>
          <w:rFonts w:ascii="Cambria" w:hAnsi="Cambria" w:cs="Calibri Light"/>
          <w:sz w:val="20"/>
          <w:szCs w:val="20"/>
          <w:lang w:val="es-ES"/>
        </w:rPr>
      </w:pPr>
    </w:p>
    <w:p w14:paraId="61DCCA1A" w14:textId="03DE1A9E" w:rsidR="00D76A86" w:rsidRPr="001A7AB0" w:rsidRDefault="00467277" w:rsidP="001A7AB0">
      <w:pPr>
        <w:pStyle w:val="ListParagraph"/>
        <w:numPr>
          <w:ilvl w:val="0"/>
          <w:numId w:val="10"/>
        </w:numPr>
        <w:jc w:val="both"/>
        <w:rPr>
          <w:rFonts w:ascii="Cambria" w:hAnsi="Cambria" w:cs="Calibri Light"/>
          <w:sz w:val="20"/>
          <w:szCs w:val="20"/>
          <w:lang w:val="es-ES"/>
        </w:rPr>
      </w:pPr>
      <w:r w:rsidRPr="001A7AB0">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w:t>
      </w:r>
      <w:r w:rsidRPr="001A7AB0">
        <w:rPr>
          <w:rFonts w:ascii="Cambria" w:hAnsi="Cambria" w:cs="Calibri Light"/>
          <w:color w:val="000000" w:themeColor="text1"/>
          <w:sz w:val="20"/>
          <w:szCs w:val="20"/>
          <w:lang w:val="es-ES"/>
        </w:rPr>
        <w:lastRenderedPageBreak/>
        <w:t>años anteriores sin contener información sobre medidas adoptadas recientemente para cumplir con al menos una de las recomendacione</w:t>
      </w:r>
      <w:r w:rsidR="00D76A86" w:rsidRPr="001A7AB0">
        <w:rPr>
          <w:rFonts w:ascii="Cambria" w:hAnsi="Cambria" w:cs="Calibri Light"/>
          <w:color w:val="000000" w:themeColor="text1"/>
          <w:sz w:val="20"/>
          <w:szCs w:val="20"/>
          <w:lang w:val="es-ES"/>
        </w:rPr>
        <w:t xml:space="preserve">s </w:t>
      </w:r>
      <w:r w:rsidR="00D76A86" w:rsidRPr="001A7AB0">
        <w:rPr>
          <w:rFonts w:ascii="Cambria" w:hAnsi="Cambria" w:cs="Calibri Light"/>
          <w:sz w:val="20"/>
          <w:szCs w:val="20"/>
          <w:lang w:val="es-ES"/>
        </w:rPr>
        <w:t>incluidas en el Informe de Fondo Nº 98/03.</w:t>
      </w:r>
      <w:r w:rsidR="00D76A86" w:rsidRPr="001A7AB0">
        <w:rPr>
          <w:rFonts w:ascii="Cambria" w:hAnsi="Cambria" w:cs="Calibri Light"/>
          <w:color w:val="000000" w:themeColor="text1"/>
          <w:sz w:val="20"/>
          <w:szCs w:val="20"/>
          <w:lang w:val="es-ES"/>
        </w:rPr>
        <w:t xml:space="preserve"> </w:t>
      </w:r>
    </w:p>
    <w:p w14:paraId="7AAFE35B" w14:textId="77777777" w:rsidR="001A7AB0" w:rsidRPr="001A7AB0" w:rsidRDefault="001A7AB0" w:rsidP="001A7AB0">
      <w:pPr>
        <w:pStyle w:val="ListParagraph"/>
        <w:jc w:val="both"/>
        <w:rPr>
          <w:rFonts w:ascii="Cambria" w:hAnsi="Cambria" w:cs="Calibri Light"/>
          <w:sz w:val="20"/>
          <w:szCs w:val="20"/>
          <w:lang w:val="es-ES"/>
        </w:rPr>
      </w:pPr>
    </w:p>
    <w:p w14:paraId="636F01A9" w14:textId="5FAACBA7" w:rsidR="008B2D40" w:rsidRPr="001A7AB0" w:rsidRDefault="008B2D40" w:rsidP="003D5BC1">
      <w:pPr>
        <w:pStyle w:val="ListParagraph"/>
        <w:numPr>
          <w:ilvl w:val="0"/>
          <w:numId w:val="10"/>
        </w:numPr>
        <w:jc w:val="both"/>
        <w:rPr>
          <w:rFonts w:ascii="Cambria" w:hAnsi="Cambria" w:cs="Calibri Light"/>
          <w:b/>
          <w:sz w:val="20"/>
          <w:szCs w:val="20"/>
          <w:lang w:val="es-ES"/>
        </w:rPr>
      </w:pPr>
      <w:r w:rsidRPr="001A7AB0">
        <w:rPr>
          <w:rFonts w:ascii="Cambria" w:hAnsi="Cambria" w:cs="Calibri Light"/>
          <w:sz w:val="20"/>
          <w:szCs w:val="20"/>
          <w:lang w:val="es-ES"/>
        </w:rPr>
        <w:t>La Comisión considera que la información proporcionada por los peticionarios en 202</w:t>
      </w:r>
      <w:r w:rsidR="00467277" w:rsidRPr="001A7AB0">
        <w:rPr>
          <w:rFonts w:ascii="Cambria" w:hAnsi="Cambria" w:cs="Calibri Light"/>
          <w:sz w:val="20"/>
          <w:szCs w:val="20"/>
          <w:lang w:val="es-ES"/>
        </w:rPr>
        <w:t>1</w:t>
      </w:r>
      <w:r w:rsidRPr="001A7AB0">
        <w:rPr>
          <w:rFonts w:ascii="Cambria" w:hAnsi="Cambria" w:cs="Calibri Light"/>
          <w:sz w:val="20"/>
          <w:szCs w:val="20"/>
          <w:lang w:val="es-ES"/>
        </w:rPr>
        <w:t xml:space="preserve"> es relevante, dado que se refiere a las medidas adoptadas relativas al cumplimiento de la recomendación incluida en el Informe de Fondo Nº 98/03. </w:t>
      </w:r>
    </w:p>
    <w:p w14:paraId="349F9BD8" w14:textId="77777777" w:rsidR="008B2D40" w:rsidRPr="001A7AB0" w:rsidRDefault="008B2D40" w:rsidP="008B2D40">
      <w:pPr>
        <w:spacing w:after="0" w:line="240" w:lineRule="auto"/>
        <w:jc w:val="both"/>
        <w:rPr>
          <w:rFonts w:ascii="Cambria" w:hAnsi="Cambria" w:cs="Calibri Light"/>
          <w:b/>
          <w:sz w:val="20"/>
          <w:szCs w:val="20"/>
          <w:lang w:val="es-ES"/>
        </w:rPr>
      </w:pPr>
    </w:p>
    <w:p w14:paraId="6A2A7313" w14:textId="77777777" w:rsidR="008B2D40" w:rsidRPr="001A7AB0" w:rsidRDefault="008B2D40" w:rsidP="008B2D40">
      <w:pPr>
        <w:pStyle w:val="ListParagraph"/>
        <w:numPr>
          <w:ilvl w:val="0"/>
          <w:numId w:val="14"/>
        </w:numPr>
        <w:ind w:left="1440"/>
        <w:jc w:val="both"/>
        <w:rPr>
          <w:rFonts w:ascii="Cambria" w:hAnsi="Cambria" w:cs="Calibri Light"/>
          <w:b/>
          <w:sz w:val="20"/>
          <w:szCs w:val="20"/>
          <w:lang w:val="es-ES"/>
        </w:rPr>
      </w:pPr>
      <w:r w:rsidRPr="001A7AB0">
        <w:rPr>
          <w:rFonts w:ascii="Cambria" w:hAnsi="Cambria" w:cs="Calibri Light"/>
          <w:b/>
          <w:sz w:val="20"/>
          <w:szCs w:val="20"/>
          <w:lang w:val="es-ES"/>
        </w:rPr>
        <w:t>Análisis del cumplimiento de las recomendaciones</w:t>
      </w:r>
    </w:p>
    <w:p w14:paraId="798D9649" w14:textId="77777777" w:rsidR="008B2D40" w:rsidRPr="001A7AB0" w:rsidRDefault="008B2D40" w:rsidP="008B2D40">
      <w:pPr>
        <w:pStyle w:val="ListParagraph"/>
        <w:jc w:val="both"/>
        <w:rPr>
          <w:rFonts w:ascii="Cambria" w:hAnsi="Cambria" w:cs="Calibri Light"/>
          <w:b/>
          <w:sz w:val="20"/>
          <w:szCs w:val="20"/>
          <w:lang w:val="es-ES"/>
        </w:rPr>
      </w:pPr>
    </w:p>
    <w:p w14:paraId="3D7AAB53" w14:textId="7AF87AFA" w:rsidR="00354FB5" w:rsidRPr="001A7AB0" w:rsidRDefault="00354FB5" w:rsidP="003D5BC1">
      <w:pPr>
        <w:pStyle w:val="ListParagraph"/>
        <w:numPr>
          <w:ilvl w:val="0"/>
          <w:numId w:val="10"/>
        </w:numPr>
        <w:jc w:val="both"/>
        <w:rPr>
          <w:rFonts w:ascii="Cambria" w:hAnsi="Cambria" w:cs="Calibri Light"/>
          <w:color w:val="000000"/>
          <w:sz w:val="20"/>
          <w:szCs w:val="20"/>
          <w:lang w:val="es-ES"/>
        </w:rPr>
      </w:pPr>
      <w:r w:rsidRPr="001A7AB0">
        <w:rPr>
          <w:rFonts w:ascii="Cambria" w:hAnsi="Cambria" w:cs="Calibri Light"/>
          <w:color w:val="000000"/>
          <w:sz w:val="20"/>
          <w:szCs w:val="20"/>
          <w:lang w:val="es-ES_tradnl"/>
        </w:rPr>
        <w:t>Ante la ausencia de información actualizada del Estado, sobre el nivel de cumplimiento de las recomendaciones, la CIDH reitera el análisis del cumplimiento y las conclusiones realizadas en su Informe Anual 2020.</w:t>
      </w:r>
    </w:p>
    <w:p w14:paraId="62580178" w14:textId="77777777" w:rsidR="008B2D40" w:rsidRPr="008917E4" w:rsidRDefault="008B2D40" w:rsidP="008B2D40">
      <w:pPr>
        <w:pStyle w:val="ListParagraph"/>
        <w:jc w:val="both"/>
        <w:rPr>
          <w:rFonts w:ascii="Cambria" w:hAnsi="Cambria" w:cs="Calibri Light"/>
          <w:sz w:val="20"/>
          <w:szCs w:val="20"/>
          <w:lang w:val="es-ES"/>
        </w:rPr>
      </w:pPr>
    </w:p>
    <w:p w14:paraId="653D496F" w14:textId="77777777" w:rsidR="008B2D40" w:rsidRPr="008917E4" w:rsidRDefault="008B2D40" w:rsidP="003D5BC1">
      <w:pPr>
        <w:pStyle w:val="ListParagraph"/>
        <w:numPr>
          <w:ilvl w:val="0"/>
          <w:numId w:val="10"/>
        </w:numPr>
        <w:jc w:val="both"/>
        <w:rPr>
          <w:rFonts w:ascii="Cambria" w:hAnsi="Cambria" w:cs="Calibri Light"/>
          <w:sz w:val="20"/>
          <w:szCs w:val="20"/>
          <w:lang w:val="es-ES"/>
        </w:rPr>
      </w:pPr>
      <w:r w:rsidRPr="008917E4">
        <w:rPr>
          <w:rFonts w:ascii="Cambria" w:hAnsi="Cambria" w:cs="Calibri Light"/>
          <w:sz w:val="20"/>
          <w:szCs w:val="20"/>
          <w:lang w:val="es-ES"/>
        </w:rPr>
        <w:t>En 2015, los peticionarios informaron que el Estado aún no ha adoptado las medidas necesarias para cumplir con las recomendaciones de la CIDH y garantizar el derecho a la participación política de lo/as residentes del Distrito de Columbia en la legislatura federal. Los peticionarios indicaron que el Estado no ha proporcionado el derecho fundamental a los ciudadanos americanos que habitan en el Distrito de Columbia a una representación igualitaria en la Cámara de Representantes y el Senado</w:t>
      </w:r>
      <w:r w:rsidRPr="008917E4">
        <w:rPr>
          <w:rStyle w:val="FootnoteReference"/>
          <w:rFonts w:ascii="Cambria" w:hAnsi="Cambria" w:cs="Calibri Light"/>
          <w:sz w:val="20"/>
          <w:szCs w:val="20"/>
          <w:lang w:val="es-ES"/>
        </w:rPr>
        <w:footnoteReference w:id="1"/>
      </w:r>
      <w:r w:rsidRPr="008917E4">
        <w:rPr>
          <w:rFonts w:ascii="Cambria" w:hAnsi="Cambria" w:cs="Calibri Light"/>
          <w:sz w:val="20"/>
          <w:szCs w:val="20"/>
          <w:lang w:val="es-ES"/>
        </w:rPr>
        <w:t>. Este estado de cosas fue nuevamente reportado en 2019 por los peticionarios, quienes afirmaron que el Estado ha rechazado consistentemente reconocer las conclusiones y aceptar las recomendaciones de la CIDH referentes al caso, negándose a garantizar a los 700.000 ciudadanos estadounidenses residentes en el Distrito de Columbia el derecho a la participación política e igual representación.</w:t>
      </w:r>
    </w:p>
    <w:p w14:paraId="7B37164A" w14:textId="77777777" w:rsidR="008B2D40" w:rsidRPr="00CE3253" w:rsidRDefault="008B2D40" w:rsidP="008B2D40">
      <w:pPr>
        <w:pStyle w:val="ListParagraph"/>
        <w:rPr>
          <w:rFonts w:ascii="Cambria" w:hAnsi="Cambria" w:cs="Calibri Light"/>
          <w:color w:val="000000" w:themeColor="text1"/>
          <w:sz w:val="20"/>
          <w:szCs w:val="20"/>
          <w:lang w:val="es-ES"/>
        </w:rPr>
      </w:pPr>
    </w:p>
    <w:p w14:paraId="0C2EC81E" w14:textId="77777777" w:rsidR="006F16C2" w:rsidRPr="00CE3253" w:rsidRDefault="008B2D40" w:rsidP="003D5BC1">
      <w:pPr>
        <w:pStyle w:val="ListParagraph"/>
        <w:numPr>
          <w:ilvl w:val="0"/>
          <w:numId w:val="10"/>
        </w:numPr>
        <w:jc w:val="both"/>
        <w:rPr>
          <w:rFonts w:ascii="Cambria" w:hAnsi="Cambria" w:cs="Calibri Light"/>
          <w:color w:val="000000" w:themeColor="text1"/>
          <w:sz w:val="20"/>
          <w:szCs w:val="20"/>
          <w:lang w:val="es-ES"/>
        </w:rPr>
      </w:pPr>
      <w:r w:rsidRPr="00CE3253">
        <w:rPr>
          <w:rFonts w:ascii="Cambria" w:hAnsi="Cambria" w:cs="Calibri Light"/>
          <w:color w:val="000000" w:themeColor="text1"/>
          <w:sz w:val="20"/>
          <w:szCs w:val="20"/>
          <w:lang w:val="es-ES"/>
        </w:rPr>
        <w:t>En 202</w:t>
      </w:r>
      <w:r w:rsidR="00354FB5" w:rsidRPr="00CE3253">
        <w:rPr>
          <w:rFonts w:ascii="Cambria" w:hAnsi="Cambria" w:cs="Calibri Light"/>
          <w:color w:val="000000" w:themeColor="text1"/>
          <w:sz w:val="20"/>
          <w:szCs w:val="20"/>
          <w:lang w:val="es-ES"/>
        </w:rPr>
        <w:t>1</w:t>
      </w:r>
      <w:r w:rsidRPr="00CE3253">
        <w:rPr>
          <w:rFonts w:ascii="Cambria" w:hAnsi="Cambria" w:cs="Calibri Light"/>
          <w:color w:val="000000" w:themeColor="text1"/>
          <w:sz w:val="20"/>
          <w:szCs w:val="20"/>
          <w:lang w:val="es-ES"/>
        </w:rPr>
        <w:t xml:space="preserve">, los peticionarios informaron que, durante los últimos 17 años, los Estados Unidos han </w:t>
      </w:r>
      <w:r w:rsidR="006F16C2" w:rsidRPr="00CE3253">
        <w:rPr>
          <w:rFonts w:ascii="Cambria" w:hAnsi="Cambria" w:cs="Calibri Light"/>
          <w:color w:val="000000" w:themeColor="text1"/>
          <w:sz w:val="20"/>
          <w:szCs w:val="20"/>
          <w:lang w:val="es-ES"/>
        </w:rPr>
        <w:t xml:space="preserve">omitido </w:t>
      </w:r>
      <w:r w:rsidRPr="00CE3253">
        <w:rPr>
          <w:rFonts w:ascii="Cambria" w:hAnsi="Cambria" w:cs="Calibri Light"/>
          <w:color w:val="000000" w:themeColor="text1"/>
          <w:sz w:val="20"/>
          <w:szCs w:val="20"/>
          <w:lang w:val="es-ES"/>
        </w:rPr>
        <w:t xml:space="preserve">garantizar el derecho a la igual representación política de las y los ciudadanos que viven en el Distrito de Columbia. Reiteraron que, durante todo este tiempo, el gobierno de los Estados Unidos ha ignorado persistentemente las recomendaciones emitidas por la CIDH en el Informe de Fondo Nº 98/03; así como aquellas expresadas por otros órganos internacionales como el Comité de Derechos Humanos de las Naciones Unidas. </w:t>
      </w:r>
    </w:p>
    <w:p w14:paraId="79BFE430" w14:textId="77777777" w:rsidR="006F16C2" w:rsidRPr="00CE3253" w:rsidRDefault="006F16C2" w:rsidP="006F16C2">
      <w:pPr>
        <w:pStyle w:val="ListParagraph"/>
        <w:rPr>
          <w:rFonts w:ascii="Cambria" w:hAnsi="Cambria" w:cs="Calibri Light"/>
          <w:color w:val="000000" w:themeColor="text1"/>
          <w:sz w:val="20"/>
          <w:szCs w:val="20"/>
          <w:lang w:val="es-ES"/>
        </w:rPr>
      </w:pPr>
    </w:p>
    <w:p w14:paraId="0B5F1577" w14:textId="2AA6BCC1" w:rsidR="008B2D40" w:rsidRPr="00CE3253" w:rsidRDefault="000D56F8" w:rsidP="003D5BC1">
      <w:pPr>
        <w:pStyle w:val="ListParagraph"/>
        <w:numPr>
          <w:ilvl w:val="0"/>
          <w:numId w:val="10"/>
        </w:numPr>
        <w:jc w:val="both"/>
        <w:rPr>
          <w:rFonts w:ascii="Cambria" w:hAnsi="Cambria" w:cs="Calibri Light"/>
          <w:color w:val="000000" w:themeColor="text1"/>
          <w:sz w:val="20"/>
          <w:szCs w:val="20"/>
          <w:lang w:val="es-ES"/>
        </w:rPr>
      </w:pPr>
      <w:r w:rsidRPr="00CE3253">
        <w:rPr>
          <w:rFonts w:ascii="Cambria" w:hAnsi="Cambria" w:cs="Calibri Light"/>
          <w:color w:val="000000" w:themeColor="text1"/>
          <w:sz w:val="20"/>
          <w:szCs w:val="20"/>
          <w:lang w:val="es-ES"/>
        </w:rPr>
        <w:t>Los peticionarios añadieron</w:t>
      </w:r>
      <w:r w:rsidR="008B2D40" w:rsidRPr="00CE3253">
        <w:rPr>
          <w:rFonts w:ascii="Cambria" w:hAnsi="Cambria" w:cs="Calibri Light"/>
          <w:color w:val="000000" w:themeColor="text1"/>
          <w:sz w:val="20"/>
          <w:szCs w:val="20"/>
          <w:lang w:val="es-ES"/>
        </w:rPr>
        <w:t xml:space="preserve"> que, durante el 2020, y por primera vez en su historia, la Cámara de Representantes de los Estados Unidos </w:t>
      </w:r>
      <w:r w:rsidR="006F16C2" w:rsidRPr="00CE3253">
        <w:rPr>
          <w:rFonts w:ascii="Cambria" w:hAnsi="Cambria" w:cs="Calibri Light"/>
          <w:color w:val="000000" w:themeColor="text1"/>
          <w:sz w:val="20"/>
          <w:szCs w:val="20"/>
          <w:lang w:val="es-ES"/>
        </w:rPr>
        <w:t xml:space="preserve">discutió la </w:t>
      </w:r>
      <w:r w:rsidR="008B2D40" w:rsidRPr="00CE3253">
        <w:rPr>
          <w:rFonts w:ascii="Cambria" w:hAnsi="Cambria" w:cs="Calibri Light"/>
          <w:color w:val="000000" w:themeColor="text1"/>
          <w:sz w:val="20"/>
          <w:szCs w:val="20"/>
          <w:lang w:val="es-ES"/>
        </w:rPr>
        <w:t>aprobación de una ley que retoma las recomendaciones realizadas por la CIDH, y que reconoce el derecho de las y los habitantes del Distrito de Columbia a contar con representantes políticos en ambas cámaras del Congreso Estad</w:t>
      </w:r>
      <w:r w:rsidR="009912EF" w:rsidRPr="00CE3253">
        <w:rPr>
          <w:rFonts w:ascii="Cambria" w:hAnsi="Cambria" w:cs="Calibri Light"/>
          <w:color w:val="000000" w:themeColor="text1"/>
          <w:sz w:val="20"/>
          <w:szCs w:val="20"/>
          <w:lang w:val="es-ES"/>
        </w:rPr>
        <w:t>o</w:t>
      </w:r>
      <w:r w:rsidR="008B2D40" w:rsidRPr="00CE3253">
        <w:rPr>
          <w:rFonts w:ascii="Cambria" w:hAnsi="Cambria" w:cs="Calibri Light"/>
          <w:color w:val="000000" w:themeColor="text1"/>
          <w:sz w:val="20"/>
          <w:szCs w:val="20"/>
          <w:lang w:val="es-ES"/>
        </w:rPr>
        <w:t xml:space="preserve">unidense. Sin embargo, los peticionarios informaron que dicha legislación no alcanzó a ser discutida por el Senado. </w:t>
      </w:r>
    </w:p>
    <w:p w14:paraId="59C71E04" w14:textId="77777777" w:rsidR="008B2D40" w:rsidRPr="008917E4" w:rsidRDefault="008B2D40" w:rsidP="008B2D40">
      <w:pPr>
        <w:pStyle w:val="ListParagraph"/>
        <w:rPr>
          <w:rFonts w:ascii="Cambria" w:hAnsi="Cambria" w:cs="Calibri Light"/>
          <w:sz w:val="20"/>
          <w:szCs w:val="20"/>
          <w:lang w:val="es-ES"/>
        </w:rPr>
      </w:pPr>
    </w:p>
    <w:p w14:paraId="46D76A9A" w14:textId="77777777" w:rsidR="008B2D40" w:rsidRPr="008917E4" w:rsidRDefault="008B2D40" w:rsidP="003D5BC1">
      <w:pPr>
        <w:pStyle w:val="ListParagraph"/>
        <w:numPr>
          <w:ilvl w:val="0"/>
          <w:numId w:val="10"/>
        </w:numPr>
        <w:jc w:val="both"/>
        <w:rPr>
          <w:rFonts w:ascii="Cambria" w:hAnsi="Cambria" w:cs="Calibri Light"/>
          <w:sz w:val="20"/>
          <w:szCs w:val="20"/>
          <w:lang w:val="es-ES"/>
        </w:rPr>
      </w:pPr>
      <w:r w:rsidRPr="008917E4">
        <w:rPr>
          <w:rFonts w:ascii="Cambria" w:hAnsi="Cambria" w:cs="Calibri Light"/>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Pr="008917E4">
        <w:rPr>
          <w:rStyle w:val="FootnoteReference"/>
          <w:rFonts w:ascii="Cambria" w:hAnsi="Cambria" w:cs="Calibri Light"/>
          <w:sz w:val="20"/>
          <w:szCs w:val="20"/>
          <w:lang w:val="es-ES"/>
        </w:rPr>
        <w:footnoteReference w:id="2"/>
      </w:r>
      <w:r w:rsidRPr="008917E4">
        <w:rPr>
          <w:rFonts w:ascii="Cambria" w:hAnsi="Cambria" w:cs="Calibri Light"/>
          <w:sz w:val="20"/>
          <w:szCs w:val="20"/>
          <w:lang w:val="es-ES"/>
        </w:rPr>
        <w:t>. Conforme al artículo 31(1) de la Convención de Viena sobre Derecho de los Tratados, los Estados Miembros deben adoptar esfuerzos de buena fe para cumplir con las recomendaciones de órganos de supervisión tales como esta Comisión</w:t>
      </w:r>
      <w:r w:rsidRPr="008917E4">
        <w:rPr>
          <w:rStyle w:val="FootnoteReference"/>
          <w:rFonts w:ascii="Cambria" w:hAnsi="Cambria" w:cs="Calibri Light"/>
          <w:sz w:val="20"/>
          <w:szCs w:val="20"/>
          <w:lang w:val="es-ES"/>
        </w:rPr>
        <w:footnoteReference w:id="3"/>
      </w:r>
      <w:r w:rsidRPr="008917E4">
        <w:rPr>
          <w:rFonts w:ascii="Cambria" w:hAnsi="Cambria" w:cs="Calibri Light"/>
          <w:sz w:val="20"/>
          <w:szCs w:val="20"/>
          <w:lang w:val="es-ES"/>
        </w:rPr>
        <w:t xml:space="preserve">. Al respecto, la CIDH recibe con agrado la noticia sobre la aprobación, en la Cámara de Representantes, de una iniciativa de ley que reconoce el derecho a la igualdad política de las y los ciudadanos del Distrito de Columbia. Sin embargo, también es consciente de que dicha aprobación es sólo uno de los primeros pasos para avanzar en el proceso legislativo que pueda conducir al reconocimiento total de este </w:t>
      </w:r>
      <w:r w:rsidRPr="008917E4">
        <w:rPr>
          <w:rFonts w:ascii="Cambria" w:hAnsi="Cambria" w:cs="Calibri Light"/>
          <w:sz w:val="20"/>
          <w:szCs w:val="20"/>
          <w:lang w:val="es-ES"/>
        </w:rPr>
        <w:lastRenderedPageBreak/>
        <w:t xml:space="preserve">derecho. Por lo anterior, la CIDH considera que la Recomendación 1 se encuentra aún pendiente de cumplimiento.  </w:t>
      </w:r>
    </w:p>
    <w:p w14:paraId="5121660B" w14:textId="77777777" w:rsidR="008B2D40" w:rsidRPr="008917E4" w:rsidRDefault="008B2D40" w:rsidP="008B2D40">
      <w:pPr>
        <w:spacing w:after="0" w:line="240" w:lineRule="auto"/>
        <w:rPr>
          <w:rFonts w:ascii="Cambria" w:hAnsi="Cambria"/>
          <w:sz w:val="20"/>
          <w:szCs w:val="20"/>
          <w:lang w:val="es-ES"/>
        </w:rPr>
      </w:pPr>
    </w:p>
    <w:p w14:paraId="09549482" w14:textId="77777777" w:rsidR="008B2D40" w:rsidRPr="008917E4" w:rsidRDefault="008B2D40" w:rsidP="008B2D40">
      <w:pPr>
        <w:pStyle w:val="FootnoteText"/>
        <w:numPr>
          <w:ilvl w:val="0"/>
          <w:numId w:val="14"/>
        </w:numPr>
        <w:ind w:left="1440"/>
        <w:jc w:val="both"/>
        <w:rPr>
          <w:rFonts w:ascii="Cambria" w:hAnsi="Cambria" w:cs="Calibri Light"/>
          <w:b/>
          <w:lang w:val="es-ES"/>
        </w:rPr>
      </w:pPr>
      <w:r w:rsidRPr="008917E4">
        <w:rPr>
          <w:rFonts w:ascii="Cambria" w:hAnsi="Cambria" w:cs="Calibri Light"/>
          <w:b/>
          <w:lang w:val="es-ES"/>
        </w:rPr>
        <w:t>Nivel del cumplimiento del caso</w:t>
      </w:r>
    </w:p>
    <w:p w14:paraId="0CD1F0E8" w14:textId="77777777" w:rsidR="008B2D40" w:rsidRPr="008917E4" w:rsidRDefault="008B2D40" w:rsidP="008B2D40">
      <w:pPr>
        <w:pStyle w:val="ListParagraph"/>
        <w:ind w:left="1080"/>
        <w:jc w:val="both"/>
        <w:rPr>
          <w:rFonts w:ascii="Cambria" w:hAnsi="Cambria" w:cs="Calibri Light"/>
          <w:b/>
          <w:sz w:val="20"/>
          <w:szCs w:val="20"/>
          <w:lang w:val="es-ES"/>
        </w:rPr>
      </w:pPr>
    </w:p>
    <w:p w14:paraId="6D13B82A" w14:textId="77777777" w:rsidR="008B2D40" w:rsidRPr="008917E4" w:rsidRDefault="008B2D40" w:rsidP="003D5BC1">
      <w:pPr>
        <w:pStyle w:val="ListParagraph"/>
        <w:numPr>
          <w:ilvl w:val="0"/>
          <w:numId w:val="10"/>
        </w:numPr>
        <w:jc w:val="both"/>
        <w:rPr>
          <w:rFonts w:ascii="Cambria" w:hAnsi="Cambria" w:cs="Calibri Light"/>
          <w:sz w:val="20"/>
          <w:szCs w:val="20"/>
          <w:lang w:val="es-ES"/>
        </w:rPr>
      </w:pPr>
      <w:r w:rsidRPr="008917E4">
        <w:rPr>
          <w:rFonts w:ascii="Cambria" w:hAnsi="Cambria" w:cs="Calibri Light"/>
          <w:sz w:val="20"/>
          <w:szCs w:val="20"/>
          <w:lang w:val="es-ES"/>
        </w:rPr>
        <w:t xml:space="preserve">Por lo anterior, la Comisión concluye que el nivel de cumplimiento del caso es pendiente. En consecuencia, la Comisión seguirá supervisando el cumplimiento de la Recomendación 1. </w:t>
      </w:r>
    </w:p>
    <w:p w14:paraId="288D12D4" w14:textId="77777777" w:rsidR="008B2D40" w:rsidRPr="008917E4" w:rsidRDefault="008B2D40" w:rsidP="008B2D40">
      <w:pPr>
        <w:pStyle w:val="ListParagraph"/>
        <w:jc w:val="both"/>
        <w:rPr>
          <w:rFonts w:ascii="Cambria" w:hAnsi="Cambria" w:cs="Calibri Light"/>
          <w:sz w:val="20"/>
          <w:szCs w:val="20"/>
          <w:lang w:val="es-ES"/>
        </w:rPr>
      </w:pPr>
    </w:p>
    <w:p w14:paraId="47181453" w14:textId="77777777" w:rsidR="008B2D40" w:rsidRPr="008917E4" w:rsidRDefault="008B2D40" w:rsidP="003D5BC1">
      <w:pPr>
        <w:pStyle w:val="ListParagraph"/>
        <w:numPr>
          <w:ilvl w:val="0"/>
          <w:numId w:val="10"/>
        </w:numPr>
        <w:jc w:val="both"/>
        <w:rPr>
          <w:rFonts w:ascii="Cambria" w:hAnsi="Cambria" w:cs="Calibri Light"/>
          <w:sz w:val="20"/>
          <w:szCs w:val="20"/>
          <w:lang w:val="es-ES"/>
        </w:rPr>
      </w:pPr>
      <w:r w:rsidRPr="008917E4">
        <w:rPr>
          <w:rFonts w:ascii="Cambria" w:hAnsi="Cambria" w:cs="Calibri Light"/>
          <w:sz w:val="20"/>
          <w:szCs w:val="20"/>
          <w:lang w:val="es-ES"/>
        </w:rPr>
        <w:t>La Comisión insta al Estado a adoptar acciones para implementar la recomendación emitida en el Informe de Fondo Nº 98/03 y proporcionarle información detallada y actualizada sobre dichas acciones. Al mismo tiempo, la CIDH invita a los peticionarios a presentar información sobre las medidas adoptadas por parte del Estado para cumplir con la recomendación de la Comisión.</w:t>
      </w:r>
    </w:p>
    <w:p w14:paraId="01D08EAB" w14:textId="77777777" w:rsidR="008B2D40" w:rsidRPr="008917E4" w:rsidRDefault="008B2D40" w:rsidP="008B2D40">
      <w:pPr>
        <w:spacing w:after="0" w:line="240" w:lineRule="auto"/>
        <w:rPr>
          <w:rFonts w:ascii="Cambria" w:hAnsi="Cambria"/>
          <w:sz w:val="20"/>
          <w:szCs w:val="20"/>
          <w:lang w:val="es-ES"/>
        </w:rPr>
      </w:pPr>
    </w:p>
    <w:p w14:paraId="38FDF9C8" w14:textId="77777777" w:rsidR="008B2D40" w:rsidRPr="008917E4" w:rsidRDefault="008B2D40" w:rsidP="008B2D40">
      <w:pPr>
        <w:pStyle w:val="ListParagraph"/>
        <w:numPr>
          <w:ilvl w:val="0"/>
          <w:numId w:val="14"/>
        </w:numPr>
        <w:ind w:left="1440"/>
        <w:jc w:val="both"/>
        <w:rPr>
          <w:rFonts w:ascii="Cambria" w:hAnsi="Cambria"/>
          <w:b/>
          <w:sz w:val="20"/>
          <w:szCs w:val="20"/>
          <w:lang w:val="es-ES"/>
        </w:rPr>
      </w:pPr>
      <w:r w:rsidRPr="008917E4">
        <w:rPr>
          <w:rFonts w:ascii="Cambria" w:hAnsi="Cambria"/>
          <w:b/>
          <w:sz w:val="20"/>
          <w:szCs w:val="20"/>
          <w:lang w:val="es-ES"/>
        </w:rPr>
        <w:t>Resultados individuales y estructurales del caso</w:t>
      </w:r>
    </w:p>
    <w:p w14:paraId="02644853" w14:textId="77777777" w:rsidR="008B2D40" w:rsidRPr="008917E4" w:rsidRDefault="008B2D40" w:rsidP="008B2D40">
      <w:pPr>
        <w:pStyle w:val="ListParagraph"/>
        <w:ind w:left="1080"/>
        <w:rPr>
          <w:rFonts w:ascii="Cambria" w:hAnsi="Cambria"/>
          <w:b/>
          <w:sz w:val="20"/>
          <w:szCs w:val="20"/>
          <w:lang w:val="es-ES"/>
        </w:rPr>
      </w:pPr>
    </w:p>
    <w:p w14:paraId="5C375A63" w14:textId="77777777" w:rsidR="008B2D40" w:rsidRPr="008917E4" w:rsidRDefault="008B2D40" w:rsidP="003D5BC1">
      <w:pPr>
        <w:pStyle w:val="ListParagraph"/>
        <w:numPr>
          <w:ilvl w:val="0"/>
          <w:numId w:val="10"/>
        </w:numPr>
        <w:jc w:val="both"/>
        <w:rPr>
          <w:rFonts w:ascii="Cambria" w:hAnsi="Cambria"/>
          <w:sz w:val="20"/>
          <w:szCs w:val="20"/>
          <w:lang w:val="es-ES"/>
        </w:rPr>
      </w:pPr>
      <w:r w:rsidRPr="008917E4">
        <w:rPr>
          <w:rFonts w:ascii="Cambria" w:hAnsi="Cambria"/>
          <w:sz w:val="20"/>
          <w:szCs w:val="20"/>
          <w:lang w:val="es-ES"/>
        </w:rPr>
        <w:t xml:space="preserve">Dado que este caso está pendiente de cumplimiento, no hay resultados individuales o estructurales informados por las partes. </w:t>
      </w:r>
    </w:p>
    <w:p w14:paraId="529377AF" w14:textId="77777777" w:rsidR="008B2D40" w:rsidRPr="002A31EB" w:rsidRDefault="008B2D40" w:rsidP="008B2D40">
      <w:pPr>
        <w:rPr>
          <w:rFonts w:ascii="Cambria" w:hAnsi="Cambria"/>
          <w:sz w:val="20"/>
          <w:szCs w:val="20"/>
          <w:lang w:val="es-ES"/>
        </w:rPr>
      </w:pPr>
    </w:p>
    <w:p w14:paraId="45B26099" w14:textId="77777777" w:rsidR="00BD17B0" w:rsidRPr="008B2D40" w:rsidRDefault="00BD17B0" w:rsidP="008B2D40">
      <w:pPr>
        <w:rPr>
          <w:lang w:val="es-ES"/>
        </w:rPr>
      </w:pPr>
    </w:p>
    <w:sectPr w:rsidR="00BD17B0" w:rsidRPr="008B2D40"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D8A1" w14:textId="77777777" w:rsidR="00F57054" w:rsidRDefault="00F57054" w:rsidP="00672733">
      <w:r>
        <w:separator/>
      </w:r>
    </w:p>
  </w:endnote>
  <w:endnote w:type="continuationSeparator" w:id="0">
    <w:p w14:paraId="56BDCF15" w14:textId="77777777" w:rsidR="00F57054" w:rsidRDefault="00F5705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8F33" w14:textId="77777777" w:rsidR="00F57054" w:rsidRDefault="00F57054" w:rsidP="00672733">
      <w:r>
        <w:separator/>
      </w:r>
    </w:p>
  </w:footnote>
  <w:footnote w:type="continuationSeparator" w:id="0">
    <w:p w14:paraId="193EA3E6" w14:textId="77777777" w:rsidR="00F57054" w:rsidRDefault="00F57054" w:rsidP="00672733">
      <w:r>
        <w:continuationSeparator/>
      </w:r>
    </w:p>
  </w:footnote>
  <w:footnote w:id="1">
    <w:p w14:paraId="4536ADFD" w14:textId="77777777" w:rsidR="008B2D40" w:rsidRPr="004C6EE4" w:rsidRDefault="008B2D40" w:rsidP="008B2D40">
      <w:pPr>
        <w:pStyle w:val="FootnoteText"/>
        <w:spacing w:after="120"/>
        <w:ind w:firstLine="720"/>
        <w:jc w:val="both"/>
        <w:rPr>
          <w:rFonts w:ascii="Cambria" w:hAnsi="Cambria"/>
          <w:sz w:val="16"/>
          <w:szCs w:val="16"/>
          <w:lang w:val="es-E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CIDH, Informe Anual 2017, </w:t>
      </w:r>
      <w:hyperlink r:id="rId1" w:history="1">
        <w:r w:rsidRPr="004C6EE4">
          <w:rPr>
            <w:rStyle w:val="Hyperlink"/>
            <w:rFonts w:ascii="Cambria" w:hAnsi="Cambria"/>
            <w:sz w:val="16"/>
            <w:szCs w:val="16"/>
            <w:lang w:val="es-ES"/>
          </w:rPr>
          <w:t>Capítulo II, Sección F: Estado del cumplimiento de las recomendaciones de la CIDH</w:t>
        </w:r>
      </w:hyperlink>
      <w:r w:rsidRPr="004C6EE4">
        <w:rPr>
          <w:rFonts w:ascii="Cambria" w:hAnsi="Cambria"/>
          <w:sz w:val="16"/>
          <w:szCs w:val="16"/>
          <w:lang w:val="es-ES"/>
        </w:rPr>
        <w:t xml:space="preserve">, párr. 1192.  </w:t>
      </w:r>
    </w:p>
  </w:footnote>
  <w:footnote w:id="2">
    <w:p w14:paraId="5DBD8C43" w14:textId="77777777" w:rsidR="008B2D40" w:rsidRPr="004C6EE4" w:rsidRDefault="008B2D40" w:rsidP="008B2D40">
      <w:pPr>
        <w:pStyle w:val="FootnoteText"/>
        <w:spacing w:after="120"/>
        <w:ind w:firstLine="720"/>
        <w:jc w:val="both"/>
        <w:rPr>
          <w:rFonts w:ascii="Cambria" w:hAnsi="Cambria"/>
          <w:sz w:val="16"/>
          <w:szCs w:val="16"/>
          <w:lang w:val="es-E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w:t>
      </w:r>
      <w:r>
        <w:rPr>
          <w:rFonts w:ascii="Cambria" w:hAnsi="Cambria"/>
          <w:sz w:val="16"/>
          <w:szCs w:val="16"/>
          <w:lang w:val="es-ES"/>
        </w:rPr>
        <w:t>Corte IDH</w:t>
      </w:r>
      <w:r w:rsidRPr="004C6EE4">
        <w:rPr>
          <w:rFonts w:ascii="Cambria" w:hAnsi="Cambria"/>
          <w:sz w:val="16"/>
          <w:szCs w:val="16"/>
          <w:lang w:val="es-ES"/>
        </w:rPr>
        <w:t xml:space="preserve">, </w:t>
      </w:r>
      <w:hyperlink r:id="rId2" w:history="1">
        <w:r w:rsidRPr="004C6EE4">
          <w:rPr>
            <w:rStyle w:val="Hyperlink"/>
            <w:rFonts w:ascii="Cambria" w:hAnsi="Cambria"/>
            <w:sz w:val="16"/>
            <w:szCs w:val="16"/>
            <w:lang w:val="es-ES"/>
          </w:rPr>
          <w:t xml:space="preserve">Opinión Consultiva OC-10/89 Interpretación de la Declaración </w:t>
        </w:r>
        <w:r>
          <w:rPr>
            <w:rStyle w:val="Hyperlink"/>
            <w:rFonts w:ascii="Cambria" w:hAnsi="Cambria"/>
            <w:sz w:val="16"/>
            <w:szCs w:val="16"/>
            <w:lang w:val="es-ES"/>
          </w:rPr>
          <w:t>d</w:t>
        </w:r>
        <w:r w:rsidRPr="004C6EE4">
          <w:rPr>
            <w:rStyle w:val="Hyperlink"/>
            <w:rFonts w:ascii="Cambria" w:hAnsi="Cambria"/>
            <w:sz w:val="16"/>
            <w:szCs w:val="16"/>
            <w:lang w:val="es-ES"/>
          </w:rPr>
          <w:t>e los Derechos y Deberes del Hombre en el Marco del Artículo 64 de la Convención Americana sobre Derechos Humanos</w:t>
        </w:r>
      </w:hyperlink>
      <w:r w:rsidRPr="004C6EE4">
        <w:rPr>
          <w:rFonts w:ascii="Cambria" w:hAnsi="Cambria"/>
          <w:sz w:val="16"/>
          <w:szCs w:val="16"/>
          <w:lang w:val="es-ES"/>
        </w:rPr>
        <w:t xml:space="preserve">, 14 de julio de 1989, Ser. A No. 10 (1989), </w:t>
      </w:r>
      <w:proofErr w:type="spellStart"/>
      <w:r w:rsidRPr="004C6EE4">
        <w:rPr>
          <w:rFonts w:ascii="Cambria" w:hAnsi="Cambria"/>
          <w:sz w:val="16"/>
          <w:szCs w:val="16"/>
          <w:lang w:val="es-ES"/>
        </w:rPr>
        <w:t>párrs</w:t>
      </w:r>
      <w:proofErr w:type="spellEnd"/>
      <w:r w:rsidRPr="004C6EE4">
        <w:rPr>
          <w:rFonts w:ascii="Cambria" w:hAnsi="Cambria"/>
          <w:sz w:val="16"/>
          <w:szCs w:val="16"/>
          <w:lang w:val="es-ES"/>
        </w:rPr>
        <w:t xml:space="preserve">. 35-45. </w:t>
      </w:r>
    </w:p>
  </w:footnote>
  <w:footnote w:id="3">
    <w:p w14:paraId="4BBADFE0" w14:textId="77777777" w:rsidR="008B2D40" w:rsidRPr="00A55865" w:rsidRDefault="008B2D40" w:rsidP="008B2D40">
      <w:pPr>
        <w:pStyle w:val="FootnoteText"/>
        <w:spacing w:after="120"/>
        <w:ind w:firstLine="720"/>
        <w:jc w:val="both"/>
        <w:rPr>
          <w:rFonts w:ascii="Cambria" w:hAnsi="Cambria"/>
          <w:sz w:val="16"/>
          <w:szCs w:val="16"/>
          <w:lang w:val="es-US"/>
        </w:rPr>
      </w:pPr>
      <w:r w:rsidRPr="004C6EE4">
        <w:rPr>
          <w:rStyle w:val="FootnoteReference"/>
          <w:rFonts w:ascii="Cambria" w:hAnsi="Cambria"/>
          <w:sz w:val="16"/>
          <w:szCs w:val="16"/>
          <w:lang w:val="es-ES"/>
        </w:rPr>
        <w:footnoteRef/>
      </w:r>
      <w:r w:rsidRPr="004C6EE4">
        <w:rPr>
          <w:rFonts w:ascii="Cambria" w:hAnsi="Cambria"/>
          <w:sz w:val="16"/>
          <w:szCs w:val="16"/>
          <w:lang w:val="es-ES"/>
        </w:rPr>
        <w:t xml:space="preserve"> CIDH, </w:t>
      </w:r>
      <w:hyperlink r:id="rId3" w:history="1">
        <w:r w:rsidRPr="004C6EE4">
          <w:rPr>
            <w:rStyle w:val="Hyperlink"/>
            <w:rFonts w:ascii="Cambria" w:hAnsi="Cambria"/>
            <w:sz w:val="16"/>
            <w:szCs w:val="16"/>
            <w:lang w:val="es-ES"/>
          </w:rPr>
          <w:t xml:space="preserve">Caso 12.873, Informe de Fondo </w:t>
        </w:r>
        <w:proofErr w:type="spellStart"/>
        <w:r w:rsidRPr="004C6EE4">
          <w:rPr>
            <w:rStyle w:val="Hyperlink"/>
            <w:rFonts w:ascii="Cambria" w:hAnsi="Cambria"/>
            <w:sz w:val="16"/>
            <w:szCs w:val="16"/>
            <w:lang w:val="es-ES"/>
          </w:rPr>
          <w:t>Nº</w:t>
        </w:r>
        <w:proofErr w:type="spellEnd"/>
        <w:r w:rsidRPr="004C6EE4">
          <w:rPr>
            <w:rStyle w:val="Hyperlink"/>
            <w:rFonts w:ascii="Cambria" w:hAnsi="Cambria"/>
            <w:sz w:val="16"/>
            <w:szCs w:val="16"/>
            <w:lang w:val="es-ES"/>
          </w:rPr>
          <w:t xml:space="preserve"> 44/14, Edgar Tamayo Arias</w:t>
        </w:r>
      </w:hyperlink>
      <w:r w:rsidRPr="004C6EE4">
        <w:rPr>
          <w:rStyle w:val="Hyperlink"/>
          <w:rFonts w:ascii="Cambria" w:hAnsi="Cambria"/>
          <w:sz w:val="16"/>
          <w:szCs w:val="16"/>
          <w:lang w:val="es-ES"/>
        </w:rPr>
        <w:t xml:space="preserve"> (Estados Unidos)</w:t>
      </w:r>
      <w:r w:rsidRPr="004C6EE4">
        <w:rPr>
          <w:rFonts w:ascii="Cambria" w:hAnsi="Cambria"/>
          <w:sz w:val="16"/>
          <w:szCs w:val="16"/>
          <w:lang w:val="es-ES"/>
        </w:rPr>
        <w:t xml:space="preserve">, párr. 214; CIDH, </w:t>
      </w:r>
      <w:hyperlink r:id="rId4" w:history="1">
        <w:r w:rsidRPr="004C6EE4">
          <w:rPr>
            <w:rStyle w:val="Hyperlink"/>
            <w:rFonts w:ascii="Cambria" w:hAnsi="Cambria"/>
            <w:sz w:val="16"/>
            <w:szCs w:val="16"/>
            <w:lang w:val="es-ES"/>
          </w:rPr>
          <w:t xml:space="preserve">Caso 12.626, Informe de Fondo </w:t>
        </w:r>
        <w:proofErr w:type="spellStart"/>
        <w:r w:rsidRPr="004C6EE4">
          <w:rPr>
            <w:rStyle w:val="Hyperlink"/>
            <w:rFonts w:ascii="Cambria" w:hAnsi="Cambria"/>
            <w:sz w:val="16"/>
            <w:szCs w:val="16"/>
            <w:lang w:val="es-ES"/>
          </w:rPr>
          <w:t>Nº</w:t>
        </w:r>
        <w:proofErr w:type="spellEnd"/>
        <w:r w:rsidRPr="004C6EE4">
          <w:rPr>
            <w:rStyle w:val="Hyperlink"/>
            <w:rFonts w:ascii="Cambria" w:hAnsi="Cambria"/>
            <w:sz w:val="16"/>
            <w:szCs w:val="16"/>
            <w:lang w:val="es-ES"/>
          </w:rPr>
          <w:t xml:space="preserve"> 80/11, Jessica </w:t>
        </w:r>
        <w:proofErr w:type="spellStart"/>
        <w:r w:rsidRPr="004C6EE4">
          <w:rPr>
            <w:rStyle w:val="Hyperlink"/>
            <w:rFonts w:ascii="Cambria" w:hAnsi="Cambria"/>
            <w:sz w:val="16"/>
            <w:szCs w:val="16"/>
            <w:lang w:val="es-ES"/>
          </w:rPr>
          <w:t>Lenahan</w:t>
        </w:r>
        <w:proofErr w:type="spellEnd"/>
        <w:r w:rsidRPr="004C6EE4">
          <w:rPr>
            <w:rStyle w:val="Hyperlink"/>
            <w:rFonts w:ascii="Cambria" w:hAnsi="Cambria"/>
            <w:sz w:val="16"/>
            <w:szCs w:val="16"/>
            <w:lang w:val="es-ES"/>
          </w:rPr>
          <w:t xml:space="preserve"> (Gonzales) y otros (Estados Unidos)</w:t>
        </w:r>
      </w:hyperlink>
      <w:r w:rsidRPr="004C6EE4">
        <w:rPr>
          <w:rFonts w:ascii="Cambria" w:hAnsi="Cambria"/>
          <w:sz w:val="16"/>
          <w:szCs w:val="16"/>
          <w:lang w:val="es-ES"/>
        </w:rPr>
        <w:t xml:space="preserve">, </w:t>
      </w:r>
      <w:proofErr w:type="spellStart"/>
      <w:r w:rsidRPr="004C6EE4">
        <w:rPr>
          <w:rFonts w:ascii="Cambria" w:hAnsi="Cambria"/>
          <w:sz w:val="16"/>
          <w:szCs w:val="16"/>
          <w:lang w:val="es-ES"/>
        </w:rPr>
        <w:t>párrs</w:t>
      </w:r>
      <w:proofErr w:type="spellEnd"/>
      <w:r w:rsidRPr="004C6EE4">
        <w:rPr>
          <w:rFonts w:ascii="Cambria" w:hAnsi="Cambria"/>
          <w:sz w:val="16"/>
          <w:szCs w:val="16"/>
          <w:lang w:val="es-ES"/>
        </w:rPr>
        <w:t xml:space="preserve">. 115-120; CIDH, </w:t>
      </w:r>
      <w:hyperlink r:id="rId5" w:history="1">
        <w:r w:rsidRPr="004C6EE4">
          <w:rPr>
            <w:rStyle w:val="Hyperlink"/>
            <w:rFonts w:ascii="Cambria" w:hAnsi="Cambria"/>
            <w:sz w:val="16"/>
            <w:szCs w:val="16"/>
            <w:lang w:val="es-ES"/>
          </w:rPr>
          <w:t>Hacia el cierre de Guantánamo</w:t>
        </w:r>
      </w:hyperlink>
      <w:r w:rsidRPr="004C6EE4">
        <w:rPr>
          <w:rFonts w:ascii="Cambria" w:hAnsi="Cambria"/>
          <w:sz w:val="16"/>
          <w:szCs w:val="16"/>
          <w:lang w:val="es-ES"/>
        </w:rPr>
        <w:t xml:space="preserve">, 2015, </w:t>
      </w:r>
      <w:proofErr w:type="spellStart"/>
      <w:r w:rsidRPr="004C6EE4">
        <w:rPr>
          <w:rFonts w:ascii="Cambria" w:hAnsi="Cambria"/>
          <w:sz w:val="16"/>
          <w:szCs w:val="16"/>
          <w:lang w:val="es-ES"/>
        </w:rPr>
        <w:t>párrs</w:t>
      </w:r>
      <w:proofErr w:type="spellEnd"/>
      <w:r w:rsidRPr="004C6EE4">
        <w:rPr>
          <w:rFonts w:ascii="Cambria" w:hAnsi="Cambria"/>
          <w:sz w:val="16"/>
          <w:szCs w:val="16"/>
          <w:lang w:val="es-ES"/>
        </w:rPr>
        <w:t xml:space="preserve">. 16-23; CIDH, </w:t>
      </w:r>
      <w:hyperlink r:id="rId6" w:history="1">
        <w:r w:rsidRPr="004C6EE4">
          <w:rPr>
            <w:rStyle w:val="Hyperlink"/>
            <w:rFonts w:ascii="Cambria" w:hAnsi="Cambria"/>
            <w:sz w:val="16"/>
            <w:szCs w:val="16"/>
            <w:lang w:val="es-ES"/>
          </w:rPr>
          <w:t xml:space="preserve">Caso 12.586, Informe de Fondo </w:t>
        </w:r>
        <w:proofErr w:type="spellStart"/>
        <w:r w:rsidRPr="004C6EE4">
          <w:rPr>
            <w:rStyle w:val="Hyperlink"/>
            <w:rFonts w:ascii="Cambria" w:hAnsi="Cambria"/>
            <w:sz w:val="16"/>
            <w:szCs w:val="16"/>
            <w:lang w:val="es-ES"/>
          </w:rPr>
          <w:t>Nº</w:t>
        </w:r>
        <w:proofErr w:type="spellEnd"/>
        <w:r w:rsidRPr="004C6EE4">
          <w:rPr>
            <w:rStyle w:val="Hyperlink"/>
            <w:rFonts w:ascii="Cambria" w:hAnsi="Cambria"/>
            <w:sz w:val="16"/>
            <w:szCs w:val="16"/>
            <w:lang w:val="es-ES"/>
          </w:rPr>
          <w:t xml:space="preserve">. 78/11, John </w:t>
        </w:r>
        <w:proofErr w:type="spellStart"/>
        <w:r w:rsidRPr="004C6EE4">
          <w:rPr>
            <w:rStyle w:val="Hyperlink"/>
            <w:rFonts w:ascii="Cambria" w:hAnsi="Cambria"/>
            <w:sz w:val="16"/>
            <w:szCs w:val="16"/>
            <w:lang w:val="es-ES"/>
          </w:rPr>
          <w:t>Doe</w:t>
        </w:r>
        <w:proofErr w:type="spellEnd"/>
        <w:r w:rsidRPr="004C6EE4">
          <w:rPr>
            <w:rStyle w:val="Hyperlink"/>
            <w:rFonts w:ascii="Cambria" w:hAnsi="Cambria"/>
            <w:sz w:val="16"/>
            <w:szCs w:val="16"/>
            <w:lang w:val="es-ES"/>
          </w:rPr>
          <w:t xml:space="preserve"> y otros (Canadá)</w:t>
        </w:r>
      </w:hyperlink>
      <w:r w:rsidRPr="004C6EE4">
        <w:rPr>
          <w:rFonts w:ascii="Cambria" w:hAnsi="Cambria"/>
          <w:sz w:val="16"/>
          <w:szCs w:val="16"/>
          <w:lang w:val="es-ES"/>
        </w:rPr>
        <w:t xml:space="preserve">, </w:t>
      </w:r>
      <w:proofErr w:type="spellStart"/>
      <w:r w:rsidRPr="004C6EE4">
        <w:rPr>
          <w:rFonts w:ascii="Cambria" w:hAnsi="Cambria"/>
          <w:sz w:val="16"/>
          <w:szCs w:val="16"/>
          <w:lang w:val="es-ES"/>
        </w:rPr>
        <w:t>párrs</w:t>
      </w:r>
      <w:proofErr w:type="spellEnd"/>
      <w:r w:rsidRPr="004C6EE4">
        <w:rPr>
          <w:rFonts w:ascii="Cambria" w:hAnsi="Cambria"/>
          <w:sz w:val="16"/>
          <w:szCs w:val="16"/>
          <w:lang w:val="es-ES"/>
        </w:rPr>
        <w:t>. 129-131.</w:t>
      </w:r>
      <w:r w:rsidRPr="00A55865">
        <w:rPr>
          <w:rFonts w:ascii="Cambria" w:hAnsi="Cambria"/>
          <w:sz w:val="16"/>
          <w:szCs w:val="16"/>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2BDAD2F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92294D"/>
    <w:multiLevelType w:val="hybridMultilevel"/>
    <w:tmpl w:val="666CCD16"/>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267585032">
    <w:abstractNumId w:val="6"/>
  </w:num>
  <w:num w:numId="2" w16cid:durableId="297414828">
    <w:abstractNumId w:val="15"/>
  </w:num>
  <w:num w:numId="3" w16cid:durableId="256595803">
    <w:abstractNumId w:val="10"/>
  </w:num>
  <w:num w:numId="4" w16cid:durableId="1860119131">
    <w:abstractNumId w:val="4"/>
  </w:num>
  <w:num w:numId="5" w16cid:durableId="865949821">
    <w:abstractNumId w:val="3"/>
  </w:num>
  <w:num w:numId="6" w16cid:durableId="1545751407">
    <w:abstractNumId w:val="5"/>
  </w:num>
  <w:num w:numId="7" w16cid:durableId="1502575103">
    <w:abstractNumId w:val="0"/>
  </w:num>
  <w:num w:numId="8" w16cid:durableId="1769736569">
    <w:abstractNumId w:val="1"/>
  </w:num>
  <w:num w:numId="9" w16cid:durableId="1355182874">
    <w:abstractNumId w:val="14"/>
  </w:num>
  <w:num w:numId="10" w16cid:durableId="1112481616">
    <w:abstractNumId w:val="11"/>
  </w:num>
  <w:num w:numId="11" w16cid:durableId="104617077">
    <w:abstractNumId w:val="13"/>
  </w:num>
  <w:num w:numId="12" w16cid:durableId="540825300">
    <w:abstractNumId w:val="12"/>
  </w:num>
  <w:num w:numId="13" w16cid:durableId="1952126759">
    <w:abstractNumId w:val="7"/>
  </w:num>
  <w:num w:numId="14" w16cid:durableId="535628422">
    <w:abstractNumId w:val="9"/>
  </w:num>
  <w:num w:numId="15" w16cid:durableId="1562862407">
    <w:abstractNumId w:val="2"/>
  </w:num>
  <w:num w:numId="16" w16cid:durableId="1175464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520E"/>
    <w:rsid w:val="00045E5E"/>
    <w:rsid w:val="000B20E3"/>
    <w:rsid w:val="000B5E1D"/>
    <w:rsid w:val="000D56F8"/>
    <w:rsid w:val="00105B23"/>
    <w:rsid w:val="0012788D"/>
    <w:rsid w:val="00181DA0"/>
    <w:rsid w:val="001A7AB0"/>
    <w:rsid w:val="001F07B3"/>
    <w:rsid w:val="001F08D4"/>
    <w:rsid w:val="002248FB"/>
    <w:rsid w:val="00234E64"/>
    <w:rsid w:val="002B08BC"/>
    <w:rsid w:val="00322720"/>
    <w:rsid w:val="00354FB5"/>
    <w:rsid w:val="003A7CE5"/>
    <w:rsid w:val="003C58AF"/>
    <w:rsid w:val="003D5BC1"/>
    <w:rsid w:val="00453115"/>
    <w:rsid w:val="00467277"/>
    <w:rsid w:val="004758C9"/>
    <w:rsid w:val="0048723C"/>
    <w:rsid w:val="004C5501"/>
    <w:rsid w:val="00500FDE"/>
    <w:rsid w:val="00561F9B"/>
    <w:rsid w:val="00566CD0"/>
    <w:rsid w:val="0058169D"/>
    <w:rsid w:val="005C3F97"/>
    <w:rsid w:val="005F48CB"/>
    <w:rsid w:val="00637ED3"/>
    <w:rsid w:val="006638E5"/>
    <w:rsid w:val="00672733"/>
    <w:rsid w:val="006B1F24"/>
    <w:rsid w:val="006F16C2"/>
    <w:rsid w:val="006F6890"/>
    <w:rsid w:val="00757595"/>
    <w:rsid w:val="0078107C"/>
    <w:rsid w:val="007C4DCE"/>
    <w:rsid w:val="007F2517"/>
    <w:rsid w:val="008463D3"/>
    <w:rsid w:val="008818B0"/>
    <w:rsid w:val="008861D6"/>
    <w:rsid w:val="008B2D40"/>
    <w:rsid w:val="00972AC9"/>
    <w:rsid w:val="009912EF"/>
    <w:rsid w:val="009C0442"/>
    <w:rsid w:val="00A55865"/>
    <w:rsid w:val="00A67A88"/>
    <w:rsid w:val="00B662ED"/>
    <w:rsid w:val="00BD17B0"/>
    <w:rsid w:val="00BF7A78"/>
    <w:rsid w:val="00C11991"/>
    <w:rsid w:val="00C81140"/>
    <w:rsid w:val="00CE3253"/>
    <w:rsid w:val="00D125D1"/>
    <w:rsid w:val="00D427BD"/>
    <w:rsid w:val="00D56DC4"/>
    <w:rsid w:val="00D76A86"/>
    <w:rsid w:val="00D917F9"/>
    <w:rsid w:val="00DD4805"/>
    <w:rsid w:val="00E042FE"/>
    <w:rsid w:val="00E313E9"/>
    <w:rsid w:val="00E516AB"/>
    <w:rsid w:val="00E90CB3"/>
    <w:rsid w:val="00EA0262"/>
    <w:rsid w:val="00EC61E3"/>
    <w:rsid w:val="00ED0AAA"/>
    <w:rsid w:val="00ED1EBA"/>
    <w:rsid w:val="00EE011D"/>
    <w:rsid w:val="00F2500C"/>
    <w:rsid w:val="00F41E7E"/>
    <w:rsid w:val="00F46784"/>
    <w:rsid w:val="00F57054"/>
    <w:rsid w:val="00F9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AF"/>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spacing w:after="0" w:line="240" w:lineRule="auto"/>
      <w:ind w:left="720"/>
      <w:contextualSpacing/>
    </w:pPr>
    <w:rPr>
      <w:rFonts w:asciiTheme="minorHAnsi" w:eastAsiaTheme="minorHAnsi" w:hAnsiTheme="minorHAnsi" w:cstheme="minorBidi"/>
      <w:sz w:val="24"/>
      <w:szCs w:val="24"/>
      <w:lang w:val="en-US"/>
    </w:rPr>
  </w:style>
  <w:style w:type="paragraph" w:styleId="Subtitle">
    <w:name w:val="Subtitle"/>
    <w:basedOn w:val="Normal"/>
    <w:next w:val="Normal"/>
    <w:link w:val="SubtitleChar"/>
    <w:uiPriority w:val="11"/>
    <w:qFormat/>
    <w:rsid w:val="00045E5E"/>
    <w:pPr>
      <w:numPr>
        <w:ilvl w:val="1"/>
      </w:numPr>
      <w:spacing w:after="160" w:line="240"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line="240" w:lineRule="auto"/>
    </w:pPr>
    <w:rPr>
      <w:rFonts w:asciiTheme="minorHAnsi" w:eastAsiaTheme="minorHAnsi" w:hAnsiTheme="minorHAnsi" w:cstheme="minorBidi"/>
      <w:i/>
      <w:iCs/>
      <w:color w:val="44546A" w:themeColor="text2"/>
      <w:sz w:val="18"/>
      <w:szCs w:val="18"/>
      <w:lang w:val="en-US"/>
    </w:rPr>
  </w:style>
  <w:style w:type="paragraph" w:customStyle="1" w:styleId="Appelnotedebasde">
    <w:name w:val="Appel note de bas de..."/>
    <w:basedOn w:val="Normal"/>
    <w:link w:val="FootnoteReference"/>
    <w:rsid w:val="00757595"/>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 w:type="paragraph" w:styleId="NoSpacing">
    <w:name w:val="No Spacing"/>
    <w:uiPriority w:val="1"/>
    <w:qFormat/>
    <w:rsid w:val="00D125D1"/>
    <w:rPr>
      <w:rFonts w:ascii="Calibri" w:eastAsia="Calibri" w:hAnsi="Calibri" w:cs="Times New Roman"/>
      <w:sz w:val="22"/>
      <w:szCs w:val="22"/>
      <w:lang w:val="pt-BR"/>
    </w:rPr>
  </w:style>
  <w:style w:type="paragraph" w:styleId="BlockText">
    <w:name w:val="Block Text"/>
    <w:basedOn w:val="Normal"/>
    <w:uiPriority w:val="99"/>
    <w:rsid w:val="00D125D1"/>
    <w:pPr>
      <w:spacing w:before="100" w:beforeAutospacing="1" w:after="100" w:afterAutospacing="1" w:line="240" w:lineRule="auto"/>
    </w:pPr>
    <w:rPr>
      <w:rFonts w:ascii="Times New Roman" w:eastAsia="MS Mincho" w:hAnsi="Times New Roman"/>
      <w:sz w:val="24"/>
      <w:szCs w:val="24"/>
      <w:lang w:val="en-US"/>
    </w:rPr>
  </w:style>
  <w:style w:type="paragraph" w:customStyle="1" w:styleId="Default">
    <w:name w:val="Default"/>
    <w:rsid w:val="003A7CE5"/>
    <w:pPr>
      <w:autoSpaceDE w:val="0"/>
      <w:autoSpaceDN w:val="0"/>
      <w:adjustRightInd w:val="0"/>
    </w:pPr>
    <w:rPr>
      <w:rFonts w:ascii="Cambria" w:eastAsia="Calibri" w:hAnsi="Cambria" w:cs="Cambria"/>
      <w:color w:val="000000"/>
    </w:rPr>
  </w:style>
  <w:style w:type="paragraph" w:styleId="HTMLPreformatted">
    <w:name w:val="HTML Preformatted"/>
    <w:basedOn w:val="Normal"/>
    <w:link w:val="HTMLPreformattedChar"/>
    <w:uiPriority w:val="99"/>
    <w:semiHidden/>
    <w:unhideWhenUsed/>
    <w:rsid w:val="0012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2788D"/>
    <w:rPr>
      <w:rFonts w:ascii="Courier New" w:eastAsia="Times New Roman" w:hAnsi="Courier New" w:cs="Courier New"/>
      <w:sz w:val="20"/>
      <w:szCs w:val="20"/>
    </w:rPr>
  </w:style>
  <w:style w:type="character" w:customStyle="1" w:styleId="y2iqfc">
    <w:name w:val="y2iqfc"/>
    <w:basedOn w:val="DefaultParagraphFont"/>
    <w:rsid w:val="0012788D"/>
  </w:style>
  <w:style w:type="paragraph" w:styleId="NormalWeb">
    <w:name w:val="Normal (Web)"/>
    <w:basedOn w:val="Normal"/>
    <w:uiPriority w:val="99"/>
    <w:semiHidden/>
    <w:unhideWhenUsed/>
    <w:rsid w:val="0012788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634">
      <w:bodyDiv w:val="1"/>
      <w:marLeft w:val="0"/>
      <w:marRight w:val="0"/>
      <w:marTop w:val="0"/>
      <w:marBottom w:val="0"/>
      <w:divBdr>
        <w:top w:val="none" w:sz="0" w:space="0" w:color="auto"/>
        <w:left w:val="none" w:sz="0" w:space="0" w:color="auto"/>
        <w:bottom w:val="none" w:sz="0" w:space="0" w:color="auto"/>
        <w:right w:val="none" w:sz="0" w:space="0" w:color="auto"/>
      </w:divBdr>
    </w:div>
    <w:div w:id="197008524">
      <w:bodyDiv w:val="1"/>
      <w:marLeft w:val="0"/>
      <w:marRight w:val="0"/>
      <w:marTop w:val="0"/>
      <w:marBottom w:val="0"/>
      <w:divBdr>
        <w:top w:val="none" w:sz="0" w:space="0" w:color="auto"/>
        <w:left w:val="none" w:sz="0" w:space="0" w:color="auto"/>
        <w:bottom w:val="none" w:sz="0" w:space="0" w:color="auto"/>
        <w:right w:val="none" w:sz="0" w:space="0" w:color="auto"/>
      </w:divBdr>
    </w:div>
    <w:div w:id="1668513340">
      <w:bodyDiv w:val="1"/>
      <w:marLeft w:val="0"/>
      <w:marRight w:val="0"/>
      <w:marTop w:val="0"/>
      <w:marBottom w:val="0"/>
      <w:divBdr>
        <w:top w:val="none" w:sz="0" w:space="0" w:color="auto"/>
        <w:left w:val="none" w:sz="0" w:space="0" w:color="auto"/>
        <w:bottom w:val="none" w:sz="0" w:space="0" w:color="auto"/>
        <w:right w:val="none" w:sz="0" w:space="0" w:color="auto"/>
      </w:divBdr>
      <w:divsChild>
        <w:div w:id="2033143522">
          <w:marLeft w:val="0"/>
          <w:marRight w:val="0"/>
          <w:marTop w:val="0"/>
          <w:marBottom w:val="0"/>
          <w:divBdr>
            <w:top w:val="none" w:sz="0" w:space="0" w:color="auto"/>
            <w:left w:val="none" w:sz="0" w:space="0" w:color="auto"/>
            <w:bottom w:val="none" w:sz="0" w:space="0" w:color="auto"/>
            <w:right w:val="none" w:sz="0" w:space="0" w:color="auto"/>
          </w:divBdr>
          <w:divsChild>
            <w:div w:id="1538539958">
              <w:marLeft w:val="0"/>
              <w:marRight w:val="0"/>
              <w:marTop w:val="0"/>
              <w:marBottom w:val="0"/>
              <w:divBdr>
                <w:top w:val="none" w:sz="0" w:space="0" w:color="auto"/>
                <w:left w:val="none" w:sz="0" w:space="0" w:color="auto"/>
                <w:bottom w:val="none" w:sz="0" w:space="0" w:color="auto"/>
                <w:right w:val="none" w:sz="0" w:space="0" w:color="auto"/>
              </w:divBdr>
              <w:divsChild>
                <w:div w:id="985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120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4/USPU12873ES.pdf" TargetMode="External"/><Relationship Id="rId2" Type="http://schemas.openxmlformats.org/officeDocument/2006/relationships/hyperlink" Target="http://www.corteidh.or.cr/docs/opiniones/seriea_10_ing1.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n/iachr/decisions/2011/CAPU12586EN.doc" TargetMode="External"/><Relationship Id="rId5" Type="http://schemas.openxmlformats.org/officeDocument/2006/relationships/hyperlink" Target="http://www.oas.org/es/cidh/informes/pdfs/Hacia-cierre-Guantanamo.pdf" TargetMode="External"/><Relationship Id="rId4" Type="http://schemas.openxmlformats.org/officeDocument/2006/relationships/hyperlink" Target="http://www.oas.org/es/cidh/decisiones/2011/USPU12626ES.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2022-04-21T13:37:00Z</dcterms:created>
  <dcterms:modified xsi:type="dcterms:W3CDTF">2022-04-21T13:38:00Z</dcterms:modified>
</cp:coreProperties>
</file>