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9B23B4" w14:textId="77777777" w:rsidR="00F27259" w:rsidRPr="00D02BFE" w:rsidRDefault="00F27259" w:rsidP="00853A24">
      <w:pPr>
        <w:pStyle w:val="NoSpacing"/>
        <w:spacing w:after="0" w:line="240" w:lineRule="auto"/>
        <w:jc w:val="center"/>
        <w:rPr>
          <w:rFonts w:ascii="Cambria" w:eastAsia="Cambria" w:hAnsi="Cambria" w:cs="Cambria"/>
          <w:b/>
          <w:bCs/>
          <w:sz w:val="20"/>
          <w:szCs w:val="20"/>
          <w:lang w:val="es-ES_tradnl"/>
        </w:rPr>
      </w:pPr>
    </w:p>
    <w:p w14:paraId="5EB58848" w14:textId="77777777" w:rsidR="005C5BE6" w:rsidRPr="00D02BFE" w:rsidRDefault="00D8031F" w:rsidP="00853A24">
      <w:pPr>
        <w:pStyle w:val="NoSpacing"/>
        <w:spacing w:after="0" w:line="240" w:lineRule="auto"/>
        <w:jc w:val="center"/>
        <w:rPr>
          <w:rFonts w:ascii="Cambria" w:eastAsia="Cambria" w:hAnsi="Cambria" w:cs="Cambria"/>
          <w:b/>
          <w:bCs/>
          <w:sz w:val="20"/>
          <w:szCs w:val="20"/>
          <w:lang w:val="es-ES_tradnl"/>
        </w:rPr>
      </w:pPr>
      <w:r w:rsidRPr="00D02BFE">
        <w:rPr>
          <w:rFonts w:ascii="Cambria" w:eastAsia="Cambria" w:hAnsi="Cambria" w:cs="Cambria"/>
          <w:b/>
          <w:bCs/>
          <w:sz w:val="20"/>
          <w:szCs w:val="20"/>
          <w:lang w:val="es-ES_tradnl"/>
        </w:rPr>
        <w:t>FICHA DE SEGUIMIENTO DEL INFORME Nº 35/17</w:t>
      </w:r>
    </w:p>
    <w:p w14:paraId="753A0E77" w14:textId="77777777" w:rsidR="005C5BE6" w:rsidRPr="00D02BFE" w:rsidRDefault="00D8031F" w:rsidP="00853A24">
      <w:pPr>
        <w:pStyle w:val="NoSpacing"/>
        <w:spacing w:after="0" w:line="240" w:lineRule="auto"/>
        <w:jc w:val="center"/>
        <w:rPr>
          <w:rFonts w:ascii="Cambria" w:eastAsia="Cambria" w:hAnsi="Cambria" w:cs="Cambria"/>
          <w:b/>
          <w:bCs/>
          <w:sz w:val="20"/>
          <w:szCs w:val="20"/>
          <w:lang w:val="es-ES_tradnl"/>
        </w:rPr>
      </w:pPr>
      <w:r w:rsidRPr="00D02BFE">
        <w:rPr>
          <w:rFonts w:ascii="Cambria" w:eastAsia="Cambria" w:hAnsi="Cambria" w:cs="Cambria"/>
          <w:b/>
          <w:bCs/>
          <w:sz w:val="20"/>
          <w:szCs w:val="20"/>
          <w:lang w:val="es-ES_tradnl"/>
        </w:rPr>
        <w:t>CASO 12.713</w:t>
      </w:r>
    </w:p>
    <w:p w14:paraId="4F49E30A" w14:textId="77777777" w:rsidR="005C5BE6" w:rsidRPr="00D02BFE" w:rsidRDefault="00D8031F" w:rsidP="00853A24">
      <w:pPr>
        <w:pStyle w:val="NoSpacing"/>
        <w:spacing w:after="0" w:line="240" w:lineRule="auto"/>
        <w:jc w:val="center"/>
        <w:rPr>
          <w:rFonts w:ascii="Cambria" w:eastAsia="Cambria" w:hAnsi="Cambria" w:cs="Cambria"/>
          <w:b/>
          <w:bCs/>
          <w:sz w:val="20"/>
          <w:szCs w:val="20"/>
          <w:lang w:val="es-ES_tradnl"/>
        </w:rPr>
      </w:pPr>
      <w:r w:rsidRPr="00D02BFE">
        <w:rPr>
          <w:rFonts w:ascii="Cambria" w:eastAsia="Cambria" w:hAnsi="Cambria" w:cs="Cambria"/>
          <w:b/>
          <w:bCs/>
          <w:sz w:val="20"/>
          <w:szCs w:val="20"/>
          <w:lang w:val="es-ES_tradnl"/>
        </w:rPr>
        <w:t>JOSÉ RUSBEL LARA Y OTROS</w:t>
      </w:r>
    </w:p>
    <w:p w14:paraId="6097E18E" w14:textId="77777777" w:rsidR="005C5BE6" w:rsidRPr="00D02BFE" w:rsidRDefault="00D8031F" w:rsidP="00853A24">
      <w:pPr>
        <w:pStyle w:val="NoSpacing"/>
        <w:spacing w:after="0" w:line="240" w:lineRule="auto"/>
        <w:jc w:val="center"/>
        <w:rPr>
          <w:rFonts w:ascii="Cambria" w:eastAsia="Cambria" w:hAnsi="Cambria" w:cs="Cambria"/>
          <w:b/>
          <w:bCs/>
          <w:sz w:val="20"/>
          <w:szCs w:val="20"/>
          <w:lang w:val="es-ES_tradnl"/>
        </w:rPr>
      </w:pPr>
      <w:r w:rsidRPr="00D02BFE">
        <w:rPr>
          <w:rFonts w:ascii="Cambria" w:eastAsia="Cambria" w:hAnsi="Cambria" w:cs="Cambria"/>
          <w:b/>
          <w:bCs/>
          <w:sz w:val="20"/>
          <w:szCs w:val="20"/>
          <w:lang w:val="es-ES_tradnl"/>
        </w:rPr>
        <w:t>(Colombia)</w:t>
      </w:r>
    </w:p>
    <w:p w14:paraId="3DB4E625" w14:textId="77777777" w:rsidR="005C5BE6" w:rsidRPr="00D02BFE" w:rsidRDefault="005C5BE6">
      <w:pPr>
        <w:pStyle w:val="NoSpacing"/>
        <w:jc w:val="center"/>
        <w:rPr>
          <w:rFonts w:ascii="Cambria" w:eastAsia="Cambria" w:hAnsi="Cambria" w:cs="Cambria"/>
          <w:sz w:val="20"/>
          <w:szCs w:val="20"/>
          <w:lang w:val="es-ES_tradnl"/>
        </w:rPr>
      </w:pPr>
    </w:p>
    <w:p w14:paraId="5FEDDFF3" w14:textId="77777777" w:rsidR="005C5BE6" w:rsidRPr="00D02BFE" w:rsidRDefault="00D8031F">
      <w:pPr>
        <w:numPr>
          <w:ilvl w:val="0"/>
          <w:numId w:val="2"/>
        </w:numPr>
        <w:spacing w:after="0" w:line="240" w:lineRule="auto"/>
        <w:rPr>
          <w:rFonts w:ascii="Cambria" w:eastAsia="Cambria" w:hAnsi="Cambria" w:cs="Cambria"/>
          <w:b/>
          <w:bCs/>
          <w:sz w:val="20"/>
          <w:szCs w:val="20"/>
        </w:rPr>
      </w:pPr>
      <w:r w:rsidRPr="00D02BFE">
        <w:rPr>
          <w:rFonts w:ascii="Cambria" w:eastAsia="Cambria" w:hAnsi="Cambria" w:cs="Cambria"/>
          <w:b/>
          <w:bCs/>
          <w:sz w:val="20"/>
          <w:szCs w:val="20"/>
        </w:rPr>
        <w:t xml:space="preserve">Resumen del caso </w:t>
      </w:r>
    </w:p>
    <w:p w14:paraId="43B54432" w14:textId="77777777" w:rsidR="005C5BE6" w:rsidRPr="00D02BFE" w:rsidRDefault="005C5BE6">
      <w:pPr>
        <w:spacing w:after="0" w:line="240" w:lineRule="auto"/>
        <w:ind w:left="1080"/>
        <w:rPr>
          <w:rFonts w:ascii="Cambria" w:eastAsia="Cambria" w:hAnsi="Cambria" w:cs="Cambria"/>
          <w:sz w:val="20"/>
          <w:szCs w:val="20"/>
        </w:rPr>
      </w:pP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5C5BE6" w:rsidRPr="00D02BFE" w14:paraId="677C60E6" w14:textId="77777777">
        <w:trPr>
          <w:trHeight w:val="6430"/>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C06009E" w14:textId="77777777" w:rsidR="005C5BE6" w:rsidRPr="00D02BFE" w:rsidRDefault="00D8031F">
            <w:pPr>
              <w:pStyle w:val="NoSpacing"/>
              <w:spacing w:before="120" w:after="0" w:line="240" w:lineRule="auto"/>
              <w:jc w:val="both"/>
              <w:rPr>
                <w:rFonts w:ascii="Cambria" w:eastAsia="Cambria" w:hAnsi="Cambria" w:cs="Cambria"/>
                <w:sz w:val="20"/>
                <w:szCs w:val="20"/>
                <w:lang w:val="es-MX"/>
              </w:rPr>
            </w:pPr>
            <w:r w:rsidRPr="00D02BFE">
              <w:rPr>
                <w:rFonts w:ascii="Cambria" w:eastAsia="Cambria" w:hAnsi="Cambria" w:cs="Cambria"/>
                <w:b/>
                <w:bCs/>
                <w:sz w:val="20"/>
                <w:szCs w:val="20"/>
                <w:lang w:val="es-MX"/>
              </w:rPr>
              <w:t>Víctima (s):</w:t>
            </w:r>
            <w:r w:rsidRPr="00D02BFE">
              <w:rPr>
                <w:rFonts w:ascii="Cambria" w:eastAsia="Cambria" w:hAnsi="Cambria" w:cs="Cambria"/>
                <w:sz w:val="20"/>
                <w:szCs w:val="20"/>
                <w:lang w:val="es-MX"/>
              </w:rPr>
              <w:t xml:space="preserve"> </w:t>
            </w:r>
            <w:r w:rsidRPr="00D02BFE">
              <w:rPr>
                <w:rFonts w:ascii="Cambria" w:eastAsia="Cambria" w:hAnsi="Cambria" w:cs="Cambria"/>
                <w:sz w:val="20"/>
                <w:szCs w:val="20"/>
                <w:lang w:val="es-ES_tradnl"/>
              </w:rPr>
              <w:t xml:space="preserve">José </w:t>
            </w:r>
            <w:proofErr w:type="spellStart"/>
            <w:r w:rsidRPr="00D02BFE">
              <w:rPr>
                <w:rFonts w:ascii="Cambria" w:eastAsia="Cambria" w:hAnsi="Cambria" w:cs="Cambria"/>
                <w:sz w:val="20"/>
                <w:szCs w:val="20"/>
                <w:lang w:val="es-ES_tradnl"/>
              </w:rPr>
              <w:t>Rusbel</w:t>
            </w:r>
            <w:proofErr w:type="spellEnd"/>
            <w:r w:rsidRPr="00D02BFE">
              <w:rPr>
                <w:rFonts w:ascii="Cambria" w:eastAsia="Cambria" w:hAnsi="Cambria" w:cs="Cambria"/>
                <w:sz w:val="20"/>
                <w:szCs w:val="20"/>
                <w:lang w:val="es-ES_tradnl"/>
              </w:rPr>
              <w:t xml:space="preserve"> Lara, </w:t>
            </w:r>
            <w:proofErr w:type="spellStart"/>
            <w:r w:rsidRPr="00D02BFE">
              <w:rPr>
                <w:rFonts w:ascii="Cambria" w:eastAsia="Cambria" w:hAnsi="Cambria" w:cs="Cambria"/>
                <w:sz w:val="20"/>
                <w:szCs w:val="20"/>
                <w:lang w:val="es-ES_tradnl"/>
              </w:rPr>
              <w:t>Rusbel</w:t>
            </w:r>
            <w:proofErr w:type="spellEnd"/>
            <w:r w:rsidRPr="00D02BFE">
              <w:rPr>
                <w:rFonts w:ascii="Cambria" w:eastAsia="Cambria" w:hAnsi="Cambria" w:cs="Cambria"/>
                <w:sz w:val="20"/>
                <w:szCs w:val="20"/>
                <w:lang w:val="es-ES_tradnl"/>
              </w:rPr>
              <w:t xml:space="preserve"> </w:t>
            </w:r>
            <w:proofErr w:type="spellStart"/>
            <w:r w:rsidRPr="00D02BFE">
              <w:rPr>
                <w:rFonts w:ascii="Cambria" w:eastAsia="Cambria" w:hAnsi="Cambria" w:cs="Cambria"/>
                <w:sz w:val="20"/>
                <w:szCs w:val="20"/>
                <w:lang w:val="es-ES_tradnl"/>
              </w:rPr>
              <w:t>Dair</w:t>
            </w:r>
            <w:proofErr w:type="spellEnd"/>
            <w:r w:rsidRPr="00D02BFE">
              <w:rPr>
                <w:rFonts w:ascii="Cambria" w:eastAsia="Cambria" w:hAnsi="Cambria" w:cs="Cambria"/>
                <w:sz w:val="20"/>
                <w:szCs w:val="20"/>
                <w:lang w:val="es-ES_tradnl"/>
              </w:rPr>
              <w:t xml:space="preserve"> Lara </w:t>
            </w:r>
            <w:proofErr w:type="spellStart"/>
            <w:r w:rsidRPr="00D02BFE">
              <w:rPr>
                <w:rFonts w:ascii="Cambria" w:eastAsia="Cambria" w:hAnsi="Cambria" w:cs="Cambria"/>
                <w:sz w:val="20"/>
                <w:szCs w:val="20"/>
                <w:lang w:val="es-ES_tradnl"/>
              </w:rPr>
              <w:t>Tuay</w:t>
            </w:r>
            <w:proofErr w:type="spellEnd"/>
            <w:r w:rsidRPr="00D02BFE">
              <w:rPr>
                <w:rFonts w:ascii="Cambria" w:eastAsia="Cambria" w:hAnsi="Cambria" w:cs="Cambria"/>
                <w:sz w:val="20"/>
                <w:szCs w:val="20"/>
                <w:lang w:val="es-ES_tradnl"/>
              </w:rPr>
              <w:t xml:space="preserve">, </w:t>
            </w:r>
            <w:proofErr w:type="spellStart"/>
            <w:r w:rsidRPr="00D02BFE">
              <w:rPr>
                <w:rFonts w:ascii="Cambria" w:eastAsia="Cambria" w:hAnsi="Cambria" w:cs="Cambria"/>
                <w:sz w:val="20"/>
                <w:szCs w:val="20"/>
                <w:lang w:val="es-ES_tradnl"/>
              </w:rPr>
              <w:t>Duvian</w:t>
            </w:r>
            <w:proofErr w:type="spellEnd"/>
            <w:r w:rsidRPr="00D02BFE">
              <w:rPr>
                <w:rFonts w:ascii="Cambria" w:eastAsia="Cambria" w:hAnsi="Cambria" w:cs="Cambria"/>
                <w:sz w:val="20"/>
                <w:szCs w:val="20"/>
                <w:lang w:val="es-ES_tradnl"/>
              </w:rPr>
              <w:t xml:space="preserve"> Ferley Lara </w:t>
            </w:r>
            <w:proofErr w:type="spellStart"/>
            <w:r w:rsidRPr="00D02BFE">
              <w:rPr>
                <w:rFonts w:ascii="Cambria" w:eastAsia="Cambria" w:hAnsi="Cambria" w:cs="Cambria"/>
                <w:sz w:val="20"/>
                <w:szCs w:val="20"/>
                <w:lang w:val="es-ES_tradnl"/>
              </w:rPr>
              <w:t>Tuay</w:t>
            </w:r>
            <w:proofErr w:type="spellEnd"/>
            <w:r w:rsidRPr="00D02BFE">
              <w:rPr>
                <w:rFonts w:ascii="Cambria" w:eastAsia="Cambria" w:hAnsi="Cambria" w:cs="Cambria"/>
                <w:sz w:val="20"/>
                <w:szCs w:val="20"/>
                <w:lang w:val="es-ES_tradnl"/>
              </w:rPr>
              <w:t xml:space="preserve">, Ana </w:t>
            </w:r>
            <w:proofErr w:type="spellStart"/>
            <w:r w:rsidRPr="00D02BFE">
              <w:rPr>
                <w:rFonts w:ascii="Cambria" w:eastAsia="Cambria" w:hAnsi="Cambria" w:cs="Cambria"/>
                <w:sz w:val="20"/>
                <w:szCs w:val="20"/>
                <w:lang w:val="es-ES_tradnl"/>
              </w:rPr>
              <w:t>Dirley</w:t>
            </w:r>
            <w:proofErr w:type="spellEnd"/>
            <w:r w:rsidRPr="00D02BFE">
              <w:rPr>
                <w:rFonts w:ascii="Cambria" w:eastAsia="Cambria" w:hAnsi="Cambria" w:cs="Cambria"/>
                <w:sz w:val="20"/>
                <w:szCs w:val="20"/>
                <w:lang w:val="es-ES_tradnl"/>
              </w:rPr>
              <w:t xml:space="preserve"> Lara </w:t>
            </w:r>
            <w:proofErr w:type="spellStart"/>
            <w:r w:rsidRPr="00D02BFE">
              <w:rPr>
                <w:rFonts w:ascii="Cambria" w:eastAsia="Cambria" w:hAnsi="Cambria" w:cs="Cambria"/>
                <w:sz w:val="20"/>
                <w:szCs w:val="20"/>
                <w:lang w:val="es-ES_tradnl"/>
              </w:rPr>
              <w:t>Tuay</w:t>
            </w:r>
            <w:proofErr w:type="spellEnd"/>
            <w:r w:rsidRPr="00D02BFE">
              <w:rPr>
                <w:rFonts w:ascii="Cambria" w:eastAsia="Cambria" w:hAnsi="Cambria" w:cs="Cambria"/>
                <w:sz w:val="20"/>
                <w:szCs w:val="20"/>
                <w:lang w:val="es-ES_tradnl"/>
              </w:rPr>
              <w:t>, Hercilia Lara Albarracín y Sindy Rubiela Lara Albarracín</w:t>
            </w:r>
          </w:p>
          <w:p w14:paraId="2D5267B2" w14:textId="77777777" w:rsidR="005C5BE6" w:rsidRPr="00D02BFE" w:rsidRDefault="00D8031F">
            <w:pPr>
              <w:pStyle w:val="NoSpacing"/>
              <w:spacing w:after="0" w:line="240" w:lineRule="auto"/>
              <w:jc w:val="both"/>
              <w:rPr>
                <w:rFonts w:ascii="Cambria" w:eastAsia="Cambria" w:hAnsi="Cambria" w:cs="Cambria"/>
                <w:sz w:val="20"/>
                <w:szCs w:val="20"/>
                <w:lang w:val="es-MX"/>
              </w:rPr>
            </w:pPr>
            <w:r w:rsidRPr="00D02BFE">
              <w:rPr>
                <w:rFonts w:ascii="Cambria" w:eastAsia="Cambria" w:hAnsi="Cambria" w:cs="Cambria"/>
                <w:b/>
                <w:bCs/>
                <w:sz w:val="20"/>
                <w:szCs w:val="20"/>
                <w:lang w:val="es-MX"/>
              </w:rPr>
              <w:t xml:space="preserve">Peticionario (s): </w:t>
            </w:r>
            <w:r w:rsidRPr="00D02BFE">
              <w:rPr>
                <w:rFonts w:ascii="Cambria" w:eastAsia="Cambria" w:hAnsi="Cambria" w:cs="Cambria"/>
                <w:sz w:val="20"/>
                <w:szCs w:val="20"/>
                <w:lang w:val="es-ES_tradnl"/>
              </w:rPr>
              <w:t>Asociación para la Promoción Social Alternativa (MINGA)</w:t>
            </w:r>
          </w:p>
          <w:p w14:paraId="4D60D747" w14:textId="77777777" w:rsidR="005C5BE6" w:rsidRPr="00D02BFE" w:rsidRDefault="00D8031F">
            <w:pPr>
              <w:pStyle w:val="NoSpacing"/>
              <w:spacing w:after="0" w:line="240" w:lineRule="auto"/>
              <w:jc w:val="both"/>
              <w:rPr>
                <w:rFonts w:ascii="Cambria" w:eastAsia="Cambria" w:hAnsi="Cambria" w:cs="Cambria"/>
                <w:sz w:val="20"/>
                <w:szCs w:val="20"/>
                <w:lang w:val="es-MX"/>
              </w:rPr>
            </w:pPr>
            <w:r w:rsidRPr="00D02BFE">
              <w:rPr>
                <w:rFonts w:ascii="Cambria" w:eastAsia="Cambria" w:hAnsi="Cambria" w:cs="Cambria"/>
                <w:b/>
                <w:bCs/>
                <w:sz w:val="20"/>
                <w:szCs w:val="20"/>
                <w:lang w:val="es-MX"/>
              </w:rPr>
              <w:t>Estado:</w:t>
            </w:r>
            <w:r w:rsidRPr="00D02BFE">
              <w:rPr>
                <w:rFonts w:ascii="Cambria" w:eastAsia="Cambria" w:hAnsi="Cambria" w:cs="Cambria"/>
                <w:sz w:val="20"/>
                <w:szCs w:val="20"/>
                <w:lang w:val="es-MX"/>
              </w:rPr>
              <w:t xml:space="preserve"> Colombia</w:t>
            </w:r>
          </w:p>
          <w:p w14:paraId="172FA0CD" w14:textId="77777777" w:rsidR="005C5BE6" w:rsidRPr="00D02BFE" w:rsidRDefault="00D8031F">
            <w:pPr>
              <w:pStyle w:val="NoSpacing"/>
              <w:spacing w:after="0" w:line="240" w:lineRule="auto"/>
              <w:jc w:val="both"/>
              <w:rPr>
                <w:rFonts w:ascii="Cambria" w:eastAsia="Cambria" w:hAnsi="Cambria" w:cs="Cambria"/>
                <w:sz w:val="20"/>
                <w:szCs w:val="20"/>
                <w:lang w:val="es-MX"/>
              </w:rPr>
            </w:pPr>
            <w:r w:rsidRPr="00D02BFE">
              <w:rPr>
                <w:rFonts w:ascii="Cambria" w:eastAsia="Cambria" w:hAnsi="Cambria" w:cs="Cambria"/>
                <w:b/>
                <w:bCs/>
                <w:sz w:val="20"/>
                <w:szCs w:val="20"/>
                <w:lang w:val="es-MX"/>
              </w:rPr>
              <w:t xml:space="preserve">Informe de Fondo Nº: </w:t>
            </w:r>
            <w:hyperlink r:id="rId9" w:history="1">
              <w:r w:rsidRPr="00D02BFE">
                <w:rPr>
                  <w:rStyle w:val="Hyperlink0"/>
                  <w:rFonts w:ascii="Cambria" w:eastAsia="Cambria" w:hAnsi="Cambria" w:cs="Cambria"/>
                  <w:sz w:val="20"/>
                  <w:szCs w:val="20"/>
                  <w:lang w:val="es-MX"/>
                </w:rPr>
                <w:t>35/17</w:t>
              </w:r>
            </w:hyperlink>
            <w:r w:rsidRPr="00D02BFE">
              <w:rPr>
                <w:rFonts w:ascii="Cambria" w:eastAsia="Cambria" w:hAnsi="Cambria" w:cs="Cambria"/>
                <w:sz w:val="20"/>
                <w:szCs w:val="20"/>
                <w:lang w:val="es-MX"/>
              </w:rPr>
              <w:t>, publicado el 21 de marzo de 2017</w:t>
            </w:r>
          </w:p>
          <w:p w14:paraId="1938A26E" w14:textId="77777777" w:rsidR="005C5BE6" w:rsidRPr="00D02BFE" w:rsidRDefault="00D8031F">
            <w:pPr>
              <w:pStyle w:val="NoSpacing"/>
              <w:spacing w:after="0" w:line="240" w:lineRule="auto"/>
              <w:jc w:val="both"/>
              <w:rPr>
                <w:rFonts w:ascii="Cambria" w:eastAsia="Cambria" w:hAnsi="Cambria" w:cs="Cambria"/>
                <w:sz w:val="20"/>
                <w:szCs w:val="20"/>
                <w:lang w:val="es-MX"/>
              </w:rPr>
            </w:pPr>
            <w:r w:rsidRPr="00D02BFE">
              <w:rPr>
                <w:rFonts w:ascii="Cambria" w:eastAsia="Cambria" w:hAnsi="Cambria" w:cs="Cambria"/>
                <w:b/>
                <w:bCs/>
                <w:sz w:val="20"/>
                <w:szCs w:val="20"/>
                <w:lang w:val="es-MX"/>
              </w:rPr>
              <w:t xml:space="preserve">Informe de Admisibilidad Nº: </w:t>
            </w:r>
            <w:hyperlink r:id="rId10" w:history="1">
              <w:r w:rsidRPr="00D02BFE">
                <w:rPr>
                  <w:rStyle w:val="Hyperlink0"/>
                  <w:rFonts w:ascii="Cambria" w:eastAsia="Cambria" w:hAnsi="Cambria" w:cs="Cambria"/>
                  <w:sz w:val="20"/>
                  <w:szCs w:val="20"/>
                  <w:lang w:val="es-MX"/>
                </w:rPr>
                <w:t>70/09</w:t>
              </w:r>
            </w:hyperlink>
            <w:r w:rsidRPr="00D02BFE">
              <w:rPr>
                <w:rFonts w:ascii="Cambria" w:eastAsia="Cambria" w:hAnsi="Cambria" w:cs="Cambria"/>
                <w:sz w:val="20"/>
                <w:szCs w:val="20"/>
                <w:lang w:val="es-MX"/>
              </w:rPr>
              <w:t>, publicado el 5 de agosto de 2009</w:t>
            </w:r>
          </w:p>
          <w:p w14:paraId="2CBC1427" w14:textId="77777777" w:rsidR="005C5BE6" w:rsidRPr="00D02BFE" w:rsidRDefault="00D8031F">
            <w:pPr>
              <w:pStyle w:val="NoSpacing"/>
              <w:spacing w:after="0" w:line="240" w:lineRule="auto"/>
              <w:jc w:val="both"/>
              <w:rPr>
                <w:rFonts w:ascii="Cambria" w:eastAsia="Cambria" w:hAnsi="Cambria" w:cs="Cambria"/>
                <w:sz w:val="20"/>
                <w:szCs w:val="20"/>
                <w:lang w:val="es-MX"/>
              </w:rPr>
            </w:pPr>
            <w:r w:rsidRPr="00D02BFE">
              <w:rPr>
                <w:rFonts w:ascii="Cambria" w:eastAsia="Cambria" w:hAnsi="Cambria" w:cs="Cambria"/>
                <w:b/>
                <w:bCs/>
                <w:sz w:val="20"/>
                <w:szCs w:val="20"/>
                <w:lang w:val="es-ES_tradnl"/>
              </w:rPr>
              <w:t xml:space="preserve">Medidas cautelares: </w:t>
            </w:r>
            <w:hyperlink r:id="rId11" w:history="1">
              <w:r w:rsidRPr="00D02BFE">
                <w:rPr>
                  <w:rStyle w:val="Hyperlink1"/>
                  <w:rFonts w:ascii="Cambria" w:eastAsia="Cambria" w:hAnsi="Cambria" w:cs="Cambria"/>
                  <w:sz w:val="20"/>
                  <w:szCs w:val="20"/>
                </w:rPr>
                <w:t>MC 218/02</w:t>
              </w:r>
            </w:hyperlink>
            <w:r w:rsidRPr="00D02BFE">
              <w:rPr>
                <w:rFonts w:ascii="Cambria" w:eastAsia="Cambria" w:hAnsi="Cambria" w:cs="Cambria"/>
                <w:sz w:val="20"/>
                <w:szCs w:val="20"/>
                <w:lang w:val="es-ES_tradnl"/>
              </w:rPr>
              <w:t>,</w:t>
            </w:r>
            <w:r w:rsidRPr="00D02BFE">
              <w:rPr>
                <w:rFonts w:ascii="Cambria" w:eastAsia="Cambria" w:hAnsi="Cambria" w:cs="Cambria"/>
                <w:b/>
                <w:bCs/>
                <w:sz w:val="20"/>
                <w:szCs w:val="20"/>
                <w:lang w:val="es-ES_tradnl"/>
              </w:rPr>
              <w:t xml:space="preserve"> </w:t>
            </w:r>
            <w:r w:rsidRPr="00D02BFE">
              <w:rPr>
                <w:rFonts w:ascii="Cambria" w:eastAsia="Cambria" w:hAnsi="Cambria" w:cs="Cambria"/>
                <w:sz w:val="20"/>
                <w:szCs w:val="20"/>
                <w:lang w:val="es-ES_tradnl"/>
              </w:rPr>
              <w:t>otorgada el 29 de julio de 2002</w:t>
            </w:r>
          </w:p>
          <w:p w14:paraId="465DECDE" w14:textId="77777777" w:rsidR="0096654C" w:rsidRPr="00D02BFE" w:rsidRDefault="00D8031F">
            <w:pPr>
              <w:pStyle w:val="NoSpacing"/>
              <w:spacing w:after="120" w:line="240" w:lineRule="auto"/>
              <w:jc w:val="both"/>
              <w:rPr>
                <w:rFonts w:ascii="Cambria" w:eastAsia="Cambria" w:hAnsi="Cambria" w:cs="Cambria"/>
                <w:sz w:val="20"/>
                <w:szCs w:val="20"/>
                <w:lang w:val="es-ES_tradnl"/>
              </w:rPr>
            </w:pPr>
            <w:r w:rsidRPr="00D02BFE">
              <w:rPr>
                <w:rFonts w:ascii="Cambria" w:eastAsia="Cambria" w:hAnsi="Cambria" w:cs="Cambria"/>
                <w:b/>
                <w:bCs/>
                <w:sz w:val="20"/>
                <w:szCs w:val="20"/>
                <w:lang w:val="es-ES_tradnl"/>
              </w:rPr>
              <w:t>Temas:</w:t>
            </w:r>
            <w:r w:rsidRPr="00D02BFE">
              <w:rPr>
                <w:rFonts w:ascii="Cambria" w:eastAsia="Cambria" w:hAnsi="Cambria" w:cs="Cambria"/>
                <w:sz w:val="20"/>
                <w:szCs w:val="20"/>
                <w:lang w:val="es-ES_tradnl"/>
              </w:rPr>
              <w:t xml:space="preserve"> </w:t>
            </w:r>
            <w:r w:rsidR="0096654C" w:rsidRPr="00D02BFE">
              <w:rPr>
                <w:rFonts w:ascii="Cambria" w:eastAsia="Times New Roman" w:hAnsi="Cambria"/>
                <w:sz w:val="20"/>
                <w:szCs w:val="20"/>
                <w:lang w:val="es-MX"/>
              </w:rPr>
              <w:t>Deber de Adoptar Medidas y Disposiciones de Derecho Interno / Derecho a la Vida / Derecho a la Integridad Personal / Garantías Judiciales / Protección Judicial / Ejecuciones sumarias, extrajudiciales o arbitrarias / Investigación y Debida Diligencia</w:t>
            </w:r>
          </w:p>
          <w:p w14:paraId="1C54CC2E" w14:textId="77777777" w:rsidR="005C5BE6" w:rsidRPr="00D02BFE" w:rsidRDefault="00D8031F">
            <w:pPr>
              <w:pStyle w:val="NoSpacing"/>
              <w:spacing w:after="120" w:line="240" w:lineRule="auto"/>
              <w:jc w:val="both"/>
              <w:rPr>
                <w:rFonts w:ascii="Cambria" w:eastAsia="Cambria" w:hAnsi="Cambria" w:cs="Cambria"/>
                <w:sz w:val="20"/>
                <w:szCs w:val="20"/>
                <w:lang w:val="es-MX"/>
              </w:rPr>
            </w:pPr>
            <w:r w:rsidRPr="00D02BFE">
              <w:rPr>
                <w:rFonts w:ascii="Cambria" w:eastAsia="Cambria" w:hAnsi="Cambria" w:cs="Cambria"/>
                <w:b/>
                <w:bCs/>
                <w:sz w:val="20"/>
                <w:szCs w:val="20"/>
                <w:lang w:val="es-ES_tradnl"/>
              </w:rPr>
              <w:t>Hechos:</w:t>
            </w:r>
            <w:r w:rsidRPr="00D02BFE">
              <w:rPr>
                <w:rFonts w:ascii="Cambria" w:eastAsia="Cambria" w:hAnsi="Cambria" w:cs="Cambria"/>
                <w:sz w:val="20"/>
                <w:szCs w:val="20"/>
                <w:lang w:val="es-ES_tradnl"/>
              </w:rPr>
              <w:t xml:space="preserve"> El caso se refiere a la ejecución extrajudicial del defensor de derechos humanos José </w:t>
            </w:r>
            <w:proofErr w:type="spellStart"/>
            <w:r w:rsidRPr="00D02BFE">
              <w:rPr>
                <w:rFonts w:ascii="Cambria" w:eastAsia="Cambria" w:hAnsi="Cambria" w:cs="Cambria"/>
                <w:sz w:val="20"/>
                <w:szCs w:val="20"/>
                <w:lang w:val="es-ES_tradnl"/>
              </w:rPr>
              <w:t>Rusbel</w:t>
            </w:r>
            <w:proofErr w:type="spellEnd"/>
            <w:r w:rsidRPr="00D02BFE">
              <w:rPr>
                <w:rFonts w:ascii="Cambria" w:eastAsia="Cambria" w:hAnsi="Cambria" w:cs="Cambria"/>
                <w:sz w:val="20"/>
                <w:szCs w:val="20"/>
                <w:lang w:val="es-ES_tradnl"/>
              </w:rPr>
              <w:t xml:space="preserve"> Lara, miembro del Comité Regional de Derechos Humanos “Joel Sierra” y beneficiario de medidas cautelares de la CIDH desde julio de 2002, el 8 de noviembre de 2002 por miembros del grupo paramilitar “Bloque Vencedores de Arauca” en Tame, Arauca, Colombia, y al hecho de que el Estado no investigó adecuadamente los hechos, incluyendo su decisión de extraditar una de las personas vinculadas a la investigación a los Estados Unidos de América.</w:t>
            </w:r>
          </w:p>
          <w:p w14:paraId="7C29B7C8" w14:textId="77777777" w:rsidR="005C5BE6" w:rsidRPr="00D02BFE" w:rsidRDefault="00D8031F">
            <w:pPr>
              <w:pStyle w:val="NoSpacing"/>
              <w:spacing w:after="120" w:line="240" w:lineRule="auto"/>
              <w:jc w:val="both"/>
              <w:rPr>
                <w:rFonts w:ascii="Cambria" w:hAnsi="Cambria"/>
                <w:sz w:val="20"/>
                <w:szCs w:val="20"/>
                <w:lang w:val="es-MX"/>
              </w:rPr>
            </w:pPr>
            <w:r w:rsidRPr="00D02BFE">
              <w:rPr>
                <w:rFonts w:ascii="Cambria" w:eastAsia="Cambria" w:hAnsi="Cambria" w:cs="Cambria"/>
                <w:b/>
                <w:sz w:val="20"/>
                <w:szCs w:val="20"/>
                <w:lang w:val="es-ES_tradnl"/>
              </w:rPr>
              <w:t xml:space="preserve">Derechos violados: </w:t>
            </w:r>
            <w:r w:rsidRPr="00D02BFE">
              <w:rPr>
                <w:rFonts w:ascii="Cambria" w:eastAsia="Cambria" w:hAnsi="Cambria" w:cs="Cambria"/>
                <w:sz w:val="20"/>
                <w:szCs w:val="20"/>
                <w:lang w:val="es-ES_tradnl"/>
              </w:rPr>
              <w:t xml:space="preserve">La Comisión concluyó que el Estado era responsable por: la violación del derecho a la vida consagrado en el artículo 4(1) de la Convención Americana en conexión con el artículo 1(1) del mismo Tratado en perjuicio de José </w:t>
            </w:r>
            <w:proofErr w:type="spellStart"/>
            <w:r w:rsidRPr="00D02BFE">
              <w:rPr>
                <w:rFonts w:ascii="Cambria" w:eastAsia="Cambria" w:hAnsi="Cambria" w:cs="Cambria"/>
                <w:sz w:val="20"/>
                <w:szCs w:val="20"/>
                <w:lang w:val="es-ES_tradnl"/>
              </w:rPr>
              <w:t>Rusbel</w:t>
            </w:r>
            <w:proofErr w:type="spellEnd"/>
            <w:r w:rsidRPr="00D02BFE">
              <w:rPr>
                <w:rFonts w:ascii="Cambria" w:eastAsia="Cambria" w:hAnsi="Cambria" w:cs="Cambria"/>
                <w:sz w:val="20"/>
                <w:szCs w:val="20"/>
                <w:lang w:val="es-ES_tradnl"/>
              </w:rPr>
              <w:t xml:space="preserve"> Lara; la violación del derecho a la integridad personal consagrado en el artículo 5(1) de la Convención Americana en conexión con el artículo 1(1) del mismo Tratado en perjuicio de José </w:t>
            </w:r>
            <w:proofErr w:type="spellStart"/>
            <w:r w:rsidRPr="00D02BFE">
              <w:rPr>
                <w:rFonts w:ascii="Cambria" w:eastAsia="Cambria" w:hAnsi="Cambria" w:cs="Cambria"/>
                <w:sz w:val="20"/>
                <w:szCs w:val="20"/>
                <w:lang w:val="es-ES_tradnl"/>
              </w:rPr>
              <w:t>Rusbel</w:t>
            </w:r>
            <w:proofErr w:type="spellEnd"/>
            <w:r w:rsidRPr="00D02BFE">
              <w:rPr>
                <w:rFonts w:ascii="Cambria" w:eastAsia="Cambria" w:hAnsi="Cambria" w:cs="Cambria"/>
                <w:sz w:val="20"/>
                <w:szCs w:val="20"/>
                <w:lang w:val="es-ES_tradnl"/>
              </w:rPr>
              <w:t xml:space="preserve"> Lara; la violación de las garantías judiciales y la protección judicial consagradas en los artículos 8(1) y 25 de la Convención Americana en conexión con el artículo 1(1) y 2 del mismo Tratado en perjuicio de los familiares de José </w:t>
            </w:r>
            <w:proofErr w:type="spellStart"/>
            <w:r w:rsidRPr="00D02BFE">
              <w:rPr>
                <w:rFonts w:ascii="Cambria" w:eastAsia="Cambria" w:hAnsi="Cambria" w:cs="Cambria"/>
                <w:sz w:val="20"/>
                <w:szCs w:val="20"/>
                <w:lang w:val="es-ES_tradnl"/>
              </w:rPr>
              <w:t>Rusbel</w:t>
            </w:r>
            <w:proofErr w:type="spellEnd"/>
            <w:r w:rsidRPr="00D02BFE">
              <w:rPr>
                <w:rFonts w:ascii="Cambria" w:eastAsia="Cambria" w:hAnsi="Cambria" w:cs="Cambria"/>
                <w:sz w:val="20"/>
                <w:szCs w:val="20"/>
                <w:lang w:val="es-ES_tradnl"/>
              </w:rPr>
              <w:t xml:space="preserve"> Lara: </w:t>
            </w:r>
            <w:proofErr w:type="spellStart"/>
            <w:r w:rsidRPr="00D02BFE">
              <w:rPr>
                <w:rFonts w:ascii="Cambria" w:eastAsia="Cambria" w:hAnsi="Cambria" w:cs="Cambria"/>
                <w:sz w:val="20"/>
                <w:szCs w:val="20"/>
                <w:lang w:val="es-ES_tradnl"/>
              </w:rPr>
              <w:t>Rusbel</w:t>
            </w:r>
            <w:proofErr w:type="spellEnd"/>
            <w:r w:rsidRPr="00D02BFE">
              <w:rPr>
                <w:rFonts w:ascii="Cambria" w:eastAsia="Cambria" w:hAnsi="Cambria" w:cs="Cambria"/>
                <w:sz w:val="20"/>
                <w:szCs w:val="20"/>
                <w:lang w:val="es-ES_tradnl"/>
              </w:rPr>
              <w:t xml:space="preserve"> </w:t>
            </w:r>
            <w:proofErr w:type="spellStart"/>
            <w:r w:rsidRPr="00D02BFE">
              <w:rPr>
                <w:rFonts w:ascii="Cambria" w:eastAsia="Cambria" w:hAnsi="Cambria" w:cs="Cambria"/>
                <w:sz w:val="20"/>
                <w:szCs w:val="20"/>
                <w:lang w:val="es-ES_tradnl"/>
              </w:rPr>
              <w:t>Dair</w:t>
            </w:r>
            <w:proofErr w:type="spellEnd"/>
            <w:r w:rsidRPr="00D02BFE">
              <w:rPr>
                <w:rFonts w:ascii="Cambria" w:eastAsia="Cambria" w:hAnsi="Cambria" w:cs="Cambria"/>
                <w:sz w:val="20"/>
                <w:szCs w:val="20"/>
                <w:lang w:val="es-ES_tradnl"/>
              </w:rPr>
              <w:t xml:space="preserve">, </w:t>
            </w:r>
            <w:proofErr w:type="spellStart"/>
            <w:r w:rsidRPr="00D02BFE">
              <w:rPr>
                <w:rFonts w:ascii="Cambria" w:eastAsia="Cambria" w:hAnsi="Cambria" w:cs="Cambria"/>
                <w:sz w:val="20"/>
                <w:szCs w:val="20"/>
                <w:lang w:val="es-ES_tradnl"/>
              </w:rPr>
              <w:t>Duvian</w:t>
            </w:r>
            <w:proofErr w:type="spellEnd"/>
            <w:r w:rsidRPr="00D02BFE">
              <w:rPr>
                <w:rFonts w:ascii="Cambria" w:eastAsia="Cambria" w:hAnsi="Cambria" w:cs="Cambria"/>
                <w:sz w:val="20"/>
                <w:szCs w:val="20"/>
                <w:lang w:val="es-ES_tradnl"/>
              </w:rPr>
              <w:t xml:space="preserve"> Ferley y, Ana </w:t>
            </w:r>
            <w:proofErr w:type="spellStart"/>
            <w:r w:rsidRPr="00D02BFE">
              <w:rPr>
                <w:rFonts w:ascii="Cambria" w:eastAsia="Cambria" w:hAnsi="Cambria" w:cs="Cambria"/>
                <w:sz w:val="20"/>
                <w:szCs w:val="20"/>
                <w:lang w:val="es-ES_tradnl"/>
              </w:rPr>
              <w:t>Dirley</w:t>
            </w:r>
            <w:proofErr w:type="spellEnd"/>
            <w:r w:rsidRPr="00D02BFE">
              <w:rPr>
                <w:rFonts w:ascii="Cambria" w:eastAsia="Cambria" w:hAnsi="Cambria" w:cs="Cambria"/>
                <w:sz w:val="20"/>
                <w:szCs w:val="20"/>
                <w:lang w:val="es-ES_tradnl"/>
              </w:rPr>
              <w:t xml:space="preserve">, todos ellos de apellido Lara </w:t>
            </w:r>
            <w:proofErr w:type="spellStart"/>
            <w:r w:rsidRPr="00D02BFE">
              <w:rPr>
                <w:rFonts w:ascii="Cambria" w:eastAsia="Cambria" w:hAnsi="Cambria" w:cs="Cambria"/>
                <w:sz w:val="20"/>
                <w:szCs w:val="20"/>
                <w:lang w:val="es-ES_tradnl"/>
              </w:rPr>
              <w:t>Tuay</w:t>
            </w:r>
            <w:proofErr w:type="spellEnd"/>
            <w:r w:rsidRPr="00D02BFE">
              <w:rPr>
                <w:rFonts w:ascii="Cambria" w:eastAsia="Cambria" w:hAnsi="Cambria" w:cs="Cambria"/>
                <w:sz w:val="20"/>
                <w:szCs w:val="20"/>
                <w:lang w:val="es-ES_tradnl"/>
              </w:rPr>
              <w:t xml:space="preserve">; Hercilia Lara Albarracín y Sindy Rubiela Lara Albarracín; la violación del derecho a la integridad personal consagrado en el artículo 5(1) de la Convención Americana en conexión con el artículo 1(1) del mismo Tratado en perjuicio de los familiares de José </w:t>
            </w:r>
            <w:proofErr w:type="spellStart"/>
            <w:r w:rsidRPr="00D02BFE">
              <w:rPr>
                <w:rFonts w:ascii="Cambria" w:eastAsia="Cambria" w:hAnsi="Cambria" w:cs="Cambria"/>
                <w:sz w:val="20"/>
                <w:szCs w:val="20"/>
                <w:lang w:val="es-ES_tradnl"/>
              </w:rPr>
              <w:t>Rusbel</w:t>
            </w:r>
            <w:proofErr w:type="spellEnd"/>
            <w:r w:rsidRPr="00D02BFE">
              <w:rPr>
                <w:rFonts w:ascii="Cambria" w:eastAsia="Cambria" w:hAnsi="Cambria" w:cs="Cambria"/>
                <w:sz w:val="20"/>
                <w:szCs w:val="20"/>
                <w:lang w:val="es-ES_tradnl"/>
              </w:rPr>
              <w:t xml:space="preserve"> Lara: </w:t>
            </w:r>
            <w:proofErr w:type="spellStart"/>
            <w:r w:rsidRPr="00D02BFE">
              <w:rPr>
                <w:rFonts w:ascii="Cambria" w:eastAsia="Cambria" w:hAnsi="Cambria" w:cs="Cambria"/>
                <w:sz w:val="20"/>
                <w:szCs w:val="20"/>
                <w:lang w:val="es-ES_tradnl"/>
              </w:rPr>
              <w:t>Rusbel</w:t>
            </w:r>
            <w:proofErr w:type="spellEnd"/>
            <w:r w:rsidRPr="00D02BFE">
              <w:rPr>
                <w:rFonts w:ascii="Cambria" w:eastAsia="Cambria" w:hAnsi="Cambria" w:cs="Cambria"/>
                <w:sz w:val="20"/>
                <w:szCs w:val="20"/>
                <w:lang w:val="es-ES_tradnl"/>
              </w:rPr>
              <w:t xml:space="preserve"> </w:t>
            </w:r>
            <w:proofErr w:type="spellStart"/>
            <w:r w:rsidRPr="00D02BFE">
              <w:rPr>
                <w:rFonts w:ascii="Cambria" w:eastAsia="Cambria" w:hAnsi="Cambria" w:cs="Cambria"/>
                <w:sz w:val="20"/>
                <w:szCs w:val="20"/>
                <w:lang w:val="es-ES_tradnl"/>
              </w:rPr>
              <w:t>Dair</w:t>
            </w:r>
            <w:proofErr w:type="spellEnd"/>
            <w:r w:rsidRPr="00D02BFE">
              <w:rPr>
                <w:rFonts w:ascii="Cambria" w:eastAsia="Cambria" w:hAnsi="Cambria" w:cs="Cambria"/>
                <w:sz w:val="20"/>
                <w:szCs w:val="20"/>
                <w:lang w:val="es-ES_tradnl"/>
              </w:rPr>
              <w:t xml:space="preserve">, </w:t>
            </w:r>
            <w:proofErr w:type="spellStart"/>
            <w:r w:rsidRPr="00D02BFE">
              <w:rPr>
                <w:rFonts w:ascii="Cambria" w:eastAsia="Cambria" w:hAnsi="Cambria" w:cs="Cambria"/>
                <w:sz w:val="20"/>
                <w:szCs w:val="20"/>
                <w:lang w:val="es-ES_tradnl"/>
              </w:rPr>
              <w:t>Duvian</w:t>
            </w:r>
            <w:proofErr w:type="spellEnd"/>
            <w:r w:rsidRPr="00D02BFE">
              <w:rPr>
                <w:rFonts w:ascii="Cambria" w:eastAsia="Cambria" w:hAnsi="Cambria" w:cs="Cambria"/>
                <w:sz w:val="20"/>
                <w:szCs w:val="20"/>
                <w:lang w:val="es-ES_tradnl"/>
              </w:rPr>
              <w:t xml:space="preserve"> Ferley y, Ana </w:t>
            </w:r>
            <w:proofErr w:type="spellStart"/>
            <w:r w:rsidRPr="00D02BFE">
              <w:rPr>
                <w:rFonts w:ascii="Cambria" w:eastAsia="Cambria" w:hAnsi="Cambria" w:cs="Cambria"/>
                <w:sz w:val="20"/>
                <w:szCs w:val="20"/>
                <w:lang w:val="es-ES_tradnl"/>
              </w:rPr>
              <w:t>Dirley</w:t>
            </w:r>
            <w:proofErr w:type="spellEnd"/>
            <w:r w:rsidRPr="00D02BFE">
              <w:rPr>
                <w:rFonts w:ascii="Cambria" w:eastAsia="Cambria" w:hAnsi="Cambria" w:cs="Cambria"/>
                <w:sz w:val="20"/>
                <w:szCs w:val="20"/>
                <w:lang w:val="es-ES_tradnl"/>
              </w:rPr>
              <w:t xml:space="preserve">, todos ellos de apellido Lara </w:t>
            </w:r>
            <w:proofErr w:type="spellStart"/>
            <w:r w:rsidRPr="00D02BFE">
              <w:rPr>
                <w:rFonts w:ascii="Cambria" w:eastAsia="Cambria" w:hAnsi="Cambria" w:cs="Cambria"/>
                <w:sz w:val="20"/>
                <w:szCs w:val="20"/>
                <w:lang w:val="es-ES_tradnl"/>
              </w:rPr>
              <w:t>Tuay</w:t>
            </w:r>
            <w:proofErr w:type="spellEnd"/>
            <w:r w:rsidRPr="00D02BFE">
              <w:rPr>
                <w:rFonts w:ascii="Cambria" w:eastAsia="Cambria" w:hAnsi="Cambria" w:cs="Cambria"/>
                <w:sz w:val="20"/>
                <w:szCs w:val="20"/>
                <w:lang w:val="es-ES_tradnl"/>
              </w:rPr>
              <w:t>; Hercilia Lara Albarracín y Sindy Rubiela Lara Albarracín.</w:t>
            </w:r>
            <w:r w:rsidRPr="00D02BFE">
              <w:rPr>
                <w:rFonts w:ascii="Cambria" w:eastAsia="Cambria" w:hAnsi="Cambria" w:cs="Cambria"/>
                <w:sz w:val="20"/>
                <w:szCs w:val="20"/>
                <w:shd w:val="clear" w:color="auto" w:fill="FFFF00"/>
                <w:lang w:val="es-ES_tradnl"/>
              </w:rPr>
              <w:t xml:space="preserve"> </w:t>
            </w:r>
          </w:p>
        </w:tc>
      </w:tr>
    </w:tbl>
    <w:p w14:paraId="299E5177" w14:textId="77777777" w:rsidR="005C5BE6" w:rsidRPr="00D02BFE" w:rsidRDefault="005C5BE6" w:rsidP="00126D3E">
      <w:pPr>
        <w:spacing w:after="0" w:line="240" w:lineRule="auto"/>
        <w:rPr>
          <w:rFonts w:ascii="Cambria" w:eastAsia="Cambria" w:hAnsi="Cambria" w:cs="Cambria"/>
          <w:sz w:val="20"/>
          <w:szCs w:val="20"/>
          <w:lang w:val="es-ES_tradnl"/>
        </w:rPr>
      </w:pPr>
    </w:p>
    <w:p w14:paraId="39A80A03" w14:textId="77777777" w:rsidR="005C5BE6" w:rsidRPr="00D02BFE" w:rsidRDefault="00D8031F">
      <w:pPr>
        <w:numPr>
          <w:ilvl w:val="0"/>
          <w:numId w:val="3"/>
        </w:numPr>
        <w:spacing w:after="0" w:line="240" w:lineRule="auto"/>
        <w:jc w:val="both"/>
        <w:rPr>
          <w:rFonts w:ascii="Cambria" w:eastAsia="Cambria" w:hAnsi="Cambria" w:cs="Cambria"/>
          <w:b/>
          <w:bCs/>
          <w:sz w:val="20"/>
          <w:szCs w:val="20"/>
        </w:rPr>
      </w:pPr>
      <w:r w:rsidRPr="00D02BFE">
        <w:rPr>
          <w:rFonts w:ascii="Cambria" w:eastAsia="Cambria" w:hAnsi="Cambria" w:cs="Cambria"/>
          <w:b/>
          <w:bCs/>
          <w:sz w:val="20"/>
          <w:szCs w:val="20"/>
        </w:rPr>
        <w:t xml:space="preserve">Recomendaciones </w:t>
      </w:r>
    </w:p>
    <w:p w14:paraId="7E94EF60" w14:textId="77777777" w:rsidR="005C5BE6" w:rsidRPr="00D02BFE" w:rsidRDefault="005C5BE6">
      <w:pPr>
        <w:spacing w:after="0" w:line="240" w:lineRule="auto"/>
        <w:ind w:left="1080"/>
        <w:jc w:val="both"/>
        <w:rPr>
          <w:rFonts w:ascii="Cambria" w:eastAsia="Cambria" w:hAnsi="Cambria" w:cs="Cambria"/>
          <w:sz w:val="20"/>
          <w:szCs w:val="20"/>
        </w:rPr>
      </w:pPr>
    </w:p>
    <w:tbl>
      <w:tblPr>
        <w:tblW w:w="954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90"/>
        <w:gridCol w:w="2250"/>
      </w:tblGrid>
      <w:tr w:rsidR="005C5BE6" w:rsidRPr="00D02BFE" w14:paraId="53B3B777" w14:textId="77777777">
        <w:trPr>
          <w:trHeight w:val="4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0315C" w14:textId="77777777" w:rsidR="005C5BE6" w:rsidRPr="00D02BFE" w:rsidRDefault="00D8031F">
            <w:pPr>
              <w:spacing w:after="0" w:line="240" w:lineRule="auto"/>
              <w:jc w:val="center"/>
              <w:rPr>
                <w:rFonts w:ascii="Cambria" w:hAnsi="Cambria"/>
                <w:sz w:val="18"/>
                <w:szCs w:val="18"/>
              </w:rPr>
            </w:pPr>
            <w:r w:rsidRPr="00D02BFE">
              <w:rPr>
                <w:rFonts w:ascii="Cambria" w:eastAsia="Cambria" w:hAnsi="Cambria" w:cs="Cambria"/>
                <w:b/>
                <w:bCs/>
                <w:sz w:val="18"/>
                <w:szCs w:val="18"/>
              </w:rPr>
              <w:t>Recomendaciones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25716" w14:textId="77777777" w:rsidR="005C5BE6" w:rsidRPr="00D02BFE" w:rsidRDefault="00D8031F">
            <w:pPr>
              <w:spacing w:after="0" w:line="240" w:lineRule="auto"/>
              <w:jc w:val="center"/>
              <w:rPr>
                <w:rFonts w:ascii="Cambria" w:hAnsi="Cambria"/>
                <w:sz w:val="18"/>
                <w:szCs w:val="18"/>
                <w:lang w:val="es-MX"/>
              </w:rPr>
            </w:pPr>
            <w:r w:rsidRPr="00D02BFE">
              <w:rPr>
                <w:rFonts w:ascii="Cambria" w:eastAsia="Cambria" w:hAnsi="Cambria" w:cs="Cambria"/>
                <w:b/>
                <w:bCs/>
                <w:sz w:val="18"/>
                <w:szCs w:val="18"/>
                <w:lang w:val="es-MX"/>
              </w:rPr>
              <w:t>Estado de cumplimiento en el 20</w:t>
            </w:r>
            <w:r w:rsidR="00795E2D" w:rsidRPr="00D02BFE">
              <w:rPr>
                <w:rFonts w:ascii="Cambria" w:eastAsia="Cambria" w:hAnsi="Cambria" w:cs="Cambria"/>
                <w:b/>
                <w:bCs/>
                <w:sz w:val="18"/>
                <w:szCs w:val="18"/>
                <w:lang w:val="es-MX"/>
              </w:rPr>
              <w:t>21</w:t>
            </w:r>
          </w:p>
        </w:tc>
      </w:tr>
      <w:tr w:rsidR="005C5BE6" w:rsidRPr="00D02BFE" w14:paraId="36A23E6A" w14:textId="77777777">
        <w:trPr>
          <w:trHeight w:val="8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22D38" w14:textId="77777777" w:rsidR="005C5BE6" w:rsidRPr="00D02BFE" w:rsidRDefault="00D8031F">
            <w:pPr>
              <w:spacing w:after="0" w:line="240" w:lineRule="auto"/>
              <w:jc w:val="both"/>
              <w:rPr>
                <w:rFonts w:ascii="Cambria" w:hAnsi="Cambria"/>
                <w:sz w:val="18"/>
                <w:szCs w:val="18"/>
                <w:lang w:val="es-MX"/>
              </w:rPr>
            </w:pPr>
            <w:r w:rsidRPr="00D02BFE">
              <w:rPr>
                <w:rFonts w:ascii="Cambria" w:eastAsia="Cambria" w:hAnsi="Cambria" w:cs="Cambria"/>
                <w:sz w:val="18"/>
                <w:szCs w:val="18"/>
                <w:lang w:val="es-ES_tradnl"/>
              </w:rPr>
              <w:t xml:space="preserve">1. Reparar integralmente las violaciones a derechos humanos declaradas en el presente informe tanto en el aspecto material como </w:t>
            </w:r>
            <w:proofErr w:type="gramStart"/>
            <w:r w:rsidRPr="00D02BFE">
              <w:rPr>
                <w:rFonts w:ascii="Cambria" w:eastAsia="Cambria" w:hAnsi="Cambria" w:cs="Cambria"/>
                <w:sz w:val="18"/>
                <w:szCs w:val="18"/>
                <w:lang w:val="es-ES_tradnl"/>
              </w:rPr>
              <w:t>moral sufridas</w:t>
            </w:r>
            <w:proofErr w:type="gramEnd"/>
            <w:r w:rsidRPr="00D02BFE">
              <w:rPr>
                <w:rFonts w:ascii="Cambria" w:eastAsia="Cambria" w:hAnsi="Cambria" w:cs="Cambria"/>
                <w:sz w:val="18"/>
                <w:szCs w:val="18"/>
                <w:lang w:val="es-ES_tradnl"/>
              </w:rPr>
              <w:t xml:space="preserve"> por las víctimas del caso que incluyen a los hijos del Sr. José </w:t>
            </w:r>
            <w:proofErr w:type="spellStart"/>
            <w:r w:rsidRPr="00D02BFE">
              <w:rPr>
                <w:rFonts w:ascii="Cambria" w:eastAsia="Cambria" w:hAnsi="Cambria" w:cs="Cambria"/>
                <w:sz w:val="18"/>
                <w:szCs w:val="18"/>
                <w:lang w:val="es-ES_tradnl"/>
              </w:rPr>
              <w:t>Rusbel</w:t>
            </w:r>
            <w:proofErr w:type="spellEnd"/>
            <w:r w:rsidRPr="00D02BFE">
              <w:rPr>
                <w:rFonts w:ascii="Cambria" w:eastAsia="Cambria" w:hAnsi="Cambria" w:cs="Cambria"/>
                <w:sz w:val="18"/>
                <w:szCs w:val="18"/>
                <w:lang w:val="es-ES_tradnl"/>
              </w:rPr>
              <w:t xml:space="preserve"> Lara</w:t>
            </w:r>
            <w:r w:rsidR="00E41055" w:rsidRPr="00D02BFE">
              <w:rPr>
                <w:rFonts w:ascii="Cambria" w:eastAsia="Cambria" w:hAnsi="Cambria" w:cs="Cambria"/>
                <w:sz w:val="18"/>
                <w:szCs w:val="18"/>
                <w:lang w:val="es-ES_tradnl"/>
              </w:rPr>
              <w:t>,</w:t>
            </w:r>
            <w:r w:rsidRPr="00D02BFE">
              <w:rPr>
                <w:rFonts w:ascii="Cambria" w:eastAsia="Cambria" w:hAnsi="Cambria" w:cs="Cambria"/>
                <w:sz w:val="18"/>
                <w:szCs w:val="18"/>
                <w:lang w:val="es-ES_tradnl"/>
              </w:rPr>
              <w:t xml:space="preserve"> así como a los demás familiares a los que se hace referencia en el informe y que asumieron el cuidado de sus hijos tras su muerte.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D80C7" w14:textId="77777777" w:rsidR="005C5BE6" w:rsidRPr="00D02BFE" w:rsidRDefault="00D8031F">
            <w:pPr>
              <w:spacing w:after="0" w:line="240" w:lineRule="auto"/>
              <w:jc w:val="center"/>
              <w:rPr>
                <w:rFonts w:ascii="Cambria" w:hAnsi="Cambria"/>
                <w:sz w:val="18"/>
                <w:szCs w:val="18"/>
              </w:rPr>
            </w:pPr>
            <w:r w:rsidRPr="00D02BFE">
              <w:rPr>
                <w:rFonts w:ascii="Cambria" w:eastAsia="Cambria" w:hAnsi="Cambria" w:cs="Cambria"/>
                <w:sz w:val="18"/>
                <w:szCs w:val="18"/>
                <w:lang w:val="es-ES_tradnl"/>
              </w:rPr>
              <w:t>Cumplimiento total</w:t>
            </w:r>
            <w:r w:rsidR="006A67CA" w:rsidRPr="00D02BFE">
              <w:rPr>
                <w:rStyle w:val="FootnoteReference"/>
                <w:rFonts w:ascii="Cambria" w:eastAsia="Cambria" w:hAnsi="Cambria" w:cs="Cambria"/>
                <w:sz w:val="18"/>
                <w:szCs w:val="18"/>
                <w:lang w:val="es-ES_tradnl"/>
              </w:rPr>
              <w:footnoteReference w:id="2"/>
            </w:r>
          </w:p>
        </w:tc>
      </w:tr>
      <w:tr w:rsidR="005C5BE6" w:rsidRPr="00D02BFE" w14:paraId="24DB83A2" w14:textId="77777777">
        <w:trPr>
          <w:trHeight w:val="16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1468C" w14:textId="77777777" w:rsidR="005C5BE6" w:rsidRPr="00D02BFE" w:rsidRDefault="00D8031F">
            <w:pPr>
              <w:spacing w:after="0" w:line="240" w:lineRule="auto"/>
              <w:jc w:val="both"/>
              <w:rPr>
                <w:rFonts w:ascii="Cambria" w:hAnsi="Cambria"/>
                <w:sz w:val="18"/>
                <w:szCs w:val="18"/>
                <w:lang w:val="es-MX"/>
              </w:rPr>
            </w:pPr>
            <w:r w:rsidRPr="00D02BFE">
              <w:rPr>
                <w:rFonts w:ascii="Cambria" w:eastAsia="Cambria" w:hAnsi="Cambria" w:cs="Cambria"/>
                <w:sz w:val="18"/>
                <w:szCs w:val="18"/>
                <w:lang w:val="es-ES_tradnl"/>
              </w:rPr>
              <w:lastRenderedPageBreak/>
              <w:t xml:space="preserve">2. Desarrollar y completar una investigación judicial imparcial, completa y efectiva, de manera expedita, con el objeto de esclarecer las circunstancias de la muerte del Sr. José </w:t>
            </w:r>
            <w:proofErr w:type="spellStart"/>
            <w:r w:rsidRPr="00D02BFE">
              <w:rPr>
                <w:rFonts w:ascii="Cambria" w:eastAsia="Cambria" w:hAnsi="Cambria" w:cs="Cambria"/>
                <w:sz w:val="18"/>
                <w:szCs w:val="18"/>
                <w:lang w:val="es-ES_tradnl"/>
              </w:rPr>
              <w:t>Rusbel</w:t>
            </w:r>
            <w:proofErr w:type="spellEnd"/>
            <w:r w:rsidRPr="00D02BFE">
              <w:rPr>
                <w:rFonts w:ascii="Cambria" w:eastAsia="Cambria" w:hAnsi="Cambria" w:cs="Cambria"/>
                <w:sz w:val="18"/>
                <w:szCs w:val="18"/>
                <w:lang w:val="es-ES_tradnl"/>
              </w:rPr>
              <w:t xml:space="preserve"> Lara; investigar de manera exhaustiva las líneas lógicas de investigación </w:t>
            </w:r>
            <w:proofErr w:type="gramStart"/>
            <w:r w:rsidRPr="00D02BFE">
              <w:rPr>
                <w:rFonts w:ascii="Cambria" w:eastAsia="Cambria" w:hAnsi="Cambria" w:cs="Cambria"/>
                <w:sz w:val="18"/>
                <w:szCs w:val="18"/>
                <w:lang w:val="es-ES_tradnl"/>
              </w:rPr>
              <w:t>en relación al</w:t>
            </w:r>
            <w:proofErr w:type="gramEnd"/>
            <w:r w:rsidRPr="00D02BFE">
              <w:rPr>
                <w:rFonts w:ascii="Cambria" w:eastAsia="Cambria" w:hAnsi="Cambria" w:cs="Cambria"/>
                <w:sz w:val="18"/>
                <w:szCs w:val="18"/>
                <w:lang w:val="es-ES_tradnl"/>
              </w:rPr>
              <w:t xml:space="preserve"> caso e identificar a todas las personas que participaron en los diferentes niveles de decisión y ejecución, y aplicar las sanciones correspondientes. Como parte de esta recomendación el Estado deberá adoptar medidas de carácter legislativo, institucional y judicial orientadas a asegurar la continuidad de los procesos regidos en el marco de la Ley de Justicia y Paz respecto de aquellos desmovilizados que han sido extraditados.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C1AC3" w14:textId="77777777" w:rsidR="005C5BE6" w:rsidRPr="00D02BFE" w:rsidRDefault="00D8031F">
            <w:pPr>
              <w:spacing w:after="0" w:line="240" w:lineRule="auto"/>
              <w:jc w:val="center"/>
              <w:rPr>
                <w:rFonts w:ascii="Cambria" w:hAnsi="Cambria"/>
                <w:sz w:val="18"/>
                <w:szCs w:val="18"/>
              </w:rPr>
            </w:pPr>
            <w:r w:rsidRPr="00D02BFE">
              <w:rPr>
                <w:rFonts w:ascii="Cambria" w:eastAsia="Cambria" w:hAnsi="Cambria" w:cs="Cambria"/>
                <w:sz w:val="18"/>
                <w:szCs w:val="18"/>
                <w:lang w:val="es-ES_tradnl"/>
              </w:rPr>
              <w:t>Cumplimiento parcial</w:t>
            </w:r>
          </w:p>
        </w:tc>
      </w:tr>
      <w:tr w:rsidR="005C5BE6" w:rsidRPr="00D02BFE" w14:paraId="635C6028" w14:textId="77777777">
        <w:trPr>
          <w:trHeight w:val="6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59AB2" w14:textId="77777777" w:rsidR="005C5BE6" w:rsidRPr="00D02BFE" w:rsidRDefault="00D8031F">
            <w:pPr>
              <w:spacing w:after="0" w:line="240" w:lineRule="auto"/>
              <w:jc w:val="both"/>
              <w:rPr>
                <w:rFonts w:ascii="Cambria" w:hAnsi="Cambria"/>
                <w:sz w:val="18"/>
                <w:szCs w:val="18"/>
                <w:lang w:val="es-MX"/>
              </w:rPr>
            </w:pPr>
            <w:r w:rsidRPr="00D02BFE">
              <w:rPr>
                <w:rFonts w:ascii="Cambria" w:eastAsia="Cambria" w:hAnsi="Cambria" w:cs="Cambria"/>
                <w:sz w:val="18"/>
                <w:szCs w:val="18"/>
                <w:lang w:val="es-ES_tradnl"/>
              </w:rPr>
              <w:t xml:space="preserve">3. Disponer las medidas administrativas, disciplinarias o penales correspondientes frente a las acciones u omisiones de los funcionarios estatales que contribuyeron a la denegación de justicia e impunidad en la que se encuentran los hechos del caso.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C6506" w14:textId="77777777" w:rsidR="005C5BE6" w:rsidRPr="00D02BFE" w:rsidRDefault="00D8031F">
            <w:pPr>
              <w:spacing w:after="0" w:line="240" w:lineRule="auto"/>
              <w:jc w:val="center"/>
              <w:rPr>
                <w:rFonts w:ascii="Cambria" w:hAnsi="Cambria"/>
                <w:sz w:val="18"/>
                <w:szCs w:val="18"/>
              </w:rPr>
            </w:pPr>
            <w:r w:rsidRPr="00D02BFE">
              <w:rPr>
                <w:rFonts w:ascii="Cambria" w:eastAsia="Cambria" w:hAnsi="Cambria" w:cs="Cambria"/>
                <w:sz w:val="18"/>
                <w:szCs w:val="18"/>
                <w:lang w:val="es-ES_tradnl"/>
              </w:rPr>
              <w:t>Cumplimiento parcial</w:t>
            </w:r>
          </w:p>
        </w:tc>
      </w:tr>
      <w:tr w:rsidR="005C5BE6" w:rsidRPr="00D02BFE" w14:paraId="7C53DB12" w14:textId="77777777">
        <w:trPr>
          <w:trHeight w:val="6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1DB96" w14:textId="77777777" w:rsidR="005C5BE6" w:rsidRPr="00D02BFE" w:rsidRDefault="00D8031F">
            <w:pPr>
              <w:spacing w:after="0" w:line="240" w:lineRule="auto"/>
              <w:jc w:val="both"/>
              <w:rPr>
                <w:rFonts w:ascii="Cambria" w:hAnsi="Cambria"/>
                <w:sz w:val="18"/>
                <w:szCs w:val="18"/>
              </w:rPr>
            </w:pPr>
            <w:r w:rsidRPr="00D02BFE">
              <w:rPr>
                <w:rFonts w:ascii="Cambria" w:eastAsia="Cambria" w:hAnsi="Cambria" w:cs="Cambria"/>
                <w:sz w:val="18"/>
                <w:szCs w:val="18"/>
                <w:lang w:val="es-ES_tradnl"/>
              </w:rPr>
              <w:t xml:space="preserve">4. Adoptar medidas de carácter legislativo, institucional y judicial orientadas a reducir la exposición al riesgo de </w:t>
            </w:r>
            <w:proofErr w:type="gramStart"/>
            <w:r w:rsidRPr="00D02BFE">
              <w:rPr>
                <w:rFonts w:ascii="Cambria" w:eastAsia="Cambria" w:hAnsi="Cambria" w:cs="Cambria"/>
                <w:sz w:val="18"/>
                <w:szCs w:val="18"/>
                <w:lang w:val="es-ES_tradnl"/>
              </w:rPr>
              <w:t>las defensoras y defensores</w:t>
            </w:r>
            <w:proofErr w:type="gramEnd"/>
            <w:r w:rsidRPr="00D02BFE">
              <w:rPr>
                <w:rFonts w:ascii="Cambria" w:eastAsia="Cambria" w:hAnsi="Cambria" w:cs="Cambria"/>
                <w:sz w:val="18"/>
                <w:szCs w:val="18"/>
                <w:lang w:val="es-ES_tradnl"/>
              </w:rPr>
              <w:t xml:space="preserve"> de derechos humanos que se encuentran en situación de riesgo. En ese sentido, el Estado debe: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1E967" w14:textId="77777777" w:rsidR="005C5BE6" w:rsidRPr="00D02BFE" w:rsidRDefault="00D8031F">
            <w:pPr>
              <w:spacing w:after="0" w:line="240" w:lineRule="auto"/>
              <w:jc w:val="center"/>
              <w:rPr>
                <w:rFonts w:ascii="Cambria" w:hAnsi="Cambria"/>
                <w:sz w:val="18"/>
                <w:szCs w:val="18"/>
              </w:rPr>
            </w:pPr>
            <w:r w:rsidRPr="00D02BFE">
              <w:rPr>
                <w:rFonts w:ascii="Cambria" w:eastAsia="Cambria" w:hAnsi="Cambria" w:cs="Cambria"/>
                <w:sz w:val="18"/>
                <w:szCs w:val="18"/>
                <w:lang w:val="es-ES_tradnl"/>
              </w:rPr>
              <w:t>Cumplimiento parcial</w:t>
            </w:r>
          </w:p>
        </w:tc>
      </w:tr>
      <w:tr w:rsidR="005C5BE6" w:rsidRPr="00D02BFE" w14:paraId="020FFEBA" w14:textId="77777777">
        <w:trPr>
          <w:trHeight w:val="8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4CC2" w14:textId="77777777" w:rsidR="005C5BE6" w:rsidRPr="00D02BFE" w:rsidRDefault="00D8031F">
            <w:pPr>
              <w:spacing w:after="0" w:line="240" w:lineRule="auto"/>
              <w:jc w:val="both"/>
              <w:rPr>
                <w:rFonts w:ascii="Cambria" w:hAnsi="Cambria"/>
                <w:sz w:val="18"/>
                <w:szCs w:val="18"/>
                <w:lang w:val="es-MX"/>
              </w:rPr>
            </w:pPr>
            <w:r w:rsidRPr="00D02BFE">
              <w:rPr>
                <w:rFonts w:ascii="Cambria" w:eastAsia="Cambria" w:hAnsi="Cambria" w:cs="Cambria"/>
                <w:sz w:val="18"/>
                <w:szCs w:val="18"/>
                <w:lang w:val="es-ES_tradnl"/>
              </w:rPr>
              <w:t xml:space="preserve">4.1 Fortalecer la capacidad institucional para combatir el patrón de impunidad frente a casos de amenazas y muertes de </w:t>
            </w:r>
            <w:proofErr w:type="gramStart"/>
            <w:r w:rsidRPr="00D02BFE">
              <w:rPr>
                <w:rFonts w:ascii="Cambria" w:eastAsia="Cambria" w:hAnsi="Cambria" w:cs="Cambria"/>
                <w:sz w:val="18"/>
                <w:szCs w:val="18"/>
                <w:lang w:val="es-ES_tradnl"/>
              </w:rPr>
              <w:t>defensoras y defensores</w:t>
            </w:r>
            <w:proofErr w:type="gramEnd"/>
            <w:r w:rsidRPr="00D02BFE">
              <w:rPr>
                <w:rFonts w:ascii="Cambria" w:eastAsia="Cambria" w:hAnsi="Cambria" w:cs="Cambria"/>
                <w:sz w:val="18"/>
                <w:szCs w:val="18"/>
                <w:lang w:val="es-ES_tradnl"/>
              </w:rPr>
              <w:t>, mediante la elaboración de protocolos de investigación que teniendo en cuenta los riesgos inherentes a la labor de defensa de los derechos humanos permitan un desarrollo exhaustivo de la investigación bajo esta hipótesis.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574D6" w14:textId="77777777" w:rsidR="005C5BE6" w:rsidRPr="00D02BFE" w:rsidRDefault="00D8031F">
            <w:pPr>
              <w:spacing w:after="0" w:line="240" w:lineRule="auto"/>
              <w:jc w:val="center"/>
              <w:rPr>
                <w:rFonts w:ascii="Cambria" w:hAnsi="Cambria"/>
                <w:sz w:val="18"/>
                <w:szCs w:val="18"/>
              </w:rPr>
            </w:pPr>
            <w:r w:rsidRPr="00D02BFE">
              <w:rPr>
                <w:rFonts w:ascii="Cambria" w:eastAsia="Cambria" w:hAnsi="Cambria" w:cs="Cambria"/>
                <w:sz w:val="18"/>
                <w:szCs w:val="18"/>
                <w:lang w:val="es-ES_tradnl"/>
              </w:rPr>
              <w:t>Cumplimiento parcial</w:t>
            </w:r>
          </w:p>
        </w:tc>
      </w:tr>
      <w:tr w:rsidR="005C5BE6" w:rsidRPr="00D02BFE" w14:paraId="5A668AE4" w14:textId="77777777">
        <w:trPr>
          <w:trHeight w:val="8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BD5E6" w14:textId="77777777" w:rsidR="005C5BE6" w:rsidRPr="00D02BFE" w:rsidRDefault="00D8031F">
            <w:pPr>
              <w:spacing w:after="0" w:line="240" w:lineRule="auto"/>
              <w:jc w:val="both"/>
              <w:rPr>
                <w:rFonts w:ascii="Cambria" w:hAnsi="Cambria"/>
                <w:sz w:val="18"/>
                <w:szCs w:val="18"/>
                <w:lang w:val="es-MX"/>
              </w:rPr>
            </w:pPr>
            <w:r w:rsidRPr="00D02BFE">
              <w:rPr>
                <w:rFonts w:ascii="Cambria" w:eastAsia="Cambria" w:hAnsi="Cambria" w:cs="Cambria"/>
                <w:sz w:val="18"/>
                <w:szCs w:val="18"/>
                <w:lang w:val="es-ES_tradnl"/>
              </w:rPr>
              <w:t xml:space="preserve">4.2 Desarrollar medidas adecuadas y expeditas de respuesta institucional que permitan proteger eficazmente a </w:t>
            </w:r>
            <w:proofErr w:type="gramStart"/>
            <w:r w:rsidRPr="00D02BFE">
              <w:rPr>
                <w:rFonts w:ascii="Cambria" w:eastAsia="Cambria" w:hAnsi="Cambria" w:cs="Cambria"/>
                <w:sz w:val="18"/>
                <w:szCs w:val="18"/>
                <w:lang w:val="es-ES_tradnl"/>
              </w:rPr>
              <w:t>defensoras y defensores</w:t>
            </w:r>
            <w:proofErr w:type="gramEnd"/>
            <w:r w:rsidRPr="00D02BFE">
              <w:rPr>
                <w:rFonts w:ascii="Cambria" w:eastAsia="Cambria" w:hAnsi="Cambria" w:cs="Cambria"/>
                <w:sz w:val="18"/>
                <w:szCs w:val="18"/>
                <w:lang w:val="es-ES_tradnl"/>
              </w:rPr>
              <w:t xml:space="preserve"> de derechos humanos en situaciones de riesgo. En concreto, adoptar medidas para asegurar la implementación efectiva las medidas especiales de protección dictados por los órganos del sistema interamericano.</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39B876" w14:textId="77777777" w:rsidR="005C5BE6" w:rsidRPr="00D02BFE" w:rsidRDefault="00D8031F">
            <w:pPr>
              <w:spacing w:after="0" w:line="240" w:lineRule="auto"/>
              <w:jc w:val="center"/>
              <w:rPr>
                <w:rFonts w:ascii="Cambria" w:hAnsi="Cambria"/>
                <w:sz w:val="18"/>
                <w:szCs w:val="18"/>
              </w:rPr>
            </w:pPr>
            <w:r w:rsidRPr="00D02BFE">
              <w:rPr>
                <w:rFonts w:ascii="Cambria" w:eastAsia="Cambria" w:hAnsi="Cambria" w:cs="Cambria"/>
                <w:sz w:val="18"/>
                <w:szCs w:val="18"/>
                <w:lang w:val="es-ES_tradnl"/>
              </w:rPr>
              <w:t>Cumplimiento parcial</w:t>
            </w:r>
          </w:p>
        </w:tc>
      </w:tr>
    </w:tbl>
    <w:p w14:paraId="2AEB28C4" w14:textId="77777777" w:rsidR="005C5BE6" w:rsidRPr="00D02BFE" w:rsidRDefault="005C5BE6">
      <w:pPr>
        <w:spacing w:after="0" w:line="240" w:lineRule="auto"/>
        <w:jc w:val="both"/>
        <w:rPr>
          <w:rFonts w:ascii="Cambria" w:eastAsia="Cambria" w:hAnsi="Cambria" w:cs="Cambria"/>
          <w:sz w:val="20"/>
          <w:szCs w:val="20"/>
        </w:rPr>
      </w:pPr>
    </w:p>
    <w:p w14:paraId="1A87BC2D" w14:textId="77777777" w:rsidR="005C5BE6" w:rsidRPr="00D02BFE" w:rsidRDefault="00D8031F">
      <w:pPr>
        <w:pStyle w:val="ListParagraph"/>
        <w:numPr>
          <w:ilvl w:val="0"/>
          <w:numId w:val="4"/>
        </w:numPr>
        <w:spacing w:after="0" w:line="240" w:lineRule="auto"/>
        <w:jc w:val="both"/>
        <w:rPr>
          <w:rFonts w:ascii="Cambria" w:eastAsia="Cambria" w:hAnsi="Cambria" w:cs="Cambria"/>
          <w:b/>
          <w:bCs/>
          <w:sz w:val="20"/>
          <w:szCs w:val="20"/>
          <w:lang w:val="es-ES_tradnl"/>
        </w:rPr>
      </w:pPr>
      <w:r w:rsidRPr="00D02BFE">
        <w:rPr>
          <w:rFonts w:ascii="Cambria" w:eastAsia="Cambria" w:hAnsi="Cambria" w:cs="Cambria"/>
          <w:b/>
          <w:bCs/>
          <w:sz w:val="20"/>
          <w:szCs w:val="20"/>
          <w:lang w:val="es-ES_tradnl"/>
        </w:rPr>
        <w:t>Actividad Procesal</w:t>
      </w:r>
    </w:p>
    <w:p w14:paraId="644ABD12" w14:textId="77777777" w:rsidR="005C5BE6" w:rsidRPr="00D02BFE" w:rsidRDefault="005C5BE6">
      <w:pPr>
        <w:spacing w:after="0" w:line="240" w:lineRule="auto"/>
        <w:jc w:val="both"/>
        <w:rPr>
          <w:rFonts w:ascii="Cambria" w:eastAsia="Cambria" w:hAnsi="Cambria" w:cs="Cambria"/>
          <w:sz w:val="20"/>
          <w:szCs w:val="20"/>
          <w:lang w:val="es-ES_tradnl"/>
        </w:rPr>
      </w:pPr>
    </w:p>
    <w:p w14:paraId="22445A9F" w14:textId="77777777" w:rsidR="005C5BE6" w:rsidRPr="00D02BFE" w:rsidRDefault="00D8031F" w:rsidP="00795E2D">
      <w:pPr>
        <w:numPr>
          <w:ilvl w:val="0"/>
          <w:numId w:val="6"/>
        </w:numPr>
        <w:spacing w:after="0" w:line="240" w:lineRule="auto"/>
        <w:ind w:firstLine="720"/>
        <w:jc w:val="both"/>
        <w:rPr>
          <w:rFonts w:ascii="Cambria" w:eastAsia="Cambria" w:hAnsi="Cambria" w:cs="Cambria"/>
          <w:sz w:val="20"/>
          <w:szCs w:val="20"/>
          <w:u w:color="FF0000"/>
          <w:lang w:val="es-ES_tradnl"/>
        </w:rPr>
      </w:pPr>
      <w:r w:rsidRPr="00D02BFE">
        <w:rPr>
          <w:rFonts w:ascii="Cambria" w:eastAsia="Cambria" w:hAnsi="Cambria" w:cs="Cambria"/>
          <w:sz w:val="20"/>
          <w:szCs w:val="20"/>
          <w:u w:color="FF0000"/>
          <w:lang w:val="es-ES_tradnl"/>
        </w:rPr>
        <w:t>E</w:t>
      </w:r>
      <w:r w:rsidR="005A4F80" w:rsidRPr="00D02BFE">
        <w:rPr>
          <w:rFonts w:ascii="Cambria" w:eastAsia="Cambria" w:hAnsi="Cambria" w:cs="Cambria"/>
          <w:sz w:val="20"/>
          <w:szCs w:val="20"/>
          <w:u w:color="FF0000"/>
          <w:lang w:val="es-ES_tradnl"/>
        </w:rPr>
        <w:t xml:space="preserve">n </w:t>
      </w:r>
      <w:r w:rsidRPr="00D02BFE">
        <w:rPr>
          <w:rFonts w:ascii="Cambria" w:eastAsia="Cambria" w:hAnsi="Cambria" w:cs="Cambria"/>
          <w:sz w:val="20"/>
          <w:szCs w:val="20"/>
          <w:u w:color="FF0000"/>
          <w:lang w:val="es-ES_tradnl"/>
        </w:rPr>
        <w:t>20</w:t>
      </w:r>
      <w:r w:rsidR="00E41055" w:rsidRPr="00D02BFE">
        <w:rPr>
          <w:rFonts w:ascii="Cambria" w:eastAsia="Cambria" w:hAnsi="Cambria" w:cs="Cambria"/>
          <w:sz w:val="20"/>
          <w:szCs w:val="20"/>
          <w:u w:color="FF0000"/>
          <w:lang w:val="es-ES_tradnl"/>
        </w:rPr>
        <w:t>2</w:t>
      </w:r>
      <w:r w:rsidR="00795E2D" w:rsidRPr="00D02BFE">
        <w:rPr>
          <w:rFonts w:ascii="Cambria" w:eastAsia="Cambria" w:hAnsi="Cambria" w:cs="Cambria"/>
          <w:sz w:val="20"/>
          <w:szCs w:val="20"/>
          <w:u w:color="FF0000"/>
          <w:lang w:val="es-ES_tradnl"/>
        </w:rPr>
        <w:t>1</w:t>
      </w:r>
      <w:r w:rsidR="00E41055" w:rsidRPr="00D02BFE">
        <w:rPr>
          <w:rFonts w:ascii="Cambria" w:eastAsia="Cambria" w:hAnsi="Cambria" w:cs="Cambria"/>
          <w:sz w:val="20"/>
          <w:szCs w:val="20"/>
          <w:u w:color="FF0000"/>
          <w:lang w:val="es-ES_tradnl"/>
        </w:rPr>
        <w:t>,</w:t>
      </w:r>
      <w:r w:rsidRPr="00D02BFE">
        <w:rPr>
          <w:rFonts w:ascii="Cambria" w:eastAsia="Cambria" w:hAnsi="Cambria" w:cs="Cambria"/>
          <w:sz w:val="20"/>
          <w:szCs w:val="20"/>
          <w:u w:color="FF0000"/>
          <w:lang w:val="es-ES_tradnl"/>
        </w:rPr>
        <w:t xml:space="preserve"> </w:t>
      </w:r>
      <w:r w:rsidR="00795E2D" w:rsidRPr="00D02BFE">
        <w:rPr>
          <w:rFonts w:ascii="Cambria" w:eastAsia="Cambria" w:hAnsi="Cambria" w:cs="Cambria"/>
          <w:sz w:val="20"/>
          <w:szCs w:val="20"/>
          <w:u w:color="FF0000"/>
          <w:lang w:val="es-ES_tradnl"/>
        </w:rPr>
        <w:t>el Estado remitió información a la Comisión sobre el cumplimiento del Informe de Fondo No. 35/17</w:t>
      </w:r>
      <w:r w:rsidR="002A31DE" w:rsidRPr="00D02BFE">
        <w:rPr>
          <w:rFonts w:ascii="Cambria" w:eastAsia="Cambria" w:hAnsi="Cambria" w:cs="Cambria"/>
          <w:sz w:val="20"/>
          <w:szCs w:val="20"/>
          <w:u w:color="FF0000"/>
          <w:lang w:val="es-ES_tradnl"/>
        </w:rPr>
        <w:t xml:space="preserve"> </w:t>
      </w:r>
      <w:r w:rsidR="0057126D" w:rsidRPr="00D02BFE">
        <w:rPr>
          <w:rFonts w:ascii="Cambria" w:eastAsia="Cambria" w:hAnsi="Cambria" w:cs="Cambria"/>
          <w:sz w:val="20"/>
          <w:szCs w:val="20"/>
          <w:u w:color="FF0000"/>
          <w:lang w:val="es-ES_tradnl"/>
        </w:rPr>
        <w:t xml:space="preserve">los días </w:t>
      </w:r>
      <w:r w:rsidR="002A31DE" w:rsidRPr="00D02BFE">
        <w:rPr>
          <w:rFonts w:ascii="Cambria" w:eastAsia="Cambria" w:hAnsi="Cambria" w:cs="Cambria"/>
          <w:sz w:val="20"/>
          <w:szCs w:val="20"/>
          <w:u w:color="FF0000"/>
          <w:lang w:val="es-ES_tradnl"/>
        </w:rPr>
        <w:t>9</w:t>
      </w:r>
      <w:r w:rsidR="0057126D" w:rsidRPr="00D02BFE">
        <w:rPr>
          <w:rFonts w:ascii="Cambria" w:eastAsia="Cambria" w:hAnsi="Cambria" w:cs="Cambria"/>
          <w:sz w:val="20"/>
          <w:szCs w:val="20"/>
          <w:u w:color="FF0000"/>
          <w:lang w:val="es-ES_tradnl"/>
        </w:rPr>
        <w:t xml:space="preserve"> y 12 de</w:t>
      </w:r>
      <w:r w:rsidR="002A31DE" w:rsidRPr="00D02BFE">
        <w:rPr>
          <w:rFonts w:ascii="Cambria" w:eastAsia="Cambria" w:hAnsi="Cambria" w:cs="Cambria"/>
          <w:sz w:val="20"/>
          <w:szCs w:val="20"/>
          <w:u w:color="FF0000"/>
          <w:lang w:val="es-ES_tradnl"/>
        </w:rPr>
        <w:t xml:space="preserve"> </w:t>
      </w:r>
      <w:proofErr w:type="spellStart"/>
      <w:r w:rsidR="002A31DE" w:rsidRPr="00D02BFE">
        <w:rPr>
          <w:rFonts w:ascii="Cambria" w:eastAsia="Cambria" w:hAnsi="Cambria" w:cs="Cambria"/>
          <w:sz w:val="20"/>
          <w:szCs w:val="20"/>
          <w:u w:color="FF0000"/>
          <w:lang w:val="es-ES_tradnl"/>
        </w:rPr>
        <w:t>de</w:t>
      </w:r>
      <w:proofErr w:type="spellEnd"/>
      <w:r w:rsidR="002A31DE" w:rsidRPr="00D02BFE">
        <w:rPr>
          <w:rFonts w:ascii="Cambria" w:eastAsia="Cambria" w:hAnsi="Cambria" w:cs="Cambria"/>
          <w:sz w:val="20"/>
          <w:szCs w:val="20"/>
          <w:u w:color="FF0000"/>
          <w:lang w:val="es-ES_tradnl"/>
        </w:rPr>
        <w:t xml:space="preserve"> febrero de 2021</w:t>
      </w:r>
      <w:r w:rsidR="00795E2D" w:rsidRPr="00D02BFE">
        <w:rPr>
          <w:rFonts w:ascii="Cambria" w:eastAsia="Cambria" w:hAnsi="Cambria" w:cs="Cambria"/>
          <w:sz w:val="20"/>
          <w:szCs w:val="20"/>
          <w:u w:color="FF0000"/>
          <w:lang w:val="es-ES_tradnl"/>
        </w:rPr>
        <w:t xml:space="preserve">. Posteriormente, en el mismo año, </w:t>
      </w:r>
      <w:r w:rsidRPr="00D02BFE">
        <w:rPr>
          <w:rFonts w:ascii="Cambria" w:eastAsia="Cambria" w:hAnsi="Cambria" w:cs="Cambria"/>
          <w:sz w:val="20"/>
          <w:szCs w:val="20"/>
          <w:u w:color="FF0000"/>
          <w:lang w:val="es-ES_tradnl"/>
        </w:rPr>
        <w:t xml:space="preserve">la CIDH solicitó </w:t>
      </w:r>
      <w:r w:rsidR="005A4F80" w:rsidRPr="00D02BFE">
        <w:rPr>
          <w:rFonts w:ascii="Cambria" w:eastAsia="Cambria" w:hAnsi="Cambria" w:cs="Cambria"/>
          <w:sz w:val="20"/>
          <w:szCs w:val="20"/>
          <w:u w:color="FF0000"/>
          <w:lang w:val="es-ES_tradnl"/>
        </w:rPr>
        <w:t xml:space="preserve">al Estado </w:t>
      </w:r>
      <w:r w:rsidRPr="00D02BFE">
        <w:rPr>
          <w:rFonts w:ascii="Cambria" w:eastAsia="Cambria" w:hAnsi="Cambria" w:cs="Cambria"/>
          <w:sz w:val="20"/>
          <w:szCs w:val="20"/>
          <w:u w:color="FF0000"/>
          <w:lang w:val="es-ES_tradnl"/>
        </w:rPr>
        <w:t xml:space="preserve">información actualizada sobre el cumplimiento </w:t>
      </w:r>
      <w:r w:rsidR="005A4F80" w:rsidRPr="00D02BFE">
        <w:rPr>
          <w:rFonts w:ascii="Cambria" w:eastAsia="Cambria" w:hAnsi="Cambria" w:cs="Cambria"/>
          <w:sz w:val="20"/>
          <w:szCs w:val="20"/>
          <w:u w:color="FF0000"/>
          <w:lang w:val="es-ES_tradnl"/>
        </w:rPr>
        <w:t xml:space="preserve">el </w:t>
      </w:r>
      <w:r w:rsidR="00795E2D" w:rsidRPr="00D02BFE">
        <w:rPr>
          <w:rFonts w:ascii="Cambria" w:eastAsia="Cambria" w:hAnsi="Cambria" w:cs="Cambria"/>
          <w:sz w:val="20"/>
          <w:szCs w:val="20"/>
          <w:u w:color="FF0000"/>
          <w:lang w:val="es-ES_tradnl"/>
        </w:rPr>
        <w:t xml:space="preserve">16 de agosto. A la fecha de cierre del presente informe, </w:t>
      </w:r>
      <w:r w:rsidR="005A4F80" w:rsidRPr="00D02BFE">
        <w:rPr>
          <w:rFonts w:ascii="Cambria" w:eastAsia="Cambria" w:hAnsi="Cambria" w:cs="Cambria"/>
          <w:sz w:val="20"/>
          <w:szCs w:val="20"/>
          <w:u w:color="FF0000"/>
          <w:lang w:val="es-ES_tradnl"/>
        </w:rPr>
        <w:t>el</w:t>
      </w:r>
      <w:r w:rsidRPr="00D02BFE">
        <w:rPr>
          <w:rFonts w:ascii="Cambria" w:eastAsia="Cambria" w:hAnsi="Cambria" w:cs="Cambria"/>
          <w:sz w:val="20"/>
          <w:szCs w:val="20"/>
          <w:u w:color="FF0000"/>
          <w:lang w:val="es-ES_tradnl"/>
        </w:rPr>
        <w:t xml:space="preserve"> Estado </w:t>
      </w:r>
      <w:r w:rsidR="00795E2D" w:rsidRPr="00D02BFE">
        <w:rPr>
          <w:rFonts w:ascii="Cambria" w:eastAsia="Cambria" w:hAnsi="Cambria" w:cs="Cambria"/>
          <w:sz w:val="20"/>
          <w:szCs w:val="20"/>
          <w:u w:color="FF0000"/>
          <w:lang w:val="es-ES_tradnl"/>
        </w:rPr>
        <w:t xml:space="preserve">no respondió a esta última solicitud de información realizada por la Comisión. </w:t>
      </w:r>
    </w:p>
    <w:p w14:paraId="33553BA3" w14:textId="77777777" w:rsidR="00E41055" w:rsidRPr="00D02BFE" w:rsidRDefault="00E41055" w:rsidP="00E41055">
      <w:pPr>
        <w:spacing w:after="0" w:line="240" w:lineRule="auto"/>
        <w:ind w:left="720"/>
        <w:jc w:val="both"/>
        <w:rPr>
          <w:rFonts w:ascii="Cambria" w:eastAsia="Cambria" w:hAnsi="Cambria" w:cs="Cambria"/>
          <w:sz w:val="20"/>
          <w:szCs w:val="20"/>
          <w:u w:color="FF0000"/>
          <w:lang w:val="es-ES_tradnl"/>
        </w:rPr>
      </w:pPr>
    </w:p>
    <w:p w14:paraId="67DDA6B1" w14:textId="77777777" w:rsidR="005C5BE6" w:rsidRPr="00D02BFE" w:rsidRDefault="00D8031F" w:rsidP="00156E6F">
      <w:pPr>
        <w:numPr>
          <w:ilvl w:val="0"/>
          <w:numId w:val="6"/>
        </w:numPr>
        <w:spacing w:after="0" w:line="240" w:lineRule="auto"/>
        <w:ind w:firstLine="720"/>
        <w:jc w:val="both"/>
        <w:rPr>
          <w:rFonts w:ascii="Cambria" w:eastAsia="Cambria" w:hAnsi="Cambria" w:cs="Cambria"/>
          <w:sz w:val="20"/>
          <w:szCs w:val="20"/>
          <w:lang w:val="es-ES_tradnl"/>
        </w:rPr>
      </w:pPr>
      <w:r w:rsidRPr="00D02BFE">
        <w:rPr>
          <w:rFonts w:ascii="Cambria" w:eastAsia="Cambria" w:hAnsi="Cambria" w:cs="Cambria"/>
          <w:sz w:val="20"/>
          <w:szCs w:val="20"/>
          <w:u w:color="FF0000"/>
          <w:lang w:val="es-ES_tradnl"/>
        </w:rPr>
        <w:t xml:space="preserve">La CIDH solicitó información actualizada sobre el cumplimiento a los peticionarios el </w:t>
      </w:r>
      <w:r w:rsidR="00795E2D" w:rsidRPr="00D02BFE">
        <w:rPr>
          <w:rFonts w:ascii="Cambria" w:eastAsia="Cambria" w:hAnsi="Cambria" w:cs="Cambria"/>
          <w:sz w:val="20"/>
          <w:szCs w:val="20"/>
          <w:u w:color="FF0000"/>
          <w:lang w:val="es-ES_tradnl"/>
        </w:rPr>
        <w:t xml:space="preserve">16 </w:t>
      </w:r>
      <w:r w:rsidRPr="00D02BFE">
        <w:rPr>
          <w:rFonts w:ascii="Cambria" w:eastAsia="Cambria" w:hAnsi="Cambria" w:cs="Cambria"/>
          <w:sz w:val="20"/>
          <w:szCs w:val="20"/>
          <w:u w:color="FF0000"/>
          <w:lang w:val="es-ES_tradnl"/>
        </w:rPr>
        <w:t xml:space="preserve">de </w:t>
      </w:r>
      <w:r w:rsidR="00E41055" w:rsidRPr="00D02BFE">
        <w:rPr>
          <w:rFonts w:ascii="Cambria" w:eastAsia="Cambria" w:hAnsi="Cambria" w:cs="Cambria"/>
          <w:sz w:val="20"/>
          <w:szCs w:val="20"/>
          <w:u w:color="FF0000"/>
          <w:lang w:val="es-ES_tradnl"/>
        </w:rPr>
        <w:t>agosto</w:t>
      </w:r>
      <w:r w:rsidRPr="00D02BFE">
        <w:rPr>
          <w:rFonts w:ascii="Cambria" w:eastAsia="Cambria" w:hAnsi="Cambria" w:cs="Cambria"/>
          <w:sz w:val="20"/>
          <w:szCs w:val="20"/>
          <w:u w:color="FF0000"/>
          <w:lang w:val="es-ES_tradnl"/>
        </w:rPr>
        <w:t xml:space="preserve"> de </w:t>
      </w:r>
      <w:r w:rsidR="00E41055" w:rsidRPr="00D02BFE">
        <w:rPr>
          <w:rFonts w:ascii="Cambria" w:eastAsia="Cambria" w:hAnsi="Cambria" w:cs="Cambria"/>
          <w:sz w:val="20"/>
          <w:szCs w:val="20"/>
          <w:u w:color="FF0000"/>
          <w:lang w:val="es-ES_tradnl"/>
        </w:rPr>
        <w:t>202</w:t>
      </w:r>
      <w:r w:rsidR="00795E2D" w:rsidRPr="00D02BFE">
        <w:rPr>
          <w:rFonts w:ascii="Cambria" w:eastAsia="Cambria" w:hAnsi="Cambria" w:cs="Cambria"/>
          <w:sz w:val="20"/>
          <w:szCs w:val="20"/>
          <w:u w:color="FF0000"/>
          <w:lang w:val="es-ES_tradnl"/>
        </w:rPr>
        <w:t>1. A la fecha de cierre del presente informe, la parte peticionaria no remitió esta información a la Comisión</w:t>
      </w:r>
      <w:r w:rsidRPr="00D02BFE">
        <w:rPr>
          <w:rFonts w:ascii="Cambria" w:eastAsia="Cambria" w:hAnsi="Cambria" w:cs="Cambria"/>
          <w:sz w:val="20"/>
          <w:szCs w:val="20"/>
          <w:u w:color="FF0000"/>
          <w:lang w:val="es-ES_tradnl"/>
        </w:rPr>
        <w:t xml:space="preserve">. </w:t>
      </w:r>
    </w:p>
    <w:p w14:paraId="3D50C345" w14:textId="77777777" w:rsidR="005C5BE6" w:rsidRPr="00D02BFE" w:rsidRDefault="005C5BE6">
      <w:pPr>
        <w:spacing w:after="0" w:line="240" w:lineRule="auto"/>
        <w:jc w:val="both"/>
        <w:rPr>
          <w:rFonts w:ascii="Cambria" w:eastAsia="Cambria" w:hAnsi="Cambria" w:cs="Cambria"/>
          <w:sz w:val="20"/>
          <w:szCs w:val="20"/>
          <w:lang w:val="es-ES_tradnl"/>
        </w:rPr>
      </w:pPr>
    </w:p>
    <w:p w14:paraId="5E600847" w14:textId="77777777" w:rsidR="005C5BE6" w:rsidRPr="00D02BFE" w:rsidRDefault="00D8031F">
      <w:pPr>
        <w:pStyle w:val="ListParagraph"/>
        <w:numPr>
          <w:ilvl w:val="0"/>
          <w:numId w:val="7"/>
        </w:numPr>
        <w:spacing w:after="0" w:line="240" w:lineRule="auto"/>
        <w:jc w:val="both"/>
        <w:rPr>
          <w:rFonts w:ascii="Cambria" w:eastAsia="Cambria" w:hAnsi="Cambria" w:cs="Cambria"/>
          <w:b/>
          <w:bCs/>
          <w:sz w:val="20"/>
          <w:szCs w:val="20"/>
          <w:lang w:val="es-ES_tradnl"/>
        </w:rPr>
      </w:pPr>
      <w:r w:rsidRPr="00D02BFE">
        <w:rPr>
          <w:rFonts w:ascii="Cambria" w:eastAsia="Cambria" w:hAnsi="Cambria" w:cs="Cambria"/>
          <w:b/>
          <w:bCs/>
          <w:sz w:val="20"/>
          <w:szCs w:val="20"/>
          <w:lang w:val="es-ES_tradnl"/>
        </w:rPr>
        <w:t>Análisis relativo a la información proporcionada</w:t>
      </w:r>
    </w:p>
    <w:p w14:paraId="252A804F" w14:textId="77777777" w:rsidR="005C5BE6" w:rsidRPr="00D02BFE" w:rsidRDefault="005C5BE6">
      <w:pPr>
        <w:spacing w:after="0" w:line="240" w:lineRule="auto"/>
        <w:jc w:val="both"/>
        <w:rPr>
          <w:rFonts w:ascii="Cambria" w:eastAsia="Cambria" w:hAnsi="Cambria" w:cs="Cambria"/>
          <w:sz w:val="20"/>
          <w:szCs w:val="20"/>
          <w:lang w:val="es-ES_tradnl"/>
        </w:rPr>
      </w:pPr>
    </w:p>
    <w:p w14:paraId="6A891B7B" w14:textId="77777777" w:rsidR="005C5BE6" w:rsidRPr="00D02BFE" w:rsidRDefault="00D8031F" w:rsidP="00156E6F">
      <w:pPr>
        <w:pStyle w:val="ListParagraph"/>
        <w:numPr>
          <w:ilvl w:val="0"/>
          <w:numId w:val="6"/>
        </w:numPr>
        <w:spacing w:after="0" w:line="240" w:lineRule="auto"/>
        <w:ind w:left="0" w:firstLine="720"/>
        <w:jc w:val="both"/>
        <w:rPr>
          <w:rFonts w:ascii="Cambria" w:eastAsia="Cambria" w:hAnsi="Cambria" w:cs="Cambria"/>
          <w:sz w:val="20"/>
          <w:szCs w:val="20"/>
          <w:u w:color="FF0000"/>
          <w:lang w:val="es-ES_tradnl"/>
        </w:rPr>
      </w:pPr>
      <w:r w:rsidRPr="00D02BFE">
        <w:rPr>
          <w:rFonts w:ascii="Cambria" w:eastAsia="Cambria" w:hAnsi="Cambria" w:cs="Cambria"/>
          <w:sz w:val="20"/>
          <w:szCs w:val="20"/>
          <w:u w:color="FF0000"/>
          <w:lang w:val="es-ES_tradnl"/>
        </w:rPr>
        <w:t xml:space="preserve">La Comisión considera que la información proporcionada por </w:t>
      </w:r>
      <w:r w:rsidR="00555F80" w:rsidRPr="00D02BFE">
        <w:rPr>
          <w:rFonts w:ascii="Cambria" w:eastAsia="Cambria" w:hAnsi="Cambria" w:cs="Cambria"/>
          <w:sz w:val="20"/>
          <w:szCs w:val="20"/>
          <w:u w:color="FF0000"/>
          <w:lang w:val="es-ES_tradnl"/>
        </w:rPr>
        <w:t>el Estado en 2021</w:t>
      </w:r>
      <w:r w:rsidRPr="00D02BFE">
        <w:rPr>
          <w:rFonts w:ascii="Cambria" w:eastAsia="Cambria" w:hAnsi="Cambria" w:cs="Cambria"/>
          <w:sz w:val="20"/>
          <w:szCs w:val="20"/>
          <w:u w:color="FF0000"/>
          <w:lang w:val="es-ES_tradnl"/>
        </w:rPr>
        <w:t xml:space="preserve"> es relevante sobre medidas adoptadas relativas al cumplimiento de al menos una de las recomendaciones emitidas en el Informe de F</w:t>
      </w:r>
      <w:r w:rsidR="00A771F4" w:rsidRPr="00D02BFE">
        <w:rPr>
          <w:rFonts w:ascii="Cambria" w:eastAsia="Cambria" w:hAnsi="Cambria" w:cs="Cambria"/>
          <w:sz w:val="20"/>
          <w:szCs w:val="20"/>
          <w:u w:color="FF0000"/>
          <w:lang w:val="es-ES_tradnl"/>
        </w:rPr>
        <w:t>ondo Nº</w:t>
      </w:r>
      <w:r w:rsidRPr="00D02BFE">
        <w:rPr>
          <w:rFonts w:ascii="Cambria" w:eastAsia="Cambria" w:hAnsi="Cambria" w:cs="Cambria"/>
          <w:sz w:val="20"/>
          <w:szCs w:val="20"/>
          <w:u w:color="FF0000"/>
          <w:lang w:val="es-ES_tradnl"/>
        </w:rPr>
        <w:t xml:space="preserve"> 35/17. </w:t>
      </w:r>
    </w:p>
    <w:p w14:paraId="28F03426" w14:textId="77777777" w:rsidR="005C5BE6" w:rsidRPr="00D02BFE" w:rsidRDefault="005C5BE6">
      <w:pPr>
        <w:spacing w:after="0" w:line="240" w:lineRule="auto"/>
        <w:jc w:val="both"/>
        <w:rPr>
          <w:rFonts w:ascii="Cambria" w:eastAsia="Cambria" w:hAnsi="Cambria" w:cs="Cambria"/>
          <w:b/>
          <w:bCs/>
          <w:sz w:val="20"/>
          <w:szCs w:val="20"/>
          <w:lang w:val="es-ES_tradnl"/>
        </w:rPr>
      </w:pPr>
    </w:p>
    <w:p w14:paraId="220D4FF4" w14:textId="77777777" w:rsidR="005C5BE6" w:rsidRPr="00D02BFE" w:rsidRDefault="00D8031F">
      <w:pPr>
        <w:pStyle w:val="ListParagraph"/>
        <w:numPr>
          <w:ilvl w:val="0"/>
          <w:numId w:val="2"/>
        </w:numPr>
        <w:spacing w:after="0" w:line="240" w:lineRule="auto"/>
        <w:jc w:val="both"/>
        <w:rPr>
          <w:rFonts w:ascii="Cambria" w:eastAsia="Cambria" w:hAnsi="Cambria" w:cs="Cambria"/>
          <w:b/>
          <w:bCs/>
          <w:sz w:val="20"/>
          <w:szCs w:val="20"/>
          <w:lang w:val="es-MX"/>
        </w:rPr>
      </w:pPr>
      <w:r w:rsidRPr="00D02BFE">
        <w:rPr>
          <w:rFonts w:ascii="Cambria" w:eastAsia="Cambria" w:hAnsi="Cambria" w:cs="Cambria"/>
          <w:b/>
          <w:bCs/>
          <w:sz w:val="20"/>
          <w:szCs w:val="20"/>
          <w:lang w:val="es-MX"/>
        </w:rPr>
        <w:t>Análisis del cumplimiento de las recomendaciones</w:t>
      </w:r>
    </w:p>
    <w:p w14:paraId="73C0F551" w14:textId="77777777" w:rsidR="005C5BE6" w:rsidRPr="00D02BFE" w:rsidRDefault="005C5BE6">
      <w:pPr>
        <w:spacing w:after="0" w:line="240" w:lineRule="auto"/>
        <w:jc w:val="both"/>
        <w:rPr>
          <w:rFonts w:ascii="Cambria" w:eastAsia="Cambria" w:hAnsi="Cambria" w:cs="Cambria"/>
          <w:sz w:val="20"/>
          <w:szCs w:val="20"/>
          <w:lang w:val="es-MX"/>
        </w:rPr>
      </w:pPr>
    </w:p>
    <w:p w14:paraId="4C900EAC" w14:textId="77777777" w:rsidR="009749DF" w:rsidRPr="00D02BFE" w:rsidRDefault="00D8031F" w:rsidP="009749DF">
      <w:pPr>
        <w:pStyle w:val="ListParagraph"/>
        <w:numPr>
          <w:ilvl w:val="0"/>
          <w:numId w:val="6"/>
        </w:numPr>
        <w:spacing w:after="0" w:line="240" w:lineRule="auto"/>
        <w:ind w:left="0" w:firstLine="720"/>
        <w:jc w:val="both"/>
        <w:rPr>
          <w:rFonts w:ascii="Cambria" w:eastAsia="Cambria" w:hAnsi="Cambria" w:cs="Cambria"/>
          <w:sz w:val="20"/>
          <w:szCs w:val="20"/>
          <w:lang w:val="es-MX"/>
        </w:rPr>
      </w:pPr>
      <w:r w:rsidRPr="00D02BFE">
        <w:rPr>
          <w:rFonts w:ascii="Cambria" w:eastAsia="Cambria" w:hAnsi="Cambria" w:cs="Cambria"/>
          <w:b/>
          <w:bCs/>
          <w:sz w:val="20"/>
          <w:szCs w:val="20"/>
          <w:lang w:val="es-MX"/>
        </w:rPr>
        <w:t>En relación con la segunda recomendación</w:t>
      </w:r>
      <w:r w:rsidRPr="00D02BFE">
        <w:rPr>
          <w:rFonts w:ascii="Cambria" w:eastAsia="Cambria" w:hAnsi="Cambria" w:cs="Cambria"/>
          <w:sz w:val="20"/>
          <w:szCs w:val="20"/>
          <w:lang w:val="es-MX"/>
        </w:rPr>
        <w:t xml:space="preserve">, en 2017, el Estado informó sobre los avances en las investigaciones seguidas a nivel interno y sobre la priorización de las investigaciones a instancias de la </w:t>
      </w:r>
      <w:proofErr w:type="gramStart"/>
      <w:r w:rsidRPr="00D02BFE">
        <w:rPr>
          <w:rFonts w:ascii="Cambria" w:eastAsia="Cambria" w:hAnsi="Cambria" w:cs="Cambria"/>
          <w:sz w:val="20"/>
          <w:szCs w:val="20"/>
          <w:lang w:val="es-MX"/>
        </w:rPr>
        <w:t>Fiscalía General</w:t>
      </w:r>
      <w:proofErr w:type="gramEnd"/>
      <w:r w:rsidRPr="00D02BFE">
        <w:rPr>
          <w:rFonts w:ascii="Cambria" w:eastAsia="Cambria" w:hAnsi="Cambria" w:cs="Cambria"/>
          <w:sz w:val="20"/>
          <w:szCs w:val="20"/>
          <w:lang w:val="es-MX"/>
        </w:rPr>
        <w:t xml:space="preserve"> de la Nación. De la información aportada por el Estado resulta que tres autores materiales de la muerte del señor Rusbel Lara fueron condenados. Asimismo, resulta que, respecto de los comandantes superiores del bloque paramilitar vinculado con la muerte de la víctima, dichas personas se encuentran vinculadas a procesos penales, la mayoría en el marco de la Ley de Justicia y Paz. </w:t>
      </w:r>
      <w:r w:rsidR="008D772D" w:rsidRPr="00D02BFE">
        <w:rPr>
          <w:rFonts w:ascii="Cambria" w:eastAsia="Cambria" w:hAnsi="Cambria" w:cs="Cambria"/>
          <w:sz w:val="20"/>
          <w:szCs w:val="20"/>
          <w:lang w:val="es-MX"/>
        </w:rPr>
        <w:t xml:space="preserve">Durante el año 2019, </w:t>
      </w:r>
      <w:r w:rsidR="008D772D" w:rsidRPr="00D02BFE">
        <w:rPr>
          <w:rFonts w:ascii="Cambria" w:eastAsia="Cambria" w:hAnsi="Cambria" w:cs="Cambria"/>
          <w:sz w:val="20"/>
          <w:szCs w:val="20"/>
          <w:u w:color="FF0000"/>
          <w:lang w:val="es-MX"/>
        </w:rPr>
        <w:t>el Estado reiteró la información presentada en años anteriores respecto a las condenas emitidas en contra de tr</w:t>
      </w:r>
      <w:r w:rsidR="00164FD7" w:rsidRPr="00D02BFE">
        <w:rPr>
          <w:rFonts w:ascii="Cambria" w:eastAsia="Cambria" w:hAnsi="Cambria" w:cs="Cambria"/>
          <w:sz w:val="20"/>
          <w:szCs w:val="20"/>
          <w:u w:color="FF0000"/>
          <w:lang w:val="es-MX"/>
        </w:rPr>
        <w:t>es personas relacionadas con el</w:t>
      </w:r>
      <w:r w:rsidR="008D772D" w:rsidRPr="00D02BFE">
        <w:rPr>
          <w:rFonts w:ascii="Cambria" w:eastAsia="Cambria" w:hAnsi="Cambria" w:cs="Cambria"/>
          <w:sz w:val="20"/>
          <w:szCs w:val="20"/>
          <w:u w:color="FF0000"/>
          <w:lang w:val="es-MX"/>
        </w:rPr>
        <w:t xml:space="preserve"> homicidio del señor Rusbel Lara. Sin embargo, el Estado informó que el 9 de agosto de 2019, la </w:t>
      </w:r>
      <w:proofErr w:type="gramStart"/>
      <w:r w:rsidR="008D772D" w:rsidRPr="00D02BFE">
        <w:rPr>
          <w:rFonts w:ascii="Cambria" w:eastAsia="Cambria" w:hAnsi="Cambria" w:cs="Cambria"/>
          <w:sz w:val="20"/>
          <w:szCs w:val="20"/>
          <w:u w:color="FF0000"/>
          <w:lang w:val="es-MX"/>
        </w:rPr>
        <w:t>Fiscalía General</w:t>
      </w:r>
      <w:proofErr w:type="gramEnd"/>
      <w:r w:rsidR="008D772D" w:rsidRPr="00D02BFE">
        <w:rPr>
          <w:rFonts w:ascii="Cambria" w:eastAsia="Cambria" w:hAnsi="Cambria" w:cs="Cambria"/>
          <w:sz w:val="20"/>
          <w:szCs w:val="20"/>
          <w:u w:color="FF0000"/>
          <w:lang w:val="es-MX"/>
        </w:rPr>
        <w:t xml:space="preserve"> de la Nación habría proferido una Resolución de Acusación en contra del jefe paramilitar Miguel Ángel Melchor Mejía Múnera, la cual se encuentra aún en trámite de notificación a fin de avanzar con la etapa de juicio.</w:t>
      </w:r>
      <w:r w:rsidR="00DF3D0A" w:rsidRPr="00D02BFE">
        <w:rPr>
          <w:rFonts w:ascii="Cambria" w:eastAsia="Cambria" w:hAnsi="Cambria" w:cs="Cambria"/>
          <w:sz w:val="20"/>
          <w:szCs w:val="20"/>
          <w:u w:color="FF0000"/>
          <w:lang w:val="es-MX"/>
        </w:rPr>
        <w:t xml:space="preserve"> </w:t>
      </w:r>
    </w:p>
    <w:p w14:paraId="4D8FCC34" w14:textId="77777777" w:rsidR="009749DF" w:rsidRPr="00D02BFE" w:rsidRDefault="009749DF" w:rsidP="009749DF">
      <w:pPr>
        <w:pStyle w:val="ListParagraph"/>
        <w:spacing w:after="0" w:line="240" w:lineRule="auto"/>
        <w:jc w:val="both"/>
        <w:rPr>
          <w:rFonts w:ascii="Cambria" w:eastAsia="Cambria" w:hAnsi="Cambria" w:cs="Cambria"/>
          <w:sz w:val="20"/>
          <w:szCs w:val="20"/>
          <w:lang w:val="es-MX"/>
        </w:rPr>
      </w:pPr>
    </w:p>
    <w:p w14:paraId="2099BA10" w14:textId="77777777" w:rsidR="006A142B" w:rsidRPr="00D02BFE" w:rsidRDefault="006A142B" w:rsidP="006A142B">
      <w:pPr>
        <w:pStyle w:val="ListParagraph"/>
        <w:numPr>
          <w:ilvl w:val="0"/>
          <w:numId w:val="6"/>
        </w:numPr>
        <w:spacing w:after="0" w:line="240" w:lineRule="auto"/>
        <w:ind w:left="0" w:firstLine="720"/>
        <w:jc w:val="both"/>
        <w:rPr>
          <w:rFonts w:ascii="Cambria" w:eastAsia="Cambria" w:hAnsi="Cambria" w:cs="Cambria"/>
          <w:sz w:val="20"/>
          <w:szCs w:val="20"/>
          <w:lang w:val="es-MX"/>
        </w:rPr>
      </w:pPr>
      <w:r w:rsidRPr="00D02BFE">
        <w:rPr>
          <w:rFonts w:ascii="Cambria" w:hAnsi="Cambria"/>
          <w:sz w:val="20"/>
          <w:szCs w:val="20"/>
          <w:lang w:val="es-CO"/>
        </w:rPr>
        <w:lastRenderedPageBreak/>
        <w:t xml:space="preserve">En 2020, </w:t>
      </w:r>
      <w:r w:rsidR="009749DF" w:rsidRPr="00D02BFE">
        <w:rPr>
          <w:rFonts w:ascii="Cambria" w:hAnsi="Cambria"/>
          <w:sz w:val="20"/>
          <w:szCs w:val="20"/>
          <w:lang w:val="es-CO"/>
        </w:rPr>
        <w:t xml:space="preserve">El Estado remitió un informe de la </w:t>
      </w:r>
      <w:proofErr w:type="gramStart"/>
      <w:r w:rsidR="009749DF" w:rsidRPr="00D02BFE">
        <w:rPr>
          <w:rFonts w:ascii="Cambria" w:hAnsi="Cambria"/>
          <w:sz w:val="20"/>
          <w:szCs w:val="20"/>
          <w:lang w:val="es-CO"/>
        </w:rPr>
        <w:t>Fiscalía General</w:t>
      </w:r>
      <w:proofErr w:type="gramEnd"/>
      <w:r w:rsidR="009749DF" w:rsidRPr="00D02BFE">
        <w:rPr>
          <w:rFonts w:ascii="Cambria" w:hAnsi="Cambria"/>
          <w:sz w:val="20"/>
          <w:szCs w:val="20"/>
          <w:lang w:val="es-CO"/>
        </w:rPr>
        <w:t xml:space="preserve"> de la Nación respecto a una investigación en etapa de instrucción llevada a cabo por la Fiscalía 174 Especializada adscrita a la Dirección Especializada contra las Violaciones a los Derechos Humanos, con sede en el municipio de Santa Rosa de Viterbo, Boyacá. </w:t>
      </w:r>
    </w:p>
    <w:p w14:paraId="4483C31E" w14:textId="77777777" w:rsidR="006A142B" w:rsidRPr="00D02BFE" w:rsidRDefault="006A142B" w:rsidP="006A142B">
      <w:pPr>
        <w:pStyle w:val="ListParagraph"/>
        <w:spacing w:after="0" w:line="240" w:lineRule="auto"/>
        <w:ind w:left="0"/>
        <w:jc w:val="both"/>
        <w:rPr>
          <w:rFonts w:ascii="Cambria" w:eastAsia="Cambria" w:hAnsi="Cambria" w:cs="Cambria"/>
          <w:sz w:val="20"/>
          <w:szCs w:val="20"/>
          <w:lang w:val="es-MX"/>
        </w:rPr>
      </w:pPr>
    </w:p>
    <w:p w14:paraId="0DE11E6F" w14:textId="77777777" w:rsidR="006A142B" w:rsidRPr="00D02BFE" w:rsidRDefault="006A142B" w:rsidP="009749DF">
      <w:pPr>
        <w:pStyle w:val="ListParagraph"/>
        <w:numPr>
          <w:ilvl w:val="0"/>
          <w:numId w:val="6"/>
        </w:numPr>
        <w:spacing w:after="0" w:line="240" w:lineRule="auto"/>
        <w:ind w:left="0" w:firstLine="720"/>
        <w:jc w:val="both"/>
        <w:rPr>
          <w:rFonts w:ascii="Cambria" w:eastAsia="Cambria" w:hAnsi="Cambria" w:cs="Cambria"/>
          <w:sz w:val="20"/>
          <w:szCs w:val="20"/>
          <w:lang w:val="es-MX"/>
        </w:rPr>
      </w:pPr>
      <w:r w:rsidRPr="00D02BFE">
        <w:rPr>
          <w:rFonts w:ascii="Cambria" w:eastAsia="Cambria" w:hAnsi="Cambria" w:cs="Cambria"/>
          <w:sz w:val="20"/>
          <w:szCs w:val="20"/>
          <w:lang w:val="es-MX"/>
        </w:rPr>
        <w:t xml:space="preserve">En 2021, el Estado remitió información de la </w:t>
      </w:r>
      <w:proofErr w:type="gramStart"/>
      <w:r w:rsidRPr="00D02BFE">
        <w:rPr>
          <w:rFonts w:ascii="Cambria" w:eastAsia="Cambria" w:hAnsi="Cambria" w:cs="Cambria"/>
          <w:sz w:val="20"/>
          <w:szCs w:val="20"/>
          <w:lang w:val="es-MX"/>
        </w:rPr>
        <w:t>Fiscalía General</w:t>
      </w:r>
      <w:proofErr w:type="gramEnd"/>
      <w:r w:rsidRPr="00D02BFE">
        <w:rPr>
          <w:rFonts w:ascii="Cambria" w:eastAsia="Cambria" w:hAnsi="Cambria" w:cs="Cambria"/>
          <w:sz w:val="20"/>
          <w:szCs w:val="20"/>
          <w:lang w:val="es-MX"/>
        </w:rPr>
        <w:t xml:space="preserve"> de la Nación. Manifestó que el 15 de diciembre de 2020, se decretó la preclusión de la investigación respecto de una de las personas investigadas con motivo de su muerte y que otra de las personas presuntamente responsable fue citada a audiencia preparatoria, en la etapa de juzgamiento, ante Juzgado Penal del Circuito Especializado de Arauca. También indicó que, en la referida investigación, no se ha logrado establecer que algún agente estatal tuviese responsabilidad en los hechos del caso. Sin embargo, manifestó que estaban por realizarse algunas diligencias de testimonio. </w:t>
      </w:r>
    </w:p>
    <w:p w14:paraId="10593536" w14:textId="77777777" w:rsidR="009749DF" w:rsidRPr="00D02BFE" w:rsidRDefault="009749DF" w:rsidP="009749DF">
      <w:pPr>
        <w:pStyle w:val="ListParagraph"/>
        <w:spacing w:after="0" w:line="240" w:lineRule="auto"/>
        <w:ind w:left="0"/>
        <w:jc w:val="both"/>
        <w:rPr>
          <w:rFonts w:ascii="Cambria" w:eastAsia="Cambria" w:hAnsi="Cambria" w:cs="Cambria"/>
          <w:sz w:val="20"/>
          <w:szCs w:val="20"/>
          <w:lang w:val="es-MX"/>
        </w:rPr>
      </w:pPr>
    </w:p>
    <w:p w14:paraId="495B0486" w14:textId="77777777" w:rsidR="005C5BE6" w:rsidRPr="00D02BFE" w:rsidRDefault="00D8031F" w:rsidP="00156E6F">
      <w:pPr>
        <w:numPr>
          <w:ilvl w:val="0"/>
          <w:numId w:val="6"/>
        </w:numPr>
        <w:spacing w:after="0" w:line="240" w:lineRule="auto"/>
        <w:ind w:firstLine="720"/>
        <w:jc w:val="both"/>
        <w:rPr>
          <w:rFonts w:ascii="Cambria" w:eastAsia="Cambria" w:hAnsi="Cambria" w:cs="Cambria"/>
          <w:sz w:val="20"/>
          <w:szCs w:val="20"/>
          <w:lang w:val="es-ES_tradnl"/>
        </w:rPr>
      </w:pPr>
      <w:r w:rsidRPr="00D02BFE">
        <w:rPr>
          <w:rFonts w:ascii="Cambria" w:eastAsia="Cambria" w:hAnsi="Cambria" w:cs="Cambria"/>
          <w:sz w:val="20"/>
          <w:szCs w:val="20"/>
          <w:lang w:val="es-ES_tradnl"/>
        </w:rPr>
        <w:t xml:space="preserve">En 2015, los peticionarios informaron que </w:t>
      </w:r>
      <w:r w:rsidRPr="00D02BFE">
        <w:rPr>
          <w:rFonts w:ascii="Cambria" w:eastAsia="Cambria" w:hAnsi="Cambria" w:cs="Cambria"/>
          <w:sz w:val="20"/>
          <w:szCs w:val="20"/>
          <w:lang w:val="es-MX"/>
        </w:rPr>
        <w:t>los avances en la investigación han sido precarios. Señalaron que se ha concertado exclusivamente en los perpetradores materiales, es decir en paramilitares ya condenados por otros hechos, descartando abrir líneas de investigación para establecer la eventual responsabilidad de los agentes estatales que facilitaron, apoyaron y cohonestaron la consolidación de la estructura paramilitar responsable del homicidio de José Rusbel Lara. Informaron también que la investigación tampoco se ha ocupado de establecer quienes fueron los determinadores de ese homicidio ni la existencia de eventual responsabilidad penal y/o disciplinaria de los funcionarios públicos que omitieron cumplir las medidas de protección que ordenó la CIDH.</w:t>
      </w:r>
    </w:p>
    <w:p w14:paraId="43C97374" w14:textId="77777777" w:rsidR="005C5BE6" w:rsidRPr="00D02BFE" w:rsidRDefault="005C5BE6" w:rsidP="00156E6F">
      <w:pPr>
        <w:spacing w:after="0" w:line="240" w:lineRule="auto"/>
        <w:ind w:firstLine="720"/>
        <w:jc w:val="both"/>
        <w:rPr>
          <w:rFonts w:ascii="Cambria" w:eastAsia="Cambria" w:hAnsi="Cambria" w:cs="Cambria"/>
          <w:sz w:val="20"/>
          <w:szCs w:val="20"/>
          <w:shd w:val="clear" w:color="auto" w:fill="FFFF00"/>
          <w:lang w:val="es-MX"/>
        </w:rPr>
      </w:pPr>
    </w:p>
    <w:p w14:paraId="225EFCC3" w14:textId="77777777" w:rsidR="009749DF" w:rsidRPr="00D02BFE" w:rsidRDefault="008D772D" w:rsidP="009749DF">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sz w:val="20"/>
          <w:szCs w:val="20"/>
          <w:u w:color="FF0000"/>
          <w:lang w:val="es-MX"/>
        </w:rPr>
        <w:t>En 2019</w:t>
      </w:r>
      <w:r w:rsidR="00FD3777" w:rsidRPr="00D02BFE">
        <w:rPr>
          <w:rFonts w:ascii="Cambria" w:eastAsia="Cambria" w:hAnsi="Cambria" w:cs="Cambria"/>
          <w:sz w:val="20"/>
          <w:szCs w:val="20"/>
          <w:u w:color="FF0000"/>
          <w:lang w:val="es-MX"/>
        </w:rPr>
        <w:t>,</w:t>
      </w:r>
      <w:r w:rsidRPr="00D02BFE">
        <w:rPr>
          <w:rFonts w:ascii="Cambria" w:eastAsia="Cambria" w:hAnsi="Cambria" w:cs="Cambria"/>
          <w:sz w:val="20"/>
          <w:szCs w:val="20"/>
          <w:u w:color="FF0000"/>
          <w:lang w:val="es-MX"/>
        </w:rPr>
        <w:t xml:space="preserve"> los peticionarios se refirieron a la Resolución de Acusación emitida por la </w:t>
      </w:r>
      <w:proofErr w:type="gramStart"/>
      <w:r w:rsidRPr="00D02BFE">
        <w:rPr>
          <w:rFonts w:ascii="Cambria" w:eastAsia="Cambria" w:hAnsi="Cambria" w:cs="Cambria"/>
          <w:sz w:val="20"/>
          <w:szCs w:val="20"/>
          <w:u w:color="FF0000"/>
          <w:lang w:val="es-MX"/>
        </w:rPr>
        <w:t>Fiscalía General</w:t>
      </w:r>
      <w:proofErr w:type="gramEnd"/>
      <w:r w:rsidRPr="00D02BFE">
        <w:rPr>
          <w:rFonts w:ascii="Cambria" w:eastAsia="Cambria" w:hAnsi="Cambria" w:cs="Cambria"/>
          <w:sz w:val="20"/>
          <w:szCs w:val="20"/>
          <w:u w:color="FF0000"/>
          <w:lang w:val="es-MX"/>
        </w:rPr>
        <w:t xml:space="preserve"> de la República en contra de Miguel Ángel Melchor Mejía. R</w:t>
      </w:r>
      <w:r w:rsidR="00D8031F" w:rsidRPr="00D02BFE">
        <w:rPr>
          <w:rFonts w:ascii="Cambria" w:eastAsia="Cambria" w:hAnsi="Cambria" w:cs="Cambria"/>
          <w:sz w:val="20"/>
          <w:szCs w:val="20"/>
          <w:u w:color="FF0000"/>
          <w:lang w:val="es-MX"/>
        </w:rPr>
        <w:t xml:space="preserve">econocieron dicha resolución como un avance en el caso, pero lamentaron que la extradición a los Estados Unidos de América de dicho jefe paramilitar haya dificultado el avance de las investigaciones en tanto que dicha resolución aún no ha surtido notificación en primera instancia de llamamiento a juicio. Asimismo, los peticionarios refirieron que durante el 2019 no existieron avances en el esclarecimiento de los vínculos entre agentes del Estado y las fuerzas paramilitares que posibilitaron la victimización y muerte violenta del defensor de derechos humanos José Rusbel Lara. </w:t>
      </w:r>
    </w:p>
    <w:p w14:paraId="31139397" w14:textId="77777777" w:rsidR="009749DF" w:rsidRPr="00D02BFE" w:rsidRDefault="009749DF" w:rsidP="009749DF">
      <w:pPr>
        <w:spacing w:after="0" w:line="240" w:lineRule="auto"/>
        <w:jc w:val="both"/>
        <w:rPr>
          <w:rFonts w:ascii="Cambria" w:eastAsia="Cambria" w:hAnsi="Cambria" w:cs="Cambria"/>
          <w:sz w:val="20"/>
          <w:szCs w:val="20"/>
          <w:lang w:val="es-MX"/>
        </w:rPr>
      </w:pPr>
    </w:p>
    <w:p w14:paraId="5711DE06" w14:textId="77777777" w:rsidR="00751624" w:rsidRPr="00D02BFE" w:rsidRDefault="009749DF" w:rsidP="00751624">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hAnsi="Cambria"/>
          <w:sz w:val="20"/>
          <w:szCs w:val="20"/>
          <w:lang w:val="es-CO"/>
        </w:rPr>
        <w:t xml:space="preserve">En 2020, los peticionarios señalaron que no hubo avances relevantes para esclarecer el homicidio de José </w:t>
      </w:r>
      <w:proofErr w:type="spellStart"/>
      <w:r w:rsidRPr="00D02BFE">
        <w:rPr>
          <w:rFonts w:ascii="Cambria" w:hAnsi="Cambria"/>
          <w:sz w:val="20"/>
          <w:szCs w:val="20"/>
          <w:lang w:val="es-CO"/>
        </w:rPr>
        <w:t>Rusbel</w:t>
      </w:r>
      <w:proofErr w:type="spellEnd"/>
      <w:r w:rsidRPr="00D02BFE">
        <w:rPr>
          <w:rFonts w:ascii="Cambria" w:hAnsi="Cambria"/>
          <w:sz w:val="20"/>
          <w:szCs w:val="20"/>
          <w:lang w:val="es-CO"/>
        </w:rPr>
        <w:t xml:space="preserve"> Lara. Asimismo, indicaron que se está a la espera de </w:t>
      </w:r>
      <w:r w:rsidR="00544F97" w:rsidRPr="00D02BFE">
        <w:rPr>
          <w:rFonts w:ascii="Cambria" w:hAnsi="Cambria"/>
          <w:sz w:val="20"/>
          <w:szCs w:val="20"/>
          <w:lang w:val="es-CO"/>
        </w:rPr>
        <w:t xml:space="preserve">la deportación desde los Estados Unidos de uno de los acusados </w:t>
      </w:r>
      <w:r w:rsidRPr="00D02BFE">
        <w:rPr>
          <w:rFonts w:ascii="Cambria" w:hAnsi="Cambria"/>
          <w:sz w:val="20"/>
          <w:szCs w:val="20"/>
          <w:lang w:val="es-CO"/>
        </w:rPr>
        <w:t>por la Fiscalía de primera instancia como coautor de</w:t>
      </w:r>
      <w:r w:rsidR="00544F97" w:rsidRPr="00D02BFE">
        <w:rPr>
          <w:rFonts w:ascii="Cambria" w:hAnsi="Cambria"/>
          <w:sz w:val="20"/>
          <w:szCs w:val="20"/>
          <w:lang w:val="es-CO"/>
        </w:rPr>
        <w:t xml:space="preserve"> este </w:t>
      </w:r>
      <w:r w:rsidRPr="00D02BFE">
        <w:rPr>
          <w:rFonts w:ascii="Cambria" w:hAnsi="Cambria"/>
          <w:sz w:val="20"/>
          <w:szCs w:val="20"/>
          <w:lang w:val="es-CO"/>
        </w:rPr>
        <w:t>homicidio,</w:t>
      </w:r>
      <w:r w:rsidR="00544F97" w:rsidRPr="00D02BFE">
        <w:rPr>
          <w:rFonts w:ascii="Cambria" w:hAnsi="Cambria"/>
          <w:sz w:val="20"/>
          <w:szCs w:val="20"/>
          <w:lang w:val="es-CO"/>
        </w:rPr>
        <w:t xml:space="preserve"> pues había sido</w:t>
      </w:r>
      <w:r w:rsidRPr="00D02BFE">
        <w:rPr>
          <w:rFonts w:ascii="Cambria" w:hAnsi="Cambria"/>
          <w:sz w:val="20"/>
          <w:szCs w:val="20"/>
          <w:lang w:val="es-CO"/>
        </w:rPr>
        <w:t xml:space="preserve"> extraditado por el gobierno colombiano</w:t>
      </w:r>
      <w:r w:rsidR="00544F97" w:rsidRPr="00D02BFE">
        <w:rPr>
          <w:rFonts w:ascii="Cambria" w:hAnsi="Cambria"/>
          <w:sz w:val="20"/>
          <w:szCs w:val="20"/>
          <w:lang w:val="es-CO"/>
        </w:rPr>
        <w:t>. Indican que dicha deportación</w:t>
      </w:r>
      <w:r w:rsidRPr="00D02BFE">
        <w:rPr>
          <w:rFonts w:ascii="Cambria" w:hAnsi="Cambria"/>
          <w:sz w:val="20"/>
          <w:szCs w:val="20"/>
          <w:lang w:val="es-CO"/>
        </w:rPr>
        <w:t xml:space="preserve"> abriría la posibilidad de que sea escuchado en juicio por el referido crimen. En lo atinente a </w:t>
      </w:r>
      <w:r w:rsidR="00B75829" w:rsidRPr="00D02BFE">
        <w:rPr>
          <w:rFonts w:ascii="Cambria" w:hAnsi="Cambria"/>
          <w:sz w:val="20"/>
          <w:szCs w:val="20"/>
          <w:lang w:val="es-CO"/>
        </w:rPr>
        <w:t xml:space="preserve">los </w:t>
      </w:r>
      <w:r w:rsidRPr="00D02BFE">
        <w:rPr>
          <w:rFonts w:ascii="Cambria" w:hAnsi="Cambria"/>
          <w:sz w:val="20"/>
          <w:szCs w:val="20"/>
          <w:lang w:val="es-CO"/>
        </w:rPr>
        <w:t xml:space="preserve">esfuerzos investigativos para esclarecer vínculos entre agentes del Estado y paramilitares (lo cual en criterio de los peticionarios es la base de la victimización de José </w:t>
      </w:r>
      <w:proofErr w:type="spellStart"/>
      <w:r w:rsidRPr="00D02BFE">
        <w:rPr>
          <w:rFonts w:ascii="Cambria" w:hAnsi="Cambria"/>
          <w:sz w:val="20"/>
          <w:szCs w:val="20"/>
          <w:lang w:val="es-CO"/>
        </w:rPr>
        <w:t>Rubel</w:t>
      </w:r>
      <w:proofErr w:type="spellEnd"/>
      <w:r w:rsidRPr="00D02BFE">
        <w:rPr>
          <w:rFonts w:ascii="Cambria" w:hAnsi="Cambria"/>
          <w:sz w:val="20"/>
          <w:szCs w:val="20"/>
          <w:lang w:val="es-CO"/>
        </w:rPr>
        <w:t xml:space="preserve"> Lara), indicaron que tampoco </w:t>
      </w:r>
      <w:r w:rsidR="00544F97" w:rsidRPr="00D02BFE">
        <w:rPr>
          <w:rFonts w:ascii="Cambria" w:hAnsi="Cambria"/>
          <w:sz w:val="20"/>
          <w:szCs w:val="20"/>
          <w:lang w:val="es-CO"/>
        </w:rPr>
        <w:t>ha</w:t>
      </w:r>
      <w:r w:rsidRPr="00D02BFE">
        <w:rPr>
          <w:rFonts w:ascii="Cambria" w:hAnsi="Cambria"/>
          <w:sz w:val="20"/>
          <w:szCs w:val="20"/>
          <w:lang w:val="es-CO"/>
        </w:rPr>
        <w:t xml:space="preserve"> habido avance</w:t>
      </w:r>
      <w:r w:rsidR="00544F97" w:rsidRPr="00D02BFE">
        <w:rPr>
          <w:rFonts w:ascii="Cambria" w:hAnsi="Cambria"/>
          <w:sz w:val="20"/>
          <w:szCs w:val="20"/>
          <w:lang w:val="es-CO"/>
        </w:rPr>
        <w:t>s</w:t>
      </w:r>
      <w:r w:rsidRPr="00D02BFE">
        <w:rPr>
          <w:rFonts w:ascii="Cambria" w:hAnsi="Cambria"/>
          <w:sz w:val="20"/>
          <w:szCs w:val="20"/>
          <w:lang w:val="es-CO"/>
        </w:rPr>
        <w:t xml:space="preserve">. </w:t>
      </w:r>
      <w:r w:rsidR="00751624" w:rsidRPr="00D02BFE">
        <w:rPr>
          <w:rFonts w:ascii="Cambria" w:hAnsi="Cambria"/>
          <w:sz w:val="20"/>
          <w:szCs w:val="20"/>
          <w:lang w:val="es-CO"/>
        </w:rPr>
        <w:t xml:space="preserve">Adicionalmente, </w:t>
      </w:r>
      <w:r w:rsidR="00B75829" w:rsidRPr="00D02BFE">
        <w:rPr>
          <w:rFonts w:ascii="Cambria" w:hAnsi="Cambria"/>
          <w:sz w:val="20"/>
          <w:szCs w:val="20"/>
          <w:lang w:val="es-CO"/>
        </w:rPr>
        <w:t>indicaron</w:t>
      </w:r>
      <w:r w:rsidR="00751624" w:rsidRPr="00D02BFE">
        <w:rPr>
          <w:rFonts w:ascii="Cambria" w:hAnsi="Cambria"/>
          <w:sz w:val="20"/>
          <w:szCs w:val="20"/>
          <w:lang w:val="es-CO"/>
        </w:rPr>
        <w:t xml:space="preserve"> que el Estado no ha desarrollado esfuerzo</w:t>
      </w:r>
      <w:r w:rsidR="00544F97" w:rsidRPr="00D02BFE">
        <w:rPr>
          <w:rFonts w:ascii="Cambria" w:hAnsi="Cambria"/>
          <w:sz w:val="20"/>
          <w:szCs w:val="20"/>
          <w:lang w:val="es-CO"/>
        </w:rPr>
        <w:t>s</w:t>
      </w:r>
      <w:r w:rsidR="00751624" w:rsidRPr="00D02BFE">
        <w:rPr>
          <w:rFonts w:ascii="Cambria" w:hAnsi="Cambria"/>
          <w:sz w:val="20"/>
          <w:szCs w:val="20"/>
          <w:lang w:val="es-CO"/>
        </w:rPr>
        <w:t xml:space="preserve"> para establecer los factores </w:t>
      </w:r>
      <w:r w:rsidR="00544F97" w:rsidRPr="00D02BFE">
        <w:rPr>
          <w:rFonts w:ascii="Cambria" w:hAnsi="Cambria"/>
          <w:sz w:val="20"/>
          <w:szCs w:val="20"/>
          <w:lang w:val="es-CO"/>
        </w:rPr>
        <w:t>de</w:t>
      </w:r>
      <w:r w:rsidR="00751624" w:rsidRPr="00D02BFE">
        <w:rPr>
          <w:rFonts w:ascii="Cambria" w:hAnsi="Cambria"/>
          <w:sz w:val="20"/>
          <w:szCs w:val="20"/>
          <w:lang w:val="es-CO"/>
        </w:rPr>
        <w:t xml:space="preserve"> impunidad en las investigaciones </w:t>
      </w:r>
      <w:r w:rsidR="00B75829" w:rsidRPr="00D02BFE">
        <w:rPr>
          <w:rFonts w:ascii="Cambria" w:hAnsi="Cambria"/>
          <w:sz w:val="20"/>
          <w:szCs w:val="20"/>
          <w:lang w:val="es-CO"/>
        </w:rPr>
        <w:t>y</w:t>
      </w:r>
      <w:r w:rsidR="00751624" w:rsidRPr="00D02BFE">
        <w:rPr>
          <w:rFonts w:ascii="Cambria" w:hAnsi="Cambria"/>
          <w:sz w:val="20"/>
          <w:szCs w:val="20"/>
          <w:lang w:val="es-CO"/>
        </w:rPr>
        <w:t xml:space="preserve"> que tampoco ha habido ninguna iniciativa para investigar a los responsables de los avances </w:t>
      </w:r>
      <w:r w:rsidR="00544F97" w:rsidRPr="00D02BFE">
        <w:rPr>
          <w:rFonts w:ascii="Cambria" w:hAnsi="Cambria"/>
          <w:sz w:val="20"/>
          <w:szCs w:val="20"/>
          <w:lang w:val="es-CO"/>
        </w:rPr>
        <w:t xml:space="preserve">insuficientes </w:t>
      </w:r>
      <w:r w:rsidR="00751624" w:rsidRPr="00D02BFE">
        <w:rPr>
          <w:rFonts w:ascii="Cambria" w:hAnsi="Cambria"/>
          <w:sz w:val="20"/>
          <w:szCs w:val="20"/>
          <w:lang w:val="es-CO"/>
        </w:rPr>
        <w:t>en la</w:t>
      </w:r>
      <w:r w:rsidR="00B75829" w:rsidRPr="00D02BFE">
        <w:rPr>
          <w:rFonts w:ascii="Cambria" w:hAnsi="Cambria"/>
          <w:sz w:val="20"/>
          <w:szCs w:val="20"/>
          <w:lang w:val="es-CO"/>
        </w:rPr>
        <w:t>s</w:t>
      </w:r>
      <w:r w:rsidR="00751624" w:rsidRPr="00D02BFE">
        <w:rPr>
          <w:rFonts w:ascii="Cambria" w:hAnsi="Cambria"/>
          <w:sz w:val="20"/>
          <w:szCs w:val="20"/>
          <w:lang w:val="es-CO"/>
        </w:rPr>
        <w:t xml:space="preserve"> pesquisa</w:t>
      </w:r>
      <w:r w:rsidR="00B75829" w:rsidRPr="00D02BFE">
        <w:rPr>
          <w:rFonts w:ascii="Cambria" w:hAnsi="Cambria"/>
          <w:sz w:val="20"/>
          <w:szCs w:val="20"/>
          <w:lang w:val="es-CO"/>
        </w:rPr>
        <w:t>s</w:t>
      </w:r>
      <w:r w:rsidR="00751624" w:rsidRPr="00D02BFE">
        <w:rPr>
          <w:rFonts w:ascii="Cambria" w:hAnsi="Cambria"/>
          <w:sz w:val="20"/>
          <w:szCs w:val="20"/>
          <w:lang w:val="es-CO"/>
        </w:rPr>
        <w:t>.</w:t>
      </w:r>
    </w:p>
    <w:p w14:paraId="637F61AC" w14:textId="77777777" w:rsidR="005C5BE6" w:rsidRPr="00D02BFE" w:rsidRDefault="005C5BE6" w:rsidP="00156E6F">
      <w:pPr>
        <w:spacing w:after="0" w:line="240" w:lineRule="auto"/>
        <w:ind w:firstLine="720"/>
        <w:jc w:val="both"/>
        <w:rPr>
          <w:rFonts w:ascii="Cambria" w:eastAsia="Cambria" w:hAnsi="Cambria" w:cs="Cambria"/>
          <w:sz w:val="20"/>
          <w:szCs w:val="20"/>
          <w:lang w:val="es-MX"/>
        </w:rPr>
      </w:pPr>
    </w:p>
    <w:p w14:paraId="28D2E6FE" w14:textId="77777777" w:rsidR="009B4A79" w:rsidRPr="00D02BFE" w:rsidRDefault="00D8031F" w:rsidP="00CC29D2">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sz w:val="20"/>
          <w:szCs w:val="20"/>
          <w:u w:color="FF0000"/>
          <w:lang w:val="es-MX"/>
        </w:rPr>
        <w:t>La</w:t>
      </w:r>
      <w:r w:rsidRPr="00D02BFE">
        <w:rPr>
          <w:rFonts w:ascii="Cambria" w:eastAsia="Cambria" w:hAnsi="Cambria" w:cs="Cambria"/>
          <w:sz w:val="20"/>
          <w:szCs w:val="20"/>
          <w:lang w:val="es-MX"/>
        </w:rPr>
        <w:t xml:space="preserve"> CIDH </w:t>
      </w:r>
      <w:r w:rsidR="006A67CA" w:rsidRPr="00D02BFE">
        <w:rPr>
          <w:rFonts w:ascii="Cambria" w:eastAsia="Cambria" w:hAnsi="Cambria" w:cs="Cambria"/>
          <w:sz w:val="20"/>
          <w:szCs w:val="20"/>
          <w:lang w:val="es-MX"/>
        </w:rPr>
        <w:t xml:space="preserve">toma nota de la información proporcionada por </w:t>
      </w:r>
      <w:r w:rsidR="006A142B" w:rsidRPr="00D02BFE">
        <w:rPr>
          <w:rFonts w:ascii="Cambria" w:eastAsia="Cambria" w:hAnsi="Cambria" w:cs="Cambria"/>
          <w:sz w:val="20"/>
          <w:szCs w:val="20"/>
          <w:lang w:val="es-MX"/>
        </w:rPr>
        <w:t>el Estado en 2021</w:t>
      </w:r>
      <w:r w:rsidR="006A67CA" w:rsidRPr="00D02BFE">
        <w:rPr>
          <w:rFonts w:ascii="Cambria" w:eastAsia="Cambria" w:hAnsi="Cambria" w:cs="Cambria"/>
          <w:sz w:val="20"/>
          <w:szCs w:val="20"/>
          <w:lang w:val="es-MX"/>
        </w:rPr>
        <w:t xml:space="preserve"> </w:t>
      </w:r>
      <w:r w:rsidR="006A142B" w:rsidRPr="00D02BFE">
        <w:rPr>
          <w:rFonts w:ascii="Cambria" w:eastAsia="Cambria" w:hAnsi="Cambria" w:cs="Cambria"/>
          <w:sz w:val="20"/>
          <w:szCs w:val="20"/>
          <w:lang w:val="es-MX"/>
        </w:rPr>
        <w:t>y le</w:t>
      </w:r>
      <w:r w:rsidR="006A67CA" w:rsidRPr="00D02BFE">
        <w:rPr>
          <w:rFonts w:ascii="Cambria" w:eastAsia="Cambria" w:hAnsi="Cambria" w:cs="Cambria"/>
          <w:sz w:val="20"/>
          <w:szCs w:val="20"/>
          <w:lang w:val="es-MX"/>
        </w:rPr>
        <w:t xml:space="preserve"> </w:t>
      </w:r>
      <w:r w:rsidRPr="00D02BFE">
        <w:rPr>
          <w:rFonts w:ascii="Cambria" w:eastAsia="Cambria" w:hAnsi="Cambria" w:cs="Cambria"/>
          <w:sz w:val="20"/>
          <w:szCs w:val="20"/>
          <w:u w:color="FF0000"/>
          <w:lang w:val="es-MX"/>
        </w:rPr>
        <w:t xml:space="preserve">insta </w:t>
      </w:r>
      <w:r w:rsidR="006A142B" w:rsidRPr="00D02BFE">
        <w:rPr>
          <w:rFonts w:ascii="Cambria" w:eastAsia="Cambria" w:hAnsi="Cambria" w:cs="Cambria"/>
          <w:sz w:val="20"/>
          <w:szCs w:val="20"/>
          <w:u w:color="FF0000"/>
          <w:lang w:val="es-MX"/>
        </w:rPr>
        <w:t>a continuar suministrando la</w:t>
      </w:r>
      <w:r w:rsidRPr="00D02BFE">
        <w:rPr>
          <w:rFonts w:ascii="Cambria" w:eastAsia="Cambria" w:hAnsi="Cambria" w:cs="Cambria"/>
          <w:sz w:val="20"/>
          <w:szCs w:val="20"/>
          <w:u w:color="FF0000"/>
          <w:lang w:val="es-MX"/>
        </w:rPr>
        <w:t xml:space="preserve"> información detallada sobre las acciones que estaría desarrollando para dar cumplimiento integral de las mismas, particularmente en lo que corresponde a la investigación e identificación de</w:t>
      </w:r>
      <w:r w:rsidRPr="00D02BFE">
        <w:rPr>
          <w:rFonts w:ascii="Cambria" w:eastAsia="Cambria" w:hAnsi="Cambria" w:cs="Cambria"/>
          <w:sz w:val="20"/>
          <w:szCs w:val="20"/>
          <w:u w:color="FF0000"/>
          <w:lang w:val="es-ES_tradnl"/>
        </w:rPr>
        <w:t xml:space="preserve"> todas las personas que participaron en los diferentes niveles de decisión y ejecución de los ataques cometidos en su contra.</w:t>
      </w:r>
      <w:r w:rsidRPr="00D02BFE">
        <w:rPr>
          <w:rFonts w:ascii="Cambria" w:eastAsia="Cambria" w:hAnsi="Cambria" w:cs="Cambria"/>
          <w:sz w:val="20"/>
          <w:szCs w:val="20"/>
          <w:u w:color="FF0000"/>
          <w:lang w:val="es-MX"/>
        </w:rPr>
        <w:t xml:space="preserve"> </w:t>
      </w:r>
      <w:r w:rsidR="009B4A79" w:rsidRPr="00D02BFE">
        <w:rPr>
          <w:rFonts w:ascii="Cambria" w:eastAsia="Cambria" w:hAnsi="Cambria" w:cs="Cambria"/>
          <w:sz w:val="20"/>
          <w:szCs w:val="20"/>
          <w:u w:color="FF0000"/>
          <w:lang w:val="es-MX"/>
        </w:rPr>
        <w:t xml:space="preserve">Al respecto, la Comisión recuerda que </w:t>
      </w:r>
      <w:r w:rsidR="009B4A79" w:rsidRPr="00D02BFE">
        <w:rPr>
          <w:rFonts w:ascii="Cambria" w:hAnsi="Cambria"/>
          <w:sz w:val="20"/>
          <w:szCs w:val="20"/>
        </w:rPr>
        <w:t>la obligación de conducir la investigación con debida diligencia y agotar todas las líneas lógicas de indagación reviste especial relevancia en casos de violencia contra personas defensoras de derechos humanos, dado que una investigación que no pondere aspectos vinculados con el contexto, como su actividad profesional o personal y los derechos que defiende, tendrá menos posibilidades de conseguir resultados y permite cuestionar la voluntad de las autoridades de esclarecer los delitos sujetos a investigación y la responsabilidad internacional</w:t>
      </w:r>
      <w:r w:rsidR="009B4A79" w:rsidRPr="00D02BFE">
        <w:rPr>
          <w:rStyle w:val="FootnoteReference"/>
          <w:rFonts w:ascii="Cambria" w:hAnsi="Cambria"/>
          <w:sz w:val="20"/>
          <w:szCs w:val="20"/>
        </w:rPr>
        <w:footnoteReference w:id="3"/>
      </w:r>
      <w:r w:rsidR="009B4A79" w:rsidRPr="00D02BFE">
        <w:rPr>
          <w:rFonts w:ascii="Cambria" w:hAnsi="Cambria"/>
          <w:sz w:val="20"/>
          <w:szCs w:val="20"/>
        </w:rPr>
        <w:t>.</w:t>
      </w:r>
    </w:p>
    <w:p w14:paraId="3DF45A24" w14:textId="77777777" w:rsidR="00CC29D2" w:rsidRPr="00D02BFE" w:rsidRDefault="00CC29D2" w:rsidP="00CC29D2">
      <w:pPr>
        <w:spacing w:after="0" w:line="240" w:lineRule="auto"/>
        <w:jc w:val="both"/>
        <w:rPr>
          <w:rFonts w:ascii="Cambria" w:eastAsia="Cambria" w:hAnsi="Cambria" w:cs="Cambria"/>
          <w:sz w:val="20"/>
          <w:szCs w:val="20"/>
          <w:lang w:val="es-MX"/>
        </w:rPr>
      </w:pPr>
    </w:p>
    <w:p w14:paraId="6232F5F0" w14:textId="77777777" w:rsidR="00FD3777" w:rsidRPr="00D02BFE" w:rsidRDefault="009B4A79" w:rsidP="00FD3777">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sz w:val="20"/>
          <w:szCs w:val="20"/>
          <w:u w:color="FF0000"/>
          <w:lang w:val="es-MX"/>
        </w:rPr>
        <w:lastRenderedPageBreak/>
        <w:t>De esta manera</w:t>
      </w:r>
      <w:r w:rsidR="00D8031F" w:rsidRPr="00D02BFE">
        <w:rPr>
          <w:rFonts w:ascii="Cambria" w:eastAsia="Cambria" w:hAnsi="Cambria" w:cs="Cambria"/>
          <w:sz w:val="20"/>
          <w:szCs w:val="20"/>
          <w:u w:color="FF0000"/>
          <w:lang w:val="es-MX"/>
        </w:rPr>
        <w:t xml:space="preserve">, </w:t>
      </w:r>
      <w:r w:rsidRPr="00D02BFE">
        <w:rPr>
          <w:rFonts w:ascii="Cambria" w:eastAsia="Cambria" w:hAnsi="Cambria" w:cs="Cambria"/>
          <w:sz w:val="20"/>
          <w:szCs w:val="20"/>
          <w:u w:color="FF0000"/>
          <w:lang w:val="es-MX"/>
        </w:rPr>
        <w:t xml:space="preserve">la Comisión </w:t>
      </w:r>
      <w:r w:rsidR="00D8031F" w:rsidRPr="00D02BFE">
        <w:rPr>
          <w:rFonts w:ascii="Cambria" w:eastAsia="Cambria" w:hAnsi="Cambria" w:cs="Cambria"/>
          <w:sz w:val="20"/>
          <w:szCs w:val="20"/>
          <w:u w:color="FF0000"/>
          <w:lang w:val="es-MX"/>
        </w:rPr>
        <w:t>exhorta al Estado a adoptar todas las medidas que resulten necesarias para asegurar la efectiva implementación de las órdenes y diligencias emitidas que permitan avanzar las acusaciones en contra de Miguel Ángel Melchor Mejía Múnera</w:t>
      </w:r>
      <w:r w:rsidR="006A67CA" w:rsidRPr="00D02BFE">
        <w:rPr>
          <w:rFonts w:ascii="Cambria" w:eastAsia="Cambria" w:hAnsi="Cambria" w:cs="Cambria"/>
          <w:sz w:val="20"/>
          <w:szCs w:val="20"/>
          <w:u w:color="FF0000"/>
          <w:lang w:val="es-MX"/>
        </w:rPr>
        <w:t>, y a informar a la Comisión</w:t>
      </w:r>
      <w:r w:rsidR="00B75829" w:rsidRPr="00D02BFE">
        <w:rPr>
          <w:rFonts w:ascii="Cambria" w:eastAsia="Cambria" w:hAnsi="Cambria" w:cs="Cambria"/>
          <w:sz w:val="20"/>
          <w:szCs w:val="20"/>
          <w:u w:color="FF0000"/>
          <w:lang w:val="es-MX"/>
        </w:rPr>
        <w:t xml:space="preserve"> sobre su desarrollo</w:t>
      </w:r>
      <w:r w:rsidR="00D8031F" w:rsidRPr="00D02BFE">
        <w:rPr>
          <w:rFonts w:ascii="Cambria" w:eastAsia="Cambria" w:hAnsi="Cambria" w:cs="Cambria"/>
          <w:sz w:val="20"/>
          <w:szCs w:val="20"/>
          <w:u w:color="FF0000"/>
          <w:lang w:val="es-MX"/>
        </w:rPr>
        <w:t>.</w:t>
      </w:r>
      <w:r w:rsidR="00D8031F" w:rsidRPr="00D02BFE">
        <w:rPr>
          <w:rFonts w:ascii="Cambria" w:eastAsia="Cambria" w:hAnsi="Cambria" w:cs="Cambria"/>
          <w:sz w:val="20"/>
          <w:szCs w:val="20"/>
          <w:lang w:val="es-MX"/>
        </w:rPr>
        <w:t xml:space="preserve"> Por lo anterior, la Comisión considera que la </w:t>
      </w:r>
      <w:r w:rsidR="00FD3777" w:rsidRPr="00D02BFE">
        <w:rPr>
          <w:rFonts w:ascii="Cambria" w:eastAsia="Cambria" w:hAnsi="Cambria" w:cs="Cambria"/>
          <w:sz w:val="20"/>
          <w:szCs w:val="20"/>
          <w:lang w:val="es-MX"/>
        </w:rPr>
        <w:t>r</w:t>
      </w:r>
      <w:r w:rsidR="00D8031F" w:rsidRPr="00D02BFE">
        <w:rPr>
          <w:rFonts w:ascii="Cambria" w:eastAsia="Cambria" w:hAnsi="Cambria" w:cs="Cambria"/>
          <w:sz w:val="20"/>
          <w:szCs w:val="20"/>
          <w:lang w:val="es-MX"/>
        </w:rPr>
        <w:t>ecomendaci</w:t>
      </w:r>
      <w:r w:rsidR="00F01CE9" w:rsidRPr="00D02BFE">
        <w:rPr>
          <w:rFonts w:ascii="Cambria" w:eastAsia="Cambria" w:hAnsi="Cambria" w:cs="Cambria"/>
          <w:sz w:val="20"/>
          <w:szCs w:val="20"/>
          <w:lang w:val="es-MX"/>
        </w:rPr>
        <w:t>ó</w:t>
      </w:r>
      <w:r w:rsidRPr="00D02BFE">
        <w:rPr>
          <w:rFonts w:ascii="Cambria" w:eastAsia="Cambria" w:hAnsi="Cambria" w:cs="Cambria"/>
          <w:sz w:val="20"/>
          <w:szCs w:val="20"/>
          <w:lang w:val="es-MX"/>
        </w:rPr>
        <w:t>n</w:t>
      </w:r>
      <w:r w:rsidR="00D8031F" w:rsidRPr="00D02BFE">
        <w:rPr>
          <w:rFonts w:ascii="Cambria" w:eastAsia="Cambria" w:hAnsi="Cambria" w:cs="Cambria"/>
          <w:sz w:val="20"/>
          <w:szCs w:val="20"/>
          <w:lang w:val="es-MX"/>
        </w:rPr>
        <w:t xml:space="preserve"> 2 se encuentra parcialmente cumplida.</w:t>
      </w:r>
    </w:p>
    <w:p w14:paraId="5811D061" w14:textId="77777777" w:rsidR="00FD3777" w:rsidRPr="00D02BFE" w:rsidRDefault="00FD3777" w:rsidP="00FD3777">
      <w:pPr>
        <w:spacing w:after="0" w:line="240" w:lineRule="auto"/>
        <w:jc w:val="both"/>
        <w:rPr>
          <w:rFonts w:ascii="Cambria" w:eastAsia="Cambria" w:hAnsi="Cambria" w:cs="Cambria"/>
          <w:b/>
          <w:bCs/>
          <w:sz w:val="20"/>
          <w:szCs w:val="20"/>
          <w:lang w:val="es-MX"/>
        </w:rPr>
      </w:pPr>
    </w:p>
    <w:p w14:paraId="3E73EB0F" w14:textId="77777777" w:rsidR="00FD3777" w:rsidRPr="00D02BFE" w:rsidRDefault="00FD3777" w:rsidP="00FD3777">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b/>
          <w:bCs/>
          <w:sz w:val="20"/>
          <w:szCs w:val="20"/>
          <w:lang w:val="es-MX"/>
        </w:rPr>
        <w:t xml:space="preserve">En relación con la tercera recomendación, </w:t>
      </w:r>
      <w:r w:rsidRPr="00D02BFE">
        <w:rPr>
          <w:rFonts w:ascii="Cambria" w:eastAsia="Cambria" w:hAnsi="Cambria" w:cs="Cambria"/>
          <w:sz w:val="20"/>
          <w:szCs w:val="20"/>
          <w:lang w:val="es-MX"/>
        </w:rPr>
        <w:t>en 2017, el Estado indicó que en el marco de las investigaciones adelantadas por los hechos del caso no han surgido elementos que permitan establecer la presunta obstrucción y denegación de justicia en el caso. El Estado agregó que, como consecuencia de ello, no ha existido la necesidad de disponer de medidas administrativas, disciplinarias o penales al respecto</w:t>
      </w:r>
      <w:r w:rsidRPr="00D02BFE">
        <w:rPr>
          <w:rFonts w:ascii="Cambria" w:hAnsi="Cambria"/>
          <w:sz w:val="20"/>
          <w:szCs w:val="20"/>
          <w:vertAlign w:val="superscript"/>
        </w:rPr>
        <w:footnoteReference w:id="4"/>
      </w:r>
      <w:r w:rsidRPr="00D02BFE">
        <w:rPr>
          <w:rFonts w:ascii="Cambria" w:eastAsia="Cambria" w:hAnsi="Cambria" w:cs="Cambria"/>
          <w:sz w:val="20"/>
          <w:szCs w:val="20"/>
          <w:lang w:val="es-MX"/>
        </w:rPr>
        <w:t xml:space="preserve">. </w:t>
      </w:r>
    </w:p>
    <w:p w14:paraId="000D85C8" w14:textId="77777777" w:rsidR="00FD3777" w:rsidRPr="00D02BFE" w:rsidRDefault="00FD3777" w:rsidP="00FD3777">
      <w:pPr>
        <w:spacing w:after="0" w:line="240" w:lineRule="auto"/>
        <w:jc w:val="both"/>
        <w:rPr>
          <w:rFonts w:ascii="Cambria" w:eastAsia="Cambria" w:hAnsi="Cambria" w:cs="Cambria"/>
          <w:sz w:val="20"/>
          <w:szCs w:val="20"/>
          <w:lang w:val="es-MX"/>
        </w:rPr>
      </w:pPr>
    </w:p>
    <w:p w14:paraId="21D1E947" w14:textId="77777777" w:rsidR="00FD3777" w:rsidRPr="00D02BFE" w:rsidRDefault="00FD3777" w:rsidP="00FD3777">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sz w:val="20"/>
          <w:szCs w:val="20"/>
          <w:lang w:val="es-MX"/>
        </w:rPr>
        <w:t xml:space="preserve">En 2019 y 2020, </w:t>
      </w:r>
      <w:r w:rsidRPr="00D02BFE">
        <w:rPr>
          <w:rFonts w:ascii="Cambria" w:hAnsi="Cambria"/>
          <w:sz w:val="20"/>
          <w:szCs w:val="20"/>
          <w:lang w:val="es-CO"/>
        </w:rPr>
        <w:t xml:space="preserve">la parte peticionaria señaló la falta de impulso procesal para establecer la responsabilidad penal o disciplinaria que pudieran tener los funcionarios públicos que se negaron a proteger a José </w:t>
      </w:r>
      <w:proofErr w:type="spellStart"/>
      <w:r w:rsidRPr="00D02BFE">
        <w:rPr>
          <w:rFonts w:ascii="Cambria" w:hAnsi="Cambria"/>
          <w:sz w:val="20"/>
          <w:szCs w:val="20"/>
          <w:lang w:val="es-CO"/>
        </w:rPr>
        <w:t>Rusbel</w:t>
      </w:r>
      <w:proofErr w:type="spellEnd"/>
      <w:r w:rsidRPr="00D02BFE">
        <w:rPr>
          <w:rFonts w:ascii="Cambria" w:hAnsi="Cambria"/>
          <w:sz w:val="20"/>
          <w:szCs w:val="20"/>
          <w:lang w:val="es-CO"/>
        </w:rPr>
        <w:t xml:space="preserve"> Lara o que no desarrollaron acciones para impedir que se concretara el riesgo en el que este se encontraba.</w:t>
      </w:r>
    </w:p>
    <w:p w14:paraId="0CEF154D" w14:textId="77777777" w:rsidR="00FD3777" w:rsidRPr="00D02BFE" w:rsidRDefault="00FD3777" w:rsidP="00FD3777">
      <w:pPr>
        <w:spacing w:after="0" w:line="240" w:lineRule="auto"/>
        <w:jc w:val="both"/>
        <w:rPr>
          <w:rFonts w:ascii="Cambria" w:eastAsia="Cambria" w:hAnsi="Cambria" w:cs="Cambria"/>
          <w:sz w:val="20"/>
          <w:szCs w:val="20"/>
          <w:lang w:val="es-MX"/>
        </w:rPr>
      </w:pPr>
    </w:p>
    <w:p w14:paraId="4B10D72E" w14:textId="77777777" w:rsidR="00F01CE9" w:rsidRPr="00D02BFE" w:rsidRDefault="00FD3777" w:rsidP="00F01CE9">
      <w:pPr>
        <w:numPr>
          <w:ilvl w:val="0"/>
          <w:numId w:val="6"/>
        </w:numPr>
        <w:spacing w:after="0" w:line="240" w:lineRule="auto"/>
        <w:ind w:firstLine="720"/>
        <w:jc w:val="both"/>
        <w:rPr>
          <w:rFonts w:ascii="Cambria" w:hAnsi="Cambria"/>
          <w:sz w:val="20"/>
          <w:szCs w:val="20"/>
        </w:rPr>
      </w:pPr>
      <w:r w:rsidRPr="00D02BFE">
        <w:rPr>
          <w:rFonts w:ascii="Cambria" w:eastAsia="Cambria" w:hAnsi="Cambria" w:cs="Cambria"/>
          <w:sz w:val="20"/>
          <w:szCs w:val="20"/>
          <w:lang w:val="es-MX"/>
        </w:rPr>
        <w:t xml:space="preserve">La Comisión </w:t>
      </w:r>
      <w:r w:rsidR="00F01CE9" w:rsidRPr="00D02BFE">
        <w:rPr>
          <w:rFonts w:ascii="Cambria" w:eastAsia="Cambria" w:hAnsi="Cambria" w:cs="Cambria"/>
          <w:sz w:val="20"/>
          <w:szCs w:val="20"/>
          <w:lang w:val="es-MX"/>
        </w:rPr>
        <w:t xml:space="preserve">observa que el Estado realizó una investigación a partir de la cual concluyó que no surgieron elementos para establecer la presunta obstrucción y denegación de justicia. Sin embargo, la Comisión recuerda que el Informe de Fondo del presente caso concluyó </w:t>
      </w:r>
      <w:r w:rsidR="00F01CE9" w:rsidRPr="00D02BFE">
        <w:rPr>
          <w:rFonts w:ascii="Cambria" w:hAnsi="Cambria"/>
          <w:sz w:val="20"/>
          <w:szCs w:val="20"/>
        </w:rPr>
        <w:t xml:space="preserve">que las líneas lógicas que surgieron durante el proceso del caso no habían sido investigadas seria y exhaustivamente por lo que el Estado no había ayudado a determinar la verdad sobre los motivos que ocasionaron el asesinato de Jose Rusbel Lara, ni establecido una hipótesis formal </w:t>
      </w:r>
      <w:proofErr w:type="gramStart"/>
      <w:r w:rsidR="00F01CE9" w:rsidRPr="00D02BFE">
        <w:rPr>
          <w:rFonts w:ascii="Cambria" w:hAnsi="Cambria"/>
          <w:sz w:val="20"/>
          <w:szCs w:val="20"/>
        </w:rPr>
        <w:t>de acuerdo a</w:t>
      </w:r>
      <w:proofErr w:type="gramEnd"/>
      <w:r w:rsidR="00F01CE9" w:rsidRPr="00D02BFE">
        <w:rPr>
          <w:rFonts w:ascii="Cambria" w:hAnsi="Cambria"/>
          <w:sz w:val="20"/>
          <w:szCs w:val="20"/>
        </w:rPr>
        <w:t xml:space="preserve"> la</w:t>
      </w:r>
      <w:r w:rsidR="00CC29D2" w:rsidRPr="00D02BFE">
        <w:rPr>
          <w:rFonts w:ascii="Cambria" w:hAnsi="Cambria"/>
          <w:sz w:val="20"/>
          <w:szCs w:val="20"/>
        </w:rPr>
        <w:t>s</w:t>
      </w:r>
      <w:r w:rsidR="00F01CE9" w:rsidRPr="00D02BFE">
        <w:rPr>
          <w:rFonts w:ascii="Cambria" w:hAnsi="Cambria"/>
          <w:sz w:val="20"/>
          <w:szCs w:val="20"/>
        </w:rPr>
        <w:t xml:space="preserve"> líneas de investigación que han surgido durante la misma</w:t>
      </w:r>
      <w:r w:rsidR="00F01CE9" w:rsidRPr="00D02BFE">
        <w:rPr>
          <w:rFonts w:ascii="Cambria" w:hAnsi="Cambria"/>
          <w:sz w:val="20"/>
          <w:szCs w:val="20"/>
          <w:vertAlign w:val="superscript"/>
        </w:rPr>
        <w:footnoteReference w:id="5"/>
      </w:r>
      <w:r w:rsidR="00F01CE9" w:rsidRPr="00D02BFE">
        <w:rPr>
          <w:rFonts w:ascii="Cambria" w:hAnsi="Cambria"/>
          <w:sz w:val="20"/>
          <w:szCs w:val="20"/>
        </w:rPr>
        <w:t>. En este sentido, la CIDH invita al Estado a remitir información que le permita concluir de qué manera se realizó la mencionada investigación, cuál fue su objeto y qué análoisis permitió arribar a esta conclusión. A la espera de esta información específica, la Comisión considera que la recomendación continúa parcialmente cumplida.</w:t>
      </w:r>
    </w:p>
    <w:p w14:paraId="601BDFFE" w14:textId="77777777" w:rsidR="00FD3777" w:rsidRPr="00D02BFE" w:rsidRDefault="00FD3777" w:rsidP="00357186">
      <w:pPr>
        <w:spacing w:after="0" w:line="240" w:lineRule="auto"/>
        <w:jc w:val="both"/>
        <w:rPr>
          <w:rFonts w:ascii="Cambria" w:eastAsia="Cambria" w:hAnsi="Cambria" w:cs="Cambria"/>
          <w:sz w:val="20"/>
          <w:szCs w:val="20"/>
          <w:lang w:val="es-MX"/>
        </w:rPr>
      </w:pPr>
    </w:p>
    <w:p w14:paraId="286CFCC6" w14:textId="77777777" w:rsidR="005C5BE6" w:rsidRPr="00D02BFE" w:rsidRDefault="00D8031F" w:rsidP="00307F58">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b/>
          <w:bCs/>
          <w:sz w:val="20"/>
          <w:szCs w:val="20"/>
          <w:lang w:val="es-MX"/>
        </w:rPr>
        <w:t>Respecto de la cuarta recomendación</w:t>
      </w:r>
      <w:r w:rsidRPr="00D02BFE">
        <w:rPr>
          <w:rFonts w:ascii="Cambria" w:eastAsia="Cambria" w:hAnsi="Cambria" w:cs="Cambria"/>
          <w:sz w:val="20"/>
          <w:szCs w:val="20"/>
          <w:lang w:val="es-MX"/>
        </w:rPr>
        <w:t>, en 2017, el Estado presentó amplia información sobre las acciones implementadas en materia de protección de defensores y defensoras de derechos humanos en Colombia, incluyendo: i) la creación e implementación de la Unidad Nacional de Protección, mediante el Decreto Nº 4065 de 2011, con programas diseñados para la protección de defensores y defensoras de derechos humanos; ii) la adopción del Decreto Nº 106</w:t>
      </w:r>
      <w:r w:rsidR="009604B4" w:rsidRPr="00D02BFE">
        <w:rPr>
          <w:rFonts w:ascii="Cambria" w:eastAsia="Cambria" w:hAnsi="Cambria" w:cs="Cambria"/>
          <w:sz w:val="20"/>
          <w:szCs w:val="20"/>
          <w:lang w:val="es-MX"/>
        </w:rPr>
        <w:t>5</w:t>
      </w:r>
      <w:r w:rsidRPr="00D02BFE">
        <w:rPr>
          <w:rFonts w:ascii="Cambria" w:eastAsia="Cambria" w:hAnsi="Cambria" w:cs="Cambria"/>
          <w:sz w:val="20"/>
          <w:szCs w:val="20"/>
          <w:lang w:val="es-MX"/>
        </w:rPr>
        <w:t xml:space="preserve"> de 2015 -Programa de Prevención y Protección de los derechos a la vida, la libertad, la integridad y la seguridad de determinadas personas-; iii) la actualización del Programa de Protección de personas en riesgo; iv) la adopción de una Política Pública para la Garantía de la Defensa de Derechos Humanos</w:t>
      </w:r>
      <w:r w:rsidRPr="00D02BFE">
        <w:rPr>
          <w:rFonts w:ascii="Cambria" w:eastAsia="Cambria" w:hAnsi="Cambria" w:cs="Cambria"/>
          <w:sz w:val="20"/>
          <w:szCs w:val="20"/>
          <w:vertAlign w:val="superscript"/>
        </w:rPr>
        <w:footnoteReference w:id="6"/>
      </w:r>
      <w:r w:rsidRPr="00D02BFE">
        <w:rPr>
          <w:rFonts w:ascii="Cambria" w:eastAsia="Cambria" w:hAnsi="Cambria" w:cs="Cambria"/>
          <w:sz w:val="20"/>
          <w:szCs w:val="20"/>
          <w:lang w:val="es-MX"/>
        </w:rPr>
        <w:t xml:space="preserve">; </w:t>
      </w:r>
      <w:r w:rsidRPr="00D02BFE">
        <w:rPr>
          <w:rFonts w:ascii="Cambria" w:eastAsia="Cambria" w:hAnsi="Cambria" w:cs="Cambria"/>
          <w:sz w:val="20"/>
          <w:szCs w:val="20"/>
          <w:u w:color="FF0000"/>
          <w:lang w:val="es-MX"/>
        </w:rPr>
        <w:t>v) la expedición de la Directiva N</w:t>
      </w:r>
      <w:r w:rsidR="00164FD7" w:rsidRPr="00D02BFE">
        <w:rPr>
          <w:rFonts w:ascii="Cambria" w:eastAsia="Cambria" w:hAnsi="Cambria" w:cs="Cambria"/>
          <w:sz w:val="20"/>
          <w:szCs w:val="20"/>
          <w:lang w:val="es-MX"/>
        </w:rPr>
        <w:t>º</w:t>
      </w:r>
      <w:r w:rsidRPr="00D02BFE">
        <w:rPr>
          <w:rFonts w:ascii="Cambria" w:eastAsia="Cambria" w:hAnsi="Cambria" w:cs="Cambria"/>
          <w:sz w:val="20"/>
          <w:szCs w:val="20"/>
          <w:u w:color="FF0000"/>
          <w:lang w:val="es-MX"/>
        </w:rPr>
        <w:t xml:space="preserve"> 002 de 30 de noviembre de 2017 por la que se establecen lineamientos generales sobre la investigación de delitos cometidos en contra de defensores de derechos humanos; vi) la adopción de un plan de trabajo encaminado a mejorar la investigación y judicialización de la violencia contra esta población específica, entre otras</w:t>
      </w:r>
      <w:r w:rsidRPr="00D02BFE">
        <w:rPr>
          <w:rFonts w:ascii="Cambria" w:eastAsia="Cambria" w:hAnsi="Cambria" w:cs="Cambria"/>
          <w:sz w:val="20"/>
          <w:szCs w:val="20"/>
          <w:lang w:val="es-MX"/>
        </w:rPr>
        <w:t>. Asimismo, el Estado indicó que el 31 de mayo de 2016 remitió a los peticionarios un proyecto de resolución de la Unidad Nacional de Protección. Ello a efectos de establecer un protocolo para la notificación y el levantamiento de medidas cautelares o medidas provisionales en el sistema interamericano, en los casos en los cuales los estudios de riesgo de las personas beneficiarias ponderen un riesgo ordinario. El Estado sostuvo que se encuentra a la espera de las observaciones de los peticionarios sobre el proyecto de resolución enviado, pero que</w:t>
      </w:r>
      <w:r w:rsidR="00BF7F26" w:rsidRPr="00D02BFE">
        <w:rPr>
          <w:rFonts w:ascii="Cambria" w:eastAsia="Cambria" w:hAnsi="Cambria" w:cs="Cambria"/>
          <w:sz w:val="20"/>
          <w:szCs w:val="20"/>
          <w:lang w:val="es-MX"/>
        </w:rPr>
        <w:t>,</w:t>
      </w:r>
      <w:r w:rsidRPr="00D02BFE">
        <w:rPr>
          <w:rFonts w:ascii="Cambria" w:eastAsia="Cambria" w:hAnsi="Cambria" w:cs="Cambria"/>
          <w:sz w:val="20"/>
          <w:szCs w:val="20"/>
          <w:lang w:val="es-MX"/>
        </w:rPr>
        <w:t xml:space="preserve"> en </w:t>
      </w:r>
      <w:proofErr w:type="gramStart"/>
      <w:r w:rsidRPr="00D02BFE">
        <w:rPr>
          <w:rFonts w:ascii="Cambria" w:eastAsia="Cambria" w:hAnsi="Cambria" w:cs="Cambria"/>
          <w:sz w:val="20"/>
          <w:szCs w:val="20"/>
          <w:lang w:val="es-MX"/>
        </w:rPr>
        <w:t>aqu</w:t>
      </w:r>
      <w:r w:rsidR="00BF7F26" w:rsidRPr="00D02BFE">
        <w:rPr>
          <w:rFonts w:ascii="Cambria" w:eastAsia="Cambria" w:hAnsi="Cambria" w:cs="Cambria"/>
          <w:sz w:val="20"/>
          <w:szCs w:val="20"/>
          <w:lang w:val="es-MX"/>
        </w:rPr>
        <w:t>é</w:t>
      </w:r>
      <w:r w:rsidRPr="00D02BFE">
        <w:rPr>
          <w:rFonts w:ascii="Cambria" w:eastAsia="Cambria" w:hAnsi="Cambria" w:cs="Cambria"/>
          <w:sz w:val="20"/>
          <w:szCs w:val="20"/>
          <w:lang w:val="es-MX"/>
        </w:rPr>
        <w:t>l</w:t>
      </w:r>
      <w:proofErr w:type="gramEnd"/>
      <w:r w:rsidRPr="00D02BFE">
        <w:rPr>
          <w:rFonts w:ascii="Cambria" w:eastAsia="Cambria" w:hAnsi="Cambria" w:cs="Cambria"/>
          <w:sz w:val="20"/>
          <w:szCs w:val="20"/>
          <w:lang w:val="es-MX"/>
        </w:rPr>
        <w:t xml:space="preserve"> momento, aún no se ha recibido dichas observaciones</w:t>
      </w:r>
      <w:r w:rsidRPr="00D02BFE">
        <w:rPr>
          <w:rFonts w:ascii="Cambria" w:eastAsia="Cambria" w:hAnsi="Cambria" w:cs="Cambria"/>
          <w:sz w:val="20"/>
          <w:szCs w:val="20"/>
          <w:vertAlign w:val="superscript"/>
        </w:rPr>
        <w:footnoteReference w:id="7"/>
      </w:r>
      <w:r w:rsidRPr="00D02BFE">
        <w:rPr>
          <w:rFonts w:ascii="Cambria" w:eastAsia="Cambria" w:hAnsi="Cambria" w:cs="Cambria"/>
          <w:sz w:val="20"/>
          <w:szCs w:val="20"/>
          <w:lang w:val="es-MX"/>
        </w:rPr>
        <w:t xml:space="preserve">. </w:t>
      </w:r>
    </w:p>
    <w:p w14:paraId="782A082D" w14:textId="77777777" w:rsidR="00737D55" w:rsidRPr="00D02BFE" w:rsidRDefault="00737D55" w:rsidP="00156E6F">
      <w:pPr>
        <w:spacing w:after="0" w:line="240" w:lineRule="auto"/>
        <w:ind w:firstLine="720"/>
        <w:jc w:val="both"/>
        <w:rPr>
          <w:rFonts w:ascii="Cambria" w:eastAsia="Cambria" w:hAnsi="Cambria" w:cs="Cambria"/>
          <w:sz w:val="20"/>
          <w:szCs w:val="20"/>
          <w:lang w:val="es-MX"/>
        </w:rPr>
      </w:pPr>
    </w:p>
    <w:p w14:paraId="7F8894CA" w14:textId="77777777" w:rsidR="002A321B" w:rsidRPr="00D02BFE" w:rsidRDefault="00737D55" w:rsidP="00307F58">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bCs/>
          <w:sz w:val="20"/>
          <w:szCs w:val="20"/>
          <w:lang w:val="es-MX"/>
        </w:rPr>
        <w:t>Durante el 2019, el Estado informó sobre los alcances de la implementación del Programa de Prevención y Protecci</w:t>
      </w:r>
      <w:r w:rsidR="00B37C28" w:rsidRPr="00D02BFE">
        <w:rPr>
          <w:rFonts w:ascii="Cambria" w:eastAsia="Cambria" w:hAnsi="Cambria" w:cs="Cambria"/>
          <w:bCs/>
          <w:sz w:val="20"/>
          <w:szCs w:val="20"/>
          <w:lang w:val="es-MX"/>
        </w:rPr>
        <w:t>ón de los D</w:t>
      </w:r>
      <w:r w:rsidRPr="00D02BFE">
        <w:rPr>
          <w:rFonts w:ascii="Cambria" w:eastAsia="Cambria" w:hAnsi="Cambria" w:cs="Cambria"/>
          <w:bCs/>
          <w:sz w:val="20"/>
          <w:szCs w:val="20"/>
          <w:lang w:val="es-MX"/>
        </w:rPr>
        <w:t xml:space="preserve">erechos la Vida, la Libertad, la Integridad y la Seguridad de Personas, Grupos y Comunidades que se encuentran en situación de riesgo extraordinario o extremo como consecuencia directa del ejercicio de sus actividades o funciones políticas, públicas, </w:t>
      </w:r>
      <w:r w:rsidR="003E06D6" w:rsidRPr="00D02BFE">
        <w:rPr>
          <w:rFonts w:ascii="Cambria" w:eastAsia="Cambria" w:hAnsi="Cambria" w:cs="Cambria"/>
          <w:bCs/>
          <w:sz w:val="20"/>
          <w:szCs w:val="20"/>
          <w:lang w:val="es-MX"/>
        </w:rPr>
        <w:t>sociales</w:t>
      </w:r>
      <w:r w:rsidRPr="00D02BFE">
        <w:rPr>
          <w:rFonts w:ascii="Cambria" w:eastAsia="Cambria" w:hAnsi="Cambria" w:cs="Cambria"/>
          <w:bCs/>
          <w:sz w:val="20"/>
          <w:szCs w:val="20"/>
          <w:lang w:val="es-MX"/>
        </w:rPr>
        <w:t xml:space="preserve"> o humanitarias, o </w:t>
      </w:r>
      <w:proofErr w:type="gramStart"/>
      <w:r w:rsidRPr="00D02BFE">
        <w:rPr>
          <w:rFonts w:ascii="Cambria" w:eastAsia="Cambria" w:hAnsi="Cambria" w:cs="Cambria"/>
          <w:bCs/>
          <w:sz w:val="20"/>
          <w:szCs w:val="20"/>
          <w:lang w:val="es-MX"/>
        </w:rPr>
        <w:t>en razón del</w:t>
      </w:r>
      <w:proofErr w:type="gramEnd"/>
      <w:r w:rsidRPr="00D02BFE">
        <w:rPr>
          <w:rFonts w:ascii="Cambria" w:eastAsia="Cambria" w:hAnsi="Cambria" w:cs="Cambria"/>
          <w:bCs/>
          <w:sz w:val="20"/>
          <w:szCs w:val="20"/>
          <w:lang w:val="es-MX"/>
        </w:rPr>
        <w:t xml:space="preserve"> ejercicio de su cargo. </w:t>
      </w:r>
      <w:r w:rsidR="00B37C28" w:rsidRPr="00D02BFE">
        <w:rPr>
          <w:rFonts w:ascii="Cambria" w:eastAsia="Cambria" w:hAnsi="Cambria" w:cs="Cambria"/>
          <w:bCs/>
          <w:sz w:val="20"/>
          <w:szCs w:val="20"/>
          <w:lang w:val="es-MX"/>
        </w:rPr>
        <w:t xml:space="preserve">Expresó que a la fecha dicho programa cuenta con medidas materiales de protección </w:t>
      </w:r>
      <w:r w:rsidR="00B37C28" w:rsidRPr="00D02BFE">
        <w:rPr>
          <w:rFonts w:ascii="Cambria" w:eastAsia="Cambria" w:hAnsi="Cambria" w:cs="Cambria"/>
          <w:bCs/>
          <w:sz w:val="20"/>
          <w:szCs w:val="20"/>
          <w:lang w:val="es-MX"/>
        </w:rPr>
        <w:lastRenderedPageBreak/>
        <w:t>individualizadas</w:t>
      </w:r>
      <w:r w:rsidR="00FC20C0" w:rsidRPr="00D02BFE">
        <w:rPr>
          <w:rFonts w:ascii="Cambria" w:eastAsia="Cambria" w:hAnsi="Cambria" w:cs="Cambria"/>
          <w:bCs/>
          <w:sz w:val="20"/>
          <w:szCs w:val="20"/>
          <w:lang w:val="es-MX"/>
        </w:rPr>
        <w:t xml:space="preserve"> para 4.</w:t>
      </w:r>
      <w:r w:rsidR="00B37C28" w:rsidRPr="00D02BFE">
        <w:rPr>
          <w:rFonts w:ascii="Cambria" w:eastAsia="Cambria" w:hAnsi="Cambria" w:cs="Cambria"/>
          <w:bCs/>
          <w:sz w:val="20"/>
          <w:szCs w:val="20"/>
          <w:lang w:val="es-MX"/>
        </w:rPr>
        <w:t>608 personas defensoras de derechos humanos qu</w:t>
      </w:r>
      <w:r w:rsidR="00FC20C0" w:rsidRPr="00D02BFE">
        <w:rPr>
          <w:rFonts w:ascii="Cambria" w:eastAsia="Cambria" w:hAnsi="Cambria" w:cs="Cambria"/>
          <w:bCs/>
          <w:sz w:val="20"/>
          <w:szCs w:val="20"/>
          <w:lang w:val="es-MX"/>
        </w:rPr>
        <w:t>e incluyen líderes y activistas</w:t>
      </w:r>
      <w:r w:rsidR="00B37C28" w:rsidRPr="00D02BFE">
        <w:rPr>
          <w:rFonts w:ascii="Cambria" w:eastAsia="Cambria" w:hAnsi="Cambria" w:cs="Cambria"/>
          <w:bCs/>
          <w:sz w:val="20"/>
          <w:szCs w:val="20"/>
          <w:lang w:val="es-MX"/>
        </w:rPr>
        <w:t xml:space="preserve"> de organizaciones sociales, comunales, campesinas, comunitarias, líderes de organizaciones étnicas de víctimas, sindicales, periodistas, entre otros. </w:t>
      </w:r>
    </w:p>
    <w:p w14:paraId="35C0FFB2" w14:textId="77777777" w:rsidR="002A321B" w:rsidRPr="00D02BFE" w:rsidRDefault="002A321B" w:rsidP="002A321B">
      <w:pPr>
        <w:spacing w:after="0" w:line="240" w:lineRule="auto"/>
        <w:jc w:val="both"/>
        <w:rPr>
          <w:rFonts w:ascii="Cambria" w:eastAsia="Cambria" w:hAnsi="Cambria" w:cs="Cambria"/>
          <w:sz w:val="20"/>
          <w:szCs w:val="20"/>
          <w:lang w:val="es-MX"/>
        </w:rPr>
      </w:pPr>
    </w:p>
    <w:p w14:paraId="481E224F" w14:textId="77777777" w:rsidR="002A321B" w:rsidRPr="00D02BFE" w:rsidRDefault="002A321B" w:rsidP="00307F58">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hAnsi="Cambria"/>
          <w:sz w:val="20"/>
          <w:szCs w:val="20"/>
          <w:lang w:val="es-CO"/>
        </w:rPr>
        <w:t xml:space="preserve">En 2020, el Estado </w:t>
      </w:r>
      <w:r w:rsidR="00901867" w:rsidRPr="00D02BFE">
        <w:rPr>
          <w:rFonts w:ascii="Cambria" w:hAnsi="Cambria"/>
          <w:sz w:val="20"/>
          <w:szCs w:val="20"/>
          <w:lang w:val="es-CO"/>
        </w:rPr>
        <w:t xml:space="preserve">presentó información </w:t>
      </w:r>
      <w:r w:rsidR="00A810DE" w:rsidRPr="00D02BFE">
        <w:rPr>
          <w:rFonts w:ascii="Cambria" w:hAnsi="Cambria"/>
          <w:sz w:val="20"/>
          <w:szCs w:val="20"/>
          <w:lang w:val="es-CO"/>
        </w:rPr>
        <w:t>de</w:t>
      </w:r>
      <w:r w:rsidR="00AE2C2F" w:rsidRPr="00D02BFE">
        <w:rPr>
          <w:rFonts w:ascii="Cambria" w:hAnsi="Cambria"/>
          <w:sz w:val="20"/>
          <w:szCs w:val="20"/>
          <w:lang w:val="es-CO"/>
        </w:rPr>
        <w:t xml:space="preserve"> </w:t>
      </w:r>
      <w:r w:rsidR="00901867" w:rsidRPr="00D02BFE">
        <w:rPr>
          <w:rFonts w:ascii="Cambria" w:hAnsi="Cambria"/>
          <w:sz w:val="20"/>
          <w:szCs w:val="20"/>
          <w:lang w:val="es-CO"/>
        </w:rPr>
        <w:t xml:space="preserve">la </w:t>
      </w:r>
      <w:proofErr w:type="gramStart"/>
      <w:r w:rsidR="00901867" w:rsidRPr="00D02BFE">
        <w:rPr>
          <w:rFonts w:ascii="Cambria" w:hAnsi="Cambria"/>
          <w:sz w:val="20"/>
          <w:szCs w:val="20"/>
          <w:lang w:val="es-CO"/>
        </w:rPr>
        <w:t>Fiscalía General</w:t>
      </w:r>
      <w:proofErr w:type="gramEnd"/>
      <w:r w:rsidR="00901867" w:rsidRPr="00D02BFE">
        <w:rPr>
          <w:rFonts w:ascii="Cambria" w:hAnsi="Cambria"/>
          <w:sz w:val="20"/>
          <w:szCs w:val="20"/>
          <w:lang w:val="es-CO"/>
        </w:rPr>
        <w:t xml:space="preserve"> de la Nación (FGN), el Ministerio del Interior y la Unidad Nacional de Protección (UNP). Respecto a la información </w:t>
      </w:r>
      <w:r w:rsidR="00EA7A35" w:rsidRPr="00D02BFE">
        <w:rPr>
          <w:rFonts w:ascii="Cambria" w:hAnsi="Cambria"/>
          <w:sz w:val="20"/>
          <w:szCs w:val="20"/>
          <w:lang w:val="es-CO"/>
        </w:rPr>
        <w:t>de</w:t>
      </w:r>
      <w:r w:rsidR="00901867" w:rsidRPr="00D02BFE">
        <w:rPr>
          <w:rFonts w:ascii="Cambria" w:hAnsi="Cambria"/>
          <w:sz w:val="20"/>
          <w:szCs w:val="20"/>
          <w:lang w:val="es-CO"/>
        </w:rPr>
        <w:t xml:space="preserve"> la Fiscalía, indicó que</w:t>
      </w:r>
      <w:r w:rsidRPr="00D02BFE">
        <w:rPr>
          <w:rFonts w:ascii="Cambria" w:hAnsi="Cambria"/>
          <w:sz w:val="20"/>
          <w:szCs w:val="20"/>
          <w:lang w:val="es-CO"/>
        </w:rPr>
        <w:t xml:space="preserve">, desde 2016, </w:t>
      </w:r>
      <w:r w:rsidR="00901867" w:rsidRPr="00D02BFE">
        <w:rPr>
          <w:rFonts w:ascii="Cambria" w:hAnsi="Cambria"/>
          <w:sz w:val="20"/>
          <w:szCs w:val="20"/>
          <w:lang w:val="es-CO"/>
        </w:rPr>
        <w:t>dicha entidad tiene</w:t>
      </w:r>
      <w:r w:rsidRPr="00D02BFE">
        <w:rPr>
          <w:rFonts w:ascii="Cambria" w:hAnsi="Cambria"/>
          <w:sz w:val="20"/>
          <w:szCs w:val="20"/>
          <w:lang w:val="es-CO"/>
        </w:rPr>
        <w:t xml:space="preserve"> una estrategia para investigar y judicializar delitos contra personas defensoras de derechos humanos</w:t>
      </w:r>
      <w:r w:rsidR="00A810DE" w:rsidRPr="00D02BFE">
        <w:rPr>
          <w:rFonts w:ascii="Cambria" w:hAnsi="Cambria"/>
          <w:sz w:val="20"/>
          <w:szCs w:val="20"/>
          <w:lang w:val="es-CO"/>
        </w:rPr>
        <w:t>, la cual</w:t>
      </w:r>
      <w:r w:rsidRPr="00D02BFE">
        <w:rPr>
          <w:rFonts w:ascii="Cambria" w:hAnsi="Cambria"/>
          <w:sz w:val="20"/>
          <w:szCs w:val="20"/>
          <w:lang w:val="es-CO"/>
        </w:rPr>
        <w:t xml:space="preserve">, desde 2020, </w:t>
      </w:r>
      <w:r w:rsidR="00901867" w:rsidRPr="00D02BFE">
        <w:rPr>
          <w:rFonts w:ascii="Cambria" w:hAnsi="Cambria"/>
          <w:sz w:val="20"/>
          <w:szCs w:val="20"/>
          <w:lang w:val="es-CO"/>
        </w:rPr>
        <w:t>se ha centrado</w:t>
      </w:r>
      <w:r w:rsidRPr="00D02BFE">
        <w:rPr>
          <w:rFonts w:ascii="Cambria" w:hAnsi="Cambria"/>
          <w:sz w:val="20"/>
          <w:szCs w:val="20"/>
          <w:lang w:val="es-CO"/>
        </w:rPr>
        <w:t xml:space="preserve"> en tres aspectos: fortalec</w:t>
      </w:r>
      <w:r w:rsidR="00901867" w:rsidRPr="00D02BFE">
        <w:rPr>
          <w:rFonts w:ascii="Cambria" w:hAnsi="Cambria"/>
          <w:sz w:val="20"/>
          <w:szCs w:val="20"/>
          <w:lang w:val="es-CO"/>
        </w:rPr>
        <w:t>er</w:t>
      </w:r>
      <w:r w:rsidRPr="00D02BFE">
        <w:rPr>
          <w:rFonts w:ascii="Cambria" w:hAnsi="Cambria"/>
          <w:sz w:val="20"/>
          <w:szCs w:val="20"/>
          <w:lang w:val="es-CO"/>
        </w:rPr>
        <w:t xml:space="preserve"> la Unidad Especial de Investigación; designa</w:t>
      </w:r>
      <w:r w:rsidR="00901867" w:rsidRPr="00D02BFE">
        <w:rPr>
          <w:rFonts w:ascii="Cambria" w:hAnsi="Cambria"/>
          <w:sz w:val="20"/>
          <w:szCs w:val="20"/>
          <w:lang w:val="es-CO"/>
        </w:rPr>
        <w:t>r</w:t>
      </w:r>
      <w:r w:rsidRPr="00D02BFE">
        <w:rPr>
          <w:rFonts w:ascii="Cambria" w:hAnsi="Cambria"/>
          <w:sz w:val="20"/>
          <w:szCs w:val="20"/>
          <w:lang w:val="es-CO"/>
        </w:rPr>
        <w:t xml:space="preserve"> fiscales territoriales y prioriza</w:t>
      </w:r>
      <w:r w:rsidR="00901867" w:rsidRPr="00D02BFE">
        <w:rPr>
          <w:rFonts w:ascii="Cambria" w:hAnsi="Cambria"/>
          <w:sz w:val="20"/>
          <w:szCs w:val="20"/>
          <w:lang w:val="es-CO"/>
        </w:rPr>
        <w:t xml:space="preserve">r </w:t>
      </w:r>
      <w:r w:rsidRPr="00D02BFE">
        <w:rPr>
          <w:rFonts w:ascii="Cambria" w:hAnsi="Cambria"/>
          <w:sz w:val="20"/>
          <w:szCs w:val="20"/>
          <w:lang w:val="es-CO"/>
        </w:rPr>
        <w:t xml:space="preserve">afectaciones atribuibles a organizaciones criminales. En cuanto a la </w:t>
      </w:r>
      <w:r w:rsidR="00CC4F69" w:rsidRPr="00D02BFE">
        <w:rPr>
          <w:rFonts w:ascii="Cambria" w:hAnsi="Cambria"/>
          <w:sz w:val="20"/>
          <w:szCs w:val="20"/>
          <w:lang w:val="es-CO"/>
        </w:rPr>
        <w:t>Unidad Nacional de Investigación</w:t>
      </w:r>
      <w:r w:rsidRPr="00D02BFE">
        <w:rPr>
          <w:rFonts w:ascii="Cambria" w:hAnsi="Cambria"/>
          <w:sz w:val="20"/>
          <w:szCs w:val="20"/>
          <w:lang w:val="es-CO"/>
        </w:rPr>
        <w:t>, señaló que hay 8 líneas de acción de</w:t>
      </w:r>
      <w:r w:rsidR="00C054A3" w:rsidRPr="00D02BFE">
        <w:rPr>
          <w:rFonts w:ascii="Cambria" w:hAnsi="Cambria"/>
          <w:sz w:val="20"/>
          <w:szCs w:val="20"/>
          <w:lang w:val="es-CO"/>
        </w:rPr>
        <w:t xml:space="preserve"> la estrategia de investigación</w:t>
      </w:r>
      <w:r w:rsidRPr="00D02BFE">
        <w:rPr>
          <w:rFonts w:ascii="Cambria" w:hAnsi="Cambria"/>
          <w:sz w:val="20"/>
          <w:szCs w:val="20"/>
          <w:lang w:val="es-CO"/>
        </w:rPr>
        <w:t xml:space="preserve">. </w:t>
      </w:r>
      <w:r w:rsidR="00297554" w:rsidRPr="00D02BFE">
        <w:rPr>
          <w:rFonts w:ascii="Cambria" w:hAnsi="Cambria"/>
          <w:sz w:val="20"/>
          <w:szCs w:val="20"/>
          <w:lang w:val="es-CO"/>
        </w:rPr>
        <w:t>E</w:t>
      </w:r>
      <w:r w:rsidRPr="00D02BFE">
        <w:rPr>
          <w:rFonts w:ascii="Cambria" w:hAnsi="Cambria"/>
          <w:sz w:val="20"/>
          <w:szCs w:val="20"/>
          <w:lang w:val="es-CO"/>
        </w:rPr>
        <w:t xml:space="preserve">l Estado, a través de información del Ministerio del Interior, </w:t>
      </w:r>
      <w:r w:rsidR="00297554" w:rsidRPr="00D02BFE">
        <w:rPr>
          <w:rFonts w:ascii="Cambria" w:hAnsi="Cambria"/>
          <w:sz w:val="20"/>
          <w:szCs w:val="20"/>
          <w:lang w:val="es-CO"/>
        </w:rPr>
        <w:t xml:space="preserve">también </w:t>
      </w:r>
      <w:r w:rsidRPr="00D02BFE">
        <w:rPr>
          <w:rFonts w:ascii="Cambria" w:hAnsi="Cambria"/>
          <w:sz w:val="20"/>
          <w:szCs w:val="20"/>
          <w:lang w:val="es-CO"/>
        </w:rPr>
        <w:t xml:space="preserve">se refirió a las Directivas 011 de 2016 y 002 de 2017 de la </w:t>
      </w:r>
      <w:proofErr w:type="gramStart"/>
      <w:r w:rsidRPr="00D02BFE">
        <w:rPr>
          <w:rFonts w:ascii="Cambria" w:hAnsi="Cambria"/>
          <w:sz w:val="20"/>
          <w:szCs w:val="20"/>
          <w:lang w:val="es-CO"/>
        </w:rPr>
        <w:t>Fiscalía General</w:t>
      </w:r>
      <w:proofErr w:type="gramEnd"/>
      <w:r w:rsidRPr="00D02BFE">
        <w:rPr>
          <w:rFonts w:ascii="Cambria" w:hAnsi="Cambria"/>
          <w:sz w:val="20"/>
          <w:szCs w:val="20"/>
          <w:lang w:val="es-CO"/>
        </w:rPr>
        <w:t xml:space="preserve"> de la Nación (FGN)</w:t>
      </w:r>
      <w:r w:rsidR="00B75829" w:rsidRPr="00D02BFE">
        <w:rPr>
          <w:rFonts w:ascii="Cambria" w:hAnsi="Cambria"/>
          <w:sz w:val="20"/>
          <w:szCs w:val="20"/>
          <w:lang w:val="es-CO"/>
        </w:rPr>
        <w:t>,</w:t>
      </w:r>
      <w:r w:rsidRPr="00D02BFE">
        <w:rPr>
          <w:rFonts w:ascii="Cambria" w:hAnsi="Cambria"/>
          <w:sz w:val="20"/>
          <w:szCs w:val="20"/>
          <w:lang w:val="es-CO"/>
        </w:rPr>
        <w:t xml:space="preserve"> </w:t>
      </w:r>
      <w:r w:rsidR="00A810DE" w:rsidRPr="00D02BFE">
        <w:rPr>
          <w:rFonts w:ascii="Cambria" w:hAnsi="Cambria"/>
          <w:sz w:val="20"/>
          <w:szCs w:val="20"/>
          <w:lang w:val="es-CO"/>
        </w:rPr>
        <w:t>las cuales</w:t>
      </w:r>
      <w:r w:rsidR="00EA7A35" w:rsidRPr="00D02BFE">
        <w:rPr>
          <w:rFonts w:ascii="Cambria" w:hAnsi="Cambria"/>
          <w:sz w:val="20"/>
          <w:szCs w:val="20"/>
          <w:lang w:val="es-CO"/>
        </w:rPr>
        <w:t xml:space="preserve"> </w:t>
      </w:r>
      <w:r w:rsidRPr="00D02BFE">
        <w:rPr>
          <w:rFonts w:ascii="Cambria" w:hAnsi="Cambria"/>
          <w:sz w:val="20"/>
          <w:szCs w:val="20"/>
          <w:lang w:val="es-CO"/>
        </w:rPr>
        <w:t>estableci</w:t>
      </w:r>
      <w:r w:rsidR="00B75829" w:rsidRPr="00D02BFE">
        <w:rPr>
          <w:rFonts w:ascii="Cambria" w:hAnsi="Cambria"/>
          <w:sz w:val="20"/>
          <w:szCs w:val="20"/>
          <w:lang w:val="es-CO"/>
        </w:rPr>
        <w:t>eron</w:t>
      </w:r>
      <w:r w:rsidRPr="00D02BFE">
        <w:rPr>
          <w:rFonts w:ascii="Cambria" w:hAnsi="Cambria"/>
          <w:sz w:val="20"/>
          <w:szCs w:val="20"/>
          <w:lang w:val="es-CO"/>
        </w:rPr>
        <w:t xml:space="preserve"> la estrategia de investigación y judicialización de delitos contra personas defensoras de DDHH.</w:t>
      </w:r>
    </w:p>
    <w:p w14:paraId="471717F3" w14:textId="77777777" w:rsidR="002A321B" w:rsidRPr="00D02BFE" w:rsidRDefault="002A321B" w:rsidP="002A321B">
      <w:pPr>
        <w:spacing w:after="0" w:line="240" w:lineRule="auto"/>
        <w:ind w:left="720"/>
        <w:jc w:val="both"/>
        <w:rPr>
          <w:rFonts w:ascii="Cambria" w:eastAsia="Cambria" w:hAnsi="Cambria" w:cs="Cambria"/>
          <w:sz w:val="20"/>
          <w:szCs w:val="20"/>
          <w:lang w:val="es-MX"/>
        </w:rPr>
      </w:pPr>
    </w:p>
    <w:p w14:paraId="5BFEAAA7" w14:textId="77777777" w:rsidR="002A321B" w:rsidRPr="00D02BFE" w:rsidRDefault="002A321B" w:rsidP="00307F58">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hAnsi="Cambria"/>
          <w:sz w:val="20"/>
          <w:szCs w:val="20"/>
          <w:lang w:val="es-CO"/>
        </w:rPr>
        <w:t>Asimismo, en 2020, el Estado señaló que, según el Ministerio del Interior y la Unidad Nacional de Protección, el respeto y garantía de los derechos de personas defensoras de los DDHH se sustenta en tratados internacionales de Derechos Humanos y en la Constitución Política</w:t>
      </w:r>
      <w:r w:rsidR="005C2350" w:rsidRPr="00D02BFE">
        <w:rPr>
          <w:rFonts w:ascii="Cambria" w:hAnsi="Cambria"/>
          <w:sz w:val="20"/>
          <w:szCs w:val="20"/>
          <w:lang w:val="es-CO"/>
        </w:rPr>
        <w:t xml:space="preserve"> y </w:t>
      </w:r>
      <w:r w:rsidRPr="00D02BFE">
        <w:rPr>
          <w:rFonts w:ascii="Cambria" w:hAnsi="Cambria"/>
          <w:sz w:val="20"/>
          <w:szCs w:val="20"/>
          <w:lang w:val="es-CO"/>
        </w:rPr>
        <w:t>reportó</w:t>
      </w:r>
      <w:r w:rsidR="00A810DE" w:rsidRPr="00D02BFE">
        <w:rPr>
          <w:rFonts w:ascii="Cambria" w:hAnsi="Cambria"/>
          <w:sz w:val="20"/>
          <w:szCs w:val="20"/>
          <w:lang w:val="es-CO"/>
        </w:rPr>
        <w:t xml:space="preserve"> medidas</w:t>
      </w:r>
      <w:r w:rsidR="005C2350" w:rsidRPr="00D02BFE">
        <w:rPr>
          <w:rFonts w:ascii="Cambria" w:hAnsi="Cambria"/>
          <w:sz w:val="20"/>
          <w:szCs w:val="20"/>
          <w:lang w:val="es-CO"/>
        </w:rPr>
        <w:t xml:space="preserve"> de</w:t>
      </w:r>
      <w:r w:rsidRPr="00D02BFE">
        <w:rPr>
          <w:rFonts w:ascii="Cambria" w:hAnsi="Cambria"/>
          <w:sz w:val="20"/>
          <w:szCs w:val="20"/>
          <w:lang w:val="es-CO"/>
        </w:rPr>
        <w:t xml:space="preserve"> (i) protección; (ii) prevención y (iii) para</w:t>
      </w:r>
      <w:r w:rsidR="00A810DE" w:rsidRPr="00D02BFE">
        <w:rPr>
          <w:rFonts w:ascii="Cambria" w:hAnsi="Cambria"/>
          <w:sz w:val="20"/>
          <w:szCs w:val="20"/>
          <w:lang w:val="es-CO"/>
        </w:rPr>
        <w:t xml:space="preserve"> generar</w:t>
      </w:r>
      <w:r w:rsidRPr="00D02BFE">
        <w:rPr>
          <w:rFonts w:ascii="Cambria" w:hAnsi="Cambria"/>
          <w:sz w:val="20"/>
          <w:szCs w:val="20"/>
          <w:lang w:val="es-CO"/>
        </w:rPr>
        <w:t xml:space="preserve"> condiciones para la labor de defensa de DDHH</w:t>
      </w:r>
      <w:r w:rsidR="005C2350" w:rsidRPr="00D02BFE">
        <w:rPr>
          <w:rFonts w:ascii="Cambria" w:hAnsi="Cambria"/>
          <w:sz w:val="20"/>
          <w:szCs w:val="20"/>
          <w:lang w:val="es-CO"/>
        </w:rPr>
        <w:t>.</w:t>
      </w:r>
    </w:p>
    <w:p w14:paraId="53E5BFA7" w14:textId="77777777" w:rsidR="00D93D1B" w:rsidRPr="00D02BFE" w:rsidRDefault="00D93D1B" w:rsidP="00D93D1B">
      <w:pPr>
        <w:spacing w:after="0" w:line="240" w:lineRule="auto"/>
        <w:jc w:val="both"/>
        <w:rPr>
          <w:rFonts w:ascii="Cambria" w:eastAsia="Cambria" w:hAnsi="Cambria" w:cs="Cambria"/>
          <w:sz w:val="20"/>
          <w:szCs w:val="20"/>
          <w:lang w:val="es-MX"/>
        </w:rPr>
      </w:pPr>
    </w:p>
    <w:p w14:paraId="2FF65498" w14:textId="77777777" w:rsidR="00A810DE" w:rsidRPr="00D02BFE" w:rsidRDefault="002A321B" w:rsidP="00A810D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Cambria" w:hAnsi="Cambria"/>
          <w:sz w:val="20"/>
          <w:szCs w:val="20"/>
          <w:lang w:val="es-CO"/>
        </w:rPr>
      </w:pPr>
      <w:r w:rsidRPr="00D02BFE">
        <w:rPr>
          <w:rFonts w:ascii="Cambria" w:hAnsi="Cambria"/>
          <w:sz w:val="20"/>
          <w:szCs w:val="20"/>
          <w:lang w:val="es-CO"/>
        </w:rPr>
        <w:t xml:space="preserve">Respecto </w:t>
      </w:r>
      <w:r w:rsidR="00B75829" w:rsidRPr="00D02BFE">
        <w:rPr>
          <w:rFonts w:ascii="Cambria" w:hAnsi="Cambria"/>
          <w:sz w:val="20"/>
          <w:szCs w:val="20"/>
          <w:lang w:val="es-CO"/>
        </w:rPr>
        <w:t xml:space="preserve">a las </w:t>
      </w:r>
      <w:r w:rsidR="004452E0" w:rsidRPr="00D02BFE">
        <w:rPr>
          <w:rFonts w:ascii="Cambria" w:hAnsi="Cambria"/>
          <w:sz w:val="20"/>
          <w:szCs w:val="20"/>
          <w:lang w:val="es-CO"/>
        </w:rPr>
        <w:t>medidas de</w:t>
      </w:r>
      <w:r w:rsidRPr="00D02BFE">
        <w:rPr>
          <w:rFonts w:ascii="Cambria" w:hAnsi="Cambria"/>
          <w:sz w:val="20"/>
          <w:szCs w:val="20"/>
          <w:lang w:val="es-CO"/>
        </w:rPr>
        <w:t xml:space="preserve"> protección de personas en riesgo, el Estado </w:t>
      </w:r>
      <w:r w:rsidR="008E4AC6" w:rsidRPr="00D02BFE">
        <w:rPr>
          <w:rFonts w:ascii="Cambria" w:hAnsi="Cambria"/>
          <w:sz w:val="20"/>
          <w:szCs w:val="20"/>
          <w:lang w:val="es-CO"/>
        </w:rPr>
        <w:t>se refirió a distintas medidas de políticas públicas, fortalecimiento institucional y legislación y normativa de las cuales se destacan algunas.</w:t>
      </w:r>
      <w:r w:rsidRPr="00D02BFE">
        <w:rPr>
          <w:rFonts w:ascii="Cambria" w:hAnsi="Cambria"/>
          <w:sz w:val="20"/>
          <w:szCs w:val="20"/>
          <w:lang w:val="es-CO"/>
        </w:rPr>
        <w:t xml:space="preserve"> </w:t>
      </w:r>
      <w:r w:rsidR="008E4AC6" w:rsidRPr="00D02BFE">
        <w:rPr>
          <w:rFonts w:ascii="Cambria" w:hAnsi="Cambria"/>
          <w:sz w:val="20"/>
          <w:szCs w:val="20"/>
          <w:lang w:val="es-CO"/>
        </w:rPr>
        <w:t>Se refirió al Programa de Protección de Derechos Humanos creado en 2006</w:t>
      </w:r>
      <w:r w:rsidRPr="00D02BFE">
        <w:rPr>
          <w:rFonts w:ascii="Cambria" w:hAnsi="Cambria"/>
          <w:sz w:val="20"/>
          <w:szCs w:val="20"/>
          <w:lang w:val="es-CO"/>
        </w:rPr>
        <w:t xml:space="preserve"> en</w:t>
      </w:r>
      <w:r w:rsidR="008E4AC6" w:rsidRPr="00D02BFE">
        <w:rPr>
          <w:rFonts w:ascii="Cambria" w:hAnsi="Cambria"/>
          <w:sz w:val="20"/>
          <w:szCs w:val="20"/>
          <w:lang w:val="es-CO"/>
        </w:rPr>
        <w:t xml:space="preserve"> el marco de la Ley 782 de 2002; a la creación de</w:t>
      </w:r>
      <w:r w:rsidRPr="00D02BFE">
        <w:rPr>
          <w:rFonts w:ascii="Cambria" w:hAnsi="Cambria"/>
          <w:sz w:val="20"/>
          <w:szCs w:val="20"/>
          <w:lang w:val="es-CO"/>
        </w:rPr>
        <w:t xml:space="preserve"> la Unidad Nacional de Protección (UNP)</w:t>
      </w:r>
      <w:r w:rsidR="008E4AC6" w:rsidRPr="00D02BFE">
        <w:rPr>
          <w:rFonts w:ascii="Cambria" w:hAnsi="Cambria"/>
          <w:sz w:val="20"/>
          <w:szCs w:val="20"/>
          <w:lang w:val="es-CO"/>
        </w:rPr>
        <w:t xml:space="preserve"> y</w:t>
      </w:r>
      <w:r w:rsidRPr="00D02BFE">
        <w:rPr>
          <w:rFonts w:ascii="Cambria" w:hAnsi="Cambria"/>
          <w:sz w:val="20"/>
          <w:szCs w:val="20"/>
          <w:lang w:val="es-CO"/>
        </w:rPr>
        <w:t xml:space="preserve"> </w:t>
      </w:r>
      <w:r w:rsidR="008E4AC6" w:rsidRPr="00D02BFE">
        <w:rPr>
          <w:rFonts w:ascii="Cambria" w:hAnsi="Cambria"/>
          <w:sz w:val="20"/>
          <w:szCs w:val="20"/>
          <w:lang w:val="es-CO"/>
        </w:rPr>
        <w:t>a</w:t>
      </w:r>
      <w:r w:rsidRPr="00D02BFE">
        <w:rPr>
          <w:rFonts w:ascii="Cambria" w:hAnsi="Cambria"/>
          <w:sz w:val="20"/>
          <w:szCs w:val="20"/>
          <w:lang w:val="es-CO"/>
        </w:rPr>
        <w:t xml:space="preserve">l Programa de Prevención y Protección de los Derechos a la Vida, la Libertad, la Integridad y la Seguridad de personas, grupos y </w:t>
      </w:r>
      <w:r w:rsidR="008E4AC6" w:rsidRPr="00D02BFE">
        <w:rPr>
          <w:rFonts w:ascii="Cambria" w:hAnsi="Cambria"/>
          <w:sz w:val="20"/>
          <w:szCs w:val="20"/>
          <w:lang w:val="es-CO"/>
        </w:rPr>
        <w:t xml:space="preserve">comunidades que asignó </w:t>
      </w:r>
      <w:r w:rsidRPr="00D02BFE">
        <w:rPr>
          <w:rFonts w:ascii="Cambria" w:hAnsi="Cambria"/>
          <w:sz w:val="20"/>
          <w:szCs w:val="20"/>
          <w:lang w:val="es-CO"/>
        </w:rPr>
        <w:t xml:space="preserve">competencias a entidades nacionales y territoriales. </w:t>
      </w:r>
      <w:r w:rsidR="008E4AC6" w:rsidRPr="00D02BFE">
        <w:rPr>
          <w:rFonts w:ascii="Cambria" w:hAnsi="Cambria"/>
          <w:sz w:val="20"/>
          <w:szCs w:val="20"/>
          <w:lang w:val="es-CO"/>
        </w:rPr>
        <w:t>También s</w:t>
      </w:r>
      <w:r w:rsidR="00AE2C2F" w:rsidRPr="00D02BFE">
        <w:rPr>
          <w:rFonts w:ascii="Cambria" w:hAnsi="Cambria"/>
          <w:sz w:val="20"/>
          <w:szCs w:val="20"/>
          <w:lang w:val="es-CO"/>
        </w:rPr>
        <w:t xml:space="preserve">e refirió a la incorporación del enfoque de género con la creación de la CERREM para mujeres </w:t>
      </w:r>
      <w:r w:rsidR="008E4AC6" w:rsidRPr="00D02BFE">
        <w:rPr>
          <w:rFonts w:ascii="Cambria" w:hAnsi="Cambria"/>
          <w:sz w:val="20"/>
          <w:szCs w:val="20"/>
          <w:lang w:val="es-CO"/>
        </w:rPr>
        <w:t>en</w:t>
      </w:r>
      <w:r w:rsidR="00AE2C2F" w:rsidRPr="00D02BFE">
        <w:rPr>
          <w:rFonts w:ascii="Cambria" w:hAnsi="Cambria"/>
          <w:sz w:val="20"/>
          <w:szCs w:val="20"/>
          <w:lang w:val="es-CO"/>
        </w:rPr>
        <w:t xml:space="preserve"> 2012 y manifestó que en 2015 se</w:t>
      </w:r>
      <w:r w:rsidRPr="00D02BFE">
        <w:rPr>
          <w:rFonts w:ascii="Cambria" w:hAnsi="Cambria"/>
          <w:sz w:val="20"/>
          <w:szCs w:val="20"/>
          <w:lang w:val="es-CO"/>
        </w:rPr>
        <w:t xml:space="preserve"> adoptó el protocolo </w:t>
      </w:r>
      <w:r w:rsidR="00D93D1B" w:rsidRPr="00D02BFE">
        <w:rPr>
          <w:rFonts w:ascii="Cambria" w:hAnsi="Cambria"/>
          <w:sz w:val="20"/>
          <w:szCs w:val="20"/>
          <w:lang w:val="es-CO"/>
        </w:rPr>
        <w:t>de</w:t>
      </w:r>
      <w:r w:rsidRPr="00D02BFE">
        <w:rPr>
          <w:rFonts w:ascii="Cambria" w:hAnsi="Cambria"/>
          <w:sz w:val="20"/>
          <w:szCs w:val="20"/>
          <w:lang w:val="es-CO"/>
        </w:rPr>
        <w:t xml:space="preserve"> la ruta de protección colectiva del Programa de Prevención y Protección, bajo la premisa de prevención temprana y en cuyo marco se instaló el Comité de Evaluación de Riesgo y Recomendación de medidas colectivas (CERREM). Indicó que, entre 2018 y 2020, el Gobierno </w:t>
      </w:r>
      <w:r w:rsidR="004452E0" w:rsidRPr="00D02BFE">
        <w:rPr>
          <w:rFonts w:ascii="Cambria" w:hAnsi="Cambria"/>
          <w:sz w:val="20"/>
          <w:szCs w:val="20"/>
          <w:lang w:val="es-CO"/>
        </w:rPr>
        <w:t>creó</w:t>
      </w:r>
      <w:r w:rsidRPr="00D02BFE">
        <w:rPr>
          <w:rFonts w:ascii="Cambria" w:hAnsi="Cambria"/>
          <w:sz w:val="20"/>
          <w:szCs w:val="20"/>
          <w:lang w:val="es-CO"/>
        </w:rPr>
        <w:t xml:space="preserve"> el Plan de Acción Oportuna (PAO)</w:t>
      </w:r>
      <w:r w:rsidR="00D93D1B" w:rsidRPr="00D02BFE">
        <w:rPr>
          <w:rFonts w:ascii="Cambria" w:hAnsi="Cambria"/>
          <w:sz w:val="20"/>
          <w:szCs w:val="20"/>
          <w:lang w:val="es-CO"/>
        </w:rPr>
        <w:t xml:space="preserve"> e</w:t>
      </w:r>
      <w:r w:rsidRPr="00D02BFE">
        <w:rPr>
          <w:rFonts w:ascii="Cambria" w:hAnsi="Cambria"/>
          <w:sz w:val="20"/>
          <w:szCs w:val="20"/>
          <w:lang w:val="es-CO"/>
        </w:rPr>
        <w:t xml:space="preserve"> informó que el Ministerio del Interior ha fortalecido su gestión institucional y que la Comisión Intersectorial ha propuesto acciones para mitigar riesgos. </w:t>
      </w:r>
    </w:p>
    <w:p w14:paraId="1818066A" w14:textId="77777777" w:rsidR="00A810DE" w:rsidRPr="00D02BFE" w:rsidRDefault="00A810DE" w:rsidP="00A810D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360"/>
        <w:contextualSpacing/>
        <w:jc w:val="both"/>
        <w:rPr>
          <w:rFonts w:ascii="Cambria" w:hAnsi="Cambria"/>
          <w:sz w:val="20"/>
          <w:szCs w:val="20"/>
          <w:lang w:val="es-CO"/>
        </w:rPr>
      </w:pPr>
    </w:p>
    <w:p w14:paraId="6CBAD703" w14:textId="77777777" w:rsidR="002A321B" w:rsidRPr="00D02BFE" w:rsidRDefault="004452E0" w:rsidP="00A810D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360"/>
        <w:contextualSpacing/>
        <w:jc w:val="both"/>
        <w:rPr>
          <w:rFonts w:ascii="Cambria" w:hAnsi="Cambria"/>
          <w:sz w:val="20"/>
          <w:szCs w:val="20"/>
          <w:lang w:val="es-CO"/>
        </w:rPr>
      </w:pPr>
      <w:r w:rsidRPr="00D02BFE">
        <w:rPr>
          <w:rFonts w:ascii="Cambria" w:hAnsi="Cambria"/>
          <w:sz w:val="20"/>
          <w:szCs w:val="20"/>
          <w:lang w:val="es-CO"/>
        </w:rPr>
        <w:t xml:space="preserve">Asimismo, el Estado enlistó </w:t>
      </w:r>
      <w:r w:rsidR="009A63DD" w:rsidRPr="00D02BFE">
        <w:rPr>
          <w:rFonts w:ascii="Cambria" w:hAnsi="Cambria"/>
          <w:sz w:val="20"/>
          <w:szCs w:val="20"/>
          <w:lang w:val="es-CO"/>
        </w:rPr>
        <w:t>algunas</w:t>
      </w:r>
      <w:r w:rsidR="002A321B" w:rsidRPr="00D02BFE">
        <w:rPr>
          <w:rFonts w:ascii="Cambria" w:hAnsi="Cambria"/>
          <w:sz w:val="20"/>
          <w:szCs w:val="20"/>
          <w:lang w:val="es-CO"/>
        </w:rPr>
        <w:t xml:space="preserve"> </w:t>
      </w:r>
      <w:r w:rsidR="00650812" w:rsidRPr="00D02BFE">
        <w:rPr>
          <w:rFonts w:ascii="Cambria" w:hAnsi="Cambria"/>
          <w:sz w:val="20"/>
          <w:szCs w:val="20"/>
          <w:lang w:val="es-CO"/>
        </w:rPr>
        <w:t>estrategias</w:t>
      </w:r>
      <w:r w:rsidR="002A321B" w:rsidRPr="00D02BFE">
        <w:rPr>
          <w:rFonts w:ascii="Cambria" w:hAnsi="Cambria"/>
          <w:sz w:val="20"/>
          <w:szCs w:val="20"/>
          <w:lang w:val="es-CO"/>
        </w:rPr>
        <w:t xml:space="preserve"> de protección: (i) protección en cabeceras municipales, y en veredas y corregimientos de municipios alertados; (ii) operaciones para neutralizar grupos armados ilegales; (iii) </w:t>
      </w:r>
      <w:r w:rsidR="008E4AC6" w:rsidRPr="00D02BFE">
        <w:rPr>
          <w:rFonts w:ascii="Cambria" w:hAnsi="Cambria"/>
          <w:sz w:val="20"/>
          <w:szCs w:val="20"/>
          <w:lang w:val="es-CO"/>
        </w:rPr>
        <w:t>protección de</w:t>
      </w:r>
      <w:r w:rsidR="002A321B" w:rsidRPr="00D02BFE">
        <w:rPr>
          <w:rFonts w:ascii="Cambria" w:hAnsi="Cambria"/>
          <w:sz w:val="20"/>
          <w:szCs w:val="20"/>
          <w:lang w:val="es-CO"/>
        </w:rPr>
        <w:t xml:space="preserve"> resguardos </w:t>
      </w:r>
      <w:r w:rsidRPr="00D02BFE">
        <w:rPr>
          <w:rFonts w:ascii="Cambria" w:hAnsi="Cambria"/>
          <w:sz w:val="20"/>
          <w:szCs w:val="20"/>
          <w:lang w:val="es-CO"/>
        </w:rPr>
        <w:t>i</w:t>
      </w:r>
      <w:r w:rsidR="002A321B" w:rsidRPr="00D02BFE">
        <w:rPr>
          <w:rFonts w:ascii="Cambria" w:hAnsi="Cambria"/>
          <w:sz w:val="20"/>
          <w:szCs w:val="20"/>
          <w:lang w:val="es-CO"/>
        </w:rPr>
        <w:t xml:space="preserve">ndígenas y comunidades afrocolombianas </w:t>
      </w:r>
      <w:r w:rsidR="00A810DE" w:rsidRPr="00D02BFE">
        <w:rPr>
          <w:rFonts w:ascii="Cambria" w:hAnsi="Cambria"/>
          <w:sz w:val="20"/>
          <w:szCs w:val="20"/>
          <w:lang w:val="es-CO"/>
        </w:rPr>
        <w:t>de</w:t>
      </w:r>
      <w:r w:rsidR="002A321B" w:rsidRPr="00D02BFE">
        <w:rPr>
          <w:rFonts w:ascii="Cambria" w:hAnsi="Cambria"/>
          <w:sz w:val="20"/>
          <w:szCs w:val="20"/>
          <w:lang w:val="es-CO"/>
        </w:rPr>
        <w:t xml:space="preserve"> zona</w:t>
      </w:r>
      <w:r w:rsidR="00A810DE" w:rsidRPr="00D02BFE">
        <w:rPr>
          <w:rFonts w:ascii="Cambria" w:hAnsi="Cambria"/>
          <w:sz w:val="20"/>
          <w:szCs w:val="20"/>
          <w:lang w:val="es-CO"/>
        </w:rPr>
        <w:t>s</w:t>
      </w:r>
      <w:r w:rsidR="002A321B" w:rsidRPr="00D02BFE">
        <w:rPr>
          <w:rFonts w:ascii="Cambria" w:hAnsi="Cambria"/>
          <w:sz w:val="20"/>
          <w:szCs w:val="20"/>
          <w:lang w:val="es-CO"/>
        </w:rPr>
        <w:t xml:space="preserve"> rural</w:t>
      </w:r>
      <w:r w:rsidR="00A810DE" w:rsidRPr="00D02BFE">
        <w:rPr>
          <w:rFonts w:ascii="Cambria" w:hAnsi="Cambria"/>
          <w:sz w:val="20"/>
          <w:szCs w:val="20"/>
          <w:lang w:val="es-CO"/>
        </w:rPr>
        <w:t>es</w:t>
      </w:r>
      <w:r w:rsidR="002A321B" w:rsidRPr="00D02BFE">
        <w:rPr>
          <w:rFonts w:ascii="Cambria" w:hAnsi="Cambria"/>
          <w:sz w:val="20"/>
          <w:szCs w:val="20"/>
          <w:lang w:val="es-CO"/>
        </w:rPr>
        <w:t xml:space="preserve"> </w:t>
      </w:r>
      <w:r w:rsidR="009A63DD" w:rsidRPr="00D02BFE">
        <w:rPr>
          <w:rFonts w:ascii="Cambria" w:hAnsi="Cambria"/>
          <w:sz w:val="20"/>
          <w:szCs w:val="20"/>
          <w:lang w:val="es-CO"/>
        </w:rPr>
        <w:t>alertada</w:t>
      </w:r>
      <w:r w:rsidR="002A321B" w:rsidRPr="00D02BFE">
        <w:rPr>
          <w:rFonts w:ascii="Cambria" w:hAnsi="Cambria"/>
          <w:sz w:val="20"/>
          <w:szCs w:val="20"/>
          <w:lang w:val="es-CO"/>
        </w:rPr>
        <w:t>s; (iv) evaluación de medidas de protección; (v) atención oportuna, integral e inmediata para víctimas de amenazas, extorsiones y homicidios</w:t>
      </w:r>
      <w:r w:rsidR="008E4AC6" w:rsidRPr="00D02BFE">
        <w:rPr>
          <w:rFonts w:ascii="Cambria" w:hAnsi="Cambria"/>
          <w:sz w:val="20"/>
          <w:szCs w:val="20"/>
          <w:lang w:val="es-CO"/>
        </w:rPr>
        <w:t>, y</w:t>
      </w:r>
      <w:r w:rsidR="002A321B" w:rsidRPr="00D02BFE">
        <w:rPr>
          <w:rFonts w:ascii="Cambria" w:hAnsi="Cambria"/>
          <w:sz w:val="20"/>
          <w:szCs w:val="20"/>
          <w:lang w:val="es-CO"/>
        </w:rPr>
        <w:t xml:space="preserve"> (vi) educación en el riesgo por minas antipersonal, munición sin explotar y artefactos explosivos improvisados. </w:t>
      </w:r>
      <w:r w:rsidR="00B65A2B" w:rsidRPr="00D02BFE">
        <w:rPr>
          <w:rFonts w:ascii="Cambria" w:hAnsi="Cambria"/>
          <w:sz w:val="20"/>
          <w:szCs w:val="20"/>
          <w:lang w:val="es-CO"/>
        </w:rPr>
        <w:t xml:space="preserve">Asimismo, </w:t>
      </w:r>
      <w:r w:rsidR="002A321B" w:rsidRPr="00D02BFE">
        <w:rPr>
          <w:rFonts w:ascii="Cambria" w:hAnsi="Cambria"/>
          <w:sz w:val="20"/>
          <w:szCs w:val="20"/>
          <w:lang w:val="es-CO"/>
        </w:rPr>
        <w:t xml:space="preserve">destacó acciones complementarias </w:t>
      </w:r>
      <w:r w:rsidR="00A810DE" w:rsidRPr="00D02BFE">
        <w:rPr>
          <w:rFonts w:ascii="Cambria" w:hAnsi="Cambria"/>
          <w:sz w:val="20"/>
          <w:szCs w:val="20"/>
          <w:lang w:val="es-CO"/>
        </w:rPr>
        <w:t>como</w:t>
      </w:r>
      <w:r w:rsidR="002A321B" w:rsidRPr="00D02BFE">
        <w:rPr>
          <w:rFonts w:ascii="Cambria" w:hAnsi="Cambria"/>
          <w:sz w:val="20"/>
          <w:szCs w:val="20"/>
          <w:lang w:val="es-CO"/>
        </w:rPr>
        <w:t xml:space="preserve"> el Plan “Hor</w:t>
      </w:r>
      <w:r w:rsidR="00D93D1B" w:rsidRPr="00D02BFE">
        <w:rPr>
          <w:rFonts w:ascii="Cambria" w:hAnsi="Cambria"/>
          <w:sz w:val="20"/>
          <w:szCs w:val="20"/>
          <w:lang w:val="es-CO"/>
        </w:rPr>
        <w:t>u</w:t>
      </w:r>
      <w:r w:rsidR="002A321B" w:rsidRPr="00D02BFE">
        <w:rPr>
          <w:rFonts w:ascii="Cambria" w:hAnsi="Cambria"/>
          <w:sz w:val="20"/>
          <w:szCs w:val="20"/>
          <w:lang w:val="es-CO"/>
        </w:rPr>
        <w:t xml:space="preserve">s de la Libertad 3.0” para fortalecer </w:t>
      </w:r>
      <w:r w:rsidR="008E4AC6" w:rsidRPr="00D02BFE">
        <w:rPr>
          <w:rFonts w:ascii="Cambria" w:hAnsi="Cambria"/>
          <w:sz w:val="20"/>
          <w:szCs w:val="20"/>
          <w:lang w:val="es-CO"/>
        </w:rPr>
        <w:t xml:space="preserve">la </w:t>
      </w:r>
      <w:r w:rsidR="002A321B" w:rsidRPr="00D02BFE">
        <w:rPr>
          <w:rFonts w:ascii="Cambria" w:hAnsi="Cambria"/>
          <w:sz w:val="20"/>
          <w:szCs w:val="20"/>
          <w:lang w:val="es-CO"/>
        </w:rPr>
        <w:t>presencia militar y policial</w:t>
      </w:r>
      <w:r w:rsidR="00A810DE" w:rsidRPr="00D02BFE">
        <w:rPr>
          <w:rFonts w:ascii="Cambria" w:hAnsi="Cambria"/>
          <w:sz w:val="20"/>
          <w:szCs w:val="20"/>
          <w:lang w:val="es-CO"/>
        </w:rPr>
        <w:t>, y</w:t>
      </w:r>
      <w:r w:rsidR="002A321B" w:rsidRPr="00D02BFE">
        <w:rPr>
          <w:rFonts w:ascii="Cambria" w:hAnsi="Cambria"/>
          <w:sz w:val="20"/>
          <w:szCs w:val="20"/>
          <w:lang w:val="es-CO"/>
        </w:rPr>
        <w:t xml:space="preserve"> </w:t>
      </w:r>
      <w:r w:rsidR="00AE2C2F" w:rsidRPr="00D02BFE">
        <w:rPr>
          <w:rFonts w:ascii="Cambria" w:hAnsi="Cambria"/>
          <w:sz w:val="20"/>
          <w:szCs w:val="20"/>
          <w:lang w:val="es-CO"/>
        </w:rPr>
        <w:t xml:space="preserve">las </w:t>
      </w:r>
      <w:r w:rsidR="002A321B" w:rsidRPr="00D02BFE">
        <w:rPr>
          <w:rFonts w:ascii="Cambria" w:hAnsi="Cambria"/>
          <w:sz w:val="20"/>
          <w:szCs w:val="20"/>
          <w:lang w:val="es-CO"/>
        </w:rPr>
        <w:t>captura</w:t>
      </w:r>
      <w:r w:rsidR="00A810DE" w:rsidRPr="00D02BFE">
        <w:rPr>
          <w:rFonts w:ascii="Cambria" w:hAnsi="Cambria"/>
          <w:sz w:val="20"/>
          <w:szCs w:val="20"/>
          <w:lang w:val="es-CO"/>
        </w:rPr>
        <w:t>s</w:t>
      </w:r>
      <w:r w:rsidR="002A321B" w:rsidRPr="00D02BFE">
        <w:rPr>
          <w:rFonts w:ascii="Cambria" w:hAnsi="Cambria"/>
          <w:sz w:val="20"/>
          <w:szCs w:val="20"/>
          <w:lang w:val="es-CO"/>
        </w:rPr>
        <w:t xml:space="preserve"> de personas más buscadas por atentar contra </w:t>
      </w:r>
      <w:r w:rsidR="00AE2C2F" w:rsidRPr="00D02BFE">
        <w:rPr>
          <w:rFonts w:ascii="Cambria" w:hAnsi="Cambria"/>
          <w:sz w:val="20"/>
          <w:szCs w:val="20"/>
          <w:lang w:val="es-CO"/>
        </w:rPr>
        <w:t>personas defensoras</w:t>
      </w:r>
      <w:r w:rsidR="002A321B" w:rsidRPr="00D02BFE">
        <w:rPr>
          <w:rFonts w:ascii="Cambria" w:hAnsi="Cambria"/>
          <w:sz w:val="20"/>
          <w:szCs w:val="20"/>
          <w:lang w:val="es-CO"/>
        </w:rPr>
        <w:t xml:space="preserve">. </w:t>
      </w:r>
      <w:r w:rsidR="00A810DE" w:rsidRPr="00D02BFE">
        <w:rPr>
          <w:rFonts w:ascii="Cambria" w:hAnsi="Cambria"/>
          <w:sz w:val="20"/>
          <w:szCs w:val="20"/>
          <w:lang w:val="es-CO"/>
        </w:rPr>
        <w:t>Igualmente</w:t>
      </w:r>
      <w:r w:rsidR="002A321B" w:rsidRPr="00D02BFE">
        <w:rPr>
          <w:rFonts w:ascii="Cambria" w:hAnsi="Cambria"/>
          <w:sz w:val="20"/>
          <w:szCs w:val="20"/>
          <w:lang w:val="es-CO"/>
        </w:rPr>
        <w:t>, informó que el Ministerio del Interior previó la “</w:t>
      </w:r>
      <w:r w:rsidR="00A810DE" w:rsidRPr="00D02BFE">
        <w:rPr>
          <w:rFonts w:ascii="Cambria" w:hAnsi="Cambria"/>
          <w:sz w:val="20"/>
          <w:szCs w:val="20"/>
          <w:lang w:val="es-CO"/>
        </w:rPr>
        <w:t xml:space="preserve">Red de Reacción Inmediata”, </w:t>
      </w:r>
      <w:r w:rsidR="002A321B" w:rsidRPr="00D02BFE">
        <w:rPr>
          <w:rFonts w:ascii="Cambria" w:hAnsi="Cambria"/>
          <w:sz w:val="20"/>
          <w:szCs w:val="20"/>
          <w:lang w:val="es-CO"/>
        </w:rPr>
        <w:t xml:space="preserve">para mejorar la respuesta ante riesgos </w:t>
      </w:r>
      <w:r w:rsidR="008E4AC6" w:rsidRPr="00D02BFE">
        <w:rPr>
          <w:rFonts w:ascii="Cambria" w:hAnsi="Cambria"/>
          <w:sz w:val="20"/>
          <w:szCs w:val="20"/>
          <w:lang w:val="es-CO"/>
        </w:rPr>
        <w:t>en</w:t>
      </w:r>
      <w:r w:rsidR="002A321B" w:rsidRPr="00D02BFE">
        <w:rPr>
          <w:rFonts w:ascii="Cambria" w:hAnsi="Cambria"/>
          <w:sz w:val="20"/>
          <w:szCs w:val="20"/>
          <w:lang w:val="es-CO"/>
        </w:rPr>
        <w:t xml:space="preserve"> situaciones de conflicto</w:t>
      </w:r>
      <w:r w:rsidR="00A91929" w:rsidRPr="00D02BFE">
        <w:rPr>
          <w:rFonts w:ascii="Cambria" w:hAnsi="Cambria"/>
          <w:sz w:val="20"/>
          <w:szCs w:val="20"/>
          <w:lang w:val="es-CO"/>
        </w:rPr>
        <w:t xml:space="preserve"> y</w:t>
      </w:r>
      <w:r w:rsidR="00B65A2B" w:rsidRPr="00D02BFE">
        <w:rPr>
          <w:rFonts w:ascii="Cambria" w:hAnsi="Cambria"/>
          <w:sz w:val="20"/>
          <w:szCs w:val="20"/>
          <w:lang w:val="es-CO"/>
        </w:rPr>
        <w:t xml:space="preserve"> </w:t>
      </w:r>
      <w:r w:rsidR="002A321B" w:rsidRPr="00D02BFE">
        <w:rPr>
          <w:rFonts w:ascii="Cambria" w:hAnsi="Cambria"/>
          <w:sz w:val="20"/>
          <w:szCs w:val="20"/>
          <w:lang w:val="es-CO"/>
        </w:rPr>
        <w:t>destacó la Directiva Operativa Permanente No. 013 “Parámetros de actuación p</w:t>
      </w:r>
      <w:r w:rsidR="009A63DD" w:rsidRPr="00D02BFE">
        <w:rPr>
          <w:rFonts w:ascii="Cambria" w:hAnsi="Cambria"/>
          <w:sz w:val="20"/>
          <w:szCs w:val="20"/>
          <w:lang w:val="es-CO"/>
        </w:rPr>
        <w:t>olicial de la Estrategia ESPOV”</w:t>
      </w:r>
      <w:r w:rsidR="002A321B" w:rsidRPr="00D02BFE">
        <w:rPr>
          <w:rFonts w:ascii="Cambria" w:hAnsi="Cambria"/>
          <w:sz w:val="20"/>
          <w:szCs w:val="20"/>
          <w:lang w:val="es-CO"/>
        </w:rPr>
        <w:t xml:space="preserve"> </w:t>
      </w:r>
      <w:r w:rsidR="009A63DD" w:rsidRPr="00D02BFE">
        <w:rPr>
          <w:rFonts w:ascii="Cambria" w:hAnsi="Cambria"/>
          <w:sz w:val="20"/>
          <w:szCs w:val="20"/>
          <w:lang w:val="es-CO"/>
        </w:rPr>
        <w:t>de</w:t>
      </w:r>
      <w:r w:rsidR="002A321B" w:rsidRPr="00D02BFE">
        <w:rPr>
          <w:rFonts w:ascii="Cambria" w:hAnsi="Cambria"/>
          <w:sz w:val="20"/>
          <w:szCs w:val="20"/>
          <w:lang w:val="es-CO"/>
        </w:rPr>
        <w:t xml:space="preserve"> la Policía Nacional</w:t>
      </w:r>
      <w:r w:rsidR="009A63DD" w:rsidRPr="00D02BFE">
        <w:rPr>
          <w:rFonts w:ascii="Cambria" w:hAnsi="Cambria"/>
          <w:sz w:val="20"/>
          <w:szCs w:val="20"/>
          <w:lang w:val="es-CO"/>
        </w:rPr>
        <w:t>,</w:t>
      </w:r>
      <w:r w:rsidR="002A321B" w:rsidRPr="00D02BFE">
        <w:rPr>
          <w:rFonts w:ascii="Cambria" w:hAnsi="Cambria"/>
          <w:sz w:val="20"/>
          <w:szCs w:val="20"/>
          <w:lang w:val="es-CO"/>
        </w:rPr>
        <w:t xml:space="preserve"> como parte de la Estrategia de Protección a Poblaciones en Situ</w:t>
      </w:r>
      <w:r w:rsidR="009A63DD" w:rsidRPr="00D02BFE">
        <w:rPr>
          <w:rFonts w:ascii="Cambria" w:hAnsi="Cambria"/>
          <w:sz w:val="20"/>
          <w:szCs w:val="20"/>
          <w:lang w:val="es-CO"/>
        </w:rPr>
        <w:t>ación de Vulnerabilidad (ESPOV)</w:t>
      </w:r>
      <w:r w:rsidR="002A321B" w:rsidRPr="00D02BFE">
        <w:rPr>
          <w:rFonts w:ascii="Cambria" w:hAnsi="Cambria"/>
          <w:sz w:val="20"/>
          <w:szCs w:val="20"/>
          <w:lang w:val="es-CO"/>
        </w:rPr>
        <w:t>. Asimismo, destacó que h</w:t>
      </w:r>
      <w:r w:rsidR="00A810DE" w:rsidRPr="00D02BFE">
        <w:rPr>
          <w:rFonts w:ascii="Cambria" w:hAnsi="Cambria"/>
          <w:sz w:val="20"/>
          <w:szCs w:val="20"/>
          <w:lang w:val="es-CO"/>
        </w:rPr>
        <w:t>a</w:t>
      </w:r>
      <w:r w:rsidR="009A63DD" w:rsidRPr="00D02BFE">
        <w:rPr>
          <w:rFonts w:ascii="Cambria" w:hAnsi="Cambria"/>
          <w:sz w:val="20"/>
          <w:szCs w:val="20"/>
          <w:lang w:val="es-CO"/>
        </w:rPr>
        <w:t>n sido capacitados 37.062 policías</w:t>
      </w:r>
      <w:r w:rsidR="002A321B" w:rsidRPr="00D02BFE">
        <w:rPr>
          <w:rFonts w:ascii="Cambria" w:hAnsi="Cambria"/>
          <w:sz w:val="20"/>
          <w:szCs w:val="20"/>
          <w:lang w:val="es-CO"/>
        </w:rPr>
        <w:t xml:space="preserve"> </w:t>
      </w:r>
      <w:r w:rsidR="008E4AC6" w:rsidRPr="00D02BFE">
        <w:rPr>
          <w:rFonts w:ascii="Cambria" w:hAnsi="Cambria"/>
          <w:sz w:val="20"/>
          <w:szCs w:val="20"/>
          <w:lang w:val="es-CO"/>
        </w:rPr>
        <w:t>en derechos humanos</w:t>
      </w:r>
      <w:r w:rsidR="00A810DE" w:rsidRPr="00D02BFE">
        <w:rPr>
          <w:rFonts w:ascii="Cambria" w:hAnsi="Cambria"/>
          <w:sz w:val="20"/>
          <w:szCs w:val="20"/>
          <w:lang w:val="es-CO"/>
        </w:rPr>
        <w:t xml:space="preserve">, e </w:t>
      </w:r>
      <w:r w:rsidR="002A321B" w:rsidRPr="00D02BFE">
        <w:rPr>
          <w:rFonts w:ascii="Cambria" w:hAnsi="Cambria"/>
          <w:sz w:val="20"/>
          <w:szCs w:val="20"/>
          <w:lang w:val="es-CO"/>
        </w:rPr>
        <w:t xml:space="preserve">informó </w:t>
      </w:r>
      <w:r w:rsidR="00A810DE" w:rsidRPr="00D02BFE">
        <w:rPr>
          <w:rFonts w:ascii="Cambria" w:hAnsi="Cambria"/>
          <w:sz w:val="20"/>
          <w:szCs w:val="20"/>
          <w:lang w:val="es-CO"/>
        </w:rPr>
        <w:t xml:space="preserve">sobre </w:t>
      </w:r>
      <w:r w:rsidR="002A321B" w:rsidRPr="00D02BFE">
        <w:rPr>
          <w:rFonts w:ascii="Cambria" w:hAnsi="Cambria"/>
          <w:sz w:val="20"/>
          <w:szCs w:val="20"/>
          <w:lang w:val="es-CO"/>
        </w:rPr>
        <w:t xml:space="preserve">la Ruta Única de Actuación Territorial </w:t>
      </w:r>
      <w:r w:rsidR="00650812" w:rsidRPr="00D02BFE">
        <w:rPr>
          <w:rFonts w:ascii="Cambria" w:hAnsi="Cambria"/>
          <w:sz w:val="20"/>
          <w:szCs w:val="20"/>
          <w:lang w:val="es-CO"/>
        </w:rPr>
        <w:t>en 11 departamentos</w:t>
      </w:r>
      <w:r w:rsidR="002A321B" w:rsidRPr="00D02BFE">
        <w:rPr>
          <w:rFonts w:ascii="Cambria" w:hAnsi="Cambria"/>
          <w:sz w:val="20"/>
          <w:szCs w:val="20"/>
          <w:lang w:val="es-CO"/>
        </w:rPr>
        <w:t xml:space="preserve">, en el marco del PAO. </w:t>
      </w:r>
      <w:r w:rsidR="009A63DD" w:rsidRPr="00D02BFE">
        <w:rPr>
          <w:rFonts w:ascii="Cambria" w:hAnsi="Cambria"/>
          <w:sz w:val="20"/>
          <w:szCs w:val="20"/>
          <w:lang w:val="es-CO"/>
        </w:rPr>
        <w:t>T</w:t>
      </w:r>
      <w:r w:rsidR="00650812" w:rsidRPr="00D02BFE">
        <w:rPr>
          <w:rFonts w:ascii="Cambria" w:hAnsi="Cambria"/>
          <w:sz w:val="20"/>
          <w:szCs w:val="20"/>
          <w:lang w:val="es-CO"/>
        </w:rPr>
        <w:t xml:space="preserve">ambién </w:t>
      </w:r>
      <w:r w:rsidR="00A810DE" w:rsidRPr="00D02BFE">
        <w:rPr>
          <w:rFonts w:ascii="Cambria" w:hAnsi="Cambria"/>
          <w:sz w:val="20"/>
          <w:szCs w:val="20"/>
          <w:lang w:val="es-CO"/>
        </w:rPr>
        <w:t>reportó e</w:t>
      </w:r>
      <w:r w:rsidR="002A321B" w:rsidRPr="00D02BFE">
        <w:rPr>
          <w:rFonts w:ascii="Cambria" w:hAnsi="Cambria"/>
          <w:sz w:val="20"/>
          <w:szCs w:val="20"/>
          <w:lang w:val="es-CO"/>
        </w:rPr>
        <w:t>l Programa Integral de Garantías para las mujeres Lideresas y Defensoras de Derechos Humanos.</w:t>
      </w:r>
    </w:p>
    <w:p w14:paraId="56D78B5E" w14:textId="77777777" w:rsidR="002A321B" w:rsidRPr="00D02BFE" w:rsidRDefault="002A321B" w:rsidP="002A321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360"/>
        <w:contextualSpacing/>
        <w:jc w:val="both"/>
        <w:rPr>
          <w:rFonts w:ascii="Cambria" w:hAnsi="Cambria"/>
          <w:sz w:val="20"/>
          <w:szCs w:val="20"/>
          <w:lang w:val="es-CO"/>
        </w:rPr>
      </w:pPr>
    </w:p>
    <w:p w14:paraId="260A89F7" w14:textId="77777777" w:rsidR="002A321B" w:rsidRPr="00D02BFE" w:rsidRDefault="002A321B" w:rsidP="002A321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Cambria" w:hAnsi="Cambria"/>
          <w:sz w:val="20"/>
          <w:szCs w:val="20"/>
          <w:lang w:val="es-CO"/>
        </w:rPr>
      </w:pPr>
      <w:r w:rsidRPr="00D02BFE">
        <w:rPr>
          <w:rFonts w:ascii="Cambria" w:hAnsi="Cambria"/>
          <w:sz w:val="20"/>
          <w:szCs w:val="20"/>
          <w:lang w:val="es-CO"/>
        </w:rPr>
        <w:t>Respecto a</w:t>
      </w:r>
      <w:r w:rsidR="00B75829" w:rsidRPr="00D02BFE">
        <w:rPr>
          <w:rFonts w:ascii="Cambria" w:hAnsi="Cambria"/>
          <w:sz w:val="20"/>
          <w:szCs w:val="20"/>
          <w:lang w:val="es-CO"/>
        </w:rPr>
        <w:t xml:space="preserve"> </w:t>
      </w:r>
      <w:r w:rsidR="00B65A2B" w:rsidRPr="00D02BFE">
        <w:rPr>
          <w:rFonts w:ascii="Cambria" w:hAnsi="Cambria"/>
          <w:sz w:val="20"/>
          <w:szCs w:val="20"/>
          <w:lang w:val="es-CO"/>
        </w:rPr>
        <w:t>medidas</w:t>
      </w:r>
      <w:r w:rsidRPr="00D02BFE">
        <w:rPr>
          <w:rFonts w:ascii="Cambria" w:hAnsi="Cambria"/>
          <w:sz w:val="20"/>
          <w:szCs w:val="20"/>
          <w:lang w:val="es-CO"/>
        </w:rPr>
        <w:t xml:space="preserve"> </w:t>
      </w:r>
      <w:r w:rsidR="00AE2C2F" w:rsidRPr="00D02BFE">
        <w:rPr>
          <w:rFonts w:ascii="Cambria" w:hAnsi="Cambria"/>
          <w:sz w:val="20"/>
          <w:szCs w:val="20"/>
          <w:lang w:val="es-CO"/>
        </w:rPr>
        <w:t>de</w:t>
      </w:r>
      <w:r w:rsidRPr="00D02BFE">
        <w:rPr>
          <w:rFonts w:ascii="Cambria" w:hAnsi="Cambria"/>
          <w:sz w:val="20"/>
          <w:szCs w:val="20"/>
          <w:lang w:val="es-CO"/>
        </w:rPr>
        <w:t xml:space="preserve"> prevención, el Estado informó </w:t>
      </w:r>
      <w:r w:rsidR="00AE2C2F" w:rsidRPr="00D02BFE">
        <w:rPr>
          <w:rFonts w:ascii="Cambria" w:hAnsi="Cambria"/>
          <w:sz w:val="20"/>
          <w:szCs w:val="20"/>
          <w:lang w:val="es-CO"/>
        </w:rPr>
        <w:t xml:space="preserve">se refirió a medidas adoptadas desde </w:t>
      </w:r>
      <w:r w:rsidR="008E4AC6" w:rsidRPr="00D02BFE">
        <w:rPr>
          <w:rFonts w:ascii="Cambria" w:hAnsi="Cambria"/>
          <w:sz w:val="20"/>
          <w:szCs w:val="20"/>
          <w:lang w:val="es-CO"/>
        </w:rPr>
        <w:t>1997</w:t>
      </w:r>
      <w:r w:rsidR="00B65A2B" w:rsidRPr="00D02BFE">
        <w:rPr>
          <w:rFonts w:ascii="Cambria" w:hAnsi="Cambria"/>
          <w:sz w:val="20"/>
          <w:szCs w:val="20"/>
          <w:lang w:val="es-CO"/>
        </w:rPr>
        <w:t>.</w:t>
      </w:r>
      <w:r w:rsidRPr="00D02BFE">
        <w:rPr>
          <w:rFonts w:ascii="Cambria" w:hAnsi="Cambria"/>
          <w:sz w:val="20"/>
          <w:szCs w:val="20"/>
          <w:lang w:val="es-CO"/>
        </w:rPr>
        <w:t xml:space="preserve"> </w:t>
      </w:r>
      <w:r w:rsidR="00AE2C2F" w:rsidRPr="00D02BFE">
        <w:rPr>
          <w:rFonts w:ascii="Cambria" w:hAnsi="Cambria"/>
          <w:sz w:val="20"/>
          <w:szCs w:val="20"/>
          <w:lang w:val="es-CO"/>
        </w:rPr>
        <w:t>i</w:t>
      </w:r>
      <w:r w:rsidRPr="00D02BFE">
        <w:rPr>
          <w:rFonts w:ascii="Cambria" w:hAnsi="Cambria"/>
          <w:sz w:val="20"/>
          <w:szCs w:val="20"/>
          <w:lang w:val="es-CO"/>
        </w:rPr>
        <w:t xml:space="preserve">nformó que, entre 2004 y 2011, el Proyecto de Atención a Comunidades en Riesgo buscó elevar la protección de comunidades de zonas rurales aisladas. Asimismo, destacó </w:t>
      </w:r>
      <w:r w:rsidR="009A63DD" w:rsidRPr="00D02BFE">
        <w:rPr>
          <w:rFonts w:ascii="Cambria" w:hAnsi="Cambria"/>
          <w:sz w:val="20"/>
          <w:szCs w:val="20"/>
          <w:lang w:val="es-CO"/>
        </w:rPr>
        <w:t>el</w:t>
      </w:r>
      <w:r w:rsidR="00C8540A" w:rsidRPr="00D02BFE">
        <w:rPr>
          <w:rFonts w:ascii="Cambria" w:hAnsi="Cambria"/>
          <w:sz w:val="20"/>
          <w:szCs w:val="20"/>
          <w:lang w:val="es-CO"/>
        </w:rPr>
        <w:t xml:space="preserve"> fortalecimiento d</w:t>
      </w:r>
      <w:r w:rsidRPr="00D02BFE">
        <w:rPr>
          <w:rFonts w:ascii="Cambria" w:hAnsi="Cambria"/>
          <w:sz w:val="20"/>
          <w:szCs w:val="20"/>
          <w:lang w:val="es-CO"/>
        </w:rPr>
        <w:t>el Sistema de Alertas Tempranas (SAT) en 2001; la Comisión Intersectorial de Alertas Tempranas (CIAT) en 2002</w:t>
      </w:r>
      <w:r w:rsidR="00E236A9" w:rsidRPr="00D02BFE">
        <w:rPr>
          <w:rFonts w:ascii="Cambria" w:hAnsi="Cambria"/>
          <w:sz w:val="20"/>
          <w:szCs w:val="20"/>
          <w:lang w:val="es-CO"/>
        </w:rPr>
        <w:t>,</w:t>
      </w:r>
      <w:r w:rsidRPr="00D02BFE">
        <w:rPr>
          <w:rFonts w:ascii="Cambria" w:hAnsi="Cambria"/>
          <w:sz w:val="20"/>
          <w:szCs w:val="20"/>
          <w:lang w:val="es-CO"/>
        </w:rPr>
        <w:t xml:space="preserve"> </w:t>
      </w:r>
      <w:r w:rsidR="00E236A9" w:rsidRPr="00D02BFE">
        <w:rPr>
          <w:rFonts w:ascii="Cambria" w:hAnsi="Cambria"/>
          <w:sz w:val="20"/>
          <w:szCs w:val="20"/>
          <w:lang w:val="es-CO"/>
        </w:rPr>
        <w:t xml:space="preserve">y </w:t>
      </w:r>
      <w:r w:rsidRPr="00D02BFE">
        <w:rPr>
          <w:rFonts w:ascii="Cambria" w:hAnsi="Cambria"/>
          <w:sz w:val="20"/>
          <w:szCs w:val="20"/>
          <w:lang w:val="es-CO"/>
        </w:rPr>
        <w:t xml:space="preserve">la Defensoría </w:t>
      </w:r>
      <w:proofErr w:type="gramStart"/>
      <w:r w:rsidRPr="00D02BFE">
        <w:rPr>
          <w:rFonts w:ascii="Cambria" w:hAnsi="Cambria"/>
          <w:sz w:val="20"/>
          <w:szCs w:val="20"/>
          <w:lang w:val="es-CO"/>
        </w:rPr>
        <w:t>Delegada</w:t>
      </w:r>
      <w:proofErr w:type="gramEnd"/>
      <w:r w:rsidRPr="00D02BFE">
        <w:rPr>
          <w:rFonts w:ascii="Cambria" w:hAnsi="Cambria"/>
          <w:sz w:val="20"/>
          <w:szCs w:val="20"/>
          <w:lang w:val="es-CO"/>
        </w:rPr>
        <w:t xml:space="preserve"> para la Evaluación de Riesgos de la Población Civil como Consecuencia del Conflicto Armado en 2003, para dirigir el SAT. </w:t>
      </w:r>
      <w:r w:rsidR="008E4AC6" w:rsidRPr="00D02BFE">
        <w:rPr>
          <w:rFonts w:ascii="Cambria" w:hAnsi="Cambria"/>
          <w:sz w:val="20"/>
          <w:szCs w:val="20"/>
          <w:lang w:val="es-CO"/>
        </w:rPr>
        <w:t>M</w:t>
      </w:r>
      <w:r w:rsidRPr="00D02BFE">
        <w:rPr>
          <w:rFonts w:ascii="Cambria" w:hAnsi="Cambria"/>
          <w:sz w:val="20"/>
          <w:szCs w:val="20"/>
          <w:lang w:val="es-CO"/>
        </w:rPr>
        <w:t>anifestó que</w:t>
      </w:r>
      <w:r w:rsidR="00E236A9" w:rsidRPr="00D02BFE">
        <w:rPr>
          <w:rFonts w:ascii="Cambria" w:hAnsi="Cambria"/>
          <w:sz w:val="20"/>
          <w:szCs w:val="20"/>
          <w:lang w:val="es-CO"/>
        </w:rPr>
        <w:t xml:space="preserve"> </w:t>
      </w:r>
      <w:r w:rsidRPr="00D02BFE">
        <w:rPr>
          <w:rFonts w:ascii="Cambria" w:hAnsi="Cambria"/>
          <w:sz w:val="20"/>
          <w:szCs w:val="20"/>
          <w:lang w:val="es-CO"/>
        </w:rPr>
        <w:t xml:space="preserve">se </w:t>
      </w:r>
      <w:r w:rsidR="008E4AC6" w:rsidRPr="00D02BFE">
        <w:rPr>
          <w:rFonts w:ascii="Cambria" w:hAnsi="Cambria"/>
          <w:sz w:val="20"/>
          <w:szCs w:val="20"/>
          <w:lang w:val="es-CO"/>
        </w:rPr>
        <w:t>han promovido</w:t>
      </w:r>
      <w:r w:rsidRPr="00D02BFE">
        <w:rPr>
          <w:rFonts w:ascii="Cambria" w:hAnsi="Cambria"/>
          <w:sz w:val="20"/>
          <w:szCs w:val="20"/>
          <w:lang w:val="es-CO"/>
        </w:rPr>
        <w:t xml:space="preserve"> estrategias de descentralización de la ejecución de la política de DDHH y del proyecto de at</w:t>
      </w:r>
      <w:r w:rsidR="00C8540A" w:rsidRPr="00D02BFE">
        <w:rPr>
          <w:rFonts w:ascii="Cambria" w:hAnsi="Cambria"/>
          <w:sz w:val="20"/>
          <w:szCs w:val="20"/>
          <w:lang w:val="es-CO"/>
        </w:rPr>
        <w:t>ención a comunidades en riesgo</w:t>
      </w:r>
      <w:r w:rsidRPr="00D02BFE">
        <w:rPr>
          <w:rFonts w:ascii="Cambria" w:hAnsi="Cambria"/>
          <w:sz w:val="20"/>
          <w:szCs w:val="20"/>
          <w:lang w:val="es-CO"/>
        </w:rPr>
        <w:t xml:space="preserve">. Asimismo, </w:t>
      </w:r>
      <w:r w:rsidR="00AE2C2F" w:rsidRPr="00D02BFE">
        <w:rPr>
          <w:rFonts w:ascii="Cambria" w:hAnsi="Cambria"/>
          <w:sz w:val="20"/>
          <w:szCs w:val="20"/>
          <w:lang w:val="es-CO"/>
        </w:rPr>
        <w:t>se refirió a</w:t>
      </w:r>
      <w:r w:rsidRPr="00D02BFE">
        <w:rPr>
          <w:rFonts w:ascii="Cambria" w:hAnsi="Cambria"/>
          <w:sz w:val="20"/>
          <w:szCs w:val="20"/>
          <w:lang w:val="es-CO"/>
        </w:rPr>
        <w:t xml:space="preserve"> acciones de prevención </w:t>
      </w:r>
      <w:r w:rsidR="00C8540A" w:rsidRPr="00D02BFE">
        <w:rPr>
          <w:rFonts w:ascii="Cambria" w:hAnsi="Cambria"/>
          <w:sz w:val="20"/>
          <w:szCs w:val="20"/>
          <w:lang w:val="es-CO"/>
        </w:rPr>
        <w:t>complementarias como</w:t>
      </w:r>
      <w:r w:rsidRPr="00D02BFE">
        <w:rPr>
          <w:rFonts w:ascii="Cambria" w:hAnsi="Cambria"/>
          <w:sz w:val="20"/>
          <w:szCs w:val="20"/>
          <w:lang w:val="es-CO"/>
        </w:rPr>
        <w:t xml:space="preserve"> la Política de prevención de violaciones a los derechos a </w:t>
      </w:r>
      <w:r w:rsidRPr="00D02BFE">
        <w:rPr>
          <w:rFonts w:ascii="Cambria" w:hAnsi="Cambria"/>
          <w:sz w:val="20"/>
          <w:szCs w:val="20"/>
          <w:lang w:val="es-CO"/>
        </w:rPr>
        <w:lastRenderedPageBreak/>
        <w:t xml:space="preserve">la vida, la libertad, integridad y seguridad de personas, grupos y comunidades. </w:t>
      </w:r>
      <w:r w:rsidR="00C8540A" w:rsidRPr="00D02BFE">
        <w:rPr>
          <w:rFonts w:ascii="Cambria" w:hAnsi="Cambria"/>
          <w:sz w:val="20"/>
          <w:szCs w:val="20"/>
          <w:lang w:val="es-CO"/>
        </w:rPr>
        <w:t>Además,</w:t>
      </w:r>
      <w:r w:rsidRPr="00D02BFE">
        <w:rPr>
          <w:rFonts w:ascii="Cambria" w:hAnsi="Cambria"/>
          <w:sz w:val="20"/>
          <w:szCs w:val="20"/>
          <w:lang w:val="es-CO"/>
        </w:rPr>
        <w:t xml:space="preserve"> señaló que, desde 2017, se adoptó el Programa Integral de Seguridad y Protección para </w:t>
      </w:r>
      <w:r w:rsidR="00D93D1B" w:rsidRPr="00D02BFE">
        <w:rPr>
          <w:rFonts w:ascii="Cambria" w:hAnsi="Cambria"/>
          <w:sz w:val="20"/>
          <w:szCs w:val="20"/>
          <w:lang w:val="es-CO"/>
        </w:rPr>
        <w:t>C</w:t>
      </w:r>
      <w:r w:rsidRPr="00D02BFE">
        <w:rPr>
          <w:rFonts w:ascii="Cambria" w:hAnsi="Cambria"/>
          <w:sz w:val="20"/>
          <w:szCs w:val="20"/>
          <w:lang w:val="es-CO"/>
        </w:rPr>
        <w:t>omunidades y Organizaciones en los Territorios y la Comisión Nacional de Garantías de Seguridad (la CNGS), con base en el Acuerdo Final para la Terminación del Conflicto y Construcción de una Paz Estable y Duradera (Acuerdo Final) y</w:t>
      </w:r>
      <w:r w:rsidR="00D93D1B" w:rsidRPr="00D02BFE">
        <w:rPr>
          <w:rFonts w:ascii="Cambria" w:hAnsi="Cambria"/>
          <w:sz w:val="20"/>
          <w:szCs w:val="20"/>
          <w:lang w:val="es-CO"/>
        </w:rPr>
        <w:t xml:space="preserve"> que</w:t>
      </w:r>
      <w:r w:rsidRPr="00D02BFE">
        <w:rPr>
          <w:rFonts w:ascii="Cambria" w:hAnsi="Cambria"/>
          <w:sz w:val="20"/>
          <w:szCs w:val="20"/>
          <w:lang w:val="es-CO"/>
        </w:rPr>
        <w:t xml:space="preserve"> se crearon instituciones como el Cuerpo Élite de la Policía Nacional, la Subdirección Especializada de la UNP y la Unidad Especial de Investigación para el Desmantelamiento de las Organizaciones y Conductas Criminales de la FGN.</w:t>
      </w:r>
    </w:p>
    <w:p w14:paraId="7D5B8305" w14:textId="77777777" w:rsidR="002A321B" w:rsidRPr="00D02BFE" w:rsidRDefault="002A321B" w:rsidP="002A321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360"/>
        <w:contextualSpacing/>
        <w:jc w:val="both"/>
        <w:rPr>
          <w:rFonts w:ascii="Cambria" w:hAnsi="Cambria"/>
          <w:sz w:val="20"/>
          <w:szCs w:val="20"/>
          <w:lang w:val="es-CO"/>
        </w:rPr>
      </w:pPr>
    </w:p>
    <w:p w14:paraId="3ABE6328" w14:textId="77777777" w:rsidR="009A63DD" w:rsidRPr="00D02BFE" w:rsidRDefault="002A321B" w:rsidP="00795DD8">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Cambria" w:hAnsi="Cambria"/>
          <w:sz w:val="20"/>
          <w:szCs w:val="20"/>
          <w:lang w:val="es-CO"/>
        </w:rPr>
      </w:pPr>
      <w:r w:rsidRPr="00D02BFE">
        <w:rPr>
          <w:rFonts w:ascii="Cambria" w:hAnsi="Cambria"/>
          <w:sz w:val="20"/>
          <w:szCs w:val="20"/>
          <w:lang w:val="es-CO"/>
        </w:rPr>
        <w:t>Respecto a</w:t>
      </w:r>
      <w:r w:rsidR="001067B2" w:rsidRPr="00D02BFE">
        <w:rPr>
          <w:rFonts w:ascii="Cambria" w:hAnsi="Cambria"/>
          <w:sz w:val="20"/>
          <w:szCs w:val="20"/>
          <w:lang w:val="es-CO"/>
        </w:rPr>
        <w:t xml:space="preserve"> </w:t>
      </w:r>
      <w:r w:rsidR="00D93D1B" w:rsidRPr="00D02BFE">
        <w:rPr>
          <w:rFonts w:ascii="Cambria" w:hAnsi="Cambria"/>
          <w:sz w:val="20"/>
          <w:szCs w:val="20"/>
          <w:lang w:val="es-CO"/>
        </w:rPr>
        <w:t>medidas de</w:t>
      </w:r>
      <w:r w:rsidRPr="00D02BFE">
        <w:rPr>
          <w:rFonts w:ascii="Cambria" w:hAnsi="Cambria"/>
          <w:sz w:val="20"/>
          <w:szCs w:val="20"/>
          <w:lang w:val="es-CO"/>
        </w:rPr>
        <w:t xml:space="preserve"> generación de condiciones para la labor de defensa de DDHH, el Estado resaltó la</w:t>
      </w:r>
      <w:r w:rsidR="00AE2C2F" w:rsidRPr="00D02BFE">
        <w:rPr>
          <w:rFonts w:ascii="Cambria" w:hAnsi="Cambria"/>
          <w:sz w:val="20"/>
          <w:szCs w:val="20"/>
          <w:lang w:val="es-CO"/>
        </w:rPr>
        <w:t xml:space="preserve"> creación de órganos como</w:t>
      </w:r>
      <w:r w:rsidRPr="00D02BFE">
        <w:rPr>
          <w:rFonts w:ascii="Cambria" w:hAnsi="Cambria"/>
          <w:sz w:val="20"/>
          <w:szCs w:val="20"/>
          <w:lang w:val="es-CO"/>
        </w:rPr>
        <w:t xml:space="preserve"> la Comisión Consultiva de Alto Nivel (para comunidades afrocolombianas), el Comité Nacional de Derechos Humanos de los Pueblos Indígenas, la Comisión Interinstitucional para la Promoción y Protección de los Derechos Humanos de los Trabajadores, el Comité de Reglamentación y Evaluación de Riesgo y la Mesa de seguimiento a las recomendaciones anuales de la </w:t>
      </w:r>
      <w:r w:rsidR="00C8540A" w:rsidRPr="00D02BFE">
        <w:rPr>
          <w:rFonts w:ascii="Cambria" w:hAnsi="Cambria"/>
          <w:sz w:val="20"/>
          <w:szCs w:val="20"/>
          <w:lang w:val="es-CO"/>
        </w:rPr>
        <w:t>OACNUDH</w:t>
      </w:r>
      <w:r w:rsidRPr="00D02BFE">
        <w:rPr>
          <w:rFonts w:ascii="Cambria" w:hAnsi="Cambria"/>
          <w:sz w:val="20"/>
          <w:szCs w:val="20"/>
          <w:lang w:val="es-CO"/>
        </w:rPr>
        <w:t xml:space="preserve">. </w:t>
      </w:r>
      <w:r w:rsidR="00AE2C2F" w:rsidRPr="00D02BFE">
        <w:rPr>
          <w:rFonts w:ascii="Cambria" w:hAnsi="Cambria"/>
          <w:sz w:val="20"/>
          <w:szCs w:val="20"/>
          <w:lang w:val="es-CO"/>
        </w:rPr>
        <w:t xml:space="preserve">También se refirió a algunas directivas que han instado a los servidores públicos a abstenerse de estigmatizar la labor de defensa de derechos humanos. </w:t>
      </w:r>
      <w:r w:rsidR="00C8540A" w:rsidRPr="00D02BFE">
        <w:rPr>
          <w:rFonts w:ascii="Cambria" w:hAnsi="Cambria"/>
          <w:sz w:val="20"/>
          <w:szCs w:val="20"/>
          <w:lang w:val="es-CO"/>
        </w:rPr>
        <w:t>I</w:t>
      </w:r>
      <w:r w:rsidRPr="00D02BFE">
        <w:rPr>
          <w:rFonts w:ascii="Cambria" w:hAnsi="Cambria"/>
          <w:sz w:val="20"/>
          <w:szCs w:val="20"/>
          <w:lang w:val="es-CO"/>
        </w:rPr>
        <w:t>ndicó que, en 2008</w:t>
      </w:r>
      <w:r w:rsidR="008E4AC6" w:rsidRPr="00D02BFE">
        <w:rPr>
          <w:rFonts w:ascii="Cambria" w:hAnsi="Cambria"/>
          <w:sz w:val="20"/>
          <w:szCs w:val="20"/>
          <w:lang w:val="es-CO"/>
        </w:rPr>
        <w:t>,</w:t>
      </w:r>
      <w:r w:rsidRPr="00D02BFE">
        <w:rPr>
          <w:rFonts w:ascii="Cambria" w:hAnsi="Cambria"/>
          <w:sz w:val="20"/>
          <w:szCs w:val="20"/>
          <w:lang w:val="es-CO"/>
        </w:rPr>
        <w:t xml:space="preserve"> el Ministerio de Defensa Nacional estableció la </w:t>
      </w:r>
      <w:r w:rsidR="00650812" w:rsidRPr="00D02BFE">
        <w:rPr>
          <w:rFonts w:ascii="Cambria" w:hAnsi="Cambria"/>
          <w:sz w:val="20"/>
          <w:szCs w:val="20"/>
          <w:lang w:val="es-CO"/>
        </w:rPr>
        <w:t>P</w:t>
      </w:r>
      <w:r w:rsidRPr="00D02BFE">
        <w:rPr>
          <w:rFonts w:ascii="Cambria" w:hAnsi="Cambria"/>
          <w:sz w:val="20"/>
          <w:szCs w:val="20"/>
          <w:lang w:val="es-CO"/>
        </w:rPr>
        <w:t xml:space="preserve">olítica de </w:t>
      </w:r>
      <w:r w:rsidR="008E4AC6" w:rsidRPr="00D02BFE">
        <w:rPr>
          <w:rFonts w:ascii="Cambria" w:hAnsi="Cambria"/>
          <w:sz w:val="20"/>
          <w:szCs w:val="20"/>
          <w:lang w:val="es-CO"/>
        </w:rPr>
        <w:t>DDHH</w:t>
      </w:r>
      <w:r w:rsidRPr="00D02BFE">
        <w:rPr>
          <w:rFonts w:ascii="Cambria" w:hAnsi="Cambria"/>
          <w:sz w:val="20"/>
          <w:szCs w:val="20"/>
          <w:lang w:val="es-CO"/>
        </w:rPr>
        <w:t xml:space="preserve"> y </w:t>
      </w:r>
      <w:r w:rsidR="008E4AC6" w:rsidRPr="00D02BFE">
        <w:rPr>
          <w:rFonts w:ascii="Cambria" w:hAnsi="Cambria"/>
          <w:sz w:val="20"/>
          <w:szCs w:val="20"/>
          <w:lang w:val="es-CO"/>
        </w:rPr>
        <w:t>DIH</w:t>
      </w:r>
      <w:r w:rsidRPr="00D02BFE">
        <w:rPr>
          <w:rFonts w:ascii="Cambria" w:hAnsi="Cambria"/>
          <w:sz w:val="20"/>
          <w:szCs w:val="20"/>
          <w:lang w:val="es-CO"/>
        </w:rPr>
        <w:t xml:space="preserve"> dirigida a la Fuerza Pública</w:t>
      </w:r>
      <w:r w:rsidR="00C8540A" w:rsidRPr="00D02BFE">
        <w:rPr>
          <w:rFonts w:ascii="Cambria" w:hAnsi="Cambria"/>
          <w:sz w:val="20"/>
          <w:szCs w:val="20"/>
          <w:lang w:val="es-CO"/>
        </w:rPr>
        <w:t xml:space="preserve"> e</w:t>
      </w:r>
      <w:r w:rsidRPr="00D02BFE">
        <w:rPr>
          <w:rFonts w:ascii="Cambria" w:hAnsi="Cambria"/>
          <w:sz w:val="20"/>
          <w:szCs w:val="20"/>
          <w:lang w:val="es-CO"/>
        </w:rPr>
        <w:t xml:space="preserve"> indicó que se formuló el Plan Nacional de Acción de DDHH y DIH (PNA) por el Gobierno y organizaciones defensoras de DDHH de la sociedad civil, con el acompañamiento de la comunidad internacional. Informó que, entre abril y mayo de 2009, </w:t>
      </w:r>
      <w:r w:rsidR="00650812" w:rsidRPr="00D02BFE">
        <w:rPr>
          <w:rFonts w:ascii="Cambria" w:hAnsi="Cambria"/>
          <w:sz w:val="20"/>
          <w:szCs w:val="20"/>
          <w:lang w:val="es-CO"/>
        </w:rPr>
        <w:t>se creó la</w:t>
      </w:r>
      <w:r w:rsidRPr="00D02BFE">
        <w:rPr>
          <w:rFonts w:ascii="Cambria" w:hAnsi="Cambria"/>
          <w:sz w:val="20"/>
          <w:szCs w:val="20"/>
          <w:lang w:val="es-CO"/>
        </w:rPr>
        <w:t xml:space="preserve"> Mesa Nacional de Garantías (MNG), junto con mesas regionales en </w:t>
      </w:r>
      <w:r w:rsidR="00795DD8" w:rsidRPr="00D02BFE">
        <w:rPr>
          <w:rFonts w:ascii="Cambria" w:hAnsi="Cambria"/>
          <w:sz w:val="20"/>
          <w:szCs w:val="20"/>
          <w:lang w:val="es-CO"/>
        </w:rPr>
        <w:t>14</w:t>
      </w:r>
      <w:r w:rsidRPr="00D02BFE">
        <w:rPr>
          <w:rFonts w:ascii="Cambria" w:hAnsi="Cambria"/>
          <w:sz w:val="20"/>
          <w:szCs w:val="20"/>
          <w:lang w:val="es-CO"/>
        </w:rPr>
        <w:t xml:space="preserve"> departamentos</w:t>
      </w:r>
      <w:r w:rsidR="00795DD8" w:rsidRPr="00D02BFE">
        <w:rPr>
          <w:rFonts w:ascii="Cambria" w:hAnsi="Cambria"/>
          <w:sz w:val="20"/>
          <w:szCs w:val="20"/>
          <w:lang w:val="es-CO"/>
        </w:rPr>
        <w:t>.</w:t>
      </w:r>
      <w:r w:rsidRPr="00D02BFE">
        <w:rPr>
          <w:rFonts w:ascii="Cambria" w:hAnsi="Cambria"/>
          <w:sz w:val="20"/>
          <w:szCs w:val="20"/>
          <w:lang w:val="es-CO"/>
        </w:rPr>
        <w:t xml:space="preserve"> Asimismo, indicó que la MNG, aún vigente, discute medidas de protección, prevención e investigación para brindar garantías a personas y organizaciones defensoras de DDHH. </w:t>
      </w:r>
    </w:p>
    <w:p w14:paraId="34EED79D" w14:textId="77777777" w:rsidR="009A63DD" w:rsidRPr="00D02BFE" w:rsidRDefault="009A63DD" w:rsidP="009A63D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360"/>
        <w:contextualSpacing/>
        <w:jc w:val="both"/>
        <w:rPr>
          <w:rFonts w:ascii="Cambria" w:hAnsi="Cambria"/>
          <w:sz w:val="20"/>
          <w:szCs w:val="20"/>
          <w:lang w:val="es-CO"/>
        </w:rPr>
      </w:pPr>
    </w:p>
    <w:p w14:paraId="49D272F5" w14:textId="77777777" w:rsidR="002A321B" w:rsidRPr="00D02BFE" w:rsidRDefault="002A321B" w:rsidP="009A63D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360"/>
        <w:contextualSpacing/>
        <w:jc w:val="both"/>
        <w:rPr>
          <w:rFonts w:ascii="Cambria" w:hAnsi="Cambria"/>
          <w:sz w:val="20"/>
          <w:szCs w:val="20"/>
          <w:lang w:val="es-CO"/>
        </w:rPr>
      </w:pPr>
      <w:r w:rsidRPr="00D02BFE">
        <w:rPr>
          <w:rFonts w:ascii="Cambria" w:hAnsi="Cambria"/>
          <w:sz w:val="20"/>
          <w:szCs w:val="20"/>
          <w:lang w:val="es-CO"/>
        </w:rPr>
        <w:t>Además,</w:t>
      </w:r>
      <w:r w:rsidR="009A63DD" w:rsidRPr="00D02BFE">
        <w:rPr>
          <w:rFonts w:ascii="Cambria" w:hAnsi="Cambria"/>
          <w:sz w:val="20"/>
          <w:szCs w:val="20"/>
          <w:lang w:val="es-CO"/>
        </w:rPr>
        <w:t xml:space="preserve"> el Estado</w:t>
      </w:r>
      <w:r w:rsidRPr="00D02BFE">
        <w:rPr>
          <w:rFonts w:ascii="Cambria" w:hAnsi="Cambria"/>
          <w:sz w:val="20"/>
          <w:szCs w:val="20"/>
          <w:lang w:val="es-CO"/>
        </w:rPr>
        <w:t xml:space="preserve"> </w:t>
      </w:r>
      <w:r w:rsidR="008E4AC6" w:rsidRPr="00D02BFE">
        <w:rPr>
          <w:rFonts w:ascii="Cambria" w:hAnsi="Cambria"/>
          <w:sz w:val="20"/>
          <w:szCs w:val="20"/>
          <w:lang w:val="es-CO"/>
        </w:rPr>
        <w:t>mencionó que</w:t>
      </w:r>
      <w:r w:rsidRPr="00D02BFE">
        <w:rPr>
          <w:rFonts w:ascii="Cambria" w:hAnsi="Cambria"/>
          <w:sz w:val="20"/>
          <w:szCs w:val="20"/>
          <w:lang w:val="es-CO"/>
        </w:rPr>
        <w:t xml:space="preserve"> existen al menos diez espacios</w:t>
      </w:r>
      <w:r w:rsidR="00AE2C2F" w:rsidRPr="00D02BFE">
        <w:rPr>
          <w:rFonts w:ascii="Cambria" w:hAnsi="Cambria"/>
          <w:sz w:val="20"/>
          <w:szCs w:val="20"/>
          <w:lang w:val="es-CO"/>
        </w:rPr>
        <w:t xml:space="preserve"> </w:t>
      </w:r>
      <w:r w:rsidR="009A63DD" w:rsidRPr="00D02BFE">
        <w:rPr>
          <w:rFonts w:ascii="Cambria" w:hAnsi="Cambria"/>
          <w:sz w:val="20"/>
          <w:szCs w:val="20"/>
          <w:lang w:val="es-CO"/>
        </w:rPr>
        <w:t>de participación de personas defensoras de derechos humanos</w:t>
      </w:r>
      <w:r w:rsidRPr="00D02BFE">
        <w:rPr>
          <w:rFonts w:ascii="Cambria" w:hAnsi="Cambria"/>
          <w:sz w:val="20"/>
          <w:szCs w:val="20"/>
          <w:lang w:val="es-CO"/>
        </w:rPr>
        <w:t xml:space="preserve">. </w:t>
      </w:r>
      <w:r w:rsidR="008E4AC6" w:rsidRPr="00D02BFE">
        <w:rPr>
          <w:rFonts w:ascii="Cambria" w:hAnsi="Cambria"/>
          <w:sz w:val="20"/>
          <w:szCs w:val="20"/>
          <w:lang w:val="es-CO"/>
        </w:rPr>
        <w:t>También</w:t>
      </w:r>
      <w:r w:rsidRPr="00D02BFE">
        <w:rPr>
          <w:rFonts w:ascii="Cambria" w:hAnsi="Cambria"/>
          <w:sz w:val="20"/>
          <w:szCs w:val="20"/>
          <w:lang w:val="es-CO"/>
        </w:rPr>
        <w:t xml:space="preserve">, indicó que </w:t>
      </w:r>
      <w:r w:rsidR="001067B2" w:rsidRPr="00D02BFE">
        <w:rPr>
          <w:rFonts w:ascii="Cambria" w:hAnsi="Cambria"/>
          <w:sz w:val="20"/>
          <w:szCs w:val="20"/>
          <w:lang w:val="es-CO"/>
        </w:rPr>
        <w:t xml:space="preserve">la </w:t>
      </w:r>
      <w:r w:rsidRPr="00D02BFE">
        <w:rPr>
          <w:rFonts w:ascii="Cambria" w:hAnsi="Cambria"/>
          <w:sz w:val="20"/>
          <w:szCs w:val="20"/>
          <w:lang w:val="es-CO"/>
        </w:rPr>
        <w:t xml:space="preserve">Política Integral de Derechos Humanos y D.I.H. 2017 – 2020 </w:t>
      </w:r>
      <w:r w:rsidR="001067B2" w:rsidRPr="00D02BFE">
        <w:rPr>
          <w:rFonts w:ascii="Cambria" w:hAnsi="Cambria"/>
          <w:sz w:val="20"/>
          <w:szCs w:val="20"/>
          <w:lang w:val="es-CO"/>
        </w:rPr>
        <w:t xml:space="preserve">del Ministerio de Defensa Nacional </w:t>
      </w:r>
      <w:r w:rsidRPr="00D02BFE">
        <w:rPr>
          <w:rFonts w:ascii="Cambria" w:hAnsi="Cambria"/>
          <w:sz w:val="20"/>
          <w:szCs w:val="20"/>
          <w:lang w:val="es-CO"/>
        </w:rPr>
        <w:t xml:space="preserve">priorizó </w:t>
      </w:r>
      <w:r w:rsidR="001067B2" w:rsidRPr="00D02BFE">
        <w:rPr>
          <w:rFonts w:ascii="Cambria" w:hAnsi="Cambria"/>
          <w:sz w:val="20"/>
          <w:szCs w:val="20"/>
          <w:lang w:val="es-CO"/>
        </w:rPr>
        <w:t>la relación</w:t>
      </w:r>
      <w:r w:rsidRPr="00D02BFE">
        <w:rPr>
          <w:rFonts w:ascii="Cambria" w:hAnsi="Cambria"/>
          <w:sz w:val="20"/>
          <w:szCs w:val="20"/>
          <w:lang w:val="es-CO"/>
        </w:rPr>
        <w:t xml:space="preserve"> entre los grupos de especial protección constitucional y la Fuerza Pública</w:t>
      </w:r>
      <w:r w:rsidR="008E4AC6" w:rsidRPr="00D02BFE">
        <w:rPr>
          <w:rFonts w:ascii="Cambria" w:hAnsi="Cambria"/>
          <w:sz w:val="20"/>
          <w:szCs w:val="20"/>
          <w:lang w:val="es-CO"/>
        </w:rPr>
        <w:t xml:space="preserve"> e</w:t>
      </w:r>
      <w:r w:rsidRPr="00D02BFE">
        <w:rPr>
          <w:rFonts w:ascii="Cambria" w:hAnsi="Cambria"/>
          <w:sz w:val="20"/>
          <w:szCs w:val="20"/>
          <w:lang w:val="es-CO"/>
        </w:rPr>
        <w:t xml:space="preserve"> informó que</w:t>
      </w:r>
      <w:r w:rsidR="008E4AC6" w:rsidRPr="00D02BFE">
        <w:rPr>
          <w:rFonts w:ascii="Cambria" w:hAnsi="Cambria"/>
          <w:sz w:val="20"/>
          <w:szCs w:val="20"/>
          <w:lang w:val="es-CO"/>
        </w:rPr>
        <w:t>,</w:t>
      </w:r>
      <w:r w:rsidRPr="00D02BFE">
        <w:rPr>
          <w:rFonts w:ascii="Cambria" w:hAnsi="Cambria"/>
          <w:sz w:val="20"/>
          <w:szCs w:val="20"/>
          <w:lang w:val="es-CO"/>
        </w:rPr>
        <w:t xml:space="preserve"> en diciembre de 2018</w:t>
      </w:r>
      <w:r w:rsidR="008E4AC6" w:rsidRPr="00D02BFE">
        <w:rPr>
          <w:rFonts w:ascii="Cambria" w:hAnsi="Cambria"/>
          <w:sz w:val="20"/>
          <w:szCs w:val="20"/>
          <w:lang w:val="es-CO"/>
        </w:rPr>
        <w:t>,</w:t>
      </w:r>
      <w:r w:rsidRPr="00D02BFE">
        <w:rPr>
          <w:rFonts w:ascii="Cambria" w:hAnsi="Cambria"/>
          <w:sz w:val="20"/>
          <w:szCs w:val="20"/>
          <w:lang w:val="es-CO"/>
        </w:rPr>
        <w:t xml:space="preserve"> se expidió el documento CONPES 3955 Estrategia para el fortalecimiento de la acción comunal en Colombia. Respecto al 2019, indicó que se concretó el plan de acción </w:t>
      </w:r>
      <w:r w:rsidR="00C054A3" w:rsidRPr="00D02BFE">
        <w:rPr>
          <w:rFonts w:ascii="Cambria" w:hAnsi="Cambria"/>
          <w:sz w:val="20"/>
          <w:szCs w:val="20"/>
          <w:lang w:val="es-CO"/>
        </w:rPr>
        <w:t>d</w:t>
      </w:r>
      <w:r w:rsidRPr="00D02BFE">
        <w:rPr>
          <w:rFonts w:ascii="Cambria" w:hAnsi="Cambria"/>
          <w:sz w:val="20"/>
          <w:szCs w:val="20"/>
          <w:lang w:val="es-CO"/>
        </w:rPr>
        <w:t>el Programa Integral de Garantías para mujeres Lideresas y</w:t>
      </w:r>
      <w:r w:rsidR="00AE2C2F" w:rsidRPr="00D02BFE">
        <w:rPr>
          <w:rFonts w:ascii="Cambria" w:hAnsi="Cambria"/>
          <w:sz w:val="20"/>
          <w:szCs w:val="20"/>
          <w:lang w:val="es-CO"/>
        </w:rPr>
        <w:t xml:space="preserve"> Defensoras de Derechos Humanos y que</w:t>
      </w:r>
      <w:r w:rsidRPr="00D02BFE">
        <w:rPr>
          <w:rFonts w:ascii="Cambria" w:hAnsi="Cambria"/>
          <w:sz w:val="20"/>
          <w:szCs w:val="20"/>
          <w:lang w:val="es-CO"/>
        </w:rPr>
        <w:t xml:space="preserve">, desde 2019, se ha </w:t>
      </w:r>
      <w:r w:rsidR="008E4AC6" w:rsidRPr="00D02BFE">
        <w:rPr>
          <w:rFonts w:ascii="Cambria" w:hAnsi="Cambria"/>
          <w:sz w:val="20"/>
          <w:szCs w:val="20"/>
          <w:lang w:val="es-CO"/>
        </w:rPr>
        <w:t>formula</w:t>
      </w:r>
      <w:r w:rsidRPr="00D02BFE">
        <w:rPr>
          <w:rFonts w:ascii="Cambria" w:hAnsi="Cambria"/>
          <w:sz w:val="20"/>
          <w:szCs w:val="20"/>
          <w:lang w:val="es-CO"/>
        </w:rPr>
        <w:t xml:space="preserve">do el CONPES Política Nacional de Respeto y Garantías para la Labor de Defensa de Derechos Humanos. </w:t>
      </w:r>
      <w:r w:rsidR="00AE2C2F" w:rsidRPr="00D02BFE">
        <w:rPr>
          <w:rFonts w:ascii="Cambria" w:hAnsi="Cambria"/>
          <w:sz w:val="20"/>
          <w:szCs w:val="20"/>
          <w:lang w:val="es-CO"/>
        </w:rPr>
        <w:t>Igualmente, s</w:t>
      </w:r>
      <w:r w:rsidRPr="00D02BFE">
        <w:rPr>
          <w:rFonts w:ascii="Cambria" w:hAnsi="Cambria"/>
          <w:sz w:val="20"/>
          <w:szCs w:val="20"/>
          <w:lang w:val="es-CO"/>
        </w:rPr>
        <w:t xml:space="preserve">eñaló que, en diciembre de 2019, se presentó el Marco de Política Pública de Protección Integral y Garantías para Líderes y Lideresas Sociales, Comunales, Periodistas y Defensores de los Derechos Humanos. Respecto a acciones </w:t>
      </w:r>
      <w:r w:rsidR="00C054A3" w:rsidRPr="00D02BFE">
        <w:rPr>
          <w:rFonts w:ascii="Cambria" w:hAnsi="Cambria"/>
          <w:sz w:val="20"/>
          <w:szCs w:val="20"/>
          <w:lang w:val="es-CO"/>
        </w:rPr>
        <w:t>de</w:t>
      </w:r>
      <w:r w:rsidRPr="00D02BFE">
        <w:rPr>
          <w:rFonts w:ascii="Cambria" w:hAnsi="Cambria"/>
          <w:sz w:val="20"/>
          <w:szCs w:val="20"/>
          <w:lang w:val="es-CO"/>
        </w:rPr>
        <w:t xml:space="preserve"> 2020, indicó que se presentaron lineamientos en materia de garantías para la labor de defensa de derechos humanos a los </w:t>
      </w:r>
      <w:proofErr w:type="gramStart"/>
      <w:r w:rsidRPr="00D02BFE">
        <w:rPr>
          <w:rFonts w:ascii="Cambria" w:hAnsi="Cambria"/>
          <w:sz w:val="20"/>
          <w:szCs w:val="20"/>
          <w:lang w:val="es-CO"/>
        </w:rPr>
        <w:t>Secretarios</w:t>
      </w:r>
      <w:proofErr w:type="gramEnd"/>
      <w:r w:rsidRPr="00D02BFE">
        <w:rPr>
          <w:rFonts w:ascii="Cambria" w:hAnsi="Cambria"/>
          <w:sz w:val="20"/>
          <w:szCs w:val="20"/>
          <w:lang w:val="es-CO"/>
        </w:rPr>
        <w:t xml:space="preserve"> de Gobierno de las administraciones 2020-2023 para incorporarlos a planes de desarrollo departamentales y municipales.</w:t>
      </w:r>
    </w:p>
    <w:p w14:paraId="29910170" w14:textId="77777777" w:rsidR="00C70DCB" w:rsidRPr="00D02BFE" w:rsidRDefault="002A321B" w:rsidP="00307F58">
      <w:pPr>
        <w:numPr>
          <w:ilvl w:val="0"/>
          <w:numId w:val="6"/>
        </w:numPr>
        <w:spacing w:line="240" w:lineRule="auto"/>
        <w:ind w:firstLine="720"/>
        <w:jc w:val="both"/>
        <w:rPr>
          <w:rFonts w:ascii="Cambria" w:hAnsi="Cambria"/>
          <w:sz w:val="20"/>
          <w:szCs w:val="20"/>
          <w:lang w:val="es-CO"/>
        </w:rPr>
      </w:pPr>
      <w:r w:rsidRPr="00D02BFE">
        <w:rPr>
          <w:rFonts w:ascii="Cambria" w:hAnsi="Cambria"/>
          <w:sz w:val="20"/>
          <w:szCs w:val="20"/>
          <w:lang w:val="es-CO"/>
        </w:rPr>
        <w:t xml:space="preserve">Finalmente, también en 2020, el Estado remitió información </w:t>
      </w:r>
      <w:r w:rsidR="00C022BE" w:rsidRPr="00D02BFE">
        <w:rPr>
          <w:rFonts w:ascii="Cambria" w:hAnsi="Cambria"/>
          <w:sz w:val="20"/>
          <w:szCs w:val="20"/>
          <w:lang w:val="es-CO"/>
        </w:rPr>
        <w:t>de</w:t>
      </w:r>
      <w:r w:rsidRPr="00D02BFE">
        <w:rPr>
          <w:rFonts w:ascii="Cambria" w:hAnsi="Cambria"/>
          <w:sz w:val="20"/>
          <w:szCs w:val="20"/>
          <w:lang w:val="es-CO"/>
        </w:rPr>
        <w:t xml:space="preserve"> la Unidad Nacional de Protección (UNP). </w:t>
      </w:r>
      <w:r w:rsidR="00C022BE" w:rsidRPr="00D02BFE">
        <w:rPr>
          <w:rFonts w:ascii="Cambria" w:hAnsi="Cambria"/>
          <w:sz w:val="20"/>
          <w:szCs w:val="20"/>
          <w:lang w:val="es-CO"/>
        </w:rPr>
        <w:t>S</w:t>
      </w:r>
      <w:r w:rsidRPr="00D02BFE">
        <w:rPr>
          <w:rFonts w:ascii="Cambria" w:hAnsi="Cambria"/>
          <w:sz w:val="20"/>
          <w:szCs w:val="20"/>
          <w:lang w:val="es-CO"/>
        </w:rPr>
        <w:t xml:space="preserve">eñaló que se han priorizado solicitudes de personas defensoras y líderes sociales, especialmente de Putumayo, </w:t>
      </w:r>
      <w:r w:rsidR="009A63DD" w:rsidRPr="00D02BFE">
        <w:rPr>
          <w:rFonts w:ascii="Cambria" w:hAnsi="Cambria"/>
          <w:sz w:val="20"/>
          <w:szCs w:val="20"/>
          <w:lang w:val="es-CO"/>
        </w:rPr>
        <w:t>Nariño, Cauca y Valle del Cauca</w:t>
      </w:r>
      <w:r w:rsidRPr="00D02BFE">
        <w:rPr>
          <w:rFonts w:ascii="Cambria" w:hAnsi="Cambria"/>
          <w:sz w:val="20"/>
          <w:szCs w:val="20"/>
          <w:lang w:val="es-CO"/>
        </w:rPr>
        <w:t xml:space="preserve">. Resaltaron que la UNP tiene un programa especial para garantizar </w:t>
      </w:r>
      <w:r w:rsidR="009A63DD" w:rsidRPr="00D02BFE">
        <w:rPr>
          <w:rFonts w:ascii="Cambria" w:hAnsi="Cambria"/>
          <w:sz w:val="20"/>
          <w:szCs w:val="20"/>
          <w:lang w:val="es-CO"/>
        </w:rPr>
        <w:t>derechos</w:t>
      </w:r>
      <w:r w:rsidRPr="00D02BFE">
        <w:rPr>
          <w:rFonts w:ascii="Cambria" w:hAnsi="Cambria"/>
          <w:sz w:val="20"/>
          <w:szCs w:val="20"/>
          <w:lang w:val="es-CO"/>
        </w:rPr>
        <w:t xml:space="preserve"> </w:t>
      </w:r>
      <w:r w:rsidR="00650812" w:rsidRPr="00D02BFE">
        <w:rPr>
          <w:rFonts w:ascii="Cambria" w:hAnsi="Cambria"/>
          <w:sz w:val="20"/>
          <w:szCs w:val="20"/>
          <w:lang w:val="es-CO"/>
        </w:rPr>
        <w:t>de</w:t>
      </w:r>
      <w:r w:rsidRPr="00D02BFE">
        <w:rPr>
          <w:rFonts w:ascii="Cambria" w:hAnsi="Cambria"/>
          <w:sz w:val="20"/>
          <w:szCs w:val="20"/>
          <w:lang w:val="es-CO"/>
        </w:rPr>
        <w:t xml:space="preserve"> dirigentes, activistas o representantes de organizaciones de ín</w:t>
      </w:r>
      <w:r w:rsidR="009A63DD" w:rsidRPr="00D02BFE">
        <w:rPr>
          <w:rFonts w:ascii="Cambria" w:hAnsi="Cambria"/>
          <w:sz w:val="20"/>
          <w:szCs w:val="20"/>
          <w:lang w:val="es-CO"/>
        </w:rPr>
        <w:t>dole social, política, cívica;</w:t>
      </w:r>
      <w:r w:rsidRPr="00D02BFE">
        <w:rPr>
          <w:rFonts w:ascii="Cambria" w:hAnsi="Cambria"/>
          <w:sz w:val="20"/>
          <w:szCs w:val="20"/>
          <w:lang w:val="es-CO"/>
        </w:rPr>
        <w:t xml:space="preserve"> líderes y activistas de organizaciones de mujeres, indígenas, afrocolombianos, raizales, palenqueras, LGTBI, periodi</w:t>
      </w:r>
      <w:r w:rsidR="009A63DD" w:rsidRPr="00D02BFE">
        <w:rPr>
          <w:rFonts w:ascii="Cambria" w:hAnsi="Cambria"/>
          <w:sz w:val="20"/>
          <w:szCs w:val="20"/>
          <w:lang w:val="es-CO"/>
        </w:rPr>
        <w:t>stas y comunicadores sociales;</w:t>
      </w:r>
      <w:r w:rsidRPr="00D02BFE">
        <w:rPr>
          <w:rFonts w:ascii="Cambria" w:hAnsi="Cambria"/>
          <w:sz w:val="20"/>
          <w:szCs w:val="20"/>
          <w:lang w:val="es-CO"/>
        </w:rPr>
        <w:t xml:space="preserve"> víctimas del conflicto armado inclu</w:t>
      </w:r>
      <w:r w:rsidR="009A63DD" w:rsidRPr="00D02BFE">
        <w:rPr>
          <w:rFonts w:ascii="Cambria" w:hAnsi="Cambria"/>
          <w:sz w:val="20"/>
          <w:szCs w:val="20"/>
          <w:lang w:val="es-CO"/>
        </w:rPr>
        <w:t>yendo reclamantes de tierras y</w:t>
      </w:r>
      <w:r w:rsidRPr="00D02BFE">
        <w:rPr>
          <w:rFonts w:ascii="Cambria" w:hAnsi="Cambria"/>
          <w:sz w:val="20"/>
          <w:szCs w:val="20"/>
          <w:lang w:val="es-CO"/>
        </w:rPr>
        <w:t xml:space="preserve"> líderes ambientalistas, entre otros. Adicionalmente, señaló que la UNP apoya el Programa Integral de Seguridad y Protección para Comunidades y Organizaciones en los territorios, el Programa Integral de Garantías para Mujeres Lideresas y Defensoras de Derechos Humanos y la Comisión Intersectorial para la Respuesta Rápida a Alertas Tempranas (CIPRAT). Asimismo, </w:t>
      </w:r>
      <w:r w:rsidR="00C022BE" w:rsidRPr="00D02BFE">
        <w:rPr>
          <w:rFonts w:ascii="Cambria" w:hAnsi="Cambria"/>
          <w:sz w:val="20"/>
          <w:szCs w:val="20"/>
          <w:lang w:val="es-CO"/>
        </w:rPr>
        <w:t>dio</w:t>
      </w:r>
      <w:r w:rsidRPr="00D02BFE">
        <w:rPr>
          <w:rFonts w:ascii="Cambria" w:hAnsi="Cambria"/>
          <w:sz w:val="20"/>
          <w:szCs w:val="20"/>
          <w:lang w:val="es-CO"/>
        </w:rPr>
        <w:t xml:space="preserve"> algunas cifras sobre medidas de protección implementadas </w:t>
      </w:r>
      <w:r w:rsidR="009A63DD" w:rsidRPr="00D02BFE">
        <w:rPr>
          <w:rFonts w:ascii="Cambria" w:hAnsi="Cambria"/>
          <w:sz w:val="20"/>
          <w:szCs w:val="20"/>
          <w:lang w:val="es-CO"/>
        </w:rPr>
        <w:t>al</w:t>
      </w:r>
      <w:r w:rsidR="00C022BE" w:rsidRPr="00D02BFE">
        <w:rPr>
          <w:rFonts w:ascii="Cambria" w:hAnsi="Cambria"/>
          <w:sz w:val="20"/>
          <w:szCs w:val="20"/>
          <w:lang w:val="es-CO"/>
        </w:rPr>
        <w:t xml:space="preserve"> 29 de julio de 2020 </w:t>
      </w:r>
      <w:r w:rsidRPr="00D02BFE">
        <w:rPr>
          <w:rFonts w:ascii="Cambria" w:hAnsi="Cambria"/>
          <w:sz w:val="20"/>
          <w:szCs w:val="20"/>
          <w:lang w:val="es-CO"/>
        </w:rPr>
        <w:t>referidas a cinco tipos de riesgos concretos</w:t>
      </w:r>
      <w:r w:rsidR="009A63DD" w:rsidRPr="00D02BFE">
        <w:rPr>
          <w:rFonts w:ascii="Cambria" w:hAnsi="Cambria"/>
          <w:sz w:val="20"/>
          <w:szCs w:val="20"/>
          <w:lang w:val="es-CO"/>
        </w:rPr>
        <w:t>, de las cuales</w:t>
      </w:r>
      <w:r w:rsidRPr="00D02BFE">
        <w:rPr>
          <w:rFonts w:ascii="Cambria" w:hAnsi="Cambria"/>
          <w:sz w:val="20"/>
          <w:szCs w:val="20"/>
          <w:lang w:val="es-CO"/>
        </w:rPr>
        <w:t xml:space="preserve"> se </w:t>
      </w:r>
      <w:r w:rsidR="009A63DD" w:rsidRPr="00D02BFE">
        <w:rPr>
          <w:rFonts w:ascii="Cambria" w:hAnsi="Cambria"/>
          <w:sz w:val="20"/>
          <w:szCs w:val="20"/>
          <w:lang w:val="es-CO"/>
        </w:rPr>
        <w:t xml:space="preserve">destacan: 4994 </w:t>
      </w:r>
      <w:r w:rsidRPr="00D02BFE">
        <w:rPr>
          <w:rFonts w:ascii="Cambria" w:hAnsi="Cambria"/>
          <w:sz w:val="20"/>
          <w:szCs w:val="20"/>
          <w:lang w:val="es-CO"/>
        </w:rPr>
        <w:t xml:space="preserve">beneficiarios </w:t>
      </w:r>
      <w:r w:rsidR="001F6251" w:rsidRPr="00D02BFE">
        <w:rPr>
          <w:rFonts w:ascii="Cambria" w:hAnsi="Cambria"/>
          <w:sz w:val="20"/>
          <w:szCs w:val="20"/>
          <w:lang w:val="es-CO"/>
        </w:rPr>
        <w:t>(</w:t>
      </w:r>
      <w:r w:rsidRPr="00D02BFE">
        <w:rPr>
          <w:rFonts w:ascii="Cambria" w:hAnsi="Cambria"/>
          <w:sz w:val="20"/>
          <w:szCs w:val="20"/>
          <w:lang w:val="es-CO"/>
        </w:rPr>
        <w:t xml:space="preserve">2355 </w:t>
      </w:r>
      <w:r w:rsidR="001F6251" w:rsidRPr="00D02BFE">
        <w:rPr>
          <w:rFonts w:ascii="Cambria" w:hAnsi="Cambria"/>
          <w:sz w:val="20"/>
          <w:szCs w:val="20"/>
          <w:lang w:val="es-CO"/>
        </w:rPr>
        <w:t>con medidas duras y</w:t>
      </w:r>
      <w:r w:rsidRPr="00D02BFE">
        <w:rPr>
          <w:rFonts w:ascii="Cambria" w:hAnsi="Cambria"/>
          <w:sz w:val="20"/>
          <w:szCs w:val="20"/>
          <w:lang w:val="es-CO"/>
        </w:rPr>
        <w:t xml:space="preserve"> 2639 con medidas blandas</w:t>
      </w:r>
      <w:r w:rsidR="001F6251" w:rsidRPr="00D02BFE">
        <w:rPr>
          <w:rFonts w:ascii="Cambria" w:hAnsi="Cambria"/>
          <w:sz w:val="20"/>
          <w:szCs w:val="20"/>
          <w:lang w:val="es-CO"/>
        </w:rPr>
        <w:t>)</w:t>
      </w:r>
      <w:r w:rsidRPr="00D02BFE">
        <w:rPr>
          <w:rFonts w:ascii="Cambria" w:hAnsi="Cambria"/>
          <w:sz w:val="20"/>
          <w:szCs w:val="20"/>
          <w:lang w:val="es-CO"/>
        </w:rPr>
        <w:t>; 5201 medios de comunicación; 4410 chalecos de protección; 1018 botones de apoyo; 4290 hombres de protección; 924 vehículos convencionales; 848 vehículos blindados, y 85 beneficiarios con enfoque diferencial</w:t>
      </w:r>
      <w:r w:rsidR="00C70DCB" w:rsidRPr="00D02BFE">
        <w:rPr>
          <w:rFonts w:ascii="Cambria" w:hAnsi="Cambria"/>
          <w:sz w:val="20"/>
          <w:szCs w:val="20"/>
          <w:lang w:val="es-CO"/>
        </w:rPr>
        <w:t xml:space="preserve">. </w:t>
      </w:r>
    </w:p>
    <w:p w14:paraId="3AF0F6C3" w14:textId="77777777" w:rsidR="00270510" w:rsidRPr="00D02BFE" w:rsidRDefault="003C7EC5" w:rsidP="00307F58">
      <w:pPr>
        <w:numPr>
          <w:ilvl w:val="0"/>
          <w:numId w:val="6"/>
        </w:numPr>
        <w:tabs>
          <w:tab w:val="num" w:pos="720"/>
        </w:tabs>
        <w:spacing w:line="240" w:lineRule="auto"/>
        <w:ind w:firstLine="720"/>
        <w:jc w:val="both"/>
        <w:rPr>
          <w:rFonts w:ascii="Cambria" w:hAnsi="Cambria"/>
          <w:sz w:val="20"/>
          <w:szCs w:val="20"/>
          <w:lang w:val="es-CO"/>
        </w:rPr>
      </w:pPr>
      <w:bookmarkStart w:id="0" w:name="_Hlk87701369"/>
      <w:r w:rsidRPr="00D02BFE">
        <w:rPr>
          <w:rFonts w:ascii="Cambria" w:hAnsi="Cambria"/>
          <w:sz w:val="20"/>
          <w:szCs w:val="20"/>
          <w:lang w:val="es-CO"/>
        </w:rPr>
        <w:t xml:space="preserve">En 2021, </w:t>
      </w:r>
      <w:r w:rsidR="00E87D6B" w:rsidRPr="00D02BFE">
        <w:rPr>
          <w:rFonts w:ascii="Cambria" w:hAnsi="Cambria"/>
          <w:sz w:val="20"/>
          <w:szCs w:val="20"/>
          <w:lang w:val="es-CO"/>
        </w:rPr>
        <w:t>el Estado remitió información del Ministerio del Interior</w:t>
      </w:r>
      <w:r w:rsidR="00FF72F1" w:rsidRPr="00D02BFE">
        <w:rPr>
          <w:rFonts w:ascii="Cambria" w:hAnsi="Cambria"/>
          <w:sz w:val="20"/>
          <w:szCs w:val="20"/>
          <w:lang w:val="es-CO"/>
        </w:rPr>
        <w:t xml:space="preserve"> y de la </w:t>
      </w:r>
      <w:proofErr w:type="gramStart"/>
      <w:r w:rsidR="00FF72F1" w:rsidRPr="00D02BFE">
        <w:rPr>
          <w:rFonts w:ascii="Cambria" w:hAnsi="Cambria"/>
          <w:sz w:val="20"/>
          <w:szCs w:val="20"/>
          <w:lang w:val="es-CO"/>
        </w:rPr>
        <w:t>Fiscalía General</w:t>
      </w:r>
      <w:proofErr w:type="gramEnd"/>
      <w:r w:rsidR="00FF72F1" w:rsidRPr="00D02BFE">
        <w:rPr>
          <w:rFonts w:ascii="Cambria" w:hAnsi="Cambria"/>
          <w:sz w:val="20"/>
          <w:szCs w:val="20"/>
          <w:lang w:val="es-CO"/>
        </w:rPr>
        <w:t xml:space="preserve"> de la Nación</w:t>
      </w:r>
      <w:r w:rsidR="00811BC2" w:rsidRPr="00D02BFE">
        <w:rPr>
          <w:rFonts w:ascii="Cambria" w:hAnsi="Cambria"/>
          <w:sz w:val="20"/>
          <w:szCs w:val="20"/>
          <w:lang w:val="es-CO"/>
        </w:rPr>
        <w:t xml:space="preserve"> </w:t>
      </w:r>
      <w:r w:rsidR="00DA6E6B" w:rsidRPr="00D02BFE">
        <w:rPr>
          <w:rFonts w:ascii="Cambria" w:hAnsi="Cambria"/>
          <w:sz w:val="20"/>
          <w:szCs w:val="20"/>
          <w:lang w:val="es-CO"/>
        </w:rPr>
        <w:t>explicando</w:t>
      </w:r>
      <w:r w:rsidR="00811BC2" w:rsidRPr="00D02BFE">
        <w:rPr>
          <w:rFonts w:ascii="Cambria" w:hAnsi="Cambria"/>
          <w:sz w:val="20"/>
          <w:szCs w:val="20"/>
          <w:lang w:val="es-CO"/>
        </w:rPr>
        <w:t xml:space="preserve"> las medidas para cumplir con esta recomendación</w:t>
      </w:r>
      <w:r w:rsidR="00DA6E6B" w:rsidRPr="00D02BFE">
        <w:rPr>
          <w:rFonts w:ascii="Cambria" w:hAnsi="Cambria"/>
          <w:sz w:val="20"/>
          <w:szCs w:val="20"/>
          <w:lang w:val="es-CO"/>
        </w:rPr>
        <w:t xml:space="preserve"> y </w:t>
      </w:r>
      <w:r w:rsidR="00567170" w:rsidRPr="00D02BFE">
        <w:rPr>
          <w:rFonts w:ascii="Cambria" w:hAnsi="Cambria"/>
          <w:sz w:val="20"/>
          <w:szCs w:val="20"/>
          <w:lang w:val="es-CO"/>
        </w:rPr>
        <w:t>sus avances</w:t>
      </w:r>
      <w:r w:rsidR="00E87D6B" w:rsidRPr="00D02BFE">
        <w:rPr>
          <w:rFonts w:ascii="Cambria" w:hAnsi="Cambria"/>
          <w:sz w:val="20"/>
          <w:szCs w:val="20"/>
          <w:lang w:val="es-CO"/>
        </w:rPr>
        <w:t xml:space="preserve">. </w:t>
      </w:r>
      <w:r w:rsidR="00653B43" w:rsidRPr="00D02BFE">
        <w:rPr>
          <w:rFonts w:ascii="Cambria" w:hAnsi="Cambria"/>
          <w:sz w:val="20"/>
          <w:szCs w:val="20"/>
          <w:lang w:val="es-CO"/>
        </w:rPr>
        <w:t xml:space="preserve">La información remitida </w:t>
      </w:r>
      <w:r w:rsidR="00FF72F1" w:rsidRPr="00D02BFE">
        <w:rPr>
          <w:rFonts w:ascii="Cambria" w:hAnsi="Cambria"/>
          <w:sz w:val="20"/>
          <w:szCs w:val="20"/>
          <w:lang w:val="es-CO"/>
        </w:rPr>
        <w:t xml:space="preserve">por el Ministerio del Interior </w:t>
      </w:r>
      <w:r w:rsidR="00653B43" w:rsidRPr="00D02BFE">
        <w:rPr>
          <w:rFonts w:ascii="Cambria" w:hAnsi="Cambria"/>
          <w:sz w:val="20"/>
          <w:szCs w:val="20"/>
          <w:lang w:val="es-CO"/>
        </w:rPr>
        <w:t xml:space="preserve">se refirió a </w:t>
      </w:r>
      <w:r w:rsidR="00567170" w:rsidRPr="00D02BFE">
        <w:rPr>
          <w:rFonts w:ascii="Cambria" w:hAnsi="Cambria"/>
          <w:sz w:val="20"/>
          <w:szCs w:val="20"/>
          <w:lang w:val="es-CO"/>
        </w:rPr>
        <w:t>lo siguiente</w:t>
      </w:r>
      <w:r w:rsidR="00653B43" w:rsidRPr="00D02BFE">
        <w:rPr>
          <w:rFonts w:ascii="Cambria" w:hAnsi="Cambria"/>
          <w:sz w:val="20"/>
          <w:szCs w:val="20"/>
          <w:lang w:val="es-CO"/>
        </w:rPr>
        <w:t>:</w:t>
      </w:r>
    </w:p>
    <w:p w14:paraId="49375ED8" w14:textId="77777777" w:rsidR="005167AE" w:rsidRPr="00D02BFE" w:rsidRDefault="00061150" w:rsidP="00B26B06">
      <w:pPr>
        <w:numPr>
          <w:ilvl w:val="0"/>
          <w:numId w:val="37"/>
        </w:numPr>
        <w:spacing w:after="0" w:line="240" w:lineRule="auto"/>
        <w:jc w:val="both"/>
        <w:rPr>
          <w:rFonts w:ascii="Cambria" w:eastAsia="Arial Unicode MS" w:hAnsi="Cambria" w:cs="Arial"/>
          <w:i/>
          <w:iCs/>
          <w:sz w:val="20"/>
          <w:szCs w:val="20"/>
          <w:bdr w:val="none" w:sz="0" w:space="0" w:color="auto"/>
          <w:lang w:val="es-CO" w:eastAsia="en-US"/>
        </w:rPr>
      </w:pPr>
      <w:r w:rsidRPr="00D02BFE">
        <w:rPr>
          <w:rFonts w:ascii="Cambria" w:hAnsi="Cambria"/>
          <w:i/>
          <w:iCs/>
          <w:sz w:val="20"/>
          <w:szCs w:val="20"/>
          <w:lang w:val="es-CO"/>
        </w:rPr>
        <w:lastRenderedPageBreak/>
        <w:t xml:space="preserve">Política Pública de Respeto y Garantías a la </w:t>
      </w:r>
      <w:r w:rsidR="00307F58" w:rsidRPr="00D02BFE">
        <w:rPr>
          <w:rFonts w:ascii="Cambria" w:hAnsi="Cambria"/>
          <w:i/>
          <w:iCs/>
          <w:sz w:val="20"/>
          <w:szCs w:val="20"/>
          <w:lang w:val="es-CO"/>
        </w:rPr>
        <w:t>Labor de la Defensa de los Derechos Humanos</w:t>
      </w:r>
      <w:r w:rsidR="00270510" w:rsidRPr="00D02BFE">
        <w:rPr>
          <w:rFonts w:ascii="Cambria" w:hAnsi="Cambria"/>
          <w:sz w:val="20"/>
          <w:szCs w:val="20"/>
          <w:lang w:val="es-CO"/>
        </w:rPr>
        <w:t xml:space="preserve">: </w:t>
      </w:r>
      <w:r w:rsidR="00920C73" w:rsidRPr="00D02BFE">
        <w:rPr>
          <w:rFonts w:ascii="Cambria" w:eastAsia="Arial Unicode MS" w:hAnsi="Cambria" w:cs="Arial"/>
          <w:sz w:val="20"/>
          <w:szCs w:val="20"/>
          <w:bdr w:val="none" w:sz="0" w:space="0" w:color="auto"/>
          <w:lang w:val="es-CO" w:eastAsia="en-US"/>
        </w:rPr>
        <w:t>R</w:t>
      </w:r>
      <w:r w:rsidR="00E87D6B" w:rsidRPr="00D02BFE">
        <w:rPr>
          <w:rFonts w:ascii="Cambria" w:eastAsia="Arial Unicode MS" w:hAnsi="Cambria" w:cs="Arial"/>
          <w:sz w:val="20"/>
          <w:szCs w:val="20"/>
          <w:bdr w:val="none" w:sz="0" w:space="0" w:color="auto"/>
          <w:lang w:val="es-CO" w:eastAsia="en-US"/>
        </w:rPr>
        <w:t>eiteró que</w:t>
      </w:r>
      <w:r w:rsidR="005167AE" w:rsidRPr="00D02BFE">
        <w:rPr>
          <w:rFonts w:ascii="Cambria" w:eastAsia="Arial Unicode MS" w:hAnsi="Cambria" w:cs="Arial"/>
          <w:sz w:val="20"/>
          <w:szCs w:val="20"/>
          <w:bdr w:val="none" w:sz="0" w:space="0" w:color="auto"/>
          <w:lang w:val="es-CO" w:eastAsia="en-US"/>
        </w:rPr>
        <w:t xml:space="preserve">, </w:t>
      </w:r>
      <w:r w:rsidR="00C70DCB" w:rsidRPr="00D02BFE">
        <w:rPr>
          <w:rFonts w:ascii="Cambria" w:eastAsia="Arial Unicode MS" w:hAnsi="Cambria" w:cs="Arial"/>
          <w:sz w:val="20"/>
          <w:szCs w:val="20"/>
          <w:bdr w:val="none" w:sz="0" w:space="0" w:color="auto"/>
          <w:lang w:val="es-CO" w:eastAsia="en-US"/>
        </w:rPr>
        <w:t>en</w:t>
      </w:r>
      <w:r w:rsidR="00E87D6B" w:rsidRPr="00D02BFE">
        <w:rPr>
          <w:rFonts w:ascii="Cambria" w:eastAsia="Arial Unicode MS" w:hAnsi="Cambria" w:cs="Arial"/>
          <w:sz w:val="20"/>
          <w:szCs w:val="20"/>
          <w:bdr w:val="none" w:sz="0" w:space="0" w:color="auto"/>
          <w:lang w:val="es-CO" w:eastAsia="en-US"/>
        </w:rPr>
        <w:t xml:space="preserve"> 2018</w:t>
      </w:r>
      <w:r w:rsidR="00567646" w:rsidRPr="00D02BFE">
        <w:rPr>
          <w:rFonts w:ascii="Cambria" w:eastAsia="Arial Unicode MS" w:hAnsi="Cambria" w:cs="Arial"/>
          <w:sz w:val="20"/>
          <w:szCs w:val="20"/>
          <w:bdr w:val="none" w:sz="0" w:space="0" w:color="auto"/>
          <w:lang w:val="es-CO" w:eastAsia="en-US"/>
        </w:rPr>
        <w:t>, el Plan Nacional de Desarrollo</w:t>
      </w:r>
      <w:r w:rsidR="00F72C07" w:rsidRPr="00D02BFE">
        <w:rPr>
          <w:rFonts w:ascii="Cambria" w:eastAsia="Arial Unicode MS" w:hAnsi="Cambria" w:cs="Arial"/>
          <w:sz w:val="20"/>
          <w:szCs w:val="20"/>
          <w:bdr w:val="none" w:sz="0" w:space="0" w:color="auto"/>
          <w:lang w:val="es-CO" w:eastAsia="en-US"/>
        </w:rPr>
        <w:t xml:space="preserve"> </w:t>
      </w:r>
      <w:r w:rsidR="00B26B06" w:rsidRPr="00D02BFE">
        <w:rPr>
          <w:rFonts w:ascii="Cambria" w:eastAsia="Arial Unicode MS" w:hAnsi="Cambria" w:cs="Arial"/>
          <w:sz w:val="20"/>
          <w:szCs w:val="20"/>
          <w:bdr w:val="none" w:sz="0" w:space="0" w:color="auto"/>
          <w:lang w:val="es-CO" w:eastAsia="en-US"/>
        </w:rPr>
        <w:t>la incluyó como objetivo</w:t>
      </w:r>
      <w:r w:rsidR="005167AE" w:rsidRPr="00D02BFE">
        <w:rPr>
          <w:rFonts w:ascii="Cambria" w:eastAsia="Arial Unicode MS" w:hAnsi="Cambria" w:cs="Arial"/>
          <w:sz w:val="20"/>
          <w:szCs w:val="20"/>
          <w:bdr w:val="none" w:sz="0" w:space="0" w:color="auto"/>
          <w:lang w:val="es-CO" w:eastAsia="en-US"/>
        </w:rPr>
        <w:t xml:space="preserve">. Informó que </w:t>
      </w:r>
      <w:r w:rsidR="00861A62" w:rsidRPr="00D02BFE">
        <w:rPr>
          <w:rFonts w:ascii="Cambria" w:eastAsia="Arial Unicode MS" w:hAnsi="Cambria" w:cs="Arial"/>
          <w:sz w:val="20"/>
          <w:szCs w:val="20"/>
          <w:bdr w:val="none" w:sz="0" w:space="0" w:color="auto"/>
          <w:lang w:val="es-CO" w:eastAsia="en-US"/>
        </w:rPr>
        <w:t>e</w:t>
      </w:r>
      <w:r w:rsidR="00F90F38" w:rsidRPr="00D02BFE">
        <w:rPr>
          <w:rFonts w:ascii="Cambria" w:eastAsia="Arial Unicode MS" w:hAnsi="Cambria" w:cs="Arial"/>
          <w:sz w:val="20"/>
          <w:szCs w:val="20"/>
          <w:bdr w:val="none" w:sz="0" w:space="0" w:color="auto"/>
          <w:lang w:val="es-CO" w:eastAsia="en-US"/>
        </w:rPr>
        <w:t xml:space="preserve">n 2019 </w:t>
      </w:r>
      <w:r w:rsidR="00723F4D" w:rsidRPr="00D02BFE">
        <w:rPr>
          <w:rFonts w:ascii="Cambria" w:eastAsia="Arial Unicode MS" w:hAnsi="Cambria" w:cs="Arial"/>
          <w:sz w:val="20"/>
          <w:szCs w:val="20"/>
          <w:bdr w:val="none" w:sz="0" w:space="0" w:color="auto"/>
          <w:lang w:val="es-CO" w:eastAsia="en-US"/>
        </w:rPr>
        <w:t>se promovieron</w:t>
      </w:r>
      <w:r w:rsidR="00F90F38" w:rsidRPr="00D02BFE">
        <w:rPr>
          <w:rFonts w:ascii="Cambria" w:eastAsia="Arial Unicode MS" w:hAnsi="Cambria" w:cs="Arial"/>
          <w:sz w:val="20"/>
          <w:szCs w:val="20"/>
          <w:bdr w:val="none" w:sz="0" w:space="0" w:color="auto"/>
          <w:lang w:val="es-CO" w:eastAsia="en-US"/>
        </w:rPr>
        <w:t xml:space="preserve"> </w:t>
      </w:r>
      <w:r w:rsidR="00EC2655" w:rsidRPr="00D02BFE">
        <w:rPr>
          <w:rFonts w:ascii="Cambria" w:eastAsia="Arial Unicode MS" w:hAnsi="Cambria" w:cs="Arial"/>
          <w:sz w:val="20"/>
          <w:szCs w:val="20"/>
          <w:bdr w:val="none" w:sz="0" w:space="0" w:color="auto"/>
          <w:lang w:val="es-CO" w:eastAsia="en-US"/>
        </w:rPr>
        <w:t>su socialización</w:t>
      </w:r>
      <w:r w:rsidR="00920C73" w:rsidRPr="00D02BFE">
        <w:rPr>
          <w:rFonts w:ascii="Cambria" w:eastAsia="Arial Unicode MS" w:hAnsi="Cambria" w:cs="Arial"/>
          <w:sz w:val="20"/>
          <w:szCs w:val="20"/>
          <w:bdr w:val="none" w:sz="0" w:space="0" w:color="auto"/>
          <w:lang w:val="es-CO" w:eastAsia="en-US"/>
        </w:rPr>
        <w:t xml:space="preserve"> y</w:t>
      </w:r>
      <w:r w:rsidR="00811BC2" w:rsidRPr="00D02BFE">
        <w:rPr>
          <w:rFonts w:ascii="Cambria" w:eastAsia="Arial Unicode MS" w:hAnsi="Cambria" w:cs="Arial"/>
          <w:sz w:val="20"/>
          <w:szCs w:val="20"/>
          <w:bdr w:val="none" w:sz="0" w:space="0" w:color="auto"/>
          <w:lang w:val="es-CO" w:eastAsia="en-US"/>
        </w:rPr>
        <w:t xml:space="preserve"> se conformó </w:t>
      </w:r>
      <w:r w:rsidR="00B26B06" w:rsidRPr="00D02BFE">
        <w:rPr>
          <w:rFonts w:ascii="Cambria" w:eastAsia="Arial Unicode MS" w:hAnsi="Cambria" w:cs="Arial"/>
          <w:sz w:val="20"/>
          <w:szCs w:val="20"/>
          <w:bdr w:val="none" w:sz="0" w:space="0" w:color="auto"/>
          <w:lang w:val="es-CO" w:eastAsia="en-US"/>
        </w:rPr>
        <w:t>su</w:t>
      </w:r>
      <w:r w:rsidR="00920C73" w:rsidRPr="00D02BFE">
        <w:rPr>
          <w:rFonts w:ascii="Cambria" w:eastAsia="Arial Unicode MS" w:hAnsi="Cambria" w:cs="Arial"/>
          <w:sz w:val="20"/>
          <w:szCs w:val="20"/>
          <w:bdr w:val="none" w:sz="0" w:space="0" w:color="auto"/>
          <w:lang w:val="es-CO" w:eastAsia="en-US"/>
        </w:rPr>
        <w:t xml:space="preserve"> Comité con sociedad civil y entidades públicas</w:t>
      </w:r>
      <w:r w:rsidR="00861A62" w:rsidRPr="00D02BFE">
        <w:rPr>
          <w:rFonts w:ascii="Cambria" w:eastAsia="Arial Unicode MS" w:hAnsi="Cambria" w:cs="Arial"/>
          <w:sz w:val="20"/>
          <w:szCs w:val="20"/>
          <w:bdr w:val="none" w:sz="0" w:space="0" w:color="auto"/>
          <w:lang w:val="es-CO" w:eastAsia="en-US"/>
        </w:rPr>
        <w:t>,</w:t>
      </w:r>
      <w:r w:rsidR="007D4A83" w:rsidRPr="00D02BFE">
        <w:rPr>
          <w:rFonts w:ascii="Cambria" w:eastAsia="Arial Unicode MS" w:hAnsi="Cambria" w:cs="Arial"/>
          <w:sz w:val="20"/>
          <w:szCs w:val="20"/>
          <w:bdr w:val="none" w:sz="0" w:space="0" w:color="auto"/>
          <w:lang w:val="es-CO" w:eastAsia="en-US"/>
        </w:rPr>
        <w:t xml:space="preserve"> y</w:t>
      </w:r>
      <w:r w:rsidR="00920C73" w:rsidRPr="00D02BFE">
        <w:rPr>
          <w:rFonts w:ascii="Cambria" w:eastAsia="Arial Unicode MS" w:hAnsi="Cambria" w:cs="Arial"/>
          <w:sz w:val="20"/>
          <w:szCs w:val="20"/>
          <w:bdr w:val="none" w:sz="0" w:space="0" w:color="auto"/>
          <w:lang w:val="es-CO" w:eastAsia="en-US"/>
        </w:rPr>
        <w:t xml:space="preserve"> con acompañamiento de organizaciones internacionales</w:t>
      </w:r>
      <w:r w:rsidR="00F90F38" w:rsidRPr="00D02BFE">
        <w:rPr>
          <w:rStyle w:val="FootnoteReference"/>
          <w:rFonts w:ascii="Cambria" w:eastAsia="Arial Unicode MS" w:hAnsi="Cambria" w:cs="Arial"/>
          <w:sz w:val="20"/>
          <w:szCs w:val="20"/>
          <w:bdr w:val="none" w:sz="0" w:space="0" w:color="auto"/>
          <w:lang w:val="es-CO" w:eastAsia="en-US"/>
        </w:rPr>
        <w:footnoteReference w:id="8"/>
      </w:r>
      <w:r w:rsidR="00F90F38" w:rsidRPr="00D02BFE">
        <w:rPr>
          <w:rFonts w:ascii="Cambria" w:eastAsia="Arial Unicode MS" w:hAnsi="Cambria" w:cs="Arial"/>
          <w:sz w:val="20"/>
          <w:szCs w:val="20"/>
          <w:bdr w:val="none" w:sz="0" w:space="0" w:color="auto"/>
          <w:lang w:val="es-CO" w:eastAsia="en-US"/>
        </w:rPr>
        <w:t xml:space="preserve">. </w:t>
      </w:r>
      <w:r w:rsidR="00811BC2" w:rsidRPr="00D02BFE">
        <w:rPr>
          <w:rFonts w:ascii="Cambria" w:eastAsia="Arial Unicode MS" w:hAnsi="Cambria" w:cs="Arial"/>
          <w:sz w:val="20"/>
          <w:szCs w:val="20"/>
          <w:bdr w:val="none" w:sz="0" w:space="0" w:color="auto"/>
          <w:lang w:val="es-CO" w:eastAsia="en-US"/>
        </w:rPr>
        <w:t>También en ese año</w:t>
      </w:r>
      <w:r w:rsidR="000A2D67" w:rsidRPr="00D02BFE">
        <w:rPr>
          <w:rFonts w:ascii="Cambria" w:eastAsia="Arial Unicode MS" w:hAnsi="Cambria" w:cs="Arial"/>
          <w:sz w:val="20"/>
          <w:szCs w:val="20"/>
          <w:bdr w:val="none" w:sz="0" w:space="0" w:color="auto"/>
          <w:lang w:val="es-CO" w:eastAsia="en-US"/>
        </w:rPr>
        <w:t xml:space="preserve"> </w:t>
      </w:r>
      <w:r w:rsidR="00723F4D" w:rsidRPr="00D02BFE">
        <w:rPr>
          <w:rFonts w:ascii="Cambria" w:eastAsia="Arial Unicode MS" w:hAnsi="Cambria" w:cs="Arial"/>
          <w:sz w:val="20"/>
          <w:szCs w:val="20"/>
          <w:bdr w:val="none" w:sz="0" w:space="0" w:color="auto"/>
          <w:lang w:val="es-CO" w:eastAsia="en-US"/>
        </w:rPr>
        <w:t>se realizaron</w:t>
      </w:r>
      <w:r w:rsidR="00A62774" w:rsidRPr="00D02BFE">
        <w:rPr>
          <w:rFonts w:ascii="Cambria" w:eastAsia="Arial Unicode MS" w:hAnsi="Cambria" w:cs="Arial"/>
          <w:sz w:val="20"/>
          <w:szCs w:val="20"/>
          <w:bdr w:val="none" w:sz="0" w:space="0" w:color="auto"/>
          <w:lang w:val="es-CO" w:eastAsia="en-US"/>
        </w:rPr>
        <w:t xml:space="preserve"> </w:t>
      </w:r>
      <w:r w:rsidR="000A2D67" w:rsidRPr="00D02BFE">
        <w:rPr>
          <w:rFonts w:ascii="Cambria" w:eastAsia="Arial Unicode MS" w:hAnsi="Cambria" w:cs="Arial"/>
          <w:sz w:val="20"/>
          <w:szCs w:val="20"/>
          <w:bdr w:val="none" w:sz="0" w:space="0" w:color="auto"/>
          <w:lang w:val="es-CO" w:eastAsia="en-US"/>
        </w:rPr>
        <w:t xml:space="preserve">7 talleres territoriales y 5 sectoriales </w:t>
      </w:r>
      <w:r w:rsidR="00811BC2" w:rsidRPr="00D02BFE">
        <w:rPr>
          <w:rFonts w:ascii="Cambria" w:eastAsia="Arial Unicode MS" w:hAnsi="Cambria" w:cs="Arial"/>
          <w:sz w:val="20"/>
          <w:szCs w:val="20"/>
          <w:bdr w:val="none" w:sz="0" w:space="0" w:color="auto"/>
          <w:lang w:val="es-CO" w:eastAsia="en-US"/>
        </w:rPr>
        <w:t>con</w:t>
      </w:r>
      <w:r w:rsidR="000A2D67" w:rsidRPr="00D02BFE">
        <w:rPr>
          <w:rFonts w:ascii="Cambria" w:eastAsia="Arial Unicode MS" w:hAnsi="Cambria" w:cs="Arial"/>
          <w:sz w:val="20"/>
          <w:szCs w:val="20"/>
          <w:bdr w:val="none" w:sz="0" w:space="0" w:color="auto"/>
          <w:lang w:val="es-CO" w:eastAsia="en-US"/>
        </w:rPr>
        <w:t xml:space="preserve"> 360 personas defensoras y 160 </w:t>
      </w:r>
      <w:proofErr w:type="gramStart"/>
      <w:r w:rsidR="000A2D67" w:rsidRPr="00D02BFE">
        <w:rPr>
          <w:rFonts w:ascii="Cambria" w:eastAsia="Arial Unicode MS" w:hAnsi="Cambria" w:cs="Arial"/>
          <w:sz w:val="20"/>
          <w:szCs w:val="20"/>
          <w:bdr w:val="none" w:sz="0" w:space="0" w:color="auto"/>
          <w:lang w:val="es-CO" w:eastAsia="en-US"/>
        </w:rPr>
        <w:t>funcionarias y funcionarios</w:t>
      </w:r>
      <w:proofErr w:type="gramEnd"/>
      <w:r w:rsidR="000A2D67" w:rsidRPr="00D02BFE">
        <w:rPr>
          <w:rFonts w:ascii="Cambria" w:eastAsia="Arial Unicode MS" w:hAnsi="Cambria" w:cs="Arial"/>
          <w:sz w:val="20"/>
          <w:szCs w:val="20"/>
          <w:bdr w:val="none" w:sz="0" w:space="0" w:color="auto"/>
          <w:lang w:val="es-CO" w:eastAsia="en-US"/>
        </w:rPr>
        <w:t xml:space="preserve">. </w:t>
      </w:r>
      <w:r w:rsidR="00811BC2" w:rsidRPr="00D02BFE">
        <w:rPr>
          <w:rFonts w:ascii="Cambria" w:hAnsi="Cambria"/>
          <w:sz w:val="20"/>
          <w:szCs w:val="20"/>
          <w:lang w:val="es-CO"/>
        </w:rPr>
        <w:t>S</w:t>
      </w:r>
      <w:r w:rsidR="00861A62" w:rsidRPr="00D02BFE">
        <w:rPr>
          <w:rFonts w:ascii="Cambria" w:hAnsi="Cambria"/>
          <w:sz w:val="20"/>
          <w:szCs w:val="20"/>
          <w:lang w:val="es-CO"/>
        </w:rPr>
        <w:t>eñaló</w:t>
      </w:r>
      <w:r w:rsidR="00A62774" w:rsidRPr="00D02BFE">
        <w:rPr>
          <w:rFonts w:ascii="Cambria" w:hAnsi="Cambria"/>
          <w:sz w:val="20"/>
          <w:szCs w:val="20"/>
          <w:lang w:val="es-CO"/>
        </w:rPr>
        <w:t xml:space="preserve"> que</w:t>
      </w:r>
      <w:r w:rsidRPr="00D02BFE">
        <w:rPr>
          <w:rFonts w:ascii="Cambria" w:hAnsi="Cambria"/>
          <w:sz w:val="20"/>
          <w:szCs w:val="20"/>
          <w:lang w:val="es-CO"/>
        </w:rPr>
        <w:t>,</w:t>
      </w:r>
      <w:r w:rsidR="00226EF0" w:rsidRPr="00D02BFE">
        <w:rPr>
          <w:rFonts w:ascii="Cambria" w:eastAsia="Arial Unicode MS" w:hAnsi="Cambria" w:cs="Arial"/>
          <w:sz w:val="20"/>
          <w:szCs w:val="20"/>
          <w:bdr w:val="none" w:sz="0" w:space="0" w:color="auto"/>
          <w:lang w:val="es-CO" w:eastAsia="en-US"/>
        </w:rPr>
        <w:t xml:space="preserve"> en 2020, se presentó el marco </w:t>
      </w:r>
      <w:r w:rsidR="00B26B06" w:rsidRPr="00D02BFE">
        <w:rPr>
          <w:rFonts w:ascii="Cambria" w:eastAsia="Arial Unicode MS" w:hAnsi="Cambria" w:cs="Arial"/>
          <w:sz w:val="20"/>
          <w:szCs w:val="20"/>
          <w:bdr w:val="none" w:sz="0" w:space="0" w:color="auto"/>
          <w:lang w:val="es-CO" w:eastAsia="en-US"/>
        </w:rPr>
        <w:t>para elaborar</w:t>
      </w:r>
      <w:r w:rsidR="00226EF0" w:rsidRPr="00D02BFE">
        <w:rPr>
          <w:rFonts w:ascii="Cambria" w:eastAsia="Arial Unicode MS" w:hAnsi="Cambria" w:cs="Arial"/>
          <w:sz w:val="20"/>
          <w:szCs w:val="20"/>
          <w:bdr w:val="none" w:sz="0" w:space="0" w:color="auto"/>
          <w:lang w:val="es-CO" w:eastAsia="en-US"/>
        </w:rPr>
        <w:t xml:space="preserve"> la política</w:t>
      </w:r>
      <w:r w:rsidR="00307F58" w:rsidRPr="00D02BFE">
        <w:rPr>
          <w:rFonts w:ascii="Cambria" w:eastAsia="Arial Unicode MS" w:hAnsi="Cambria" w:cs="Arial"/>
          <w:sz w:val="20"/>
          <w:szCs w:val="20"/>
          <w:bdr w:val="none" w:sz="0" w:space="0" w:color="auto"/>
          <w:lang w:val="es-CO" w:eastAsia="en-US"/>
        </w:rPr>
        <w:t xml:space="preserve"> y</w:t>
      </w:r>
      <w:r w:rsidRPr="00D02BFE">
        <w:rPr>
          <w:rFonts w:ascii="Cambria" w:eastAsia="Arial Unicode MS" w:hAnsi="Cambria" w:cs="Arial"/>
          <w:sz w:val="20"/>
          <w:szCs w:val="20"/>
          <w:bdr w:val="none" w:sz="0" w:space="0" w:color="auto"/>
          <w:lang w:val="es-CO" w:eastAsia="en-US"/>
        </w:rPr>
        <w:t xml:space="preserve"> </w:t>
      </w:r>
      <w:r w:rsidR="005167AE" w:rsidRPr="00D02BFE">
        <w:rPr>
          <w:rFonts w:ascii="Cambria" w:eastAsia="Arial Unicode MS" w:hAnsi="Cambria" w:cs="Arial"/>
          <w:sz w:val="20"/>
          <w:szCs w:val="20"/>
          <w:bdr w:val="none" w:sz="0" w:space="0" w:color="auto"/>
          <w:lang w:val="es-CO" w:eastAsia="en-US"/>
        </w:rPr>
        <w:t xml:space="preserve">se </w:t>
      </w:r>
      <w:r w:rsidR="007746B6" w:rsidRPr="00D02BFE">
        <w:rPr>
          <w:rFonts w:ascii="Cambria" w:eastAsia="Arial Unicode MS" w:hAnsi="Cambria" w:cs="Arial"/>
          <w:sz w:val="20"/>
          <w:szCs w:val="20"/>
          <w:bdr w:val="none" w:sz="0" w:space="0" w:color="auto"/>
          <w:lang w:val="es-CO" w:eastAsia="en-US"/>
        </w:rPr>
        <w:t xml:space="preserve">hizo </w:t>
      </w:r>
      <w:r w:rsidR="005167AE" w:rsidRPr="00D02BFE">
        <w:rPr>
          <w:rFonts w:ascii="Cambria" w:eastAsia="Arial Unicode MS" w:hAnsi="Cambria" w:cs="Arial"/>
          <w:sz w:val="20"/>
          <w:szCs w:val="20"/>
          <w:bdr w:val="none" w:sz="0" w:space="0" w:color="auto"/>
          <w:lang w:val="es-CO" w:eastAsia="en-US"/>
        </w:rPr>
        <w:t xml:space="preserve">incidencia para que </w:t>
      </w:r>
      <w:r w:rsidR="00811BC2" w:rsidRPr="00D02BFE">
        <w:rPr>
          <w:rFonts w:ascii="Cambria" w:eastAsia="Arial Unicode MS" w:hAnsi="Cambria" w:cs="Arial"/>
          <w:sz w:val="20"/>
          <w:szCs w:val="20"/>
          <w:bdr w:val="none" w:sz="0" w:space="0" w:color="auto"/>
          <w:lang w:val="es-CO" w:eastAsia="en-US"/>
        </w:rPr>
        <w:t>la</w:t>
      </w:r>
      <w:r w:rsidR="005167AE" w:rsidRPr="00D02BFE">
        <w:rPr>
          <w:rFonts w:ascii="Cambria" w:eastAsia="Arial Unicode MS" w:hAnsi="Cambria" w:cs="Arial"/>
          <w:sz w:val="20"/>
          <w:szCs w:val="20"/>
          <w:bdr w:val="none" w:sz="0" w:space="0" w:color="auto"/>
          <w:lang w:val="es-CO" w:eastAsia="en-US"/>
        </w:rPr>
        <w:t xml:space="preserve"> protección de personas defensoras se incluyera en los planes de desarrollo territoriales y municipales para</w:t>
      </w:r>
      <w:r w:rsidR="00B26B06" w:rsidRPr="00D02BFE">
        <w:rPr>
          <w:rFonts w:ascii="Cambria" w:eastAsia="Arial Unicode MS" w:hAnsi="Cambria" w:cs="Arial"/>
          <w:sz w:val="20"/>
          <w:szCs w:val="20"/>
          <w:bdr w:val="none" w:sz="0" w:space="0" w:color="auto"/>
          <w:lang w:val="es-CO" w:eastAsia="en-US"/>
        </w:rPr>
        <w:t xml:space="preserve"> el periodo </w:t>
      </w:r>
      <w:r w:rsidR="005167AE" w:rsidRPr="00D02BFE">
        <w:rPr>
          <w:rFonts w:ascii="Cambria" w:eastAsia="Arial Unicode MS" w:hAnsi="Cambria" w:cs="Arial"/>
          <w:sz w:val="20"/>
          <w:szCs w:val="20"/>
          <w:bdr w:val="none" w:sz="0" w:space="0" w:color="auto"/>
          <w:lang w:val="es-CO" w:eastAsia="en-US"/>
        </w:rPr>
        <w:t>2019</w:t>
      </w:r>
      <w:r w:rsidR="00B26B06" w:rsidRPr="00D02BFE">
        <w:rPr>
          <w:rFonts w:ascii="Cambria" w:eastAsia="Arial Unicode MS" w:hAnsi="Cambria" w:cs="Arial"/>
          <w:sz w:val="20"/>
          <w:szCs w:val="20"/>
          <w:bdr w:val="none" w:sz="0" w:space="0" w:color="auto"/>
          <w:lang w:val="es-CO" w:eastAsia="en-US"/>
        </w:rPr>
        <w:t xml:space="preserve"> - </w:t>
      </w:r>
      <w:r w:rsidR="005167AE" w:rsidRPr="00D02BFE">
        <w:rPr>
          <w:rFonts w:ascii="Cambria" w:eastAsia="Arial Unicode MS" w:hAnsi="Cambria" w:cs="Arial"/>
          <w:sz w:val="20"/>
          <w:szCs w:val="20"/>
          <w:bdr w:val="none" w:sz="0" w:space="0" w:color="auto"/>
          <w:lang w:val="es-CO" w:eastAsia="en-US"/>
        </w:rPr>
        <w:t xml:space="preserve">2022. </w:t>
      </w:r>
      <w:r w:rsidR="00811BC2" w:rsidRPr="00D02BFE">
        <w:rPr>
          <w:rFonts w:ascii="Cambria" w:eastAsia="Cambria" w:hAnsi="Cambria" w:cs="Cambria"/>
          <w:sz w:val="20"/>
          <w:szCs w:val="20"/>
          <w:lang w:val="es-ES_tradnl"/>
        </w:rPr>
        <w:t>Según</w:t>
      </w:r>
      <w:r w:rsidR="00270510" w:rsidRPr="00D02BFE">
        <w:rPr>
          <w:rFonts w:ascii="Cambria" w:eastAsia="Cambria" w:hAnsi="Cambria" w:cs="Cambria"/>
          <w:sz w:val="20"/>
          <w:szCs w:val="20"/>
          <w:lang w:val="es-ES_tradnl"/>
        </w:rPr>
        <w:t xml:space="preserve"> el Estado, la formulación de la política</w:t>
      </w:r>
      <w:r w:rsidR="00B26B06" w:rsidRPr="00D02BFE">
        <w:rPr>
          <w:rFonts w:ascii="Cambria" w:eastAsia="Cambria" w:hAnsi="Cambria" w:cs="Cambria"/>
          <w:sz w:val="20"/>
          <w:szCs w:val="20"/>
          <w:lang w:val="es-ES_tradnl"/>
        </w:rPr>
        <w:t xml:space="preserve">, que será adoptada por Decreto, </w:t>
      </w:r>
      <w:r w:rsidR="00270510" w:rsidRPr="00D02BFE">
        <w:rPr>
          <w:rFonts w:ascii="Cambria" w:eastAsia="Cambria" w:hAnsi="Cambria" w:cs="Cambria"/>
          <w:sz w:val="20"/>
          <w:szCs w:val="20"/>
          <w:lang w:val="es-ES_tradnl"/>
        </w:rPr>
        <w:t>ha</w:t>
      </w:r>
      <w:r w:rsidR="00811BC2" w:rsidRPr="00D02BFE">
        <w:rPr>
          <w:rFonts w:ascii="Cambria" w:eastAsia="Cambria" w:hAnsi="Cambria" w:cs="Cambria"/>
          <w:sz w:val="20"/>
          <w:szCs w:val="20"/>
          <w:lang w:val="es-ES_tradnl"/>
        </w:rPr>
        <w:t xml:space="preserve"> aplicado</w:t>
      </w:r>
      <w:r w:rsidR="00270510" w:rsidRPr="00D02BFE">
        <w:rPr>
          <w:rFonts w:ascii="Cambria" w:eastAsia="Cambria" w:hAnsi="Cambria" w:cs="Cambria"/>
          <w:sz w:val="20"/>
          <w:szCs w:val="20"/>
          <w:lang w:val="es-ES_tradnl"/>
        </w:rPr>
        <w:t xml:space="preserve"> los estándares internacionales en la materia</w:t>
      </w:r>
      <w:r w:rsidR="001D44C7" w:rsidRPr="00D02BFE">
        <w:rPr>
          <w:rFonts w:ascii="Cambria" w:eastAsia="Cambria" w:hAnsi="Cambria" w:cs="Cambria"/>
          <w:sz w:val="20"/>
          <w:szCs w:val="20"/>
          <w:lang w:val="es-ES_tradnl"/>
        </w:rPr>
        <w:t xml:space="preserve"> e i</w:t>
      </w:r>
      <w:r w:rsidR="007746B6" w:rsidRPr="00D02BFE">
        <w:rPr>
          <w:rFonts w:ascii="Cambria" w:eastAsia="Cambria" w:hAnsi="Cambria" w:cs="Cambria"/>
          <w:sz w:val="20"/>
          <w:szCs w:val="20"/>
          <w:lang w:val="es-ES_tradnl"/>
        </w:rPr>
        <w:t xml:space="preserve">nformó </w:t>
      </w:r>
      <w:r w:rsidR="00B26B06" w:rsidRPr="00D02BFE">
        <w:rPr>
          <w:rFonts w:ascii="Cambria" w:eastAsia="Cambria" w:hAnsi="Cambria" w:cs="Cambria"/>
          <w:sz w:val="20"/>
          <w:szCs w:val="20"/>
          <w:lang w:val="es-ES_tradnl"/>
        </w:rPr>
        <w:t xml:space="preserve">cuáles son </w:t>
      </w:r>
      <w:r w:rsidR="001D44C7" w:rsidRPr="00D02BFE">
        <w:rPr>
          <w:rFonts w:ascii="Cambria" w:eastAsia="Cambria" w:hAnsi="Cambria" w:cs="Cambria"/>
          <w:sz w:val="20"/>
          <w:szCs w:val="20"/>
          <w:lang w:val="es-ES_tradnl"/>
        </w:rPr>
        <w:t>sus</w:t>
      </w:r>
      <w:r w:rsidR="007746B6" w:rsidRPr="00D02BFE">
        <w:rPr>
          <w:rFonts w:ascii="Cambria" w:eastAsia="Cambria" w:hAnsi="Cambria" w:cs="Cambria"/>
          <w:sz w:val="20"/>
          <w:szCs w:val="20"/>
          <w:lang w:val="es-ES_tradnl"/>
        </w:rPr>
        <w:t xml:space="preserve"> ocho estrategias</w:t>
      </w:r>
      <w:r w:rsidR="00B26B06" w:rsidRPr="00D02BFE">
        <w:rPr>
          <w:rFonts w:ascii="Cambria" w:eastAsia="Arial Unicode MS" w:hAnsi="Cambria" w:cs="Arial"/>
          <w:sz w:val="20"/>
          <w:szCs w:val="20"/>
          <w:bdr w:val="none" w:sz="0" w:space="0" w:color="auto"/>
          <w:lang w:val="es-CO" w:eastAsia="en-US"/>
        </w:rPr>
        <w:t xml:space="preserve">. </w:t>
      </w:r>
    </w:p>
    <w:p w14:paraId="6C3E73A9" w14:textId="77777777" w:rsidR="00B26B06" w:rsidRPr="00D02BFE" w:rsidRDefault="00B26B06" w:rsidP="00B26B06">
      <w:pPr>
        <w:spacing w:after="0" w:line="240" w:lineRule="auto"/>
        <w:ind w:left="360"/>
        <w:jc w:val="both"/>
        <w:rPr>
          <w:rFonts w:ascii="Cambria" w:eastAsia="Arial Unicode MS" w:hAnsi="Cambria" w:cs="Arial"/>
          <w:i/>
          <w:iCs/>
          <w:sz w:val="20"/>
          <w:szCs w:val="20"/>
          <w:bdr w:val="none" w:sz="0" w:space="0" w:color="auto"/>
          <w:lang w:val="es-CO" w:eastAsia="en-US"/>
        </w:rPr>
      </w:pPr>
    </w:p>
    <w:p w14:paraId="32E80984" w14:textId="77777777" w:rsidR="00270510" w:rsidRPr="00D02BFE" w:rsidRDefault="00270510" w:rsidP="0043296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mbria" w:eastAsia="Cambria" w:hAnsi="Cambria" w:cs="Cambria"/>
          <w:sz w:val="20"/>
          <w:szCs w:val="20"/>
          <w:lang w:val="es-ES_tradnl"/>
        </w:rPr>
      </w:pPr>
      <w:r w:rsidRPr="00D02BFE">
        <w:rPr>
          <w:rFonts w:ascii="Cambria" w:eastAsia="Cambria" w:hAnsi="Cambria" w:cs="Cambria"/>
          <w:i/>
          <w:iCs/>
          <w:sz w:val="20"/>
          <w:szCs w:val="20"/>
          <w:lang w:val="es-ES_tradnl"/>
        </w:rPr>
        <w:t xml:space="preserve">Plan de choque para </w:t>
      </w:r>
      <w:r w:rsidR="007746B6" w:rsidRPr="00D02BFE">
        <w:rPr>
          <w:rFonts w:ascii="Cambria" w:eastAsia="Cambria" w:hAnsi="Cambria" w:cs="Cambria"/>
          <w:i/>
          <w:iCs/>
          <w:sz w:val="20"/>
          <w:szCs w:val="20"/>
          <w:lang w:val="es-ES_tradnl"/>
        </w:rPr>
        <w:t>mitigar los</w:t>
      </w:r>
      <w:r w:rsidRPr="00D02BFE">
        <w:rPr>
          <w:rFonts w:ascii="Cambria" w:eastAsia="Cambria" w:hAnsi="Cambria" w:cs="Cambria"/>
          <w:i/>
          <w:iCs/>
          <w:sz w:val="20"/>
          <w:szCs w:val="20"/>
          <w:lang w:val="es-ES_tradnl"/>
        </w:rPr>
        <w:t xml:space="preserve"> riesgos:</w:t>
      </w:r>
      <w:r w:rsidRPr="00D02BFE">
        <w:rPr>
          <w:rFonts w:ascii="Cambria" w:eastAsia="Cambria" w:hAnsi="Cambria" w:cs="Cambria"/>
          <w:sz w:val="20"/>
          <w:szCs w:val="20"/>
          <w:lang w:val="es-ES_tradnl"/>
        </w:rPr>
        <w:t xml:space="preserve"> </w:t>
      </w:r>
      <w:r w:rsidR="007D4A83" w:rsidRPr="00D02BFE">
        <w:rPr>
          <w:rFonts w:ascii="Cambria" w:eastAsia="Cambria" w:hAnsi="Cambria" w:cs="Cambria"/>
          <w:sz w:val="20"/>
          <w:szCs w:val="20"/>
          <w:lang w:val="es-ES_tradnl"/>
        </w:rPr>
        <w:t>C</w:t>
      </w:r>
      <w:r w:rsidRPr="00D02BFE">
        <w:rPr>
          <w:rFonts w:ascii="Cambria" w:eastAsia="Cambria" w:hAnsi="Cambria" w:cs="Cambria"/>
          <w:sz w:val="20"/>
          <w:szCs w:val="20"/>
          <w:lang w:val="es-ES_tradnl"/>
        </w:rPr>
        <w:t>ompuesto de acciones a corto plazo</w:t>
      </w:r>
      <w:r w:rsidR="007D535F" w:rsidRPr="00D02BFE">
        <w:rPr>
          <w:rFonts w:ascii="Cambria" w:eastAsia="Cambria" w:hAnsi="Cambria" w:cs="Cambria"/>
          <w:sz w:val="20"/>
          <w:szCs w:val="20"/>
          <w:lang w:val="es-ES_tradnl"/>
        </w:rPr>
        <w:t xml:space="preserve"> para: </w:t>
      </w:r>
      <w:r w:rsidR="007D535F" w:rsidRPr="00D02BFE">
        <w:rPr>
          <w:rFonts w:ascii="Cambria" w:eastAsia="Arial Unicode MS" w:hAnsi="Cambria" w:cs="Arial"/>
          <w:sz w:val="20"/>
          <w:szCs w:val="20"/>
          <w:bdr w:val="none" w:sz="0" w:space="0" w:color="auto"/>
          <w:lang w:val="es-CO" w:eastAsia="en-US"/>
        </w:rPr>
        <w:t xml:space="preserve">i) </w:t>
      </w:r>
      <w:r w:rsidR="00B46DEE" w:rsidRPr="00D02BFE">
        <w:rPr>
          <w:rFonts w:ascii="Cambria" w:eastAsia="Arial Unicode MS" w:hAnsi="Cambria" w:cs="Arial"/>
          <w:sz w:val="20"/>
          <w:szCs w:val="20"/>
          <w:bdr w:val="none" w:sz="0" w:space="0" w:color="auto"/>
          <w:lang w:val="es-CO" w:eastAsia="en-US"/>
        </w:rPr>
        <w:t>facilitar</w:t>
      </w:r>
      <w:r w:rsidR="007D535F" w:rsidRPr="00D02BFE">
        <w:rPr>
          <w:rFonts w:ascii="Cambria" w:eastAsia="Arial Unicode MS" w:hAnsi="Cambria" w:cs="Arial"/>
          <w:sz w:val="20"/>
          <w:szCs w:val="20"/>
          <w:bdr w:val="none" w:sz="0" w:space="0" w:color="auto"/>
          <w:lang w:val="es-CO" w:eastAsia="en-US"/>
        </w:rPr>
        <w:t xml:space="preserve"> el desarrollo de la labor de las personas y organizaciones defensoras de derechos humanos; ii) identificar y gestionar posibles riesgos; iii) proteger a quienes se encuentren en situaciones excepcionales de riesgo; iv) impulsar la investigación, juzgamiento y sanción de situaciones en los que se materialicen afectaciones</w:t>
      </w:r>
      <w:r w:rsidR="007D535F" w:rsidRPr="00D02BFE">
        <w:rPr>
          <w:rFonts w:ascii="Cambria" w:eastAsia="Cambria" w:hAnsi="Cambria" w:cs="Cambria"/>
          <w:sz w:val="20"/>
          <w:szCs w:val="20"/>
          <w:lang w:val="es-ES_tradnl"/>
        </w:rPr>
        <w:t xml:space="preserve">. </w:t>
      </w:r>
      <w:r w:rsidR="007746B6" w:rsidRPr="00D02BFE">
        <w:rPr>
          <w:rFonts w:ascii="Cambria" w:eastAsia="Cambria" w:hAnsi="Cambria" w:cs="Cambria"/>
          <w:sz w:val="20"/>
          <w:szCs w:val="20"/>
          <w:lang w:val="es-ES_tradnl"/>
        </w:rPr>
        <w:t>Su</w:t>
      </w:r>
      <w:r w:rsidR="007D535F" w:rsidRPr="00D02BFE">
        <w:rPr>
          <w:rFonts w:ascii="Cambria" w:eastAsia="Cambria" w:hAnsi="Cambria" w:cs="Cambria"/>
          <w:sz w:val="20"/>
          <w:szCs w:val="20"/>
          <w:lang w:val="es-ES_tradnl"/>
        </w:rPr>
        <w:t xml:space="preserve"> ejecución </w:t>
      </w:r>
      <w:r w:rsidR="00B46DEE" w:rsidRPr="00D02BFE">
        <w:rPr>
          <w:rFonts w:ascii="Cambria" w:eastAsia="Cambria" w:hAnsi="Cambria" w:cs="Cambria"/>
          <w:sz w:val="20"/>
          <w:szCs w:val="20"/>
          <w:lang w:val="es-ES_tradnl"/>
        </w:rPr>
        <w:t>se ha</w:t>
      </w:r>
      <w:r w:rsidR="007D535F" w:rsidRPr="00D02BFE">
        <w:rPr>
          <w:rFonts w:ascii="Cambria" w:eastAsia="Cambria" w:hAnsi="Cambria" w:cs="Cambria"/>
          <w:sz w:val="20"/>
          <w:szCs w:val="20"/>
          <w:lang w:val="es-ES_tradnl"/>
        </w:rPr>
        <w:t xml:space="preserve"> </w:t>
      </w:r>
      <w:r w:rsidR="00432967" w:rsidRPr="00D02BFE">
        <w:rPr>
          <w:rFonts w:ascii="Cambria" w:eastAsia="Cambria" w:hAnsi="Cambria" w:cs="Cambria"/>
          <w:sz w:val="20"/>
          <w:szCs w:val="20"/>
          <w:lang w:val="es-ES_tradnl"/>
        </w:rPr>
        <w:t>articuló entre distintas entidad</w:t>
      </w:r>
      <w:r w:rsidR="007D4A83" w:rsidRPr="00D02BFE">
        <w:rPr>
          <w:rFonts w:ascii="Cambria" w:eastAsia="Cambria" w:hAnsi="Cambria" w:cs="Cambria"/>
          <w:sz w:val="20"/>
          <w:szCs w:val="20"/>
          <w:lang w:val="es-ES_tradnl"/>
        </w:rPr>
        <w:t>es</w:t>
      </w:r>
      <w:r w:rsidR="00432967" w:rsidRPr="00D02BFE">
        <w:rPr>
          <w:rFonts w:ascii="Cambria" w:eastAsia="Cambria" w:hAnsi="Cambria" w:cs="Cambria"/>
          <w:sz w:val="20"/>
          <w:szCs w:val="20"/>
          <w:lang w:val="es-ES_tradnl"/>
        </w:rPr>
        <w:t xml:space="preserve"> y el Estado reportó </w:t>
      </w:r>
      <w:r w:rsidR="00B46DEE" w:rsidRPr="00D02BFE">
        <w:rPr>
          <w:rFonts w:ascii="Cambria" w:eastAsia="Cambria" w:hAnsi="Cambria" w:cs="Cambria"/>
          <w:sz w:val="20"/>
          <w:szCs w:val="20"/>
          <w:lang w:val="es-ES_tradnl"/>
        </w:rPr>
        <w:t>los avances</w:t>
      </w:r>
      <w:r w:rsidR="00432967" w:rsidRPr="00D02BFE">
        <w:rPr>
          <w:rFonts w:ascii="Cambria" w:eastAsia="Cambria" w:hAnsi="Cambria" w:cs="Cambria"/>
          <w:sz w:val="20"/>
          <w:szCs w:val="20"/>
          <w:lang w:val="es-ES_tradnl"/>
        </w:rPr>
        <w:t xml:space="preserve"> en prevención, justicia, cultura, y fortalecimiento de capacidades de organizaciones y del tejido social. </w:t>
      </w:r>
    </w:p>
    <w:p w14:paraId="0AC1CED2" w14:textId="77777777" w:rsidR="00432967" w:rsidRPr="00D02BFE" w:rsidRDefault="00432967" w:rsidP="004329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mbria" w:eastAsia="Cambria" w:hAnsi="Cambria" w:cs="Cambria"/>
          <w:sz w:val="20"/>
          <w:szCs w:val="20"/>
          <w:lang w:val="es-ES_tradnl"/>
        </w:rPr>
      </w:pPr>
    </w:p>
    <w:p w14:paraId="4827F4CD" w14:textId="77777777" w:rsidR="00B7752F" w:rsidRPr="00D02BFE" w:rsidRDefault="00B7752F" w:rsidP="00B15CA5">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mbria" w:eastAsia="Arial Unicode MS" w:hAnsi="Cambria" w:cs="Arial"/>
          <w:i/>
          <w:iCs/>
          <w:sz w:val="20"/>
          <w:szCs w:val="20"/>
          <w:bdr w:val="none" w:sz="0" w:space="0" w:color="auto"/>
          <w:lang w:val="es-CO" w:eastAsia="en-US"/>
        </w:rPr>
      </w:pPr>
      <w:r w:rsidRPr="00D02BFE">
        <w:rPr>
          <w:rFonts w:ascii="Cambria" w:eastAsia="Cambria" w:hAnsi="Cambria" w:cs="Cambria"/>
          <w:i/>
          <w:iCs/>
          <w:sz w:val="20"/>
          <w:szCs w:val="20"/>
          <w:lang w:val="es-ES_tradnl"/>
        </w:rPr>
        <w:t>Cifras:</w:t>
      </w:r>
      <w:r w:rsidR="005F460C" w:rsidRPr="00D02BFE">
        <w:rPr>
          <w:rFonts w:ascii="Cambria" w:eastAsia="Arial Unicode MS" w:hAnsi="Cambria" w:cs="Arial"/>
          <w:sz w:val="20"/>
          <w:szCs w:val="20"/>
          <w:bdr w:val="none" w:sz="0" w:space="0" w:color="auto"/>
          <w:lang w:val="es-CO" w:eastAsia="en-US"/>
        </w:rPr>
        <w:t xml:space="preserve"> </w:t>
      </w:r>
      <w:r w:rsidR="007D4A83" w:rsidRPr="00D02BFE">
        <w:rPr>
          <w:rFonts w:ascii="Cambria" w:eastAsia="Arial Unicode MS" w:hAnsi="Cambria" w:cs="Arial"/>
          <w:sz w:val="20"/>
          <w:szCs w:val="20"/>
          <w:bdr w:val="none" w:sz="0" w:space="0" w:color="auto"/>
          <w:lang w:val="es-CO" w:eastAsia="en-US"/>
        </w:rPr>
        <w:t>S</w:t>
      </w:r>
      <w:r w:rsidR="005F460C" w:rsidRPr="00D02BFE">
        <w:rPr>
          <w:rFonts w:ascii="Cambria" w:eastAsia="Arial Unicode MS" w:hAnsi="Cambria" w:cs="Arial"/>
          <w:sz w:val="20"/>
          <w:szCs w:val="20"/>
          <w:bdr w:val="none" w:sz="0" w:space="0" w:color="auto"/>
          <w:lang w:val="es-CO" w:eastAsia="en-US"/>
        </w:rPr>
        <w:t xml:space="preserve">eñaló que </w:t>
      </w:r>
      <w:r w:rsidR="00B6284F" w:rsidRPr="00D02BFE">
        <w:rPr>
          <w:rFonts w:ascii="Cambria" w:eastAsia="Arial Unicode MS" w:hAnsi="Cambria" w:cs="Arial"/>
          <w:sz w:val="20"/>
          <w:szCs w:val="20"/>
          <w:bdr w:val="none" w:sz="0" w:space="0" w:color="auto"/>
          <w:lang w:val="es-CO" w:eastAsia="en-US"/>
        </w:rPr>
        <w:t xml:space="preserve">los números de </w:t>
      </w:r>
      <w:r w:rsidR="005F460C" w:rsidRPr="00D02BFE">
        <w:rPr>
          <w:rFonts w:ascii="Cambria" w:eastAsia="Arial Unicode MS" w:hAnsi="Cambria" w:cs="Arial"/>
          <w:sz w:val="20"/>
          <w:szCs w:val="20"/>
          <w:bdr w:val="none" w:sz="0" w:space="0" w:color="auto"/>
          <w:lang w:val="es-CO" w:eastAsia="en-US"/>
        </w:rPr>
        <w:t>homicidios de personas defensoras son consolidad</w:t>
      </w:r>
      <w:r w:rsidR="00B6284F" w:rsidRPr="00D02BFE">
        <w:rPr>
          <w:rFonts w:ascii="Cambria" w:eastAsia="Arial Unicode MS" w:hAnsi="Cambria" w:cs="Arial"/>
          <w:sz w:val="20"/>
          <w:szCs w:val="20"/>
          <w:bdr w:val="none" w:sz="0" w:space="0" w:color="auto"/>
          <w:lang w:val="es-CO" w:eastAsia="en-US"/>
        </w:rPr>
        <w:t>o</w:t>
      </w:r>
      <w:r w:rsidR="005F460C" w:rsidRPr="00D02BFE">
        <w:rPr>
          <w:rFonts w:ascii="Cambria" w:eastAsia="Arial Unicode MS" w:hAnsi="Cambria" w:cs="Arial"/>
          <w:sz w:val="20"/>
          <w:szCs w:val="20"/>
          <w:bdr w:val="none" w:sz="0" w:space="0" w:color="auto"/>
          <w:lang w:val="es-CO" w:eastAsia="en-US"/>
        </w:rPr>
        <w:t>s por la Consejería Presidencial</w:t>
      </w:r>
      <w:r w:rsidRPr="00D02BFE">
        <w:rPr>
          <w:rFonts w:ascii="Cambria" w:eastAsia="Arial Unicode MS" w:hAnsi="Cambria" w:cs="Arial"/>
          <w:sz w:val="20"/>
          <w:szCs w:val="20"/>
          <w:bdr w:val="none" w:sz="0" w:space="0" w:color="auto"/>
          <w:lang w:val="es-CO" w:eastAsia="en-US"/>
        </w:rPr>
        <w:t xml:space="preserve"> </w:t>
      </w:r>
      <w:r w:rsidR="005F460C" w:rsidRPr="00D02BFE">
        <w:rPr>
          <w:rFonts w:ascii="Cambria" w:eastAsia="Arial Unicode MS" w:hAnsi="Cambria" w:cs="Arial"/>
          <w:sz w:val="20"/>
          <w:szCs w:val="20"/>
          <w:bdr w:val="none" w:sz="0" w:space="0" w:color="auto"/>
          <w:lang w:val="es-CO" w:eastAsia="en-US"/>
        </w:rPr>
        <w:t>para los Derechos Humanos y Asuntos Internacionales</w:t>
      </w:r>
      <w:r w:rsidRPr="00D02BFE">
        <w:rPr>
          <w:rFonts w:ascii="Cambria" w:eastAsia="Arial Unicode MS" w:hAnsi="Cambria" w:cs="Arial"/>
          <w:sz w:val="20"/>
          <w:szCs w:val="20"/>
          <w:bdr w:val="none" w:sz="0" w:space="0" w:color="auto"/>
          <w:lang w:val="es-CO" w:eastAsia="en-US"/>
        </w:rPr>
        <w:t xml:space="preserve"> </w:t>
      </w:r>
      <w:r w:rsidR="007D4A83" w:rsidRPr="00D02BFE">
        <w:rPr>
          <w:rFonts w:ascii="Cambria" w:eastAsia="Arial Unicode MS" w:hAnsi="Cambria" w:cs="Arial"/>
          <w:sz w:val="20"/>
          <w:szCs w:val="20"/>
          <w:bdr w:val="none" w:sz="0" w:space="0" w:color="auto"/>
          <w:lang w:val="es-CO" w:eastAsia="en-US"/>
        </w:rPr>
        <w:t>como un gran esfuerzo del gobierno</w:t>
      </w:r>
      <w:r w:rsidRPr="00D02BFE">
        <w:rPr>
          <w:rFonts w:ascii="Cambria" w:eastAsia="Arial Unicode MS" w:hAnsi="Cambria" w:cs="Arial"/>
          <w:sz w:val="20"/>
          <w:szCs w:val="20"/>
          <w:bdr w:val="none" w:sz="0" w:space="0" w:color="auto"/>
          <w:lang w:val="es-CO" w:eastAsia="en-US"/>
        </w:rPr>
        <w:t>. Describió el proceso de recolección de estas cifras</w:t>
      </w:r>
      <w:r w:rsidR="005F460C" w:rsidRPr="00D02BFE">
        <w:rPr>
          <w:rFonts w:ascii="Cambria" w:eastAsia="Arial Unicode MS" w:hAnsi="Cambria" w:cs="Arial"/>
          <w:sz w:val="20"/>
          <w:szCs w:val="20"/>
          <w:bdr w:val="none" w:sz="0" w:space="0" w:color="auto"/>
          <w:lang w:val="es-CO" w:eastAsia="en-US"/>
        </w:rPr>
        <w:t xml:space="preserve">, </w:t>
      </w:r>
      <w:r w:rsidR="007D4A83" w:rsidRPr="00D02BFE">
        <w:rPr>
          <w:rFonts w:ascii="Cambria" w:eastAsia="Arial Unicode MS" w:hAnsi="Cambria" w:cs="Arial"/>
          <w:sz w:val="20"/>
          <w:szCs w:val="20"/>
          <w:bdr w:val="none" w:sz="0" w:space="0" w:color="auto"/>
          <w:lang w:val="es-CO" w:eastAsia="en-US"/>
        </w:rPr>
        <w:t>que</w:t>
      </w:r>
      <w:r w:rsidR="005F460C" w:rsidRPr="00D02BFE">
        <w:rPr>
          <w:rFonts w:ascii="Cambria" w:eastAsia="Arial Unicode MS" w:hAnsi="Cambria" w:cs="Arial"/>
          <w:sz w:val="20"/>
          <w:szCs w:val="20"/>
          <w:bdr w:val="none" w:sz="0" w:space="0" w:color="auto"/>
          <w:lang w:val="es-CO" w:eastAsia="en-US"/>
        </w:rPr>
        <w:t xml:space="preserve"> cuenta con el apoyo de OACNUDH</w:t>
      </w:r>
      <w:r w:rsidR="00855FA6" w:rsidRPr="00D02BFE">
        <w:rPr>
          <w:rFonts w:ascii="Cambria" w:eastAsia="Arial Unicode MS" w:hAnsi="Cambria" w:cs="Arial"/>
          <w:sz w:val="20"/>
          <w:szCs w:val="20"/>
          <w:bdr w:val="none" w:sz="0" w:space="0" w:color="auto"/>
          <w:lang w:val="es-CO" w:eastAsia="en-US"/>
        </w:rPr>
        <w:t xml:space="preserve">, </w:t>
      </w:r>
      <w:r w:rsidRPr="00D02BFE">
        <w:rPr>
          <w:rFonts w:ascii="Cambria" w:eastAsia="Arial Unicode MS" w:hAnsi="Cambria" w:cs="Arial"/>
          <w:sz w:val="20"/>
          <w:szCs w:val="20"/>
          <w:bdr w:val="none" w:sz="0" w:space="0" w:color="auto"/>
          <w:lang w:val="es-CO" w:eastAsia="en-US"/>
        </w:rPr>
        <w:t>organización que informa</w:t>
      </w:r>
      <w:r w:rsidR="00855FA6" w:rsidRPr="00D02BFE">
        <w:rPr>
          <w:rFonts w:ascii="Cambria" w:eastAsia="Arial Unicode MS" w:hAnsi="Cambria" w:cs="Arial"/>
          <w:sz w:val="20"/>
          <w:szCs w:val="20"/>
          <w:bdr w:val="none" w:sz="0" w:space="0" w:color="auto"/>
          <w:lang w:val="es-CO" w:eastAsia="en-US"/>
        </w:rPr>
        <w:t xml:space="preserve"> a la </w:t>
      </w:r>
      <w:proofErr w:type="gramStart"/>
      <w:r w:rsidR="00855FA6" w:rsidRPr="00D02BFE">
        <w:rPr>
          <w:rFonts w:ascii="Cambria" w:eastAsia="Arial Unicode MS" w:hAnsi="Cambria" w:cs="Arial"/>
          <w:sz w:val="20"/>
          <w:szCs w:val="20"/>
          <w:bdr w:val="none" w:sz="0" w:space="0" w:color="auto"/>
          <w:lang w:val="es-CO" w:eastAsia="en-US"/>
        </w:rPr>
        <w:t>Fiscalía General</w:t>
      </w:r>
      <w:proofErr w:type="gramEnd"/>
      <w:r w:rsidR="00855FA6" w:rsidRPr="00D02BFE">
        <w:rPr>
          <w:rFonts w:ascii="Cambria" w:eastAsia="Arial Unicode MS" w:hAnsi="Cambria" w:cs="Arial"/>
          <w:sz w:val="20"/>
          <w:szCs w:val="20"/>
          <w:bdr w:val="none" w:sz="0" w:space="0" w:color="auto"/>
          <w:lang w:val="es-CO" w:eastAsia="en-US"/>
        </w:rPr>
        <w:t xml:space="preserve"> de la Nación y </w:t>
      </w:r>
      <w:r w:rsidRPr="00D02BFE">
        <w:rPr>
          <w:rFonts w:ascii="Cambria" w:eastAsia="Arial Unicode MS" w:hAnsi="Cambria" w:cs="Arial"/>
          <w:sz w:val="20"/>
          <w:szCs w:val="20"/>
          <w:bdr w:val="none" w:sz="0" w:space="0" w:color="auto"/>
          <w:lang w:val="es-CO" w:eastAsia="en-US"/>
        </w:rPr>
        <w:t xml:space="preserve">a </w:t>
      </w:r>
      <w:r w:rsidR="00855FA6" w:rsidRPr="00D02BFE">
        <w:rPr>
          <w:rFonts w:ascii="Cambria" w:eastAsia="Arial Unicode MS" w:hAnsi="Cambria" w:cs="Arial"/>
          <w:sz w:val="20"/>
          <w:szCs w:val="20"/>
          <w:bdr w:val="none" w:sz="0" w:space="0" w:color="auto"/>
          <w:lang w:val="es-CO" w:eastAsia="en-US"/>
        </w:rPr>
        <w:t xml:space="preserve">la Consejería Presidencial </w:t>
      </w:r>
      <w:r w:rsidR="00B6284F" w:rsidRPr="00D02BFE">
        <w:rPr>
          <w:rFonts w:ascii="Cambria" w:eastAsia="Arial Unicode MS" w:hAnsi="Cambria" w:cs="Arial"/>
          <w:sz w:val="20"/>
          <w:szCs w:val="20"/>
          <w:bdr w:val="none" w:sz="0" w:space="0" w:color="auto"/>
          <w:lang w:val="es-CO" w:eastAsia="en-US"/>
        </w:rPr>
        <w:t>los homicidios reportados contra una persona defensora de derechos humanos o que ejerce liderazgo social</w:t>
      </w:r>
      <w:r w:rsidR="00855FA6" w:rsidRPr="00D02BFE">
        <w:rPr>
          <w:rFonts w:ascii="Cambria" w:eastAsia="Arial Unicode MS" w:hAnsi="Cambria" w:cs="Arial"/>
          <w:sz w:val="20"/>
          <w:szCs w:val="20"/>
          <w:bdr w:val="none" w:sz="0" w:space="0" w:color="auto"/>
          <w:lang w:val="es-CO" w:eastAsia="en-US"/>
        </w:rPr>
        <w:t xml:space="preserve">. </w:t>
      </w:r>
      <w:r w:rsidR="00B15CA5" w:rsidRPr="00D02BFE">
        <w:rPr>
          <w:rFonts w:ascii="Cambria" w:eastAsia="Arial Unicode MS" w:hAnsi="Cambria" w:cs="Arial"/>
          <w:sz w:val="20"/>
          <w:szCs w:val="20"/>
          <w:bdr w:val="none" w:sz="0" w:space="0" w:color="auto"/>
          <w:lang w:val="es-CO" w:eastAsia="en-US"/>
        </w:rPr>
        <w:t>La</w:t>
      </w:r>
      <w:r w:rsidR="00855FA6" w:rsidRPr="00D02BFE">
        <w:rPr>
          <w:rFonts w:ascii="Cambria" w:eastAsia="Arial Unicode MS" w:hAnsi="Cambria" w:cs="Arial"/>
          <w:sz w:val="20"/>
          <w:szCs w:val="20"/>
          <w:bdr w:val="none" w:sz="0" w:space="0" w:color="auto"/>
          <w:lang w:val="es-CO" w:eastAsia="en-US"/>
        </w:rPr>
        <w:t xml:space="preserve"> Consejería lidera sesiones semanales para reportar las cifras.</w:t>
      </w:r>
      <w:r w:rsidR="00B15CA5" w:rsidRPr="00D02BFE">
        <w:rPr>
          <w:rFonts w:ascii="Cambria" w:eastAsia="Arial Unicode MS" w:hAnsi="Cambria" w:cs="Arial"/>
          <w:sz w:val="20"/>
          <w:szCs w:val="20"/>
          <w:bdr w:val="none" w:sz="0" w:space="0" w:color="auto"/>
          <w:lang w:val="es-CO" w:eastAsia="en-US"/>
        </w:rPr>
        <w:t xml:space="preserve"> R</w:t>
      </w:r>
      <w:r w:rsidR="00C80406" w:rsidRPr="00D02BFE">
        <w:rPr>
          <w:rFonts w:ascii="Cambria" w:eastAsia="Arial Unicode MS" w:hAnsi="Cambria" w:cs="Arial"/>
          <w:sz w:val="20"/>
          <w:szCs w:val="20"/>
          <w:bdr w:val="none" w:sz="0" w:space="0" w:color="auto"/>
          <w:lang w:val="es-CO" w:eastAsia="en-US"/>
        </w:rPr>
        <w:t xml:space="preserve">econoció que la consolidación de estas cifras considera las labores </w:t>
      </w:r>
      <w:r w:rsidR="00B15CA5" w:rsidRPr="00D02BFE">
        <w:rPr>
          <w:rFonts w:ascii="Cambria" w:eastAsia="Arial Unicode MS" w:hAnsi="Cambria" w:cs="Arial"/>
          <w:sz w:val="20"/>
          <w:szCs w:val="20"/>
          <w:bdr w:val="none" w:sz="0" w:space="0" w:color="auto"/>
          <w:lang w:val="es-CO" w:eastAsia="en-US"/>
        </w:rPr>
        <w:t>de</w:t>
      </w:r>
      <w:r w:rsidR="00C80406" w:rsidRPr="00D02BFE">
        <w:rPr>
          <w:rFonts w:ascii="Cambria" w:eastAsia="Arial Unicode MS" w:hAnsi="Cambria" w:cs="Arial"/>
          <w:sz w:val="20"/>
          <w:szCs w:val="20"/>
          <w:bdr w:val="none" w:sz="0" w:space="0" w:color="auto"/>
          <w:lang w:val="es-CO" w:eastAsia="en-US"/>
        </w:rPr>
        <w:t xml:space="preserve"> INDEPAZ y por Somos Defensoras</w:t>
      </w:r>
      <w:r w:rsidRPr="00D02BFE">
        <w:rPr>
          <w:rFonts w:ascii="Cambria" w:eastAsia="Arial Unicode MS" w:hAnsi="Cambria" w:cs="Arial"/>
          <w:sz w:val="20"/>
          <w:szCs w:val="20"/>
          <w:bdr w:val="none" w:sz="0" w:space="0" w:color="auto"/>
          <w:lang w:val="es-CO" w:eastAsia="en-US"/>
        </w:rPr>
        <w:t xml:space="preserve">. Algunas cifras reportadas por el Estado señalan: </w:t>
      </w:r>
    </w:p>
    <w:p w14:paraId="3FE74440" w14:textId="77777777" w:rsidR="00855FA6" w:rsidRPr="00D02BFE" w:rsidRDefault="00C80406" w:rsidP="00B7752F">
      <w:pPr>
        <w:numPr>
          <w:ilvl w:val="0"/>
          <w:numId w:val="40"/>
        </w:numPr>
        <w:spacing w:after="0" w:line="240" w:lineRule="auto"/>
        <w:jc w:val="both"/>
        <w:rPr>
          <w:rFonts w:ascii="Cambria" w:eastAsia="Cambria" w:hAnsi="Cambria" w:cs="Cambria"/>
          <w:sz w:val="20"/>
          <w:szCs w:val="20"/>
          <w:lang w:val="es-CO"/>
        </w:rPr>
      </w:pPr>
      <w:r w:rsidRPr="00D02BFE">
        <w:rPr>
          <w:rFonts w:ascii="Cambria" w:eastAsia="Cambria" w:hAnsi="Cambria" w:cs="Cambria"/>
          <w:sz w:val="20"/>
          <w:szCs w:val="20"/>
          <w:lang w:val="es-CO"/>
        </w:rPr>
        <w:t xml:space="preserve">Del </w:t>
      </w:r>
      <w:r w:rsidR="00855FA6" w:rsidRPr="00D02BFE">
        <w:rPr>
          <w:rFonts w:ascii="Cambria" w:eastAsia="Cambria" w:hAnsi="Cambria" w:cs="Cambria"/>
          <w:sz w:val="20"/>
          <w:szCs w:val="20"/>
          <w:lang w:val="es-CO"/>
        </w:rPr>
        <w:t>7 de agosto de 2018 al 28 de noviembre de 2020</w:t>
      </w:r>
      <w:r w:rsidRPr="00D02BFE">
        <w:rPr>
          <w:rFonts w:ascii="Cambria" w:eastAsia="Cambria" w:hAnsi="Cambria" w:cs="Cambria"/>
          <w:sz w:val="20"/>
          <w:szCs w:val="20"/>
          <w:lang w:val="es-CO"/>
        </w:rPr>
        <w:t xml:space="preserve">, </w:t>
      </w:r>
      <w:r w:rsidR="00855FA6" w:rsidRPr="00D02BFE">
        <w:rPr>
          <w:rFonts w:ascii="Cambria" w:eastAsia="Cambria" w:hAnsi="Cambria" w:cs="Cambria"/>
          <w:sz w:val="20"/>
          <w:szCs w:val="20"/>
          <w:lang w:val="es-CO"/>
        </w:rPr>
        <w:t>194 homicidios</w:t>
      </w:r>
      <w:r w:rsidR="00B6284F" w:rsidRPr="00D02BFE">
        <w:rPr>
          <w:rFonts w:ascii="Cambria" w:eastAsia="Cambria" w:hAnsi="Cambria" w:cs="Cambria"/>
          <w:sz w:val="20"/>
          <w:szCs w:val="20"/>
          <w:lang w:val="es-CO"/>
        </w:rPr>
        <w:t xml:space="preserve"> </w:t>
      </w:r>
      <w:r w:rsidR="00855FA6" w:rsidRPr="00D02BFE">
        <w:rPr>
          <w:rFonts w:ascii="Cambria" w:eastAsia="Cambria" w:hAnsi="Cambria" w:cs="Cambria"/>
          <w:sz w:val="20"/>
          <w:szCs w:val="20"/>
          <w:lang w:val="es-CO"/>
        </w:rPr>
        <w:t xml:space="preserve">(39 en 2018; 108 en 2019 y 53 en 2020). </w:t>
      </w:r>
    </w:p>
    <w:p w14:paraId="263214AE" w14:textId="77777777" w:rsidR="00C80406" w:rsidRPr="00D02BFE" w:rsidRDefault="00C80406" w:rsidP="00B7752F">
      <w:pPr>
        <w:numPr>
          <w:ilvl w:val="0"/>
          <w:numId w:val="40"/>
        </w:numPr>
        <w:spacing w:after="0" w:line="240" w:lineRule="auto"/>
        <w:jc w:val="both"/>
        <w:rPr>
          <w:rFonts w:ascii="Cambria" w:eastAsia="Cambria" w:hAnsi="Cambria" w:cs="Cambria"/>
          <w:sz w:val="20"/>
          <w:szCs w:val="20"/>
          <w:lang w:val="es-CO"/>
        </w:rPr>
      </w:pPr>
      <w:r w:rsidRPr="00D02BFE">
        <w:rPr>
          <w:rFonts w:ascii="Cambria" w:eastAsia="Cambria" w:hAnsi="Cambria" w:cs="Cambria"/>
          <w:sz w:val="20"/>
          <w:szCs w:val="20"/>
          <w:lang w:val="es-CO"/>
        </w:rPr>
        <w:t xml:space="preserve">Del </w:t>
      </w:r>
      <w:r w:rsidR="00855FA6" w:rsidRPr="00D02BFE">
        <w:rPr>
          <w:rFonts w:ascii="Cambria" w:eastAsia="Cambria" w:hAnsi="Cambria" w:cs="Cambria"/>
          <w:sz w:val="20"/>
          <w:szCs w:val="20"/>
          <w:lang w:val="es-CO"/>
        </w:rPr>
        <w:t>1 de enero a 28 de noviembre de 2020</w:t>
      </w:r>
      <w:r w:rsidRPr="00D02BFE">
        <w:rPr>
          <w:rFonts w:ascii="Cambria" w:eastAsia="Cambria" w:hAnsi="Cambria" w:cs="Cambria"/>
          <w:sz w:val="20"/>
          <w:szCs w:val="20"/>
          <w:lang w:val="es-CO"/>
        </w:rPr>
        <w:t xml:space="preserve">, </w:t>
      </w:r>
      <w:r w:rsidR="00855FA6" w:rsidRPr="00D02BFE">
        <w:rPr>
          <w:rFonts w:ascii="Cambria" w:eastAsia="Cambria" w:hAnsi="Cambria" w:cs="Cambria"/>
          <w:sz w:val="20"/>
          <w:szCs w:val="20"/>
          <w:lang w:val="es-CO"/>
        </w:rPr>
        <w:t>53 homicidios</w:t>
      </w:r>
      <w:r w:rsidR="00B6284F" w:rsidRPr="00D02BFE">
        <w:rPr>
          <w:rFonts w:ascii="Cambria" w:eastAsia="Cambria" w:hAnsi="Cambria" w:cs="Cambria"/>
          <w:sz w:val="20"/>
          <w:szCs w:val="20"/>
          <w:lang w:val="es-CO"/>
        </w:rPr>
        <w:t xml:space="preserve"> registrados</w:t>
      </w:r>
      <w:r w:rsidR="00855FA6" w:rsidRPr="00D02BFE">
        <w:rPr>
          <w:rFonts w:ascii="Cambria" w:eastAsia="Cambria" w:hAnsi="Cambria" w:cs="Cambria"/>
          <w:sz w:val="20"/>
          <w:szCs w:val="20"/>
          <w:lang w:val="es-CO"/>
        </w:rPr>
        <w:t>, con las mayores cifras en enero y febrero (12 homicidios en cada mes).</w:t>
      </w:r>
    </w:p>
    <w:p w14:paraId="6A503159" w14:textId="77777777" w:rsidR="00855FA6" w:rsidRPr="00D02BFE" w:rsidRDefault="00855FA6" w:rsidP="00B7752F">
      <w:pPr>
        <w:numPr>
          <w:ilvl w:val="0"/>
          <w:numId w:val="40"/>
        </w:numPr>
        <w:spacing w:after="0" w:line="240" w:lineRule="auto"/>
        <w:jc w:val="both"/>
        <w:rPr>
          <w:rFonts w:ascii="Cambria" w:eastAsia="Cambria" w:hAnsi="Cambria" w:cs="Cambria"/>
          <w:sz w:val="20"/>
          <w:szCs w:val="20"/>
          <w:lang w:val="es-CO"/>
        </w:rPr>
      </w:pPr>
      <w:r w:rsidRPr="00D02BFE">
        <w:rPr>
          <w:rFonts w:ascii="Cambria" w:eastAsia="Cambria" w:hAnsi="Cambria" w:cs="Cambria"/>
          <w:sz w:val="20"/>
          <w:szCs w:val="20"/>
          <w:lang w:val="es-CO"/>
        </w:rPr>
        <w:t xml:space="preserve"> </w:t>
      </w:r>
      <w:r w:rsidR="00C80406" w:rsidRPr="00D02BFE">
        <w:rPr>
          <w:rFonts w:ascii="Cambria" w:eastAsia="Cambria" w:hAnsi="Cambria" w:cs="Cambria"/>
          <w:sz w:val="20"/>
          <w:szCs w:val="20"/>
          <w:lang w:val="es-CO"/>
        </w:rPr>
        <w:t>En 2018, 115 homicidios y en 2019, 108 homicidios</w:t>
      </w:r>
      <w:r w:rsidR="00B6284F" w:rsidRPr="00D02BFE">
        <w:rPr>
          <w:rFonts w:ascii="Cambria" w:eastAsia="Cambria" w:hAnsi="Cambria" w:cs="Cambria"/>
          <w:sz w:val="20"/>
          <w:szCs w:val="20"/>
          <w:lang w:val="es-CO"/>
        </w:rPr>
        <w:t xml:space="preserve"> registrados.</w:t>
      </w:r>
    </w:p>
    <w:p w14:paraId="218210E1" w14:textId="77777777" w:rsidR="005F460C" w:rsidRPr="00D02BFE" w:rsidRDefault="005F460C" w:rsidP="00B6284F">
      <w:pPr>
        <w:spacing w:after="0" w:line="240" w:lineRule="auto"/>
        <w:jc w:val="both"/>
        <w:rPr>
          <w:rFonts w:ascii="Cambria" w:eastAsia="Cambria" w:hAnsi="Cambria" w:cs="Cambria"/>
          <w:sz w:val="20"/>
          <w:szCs w:val="20"/>
          <w:lang w:val="es-CO"/>
        </w:rPr>
      </w:pPr>
    </w:p>
    <w:p w14:paraId="15CE50A5" w14:textId="77777777" w:rsidR="00E54577" w:rsidRPr="00D02BFE" w:rsidRDefault="00733537" w:rsidP="00E54577">
      <w:pPr>
        <w:numPr>
          <w:ilvl w:val="0"/>
          <w:numId w:val="37"/>
        </w:numPr>
        <w:spacing w:after="0" w:line="240" w:lineRule="auto"/>
        <w:jc w:val="both"/>
        <w:rPr>
          <w:rFonts w:ascii="Cambria" w:eastAsia="Cambria" w:hAnsi="Cambria" w:cs="Cambria"/>
          <w:sz w:val="20"/>
          <w:szCs w:val="20"/>
          <w:lang w:val="es-ES_tradnl"/>
        </w:rPr>
      </w:pPr>
      <w:r w:rsidRPr="00D02BFE">
        <w:rPr>
          <w:rFonts w:ascii="Cambria" w:eastAsia="Cambria" w:hAnsi="Cambria" w:cs="Cambria"/>
          <w:i/>
          <w:iCs/>
          <w:sz w:val="20"/>
          <w:szCs w:val="20"/>
          <w:lang w:val="es-ES_tradnl"/>
        </w:rPr>
        <w:t xml:space="preserve">Análisis de estigmatización de personas defensoras y líderes sociales: </w:t>
      </w:r>
      <w:r w:rsidR="00A0715D" w:rsidRPr="00D02BFE">
        <w:rPr>
          <w:rFonts w:ascii="Cambria" w:eastAsia="Cambria" w:hAnsi="Cambria" w:cs="Cambria"/>
          <w:sz w:val="20"/>
          <w:szCs w:val="20"/>
          <w:lang w:val="es-ES_tradnl"/>
        </w:rPr>
        <w:t>L</w:t>
      </w:r>
      <w:r w:rsidRPr="00D02BFE">
        <w:rPr>
          <w:rFonts w:ascii="Cambria" w:eastAsia="Cambria" w:hAnsi="Cambria" w:cs="Cambria"/>
          <w:sz w:val="20"/>
          <w:szCs w:val="20"/>
          <w:lang w:val="es-ES_tradnl"/>
        </w:rPr>
        <w:t>a Organización Internacional para las Migraciones</w:t>
      </w:r>
      <w:r w:rsidR="00A0715D" w:rsidRPr="00D02BFE">
        <w:rPr>
          <w:rFonts w:ascii="Cambria" w:eastAsia="Cambria" w:hAnsi="Cambria" w:cs="Cambria"/>
          <w:sz w:val="20"/>
          <w:szCs w:val="20"/>
          <w:lang w:val="es-ES_tradnl"/>
        </w:rPr>
        <w:t xml:space="preserve"> (OIM)</w:t>
      </w:r>
      <w:r w:rsidRPr="00D02BFE">
        <w:rPr>
          <w:rFonts w:ascii="Cambria" w:eastAsia="Cambria" w:hAnsi="Cambria" w:cs="Cambria"/>
          <w:sz w:val="20"/>
          <w:szCs w:val="20"/>
          <w:lang w:val="es-ES_tradnl"/>
        </w:rPr>
        <w:t xml:space="preserve"> y el Ministerio del Interior</w:t>
      </w:r>
      <w:r w:rsidR="00A0715D" w:rsidRPr="00D02BFE">
        <w:rPr>
          <w:rFonts w:ascii="Cambria" w:eastAsia="Cambria" w:hAnsi="Cambria" w:cs="Cambria"/>
          <w:sz w:val="20"/>
          <w:szCs w:val="20"/>
          <w:lang w:val="es-ES_tradnl"/>
        </w:rPr>
        <w:t xml:space="preserve"> realizaron </w:t>
      </w:r>
      <w:r w:rsidRPr="00D02BFE">
        <w:rPr>
          <w:rFonts w:ascii="Cambria" w:eastAsia="Cambria" w:hAnsi="Cambria" w:cs="Cambria"/>
          <w:sz w:val="20"/>
          <w:szCs w:val="20"/>
          <w:lang w:val="es-ES_tradnl"/>
        </w:rPr>
        <w:t>investigación cualitativa con grupos focales.</w:t>
      </w:r>
    </w:p>
    <w:p w14:paraId="26F899AB" w14:textId="77777777" w:rsidR="00A0715D" w:rsidRPr="00D02BFE" w:rsidRDefault="00A0715D" w:rsidP="00A0715D">
      <w:pPr>
        <w:spacing w:after="0" w:line="240" w:lineRule="auto"/>
        <w:ind w:left="720"/>
        <w:jc w:val="both"/>
        <w:rPr>
          <w:rFonts w:ascii="Cambria" w:eastAsia="Cambria" w:hAnsi="Cambria" w:cs="Cambria"/>
          <w:sz w:val="20"/>
          <w:szCs w:val="20"/>
          <w:lang w:val="es-ES_tradnl"/>
        </w:rPr>
      </w:pPr>
    </w:p>
    <w:p w14:paraId="2A2BF2CA" w14:textId="77777777" w:rsidR="0020777D" w:rsidRPr="00D02BFE" w:rsidRDefault="00291558" w:rsidP="00F73AE3">
      <w:pPr>
        <w:numPr>
          <w:ilvl w:val="0"/>
          <w:numId w:val="37"/>
        </w:numPr>
        <w:spacing w:after="0" w:line="240" w:lineRule="auto"/>
        <w:jc w:val="both"/>
        <w:rPr>
          <w:rFonts w:ascii="Cambria" w:eastAsia="Arial Unicode MS" w:hAnsi="Cambria" w:cs="Arial"/>
          <w:sz w:val="20"/>
          <w:szCs w:val="20"/>
          <w:bdr w:val="none" w:sz="0" w:space="0" w:color="auto"/>
          <w:lang w:val="es-CO" w:eastAsia="en-US"/>
        </w:rPr>
      </w:pPr>
      <w:r w:rsidRPr="00D02BFE">
        <w:rPr>
          <w:rFonts w:ascii="Cambria" w:eastAsia="Cambria" w:hAnsi="Cambria" w:cs="Cambria"/>
          <w:i/>
          <w:iCs/>
          <w:sz w:val="20"/>
          <w:szCs w:val="20"/>
          <w:lang w:val="es-ES_tradnl"/>
        </w:rPr>
        <w:t xml:space="preserve">Programa </w:t>
      </w:r>
      <w:r w:rsidR="00A0715D" w:rsidRPr="00D02BFE">
        <w:rPr>
          <w:rFonts w:ascii="Cambria" w:eastAsia="Cambria" w:hAnsi="Cambria" w:cs="Cambria"/>
          <w:i/>
          <w:iCs/>
          <w:sz w:val="20"/>
          <w:szCs w:val="20"/>
          <w:lang w:val="es-ES_tradnl"/>
        </w:rPr>
        <w:t>i</w:t>
      </w:r>
      <w:r w:rsidRPr="00D02BFE">
        <w:rPr>
          <w:rFonts w:ascii="Cambria" w:eastAsia="Cambria" w:hAnsi="Cambria" w:cs="Cambria"/>
          <w:i/>
          <w:iCs/>
          <w:sz w:val="20"/>
          <w:szCs w:val="20"/>
          <w:lang w:val="es-ES_tradnl"/>
        </w:rPr>
        <w:t xml:space="preserve">ntegral de </w:t>
      </w:r>
      <w:r w:rsidR="00A0715D" w:rsidRPr="00D02BFE">
        <w:rPr>
          <w:rFonts w:ascii="Cambria" w:eastAsia="Cambria" w:hAnsi="Cambria" w:cs="Cambria"/>
          <w:i/>
          <w:iCs/>
          <w:sz w:val="20"/>
          <w:szCs w:val="20"/>
          <w:lang w:val="es-ES_tradnl"/>
        </w:rPr>
        <w:t>s</w:t>
      </w:r>
      <w:r w:rsidRPr="00D02BFE">
        <w:rPr>
          <w:rFonts w:ascii="Cambria" w:eastAsia="Cambria" w:hAnsi="Cambria" w:cs="Cambria"/>
          <w:i/>
          <w:iCs/>
          <w:sz w:val="20"/>
          <w:szCs w:val="20"/>
          <w:lang w:val="es-ES_tradnl"/>
        </w:rPr>
        <w:t>eguridad para las comunidades y organizaciones en los territorios</w:t>
      </w:r>
      <w:r w:rsidRPr="00D02BFE">
        <w:rPr>
          <w:rFonts w:ascii="Cambria" w:eastAsia="Cambria" w:hAnsi="Cambria" w:cs="Cambria"/>
          <w:sz w:val="20"/>
          <w:szCs w:val="20"/>
          <w:lang w:val="es-ES_tradnl"/>
        </w:rPr>
        <w:t xml:space="preserve"> (artículo 14 del Decreto 895 de 2017)</w:t>
      </w:r>
      <w:r w:rsidR="005472E4" w:rsidRPr="00D02BFE">
        <w:rPr>
          <w:rFonts w:ascii="Cambria" w:eastAsia="Cambria" w:hAnsi="Cambria" w:cs="Cambria"/>
          <w:sz w:val="20"/>
          <w:szCs w:val="20"/>
          <w:lang w:val="es-ES_tradnl"/>
        </w:rPr>
        <w:t xml:space="preserve">: </w:t>
      </w:r>
      <w:r w:rsidR="004778A6" w:rsidRPr="00D02BFE">
        <w:rPr>
          <w:rFonts w:ascii="Cambria" w:eastAsia="Cambria" w:hAnsi="Cambria" w:cs="Cambria"/>
          <w:sz w:val="20"/>
          <w:szCs w:val="20"/>
          <w:lang w:val="es-ES_tradnl"/>
        </w:rPr>
        <w:t>Los</w:t>
      </w:r>
      <w:r w:rsidR="005472E4" w:rsidRPr="00D02BFE">
        <w:rPr>
          <w:rFonts w:ascii="Cambria" w:eastAsia="Cambria" w:hAnsi="Cambria" w:cs="Cambria"/>
          <w:sz w:val="20"/>
          <w:szCs w:val="20"/>
          <w:lang w:val="es-ES_tradnl"/>
        </w:rPr>
        <w:t xml:space="preserve"> avances </w:t>
      </w:r>
      <w:r w:rsidR="004778A6" w:rsidRPr="00D02BFE">
        <w:rPr>
          <w:rFonts w:ascii="Cambria" w:eastAsia="Cambria" w:hAnsi="Cambria" w:cs="Cambria"/>
          <w:sz w:val="20"/>
          <w:szCs w:val="20"/>
          <w:lang w:val="es-ES_tradnl"/>
        </w:rPr>
        <w:t>reportados fueron</w:t>
      </w:r>
      <w:r w:rsidR="005472E4" w:rsidRPr="00D02BFE">
        <w:rPr>
          <w:rFonts w:ascii="Cambria" w:eastAsia="Cambria" w:hAnsi="Cambria" w:cs="Cambria"/>
          <w:sz w:val="20"/>
          <w:szCs w:val="20"/>
          <w:lang w:val="es-ES_tradnl"/>
        </w:rPr>
        <w:t xml:space="preserve"> la instalación y dos sesiones de</w:t>
      </w:r>
      <w:r w:rsidR="004778A6" w:rsidRPr="00D02BFE">
        <w:rPr>
          <w:rFonts w:ascii="Cambria" w:eastAsia="Cambria" w:hAnsi="Cambria" w:cs="Cambria"/>
          <w:sz w:val="20"/>
          <w:szCs w:val="20"/>
          <w:lang w:val="es-ES_tradnl"/>
        </w:rPr>
        <w:t xml:space="preserve"> su</w:t>
      </w:r>
      <w:r w:rsidR="005472E4" w:rsidRPr="00D02BFE">
        <w:rPr>
          <w:rFonts w:ascii="Cambria" w:eastAsia="Cambria" w:hAnsi="Cambria" w:cs="Cambria"/>
          <w:sz w:val="20"/>
          <w:szCs w:val="20"/>
          <w:lang w:val="es-ES_tradnl"/>
        </w:rPr>
        <w:t xml:space="preserve"> Comité Técnico en 2020; elaboración de</w:t>
      </w:r>
      <w:r w:rsidR="00E54577" w:rsidRPr="00D02BFE">
        <w:rPr>
          <w:rFonts w:ascii="Cambria" w:eastAsia="Cambria" w:hAnsi="Cambria" w:cs="Cambria"/>
          <w:sz w:val="20"/>
          <w:szCs w:val="20"/>
          <w:lang w:val="es-ES_tradnl"/>
        </w:rPr>
        <w:t xml:space="preserve"> su</w:t>
      </w:r>
      <w:r w:rsidR="005472E4" w:rsidRPr="00D02BFE">
        <w:rPr>
          <w:rFonts w:ascii="Cambria" w:eastAsia="Cambria" w:hAnsi="Cambria" w:cs="Cambria"/>
          <w:sz w:val="20"/>
          <w:szCs w:val="20"/>
          <w:lang w:val="es-ES_tradnl"/>
        </w:rPr>
        <w:t xml:space="preserve"> reglament</w:t>
      </w:r>
      <w:r w:rsidR="00A0715D" w:rsidRPr="00D02BFE">
        <w:rPr>
          <w:rFonts w:ascii="Cambria" w:eastAsia="Cambria" w:hAnsi="Cambria" w:cs="Cambria"/>
          <w:sz w:val="20"/>
          <w:szCs w:val="20"/>
          <w:lang w:val="es-ES_tradnl"/>
        </w:rPr>
        <w:t>o,</w:t>
      </w:r>
      <w:r w:rsidR="005472E4" w:rsidRPr="00D02BFE">
        <w:rPr>
          <w:rFonts w:ascii="Cambria" w:eastAsia="Cambria" w:hAnsi="Cambria" w:cs="Cambria"/>
          <w:sz w:val="20"/>
          <w:szCs w:val="20"/>
          <w:lang w:val="es-ES_tradnl"/>
        </w:rPr>
        <w:t xml:space="preserve"> metodología de priorización</w:t>
      </w:r>
      <w:r w:rsidR="00A0715D" w:rsidRPr="00D02BFE">
        <w:rPr>
          <w:rFonts w:ascii="Cambria" w:eastAsia="Cambria" w:hAnsi="Cambria" w:cs="Cambria"/>
          <w:sz w:val="20"/>
          <w:szCs w:val="20"/>
          <w:lang w:val="es-ES_tradnl"/>
        </w:rPr>
        <w:t xml:space="preserve">, </w:t>
      </w:r>
      <w:r w:rsidR="005472E4" w:rsidRPr="00D02BFE">
        <w:rPr>
          <w:rFonts w:ascii="Cambria" w:eastAsia="Cambria" w:hAnsi="Cambria" w:cs="Cambria"/>
          <w:sz w:val="20"/>
          <w:szCs w:val="20"/>
          <w:lang w:val="es-ES_tradnl"/>
        </w:rPr>
        <w:t>Plan Operativo Anual</w:t>
      </w:r>
      <w:r w:rsidR="00E54577" w:rsidRPr="00D02BFE">
        <w:rPr>
          <w:rFonts w:ascii="Cambria" w:eastAsia="Cambria" w:hAnsi="Cambria" w:cs="Cambria"/>
          <w:sz w:val="20"/>
          <w:szCs w:val="20"/>
          <w:lang w:val="es-ES_tradnl"/>
        </w:rPr>
        <w:t>;</w:t>
      </w:r>
      <w:r w:rsidR="005472E4" w:rsidRPr="00D02BFE">
        <w:rPr>
          <w:rFonts w:ascii="Cambria" w:eastAsia="Cambria" w:hAnsi="Cambria" w:cs="Cambria"/>
          <w:sz w:val="20"/>
          <w:szCs w:val="20"/>
          <w:lang w:val="es-ES_tradnl"/>
        </w:rPr>
        <w:t xml:space="preserve"> definición de acciones para su socialización y elaboración de guía metodológica para diseñar, gestionar y evaluar planes integrales de prevención. </w:t>
      </w:r>
      <w:r w:rsidR="00A0715D" w:rsidRPr="00D02BFE">
        <w:rPr>
          <w:rFonts w:ascii="Cambria" w:eastAsia="Cambria" w:hAnsi="Cambria" w:cs="Cambria"/>
          <w:sz w:val="20"/>
          <w:szCs w:val="20"/>
          <w:lang w:val="es-ES_tradnl"/>
        </w:rPr>
        <w:t>A</w:t>
      </w:r>
      <w:r w:rsidR="00E54577" w:rsidRPr="00D02BFE">
        <w:rPr>
          <w:rFonts w:ascii="Cambria" w:eastAsia="Cambria" w:hAnsi="Cambria" w:cs="Cambria"/>
          <w:sz w:val="20"/>
          <w:szCs w:val="20"/>
          <w:lang w:val="es-ES_tradnl"/>
        </w:rPr>
        <w:t xml:space="preserve">l momento se han desarrollado 16 procesos de </w:t>
      </w:r>
      <w:r w:rsidR="00E54577" w:rsidRPr="00D02BFE">
        <w:rPr>
          <w:rFonts w:ascii="Cambria" w:eastAsia="Arial Unicode MS" w:hAnsi="Cambria" w:cs="Arial"/>
          <w:sz w:val="20"/>
          <w:szCs w:val="20"/>
          <w:bdr w:val="none" w:sz="0" w:space="0" w:color="auto"/>
          <w:lang w:val="es-CO" w:eastAsia="en-US"/>
        </w:rPr>
        <w:t>acompañamiento a organizaciones y comunidades para dotarlas de</w:t>
      </w:r>
      <w:r w:rsidR="00E54577" w:rsidRPr="00D02BFE">
        <w:rPr>
          <w:rFonts w:ascii="Cambria" w:eastAsia="Cambria" w:hAnsi="Cambria" w:cs="Cambria"/>
          <w:sz w:val="20"/>
          <w:szCs w:val="20"/>
          <w:lang w:val="es-ES_tradnl"/>
        </w:rPr>
        <w:t xml:space="preserve"> </w:t>
      </w:r>
      <w:r w:rsidR="00E54577" w:rsidRPr="00D02BFE">
        <w:rPr>
          <w:rFonts w:ascii="Cambria" w:eastAsia="Arial Unicode MS" w:hAnsi="Cambria" w:cs="Arial"/>
          <w:sz w:val="20"/>
          <w:szCs w:val="20"/>
          <w:bdr w:val="none" w:sz="0" w:space="0" w:color="auto"/>
          <w:lang w:val="es-CO" w:eastAsia="en-US"/>
        </w:rPr>
        <w:t xml:space="preserve">herramientas </w:t>
      </w:r>
      <w:r w:rsidR="00A0715D" w:rsidRPr="00D02BFE">
        <w:rPr>
          <w:rFonts w:ascii="Cambria" w:eastAsia="Arial Unicode MS" w:hAnsi="Cambria" w:cs="Arial"/>
          <w:sz w:val="20"/>
          <w:szCs w:val="20"/>
          <w:bdr w:val="none" w:sz="0" w:space="0" w:color="auto"/>
          <w:lang w:val="es-CO" w:eastAsia="en-US"/>
        </w:rPr>
        <w:t>para</w:t>
      </w:r>
      <w:r w:rsidR="00E54577" w:rsidRPr="00D02BFE">
        <w:rPr>
          <w:rFonts w:ascii="Cambria" w:eastAsia="Arial Unicode MS" w:hAnsi="Cambria" w:cs="Arial"/>
          <w:sz w:val="20"/>
          <w:szCs w:val="20"/>
          <w:bdr w:val="none" w:sz="0" w:space="0" w:color="auto"/>
          <w:lang w:val="es-CO" w:eastAsia="en-US"/>
        </w:rPr>
        <w:t xml:space="preserve"> prevenir, minimizar y neutralizar los riesgos. </w:t>
      </w:r>
    </w:p>
    <w:p w14:paraId="730DF5AA" w14:textId="77777777" w:rsidR="00A0715D" w:rsidRPr="00D02BFE" w:rsidRDefault="00A0715D" w:rsidP="00A0715D">
      <w:pPr>
        <w:spacing w:after="0" w:line="240" w:lineRule="auto"/>
        <w:ind w:left="360"/>
        <w:jc w:val="both"/>
        <w:rPr>
          <w:rFonts w:ascii="Cambria" w:eastAsia="Arial Unicode MS" w:hAnsi="Cambria" w:cs="Arial"/>
          <w:i/>
          <w:iCs/>
          <w:sz w:val="20"/>
          <w:szCs w:val="20"/>
          <w:bdr w:val="none" w:sz="0" w:space="0" w:color="auto"/>
          <w:lang w:val="es-CO" w:eastAsia="en-US"/>
        </w:rPr>
      </w:pPr>
    </w:p>
    <w:p w14:paraId="79966321" w14:textId="77777777" w:rsidR="006C31A2" w:rsidRPr="00D02BFE" w:rsidRDefault="00F73AE3" w:rsidP="006C31A2">
      <w:pPr>
        <w:numPr>
          <w:ilvl w:val="0"/>
          <w:numId w:val="37"/>
        </w:numPr>
        <w:spacing w:after="0" w:line="240" w:lineRule="auto"/>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i/>
          <w:iCs/>
          <w:sz w:val="20"/>
          <w:szCs w:val="20"/>
          <w:bdr w:val="none" w:sz="0" w:space="0" w:color="auto"/>
          <w:lang w:val="es-CO" w:eastAsia="en-US"/>
        </w:rPr>
        <w:t>Programa de Promotores de Paz y Convivencia (artículo 15 del Decreto 895 de 2017):</w:t>
      </w:r>
      <w:r w:rsidRPr="00D02BFE">
        <w:rPr>
          <w:rFonts w:ascii="Cambria" w:eastAsia="Arial Unicode MS" w:hAnsi="Cambria" w:cs="Arial"/>
          <w:sz w:val="20"/>
          <w:szCs w:val="20"/>
          <w:bdr w:val="none" w:sz="0" w:space="0" w:color="auto"/>
          <w:lang w:val="es-CO" w:eastAsia="en-US"/>
        </w:rPr>
        <w:t xml:space="preserve"> Destacó la constitución de </w:t>
      </w:r>
      <w:r w:rsidR="009B0DAA" w:rsidRPr="00D02BFE">
        <w:rPr>
          <w:rFonts w:ascii="Cambria" w:eastAsia="Arial Unicode MS" w:hAnsi="Cambria" w:cs="Arial"/>
          <w:sz w:val="20"/>
          <w:szCs w:val="20"/>
          <w:bdr w:val="none" w:sz="0" w:space="0" w:color="auto"/>
          <w:lang w:val="es-CO" w:eastAsia="en-US"/>
        </w:rPr>
        <w:t xml:space="preserve">su Comité Técnico con dos sesiones en 2020 y </w:t>
      </w:r>
      <w:r w:rsidR="002D2C55" w:rsidRPr="00D02BFE">
        <w:rPr>
          <w:rFonts w:ascii="Cambria" w:eastAsia="Arial Unicode MS" w:hAnsi="Cambria" w:cs="Arial"/>
          <w:sz w:val="20"/>
          <w:szCs w:val="20"/>
          <w:bdr w:val="none" w:sz="0" w:space="0" w:color="auto"/>
          <w:lang w:val="es-CO" w:eastAsia="en-US"/>
        </w:rPr>
        <w:t xml:space="preserve">la </w:t>
      </w:r>
      <w:r w:rsidR="009B0DAA" w:rsidRPr="00D02BFE">
        <w:rPr>
          <w:rFonts w:ascii="Cambria" w:eastAsia="Arial Unicode MS" w:hAnsi="Cambria" w:cs="Arial"/>
          <w:sz w:val="20"/>
          <w:szCs w:val="20"/>
          <w:bdr w:val="none" w:sz="0" w:space="0" w:color="auto"/>
          <w:lang w:val="es-CO" w:eastAsia="en-US"/>
        </w:rPr>
        <w:t xml:space="preserve">elaboración de reglamento. </w:t>
      </w:r>
      <w:r w:rsidR="004778A6" w:rsidRPr="00D02BFE">
        <w:rPr>
          <w:rFonts w:ascii="Cambria" w:eastAsia="Arial Unicode MS" w:hAnsi="Cambria" w:cs="Arial"/>
          <w:sz w:val="20"/>
          <w:szCs w:val="20"/>
          <w:bdr w:val="none" w:sz="0" w:space="0" w:color="auto"/>
          <w:lang w:val="es-CO" w:eastAsia="en-US"/>
        </w:rPr>
        <w:t>Según el Estado, p</w:t>
      </w:r>
      <w:r w:rsidR="009B0DAA" w:rsidRPr="00D02BFE">
        <w:rPr>
          <w:rFonts w:ascii="Cambria" w:eastAsia="Arial Unicode MS" w:hAnsi="Cambria" w:cs="Arial"/>
          <w:sz w:val="20"/>
          <w:szCs w:val="20"/>
          <w:bdr w:val="none" w:sz="0" w:space="0" w:color="auto"/>
          <w:lang w:val="es-CO" w:eastAsia="en-US"/>
        </w:rPr>
        <w:t xml:space="preserve">ara </w:t>
      </w:r>
      <w:r w:rsidR="004778A6" w:rsidRPr="00D02BFE">
        <w:rPr>
          <w:rFonts w:ascii="Cambria" w:eastAsia="Arial Unicode MS" w:hAnsi="Cambria" w:cs="Arial"/>
          <w:sz w:val="20"/>
          <w:szCs w:val="20"/>
          <w:bdr w:val="none" w:sz="0" w:space="0" w:color="auto"/>
          <w:lang w:val="es-CO" w:eastAsia="en-US"/>
        </w:rPr>
        <w:t>la</w:t>
      </w:r>
      <w:r w:rsidR="009B0DAA" w:rsidRPr="00D02BFE">
        <w:rPr>
          <w:rFonts w:ascii="Cambria" w:eastAsia="Arial Unicode MS" w:hAnsi="Cambria" w:cs="Arial"/>
          <w:sz w:val="20"/>
          <w:szCs w:val="20"/>
          <w:bdr w:val="none" w:sz="0" w:space="0" w:color="auto"/>
          <w:lang w:val="es-CO" w:eastAsia="en-US"/>
        </w:rPr>
        <w:t xml:space="preserve"> vigencia</w:t>
      </w:r>
      <w:r w:rsidR="004778A6" w:rsidRPr="00D02BFE">
        <w:rPr>
          <w:rFonts w:ascii="Cambria" w:eastAsia="Arial Unicode MS" w:hAnsi="Cambria" w:cs="Arial"/>
          <w:sz w:val="20"/>
          <w:szCs w:val="20"/>
          <w:bdr w:val="none" w:sz="0" w:space="0" w:color="auto"/>
          <w:lang w:val="es-CO" w:eastAsia="en-US"/>
        </w:rPr>
        <w:t xml:space="preserve"> actual</w:t>
      </w:r>
      <w:r w:rsidR="009B0DAA" w:rsidRPr="00D02BFE">
        <w:rPr>
          <w:rFonts w:ascii="Cambria" w:eastAsia="Arial Unicode MS" w:hAnsi="Cambria" w:cs="Arial"/>
          <w:sz w:val="20"/>
          <w:szCs w:val="20"/>
          <w:bdr w:val="none" w:sz="0" w:space="0" w:color="auto"/>
          <w:lang w:val="es-CO" w:eastAsia="en-US"/>
        </w:rPr>
        <w:t xml:space="preserve">, </w:t>
      </w:r>
      <w:r w:rsidR="002D2C55" w:rsidRPr="00D02BFE">
        <w:rPr>
          <w:rFonts w:ascii="Cambria" w:eastAsia="Arial Unicode MS" w:hAnsi="Cambria" w:cs="Arial"/>
          <w:sz w:val="20"/>
          <w:szCs w:val="20"/>
          <w:bdr w:val="none" w:sz="0" w:space="0" w:color="auto"/>
          <w:lang w:val="es-CO" w:eastAsia="en-US"/>
        </w:rPr>
        <w:t>su</w:t>
      </w:r>
      <w:r w:rsidR="009B0DAA" w:rsidRPr="00D02BFE">
        <w:rPr>
          <w:rFonts w:ascii="Cambria" w:eastAsia="Arial Unicode MS" w:hAnsi="Cambria" w:cs="Arial"/>
          <w:sz w:val="20"/>
          <w:szCs w:val="20"/>
          <w:bdr w:val="none" w:sz="0" w:space="0" w:color="auto"/>
          <w:lang w:val="es-CO" w:eastAsia="en-US"/>
        </w:rPr>
        <w:t xml:space="preserve"> Comité aprobó: dos pilotajes para impulsar el </w:t>
      </w:r>
      <w:r w:rsidR="004778A6" w:rsidRPr="00D02BFE">
        <w:rPr>
          <w:rFonts w:ascii="Cambria" w:eastAsia="Arial Unicode MS" w:hAnsi="Cambria" w:cs="Arial"/>
          <w:sz w:val="20"/>
          <w:szCs w:val="20"/>
          <w:bdr w:val="none" w:sz="0" w:space="0" w:color="auto"/>
          <w:lang w:val="es-CO" w:eastAsia="en-US"/>
        </w:rPr>
        <w:t>programa en</w:t>
      </w:r>
      <w:r w:rsidR="009B0DAA" w:rsidRPr="00D02BFE">
        <w:rPr>
          <w:rFonts w:ascii="Cambria" w:eastAsia="Arial Unicode MS" w:hAnsi="Cambria" w:cs="Arial"/>
          <w:sz w:val="20"/>
          <w:szCs w:val="20"/>
          <w:bdr w:val="none" w:sz="0" w:space="0" w:color="auto"/>
          <w:lang w:val="es-CO" w:eastAsia="en-US"/>
        </w:rPr>
        <w:t xml:space="preserve"> Putumayo y Cauca; un diplomado en 5 </w:t>
      </w:r>
      <w:r w:rsidR="004778A6" w:rsidRPr="00D02BFE">
        <w:rPr>
          <w:rFonts w:ascii="Cambria" w:eastAsia="Arial Unicode MS" w:hAnsi="Cambria" w:cs="Arial"/>
          <w:sz w:val="20"/>
          <w:szCs w:val="20"/>
          <w:bdr w:val="none" w:sz="0" w:space="0" w:color="auto"/>
          <w:lang w:val="es-CO" w:eastAsia="en-US"/>
        </w:rPr>
        <w:t>territorios</w:t>
      </w:r>
      <w:r w:rsidR="009B0DAA" w:rsidRPr="00D02BFE">
        <w:rPr>
          <w:rFonts w:ascii="Cambria" w:eastAsia="Arial Unicode MS" w:hAnsi="Cambria" w:cs="Arial"/>
          <w:sz w:val="20"/>
          <w:szCs w:val="20"/>
          <w:bdr w:val="none" w:sz="0" w:space="0" w:color="auto"/>
          <w:lang w:val="es-CO" w:eastAsia="en-US"/>
        </w:rPr>
        <w:t xml:space="preserve"> para capacitar a promotores en derechos humanos y mecanismos alternativos de resolución de conflictos; seminarios sobre reconciliación y convivencia y jornadas móviles de acceso a la justicia y seguimiento a investigaciones (estas dos últimas, </w:t>
      </w:r>
      <w:r w:rsidR="004778A6" w:rsidRPr="00D02BFE">
        <w:rPr>
          <w:rFonts w:ascii="Cambria" w:eastAsia="Arial Unicode MS" w:hAnsi="Cambria" w:cs="Arial"/>
          <w:sz w:val="20"/>
          <w:szCs w:val="20"/>
          <w:bdr w:val="none" w:sz="0" w:space="0" w:color="auto"/>
          <w:lang w:val="es-CO" w:eastAsia="en-US"/>
        </w:rPr>
        <w:t>por e</w:t>
      </w:r>
      <w:r w:rsidR="009B0DAA" w:rsidRPr="00D02BFE">
        <w:rPr>
          <w:rFonts w:ascii="Cambria" w:eastAsia="Arial Unicode MS" w:hAnsi="Cambria" w:cs="Arial"/>
          <w:sz w:val="20"/>
          <w:szCs w:val="20"/>
          <w:bdr w:val="none" w:sz="0" w:space="0" w:color="auto"/>
          <w:lang w:val="es-CO" w:eastAsia="en-US"/>
        </w:rPr>
        <w:t xml:space="preserve">l proyecto de inversión Fortalecimiento a la Garantía de la Labor de la Defensa de los Derechos Humanos). </w:t>
      </w:r>
    </w:p>
    <w:p w14:paraId="1965EA3E" w14:textId="77777777" w:rsidR="006C31A2" w:rsidRPr="00D02BFE" w:rsidRDefault="006C31A2" w:rsidP="006C31A2">
      <w:pPr>
        <w:spacing w:after="0" w:line="240" w:lineRule="auto"/>
        <w:jc w:val="both"/>
        <w:rPr>
          <w:rFonts w:ascii="Cambria" w:eastAsia="Arial Unicode MS" w:hAnsi="Cambria" w:cs="Arial"/>
          <w:sz w:val="20"/>
          <w:szCs w:val="20"/>
          <w:bdr w:val="none" w:sz="0" w:space="0" w:color="auto"/>
          <w:lang w:val="es-CO" w:eastAsia="en-US"/>
        </w:rPr>
      </w:pPr>
    </w:p>
    <w:p w14:paraId="75D80CBC" w14:textId="77777777" w:rsidR="001C5CB1" w:rsidRPr="00D02BFE" w:rsidRDefault="006C31A2" w:rsidP="001C5CB1">
      <w:pPr>
        <w:numPr>
          <w:ilvl w:val="0"/>
          <w:numId w:val="37"/>
        </w:numPr>
        <w:spacing w:after="0" w:line="240" w:lineRule="auto"/>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i/>
          <w:iCs/>
          <w:sz w:val="20"/>
          <w:szCs w:val="20"/>
          <w:bdr w:val="none" w:sz="0" w:space="0" w:color="auto"/>
          <w:lang w:val="es-CO" w:eastAsia="en-US"/>
        </w:rPr>
        <w:lastRenderedPageBreak/>
        <w:t>Programa Integral de Garantías para Lideresas y Defensoras de Derechos Humanos (PIG Mujeres)</w:t>
      </w:r>
      <w:r w:rsidR="00F3369A" w:rsidRPr="00D02BFE">
        <w:rPr>
          <w:rFonts w:ascii="Cambria" w:eastAsia="Arial Unicode MS" w:hAnsi="Cambria" w:cs="Arial"/>
          <w:i/>
          <w:iCs/>
          <w:sz w:val="20"/>
          <w:szCs w:val="20"/>
          <w:bdr w:val="none" w:sz="0" w:space="0" w:color="auto"/>
          <w:lang w:val="es-CO" w:eastAsia="en-US"/>
        </w:rPr>
        <w:t xml:space="preserve">, </w:t>
      </w:r>
      <w:r w:rsidR="00F3369A" w:rsidRPr="00D02BFE">
        <w:rPr>
          <w:rFonts w:ascii="Cambria" w:eastAsia="Arial Unicode MS" w:hAnsi="Cambria" w:cs="Arial"/>
          <w:sz w:val="20"/>
          <w:szCs w:val="20"/>
          <w:bdr w:val="none" w:sz="0" w:space="0" w:color="auto"/>
          <w:lang w:val="es-CO" w:eastAsia="en-US"/>
        </w:rPr>
        <w:t>adoptado mediante la Resolución No. 0845 de 2018 del Ministerio del Interior</w:t>
      </w:r>
      <w:r w:rsidR="002D2C55" w:rsidRPr="00D02BFE">
        <w:rPr>
          <w:rFonts w:ascii="Cambria" w:eastAsia="Arial Unicode MS" w:hAnsi="Cambria" w:cs="Arial"/>
          <w:sz w:val="20"/>
          <w:szCs w:val="20"/>
          <w:bdr w:val="none" w:sz="0" w:space="0" w:color="auto"/>
          <w:lang w:val="es-CO" w:eastAsia="en-US"/>
        </w:rPr>
        <w:t>. S</w:t>
      </w:r>
      <w:r w:rsidR="00D06708" w:rsidRPr="00D02BFE">
        <w:rPr>
          <w:rFonts w:ascii="Cambria" w:eastAsia="Arial Unicode MS" w:hAnsi="Cambria" w:cs="Arial"/>
          <w:sz w:val="20"/>
          <w:szCs w:val="20"/>
          <w:bdr w:val="none" w:sz="0" w:space="0" w:color="auto"/>
          <w:lang w:val="es-CO" w:eastAsia="en-US"/>
        </w:rPr>
        <w:t>egún el Estado, se constituye en una política de gobierno y de Estado</w:t>
      </w:r>
      <w:r w:rsidR="002D2C55" w:rsidRPr="00D02BFE">
        <w:rPr>
          <w:rFonts w:ascii="Cambria" w:eastAsia="Arial Unicode MS" w:hAnsi="Cambria" w:cs="Arial"/>
          <w:sz w:val="20"/>
          <w:szCs w:val="20"/>
          <w:bdr w:val="none" w:sz="0" w:space="0" w:color="auto"/>
          <w:lang w:val="es-CO" w:eastAsia="en-US"/>
        </w:rPr>
        <w:t>.</w:t>
      </w:r>
      <w:r w:rsidRPr="00D02BFE">
        <w:rPr>
          <w:rFonts w:ascii="Cambria" w:eastAsia="Arial Unicode MS" w:hAnsi="Cambria" w:cs="Arial"/>
          <w:sz w:val="20"/>
          <w:szCs w:val="20"/>
          <w:bdr w:val="none" w:sz="0" w:space="0" w:color="auto"/>
          <w:lang w:val="es-CO" w:eastAsia="en-US"/>
        </w:rPr>
        <w:t xml:space="preserve"> </w:t>
      </w:r>
      <w:r w:rsidR="00D06708" w:rsidRPr="00D02BFE">
        <w:rPr>
          <w:rFonts w:ascii="Cambria" w:eastAsia="Arial Unicode MS" w:hAnsi="Cambria" w:cs="Arial"/>
          <w:sz w:val="20"/>
          <w:szCs w:val="20"/>
          <w:bdr w:val="none" w:sz="0" w:space="0" w:color="auto"/>
          <w:lang w:val="es-CO" w:eastAsia="en-US"/>
        </w:rPr>
        <w:t>Al respecto, informó sobre</w:t>
      </w:r>
      <w:r w:rsidRPr="00D02BFE">
        <w:rPr>
          <w:rFonts w:ascii="Cambria" w:eastAsia="Arial Unicode MS" w:hAnsi="Cambria" w:cs="Arial"/>
          <w:sz w:val="20"/>
          <w:szCs w:val="20"/>
          <w:bdr w:val="none" w:sz="0" w:space="0" w:color="auto"/>
          <w:lang w:val="es-CO" w:eastAsia="en-US"/>
        </w:rPr>
        <w:t xml:space="preserve"> las acciones para la construcción del programa, a su plan de acción, y a la creación de la Comisión Intersectorial de Garantías para Mujeres Lideresas y Defensoras de Derechos Humanos (</w:t>
      </w:r>
      <w:proofErr w:type="spellStart"/>
      <w:r w:rsidRPr="00D02BFE">
        <w:rPr>
          <w:rFonts w:ascii="Cambria" w:eastAsia="Arial Unicode MS" w:hAnsi="Cambria" w:cs="Arial"/>
          <w:sz w:val="20"/>
          <w:szCs w:val="20"/>
          <w:bdr w:val="none" w:sz="0" w:space="0" w:color="auto"/>
          <w:lang w:val="es-CO" w:eastAsia="en-US"/>
        </w:rPr>
        <w:t>CIGMujeres</w:t>
      </w:r>
      <w:proofErr w:type="spellEnd"/>
      <w:r w:rsidRPr="00D02BFE">
        <w:rPr>
          <w:rFonts w:ascii="Cambria" w:eastAsia="Arial Unicode MS" w:hAnsi="Cambria" w:cs="Arial"/>
          <w:sz w:val="20"/>
          <w:szCs w:val="20"/>
          <w:bdr w:val="none" w:sz="0" w:space="0" w:color="auto"/>
          <w:lang w:val="es-CO" w:eastAsia="en-US"/>
        </w:rPr>
        <w:t xml:space="preserve">) y de Mesas de Garantías para estas personas. </w:t>
      </w:r>
      <w:r w:rsidR="00F3369A" w:rsidRPr="00D02BFE">
        <w:rPr>
          <w:rFonts w:ascii="Cambria" w:eastAsia="Arial Unicode MS" w:hAnsi="Cambria" w:cs="Arial"/>
          <w:sz w:val="20"/>
          <w:szCs w:val="20"/>
          <w:bdr w:val="none" w:sz="0" w:space="0" w:color="auto"/>
          <w:lang w:val="es-CO" w:eastAsia="en-US"/>
        </w:rPr>
        <w:t>Para explicar el programa, el Estado se refirió a los siguientes criterios: (i)</w:t>
      </w:r>
      <w:r w:rsidRPr="00D02BFE">
        <w:rPr>
          <w:rFonts w:ascii="Cambria" w:eastAsia="Arial Unicode MS" w:hAnsi="Cambria" w:cs="Arial"/>
          <w:sz w:val="20"/>
          <w:szCs w:val="20"/>
          <w:bdr w:val="none" w:sz="0" w:space="0" w:color="auto"/>
          <w:lang w:val="es-CO" w:eastAsia="en-US"/>
        </w:rPr>
        <w:t xml:space="preserve"> especificidad individual del programa; </w:t>
      </w:r>
      <w:r w:rsidR="00F3369A" w:rsidRPr="00D02BFE">
        <w:rPr>
          <w:rFonts w:ascii="Cambria" w:eastAsia="Arial Unicode MS" w:hAnsi="Cambria" w:cs="Arial"/>
          <w:sz w:val="20"/>
          <w:szCs w:val="20"/>
          <w:bdr w:val="none" w:sz="0" w:space="0" w:color="auto"/>
          <w:lang w:val="es-CO" w:eastAsia="en-US"/>
        </w:rPr>
        <w:t>(ii)</w:t>
      </w:r>
      <w:r w:rsidRPr="00D02BFE">
        <w:rPr>
          <w:rFonts w:ascii="Cambria" w:eastAsia="Arial Unicode MS" w:hAnsi="Cambria" w:cs="Arial"/>
          <w:sz w:val="20"/>
          <w:szCs w:val="20"/>
          <w:bdr w:val="none" w:sz="0" w:space="0" w:color="auto"/>
          <w:lang w:val="es-CO" w:eastAsia="en-US"/>
        </w:rPr>
        <w:t xml:space="preserve"> articulación y coordinación nacional, y </w:t>
      </w:r>
      <w:r w:rsidR="00F3369A" w:rsidRPr="00D02BFE">
        <w:rPr>
          <w:rFonts w:ascii="Cambria" w:eastAsia="Arial Unicode MS" w:hAnsi="Cambria" w:cs="Arial"/>
          <w:sz w:val="20"/>
          <w:szCs w:val="20"/>
          <w:bdr w:val="none" w:sz="0" w:space="0" w:color="auto"/>
          <w:lang w:val="es-CO" w:eastAsia="en-US"/>
        </w:rPr>
        <w:t>(iii)</w:t>
      </w:r>
      <w:r w:rsidRPr="00D02BFE">
        <w:rPr>
          <w:rFonts w:ascii="Cambria" w:eastAsia="Arial Unicode MS" w:hAnsi="Cambria" w:cs="Arial"/>
          <w:sz w:val="20"/>
          <w:szCs w:val="20"/>
          <w:bdr w:val="none" w:sz="0" w:space="0" w:color="auto"/>
          <w:lang w:val="es-CO" w:eastAsia="en-US"/>
        </w:rPr>
        <w:t xml:space="preserve"> definición de metas puntuales a corto</w:t>
      </w:r>
      <w:r w:rsidR="00F3369A" w:rsidRPr="00D02BFE">
        <w:rPr>
          <w:rFonts w:ascii="Cambria" w:eastAsia="Arial Unicode MS" w:hAnsi="Cambria" w:cs="Arial"/>
          <w:sz w:val="20"/>
          <w:szCs w:val="20"/>
          <w:bdr w:val="none" w:sz="0" w:space="0" w:color="auto"/>
          <w:lang w:val="es-CO" w:eastAsia="en-US"/>
        </w:rPr>
        <w:t xml:space="preserve"> plazo (con planes pilotos en 2019 en Montes de María y Putumayo)</w:t>
      </w:r>
      <w:r w:rsidRPr="00D02BFE">
        <w:rPr>
          <w:rFonts w:ascii="Cambria" w:eastAsia="Arial Unicode MS" w:hAnsi="Cambria" w:cs="Arial"/>
          <w:sz w:val="20"/>
          <w:szCs w:val="20"/>
          <w:bdr w:val="none" w:sz="0" w:space="0" w:color="auto"/>
          <w:lang w:val="es-CO" w:eastAsia="en-US"/>
        </w:rPr>
        <w:t>, mediano</w:t>
      </w:r>
      <w:r w:rsidR="00F3369A" w:rsidRPr="00D02BFE">
        <w:rPr>
          <w:rFonts w:ascii="Cambria" w:eastAsia="Arial Unicode MS" w:hAnsi="Cambria" w:cs="Arial"/>
          <w:sz w:val="20"/>
          <w:szCs w:val="20"/>
          <w:bdr w:val="none" w:sz="0" w:space="0" w:color="auto"/>
          <w:lang w:val="es-CO" w:eastAsia="en-US"/>
        </w:rPr>
        <w:t xml:space="preserve"> plazo (construcción de un Plan Nacional de Acción Interinstitucional)</w:t>
      </w:r>
      <w:r w:rsidRPr="00D02BFE">
        <w:rPr>
          <w:rFonts w:ascii="Cambria" w:eastAsia="Arial Unicode MS" w:hAnsi="Cambria" w:cs="Arial"/>
          <w:sz w:val="20"/>
          <w:szCs w:val="20"/>
          <w:bdr w:val="none" w:sz="0" w:space="0" w:color="auto"/>
          <w:lang w:val="es-CO" w:eastAsia="en-US"/>
        </w:rPr>
        <w:t xml:space="preserve"> y largo plazo</w:t>
      </w:r>
      <w:r w:rsidR="00F3369A" w:rsidRPr="00D02BFE">
        <w:rPr>
          <w:rFonts w:ascii="Cambria" w:eastAsia="Arial Unicode MS" w:hAnsi="Cambria" w:cs="Arial"/>
          <w:sz w:val="20"/>
          <w:szCs w:val="20"/>
          <w:bdr w:val="none" w:sz="0" w:space="0" w:color="auto"/>
          <w:lang w:val="es-CO" w:eastAsia="en-US"/>
        </w:rPr>
        <w:t xml:space="preserve"> (implementación efectiva del Plan de Acción</w:t>
      </w:r>
      <w:r w:rsidR="001C5CB1" w:rsidRPr="00D02BFE">
        <w:rPr>
          <w:rFonts w:ascii="Cambria" w:eastAsia="Arial Unicode MS" w:hAnsi="Cambria" w:cs="Arial"/>
          <w:sz w:val="20"/>
          <w:szCs w:val="20"/>
          <w:bdr w:val="none" w:sz="0" w:space="0" w:color="auto"/>
          <w:lang w:val="es-CO" w:eastAsia="en-US"/>
        </w:rPr>
        <w:t xml:space="preserve"> 2019-2022</w:t>
      </w:r>
      <w:r w:rsidR="00F3369A" w:rsidRPr="00D02BFE">
        <w:rPr>
          <w:rFonts w:ascii="Cambria" w:eastAsia="Arial Unicode MS" w:hAnsi="Cambria" w:cs="Arial"/>
          <w:sz w:val="20"/>
          <w:szCs w:val="20"/>
          <w:bdr w:val="none" w:sz="0" w:space="0" w:color="auto"/>
          <w:lang w:val="es-CO" w:eastAsia="en-US"/>
        </w:rPr>
        <w:t xml:space="preserve"> y 151 acciones); (iv) garantías de continuidad hacia el futuro, a partir de la inclusión del programa en el Plan Nacional de Desarrollo (2019-2022)</w:t>
      </w:r>
      <w:r w:rsidR="001C5CB1" w:rsidRPr="00D02BFE">
        <w:rPr>
          <w:rFonts w:ascii="Cambria" w:eastAsia="Arial Unicode MS" w:hAnsi="Cambria" w:cs="Arial"/>
          <w:sz w:val="20"/>
          <w:szCs w:val="20"/>
          <w:bdr w:val="none" w:sz="0" w:space="0" w:color="auto"/>
          <w:lang w:val="es-CO" w:eastAsia="en-US"/>
        </w:rPr>
        <w:t>.</w:t>
      </w:r>
    </w:p>
    <w:p w14:paraId="7C6D7BAF" w14:textId="77777777" w:rsidR="0077387F" w:rsidRPr="00D02BFE" w:rsidRDefault="0077387F" w:rsidP="0077387F">
      <w:pPr>
        <w:spacing w:after="0" w:line="240" w:lineRule="auto"/>
        <w:ind w:left="720"/>
        <w:jc w:val="both"/>
        <w:rPr>
          <w:rFonts w:ascii="Cambria" w:eastAsia="Arial Unicode MS" w:hAnsi="Cambria" w:cs="Arial"/>
          <w:sz w:val="20"/>
          <w:szCs w:val="20"/>
          <w:bdr w:val="none" w:sz="0" w:space="0" w:color="auto"/>
          <w:lang w:val="es-CO" w:eastAsia="en-US"/>
        </w:rPr>
      </w:pPr>
    </w:p>
    <w:p w14:paraId="0F2EDE4A" w14:textId="77777777" w:rsidR="001C5CB1" w:rsidRPr="00D02BFE" w:rsidRDefault="001C5CB1" w:rsidP="0077387F">
      <w:pPr>
        <w:numPr>
          <w:ilvl w:val="0"/>
          <w:numId w:val="37"/>
        </w:numPr>
        <w:spacing w:after="0" w:line="240" w:lineRule="auto"/>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i/>
          <w:iCs/>
          <w:sz w:val="20"/>
          <w:szCs w:val="20"/>
          <w:bdr w:val="none" w:sz="0" w:space="0" w:color="auto"/>
          <w:lang w:val="es-CO" w:eastAsia="en-US"/>
        </w:rPr>
        <w:t>Comisión Intersectorial de Garantías para Lideresas y Defensoras de Derechos Humanos (Decreto 1314 de 2016):</w:t>
      </w:r>
      <w:r w:rsidRPr="00D02BFE">
        <w:rPr>
          <w:rFonts w:ascii="Cambria" w:eastAsia="Arial Unicode MS" w:hAnsi="Cambria" w:cs="Arial"/>
          <w:sz w:val="20"/>
          <w:szCs w:val="20"/>
          <w:bdr w:val="none" w:sz="0" w:space="0" w:color="auto"/>
          <w:lang w:val="es-CO" w:eastAsia="en-US"/>
        </w:rPr>
        <w:t xml:space="preserve"> </w:t>
      </w:r>
      <w:r w:rsidR="0077387F" w:rsidRPr="00D02BFE">
        <w:rPr>
          <w:rFonts w:ascii="Cambria" w:eastAsia="Arial Unicode MS" w:hAnsi="Cambria" w:cs="Arial"/>
          <w:sz w:val="20"/>
          <w:szCs w:val="20"/>
          <w:bdr w:val="none" w:sz="0" w:space="0" w:color="auto"/>
          <w:lang w:val="es-CO" w:eastAsia="en-US"/>
        </w:rPr>
        <w:t>Como parte del PIG Mujeres</w:t>
      </w:r>
      <w:r w:rsidR="00D06708" w:rsidRPr="00D02BFE">
        <w:rPr>
          <w:rFonts w:ascii="Cambria" w:eastAsia="Arial Unicode MS" w:hAnsi="Cambria" w:cs="Arial"/>
          <w:sz w:val="20"/>
          <w:szCs w:val="20"/>
          <w:bdr w:val="none" w:sz="0" w:space="0" w:color="auto"/>
          <w:lang w:val="es-CO" w:eastAsia="en-US"/>
        </w:rPr>
        <w:t xml:space="preserve">, se conformó en 2019 y realizó una sesión de en febrero de 2020 con 28 entidades </w:t>
      </w:r>
      <w:r w:rsidR="002D2C55" w:rsidRPr="00D02BFE">
        <w:rPr>
          <w:rFonts w:ascii="Cambria" w:eastAsia="Arial Unicode MS" w:hAnsi="Cambria" w:cs="Arial"/>
          <w:sz w:val="20"/>
          <w:szCs w:val="20"/>
          <w:bdr w:val="none" w:sz="0" w:space="0" w:color="auto"/>
          <w:lang w:val="es-CO" w:eastAsia="en-US"/>
        </w:rPr>
        <w:t>d</w:t>
      </w:r>
      <w:r w:rsidR="00D06708" w:rsidRPr="00D02BFE">
        <w:rPr>
          <w:rFonts w:ascii="Cambria" w:eastAsia="Arial Unicode MS" w:hAnsi="Cambria" w:cs="Arial"/>
          <w:sz w:val="20"/>
          <w:szCs w:val="20"/>
          <w:bdr w:val="none" w:sz="0" w:space="0" w:color="auto"/>
          <w:lang w:val="es-CO" w:eastAsia="en-US"/>
        </w:rPr>
        <w:t xml:space="preserve">el Programa Integral de Garantías, organismos de cooperación internacional y Plataformas Nacionales de Lideresas y Defensoras de Derechos Humanos y otras lideresas. </w:t>
      </w:r>
      <w:r w:rsidR="00CB3E72" w:rsidRPr="00D02BFE">
        <w:rPr>
          <w:rFonts w:ascii="Cambria" w:eastAsia="Arial Unicode MS" w:hAnsi="Cambria" w:cs="Arial"/>
          <w:sz w:val="20"/>
          <w:szCs w:val="20"/>
          <w:bdr w:val="none" w:sz="0" w:space="0" w:color="auto"/>
          <w:lang w:val="es-CO" w:eastAsia="en-US"/>
        </w:rPr>
        <w:t>En el marco del Comité, la Unidad Nacional de Protección adoptó el Protocolo de Análisis del Riesgo para Mujeres Lideresas y Defensoras de Derechos Humanos.</w:t>
      </w:r>
    </w:p>
    <w:bookmarkEnd w:id="0"/>
    <w:p w14:paraId="14127E26" w14:textId="77777777" w:rsidR="00733537" w:rsidRPr="00D02BFE" w:rsidRDefault="00733537" w:rsidP="00270510">
      <w:pPr>
        <w:spacing w:after="0" w:line="240" w:lineRule="auto"/>
        <w:jc w:val="both"/>
        <w:rPr>
          <w:rFonts w:ascii="Cambria" w:eastAsia="Cambria" w:hAnsi="Cambria" w:cs="Cambria"/>
          <w:sz w:val="20"/>
          <w:szCs w:val="20"/>
          <w:lang w:val="es-ES_tradnl"/>
        </w:rPr>
      </w:pPr>
    </w:p>
    <w:p w14:paraId="247E334D" w14:textId="77777777" w:rsidR="009604B4" w:rsidRPr="00D02BFE" w:rsidRDefault="00FF72F1" w:rsidP="00DA6E6B">
      <w:pPr>
        <w:numPr>
          <w:ilvl w:val="0"/>
          <w:numId w:val="6"/>
        </w:numPr>
        <w:spacing w:after="0" w:line="240" w:lineRule="auto"/>
        <w:ind w:firstLine="720"/>
        <w:jc w:val="both"/>
        <w:rPr>
          <w:rFonts w:ascii="Cambria" w:eastAsia="Cambria" w:hAnsi="Cambria" w:cs="Cambria"/>
          <w:sz w:val="20"/>
          <w:szCs w:val="20"/>
          <w:lang w:val="es-ES_tradnl"/>
        </w:rPr>
      </w:pPr>
      <w:r w:rsidRPr="00D02BFE">
        <w:rPr>
          <w:rFonts w:ascii="Cambria" w:eastAsia="Cambria" w:hAnsi="Cambria" w:cs="Cambria"/>
          <w:sz w:val="20"/>
          <w:szCs w:val="20"/>
          <w:lang w:val="es-ES_tradnl"/>
        </w:rPr>
        <w:t xml:space="preserve">Por su parte, la información remitida por el Estado en 2021, específicamente en lo que respecta a la </w:t>
      </w:r>
      <w:proofErr w:type="gramStart"/>
      <w:r w:rsidRPr="00D02BFE">
        <w:rPr>
          <w:rFonts w:ascii="Cambria" w:eastAsia="Cambria" w:hAnsi="Cambria" w:cs="Cambria"/>
          <w:sz w:val="20"/>
          <w:szCs w:val="20"/>
          <w:lang w:val="es-ES_tradnl"/>
        </w:rPr>
        <w:t>Fiscalía General</w:t>
      </w:r>
      <w:proofErr w:type="gramEnd"/>
      <w:r w:rsidRPr="00D02BFE">
        <w:rPr>
          <w:rFonts w:ascii="Cambria" w:eastAsia="Cambria" w:hAnsi="Cambria" w:cs="Cambria"/>
          <w:sz w:val="20"/>
          <w:szCs w:val="20"/>
          <w:lang w:val="es-ES_tradnl"/>
        </w:rPr>
        <w:t xml:space="preserve"> de la Nación señaló </w:t>
      </w:r>
      <w:r w:rsidR="00FE618D" w:rsidRPr="00D02BFE">
        <w:rPr>
          <w:rFonts w:ascii="Cambria" w:eastAsia="Cambria" w:hAnsi="Cambria" w:cs="Cambria"/>
          <w:sz w:val="20"/>
          <w:szCs w:val="20"/>
          <w:lang w:val="es-ES_tradnl"/>
        </w:rPr>
        <w:tab/>
        <w:t xml:space="preserve">que esta entidad ha estructurado estrategias específicas para contribuir a la implementación del Acuerdo Final para la Paz y por ende, para investigar delitos contra personas defensoras, líderes, servidores públicos y miembros de organizaciones sociales, políticas y comunales. </w:t>
      </w:r>
      <w:r w:rsidR="00DE5E02" w:rsidRPr="00D02BFE">
        <w:rPr>
          <w:rFonts w:ascii="Cambria" w:eastAsia="Cambria" w:hAnsi="Cambria" w:cs="Cambria"/>
          <w:sz w:val="20"/>
          <w:szCs w:val="20"/>
          <w:lang w:val="es-ES_tradnl"/>
        </w:rPr>
        <w:t>Al respecto, entregó alguna información complementaria sobre la implementación de la Directiva 002 de 2017 “Por medio de la cual se dictan lineamientos para la investigación de delitos contra defensores de derechos humanos”.</w:t>
      </w:r>
      <w:r w:rsidR="00E35990" w:rsidRPr="00D02BFE">
        <w:rPr>
          <w:rFonts w:ascii="Cambria" w:eastAsia="Cambria" w:hAnsi="Cambria" w:cs="Cambria"/>
          <w:sz w:val="20"/>
          <w:szCs w:val="20"/>
          <w:lang w:val="es-ES_tradnl"/>
        </w:rPr>
        <w:t xml:space="preserve"> Se refirió a la creación, en 2018, de un grupo de trabajo para fortalecer la investigación, priorización y respuesta inmediata a amenazas contra personas defensoras (Resolución 0395 de 2018). El grupo quedó finalmente vinculad</w:t>
      </w:r>
      <w:r w:rsidR="003A3077" w:rsidRPr="00D02BFE">
        <w:rPr>
          <w:rFonts w:ascii="Cambria" w:eastAsia="Cambria" w:hAnsi="Cambria" w:cs="Cambria"/>
          <w:sz w:val="20"/>
          <w:szCs w:val="20"/>
          <w:lang w:val="es-ES_tradnl"/>
        </w:rPr>
        <w:t>o</w:t>
      </w:r>
      <w:r w:rsidR="00E35990" w:rsidRPr="00D02BFE">
        <w:rPr>
          <w:rFonts w:ascii="Cambria" w:eastAsia="Cambria" w:hAnsi="Cambria" w:cs="Cambria"/>
          <w:sz w:val="20"/>
          <w:szCs w:val="20"/>
          <w:lang w:val="es-ES_tradnl"/>
        </w:rPr>
        <w:t xml:space="preserve"> a la Dirección Especializada contra las Violaciones a los Derechos Humanos</w:t>
      </w:r>
      <w:r w:rsidR="009604B4" w:rsidRPr="00D02BFE">
        <w:rPr>
          <w:rFonts w:ascii="Cambria" w:eastAsia="Cambria" w:hAnsi="Cambria" w:cs="Cambria"/>
          <w:sz w:val="20"/>
          <w:szCs w:val="20"/>
          <w:lang w:val="es-ES_tradnl"/>
        </w:rPr>
        <w:t xml:space="preserve"> de esta entidad</w:t>
      </w:r>
      <w:r w:rsidR="00E35990" w:rsidRPr="00D02BFE">
        <w:rPr>
          <w:rFonts w:ascii="Cambria" w:eastAsia="Cambria" w:hAnsi="Cambria" w:cs="Cambria"/>
          <w:sz w:val="20"/>
          <w:szCs w:val="20"/>
          <w:lang w:val="es-ES_tradnl"/>
        </w:rPr>
        <w:t>.</w:t>
      </w:r>
    </w:p>
    <w:p w14:paraId="1882CCFE" w14:textId="77777777" w:rsidR="009604B4" w:rsidRPr="00D02BFE" w:rsidRDefault="009604B4" w:rsidP="009604B4">
      <w:pPr>
        <w:spacing w:after="0" w:line="240" w:lineRule="auto"/>
        <w:ind w:left="720"/>
        <w:jc w:val="both"/>
        <w:rPr>
          <w:rFonts w:ascii="Cambria" w:eastAsia="Cambria" w:hAnsi="Cambria" w:cs="Cambria"/>
          <w:sz w:val="20"/>
          <w:szCs w:val="20"/>
          <w:lang w:val="es-ES_tradnl"/>
        </w:rPr>
      </w:pPr>
    </w:p>
    <w:p w14:paraId="6CFEF2B4" w14:textId="77777777" w:rsidR="00C1088B" w:rsidRPr="00D02BFE" w:rsidRDefault="009604B4" w:rsidP="00DA6E6B">
      <w:pPr>
        <w:numPr>
          <w:ilvl w:val="0"/>
          <w:numId w:val="6"/>
        </w:numPr>
        <w:spacing w:after="0" w:line="240" w:lineRule="auto"/>
        <w:ind w:firstLine="720"/>
        <w:jc w:val="both"/>
        <w:rPr>
          <w:rFonts w:ascii="Cambria" w:eastAsia="Cambria" w:hAnsi="Cambria" w:cs="Cambria"/>
          <w:sz w:val="20"/>
          <w:szCs w:val="20"/>
          <w:lang w:val="es-ES_tradnl"/>
        </w:rPr>
      </w:pPr>
      <w:r w:rsidRPr="00D02BFE">
        <w:rPr>
          <w:rFonts w:ascii="Cambria" w:eastAsia="Cambria" w:hAnsi="Cambria" w:cs="Cambria"/>
          <w:sz w:val="20"/>
          <w:szCs w:val="20"/>
          <w:lang w:val="es-ES_tradnl"/>
        </w:rPr>
        <w:t>Finalmente, en 2021, el Estado también remitió información relativa a la Unidad Nacional de Protección.</w:t>
      </w:r>
      <w:r w:rsidR="00E35990" w:rsidRPr="00D02BFE">
        <w:rPr>
          <w:rFonts w:ascii="Cambria" w:eastAsia="Cambria" w:hAnsi="Cambria" w:cs="Cambria"/>
          <w:sz w:val="20"/>
          <w:szCs w:val="20"/>
          <w:lang w:val="es-ES_tradnl"/>
        </w:rPr>
        <w:t xml:space="preserve"> </w:t>
      </w:r>
      <w:r w:rsidR="00026565" w:rsidRPr="00D02BFE">
        <w:rPr>
          <w:rFonts w:ascii="Cambria" w:eastAsia="Cambria" w:hAnsi="Cambria" w:cs="Cambria"/>
          <w:sz w:val="20"/>
          <w:szCs w:val="20"/>
          <w:lang w:val="es-ES_tradnl"/>
        </w:rPr>
        <w:t>Al respecto, esta entidad señaló que ha dado prioridad a las solicitudes de protección de poblaciones consideradas líderes sociales conforme al Decreto 1066 de 2015. Indicó que continúa gestionando estudios de nivel de riesgo</w:t>
      </w:r>
      <w:r w:rsidR="00C8482B" w:rsidRPr="00D02BFE">
        <w:rPr>
          <w:rFonts w:ascii="Cambria" w:eastAsia="Cambria" w:hAnsi="Cambria" w:cs="Cambria"/>
          <w:sz w:val="20"/>
          <w:szCs w:val="20"/>
          <w:lang w:val="es-ES_tradnl"/>
        </w:rPr>
        <w:t xml:space="preserve"> con 1334 órdenes de trabajo activas para recopilar y analizar información, priorizando, por ejemplo, a Putumayo, Nariño, Cauca y Valle del Cauca. También indicó que con el Decreto 2078 de 2017 se integró a la normativa de la entidad la ruta de protección colectiva de derechos y seguridad de grupos y comunidades. Indicó que el objetivo del programa es identificar riesgos colectivos para ejecutar rutas de protección. La entidad además explicó el procedimiento para la implementación de medidas de protección. Señaló que estas medidas incluyen elementos para que las personas beneficiarias </w:t>
      </w:r>
      <w:r w:rsidR="00FD6552" w:rsidRPr="00D02BFE">
        <w:rPr>
          <w:rFonts w:ascii="Cambria" w:eastAsia="Cambria" w:hAnsi="Cambria" w:cs="Cambria"/>
          <w:sz w:val="20"/>
          <w:szCs w:val="20"/>
          <w:lang w:val="es-ES_tradnl"/>
        </w:rPr>
        <w:t xml:space="preserve">optimicen sus mecanismos de seguridad personal y entregó las cifras de las personas defensoras y líderes y lideresas con esquemas de protección con 3749 beneficiarios con condición de líderes y lideresas y 1279 con condición de personas defensoras. </w:t>
      </w:r>
    </w:p>
    <w:p w14:paraId="0BB1D9B5" w14:textId="77777777" w:rsidR="00C1088B" w:rsidRPr="00D02BFE" w:rsidRDefault="00C1088B" w:rsidP="00C1088B">
      <w:pPr>
        <w:spacing w:after="0" w:line="240" w:lineRule="auto"/>
        <w:ind w:left="720"/>
        <w:jc w:val="both"/>
        <w:rPr>
          <w:rFonts w:ascii="Cambria" w:eastAsia="Cambria" w:hAnsi="Cambria" w:cs="Cambria"/>
          <w:sz w:val="20"/>
          <w:szCs w:val="20"/>
          <w:lang w:val="es-ES_tradnl"/>
        </w:rPr>
      </w:pPr>
    </w:p>
    <w:p w14:paraId="40F9A109" w14:textId="77777777" w:rsidR="00FF72F1" w:rsidRPr="00D02BFE" w:rsidRDefault="00C1088B" w:rsidP="00DA6E6B">
      <w:pPr>
        <w:numPr>
          <w:ilvl w:val="0"/>
          <w:numId w:val="6"/>
        </w:numPr>
        <w:spacing w:after="0" w:line="240" w:lineRule="auto"/>
        <w:ind w:firstLine="720"/>
        <w:jc w:val="both"/>
        <w:rPr>
          <w:rFonts w:ascii="Cambria" w:eastAsia="Cambria" w:hAnsi="Cambria" w:cs="Cambria"/>
          <w:sz w:val="20"/>
          <w:szCs w:val="20"/>
          <w:lang w:val="es-ES_tradnl"/>
        </w:rPr>
      </w:pPr>
      <w:r w:rsidRPr="00D02BFE">
        <w:rPr>
          <w:rFonts w:ascii="Cambria" w:eastAsia="Cambria" w:hAnsi="Cambria" w:cs="Cambria"/>
          <w:sz w:val="20"/>
          <w:szCs w:val="20"/>
          <w:lang w:val="es-ES_tradnl"/>
        </w:rPr>
        <w:t xml:space="preserve">También en 2021, el Estado y, específicamente, la Unidad Nacional de Protección </w:t>
      </w:r>
      <w:r w:rsidR="00FD6552" w:rsidRPr="00D02BFE">
        <w:rPr>
          <w:rFonts w:ascii="Cambria" w:eastAsia="Cambria" w:hAnsi="Cambria" w:cs="Cambria"/>
          <w:sz w:val="20"/>
          <w:szCs w:val="20"/>
          <w:lang w:val="es-ES_tradnl"/>
        </w:rPr>
        <w:t>se refirió a su plan de acción con base en el Sistema de Alertas Tempranas. Además, señaló que la definición de rutas de protección colectiva considera la concertación de estas medidas de acuerdo con las propuestas de las comunidades y organizaciones, a través de talleres de valoración de riesgo. Además, indicó que estas medidas pueden contener acciones con alcance individual cuando tengan un impacto en el colectivo</w:t>
      </w:r>
      <w:r w:rsidR="00CB3E72" w:rsidRPr="00D02BFE">
        <w:rPr>
          <w:rFonts w:ascii="Cambria" w:eastAsia="Cambria" w:hAnsi="Cambria" w:cs="Cambria"/>
          <w:sz w:val="20"/>
          <w:szCs w:val="20"/>
          <w:lang w:val="es-ES_tradnl"/>
        </w:rPr>
        <w:t>, como medios de transporte o de comunicación. Asimismo, indicó que en 2020, en el marco de la Comisión Intersectorial de Garantías para Mujeres Lideresas y Defensoras de Derechos Humanos se lanzó el Protocolo de Análisis del Riesgo para estas personas</w:t>
      </w:r>
      <w:r w:rsidR="00A45A6E" w:rsidRPr="00D02BFE">
        <w:rPr>
          <w:rFonts w:ascii="Cambria" w:eastAsia="Cambria" w:hAnsi="Cambria" w:cs="Cambria"/>
          <w:sz w:val="20"/>
          <w:szCs w:val="20"/>
          <w:lang w:val="es-ES_tradnl"/>
        </w:rPr>
        <w:t xml:space="preserve">, </w:t>
      </w:r>
      <w:r w:rsidR="00A45A6E" w:rsidRPr="00D02BFE">
        <w:rPr>
          <w:rFonts w:ascii="Cambria" w:hAnsi="Cambria"/>
          <w:sz w:val="20"/>
          <w:szCs w:val="20"/>
        </w:rPr>
        <w:t>documento orientador que entrega herramientas a los grupos de trabajo encargados de realizar los procedimientos relacionados con las evaluaciones del nivel de riesgo a Mujeres Lideresas, Mujeres Defensoras de Derechos Humanos y sus organizaciones sociales, que solicitan medidas de protección ante la UNP.</w:t>
      </w:r>
      <w:r w:rsidR="00ED308A" w:rsidRPr="00D02BFE">
        <w:rPr>
          <w:rFonts w:ascii="Cambria" w:hAnsi="Cambria"/>
          <w:sz w:val="20"/>
          <w:szCs w:val="20"/>
        </w:rPr>
        <w:t xml:space="preserve"> </w:t>
      </w:r>
      <w:r w:rsidR="00653B8A" w:rsidRPr="00D02BFE">
        <w:rPr>
          <w:rFonts w:ascii="Cambria" w:hAnsi="Cambria"/>
          <w:sz w:val="20"/>
          <w:szCs w:val="20"/>
        </w:rPr>
        <w:t xml:space="preserve">Esta herramienta es producto de un esfuerzo colectivo de organizaciones de mujeres, organizaciones internacionales, entidades nacionales y la UNP. </w:t>
      </w:r>
      <w:r w:rsidR="00ED308A" w:rsidRPr="00D02BFE">
        <w:rPr>
          <w:rFonts w:ascii="Cambria" w:hAnsi="Cambria"/>
          <w:sz w:val="20"/>
          <w:szCs w:val="20"/>
        </w:rPr>
        <w:t>De acuerdo con el Estado, este protocolo además conti</w:t>
      </w:r>
      <w:r w:rsidR="00653B8A" w:rsidRPr="00D02BFE">
        <w:rPr>
          <w:rFonts w:ascii="Cambria" w:hAnsi="Cambria"/>
          <w:sz w:val="20"/>
          <w:szCs w:val="20"/>
        </w:rPr>
        <w:t>en</w:t>
      </w:r>
      <w:r w:rsidR="00ED308A" w:rsidRPr="00D02BFE">
        <w:rPr>
          <w:rFonts w:ascii="Cambria" w:hAnsi="Cambria"/>
          <w:sz w:val="20"/>
          <w:szCs w:val="20"/>
        </w:rPr>
        <w:t xml:space="preserve">e dos anexos con metodologías participativas para la generación de propuestas de intervención </w:t>
      </w:r>
      <w:r w:rsidR="00ED308A" w:rsidRPr="00D02BFE">
        <w:rPr>
          <w:rFonts w:ascii="Cambria" w:hAnsi="Cambria"/>
          <w:sz w:val="20"/>
          <w:szCs w:val="20"/>
        </w:rPr>
        <w:lastRenderedPageBreak/>
        <w:t>y experiencias con el tratamiento de poblaciones y comunidades en riesgo.</w:t>
      </w:r>
      <w:r w:rsidR="00653B8A" w:rsidRPr="00D02BFE">
        <w:rPr>
          <w:rFonts w:ascii="Cambria" w:hAnsi="Cambria"/>
          <w:sz w:val="20"/>
          <w:szCs w:val="20"/>
        </w:rPr>
        <w:t xml:space="preserve"> Asimismo, informó que en 2018, el CERREM Mujeres realizó 5 sesiones para estudiar 178 casos y que a principios de 2020, el Comité realizó 8 sesiones con 184 casos estudiados. </w:t>
      </w:r>
      <w:r w:rsidRPr="00D02BFE">
        <w:rPr>
          <w:rFonts w:ascii="Cambria" w:hAnsi="Cambria"/>
          <w:sz w:val="20"/>
          <w:szCs w:val="20"/>
        </w:rPr>
        <w:t xml:space="preserve">A partir de las medidas reportadas por el Estado, la entidad afirmó que ha dado cumplimiento total al compromiso que asumió en el objetivo segundo del Plan Integral de Garantías para Lideresas y Defensoras de Derechos Humanos. </w:t>
      </w:r>
    </w:p>
    <w:p w14:paraId="43A3BD85" w14:textId="77777777" w:rsidR="00FE618D" w:rsidRPr="00D02BFE" w:rsidRDefault="00FE618D" w:rsidP="00FE618D">
      <w:pPr>
        <w:spacing w:after="0" w:line="240" w:lineRule="auto"/>
        <w:ind w:left="720"/>
        <w:jc w:val="both"/>
        <w:rPr>
          <w:rFonts w:ascii="Cambria" w:eastAsia="Cambria" w:hAnsi="Cambria" w:cs="Cambria"/>
          <w:sz w:val="20"/>
          <w:szCs w:val="20"/>
          <w:lang w:val="es-ES_tradnl"/>
        </w:rPr>
      </w:pPr>
    </w:p>
    <w:p w14:paraId="7BAA7CB1" w14:textId="77777777" w:rsidR="00DA6E6B" w:rsidRPr="00D02BFE" w:rsidRDefault="00D8031F" w:rsidP="00DA6E6B">
      <w:pPr>
        <w:numPr>
          <w:ilvl w:val="0"/>
          <w:numId w:val="6"/>
        </w:numPr>
        <w:spacing w:after="0" w:line="240" w:lineRule="auto"/>
        <w:ind w:firstLine="720"/>
        <w:jc w:val="both"/>
        <w:rPr>
          <w:rFonts w:ascii="Cambria" w:eastAsia="Cambria" w:hAnsi="Cambria" w:cs="Cambria"/>
          <w:sz w:val="20"/>
          <w:szCs w:val="20"/>
          <w:lang w:val="es-ES_tradnl"/>
        </w:rPr>
      </w:pPr>
      <w:r w:rsidRPr="00D02BFE">
        <w:rPr>
          <w:rFonts w:ascii="Cambria" w:eastAsia="Cambria" w:hAnsi="Cambria" w:cs="Cambria"/>
          <w:sz w:val="20"/>
          <w:szCs w:val="20"/>
          <w:lang w:val="es-ES_tradnl"/>
        </w:rPr>
        <w:t>En 201</w:t>
      </w:r>
      <w:r w:rsidRPr="00D02BFE">
        <w:rPr>
          <w:rFonts w:ascii="Cambria" w:eastAsia="Cambria" w:hAnsi="Cambria" w:cs="Cambria"/>
          <w:sz w:val="20"/>
          <w:szCs w:val="20"/>
          <w:u w:color="FF0000"/>
          <w:lang w:val="es-ES_tradnl"/>
        </w:rPr>
        <w:t>9</w:t>
      </w:r>
      <w:r w:rsidRPr="00D02BFE">
        <w:rPr>
          <w:rFonts w:ascii="Cambria" w:eastAsia="Cambria" w:hAnsi="Cambria" w:cs="Cambria"/>
          <w:sz w:val="20"/>
          <w:szCs w:val="20"/>
          <w:lang w:val="es-ES_tradnl"/>
        </w:rPr>
        <w:t>, los peticionarios</w:t>
      </w:r>
      <w:r w:rsidRPr="00D02BFE">
        <w:rPr>
          <w:rFonts w:ascii="Cambria" w:eastAsia="Cambria" w:hAnsi="Cambria" w:cs="Cambria"/>
          <w:sz w:val="20"/>
          <w:szCs w:val="20"/>
          <w:lang w:val="es-MX"/>
        </w:rPr>
        <w:t xml:space="preserve"> </w:t>
      </w:r>
      <w:r w:rsidRPr="00D02BFE">
        <w:rPr>
          <w:rFonts w:ascii="Cambria" w:eastAsia="Cambria" w:hAnsi="Cambria" w:cs="Cambria"/>
          <w:sz w:val="20"/>
          <w:szCs w:val="20"/>
          <w:u w:color="FF0000"/>
          <w:lang w:val="es-ES_tradnl"/>
        </w:rPr>
        <w:t xml:space="preserve">resaltaron lo que consideran las limitaciones e insuficiencias de los programas estatales dirigidos a enfrentar la situación de violencia en contra de defensores de derechos humanos. Particularmente expresaron su preocupación respecto a la actual operación del Plan de Acción Oportuna para Defensores de Derechos Humanos, Líderes Sociales, Comunales y Periodistas (PAO) que constituye la iniciativa diseñada por el gobierno colombiano para responder a las demandas de la sociedad civil y la comunidad internacional de proteger el liderazgo social y a </w:t>
      </w:r>
      <w:proofErr w:type="gramStart"/>
      <w:r w:rsidRPr="00D02BFE">
        <w:rPr>
          <w:rFonts w:ascii="Cambria" w:eastAsia="Cambria" w:hAnsi="Cambria" w:cs="Cambria"/>
          <w:sz w:val="20"/>
          <w:szCs w:val="20"/>
          <w:u w:color="FF0000"/>
          <w:lang w:val="es-ES_tradnl"/>
        </w:rPr>
        <w:t>los defensores y defensoras</w:t>
      </w:r>
      <w:proofErr w:type="gramEnd"/>
      <w:r w:rsidRPr="00D02BFE">
        <w:rPr>
          <w:rFonts w:ascii="Cambria" w:eastAsia="Cambria" w:hAnsi="Cambria" w:cs="Cambria"/>
          <w:sz w:val="20"/>
          <w:szCs w:val="20"/>
          <w:u w:color="FF0000"/>
          <w:lang w:val="es-ES_tradnl"/>
        </w:rPr>
        <w:t xml:space="preserve"> de derechos humanos. Los representantes señalaron que el PAO muestra una orientación militarista que prioriza el fortalecimiento de las Fuerzas Militares como solución a la violencia ejercida contra </w:t>
      </w:r>
      <w:proofErr w:type="gramStart"/>
      <w:r w:rsidRPr="00D02BFE">
        <w:rPr>
          <w:rFonts w:ascii="Cambria" w:eastAsia="Cambria" w:hAnsi="Cambria" w:cs="Cambria"/>
          <w:sz w:val="20"/>
          <w:szCs w:val="20"/>
          <w:u w:color="FF0000"/>
          <w:lang w:val="es-ES_tradnl"/>
        </w:rPr>
        <w:t>defensoras y defensores</w:t>
      </w:r>
      <w:proofErr w:type="gramEnd"/>
      <w:r w:rsidRPr="00D02BFE">
        <w:rPr>
          <w:rFonts w:ascii="Cambria" w:eastAsia="Cambria" w:hAnsi="Cambria" w:cs="Cambria"/>
          <w:sz w:val="20"/>
          <w:szCs w:val="20"/>
          <w:u w:color="FF0000"/>
          <w:lang w:val="es-ES_tradnl"/>
        </w:rPr>
        <w:t xml:space="preserve"> de derechos humanos. Además</w:t>
      </w:r>
      <w:r w:rsidR="00E51A29" w:rsidRPr="00D02BFE">
        <w:rPr>
          <w:rFonts w:ascii="Cambria" w:eastAsia="Cambria" w:hAnsi="Cambria" w:cs="Cambria"/>
          <w:sz w:val="20"/>
          <w:szCs w:val="20"/>
          <w:u w:color="FF0000"/>
          <w:lang w:val="es-ES_tradnl"/>
        </w:rPr>
        <w:t>,</w:t>
      </w:r>
      <w:r w:rsidRPr="00D02BFE">
        <w:rPr>
          <w:rFonts w:ascii="Cambria" w:eastAsia="Cambria" w:hAnsi="Cambria" w:cs="Cambria"/>
          <w:sz w:val="20"/>
          <w:szCs w:val="20"/>
          <w:u w:color="FF0000"/>
          <w:lang w:val="es-ES_tradnl"/>
        </w:rPr>
        <w:t xml:space="preserve"> apuntaron que el actual enfoque de operación de dicho programa excluye a la sociedad civil como pieza fundamental en la construcción de políticas de superación de riesgos y reduce las garantías para la participación libre y eficaz de </w:t>
      </w:r>
      <w:proofErr w:type="gramStart"/>
      <w:r w:rsidRPr="00D02BFE">
        <w:rPr>
          <w:rFonts w:ascii="Cambria" w:eastAsia="Cambria" w:hAnsi="Cambria" w:cs="Cambria"/>
          <w:sz w:val="20"/>
          <w:szCs w:val="20"/>
          <w:u w:color="FF0000"/>
          <w:lang w:val="es-ES_tradnl"/>
        </w:rPr>
        <w:t>las defensoras y defensores</w:t>
      </w:r>
      <w:proofErr w:type="gramEnd"/>
      <w:r w:rsidRPr="00D02BFE">
        <w:rPr>
          <w:rFonts w:ascii="Cambria" w:eastAsia="Cambria" w:hAnsi="Cambria" w:cs="Cambria"/>
          <w:sz w:val="20"/>
          <w:szCs w:val="20"/>
          <w:u w:color="FF0000"/>
          <w:lang w:val="es-ES_tradnl"/>
        </w:rPr>
        <w:t xml:space="preserve"> de derechos humanos.</w:t>
      </w:r>
    </w:p>
    <w:p w14:paraId="567E8949" w14:textId="77777777" w:rsidR="00DA6E6B" w:rsidRPr="00D02BFE" w:rsidRDefault="00DA6E6B" w:rsidP="00DA6E6B">
      <w:pPr>
        <w:spacing w:after="0" w:line="240" w:lineRule="auto"/>
        <w:ind w:left="720"/>
        <w:jc w:val="both"/>
        <w:rPr>
          <w:rFonts w:ascii="Cambria" w:eastAsia="Cambria" w:hAnsi="Cambria" w:cs="Cambria"/>
          <w:sz w:val="20"/>
          <w:szCs w:val="20"/>
          <w:lang w:val="es-ES_tradnl"/>
        </w:rPr>
      </w:pPr>
    </w:p>
    <w:p w14:paraId="4F65A071" w14:textId="77777777" w:rsidR="00DA6E6B" w:rsidRPr="00D02BFE" w:rsidRDefault="00D8031F" w:rsidP="00DA6E6B">
      <w:pPr>
        <w:numPr>
          <w:ilvl w:val="0"/>
          <w:numId w:val="6"/>
        </w:numPr>
        <w:spacing w:after="0" w:line="240" w:lineRule="auto"/>
        <w:ind w:firstLine="720"/>
        <w:jc w:val="both"/>
        <w:rPr>
          <w:rFonts w:ascii="Cambria" w:eastAsia="Cambria" w:hAnsi="Cambria" w:cs="Cambria"/>
          <w:sz w:val="20"/>
          <w:szCs w:val="20"/>
          <w:lang w:val="es-ES_tradnl"/>
        </w:rPr>
      </w:pPr>
      <w:r w:rsidRPr="00D02BFE">
        <w:rPr>
          <w:rFonts w:ascii="Cambria" w:eastAsia="Cambria" w:hAnsi="Cambria" w:cs="Cambria"/>
          <w:sz w:val="20"/>
          <w:szCs w:val="20"/>
          <w:u w:color="FF0000"/>
          <w:lang w:val="es-ES_tradnl"/>
        </w:rPr>
        <w:t>De igual forma, los peticionarios hicieron saber a la Comisión que de acuerdo con información derivada del Programa Somos Defensores para el primer trimestre del año 2019 se registraron 245 agresiones individuales representadas en asesinatos, atentados, amenazas, judicializaciones y robos de información sensible. Remarcaron que</w:t>
      </w:r>
      <w:r w:rsidR="00FC20C0" w:rsidRPr="00D02BFE">
        <w:rPr>
          <w:rFonts w:ascii="Cambria" w:eastAsia="Cambria" w:hAnsi="Cambria" w:cs="Cambria"/>
          <w:sz w:val="20"/>
          <w:szCs w:val="20"/>
          <w:u w:color="FF0000"/>
          <w:lang w:val="es-ES_tradnl"/>
        </w:rPr>
        <w:t>,</w:t>
      </w:r>
      <w:r w:rsidRPr="00D02BFE">
        <w:rPr>
          <w:rFonts w:ascii="Cambria" w:eastAsia="Cambria" w:hAnsi="Cambria" w:cs="Cambria"/>
          <w:sz w:val="20"/>
          <w:szCs w:val="20"/>
          <w:u w:color="FF0000"/>
          <w:lang w:val="es-ES_tradnl"/>
        </w:rPr>
        <w:t xml:space="preserve"> si bien existió una reducción en el número de homicidios de </w:t>
      </w:r>
      <w:proofErr w:type="gramStart"/>
      <w:r w:rsidRPr="00D02BFE">
        <w:rPr>
          <w:rFonts w:ascii="Cambria" w:eastAsia="Cambria" w:hAnsi="Cambria" w:cs="Cambria"/>
          <w:sz w:val="20"/>
          <w:szCs w:val="20"/>
          <w:u w:color="FF0000"/>
          <w:lang w:val="es-ES_tradnl"/>
        </w:rPr>
        <w:t>defensoras y defensores</w:t>
      </w:r>
      <w:proofErr w:type="gramEnd"/>
      <w:r w:rsidRPr="00D02BFE">
        <w:rPr>
          <w:rFonts w:ascii="Cambria" w:eastAsia="Cambria" w:hAnsi="Cambria" w:cs="Cambria"/>
          <w:sz w:val="20"/>
          <w:szCs w:val="20"/>
          <w:u w:color="FF0000"/>
          <w:lang w:val="es-ES_tradnl"/>
        </w:rPr>
        <w:t xml:space="preserve"> de derechos humanos respecto del mismo trimestre del año anterior, también se registró un aumento considerable en el número de amenazas dirigidas a dicha población. Por su parte, el Estado no brindó información actualizada sobre el registro de casos y denuncias relacionadas con actos de agresión en contra de defensoras, defensores, periodistas y líderes sociales y comunales.</w:t>
      </w:r>
    </w:p>
    <w:p w14:paraId="08C8F09C" w14:textId="77777777" w:rsidR="00DA6E6B" w:rsidRPr="00D02BFE" w:rsidRDefault="00DA6E6B" w:rsidP="00DA6E6B">
      <w:pPr>
        <w:spacing w:after="0" w:line="240" w:lineRule="auto"/>
        <w:jc w:val="both"/>
        <w:rPr>
          <w:rFonts w:ascii="Cambria" w:eastAsia="Cambria" w:hAnsi="Cambria" w:cs="Cambria"/>
          <w:sz w:val="20"/>
          <w:szCs w:val="20"/>
          <w:lang w:val="es-ES_tradnl"/>
        </w:rPr>
      </w:pPr>
    </w:p>
    <w:p w14:paraId="1FC3572F" w14:textId="77777777" w:rsidR="004E6841" w:rsidRPr="00D02BFE" w:rsidRDefault="00357186" w:rsidP="00DA6E6B">
      <w:pPr>
        <w:numPr>
          <w:ilvl w:val="0"/>
          <w:numId w:val="6"/>
        </w:numPr>
        <w:spacing w:after="0" w:line="240" w:lineRule="auto"/>
        <w:ind w:firstLine="720"/>
        <w:jc w:val="both"/>
        <w:rPr>
          <w:rFonts w:ascii="Cambria" w:eastAsia="Cambria" w:hAnsi="Cambria" w:cs="Cambria"/>
          <w:sz w:val="20"/>
          <w:szCs w:val="20"/>
          <w:lang w:val="es-ES_tradnl"/>
        </w:rPr>
      </w:pPr>
      <w:r w:rsidRPr="00D02BFE">
        <w:rPr>
          <w:rFonts w:ascii="Cambria" w:hAnsi="Cambria"/>
          <w:sz w:val="20"/>
          <w:szCs w:val="20"/>
          <w:lang w:val="es-CO"/>
        </w:rPr>
        <w:t xml:space="preserve">En 2020, los peticionarios </w:t>
      </w:r>
      <w:r w:rsidR="00BB0959" w:rsidRPr="00D02BFE">
        <w:rPr>
          <w:rFonts w:ascii="Cambria" w:hAnsi="Cambria"/>
          <w:sz w:val="20"/>
          <w:szCs w:val="20"/>
          <w:lang w:val="es-CO"/>
        </w:rPr>
        <w:t>indicaron que</w:t>
      </w:r>
      <w:r w:rsidR="00C054A3" w:rsidRPr="00D02BFE">
        <w:rPr>
          <w:rFonts w:ascii="Cambria" w:hAnsi="Cambria"/>
          <w:sz w:val="20"/>
          <w:szCs w:val="20"/>
          <w:lang w:val="es-CO"/>
        </w:rPr>
        <w:t>,</w:t>
      </w:r>
      <w:r w:rsidR="00BB0959" w:rsidRPr="00D02BFE">
        <w:rPr>
          <w:rFonts w:ascii="Cambria" w:hAnsi="Cambria"/>
          <w:sz w:val="20"/>
          <w:szCs w:val="20"/>
          <w:lang w:val="es-CO"/>
        </w:rPr>
        <w:t xml:space="preserve"> en este año, el Estado </w:t>
      </w:r>
      <w:r w:rsidRPr="00D02BFE">
        <w:rPr>
          <w:rFonts w:ascii="Cambria" w:hAnsi="Cambria"/>
          <w:sz w:val="20"/>
          <w:szCs w:val="20"/>
          <w:lang w:val="es-CO"/>
        </w:rPr>
        <w:t>no adoptó</w:t>
      </w:r>
      <w:r w:rsidR="00A91929" w:rsidRPr="00D02BFE">
        <w:rPr>
          <w:rFonts w:ascii="Cambria" w:hAnsi="Cambria"/>
          <w:sz w:val="20"/>
          <w:szCs w:val="20"/>
          <w:lang w:val="es-CO"/>
        </w:rPr>
        <w:t xml:space="preserve"> </w:t>
      </w:r>
      <w:r w:rsidR="00BB0959" w:rsidRPr="00D02BFE">
        <w:rPr>
          <w:rFonts w:ascii="Cambria" w:hAnsi="Cambria"/>
          <w:sz w:val="20"/>
          <w:szCs w:val="20"/>
          <w:lang w:val="es-CO"/>
        </w:rPr>
        <w:t>ni propuso</w:t>
      </w:r>
      <w:r w:rsidRPr="00D02BFE">
        <w:rPr>
          <w:rFonts w:ascii="Cambria" w:hAnsi="Cambria"/>
          <w:sz w:val="20"/>
          <w:szCs w:val="20"/>
          <w:lang w:val="es-CO"/>
        </w:rPr>
        <w:t xml:space="preserve"> ninguna iniciativa legislativa para </w:t>
      </w:r>
      <w:r w:rsidR="00C054A3" w:rsidRPr="00D02BFE">
        <w:rPr>
          <w:rFonts w:ascii="Cambria" w:hAnsi="Cambria"/>
          <w:sz w:val="20"/>
          <w:szCs w:val="20"/>
          <w:lang w:val="es-CO"/>
        </w:rPr>
        <w:t>regular la ruta de atención y afrontamiento de los riesgos</w:t>
      </w:r>
      <w:r w:rsidRPr="00D02BFE">
        <w:rPr>
          <w:rFonts w:ascii="Cambria" w:hAnsi="Cambria"/>
          <w:sz w:val="20"/>
          <w:szCs w:val="20"/>
          <w:lang w:val="es-CO"/>
        </w:rPr>
        <w:t xml:space="preserve"> </w:t>
      </w:r>
      <w:r w:rsidR="00C054A3" w:rsidRPr="00D02BFE">
        <w:rPr>
          <w:rFonts w:ascii="Cambria" w:hAnsi="Cambria"/>
          <w:sz w:val="20"/>
          <w:szCs w:val="20"/>
          <w:lang w:val="es-CO"/>
        </w:rPr>
        <w:t>que afrontan</w:t>
      </w:r>
      <w:r w:rsidRPr="00D02BFE">
        <w:rPr>
          <w:rFonts w:ascii="Cambria" w:hAnsi="Cambria"/>
          <w:sz w:val="20"/>
          <w:szCs w:val="20"/>
          <w:lang w:val="es-CO"/>
        </w:rPr>
        <w:t xml:space="preserve"> </w:t>
      </w:r>
      <w:r w:rsidR="00C054A3" w:rsidRPr="00D02BFE">
        <w:rPr>
          <w:rFonts w:ascii="Cambria" w:hAnsi="Cambria"/>
          <w:sz w:val="20"/>
          <w:szCs w:val="20"/>
          <w:lang w:val="es-CO"/>
        </w:rPr>
        <w:t>las personas defensoras de derechos humanos</w:t>
      </w:r>
      <w:r w:rsidRPr="00D02BFE">
        <w:rPr>
          <w:rFonts w:ascii="Cambria" w:hAnsi="Cambria"/>
          <w:sz w:val="20"/>
          <w:szCs w:val="20"/>
          <w:lang w:val="es-CO"/>
        </w:rPr>
        <w:t xml:space="preserve">. </w:t>
      </w:r>
      <w:r w:rsidR="00BB0959" w:rsidRPr="00D02BFE">
        <w:rPr>
          <w:rFonts w:ascii="Cambria" w:hAnsi="Cambria"/>
          <w:sz w:val="20"/>
          <w:szCs w:val="20"/>
          <w:lang w:val="es-CO"/>
        </w:rPr>
        <w:t xml:space="preserve">Respecto a </w:t>
      </w:r>
      <w:r w:rsidRPr="00D02BFE">
        <w:rPr>
          <w:rFonts w:ascii="Cambria" w:hAnsi="Cambria"/>
          <w:sz w:val="20"/>
          <w:szCs w:val="20"/>
          <w:lang w:val="es-CO"/>
        </w:rPr>
        <w:t>medidas administrativ</w:t>
      </w:r>
      <w:r w:rsidR="00BF71E1" w:rsidRPr="00D02BFE">
        <w:rPr>
          <w:rFonts w:ascii="Cambria" w:hAnsi="Cambria"/>
          <w:sz w:val="20"/>
          <w:szCs w:val="20"/>
          <w:lang w:val="es-CO"/>
        </w:rPr>
        <w:t>as</w:t>
      </w:r>
      <w:r w:rsidR="00BB0959" w:rsidRPr="00D02BFE">
        <w:rPr>
          <w:rFonts w:ascii="Cambria" w:hAnsi="Cambria"/>
          <w:sz w:val="20"/>
          <w:szCs w:val="20"/>
          <w:lang w:val="es-CO"/>
        </w:rPr>
        <w:t>, indicaron que las acciones del Estado</w:t>
      </w:r>
      <w:r w:rsidRPr="00D02BFE">
        <w:rPr>
          <w:rFonts w:ascii="Cambria" w:hAnsi="Cambria"/>
          <w:sz w:val="20"/>
          <w:szCs w:val="20"/>
          <w:lang w:val="es-CO"/>
        </w:rPr>
        <w:t xml:space="preserve"> </w:t>
      </w:r>
      <w:r w:rsidR="00BB0959" w:rsidRPr="00D02BFE">
        <w:rPr>
          <w:rFonts w:ascii="Cambria" w:hAnsi="Cambria"/>
          <w:sz w:val="20"/>
          <w:szCs w:val="20"/>
          <w:lang w:val="es-CO"/>
        </w:rPr>
        <w:t>se han centrado en la implementación del</w:t>
      </w:r>
      <w:r w:rsidRPr="00D02BFE">
        <w:rPr>
          <w:rFonts w:ascii="Cambria" w:hAnsi="Cambria"/>
          <w:sz w:val="20"/>
          <w:szCs w:val="20"/>
          <w:lang w:val="es-CO"/>
        </w:rPr>
        <w:t xml:space="preserve"> Plan Acción Oportuna</w:t>
      </w:r>
      <w:r w:rsidR="00BB0959" w:rsidRPr="00D02BFE">
        <w:rPr>
          <w:rFonts w:ascii="Cambria" w:hAnsi="Cambria"/>
          <w:sz w:val="20"/>
          <w:szCs w:val="20"/>
          <w:lang w:val="es-CO"/>
        </w:rPr>
        <w:t xml:space="preserve"> (</w:t>
      </w:r>
      <w:r w:rsidRPr="00D02BFE">
        <w:rPr>
          <w:rFonts w:ascii="Cambria" w:hAnsi="Cambria"/>
          <w:sz w:val="20"/>
          <w:szCs w:val="20"/>
          <w:lang w:val="es-CO"/>
        </w:rPr>
        <w:t>PAO</w:t>
      </w:r>
      <w:r w:rsidR="00BB0959" w:rsidRPr="00D02BFE">
        <w:rPr>
          <w:rFonts w:ascii="Cambria" w:hAnsi="Cambria"/>
          <w:sz w:val="20"/>
          <w:szCs w:val="20"/>
          <w:lang w:val="es-CO"/>
        </w:rPr>
        <w:t>)</w:t>
      </w:r>
      <w:r w:rsidR="00A91929" w:rsidRPr="00D02BFE">
        <w:rPr>
          <w:rFonts w:ascii="Cambria" w:hAnsi="Cambria"/>
          <w:sz w:val="20"/>
          <w:szCs w:val="20"/>
          <w:lang w:val="es-CO"/>
        </w:rPr>
        <w:t xml:space="preserve">, el cual, señalan, </w:t>
      </w:r>
      <w:r w:rsidRPr="00D02BFE">
        <w:rPr>
          <w:rFonts w:ascii="Cambria" w:hAnsi="Cambria"/>
          <w:sz w:val="20"/>
          <w:szCs w:val="20"/>
          <w:lang w:val="es-CO"/>
        </w:rPr>
        <w:t>desconoc</w:t>
      </w:r>
      <w:r w:rsidR="00A91929" w:rsidRPr="00D02BFE">
        <w:rPr>
          <w:rFonts w:ascii="Cambria" w:hAnsi="Cambria"/>
          <w:sz w:val="20"/>
          <w:szCs w:val="20"/>
          <w:lang w:val="es-CO"/>
        </w:rPr>
        <w:t>e</w:t>
      </w:r>
      <w:r w:rsidRPr="00D02BFE">
        <w:rPr>
          <w:rFonts w:ascii="Cambria" w:hAnsi="Cambria"/>
          <w:sz w:val="20"/>
          <w:szCs w:val="20"/>
          <w:lang w:val="es-CO"/>
        </w:rPr>
        <w:t xml:space="preserve"> la Política de Garantías de Seguridad Humana existente para excombatientes, liderazgos sociales y comunidades vulnerables</w:t>
      </w:r>
      <w:r w:rsidR="00BF71E1" w:rsidRPr="00D02BFE">
        <w:rPr>
          <w:rFonts w:ascii="Cambria" w:hAnsi="Cambria"/>
          <w:sz w:val="20"/>
          <w:szCs w:val="20"/>
          <w:lang w:val="es-CO"/>
        </w:rPr>
        <w:t xml:space="preserve"> </w:t>
      </w:r>
      <w:r w:rsidRPr="00D02BFE">
        <w:rPr>
          <w:rFonts w:ascii="Cambria" w:hAnsi="Cambria"/>
          <w:sz w:val="20"/>
          <w:szCs w:val="20"/>
          <w:lang w:val="es-CO"/>
        </w:rPr>
        <w:t>establecid</w:t>
      </w:r>
      <w:r w:rsidR="00BB0959" w:rsidRPr="00D02BFE">
        <w:rPr>
          <w:rFonts w:ascii="Cambria" w:hAnsi="Cambria"/>
          <w:sz w:val="20"/>
          <w:szCs w:val="20"/>
          <w:lang w:val="es-CO"/>
        </w:rPr>
        <w:t>a</w:t>
      </w:r>
      <w:r w:rsidRPr="00D02BFE">
        <w:rPr>
          <w:rFonts w:ascii="Cambria" w:hAnsi="Cambria"/>
          <w:sz w:val="20"/>
          <w:szCs w:val="20"/>
          <w:lang w:val="es-CO"/>
        </w:rPr>
        <w:t xml:space="preserve"> </w:t>
      </w:r>
      <w:r w:rsidR="001067B2" w:rsidRPr="00D02BFE">
        <w:rPr>
          <w:rFonts w:ascii="Cambria" w:hAnsi="Cambria"/>
          <w:sz w:val="20"/>
          <w:szCs w:val="20"/>
          <w:lang w:val="es-CO"/>
        </w:rPr>
        <w:t>por</w:t>
      </w:r>
      <w:r w:rsidRPr="00D02BFE">
        <w:rPr>
          <w:rFonts w:ascii="Cambria" w:hAnsi="Cambria"/>
          <w:sz w:val="20"/>
          <w:szCs w:val="20"/>
          <w:lang w:val="es-CO"/>
        </w:rPr>
        <w:t xml:space="preserve"> el Acuerdo </w:t>
      </w:r>
      <w:r w:rsidR="004E6841" w:rsidRPr="00D02BFE">
        <w:rPr>
          <w:rFonts w:ascii="Cambria" w:hAnsi="Cambria"/>
          <w:sz w:val="20"/>
          <w:szCs w:val="20"/>
          <w:lang w:val="es-CO"/>
        </w:rPr>
        <w:t xml:space="preserve">Final y que </w:t>
      </w:r>
      <w:r w:rsidR="00BB0959" w:rsidRPr="00D02BFE">
        <w:rPr>
          <w:rFonts w:ascii="Cambria" w:hAnsi="Cambria"/>
          <w:sz w:val="20"/>
          <w:szCs w:val="20"/>
          <w:lang w:val="es-CO"/>
        </w:rPr>
        <w:t xml:space="preserve">ha sido insuficiente para contener las agresiones contra personas defensoras. </w:t>
      </w:r>
      <w:r w:rsidR="004E6841" w:rsidRPr="00D02BFE">
        <w:rPr>
          <w:rFonts w:ascii="Cambria" w:hAnsi="Cambria"/>
          <w:sz w:val="20"/>
          <w:szCs w:val="20"/>
          <w:lang w:val="es-CO"/>
        </w:rPr>
        <w:t>Reportaron</w:t>
      </w:r>
      <w:r w:rsidR="00BB0959" w:rsidRPr="00D02BFE">
        <w:rPr>
          <w:rFonts w:ascii="Cambria" w:hAnsi="Cambria"/>
          <w:sz w:val="20"/>
          <w:szCs w:val="20"/>
          <w:lang w:val="es-CO"/>
        </w:rPr>
        <w:t xml:space="preserve"> datos</w:t>
      </w:r>
      <w:r w:rsidRPr="00D02BFE">
        <w:rPr>
          <w:rFonts w:ascii="Cambria" w:hAnsi="Cambria"/>
          <w:sz w:val="20"/>
          <w:szCs w:val="20"/>
          <w:lang w:val="es-CO"/>
        </w:rPr>
        <w:t xml:space="preserve"> del Programa Somos Defensores</w:t>
      </w:r>
      <w:r w:rsidR="00BB0959" w:rsidRPr="00D02BFE">
        <w:rPr>
          <w:rFonts w:ascii="Cambria" w:hAnsi="Cambria"/>
          <w:sz w:val="20"/>
          <w:szCs w:val="20"/>
          <w:lang w:val="es-CO"/>
        </w:rPr>
        <w:t xml:space="preserve"> para ilustrar el incremento </w:t>
      </w:r>
      <w:r w:rsidR="004E6841" w:rsidRPr="00D02BFE">
        <w:rPr>
          <w:rFonts w:ascii="Cambria" w:hAnsi="Cambria"/>
          <w:sz w:val="20"/>
          <w:szCs w:val="20"/>
          <w:lang w:val="es-CO"/>
        </w:rPr>
        <w:t xml:space="preserve">desmedido </w:t>
      </w:r>
      <w:r w:rsidR="00BB0959" w:rsidRPr="00D02BFE">
        <w:rPr>
          <w:rFonts w:ascii="Cambria" w:hAnsi="Cambria"/>
          <w:sz w:val="20"/>
          <w:szCs w:val="20"/>
          <w:lang w:val="es-CO"/>
        </w:rPr>
        <w:t xml:space="preserve">de la victimización </w:t>
      </w:r>
      <w:r w:rsidR="004E6841" w:rsidRPr="00D02BFE">
        <w:rPr>
          <w:rFonts w:ascii="Cambria" w:hAnsi="Cambria"/>
          <w:sz w:val="20"/>
          <w:szCs w:val="20"/>
          <w:lang w:val="es-CO"/>
        </w:rPr>
        <w:t>contra</w:t>
      </w:r>
      <w:r w:rsidR="00BB0959" w:rsidRPr="00D02BFE">
        <w:rPr>
          <w:rFonts w:ascii="Cambria" w:hAnsi="Cambria"/>
          <w:sz w:val="20"/>
          <w:szCs w:val="20"/>
          <w:lang w:val="es-CO"/>
        </w:rPr>
        <w:t xml:space="preserve"> estas personas </w:t>
      </w:r>
      <w:r w:rsidR="004E6841" w:rsidRPr="00D02BFE">
        <w:rPr>
          <w:rFonts w:ascii="Cambria" w:hAnsi="Cambria"/>
          <w:sz w:val="20"/>
          <w:szCs w:val="20"/>
          <w:lang w:val="es-CO"/>
        </w:rPr>
        <w:t>comparando hechos</w:t>
      </w:r>
      <w:r w:rsidRPr="00D02BFE">
        <w:rPr>
          <w:rFonts w:ascii="Cambria" w:hAnsi="Cambria"/>
          <w:sz w:val="20"/>
          <w:szCs w:val="20"/>
          <w:lang w:val="es-CO"/>
        </w:rPr>
        <w:t xml:space="preserve"> ocurridos en el primer semestre del año 2019 </w:t>
      </w:r>
      <w:r w:rsidR="00BB0959" w:rsidRPr="00D02BFE">
        <w:rPr>
          <w:rFonts w:ascii="Cambria" w:hAnsi="Cambria"/>
          <w:sz w:val="20"/>
          <w:szCs w:val="20"/>
          <w:lang w:val="es-CO"/>
        </w:rPr>
        <w:t>y en el primer semestre de</w:t>
      </w:r>
      <w:r w:rsidRPr="00D02BFE">
        <w:rPr>
          <w:rFonts w:ascii="Cambria" w:hAnsi="Cambria"/>
          <w:sz w:val="20"/>
          <w:szCs w:val="20"/>
          <w:lang w:val="es-CO"/>
        </w:rPr>
        <w:t xml:space="preserve"> 2020</w:t>
      </w:r>
      <w:r w:rsidR="004E6841" w:rsidRPr="00D02BFE">
        <w:rPr>
          <w:rFonts w:ascii="Cambria" w:hAnsi="Cambria"/>
          <w:sz w:val="20"/>
          <w:szCs w:val="20"/>
          <w:lang w:val="es-CO"/>
        </w:rPr>
        <w:t>. Según estos datos, con excepción de las amenazas y robos de información, las demás agresiones incrementaron así: homicidios (</w:t>
      </w:r>
      <w:r w:rsidR="00617FFD" w:rsidRPr="00D02BFE">
        <w:rPr>
          <w:rFonts w:ascii="Cambria" w:hAnsi="Cambria"/>
          <w:sz w:val="20"/>
          <w:szCs w:val="20"/>
          <w:lang w:val="es-CO"/>
        </w:rPr>
        <w:t>de</w:t>
      </w:r>
      <w:r w:rsidR="00BB0959" w:rsidRPr="00D02BFE">
        <w:rPr>
          <w:rFonts w:ascii="Cambria" w:hAnsi="Cambria"/>
          <w:sz w:val="20"/>
          <w:szCs w:val="20"/>
          <w:lang w:val="es-CO"/>
        </w:rPr>
        <w:t xml:space="preserve"> 59 </w:t>
      </w:r>
      <w:r w:rsidR="00617FFD" w:rsidRPr="00D02BFE">
        <w:rPr>
          <w:rFonts w:ascii="Cambria" w:hAnsi="Cambria"/>
          <w:sz w:val="20"/>
          <w:szCs w:val="20"/>
          <w:lang w:val="es-CO"/>
        </w:rPr>
        <w:t xml:space="preserve">a </w:t>
      </w:r>
      <w:r w:rsidRPr="00D02BFE">
        <w:rPr>
          <w:rFonts w:ascii="Cambria" w:hAnsi="Cambria"/>
          <w:sz w:val="20"/>
          <w:szCs w:val="20"/>
          <w:lang w:val="es-CO"/>
        </w:rPr>
        <w:t>95</w:t>
      </w:r>
      <w:r w:rsidR="00617FFD" w:rsidRPr="00D02BFE">
        <w:rPr>
          <w:rFonts w:ascii="Cambria" w:hAnsi="Cambria"/>
          <w:sz w:val="20"/>
          <w:szCs w:val="20"/>
          <w:lang w:val="es-CO"/>
        </w:rPr>
        <w:t xml:space="preserve"> casos); atentados </w:t>
      </w:r>
      <w:r w:rsidR="001067B2" w:rsidRPr="00D02BFE">
        <w:rPr>
          <w:rFonts w:ascii="Cambria" w:hAnsi="Cambria"/>
          <w:sz w:val="20"/>
          <w:szCs w:val="20"/>
          <w:lang w:val="es-CO"/>
        </w:rPr>
        <w:t>(</w:t>
      </w:r>
      <w:r w:rsidR="00617FFD" w:rsidRPr="00D02BFE">
        <w:rPr>
          <w:rFonts w:ascii="Cambria" w:hAnsi="Cambria"/>
          <w:sz w:val="20"/>
          <w:szCs w:val="20"/>
          <w:lang w:val="es-CO"/>
        </w:rPr>
        <w:t>de 27 a 29 casos); detenciones arbitrarias (de 22 a 27 casos); judicializaciones (de 0 a 24 casos); desapariciones forzadas (de 0 a 13 casos).</w:t>
      </w:r>
      <w:r w:rsidR="002F5612" w:rsidRPr="00D02BFE">
        <w:rPr>
          <w:rFonts w:ascii="Cambria" w:eastAsia="Cambria" w:hAnsi="Cambria" w:cs="Cambria"/>
          <w:sz w:val="20"/>
          <w:szCs w:val="20"/>
          <w:lang w:val="es-ES_tradnl"/>
        </w:rPr>
        <w:t xml:space="preserve"> </w:t>
      </w:r>
    </w:p>
    <w:p w14:paraId="23F456A1" w14:textId="77777777" w:rsidR="004E6841" w:rsidRPr="00D02BFE" w:rsidRDefault="004E6841" w:rsidP="004E6841">
      <w:pPr>
        <w:spacing w:after="0" w:line="240" w:lineRule="auto"/>
        <w:ind w:left="720"/>
        <w:jc w:val="both"/>
        <w:rPr>
          <w:rFonts w:ascii="Cambria" w:hAnsi="Cambria"/>
          <w:sz w:val="20"/>
          <w:szCs w:val="20"/>
          <w:lang w:val="es-CO"/>
        </w:rPr>
      </w:pPr>
    </w:p>
    <w:p w14:paraId="6FAC2CF0" w14:textId="77777777" w:rsidR="00873CBB" w:rsidRPr="00D02BFE" w:rsidRDefault="002F5612" w:rsidP="00DA6E6B">
      <w:pPr>
        <w:numPr>
          <w:ilvl w:val="0"/>
          <w:numId w:val="6"/>
        </w:numPr>
        <w:spacing w:after="0" w:line="240" w:lineRule="auto"/>
        <w:ind w:firstLine="720"/>
        <w:jc w:val="both"/>
        <w:rPr>
          <w:rFonts w:ascii="Cambria" w:hAnsi="Cambria"/>
          <w:sz w:val="20"/>
          <w:szCs w:val="20"/>
          <w:lang w:val="es-CO"/>
        </w:rPr>
      </w:pPr>
      <w:r w:rsidRPr="00D02BFE">
        <w:rPr>
          <w:rFonts w:ascii="Cambria" w:eastAsia="Cambria" w:hAnsi="Cambria" w:cs="Cambria"/>
          <w:sz w:val="20"/>
          <w:szCs w:val="20"/>
          <w:lang w:val="es-ES_tradnl"/>
        </w:rPr>
        <w:t xml:space="preserve">Asimismo, </w:t>
      </w:r>
      <w:r w:rsidR="004E6841" w:rsidRPr="00D02BFE">
        <w:rPr>
          <w:rFonts w:ascii="Cambria" w:eastAsia="Cambria" w:hAnsi="Cambria" w:cs="Cambria"/>
          <w:sz w:val="20"/>
          <w:szCs w:val="20"/>
          <w:lang w:val="es-ES_tradnl"/>
        </w:rPr>
        <w:t xml:space="preserve">también en 2020, los peticionarios </w:t>
      </w:r>
      <w:r w:rsidRPr="00D02BFE">
        <w:rPr>
          <w:rFonts w:ascii="Cambria" w:hAnsi="Cambria"/>
          <w:sz w:val="20"/>
          <w:szCs w:val="20"/>
          <w:lang w:val="es-CO"/>
        </w:rPr>
        <w:t>señalaron que, con base en el PAO, el Estado únicamente ha aplicado en los territorios la “acción estratégica en el territorio” a través de la militarización</w:t>
      </w:r>
      <w:r w:rsidR="001067B2" w:rsidRPr="00D02BFE">
        <w:rPr>
          <w:rFonts w:ascii="Cambria" w:hAnsi="Cambria"/>
          <w:sz w:val="20"/>
          <w:szCs w:val="20"/>
          <w:lang w:val="es-CO"/>
        </w:rPr>
        <w:t>,</w:t>
      </w:r>
      <w:r w:rsidR="000E643C" w:rsidRPr="00D02BFE">
        <w:rPr>
          <w:rFonts w:ascii="Cambria" w:hAnsi="Cambria"/>
          <w:sz w:val="20"/>
          <w:szCs w:val="20"/>
          <w:lang w:val="es-CO"/>
        </w:rPr>
        <w:t xml:space="preserve"> mediante las Zonas Estratégicas de Intervención Integral (ZEII o Zonas Futuro)</w:t>
      </w:r>
      <w:r w:rsidR="004E6841" w:rsidRPr="00D02BFE">
        <w:rPr>
          <w:rFonts w:ascii="Cambria" w:hAnsi="Cambria"/>
          <w:sz w:val="20"/>
          <w:szCs w:val="20"/>
          <w:lang w:val="es-CO"/>
        </w:rPr>
        <w:t>. Según los peticionarios, esta estrategia no es la vía adecuada para su</w:t>
      </w:r>
      <w:r w:rsidR="000E643C" w:rsidRPr="00D02BFE">
        <w:rPr>
          <w:rFonts w:ascii="Cambria" w:hAnsi="Cambria"/>
          <w:sz w:val="20"/>
          <w:szCs w:val="20"/>
          <w:lang w:val="es-CO"/>
        </w:rPr>
        <w:t xml:space="preserve">perar las crisis humanitarias </w:t>
      </w:r>
      <w:r w:rsidR="004E6841" w:rsidRPr="00D02BFE">
        <w:rPr>
          <w:rFonts w:ascii="Cambria" w:hAnsi="Cambria"/>
          <w:sz w:val="20"/>
          <w:szCs w:val="20"/>
          <w:lang w:val="es-CO"/>
        </w:rPr>
        <w:t>ya</w:t>
      </w:r>
      <w:r w:rsidR="000E643C" w:rsidRPr="00D02BFE">
        <w:rPr>
          <w:rFonts w:ascii="Cambria" w:hAnsi="Cambria"/>
          <w:sz w:val="20"/>
          <w:szCs w:val="20"/>
          <w:lang w:val="es-CO"/>
        </w:rPr>
        <w:t xml:space="preserve"> que, paradójicamente,</w:t>
      </w:r>
      <w:r w:rsidR="001067B2" w:rsidRPr="00D02BFE">
        <w:rPr>
          <w:rFonts w:ascii="Cambria" w:hAnsi="Cambria"/>
          <w:sz w:val="20"/>
          <w:szCs w:val="20"/>
          <w:lang w:val="es-CO"/>
        </w:rPr>
        <w:t xml:space="preserve"> más del 14 % de las agresiones contra defensoras y defensores de derechos humanos se concentran</w:t>
      </w:r>
      <w:r w:rsidR="000E643C" w:rsidRPr="00D02BFE">
        <w:rPr>
          <w:rFonts w:ascii="Cambria" w:hAnsi="Cambria"/>
          <w:sz w:val="20"/>
          <w:szCs w:val="20"/>
          <w:lang w:val="es-CO"/>
        </w:rPr>
        <w:t xml:space="preserve"> en las cinco Zonas </w:t>
      </w:r>
      <w:proofErr w:type="gramStart"/>
      <w:r w:rsidR="000E643C" w:rsidRPr="00D02BFE">
        <w:rPr>
          <w:rFonts w:ascii="Cambria" w:hAnsi="Cambria"/>
          <w:sz w:val="20"/>
          <w:szCs w:val="20"/>
          <w:lang w:val="es-CO"/>
        </w:rPr>
        <w:t>Futuro implementadas</w:t>
      </w:r>
      <w:proofErr w:type="gramEnd"/>
      <w:r w:rsidR="000E643C" w:rsidRPr="00D02BFE">
        <w:rPr>
          <w:rFonts w:ascii="Cambria" w:hAnsi="Cambria"/>
          <w:sz w:val="20"/>
          <w:szCs w:val="20"/>
          <w:lang w:val="es-CO"/>
        </w:rPr>
        <w:t xml:space="preserve"> por el Gobierno Nacional, p</w:t>
      </w:r>
      <w:r w:rsidR="004E6841" w:rsidRPr="00D02BFE">
        <w:rPr>
          <w:rFonts w:ascii="Cambria" w:hAnsi="Cambria"/>
          <w:sz w:val="20"/>
          <w:szCs w:val="20"/>
          <w:lang w:val="es-CO"/>
        </w:rPr>
        <w:t>ese a cubrir pocos municipios y</w:t>
      </w:r>
      <w:r w:rsidR="001067B2" w:rsidRPr="00D02BFE">
        <w:rPr>
          <w:rFonts w:ascii="Cambria" w:hAnsi="Cambria"/>
          <w:sz w:val="20"/>
          <w:szCs w:val="20"/>
          <w:lang w:val="es-CO"/>
        </w:rPr>
        <w:t xml:space="preserve"> tener </w:t>
      </w:r>
      <w:r w:rsidR="000E643C" w:rsidRPr="00D02BFE">
        <w:rPr>
          <w:rFonts w:ascii="Cambria" w:hAnsi="Cambria"/>
          <w:sz w:val="20"/>
          <w:szCs w:val="20"/>
          <w:lang w:val="es-CO"/>
        </w:rPr>
        <w:t>población reducida</w:t>
      </w:r>
      <w:r w:rsidRPr="00D02BFE">
        <w:rPr>
          <w:rFonts w:ascii="Cambria" w:hAnsi="Cambria"/>
          <w:sz w:val="20"/>
          <w:szCs w:val="20"/>
          <w:lang w:val="es-CO"/>
        </w:rPr>
        <w:t xml:space="preserve">. </w:t>
      </w:r>
      <w:r w:rsidRPr="00D02BFE">
        <w:rPr>
          <w:rFonts w:ascii="Cambria" w:hAnsi="Cambria"/>
          <w:sz w:val="20"/>
          <w:szCs w:val="20"/>
        </w:rPr>
        <w:t xml:space="preserve">En este sentido, </w:t>
      </w:r>
      <w:r w:rsidR="000E643C" w:rsidRPr="00D02BFE">
        <w:rPr>
          <w:rFonts w:ascii="Cambria" w:hAnsi="Cambria"/>
          <w:sz w:val="20"/>
          <w:szCs w:val="20"/>
        </w:rPr>
        <w:t xml:space="preserve">los peticionarios señalan que </w:t>
      </w:r>
      <w:r w:rsidRPr="00D02BFE">
        <w:rPr>
          <w:rFonts w:ascii="Cambria" w:hAnsi="Cambria"/>
          <w:sz w:val="20"/>
          <w:szCs w:val="20"/>
        </w:rPr>
        <w:t>las acciones de “fortalecimiento de la repuesta institucional” y “las campañas para la no estigmatización”, también previstas en el PAO, no han sido aplicadas en los territorios.</w:t>
      </w:r>
      <w:r w:rsidR="000E643C" w:rsidRPr="00D02BFE">
        <w:rPr>
          <w:rFonts w:ascii="Cambria" w:hAnsi="Cambria"/>
          <w:sz w:val="20"/>
          <w:szCs w:val="20"/>
        </w:rPr>
        <w:t xml:space="preserve"> </w:t>
      </w:r>
      <w:r w:rsidR="000E643C" w:rsidRPr="00D02BFE">
        <w:rPr>
          <w:rFonts w:ascii="Cambria" w:hAnsi="Cambria"/>
          <w:sz w:val="20"/>
          <w:szCs w:val="20"/>
          <w:lang w:val="es-CO"/>
        </w:rPr>
        <w:t>De hecho, respecto a</w:t>
      </w:r>
      <w:r w:rsidRPr="00D02BFE">
        <w:rPr>
          <w:rFonts w:ascii="Cambria" w:hAnsi="Cambria"/>
          <w:sz w:val="20"/>
          <w:szCs w:val="20"/>
          <w:lang w:val="es-CO"/>
        </w:rPr>
        <w:t xml:space="preserve"> </w:t>
      </w:r>
      <w:r w:rsidR="004E6841" w:rsidRPr="00D02BFE">
        <w:rPr>
          <w:rFonts w:ascii="Cambria" w:hAnsi="Cambria"/>
          <w:sz w:val="20"/>
          <w:szCs w:val="20"/>
          <w:lang w:val="es-CO"/>
        </w:rPr>
        <w:t xml:space="preserve">la </w:t>
      </w:r>
      <w:r w:rsidRPr="00D02BFE">
        <w:rPr>
          <w:rFonts w:ascii="Cambria" w:hAnsi="Cambria"/>
          <w:sz w:val="20"/>
          <w:szCs w:val="20"/>
          <w:lang w:val="es-CO"/>
        </w:rPr>
        <w:t xml:space="preserve">no estigmatización, </w:t>
      </w:r>
      <w:r w:rsidR="000E643C" w:rsidRPr="00D02BFE">
        <w:rPr>
          <w:rFonts w:ascii="Cambria" w:hAnsi="Cambria"/>
          <w:sz w:val="20"/>
          <w:szCs w:val="20"/>
          <w:lang w:val="es-CO"/>
        </w:rPr>
        <w:t>señalan que</w:t>
      </w:r>
      <w:r w:rsidRPr="00D02BFE">
        <w:rPr>
          <w:rFonts w:ascii="Cambria" w:hAnsi="Cambria"/>
          <w:sz w:val="20"/>
          <w:szCs w:val="20"/>
          <w:lang w:val="es-CO"/>
        </w:rPr>
        <w:t xml:space="preserve"> funcionarios de</w:t>
      </w:r>
      <w:r w:rsidR="004E6841" w:rsidRPr="00D02BFE">
        <w:rPr>
          <w:rFonts w:ascii="Cambria" w:hAnsi="Cambria"/>
          <w:sz w:val="20"/>
          <w:szCs w:val="20"/>
          <w:lang w:val="es-CO"/>
        </w:rPr>
        <w:t>l</w:t>
      </w:r>
      <w:r w:rsidRPr="00D02BFE">
        <w:rPr>
          <w:rFonts w:ascii="Cambria" w:hAnsi="Cambria"/>
          <w:sz w:val="20"/>
          <w:szCs w:val="20"/>
          <w:lang w:val="es-CO"/>
        </w:rPr>
        <w:t xml:space="preserve"> Gobierno Nacional han dado declaraciones que estigmatizan a quienes defienden los derechos humanos. </w:t>
      </w:r>
      <w:r w:rsidR="002B4A65" w:rsidRPr="00D02BFE">
        <w:rPr>
          <w:rFonts w:ascii="Cambria" w:hAnsi="Cambria"/>
          <w:sz w:val="20"/>
          <w:szCs w:val="20"/>
          <w:lang w:val="es-CO"/>
        </w:rPr>
        <w:t>Asimismo, señalaron que</w:t>
      </w:r>
      <w:r w:rsidR="0095236C" w:rsidRPr="00D02BFE">
        <w:rPr>
          <w:rFonts w:ascii="Cambria" w:hAnsi="Cambria"/>
          <w:sz w:val="20"/>
          <w:szCs w:val="20"/>
          <w:lang w:val="es-CO"/>
        </w:rPr>
        <w:t xml:space="preserve"> la</w:t>
      </w:r>
      <w:r w:rsidR="002B4A65" w:rsidRPr="00D02BFE">
        <w:rPr>
          <w:rFonts w:ascii="Cambria" w:hAnsi="Cambria"/>
          <w:sz w:val="20"/>
          <w:szCs w:val="20"/>
          <w:lang w:val="es-CO"/>
        </w:rPr>
        <w:t xml:space="preserve"> </w:t>
      </w:r>
      <w:r w:rsidRPr="00D02BFE">
        <w:rPr>
          <w:rFonts w:ascii="Cambria" w:hAnsi="Cambria"/>
          <w:sz w:val="20"/>
          <w:szCs w:val="20"/>
          <w:lang w:val="es-CO"/>
        </w:rPr>
        <w:t xml:space="preserve">narrativa </w:t>
      </w:r>
      <w:r w:rsidR="002B4A65" w:rsidRPr="00D02BFE">
        <w:rPr>
          <w:rFonts w:ascii="Cambria" w:hAnsi="Cambria"/>
          <w:sz w:val="20"/>
          <w:szCs w:val="20"/>
          <w:lang w:val="es-CO"/>
        </w:rPr>
        <w:t>d</w:t>
      </w:r>
      <w:r w:rsidRPr="00D02BFE">
        <w:rPr>
          <w:rFonts w:ascii="Cambria" w:hAnsi="Cambria"/>
          <w:sz w:val="20"/>
          <w:szCs w:val="20"/>
          <w:lang w:val="es-CO"/>
        </w:rPr>
        <w:t>el Gobierno Nacional</w:t>
      </w:r>
      <w:r w:rsidR="004E6841" w:rsidRPr="00D02BFE">
        <w:rPr>
          <w:rFonts w:ascii="Cambria" w:hAnsi="Cambria"/>
          <w:sz w:val="20"/>
          <w:szCs w:val="20"/>
          <w:lang w:val="es-CO"/>
        </w:rPr>
        <w:t>,</w:t>
      </w:r>
      <w:r w:rsidRPr="00D02BFE">
        <w:rPr>
          <w:rFonts w:ascii="Cambria" w:hAnsi="Cambria"/>
          <w:sz w:val="20"/>
          <w:szCs w:val="20"/>
          <w:lang w:val="es-CO"/>
        </w:rPr>
        <w:t xml:space="preserve"> según la cual los asesinatos de las personas defensoras de derechos humanos obedecen estrictamente a la dinámica de narcotráfico y</w:t>
      </w:r>
      <w:r w:rsidR="004E6841" w:rsidRPr="00D02BFE">
        <w:rPr>
          <w:rFonts w:ascii="Cambria" w:hAnsi="Cambria"/>
          <w:sz w:val="20"/>
          <w:szCs w:val="20"/>
          <w:lang w:val="es-CO"/>
        </w:rPr>
        <w:t xml:space="preserve"> a la</w:t>
      </w:r>
      <w:r w:rsidRPr="00D02BFE">
        <w:rPr>
          <w:rFonts w:ascii="Cambria" w:hAnsi="Cambria"/>
          <w:sz w:val="20"/>
          <w:szCs w:val="20"/>
          <w:lang w:val="es-CO"/>
        </w:rPr>
        <w:t xml:space="preserve"> minería ilegal</w:t>
      </w:r>
      <w:r w:rsidR="004E6841" w:rsidRPr="00D02BFE">
        <w:rPr>
          <w:rFonts w:ascii="Cambria" w:hAnsi="Cambria"/>
          <w:sz w:val="20"/>
          <w:szCs w:val="20"/>
          <w:lang w:val="es-CO"/>
        </w:rPr>
        <w:t>,</w:t>
      </w:r>
      <w:r w:rsidRPr="00D02BFE">
        <w:rPr>
          <w:rFonts w:ascii="Cambria" w:hAnsi="Cambria"/>
          <w:sz w:val="20"/>
          <w:szCs w:val="20"/>
          <w:lang w:val="es-CO"/>
        </w:rPr>
        <w:t xml:space="preserve"> </w:t>
      </w:r>
      <w:r w:rsidR="004E6841" w:rsidRPr="00D02BFE">
        <w:rPr>
          <w:rFonts w:ascii="Cambria" w:hAnsi="Cambria"/>
          <w:sz w:val="20"/>
          <w:szCs w:val="20"/>
          <w:lang w:val="es-CO"/>
        </w:rPr>
        <w:t>da</w:t>
      </w:r>
      <w:r w:rsidR="002B4A65" w:rsidRPr="00D02BFE">
        <w:rPr>
          <w:rFonts w:ascii="Cambria" w:hAnsi="Cambria"/>
          <w:sz w:val="20"/>
          <w:szCs w:val="20"/>
          <w:lang w:val="es-CO"/>
        </w:rPr>
        <w:t xml:space="preserve"> a</w:t>
      </w:r>
      <w:r w:rsidR="00CA6212" w:rsidRPr="00D02BFE">
        <w:rPr>
          <w:rFonts w:ascii="Cambria" w:hAnsi="Cambria"/>
          <w:sz w:val="20"/>
          <w:szCs w:val="20"/>
          <w:lang w:val="es-CO"/>
        </w:rPr>
        <w:t xml:space="preserve"> entender que mucha</w:t>
      </w:r>
      <w:r w:rsidRPr="00D02BFE">
        <w:rPr>
          <w:rFonts w:ascii="Cambria" w:hAnsi="Cambria"/>
          <w:sz w:val="20"/>
          <w:szCs w:val="20"/>
          <w:lang w:val="es-CO"/>
        </w:rPr>
        <w:t>s de estas personas están</w:t>
      </w:r>
      <w:r w:rsidR="002B4A65" w:rsidRPr="00D02BFE">
        <w:rPr>
          <w:rFonts w:ascii="Cambria" w:hAnsi="Cambria"/>
          <w:sz w:val="20"/>
          <w:szCs w:val="20"/>
          <w:lang w:val="es-CO"/>
        </w:rPr>
        <w:t xml:space="preserve"> involucradas en prácticas ilegales</w:t>
      </w:r>
      <w:r w:rsidR="001067B2" w:rsidRPr="00D02BFE">
        <w:rPr>
          <w:rFonts w:ascii="Cambria" w:hAnsi="Cambria"/>
          <w:sz w:val="20"/>
          <w:szCs w:val="20"/>
          <w:lang w:val="es-CO"/>
        </w:rPr>
        <w:t>,</w:t>
      </w:r>
      <w:r w:rsidR="002B4A65" w:rsidRPr="00D02BFE">
        <w:rPr>
          <w:rFonts w:ascii="Cambria" w:hAnsi="Cambria"/>
          <w:sz w:val="20"/>
          <w:szCs w:val="20"/>
          <w:lang w:val="es-CO"/>
        </w:rPr>
        <w:t xml:space="preserve"> eximiendo al gobierno nacional de responsabilidades y despolitizando las razones de los ataques. </w:t>
      </w:r>
    </w:p>
    <w:p w14:paraId="3B44D3D8" w14:textId="77777777" w:rsidR="00873CBB" w:rsidRPr="00D02BFE" w:rsidRDefault="00873CBB" w:rsidP="00873CBB">
      <w:pPr>
        <w:spacing w:after="0" w:line="240" w:lineRule="auto"/>
        <w:ind w:left="720"/>
        <w:jc w:val="both"/>
        <w:rPr>
          <w:rFonts w:ascii="Cambria" w:hAnsi="Cambria"/>
          <w:sz w:val="20"/>
          <w:szCs w:val="20"/>
          <w:lang w:val="es-CO"/>
        </w:rPr>
      </w:pPr>
    </w:p>
    <w:p w14:paraId="5A7FEB98" w14:textId="77777777" w:rsidR="003D4BB0" w:rsidRPr="00D02BFE" w:rsidRDefault="004E6841" w:rsidP="00DA6E6B">
      <w:pPr>
        <w:numPr>
          <w:ilvl w:val="0"/>
          <w:numId w:val="6"/>
        </w:numPr>
        <w:spacing w:after="0" w:line="240" w:lineRule="auto"/>
        <w:ind w:firstLine="720"/>
        <w:jc w:val="both"/>
        <w:rPr>
          <w:rFonts w:ascii="Cambria" w:hAnsi="Cambria"/>
          <w:sz w:val="20"/>
          <w:szCs w:val="20"/>
          <w:lang w:val="es-CO"/>
        </w:rPr>
      </w:pPr>
      <w:r w:rsidRPr="00D02BFE">
        <w:rPr>
          <w:rFonts w:ascii="Cambria" w:hAnsi="Cambria"/>
          <w:sz w:val="20"/>
          <w:szCs w:val="20"/>
          <w:lang w:val="es-ES"/>
        </w:rPr>
        <w:t>Igualmente, en 2020, l</w:t>
      </w:r>
      <w:r w:rsidR="002B4A65" w:rsidRPr="00D02BFE">
        <w:rPr>
          <w:rFonts w:ascii="Cambria" w:hAnsi="Cambria"/>
          <w:sz w:val="20"/>
          <w:szCs w:val="20"/>
          <w:lang w:val="es-ES"/>
        </w:rPr>
        <w:t xml:space="preserve">os peticionarios también </w:t>
      </w:r>
      <w:r w:rsidRPr="00D02BFE">
        <w:rPr>
          <w:rFonts w:ascii="Cambria" w:hAnsi="Cambria"/>
          <w:sz w:val="20"/>
          <w:szCs w:val="20"/>
          <w:lang w:val="es-ES"/>
        </w:rPr>
        <w:t>manifestaron</w:t>
      </w:r>
      <w:r w:rsidR="002B4A65" w:rsidRPr="00D02BFE">
        <w:rPr>
          <w:rFonts w:ascii="Cambria" w:hAnsi="Cambria"/>
          <w:sz w:val="20"/>
          <w:szCs w:val="20"/>
          <w:lang w:val="es-ES"/>
        </w:rPr>
        <w:t xml:space="preserve"> </w:t>
      </w:r>
      <w:r w:rsidRPr="00D02BFE">
        <w:rPr>
          <w:rFonts w:ascii="Cambria" w:hAnsi="Cambria"/>
          <w:sz w:val="20"/>
          <w:szCs w:val="20"/>
          <w:lang w:val="es-ES"/>
        </w:rPr>
        <w:t>la insuficiencia de</w:t>
      </w:r>
      <w:r w:rsidR="002B4A65" w:rsidRPr="00D02BFE">
        <w:rPr>
          <w:rFonts w:ascii="Cambria" w:hAnsi="Cambria"/>
          <w:sz w:val="20"/>
          <w:szCs w:val="20"/>
          <w:lang w:val="es-ES"/>
        </w:rPr>
        <w:t xml:space="preserve"> las medidas de protección</w:t>
      </w:r>
      <w:r w:rsidRPr="00D02BFE">
        <w:rPr>
          <w:rFonts w:ascii="Cambria" w:hAnsi="Cambria"/>
          <w:sz w:val="20"/>
          <w:szCs w:val="20"/>
          <w:lang w:val="es-ES"/>
        </w:rPr>
        <w:t xml:space="preserve"> gestionadas por la Unidad Nacional de Protección (UNP), </w:t>
      </w:r>
      <w:r w:rsidR="002B4A65" w:rsidRPr="00D02BFE">
        <w:rPr>
          <w:rFonts w:ascii="Cambria" w:hAnsi="Cambria"/>
          <w:sz w:val="20"/>
          <w:szCs w:val="20"/>
          <w:lang w:val="es-ES"/>
        </w:rPr>
        <w:t xml:space="preserve">especialmente </w:t>
      </w:r>
      <w:r w:rsidRPr="00D02BFE">
        <w:rPr>
          <w:rFonts w:ascii="Cambria" w:hAnsi="Cambria"/>
          <w:sz w:val="20"/>
          <w:szCs w:val="20"/>
          <w:lang w:val="es-ES"/>
        </w:rPr>
        <w:t xml:space="preserve">a </w:t>
      </w:r>
      <w:r w:rsidR="002B4A65" w:rsidRPr="00D02BFE">
        <w:rPr>
          <w:rFonts w:ascii="Cambria" w:hAnsi="Cambria"/>
          <w:sz w:val="20"/>
          <w:szCs w:val="20"/>
          <w:lang w:val="es-ES"/>
        </w:rPr>
        <w:t xml:space="preserve">las de protección física </w:t>
      </w:r>
      <w:r w:rsidR="002B4A65" w:rsidRPr="00D02BFE">
        <w:rPr>
          <w:rFonts w:ascii="Cambria" w:hAnsi="Cambria"/>
          <w:sz w:val="20"/>
          <w:szCs w:val="20"/>
          <w:lang w:val="es-ES"/>
        </w:rPr>
        <w:lastRenderedPageBreak/>
        <w:t>y esquemas “duros” como vehículos, escolta</w:t>
      </w:r>
      <w:r w:rsidR="0095236C" w:rsidRPr="00D02BFE">
        <w:rPr>
          <w:rFonts w:ascii="Cambria" w:hAnsi="Cambria"/>
          <w:sz w:val="20"/>
          <w:szCs w:val="20"/>
          <w:lang w:val="es-ES"/>
        </w:rPr>
        <w:t>s</w:t>
      </w:r>
      <w:r w:rsidRPr="00D02BFE">
        <w:rPr>
          <w:rFonts w:ascii="Cambria" w:hAnsi="Cambria"/>
          <w:sz w:val="20"/>
          <w:szCs w:val="20"/>
          <w:lang w:val="es-ES"/>
        </w:rPr>
        <w:t xml:space="preserve">, </w:t>
      </w:r>
      <w:proofErr w:type="spellStart"/>
      <w:r w:rsidRPr="00D02BFE">
        <w:rPr>
          <w:rFonts w:ascii="Cambria" w:hAnsi="Cambria"/>
          <w:sz w:val="20"/>
          <w:szCs w:val="20"/>
          <w:lang w:val="es-ES"/>
        </w:rPr>
        <w:t>etc</w:t>
      </w:r>
      <w:proofErr w:type="spellEnd"/>
      <w:r w:rsidR="001067B2" w:rsidRPr="00D02BFE">
        <w:rPr>
          <w:rFonts w:ascii="Cambria" w:hAnsi="Cambria"/>
          <w:sz w:val="20"/>
          <w:szCs w:val="20"/>
          <w:lang w:val="es-CO"/>
        </w:rPr>
        <w:t>,</w:t>
      </w:r>
      <w:r w:rsidR="002B4A65" w:rsidRPr="00D02BFE">
        <w:rPr>
          <w:rFonts w:ascii="Cambria" w:hAnsi="Cambria"/>
          <w:sz w:val="20"/>
          <w:szCs w:val="20"/>
          <w:lang w:val="es-CO"/>
        </w:rPr>
        <w:t xml:space="preserve"> </w:t>
      </w:r>
      <w:r w:rsidR="00FC6109" w:rsidRPr="00D02BFE">
        <w:rPr>
          <w:rFonts w:ascii="Cambria" w:hAnsi="Cambria"/>
          <w:sz w:val="20"/>
          <w:szCs w:val="20"/>
          <w:lang w:val="es-CO"/>
        </w:rPr>
        <w:t>considerando</w:t>
      </w:r>
      <w:r w:rsidR="002B4A65" w:rsidRPr="00D02BFE">
        <w:rPr>
          <w:rFonts w:ascii="Cambria" w:hAnsi="Cambria"/>
          <w:sz w:val="20"/>
          <w:szCs w:val="20"/>
          <w:lang w:val="es-CO"/>
        </w:rPr>
        <w:t xml:space="preserve"> los incrementos de agresiones. Por su parte, informaron sobre </w:t>
      </w:r>
      <w:r w:rsidR="0095236C" w:rsidRPr="00D02BFE">
        <w:rPr>
          <w:rFonts w:ascii="Cambria" w:hAnsi="Cambria"/>
          <w:sz w:val="20"/>
          <w:szCs w:val="20"/>
          <w:lang w:val="es-CO"/>
        </w:rPr>
        <w:t>los fallos de una tutela en primera y segunda instancia</w:t>
      </w:r>
      <w:r w:rsidR="0059498D" w:rsidRPr="00D02BFE">
        <w:rPr>
          <w:rFonts w:ascii="Cambria" w:hAnsi="Cambria"/>
          <w:sz w:val="20"/>
          <w:szCs w:val="20"/>
          <w:lang w:val="es-CO"/>
        </w:rPr>
        <w:t xml:space="preserve"> (</w:t>
      </w:r>
      <w:r w:rsidR="0095236C" w:rsidRPr="00D02BFE">
        <w:rPr>
          <w:rFonts w:ascii="Cambria" w:hAnsi="Cambria"/>
          <w:sz w:val="20"/>
          <w:szCs w:val="20"/>
          <w:lang w:val="es-CO"/>
        </w:rPr>
        <w:t xml:space="preserve">decisiones </w:t>
      </w:r>
      <w:r w:rsidRPr="00D02BFE">
        <w:rPr>
          <w:rFonts w:ascii="Cambria" w:hAnsi="Cambria"/>
          <w:sz w:val="20"/>
          <w:szCs w:val="20"/>
          <w:lang w:val="es-CO"/>
        </w:rPr>
        <w:t>de</w:t>
      </w:r>
      <w:r w:rsidR="0059498D" w:rsidRPr="00D02BFE">
        <w:rPr>
          <w:rFonts w:ascii="Cambria" w:hAnsi="Cambria"/>
          <w:sz w:val="20"/>
          <w:szCs w:val="20"/>
          <w:lang w:val="es-CO"/>
        </w:rPr>
        <w:t xml:space="preserve"> marzo y mayo de 2020, respectivamente)</w:t>
      </w:r>
      <w:r w:rsidR="0095236C" w:rsidRPr="00D02BFE">
        <w:rPr>
          <w:rFonts w:ascii="Cambria" w:hAnsi="Cambria"/>
          <w:sz w:val="20"/>
          <w:szCs w:val="20"/>
          <w:lang w:val="es-CO"/>
        </w:rPr>
        <w:t xml:space="preserve"> mediante </w:t>
      </w:r>
      <w:r w:rsidR="002B4A65" w:rsidRPr="00D02BFE">
        <w:rPr>
          <w:rFonts w:ascii="Cambria" w:hAnsi="Cambria"/>
          <w:sz w:val="20"/>
          <w:szCs w:val="20"/>
          <w:lang w:val="es-CO"/>
        </w:rPr>
        <w:t>las</w:t>
      </w:r>
      <w:r w:rsidR="0095236C" w:rsidRPr="00D02BFE">
        <w:rPr>
          <w:rFonts w:ascii="Cambria" w:hAnsi="Cambria"/>
          <w:sz w:val="20"/>
          <w:szCs w:val="20"/>
          <w:lang w:val="es-CO"/>
        </w:rPr>
        <w:t xml:space="preserve"> que</w:t>
      </w:r>
      <w:r w:rsidR="002B4A65" w:rsidRPr="00D02BFE">
        <w:rPr>
          <w:rFonts w:ascii="Cambria" w:hAnsi="Cambria"/>
          <w:sz w:val="20"/>
          <w:szCs w:val="20"/>
          <w:lang w:val="es-CO"/>
        </w:rPr>
        <w:t xml:space="preserve"> </w:t>
      </w:r>
      <w:r w:rsidR="0095236C" w:rsidRPr="00D02BFE">
        <w:rPr>
          <w:rFonts w:ascii="Cambria" w:hAnsi="Cambria"/>
          <w:sz w:val="20"/>
          <w:szCs w:val="20"/>
          <w:lang w:val="es-CO"/>
        </w:rPr>
        <w:t>se ampararon los derechos de un grupo de personas defensoras</w:t>
      </w:r>
      <w:r w:rsidR="002B4A65" w:rsidRPr="00D02BFE">
        <w:rPr>
          <w:rFonts w:ascii="Cambria" w:hAnsi="Cambria"/>
          <w:sz w:val="20"/>
          <w:szCs w:val="20"/>
          <w:lang w:val="es-CO"/>
        </w:rPr>
        <w:t>. Informaron que esta decisi</w:t>
      </w:r>
      <w:r w:rsidR="003D4BB0" w:rsidRPr="00D02BFE">
        <w:rPr>
          <w:rFonts w:ascii="Cambria" w:hAnsi="Cambria"/>
          <w:sz w:val="20"/>
          <w:szCs w:val="20"/>
          <w:lang w:val="es-CO"/>
        </w:rPr>
        <w:t>ón</w:t>
      </w:r>
      <w:r w:rsidR="002B4A65" w:rsidRPr="00D02BFE">
        <w:rPr>
          <w:rFonts w:ascii="Cambria" w:hAnsi="Cambria"/>
          <w:sz w:val="20"/>
          <w:szCs w:val="20"/>
          <w:lang w:val="es-CO"/>
        </w:rPr>
        <w:t xml:space="preserve"> </w:t>
      </w:r>
      <w:r w:rsidR="00FC6109" w:rsidRPr="00D02BFE">
        <w:rPr>
          <w:rFonts w:ascii="Cambria" w:hAnsi="Cambria"/>
          <w:sz w:val="20"/>
          <w:szCs w:val="20"/>
          <w:lang w:val="es-CO"/>
        </w:rPr>
        <w:t>orden</w:t>
      </w:r>
      <w:r w:rsidR="003D4BB0" w:rsidRPr="00D02BFE">
        <w:rPr>
          <w:rFonts w:ascii="Cambria" w:hAnsi="Cambria"/>
          <w:sz w:val="20"/>
          <w:szCs w:val="20"/>
          <w:lang w:val="es-CO"/>
        </w:rPr>
        <w:t>ó</w:t>
      </w:r>
      <w:r w:rsidR="002B4A65" w:rsidRPr="00D02BFE">
        <w:rPr>
          <w:rFonts w:ascii="Cambria" w:hAnsi="Cambria"/>
          <w:sz w:val="20"/>
          <w:szCs w:val="20"/>
          <w:lang w:val="es-CO"/>
        </w:rPr>
        <w:t xml:space="preserve"> al Gobierno Nacional reactivar la Mesa Nacional de Garantías y las Mesas Territoriales de Garantías para</w:t>
      </w:r>
      <w:r w:rsidR="0059498D" w:rsidRPr="00D02BFE">
        <w:rPr>
          <w:rFonts w:ascii="Cambria" w:hAnsi="Cambria"/>
          <w:sz w:val="20"/>
          <w:szCs w:val="20"/>
          <w:lang w:val="es-CO"/>
        </w:rPr>
        <w:t xml:space="preserve"> dialogar y</w:t>
      </w:r>
      <w:r w:rsidR="002B4A65" w:rsidRPr="00D02BFE">
        <w:rPr>
          <w:rFonts w:ascii="Cambria" w:hAnsi="Cambria"/>
          <w:sz w:val="20"/>
          <w:szCs w:val="20"/>
          <w:lang w:val="es-CO"/>
        </w:rPr>
        <w:t xml:space="preserve"> concertar, </w:t>
      </w:r>
      <w:r w:rsidRPr="00D02BFE">
        <w:rPr>
          <w:rFonts w:ascii="Cambria" w:hAnsi="Cambria"/>
          <w:sz w:val="20"/>
          <w:szCs w:val="20"/>
          <w:lang w:val="es-CO"/>
        </w:rPr>
        <w:t>de manera participativa</w:t>
      </w:r>
      <w:r w:rsidR="0059498D" w:rsidRPr="00D02BFE">
        <w:rPr>
          <w:rFonts w:ascii="Cambria" w:hAnsi="Cambria"/>
          <w:sz w:val="20"/>
          <w:szCs w:val="20"/>
          <w:lang w:val="es-CO"/>
        </w:rPr>
        <w:t>, soluciones a</w:t>
      </w:r>
      <w:r w:rsidR="002B4A65" w:rsidRPr="00D02BFE">
        <w:rPr>
          <w:rFonts w:ascii="Cambria" w:hAnsi="Cambria"/>
          <w:sz w:val="20"/>
          <w:szCs w:val="20"/>
          <w:lang w:val="es-CO"/>
        </w:rPr>
        <w:t xml:space="preserve"> las</w:t>
      </w:r>
      <w:r w:rsidRPr="00D02BFE">
        <w:rPr>
          <w:rFonts w:ascii="Cambria" w:hAnsi="Cambria"/>
          <w:sz w:val="20"/>
          <w:szCs w:val="20"/>
          <w:lang w:val="es-CO"/>
        </w:rPr>
        <w:t xml:space="preserve"> problemáticas del ejercicio de la</w:t>
      </w:r>
      <w:r w:rsidR="002B4A65" w:rsidRPr="00D02BFE">
        <w:rPr>
          <w:rFonts w:ascii="Cambria" w:hAnsi="Cambria"/>
          <w:sz w:val="20"/>
          <w:szCs w:val="20"/>
          <w:lang w:val="es-CO"/>
        </w:rPr>
        <w:t xml:space="preserve"> defensa de los derechos humanos y </w:t>
      </w:r>
      <w:r w:rsidR="001067B2" w:rsidRPr="00D02BFE">
        <w:rPr>
          <w:rFonts w:ascii="Cambria" w:hAnsi="Cambria"/>
          <w:sz w:val="20"/>
          <w:szCs w:val="20"/>
          <w:lang w:val="es-CO"/>
        </w:rPr>
        <w:t xml:space="preserve">para </w:t>
      </w:r>
      <w:r w:rsidR="002B4A65" w:rsidRPr="00D02BFE">
        <w:rPr>
          <w:rFonts w:ascii="Cambria" w:hAnsi="Cambria"/>
          <w:sz w:val="20"/>
          <w:szCs w:val="20"/>
          <w:lang w:val="es-CO"/>
        </w:rPr>
        <w:t xml:space="preserve">ofrecer garantías a líderes y lideresas. </w:t>
      </w:r>
      <w:r w:rsidR="0059498D" w:rsidRPr="00D02BFE">
        <w:rPr>
          <w:rFonts w:ascii="Cambria" w:hAnsi="Cambria"/>
          <w:sz w:val="20"/>
          <w:szCs w:val="20"/>
          <w:lang w:val="es-CO"/>
        </w:rPr>
        <w:t>Indicaron que, según la decisión, debe asegurarse la continuidad y periodicidad de estas</w:t>
      </w:r>
      <w:r w:rsidR="002B4A65" w:rsidRPr="00D02BFE">
        <w:rPr>
          <w:rFonts w:ascii="Cambria" w:hAnsi="Cambria"/>
          <w:sz w:val="20"/>
          <w:szCs w:val="20"/>
          <w:lang w:val="es-CO"/>
        </w:rPr>
        <w:t xml:space="preserve"> reuniones</w:t>
      </w:r>
      <w:r w:rsidR="0059498D" w:rsidRPr="00D02BFE">
        <w:rPr>
          <w:rFonts w:ascii="Cambria" w:hAnsi="Cambria"/>
          <w:sz w:val="20"/>
          <w:szCs w:val="20"/>
          <w:lang w:val="es-CO"/>
        </w:rPr>
        <w:t xml:space="preserve">, incluso en el marco de la pandemia. </w:t>
      </w:r>
      <w:r w:rsidR="0049075C" w:rsidRPr="00D02BFE">
        <w:rPr>
          <w:rFonts w:ascii="Cambria" w:hAnsi="Cambria"/>
          <w:sz w:val="20"/>
          <w:szCs w:val="20"/>
          <w:lang w:val="es-CO"/>
        </w:rPr>
        <w:t xml:space="preserve">Asimismo, indicaron que </w:t>
      </w:r>
      <w:r w:rsidR="003D4BB0" w:rsidRPr="00D02BFE">
        <w:rPr>
          <w:rFonts w:ascii="Cambria" w:hAnsi="Cambria"/>
          <w:sz w:val="20"/>
          <w:szCs w:val="20"/>
          <w:lang w:val="es-CO"/>
        </w:rPr>
        <w:t>la decisión</w:t>
      </w:r>
      <w:r w:rsidR="0049075C" w:rsidRPr="00D02BFE">
        <w:rPr>
          <w:rFonts w:ascii="Cambria" w:hAnsi="Cambria"/>
          <w:sz w:val="20"/>
          <w:szCs w:val="20"/>
          <w:lang w:val="es-CO"/>
        </w:rPr>
        <w:t xml:space="preserve"> orden</w:t>
      </w:r>
      <w:r w:rsidR="003D4BB0" w:rsidRPr="00D02BFE">
        <w:rPr>
          <w:rFonts w:ascii="Cambria" w:hAnsi="Cambria"/>
          <w:sz w:val="20"/>
          <w:szCs w:val="20"/>
          <w:lang w:val="es-CO"/>
        </w:rPr>
        <w:t>ó</w:t>
      </w:r>
      <w:r w:rsidR="0049075C" w:rsidRPr="00D02BFE">
        <w:rPr>
          <w:rFonts w:ascii="Cambria" w:hAnsi="Cambria"/>
          <w:sz w:val="20"/>
          <w:szCs w:val="20"/>
          <w:lang w:val="es-CO"/>
        </w:rPr>
        <w:t xml:space="preserve"> promover u</w:t>
      </w:r>
      <w:r w:rsidR="00CA6212" w:rsidRPr="00D02BFE">
        <w:rPr>
          <w:rFonts w:ascii="Cambria" w:hAnsi="Cambria"/>
          <w:sz w:val="20"/>
          <w:szCs w:val="20"/>
          <w:lang w:val="es-CO"/>
        </w:rPr>
        <w:t xml:space="preserve">na campaña pública, permanente </w:t>
      </w:r>
      <w:r w:rsidR="0049075C" w:rsidRPr="00D02BFE">
        <w:rPr>
          <w:rFonts w:ascii="Cambria" w:hAnsi="Cambria"/>
          <w:sz w:val="20"/>
          <w:szCs w:val="20"/>
          <w:lang w:val="es-CO"/>
        </w:rPr>
        <w:t xml:space="preserve">y con alcance territorial sobre el reconocimiento, respeto y respaldo de la labor de personas defensoras de derechos humanos, cuya implementación deberá empezar un mes después de </w:t>
      </w:r>
      <w:r w:rsidR="00CA6212" w:rsidRPr="00D02BFE">
        <w:rPr>
          <w:rFonts w:ascii="Cambria" w:hAnsi="Cambria"/>
          <w:sz w:val="20"/>
          <w:szCs w:val="20"/>
          <w:lang w:val="es-CO"/>
        </w:rPr>
        <w:t>superar</w:t>
      </w:r>
      <w:r w:rsidR="0049075C" w:rsidRPr="00D02BFE">
        <w:rPr>
          <w:rFonts w:ascii="Cambria" w:hAnsi="Cambria"/>
          <w:sz w:val="20"/>
          <w:szCs w:val="20"/>
          <w:lang w:val="es-CO"/>
        </w:rPr>
        <w:t xml:space="preserve"> la emergencia causada por la pandemia. </w:t>
      </w:r>
      <w:r w:rsidR="00752173" w:rsidRPr="00D02BFE">
        <w:rPr>
          <w:rFonts w:ascii="Cambria" w:hAnsi="Cambria"/>
          <w:sz w:val="20"/>
          <w:szCs w:val="20"/>
          <w:lang w:val="es-CO"/>
        </w:rPr>
        <w:t>De acuerdo con los peticionarios, las órdenes imparti</w:t>
      </w:r>
      <w:r w:rsidR="00FC6109" w:rsidRPr="00D02BFE">
        <w:rPr>
          <w:rFonts w:ascii="Cambria" w:hAnsi="Cambria"/>
          <w:sz w:val="20"/>
          <w:szCs w:val="20"/>
          <w:lang w:val="es-CO"/>
        </w:rPr>
        <w:t>d</w:t>
      </w:r>
      <w:r w:rsidR="00752173" w:rsidRPr="00D02BFE">
        <w:rPr>
          <w:rFonts w:ascii="Cambria" w:hAnsi="Cambria"/>
          <w:sz w:val="20"/>
          <w:szCs w:val="20"/>
          <w:lang w:val="es-CO"/>
        </w:rPr>
        <w:t xml:space="preserve">as identificaron las fallas </w:t>
      </w:r>
      <w:r w:rsidR="0049075C" w:rsidRPr="00D02BFE">
        <w:rPr>
          <w:rFonts w:ascii="Cambria" w:hAnsi="Cambria"/>
          <w:sz w:val="20"/>
          <w:szCs w:val="20"/>
          <w:lang w:val="es-CO"/>
        </w:rPr>
        <w:t xml:space="preserve">de las políticas públicas para </w:t>
      </w:r>
      <w:r w:rsidR="00752173" w:rsidRPr="00D02BFE">
        <w:rPr>
          <w:rFonts w:ascii="Cambria" w:hAnsi="Cambria"/>
          <w:sz w:val="20"/>
          <w:szCs w:val="20"/>
          <w:lang w:val="es-CO"/>
        </w:rPr>
        <w:t>proteger</w:t>
      </w:r>
      <w:r w:rsidR="0049075C" w:rsidRPr="00D02BFE">
        <w:rPr>
          <w:rFonts w:ascii="Cambria" w:hAnsi="Cambria"/>
          <w:sz w:val="20"/>
          <w:szCs w:val="20"/>
          <w:lang w:val="es-CO"/>
        </w:rPr>
        <w:t xml:space="preserve"> </w:t>
      </w:r>
      <w:r w:rsidR="00CA6212" w:rsidRPr="00D02BFE">
        <w:rPr>
          <w:rFonts w:ascii="Cambria" w:hAnsi="Cambria"/>
          <w:sz w:val="20"/>
          <w:szCs w:val="20"/>
          <w:lang w:val="es-CO"/>
        </w:rPr>
        <w:t>a</w:t>
      </w:r>
      <w:r w:rsidR="0049075C" w:rsidRPr="00D02BFE">
        <w:rPr>
          <w:rFonts w:ascii="Cambria" w:hAnsi="Cambria"/>
          <w:sz w:val="20"/>
          <w:szCs w:val="20"/>
          <w:lang w:val="es-CO"/>
        </w:rPr>
        <w:t xml:space="preserve"> </w:t>
      </w:r>
      <w:r w:rsidR="00752173" w:rsidRPr="00D02BFE">
        <w:rPr>
          <w:rFonts w:ascii="Cambria" w:hAnsi="Cambria"/>
          <w:sz w:val="20"/>
          <w:szCs w:val="20"/>
          <w:lang w:val="es-CO"/>
        </w:rPr>
        <w:t xml:space="preserve">personas </w:t>
      </w:r>
      <w:r w:rsidR="0049075C" w:rsidRPr="00D02BFE">
        <w:rPr>
          <w:rFonts w:ascii="Cambria" w:hAnsi="Cambria"/>
          <w:sz w:val="20"/>
          <w:szCs w:val="20"/>
          <w:lang w:val="es-CO"/>
        </w:rPr>
        <w:t xml:space="preserve">defensoras. </w:t>
      </w:r>
      <w:r w:rsidR="00CA6212" w:rsidRPr="00D02BFE">
        <w:rPr>
          <w:rFonts w:ascii="Cambria" w:hAnsi="Cambria"/>
          <w:sz w:val="20"/>
          <w:szCs w:val="20"/>
          <w:lang w:val="es-CO"/>
        </w:rPr>
        <w:t>Cabe destacar que, de acuerdo con la información proporcionada, la decisión judicial indicó que la Mesa Nacional de Garantías y las Mesas Territoriales tendrán que analizar temáticas relevantes y específicas relacionadas con la protección y garantías de seguridad para personas defensoras de derechos humanos.</w:t>
      </w:r>
    </w:p>
    <w:p w14:paraId="787E1629" w14:textId="77777777" w:rsidR="005C5BE6" w:rsidRPr="00D02BFE" w:rsidRDefault="005C5BE6" w:rsidP="00752173">
      <w:pPr>
        <w:spacing w:after="0" w:line="240" w:lineRule="auto"/>
        <w:jc w:val="both"/>
        <w:rPr>
          <w:rFonts w:ascii="Cambria" w:eastAsia="Cambria" w:hAnsi="Cambria" w:cs="Cambria"/>
          <w:sz w:val="20"/>
          <w:szCs w:val="20"/>
          <w:lang w:val="es-US"/>
        </w:rPr>
      </w:pPr>
    </w:p>
    <w:p w14:paraId="18250AF9" w14:textId="77777777" w:rsidR="00E600D9" w:rsidRPr="00D02BFE" w:rsidRDefault="00D8031F" w:rsidP="00C059FF">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sz w:val="20"/>
          <w:szCs w:val="20"/>
          <w:lang w:val="es-US"/>
        </w:rPr>
        <w:t xml:space="preserve">La CIDH </w:t>
      </w:r>
      <w:r w:rsidR="00453188" w:rsidRPr="00D02BFE">
        <w:rPr>
          <w:rFonts w:ascii="Cambria" w:eastAsia="Cambria" w:hAnsi="Cambria" w:cs="Cambria"/>
          <w:sz w:val="20"/>
          <w:szCs w:val="20"/>
          <w:lang w:val="es-US"/>
        </w:rPr>
        <w:t>agradece</w:t>
      </w:r>
      <w:r w:rsidRPr="00D02BFE">
        <w:rPr>
          <w:rFonts w:ascii="Cambria" w:eastAsia="Cambria" w:hAnsi="Cambria" w:cs="Cambria"/>
          <w:sz w:val="20"/>
          <w:szCs w:val="20"/>
          <w:lang w:val="es-US"/>
        </w:rPr>
        <w:t xml:space="preserve"> </w:t>
      </w:r>
      <w:r w:rsidR="00EA527B" w:rsidRPr="00D02BFE">
        <w:rPr>
          <w:rFonts w:ascii="Cambria" w:eastAsia="Cambria" w:hAnsi="Cambria" w:cs="Cambria"/>
          <w:sz w:val="20"/>
          <w:szCs w:val="20"/>
          <w:lang w:val="es-US"/>
        </w:rPr>
        <w:t xml:space="preserve">la información proporcionada </w:t>
      </w:r>
      <w:r w:rsidR="00C059FF" w:rsidRPr="00D02BFE">
        <w:rPr>
          <w:rFonts w:ascii="Cambria" w:eastAsia="Cambria" w:hAnsi="Cambria" w:cs="Cambria"/>
          <w:sz w:val="20"/>
          <w:szCs w:val="20"/>
          <w:lang w:val="es-US"/>
        </w:rPr>
        <w:t xml:space="preserve">por </w:t>
      </w:r>
      <w:r w:rsidR="00453188" w:rsidRPr="00D02BFE">
        <w:rPr>
          <w:rFonts w:ascii="Cambria" w:eastAsia="Cambria" w:hAnsi="Cambria" w:cs="Cambria"/>
          <w:sz w:val="20"/>
          <w:szCs w:val="20"/>
          <w:lang w:val="es-US"/>
        </w:rPr>
        <w:t xml:space="preserve">el Estado </w:t>
      </w:r>
      <w:r w:rsidR="000D3CC6" w:rsidRPr="00D02BFE">
        <w:rPr>
          <w:rFonts w:ascii="Cambria" w:eastAsia="Cambria" w:hAnsi="Cambria" w:cs="Cambria"/>
          <w:sz w:val="20"/>
          <w:szCs w:val="20"/>
          <w:lang w:val="es-US"/>
        </w:rPr>
        <w:t>a principios del año</w:t>
      </w:r>
      <w:r w:rsidR="00453188" w:rsidRPr="00D02BFE">
        <w:rPr>
          <w:rFonts w:ascii="Cambria" w:eastAsia="Cambria" w:hAnsi="Cambria" w:cs="Cambria"/>
          <w:sz w:val="20"/>
          <w:szCs w:val="20"/>
          <w:lang w:val="es-US"/>
        </w:rPr>
        <w:t xml:space="preserve"> 2021</w:t>
      </w:r>
      <w:r w:rsidR="00AF1F0F" w:rsidRPr="00D02BFE">
        <w:rPr>
          <w:rFonts w:ascii="Cambria" w:eastAsia="Cambria" w:hAnsi="Cambria" w:cs="Cambria"/>
          <w:sz w:val="20"/>
          <w:szCs w:val="20"/>
          <w:lang w:val="es-US"/>
        </w:rPr>
        <w:t xml:space="preserve"> y valora que esta información haya sido proporcionada por distintas entidades públicas que tienen un grado de impacto en la implementación de las garantías de no repetición de los hechos de este caso</w:t>
      </w:r>
      <w:r w:rsidR="00EA527B" w:rsidRPr="00D02BFE">
        <w:rPr>
          <w:rFonts w:ascii="Cambria" w:eastAsia="Cambria" w:hAnsi="Cambria" w:cs="Cambria"/>
          <w:sz w:val="20"/>
          <w:szCs w:val="20"/>
          <w:lang w:val="es-US"/>
        </w:rPr>
        <w:t xml:space="preserve">. </w:t>
      </w:r>
      <w:r w:rsidR="00453188" w:rsidRPr="00D02BFE">
        <w:rPr>
          <w:rFonts w:ascii="Cambria" w:eastAsia="Cambria" w:hAnsi="Cambria" w:cs="Cambria"/>
          <w:sz w:val="20"/>
          <w:szCs w:val="20"/>
          <w:lang w:val="es-US"/>
        </w:rPr>
        <w:t>Al r</w:t>
      </w:r>
      <w:r w:rsidR="00EA527B" w:rsidRPr="00D02BFE">
        <w:rPr>
          <w:rFonts w:ascii="Cambria" w:eastAsia="Cambria" w:hAnsi="Cambria" w:cs="Cambria"/>
          <w:sz w:val="20"/>
          <w:szCs w:val="20"/>
          <w:lang w:val="es-US"/>
        </w:rPr>
        <w:t xml:space="preserve">especto, </w:t>
      </w:r>
      <w:r w:rsidR="00887B3A" w:rsidRPr="00D02BFE">
        <w:rPr>
          <w:rFonts w:ascii="Cambria" w:eastAsia="Cambria" w:hAnsi="Cambria" w:cs="Cambria"/>
          <w:sz w:val="20"/>
          <w:szCs w:val="20"/>
          <w:lang w:val="es-US"/>
        </w:rPr>
        <w:t xml:space="preserve">la Comisión también </w:t>
      </w:r>
      <w:r w:rsidR="00C059FF" w:rsidRPr="00D02BFE">
        <w:rPr>
          <w:rFonts w:ascii="Cambria" w:eastAsia="Cambria" w:hAnsi="Cambria" w:cs="Cambria"/>
          <w:sz w:val="20"/>
          <w:szCs w:val="20"/>
          <w:lang w:val="es-US"/>
        </w:rPr>
        <w:t>valora que el Estado manifiest</w:t>
      </w:r>
      <w:r w:rsidR="00AF1F0F" w:rsidRPr="00D02BFE">
        <w:rPr>
          <w:rFonts w:ascii="Cambria" w:eastAsia="Cambria" w:hAnsi="Cambria" w:cs="Cambria"/>
          <w:sz w:val="20"/>
          <w:szCs w:val="20"/>
          <w:lang w:val="es-US"/>
        </w:rPr>
        <w:t>e</w:t>
      </w:r>
      <w:r w:rsidR="00C059FF" w:rsidRPr="00D02BFE">
        <w:rPr>
          <w:rFonts w:ascii="Cambria" w:eastAsia="Cambria" w:hAnsi="Cambria" w:cs="Cambria"/>
          <w:sz w:val="20"/>
          <w:szCs w:val="20"/>
          <w:lang w:val="es-US"/>
        </w:rPr>
        <w:t xml:space="preserve"> la voluntad de </w:t>
      </w:r>
      <w:r w:rsidR="00AF1F0F" w:rsidRPr="00D02BFE">
        <w:rPr>
          <w:rFonts w:ascii="Cambria" w:eastAsia="Cambria" w:hAnsi="Cambria" w:cs="Cambria"/>
          <w:sz w:val="20"/>
          <w:szCs w:val="20"/>
          <w:lang w:val="es-US"/>
        </w:rPr>
        <w:t>continuar adoptando</w:t>
      </w:r>
      <w:r w:rsidR="00C059FF" w:rsidRPr="00D02BFE">
        <w:rPr>
          <w:rFonts w:ascii="Cambria" w:eastAsia="Cambria" w:hAnsi="Cambria" w:cs="Cambria"/>
          <w:sz w:val="20"/>
          <w:szCs w:val="20"/>
          <w:lang w:val="es-US"/>
        </w:rPr>
        <w:t xml:space="preserve"> medidas dirigidas a brindar protección a favor de las personas defensoras de los derechos humanos en Colombia. </w:t>
      </w:r>
    </w:p>
    <w:p w14:paraId="6022B178" w14:textId="77777777" w:rsidR="00E600D9" w:rsidRPr="00D02BFE" w:rsidRDefault="00E600D9" w:rsidP="00E600D9">
      <w:pPr>
        <w:spacing w:after="0" w:line="240" w:lineRule="auto"/>
        <w:ind w:left="720"/>
        <w:jc w:val="both"/>
        <w:rPr>
          <w:rFonts w:ascii="Cambria" w:eastAsia="Cambria" w:hAnsi="Cambria" w:cs="Cambria"/>
          <w:sz w:val="20"/>
          <w:szCs w:val="20"/>
          <w:lang w:val="es-MX"/>
        </w:rPr>
      </w:pPr>
    </w:p>
    <w:p w14:paraId="2DFF3F95" w14:textId="77777777" w:rsidR="00F43442" w:rsidRPr="00D02BFE" w:rsidRDefault="00C059FF" w:rsidP="00F43442">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sz w:val="20"/>
          <w:szCs w:val="20"/>
          <w:lang w:val="es-US"/>
        </w:rPr>
        <w:t>A partir de</w:t>
      </w:r>
      <w:r w:rsidR="00E600D9" w:rsidRPr="00D02BFE">
        <w:rPr>
          <w:rFonts w:ascii="Cambria" w:eastAsia="Cambria" w:hAnsi="Cambria" w:cs="Cambria"/>
          <w:sz w:val="20"/>
          <w:szCs w:val="20"/>
          <w:lang w:val="es-US"/>
        </w:rPr>
        <w:t>l contenido de la cuarta recomendación, la Comisión recuerda que esta está compuesta por dos asuntos</w:t>
      </w:r>
      <w:r w:rsidR="00F43442" w:rsidRPr="00D02BFE">
        <w:rPr>
          <w:rFonts w:ascii="Cambria" w:eastAsia="Cambria" w:hAnsi="Cambria" w:cs="Cambria"/>
          <w:sz w:val="20"/>
          <w:szCs w:val="20"/>
          <w:lang w:val="es-US"/>
        </w:rPr>
        <w:t>.</w:t>
      </w:r>
      <w:r w:rsidR="00E600D9" w:rsidRPr="00D02BFE">
        <w:rPr>
          <w:rFonts w:ascii="Cambria" w:eastAsia="Cambria" w:hAnsi="Cambria" w:cs="Cambria"/>
          <w:sz w:val="20"/>
          <w:szCs w:val="20"/>
          <w:lang w:val="es-US"/>
        </w:rPr>
        <w:t xml:space="preserve"> </w:t>
      </w:r>
    </w:p>
    <w:p w14:paraId="3436FBB0" w14:textId="77777777" w:rsidR="00F43442" w:rsidRPr="00D02BFE" w:rsidRDefault="00F43442" w:rsidP="00F43442">
      <w:pPr>
        <w:pStyle w:val="ListParagraph"/>
        <w:rPr>
          <w:rFonts w:ascii="Cambria" w:eastAsia="Cambria" w:hAnsi="Cambria" w:cs="Cambria"/>
          <w:sz w:val="20"/>
          <w:szCs w:val="20"/>
          <w:lang w:val="es-US"/>
        </w:rPr>
      </w:pPr>
    </w:p>
    <w:p w14:paraId="3C62707F" w14:textId="77777777" w:rsidR="00F43442" w:rsidRPr="00D02BFE" w:rsidRDefault="00F43442" w:rsidP="00F43442">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sz w:val="20"/>
          <w:szCs w:val="20"/>
          <w:lang w:val="es-US"/>
        </w:rPr>
        <w:t xml:space="preserve">Por un lado, </w:t>
      </w:r>
      <w:r w:rsidR="00E600D9" w:rsidRPr="00D02BFE">
        <w:rPr>
          <w:rFonts w:ascii="Cambria" w:eastAsia="Cambria" w:hAnsi="Cambria" w:cs="Cambria"/>
          <w:sz w:val="20"/>
          <w:szCs w:val="20"/>
          <w:lang w:val="es-US"/>
        </w:rPr>
        <w:t xml:space="preserve">la recomendación 4.1 </w:t>
      </w:r>
      <w:r w:rsidRPr="00D02BFE">
        <w:rPr>
          <w:rFonts w:ascii="Cambria" w:eastAsia="Cambria" w:hAnsi="Cambria" w:cs="Cambria"/>
          <w:sz w:val="20"/>
          <w:szCs w:val="20"/>
          <w:lang w:val="es-US"/>
        </w:rPr>
        <w:t>establece que el Estado debe fortalecer</w:t>
      </w:r>
      <w:r w:rsidR="00E600D9" w:rsidRPr="00D02BFE">
        <w:rPr>
          <w:rFonts w:ascii="Cambria" w:eastAsia="Cambria" w:hAnsi="Cambria" w:cs="Cambria"/>
          <w:sz w:val="20"/>
          <w:szCs w:val="20"/>
          <w:lang w:val="es-US"/>
        </w:rPr>
        <w:t xml:space="preserve"> </w:t>
      </w:r>
      <w:r w:rsidR="00E600D9" w:rsidRPr="00D02BFE">
        <w:rPr>
          <w:rFonts w:ascii="Cambria" w:eastAsia="Cambria" w:hAnsi="Cambria" w:cs="Cambria"/>
          <w:sz w:val="20"/>
          <w:szCs w:val="20"/>
          <w:lang w:val="es-ES_tradnl"/>
        </w:rPr>
        <w:t xml:space="preserve">la capacidad institucional para combatir el patrón de impunidad frente a casos de amenazas y muertes de </w:t>
      </w:r>
      <w:proofErr w:type="gramStart"/>
      <w:r w:rsidR="00E600D9" w:rsidRPr="00D02BFE">
        <w:rPr>
          <w:rFonts w:ascii="Cambria" w:eastAsia="Cambria" w:hAnsi="Cambria" w:cs="Cambria"/>
          <w:sz w:val="20"/>
          <w:szCs w:val="20"/>
          <w:lang w:val="es-ES_tradnl"/>
        </w:rPr>
        <w:t>defensoras y defensores</w:t>
      </w:r>
      <w:proofErr w:type="gramEnd"/>
      <w:r w:rsidR="00E600D9" w:rsidRPr="00D02BFE">
        <w:rPr>
          <w:rFonts w:ascii="Cambria" w:eastAsia="Cambria" w:hAnsi="Cambria" w:cs="Cambria"/>
          <w:sz w:val="20"/>
          <w:szCs w:val="20"/>
          <w:lang w:val="es-ES_tradnl"/>
        </w:rPr>
        <w:t>, mediante la elaboración de protocolos de investigación que teniendo en cuenta los riesgos inherentes a la labor de defensa de los derechos humanos permitan un desarrollo exhaustivo de la investigación bajo esta hipótesis</w:t>
      </w:r>
      <w:r w:rsidRPr="00D02BFE">
        <w:rPr>
          <w:rFonts w:ascii="Cambria" w:eastAsia="Cambria" w:hAnsi="Cambria" w:cs="Cambria"/>
          <w:sz w:val="20"/>
          <w:szCs w:val="20"/>
          <w:lang w:val="es-ES_tradnl"/>
        </w:rPr>
        <w:t>.</w:t>
      </w:r>
      <w:r w:rsidR="00E600D9" w:rsidRPr="00D02BFE">
        <w:rPr>
          <w:rFonts w:ascii="Cambria" w:eastAsia="Cambria" w:hAnsi="Cambria" w:cs="Cambria"/>
          <w:sz w:val="20"/>
          <w:szCs w:val="20"/>
          <w:lang w:val="es-ES_tradnl"/>
        </w:rPr>
        <w:t xml:space="preserve"> </w:t>
      </w:r>
      <w:r w:rsidRPr="00D02BFE">
        <w:rPr>
          <w:rFonts w:ascii="Cambria" w:eastAsia="Cambria" w:hAnsi="Cambria" w:cs="Cambria"/>
          <w:sz w:val="20"/>
          <w:szCs w:val="20"/>
          <w:lang w:val="es-ES_tradnl"/>
        </w:rPr>
        <w:t xml:space="preserve">Al respecto, </w:t>
      </w:r>
      <w:r w:rsidRPr="00D02BFE">
        <w:rPr>
          <w:rFonts w:ascii="Cambria" w:eastAsia="Cambria" w:hAnsi="Cambria" w:cs="Cambria"/>
          <w:sz w:val="20"/>
          <w:szCs w:val="20"/>
          <w:lang w:val="es-MX"/>
        </w:rPr>
        <w:t xml:space="preserve">la Comisión recibió información de la Fiscalía General de la Nación </w:t>
      </w:r>
      <w:r w:rsidRPr="00D02BFE">
        <w:rPr>
          <w:rFonts w:ascii="Cambria" w:eastAsia="Cambria" w:hAnsi="Cambria" w:cs="Cambria"/>
          <w:sz w:val="20"/>
          <w:szCs w:val="20"/>
          <w:lang w:val="es-ES_tradnl"/>
        </w:rPr>
        <w:t xml:space="preserve">referida a la adopción de estrategias para contribuir a la implementación del Acuerdo Final para la Paz y, por otro lado, a la aplicación de la Directiva 002 de 2017 “Por medio de la cual se dictan lineamientos para la investigación de delitos contra defensores de derechos humanos” y de la creación de un grupo de trabajo para fortalecer la investigación, priorización y respuesta inmediata a amenazas contra personas defensoras. Sin embargo, con miras a avanzar en el nivel de cumplimiento de esta recomendación, la Comisión solicita al Estado aclarar de qué manera las medidas reportadas han permitido el fortalecimiento de la capacidad para combatir la impunidad de estos casos y solicita información adicional sobre si hay protocolos de investigación no reportados que hagan parte de la estrategia investigativa del Estado. </w:t>
      </w:r>
    </w:p>
    <w:p w14:paraId="27827EA5" w14:textId="77777777" w:rsidR="00F43442" w:rsidRPr="00D02BFE" w:rsidRDefault="00F43442" w:rsidP="00F43442">
      <w:pPr>
        <w:spacing w:after="0" w:line="240" w:lineRule="auto"/>
        <w:ind w:left="720"/>
        <w:jc w:val="both"/>
        <w:rPr>
          <w:rFonts w:ascii="Cambria" w:eastAsia="Cambria" w:hAnsi="Cambria" w:cs="Cambria"/>
          <w:sz w:val="20"/>
          <w:szCs w:val="20"/>
          <w:lang w:val="es-MX"/>
        </w:rPr>
      </w:pPr>
    </w:p>
    <w:p w14:paraId="544156DB" w14:textId="77777777" w:rsidR="00353E53" w:rsidRPr="00D02BFE" w:rsidRDefault="00F43442" w:rsidP="00F43442">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sz w:val="20"/>
          <w:szCs w:val="20"/>
          <w:lang w:val="es-ES_tradnl"/>
        </w:rPr>
        <w:t>P</w:t>
      </w:r>
      <w:r w:rsidR="00E600D9" w:rsidRPr="00D02BFE">
        <w:rPr>
          <w:rFonts w:ascii="Cambria" w:eastAsia="Cambria" w:hAnsi="Cambria" w:cs="Cambria"/>
          <w:sz w:val="20"/>
          <w:szCs w:val="20"/>
          <w:lang w:val="es-ES_tradnl"/>
        </w:rPr>
        <w:t xml:space="preserve">or su parte, la recomendación 4.2 </w:t>
      </w:r>
      <w:r w:rsidRPr="00D02BFE">
        <w:rPr>
          <w:rFonts w:ascii="Cambria" w:eastAsia="Cambria" w:hAnsi="Cambria" w:cs="Cambria"/>
          <w:sz w:val="20"/>
          <w:szCs w:val="20"/>
          <w:lang w:val="es-ES_tradnl"/>
        </w:rPr>
        <w:t>señala que el Estado debe desarrollar</w:t>
      </w:r>
      <w:r w:rsidR="00E600D9" w:rsidRPr="00D02BFE">
        <w:rPr>
          <w:rFonts w:ascii="Cambria" w:eastAsia="Cambria" w:hAnsi="Cambria" w:cs="Cambria"/>
          <w:sz w:val="20"/>
          <w:szCs w:val="20"/>
          <w:lang w:val="es-ES_tradnl"/>
        </w:rPr>
        <w:t xml:space="preserve"> medidas adecuadas y expeditas de respuesta institucional que permitan proteger eficazmente a </w:t>
      </w:r>
      <w:proofErr w:type="gramStart"/>
      <w:r w:rsidR="00E600D9" w:rsidRPr="00D02BFE">
        <w:rPr>
          <w:rFonts w:ascii="Cambria" w:eastAsia="Cambria" w:hAnsi="Cambria" w:cs="Cambria"/>
          <w:sz w:val="20"/>
          <w:szCs w:val="20"/>
          <w:lang w:val="es-ES_tradnl"/>
        </w:rPr>
        <w:t>defensoras y defensores</w:t>
      </w:r>
      <w:proofErr w:type="gramEnd"/>
      <w:r w:rsidR="00E600D9" w:rsidRPr="00D02BFE">
        <w:rPr>
          <w:rFonts w:ascii="Cambria" w:eastAsia="Cambria" w:hAnsi="Cambria" w:cs="Cambria"/>
          <w:sz w:val="20"/>
          <w:szCs w:val="20"/>
          <w:lang w:val="es-ES_tradnl"/>
        </w:rPr>
        <w:t xml:space="preserve"> de derechos humanos en situaciones de riesgo. </w:t>
      </w:r>
      <w:r w:rsidRPr="00D02BFE">
        <w:rPr>
          <w:rFonts w:ascii="Cambria" w:eastAsia="Cambria" w:hAnsi="Cambria" w:cs="Cambria"/>
          <w:sz w:val="20"/>
          <w:szCs w:val="20"/>
          <w:lang w:val="es-US"/>
        </w:rPr>
        <w:t>Al respecto,</w:t>
      </w:r>
      <w:r w:rsidR="00C059FF" w:rsidRPr="00D02BFE">
        <w:rPr>
          <w:rFonts w:ascii="Cambria" w:eastAsia="Cambria" w:hAnsi="Cambria" w:cs="Cambria"/>
          <w:sz w:val="20"/>
          <w:szCs w:val="20"/>
          <w:lang w:val="es-US"/>
        </w:rPr>
        <w:t xml:space="preserve"> la </w:t>
      </w:r>
      <w:r w:rsidR="00887B3A" w:rsidRPr="00D02BFE">
        <w:rPr>
          <w:rFonts w:ascii="Cambria" w:eastAsia="Cambria" w:hAnsi="Cambria" w:cs="Cambria"/>
          <w:sz w:val="20"/>
          <w:szCs w:val="20"/>
          <w:lang w:val="es-US"/>
        </w:rPr>
        <w:t>CIDH</w:t>
      </w:r>
      <w:r w:rsidR="00C059FF" w:rsidRPr="00D02BFE">
        <w:rPr>
          <w:rFonts w:ascii="Cambria" w:eastAsia="Cambria" w:hAnsi="Cambria" w:cs="Cambria"/>
          <w:sz w:val="20"/>
          <w:szCs w:val="20"/>
          <w:lang w:val="es-US"/>
        </w:rPr>
        <w:t xml:space="preserve"> </w:t>
      </w:r>
      <w:r w:rsidR="00F368A3" w:rsidRPr="00D02BFE">
        <w:rPr>
          <w:rFonts w:ascii="Cambria" w:eastAsia="Cambria" w:hAnsi="Cambria" w:cs="Cambria"/>
          <w:sz w:val="20"/>
          <w:szCs w:val="20"/>
          <w:lang w:val="es-US"/>
        </w:rPr>
        <w:t xml:space="preserve">considera que </w:t>
      </w:r>
      <w:r w:rsidR="000D3CC6" w:rsidRPr="00D02BFE">
        <w:rPr>
          <w:rFonts w:ascii="Cambria" w:eastAsia="Cambria" w:hAnsi="Cambria" w:cs="Cambria"/>
          <w:sz w:val="20"/>
          <w:szCs w:val="20"/>
          <w:lang w:val="es-US"/>
        </w:rPr>
        <w:t xml:space="preserve">el Estado </w:t>
      </w:r>
      <w:r w:rsidR="00F368A3" w:rsidRPr="00D02BFE">
        <w:rPr>
          <w:rFonts w:ascii="Cambria" w:eastAsia="Cambria" w:hAnsi="Cambria" w:cs="Cambria"/>
          <w:sz w:val="20"/>
          <w:szCs w:val="20"/>
          <w:lang w:val="es-US"/>
        </w:rPr>
        <w:t xml:space="preserve">ha </w:t>
      </w:r>
      <w:r w:rsidR="00C059FF" w:rsidRPr="00D02BFE">
        <w:rPr>
          <w:rFonts w:ascii="Cambria" w:eastAsia="Cambria" w:hAnsi="Cambria" w:cs="Cambria"/>
          <w:sz w:val="20"/>
          <w:szCs w:val="20"/>
          <w:lang w:val="es-US"/>
        </w:rPr>
        <w:t>adoptado</w:t>
      </w:r>
      <w:r w:rsidR="00F368A3" w:rsidRPr="00D02BFE">
        <w:rPr>
          <w:rFonts w:ascii="Cambria" w:eastAsia="Cambria" w:hAnsi="Cambria" w:cs="Cambria"/>
          <w:sz w:val="20"/>
          <w:szCs w:val="20"/>
          <w:lang w:val="es-US"/>
        </w:rPr>
        <w:t xml:space="preserve"> </w:t>
      </w:r>
      <w:r w:rsidR="00C059FF" w:rsidRPr="00D02BFE">
        <w:rPr>
          <w:rFonts w:ascii="Cambria" w:eastAsia="Cambria" w:hAnsi="Cambria" w:cs="Cambria"/>
          <w:sz w:val="20"/>
          <w:szCs w:val="20"/>
          <w:lang w:val="es-US"/>
        </w:rPr>
        <w:t xml:space="preserve">algunas </w:t>
      </w:r>
      <w:r w:rsidR="00EA527B" w:rsidRPr="00D02BFE">
        <w:rPr>
          <w:rFonts w:ascii="Cambria" w:eastAsia="Cambria" w:hAnsi="Cambria" w:cs="Cambria"/>
          <w:sz w:val="20"/>
          <w:szCs w:val="20"/>
          <w:lang w:val="es-US"/>
        </w:rPr>
        <w:t xml:space="preserve">medidas </w:t>
      </w:r>
      <w:r w:rsidR="000D3CC6" w:rsidRPr="00D02BFE">
        <w:rPr>
          <w:rFonts w:ascii="Cambria" w:eastAsia="Cambria" w:hAnsi="Cambria" w:cs="Cambria"/>
          <w:sz w:val="20"/>
          <w:szCs w:val="20"/>
          <w:lang w:val="es-US"/>
        </w:rPr>
        <w:t>para procurar la</w:t>
      </w:r>
      <w:r w:rsidR="00D8031F" w:rsidRPr="00D02BFE">
        <w:rPr>
          <w:rFonts w:ascii="Cambria" w:eastAsia="Cambria" w:hAnsi="Cambria" w:cs="Cambria"/>
          <w:sz w:val="20"/>
          <w:szCs w:val="20"/>
          <w:lang w:val="es-US"/>
        </w:rPr>
        <w:t xml:space="preserve"> protección de </w:t>
      </w:r>
      <w:r w:rsidR="008953D2" w:rsidRPr="00D02BFE">
        <w:rPr>
          <w:rFonts w:ascii="Cambria" w:eastAsia="Cambria" w:hAnsi="Cambria" w:cs="Cambria"/>
          <w:sz w:val="20"/>
          <w:szCs w:val="20"/>
          <w:lang w:val="es-US"/>
        </w:rPr>
        <w:t>personas defensoras</w:t>
      </w:r>
      <w:r w:rsidR="00D8031F" w:rsidRPr="00D02BFE">
        <w:rPr>
          <w:rFonts w:ascii="Cambria" w:eastAsia="Cambria" w:hAnsi="Cambria" w:cs="Cambria"/>
          <w:sz w:val="20"/>
          <w:szCs w:val="20"/>
          <w:lang w:val="es-US"/>
        </w:rPr>
        <w:t xml:space="preserve"> de derechos humanos en Colombia</w:t>
      </w:r>
      <w:r w:rsidR="00D8031F" w:rsidRPr="00D02BFE">
        <w:rPr>
          <w:rFonts w:ascii="Cambria" w:eastAsia="Cambria" w:hAnsi="Cambria" w:cs="Cambria"/>
          <w:sz w:val="20"/>
          <w:szCs w:val="20"/>
          <w:vertAlign w:val="superscript"/>
        </w:rPr>
        <w:footnoteReference w:id="9"/>
      </w:r>
      <w:r w:rsidR="00D8031F" w:rsidRPr="00D02BFE">
        <w:rPr>
          <w:rFonts w:ascii="Cambria" w:eastAsia="Cambria" w:hAnsi="Cambria" w:cs="Cambria"/>
          <w:sz w:val="20"/>
          <w:szCs w:val="20"/>
          <w:lang w:val="es-MX"/>
        </w:rPr>
        <w:t xml:space="preserve">. </w:t>
      </w:r>
      <w:r w:rsidRPr="00D02BFE">
        <w:rPr>
          <w:rFonts w:ascii="Cambria" w:eastAsia="Cambria" w:hAnsi="Cambria" w:cs="Cambria"/>
          <w:sz w:val="20"/>
          <w:szCs w:val="20"/>
          <w:lang w:val="es-MX"/>
        </w:rPr>
        <w:t>Al respecto, l</w:t>
      </w:r>
      <w:r w:rsidR="005B5441" w:rsidRPr="00D02BFE">
        <w:rPr>
          <w:rFonts w:ascii="Cambria" w:eastAsia="Cambria" w:hAnsi="Cambria" w:cs="Cambria"/>
          <w:sz w:val="20"/>
          <w:szCs w:val="20"/>
          <w:lang w:val="es-MX"/>
        </w:rPr>
        <w:t xml:space="preserve">a CIDH </w:t>
      </w:r>
      <w:r w:rsidR="00C059FF" w:rsidRPr="00D02BFE">
        <w:rPr>
          <w:rFonts w:ascii="Cambria" w:eastAsia="Cambria" w:hAnsi="Cambria" w:cs="Cambria"/>
          <w:sz w:val="20"/>
          <w:szCs w:val="20"/>
          <w:lang w:val="es-MX"/>
        </w:rPr>
        <w:t>toma nota de que los avances reportados estuvieron referidos en gran parte al año 2020</w:t>
      </w:r>
      <w:r w:rsidR="005B5441" w:rsidRPr="00D02BFE">
        <w:rPr>
          <w:rFonts w:ascii="Cambria" w:eastAsia="Cambria" w:hAnsi="Cambria" w:cs="Cambria"/>
          <w:sz w:val="20"/>
          <w:szCs w:val="20"/>
          <w:lang w:val="es-MX"/>
        </w:rPr>
        <w:t>, por lo que no recibió información específica respecto a medidas y avances alcanzados a lo largo de 2021</w:t>
      </w:r>
      <w:r w:rsidR="00C059FF" w:rsidRPr="00D02BFE">
        <w:rPr>
          <w:rFonts w:ascii="Cambria" w:eastAsia="Cambria" w:hAnsi="Cambria" w:cs="Cambria"/>
          <w:sz w:val="20"/>
          <w:szCs w:val="20"/>
          <w:lang w:val="es-MX"/>
        </w:rPr>
        <w:t xml:space="preserve">. </w:t>
      </w:r>
      <w:r w:rsidR="005B5441" w:rsidRPr="00D02BFE">
        <w:rPr>
          <w:rFonts w:ascii="Cambria" w:eastAsia="Cambria" w:hAnsi="Cambria" w:cs="Cambria"/>
          <w:sz w:val="20"/>
          <w:szCs w:val="20"/>
          <w:lang w:val="es-MX"/>
        </w:rPr>
        <w:t>Asimismo,</w:t>
      </w:r>
      <w:r w:rsidR="00F368A3" w:rsidRPr="00D02BFE">
        <w:rPr>
          <w:rFonts w:ascii="Cambria" w:eastAsia="Cambria" w:hAnsi="Cambria" w:cs="Cambria"/>
          <w:sz w:val="20"/>
          <w:szCs w:val="20"/>
          <w:lang w:val="es-MX"/>
        </w:rPr>
        <w:t xml:space="preserve"> la Comisión </w:t>
      </w:r>
      <w:r w:rsidR="00EA527B" w:rsidRPr="00D02BFE">
        <w:rPr>
          <w:rFonts w:ascii="Cambria" w:eastAsia="Cambria" w:hAnsi="Cambria" w:cs="Cambria"/>
          <w:sz w:val="20"/>
          <w:szCs w:val="20"/>
          <w:lang w:val="es-MX"/>
        </w:rPr>
        <w:t xml:space="preserve">no es ajena a la posición </w:t>
      </w:r>
      <w:r w:rsidR="00C74DC9" w:rsidRPr="00D02BFE">
        <w:rPr>
          <w:rFonts w:ascii="Cambria" w:eastAsia="Cambria" w:hAnsi="Cambria" w:cs="Cambria"/>
          <w:sz w:val="20"/>
          <w:szCs w:val="20"/>
          <w:lang w:val="es-MX"/>
        </w:rPr>
        <w:t>expresada por</w:t>
      </w:r>
      <w:r w:rsidR="00EA527B" w:rsidRPr="00D02BFE">
        <w:rPr>
          <w:rFonts w:ascii="Cambria" w:eastAsia="Cambria" w:hAnsi="Cambria" w:cs="Cambria"/>
          <w:sz w:val="20"/>
          <w:szCs w:val="20"/>
          <w:lang w:val="es-MX"/>
        </w:rPr>
        <w:t xml:space="preserve"> los peticionarios </w:t>
      </w:r>
      <w:r w:rsidR="00C74DC9" w:rsidRPr="00D02BFE">
        <w:rPr>
          <w:rFonts w:ascii="Cambria" w:eastAsia="Cambria" w:hAnsi="Cambria" w:cs="Cambria"/>
          <w:sz w:val="20"/>
          <w:szCs w:val="20"/>
          <w:lang w:val="es-MX"/>
        </w:rPr>
        <w:t xml:space="preserve">en años anteriores </w:t>
      </w:r>
      <w:r w:rsidR="00EA527B" w:rsidRPr="00D02BFE">
        <w:rPr>
          <w:rFonts w:ascii="Cambria" w:eastAsia="Cambria" w:hAnsi="Cambria" w:cs="Cambria"/>
          <w:sz w:val="20"/>
          <w:szCs w:val="20"/>
          <w:lang w:val="es-MX"/>
        </w:rPr>
        <w:t>en cuanto a</w:t>
      </w:r>
      <w:r w:rsidR="00F368A3" w:rsidRPr="00D02BFE">
        <w:rPr>
          <w:rFonts w:ascii="Cambria" w:eastAsia="Cambria" w:hAnsi="Cambria" w:cs="Cambria"/>
          <w:sz w:val="20"/>
          <w:szCs w:val="20"/>
          <w:lang w:val="es-MX"/>
        </w:rPr>
        <w:t xml:space="preserve"> </w:t>
      </w:r>
      <w:r w:rsidR="00EA527B" w:rsidRPr="00D02BFE">
        <w:rPr>
          <w:rFonts w:ascii="Cambria" w:eastAsia="Cambria" w:hAnsi="Cambria" w:cs="Cambria"/>
          <w:sz w:val="20"/>
          <w:szCs w:val="20"/>
          <w:lang w:val="es-MX"/>
        </w:rPr>
        <w:t>los incrementos de violaciones de los derechos humanos de personas defensoras y que ejercen liderazgo social</w:t>
      </w:r>
      <w:r w:rsidR="00887B3A" w:rsidRPr="00D02BFE">
        <w:rPr>
          <w:rFonts w:ascii="Cambria" w:eastAsia="Cambria" w:hAnsi="Cambria" w:cs="Cambria"/>
          <w:sz w:val="20"/>
          <w:szCs w:val="20"/>
          <w:lang w:val="es-MX"/>
        </w:rPr>
        <w:t xml:space="preserve"> en los últimos años</w:t>
      </w:r>
      <w:r w:rsidR="00F368A3" w:rsidRPr="00D02BFE">
        <w:rPr>
          <w:rFonts w:ascii="Cambria" w:eastAsia="Cambria" w:hAnsi="Cambria" w:cs="Cambria"/>
          <w:sz w:val="20"/>
          <w:szCs w:val="20"/>
          <w:lang w:val="es-MX"/>
        </w:rPr>
        <w:t>. Al respecto, la CIDH</w:t>
      </w:r>
      <w:r w:rsidR="00EA527B" w:rsidRPr="00D02BFE">
        <w:rPr>
          <w:rFonts w:ascii="Cambria" w:eastAsia="Cambria" w:hAnsi="Cambria" w:cs="Cambria"/>
          <w:sz w:val="20"/>
          <w:szCs w:val="20"/>
          <w:lang w:val="es-MX"/>
        </w:rPr>
        <w:t xml:space="preserve"> </w:t>
      </w:r>
      <w:r w:rsidR="00F368A3" w:rsidRPr="00D02BFE">
        <w:rPr>
          <w:rFonts w:ascii="Cambria" w:eastAsia="Cambria" w:hAnsi="Cambria" w:cs="Cambria"/>
          <w:sz w:val="20"/>
          <w:szCs w:val="20"/>
          <w:lang w:val="es-MX"/>
        </w:rPr>
        <w:t xml:space="preserve">además </w:t>
      </w:r>
      <w:r w:rsidR="00EA527B" w:rsidRPr="00D02BFE">
        <w:rPr>
          <w:rFonts w:ascii="Cambria" w:eastAsia="Cambria" w:hAnsi="Cambria" w:cs="Cambria"/>
          <w:sz w:val="20"/>
          <w:szCs w:val="20"/>
          <w:lang w:val="es-MX"/>
        </w:rPr>
        <w:t xml:space="preserve">señala que, </w:t>
      </w:r>
      <w:r w:rsidR="00D8031F" w:rsidRPr="00D02BFE">
        <w:rPr>
          <w:rFonts w:ascii="Cambria" w:eastAsia="Cambria" w:hAnsi="Cambria" w:cs="Cambria"/>
          <w:sz w:val="20"/>
          <w:szCs w:val="20"/>
          <w:lang w:val="es-MX"/>
        </w:rPr>
        <w:t>en el marco de sus funciones de monitoreo temático y geográfico, durante el 201</w:t>
      </w:r>
      <w:r w:rsidR="00491801" w:rsidRPr="00D02BFE">
        <w:rPr>
          <w:rFonts w:ascii="Cambria" w:eastAsia="Cambria" w:hAnsi="Cambria" w:cs="Cambria"/>
          <w:sz w:val="20"/>
          <w:szCs w:val="20"/>
          <w:lang w:val="es-MX"/>
        </w:rPr>
        <w:t>9</w:t>
      </w:r>
      <w:r w:rsidR="00DA75C9" w:rsidRPr="00D02BFE">
        <w:rPr>
          <w:rFonts w:ascii="Cambria" w:eastAsia="Cambria" w:hAnsi="Cambria" w:cs="Cambria"/>
          <w:sz w:val="20"/>
          <w:szCs w:val="20"/>
          <w:lang w:val="es-MX"/>
        </w:rPr>
        <w:t>,</w:t>
      </w:r>
      <w:r w:rsidR="00FC6109" w:rsidRPr="00D02BFE">
        <w:rPr>
          <w:rFonts w:ascii="Cambria" w:eastAsia="Cambria" w:hAnsi="Cambria" w:cs="Cambria"/>
          <w:sz w:val="20"/>
          <w:szCs w:val="20"/>
          <w:lang w:val="es-MX"/>
        </w:rPr>
        <w:t xml:space="preserve"> 2020</w:t>
      </w:r>
      <w:r w:rsidR="00DA75C9" w:rsidRPr="00D02BFE">
        <w:rPr>
          <w:rFonts w:ascii="Cambria" w:eastAsia="Cambria" w:hAnsi="Cambria" w:cs="Cambria"/>
          <w:sz w:val="20"/>
          <w:szCs w:val="20"/>
          <w:lang w:val="es-MX"/>
        </w:rPr>
        <w:t xml:space="preserve"> y 2021</w:t>
      </w:r>
      <w:r w:rsidR="00EA527B" w:rsidRPr="00D02BFE">
        <w:rPr>
          <w:rFonts w:ascii="Cambria" w:eastAsia="Cambria" w:hAnsi="Cambria" w:cs="Cambria"/>
          <w:sz w:val="20"/>
          <w:szCs w:val="20"/>
          <w:lang w:val="es-MX"/>
        </w:rPr>
        <w:t>,</w:t>
      </w:r>
      <w:r w:rsidR="00D8031F" w:rsidRPr="00D02BFE">
        <w:rPr>
          <w:rFonts w:ascii="Cambria" w:eastAsia="Cambria" w:hAnsi="Cambria" w:cs="Cambria"/>
          <w:sz w:val="20"/>
          <w:szCs w:val="20"/>
          <w:lang w:val="es-MX"/>
        </w:rPr>
        <w:t xml:space="preserve"> </w:t>
      </w:r>
      <w:r w:rsidR="00C74DC9" w:rsidRPr="00D02BFE">
        <w:rPr>
          <w:rFonts w:ascii="Cambria" w:eastAsia="Cambria" w:hAnsi="Cambria" w:cs="Cambria"/>
          <w:sz w:val="20"/>
          <w:szCs w:val="20"/>
          <w:lang w:val="es-MX"/>
        </w:rPr>
        <w:t xml:space="preserve">la Comisión </w:t>
      </w:r>
      <w:r w:rsidR="00C059FF" w:rsidRPr="00D02BFE">
        <w:rPr>
          <w:rFonts w:ascii="Cambria" w:eastAsia="Cambria" w:hAnsi="Cambria" w:cs="Cambria"/>
          <w:sz w:val="20"/>
          <w:szCs w:val="20"/>
          <w:lang w:val="es-MX"/>
        </w:rPr>
        <w:t>continuó recibiendo</w:t>
      </w:r>
      <w:r w:rsidR="00D8031F" w:rsidRPr="00D02BFE">
        <w:rPr>
          <w:rFonts w:ascii="Cambria" w:eastAsia="Cambria" w:hAnsi="Cambria" w:cs="Cambria"/>
          <w:sz w:val="20"/>
          <w:szCs w:val="20"/>
          <w:lang w:val="es-MX"/>
        </w:rPr>
        <w:t xml:space="preserve"> información sumamente </w:t>
      </w:r>
      <w:r w:rsidR="00D8031F" w:rsidRPr="00D02BFE">
        <w:rPr>
          <w:rFonts w:ascii="Cambria" w:eastAsia="Cambria" w:hAnsi="Cambria" w:cs="Cambria"/>
          <w:sz w:val="20"/>
          <w:szCs w:val="20"/>
          <w:lang w:val="es-MX"/>
        </w:rPr>
        <w:lastRenderedPageBreak/>
        <w:t xml:space="preserve">preocupante sobre la continuidad de amenazas y asesinatos contra </w:t>
      </w:r>
      <w:r w:rsidR="005B5441" w:rsidRPr="00D02BFE">
        <w:rPr>
          <w:rFonts w:ascii="Cambria" w:eastAsia="Cambria" w:hAnsi="Cambria" w:cs="Cambria"/>
          <w:sz w:val="20"/>
          <w:szCs w:val="20"/>
          <w:lang w:val="es-MX"/>
        </w:rPr>
        <w:t>las personas defensoras</w:t>
      </w:r>
      <w:r w:rsidR="00D8031F" w:rsidRPr="00D02BFE">
        <w:rPr>
          <w:rFonts w:ascii="Cambria" w:eastAsia="Cambria" w:hAnsi="Cambria" w:cs="Cambria"/>
          <w:sz w:val="20"/>
          <w:szCs w:val="20"/>
          <w:lang w:val="es-MX"/>
        </w:rPr>
        <w:t xml:space="preserve"> de derechos humanos en el país</w:t>
      </w:r>
      <w:r w:rsidR="00FC6109" w:rsidRPr="00D02BFE">
        <w:rPr>
          <w:rFonts w:ascii="Cambria" w:eastAsia="Cambria" w:hAnsi="Cambria" w:cs="Cambria"/>
          <w:sz w:val="20"/>
          <w:szCs w:val="20"/>
          <w:vertAlign w:val="superscript"/>
        </w:rPr>
        <w:footnoteReference w:id="10"/>
      </w:r>
      <w:r w:rsidR="00D8031F" w:rsidRPr="00D02BFE">
        <w:rPr>
          <w:rFonts w:ascii="Cambria" w:eastAsia="Cambria" w:hAnsi="Cambria" w:cs="Cambria"/>
          <w:sz w:val="20"/>
          <w:szCs w:val="20"/>
          <w:lang w:val="es-MX"/>
        </w:rPr>
        <w:t xml:space="preserve">. </w:t>
      </w:r>
    </w:p>
    <w:p w14:paraId="69AE045F" w14:textId="77777777" w:rsidR="00353E53" w:rsidRPr="00D02BFE" w:rsidRDefault="00353E53" w:rsidP="00353E53">
      <w:pPr>
        <w:spacing w:after="0" w:line="240" w:lineRule="auto"/>
        <w:ind w:left="720"/>
        <w:jc w:val="both"/>
        <w:rPr>
          <w:rFonts w:ascii="Cambria" w:eastAsia="Cambria" w:hAnsi="Cambria" w:cs="Cambria"/>
          <w:sz w:val="20"/>
          <w:szCs w:val="20"/>
          <w:lang w:val="es-MX"/>
        </w:rPr>
      </w:pPr>
    </w:p>
    <w:p w14:paraId="53EA912B" w14:textId="77777777" w:rsidR="005C5BE6" w:rsidRPr="00D02BFE" w:rsidRDefault="00D8031F" w:rsidP="00C059FF">
      <w:pPr>
        <w:numPr>
          <w:ilvl w:val="0"/>
          <w:numId w:val="6"/>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sz w:val="20"/>
          <w:szCs w:val="20"/>
          <w:lang w:val="es-MX"/>
        </w:rPr>
        <w:t>En este sentido, la Comisión</w:t>
      </w:r>
      <w:r w:rsidR="00C74DC9" w:rsidRPr="00D02BFE">
        <w:rPr>
          <w:rFonts w:ascii="Cambria" w:eastAsia="Cambria" w:hAnsi="Cambria" w:cs="Cambria"/>
          <w:sz w:val="20"/>
          <w:szCs w:val="20"/>
          <w:lang w:val="es-MX"/>
        </w:rPr>
        <w:t xml:space="preserve"> invita </w:t>
      </w:r>
      <w:r w:rsidR="008953D2" w:rsidRPr="00D02BFE">
        <w:rPr>
          <w:rFonts w:ascii="Cambria" w:eastAsia="Cambria" w:hAnsi="Cambria" w:cs="Cambria"/>
          <w:sz w:val="20"/>
          <w:szCs w:val="20"/>
          <w:lang w:val="es-MX"/>
        </w:rPr>
        <w:t>a ambas partes</w:t>
      </w:r>
      <w:r w:rsidR="00C74DC9" w:rsidRPr="00D02BFE">
        <w:rPr>
          <w:rFonts w:ascii="Cambria" w:eastAsia="Cambria" w:hAnsi="Cambria" w:cs="Cambria"/>
          <w:sz w:val="20"/>
          <w:szCs w:val="20"/>
          <w:lang w:val="es-MX"/>
        </w:rPr>
        <w:t xml:space="preserve"> a continuar proporcionando </w:t>
      </w:r>
      <w:r w:rsidR="005B5441" w:rsidRPr="00D02BFE">
        <w:rPr>
          <w:rFonts w:ascii="Cambria" w:eastAsia="Cambria" w:hAnsi="Cambria" w:cs="Cambria"/>
          <w:sz w:val="20"/>
          <w:szCs w:val="20"/>
          <w:lang w:val="es-MX"/>
        </w:rPr>
        <w:t>la</w:t>
      </w:r>
      <w:r w:rsidR="00C74DC9" w:rsidRPr="00D02BFE">
        <w:rPr>
          <w:rFonts w:ascii="Cambria" w:eastAsia="Cambria" w:hAnsi="Cambria" w:cs="Cambria"/>
          <w:sz w:val="20"/>
          <w:szCs w:val="20"/>
          <w:lang w:val="es-MX"/>
        </w:rPr>
        <w:t xml:space="preserve"> información </w:t>
      </w:r>
      <w:r w:rsidR="005B5441" w:rsidRPr="00D02BFE">
        <w:rPr>
          <w:rFonts w:ascii="Cambria" w:eastAsia="Cambria" w:hAnsi="Cambria" w:cs="Cambria"/>
          <w:sz w:val="20"/>
          <w:szCs w:val="20"/>
          <w:lang w:val="es-MX"/>
        </w:rPr>
        <w:t>que permita continuar</w:t>
      </w:r>
      <w:r w:rsidR="00C74DC9" w:rsidRPr="00D02BFE">
        <w:rPr>
          <w:rFonts w:ascii="Cambria" w:eastAsia="Cambria" w:hAnsi="Cambria" w:cs="Cambria"/>
          <w:sz w:val="20"/>
          <w:szCs w:val="20"/>
          <w:lang w:val="es-MX"/>
        </w:rPr>
        <w:t xml:space="preserve"> el</w:t>
      </w:r>
      <w:r w:rsidR="005B5441" w:rsidRPr="00D02BFE">
        <w:rPr>
          <w:rFonts w:ascii="Cambria" w:eastAsia="Cambria" w:hAnsi="Cambria" w:cs="Cambria"/>
          <w:sz w:val="20"/>
          <w:szCs w:val="20"/>
          <w:lang w:val="es-MX"/>
        </w:rPr>
        <w:t xml:space="preserve"> seguimiento</w:t>
      </w:r>
      <w:r w:rsidR="00C74DC9" w:rsidRPr="00D02BFE">
        <w:rPr>
          <w:rFonts w:ascii="Cambria" w:eastAsia="Cambria" w:hAnsi="Cambria" w:cs="Cambria"/>
          <w:sz w:val="20"/>
          <w:szCs w:val="20"/>
          <w:lang w:val="es-MX"/>
        </w:rPr>
        <w:t xml:space="preserve"> del cumplimiento de</w:t>
      </w:r>
      <w:r w:rsidR="00F43442" w:rsidRPr="00D02BFE">
        <w:rPr>
          <w:rFonts w:ascii="Cambria" w:eastAsia="Cambria" w:hAnsi="Cambria" w:cs="Cambria"/>
          <w:sz w:val="20"/>
          <w:szCs w:val="20"/>
          <w:lang w:val="es-MX"/>
        </w:rPr>
        <w:t xml:space="preserve"> </w:t>
      </w:r>
      <w:proofErr w:type="gramStart"/>
      <w:r w:rsidR="00F43442" w:rsidRPr="00D02BFE">
        <w:rPr>
          <w:rFonts w:ascii="Cambria" w:eastAsia="Cambria" w:hAnsi="Cambria" w:cs="Cambria"/>
          <w:sz w:val="20"/>
          <w:szCs w:val="20"/>
          <w:lang w:val="es-MX"/>
        </w:rPr>
        <w:t>ambos componente</w:t>
      </w:r>
      <w:proofErr w:type="gramEnd"/>
      <w:r w:rsidR="00F43442" w:rsidRPr="00D02BFE">
        <w:rPr>
          <w:rFonts w:ascii="Cambria" w:eastAsia="Cambria" w:hAnsi="Cambria" w:cs="Cambria"/>
          <w:sz w:val="20"/>
          <w:szCs w:val="20"/>
          <w:lang w:val="es-MX"/>
        </w:rPr>
        <w:t xml:space="preserve"> de</w:t>
      </w:r>
      <w:r w:rsidR="00C74DC9" w:rsidRPr="00D02BFE">
        <w:rPr>
          <w:rFonts w:ascii="Cambria" w:eastAsia="Cambria" w:hAnsi="Cambria" w:cs="Cambria"/>
          <w:sz w:val="20"/>
          <w:szCs w:val="20"/>
          <w:lang w:val="es-MX"/>
        </w:rPr>
        <w:t xml:space="preserve"> esta recomendación. Al respecto, </w:t>
      </w:r>
      <w:r w:rsidR="008953D2" w:rsidRPr="00D02BFE">
        <w:rPr>
          <w:rFonts w:ascii="Cambria" w:eastAsia="Cambria" w:hAnsi="Cambria" w:cs="Cambria"/>
          <w:sz w:val="20"/>
          <w:szCs w:val="20"/>
          <w:lang w:val="es-MX"/>
        </w:rPr>
        <w:t xml:space="preserve">la Comisión considera que la información </w:t>
      </w:r>
      <w:r w:rsidR="00887B3A" w:rsidRPr="00D02BFE">
        <w:rPr>
          <w:rFonts w:ascii="Cambria" w:eastAsia="Cambria" w:hAnsi="Cambria" w:cs="Cambria"/>
          <w:sz w:val="20"/>
          <w:szCs w:val="20"/>
          <w:lang w:val="es-MX"/>
        </w:rPr>
        <w:t xml:space="preserve">adicional </w:t>
      </w:r>
      <w:r w:rsidR="008953D2" w:rsidRPr="00D02BFE">
        <w:rPr>
          <w:rFonts w:ascii="Cambria" w:eastAsia="Cambria" w:hAnsi="Cambria" w:cs="Cambria"/>
          <w:sz w:val="20"/>
          <w:szCs w:val="20"/>
          <w:lang w:val="es-MX"/>
        </w:rPr>
        <w:t xml:space="preserve">que proporcione el Estado </w:t>
      </w:r>
      <w:r w:rsidR="00C74DC9" w:rsidRPr="00D02BFE">
        <w:rPr>
          <w:rFonts w:ascii="Cambria" w:eastAsia="Cambria" w:hAnsi="Cambria" w:cs="Cambria"/>
          <w:sz w:val="20"/>
          <w:szCs w:val="20"/>
          <w:lang w:val="es-MX"/>
        </w:rPr>
        <w:t xml:space="preserve">podrá consistir en acciones y avances que haya alcanzado el Estado, </w:t>
      </w:r>
      <w:r w:rsidR="008953D2" w:rsidRPr="00D02BFE">
        <w:rPr>
          <w:rFonts w:ascii="Cambria" w:eastAsia="Cambria" w:hAnsi="Cambria" w:cs="Cambria"/>
          <w:sz w:val="20"/>
          <w:szCs w:val="20"/>
          <w:lang w:val="es-MX"/>
        </w:rPr>
        <w:t>recientemente</w:t>
      </w:r>
      <w:r w:rsidR="000963CF" w:rsidRPr="00D02BFE">
        <w:rPr>
          <w:rFonts w:ascii="Cambria" w:eastAsia="Cambria" w:hAnsi="Cambria" w:cs="Cambria"/>
          <w:sz w:val="20"/>
          <w:szCs w:val="20"/>
          <w:lang w:val="es-MX"/>
        </w:rPr>
        <w:t xml:space="preserve"> y preferiblemente en el último año</w:t>
      </w:r>
      <w:r w:rsidR="00C74DC9" w:rsidRPr="00D02BFE">
        <w:rPr>
          <w:rFonts w:ascii="Cambria" w:eastAsia="Cambria" w:hAnsi="Cambria" w:cs="Cambria"/>
          <w:sz w:val="20"/>
          <w:szCs w:val="20"/>
          <w:lang w:val="es-MX"/>
        </w:rPr>
        <w:t>, y también en resultados concretos que permitan concluir de qué manera las medidas adoptadas han contribuido a reducir de manera efectiva la exposición al riesgo de las personas defensoras de derechos humanos</w:t>
      </w:r>
      <w:r w:rsidR="000963CF" w:rsidRPr="00D02BFE">
        <w:rPr>
          <w:rFonts w:ascii="Cambria" w:eastAsia="Cambria" w:hAnsi="Cambria" w:cs="Cambria"/>
          <w:sz w:val="20"/>
          <w:szCs w:val="20"/>
          <w:lang w:val="es-MX"/>
        </w:rPr>
        <w:t>,</w:t>
      </w:r>
      <w:r w:rsidR="00C74DC9" w:rsidRPr="00D02BFE">
        <w:rPr>
          <w:rFonts w:ascii="Cambria" w:eastAsia="Cambria" w:hAnsi="Cambria" w:cs="Cambria"/>
          <w:sz w:val="20"/>
          <w:szCs w:val="20"/>
          <w:lang w:val="es-MX"/>
        </w:rPr>
        <w:t xml:space="preserve"> a incrementar su protección</w:t>
      </w:r>
      <w:r w:rsidR="000963CF" w:rsidRPr="00D02BFE">
        <w:rPr>
          <w:rFonts w:ascii="Cambria" w:eastAsia="Cambria" w:hAnsi="Cambria" w:cs="Cambria"/>
          <w:sz w:val="20"/>
          <w:szCs w:val="20"/>
          <w:lang w:val="es-MX"/>
        </w:rPr>
        <w:t xml:space="preserve"> y a reducir la impunidad de cualquier tipo de violencia en su contra</w:t>
      </w:r>
      <w:r w:rsidR="00C74DC9" w:rsidRPr="00D02BFE">
        <w:rPr>
          <w:rFonts w:ascii="Cambria" w:eastAsia="Cambria" w:hAnsi="Cambria" w:cs="Cambria"/>
          <w:sz w:val="20"/>
          <w:szCs w:val="20"/>
          <w:lang w:val="es-MX"/>
        </w:rPr>
        <w:t>. De esta manera, la Comisión</w:t>
      </w:r>
      <w:r w:rsidRPr="00D02BFE">
        <w:rPr>
          <w:rFonts w:ascii="Cambria" w:eastAsia="Cambria" w:hAnsi="Cambria" w:cs="Cambria"/>
          <w:sz w:val="20"/>
          <w:szCs w:val="20"/>
          <w:lang w:val="es-MX"/>
        </w:rPr>
        <w:t xml:space="preserve"> reitera su llamado al Estado a </w:t>
      </w:r>
      <w:r w:rsidR="009B2258" w:rsidRPr="00D02BFE">
        <w:rPr>
          <w:rFonts w:ascii="Cambria" w:eastAsia="Cambria" w:hAnsi="Cambria" w:cs="Cambria"/>
          <w:sz w:val="20"/>
          <w:szCs w:val="20"/>
          <w:lang w:val="es-MX"/>
        </w:rPr>
        <w:t>continuar adoptando las</w:t>
      </w:r>
      <w:r w:rsidRPr="00D02BFE">
        <w:rPr>
          <w:rFonts w:ascii="Cambria" w:eastAsia="Cambria" w:hAnsi="Cambria" w:cs="Cambria"/>
          <w:sz w:val="20"/>
          <w:szCs w:val="20"/>
          <w:lang w:val="es-MX"/>
        </w:rPr>
        <w:t xml:space="preserve"> medidas para proteger</w:t>
      </w:r>
      <w:r w:rsidR="009B2258" w:rsidRPr="00D02BFE">
        <w:rPr>
          <w:rFonts w:ascii="Cambria" w:eastAsia="Cambria" w:hAnsi="Cambria" w:cs="Cambria"/>
          <w:sz w:val="20"/>
          <w:szCs w:val="20"/>
          <w:lang w:val="es-MX"/>
        </w:rPr>
        <w:t xml:space="preserve"> de manera efectiva</w:t>
      </w:r>
      <w:r w:rsidRPr="00D02BFE">
        <w:rPr>
          <w:rFonts w:ascii="Cambria" w:eastAsia="Cambria" w:hAnsi="Cambria" w:cs="Cambria"/>
          <w:sz w:val="20"/>
          <w:szCs w:val="20"/>
          <w:lang w:val="es-MX"/>
        </w:rPr>
        <w:t xml:space="preserve"> a quienes defienden los derechos humanos en Colombia.</w:t>
      </w:r>
      <w:r w:rsidR="00FC20C0" w:rsidRPr="00D02BFE">
        <w:rPr>
          <w:rFonts w:ascii="Cambria" w:eastAsia="Cambria" w:hAnsi="Cambria" w:cs="Cambria"/>
          <w:sz w:val="20"/>
          <w:szCs w:val="20"/>
          <w:lang w:val="es-MX"/>
        </w:rPr>
        <w:t xml:space="preserve"> </w:t>
      </w:r>
      <w:r w:rsidRPr="00D02BFE">
        <w:rPr>
          <w:rFonts w:ascii="Cambria" w:eastAsia="Cambria" w:hAnsi="Cambria" w:cs="Cambria"/>
          <w:sz w:val="20"/>
          <w:szCs w:val="20"/>
          <w:lang w:val="es-MX"/>
        </w:rPr>
        <w:t xml:space="preserve">Por lo anterior, la CIDH considera que </w:t>
      </w:r>
      <w:r w:rsidR="00F43442" w:rsidRPr="00D02BFE">
        <w:rPr>
          <w:rFonts w:ascii="Cambria" w:eastAsia="Cambria" w:hAnsi="Cambria" w:cs="Cambria"/>
          <w:sz w:val="20"/>
          <w:szCs w:val="20"/>
          <w:lang w:val="es-MX"/>
        </w:rPr>
        <w:t>las recomendaciones 4.1 y 4.2</w:t>
      </w:r>
      <w:r w:rsidRPr="00D02BFE">
        <w:rPr>
          <w:rFonts w:ascii="Cambria" w:eastAsia="Cambria" w:hAnsi="Cambria" w:cs="Cambria"/>
          <w:sz w:val="20"/>
          <w:szCs w:val="20"/>
          <w:lang w:val="es-MX"/>
        </w:rPr>
        <w:t xml:space="preserve"> </w:t>
      </w:r>
      <w:r w:rsidR="009B2258" w:rsidRPr="00D02BFE">
        <w:rPr>
          <w:rFonts w:ascii="Cambria" w:eastAsia="Cambria" w:hAnsi="Cambria" w:cs="Cambria"/>
          <w:sz w:val="20"/>
          <w:szCs w:val="20"/>
          <w:lang w:val="es-MX"/>
        </w:rPr>
        <w:t>continúa</w:t>
      </w:r>
      <w:r w:rsidR="00F43442" w:rsidRPr="00D02BFE">
        <w:rPr>
          <w:rFonts w:ascii="Cambria" w:eastAsia="Cambria" w:hAnsi="Cambria" w:cs="Cambria"/>
          <w:sz w:val="20"/>
          <w:szCs w:val="20"/>
          <w:lang w:val="es-MX"/>
        </w:rPr>
        <w:t>n</w:t>
      </w:r>
      <w:r w:rsidRPr="00D02BFE">
        <w:rPr>
          <w:rFonts w:ascii="Cambria" w:eastAsia="Cambria" w:hAnsi="Cambria" w:cs="Cambria"/>
          <w:sz w:val="20"/>
          <w:szCs w:val="20"/>
          <w:lang w:val="es-MX"/>
        </w:rPr>
        <w:t xml:space="preserve"> parcialmente cumplida</w:t>
      </w:r>
      <w:r w:rsidR="00F43442" w:rsidRPr="00D02BFE">
        <w:rPr>
          <w:rFonts w:ascii="Cambria" w:eastAsia="Cambria" w:hAnsi="Cambria" w:cs="Cambria"/>
          <w:sz w:val="20"/>
          <w:szCs w:val="20"/>
          <w:lang w:val="es-MX"/>
        </w:rPr>
        <w:t>s</w:t>
      </w:r>
      <w:r w:rsidRPr="00D02BFE">
        <w:rPr>
          <w:rFonts w:ascii="Cambria" w:eastAsia="Cambria" w:hAnsi="Cambria" w:cs="Cambria"/>
          <w:sz w:val="20"/>
          <w:szCs w:val="20"/>
          <w:lang w:val="es-MX"/>
        </w:rPr>
        <w:t xml:space="preserve">. </w:t>
      </w:r>
    </w:p>
    <w:p w14:paraId="68D00499" w14:textId="77777777" w:rsidR="003C7EC5" w:rsidRPr="00D02BFE" w:rsidRDefault="003C7EC5" w:rsidP="003C7EC5">
      <w:pPr>
        <w:spacing w:after="0" w:line="240" w:lineRule="auto"/>
        <w:ind w:left="720"/>
        <w:jc w:val="both"/>
        <w:rPr>
          <w:rFonts w:ascii="Cambria" w:eastAsia="Cambria" w:hAnsi="Cambria" w:cs="Cambria"/>
          <w:sz w:val="20"/>
          <w:szCs w:val="20"/>
          <w:lang w:val="es-MX"/>
        </w:rPr>
      </w:pPr>
    </w:p>
    <w:p w14:paraId="0F4D4397" w14:textId="77777777" w:rsidR="005C5BE6" w:rsidRPr="00D02BFE" w:rsidRDefault="00D8031F">
      <w:pPr>
        <w:pStyle w:val="ListParagraph"/>
        <w:numPr>
          <w:ilvl w:val="0"/>
          <w:numId w:val="9"/>
        </w:numPr>
        <w:spacing w:after="0" w:line="240" w:lineRule="auto"/>
        <w:jc w:val="both"/>
        <w:rPr>
          <w:rFonts w:ascii="Cambria" w:eastAsia="Cambria" w:hAnsi="Cambria" w:cs="Cambria"/>
          <w:b/>
          <w:bCs/>
          <w:sz w:val="20"/>
          <w:szCs w:val="20"/>
          <w:lang w:val="es-CO"/>
        </w:rPr>
      </w:pPr>
      <w:r w:rsidRPr="00D02BFE">
        <w:rPr>
          <w:rFonts w:ascii="Cambria" w:eastAsia="Cambria" w:hAnsi="Cambria" w:cs="Cambria"/>
          <w:b/>
          <w:bCs/>
          <w:sz w:val="20"/>
          <w:szCs w:val="20"/>
          <w:lang w:val="es-CO"/>
        </w:rPr>
        <w:t xml:space="preserve">Nivel del cumplimiento del caso </w:t>
      </w:r>
    </w:p>
    <w:p w14:paraId="2226C1D0" w14:textId="77777777" w:rsidR="005C5BE6" w:rsidRPr="00D02BFE" w:rsidRDefault="005C5BE6">
      <w:pPr>
        <w:spacing w:after="0" w:line="240" w:lineRule="auto"/>
        <w:jc w:val="both"/>
        <w:rPr>
          <w:rFonts w:ascii="Cambria" w:eastAsia="Cambria" w:hAnsi="Cambria" w:cs="Cambria"/>
          <w:sz w:val="20"/>
          <w:szCs w:val="20"/>
          <w:lang w:val="es-CO"/>
        </w:rPr>
      </w:pPr>
    </w:p>
    <w:p w14:paraId="43E606C1" w14:textId="77777777" w:rsidR="00EA527B" w:rsidRPr="00D02BFE" w:rsidRDefault="00D8031F" w:rsidP="00DA6E6B">
      <w:pPr>
        <w:pStyle w:val="ListParagraph"/>
        <w:numPr>
          <w:ilvl w:val="0"/>
          <w:numId w:val="6"/>
        </w:numPr>
        <w:spacing w:after="0" w:line="240" w:lineRule="auto"/>
        <w:ind w:left="0" w:firstLine="720"/>
        <w:jc w:val="both"/>
        <w:rPr>
          <w:rFonts w:ascii="Cambria" w:eastAsia="Cambria" w:hAnsi="Cambria" w:cs="Cambria"/>
          <w:sz w:val="20"/>
          <w:szCs w:val="20"/>
          <w:lang w:val="es-MX"/>
        </w:rPr>
      </w:pPr>
      <w:r w:rsidRPr="00D02BFE">
        <w:rPr>
          <w:rFonts w:ascii="Cambria" w:eastAsia="Cambria" w:hAnsi="Cambria" w:cs="Cambria"/>
          <w:sz w:val="20"/>
          <w:szCs w:val="20"/>
          <w:lang w:val="es-MX"/>
        </w:rPr>
        <w:t xml:space="preserve">Por lo anterior, la Comisión concluye que el nivel de cumplimiento del caso es parcial. La Comisión valora los esfuerzos desplegados por ambas partes para desarrollar un diálogo y proceso constructivo hacia dicho cumplimiento. En este mismo sentido, la CIDH saluda la voluntad del Estado a adoptar medidas concretas para implementar las recomendaciones de la CIDH. En consecuencia, la Comisión seguirá supervisando el cumplimiento las recomendaciones 2, 3 y 4. </w:t>
      </w:r>
    </w:p>
    <w:p w14:paraId="6A9DEACF" w14:textId="77777777" w:rsidR="00EA527B" w:rsidRPr="00D02BFE" w:rsidRDefault="00EA527B">
      <w:pPr>
        <w:spacing w:after="0" w:line="240" w:lineRule="auto"/>
        <w:rPr>
          <w:rFonts w:ascii="Cambria" w:eastAsia="Cambria" w:hAnsi="Cambria" w:cs="Cambria"/>
          <w:sz w:val="20"/>
          <w:szCs w:val="20"/>
          <w:lang w:val="es-MX"/>
        </w:rPr>
      </w:pPr>
    </w:p>
    <w:p w14:paraId="4745F917" w14:textId="77777777" w:rsidR="005C5BE6" w:rsidRPr="00D02BFE" w:rsidRDefault="00D8031F">
      <w:pPr>
        <w:pStyle w:val="ListParagraph"/>
        <w:numPr>
          <w:ilvl w:val="0"/>
          <w:numId w:val="11"/>
        </w:numPr>
        <w:spacing w:after="0" w:line="240" w:lineRule="auto"/>
        <w:jc w:val="both"/>
        <w:rPr>
          <w:rFonts w:ascii="Cambria" w:eastAsia="Cambria" w:hAnsi="Cambria" w:cs="Cambria"/>
          <w:b/>
          <w:bCs/>
          <w:sz w:val="20"/>
          <w:szCs w:val="20"/>
          <w:lang w:val="es-MX"/>
        </w:rPr>
      </w:pPr>
      <w:r w:rsidRPr="00D02BFE">
        <w:rPr>
          <w:rFonts w:ascii="Cambria" w:eastAsia="Cambria" w:hAnsi="Cambria" w:cs="Cambria"/>
          <w:b/>
          <w:bCs/>
          <w:sz w:val="20"/>
          <w:szCs w:val="20"/>
          <w:lang w:val="es-MX"/>
        </w:rPr>
        <w:t xml:space="preserve">Resultados individuales y estructurales del caso </w:t>
      </w:r>
    </w:p>
    <w:p w14:paraId="6271C4CA" w14:textId="77777777" w:rsidR="005C5BE6" w:rsidRPr="00D02BFE" w:rsidRDefault="005C5BE6">
      <w:pPr>
        <w:spacing w:after="0" w:line="240" w:lineRule="auto"/>
        <w:jc w:val="both"/>
        <w:rPr>
          <w:rFonts w:ascii="Cambria" w:eastAsia="Cambria" w:hAnsi="Cambria" w:cs="Cambria"/>
          <w:sz w:val="20"/>
          <w:szCs w:val="20"/>
          <w:lang w:val="es-MX"/>
        </w:rPr>
      </w:pPr>
    </w:p>
    <w:p w14:paraId="419766A1" w14:textId="77777777" w:rsidR="005C5BE6" w:rsidRPr="00D02BFE" w:rsidRDefault="00D8031F" w:rsidP="00156E6F">
      <w:pPr>
        <w:numPr>
          <w:ilvl w:val="0"/>
          <w:numId w:val="12"/>
        </w:numPr>
        <w:spacing w:after="0" w:line="240" w:lineRule="auto"/>
        <w:ind w:firstLine="720"/>
        <w:jc w:val="both"/>
        <w:rPr>
          <w:rFonts w:ascii="Cambria" w:eastAsia="Cambria" w:hAnsi="Cambria" w:cs="Cambria"/>
          <w:sz w:val="20"/>
          <w:szCs w:val="20"/>
          <w:lang w:val="es-MX"/>
        </w:rPr>
      </w:pPr>
      <w:r w:rsidRPr="00D02BFE">
        <w:rPr>
          <w:rFonts w:ascii="Cambria" w:eastAsia="Cambria" w:hAnsi="Cambria" w:cs="Cambria"/>
          <w:sz w:val="20"/>
          <w:szCs w:val="20"/>
          <w:lang w:val="es-MX"/>
        </w:rPr>
        <w:t xml:space="preserve">En esta sección se destacan los resultados individuales y estructurales del caso informados por las partes. </w:t>
      </w:r>
    </w:p>
    <w:p w14:paraId="684901E2" w14:textId="77777777" w:rsidR="005C5BE6" w:rsidRPr="00D02BFE" w:rsidRDefault="005C5BE6">
      <w:pPr>
        <w:spacing w:after="0" w:line="240" w:lineRule="auto"/>
        <w:ind w:left="720"/>
        <w:jc w:val="both"/>
        <w:rPr>
          <w:rFonts w:ascii="Cambria" w:eastAsia="Cambria" w:hAnsi="Cambria" w:cs="Cambria"/>
          <w:sz w:val="20"/>
          <w:szCs w:val="20"/>
          <w:lang w:val="es-MX"/>
        </w:rPr>
      </w:pPr>
    </w:p>
    <w:p w14:paraId="53DA1B4F" w14:textId="77777777" w:rsidR="005C5BE6" w:rsidRPr="00D02BFE" w:rsidRDefault="00D8031F">
      <w:pPr>
        <w:pStyle w:val="ListParagraph"/>
        <w:numPr>
          <w:ilvl w:val="0"/>
          <w:numId w:val="14"/>
        </w:numPr>
        <w:spacing w:after="0" w:line="240" w:lineRule="auto"/>
        <w:jc w:val="both"/>
        <w:rPr>
          <w:rFonts w:ascii="Cambria" w:eastAsia="Cambria" w:hAnsi="Cambria" w:cs="Cambria"/>
          <w:b/>
          <w:bCs/>
          <w:sz w:val="20"/>
          <w:szCs w:val="20"/>
        </w:rPr>
      </w:pPr>
      <w:proofErr w:type="spellStart"/>
      <w:r w:rsidRPr="00D02BFE">
        <w:rPr>
          <w:rFonts w:ascii="Cambria" w:eastAsia="Cambria" w:hAnsi="Cambria" w:cs="Cambria"/>
          <w:b/>
          <w:bCs/>
          <w:sz w:val="20"/>
          <w:szCs w:val="20"/>
        </w:rPr>
        <w:t>Resultados</w:t>
      </w:r>
      <w:proofErr w:type="spellEnd"/>
      <w:r w:rsidRPr="00D02BFE">
        <w:rPr>
          <w:rFonts w:ascii="Cambria" w:eastAsia="Cambria" w:hAnsi="Cambria" w:cs="Cambria"/>
          <w:b/>
          <w:bCs/>
          <w:sz w:val="20"/>
          <w:szCs w:val="20"/>
        </w:rPr>
        <w:t xml:space="preserve"> </w:t>
      </w:r>
      <w:proofErr w:type="spellStart"/>
      <w:r w:rsidRPr="00D02BFE">
        <w:rPr>
          <w:rFonts w:ascii="Cambria" w:eastAsia="Cambria" w:hAnsi="Cambria" w:cs="Cambria"/>
          <w:b/>
          <w:bCs/>
          <w:sz w:val="20"/>
          <w:szCs w:val="20"/>
        </w:rPr>
        <w:t>individuales</w:t>
      </w:r>
      <w:proofErr w:type="spellEnd"/>
      <w:r w:rsidRPr="00D02BFE">
        <w:rPr>
          <w:rFonts w:ascii="Cambria" w:eastAsia="Cambria" w:hAnsi="Cambria" w:cs="Cambria"/>
          <w:b/>
          <w:bCs/>
          <w:sz w:val="20"/>
          <w:szCs w:val="20"/>
        </w:rPr>
        <w:t xml:space="preserve"> del </w:t>
      </w:r>
      <w:proofErr w:type="spellStart"/>
      <w:r w:rsidRPr="00D02BFE">
        <w:rPr>
          <w:rFonts w:ascii="Cambria" w:eastAsia="Cambria" w:hAnsi="Cambria" w:cs="Cambria"/>
          <w:b/>
          <w:bCs/>
          <w:sz w:val="20"/>
          <w:szCs w:val="20"/>
        </w:rPr>
        <w:t>caso</w:t>
      </w:r>
      <w:proofErr w:type="spellEnd"/>
    </w:p>
    <w:p w14:paraId="7156883A" w14:textId="77777777" w:rsidR="005C5BE6" w:rsidRPr="00D02BFE" w:rsidRDefault="005C5BE6">
      <w:pPr>
        <w:spacing w:after="0" w:line="240" w:lineRule="auto"/>
        <w:jc w:val="both"/>
        <w:rPr>
          <w:rFonts w:ascii="Cambria" w:eastAsia="Cambria" w:hAnsi="Cambria" w:cs="Cambria"/>
          <w:sz w:val="20"/>
          <w:szCs w:val="20"/>
        </w:rPr>
      </w:pPr>
    </w:p>
    <w:p w14:paraId="1FB513CE" w14:textId="77777777" w:rsidR="005C5BE6" w:rsidRPr="00D02BFE" w:rsidRDefault="00D8031F">
      <w:pPr>
        <w:spacing w:after="0" w:line="240" w:lineRule="auto"/>
        <w:jc w:val="both"/>
        <w:rPr>
          <w:rFonts w:ascii="Cambria" w:eastAsia="Cambria" w:hAnsi="Cambria" w:cs="Cambria"/>
          <w:i/>
          <w:iCs/>
          <w:sz w:val="20"/>
          <w:szCs w:val="20"/>
        </w:rPr>
      </w:pPr>
      <w:r w:rsidRPr="00D02BFE">
        <w:rPr>
          <w:rFonts w:ascii="Cambria" w:eastAsia="Cambria" w:hAnsi="Cambria" w:cs="Cambria"/>
          <w:i/>
          <w:iCs/>
          <w:sz w:val="20"/>
          <w:szCs w:val="20"/>
        </w:rPr>
        <w:t xml:space="preserve">Medidas de compensación pecuniaria </w:t>
      </w:r>
    </w:p>
    <w:p w14:paraId="00C58DB2" w14:textId="77777777" w:rsidR="005C5BE6" w:rsidRPr="00D02BFE" w:rsidRDefault="00D8031F">
      <w:pPr>
        <w:numPr>
          <w:ilvl w:val="0"/>
          <w:numId w:val="16"/>
        </w:numPr>
        <w:spacing w:after="0" w:line="240" w:lineRule="auto"/>
        <w:jc w:val="both"/>
        <w:rPr>
          <w:rFonts w:ascii="Cambria" w:eastAsia="Cambria" w:hAnsi="Cambria" w:cs="Cambria"/>
          <w:sz w:val="20"/>
          <w:szCs w:val="20"/>
          <w:lang w:val="es-MX"/>
        </w:rPr>
      </w:pPr>
      <w:r w:rsidRPr="00D02BFE">
        <w:rPr>
          <w:rFonts w:ascii="Cambria" w:eastAsia="Cambria" w:hAnsi="Cambria" w:cs="Cambria"/>
          <w:sz w:val="20"/>
          <w:szCs w:val="20"/>
          <w:lang w:val="es-MX"/>
        </w:rPr>
        <w:t xml:space="preserve">Indemnizaciones pagadas mediante Resolución Nº 1590 del 27 de diciembre de 2016 a Ana Dirley Lara Tuay ($237.896.488,00 COP), Duvian Ferley Lara Tuay ($247.767.569,00 COP), Rusbel Dair Lara Tuay ($229.062.663,00 COP), Sindy Rubiela Lara Albarracín ($106.654.636,00 COP) y Hercilia Lara Albarracín ($110.209.791,00 COP). </w:t>
      </w:r>
    </w:p>
    <w:p w14:paraId="35D9A08F" w14:textId="77777777" w:rsidR="005C5BE6" w:rsidRPr="00D02BFE" w:rsidRDefault="005C5BE6">
      <w:pPr>
        <w:spacing w:after="0" w:line="240" w:lineRule="auto"/>
        <w:jc w:val="both"/>
        <w:rPr>
          <w:rFonts w:ascii="Cambria" w:eastAsia="Cambria" w:hAnsi="Cambria" w:cs="Cambria"/>
          <w:i/>
          <w:iCs/>
          <w:sz w:val="20"/>
          <w:szCs w:val="20"/>
          <w:lang w:val="es-MX"/>
        </w:rPr>
      </w:pPr>
    </w:p>
    <w:p w14:paraId="78F15EF2" w14:textId="77777777" w:rsidR="005C5BE6" w:rsidRPr="00D02BFE" w:rsidRDefault="00D8031F">
      <w:pPr>
        <w:spacing w:after="0" w:line="240" w:lineRule="auto"/>
        <w:jc w:val="both"/>
        <w:rPr>
          <w:rFonts w:ascii="Cambria" w:eastAsia="Cambria" w:hAnsi="Cambria" w:cs="Cambria"/>
          <w:i/>
          <w:iCs/>
          <w:sz w:val="20"/>
          <w:szCs w:val="20"/>
          <w:lang w:val="es-ES_tradnl"/>
        </w:rPr>
      </w:pPr>
      <w:r w:rsidRPr="00D02BFE">
        <w:rPr>
          <w:rFonts w:ascii="Cambria" w:eastAsia="Cambria" w:hAnsi="Cambria" w:cs="Cambria"/>
          <w:i/>
          <w:iCs/>
          <w:sz w:val="20"/>
          <w:szCs w:val="20"/>
          <w:lang w:val="es-ES_tradnl"/>
        </w:rPr>
        <w:t xml:space="preserve">Medidas de satisfacción </w:t>
      </w:r>
    </w:p>
    <w:p w14:paraId="5ED45CC7" w14:textId="77777777" w:rsidR="005C5BE6" w:rsidRPr="00D02BFE" w:rsidRDefault="00D8031F">
      <w:pPr>
        <w:numPr>
          <w:ilvl w:val="0"/>
          <w:numId w:val="16"/>
        </w:numPr>
        <w:spacing w:after="0" w:line="240" w:lineRule="auto"/>
        <w:jc w:val="both"/>
        <w:rPr>
          <w:rFonts w:ascii="Cambria" w:eastAsia="Cambria" w:hAnsi="Cambria" w:cs="Cambria"/>
          <w:sz w:val="20"/>
          <w:szCs w:val="20"/>
          <w:lang w:val="es-MX"/>
        </w:rPr>
      </w:pPr>
      <w:r w:rsidRPr="00D02BFE">
        <w:rPr>
          <w:rFonts w:ascii="Cambria" w:eastAsia="Cambria" w:hAnsi="Cambria" w:cs="Cambria"/>
          <w:sz w:val="20"/>
          <w:szCs w:val="20"/>
          <w:lang w:val="es-MX"/>
        </w:rPr>
        <w:t>Acto público de reconocimiento de responsabilidad internacional y perdón público celebrado, en concertación con los familiares y representantes de las víctimas, el 7 de noviembre de 2014, en el parque principal del municipio de Tame. El acto fue presidido por el Ministerio del Interior de Colombia y contó con la participación de los familiares del señor Rusbel Lara</w:t>
      </w:r>
      <w:r w:rsidRPr="00D02BFE">
        <w:rPr>
          <w:rFonts w:ascii="Cambria" w:eastAsia="Cambria" w:hAnsi="Cambria" w:cs="Cambria"/>
          <w:sz w:val="20"/>
          <w:szCs w:val="20"/>
          <w:vertAlign w:val="superscript"/>
        </w:rPr>
        <w:footnoteReference w:id="11"/>
      </w:r>
      <w:r w:rsidRPr="00D02BFE">
        <w:rPr>
          <w:rFonts w:ascii="Cambria" w:eastAsia="Cambria" w:hAnsi="Cambria" w:cs="Cambria"/>
          <w:sz w:val="20"/>
          <w:szCs w:val="20"/>
          <w:lang w:val="es-MX"/>
        </w:rPr>
        <w:t xml:space="preserve">. </w:t>
      </w:r>
    </w:p>
    <w:p w14:paraId="13F829AB" w14:textId="77777777" w:rsidR="005C5BE6" w:rsidRPr="00D02BFE" w:rsidRDefault="00D8031F">
      <w:pPr>
        <w:numPr>
          <w:ilvl w:val="0"/>
          <w:numId w:val="16"/>
        </w:numPr>
        <w:spacing w:after="0" w:line="240" w:lineRule="auto"/>
        <w:jc w:val="both"/>
        <w:rPr>
          <w:rFonts w:ascii="Cambria" w:eastAsia="Cambria" w:hAnsi="Cambria" w:cs="Cambria"/>
          <w:sz w:val="20"/>
          <w:szCs w:val="20"/>
          <w:lang w:val="es-MX"/>
        </w:rPr>
      </w:pPr>
      <w:r w:rsidRPr="00D02BFE">
        <w:rPr>
          <w:rFonts w:ascii="Cambria" w:eastAsia="Cambria" w:hAnsi="Cambria" w:cs="Cambria"/>
          <w:sz w:val="20"/>
          <w:szCs w:val="20"/>
          <w:lang w:val="es-MX"/>
        </w:rPr>
        <w:lastRenderedPageBreak/>
        <w:t xml:space="preserve">Placa conmemorativa en memoria del señor Rusbel Lara como defensor de derechos humanos develada durante el acto de reconocimiento de responsabilidad internacional el 7 de noviembre de 2014 en el parque principal de Tame, Arauca, con participación de las autoridades mencionadas arriba. La inscripción de la placa fue escrita por el hijo de la víctima. </w:t>
      </w:r>
    </w:p>
    <w:p w14:paraId="326343C3" w14:textId="77777777" w:rsidR="00635A95" w:rsidRPr="00D02BFE" w:rsidRDefault="00635A95">
      <w:pPr>
        <w:spacing w:after="0" w:line="240" w:lineRule="auto"/>
        <w:jc w:val="both"/>
        <w:rPr>
          <w:rFonts w:ascii="Cambria" w:eastAsia="Cambria" w:hAnsi="Cambria" w:cs="Cambria"/>
          <w:sz w:val="20"/>
          <w:szCs w:val="20"/>
          <w:lang w:val="es-MX"/>
        </w:rPr>
      </w:pPr>
    </w:p>
    <w:p w14:paraId="252B63FC" w14:textId="77777777" w:rsidR="005C5BE6" w:rsidRPr="00D02BFE" w:rsidRDefault="00D8031F">
      <w:pPr>
        <w:pStyle w:val="ListParagraph"/>
        <w:numPr>
          <w:ilvl w:val="0"/>
          <w:numId w:val="17"/>
        </w:numPr>
        <w:spacing w:after="0" w:line="240" w:lineRule="auto"/>
        <w:jc w:val="both"/>
        <w:rPr>
          <w:rFonts w:ascii="Cambria" w:eastAsia="Cambria" w:hAnsi="Cambria" w:cs="Cambria"/>
          <w:b/>
          <w:bCs/>
          <w:sz w:val="20"/>
          <w:szCs w:val="20"/>
        </w:rPr>
      </w:pPr>
      <w:proofErr w:type="spellStart"/>
      <w:r w:rsidRPr="00D02BFE">
        <w:rPr>
          <w:rFonts w:ascii="Cambria" w:eastAsia="Cambria" w:hAnsi="Cambria" w:cs="Cambria"/>
          <w:b/>
          <w:bCs/>
          <w:sz w:val="20"/>
          <w:szCs w:val="20"/>
        </w:rPr>
        <w:t>Resultados</w:t>
      </w:r>
      <w:proofErr w:type="spellEnd"/>
      <w:r w:rsidRPr="00D02BFE">
        <w:rPr>
          <w:rFonts w:ascii="Cambria" w:eastAsia="Cambria" w:hAnsi="Cambria" w:cs="Cambria"/>
          <w:b/>
          <w:bCs/>
          <w:sz w:val="20"/>
          <w:szCs w:val="20"/>
        </w:rPr>
        <w:t xml:space="preserve"> </w:t>
      </w:r>
      <w:proofErr w:type="spellStart"/>
      <w:r w:rsidRPr="00D02BFE">
        <w:rPr>
          <w:rFonts w:ascii="Cambria" w:eastAsia="Cambria" w:hAnsi="Cambria" w:cs="Cambria"/>
          <w:b/>
          <w:bCs/>
          <w:sz w:val="20"/>
          <w:szCs w:val="20"/>
        </w:rPr>
        <w:t>estructurales</w:t>
      </w:r>
      <w:proofErr w:type="spellEnd"/>
      <w:r w:rsidRPr="00D02BFE">
        <w:rPr>
          <w:rFonts w:ascii="Cambria" w:eastAsia="Cambria" w:hAnsi="Cambria" w:cs="Cambria"/>
          <w:b/>
          <w:bCs/>
          <w:sz w:val="20"/>
          <w:szCs w:val="20"/>
        </w:rPr>
        <w:t xml:space="preserve"> del </w:t>
      </w:r>
      <w:proofErr w:type="spellStart"/>
      <w:r w:rsidRPr="00D02BFE">
        <w:rPr>
          <w:rFonts w:ascii="Cambria" w:eastAsia="Cambria" w:hAnsi="Cambria" w:cs="Cambria"/>
          <w:b/>
          <w:bCs/>
          <w:sz w:val="20"/>
          <w:szCs w:val="20"/>
        </w:rPr>
        <w:t>caso</w:t>
      </w:r>
      <w:proofErr w:type="spellEnd"/>
    </w:p>
    <w:p w14:paraId="0CA793B7" w14:textId="77777777" w:rsidR="005C5BE6" w:rsidRPr="00D02BFE" w:rsidRDefault="005C5BE6">
      <w:pPr>
        <w:spacing w:after="0" w:line="240" w:lineRule="auto"/>
        <w:rPr>
          <w:rFonts w:ascii="Cambria" w:eastAsia="Cambria" w:hAnsi="Cambria" w:cs="Cambria"/>
          <w:sz w:val="20"/>
          <w:szCs w:val="20"/>
          <w:lang w:val="es-ES_tradnl"/>
        </w:rPr>
      </w:pPr>
    </w:p>
    <w:p w14:paraId="13DA8CCE" w14:textId="77777777" w:rsidR="005C5BE6" w:rsidRPr="00D02BFE" w:rsidRDefault="00D8031F">
      <w:pPr>
        <w:spacing w:after="0" w:line="240" w:lineRule="auto"/>
        <w:jc w:val="both"/>
        <w:rPr>
          <w:rFonts w:ascii="Cambria" w:eastAsia="Cambria" w:hAnsi="Cambria" w:cs="Cambria"/>
          <w:i/>
          <w:iCs/>
          <w:sz w:val="20"/>
          <w:szCs w:val="20"/>
          <w:lang w:val="es-ES_tradnl"/>
        </w:rPr>
      </w:pPr>
      <w:r w:rsidRPr="00D02BFE">
        <w:rPr>
          <w:rFonts w:ascii="Cambria" w:eastAsia="Cambria" w:hAnsi="Cambria" w:cs="Cambria"/>
          <w:i/>
          <w:iCs/>
          <w:sz w:val="20"/>
          <w:szCs w:val="20"/>
          <w:lang w:val="es-ES_tradnl"/>
        </w:rPr>
        <w:t xml:space="preserve">Políticas públicas </w:t>
      </w:r>
    </w:p>
    <w:p w14:paraId="42586C97" w14:textId="77777777" w:rsidR="005C5BE6" w:rsidRPr="00D02BFE" w:rsidRDefault="00D8031F">
      <w:pPr>
        <w:numPr>
          <w:ilvl w:val="0"/>
          <w:numId w:val="19"/>
        </w:numPr>
        <w:spacing w:after="0" w:line="240" w:lineRule="auto"/>
        <w:jc w:val="both"/>
        <w:rPr>
          <w:rFonts w:ascii="Cambria" w:eastAsia="Cambria" w:hAnsi="Cambria" w:cs="Cambria"/>
          <w:sz w:val="20"/>
          <w:szCs w:val="20"/>
          <w:lang w:val="es-ES_tradnl"/>
        </w:rPr>
      </w:pPr>
      <w:r w:rsidRPr="00D02BFE">
        <w:rPr>
          <w:rFonts w:ascii="Cambria" w:eastAsia="Cambria" w:hAnsi="Cambria" w:cs="Cambria"/>
          <w:sz w:val="20"/>
          <w:szCs w:val="20"/>
          <w:lang w:val="es-ES_tradnl"/>
        </w:rPr>
        <w:t xml:space="preserve">Aprobación del Decreto </w:t>
      </w:r>
      <w:r w:rsidRPr="00D02BFE">
        <w:rPr>
          <w:rFonts w:ascii="Cambria" w:eastAsia="Cambria" w:hAnsi="Cambria" w:cs="Cambria"/>
          <w:sz w:val="20"/>
          <w:szCs w:val="20"/>
          <w:lang w:val="es-MX"/>
        </w:rPr>
        <w:t>Nº</w:t>
      </w:r>
      <w:r w:rsidRPr="00D02BFE">
        <w:rPr>
          <w:rFonts w:ascii="Cambria" w:eastAsia="Cambria" w:hAnsi="Cambria" w:cs="Cambria"/>
          <w:sz w:val="20"/>
          <w:szCs w:val="20"/>
          <w:lang w:val="es-ES_tradnl"/>
        </w:rPr>
        <w:t xml:space="preserve"> 1066 de la Presidencia de la República de 26 de mayo de 2015, “Programa de Prevención y protección de los derechos a la vida, la libertad, la integridad y la seguridad de determinadas personas”.</w:t>
      </w:r>
      <w:r w:rsidR="00F368A3" w:rsidRPr="00D02BFE">
        <w:rPr>
          <w:rFonts w:ascii="Cambria" w:eastAsia="Cambria" w:hAnsi="Cambria" w:cs="Cambria"/>
          <w:sz w:val="20"/>
          <w:szCs w:val="20"/>
          <w:lang w:val="es-ES_tradnl"/>
        </w:rPr>
        <w:t xml:space="preserve"> </w:t>
      </w:r>
      <w:r w:rsidRPr="00D02BFE">
        <w:rPr>
          <w:rFonts w:ascii="Cambria" w:eastAsia="Cambria" w:hAnsi="Cambria" w:cs="Cambria"/>
          <w:sz w:val="20"/>
          <w:szCs w:val="20"/>
          <w:lang w:val="es-ES_tradnl"/>
        </w:rPr>
        <w:t xml:space="preserve"> </w:t>
      </w:r>
    </w:p>
    <w:p w14:paraId="554AA7B5" w14:textId="77777777" w:rsidR="00222489" w:rsidRPr="00D02BFE" w:rsidRDefault="00222489" w:rsidP="00222489">
      <w:pPr>
        <w:spacing w:after="0" w:line="240" w:lineRule="auto"/>
        <w:ind w:left="720"/>
        <w:jc w:val="both"/>
        <w:rPr>
          <w:rFonts w:ascii="Cambria" w:eastAsia="Cambria" w:hAnsi="Cambria" w:cs="Cambria"/>
          <w:sz w:val="20"/>
          <w:szCs w:val="20"/>
          <w:lang w:val="es-ES_tradnl"/>
        </w:rPr>
      </w:pPr>
    </w:p>
    <w:p w14:paraId="2C10B634" w14:textId="77777777" w:rsidR="005C5BE6" w:rsidRPr="00D02BFE" w:rsidRDefault="00D8031F">
      <w:pPr>
        <w:numPr>
          <w:ilvl w:val="0"/>
          <w:numId w:val="19"/>
        </w:numPr>
        <w:spacing w:after="0" w:line="240" w:lineRule="auto"/>
        <w:jc w:val="both"/>
        <w:rPr>
          <w:rFonts w:ascii="Cambria" w:eastAsia="Cambria" w:hAnsi="Cambria" w:cs="Cambria"/>
          <w:sz w:val="20"/>
          <w:szCs w:val="20"/>
          <w:lang w:val="es-ES_tradnl"/>
        </w:rPr>
      </w:pPr>
      <w:r w:rsidRPr="00D02BFE">
        <w:rPr>
          <w:rFonts w:ascii="Cambria" w:eastAsia="Cambria" w:hAnsi="Cambria" w:cs="Cambria"/>
          <w:sz w:val="20"/>
          <w:szCs w:val="20"/>
          <w:lang w:val="es-ES_tradnl"/>
        </w:rPr>
        <w:t>Realización de 2.648 estudios de nivel de riesgo a defensores de derechos humanos por parte de la Unidad Nacional de Protección desde la creación del Programa de Prevención y Protección de los derechos a la vida, la libertad, la integridad y la seguridad de determinadas personas, en 2015 hasta septiembre de 2016.</w:t>
      </w:r>
    </w:p>
    <w:p w14:paraId="182AAE80" w14:textId="77777777" w:rsidR="00222489" w:rsidRPr="00D02BFE" w:rsidRDefault="00222489" w:rsidP="00222489">
      <w:pPr>
        <w:spacing w:after="0" w:line="240" w:lineRule="auto"/>
        <w:jc w:val="both"/>
        <w:rPr>
          <w:rFonts w:ascii="Cambria" w:eastAsia="Cambria" w:hAnsi="Cambria" w:cs="Cambria"/>
          <w:sz w:val="20"/>
          <w:szCs w:val="20"/>
          <w:lang w:val="es-ES_tradnl"/>
        </w:rPr>
      </w:pPr>
    </w:p>
    <w:p w14:paraId="38753486" w14:textId="77777777" w:rsidR="005C5BE6" w:rsidRPr="00D02BFE" w:rsidRDefault="00D8031F">
      <w:pPr>
        <w:numPr>
          <w:ilvl w:val="0"/>
          <w:numId w:val="19"/>
        </w:numPr>
        <w:spacing w:after="0" w:line="240" w:lineRule="auto"/>
        <w:jc w:val="both"/>
        <w:rPr>
          <w:rFonts w:ascii="Cambria" w:eastAsia="Cambria" w:hAnsi="Cambria" w:cs="Cambria"/>
          <w:sz w:val="20"/>
          <w:szCs w:val="20"/>
          <w:lang w:val="es-ES_tradnl"/>
        </w:rPr>
      </w:pPr>
      <w:r w:rsidRPr="00D02BFE">
        <w:rPr>
          <w:rFonts w:ascii="Cambria" w:eastAsia="Cambria" w:hAnsi="Cambria" w:cs="Cambria"/>
          <w:sz w:val="20"/>
          <w:szCs w:val="20"/>
          <w:lang w:val="es-ES_tradnl"/>
        </w:rPr>
        <w:t>Implementación de la Política Pública para la Garantía de la Defensa de los Derechos Humanos, en abril de 2013, la cual tiene coma objetivo estratégico “garantizar de manera integral el derecho a la defensa, promoción y realización de los derechos humanos” y define programas, estrategias y líneas de acción en prevención, protección y garantías de no repetición. A su vez, contiene acciones dirigidas a</w:t>
      </w:r>
      <w:r w:rsidRPr="00D02BFE">
        <w:rPr>
          <w:rFonts w:ascii="Cambria" w:hAnsi="Cambria"/>
          <w:sz w:val="20"/>
          <w:szCs w:val="20"/>
          <w:lang w:val="es-ES_tradnl"/>
        </w:rPr>
        <w:t xml:space="preserve"> </w:t>
      </w:r>
      <w:r w:rsidRPr="00D02BFE">
        <w:rPr>
          <w:rFonts w:ascii="Cambria" w:eastAsia="Cambria" w:hAnsi="Cambria" w:cs="Cambria"/>
          <w:sz w:val="20"/>
          <w:szCs w:val="20"/>
          <w:lang w:val="es-ES_tradnl"/>
        </w:rPr>
        <w:t>mejorar la capacidad de respuesta del Estado, a apoyar el incremento de las capacidades de las organizaciones sociales territoriales para su legítimo ejercicio de defensa de los derechos humanos y a aportar a un reconocimiento social e institucional de la labor de los defensores de derechos humanos, líderes sociales y comunales.</w:t>
      </w:r>
    </w:p>
    <w:p w14:paraId="036CD239" w14:textId="77777777" w:rsidR="00222489" w:rsidRPr="00D02BFE" w:rsidRDefault="00222489" w:rsidP="00222489">
      <w:pPr>
        <w:spacing w:after="0" w:line="240" w:lineRule="auto"/>
        <w:jc w:val="both"/>
        <w:rPr>
          <w:rFonts w:ascii="Cambria" w:eastAsia="Cambria" w:hAnsi="Cambria" w:cs="Cambria"/>
          <w:sz w:val="20"/>
          <w:szCs w:val="20"/>
          <w:lang w:val="es-ES_tradnl"/>
        </w:rPr>
      </w:pPr>
    </w:p>
    <w:p w14:paraId="00C98A82" w14:textId="77777777" w:rsidR="00F72C07" w:rsidRPr="00D02BFE" w:rsidRDefault="00D8031F" w:rsidP="00F72C07">
      <w:pPr>
        <w:numPr>
          <w:ilvl w:val="0"/>
          <w:numId w:val="19"/>
        </w:numPr>
        <w:spacing w:after="0" w:line="240" w:lineRule="auto"/>
        <w:jc w:val="both"/>
        <w:rPr>
          <w:rFonts w:ascii="Cambria" w:eastAsia="Cambria" w:hAnsi="Cambria" w:cs="Cambria"/>
          <w:sz w:val="20"/>
          <w:szCs w:val="20"/>
          <w:lang w:val="es-ES_tradnl"/>
        </w:rPr>
      </w:pPr>
      <w:r w:rsidRPr="00D02BFE">
        <w:rPr>
          <w:rFonts w:ascii="Cambria" w:eastAsia="Cambria" w:hAnsi="Cambria" w:cs="Cambria"/>
          <w:sz w:val="20"/>
          <w:szCs w:val="20"/>
          <w:u w:color="FF0000"/>
          <w:lang w:val="es-ES_tradnl"/>
        </w:rPr>
        <w:t>Plan de Acción Oportuna para Defensores de Derechos Humanos, Líderes Sociales, Comunales y Periodistas (PAO)</w:t>
      </w:r>
      <w:r w:rsidR="00F368A3" w:rsidRPr="00D02BFE">
        <w:rPr>
          <w:rFonts w:ascii="Cambria" w:eastAsia="Cambria" w:hAnsi="Cambria" w:cs="Cambria"/>
          <w:sz w:val="20"/>
          <w:szCs w:val="20"/>
          <w:u w:color="FF0000"/>
          <w:lang w:val="es-ES_tradnl"/>
        </w:rPr>
        <w:t xml:space="preserve"> adoptado por el Decreto 2137 de 2018, el cual</w:t>
      </w:r>
      <w:r w:rsidRPr="00D02BFE">
        <w:rPr>
          <w:rFonts w:ascii="Cambria" w:eastAsia="Cambria" w:hAnsi="Cambria" w:cs="Cambria"/>
          <w:sz w:val="20"/>
          <w:szCs w:val="20"/>
          <w:u w:color="FF0000"/>
          <w:lang w:val="es-ES_tradnl"/>
        </w:rPr>
        <w:t xml:space="preserve"> constituye la iniciativa diseñada por el gobierno colombiano para responder a las demandas de la sociedad civil y</w:t>
      </w:r>
      <w:r w:rsidR="009760FF" w:rsidRPr="00D02BFE">
        <w:rPr>
          <w:rFonts w:ascii="Cambria" w:eastAsia="Cambria" w:hAnsi="Cambria" w:cs="Cambria"/>
          <w:sz w:val="20"/>
          <w:szCs w:val="20"/>
          <w:u w:color="FF0000"/>
          <w:lang w:val="es-ES_tradnl"/>
        </w:rPr>
        <w:t xml:space="preserve"> de</w:t>
      </w:r>
      <w:r w:rsidRPr="00D02BFE">
        <w:rPr>
          <w:rFonts w:ascii="Cambria" w:eastAsia="Cambria" w:hAnsi="Cambria" w:cs="Cambria"/>
          <w:sz w:val="20"/>
          <w:szCs w:val="20"/>
          <w:u w:color="FF0000"/>
          <w:lang w:val="es-ES_tradnl"/>
        </w:rPr>
        <w:t xml:space="preserve"> la comunidad internacional de proteger el liderazgo social y a </w:t>
      </w:r>
      <w:proofErr w:type="gramStart"/>
      <w:r w:rsidRPr="00D02BFE">
        <w:rPr>
          <w:rFonts w:ascii="Cambria" w:eastAsia="Cambria" w:hAnsi="Cambria" w:cs="Cambria"/>
          <w:sz w:val="20"/>
          <w:szCs w:val="20"/>
          <w:u w:color="FF0000"/>
          <w:lang w:val="es-ES_tradnl"/>
        </w:rPr>
        <w:t>los defensores y defensoras</w:t>
      </w:r>
      <w:proofErr w:type="gramEnd"/>
      <w:r w:rsidRPr="00D02BFE">
        <w:rPr>
          <w:rFonts w:ascii="Cambria" w:eastAsia="Cambria" w:hAnsi="Cambria" w:cs="Cambria"/>
          <w:sz w:val="20"/>
          <w:szCs w:val="20"/>
          <w:u w:color="FF0000"/>
          <w:lang w:val="es-ES_tradnl"/>
        </w:rPr>
        <w:t xml:space="preserve"> de derechos humanos.</w:t>
      </w:r>
      <w:r w:rsidR="00C078B7" w:rsidRPr="00D02BFE">
        <w:rPr>
          <w:rFonts w:ascii="Cambria" w:eastAsia="Cambria" w:hAnsi="Cambria" w:cs="Cambria"/>
          <w:sz w:val="20"/>
          <w:szCs w:val="20"/>
          <w:u w:color="FF0000"/>
          <w:lang w:val="es-ES_tradnl"/>
        </w:rPr>
        <w:t xml:space="preserve"> El PAO establece para su implementación una Comisión Intersectorial integrada por el </w:t>
      </w:r>
      <w:proofErr w:type="gramStart"/>
      <w:r w:rsidR="00C078B7" w:rsidRPr="00D02BFE">
        <w:rPr>
          <w:rFonts w:ascii="Cambria" w:hAnsi="Cambria"/>
          <w:sz w:val="20"/>
          <w:szCs w:val="20"/>
          <w:shd w:val="clear" w:color="auto" w:fill="FFFFFF"/>
          <w:lang w:val="es-MX"/>
        </w:rPr>
        <w:t>Presidente</w:t>
      </w:r>
      <w:proofErr w:type="gramEnd"/>
      <w:r w:rsidR="00C078B7" w:rsidRPr="00D02BFE">
        <w:rPr>
          <w:rFonts w:ascii="Cambria" w:hAnsi="Cambria"/>
          <w:sz w:val="20"/>
          <w:szCs w:val="20"/>
          <w:shd w:val="clear" w:color="auto" w:fill="FFFFFF"/>
          <w:lang w:val="es-MX"/>
        </w:rPr>
        <w:t xml:space="preserve"> de la República; los ministros de Defensa, Justicia y el Interior; el comandante de las Fuerzas Militares; el director general de la Policía y el director de la Unidad Nacional de Protección. Asimismo, considera como invitados permanentes a la </w:t>
      </w:r>
      <w:proofErr w:type="gramStart"/>
      <w:r w:rsidR="00C078B7" w:rsidRPr="00D02BFE">
        <w:rPr>
          <w:rFonts w:ascii="Cambria" w:hAnsi="Cambria"/>
          <w:sz w:val="20"/>
          <w:szCs w:val="20"/>
          <w:shd w:val="clear" w:color="auto" w:fill="FFFFFF"/>
          <w:lang w:val="es-MX"/>
        </w:rPr>
        <w:t>Fiscalía General</w:t>
      </w:r>
      <w:proofErr w:type="gramEnd"/>
      <w:r w:rsidR="00C078B7" w:rsidRPr="00D02BFE">
        <w:rPr>
          <w:rFonts w:ascii="Cambria" w:hAnsi="Cambria"/>
          <w:sz w:val="20"/>
          <w:szCs w:val="20"/>
          <w:shd w:val="clear" w:color="auto" w:fill="FFFFFF"/>
          <w:lang w:val="es-MX"/>
        </w:rPr>
        <w:t xml:space="preserve">, la Procuraduría General, la Defensoría del Pueblo, el Alto Comisionado para la Paz, el Consejero Presidencial para los Derechos Humanos y el Consejero Presidencial para la Seguridad. </w:t>
      </w:r>
      <w:r w:rsidR="002805C9" w:rsidRPr="00D02BFE">
        <w:rPr>
          <w:rFonts w:ascii="Cambria" w:hAnsi="Cambria"/>
          <w:sz w:val="20"/>
          <w:szCs w:val="20"/>
          <w:shd w:val="clear" w:color="auto" w:fill="FFFFFF"/>
          <w:lang w:val="es-MX"/>
        </w:rPr>
        <w:t xml:space="preserve">A través del PAO, se ha brindado </w:t>
      </w:r>
      <w:r w:rsidR="002805C9" w:rsidRPr="00D02BFE">
        <w:rPr>
          <w:rFonts w:ascii="Cambria" w:hAnsi="Cambria"/>
          <w:sz w:val="20"/>
          <w:szCs w:val="20"/>
        </w:rPr>
        <w:t>asistencia técnica para la formulación e implementación de la Ruta Única de Actuación Territorial en Antioquia, Cauca, Caquetá, Córdoba, Putumayo, Valle del Cauca, Norte de Santander, Nariño, Tolima, Meta y Cundinamarca.</w:t>
      </w:r>
    </w:p>
    <w:p w14:paraId="4ED360BD" w14:textId="77777777" w:rsidR="00222489" w:rsidRPr="00D02BFE" w:rsidRDefault="00222489" w:rsidP="00222489">
      <w:pPr>
        <w:spacing w:after="0" w:line="240" w:lineRule="auto"/>
        <w:ind w:left="720"/>
        <w:jc w:val="both"/>
        <w:rPr>
          <w:rFonts w:ascii="Cambria" w:eastAsia="Cambria" w:hAnsi="Cambria" w:cs="Cambria"/>
          <w:sz w:val="20"/>
          <w:szCs w:val="20"/>
          <w:lang w:val="es-ES_tradnl"/>
        </w:rPr>
      </w:pPr>
    </w:p>
    <w:p w14:paraId="1E32FF64" w14:textId="77777777" w:rsidR="00C945F6" w:rsidRPr="00D02BFE" w:rsidRDefault="00C945F6" w:rsidP="001823D4">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Programa Integral de Garantías para las mujeres Lideresas y Defensoras de Derechos Humanos</w:t>
      </w:r>
      <w:r w:rsidR="007764DD" w:rsidRPr="00D02BFE">
        <w:rPr>
          <w:rFonts w:ascii="Cambria" w:hAnsi="Cambria"/>
          <w:sz w:val="20"/>
          <w:szCs w:val="20"/>
        </w:rPr>
        <w:t xml:space="preserve"> (PIG- Mujeres)</w:t>
      </w:r>
      <w:r w:rsidRPr="00D02BFE">
        <w:rPr>
          <w:rFonts w:ascii="Cambria" w:hAnsi="Cambria"/>
          <w:sz w:val="20"/>
          <w:szCs w:val="20"/>
        </w:rPr>
        <w:t xml:space="preserve"> adoptado mediante la Resolución 0845 de 2018, orientado a incrementar las capacidades de las defensoras para ejercer su labor a través de medidas de prevención, protección y garantías de no repetición.</w:t>
      </w:r>
      <w:r w:rsidR="005B406F" w:rsidRPr="00D02BFE">
        <w:rPr>
          <w:rFonts w:ascii="Cambria" w:hAnsi="Cambria"/>
          <w:sz w:val="20"/>
          <w:szCs w:val="20"/>
        </w:rPr>
        <w:t xml:space="preserve"> Su plan de acción se concretó en 2019, con la priorización de unos territorios.</w:t>
      </w:r>
      <w:r w:rsidR="00F72C07" w:rsidRPr="00D02BFE">
        <w:rPr>
          <w:rFonts w:ascii="Cambria" w:eastAsia="Arial Unicode MS" w:hAnsi="Cambria" w:cs="Arial"/>
          <w:sz w:val="20"/>
          <w:szCs w:val="20"/>
          <w:bdr w:val="none" w:sz="0" w:space="0" w:color="auto"/>
          <w:lang w:val="es-CO" w:eastAsia="en-US"/>
        </w:rPr>
        <w:t xml:space="preserve"> </w:t>
      </w:r>
      <w:r w:rsidR="001823D4" w:rsidRPr="00D02BFE">
        <w:rPr>
          <w:rFonts w:ascii="Cambria" w:eastAsia="Arial Unicode MS" w:hAnsi="Cambria" w:cs="Arial"/>
          <w:sz w:val="20"/>
          <w:szCs w:val="20"/>
          <w:bdr w:val="none" w:sz="0" w:space="0" w:color="auto"/>
          <w:lang w:val="es-CO" w:eastAsia="en-US"/>
        </w:rPr>
        <w:t>L</w:t>
      </w:r>
      <w:r w:rsidR="00F72C07" w:rsidRPr="00D02BFE">
        <w:rPr>
          <w:rFonts w:ascii="Cambria" w:eastAsia="Arial Unicode MS" w:hAnsi="Cambria" w:cs="Arial"/>
          <w:sz w:val="20"/>
          <w:szCs w:val="20"/>
          <w:bdr w:val="none" w:sz="0" w:space="0" w:color="auto"/>
          <w:lang w:val="es-CO" w:eastAsia="en-US"/>
        </w:rPr>
        <w:t>iderado por el Ministerio del Interior a partir de tres ejes estratégicos. Los criterios que rigen el programa son: (i) especificidad individual del programa; (ii) articulación y coordinación nacional</w:t>
      </w:r>
      <w:r w:rsidR="007764DD" w:rsidRPr="00D02BFE">
        <w:rPr>
          <w:rFonts w:ascii="Cambria" w:eastAsia="Arial Unicode MS" w:hAnsi="Cambria" w:cs="Arial"/>
          <w:sz w:val="20"/>
          <w:szCs w:val="20"/>
          <w:bdr w:val="none" w:sz="0" w:space="0" w:color="auto"/>
          <w:lang w:val="es-CO" w:eastAsia="en-US"/>
        </w:rPr>
        <w:t>;</w:t>
      </w:r>
      <w:r w:rsidR="00F72C07" w:rsidRPr="00D02BFE">
        <w:rPr>
          <w:rFonts w:ascii="Cambria" w:eastAsia="Arial Unicode MS" w:hAnsi="Cambria" w:cs="Arial"/>
          <w:sz w:val="20"/>
          <w:szCs w:val="20"/>
          <w:bdr w:val="none" w:sz="0" w:space="0" w:color="auto"/>
          <w:lang w:val="es-CO" w:eastAsia="en-US"/>
        </w:rPr>
        <w:t xml:space="preserve"> (iii) definición de metas puntuales a corto plazo (con planes pilotos en 2019 en Montes de María y Putumayo), mediano plazo (construcción de un Plan Nacional de Acción Interinstitucional) y largo plazo (implementación del Plan de Acción 2019-2022 y 151 acciones); (iv) garantías de continuidad hacia el futuro, a partir de la inclusión del programa en el Plan Nacional de Desarrollo (2019-2022).</w:t>
      </w:r>
      <w:r w:rsidR="001823D4" w:rsidRPr="00D02BFE">
        <w:rPr>
          <w:rFonts w:ascii="Cambria" w:eastAsia="Arial Unicode MS" w:hAnsi="Cambria" w:cs="Arial"/>
          <w:sz w:val="20"/>
          <w:szCs w:val="20"/>
          <w:bdr w:val="none" w:sz="0" w:space="0" w:color="auto"/>
          <w:lang w:val="es-CO" w:eastAsia="en-US"/>
        </w:rPr>
        <w:t xml:space="preserve"> En febrero, se estructuró el Plan de Acción del PIG-Mujeres vigencia 2019-2022. </w:t>
      </w:r>
    </w:p>
    <w:p w14:paraId="257C5E45" w14:textId="77777777" w:rsidR="00222489" w:rsidRPr="00D02BFE" w:rsidRDefault="00222489" w:rsidP="00222489">
      <w:pPr>
        <w:spacing w:after="0" w:line="240" w:lineRule="auto"/>
        <w:jc w:val="both"/>
        <w:rPr>
          <w:rFonts w:ascii="Cambria" w:eastAsia="Cambria" w:hAnsi="Cambria" w:cs="Cambria"/>
          <w:sz w:val="20"/>
          <w:szCs w:val="20"/>
          <w:lang w:val="es-ES_tradnl"/>
        </w:rPr>
      </w:pPr>
    </w:p>
    <w:p w14:paraId="2F3946B9" w14:textId="77777777" w:rsidR="00937F2B" w:rsidRPr="00D02BFE" w:rsidRDefault="00937F2B" w:rsidP="009760FF">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Política de prevención de violaciones a los derechos a la vida, la libertad, integridad y seguridad de personas, grupos y comunidades</w:t>
      </w:r>
      <w:r w:rsidR="000C5331" w:rsidRPr="00D02BFE">
        <w:rPr>
          <w:rFonts w:ascii="Cambria" w:hAnsi="Cambria"/>
          <w:sz w:val="20"/>
          <w:szCs w:val="20"/>
        </w:rPr>
        <w:t xml:space="preserve"> que define 6 estrategias que incorporan acciones para enfrentar causas estructurales de violaciones de estos derechos tales como dinámicas económicas ilegales, acceso a la justicia, cultura en DDHH, restricciones a la libertad por disputa por la tierra y el territorio. La política contiene la definición de defensor de DDHH según estándares internacionales y un proyecto dirigido a la no estigmatización de la labor de defensa.</w:t>
      </w:r>
    </w:p>
    <w:p w14:paraId="435AEFE3" w14:textId="77777777" w:rsidR="00222489" w:rsidRPr="00D02BFE" w:rsidRDefault="00222489" w:rsidP="00222489">
      <w:pPr>
        <w:spacing w:after="0" w:line="240" w:lineRule="auto"/>
        <w:jc w:val="both"/>
        <w:rPr>
          <w:rFonts w:ascii="Cambria" w:eastAsia="Cambria" w:hAnsi="Cambria" w:cs="Cambria"/>
          <w:sz w:val="20"/>
          <w:szCs w:val="20"/>
          <w:lang w:val="es-ES_tradnl"/>
        </w:rPr>
      </w:pPr>
    </w:p>
    <w:p w14:paraId="12B1B8A6" w14:textId="77777777" w:rsidR="000C5331" w:rsidRPr="00D02BFE" w:rsidRDefault="000C5331" w:rsidP="000C5331">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lastRenderedPageBreak/>
        <w:t>Programa Integral de Seguridad y Protección para Comunidades y Organizaciones en los Territorios</w:t>
      </w:r>
      <w:r w:rsidRPr="00D02BFE">
        <w:rPr>
          <w:rFonts w:ascii="Cambria" w:eastAsia="Cambria" w:hAnsi="Cambria" w:cs="Cambria"/>
          <w:sz w:val="20"/>
          <w:szCs w:val="20"/>
          <w:lang w:val="es-ES_tradnl"/>
        </w:rPr>
        <w:t xml:space="preserve"> (creado y reglamentado mediante el </w:t>
      </w:r>
      <w:r w:rsidRPr="00D02BFE">
        <w:rPr>
          <w:rFonts w:ascii="Cambria" w:hAnsi="Cambria"/>
          <w:sz w:val="20"/>
          <w:szCs w:val="20"/>
        </w:rPr>
        <w:t>Decreto 660 de 2018, por el cual se adiciona el Capítulo 7, del Título 1, de la Parte 4, del Libro 2 del Decreto 1066 de 2015, Único Reglamentario del Sector Administrativo del Interior). El programa se creó con base en lo dispuesto en el Acuerdo Final para la Terminación del Conflicto y Construcción de una Paz Estable y Duradera.</w:t>
      </w:r>
      <w:r w:rsidR="005F73AA" w:rsidRPr="00D02BFE">
        <w:rPr>
          <w:rFonts w:ascii="Cambria" w:hAnsi="Cambria"/>
          <w:sz w:val="20"/>
          <w:szCs w:val="20"/>
        </w:rPr>
        <w:t xml:space="preserve"> Tiene los siguientes cuatro componentes: </w:t>
      </w:r>
    </w:p>
    <w:p w14:paraId="47058255" w14:textId="77777777" w:rsidR="005F73AA" w:rsidRPr="00D02BFE" w:rsidRDefault="005F73AA" w:rsidP="005F73AA">
      <w:pPr>
        <w:numPr>
          <w:ilvl w:val="0"/>
          <w:numId w:val="40"/>
        </w:numPr>
        <w:spacing w:after="0" w:line="240" w:lineRule="auto"/>
        <w:jc w:val="both"/>
        <w:rPr>
          <w:rFonts w:ascii="Cambria" w:eastAsia="Cambria" w:hAnsi="Cambria" w:cs="Cambria"/>
          <w:sz w:val="20"/>
          <w:szCs w:val="20"/>
          <w:lang w:val="es-ES_tradnl"/>
        </w:rPr>
      </w:pPr>
      <w:r w:rsidRPr="00D02BFE">
        <w:rPr>
          <w:rFonts w:ascii="Cambria" w:hAnsi="Cambria"/>
          <w:sz w:val="20"/>
          <w:szCs w:val="20"/>
        </w:rPr>
        <w:t xml:space="preserve">Adoptar medidas de prevención orientadas a identificar los factores de riesgo de violaciones a los derechos a la vida, la libertad, la integridad, la seguridad y las afectaciones a la convivencia contra comunidades y organizaciones en los territorios, y sus líderes, lideresas, dirigentes, representantes y activistas en los territorios, teniendo en cuenta siempre las condiciones particulares de las mujeres. </w:t>
      </w:r>
    </w:p>
    <w:p w14:paraId="3965E267" w14:textId="77777777" w:rsidR="005F73AA" w:rsidRPr="00D02BFE" w:rsidRDefault="005F73AA" w:rsidP="005F73AA">
      <w:pPr>
        <w:numPr>
          <w:ilvl w:val="0"/>
          <w:numId w:val="40"/>
        </w:numPr>
        <w:spacing w:after="0" w:line="240" w:lineRule="auto"/>
        <w:jc w:val="both"/>
        <w:rPr>
          <w:rFonts w:ascii="Cambria" w:eastAsia="Cambria" w:hAnsi="Cambria" w:cs="Cambria"/>
          <w:sz w:val="20"/>
          <w:szCs w:val="20"/>
          <w:lang w:val="es-ES_tradnl"/>
        </w:rPr>
      </w:pPr>
      <w:r w:rsidRPr="00D02BFE">
        <w:rPr>
          <w:rFonts w:ascii="Cambria" w:hAnsi="Cambria"/>
          <w:sz w:val="20"/>
          <w:szCs w:val="20"/>
        </w:rPr>
        <w:t xml:space="preserve">Adoptar medidas de seguridad y protección orientadas a prevenir la materialización o mitigar sus efectos, de riesgos excepcionales contra los derechos a la vida, libertad, integridad, la seguridad y las afectaciones a la convivencia de comunidades y organizaciones en los territorios, y sus líderes, lideresas, dirigentes, representantes y activistas en los territorios, teniendo en cuenta siempre las condiciones particulares de las mujeres. </w:t>
      </w:r>
    </w:p>
    <w:p w14:paraId="14AB55FF" w14:textId="77777777" w:rsidR="005F73AA" w:rsidRPr="00D02BFE" w:rsidRDefault="005F73AA" w:rsidP="005F73AA">
      <w:pPr>
        <w:numPr>
          <w:ilvl w:val="0"/>
          <w:numId w:val="40"/>
        </w:numPr>
        <w:spacing w:after="0" w:line="240" w:lineRule="auto"/>
        <w:jc w:val="both"/>
        <w:rPr>
          <w:rFonts w:ascii="Cambria" w:eastAsia="Cambria" w:hAnsi="Cambria" w:cs="Cambria"/>
          <w:sz w:val="20"/>
          <w:szCs w:val="20"/>
          <w:lang w:val="es-ES_tradnl"/>
        </w:rPr>
      </w:pPr>
      <w:r w:rsidRPr="00D02BFE">
        <w:rPr>
          <w:rFonts w:ascii="Cambria" w:hAnsi="Cambria"/>
          <w:sz w:val="20"/>
          <w:szCs w:val="20"/>
        </w:rPr>
        <w:t xml:space="preserve">Adoptar medidas orientadas a promover la reconciliación y la convivencia pacífica y democrática en los territorios, para la construcción de confianza entre entidades públicas y comunidades, a través de la articulación local y nacional. </w:t>
      </w:r>
    </w:p>
    <w:p w14:paraId="0C0EE38B" w14:textId="77777777" w:rsidR="005F73AA" w:rsidRPr="00D02BFE" w:rsidRDefault="005F73AA" w:rsidP="005F73AA">
      <w:pPr>
        <w:numPr>
          <w:ilvl w:val="0"/>
          <w:numId w:val="40"/>
        </w:numPr>
        <w:spacing w:after="0" w:line="240" w:lineRule="auto"/>
        <w:jc w:val="both"/>
        <w:rPr>
          <w:rFonts w:ascii="Cambria" w:eastAsia="Cambria" w:hAnsi="Cambria" w:cs="Cambria"/>
          <w:sz w:val="20"/>
          <w:szCs w:val="20"/>
          <w:lang w:val="es-ES_tradnl"/>
        </w:rPr>
      </w:pPr>
      <w:r w:rsidRPr="00D02BFE">
        <w:rPr>
          <w:rFonts w:ascii="Cambria" w:hAnsi="Cambria"/>
          <w:sz w:val="20"/>
          <w:szCs w:val="20"/>
        </w:rPr>
        <w:t>Adoptar medidas orientadas a fortalecer la denuncia por parte de las organizaciones de Derechos Humanos en los territorios.</w:t>
      </w:r>
    </w:p>
    <w:p w14:paraId="323BFF0C" w14:textId="77777777" w:rsidR="00020B4D" w:rsidRPr="00D02BFE" w:rsidRDefault="00020B4D" w:rsidP="00020B4D">
      <w:pPr>
        <w:spacing w:after="0" w:line="240" w:lineRule="auto"/>
        <w:ind w:left="708"/>
        <w:jc w:val="both"/>
        <w:rPr>
          <w:rFonts w:ascii="Cambria" w:hAnsi="Cambria"/>
          <w:sz w:val="20"/>
          <w:szCs w:val="20"/>
          <w:lang w:val="es-ES_tradnl"/>
        </w:rPr>
      </w:pPr>
      <w:r w:rsidRPr="00D02BFE">
        <w:rPr>
          <w:rFonts w:ascii="Cambria" w:hAnsi="Cambria"/>
          <w:sz w:val="20"/>
          <w:szCs w:val="20"/>
          <w:lang w:val="es-ES_tradnl"/>
        </w:rPr>
        <w:t xml:space="preserve">Como actividades ejecutadas del programa: </w:t>
      </w:r>
    </w:p>
    <w:p w14:paraId="42B44800" w14:textId="77777777" w:rsidR="00020B4D" w:rsidRPr="00D02BFE" w:rsidRDefault="00020B4D" w:rsidP="00020B4D">
      <w:pPr>
        <w:numPr>
          <w:ilvl w:val="0"/>
          <w:numId w:val="40"/>
        </w:numPr>
        <w:spacing w:after="0" w:line="240" w:lineRule="auto"/>
        <w:jc w:val="both"/>
        <w:rPr>
          <w:rFonts w:ascii="Cambria" w:hAnsi="Cambria"/>
          <w:sz w:val="20"/>
          <w:szCs w:val="20"/>
        </w:rPr>
      </w:pPr>
      <w:r w:rsidRPr="00D02BFE">
        <w:rPr>
          <w:rFonts w:ascii="Cambria" w:hAnsi="Cambria"/>
          <w:sz w:val="20"/>
          <w:szCs w:val="20"/>
          <w:lang w:val="es-ES_tradnl"/>
        </w:rPr>
        <w:t>C</w:t>
      </w:r>
      <w:r w:rsidRPr="00D02BFE">
        <w:rPr>
          <w:rFonts w:ascii="Cambria" w:hAnsi="Cambria"/>
          <w:sz w:val="20"/>
          <w:szCs w:val="20"/>
        </w:rPr>
        <w:t xml:space="preserve">uatro pilotajes de implementación en 2018 y procesos de asistencia a otros colectivos. </w:t>
      </w:r>
    </w:p>
    <w:p w14:paraId="193AFD45" w14:textId="77777777" w:rsidR="00020B4D" w:rsidRPr="00D02BFE" w:rsidRDefault="00020B4D" w:rsidP="00020B4D">
      <w:pPr>
        <w:numPr>
          <w:ilvl w:val="0"/>
          <w:numId w:val="40"/>
        </w:numPr>
        <w:spacing w:after="0" w:line="240" w:lineRule="auto"/>
        <w:jc w:val="both"/>
        <w:rPr>
          <w:rFonts w:ascii="Cambria" w:hAnsi="Cambria"/>
          <w:sz w:val="20"/>
          <w:szCs w:val="20"/>
        </w:rPr>
      </w:pPr>
      <w:r w:rsidRPr="00D02BFE">
        <w:rPr>
          <w:rFonts w:ascii="Cambria" w:hAnsi="Cambria"/>
          <w:sz w:val="20"/>
          <w:szCs w:val="20"/>
        </w:rPr>
        <w:t xml:space="preserve">16 procesos de acompañamiento y comunidades en 2019 frente a las cuales se realizó Porgramas Integrales de Prevención y que incluyó el financiamiento de acciones para beenficiar a la niñez y adolescencia para prevenir su reclutamiento y utilización.  </w:t>
      </w:r>
    </w:p>
    <w:p w14:paraId="07130EAC" w14:textId="77777777" w:rsidR="00222489" w:rsidRPr="00D02BFE" w:rsidRDefault="00222489" w:rsidP="00222489">
      <w:pPr>
        <w:spacing w:after="0" w:line="240" w:lineRule="auto"/>
        <w:ind w:left="1068"/>
        <w:jc w:val="both"/>
        <w:rPr>
          <w:rFonts w:ascii="Cambria" w:hAnsi="Cambria"/>
          <w:sz w:val="20"/>
          <w:szCs w:val="20"/>
        </w:rPr>
      </w:pPr>
    </w:p>
    <w:p w14:paraId="01267E5B" w14:textId="77777777" w:rsidR="00F23C8B" w:rsidRPr="00D02BFE" w:rsidRDefault="00F23C8B" w:rsidP="000C5331">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Política Integral de Derechos Humanos y D.I.H. 2017 – 2020 del Ministerio de Defensa que priorizó como objetivo específico fortalecer el relacionamiento entre los grupos de especial protección constitucional (víctimas del conflicto armado, grupos étnicos, defensores de derechos humanos, sindicalistas, mujeres, entre otros) y la Fuerza Pública.</w:t>
      </w:r>
    </w:p>
    <w:p w14:paraId="3CCA206E" w14:textId="77777777" w:rsidR="00222489" w:rsidRPr="00D02BFE" w:rsidRDefault="00222489" w:rsidP="00222489">
      <w:pPr>
        <w:spacing w:after="0" w:line="240" w:lineRule="auto"/>
        <w:ind w:left="720"/>
        <w:jc w:val="both"/>
        <w:rPr>
          <w:rFonts w:ascii="Cambria" w:eastAsia="Cambria" w:hAnsi="Cambria" w:cs="Cambria"/>
          <w:sz w:val="20"/>
          <w:szCs w:val="20"/>
          <w:lang w:val="es-ES_tradnl"/>
        </w:rPr>
      </w:pPr>
    </w:p>
    <w:p w14:paraId="314AFEB8" w14:textId="77777777" w:rsidR="00F23C8B" w:rsidRPr="00D02BFE" w:rsidRDefault="00F23C8B" w:rsidP="000C5331">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 xml:space="preserve">Estrategia para el fortalecimiento de la acción comunal en Colombia </w:t>
      </w:r>
      <w:r w:rsidR="005B406F" w:rsidRPr="00D02BFE">
        <w:rPr>
          <w:rFonts w:ascii="Cambria" w:hAnsi="Cambria"/>
          <w:sz w:val="20"/>
          <w:szCs w:val="20"/>
        </w:rPr>
        <w:t xml:space="preserve">establecida en </w:t>
      </w:r>
      <w:r w:rsidRPr="00D02BFE">
        <w:rPr>
          <w:rFonts w:ascii="Cambria" w:hAnsi="Cambria"/>
          <w:sz w:val="20"/>
          <w:szCs w:val="20"/>
        </w:rPr>
        <w:t xml:space="preserve">diciembre de 2018 </w:t>
      </w:r>
      <w:r w:rsidR="005B406F" w:rsidRPr="00D02BFE">
        <w:rPr>
          <w:rFonts w:ascii="Cambria" w:hAnsi="Cambria"/>
          <w:sz w:val="20"/>
          <w:szCs w:val="20"/>
        </w:rPr>
        <w:t>por</w:t>
      </w:r>
      <w:r w:rsidRPr="00D02BFE">
        <w:rPr>
          <w:rFonts w:ascii="Cambria" w:hAnsi="Cambria"/>
          <w:sz w:val="20"/>
          <w:szCs w:val="20"/>
        </w:rPr>
        <w:t xml:space="preserve"> el documento CONPES 3955, </w:t>
      </w:r>
      <w:r w:rsidR="005B406F" w:rsidRPr="00D02BFE">
        <w:rPr>
          <w:rFonts w:ascii="Cambria" w:hAnsi="Cambria"/>
          <w:sz w:val="20"/>
          <w:szCs w:val="20"/>
        </w:rPr>
        <w:t xml:space="preserve">para </w:t>
      </w:r>
      <w:r w:rsidRPr="00D02BFE">
        <w:rPr>
          <w:rFonts w:ascii="Cambria" w:hAnsi="Cambria"/>
          <w:sz w:val="20"/>
          <w:szCs w:val="20"/>
        </w:rPr>
        <w:t>fortalecer el ejercicio de la acción comunal y las organizaciones que hacen parte de esta forma de participación ciudadan</w:t>
      </w:r>
      <w:r w:rsidR="005B406F" w:rsidRPr="00D02BFE">
        <w:rPr>
          <w:rFonts w:ascii="Cambria" w:hAnsi="Cambria"/>
          <w:sz w:val="20"/>
          <w:szCs w:val="20"/>
        </w:rPr>
        <w:t>a</w:t>
      </w:r>
      <w:r w:rsidRPr="00D02BFE">
        <w:rPr>
          <w:rFonts w:ascii="Cambria" w:hAnsi="Cambria"/>
          <w:sz w:val="20"/>
          <w:szCs w:val="20"/>
        </w:rPr>
        <w:t>.</w:t>
      </w:r>
    </w:p>
    <w:p w14:paraId="251AA739" w14:textId="77777777" w:rsidR="00F8071B" w:rsidRPr="00D02BFE" w:rsidRDefault="00F8071B" w:rsidP="00554932">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i/>
          <w:iCs/>
          <w:sz w:val="20"/>
          <w:szCs w:val="20"/>
          <w:lang w:val="es-CO"/>
        </w:rPr>
        <w:t>Política Pública de Respeto y Garantías a la Labor de la Defensa de los Derechos Humanos</w:t>
      </w:r>
      <w:r w:rsidRPr="00D02BFE">
        <w:rPr>
          <w:rFonts w:ascii="Cambria" w:hAnsi="Cambria"/>
          <w:sz w:val="20"/>
          <w:szCs w:val="20"/>
        </w:rPr>
        <w:t>:</w:t>
      </w:r>
      <w:r w:rsidR="00B26B06" w:rsidRPr="00D02BFE">
        <w:rPr>
          <w:rFonts w:ascii="Cambria" w:hAnsi="Cambria"/>
          <w:sz w:val="20"/>
          <w:szCs w:val="20"/>
        </w:rPr>
        <w:t xml:space="preserve"> </w:t>
      </w:r>
      <w:r w:rsidRPr="00D02BFE">
        <w:rPr>
          <w:rFonts w:ascii="Cambria" w:hAnsi="Cambria"/>
          <w:sz w:val="20"/>
          <w:szCs w:val="20"/>
        </w:rPr>
        <w:t>Incluida como prioridad en el Plan Nacional de Desarrollo con las siguientes ocho estrategias:</w:t>
      </w:r>
    </w:p>
    <w:p w14:paraId="0A8DE909" w14:textId="77777777" w:rsidR="00F8071B" w:rsidRPr="00D02BFE" w:rsidRDefault="00F8071B" w:rsidP="00F807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sz w:val="20"/>
          <w:szCs w:val="20"/>
          <w:bdr w:val="none" w:sz="0" w:space="0" w:color="auto"/>
          <w:lang w:val="es-CO" w:eastAsia="en-US"/>
        </w:rPr>
        <w:t>“1. Consolidar una plataforma de información y análisis que oriente y articule los esfuerzos estatales en materia de prevención y protección de los defensores de DDHH.</w:t>
      </w:r>
    </w:p>
    <w:p w14:paraId="0131C202" w14:textId="77777777" w:rsidR="00F8071B" w:rsidRPr="00D02BFE" w:rsidRDefault="00F8071B" w:rsidP="00F807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sz w:val="20"/>
          <w:szCs w:val="20"/>
          <w:bdr w:val="none" w:sz="0" w:space="0" w:color="auto"/>
          <w:lang w:val="es-CO" w:eastAsia="en-US"/>
        </w:rPr>
        <w:t>2. Robustecer los esfuerzos existentes en materia de seguridad y lucha contra la criminalidad para garantizar la vida, integridad, libertad y seguridad de los defensores.</w:t>
      </w:r>
    </w:p>
    <w:p w14:paraId="6CEC81FE" w14:textId="77777777" w:rsidR="00F8071B" w:rsidRPr="00D02BFE" w:rsidRDefault="00F8071B" w:rsidP="00F807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sz w:val="20"/>
          <w:szCs w:val="20"/>
          <w:bdr w:val="none" w:sz="0" w:space="0" w:color="auto"/>
          <w:lang w:val="es-CO" w:eastAsia="en-US"/>
        </w:rPr>
        <w:t>3. Establecer un Sistema Nacional de Prevención Temprana, Urgente y Garantías de No Repetición para la identificación y gestión de riesgos de vulneraciones a los derechos de las personas defensoras de derechos humanos.</w:t>
      </w:r>
    </w:p>
    <w:p w14:paraId="4843E11D" w14:textId="77777777" w:rsidR="00F8071B" w:rsidRPr="00D02BFE" w:rsidRDefault="00F8071B" w:rsidP="00F807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sz w:val="20"/>
          <w:szCs w:val="20"/>
          <w:bdr w:val="none" w:sz="0" w:space="0" w:color="auto"/>
          <w:lang w:val="es-CO" w:eastAsia="en-US"/>
        </w:rPr>
        <w:t>4. Mejorar la efectividad de la respuesta institucional en materia de protección individual y colectiva.</w:t>
      </w:r>
    </w:p>
    <w:p w14:paraId="6F1FF3DE" w14:textId="77777777" w:rsidR="00F8071B" w:rsidRPr="00D02BFE" w:rsidRDefault="00F8071B" w:rsidP="00F807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sz w:val="20"/>
          <w:szCs w:val="20"/>
          <w:bdr w:val="none" w:sz="0" w:space="0" w:color="auto"/>
          <w:lang w:val="es-CO" w:eastAsia="en-US"/>
        </w:rPr>
        <w:t>5. Robustecer la articulación con otras ramas del poder público para el fortalecimiento de la respuesta institucional en materia de investigación, juzgamiento y sanción de las vulneraciones a los derechos de los defensores de derechos humanos.</w:t>
      </w:r>
    </w:p>
    <w:p w14:paraId="37DB7FCA" w14:textId="77777777" w:rsidR="00F8071B" w:rsidRPr="00D02BFE" w:rsidRDefault="00F8071B" w:rsidP="00F807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sz w:val="20"/>
          <w:szCs w:val="20"/>
          <w:bdr w:val="none" w:sz="0" w:space="0" w:color="auto"/>
          <w:lang w:val="es-CO" w:eastAsia="en-US"/>
        </w:rPr>
        <w:t>6. Establecer un plan estratégico de cultura de respeto y valoración de la defensa de los derechos humanos y de aquellos dedicados a su defensa.</w:t>
      </w:r>
    </w:p>
    <w:p w14:paraId="7AC230D6" w14:textId="77777777" w:rsidR="00F8071B" w:rsidRPr="00D02BFE" w:rsidRDefault="00F8071B" w:rsidP="00F807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sz w:val="20"/>
          <w:szCs w:val="20"/>
          <w:bdr w:val="none" w:sz="0" w:space="0" w:color="auto"/>
          <w:lang w:val="es-CO" w:eastAsia="en-US"/>
        </w:rPr>
        <w:t>7. Fortalecer la capacidad de las organizaciones y personas para la defensa de los DDHH.</w:t>
      </w:r>
    </w:p>
    <w:p w14:paraId="06D87463" w14:textId="77777777" w:rsidR="00F8071B" w:rsidRPr="00D02BFE" w:rsidRDefault="00F8071B" w:rsidP="00F807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sz w:val="20"/>
          <w:szCs w:val="20"/>
          <w:bdr w:val="none" w:sz="0" w:space="0" w:color="auto"/>
          <w:lang w:val="es-CO" w:eastAsia="en-US"/>
        </w:rPr>
        <w:t>8. Establecer intervenciones para el fortalecimiento al tejido social”.</w:t>
      </w:r>
    </w:p>
    <w:p w14:paraId="38F5AA25" w14:textId="77777777" w:rsidR="00222489" w:rsidRPr="00D02BFE" w:rsidRDefault="00222489" w:rsidP="00222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mbria" w:eastAsia="Arial Unicode MS" w:hAnsi="Cambria" w:cs="Arial"/>
          <w:sz w:val="20"/>
          <w:szCs w:val="20"/>
          <w:bdr w:val="none" w:sz="0" w:space="0" w:color="auto"/>
          <w:lang w:val="es-CO" w:eastAsia="en-US"/>
        </w:rPr>
      </w:pPr>
    </w:p>
    <w:p w14:paraId="438D1F6A" w14:textId="77777777" w:rsidR="00222489" w:rsidRPr="00D02BFE" w:rsidRDefault="00F8071B" w:rsidP="00222489">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mbria" w:eastAsia="Arial Unicode MS" w:hAnsi="Cambria" w:cs="Arial"/>
          <w:sz w:val="20"/>
          <w:szCs w:val="20"/>
          <w:bdr w:val="none" w:sz="0" w:space="0" w:color="auto"/>
          <w:lang w:val="es-CO" w:eastAsia="en-US"/>
        </w:rPr>
      </w:pPr>
      <w:r w:rsidRPr="00D02BFE">
        <w:rPr>
          <w:rFonts w:ascii="Cambria" w:hAnsi="Cambria"/>
          <w:sz w:val="20"/>
          <w:szCs w:val="20"/>
        </w:rPr>
        <w:t xml:space="preserve">Plan de choque para la mitigación de los riesgos a los que están expuestas las personas defensoras de derechos humanos articulado a través de una instancia de alto nivel, conformada por la Consejería Presidencial para los DDHH y Asuntos Internacionales, el Ministerio de Defensa Nacional, el Ministerio del </w:t>
      </w:r>
      <w:r w:rsidRPr="00D02BFE">
        <w:rPr>
          <w:rFonts w:ascii="Cambria" w:hAnsi="Cambria"/>
          <w:sz w:val="20"/>
          <w:szCs w:val="20"/>
        </w:rPr>
        <w:lastRenderedPageBreak/>
        <w:t>Interior, la Unidad Nacional de Protección, la Consejería de Seguridad y la Consejería de Gestión y Cumplimiento, quien lo preside con acciones a corto plazo</w:t>
      </w:r>
      <w:r w:rsidR="00222489" w:rsidRPr="00D02BFE">
        <w:rPr>
          <w:rFonts w:ascii="Cambria" w:hAnsi="Cambria"/>
          <w:sz w:val="20"/>
          <w:szCs w:val="20"/>
        </w:rPr>
        <w:t xml:space="preserve"> con los siguientes avances: </w:t>
      </w:r>
    </w:p>
    <w:p w14:paraId="17FAF469" w14:textId="77777777" w:rsidR="00222489" w:rsidRPr="00D02BFE" w:rsidRDefault="00222489" w:rsidP="00222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20"/>
        <w:jc w:val="both"/>
        <w:rPr>
          <w:rFonts w:ascii="Cambria" w:eastAsia="Cambria" w:hAnsi="Cambria" w:cs="Cambria"/>
          <w:sz w:val="20"/>
          <w:szCs w:val="20"/>
          <w:lang w:val="es-ES_tradnl"/>
        </w:rPr>
      </w:pPr>
    </w:p>
    <w:p w14:paraId="117F1DE3" w14:textId="77777777" w:rsidR="00222489" w:rsidRPr="00D02BFE" w:rsidRDefault="00222489" w:rsidP="00222489">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Cambria" w:hAnsi="Cambria" w:cs="Cambria"/>
          <w:sz w:val="20"/>
          <w:szCs w:val="20"/>
          <w:lang w:val="es-ES_tradnl"/>
        </w:rPr>
        <w:t xml:space="preserve">Prevención: El Estado identificó 28 municipios en 7 regiones para formular un plan de prevención en cada uno. Entre octubre y noviembre de 2020, el Ministerio del Interior visitó los lugares para elaborar un diagnóstico. El eje incluyó sesiones con el PAO, CIPRAT, UNP y Defensoría del Pueblo. Informó que los planes serían aplicados entre diciembre de 2020 y mayo de 2021. </w:t>
      </w:r>
    </w:p>
    <w:p w14:paraId="54AA5AB7" w14:textId="77777777" w:rsidR="00222489" w:rsidRPr="00D02BFE" w:rsidRDefault="00222489" w:rsidP="00222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848"/>
        <w:jc w:val="both"/>
        <w:rPr>
          <w:rFonts w:ascii="Cambria" w:eastAsia="Arial Unicode MS" w:hAnsi="Cambria" w:cs="Arial"/>
          <w:sz w:val="20"/>
          <w:szCs w:val="20"/>
          <w:bdr w:val="none" w:sz="0" w:space="0" w:color="auto"/>
          <w:lang w:val="es-CO" w:eastAsia="en-US"/>
        </w:rPr>
      </w:pPr>
    </w:p>
    <w:p w14:paraId="266702BD" w14:textId="77777777" w:rsidR="00222489" w:rsidRPr="00D02BFE" w:rsidRDefault="00222489" w:rsidP="00222489">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Cambria" w:hAnsi="Cambria" w:cs="Cambria"/>
          <w:sz w:val="20"/>
          <w:szCs w:val="20"/>
          <w:lang w:val="es-ES_tradnl"/>
        </w:rPr>
        <w:t>Justicia: El Estado manifestó que distintas entidades se han articulado para crear juzgados penales que se encarguen de judicializar las agresiones contra las personas defensoras. El Ministerio de Hacienda dispuso una partida presupuestal para crear 13 juzgados del circuito especializados en 2021, con el objetivo de que, en 2022, el número incremente a 19 juzgados. Según la Rama Judicial, los juzgados conocerán de homicidios en personas protegidas, lo cual incluye a personas defensoras y a excombatientes de las FARC.</w:t>
      </w:r>
    </w:p>
    <w:p w14:paraId="58E0C17C" w14:textId="77777777" w:rsidR="00222489" w:rsidRPr="00D02BFE" w:rsidRDefault="00222489" w:rsidP="00222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mbria" w:eastAsia="Arial Unicode MS" w:hAnsi="Cambria" w:cs="Arial"/>
          <w:sz w:val="20"/>
          <w:szCs w:val="20"/>
          <w:bdr w:val="none" w:sz="0" w:space="0" w:color="auto"/>
          <w:lang w:val="es-CO" w:eastAsia="en-US"/>
        </w:rPr>
      </w:pPr>
    </w:p>
    <w:p w14:paraId="416B8E0F" w14:textId="77777777" w:rsidR="00222489" w:rsidRPr="00D02BFE" w:rsidRDefault="00222489" w:rsidP="00222489">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Cambria" w:hAnsi="Cambria" w:cs="Cambria"/>
          <w:sz w:val="20"/>
          <w:szCs w:val="20"/>
          <w:lang w:val="es-ES_tradnl"/>
        </w:rPr>
        <w:t xml:space="preserve">Cultura: Estas medidas están dirigidas a exaltar la labor de defensa de derechos humanos y a evitar su estigmatización. Se crearon pactos ciudadanos en 7 departamentos: Antioquia, Caquetá, Chocó, Córdoba, Nariño, Putumayo y Valle del Cauca. El Ministerio del Interior informó el lanzamiento de la campaña “Líder es Colombia” en agosto de 2021 que contará con difusión amplia en medios de comunicación y que contará con piezas audiovisuales, de comunicación, gráficas, entre otras. También señaló que se prevé, para finales de 2021, 6 foros denominados “Construyendo liderazgo para la defensa de los derechos humanos” realizados. </w:t>
      </w:r>
    </w:p>
    <w:p w14:paraId="5635B163" w14:textId="77777777" w:rsidR="00222489" w:rsidRPr="00D02BFE" w:rsidRDefault="00222489" w:rsidP="00222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mbria" w:eastAsia="Arial Unicode MS" w:hAnsi="Cambria" w:cs="Arial"/>
          <w:sz w:val="20"/>
          <w:szCs w:val="20"/>
          <w:bdr w:val="none" w:sz="0" w:space="0" w:color="auto"/>
          <w:lang w:val="es-CO" w:eastAsia="en-US"/>
        </w:rPr>
      </w:pPr>
    </w:p>
    <w:p w14:paraId="64E2F7EE" w14:textId="77777777" w:rsidR="00222489" w:rsidRPr="00D02BFE" w:rsidRDefault="00222489" w:rsidP="00222489">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spacing w:after="0" w:line="240" w:lineRule="auto"/>
        <w:ind w:left="720"/>
        <w:jc w:val="both"/>
        <w:rPr>
          <w:rFonts w:ascii="Cambria" w:eastAsia="Arial Unicode MS" w:hAnsi="Cambria" w:cs="Arial"/>
          <w:sz w:val="20"/>
          <w:szCs w:val="20"/>
          <w:bdr w:val="none" w:sz="0" w:space="0" w:color="auto"/>
          <w:lang w:val="es-CO" w:eastAsia="en-US"/>
        </w:rPr>
      </w:pPr>
      <w:r w:rsidRPr="00D02BFE">
        <w:rPr>
          <w:rFonts w:ascii="Cambria" w:eastAsia="Cambria" w:hAnsi="Cambria" w:cs="Cambria"/>
          <w:sz w:val="20"/>
          <w:szCs w:val="20"/>
          <w:lang w:val="es-ES_tradnl"/>
        </w:rPr>
        <w:t xml:space="preserve">Fortalecimiento de capacidades de organizaciones sociales y del tejido social:  El Ministerio del Interior manifestó que aplicará una encuesta de caracterización de líderes y organizaciones sociales que, en su etapa piloto, será realizada en Cauca, para identificar las barreras y necesidades en los territorios. También señaló que el Ministerio del Interior y de Salud y Protección Social están elaborando una estrategia en materia de salud mental dirigido a personas defensoras que se aplicará, como proyecto Piloto, en Huila. Adicionalmente, informó que fortalecerán los conocimientos de organizaciones a través de: </w:t>
      </w:r>
    </w:p>
    <w:p w14:paraId="724E64E9" w14:textId="77777777" w:rsidR="00222489" w:rsidRPr="00D02BFE" w:rsidRDefault="00222489" w:rsidP="00222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mbria" w:eastAsia="Arial Unicode MS" w:hAnsi="Cambria" w:cs="Arial"/>
          <w:sz w:val="20"/>
          <w:szCs w:val="20"/>
          <w:bdr w:val="none" w:sz="0" w:space="0" w:color="auto"/>
          <w:lang w:val="es-CO" w:eastAsia="en-US"/>
        </w:rPr>
      </w:pPr>
    </w:p>
    <w:p w14:paraId="44823DB9" w14:textId="77777777" w:rsidR="00222489" w:rsidRPr="00D02BFE" w:rsidRDefault="00222489" w:rsidP="00222489">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1080"/>
        <w:jc w:val="both"/>
        <w:rPr>
          <w:rFonts w:ascii="Cambria" w:eastAsia="Arial Unicode MS" w:hAnsi="Cambria" w:cs="Arial"/>
          <w:sz w:val="20"/>
          <w:szCs w:val="20"/>
          <w:bdr w:val="none" w:sz="0" w:space="0" w:color="auto"/>
          <w:lang w:val="es-CO" w:eastAsia="en-US"/>
        </w:rPr>
      </w:pPr>
      <w:r w:rsidRPr="00D02BFE">
        <w:rPr>
          <w:rFonts w:ascii="Cambria" w:eastAsia="Cambria" w:hAnsi="Cambria" w:cs="Cambria"/>
          <w:sz w:val="20"/>
          <w:szCs w:val="20"/>
          <w:lang w:val="es-ES_tradnl"/>
        </w:rPr>
        <w:t xml:space="preserve">9 diplomados relacionados con la defensa de derechos humanos y 2 cursos en derechos humanos y paz: Al momento hay 600 personas vinculadas de zonas apartadas de Norte de Santander, Cauca, Antioquia y Valle del Cauca y también serán incluidos 200 líderes del Programa Nacional Integral de Sustitución de Cultivos Ilícitos. </w:t>
      </w:r>
    </w:p>
    <w:p w14:paraId="5386BE71" w14:textId="77777777" w:rsidR="00222489" w:rsidRPr="00D02BFE" w:rsidRDefault="00222489" w:rsidP="00222489">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1080"/>
        <w:jc w:val="both"/>
        <w:rPr>
          <w:rFonts w:ascii="Cambria" w:eastAsia="Arial Unicode MS" w:hAnsi="Cambria" w:cs="Arial"/>
          <w:sz w:val="20"/>
          <w:szCs w:val="20"/>
          <w:bdr w:val="none" w:sz="0" w:space="0" w:color="auto"/>
          <w:lang w:val="es-CO" w:eastAsia="en-US"/>
        </w:rPr>
      </w:pPr>
      <w:r w:rsidRPr="00D02BFE">
        <w:rPr>
          <w:rFonts w:ascii="Cambria" w:eastAsia="Cambria" w:hAnsi="Cambria" w:cs="Cambria"/>
          <w:sz w:val="20"/>
          <w:szCs w:val="20"/>
          <w:lang w:val="es-ES_tradnl"/>
        </w:rPr>
        <w:t xml:space="preserve">2 talleres de autoprotección y autocuidado a mujeres: Al momento se han capacitado a 50 defensoras de Norte de Santander y Chocó. </w:t>
      </w:r>
    </w:p>
    <w:p w14:paraId="7344E5E4" w14:textId="77777777" w:rsidR="00EC2D4A" w:rsidRPr="00D02BFE" w:rsidRDefault="00EC2D4A" w:rsidP="00222489">
      <w:pPr>
        <w:spacing w:after="0" w:line="240" w:lineRule="auto"/>
        <w:ind w:left="720"/>
        <w:jc w:val="both"/>
        <w:rPr>
          <w:rFonts w:ascii="Cambria" w:eastAsia="Cambria" w:hAnsi="Cambria" w:cs="Cambria"/>
          <w:sz w:val="20"/>
          <w:szCs w:val="20"/>
          <w:lang w:val="es-ES_tradnl"/>
        </w:rPr>
      </w:pPr>
    </w:p>
    <w:p w14:paraId="35344ACC" w14:textId="77777777" w:rsidR="009760FF" w:rsidRPr="00D02BFE" w:rsidRDefault="00EC2D4A" w:rsidP="00F8071B">
      <w:pPr>
        <w:numPr>
          <w:ilvl w:val="0"/>
          <w:numId w:val="41"/>
        </w:numPr>
        <w:spacing w:after="0" w:line="240" w:lineRule="auto"/>
        <w:jc w:val="both"/>
        <w:rPr>
          <w:rFonts w:ascii="Cambria" w:eastAsia="Cambria" w:hAnsi="Cambria" w:cs="Cambria"/>
          <w:sz w:val="20"/>
          <w:szCs w:val="20"/>
          <w:lang w:val="es-ES_tradnl"/>
        </w:rPr>
      </w:pPr>
      <w:r w:rsidRPr="00D02BFE">
        <w:rPr>
          <w:rFonts w:ascii="Cambria" w:hAnsi="Cambria"/>
          <w:sz w:val="20"/>
          <w:szCs w:val="20"/>
        </w:rPr>
        <w:t xml:space="preserve">Campaña “LíderEs Colombia” lanzada el 25 de agosto de 2021 que materializa acciones para promover la no estigmatización de personas defensoras y líderes y lideresas sociales, como estrategia de comunicación. Incluyó al momento comercial de televisión, acciones en redes sociales, 39 piezas gráficas y 8 podcast. </w:t>
      </w:r>
      <w:r w:rsidR="00F8071B" w:rsidRPr="00D02BFE">
        <w:rPr>
          <w:rFonts w:ascii="Cambria" w:hAnsi="Cambria"/>
          <w:sz w:val="20"/>
          <w:szCs w:val="20"/>
        </w:rPr>
        <w:t xml:space="preserve"> </w:t>
      </w:r>
    </w:p>
    <w:p w14:paraId="32264E66" w14:textId="77777777" w:rsidR="00222489" w:rsidRPr="00D02BFE" w:rsidRDefault="00222489" w:rsidP="00222489">
      <w:pPr>
        <w:spacing w:after="0" w:line="240" w:lineRule="auto"/>
        <w:ind w:left="720"/>
        <w:jc w:val="both"/>
        <w:rPr>
          <w:rFonts w:ascii="Cambria" w:eastAsia="Cambria" w:hAnsi="Cambria" w:cs="Cambria"/>
          <w:sz w:val="20"/>
          <w:szCs w:val="20"/>
          <w:lang w:val="es-ES_tradnl"/>
        </w:rPr>
      </w:pPr>
    </w:p>
    <w:p w14:paraId="029A742D" w14:textId="77777777" w:rsidR="004A0D2D" w:rsidRPr="00D02BFE" w:rsidRDefault="004A0D2D" w:rsidP="004A0D2D">
      <w:pPr>
        <w:numPr>
          <w:ilvl w:val="0"/>
          <w:numId w:val="41"/>
        </w:numPr>
        <w:spacing w:after="0" w:line="240" w:lineRule="auto"/>
        <w:jc w:val="both"/>
        <w:rPr>
          <w:rFonts w:ascii="Cambria" w:eastAsia="Arial Unicode MS" w:hAnsi="Cambria" w:cs="Arial"/>
          <w:sz w:val="20"/>
          <w:szCs w:val="20"/>
          <w:bdr w:val="none" w:sz="0" w:space="0" w:color="auto"/>
          <w:lang w:val="es-CO" w:eastAsia="en-US"/>
        </w:rPr>
      </w:pPr>
      <w:r w:rsidRPr="00D02BFE">
        <w:rPr>
          <w:rFonts w:ascii="Cambria" w:eastAsia="Arial Unicode MS" w:hAnsi="Cambria" w:cs="Arial"/>
          <w:sz w:val="20"/>
          <w:szCs w:val="20"/>
          <w:bdr w:val="none" w:sz="0" w:space="0" w:color="auto"/>
          <w:lang w:val="es-CO" w:eastAsia="en-US"/>
        </w:rPr>
        <w:t xml:space="preserve">Programa de Promotores de Paz y Convivencia (artículo 15 del Decreto 895 de 2017): Con dos sesiones llevadas a cabo en 2020 por su Comité. </w:t>
      </w:r>
    </w:p>
    <w:p w14:paraId="7A67A302" w14:textId="77777777" w:rsidR="004A0D2D" w:rsidRPr="00D02BFE" w:rsidRDefault="004A0D2D" w:rsidP="004A0D2D">
      <w:pPr>
        <w:spacing w:after="0" w:line="240" w:lineRule="auto"/>
        <w:ind w:left="720"/>
        <w:jc w:val="both"/>
        <w:rPr>
          <w:rFonts w:ascii="Cambria" w:eastAsia="Cambria" w:hAnsi="Cambria" w:cs="Cambria"/>
          <w:sz w:val="20"/>
          <w:szCs w:val="20"/>
          <w:lang w:val="es-ES_tradnl"/>
        </w:rPr>
      </w:pPr>
    </w:p>
    <w:p w14:paraId="74E57A90" w14:textId="77777777" w:rsidR="00CA6212" w:rsidRPr="00D02BFE" w:rsidRDefault="00CA6212" w:rsidP="00CA6212">
      <w:pPr>
        <w:spacing w:after="0" w:line="240" w:lineRule="auto"/>
        <w:ind w:left="720"/>
        <w:jc w:val="both"/>
        <w:rPr>
          <w:rFonts w:ascii="Cambria" w:eastAsia="Cambria" w:hAnsi="Cambria" w:cs="Cambria"/>
          <w:sz w:val="20"/>
          <w:szCs w:val="20"/>
          <w:lang w:val="es-ES_tradnl"/>
        </w:rPr>
      </w:pPr>
    </w:p>
    <w:p w14:paraId="229BDA61" w14:textId="77777777" w:rsidR="00F368A3" w:rsidRPr="00D02BFE" w:rsidRDefault="00F368A3" w:rsidP="00F368A3">
      <w:pPr>
        <w:spacing w:after="0" w:line="240" w:lineRule="auto"/>
        <w:jc w:val="both"/>
        <w:rPr>
          <w:rFonts w:ascii="Cambria" w:eastAsia="Cambria" w:hAnsi="Cambria" w:cs="Cambria"/>
          <w:i/>
          <w:iCs/>
          <w:sz w:val="20"/>
          <w:szCs w:val="20"/>
          <w:lang w:val="es-ES_tradnl"/>
        </w:rPr>
      </w:pPr>
      <w:r w:rsidRPr="00D02BFE">
        <w:rPr>
          <w:rFonts w:ascii="Cambria" w:eastAsia="Cambria" w:hAnsi="Cambria" w:cs="Cambria"/>
          <w:i/>
          <w:iCs/>
          <w:sz w:val="20"/>
          <w:szCs w:val="20"/>
          <w:lang w:val="es-ES_tradnl"/>
        </w:rPr>
        <w:t>Fortalecimiento institucional</w:t>
      </w:r>
    </w:p>
    <w:p w14:paraId="50157CA6" w14:textId="77777777" w:rsidR="00E42BD1" w:rsidRPr="00D02BFE" w:rsidRDefault="00F368A3" w:rsidP="00126D3E">
      <w:pPr>
        <w:numPr>
          <w:ilvl w:val="0"/>
          <w:numId w:val="30"/>
        </w:numPr>
        <w:spacing w:after="0" w:line="240" w:lineRule="auto"/>
        <w:ind w:left="720"/>
        <w:jc w:val="both"/>
        <w:rPr>
          <w:rFonts w:ascii="Cambria" w:eastAsia="Cambria" w:hAnsi="Cambria" w:cs="Cambria"/>
          <w:sz w:val="20"/>
          <w:szCs w:val="20"/>
          <w:lang w:val="es-ES_tradnl"/>
        </w:rPr>
      </w:pPr>
      <w:r w:rsidRPr="00D02BFE">
        <w:rPr>
          <w:rFonts w:ascii="Cambria" w:eastAsia="Cambria" w:hAnsi="Cambria" w:cs="Cambria"/>
          <w:sz w:val="20"/>
          <w:szCs w:val="20"/>
          <w:lang w:val="es-ES_tradnl"/>
        </w:rPr>
        <w:t>Creación de la Unidad Nacional de Protección a través del Decreto Ley 4065 de 2011</w:t>
      </w:r>
      <w:r w:rsidR="00B11836" w:rsidRPr="00D02BFE">
        <w:rPr>
          <w:rFonts w:ascii="Cambria" w:eastAsia="Cambria" w:hAnsi="Cambria" w:cs="Cambria"/>
          <w:sz w:val="20"/>
          <w:szCs w:val="20"/>
          <w:lang w:val="es-ES_tradnl"/>
        </w:rPr>
        <w:t xml:space="preserve">, con </w:t>
      </w:r>
      <w:r w:rsidR="005B406F" w:rsidRPr="00D02BFE">
        <w:rPr>
          <w:rFonts w:ascii="Cambria" w:hAnsi="Cambria"/>
          <w:sz w:val="20"/>
          <w:szCs w:val="20"/>
          <w:lang w:val="es-CO"/>
        </w:rPr>
        <w:t>programa especial para garantizar</w:t>
      </w:r>
      <w:r w:rsidR="00B11836" w:rsidRPr="00D02BFE">
        <w:rPr>
          <w:rFonts w:ascii="Cambria" w:hAnsi="Cambria"/>
          <w:sz w:val="20"/>
          <w:szCs w:val="20"/>
          <w:lang w:val="es-CO"/>
        </w:rPr>
        <w:t xml:space="preserve"> derechos de personas </w:t>
      </w:r>
      <w:r w:rsidR="005B406F" w:rsidRPr="00D02BFE">
        <w:rPr>
          <w:rFonts w:ascii="Cambria" w:hAnsi="Cambria"/>
          <w:sz w:val="20"/>
          <w:szCs w:val="20"/>
          <w:lang w:val="es-CO"/>
        </w:rPr>
        <w:t xml:space="preserve">dirigentes, activistas o representantes de organizaciones de índole social, política, cívica; a líderes y activistas de organizaciones de mujeres, indígenas, afrocolombianos, raizales, palenqueras, LGTBI, periodistas y comunicadores sociales; a víctimas del conflicto armado incluyendo reclamantes de tierras y a líderes ambientalistas, entre otros. </w:t>
      </w:r>
    </w:p>
    <w:p w14:paraId="635BDC19" w14:textId="77777777" w:rsidR="00E42BD1" w:rsidRPr="00D02BFE" w:rsidRDefault="005B406F" w:rsidP="00126D3E">
      <w:pPr>
        <w:spacing w:after="0" w:line="240" w:lineRule="auto"/>
        <w:ind w:left="720"/>
        <w:jc w:val="both"/>
        <w:rPr>
          <w:rFonts w:ascii="Cambria" w:hAnsi="Cambria"/>
          <w:sz w:val="20"/>
          <w:szCs w:val="20"/>
          <w:lang w:val="es-CO"/>
        </w:rPr>
      </w:pPr>
      <w:r w:rsidRPr="00D02BFE">
        <w:rPr>
          <w:rFonts w:ascii="Cambria" w:hAnsi="Cambria"/>
          <w:sz w:val="20"/>
          <w:szCs w:val="20"/>
          <w:lang w:val="es-CO"/>
        </w:rPr>
        <w:t xml:space="preserve">Las cifras de medidas de protección implementadas al 29 de julio de 2020 </w:t>
      </w:r>
      <w:r w:rsidR="003E31A3" w:rsidRPr="00D02BFE">
        <w:rPr>
          <w:rFonts w:ascii="Cambria" w:hAnsi="Cambria"/>
          <w:sz w:val="20"/>
          <w:szCs w:val="20"/>
          <w:lang w:val="es-CO"/>
        </w:rPr>
        <w:t>respecto a distintos tipos de riesgos son</w:t>
      </w:r>
      <w:r w:rsidR="00635A95" w:rsidRPr="00D02BFE">
        <w:rPr>
          <w:rFonts w:ascii="Cambria" w:hAnsi="Cambria"/>
          <w:sz w:val="20"/>
          <w:szCs w:val="20"/>
          <w:lang w:val="es-CO"/>
        </w:rPr>
        <w:t xml:space="preserve">: 4994 </w:t>
      </w:r>
      <w:r w:rsidR="003E31A3" w:rsidRPr="00D02BFE">
        <w:rPr>
          <w:rFonts w:ascii="Cambria" w:hAnsi="Cambria"/>
          <w:sz w:val="20"/>
          <w:szCs w:val="20"/>
          <w:lang w:val="es-CO"/>
        </w:rPr>
        <w:t xml:space="preserve">beneficiarios con medidas; 2355 beneficiarios con medidas duras; 2639 beneficiarios con medidas blandas; 5201 medios de comunicación; 4410 chalecos de protección; 1018 </w:t>
      </w:r>
      <w:r w:rsidR="003E31A3" w:rsidRPr="00D02BFE">
        <w:rPr>
          <w:rFonts w:ascii="Cambria" w:hAnsi="Cambria"/>
          <w:sz w:val="20"/>
          <w:szCs w:val="20"/>
          <w:lang w:val="es-CO"/>
        </w:rPr>
        <w:lastRenderedPageBreak/>
        <w:t>botones de apoyo; 4290 hombres de protección; 924 vehículos convencionales; 848 vehículos blindados, y 85 beneficiarios con enfoque diferencial</w:t>
      </w:r>
      <w:r w:rsidR="00635A95" w:rsidRPr="00D02BFE">
        <w:rPr>
          <w:rFonts w:ascii="Cambria" w:hAnsi="Cambria"/>
          <w:sz w:val="20"/>
          <w:szCs w:val="20"/>
          <w:lang w:val="es-CO"/>
        </w:rPr>
        <w:t xml:space="preserve">. </w:t>
      </w:r>
    </w:p>
    <w:p w14:paraId="56178538" w14:textId="77777777" w:rsidR="007764DD" w:rsidRPr="00D02BFE" w:rsidRDefault="00F368A3" w:rsidP="00126D3E">
      <w:pPr>
        <w:numPr>
          <w:ilvl w:val="0"/>
          <w:numId w:val="30"/>
        </w:numPr>
        <w:spacing w:after="0" w:line="240" w:lineRule="auto"/>
        <w:ind w:left="720"/>
        <w:jc w:val="both"/>
        <w:rPr>
          <w:rFonts w:ascii="Cambria" w:eastAsia="Cambria" w:hAnsi="Cambria" w:cs="Cambria"/>
          <w:sz w:val="20"/>
          <w:szCs w:val="20"/>
          <w:lang w:val="es-ES_tradnl"/>
        </w:rPr>
      </w:pPr>
      <w:r w:rsidRPr="00D02BFE">
        <w:rPr>
          <w:rFonts w:ascii="Cambria" w:hAnsi="Cambria"/>
          <w:sz w:val="20"/>
          <w:szCs w:val="20"/>
          <w:lang w:val="es-CO"/>
        </w:rPr>
        <w:t>Creación del CERREM para Mujeres mediante Resolución 805 de 2012 que incorporó sustantivamente el enfoque de género para proteger mujeres en riesgo</w:t>
      </w:r>
      <w:r w:rsidR="00665158" w:rsidRPr="00D02BFE">
        <w:rPr>
          <w:rFonts w:ascii="Cambria" w:hAnsi="Cambria"/>
          <w:sz w:val="20"/>
          <w:szCs w:val="20"/>
          <w:lang w:val="es-CO"/>
        </w:rPr>
        <w:t xml:space="preserve">: 5 sesiones realizadas en 2019 con 178 casos estudiados; </w:t>
      </w:r>
      <w:r w:rsidR="00583571" w:rsidRPr="00D02BFE">
        <w:rPr>
          <w:rFonts w:ascii="Cambria" w:hAnsi="Cambria"/>
          <w:sz w:val="20"/>
          <w:szCs w:val="20"/>
          <w:lang w:val="es-CO"/>
        </w:rPr>
        <w:t>8 sesiones realizadas hasta principios del 2020 con 184 casos estudiados.</w:t>
      </w:r>
    </w:p>
    <w:p w14:paraId="5F5EA2E3" w14:textId="77777777" w:rsidR="00222489" w:rsidRPr="00D02BFE" w:rsidRDefault="00F368A3" w:rsidP="00126D3E">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Creación del Comité de Evaluación de Riesgo y Recomendación de medidas colectivas (CERREM) para reforzar la protección a grupos y comunidades previsto en el Decreto 1066 de 2015 para valorar el riesgo de manera intergral, así como la recomendación de medidas de protección y complementarias.</w:t>
      </w:r>
    </w:p>
    <w:p w14:paraId="4C9BCDBC" w14:textId="77777777" w:rsidR="00222489" w:rsidRPr="00D02BFE" w:rsidRDefault="00F368A3"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Protocolo para implementar la ruta de protección colectiva del Programa de Prevención y Protección (Resolución 1085 de 2015) que prevé la prevención temprana desde una perspectiva colectiva y el reconocimiento de las particularidades territoriales y poblacionales de los sujetos de protección en la identificación de los diferentes factores de riesgo y de las posibles medidas a adoptar</w:t>
      </w:r>
      <w:r w:rsidR="00222489" w:rsidRPr="00D02BFE">
        <w:rPr>
          <w:rFonts w:ascii="Cambria" w:hAnsi="Cambria"/>
          <w:sz w:val="20"/>
          <w:szCs w:val="20"/>
        </w:rPr>
        <w:t>.</w:t>
      </w:r>
    </w:p>
    <w:p w14:paraId="10307506" w14:textId="77777777" w:rsidR="00222489" w:rsidRPr="00D02BFE" w:rsidRDefault="009760FF"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Estrategia “SE BUSCA” mediante la que el Cuerpo Élite de la Policía ha capturado, con el concurso de las Fuerzas Militares, a 14 de las 31 personas más buscadas por atentar material o intelectualmente contra la vida e integridad de personas defensoras de derechos humanos.</w:t>
      </w:r>
    </w:p>
    <w:p w14:paraId="2E0624D9" w14:textId="77777777" w:rsidR="00222489" w:rsidRPr="00D02BFE" w:rsidRDefault="00052D34"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“Red de Reacción Inmediata” del Ministerio del Interior dirigido a fortalecer los canales institucionales y mejorar las capacidades de respuesta ante las amenazas y los riesgos que se derivan de las situaciones de conflicto en el territorio nacional.</w:t>
      </w:r>
    </w:p>
    <w:p w14:paraId="3CC05F1E" w14:textId="77777777" w:rsidR="00222489" w:rsidRPr="00D02BFE" w:rsidRDefault="00052D34"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 xml:space="preserve">Directiva Operativa Permanente No. 013 “Parámetros de actuación policial de la Estrategia ESPOV”, en la cual se fijan directrices y parámetros de actuación policial con enfoque en acciones institucionales sobre las 23 tipologías de liderazgo social. Se emitió en el marco de la Estrategia de Protección a Poblaciones en Situación de Vulnerabilidad (ESPOV). </w:t>
      </w:r>
      <w:r w:rsidRPr="00D02BFE">
        <w:rPr>
          <w:rFonts w:ascii="Cambria" w:hAnsi="Cambria"/>
          <w:sz w:val="20"/>
          <w:szCs w:val="20"/>
          <w:lang w:val="es-CO"/>
        </w:rPr>
        <w:t xml:space="preserve">Como resultado, la Policía Nacional ha adoptado en </w:t>
      </w:r>
      <w:r w:rsidR="00B11836" w:rsidRPr="00D02BFE">
        <w:rPr>
          <w:rFonts w:ascii="Cambria" w:hAnsi="Cambria"/>
          <w:sz w:val="20"/>
          <w:szCs w:val="20"/>
          <w:lang w:val="es-CO"/>
        </w:rPr>
        <w:t xml:space="preserve">todos </w:t>
      </w:r>
      <w:r w:rsidRPr="00D02BFE">
        <w:rPr>
          <w:rFonts w:ascii="Cambria" w:hAnsi="Cambria"/>
          <w:sz w:val="20"/>
          <w:szCs w:val="20"/>
          <w:lang w:val="es-CO"/>
        </w:rPr>
        <w:t>los departamentos y en 459 municipios, 3.632 acciones preventivas (1.775 campañas y programas en favor de población vulnerable; 672 patrullajes y medidas de autoprotección; 554 interlocuciones con líderes; 369 consejos tácticos de Derechos Humanos en las unidades y 262 rutas de protección activadas).</w:t>
      </w:r>
    </w:p>
    <w:p w14:paraId="3B0DC3E9" w14:textId="77777777" w:rsidR="000533A4" w:rsidRPr="00D02BFE" w:rsidRDefault="000533A4" w:rsidP="003E31A3">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37.062 policiales capacitados en materia de derechos humanos, protección a población en situación de vulnerabilidad y enfoque diferencial (los beneficiarios integran cuadrantes, coordinaciones de Derechos Humanos y especialidades de Inteligencia, Investigación Criminal, Protección e Infancia y Adolescencia).</w:t>
      </w:r>
    </w:p>
    <w:p w14:paraId="1A219C76" w14:textId="77777777" w:rsidR="00222489" w:rsidRPr="00D02BFE" w:rsidRDefault="006D2786" w:rsidP="00126D3E">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 xml:space="preserve">Sistema de Alertas Tempranas </w:t>
      </w:r>
      <w:r w:rsidRPr="00D02BFE">
        <w:rPr>
          <w:rFonts w:ascii="Cambria" w:hAnsi="Cambria"/>
          <w:sz w:val="20"/>
          <w:szCs w:val="20"/>
          <w:lang w:val="es-CO"/>
        </w:rPr>
        <w:t xml:space="preserve">(SAT) </w:t>
      </w:r>
      <w:r w:rsidR="00937F2B" w:rsidRPr="00D02BFE">
        <w:rPr>
          <w:rFonts w:ascii="Cambria" w:hAnsi="Cambria"/>
          <w:sz w:val="20"/>
          <w:szCs w:val="20"/>
          <w:lang w:val="es-CO"/>
        </w:rPr>
        <w:t xml:space="preserve">creado en 2001 y dirigida, desde el 2003, por </w:t>
      </w:r>
      <w:r w:rsidR="00937F2B" w:rsidRPr="00D02BFE">
        <w:rPr>
          <w:rFonts w:ascii="Cambria" w:hAnsi="Cambria"/>
          <w:sz w:val="20"/>
          <w:szCs w:val="20"/>
        </w:rPr>
        <w:t>la Defensoría Delegada para la Evaluación de Riesgos de la Población Civil como Consecuencia del Conflicto Armado</w:t>
      </w:r>
      <w:r w:rsidR="00937F2B" w:rsidRPr="00D02BFE">
        <w:rPr>
          <w:rFonts w:ascii="Cambria" w:hAnsi="Cambria"/>
          <w:sz w:val="20"/>
          <w:szCs w:val="20"/>
          <w:lang w:val="es-CO"/>
        </w:rPr>
        <w:t xml:space="preserve"> (desde antes, el sistema ya se había</w:t>
      </w:r>
      <w:r w:rsidRPr="00D02BFE">
        <w:rPr>
          <w:rFonts w:ascii="Cambria" w:hAnsi="Cambria"/>
          <w:sz w:val="20"/>
          <w:szCs w:val="20"/>
        </w:rPr>
        <w:t xml:space="preserve"> constitu</w:t>
      </w:r>
      <w:r w:rsidR="00937F2B" w:rsidRPr="00D02BFE">
        <w:rPr>
          <w:rFonts w:ascii="Cambria" w:hAnsi="Cambria"/>
          <w:sz w:val="20"/>
          <w:szCs w:val="20"/>
        </w:rPr>
        <w:t>ido</w:t>
      </w:r>
      <w:r w:rsidRPr="00D02BFE">
        <w:rPr>
          <w:rFonts w:ascii="Cambria" w:hAnsi="Cambria"/>
          <w:sz w:val="20"/>
          <w:szCs w:val="20"/>
        </w:rPr>
        <w:t xml:space="preserve"> como una Comisión al interior de la Defensoría del Pueblo que documentaba las vulneraciones cometidas por los diversos actores</w:t>
      </w:r>
      <w:r w:rsidR="00937F2B" w:rsidRPr="00D02BFE">
        <w:rPr>
          <w:rFonts w:ascii="Cambria" w:hAnsi="Cambria"/>
          <w:sz w:val="20"/>
          <w:szCs w:val="20"/>
        </w:rPr>
        <w:t xml:space="preserve">). </w:t>
      </w:r>
    </w:p>
    <w:p w14:paraId="167C140A" w14:textId="77777777" w:rsidR="00222489" w:rsidRPr="00D02BFE" w:rsidRDefault="00937F2B"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Comisión Intersectorial de Alertas Tempranas (CIAT) creada en 2002 para orientar y coordinar las acciones a desarrollar por distintas entidades nacionales, regionales y locales para evitar, controlar o mitigar el riesgo advertido por el SAT y brindar la protección necesaria. En 2017, la CIAT fue modificada en virtud del Decreto 2124 de 2017, creándose la Comisión Intersectorial de Respuesta y Reacción Rápida (CIPRAT) con la participación de las entidades territoriales y en respuesta al Acuerdo Final. La CIPRAT es la encargada de coordinar e impulsar medidas preventivas y de reacción rápida por parte de autoridades y entidades creada en el Decreto 2124 de 2017.</w:t>
      </w:r>
    </w:p>
    <w:p w14:paraId="31198DD0" w14:textId="77777777" w:rsidR="00222489" w:rsidRPr="00D02BFE" w:rsidRDefault="000C5331"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Comisión Nacional de Garantías de Seguridad (CNGS) creada por el Decreto 154 de 2017. El objetivo de la Comisión es el diseño y seguimiento de la Política Pública y Criminal en materia de desmantelamiento de las organizaciones criminales responsables de homicidios y masacres que atentan contra defensores de DDHH o movimientos sociales, con base en lo dispuesto en el Acuerdo Final para la Terminación del Conflicto y Construcción de una Paz Estable y Duradera.</w:t>
      </w:r>
    </w:p>
    <w:p w14:paraId="3C6237A9" w14:textId="77777777" w:rsidR="00222489" w:rsidRPr="00D02BFE" w:rsidRDefault="000C5331"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Creación del Cuerpo Élite de la Policía Nacional, Subdirección Especializada de la UNP (Decreto 300 de 2017) y la Unidad Especial de Investigación para el Desmantelamiento de las Organizaciones y Conductas Criminales de la FGN.</w:t>
      </w:r>
    </w:p>
    <w:p w14:paraId="1EFE12BB" w14:textId="77777777" w:rsidR="00222489" w:rsidRPr="00D02BFE" w:rsidRDefault="000C5331"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 xml:space="preserve">Espacios de interlocución entre distintos sectores: Comisión Consultiva de Alto Nivel, para comunidades afrocolombianas (mediante el Decreto 1371 de 1994 conforme al artículo 45 de la Ley 70 de 1993), el Comité Nacional de Derechos Humanos de los Pueblos Indígenas (mediante el Decreto 1396 de 1996 que además crea el programa especial de atención a los Pueblos Indígenas), la Comisión Interinstitucional para la Promoción y Protección de los Derechos Humanos de los Trabajadores (mediante el Decreto 1413 de 1997; el Decreto 1828 de 1998 le otorga carácter permanente), el Comité de Reglamentación y Evaluación de Riesgo (mediante el Decreto 1592 del 2000, </w:t>
      </w:r>
      <w:r w:rsidR="00E555B0" w:rsidRPr="00D02BFE">
        <w:rPr>
          <w:rFonts w:ascii="Cambria" w:hAnsi="Cambria"/>
          <w:sz w:val="20"/>
          <w:szCs w:val="20"/>
        </w:rPr>
        <w:t>el cual</w:t>
      </w:r>
      <w:r w:rsidRPr="00D02BFE">
        <w:rPr>
          <w:rFonts w:ascii="Cambria" w:hAnsi="Cambria"/>
          <w:sz w:val="20"/>
          <w:szCs w:val="20"/>
        </w:rPr>
        <w:t xml:space="preserve"> crea el Programa de Protección a Periodistas y Comunicadores </w:t>
      </w:r>
      <w:r w:rsidRPr="00D02BFE">
        <w:rPr>
          <w:rFonts w:ascii="Cambria" w:hAnsi="Cambria"/>
          <w:sz w:val="20"/>
          <w:szCs w:val="20"/>
        </w:rPr>
        <w:lastRenderedPageBreak/>
        <w:t>Sociales) y la Mesa de seguimiento a la implementación de las recomendaciones anuales de la Oficina del Alto Comisionado de las Naciones Unidas para los Derechos Humanos.</w:t>
      </w:r>
    </w:p>
    <w:p w14:paraId="14215C97" w14:textId="77777777" w:rsidR="00222489" w:rsidRPr="00D02BFE" w:rsidRDefault="00F23C8B"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Espacios que buscan garantizar la participación de la ciudadanía en asuntos relacionados con la protección de los DDHH y la prevención de sus vulneraciones: Comités Territoriales de Justicia Transicional (Creados por la Ley 1448 de 2011 y reglamentados por el Decreto 4800 de 2011); Subcomités Técnicos del Sistema Nacional de Atención y Reparación a las Víctimas (Creados por la Ley 1448 de 2011 y reglamentados por el Decreto 4800 de 2011); Mesa Regional Amazónica (Reglamentada por el Decreto 3012 de 2005); Comisión Nacional de diálogo del Grupo étnico Rom o Gitano (Creada por el Decreto 2957 de 2010); Instancia Especial de Alto Nivel de los Pueblos Étnicos (Reglamentado por el Decreto 1995 de 2016) y Comité de seguimiento a la Ley 1257</w:t>
      </w:r>
      <w:r w:rsidR="00126D3E" w:rsidRPr="00D02BFE">
        <w:rPr>
          <w:rFonts w:ascii="Cambria" w:hAnsi="Cambria"/>
          <w:sz w:val="20"/>
          <w:szCs w:val="20"/>
        </w:rPr>
        <w:t>.</w:t>
      </w:r>
    </w:p>
    <w:p w14:paraId="5EE9B95C" w14:textId="77777777" w:rsidR="00222489" w:rsidRPr="00D02BFE" w:rsidRDefault="00F23C8B"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Procedimiento para examinar las garantías que deben ofrecerse a los defensores de los DDHH con respecto a la realización de sus actividades establecido entre abril y mayo de 2009, acordado por el Gobierno, cuatro plataformas de DDHH y dieciséis sectores sociales, acordaron. En consecuencia, se estableció la Mesa Nacional de Garantías (MNG), junto con mesas regionales en catorce departamentos (PNUD, 2019). Los objetivos de la Mesa MNG</w:t>
      </w:r>
      <w:r w:rsidRPr="00D02BFE">
        <w:rPr>
          <w:rFonts w:ascii="Cambria" w:hAnsi="Cambria"/>
          <w:sz w:val="20"/>
          <w:szCs w:val="20"/>
          <w:lang w:val="es-CO"/>
        </w:rPr>
        <w:t xml:space="preserve"> son: </w:t>
      </w:r>
      <w:r w:rsidRPr="00D02BFE">
        <w:rPr>
          <w:rFonts w:ascii="Cambria" w:hAnsi="Cambria"/>
          <w:sz w:val="20"/>
          <w:szCs w:val="20"/>
        </w:rPr>
        <w:t xml:space="preserve">1) establecer un diálogo sobre la necesidad de proporcionar garantías a las organizaciones de derechos sociales y humanos con objeto de adoptar decisiones pertinentes en los </w:t>
      </w:r>
      <w:r w:rsidR="00126D3E" w:rsidRPr="00D02BFE">
        <w:rPr>
          <w:rFonts w:ascii="Cambria" w:hAnsi="Cambria"/>
          <w:sz w:val="20"/>
          <w:szCs w:val="20"/>
        </w:rPr>
        <w:t>planos nacionales</w:t>
      </w:r>
      <w:r w:rsidRPr="00D02BFE">
        <w:rPr>
          <w:rFonts w:ascii="Cambria" w:hAnsi="Cambria"/>
          <w:sz w:val="20"/>
          <w:szCs w:val="20"/>
        </w:rPr>
        <w:t xml:space="preserve"> regional</w:t>
      </w:r>
      <w:r w:rsidR="00126D3E" w:rsidRPr="00D02BFE">
        <w:rPr>
          <w:rFonts w:ascii="Cambria" w:hAnsi="Cambria"/>
          <w:sz w:val="20"/>
          <w:szCs w:val="20"/>
        </w:rPr>
        <w:t>es</w:t>
      </w:r>
      <w:r w:rsidRPr="00D02BFE">
        <w:rPr>
          <w:rFonts w:ascii="Cambria" w:hAnsi="Cambria"/>
          <w:sz w:val="20"/>
          <w:szCs w:val="20"/>
        </w:rPr>
        <w:t>; 2) aumentar el grado de confianza que existe entre la sociedad civil y las autoridades del Estado; y 3) vigilar los compromisos establecidos sobre las garantías en los planos nacional y regional.</w:t>
      </w:r>
    </w:p>
    <w:p w14:paraId="4778FA94" w14:textId="77777777" w:rsidR="00DE5E02" w:rsidRPr="00D02BFE" w:rsidRDefault="00F23C8B" w:rsidP="00DE5E02">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Mediante Directiva 002 de 2017, la Procuraduría General de la Nación exhortó a los servidores públicos para que respeten y garanticen las actividades que desarrollan los defensores de derechos humanos y se abstengan deslegitimar o incitar al hostigamiento de su labor.</w:t>
      </w:r>
    </w:p>
    <w:p w14:paraId="0731D8C9" w14:textId="77777777" w:rsidR="00E756E6" w:rsidRPr="00D02BFE" w:rsidRDefault="005B406F" w:rsidP="00E756E6">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Directivas 011 de 2016</w:t>
      </w:r>
      <w:r w:rsidR="00E756E6" w:rsidRPr="00D02BFE">
        <w:rPr>
          <w:rFonts w:ascii="Cambria" w:hAnsi="Cambria"/>
          <w:sz w:val="20"/>
          <w:szCs w:val="20"/>
        </w:rPr>
        <w:t xml:space="preserve"> de la Fiscalía General de la Nación</w:t>
      </w:r>
      <w:r w:rsidRPr="00D02BFE">
        <w:rPr>
          <w:rFonts w:ascii="Cambria" w:hAnsi="Cambria"/>
          <w:sz w:val="20"/>
          <w:szCs w:val="20"/>
        </w:rPr>
        <w:t xml:space="preserve"> (por medio de la cual se determina el concepto de defensor de derechos humanos y se establecen los parámetros para la persecución del delito de amenazas en su contra)</w:t>
      </w:r>
      <w:r w:rsidR="00E756E6" w:rsidRPr="00D02BFE">
        <w:rPr>
          <w:rFonts w:ascii="Cambria" w:hAnsi="Cambria"/>
          <w:sz w:val="20"/>
          <w:szCs w:val="20"/>
        </w:rPr>
        <w:t>.</w:t>
      </w:r>
      <w:r w:rsidRPr="00D02BFE">
        <w:rPr>
          <w:rFonts w:ascii="Cambria" w:hAnsi="Cambria"/>
          <w:sz w:val="20"/>
          <w:szCs w:val="20"/>
        </w:rPr>
        <w:t xml:space="preserve"> </w:t>
      </w:r>
    </w:p>
    <w:p w14:paraId="1E564268" w14:textId="77777777" w:rsidR="00E35990" w:rsidRPr="00D02BFE" w:rsidRDefault="00E756E6" w:rsidP="00E35990">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Directiva</w:t>
      </w:r>
      <w:r w:rsidR="005B406F" w:rsidRPr="00D02BFE">
        <w:rPr>
          <w:rFonts w:ascii="Cambria" w:hAnsi="Cambria"/>
          <w:sz w:val="20"/>
          <w:szCs w:val="20"/>
        </w:rPr>
        <w:t xml:space="preserve"> 002 de 2017 (por medio de la cual se establecen lineamientos generales sobre la investigación de delitos cometidos en contra de defensores de derechos humanos en Colombia) de la Fiscalía General de la Nación (FGN). </w:t>
      </w:r>
      <w:r w:rsidRPr="00D02BFE">
        <w:rPr>
          <w:rFonts w:ascii="Cambria" w:hAnsi="Cambria"/>
          <w:sz w:val="20"/>
          <w:szCs w:val="20"/>
        </w:rPr>
        <w:t>E</w:t>
      </w:r>
      <w:r w:rsidR="005B406F" w:rsidRPr="00D02BFE">
        <w:rPr>
          <w:rFonts w:ascii="Cambria" w:hAnsi="Cambria"/>
          <w:sz w:val="20"/>
          <w:szCs w:val="20"/>
        </w:rPr>
        <w:t>stableció la estrategia de investigación y judicialización de delitos contra personas defensoras de DDHH con 8 líneas de acción</w:t>
      </w:r>
      <w:r w:rsidR="00E35990" w:rsidRPr="00D02BFE">
        <w:rPr>
          <w:rFonts w:ascii="Cambria" w:hAnsi="Cambria"/>
          <w:sz w:val="20"/>
          <w:szCs w:val="20"/>
        </w:rPr>
        <w:t xml:space="preserve"> con base en un diagnóstico de amenazas contra estas personas realizado por la Dirección de Apoyo a la Investigación y Análisis para la Seguridad Ciudadana.</w:t>
      </w:r>
    </w:p>
    <w:p w14:paraId="6E3E49C6" w14:textId="77777777" w:rsidR="000A4DAC" w:rsidRPr="00D02BFE" w:rsidRDefault="00E35990" w:rsidP="000A4DAC">
      <w:pPr>
        <w:numPr>
          <w:ilvl w:val="0"/>
          <w:numId w:val="19"/>
        </w:numPr>
        <w:spacing w:after="0" w:line="240" w:lineRule="auto"/>
        <w:jc w:val="both"/>
        <w:rPr>
          <w:rFonts w:ascii="Cambria" w:eastAsia="Cambria" w:hAnsi="Cambria" w:cs="Cambria"/>
          <w:sz w:val="20"/>
          <w:szCs w:val="20"/>
          <w:lang w:val="es-ES_tradnl"/>
        </w:rPr>
      </w:pPr>
      <w:r w:rsidRPr="00D02BFE">
        <w:rPr>
          <w:rFonts w:ascii="Cambria" w:hAnsi="Cambria"/>
          <w:sz w:val="20"/>
          <w:szCs w:val="20"/>
        </w:rPr>
        <w:t xml:space="preserve">Grupo de Trabajo Nacional de Amenazas contra Líderes y Lideresas de Organizaciones y Movimientos Sociales y Defensores y Defensoras de Derechos Humanos de la Fiscalía General de la Nación (Resolucuión 00339 de 2018, modificada por Resolución 0395 de 2019). </w:t>
      </w:r>
      <w:r w:rsidR="000A4DAC" w:rsidRPr="00D02BFE">
        <w:rPr>
          <w:rFonts w:ascii="Cambria" w:hAnsi="Cambria"/>
          <w:sz w:val="20"/>
          <w:szCs w:val="20"/>
        </w:rPr>
        <w:t xml:space="preserve">Sus funciones son: </w:t>
      </w:r>
    </w:p>
    <w:p w14:paraId="66A12165" w14:textId="77777777" w:rsidR="000A4DAC" w:rsidRPr="00D02BFE" w:rsidRDefault="000A4DAC" w:rsidP="000A4DAC">
      <w:pPr>
        <w:spacing w:after="0" w:line="240" w:lineRule="auto"/>
        <w:ind w:left="720"/>
        <w:jc w:val="both"/>
        <w:rPr>
          <w:rFonts w:ascii="Cambria" w:hAnsi="Cambria"/>
          <w:sz w:val="20"/>
          <w:szCs w:val="20"/>
        </w:rPr>
      </w:pPr>
      <w:r w:rsidRPr="00D02BFE">
        <w:rPr>
          <w:rFonts w:ascii="Cambria" w:hAnsi="Cambria"/>
          <w:sz w:val="20"/>
          <w:szCs w:val="20"/>
        </w:rPr>
        <w:t xml:space="preserve">1. Adelantar la indagación, investigación y judicialización de las amenazas que contra defensoras y defensores de derechos humanos, líderes y miembros de organizaciones sociales, políticas y comunales, así como excombatientes de las FARC-EP, ocurran en la ciudad de Bogotá, o sean asignadas especialmente. </w:t>
      </w:r>
    </w:p>
    <w:p w14:paraId="4E8B1242" w14:textId="77777777" w:rsidR="000A4DAC" w:rsidRPr="00D02BFE" w:rsidRDefault="000A4DAC" w:rsidP="000A4DAC">
      <w:pPr>
        <w:spacing w:after="0" w:line="240" w:lineRule="auto"/>
        <w:ind w:left="720"/>
        <w:jc w:val="both"/>
        <w:rPr>
          <w:rFonts w:ascii="Cambria" w:hAnsi="Cambria"/>
          <w:sz w:val="20"/>
          <w:szCs w:val="20"/>
        </w:rPr>
      </w:pPr>
    </w:p>
    <w:p w14:paraId="48483D66" w14:textId="77777777" w:rsidR="000A4DAC" w:rsidRPr="00D02BFE" w:rsidRDefault="000A4DAC" w:rsidP="00126D3E">
      <w:pPr>
        <w:spacing w:after="0" w:line="240" w:lineRule="auto"/>
        <w:ind w:left="720"/>
        <w:jc w:val="both"/>
        <w:rPr>
          <w:rFonts w:ascii="Cambria" w:hAnsi="Cambria"/>
          <w:sz w:val="20"/>
          <w:szCs w:val="20"/>
        </w:rPr>
      </w:pPr>
      <w:r w:rsidRPr="00D02BFE">
        <w:rPr>
          <w:rFonts w:ascii="Cambria" w:hAnsi="Cambria"/>
          <w:sz w:val="20"/>
          <w:szCs w:val="20"/>
        </w:rPr>
        <w:t xml:space="preserve">2. Definir e implementar una estrategia de apoyo y respuesta inmediata a la investigación de amenazas contra defensoras y defensores de derechos humanos, líderes y miembros de organizaciones sociales, políticas y comunales, así como excombatientes de las FARC-EP. </w:t>
      </w:r>
    </w:p>
    <w:p w14:paraId="16686094" w14:textId="77777777" w:rsidR="00126D3E" w:rsidRPr="00D02BFE" w:rsidRDefault="00126D3E" w:rsidP="00126D3E">
      <w:pPr>
        <w:spacing w:after="0" w:line="240" w:lineRule="auto"/>
        <w:ind w:left="720"/>
        <w:jc w:val="both"/>
        <w:rPr>
          <w:rFonts w:ascii="Cambria" w:hAnsi="Cambria"/>
          <w:sz w:val="20"/>
          <w:szCs w:val="20"/>
        </w:rPr>
      </w:pPr>
    </w:p>
    <w:p w14:paraId="3D4DBE2B" w14:textId="77777777" w:rsidR="00222489" w:rsidRPr="00D02BFE" w:rsidRDefault="000A4DAC" w:rsidP="00126D3E">
      <w:pPr>
        <w:spacing w:after="0" w:line="240" w:lineRule="auto"/>
        <w:ind w:left="720"/>
        <w:jc w:val="both"/>
        <w:rPr>
          <w:rFonts w:ascii="Cambria" w:hAnsi="Cambria"/>
          <w:sz w:val="20"/>
          <w:szCs w:val="20"/>
        </w:rPr>
      </w:pPr>
      <w:r w:rsidRPr="00D02BFE">
        <w:rPr>
          <w:rFonts w:ascii="Cambria" w:hAnsi="Cambria"/>
          <w:sz w:val="20"/>
          <w:szCs w:val="20"/>
        </w:rPr>
        <w:t>3. Fortalecer la capacidad institucional, especialmente a través del apoyo a las Direcciones Seccionales, para responder de manera adecuada, eficaz y oportuna a los casos de amenazas.</w:t>
      </w:r>
    </w:p>
    <w:p w14:paraId="6A855E7F" w14:textId="77777777" w:rsidR="00126D3E" w:rsidRPr="00D02BFE" w:rsidRDefault="00126D3E" w:rsidP="00126D3E">
      <w:pPr>
        <w:spacing w:after="0" w:line="240" w:lineRule="auto"/>
        <w:ind w:left="720"/>
        <w:jc w:val="both"/>
        <w:rPr>
          <w:rFonts w:ascii="Cambria" w:eastAsia="Cambria" w:hAnsi="Cambria" w:cs="Cambria"/>
          <w:sz w:val="20"/>
          <w:szCs w:val="20"/>
          <w:lang w:val="es-ES_tradnl"/>
        </w:rPr>
      </w:pPr>
    </w:p>
    <w:p w14:paraId="1987170A" w14:textId="77777777" w:rsidR="00222489" w:rsidRPr="00D02BFE" w:rsidRDefault="007764DD" w:rsidP="00222489">
      <w:pPr>
        <w:numPr>
          <w:ilvl w:val="0"/>
          <w:numId w:val="19"/>
        </w:numPr>
        <w:spacing w:after="0" w:line="240" w:lineRule="auto"/>
        <w:jc w:val="both"/>
        <w:rPr>
          <w:rFonts w:ascii="Cambria" w:eastAsia="Cambria" w:hAnsi="Cambria" w:cs="Cambria"/>
          <w:sz w:val="20"/>
          <w:szCs w:val="20"/>
          <w:lang w:val="es-ES_tradnl"/>
        </w:rPr>
      </w:pPr>
      <w:r w:rsidRPr="00D02BFE">
        <w:rPr>
          <w:rFonts w:ascii="Cambria" w:eastAsia="Arial Unicode MS" w:hAnsi="Cambria" w:cs="Arial"/>
          <w:sz w:val="20"/>
          <w:szCs w:val="20"/>
          <w:bdr w:val="none" w:sz="0" w:space="0" w:color="auto"/>
          <w:lang w:val="es-CO" w:eastAsia="en-US"/>
        </w:rPr>
        <w:t>Comisión Intersectorial de Garantías para Lideresas y Defensoras de Derechos Humanos (Decreto 1314 de 2016)</w:t>
      </w:r>
      <w:r w:rsidR="00760BD9" w:rsidRPr="00D02BFE">
        <w:rPr>
          <w:rFonts w:ascii="Cambria" w:eastAsia="Arial Unicode MS" w:hAnsi="Cambria" w:cs="Arial"/>
          <w:sz w:val="20"/>
          <w:szCs w:val="20"/>
          <w:bdr w:val="none" w:sz="0" w:space="0" w:color="auto"/>
          <w:lang w:val="es-CO" w:eastAsia="en-US"/>
        </w:rPr>
        <w:t>: Conformado en 2019 y con sesión realizada en febrero de 2020 con la participación de 28 entidades que integran el Programa Integral de Garantías, organismos de cooperación internacional y Plataformas Nacionales de Lideresas y Defensoras de Derechos Humanos y otras defensoras y lideresas.</w:t>
      </w:r>
    </w:p>
    <w:p w14:paraId="6E8B997F" w14:textId="77777777" w:rsidR="00F8071B" w:rsidRPr="00D02BFE" w:rsidRDefault="00F8071B" w:rsidP="003E31A3">
      <w:pPr>
        <w:numPr>
          <w:ilvl w:val="0"/>
          <w:numId w:val="19"/>
        </w:numPr>
        <w:spacing w:after="0" w:line="240" w:lineRule="auto"/>
        <w:jc w:val="both"/>
        <w:rPr>
          <w:rFonts w:ascii="Cambria" w:eastAsia="Cambria" w:hAnsi="Cambria" w:cs="Cambria"/>
          <w:sz w:val="20"/>
          <w:szCs w:val="20"/>
          <w:lang w:val="es-ES_tradnl"/>
        </w:rPr>
      </w:pPr>
      <w:r w:rsidRPr="00D02BFE">
        <w:rPr>
          <w:rFonts w:ascii="Cambria" w:eastAsia="Arial Unicode MS" w:hAnsi="Cambria" w:cs="Arial"/>
          <w:sz w:val="20"/>
          <w:szCs w:val="20"/>
          <w:bdr w:val="none" w:sz="0" w:space="0" w:color="auto"/>
          <w:lang w:val="es-CO" w:eastAsia="en-US"/>
        </w:rPr>
        <w:t xml:space="preserve">Consultoría de análisis </w:t>
      </w:r>
      <w:r w:rsidR="00EC2D4A" w:rsidRPr="00D02BFE">
        <w:rPr>
          <w:rFonts w:ascii="Cambria" w:eastAsia="Arial Unicode MS" w:hAnsi="Cambria" w:cs="Arial"/>
          <w:sz w:val="20"/>
          <w:szCs w:val="20"/>
          <w:bdr w:val="none" w:sz="0" w:space="0" w:color="auto"/>
          <w:lang w:val="es-CO" w:eastAsia="en-US"/>
        </w:rPr>
        <w:t xml:space="preserve">del fenómeno de la estigmatización a líderes(as), defensores(as) de derechos humanos y periodistas entre agosto y octubre de 2019 por la OIM y el Ministerio del Interior a partir de una investigación cualitativa con grupos focales. </w:t>
      </w:r>
    </w:p>
    <w:sectPr w:rsidR="00F8071B" w:rsidRPr="00D02BFE" w:rsidSect="00126D3E">
      <w:headerReference w:type="default" r:id="rId12"/>
      <w:footerReference w:type="default" r:id="rId13"/>
      <w:headerReference w:type="first" r:id="rId14"/>
      <w:pgSz w:w="12240" w:h="15840"/>
      <w:pgMar w:top="1440" w:right="1440" w:bottom="900"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D154" w14:textId="77777777" w:rsidR="00946495" w:rsidRDefault="00946495">
      <w:pPr>
        <w:spacing w:after="0" w:line="240" w:lineRule="auto"/>
      </w:pPr>
      <w:r>
        <w:separator/>
      </w:r>
    </w:p>
  </w:endnote>
  <w:endnote w:type="continuationSeparator" w:id="0">
    <w:p w14:paraId="0F6DFF7D" w14:textId="77777777" w:rsidR="00946495" w:rsidRDefault="0094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CEC1" w14:textId="77777777" w:rsidR="00E555B0" w:rsidRPr="00126D3E" w:rsidRDefault="00E555B0">
    <w:pPr>
      <w:pStyle w:val="Footer"/>
      <w:spacing w:after="0" w:line="240" w:lineRule="auto"/>
      <w:jc w:val="center"/>
      <w:rPr>
        <w:rFonts w:ascii="Cambria" w:hAnsi="Cambria"/>
        <w:sz w:val="20"/>
        <w:szCs w:val="20"/>
      </w:rPr>
    </w:pPr>
    <w:r w:rsidRPr="00126D3E">
      <w:rPr>
        <w:rFonts w:ascii="Cambria" w:hAnsi="Cambria"/>
        <w:sz w:val="20"/>
        <w:szCs w:val="20"/>
      </w:rPr>
      <w:fldChar w:fldCharType="begin"/>
    </w:r>
    <w:r w:rsidRPr="00126D3E">
      <w:rPr>
        <w:rFonts w:ascii="Cambria" w:hAnsi="Cambria"/>
        <w:sz w:val="20"/>
        <w:szCs w:val="20"/>
      </w:rPr>
      <w:instrText xml:space="preserve"> PAGE </w:instrText>
    </w:r>
    <w:r w:rsidRPr="00126D3E">
      <w:rPr>
        <w:rFonts w:ascii="Cambria" w:hAnsi="Cambria"/>
        <w:sz w:val="20"/>
        <w:szCs w:val="20"/>
      </w:rPr>
      <w:fldChar w:fldCharType="separate"/>
    </w:r>
    <w:r w:rsidR="004A7F5C" w:rsidRPr="00126D3E">
      <w:rPr>
        <w:rFonts w:ascii="Cambria" w:hAnsi="Cambria"/>
        <w:noProof/>
        <w:sz w:val="20"/>
        <w:szCs w:val="20"/>
      </w:rPr>
      <w:t>1</w:t>
    </w:r>
    <w:r w:rsidR="004A7F5C" w:rsidRPr="00126D3E">
      <w:rPr>
        <w:rFonts w:ascii="Cambria" w:hAnsi="Cambria"/>
        <w:noProof/>
        <w:sz w:val="20"/>
        <w:szCs w:val="20"/>
      </w:rPr>
      <w:t>1</w:t>
    </w:r>
    <w:r w:rsidRPr="00126D3E">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7E7B" w14:textId="77777777" w:rsidR="00946495" w:rsidRDefault="00946495">
      <w:r>
        <w:separator/>
      </w:r>
    </w:p>
  </w:footnote>
  <w:footnote w:type="continuationSeparator" w:id="0">
    <w:p w14:paraId="4C8173C3" w14:textId="77777777" w:rsidR="00946495" w:rsidRDefault="00946495">
      <w:r>
        <w:continuationSeparator/>
      </w:r>
    </w:p>
  </w:footnote>
  <w:footnote w:type="continuationNotice" w:id="1">
    <w:p w14:paraId="2B99B7DF" w14:textId="77777777" w:rsidR="00946495" w:rsidRDefault="00946495"/>
  </w:footnote>
  <w:footnote w:id="2">
    <w:p w14:paraId="643DBF6F" w14:textId="77777777" w:rsidR="00E555B0" w:rsidRPr="00D02BFE" w:rsidRDefault="00E555B0">
      <w:pPr>
        <w:pStyle w:val="FootnoteText"/>
        <w:rPr>
          <w:rFonts w:ascii="Cambria" w:hAnsi="Cambria"/>
          <w:sz w:val="16"/>
          <w:szCs w:val="16"/>
          <w:lang w:val="es-CO"/>
        </w:rPr>
      </w:pPr>
      <w:r w:rsidRPr="00D02BFE">
        <w:rPr>
          <w:rStyle w:val="FootnoteReference"/>
          <w:rFonts w:ascii="Cambria" w:hAnsi="Cambria"/>
          <w:sz w:val="16"/>
          <w:szCs w:val="16"/>
        </w:rPr>
        <w:footnoteRef/>
      </w:r>
      <w:r w:rsidRPr="00D02BFE">
        <w:rPr>
          <w:rFonts w:ascii="Cambria" w:hAnsi="Cambria"/>
          <w:sz w:val="16"/>
          <w:szCs w:val="16"/>
          <w:lang w:val="es-CO"/>
        </w:rPr>
        <w:t xml:space="preserve"> </w:t>
      </w:r>
      <w:r w:rsidRPr="00D02BFE">
        <w:rPr>
          <w:rFonts w:ascii="Cambria" w:eastAsia="Cambria" w:hAnsi="Cambria" w:cs="Cambria"/>
          <w:sz w:val="16"/>
          <w:szCs w:val="16"/>
          <w:lang w:val="es-ES_tradnl"/>
        </w:rPr>
        <w:t xml:space="preserve">CIDH, </w:t>
      </w:r>
      <w:hyperlink r:id="rId1" w:history="1">
        <w:r w:rsidRPr="00D02BFE">
          <w:rPr>
            <w:rStyle w:val="Hyperlink2"/>
          </w:rPr>
          <w:t xml:space="preserve">Caso 12.713, Informe de Fondo Nº. 35/17, José </w:t>
        </w:r>
        <w:proofErr w:type="spellStart"/>
        <w:r w:rsidRPr="00D02BFE">
          <w:rPr>
            <w:rStyle w:val="Hyperlink2"/>
          </w:rPr>
          <w:t>Rusbel</w:t>
        </w:r>
        <w:proofErr w:type="spellEnd"/>
        <w:r w:rsidRPr="00D02BFE">
          <w:rPr>
            <w:rStyle w:val="Hyperlink2"/>
          </w:rPr>
          <w:t xml:space="preserve"> Lara y otros (Colombia)</w:t>
        </w:r>
      </w:hyperlink>
      <w:r w:rsidRPr="00D02BFE">
        <w:rPr>
          <w:rFonts w:ascii="Cambria" w:eastAsia="Cambria" w:hAnsi="Cambria" w:cs="Cambria"/>
          <w:sz w:val="16"/>
          <w:szCs w:val="16"/>
          <w:lang w:val="es-ES_tradnl"/>
        </w:rPr>
        <w:t>, párr. 274.</w:t>
      </w:r>
    </w:p>
  </w:footnote>
  <w:footnote w:id="3">
    <w:p w14:paraId="2FE5F2F2" w14:textId="77777777" w:rsidR="009B4A79" w:rsidRPr="00D02BFE" w:rsidRDefault="009B4A79" w:rsidP="009B4A79">
      <w:pPr>
        <w:pStyle w:val="FootnoteText"/>
        <w:ind w:firstLine="720"/>
        <w:jc w:val="both"/>
        <w:rPr>
          <w:rFonts w:ascii="Cambria" w:hAnsi="Cambria"/>
          <w:sz w:val="16"/>
          <w:szCs w:val="16"/>
          <w:lang w:val="es-CO"/>
        </w:rPr>
      </w:pPr>
      <w:r w:rsidRPr="00D02BFE">
        <w:rPr>
          <w:rStyle w:val="FootnoteReference"/>
          <w:rFonts w:ascii="Cambria" w:hAnsi="Cambria"/>
          <w:sz w:val="16"/>
          <w:szCs w:val="16"/>
        </w:rPr>
        <w:footnoteRef/>
      </w:r>
      <w:r w:rsidRPr="00D02BFE">
        <w:rPr>
          <w:rFonts w:ascii="Cambria" w:hAnsi="Cambria"/>
          <w:sz w:val="16"/>
          <w:szCs w:val="16"/>
          <w:lang w:val="es-CO"/>
        </w:rPr>
        <w:t xml:space="preserve"> CIDH, </w:t>
      </w:r>
      <w:hyperlink r:id="rId2" w:history="1">
        <w:r w:rsidRPr="00D02BFE">
          <w:rPr>
            <w:rStyle w:val="Hyperlink"/>
            <w:rFonts w:ascii="Cambria" w:hAnsi="Cambria"/>
            <w:sz w:val="16"/>
            <w:szCs w:val="16"/>
            <w:lang w:val="es-CO"/>
          </w:rPr>
          <w:t>Directrices básicas para la investigación de violaciones a los derechos de las personas defensoras de derechos humanos en las Américas</w:t>
        </w:r>
      </w:hyperlink>
      <w:r w:rsidRPr="00D02BFE">
        <w:rPr>
          <w:rFonts w:ascii="Cambria" w:hAnsi="Cambria"/>
          <w:sz w:val="16"/>
          <w:szCs w:val="16"/>
          <w:lang w:val="es-CO"/>
        </w:rPr>
        <w:t>, OEA/</w:t>
      </w:r>
      <w:proofErr w:type="spellStart"/>
      <w:r w:rsidRPr="00D02BFE">
        <w:rPr>
          <w:rFonts w:ascii="Cambria" w:hAnsi="Cambria"/>
          <w:sz w:val="16"/>
          <w:szCs w:val="16"/>
          <w:lang w:val="es-CO"/>
        </w:rPr>
        <w:t>Ser.L</w:t>
      </w:r>
      <w:proofErr w:type="spellEnd"/>
      <w:r w:rsidRPr="00D02BFE">
        <w:rPr>
          <w:rFonts w:ascii="Cambria" w:hAnsi="Cambria"/>
          <w:sz w:val="16"/>
          <w:szCs w:val="16"/>
          <w:lang w:val="es-CO"/>
        </w:rPr>
        <w:t>/V/II, Doc. 211, 31 diciembre 2017, párr.34.</w:t>
      </w:r>
    </w:p>
  </w:footnote>
  <w:footnote w:id="4">
    <w:p w14:paraId="23A5FDCA" w14:textId="77777777" w:rsidR="00FD3777" w:rsidRPr="00D02BFE" w:rsidRDefault="00FD3777" w:rsidP="00FD3777">
      <w:pPr>
        <w:pStyle w:val="FootnoteText"/>
        <w:spacing w:after="120"/>
        <w:ind w:firstLine="720"/>
        <w:rPr>
          <w:rFonts w:ascii="Cambria" w:hAnsi="Cambria"/>
          <w:sz w:val="16"/>
          <w:szCs w:val="16"/>
          <w:lang w:val="es-MX"/>
        </w:rPr>
      </w:pPr>
      <w:r w:rsidRPr="00D02BFE">
        <w:rPr>
          <w:rFonts w:ascii="Cambria" w:eastAsia="Cambria" w:hAnsi="Cambria" w:cs="Cambria"/>
          <w:sz w:val="16"/>
          <w:szCs w:val="16"/>
          <w:vertAlign w:val="superscript"/>
          <w:lang w:val="es-ES_tradnl"/>
        </w:rPr>
        <w:footnoteRef/>
      </w:r>
      <w:r w:rsidRPr="00D02BFE">
        <w:rPr>
          <w:rFonts w:ascii="Cambria" w:eastAsia="Cambria" w:hAnsi="Cambria" w:cs="Cambria"/>
          <w:sz w:val="16"/>
          <w:szCs w:val="16"/>
          <w:lang w:val="es-ES_tradnl"/>
        </w:rPr>
        <w:t xml:space="preserve"> CIDH, </w:t>
      </w:r>
      <w:hyperlink r:id="rId3" w:history="1">
        <w:r w:rsidRPr="00D02BFE">
          <w:rPr>
            <w:rStyle w:val="Hyperlink2"/>
          </w:rPr>
          <w:t xml:space="preserve">Caso 12.713, Informe de Fondo Nº. 35/17, José </w:t>
        </w:r>
        <w:proofErr w:type="spellStart"/>
        <w:r w:rsidRPr="00D02BFE">
          <w:rPr>
            <w:rStyle w:val="Hyperlink2"/>
          </w:rPr>
          <w:t>Rusbel</w:t>
        </w:r>
        <w:proofErr w:type="spellEnd"/>
        <w:r w:rsidRPr="00D02BFE">
          <w:rPr>
            <w:rStyle w:val="Hyperlink2"/>
          </w:rPr>
          <w:t xml:space="preserve"> Lara y otros (Colombia)</w:t>
        </w:r>
      </w:hyperlink>
      <w:r w:rsidRPr="00D02BFE">
        <w:rPr>
          <w:rFonts w:ascii="Cambria" w:eastAsia="Cambria" w:hAnsi="Cambria" w:cs="Cambria"/>
          <w:sz w:val="16"/>
          <w:szCs w:val="16"/>
          <w:lang w:val="es-ES_tradnl"/>
        </w:rPr>
        <w:t>, párr. 275.</w:t>
      </w:r>
    </w:p>
  </w:footnote>
  <w:footnote w:id="5">
    <w:p w14:paraId="3205F9FD" w14:textId="77777777" w:rsidR="00F01CE9" w:rsidRPr="00D02BFE" w:rsidRDefault="00F01CE9" w:rsidP="00F01CE9">
      <w:pPr>
        <w:pStyle w:val="FootnoteText"/>
        <w:spacing w:after="120"/>
        <w:ind w:firstLine="720"/>
        <w:rPr>
          <w:rFonts w:ascii="Cambria" w:hAnsi="Cambria"/>
          <w:sz w:val="16"/>
          <w:szCs w:val="16"/>
          <w:lang w:val="es-MX"/>
        </w:rPr>
      </w:pPr>
      <w:r w:rsidRPr="00D02BFE">
        <w:rPr>
          <w:rFonts w:ascii="Cambria" w:eastAsia="Cambria" w:hAnsi="Cambria" w:cs="Cambria"/>
          <w:sz w:val="16"/>
          <w:szCs w:val="16"/>
          <w:vertAlign w:val="superscript"/>
          <w:lang w:val="es-ES_tradnl"/>
        </w:rPr>
        <w:footnoteRef/>
      </w:r>
      <w:r w:rsidRPr="00D02BFE">
        <w:rPr>
          <w:rFonts w:ascii="Cambria" w:eastAsia="Cambria" w:hAnsi="Cambria" w:cs="Cambria"/>
          <w:sz w:val="16"/>
          <w:szCs w:val="16"/>
          <w:lang w:val="es-ES_tradnl"/>
        </w:rPr>
        <w:t xml:space="preserve"> CIDH, </w:t>
      </w:r>
      <w:hyperlink r:id="rId4" w:history="1">
        <w:r w:rsidRPr="00D02BFE">
          <w:rPr>
            <w:rStyle w:val="Hyperlink2"/>
          </w:rPr>
          <w:t xml:space="preserve">Caso 12.713, Informe de Fondo Nº. 35/17, José </w:t>
        </w:r>
        <w:proofErr w:type="spellStart"/>
        <w:r w:rsidRPr="00D02BFE">
          <w:rPr>
            <w:rStyle w:val="Hyperlink2"/>
          </w:rPr>
          <w:t>Rusbel</w:t>
        </w:r>
        <w:proofErr w:type="spellEnd"/>
        <w:r w:rsidRPr="00D02BFE">
          <w:rPr>
            <w:rStyle w:val="Hyperlink2"/>
          </w:rPr>
          <w:t xml:space="preserve"> Lara y otros (Colombia)</w:t>
        </w:r>
      </w:hyperlink>
      <w:r w:rsidRPr="00D02BFE">
        <w:rPr>
          <w:rFonts w:ascii="Cambria" w:eastAsia="Cambria" w:hAnsi="Cambria" w:cs="Cambria"/>
          <w:sz w:val="16"/>
          <w:szCs w:val="16"/>
          <w:lang w:val="es-ES_tradnl"/>
        </w:rPr>
        <w:t>, párr. 213.</w:t>
      </w:r>
    </w:p>
  </w:footnote>
  <w:footnote w:id="6">
    <w:p w14:paraId="2A541CF4" w14:textId="77777777" w:rsidR="00E555B0" w:rsidRPr="00D02BFE" w:rsidRDefault="00E555B0">
      <w:pPr>
        <w:pStyle w:val="FootnoteText"/>
        <w:spacing w:after="120"/>
        <w:ind w:firstLine="720"/>
        <w:rPr>
          <w:rFonts w:ascii="Cambria" w:hAnsi="Cambria"/>
          <w:sz w:val="16"/>
          <w:szCs w:val="16"/>
          <w:lang w:val="es-MX"/>
        </w:rPr>
      </w:pPr>
      <w:r w:rsidRPr="00D02BFE">
        <w:rPr>
          <w:rFonts w:ascii="Cambria" w:eastAsia="Cambria" w:hAnsi="Cambria" w:cs="Cambria"/>
          <w:sz w:val="16"/>
          <w:szCs w:val="16"/>
          <w:vertAlign w:val="superscript"/>
          <w:lang w:val="es-ES_tradnl"/>
        </w:rPr>
        <w:footnoteRef/>
      </w:r>
      <w:r w:rsidRPr="00D02BFE">
        <w:rPr>
          <w:rFonts w:ascii="Cambria" w:eastAsia="Cambria" w:hAnsi="Cambria" w:cs="Cambria"/>
          <w:sz w:val="16"/>
          <w:szCs w:val="16"/>
          <w:lang w:val="es-ES_tradnl"/>
        </w:rPr>
        <w:t xml:space="preserve"> CIDH, </w:t>
      </w:r>
      <w:hyperlink r:id="rId5" w:history="1">
        <w:r w:rsidRPr="00D02BFE">
          <w:rPr>
            <w:rStyle w:val="Hyperlink2"/>
          </w:rPr>
          <w:t xml:space="preserve">Caso 12.713, Informe de Fondo Nº. 35/17, José </w:t>
        </w:r>
        <w:proofErr w:type="spellStart"/>
        <w:r w:rsidRPr="00D02BFE">
          <w:rPr>
            <w:rStyle w:val="Hyperlink2"/>
          </w:rPr>
          <w:t>Rusbel</w:t>
        </w:r>
        <w:proofErr w:type="spellEnd"/>
        <w:r w:rsidRPr="00D02BFE">
          <w:rPr>
            <w:rStyle w:val="Hyperlink2"/>
          </w:rPr>
          <w:t xml:space="preserve"> Lara y otros (Colombia)</w:t>
        </w:r>
      </w:hyperlink>
      <w:r w:rsidRPr="00D02BFE">
        <w:rPr>
          <w:rFonts w:ascii="Cambria" w:eastAsia="Cambria" w:hAnsi="Cambria" w:cs="Cambria"/>
          <w:sz w:val="16"/>
          <w:szCs w:val="16"/>
          <w:lang w:val="es-ES_tradnl"/>
        </w:rPr>
        <w:t>, párr. 277.</w:t>
      </w:r>
    </w:p>
  </w:footnote>
  <w:footnote w:id="7">
    <w:p w14:paraId="77E77F66" w14:textId="77777777" w:rsidR="00E555B0" w:rsidRPr="00D02BFE" w:rsidRDefault="00E555B0">
      <w:pPr>
        <w:pStyle w:val="FootnoteText"/>
        <w:spacing w:after="120"/>
        <w:ind w:firstLine="720"/>
        <w:rPr>
          <w:rFonts w:ascii="Cambria" w:hAnsi="Cambria"/>
          <w:sz w:val="16"/>
          <w:szCs w:val="16"/>
          <w:lang w:val="es-MX"/>
        </w:rPr>
      </w:pPr>
      <w:r w:rsidRPr="00D02BFE">
        <w:rPr>
          <w:rFonts w:ascii="Cambria" w:eastAsia="Cambria" w:hAnsi="Cambria" w:cs="Cambria"/>
          <w:sz w:val="16"/>
          <w:szCs w:val="16"/>
          <w:vertAlign w:val="superscript"/>
          <w:lang w:val="es-ES_tradnl"/>
        </w:rPr>
        <w:footnoteRef/>
      </w:r>
      <w:r w:rsidRPr="00D02BFE">
        <w:rPr>
          <w:rFonts w:ascii="Cambria" w:eastAsia="Cambria" w:hAnsi="Cambria" w:cs="Cambria"/>
          <w:sz w:val="16"/>
          <w:szCs w:val="16"/>
          <w:lang w:val="es-ES_tradnl"/>
        </w:rPr>
        <w:t xml:space="preserve"> CIDH, </w:t>
      </w:r>
      <w:hyperlink r:id="rId6" w:history="1">
        <w:r w:rsidRPr="00D02BFE">
          <w:rPr>
            <w:rStyle w:val="Hyperlink2"/>
          </w:rPr>
          <w:t xml:space="preserve">Caso 12.713, Informe de Fondo Nº. 35/17, José </w:t>
        </w:r>
        <w:proofErr w:type="spellStart"/>
        <w:r w:rsidRPr="00D02BFE">
          <w:rPr>
            <w:rStyle w:val="Hyperlink2"/>
          </w:rPr>
          <w:t>Rusbel</w:t>
        </w:r>
        <w:proofErr w:type="spellEnd"/>
        <w:r w:rsidRPr="00D02BFE">
          <w:rPr>
            <w:rStyle w:val="Hyperlink2"/>
          </w:rPr>
          <w:t xml:space="preserve"> Lara y otros (Colombia)</w:t>
        </w:r>
      </w:hyperlink>
      <w:r w:rsidRPr="00D02BFE">
        <w:rPr>
          <w:rFonts w:ascii="Cambria" w:eastAsia="Cambria" w:hAnsi="Cambria" w:cs="Cambria"/>
          <w:sz w:val="16"/>
          <w:szCs w:val="16"/>
          <w:lang w:val="es-ES_tradnl"/>
        </w:rPr>
        <w:t>, párr. 278.</w:t>
      </w:r>
    </w:p>
  </w:footnote>
  <w:footnote w:id="8">
    <w:p w14:paraId="070F6631" w14:textId="77777777" w:rsidR="00F90F38" w:rsidRPr="00D02BFE" w:rsidRDefault="00F90F38" w:rsidP="00F90F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mbria" w:eastAsia="Arial Unicode MS" w:hAnsi="Cambria" w:cs="Arial"/>
          <w:sz w:val="16"/>
          <w:szCs w:val="16"/>
          <w:bdr w:val="none" w:sz="0" w:space="0" w:color="auto"/>
          <w:lang w:val="es-CO" w:eastAsia="en-US"/>
        </w:rPr>
      </w:pPr>
      <w:r w:rsidRPr="00D02BFE">
        <w:rPr>
          <w:rStyle w:val="FootnoteReference"/>
          <w:rFonts w:ascii="Cambria" w:hAnsi="Cambria"/>
          <w:sz w:val="16"/>
          <w:szCs w:val="16"/>
        </w:rPr>
        <w:footnoteRef/>
      </w:r>
      <w:r w:rsidRPr="00D02BFE">
        <w:rPr>
          <w:rFonts w:ascii="Cambria" w:hAnsi="Cambria"/>
          <w:sz w:val="16"/>
          <w:szCs w:val="16"/>
          <w:lang w:val="es-CO"/>
        </w:rPr>
        <w:t xml:space="preserve"> </w:t>
      </w:r>
      <w:r w:rsidR="00811BC2" w:rsidRPr="00D02BFE">
        <w:rPr>
          <w:rFonts w:ascii="Cambria" w:hAnsi="Cambria"/>
          <w:sz w:val="16"/>
          <w:szCs w:val="16"/>
          <w:lang w:val="es-CO"/>
        </w:rPr>
        <w:t xml:space="preserve">Según el Estado, </w:t>
      </w:r>
      <w:r w:rsidRPr="00D02BFE">
        <w:rPr>
          <w:rFonts w:ascii="Cambria" w:hAnsi="Cambria"/>
          <w:sz w:val="16"/>
          <w:szCs w:val="16"/>
          <w:lang w:val="es-CO"/>
        </w:rPr>
        <w:t xml:space="preserve">esta formulación contó con la participación de </w:t>
      </w:r>
      <w:r w:rsidRPr="00D02BFE">
        <w:rPr>
          <w:rFonts w:ascii="Cambria" w:eastAsia="Arial Unicode MS" w:hAnsi="Cambria" w:cs="Arial"/>
          <w:sz w:val="16"/>
          <w:szCs w:val="16"/>
          <w:bdr w:val="none" w:sz="0" w:space="0" w:color="auto"/>
          <w:lang w:val="es-CO" w:eastAsia="en-US"/>
        </w:rPr>
        <w:t xml:space="preserve">Confederación Nacional de Acción Comunal, las plataformas de derechos humanos que hacen parte de la Mesa Nacional de Garantías para Defensores de Derechos Humanos, Líderes Sociales y Comunales, la Federación Colombiana de Periodistas, la Subcomisión de DDHH de la Cumbre Agraria, Campesina, Étnica y Popular, las entidades territoriales y escenarios </w:t>
      </w:r>
      <w:proofErr w:type="spellStart"/>
      <w:r w:rsidRPr="00D02BFE">
        <w:rPr>
          <w:rFonts w:ascii="Cambria" w:eastAsia="Arial Unicode MS" w:hAnsi="Cambria" w:cs="Arial"/>
          <w:sz w:val="16"/>
          <w:szCs w:val="16"/>
          <w:bdr w:val="none" w:sz="0" w:space="0" w:color="auto"/>
          <w:lang w:val="es-CO" w:eastAsia="en-US"/>
        </w:rPr>
        <w:t>multi-actor</w:t>
      </w:r>
      <w:proofErr w:type="spellEnd"/>
      <w:r w:rsidRPr="00D02BFE">
        <w:rPr>
          <w:rFonts w:ascii="Cambria" w:eastAsia="Arial Unicode MS" w:hAnsi="Cambria" w:cs="Arial"/>
          <w:sz w:val="16"/>
          <w:szCs w:val="16"/>
          <w:bdr w:val="none" w:sz="0" w:space="0" w:color="auto"/>
          <w:lang w:val="es-CO" w:eastAsia="en-US"/>
        </w:rPr>
        <w:t xml:space="preserve"> de empresas y derechos humanos.</w:t>
      </w:r>
    </w:p>
  </w:footnote>
  <w:footnote w:id="9">
    <w:p w14:paraId="74D01C45" w14:textId="77777777" w:rsidR="00E555B0" w:rsidRPr="00D02BFE" w:rsidRDefault="00E555B0">
      <w:pPr>
        <w:pStyle w:val="FootnoteText"/>
        <w:spacing w:after="120"/>
        <w:ind w:firstLine="720"/>
        <w:rPr>
          <w:rFonts w:ascii="Cambria" w:hAnsi="Cambria"/>
          <w:sz w:val="16"/>
          <w:szCs w:val="16"/>
          <w:lang w:val="es-MX"/>
        </w:rPr>
      </w:pPr>
      <w:r w:rsidRPr="00D02BFE">
        <w:rPr>
          <w:rFonts w:ascii="Cambria" w:eastAsia="Cambria" w:hAnsi="Cambria" w:cs="Cambria"/>
          <w:sz w:val="16"/>
          <w:szCs w:val="16"/>
          <w:vertAlign w:val="superscript"/>
          <w:lang w:val="es-ES_tradnl"/>
        </w:rPr>
        <w:footnoteRef/>
      </w:r>
      <w:r w:rsidRPr="00D02BFE">
        <w:rPr>
          <w:rFonts w:ascii="Cambria" w:eastAsia="Cambria" w:hAnsi="Cambria" w:cs="Cambria"/>
          <w:sz w:val="16"/>
          <w:szCs w:val="16"/>
          <w:lang w:val="es-ES_tradnl"/>
        </w:rPr>
        <w:t xml:space="preserve"> CIDH, </w:t>
      </w:r>
      <w:hyperlink r:id="rId7" w:history="1">
        <w:r w:rsidRPr="00D02BFE">
          <w:rPr>
            <w:rStyle w:val="Hyperlink2"/>
          </w:rPr>
          <w:t xml:space="preserve">Caso 12.713, Informe de Fondo Nº. 35/17, José </w:t>
        </w:r>
        <w:proofErr w:type="spellStart"/>
        <w:r w:rsidRPr="00D02BFE">
          <w:rPr>
            <w:rStyle w:val="Hyperlink2"/>
          </w:rPr>
          <w:t>Rusbel</w:t>
        </w:r>
        <w:proofErr w:type="spellEnd"/>
        <w:r w:rsidRPr="00D02BFE">
          <w:rPr>
            <w:rStyle w:val="Hyperlink2"/>
          </w:rPr>
          <w:t xml:space="preserve"> Lara y otros (Colombia)</w:t>
        </w:r>
      </w:hyperlink>
      <w:r w:rsidRPr="00D02BFE">
        <w:rPr>
          <w:rFonts w:ascii="Cambria" w:eastAsia="Cambria" w:hAnsi="Cambria" w:cs="Cambria"/>
          <w:sz w:val="16"/>
          <w:szCs w:val="16"/>
          <w:lang w:val="es-ES_tradnl"/>
        </w:rPr>
        <w:t>, párr. 280.</w:t>
      </w:r>
    </w:p>
  </w:footnote>
  <w:footnote w:id="10">
    <w:p w14:paraId="6ED9854A" w14:textId="77777777" w:rsidR="00E555B0" w:rsidRPr="00D02BFE" w:rsidRDefault="00E555B0" w:rsidP="00EA527B">
      <w:pPr>
        <w:pStyle w:val="Heading1"/>
        <w:shd w:val="clear" w:color="auto" w:fill="FFFFFF"/>
        <w:spacing w:before="300" w:beforeAutospacing="0" w:after="120" w:afterAutospacing="0"/>
        <w:ind w:left="120" w:firstLine="600"/>
        <w:jc w:val="both"/>
        <w:rPr>
          <w:rFonts w:ascii="Cambria" w:hAnsi="Cambria"/>
          <w:b w:val="0"/>
          <w:bCs w:val="0"/>
          <w:color w:val="000000"/>
          <w:sz w:val="16"/>
          <w:szCs w:val="16"/>
          <w:lang w:val="es-CO"/>
        </w:rPr>
      </w:pPr>
      <w:r w:rsidRPr="00D02BFE">
        <w:rPr>
          <w:rFonts w:ascii="Cambria" w:eastAsia="Cambria" w:hAnsi="Cambria" w:cs="Cambria"/>
          <w:b w:val="0"/>
          <w:bCs w:val="0"/>
          <w:color w:val="000000"/>
          <w:sz w:val="16"/>
          <w:szCs w:val="16"/>
          <w:vertAlign w:val="superscript"/>
          <w:lang w:val="es-ES_tradnl"/>
        </w:rPr>
        <w:footnoteRef/>
      </w:r>
      <w:r w:rsidRPr="00D02BFE">
        <w:rPr>
          <w:rFonts w:ascii="Cambria" w:eastAsia="Cambria" w:hAnsi="Cambria" w:cs="Cambria"/>
          <w:b w:val="0"/>
          <w:bCs w:val="0"/>
          <w:color w:val="000000"/>
          <w:sz w:val="16"/>
          <w:szCs w:val="16"/>
          <w:lang w:val="es-ES_tradnl"/>
        </w:rPr>
        <w:t xml:space="preserve"> </w:t>
      </w:r>
      <w:r w:rsidRPr="00D02BFE">
        <w:rPr>
          <w:rFonts w:ascii="Cambria" w:eastAsia="Cambria" w:hAnsi="Cambria" w:cs="Cambria"/>
          <w:b w:val="0"/>
          <w:bCs w:val="0"/>
          <w:color w:val="000000"/>
          <w:sz w:val="16"/>
          <w:szCs w:val="16"/>
          <w:u w:color="FF0000"/>
          <w:lang w:val="es-ES_tradnl"/>
        </w:rPr>
        <w:t xml:space="preserve">CIDH, Comunicado de prensa 008/19 – </w:t>
      </w:r>
      <w:r w:rsidRPr="00D02BFE">
        <w:rPr>
          <w:rFonts w:ascii="Cambria" w:eastAsia="Cambria" w:hAnsi="Cambria" w:cs="Cambria"/>
          <w:b w:val="0"/>
          <w:bCs w:val="0"/>
          <w:color w:val="000000"/>
          <w:sz w:val="16"/>
          <w:szCs w:val="16"/>
          <w:u w:val="single" w:color="FF0000"/>
          <w:lang w:val="es-ES_tradnl"/>
        </w:rPr>
        <w:t>CIDH culmina visita de trabajo a Colombia sobre la alarmante situación de asesinatos de líderes y lideresas sociales y personas defensoras de derechos humanos</w:t>
      </w:r>
      <w:r w:rsidRPr="00D02BFE">
        <w:rPr>
          <w:rFonts w:ascii="Cambria" w:eastAsia="Cambria" w:hAnsi="Cambria" w:cs="Cambria"/>
          <w:b w:val="0"/>
          <w:bCs w:val="0"/>
          <w:color w:val="000000"/>
          <w:sz w:val="16"/>
          <w:szCs w:val="16"/>
          <w:u w:color="FF0000"/>
          <w:lang w:val="es-ES_tradnl"/>
        </w:rPr>
        <w:t xml:space="preserve">. Washington D.C., 15 de enero de 2019. CIDH, Comunicado de prensa 110/19 – </w:t>
      </w:r>
      <w:r w:rsidRPr="00D02BFE">
        <w:rPr>
          <w:rFonts w:ascii="Cambria" w:eastAsia="Cambria" w:hAnsi="Cambria" w:cs="Cambria"/>
          <w:b w:val="0"/>
          <w:bCs w:val="0"/>
          <w:color w:val="000000"/>
          <w:sz w:val="16"/>
          <w:szCs w:val="16"/>
          <w:u w:val="single" w:color="FF0000"/>
          <w:lang w:val="es-ES_tradnl"/>
        </w:rPr>
        <w:t>CIDH invita a enviar información sobre la situación de derechos humanos de personas defensoras y líderes sociales en Colombia</w:t>
      </w:r>
      <w:r w:rsidRPr="00D02BFE">
        <w:rPr>
          <w:rFonts w:ascii="Cambria" w:eastAsia="Cambria" w:hAnsi="Cambria" w:cs="Cambria"/>
          <w:b w:val="0"/>
          <w:bCs w:val="0"/>
          <w:color w:val="000000"/>
          <w:sz w:val="16"/>
          <w:szCs w:val="16"/>
          <w:u w:color="FF0000"/>
          <w:lang w:val="es-ES_tradnl"/>
        </w:rPr>
        <w:t xml:space="preserve">. Washington D.C., 2 de mayo de 2019. CIDH, Comunicado de prensa 132/19 - </w:t>
      </w:r>
      <w:hyperlink r:id="rId8" w:history="1">
        <w:r w:rsidRPr="00D02BFE">
          <w:rPr>
            <w:rStyle w:val="Hyperlink3"/>
            <w:b w:val="0"/>
            <w:bCs w:val="0"/>
            <w:color w:val="000000"/>
          </w:rPr>
          <w:t>CIDH</w:t>
        </w:r>
      </w:hyperlink>
      <w:r w:rsidRPr="00D02BFE">
        <w:rPr>
          <w:rFonts w:ascii="Cambria" w:eastAsia="Cambria" w:hAnsi="Cambria" w:cs="Cambria"/>
          <w:b w:val="0"/>
          <w:bCs w:val="0"/>
          <w:color w:val="000000"/>
          <w:sz w:val="16"/>
          <w:szCs w:val="16"/>
          <w:u w:val="single" w:color="FF0000"/>
          <w:lang w:val="es-ES_tradnl"/>
        </w:rPr>
        <w:t xml:space="preserve"> y las Oficinas de ONU Derechos Humanos expresan su preocupación por la situación de personas defensoras de derechos humanos en el primer cuatrimestre del año</w:t>
      </w:r>
      <w:r w:rsidRPr="00D02BFE">
        <w:rPr>
          <w:rFonts w:ascii="Cambria" w:eastAsia="Cambria" w:hAnsi="Cambria" w:cs="Cambria"/>
          <w:b w:val="0"/>
          <w:bCs w:val="0"/>
          <w:color w:val="000000"/>
          <w:sz w:val="16"/>
          <w:szCs w:val="16"/>
          <w:u w:color="FF0000"/>
          <w:lang w:val="es-ES_tradnl"/>
        </w:rPr>
        <w:t xml:space="preserve">. Bogotá, Ciudad de Guatemala, Ciudad de México, Ciudad de Panamá, Santiago de Chile, Tegucigalpa, Washington D.C., 30 de mayo de 2019. CIDH, Comunicado de prensa 062/20 – </w:t>
      </w:r>
      <w:hyperlink r:id="rId9" w:history="1">
        <w:r w:rsidRPr="00D02BFE">
          <w:rPr>
            <w:rStyle w:val="Hyperlink"/>
            <w:rFonts w:ascii="Cambria" w:eastAsia="Cambria" w:hAnsi="Cambria" w:cs="Cambria"/>
            <w:b w:val="0"/>
            <w:bCs w:val="0"/>
            <w:color w:val="000000"/>
            <w:sz w:val="16"/>
            <w:szCs w:val="16"/>
            <w:lang w:val="es-ES_tradnl"/>
          </w:rPr>
          <w:t xml:space="preserve">CIDH expresa su condena por el asesinato de líderes sociales y reitera su </w:t>
        </w:r>
        <w:r w:rsidRPr="00D02BFE">
          <w:rPr>
            <w:rStyle w:val="Hyperlink"/>
            <w:rFonts w:ascii="Cambria" w:hAnsi="Cambria"/>
            <w:b w:val="0"/>
            <w:bCs w:val="0"/>
            <w:color w:val="000000"/>
            <w:sz w:val="16"/>
            <w:szCs w:val="16"/>
            <w:lang w:val="es-CO"/>
          </w:rPr>
          <w:t>preocupación por la situación de derechos humanos en Colombia</w:t>
        </w:r>
      </w:hyperlink>
      <w:r w:rsidRPr="00D02BFE">
        <w:rPr>
          <w:rFonts w:ascii="Cambria" w:eastAsia="Cambria" w:hAnsi="Cambria" w:cs="Cambria"/>
          <w:b w:val="0"/>
          <w:bCs w:val="0"/>
          <w:color w:val="000000"/>
          <w:sz w:val="16"/>
          <w:szCs w:val="16"/>
          <w:u w:color="FF0000"/>
          <w:lang w:val="es-ES_tradnl"/>
        </w:rPr>
        <w:t xml:space="preserve">. Washington D.C., 26 de marzo de 2020. CIDH, Comunicado de prensa 174/20 - </w:t>
      </w:r>
      <w:hyperlink r:id="rId10" w:history="1">
        <w:r w:rsidRPr="00D02BFE">
          <w:rPr>
            <w:rStyle w:val="Hyperlink"/>
            <w:rFonts w:ascii="Cambria" w:hAnsi="Cambria"/>
            <w:b w:val="0"/>
            <w:bCs w:val="0"/>
            <w:color w:val="000000"/>
            <w:sz w:val="16"/>
            <w:szCs w:val="16"/>
            <w:lang w:val="es-CO"/>
          </w:rPr>
          <w:t>CIDH expresa su preocupación por asesinatos contra personas defensoras de derechos humanos y líderes sociales durante el primer semestre del año en Colombia</w:t>
        </w:r>
      </w:hyperlink>
      <w:r w:rsidRPr="00D02BFE">
        <w:rPr>
          <w:rFonts w:ascii="Cambria" w:eastAsia="Cambria" w:hAnsi="Cambria" w:cs="Cambria"/>
          <w:b w:val="0"/>
          <w:bCs w:val="0"/>
          <w:color w:val="000000"/>
          <w:sz w:val="16"/>
          <w:szCs w:val="16"/>
          <w:u w:color="FF0000"/>
          <w:lang w:val="es-ES_tradnl"/>
        </w:rPr>
        <w:t>. Washington D.C., 23 de julio de 2020.</w:t>
      </w:r>
      <w:r w:rsidR="00DA75C9" w:rsidRPr="00D02BFE">
        <w:rPr>
          <w:rFonts w:ascii="Cambria" w:eastAsia="Cambria" w:hAnsi="Cambria" w:cs="Cambria"/>
          <w:b w:val="0"/>
          <w:bCs w:val="0"/>
          <w:color w:val="000000"/>
          <w:sz w:val="16"/>
          <w:szCs w:val="16"/>
          <w:u w:color="FF0000"/>
          <w:lang w:val="es-ES_tradnl"/>
        </w:rPr>
        <w:t xml:space="preserve"> CIDH, Comunicado de Prensa 13/21 – </w:t>
      </w:r>
      <w:hyperlink r:id="rId11" w:history="1">
        <w:r w:rsidR="00DA75C9" w:rsidRPr="00D02BFE">
          <w:rPr>
            <w:rStyle w:val="Hyperlink"/>
            <w:rFonts w:ascii="Cambria" w:eastAsia="Cambria" w:hAnsi="Cambria" w:cs="Cambria"/>
            <w:b w:val="0"/>
            <w:bCs w:val="0"/>
            <w:color w:val="000000"/>
            <w:sz w:val="16"/>
            <w:szCs w:val="16"/>
            <w:lang w:val="es-ES_tradnl"/>
          </w:rPr>
          <w:t>La CIDH reitera su preocupación por la situación de violencia registrada durante el 2020 contra quienes defienden derechos humanos en Colombia</w:t>
        </w:r>
      </w:hyperlink>
      <w:r w:rsidR="00DA75C9" w:rsidRPr="00D02BFE">
        <w:rPr>
          <w:rFonts w:ascii="Cambria" w:eastAsia="Cambria" w:hAnsi="Cambria" w:cs="Cambria"/>
          <w:b w:val="0"/>
          <w:bCs w:val="0"/>
          <w:color w:val="000000"/>
          <w:sz w:val="16"/>
          <w:szCs w:val="16"/>
          <w:u w:color="FF0000"/>
          <w:lang w:val="es-ES_tradnl"/>
        </w:rPr>
        <w:t xml:space="preserve"> - Washington D.C., 22 de enero de 2021. </w:t>
      </w:r>
    </w:p>
  </w:footnote>
  <w:footnote w:id="11">
    <w:p w14:paraId="29DB5C66" w14:textId="77777777" w:rsidR="00E555B0" w:rsidRPr="00D02BFE" w:rsidRDefault="00E555B0">
      <w:pPr>
        <w:pStyle w:val="FootnoteText"/>
        <w:spacing w:after="120"/>
        <w:ind w:firstLine="720"/>
        <w:jc w:val="both"/>
        <w:rPr>
          <w:rFonts w:ascii="Cambria" w:hAnsi="Cambria"/>
          <w:sz w:val="16"/>
          <w:szCs w:val="16"/>
          <w:lang w:val="es-MX"/>
        </w:rPr>
      </w:pPr>
      <w:r w:rsidRPr="00D02BFE">
        <w:rPr>
          <w:rFonts w:ascii="Cambria" w:eastAsia="Cambria" w:hAnsi="Cambria" w:cs="Cambria"/>
          <w:sz w:val="16"/>
          <w:szCs w:val="16"/>
          <w:vertAlign w:val="superscript"/>
          <w:lang w:val="es-ES_tradnl"/>
        </w:rPr>
        <w:footnoteRef/>
      </w:r>
      <w:r w:rsidRPr="00D02BFE">
        <w:rPr>
          <w:rFonts w:ascii="Cambria" w:eastAsia="Cambria" w:hAnsi="Cambria" w:cs="Cambria"/>
          <w:sz w:val="16"/>
          <w:szCs w:val="16"/>
          <w:lang w:val="es-ES_tradnl"/>
        </w:rPr>
        <w:t xml:space="preserve"> Agencia Nacional de Defensa Jurídica del Estado, </w:t>
      </w:r>
      <w:hyperlink r:id="rId12" w:history="1">
        <w:r w:rsidRPr="00D02BFE">
          <w:rPr>
            <w:rStyle w:val="Hyperlink2"/>
          </w:rPr>
          <w:t xml:space="preserve">“Estado reconoce responsabilidad internacional en caso de José </w:t>
        </w:r>
        <w:proofErr w:type="spellStart"/>
        <w:r w:rsidRPr="00D02BFE">
          <w:rPr>
            <w:rStyle w:val="Hyperlink2"/>
          </w:rPr>
          <w:t>Rusbel</w:t>
        </w:r>
        <w:proofErr w:type="spellEnd"/>
        <w:r w:rsidRPr="00D02BFE">
          <w:rPr>
            <w:rStyle w:val="Hyperlink2"/>
          </w:rPr>
          <w:t xml:space="preserve"> Lara”</w:t>
        </w:r>
      </w:hyperlink>
      <w:r w:rsidRPr="00D02BFE">
        <w:rPr>
          <w:rFonts w:ascii="Cambria" w:eastAsia="Cambria" w:hAnsi="Cambria" w:cs="Cambria"/>
          <w:sz w:val="16"/>
          <w:szCs w:val="16"/>
          <w:lang w:val="es-ES_tradnl"/>
        </w:rPr>
        <w:t xml:space="preserve">, 6 de noviembre de 2014; El Tiempo, </w:t>
      </w:r>
      <w:hyperlink r:id="rId13" w:history="1">
        <w:r w:rsidRPr="00D02BFE">
          <w:rPr>
            <w:rStyle w:val="Hyperlink2"/>
          </w:rPr>
          <w:t>“</w:t>
        </w:r>
        <w:proofErr w:type="spellStart"/>
        <w:r w:rsidRPr="00D02BFE">
          <w:rPr>
            <w:rStyle w:val="Hyperlink2"/>
          </w:rPr>
          <w:t>Mininterior</w:t>
        </w:r>
        <w:proofErr w:type="spellEnd"/>
        <w:r w:rsidRPr="00D02BFE">
          <w:rPr>
            <w:rStyle w:val="Hyperlink2"/>
          </w:rPr>
          <w:t xml:space="preserve"> pidió perdón por asesinato de defensor de DD.HH”</w:t>
        </w:r>
      </w:hyperlink>
      <w:r w:rsidRPr="00D02BFE">
        <w:rPr>
          <w:rFonts w:ascii="Cambria" w:eastAsia="Cambria" w:hAnsi="Cambria" w:cs="Cambria"/>
          <w:sz w:val="16"/>
          <w:szCs w:val="16"/>
          <w:lang w:val="es-ES_tradnl"/>
        </w:rPr>
        <w:t xml:space="preserve">, 7 de noviembre de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3094" w14:textId="77777777" w:rsidR="001A5A63" w:rsidRPr="00ED1EBA" w:rsidRDefault="001A5A63" w:rsidP="001A5A63">
    <w:pPr>
      <w:pStyle w:val="Header"/>
      <w:spacing w:after="0" w:line="240" w:lineRule="auto"/>
      <w:rPr>
        <w:rFonts w:ascii="Arial" w:hAnsi="Arial" w:cs="Arial"/>
        <w:color w:val="3B3838" w:themeColor="background2" w:themeShade="40"/>
        <w:szCs w:val="28"/>
      </w:rPr>
    </w:pPr>
    <w:r w:rsidRPr="006B1F24">
      <w:rPr>
        <w:noProof/>
        <w:sz w:val="28"/>
        <w:szCs w:val="28"/>
      </w:rPr>
      <w:drawing>
        <wp:anchor distT="0" distB="0" distL="114300" distR="114300" simplePos="0" relativeHeight="251662336" behindDoc="0" locked="0" layoutInCell="1" allowOverlap="1" wp14:anchorId="0C202D10" wp14:editId="496D73B6">
          <wp:simplePos x="0" y="0"/>
          <wp:positionH relativeFrom="column">
            <wp:posOffset>4658995</wp:posOffset>
          </wp:positionH>
          <wp:positionV relativeFrom="paragraph">
            <wp:posOffset>-3447</wp:posOffset>
          </wp:positionV>
          <wp:extent cx="1485900" cy="346075"/>
          <wp:effectExtent l="0" t="0" r="0" b="0"/>
          <wp:wrapSquare wrapText="bothSides"/>
          <wp:docPr id="9" name="Picture 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6FCF01A" wp14:editId="3093C6E6">
          <wp:extent cx="1328057" cy="309334"/>
          <wp:effectExtent l="0" t="0" r="5715" b="0"/>
          <wp:docPr id="10"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Pr>
        <w:rFonts w:ascii="Arial" w:hAnsi="Arial" w:cs="Arial"/>
        <w:color w:val="3B3838" w:themeColor="background2" w:themeShade="40"/>
        <w:szCs w:val="28"/>
      </w:rPr>
      <w:t xml:space="preserve">                      </w:t>
    </w:r>
  </w:p>
  <w:p w14:paraId="47867415" w14:textId="77777777" w:rsidR="001A5A63" w:rsidRPr="00D56DC4" w:rsidRDefault="001A5A63" w:rsidP="001A5A63">
    <w:pPr>
      <w:pStyle w:val="Header"/>
      <w:spacing w:after="0" w:line="240"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1312" behindDoc="0" locked="0" layoutInCell="1" allowOverlap="1" wp14:anchorId="30423AE6" wp14:editId="77DA5F1F">
              <wp:simplePos x="0" y="0"/>
              <wp:positionH relativeFrom="column">
                <wp:posOffset>-5080</wp:posOffset>
              </wp:positionH>
              <wp:positionV relativeFrom="paragraph">
                <wp:posOffset>174133</wp:posOffset>
              </wp:positionV>
              <wp:extent cx="6148358"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FE0B0"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7B67" w14:textId="6809A184" w:rsidR="00795E2D" w:rsidRDefault="001A5A63" w:rsidP="00795E2D">
    <w:pPr>
      <w:pStyle w:val="Header"/>
      <w:spacing w:line="216" w:lineRule="auto"/>
      <w:rPr>
        <w:rFonts w:ascii="Arial" w:hAnsi="Arial" w:cs="Arial"/>
        <w:color w:val="3B3838"/>
        <w:sz w:val="28"/>
        <w:szCs w:val="28"/>
        <w:lang w:val="es-ES"/>
      </w:rPr>
    </w:pPr>
    <w:bookmarkStart w:id="1" w:name="_Hlk58596597"/>
    <w:bookmarkStart w:id="2" w:name="_Hlk58596598"/>
    <w:r>
      <w:rPr>
        <w:noProof/>
      </w:rPr>
      <w:drawing>
        <wp:anchor distT="0" distB="0" distL="114300" distR="114300" simplePos="0" relativeHeight="251658240" behindDoc="0" locked="0" layoutInCell="1" allowOverlap="1" wp14:anchorId="47C1946B" wp14:editId="18469D34">
          <wp:simplePos x="0" y="0"/>
          <wp:positionH relativeFrom="column">
            <wp:posOffset>4088765</wp:posOffset>
          </wp:positionH>
          <wp:positionV relativeFrom="paragraph">
            <wp:posOffset>72390</wp:posOffset>
          </wp:positionV>
          <wp:extent cx="2183130" cy="508635"/>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867B4A5" wp14:editId="6622CAAB">
              <wp:simplePos x="0" y="0"/>
              <wp:positionH relativeFrom="column">
                <wp:posOffset>-166370</wp:posOffset>
              </wp:positionH>
              <wp:positionV relativeFrom="paragraph">
                <wp:posOffset>48895</wp:posOffset>
              </wp:positionV>
              <wp:extent cx="2936875" cy="664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36875" cy="664845"/>
                      </a:xfrm>
                      <a:prstGeom prst="rect">
                        <a:avLst/>
                      </a:prstGeom>
                      <a:noFill/>
                      <a:ln w="6350">
                        <a:noFill/>
                      </a:ln>
                    </wps:spPr>
                    <wps:txbx>
                      <w:txbxContent>
                        <w:p w14:paraId="1275DD14" w14:textId="52DC99AA" w:rsidR="00795E2D" w:rsidRDefault="001A5A63" w:rsidP="00795E2D">
                          <w:r w:rsidRPr="00AD498E">
                            <w:rPr>
                              <w:noProof/>
                            </w:rPr>
                            <w:drawing>
                              <wp:inline distT="0" distB="0" distL="0" distR="0" wp14:anchorId="19DD9655" wp14:editId="16DA618A">
                                <wp:extent cx="2019300" cy="466725"/>
                                <wp:effectExtent l="0" t="0" r="0" b="0"/>
                                <wp:docPr id="5"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67B4A5" id="_x0000_t202" coordsize="21600,21600" o:spt="202" path="m,l,21600r21600,l21600,xe">
              <v:stroke joinstyle="miter"/>
              <v:path gradientshapeok="t" o:connecttype="rect"/>
            </v:shapetype>
            <v:shape id="Text Box 2" o:spid="_x0000_s1026" type="#_x0000_t202" style="position:absolute;margin-left:-13.1pt;margin-top:3.85pt;width:231.25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" filled="f" stroked="f" strokeweight=".5pt">
              <v:textbox>
                <w:txbxContent>
                  <w:p w14:paraId="1275DD14" w14:textId="52DC99AA" w:rsidR="00795E2D" w:rsidRDefault="001A5A63" w:rsidP="00795E2D">
                    <w:r w:rsidRPr="00AD498E">
                      <w:rPr>
                        <w:noProof/>
                      </w:rPr>
                      <w:drawing>
                        <wp:inline distT="0" distB="0" distL="0" distR="0" wp14:anchorId="19DD9655" wp14:editId="16DA618A">
                          <wp:extent cx="2019300" cy="466725"/>
                          <wp:effectExtent l="0" t="0" r="0" b="0"/>
                          <wp:docPr id="5"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p>
                </w:txbxContent>
              </v:textbox>
            </v:shape>
          </w:pict>
        </mc:Fallback>
      </mc:AlternateContent>
    </w:r>
    <w:r w:rsidR="00795E2D" w:rsidRPr="00AD498E">
      <w:rPr>
        <w:rFonts w:ascii="Arial" w:hAnsi="Arial" w:cs="Arial"/>
        <w:color w:val="3B3838"/>
        <w:sz w:val="28"/>
        <w:szCs w:val="28"/>
        <w:lang w:val="es-ES"/>
      </w:rPr>
      <w:softHyphen/>
    </w:r>
    <w:r w:rsidR="00795E2D" w:rsidRPr="00AD498E">
      <w:rPr>
        <w:rFonts w:ascii="Arial" w:hAnsi="Arial" w:cs="Arial"/>
        <w:color w:val="3B3838"/>
        <w:sz w:val="28"/>
        <w:szCs w:val="28"/>
        <w:lang w:val="es-ES"/>
      </w:rPr>
      <w:softHyphen/>
    </w:r>
    <w:r w:rsidR="00795E2D" w:rsidRPr="00AD498E">
      <w:rPr>
        <w:rFonts w:ascii="Arial" w:hAnsi="Arial" w:cs="Arial"/>
        <w:color w:val="3B3838"/>
        <w:sz w:val="28"/>
        <w:szCs w:val="28"/>
        <w:lang w:val="es-ES"/>
      </w:rPr>
      <w:softHyphen/>
    </w:r>
  </w:p>
  <w:p w14:paraId="34C0DFFB" w14:textId="77777777" w:rsidR="00795E2D" w:rsidRPr="00AD498E" w:rsidRDefault="00795E2D" w:rsidP="00795E2D">
    <w:pPr>
      <w:pStyle w:val="Header"/>
      <w:spacing w:line="216" w:lineRule="auto"/>
      <w:rPr>
        <w:rFonts w:ascii="Arial" w:hAnsi="Arial" w:cs="Arial"/>
        <w:color w:val="3B3838"/>
        <w:sz w:val="28"/>
        <w:szCs w:val="28"/>
        <w:lang w:val="es-ES"/>
      </w:rPr>
    </w:pPr>
  </w:p>
  <w:p w14:paraId="665D778C" w14:textId="465EAE7E" w:rsidR="00E555B0" w:rsidRPr="00F27259" w:rsidRDefault="001A5A63" w:rsidP="00F27259">
    <w:pPr>
      <w:pStyle w:val="Header"/>
      <w:spacing w:after="0"/>
      <w:rPr>
        <w:rFonts w:ascii="Arial" w:hAnsi="Arial" w:cs="Arial"/>
        <w:color w:val="3B3838"/>
        <w:sz w:val="28"/>
        <w:szCs w:val="28"/>
        <w:lang w:val="es-ES"/>
      </w:rPr>
    </w:pPr>
    <w:r>
      <w:rPr>
        <w:noProof/>
      </w:rPr>
      <mc:AlternateContent>
        <mc:Choice Requires="wps">
          <w:drawing>
            <wp:anchor distT="4294967294" distB="4294967294" distL="114300" distR="114300" simplePos="0" relativeHeight="251657216" behindDoc="0" locked="0" layoutInCell="1" allowOverlap="1" wp14:anchorId="6D8A0DBB" wp14:editId="48A6E9A8">
              <wp:simplePos x="0" y="0"/>
              <wp:positionH relativeFrom="column">
                <wp:posOffset>-5715</wp:posOffset>
              </wp:positionH>
              <wp:positionV relativeFrom="paragraph">
                <wp:posOffset>167639</wp:posOffset>
              </wp:positionV>
              <wp:extent cx="61480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FA9FE"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" strokecolor="#262626" strokeweight="1.25pt">
              <v:stroke joinstyle="miter"/>
            </v:lin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837"/>
    <w:multiLevelType w:val="hybridMultilevel"/>
    <w:tmpl w:val="BB38CA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303410"/>
    <w:multiLevelType w:val="hybridMultilevel"/>
    <w:tmpl w:val="883E49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D31A59"/>
    <w:multiLevelType w:val="hybridMultilevel"/>
    <w:tmpl w:val="5AEC755A"/>
    <w:lvl w:ilvl="0" w:tplc="3F88940E">
      <w:start w:val="2"/>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060F0A"/>
    <w:multiLevelType w:val="hybridMultilevel"/>
    <w:tmpl w:val="31063FC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1AAF595E"/>
    <w:multiLevelType w:val="hybridMultilevel"/>
    <w:tmpl w:val="0986A07C"/>
    <w:numStyleLink w:val="EstiloImportado4"/>
  </w:abstractNum>
  <w:abstractNum w:abstractNumId="5" w15:restartNumberingAfterBreak="0">
    <w:nsid w:val="1EB36F2A"/>
    <w:multiLevelType w:val="hybridMultilevel"/>
    <w:tmpl w:val="F544FB06"/>
    <w:lvl w:ilvl="0" w:tplc="FD8A27E6">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E15F4"/>
    <w:multiLevelType w:val="hybridMultilevel"/>
    <w:tmpl w:val="C67ABC70"/>
    <w:lvl w:ilvl="0" w:tplc="FD8A27E6">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2052D8"/>
    <w:multiLevelType w:val="hybridMultilevel"/>
    <w:tmpl w:val="DCD4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542F4"/>
    <w:multiLevelType w:val="hybridMultilevel"/>
    <w:tmpl w:val="41A2526E"/>
    <w:numStyleLink w:val="EstiloImportado5"/>
  </w:abstractNum>
  <w:abstractNum w:abstractNumId="9" w15:restartNumberingAfterBreak="0">
    <w:nsid w:val="32424392"/>
    <w:multiLevelType w:val="hybridMultilevel"/>
    <w:tmpl w:val="618E0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964FF0"/>
    <w:multiLevelType w:val="hybridMultilevel"/>
    <w:tmpl w:val="9A927202"/>
    <w:lvl w:ilvl="0" w:tplc="FFFFFFFF">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FFFFFF">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FFFFFF">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FFFFFFF">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FFFFFF">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FFFFFFF">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FFFFFFF">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FFFFFF">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40275928"/>
    <w:multiLevelType w:val="hybridMultilevel"/>
    <w:tmpl w:val="41A2526E"/>
    <w:styleLink w:val="EstiloImportado5"/>
    <w:lvl w:ilvl="0" w:tplc="C274505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FB8A12C">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9063A4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F90FDE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AE8A8E">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034246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F80AF4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02894EE">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52A6502">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41657C0A"/>
    <w:multiLevelType w:val="hybridMultilevel"/>
    <w:tmpl w:val="9A927202"/>
    <w:styleLink w:val="EstiloImportado2"/>
    <w:lvl w:ilvl="0" w:tplc="371ECF2E">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47A3860">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A6C10E8">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D58DD96">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8CE9C0C">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9BEE666">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E1A250A">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0986E98">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68CCFEA">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4583772B"/>
    <w:multiLevelType w:val="hybridMultilevel"/>
    <w:tmpl w:val="D9B6B22C"/>
    <w:lvl w:ilvl="0" w:tplc="16006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6FF1"/>
    <w:multiLevelType w:val="hybridMultilevel"/>
    <w:tmpl w:val="7C12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6840"/>
    <w:multiLevelType w:val="hybridMultilevel"/>
    <w:tmpl w:val="6D62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321A1"/>
    <w:multiLevelType w:val="hybridMultilevel"/>
    <w:tmpl w:val="B2249B5C"/>
    <w:styleLink w:val="EstiloImportado3"/>
    <w:lvl w:ilvl="0" w:tplc="AB5C5D70">
      <w:start w:val="1"/>
      <w:numFmt w:val="upperLetter"/>
      <w:lvlText w:val="%1."/>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3861354">
      <w:start w:val="1"/>
      <w:numFmt w:val="lowerLetter"/>
      <w:lvlText w:val="%2."/>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974991E">
      <w:start w:val="1"/>
      <w:numFmt w:val="lowerRoman"/>
      <w:lvlText w:val="%3."/>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A2EE710">
      <w:start w:val="1"/>
      <w:numFmt w:val="decimal"/>
      <w:lvlText w:val="%4."/>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5B4DA08">
      <w:start w:val="1"/>
      <w:numFmt w:val="lowerLetter"/>
      <w:lvlText w:val="%5."/>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7E4CEB2">
      <w:start w:val="1"/>
      <w:numFmt w:val="lowerRoman"/>
      <w:lvlText w:val="%6."/>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49CFEDA">
      <w:start w:val="1"/>
      <w:numFmt w:val="decimal"/>
      <w:lvlText w:val="%7."/>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71231DE">
      <w:start w:val="1"/>
      <w:numFmt w:val="lowerLetter"/>
      <w:lvlText w:val="%8."/>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CC28F8">
      <w:start w:val="1"/>
      <w:numFmt w:val="lowerRoman"/>
      <w:lvlText w:val="%9."/>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562B6CCA"/>
    <w:multiLevelType w:val="hybridMultilevel"/>
    <w:tmpl w:val="7FB24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9F4483"/>
    <w:multiLevelType w:val="hybridMultilevel"/>
    <w:tmpl w:val="9A927202"/>
    <w:numStyleLink w:val="EstiloImportado2"/>
  </w:abstractNum>
  <w:abstractNum w:abstractNumId="19" w15:restartNumberingAfterBreak="0">
    <w:nsid w:val="5BDB1FEE"/>
    <w:multiLevelType w:val="hybridMultilevel"/>
    <w:tmpl w:val="27044290"/>
    <w:lvl w:ilvl="0" w:tplc="FD8A27E6">
      <w:start w:val="1"/>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FB3C7D"/>
    <w:multiLevelType w:val="hybridMultilevel"/>
    <w:tmpl w:val="B2249B5C"/>
    <w:numStyleLink w:val="EstiloImportado3"/>
  </w:abstractNum>
  <w:abstractNum w:abstractNumId="21" w15:restartNumberingAfterBreak="0">
    <w:nsid w:val="606B39E7"/>
    <w:multiLevelType w:val="hybridMultilevel"/>
    <w:tmpl w:val="47609AB8"/>
    <w:lvl w:ilvl="0" w:tplc="2182CC8A">
      <w:start w:val="1"/>
      <w:numFmt w:val="bullet"/>
      <w:lvlText w:val="-"/>
      <w:lvlJc w:val="left"/>
      <w:pPr>
        <w:ind w:left="1800" w:hanging="360"/>
      </w:pPr>
      <w:rPr>
        <w:rFonts w:ascii="Cambria" w:eastAsia="Cambria" w:hAnsi="Cambria" w:cs="Cambria"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22E508B"/>
    <w:multiLevelType w:val="hybridMultilevel"/>
    <w:tmpl w:val="32A2FAF4"/>
    <w:styleLink w:val="EstiloImportado1"/>
    <w:lvl w:ilvl="0" w:tplc="2EE0D09E">
      <w:start w:val="1"/>
      <w:numFmt w:val="upperRoman"/>
      <w:lvlText w:val="%1."/>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3440998">
      <w:start w:val="1"/>
      <w:numFmt w:val="lowerLetter"/>
      <w:lvlText w:val="%2."/>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B84EED4">
      <w:start w:val="1"/>
      <w:numFmt w:val="lowerRoman"/>
      <w:lvlText w:val="%3."/>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B0C456">
      <w:start w:val="1"/>
      <w:numFmt w:val="decimal"/>
      <w:lvlText w:val="%4."/>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D04B9F2">
      <w:start w:val="1"/>
      <w:numFmt w:val="lowerLetter"/>
      <w:lvlText w:val="%5."/>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DF21900">
      <w:start w:val="1"/>
      <w:numFmt w:val="lowerRoman"/>
      <w:lvlText w:val="%6."/>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E64FB42">
      <w:start w:val="1"/>
      <w:numFmt w:val="decimal"/>
      <w:lvlText w:val="%7."/>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9D8EFE6">
      <w:start w:val="1"/>
      <w:numFmt w:val="lowerLetter"/>
      <w:lvlText w:val="%8."/>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262C1F0">
      <w:start w:val="1"/>
      <w:numFmt w:val="lowerRoman"/>
      <w:lvlText w:val="%9."/>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63C4205D"/>
    <w:multiLevelType w:val="hybridMultilevel"/>
    <w:tmpl w:val="9ACC0B18"/>
    <w:lvl w:ilvl="0" w:tplc="FD8A27E6">
      <w:start w:val="1"/>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3E436C"/>
    <w:multiLevelType w:val="hybridMultilevel"/>
    <w:tmpl w:val="70F4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6088A"/>
    <w:multiLevelType w:val="hybridMultilevel"/>
    <w:tmpl w:val="A53214C4"/>
    <w:lvl w:ilvl="0" w:tplc="623C0B9A">
      <w:start w:val="5"/>
      <w:numFmt w:val="bullet"/>
      <w:lvlText w:val="-"/>
      <w:lvlJc w:val="left"/>
      <w:pPr>
        <w:ind w:left="1068" w:hanging="360"/>
      </w:pPr>
      <w:rPr>
        <w:rFonts w:ascii="Cambria" w:eastAsia="Calibri Light" w:hAnsi="Cambria" w:cs="Calibri Light"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6EDB1692"/>
    <w:multiLevelType w:val="hybridMultilevel"/>
    <w:tmpl w:val="341C5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2E420C"/>
    <w:multiLevelType w:val="hybridMultilevel"/>
    <w:tmpl w:val="32A2FAF4"/>
    <w:numStyleLink w:val="EstiloImportado1"/>
  </w:abstractNum>
  <w:abstractNum w:abstractNumId="28" w15:restartNumberingAfterBreak="0">
    <w:nsid w:val="774443F6"/>
    <w:multiLevelType w:val="hybridMultilevel"/>
    <w:tmpl w:val="0986A07C"/>
    <w:styleLink w:val="EstiloImportado4"/>
    <w:lvl w:ilvl="0" w:tplc="61AC7E2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408AFE6">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D767B2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A466C0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5267720">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BD0572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2168BB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8688DDC">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5EEBDA2">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7A5A0FC8"/>
    <w:multiLevelType w:val="hybridMultilevel"/>
    <w:tmpl w:val="9A927202"/>
    <w:lvl w:ilvl="0" w:tplc="FFFFFFFF">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FFFFFF">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FFFFFF">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FFFFFFF">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FFFFFF">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FFFFFFF">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FFFFFFF">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FFFFFF">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0" w15:restartNumberingAfterBreak="0">
    <w:nsid w:val="7B386AD0"/>
    <w:multiLevelType w:val="hybridMultilevel"/>
    <w:tmpl w:val="8BF6E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8306B7"/>
    <w:multiLevelType w:val="hybridMultilevel"/>
    <w:tmpl w:val="9800B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7"/>
  </w:num>
  <w:num w:numId="3">
    <w:abstractNumId w:val="27"/>
    <w:lvlOverride w:ilvl="0">
      <w:startOverride w:val="2"/>
    </w:lvlOverride>
  </w:num>
  <w:num w:numId="4">
    <w:abstractNumId w:val="27"/>
    <w:lvlOverride w:ilvl="0">
      <w:startOverride w:val="3"/>
    </w:lvlOverride>
  </w:num>
  <w:num w:numId="5">
    <w:abstractNumId w:val="12"/>
  </w:num>
  <w:num w:numId="6">
    <w:abstractNumId w:val="18"/>
  </w:num>
  <w:num w:numId="7">
    <w:abstractNumId w:val="27"/>
    <w:lvlOverride w:ilvl="0">
      <w:startOverride w:val="4"/>
    </w:lvlOverride>
  </w:num>
  <w:num w:numId="8">
    <w:abstractNumId w:val="18"/>
    <w:lvlOverride w:ilvl="0">
      <w:startOverride w:val="3"/>
    </w:lvlOverride>
  </w:num>
  <w:num w:numId="9">
    <w:abstractNumId w:val="27"/>
    <w:lvlOverride w:ilvl="0">
      <w:startOverride w:val="6"/>
    </w:lvlOverride>
  </w:num>
  <w:num w:numId="10">
    <w:abstractNumId w:val="18"/>
  </w:num>
  <w:num w:numId="11">
    <w:abstractNumId w:val="27"/>
    <w:lvlOverride w:ilvl="0">
      <w:startOverride w:val="7"/>
    </w:lvlOverride>
  </w:num>
  <w:num w:numId="12">
    <w:abstractNumId w:val="18"/>
    <w:lvlOverride w:ilvl="0">
      <w:startOverride w:val="12"/>
    </w:lvlOverride>
  </w:num>
  <w:num w:numId="13">
    <w:abstractNumId w:val="16"/>
  </w:num>
  <w:num w:numId="14">
    <w:abstractNumId w:val="20"/>
  </w:num>
  <w:num w:numId="15">
    <w:abstractNumId w:val="28"/>
  </w:num>
  <w:num w:numId="16">
    <w:abstractNumId w:val="4"/>
  </w:num>
  <w:num w:numId="17">
    <w:abstractNumId w:val="20"/>
    <w:lvlOverride w:ilvl="0">
      <w:startOverride w:val="2"/>
    </w:lvlOverride>
  </w:num>
  <w:num w:numId="18">
    <w:abstractNumId w:val="11"/>
  </w:num>
  <w:num w:numId="19">
    <w:abstractNumId w:val="8"/>
  </w:num>
  <w:num w:numId="20">
    <w:abstractNumId w:val="13"/>
  </w:num>
  <w:num w:numId="21">
    <w:abstractNumId w:val="0"/>
  </w:num>
  <w:num w:numId="22">
    <w:abstractNumId w:val="5"/>
  </w:num>
  <w:num w:numId="23">
    <w:abstractNumId w:val="1"/>
  </w:num>
  <w:num w:numId="24">
    <w:abstractNumId w:val="2"/>
  </w:num>
  <w:num w:numId="25">
    <w:abstractNumId w:val="31"/>
  </w:num>
  <w:num w:numId="26">
    <w:abstractNumId w:val="17"/>
  </w:num>
  <w:num w:numId="27">
    <w:abstractNumId w:val="7"/>
  </w:num>
  <w:num w:numId="28">
    <w:abstractNumId w:val="24"/>
  </w:num>
  <w:num w:numId="29">
    <w:abstractNumId w:val="19"/>
  </w:num>
  <w:num w:numId="30">
    <w:abstractNumId w:val="9"/>
  </w:num>
  <w:num w:numId="31">
    <w:abstractNumId w:val="23"/>
  </w:num>
  <w:num w:numId="32">
    <w:abstractNumId w:val="6"/>
  </w:num>
  <w:num w:numId="33">
    <w:abstractNumId w:val="10"/>
  </w:num>
  <w:num w:numId="34">
    <w:abstractNumId w:val="3"/>
  </w:num>
  <w:num w:numId="35">
    <w:abstractNumId w:val="15"/>
  </w:num>
  <w:num w:numId="36">
    <w:abstractNumId w:val="26"/>
  </w:num>
  <w:num w:numId="37">
    <w:abstractNumId w:val="30"/>
  </w:num>
  <w:num w:numId="38">
    <w:abstractNumId w:val="21"/>
  </w:num>
  <w:num w:numId="39">
    <w:abstractNumId w:val="29"/>
  </w:num>
  <w:num w:numId="40">
    <w:abstractNumId w:val="2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E6"/>
    <w:rsid w:val="00020B4D"/>
    <w:rsid w:val="00026565"/>
    <w:rsid w:val="00027565"/>
    <w:rsid w:val="000462AA"/>
    <w:rsid w:val="00052D34"/>
    <w:rsid w:val="000533A4"/>
    <w:rsid w:val="00061150"/>
    <w:rsid w:val="00064E5B"/>
    <w:rsid w:val="000963CF"/>
    <w:rsid w:val="000964B6"/>
    <w:rsid w:val="000A2D67"/>
    <w:rsid w:val="000A4DAC"/>
    <w:rsid w:val="000C5331"/>
    <w:rsid w:val="000D3CC6"/>
    <w:rsid w:val="000E49C1"/>
    <w:rsid w:val="000E643C"/>
    <w:rsid w:val="000F1FD4"/>
    <w:rsid w:val="000F457C"/>
    <w:rsid w:val="001067B2"/>
    <w:rsid w:val="00125171"/>
    <w:rsid w:val="00126D3E"/>
    <w:rsid w:val="0015101D"/>
    <w:rsid w:val="00156E6F"/>
    <w:rsid w:val="00164FD7"/>
    <w:rsid w:val="001823D4"/>
    <w:rsid w:val="001959DD"/>
    <w:rsid w:val="001A5A63"/>
    <w:rsid w:val="001C3991"/>
    <w:rsid w:val="001C5CB1"/>
    <w:rsid w:val="001D44C7"/>
    <w:rsid w:val="001F6251"/>
    <w:rsid w:val="0020777D"/>
    <w:rsid w:val="00210E2C"/>
    <w:rsid w:val="00222489"/>
    <w:rsid w:val="00226EF0"/>
    <w:rsid w:val="002703FD"/>
    <w:rsid w:val="00270510"/>
    <w:rsid w:val="002802EF"/>
    <w:rsid w:val="002805C9"/>
    <w:rsid w:val="00291558"/>
    <w:rsid w:val="00297554"/>
    <w:rsid w:val="002A31DE"/>
    <w:rsid w:val="002A321B"/>
    <w:rsid w:val="002B42CE"/>
    <w:rsid w:val="002B4A65"/>
    <w:rsid w:val="002D2C55"/>
    <w:rsid w:val="002E6DDE"/>
    <w:rsid w:val="002F5612"/>
    <w:rsid w:val="00307F58"/>
    <w:rsid w:val="003423AC"/>
    <w:rsid w:val="00342BD7"/>
    <w:rsid w:val="00346CB7"/>
    <w:rsid w:val="00351AE5"/>
    <w:rsid w:val="00353E53"/>
    <w:rsid w:val="00357186"/>
    <w:rsid w:val="003A3077"/>
    <w:rsid w:val="003C119F"/>
    <w:rsid w:val="003C7EC5"/>
    <w:rsid w:val="003D4BB0"/>
    <w:rsid w:val="003E06D6"/>
    <w:rsid w:val="003E31A3"/>
    <w:rsid w:val="003F2982"/>
    <w:rsid w:val="00401F5A"/>
    <w:rsid w:val="0041171E"/>
    <w:rsid w:val="00432967"/>
    <w:rsid w:val="004452E0"/>
    <w:rsid w:val="00453188"/>
    <w:rsid w:val="004778A6"/>
    <w:rsid w:val="004904D8"/>
    <w:rsid w:val="0049075C"/>
    <w:rsid w:val="00491801"/>
    <w:rsid w:val="00491F25"/>
    <w:rsid w:val="004A0D2D"/>
    <w:rsid w:val="004A0D99"/>
    <w:rsid w:val="004A7F5C"/>
    <w:rsid w:val="004E6841"/>
    <w:rsid w:val="005167AE"/>
    <w:rsid w:val="0052693F"/>
    <w:rsid w:val="00544F97"/>
    <w:rsid w:val="005472E4"/>
    <w:rsid w:val="005474E5"/>
    <w:rsid w:val="00553821"/>
    <w:rsid w:val="00554932"/>
    <w:rsid w:val="00555F80"/>
    <w:rsid w:val="005569D0"/>
    <w:rsid w:val="005577D5"/>
    <w:rsid w:val="00567170"/>
    <w:rsid w:val="00567646"/>
    <w:rsid w:val="0057126D"/>
    <w:rsid w:val="00583571"/>
    <w:rsid w:val="00587368"/>
    <w:rsid w:val="00591199"/>
    <w:rsid w:val="00592381"/>
    <w:rsid w:val="005947DF"/>
    <w:rsid w:val="0059498D"/>
    <w:rsid w:val="005A4F80"/>
    <w:rsid w:val="005B406F"/>
    <w:rsid w:val="005B5441"/>
    <w:rsid w:val="005C2350"/>
    <w:rsid w:val="005C5BE6"/>
    <w:rsid w:val="005D1F20"/>
    <w:rsid w:val="005F460C"/>
    <w:rsid w:val="005F7088"/>
    <w:rsid w:val="005F73AA"/>
    <w:rsid w:val="00616155"/>
    <w:rsid w:val="00617FFD"/>
    <w:rsid w:val="0062388B"/>
    <w:rsid w:val="00635A95"/>
    <w:rsid w:val="00650812"/>
    <w:rsid w:val="00653B43"/>
    <w:rsid w:val="00653B8A"/>
    <w:rsid w:val="00665158"/>
    <w:rsid w:val="006A142B"/>
    <w:rsid w:val="006A5861"/>
    <w:rsid w:val="006A67CA"/>
    <w:rsid w:val="006C31A2"/>
    <w:rsid w:val="006D2786"/>
    <w:rsid w:val="00703535"/>
    <w:rsid w:val="00723F4D"/>
    <w:rsid w:val="00733537"/>
    <w:rsid w:val="00737D55"/>
    <w:rsid w:val="007512B4"/>
    <w:rsid w:val="00751624"/>
    <w:rsid w:val="00752173"/>
    <w:rsid w:val="00754801"/>
    <w:rsid w:val="00760BD9"/>
    <w:rsid w:val="0077387F"/>
    <w:rsid w:val="007746B6"/>
    <w:rsid w:val="007764DD"/>
    <w:rsid w:val="00795DD8"/>
    <w:rsid w:val="00795E2D"/>
    <w:rsid w:val="007D4A83"/>
    <w:rsid w:val="007D535F"/>
    <w:rsid w:val="007E4952"/>
    <w:rsid w:val="008009C6"/>
    <w:rsid w:val="00806502"/>
    <w:rsid w:val="00811BC2"/>
    <w:rsid w:val="00853A24"/>
    <w:rsid w:val="00855114"/>
    <w:rsid w:val="00855FA6"/>
    <w:rsid w:val="00861A62"/>
    <w:rsid w:val="00873CBB"/>
    <w:rsid w:val="00877432"/>
    <w:rsid w:val="00882756"/>
    <w:rsid w:val="00883A32"/>
    <w:rsid w:val="00887B3A"/>
    <w:rsid w:val="008953D2"/>
    <w:rsid w:val="008D772D"/>
    <w:rsid w:val="008E4AC6"/>
    <w:rsid w:val="008F46E9"/>
    <w:rsid w:val="00901867"/>
    <w:rsid w:val="00920C73"/>
    <w:rsid w:val="009215C4"/>
    <w:rsid w:val="00937F2B"/>
    <w:rsid w:val="00946495"/>
    <w:rsid w:val="0095027B"/>
    <w:rsid w:val="0095236C"/>
    <w:rsid w:val="00952FC7"/>
    <w:rsid w:val="009604B4"/>
    <w:rsid w:val="0096654C"/>
    <w:rsid w:val="009734F3"/>
    <w:rsid w:val="009749DF"/>
    <w:rsid w:val="009760FF"/>
    <w:rsid w:val="009A14B1"/>
    <w:rsid w:val="009A63DD"/>
    <w:rsid w:val="009B0DAA"/>
    <w:rsid w:val="009B2258"/>
    <w:rsid w:val="009B4A79"/>
    <w:rsid w:val="009C2EF8"/>
    <w:rsid w:val="009C7416"/>
    <w:rsid w:val="009D08F5"/>
    <w:rsid w:val="00A0715D"/>
    <w:rsid w:val="00A13CAF"/>
    <w:rsid w:val="00A164DA"/>
    <w:rsid w:val="00A45A6E"/>
    <w:rsid w:val="00A62774"/>
    <w:rsid w:val="00A771F4"/>
    <w:rsid w:val="00A810DE"/>
    <w:rsid w:val="00A91929"/>
    <w:rsid w:val="00AD1A14"/>
    <w:rsid w:val="00AE2C2F"/>
    <w:rsid w:val="00AE38D0"/>
    <w:rsid w:val="00AF0754"/>
    <w:rsid w:val="00AF1110"/>
    <w:rsid w:val="00AF1F0F"/>
    <w:rsid w:val="00B11836"/>
    <w:rsid w:val="00B12E2D"/>
    <w:rsid w:val="00B15CA5"/>
    <w:rsid w:val="00B26B06"/>
    <w:rsid w:val="00B37C28"/>
    <w:rsid w:val="00B46DEE"/>
    <w:rsid w:val="00B55A98"/>
    <w:rsid w:val="00B6284F"/>
    <w:rsid w:val="00B65A2B"/>
    <w:rsid w:val="00B66CAC"/>
    <w:rsid w:val="00B75829"/>
    <w:rsid w:val="00B7752F"/>
    <w:rsid w:val="00B80F78"/>
    <w:rsid w:val="00BB0959"/>
    <w:rsid w:val="00BC2F1D"/>
    <w:rsid w:val="00BD0D36"/>
    <w:rsid w:val="00BE4A1D"/>
    <w:rsid w:val="00BF71E1"/>
    <w:rsid w:val="00BF7F26"/>
    <w:rsid w:val="00C022BE"/>
    <w:rsid w:val="00C054A3"/>
    <w:rsid w:val="00C059FF"/>
    <w:rsid w:val="00C078B7"/>
    <w:rsid w:val="00C1088B"/>
    <w:rsid w:val="00C175ED"/>
    <w:rsid w:val="00C526A1"/>
    <w:rsid w:val="00C640C4"/>
    <w:rsid w:val="00C70DCB"/>
    <w:rsid w:val="00C71C60"/>
    <w:rsid w:val="00C74DC9"/>
    <w:rsid w:val="00C75543"/>
    <w:rsid w:val="00C80406"/>
    <w:rsid w:val="00C8482B"/>
    <w:rsid w:val="00C8540A"/>
    <w:rsid w:val="00C86DC9"/>
    <w:rsid w:val="00C945F6"/>
    <w:rsid w:val="00CA6212"/>
    <w:rsid w:val="00CB3E72"/>
    <w:rsid w:val="00CC29D2"/>
    <w:rsid w:val="00CC4F69"/>
    <w:rsid w:val="00D02BFE"/>
    <w:rsid w:val="00D06708"/>
    <w:rsid w:val="00D12695"/>
    <w:rsid w:val="00D77D41"/>
    <w:rsid w:val="00D8031F"/>
    <w:rsid w:val="00D93D1B"/>
    <w:rsid w:val="00D95C60"/>
    <w:rsid w:val="00DA6E6B"/>
    <w:rsid w:val="00DA75C9"/>
    <w:rsid w:val="00DE5E02"/>
    <w:rsid w:val="00DF3D0A"/>
    <w:rsid w:val="00E236A9"/>
    <w:rsid w:val="00E35990"/>
    <w:rsid w:val="00E41055"/>
    <w:rsid w:val="00E42BD1"/>
    <w:rsid w:val="00E47E35"/>
    <w:rsid w:val="00E51A29"/>
    <w:rsid w:val="00E54577"/>
    <w:rsid w:val="00E555B0"/>
    <w:rsid w:val="00E600D9"/>
    <w:rsid w:val="00E756E6"/>
    <w:rsid w:val="00E87D6B"/>
    <w:rsid w:val="00EA527B"/>
    <w:rsid w:val="00EA7A35"/>
    <w:rsid w:val="00EB62B0"/>
    <w:rsid w:val="00EC2655"/>
    <w:rsid w:val="00EC2D4A"/>
    <w:rsid w:val="00ED308A"/>
    <w:rsid w:val="00F01CE9"/>
    <w:rsid w:val="00F213BF"/>
    <w:rsid w:val="00F23C8B"/>
    <w:rsid w:val="00F27259"/>
    <w:rsid w:val="00F3369A"/>
    <w:rsid w:val="00F368A3"/>
    <w:rsid w:val="00F43442"/>
    <w:rsid w:val="00F70C0B"/>
    <w:rsid w:val="00F72C07"/>
    <w:rsid w:val="00F73AE3"/>
    <w:rsid w:val="00F8071B"/>
    <w:rsid w:val="00F84132"/>
    <w:rsid w:val="00F90F38"/>
    <w:rsid w:val="00FC20C0"/>
    <w:rsid w:val="00FC6109"/>
    <w:rsid w:val="00FC6C4D"/>
    <w:rsid w:val="00FD3777"/>
    <w:rsid w:val="00FD6552"/>
    <w:rsid w:val="00FE618D"/>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13D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eastAsia="es-MX"/>
    </w:rPr>
  </w:style>
  <w:style w:type="paragraph" w:styleId="Heading1">
    <w:name w:val="heading 1"/>
    <w:basedOn w:val="Normal"/>
    <w:link w:val="Heading1Char"/>
    <w:uiPriority w:val="9"/>
    <w:qFormat/>
    <w:rsid w:val="00FC61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pBdr>
        <w:top w:val="nil"/>
        <w:left w:val="nil"/>
        <w:bottom w:val="nil"/>
        <w:right w:val="nil"/>
        <w:between w:val="nil"/>
        <w:bar w:val="nil"/>
      </w:pBdr>
      <w:tabs>
        <w:tab w:val="center" w:pos="4513"/>
        <w:tab w:val="right" w:pos="9026"/>
      </w:tabs>
      <w:spacing w:after="200" w:line="276" w:lineRule="auto"/>
    </w:pPr>
    <w:rPr>
      <w:rFonts w:ascii="Calibri" w:eastAsia="Calibri" w:hAnsi="Calibri" w:cs="Calibri"/>
      <w:color w:val="000000"/>
      <w:sz w:val="22"/>
      <w:szCs w:val="22"/>
      <w:u w:color="000000"/>
      <w:bdr w:val="nil"/>
      <w:lang w:val="pt-PT" w:eastAsia="es-MX"/>
    </w:rPr>
  </w:style>
  <w:style w:type="paragraph" w:styleId="Footer">
    <w:name w:val="footer"/>
    <w:pPr>
      <w:pBdr>
        <w:top w:val="nil"/>
        <w:left w:val="nil"/>
        <w:bottom w:val="nil"/>
        <w:right w:val="nil"/>
        <w:between w:val="nil"/>
        <w:bar w:val="nil"/>
      </w:pBdr>
      <w:tabs>
        <w:tab w:val="center" w:pos="4513"/>
        <w:tab w:val="right" w:pos="9026"/>
      </w:tabs>
      <w:spacing w:after="200" w:line="276" w:lineRule="auto"/>
    </w:pPr>
    <w:rPr>
      <w:rFonts w:ascii="Calibri" w:eastAsia="Calibri" w:hAnsi="Calibri" w:cs="Calibri"/>
      <w:color w:val="000000"/>
      <w:sz w:val="22"/>
      <w:szCs w:val="22"/>
      <w:u w:color="000000"/>
      <w:bdr w:val="nil"/>
      <w:lang w:val="pt-PT" w:eastAsia="es-MX"/>
    </w:rPr>
  </w:style>
  <w:style w:type="paragraph" w:customStyle="1" w:styleId="CabealhoeRodap">
    <w:name w:val="Cabeçalho e Rodapé"/>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val="es-MX" w:eastAsia="es-MX"/>
    </w:rPr>
  </w:style>
  <w:style w:type="paragraph" w:styleId="NoSpacing">
    <w:name w:val="No Spacing"/>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eastAsia="es-MX"/>
    </w:rPr>
  </w:style>
  <w:style w:type="numbering" w:customStyle="1" w:styleId="EstiloImportado1">
    <w:name w:val="Estilo Importado 1"/>
    <w:pPr>
      <w:numPr>
        <w:numId w:val="1"/>
      </w:numPr>
    </w:pPr>
  </w:style>
  <w:style w:type="character" w:customStyle="1" w:styleId="Link">
    <w:name w:val="Link"/>
    <w:rPr>
      <w:color w:val="0000FF"/>
      <w:u w:val="single" w:color="0000FF"/>
    </w:rPr>
  </w:style>
  <w:style w:type="character" w:customStyle="1" w:styleId="Hyperlink0">
    <w:name w:val="Hyperlink.0"/>
    <w:rPr>
      <w:color w:val="000000"/>
      <w:u w:val="single" w:color="000000"/>
    </w:rPr>
  </w:style>
  <w:style w:type="character" w:customStyle="1" w:styleId="Hyperlink1">
    <w:name w:val="Hyperlink.1"/>
    <w:rPr>
      <w:color w:val="000000"/>
      <w:u w:val="single" w:color="000000"/>
      <w:lang w:val="es-ES_tradnl"/>
    </w:rPr>
  </w:style>
  <w:style w:type="paragraph" w:styleId="ListParagraph">
    <w:name w:val="List Paragraph"/>
    <w:uiPriority w:val="34"/>
    <w:qFormat/>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es-MX"/>
    </w:rPr>
  </w:style>
  <w:style w:type="numbering" w:customStyle="1" w:styleId="EstiloImportado2">
    <w:name w:val="Estilo Importado 2"/>
    <w:pPr>
      <w:numPr>
        <w:numId w:val="5"/>
      </w:numPr>
    </w:pPr>
  </w:style>
  <w:style w:type="paragraph" w:customStyle="1" w:styleId="Padro">
    <w:name w:val="Padrão"/>
    <w:pPr>
      <w:pBdr>
        <w:top w:val="nil"/>
        <w:left w:val="nil"/>
        <w:bottom w:val="nil"/>
        <w:right w:val="nil"/>
        <w:between w:val="nil"/>
        <w:bar w:val="nil"/>
      </w:pBdr>
    </w:pPr>
    <w:rPr>
      <w:rFonts w:ascii="Helvetica Neue" w:eastAsia="Helvetica Neue" w:hAnsi="Helvetica Neue" w:cs="Helvetica Neue"/>
      <w:color w:val="000000"/>
      <w:sz w:val="22"/>
      <w:szCs w:val="22"/>
      <w:bdr w:val="nil"/>
      <w:lang w:val="es-MX" w:eastAsia="es-MX"/>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fn"/>
    <w:link w:val="FootnoteTextChar"/>
    <w:qFormat/>
    <w:pPr>
      <w:pBdr>
        <w:top w:val="nil"/>
        <w:left w:val="nil"/>
        <w:bottom w:val="nil"/>
        <w:right w:val="nil"/>
        <w:between w:val="nil"/>
        <w:bar w:val="nil"/>
      </w:pBdr>
    </w:pPr>
    <w:rPr>
      <w:rFonts w:eastAsia="Times New Roman"/>
      <w:color w:val="000000"/>
      <w:u w:color="000000"/>
      <w:bdr w:val="nil"/>
      <w:lang w:eastAsia="es-MX"/>
    </w:rPr>
  </w:style>
  <w:style w:type="character" w:customStyle="1" w:styleId="Hyperlink2">
    <w:name w:val="Hyperlink.2"/>
    <w:rPr>
      <w:rFonts w:ascii="Cambria" w:eastAsia="Cambria" w:hAnsi="Cambria" w:cs="Cambria"/>
      <w:color w:val="000000"/>
      <w:sz w:val="16"/>
      <w:szCs w:val="16"/>
      <w:u w:val="single" w:color="000000"/>
      <w:lang w:val="es-ES_tradnl"/>
    </w:rPr>
  </w:style>
  <w:style w:type="character" w:customStyle="1" w:styleId="Hyperlink3">
    <w:name w:val="Hyperlink.3"/>
    <w:rPr>
      <w:rFonts w:ascii="Cambria" w:eastAsia="Cambria" w:hAnsi="Cambria" w:cs="Cambria"/>
      <w:color w:val="FF0000"/>
      <w:sz w:val="16"/>
      <w:szCs w:val="16"/>
      <w:u w:val="single" w:color="FF0000"/>
      <w:lang w:val="es-ES_tradnl"/>
    </w:rPr>
  </w:style>
  <w:style w:type="numbering" w:customStyle="1" w:styleId="EstiloImportado3">
    <w:name w:val="Estilo Importado 3"/>
    <w:pPr>
      <w:numPr>
        <w:numId w:val="13"/>
      </w:numPr>
    </w:pPr>
  </w:style>
  <w:style w:type="numbering" w:customStyle="1" w:styleId="EstiloImportado4">
    <w:name w:val="Estilo Importado 4"/>
    <w:pPr>
      <w:numPr>
        <w:numId w:val="15"/>
      </w:numPr>
    </w:pPr>
  </w:style>
  <w:style w:type="numbering" w:customStyle="1" w:styleId="EstiloImportado5">
    <w:name w:val="Estilo Importado 5"/>
    <w:pPr>
      <w:numPr>
        <w:numId w:val="18"/>
      </w:numPr>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rFonts w:ascii="Calibri" w:eastAsia="Calibri" w:hAnsi="Calibri" w:cs="Calibri"/>
      <w:color w:val="000000"/>
      <w:u w:color="000000"/>
      <w:lang w:val="pt-PT"/>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4918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1801"/>
    <w:rPr>
      <w:rFonts w:ascii="Tahoma" w:eastAsia="Calibri" w:hAnsi="Tahoma" w:cs="Tahoma"/>
      <w:color w:val="000000"/>
      <w:sz w:val="16"/>
      <w:szCs w:val="16"/>
      <w:u w:color="000000"/>
      <w:lang w:val="pt-PT"/>
    </w:rPr>
  </w:style>
  <w:style w:type="paragraph" w:styleId="CommentSubject">
    <w:name w:val="annotation subject"/>
    <w:basedOn w:val="CommentText"/>
    <w:next w:val="CommentText"/>
    <w:link w:val="CommentSubjectChar"/>
    <w:uiPriority w:val="99"/>
    <w:semiHidden/>
    <w:unhideWhenUsed/>
    <w:rsid w:val="00491801"/>
    <w:rPr>
      <w:b/>
      <w:bCs/>
    </w:rPr>
  </w:style>
  <w:style w:type="character" w:customStyle="1" w:styleId="CommentSubjectChar">
    <w:name w:val="Comment Subject Char"/>
    <w:link w:val="CommentSubject"/>
    <w:uiPriority w:val="99"/>
    <w:semiHidden/>
    <w:rsid w:val="00491801"/>
    <w:rPr>
      <w:rFonts w:ascii="Calibri" w:eastAsia="Calibri" w:hAnsi="Calibri" w:cs="Calibri"/>
      <w:b/>
      <w:bCs/>
      <w:color w:val="000000"/>
      <w:u w:color="000000"/>
      <w:lang w:val="pt-PT"/>
    </w:rPr>
  </w:style>
  <w:style w:type="character" w:customStyle="1" w:styleId="HeaderChar">
    <w:name w:val="Header Char"/>
    <w:link w:val="Header"/>
    <w:uiPriority w:val="99"/>
    <w:rsid w:val="00F27259"/>
    <w:rPr>
      <w:rFonts w:ascii="Calibri" w:eastAsia="Calibri" w:hAnsi="Calibri" w:cs="Calibri"/>
      <w:color w:val="000000"/>
      <w:sz w:val="22"/>
      <w:szCs w:val="22"/>
      <w:u w:color="000000"/>
      <w:bdr w:val="nil"/>
      <w:lang w:val="pt-PT" w:eastAsia="es-MX"/>
    </w:rPr>
  </w:style>
  <w:style w:type="character" w:styleId="FootnoteReference">
    <w:name w:val="footnote reference"/>
    <w:aliases w:val="Ref,f1,4,norma"/>
    <w:link w:val="Appelnotedebasde"/>
    <w:uiPriority w:val="99"/>
    <w:unhideWhenUsed/>
    <w:qFormat/>
    <w:rsid w:val="006A67CA"/>
    <w:rPr>
      <w:vertAlign w:val="superscript"/>
    </w:rPr>
  </w:style>
  <w:style w:type="table" w:styleId="TableGrid">
    <w:name w:val="Table Grid"/>
    <w:basedOn w:val="TableNormal"/>
    <w:uiPriority w:val="39"/>
    <w:rsid w:val="002A32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C6109"/>
    <w:rPr>
      <w:rFonts w:eastAsia="Times New Roman"/>
      <w:b/>
      <w:bCs/>
      <w:kern w:val="36"/>
      <w:sz w:val="48"/>
      <w:szCs w:val="48"/>
    </w:rPr>
  </w:style>
  <w:style w:type="character" w:styleId="UnresolvedMention">
    <w:name w:val="Unresolved Mention"/>
    <w:uiPriority w:val="99"/>
    <w:semiHidden/>
    <w:unhideWhenUsed/>
    <w:rsid w:val="00DA75C9"/>
    <w:rPr>
      <w:color w:val="605E5C"/>
      <w:shd w:val="clear" w:color="auto" w:fill="E1DFDD"/>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fn Char"/>
    <w:link w:val="FootnoteText"/>
    <w:qFormat/>
    <w:locked/>
    <w:rsid w:val="009B4A79"/>
    <w:rPr>
      <w:rFonts w:eastAsia="Times New Roman"/>
      <w:color w:val="000000"/>
      <w:u w:color="000000"/>
      <w:bdr w:val="nil"/>
      <w:lang w:eastAsia="es-MX"/>
    </w:rPr>
  </w:style>
  <w:style w:type="paragraph" w:customStyle="1" w:styleId="Appelnotedebasde">
    <w:name w:val="Appel note de bas de..."/>
    <w:basedOn w:val="Normal"/>
    <w:link w:val="FootnoteReference"/>
    <w:uiPriority w:val="99"/>
    <w:rsid w:val="009B4A7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imes New Roman" w:eastAsia="Arial Unicode MS" w:hAnsi="Times New Roman" w:cs="Times New Roman"/>
      <w:color w:val="auto"/>
      <w:sz w:val="20"/>
      <w:szCs w:val="20"/>
      <w:bdr w:val="none" w:sz="0" w:space="0" w:color="auto"/>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101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dh.org/medidas/2002.sp.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idh.oas.org/annualrep/2009sp/Colombia1514-06.sp.htm" TargetMode="External"/><Relationship Id="rId4" Type="http://schemas.openxmlformats.org/officeDocument/2006/relationships/styles" Target="styles.xml"/><Relationship Id="rId9" Type="http://schemas.openxmlformats.org/officeDocument/2006/relationships/hyperlink" Target="http://www.oas.org/es/cidh/decisiones/2017/COPU12713ES.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2018/155.asp" TargetMode="External"/><Relationship Id="rId13" Type="http://schemas.openxmlformats.org/officeDocument/2006/relationships/hyperlink" Target="https://www.eltiempo.com/archivo/documento/CMS-14803888" TargetMode="External"/><Relationship Id="rId3" Type="http://schemas.openxmlformats.org/officeDocument/2006/relationships/hyperlink" Target="http://www.oas.org/es/cidh/decisiones/2017/COPU12713ES.pdf" TargetMode="External"/><Relationship Id="rId7" Type="http://schemas.openxmlformats.org/officeDocument/2006/relationships/hyperlink" Target="http://www.oas.org/es/cidh/decisiones/2017/COPU12713ES.pdf" TargetMode="External"/><Relationship Id="rId12" Type="http://schemas.openxmlformats.org/officeDocument/2006/relationships/hyperlink" Target="https://www.defensajuridica.gov.co/saladeprensa/noticias/Paginas/071114.aspx" TargetMode="External"/><Relationship Id="rId2" Type="http://schemas.openxmlformats.org/officeDocument/2006/relationships/hyperlink" Target="https://www.oas.org/es/cidh/informes/pdfs/DirectricesBasicas-PersonasDefensoras.pdf" TargetMode="External"/><Relationship Id="rId1" Type="http://schemas.openxmlformats.org/officeDocument/2006/relationships/hyperlink" Target="http://www.oas.org/es/cidh/decisiones/2017/COPU12713ES.pdf" TargetMode="External"/><Relationship Id="rId6" Type="http://schemas.openxmlformats.org/officeDocument/2006/relationships/hyperlink" Target="http://www.oas.org/es/cidh/decisiones/2017/COPU12713ES.pdf" TargetMode="External"/><Relationship Id="rId11" Type="http://schemas.openxmlformats.org/officeDocument/2006/relationships/hyperlink" Target="http://www.oas.org/es/CIDH/jsForm/?File=/es/cidh/prensa/comunicados/2021/013.asp" TargetMode="External"/><Relationship Id="rId5" Type="http://schemas.openxmlformats.org/officeDocument/2006/relationships/hyperlink" Target="http://www.oas.org/es/cidh/decisiones/2017/COPU12713ES.pdf" TargetMode="External"/><Relationship Id="rId10" Type="http://schemas.openxmlformats.org/officeDocument/2006/relationships/hyperlink" Target="http://oas.org/es/cidh/prensa/comunicados/2020/174.asp" TargetMode="External"/><Relationship Id="rId4" Type="http://schemas.openxmlformats.org/officeDocument/2006/relationships/hyperlink" Target="http://www.oas.org/es/cidh/decisiones/2017/COPU12713ES.pdf" TargetMode="External"/><Relationship Id="rId9" Type="http://schemas.openxmlformats.org/officeDocument/2006/relationships/hyperlink" Target="http://oas.org/es/cidh/prensa/comunicados/2020/062.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E6E909C-4F22-475D-98AE-A84C57B711BE}">
  <ds:schemaRefs>
    <ds:schemaRef ds:uri="http://schemas.openxmlformats.org/officeDocument/2006/bibliography"/>
  </ds:schemaRefs>
</ds:datastoreItem>
</file>

<file path=customXml/itemProps2.xml><?xml version="1.0" encoding="utf-8"?>
<ds:datastoreItem xmlns:ds="http://schemas.openxmlformats.org/officeDocument/2006/customXml" ds:itemID="{0436A3FB-1981-4B1B-8B86-4DCD666928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10452</Words>
  <Characters>59579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69892</CharactersWithSpaces>
  <SharedDoc>false</SharedDoc>
  <HLinks>
    <vt:vector size="96" baseType="variant">
      <vt:variant>
        <vt:i4>3539059</vt:i4>
      </vt:variant>
      <vt:variant>
        <vt:i4>6</vt:i4>
      </vt:variant>
      <vt:variant>
        <vt:i4>0</vt:i4>
      </vt:variant>
      <vt:variant>
        <vt:i4>5</vt:i4>
      </vt:variant>
      <vt:variant>
        <vt:lpwstr>http://www.cidh.org/medidas/2002.sp.htm</vt:lpwstr>
      </vt:variant>
      <vt:variant>
        <vt:lpwstr/>
      </vt:variant>
      <vt:variant>
        <vt:i4>7143539</vt:i4>
      </vt:variant>
      <vt:variant>
        <vt:i4>3</vt:i4>
      </vt:variant>
      <vt:variant>
        <vt:i4>0</vt:i4>
      </vt:variant>
      <vt:variant>
        <vt:i4>5</vt:i4>
      </vt:variant>
      <vt:variant>
        <vt:lpwstr>http://www.cidh.oas.org/annualrep/2009sp/Colombia1514-06.sp.htm</vt:lpwstr>
      </vt:variant>
      <vt:variant>
        <vt:lpwstr/>
      </vt:variant>
      <vt:variant>
        <vt:i4>6357115</vt:i4>
      </vt:variant>
      <vt:variant>
        <vt:i4>0</vt:i4>
      </vt:variant>
      <vt:variant>
        <vt:i4>0</vt:i4>
      </vt:variant>
      <vt:variant>
        <vt:i4>5</vt:i4>
      </vt:variant>
      <vt:variant>
        <vt:lpwstr>http://www.oas.org/es/cidh/decisiones/2017/COPU12713ES.pdf</vt:lpwstr>
      </vt:variant>
      <vt:variant>
        <vt:lpwstr/>
      </vt:variant>
      <vt:variant>
        <vt:i4>3932209</vt:i4>
      </vt:variant>
      <vt:variant>
        <vt:i4>36</vt:i4>
      </vt:variant>
      <vt:variant>
        <vt:i4>0</vt:i4>
      </vt:variant>
      <vt:variant>
        <vt:i4>5</vt:i4>
      </vt:variant>
      <vt:variant>
        <vt:lpwstr>https://www.eltiempo.com/archivo/documento/CMS-14803888</vt:lpwstr>
      </vt:variant>
      <vt:variant>
        <vt:lpwstr/>
      </vt:variant>
      <vt:variant>
        <vt:i4>1376334</vt:i4>
      </vt:variant>
      <vt:variant>
        <vt:i4>33</vt:i4>
      </vt:variant>
      <vt:variant>
        <vt:i4>0</vt:i4>
      </vt:variant>
      <vt:variant>
        <vt:i4>5</vt:i4>
      </vt:variant>
      <vt:variant>
        <vt:lpwstr>https://www.defensajuridica.gov.co/saladeprensa/noticias/Paginas/071114.aspx</vt:lpwstr>
      </vt:variant>
      <vt:variant>
        <vt:lpwstr/>
      </vt:variant>
      <vt:variant>
        <vt:i4>5308421</vt:i4>
      </vt:variant>
      <vt:variant>
        <vt:i4>30</vt:i4>
      </vt:variant>
      <vt:variant>
        <vt:i4>0</vt:i4>
      </vt:variant>
      <vt:variant>
        <vt:i4>5</vt:i4>
      </vt:variant>
      <vt:variant>
        <vt:lpwstr>http://www.oas.org/es/CIDH/jsForm/?File=/es/cidh/prensa/comunicados/2021/013.asp</vt:lpwstr>
      </vt:variant>
      <vt:variant>
        <vt:lpwstr/>
      </vt:variant>
      <vt:variant>
        <vt:i4>8061036</vt:i4>
      </vt:variant>
      <vt:variant>
        <vt:i4>27</vt:i4>
      </vt:variant>
      <vt:variant>
        <vt:i4>0</vt:i4>
      </vt:variant>
      <vt:variant>
        <vt:i4>5</vt:i4>
      </vt:variant>
      <vt:variant>
        <vt:lpwstr>http://oas.org/es/cidh/prensa/comunicados/2020/174.asp</vt:lpwstr>
      </vt:variant>
      <vt:variant>
        <vt:lpwstr/>
      </vt:variant>
      <vt:variant>
        <vt:i4>8126573</vt:i4>
      </vt:variant>
      <vt:variant>
        <vt:i4>24</vt:i4>
      </vt:variant>
      <vt:variant>
        <vt:i4>0</vt:i4>
      </vt:variant>
      <vt:variant>
        <vt:i4>5</vt:i4>
      </vt:variant>
      <vt:variant>
        <vt:lpwstr>http://oas.org/es/cidh/prensa/comunicados/2020/062.asp</vt:lpwstr>
      </vt:variant>
      <vt:variant>
        <vt:lpwstr/>
      </vt:variant>
      <vt:variant>
        <vt:i4>7471156</vt:i4>
      </vt:variant>
      <vt:variant>
        <vt:i4>21</vt:i4>
      </vt:variant>
      <vt:variant>
        <vt:i4>0</vt:i4>
      </vt:variant>
      <vt:variant>
        <vt:i4>5</vt:i4>
      </vt:variant>
      <vt:variant>
        <vt:lpwstr>http://www.oas.org/es/cidh/prensa/comunicados/2018/155.asp</vt:lpwstr>
      </vt:variant>
      <vt:variant>
        <vt:lpwstr/>
      </vt:variant>
      <vt:variant>
        <vt:i4>6357115</vt:i4>
      </vt:variant>
      <vt:variant>
        <vt:i4>18</vt:i4>
      </vt:variant>
      <vt:variant>
        <vt:i4>0</vt:i4>
      </vt:variant>
      <vt:variant>
        <vt:i4>5</vt:i4>
      </vt:variant>
      <vt:variant>
        <vt:lpwstr>http://www.oas.org/es/cidh/decisiones/2017/COPU12713ES.pdf</vt:lpwstr>
      </vt:variant>
      <vt:variant>
        <vt:lpwstr/>
      </vt:variant>
      <vt:variant>
        <vt:i4>6357115</vt:i4>
      </vt:variant>
      <vt:variant>
        <vt:i4>15</vt:i4>
      </vt:variant>
      <vt:variant>
        <vt:i4>0</vt:i4>
      </vt:variant>
      <vt:variant>
        <vt:i4>5</vt:i4>
      </vt:variant>
      <vt:variant>
        <vt:lpwstr>http://www.oas.org/es/cidh/decisiones/2017/COPU12713ES.pdf</vt:lpwstr>
      </vt:variant>
      <vt:variant>
        <vt:lpwstr/>
      </vt:variant>
      <vt:variant>
        <vt:i4>6357115</vt:i4>
      </vt:variant>
      <vt:variant>
        <vt:i4>12</vt:i4>
      </vt:variant>
      <vt:variant>
        <vt:i4>0</vt:i4>
      </vt:variant>
      <vt:variant>
        <vt:i4>5</vt:i4>
      </vt:variant>
      <vt:variant>
        <vt:lpwstr>http://www.oas.org/es/cidh/decisiones/2017/COPU12713ES.pdf</vt:lpwstr>
      </vt:variant>
      <vt:variant>
        <vt:lpwstr/>
      </vt:variant>
      <vt:variant>
        <vt:i4>6357115</vt:i4>
      </vt:variant>
      <vt:variant>
        <vt:i4>9</vt:i4>
      </vt:variant>
      <vt:variant>
        <vt:i4>0</vt:i4>
      </vt:variant>
      <vt:variant>
        <vt:i4>5</vt:i4>
      </vt:variant>
      <vt:variant>
        <vt:lpwstr>http://www.oas.org/es/cidh/decisiones/2017/COPU12713ES.pdf</vt:lpwstr>
      </vt:variant>
      <vt:variant>
        <vt:lpwstr/>
      </vt:variant>
      <vt:variant>
        <vt:i4>6357115</vt:i4>
      </vt:variant>
      <vt:variant>
        <vt:i4>6</vt:i4>
      </vt:variant>
      <vt:variant>
        <vt:i4>0</vt:i4>
      </vt:variant>
      <vt:variant>
        <vt:i4>5</vt:i4>
      </vt:variant>
      <vt:variant>
        <vt:lpwstr>http://www.oas.org/es/cidh/decisiones/2017/COPU12713ES.pdf</vt:lpwstr>
      </vt:variant>
      <vt:variant>
        <vt:lpwstr/>
      </vt:variant>
      <vt:variant>
        <vt:i4>7733349</vt:i4>
      </vt:variant>
      <vt:variant>
        <vt:i4>3</vt:i4>
      </vt:variant>
      <vt:variant>
        <vt:i4>0</vt:i4>
      </vt:variant>
      <vt:variant>
        <vt:i4>5</vt:i4>
      </vt:variant>
      <vt:variant>
        <vt:lpwstr>https://www.oas.org/es/cidh/informes/pdfs/DirectricesBasicas-PersonasDefensoras.pdf</vt:lpwstr>
      </vt:variant>
      <vt:variant>
        <vt:lpwstr/>
      </vt:variant>
      <vt:variant>
        <vt:i4>6357115</vt:i4>
      </vt:variant>
      <vt:variant>
        <vt:i4>0</vt:i4>
      </vt:variant>
      <vt:variant>
        <vt:i4>0</vt:i4>
      </vt:variant>
      <vt:variant>
        <vt:i4>5</vt:i4>
      </vt:variant>
      <vt:variant>
        <vt:lpwstr>http://www.oas.org/es/cidh/decisiones/2017/COPU12713ES.pdf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2022-03-22T14:02:00Z</dcterms:created>
  <dcterms:modified xsi:type="dcterms:W3CDTF">2022-03-22T14:02:00Z</dcterms:modified>
</cp:coreProperties>
</file>