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06BBE0" w14:textId="77777777" w:rsidR="00795351" w:rsidRPr="002B2578" w:rsidRDefault="00795351">
      <w:pPr>
        <w:pStyle w:val="NoSpacing"/>
        <w:jc w:val="center"/>
        <w:rPr>
          <w:rFonts w:ascii="Cambria" w:eastAsia="Cambria" w:hAnsi="Cambria" w:cs="Cambria"/>
          <w:b/>
          <w:bCs/>
          <w:sz w:val="20"/>
          <w:szCs w:val="20"/>
          <w:lang w:val="es-ES_tradnl"/>
        </w:rPr>
      </w:pPr>
    </w:p>
    <w:p w14:paraId="136269CD" w14:textId="77777777" w:rsidR="00795351" w:rsidRPr="002B2578" w:rsidRDefault="007E7DF0">
      <w:pPr>
        <w:pStyle w:val="NoSpacing"/>
        <w:jc w:val="center"/>
        <w:rPr>
          <w:rFonts w:ascii="Cambria" w:eastAsia="Cambria" w:hAnsi="Cambria" w:cs="Cambria"/>
          <w:b/>
          <w:bCs/>
          <w:sz w:val="20"/>
          <w:szCs w:val="20"/>
          <w:lang w:val="es-ES_tradnl"/>
        </w:rPr>
      </w:pPr>
      <w:r w:rsidRPr="002B2578">
        <w:rPr>
          <w:rFonts w:ascii="Cambria" w:eastAsia="Cambria" w:hAnsi="Cambria" w:cs="Cambria"/>
          <w:b/>
          <w:bCs/>
          <w:sz w:val="20"/>
          <w:szCs w:val="20"/>
          <w:lang w:val="es-ES_tradnl"/>
        </w:rPr>
        <w:t>FICHA DE SEGUIMIENTO DEL INFORME Nº 64/01</w:t>
      </w:r>
    </w:p>
    <w:p w14:paraId="4181A6D4" w14:textId="77777777" w:rsidR="00795351" w:rsidRPr="002B2578" w:rsidRDefault="007E7DF0">
      <w:pPr>
        <w:pStyle w:val="NoSpacing"/>
        <w:jc w:val="center"/>
        <w:rPr>
          <w:rFonts w:ascii="Cambria" w:eastAsia="Cambria" w:hAnsi="Cambria" w:cs="Cambria"/>
          <w:b/>
          <w:bCs/>
          <w:sz w:val="20"/>
          <w:szCs w:val="20"/>
          <w:lang w:val="es-ES_tradnl"/>
        </w:rPr>
      </w:pPr>
      <w:r w:rsidRPr="002B2578">
        <w:rPr>
          <w:rFonts w:ascii="Cambria" w:eastAsia="Cambria" w:hAnsi="Cambria" w:cs="Cambria"/>
          <w:b/>
          <w:bCs/>
          <w:sz w:val="20"/>
          <w:szCs w:val="20"/>
          <w:lang w:val="es-ES_tradnl"/>
        </w:rPr>
        <w:t>CASO 11.712</w:t>
      </w:r>
    </w:p>
    <w:p w14:paraId="25E9E630" w14:textId="77777777" w:rsidR="00795351" w:rsidRPr="002B2578" w:rsidRDefault="007E7DF0">
      <w:pPr>
        <w:pStyle w:val="NoSpacing"/>
        <w:jc w:val="center"/>
        <w:rPr>
          <w:rFonts w:ascii="Cambria" w:eastAsia="Cambria" w:hAnsi="Cambria" w:cs="Cambria"/>
          <w:b/>
          <w:bCs/>
          <w:sz w:val="20"/>
          <w:szCs w:val="20"/>
          <w:lang w:val="es-ES_tradnl"/>
        </w:rPr>
      </w:pPr>
      <w:r w:rsidRPr="002B2578">
        <w:rPr>
          <w:rFonts w:ascii="Cambria" w:eastAsia="Cambria" w:hAnsi="Cambria" w:cs="Cambria"/>
          <w:b/>
          <w:bCs/>
          <w:sz w:val="20"/>
          <w:szCs w:val="20"/>
          <w:lang w:val="es-ES_tradnl"/>
        </w:rPr>
        <w:t>LEONEL DE JESÚS ISAZA ECHEVERRY Y OTROS</w:t>
      </w:r>
    </w:p>
    <w:p w14:paraId="19308ABE" w14:textId="77777777" w:rsidR="00795351" w:rsidRPr="002B2578" w:rsidRDefault="005116CE" w:rsidP="005116CE">
      <w:pPr>
        <w:pStyle w:val="NoSpacing"/>
        <w:tabs>
          <w:tab w:val="left" w:pos="3790"/>
          <w:tab w:val="center" w:pos="4680"/>
        </w:tabs>
        <w:rPr>
          <w:rFonts w:ascii="Cambria" w:eastAsia="Cambria" w:hAnsi="Cambria" w:cs="Cambria"/>
          <w:b/>
          <w:bCs/>
          <w:sz w:val="20"/>
          <w:szCs w:val="20"/>
          <w:lang w:val="es-ES_tradnl"/>
        </w:rPr>
      </w:pPr>
      <w:r w:rsidRPr="002B2578">
        <w:rPr>
          <w:rFonts w:ascii="Cambria" w:eastAsia="Cambria" w:hAnsi="Cambria" w:cs="Cambria"/>
          <w:b/>
          <w:bCs/>
          <w:sz w:val="20"/>
          <w:szCs w:val="20"/>
          <w:lang w:val="es-ES_tradnl"/>
        </w:rPr>
        <w:tab/>
      </w:r>
      <w:r w:rsidRPr="002B2578">
        <w:rPr>
          <w:rFonts w:ascii="Cambria" w:eastAsia="Cambria" w:hAnsi="Cambria" w:cs="Cambria"/>
          <w:b/>
          <w:bCs/>
          <w:sz w:val="20"/>
          <w:szCs w:val="20"/>
          <w:lang w:val="es-ES_tradnl"/>
        </w:rPr>
        <w:tab/>
      </w:r>
      <w:r w:rsidR="007E7DF0" w:rsidRPr="002B2578">
        <w:rPr>
          <w:rFonts w:ascii="Cambria" w:eastAsia="Cambria" w:hAnsi="Cambria" w:cs="Cambria"/>
          <w:b/>
          <w:bCs/>
          <w:sz w:val="20"/>
          <w:szCs w:val="20"/>
          <w:lang w:val="es-ES_tradnl"/>
        </w:rPr>
        <w:t>(Colombia)</w:t>
      </w:r>
    </w:p>
    <w:p w14:paraId="7647638D" w14:textId="77777777" w:rsidR="00795351" w:rsidRPr="002B2578" w:rsidRDefault="00795351">
      <w:pPr>
        <w:pStyle w:val="NoSpacing"/>
        <w:jc w:val="center"/>
        <w:rPr>
          <w:rFonts w:ascii="Cambria" w:eastAsia="Cambria" w:hAnsi="Cambria" w:cs="Cambria"/>
          <w:b/>
          <w:bCs/>
          <w:sz w:val="20"/>
          <w:szCs w:val="20"/>
          <w:lang w:val="es-ES_tradnl"/>
        </w:rPr>
      </w:pPr>
    </w:p>
    <w:p w14:paraId="2BC311D5" w14:textId="77777777" w:rsidR="00795351" w:rsidRPr="002B2578" w:rsidRDefault="007E7DF0">
      <w:pPr>
        <w:pStyle w:val="Corpo"/>
        <w:numPr>
          <w:ilvl w:val="0"/>
          <w:numId w:val="2"/>
        </w:numPr>
        <w:spacing w:after="0" w:line="240" w:lineRule="auto"/>
        <w:rPr>
          <w:rFonts w:ascii="Cambria" w:eastAsia="Cambria" w:hAnsi="Cambria" w:cs="Cambria"/>
          <w:b/>
          <w:bCs/>
          <w:sz w:val="20"/>
          <w:szCs w:val="20"/>
        </w:rPr>
      </w:pPr>
      <w:r w:rsidRPr="002B2578">
        <w:rPr>
          <w:rFonts w:ascii="Cambria" w:eastAsia="Cambria" w:hAnsi="Cambria" w:cs="Cambria"/>
          <w:b/>
          <w:bCs/>
          <w:sz w:val="20"/>
          <w:szCs w:val="20"/>
        </w:rPr>
        <w:t xml:space="preserve">Resumen del caso </w:t>
      </w:r>
    </w:p>
    <w:p w14:paraId="758FEAB9" w14:textId="77777777" w:rsidR="00795351" w:rsidRPr="002B2578" w:rsidRDefault="00795351">
      <w:pPr>
        <w:pStyle w:val="Corpo"/>
        <w:spacing w:after="0" w:line="240" w:lineRule="auto"/>
        <w:ind w:left="1080"/>
        <w:rPr>
          <w:rFonts w:ascii="Cambria" w:eastAsia="Cambria" w:hAnsi="Cambria" w:cs="Cambria"/>
          <w:b/>
          <w:bCs/>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576"/>
      </w:tblGrid>
      <w:tr w:rsidR="00795351" w:rsidRPr="002B2578" w14:paraId="2F56709C" w14:textId="77777777">
        <w:trPr>
          <w:trHeight w:val="4862"/>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D2CACF3" w14:textId="77777777" w:rsidR="00795351" w:rsidRPr="002B2578" w:rsidRDefault="007E7DF0">
            <w:pPr>
              <w:pStyle w:val="NoSpacing"/>
              <w:spacing w:before="120"/>
              <w:jc w:val="both"/>
              <w:rPr>
                <w:rFonts w:ascii="Cambria" w:eastAsia="Cambria" w:hAnsi="Cambria" w:cs="Cambria"/>
                <w:sz w:val="20"/>
                <w:szCs w:val="20"/>
                <w:lang w:val="es-MX"/>
              </w:rPr>
            </w:pPr>
            <w:r w:rsidRPr="002B2578">
              <w:rPr>
                <w:rFonts w:ascii="Cambria" w:eastAsia="Cambria" w:hAnsi="Cambria" w:cs="Cambria"/>
                <w:b/>
                <w:bCs/>
                <w:sz w:val="20"/>
                <w:szCs w:val="20"/>
                <w:lang w:val="es-ES_tradnl"/>
              </w:rPr>
              <w:t>Víctima (s):</w:t>
            </w:r>
            <w:r w:rsidRPr="002B2578">
              <w:rPr>
                <w:rFonts w:ascii="Cambria" w:eastAsia="Cambria" w:hAnsi="Cambria" w:cs="Cambria"/>
                <w:sz w:val="20"/>
                <w:szCs w:val="20"/>
                <w:lang w:val="es-ES_tradnl"/>
              </w:rPr>
              <w:t xml:space="preserve"> Leonel de Jesús Isaza Echeverry, Lady Andrea Isaza Pinzón y María </w:t>
            </w:r>
            <w:proofErr w:type="spellStart"/>
            <w:r w:rsidRPr="002B2578">
              <w:rPr>
                <w:rFonts w:ascii="Cambria" w:eastAsia="Cambria" w:hAnsi="Cambria" w:cs="Cambria"/>
                <w:sz w:val="20"/>
                <w:szCs w:val="20"/>
                <w:lang w:val="es-ES_tradnl"/>
              </w:rPr>
              <w:t>Fredesvinda</w:t>
            </w:r>
            <w:proofErr w:type="spellEnd"/>
            <w:r w:rsidRPr="002B2578">
              <w:rPr>
                <w:rFonts w:ascii="Cambria" w:eastAsia="Cambria" w:hAnsi="Cambria" w:cs="Cambria"/>
                <w:sz w:val="20"/>
                <w:szCs w:val="20"/>
                <w:lang w:val="es-ES_tradnl"/>
              </w:rPr>
              <w:t xml:space="preserve"> Echeverry</w:t>
            </w:r>
          </w:p>
          <w:p w14:paraId="25F3B5EE" w14:textId="77777777" w:rsidR="00795351" w:rsidRPr="002B2578" w:rsidRDefault="007E7DF0">
            <w:pPr>
              <w:pStyle w:val="NoSpacing"/>
              <w:jc w:val="both"/>
              <w:rPr>
                <w:rFonts w:ascii="Cambria" w:eastAsia="Cambria" w:hAnsi="Cambria" w:cs="Cambria"/>
                <w:sz w:val="20"/>
                <w:szCs w:val="20"/>
                <w:lang w:val="es-MX"/>
              </w:rPr>
            </w:pPr>
            <w:r w:rsidRPr="002B2578">
              <w:rPr>
                <w:rFonts w:ascii="Cambria" w:eastAsia="Cambria" w:hAnsi="Cambria" w:cs="Cambria"/>
                <w:b/>
                <w:bCs/>
                <w:sz w:val="20"/>
                <w:szCs w:val="20"/>
                <w:lang w:val="es-ES_tradnl"/>
              </w:rPr>
              <w:t xml:space="preserve">Peticionario (s): </w:t>
            </w:r>
            <w:r w:rsidRPr="002B2578">
              <w:rPr>
                <w:rFonts w:ascii="Cambria" w:eastAsia="Cambria" w:hAnsi="Cambria" w:cs="Cambria"/>
                <w:sz w:val="20"/>
                <w:szCs w:val="20"/>
                <w:lang w:val="es-ES_tradnl"/>
              </w:rPr>
              <w:t>Comisión Colombiana de Juristas (CCJ) y Centro por la Justicia y el Derecho Internacional (CEJIL)</w:t>
            </w:r>
          </w:p>
          <w:p w14:paraId="11972229" w14:textId="77777777" w:rsidR="00795351" w:rsidRPr="002B2578" w:rsidRDefault="007E7DF0">
            <w:pPr>
              <w:pStyle w:val="NoSpacing"/>
              <w:jc w:val="both"/>
              <w:rPr>
                <w:rFonts w:ascii="Cambria" w:eastAsia="Cambria" w:hAnsi="Cambria" w:cs="Cambria"/>
                <w:sz w:val="20"/>
                <w:szCs w:val="20"/>
                <w:lang w:val="es-MX"/>
              </w:rPr>
            </w:pPr>
            <w:r w:rsidRPr="002B2578">
              <w:rPr>
                <w:rFonts w:ascii="Cambria" w:eastAsia="Cambria" w:hAnsi="Cambria" w:cs="Cambria"/>
                <w:b/>
                <w:bCs/>
                <w:sz w:val="20"/>
                <w:szCs w:val="20"/>
                <w:lang w:val="es-ES_tradnl"/>
              </w:rPr>
              <w:t>Estado:</w:t>
            </w:r>
            <w:r w:rsidRPr="002B2578">
              <w:rPr>
                <w:rFonts w:ascii="Cambria" w:eastAsia="Cambria" w:hAnsi="Cambria" w:cs="Cambria"/>
                <w:sz w:val="20"/>
                <w:szCs w:val="20"/>
                <w:lang w:val="es-ES_tradnl"/>
              </w:rPr>
              <w:t xml:space="preserve"> Colombia</w:t>
            </w:r>
          </w:p>
          <w:p w14:paraId="6E06494C" w14:textId="77777777" w:rsidR="00795351" w:rsidRPr="002B2578" w:rsidRDefault="007E7DF0">
            <w:pPr>
              <w:pStyle w:val="NoSpacing"/>
              <w:jc w:val="both"/>
              <w:rPr>
                <w:rFonts w:ascii="Cambria" w:eastAsia="Cambria" w:hAnsi="Cambria" w:cs="Cambria"/>
                <w:sz w:val="20"/>
                <w:szCs w:val="20"/>
                <w:lang w:val="es-MX"/>
              </w:rPr>
            </w:pPr>
            <w:r w:rsidRPr="002B2578">
              <w:rPr>
                <w:rFonts w:ascii="Cambria" w:eastAsia="Cambria" w:hAnsi="Cambria" w:cs="Cambria"/>
                <w:b/>
                <w:bCs/>
                <w:sz w:val="20"/>
                <w:szCs w:val="20"/>
                <w:lang w:val="es-ES_tradnl"/>
              </w:rPr>
              <w:t xml:space="preserve">Informe de Fondo Nº: </w:t>
            </w:r>
            <w:hyperlink r:id="rId9" w:history="1">
              <w:r w:rsidRPr="002B2578">
                <w:rPr>
                  <w:rStyle w:val="Hyperlink0"/>
                  <w:rFonts w:ascii="Cambria" w:eastAsia="Cambria" w:hAnsi="Cambria" w:cs="Cambria"/>
                  <w:sz w:val="20"/>
                  <w:szCs w:val="20"/>
                </w:rPr>
                <w:t>64/01</w:t>
              </w:r>
            </w:hyperlink>
            <w:r w:rsidRPr="002B2578">
              <w:rPr>
                <w:rFonts w:ascii="Cambria" w:eastAsia="Cambria" w:hAnsi="Cambria" w:cs="Cambria"/>
                <w:sz w:val="20"/>
                <w:szCs w:val="20"/>
                <w:lang w:val="es-ES_tradnl"/>
              </w:rPr>
              <w:t xml:space="preserve">, publicado el 06 de abril de 2001 </w:t>
            </w:r>
          </w:p>
          <w:p w14:paraId="0236D09D" w14:textId="77777777" w:rsidR="00795351" w:rsidRPr="002B2578" w:rsidRDefault="007E7DF0">
            <w:pPr>
              <w:pStyle w:val="NoSpacing"/>
              <w:jc w:val="both"/>
              <w:rPr>
                <w:rFonts w:ascii="Cambria" w:eastAsia="Cambria" w:hAnsi="Cambria" w:cs="Cambria"/>
                <w:sz w:val="20"/>
                <w:szCs w:val="20"/>
                <w:lang w:val="es-MX"/>
              </w:rPr>
            </w:pPr>
            <w:r w:rsidRPr="002B2578">
              <w:rPr>
                <w:rFonts w:ascii="Cambria" w:eastAsia="Cambria" w:hAnsi="Cambria" w:cs="Cambria"/>
                <w:b/>
                <w:bCs/>
                <w:sz w:val="20"/>
                <w:szCs w:val="20"/>
                <w:lang w:val="es-ES_tradnl"/>
              </w:rPr>
              <w:t>Informe de Admisibilidad:</w:t>
            </w:r>
            <w:r w:rsidRPr="002B2578">
              <w:rPr>
                <w:rFonts w:ascii="Cambria" w:eastAsia="Cambria" w:hAnsi="Cambria" w:cs="Cambria"/>
                <w:sz w:val="20"/>
                <w:szCs w:val="20"/>
                <w:lang w:val="es-ES_tradnl"/>
              </w:rPr>
              <w:t xml:space="preserve"> Analizado junto con el Informe de Fondo Nº 64/01</w:t>
            </w:r>
          </w:p>
          <w:p w14:paraId="0BEDCF03" w14:textId="77777777" w:rsidR="00501C0E" w:rsidRPr="002B2578" w:rsidRDefault="007E7DF0" w:rsidP="00501C0E">
            <w:pPr>
              <w:pStyle w:val="Corpo"/>
              <w:spacing w:after="120" w:line="240" w:lineRule="auto"/>
              <w:jc w:val="both"/>
              <w:rPr>
                <w:rFonts w:ascii="Cambria" w:eastAsia="Times New Roman" w:hAnsi="Cambria"/>
                <w:sz w:val="20"/>
                <w:szCs w:val="20"/>
                <w:lang w:val="es-MX"/>
              </w:rPr>
            </w:pPr>
            <w:r w:rsidRPr="002B2578">
              <w:rPr>
                <w:rFonts w:ascii="Cambria" w:eastAsia="Cambria" w:hAnsi="Cambria" w:cs="Cambria"/>
                <w:b/>
                <w:bCs/>
                <w:sz w:val="20"/>
                <w:szCs w:val="20"/>
              </w:rPr>
              <w:t>Temas:</w:t>
            </w:r>
            <w:r w:rsidR="00501C0E" w:rsidRPr="002B2578">
              <w:rPr>
                <w:rFonts w:ascii="Cambria" w:eastAsia="Cambria" w:hAnsi="Cambria" w:cs="Cambria"/>
                <w:bCs/>
                <w:sz w:val="20"/>
                <w:szCs w:val="20"/>
              </w:rPr>
              <w:t xml:space="preserve"> Derecho a la Vida / Derecho a la Integridad Personal / </w:t>
            </w:r>
            <w:r w:rsidR="00501C0E" w:rsidRPr="002B2578">
              <w:rPr>
                <w:rFonts w:ascii="Cambria" w:eastAsia="Times New Roman" w:hAnsi="Cambria"/>
                <w:sz w:val="20"/>
                <w:szCs w:val="20"/>
                <w:lang w:val="es-MX"/>
              </w:rPr>
              <w:t>Garantías Judiciales / Protección Judicial / Ejecuciones sumarias, extrajudiciales o arbitrarias / Jurisdicción Militar / Derechos de Niñas, Niños y Adolescentes</w:t>
            </w:r>
          </w:p>
          <w:p w14:paraId="3D2B4D81" w14:textId="77777777" w:rsidR="00795351" w:rsidRPr="002B2578" w:rsidRDefault="007E7DF0" w:rsidP="00501C0E">
            <w:pPr>
              <w:pStyle w:val="Corpo"/>
              <w:spacing w:after="120" w:line="240" w:lineRule="auto"/>
              <w:jc w:val="both"/>
              <w:rPr>
                <w:rFonts w:ascii="Cambria" w:eastAsia="Cambria" w:hAnsi="Cambria" w:cs="Cambria"/>
                <w:bCs/>
                <w:sz w:val="20"/>
                <w:szCs w:val="20"/>
              </w:rPr>
            </w:pPr>
            <w:r w:rsidRPr="002B2578">
              <w:rPr>
                <w:rFonts w:ascii="Cambria" w:eastAsia="Cambria" w:hAnsi="Cambria" w:cs="Cambria"/>
                <w:b/>
                <w:bCs/>
                <w:sz w:val="20"/>
                <w:szCs w:val="20"/>
              </w:rPr>
              <w:t>Hechos:</w:t>
            </w:r>
            <w:r w:rsidRPr="002B2578">
              <w:rPr>
                <w:rFonts w:ascii="Cambria" w:eastAsia="Cambria" w:hAnsi="Cambria" w:cs="Cambria"/>
                <w:sz w:val="20"/>
                <w:szCs w:val="20"/>
              </w:rPr>
              <w:t xml:space="preserve"> El caso se refiere a la ejecución extrajudicial del señor Leonel de Jesús Isaza Echeverry y a las heridas causadas a su hija de cuatro </w:t>
            </w:r>
            <w:proofErr w:type="gramStart"/>
            <w:r w:rsidRPr="002B2578">
              <w:rPr>
                <w:rFonts w:ascii="Cambria" w:eastAsia="Cambria" w:hAnsi="Cambria" w:cs="Cambria"/>
                <w:sz w:val="20"/>
                <w:szCs w:val="20"/>
              </w:rPr>
              <w:t>años de edad</w:t>
            </w:r>
            <w:proofErr w:type="gramEnd"/>
            <w:r w:rsidRPr="002B2578">
              <w:rPr>
                <w:rFonts w:ascii="Cambria" w:eastAsia="Cambria" w:hAnsi="Cambria" w:cs="Cambria"/>
                <w:sz w:val="20"/>
                <w:szCs w:val="20"/>
              </w:rPr>
              <w:t xml:space="preserve">, Lady Andrea Isaza Pinzón, y a su madre de 75 años de edad, la señora María </w:t>
            </w:r>
            <w:proofErr w:type="spellStart"/>
            <w:r w:rsidRPr="002B2578">
              <w:rPr>
                <w:rFonts w:ascii="Cambria" w:eastAsia="Cambria" w:hAnsi="Cambria" w:cs="Cambria"/>
                <w:sz w:val="20"/>
                <w:szCs w:val="20"/>
              </w:rPr>
              <w:t>Fredesvinda</w:t>
            </w:r>
            <w:proofErr w:type="spellEnd"/>
            <w:r w:rsidRPr="002B2578">
              <w:rPr>
                <w:rFonts w:ascii="Cambria" w:eastAsia="Cambria" w:hAnsi="Cambria" w:cs="Cambria"/>
                <w:sz w:val="20"/>
                <w:szCs w:val="20"/>
              </w:rPr>
              <w:t xml:space="preserve"> Echeverry, en su hogar familiar situado en Barrancabermeja, Santander, el 16 de abril de 1993 por miembros del Ejército Nacional colombiano.  </w:t>
            </w:r>
          </w:p>
          <w:p w14:paraId="41492D2A" w14:textId="77777777" w:rsidR="00795351" w:rsidRPr="002B2578" w:rsidRDefault="007E7DF0">
            <w:pPr>
              <w:pStyle w:val="NoSpacing"/>
              <w:spacing w:after="120"/>
              <w:jc w:val="both"/>
              <w:rPr>
                <w:rFonts w:ascii="Cambria" w:hAnsi="Cambria"/>
                <w:sz w:val="20"/>
                <w:szCs w:val="20"/>
                <w:lang w:val="es-MX"/>
              </w:rPr>
            </w:pPr>
            <w:r w:rsidRPr="002B2578">
              <w:rPr>
                <w:rFonts w:ascii="Cambria" w:eastAsia="Cambria" w:hAnsi="Cambria" w:cs="Cambria"/>
                <w:b/>
                <w:bCs/>
                <w:sz w:val="20"/>
                <w:szCs w:val="20"/>
                <w:lang w:val="es-ES_tradnl"/>
              </w:rPr>
              <w:t>Derechos violados:</w:t>
            </w:r>
            <w:r w:rsidRPr="002B2578">
              <w:rPr>
                <w:rFonts w:ascii="Cambria" w:eastAsia="Cambria" w:hAnsi="Cambria" w:cs="Cambria"/>
                <w:sz w:val="20"/>
                <w:szCs w:val="20"/>
                <w:lang w:val="es-ES_tradnl"/>
              </w:rPr>
              <w:t xml:space="preserve"> La Comisión concluyó que el Estado era responsable por la violación del derecho a la vida del señor Leonel de Jesús Isaza Echeverry consagrado en el artículo 4 de la Convención Americana; el derecho a la integridad personal de la señora María </w:t>
            </w:r>
            <w:proofErr w:type="spellStart"/>
            <w:r w:rsidRPr="002B2578">
              <w:rPr>
                <w:rFonts w:ascii="Cambria" w:eastAsia="Cambria" w:hAnsi="Cambria" w:cs="Cambria"/>
                <w:sz w:val="20"/>
                <w:szCs w:val="20"/>
                <w:lang w:val="es-ES_tradnl"/>
              </w:rPr>
              <w:t>Fredesvinda</w:t>
            </w:r>
            <w:proofErr w:type="spellEnd"/>
            <w:r w:rsidRPr="002B2578">
              <w:rPr>
                <w:rFonts w:ascii="Cambria" w:eastAsia="Cambria" w:hAnsi="Cambria" w:cs="Cambria"/>
                <w:sz w:val="20"/>
                <w:szCs w:val="20"/>
                <w:lang w:val="es-ES_tradnl"/>
              </w:rPr>
              <w:t xml:space="preserve"> Echeverry consagrado en el artículo 5 de la Convención Americana; el derecho a la integridad personal y el incumplimiento de la obligación de adoptar medidas especiales de protección con relación a la menor Lady Andrea Isaza Pinzón, establecidos en los artículos 5 y 19 de la Convención Americana; así como del incumplimiento con la obligación de brindar la debida protección judicial a las  víctimas del presente caso conforme a los artículos 8 y 25, en conjunción con el artículo 1(1) del Tratado. </w:t>
            </w:r>
          </w:p>
        </w:tc>
      </w:tr>
    </w:tbl>
    <w:p w14:paraId="222AEE09" w14:textId="77777777" w:rsidR="00795351" w:rsidRPr="002B2578" w:rsidRDefault="00795351" w:rsidP="003918FB">
      <w:pPr>
        <w:pStyle w:val="Corpo"/>
        <w:spacing w:after="0" w:line="240" w:lineRule="auto"/>
        <w:rPr>
          <w:rFonts w:ascii="Cambria" w:eastAsia="Cambria" w:hAnsi="Cambria" w:cs="Cambria"/>
          <w:sz w:val="20"/>
          <w:szCs w:val="20"/>
        </w:rPr>
      </w:pPr>
    </w:p>
    <w:p w14:paraId="63FA8F2E" w14:textId="77777777" w:rsidR="00795351" w:rsidRPr="002B2578" w:rsidRDefault="007E7DF0">
      <w:pPr>
        <w:pStyle w:val="Corpo"/>
        <w:numPr>
          <w:ilvl w:val="0"/>
          <w:numId w:val="3"/>
        </w:numPr>
        <w:spacing w:after="0" w:line="240" w:lineRule="auto"/>
        <w:jc w:val="both"/>
        <w:rPr>
          <w:rFonts w:ascii="Cambria" w:eastAsia="Cambria" w:hAnsi="Cambria" w:cs="Cambria"/>
          <w:b/>
          <w:bCs/>
          <w:sz w:val="20"/>
          <w:szCs w:val="20"/>
        </w:rPr>
      </w:pPr>
      <w:r w:rsidRPr="002B2578">
        <w:rPr>
          <w:rFonts w:ascii="Cambria" w:eastAsia="Cambria" w:hAnsi="Cambria" w:cs="Cambria"/>
          <w:b/>
          <w:bCs/>
          <w:sz w:val="20"/>
          <w:szCs w:val="20"/>
        </w:rPr>
        <w:t xml:space="preserve">Recomendaciones </w:t>
      </w:r>
    </w:p>
    <w:p w14:paraId="1E53D598" w14:textId="77777777" w:rsidR="00795351" w:rsidRPr="002B2578" w:rsidRDefault="00795351">
      <w:pPr>
        <w:pStyle w:val="Corpo"/>
        <w:spacing w:after="0" w:line="240" w:lineRule="auto"/>
        <w:ind w:left="1080"/>
        <w:jc w:val="both"/>
        <w:rPr>
          <w:rFonts w:ascii="Cambria" w:eastAsia="Cambria" w:hAnsi="Cambria" w:cs="Cambria"/>
          <w:b/>
          <w:bCs/>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90"/>
        <w:gridCol w:w="2250"/>
      </w:tblGrid>
      <w:tr w:rsidR="00795351" w:rsidRPr="002B2578" w14:paraId="761F8CE2" w14:textId="77777777">
        <w:trPr>
          <w:trHeight w:val="4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5E1B1" w14:textId="77777777" w:rsidR="00795351" w:rsidRPr="002B2578" w:rsidRDefault="007E7DF0">
            <w:pPr>
              <w:pStyle w:val="Corpo"/>
              <w:spacing w:after="0" w:line="240" w:lineRule="auto"/>
              <w:jc w:val="center"/>
              <w:rPr>
                <w:rFonts w:ascii="Cambria" w:hAnsi="Cambria"/>
                <w:sz w:val="18"/>
                <w:szCs w:val="18"/>
              </w:rPr>
            </w:pPr>
            <w:r w:rsidRPr="002B2578">
              <w:rPr>
                <w:rFonts w:ascii="Cambria" w:eastAsia="Cambria" w:hAnsi="Cambria" w:cs="Cambria"/>
                <w:b/>
                <w:bCs/>
                <w:sz w:val="18"/>
                <w:szCs w:val="18"/>
              </w:rPr>
              <w:t>Recomendaciones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002FD" w14:textId="77777777" w:rsidR="00795351" w:rsidRPr="002B2578" w:rsidRDefault="007E7DF0">
            <w:pPr>
              <w:pStyle w:val="Corpo"/>
              <w:spacing w:after="0" w:line="240" w:lineRule="auto"/>
              <w:jc w:val="center"/>
              <w:rPr>
                <w:rFonts w:ascii="Cambria" w:hAnsi="Cambria"/>
                <w:sz w:val="18"/>
                <w:szCs w:val="18"/>
              </w:rPr>
            </w:pPr>
            <w:r w:rsidRPr="002B2578">
              <w:rPr>
                <w:rFonts w:ascii="Cambria" w:eastAsia="Cambria" w:hAnsi="Cambria" w:cs="Cambria"/>
                <w:b/>
                <w:bCs/>
                <w:sz w:val="18"/>
                <w:szCs w:val="18"/>
              </w:rPr>
              <w:t>Estado de cumplimiento en el 20</w:t>
            </w:r>
            <w:r w:rsidR="00433982" w:rsidRPr="002B2578">
              <w:rPr>
                <w:rFonts w:ascii="Cambria" w:eastAsia="Cambria" w:hAnsi="Cambria" w:cs="Cambria"/>
                <w:b/>
                <w:bCs/>
                <w:sz w:val="18"/>
                <w:szCs w:val="18"/>
              </w:rPr>
              <w:t>2</w:t>
            </w:r>
            <w:r w:rsidR="00E05402" w:rsidRPr="002B2578">
              <w:rPr>
                <w:rFonts w:ascii="Cambria" w:eastAsia="Cambria" w:hAnsi="Cambria" w:cs="Cambria"/>
                <w:b/>
                <w:bCs/>
                <w:sz w:val="18"/>
                <w:szCs w:val="18"/>
              </w:rPr>
              <w:t>1</w:t>
            </w:r>
          </w:p>
        </w:tc>
      </w:tr>
      <w:tr w:rsidR="00795351" w:rsidRPr="002B2578" w14:paraId="7E7FF94E" w14:textId="77777777">
        <w:trPr>
          <w:trHeight w:val="6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CA64D" w14:textId="77777777" w:rsidR="00795351" w:rsidRPr="002B2578" w:rsidRDefault="007E7DF0">
            <w:pPr>
              <w:pStyle w:val="Corpo"/>
              <w:spacing w:after="0" w:line="240" w:lineRule="auto"/>
              <w:jc w:val="both"/>
              <w:rPr>
                <w:rFonts w:ascii="Cambria" w:hAnsi="Cambria"/>
                <w:sz w:val="18"/>
                <w:szCs w:val="18"/>
              </w:rPr>
            </w:pPr>
            <w:r w:rsidRPr="002B2578">
              <w:rPr>
                <w:rFonts w:ascii="Cambria" w:eastAsia="Cambria" w:hAnsi="Cambria" w:cs="Cambria"/>
                <w:sz w:val="18"/>
                <w:szCs w:val="18"/>
              </w:rPr>
              <w:t>1. Realizar una investigación imparcial y efectiva ante la jurisdicción ordinaria con el fin de juzgar y sancionar a los responsables por la ejecución extrajudicial del señor Leonel de Jesús Isaza Echeverry.</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49689" w14:textId="77777777" w:rsidR="00795351" w:rsidRPr="002B2578" w:rsidRDefault="006401C9">
            <w:pPr>
              <w:pStyle w:val="Corpo"/>
              <w:spacing w:after="0" w:line="240" w:lineRule="auto"/>
              <w:jc w:val="center"/>
              <w:rPr>
                <w:rFonts w:ascii="Cambria" w:hAnsi="Cambria"/>
                <w:sz w:val="18"/>
                <w:szCs w:val="18"/>
              </w:rPr>
            </w:pPr>
            <w:r w:rsidRPr="002B2578">
              <w:rPr>
                <w:rFonts w:ascii="Cambria" w:eastAsia="Cambria" w:hAnsi="Cambria" w:cs="Cambria"/>
                <w:sz w:val="18"/>
                <w:szCs w:val="18"/>
              </w:rPr>
              <w:t>C</w:t>
            </w:r>
            <w:r w:rsidR="007E7DF0" w:rsidRPr="002B2578">
              <w:rPr>
                <w:rFonts w:ascii="Cambria" w:eastAsia="Cambria" w:hAnsi="Cambria" w:cs="Cambria"/>
                <w:sz w:val="18"/>
                <w:szCs w:val="18"/>
              </w:rPr>
              <w:t>umplimiento</w:t>
            </w:r>
            <w:r w:rsidRPr="002B2578">
              <w:rPr>
                <w:rFonts w:ascii="Cambria" w:eastAsia="Cambria" w:hAnsi="Cambria" w:cs="Cambria"/>
                <w:sz w:val="18"/>
                <w:szCs w:val="18"/>
              </w:rPr>
              <w:t xml:space="preserve"> parcial</w:t>
            </w:r>
          </w:p>
        </w:tc>
      </w:tr>
      <w:tr w:rsidR="00795351" w:rsidRPr="002B2578" w14:paraId="3E34CF11" w14:textId="77777777">
        <w:trPr>
          <w:trHeight w:val="6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C28FD" w14:textId="77777777" w:rsidR="00795351" w:rsidRPr="002B2578" w:rsidRDefault="007E7DF0">
            <w:pPr>
              <w:pStyle w:val="Corpo"/>
              <w:spacing w:after="0" w:line="240" w:lineRule="auto"/>
              <w:jc w:val="both"/>
              <w:rPr>
                <w:rFonts w:ascii="Cambria" w:hAnsi="Cambria"/>
                <w:sz w:val="18"/>
                <w:szCs w:val="18"/>
              </w:rPr>
            </w:pPr>
            <w:r w:rsidRPr="002B2578">
              <w:rPr>
                <w:rFonts w:ascii="Cambria" w:eastAsia="Cambria" w:hAnsi="Cambria" w:cs="Cambria"/>
                <w:sz w:val="18"/>
                <w:szCs w:val="18"/>
              </w:rPr>
              <w:t xml:space="preserve">2. Adoptar las medidas necesarias para reparar las consecuencias de las violaciones a la Convención Americana cometidas en perjuicio de María </w:t>
            </w:r>
            <w:proofErr w:type="spellStart"/>
            <w:r w:rsidRPr="002B2578">
              <w:rPr>
                <w:rFonts w:ascii="Cambria" w:eastAsia="Cambria" w:hAnsi="Cambria" w:cs="Cambria"/>
                <w:sz w:val="18"/>
                <w:szCs w:val="18"/>
              </w:rPr>
              <w:t>Fredesvinda</w:t>
            </w:r>
            <w:proofErr w:type="spellEnd"/>
            <w:r w:rsidRPr="002B2578">
              <w:rPr>
                <w:rFonts w:ascii="Cambria" w:eastAsia="Cambria" w:hAnsi="Cambria" w:cs="Cambria"/>
                <w:sz w:val="18"/>
                <w:szCs w:val="18"/>
              </w:rPr>
              <w:t xml:space="preserve"> Echeverry y Lady Andrea Isaza Pinzón e indemnizar debidamente a los familiares de Leonel de Jesús Isaza Echeverry.</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D2AEF" w14:textId="77777777" w:rsidR="00795351" w:rsidRPr="002B2578" w:rsidRDefault="007E7DF0">
            <w:pPr>
              <w:pStyle w:val="Corpo"/>
              <w:spacing w:after="0" w:line="240" w:lineRule="auto"/>
              <w:jc w:val="center"/>
              <w:rPr>
                <w:rFonts w:ascii="Cambria" w:hAnsi="Cambria"/>
                <w:sz w:val="18"/>
                <w:szCs w:val="18"/>
              </w:rPr>
            </w:pPr>
            <w:r w:rsidRPr="002B2578">
              <w:rPr>
                <w:rFonts w:ascii="Cambria" w:eastAsia="Cambria" w:hAnsi="Cambria" w:cs="Cambria"/>
                <w:sz w:val="18"/>
                <w:szCs w:val="18"/>
              </w:rPr>
              <w:t>Cumplimiento total</w:t>
            </w:r>
            <w:r w:rsidR="00054DD8" w:rsidRPr="002B2578">
              <w:rPr>
                <w:rStyle w:val="FootnoteReference"/>
                <w:rFonts w:ascii="Cambria" w:eastAsia="Cambria" w:hAnsi="Cambria" w:cs="Cambria"/>
                <w:sz w:val="18"/>
                <w:szCs w:val="18"/>
              </w:rPr>
              <w:footnoteReference w:id="2"/>
            </w:r>
            <w:r w:rsidRPr="002B2578">
              <w:rPr>
                <w:rFonts w:ascii="Cambria" w:eastAsia="Cambria" w:hAnsi="Cambria" w:cs="Cambria"/>
                <w:sz w:val="18"/>
                <w:szCs w:val="18"/>
              </w:rPr>
              <w:t xml:space="preserve"> </w:t>
            </w:r>
          </w:p>
        </w:tc>
      </w:tr>
      <w:tr w:rsidR="00795351" w:rsidRPr="002B2578" w14:paraId="5778EAD4" w14:textId="77777777">
        <w:trPr>
          <w:trHeight w:val="1002"/>
        </w:trPr>
        <w:tc>
          <w:tcPr>
            <w:tcW w:w="7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89A84" w14:textId="77777777" w:rsidR="00795351" w:rsidRPr="002B2578" w:rsidRDefault="007E7DF0">
            <w:pPr>
              <w:pStyle w:val="Corpo"/>
              <w:spacing w:after="0" w:line="240" w:lineRule="auto"/>
              <w:jc w:val="both"/>
              <w:rPr>
                <w:rFonts w:ascii="Cambria" w:hAnsi="Cambria"/>
                <w:sz w:val="18"/>
                <w:szCs w:val="18"/>
              </w:rPr>
            </w:pPr>
            <w:r w:rsidRPr="002B2578">
              <w:rPr>
                <w:rFonts w:ascii="Cambria" w:eastAsia="Cambria" w:hAnsi="Cambria" w:cs="Cambria"/>
                <w:sz w:val="18"/>
                <w:szCs w:val="18"/>
              </w:rPr>
              <w:t xml:space="preserve">3. 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w:t>
            </w:r>
            <w:r w:rsidRPr="002B2578">
              <w:rPr>
                <w:rFonts w:ascii="Cambria" w:eastAsia="Cambria" w:hAnsi="Cambria" w:cs="Cambria"/>
                <w:sz w:val="18"/>
                <w:szCs w:val="18"/>
              </w:rPr>
              <w:lastRenderedPageBreak/>
              <w:t>propia Comisión en la investigación y juzgamiento de Casos similares por la justicia penal ordinaria.</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C7D89" w14:textId="77777777" w:rsidR="00795351" w:rsidRPr="002B2578" w:rsidRDefault="007E7DF0">
            <w:pPr>
              <w:pStyle w:val="Corpo"/>
              <w:spacing w:after="0" w:line="240" w:lineRule="auto"/>
              <w:jc w:val="center"/>
              <w:rPr>
                <w:rFonts w:ascii="Cambria" w:hAnsi="Cambria"/>
                <w:sz w:val="18"/>
                <w:szCs w:val="18"/>
              </w:rPr>
            </w:pPr>
            <w:r w:rsidRPr="002B2578">
              <w:rPr>
                <w:rFonts w:ascii="Cambria" w:eastAsia="Cambria" w:hAnsi="Cambria" w:cs="Cambria"/>
                <w:sz w:val="18"/>
                <w:szCs w:val="18"/>
              </w:rPr>
              <w:lastRenderedPageBreak/>
              <w:t>Cumplimiento parcial</w:t>
            </w:r>
          </w:p>
        </w:tc>
      </w:tr>
    </w:tbl>
    <w:p w14:paraId="54D59CCF" w14:textId="77777777" w:rsidR="00795351" w:rsidRPr="002B2578" w:rsidRDefault="00795351">
      <w:pPr>
        <w:pStyle w:val="Corpo"/>
        <w:spacing w:after="0" w:line="240" w:lineRule="auto"/>
        <w:jc w:val="both"/>
        <w:rPr>
          <w:rFonts w:ascii="Cambria" w:eastAsia="Cambria" w:hAnsi="Cambria" w:cs="Cambria"/>
          <w:b/>
          <w:bCs/>
          <w:sz w:val="20"/>
          <w:szCs w:val="20"/>
        </w:rPr>
      </w:pPr>
    </w:p>
    <w:p w14:paraId="21ED8A37" w14:textId="77777777" w:rsidR="00795351" w:rsidRPr="002B2578" w:rsidRDefault="007E7DF0">
      <w:pPr>
        <w:pStyle w:val="ListParagraph"/>
        <w:numPr>
          <w:ilvl w:val="0"/>
          <w:numId w:val="4"/>
        </w:numPr>
        <w:spacing w:after="0" w:line="240" w:lineRule="auto"/>
        <w:jc w:val="both"/>
        <w:rPr>
          <w:rFonts w:ascii="Cambria" w:eastAsia="Cambria" w:hAnsi="Cambria" w:cs="Cambria"/>
          <w:b/>
          <w:bCs/>
          <w:sz w:val="20"/>
          <w:szCs w:val="20"/>
          <w:lang w:val="es-ES_tradnl"/>
        </w:rPr>
      </w:pPr>
      <w:r w:rsidRPr="002B2578">
        <w:rPr>
          <w:rFonts w:ascii="Cambria" w:eastAsia="Cambria" w:hAnsi="Cambria" w:cs="Cambria"/>
          <w:b/>
          <w:bCs/>
          <w:sz w:val="20"/>
          <w:szCs w:val="20"/>
          <w:lang w:val="es-ES_tradnl"/>
        </w:rPr>
        <w:t>Actividad Procesal</w:t>
      </w:r>
    </w:p>
    <w:p w14:paraId="30DC31BA" w14:textId="77777777" w:rsidR="00795351" w:rsidRPr="002B2578" w:rsidRDefault="00795351">
      <w:pPr>
        <w:pStyle w:val="Corpo"/>
        <w:spacing w:after="0" w:line="240" w:lineRule="auto"/>
        <w:jc w:val="both"/>
        <w:rPr>
          <w:rFonts w:ascii="Cambria" w:eastAsia="Calibri Light" w:hAnsi="Cambria" w:cs="Calibri Light"/>
          <w:sz w:val="20"/>
          <w:szCs w:val="20"/>
        </w:rPr>
      </w:pPr>
    </w:p>
    <w:p w14:paraId="0A6C8CEF" w14:textId="77777777" w:rsidR="00795351" w:rsidRPr="002B2578" w:rsidRDefault="007E7DF0" w:rsidP="00914942">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2B2578">
        <w:rPr>
          <w:rFonts w:ascii="Cambria" w:hAnsi="Cambria" w:cs="Calibri Light"/>
          <w:color w:val="000000"/>
          <w:sz w:val="20"/>
          <w:szCs w:val="20"/>
          <w:lang w:val="es-ES"/>
        </w:rPr>
        <w:t>El 3 de noviembre de 2012, la CIDH sostuvo una Reunión de Trabajo con las partes en el marco de su 146º Periodo de Sesiones en seguimiento a las recomendaciones emitidas en el Informe de Fondo Nº 64/01.</w:t>
      </w:r>
      <w:r w:rsidRPr="002B2578">
        <w:rPr>
          <w:rFonts w:ascii="Cambria" w:eastAsia="Cambria" w:hAnsi="Cambria" w:cs="Cambria"/>
          <w:color w:val="000000"/>
          <w:sz w:val="20"/>
          <w:szCs w:val="20"/>
          <w:lang w:val="es-ES_tradnl"/>
        </w:rPr>
        <w:t xml:space="preserve"> </w:t>
      </w:r>
    </w:p>
    <w:p w14:paraId="01675092" w14:textId="77777777" w:rsidR="00795351" w:rsidRPr="002B2578" w:rsidRDefault="00795351">
      <w:pPr>
        <w:pStyle w:val="Corpo"/>
        <w:spacing w:after="0" w:line="240" w:lineRule="auto"/>
        <w:ind w:firstLine="720"/>
        <w:jc w:val="both"/>
        <w:rPr>
          <w:rFonts w:ascii="Cambria" w:eastAsia="Cambria" w:hAnsi="Cambria" w:cs="Cambria"/>
          <w:sz w:val="20"/>
          <w:szCs w:val="20"/>
        </w:rPr>
      </w:pPr>
    </w:p>
    <w:p w14:paraId="738A96CD" w14:textId="77777777" w:rsidR="00795351" w:rsidRPr="002B2578" w:rsidRDefault="007E7DF0" w:rsidP="00BB0A7B">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2B2578">
        <w:rPr>
          <w:rFonts w:ascii="Cambria" w:hAnsi="Cambria" w:cs="Calibri Light"/>
          <w:color w:val="000000"/>
          <w:sz w:val="20"/>
          <w:szCs w:val="20"/>
          <w:lang w:val="es-ES"/>
        </w:rPr>
        <w:t>En 20</w:t>
      </w:r>
      <w:r w:rsidR="00F26562" w:rsidRPr="002B2578">
        <w:rPr>
          <w:rFonts w:ascii="Cambria" w:hAnsi="Cambria" w:cs="Calibri Light"/>
          <w:color w:val="000000"/>
          <w:sz w:val="20"/>
          <w:szCs w:val="20"/>
          <w:lang w:val="es-ES"/>
        </w:rPr>
        <w:t>2</w:t>
      </w:r>
      <w:r w:rsidR="00E05402" w:rsidRPr="002B2578">
        <w:rPr>
          <w:rFonts w:ascii="Cambria" w:hAnsi="Cambria" w:cs="Calibri Light"/>
          <w:color w:val="000000"/>
          <w:sz w:val="20"/>
          <w:szCs w:val="20"/>
          <w:lang w:val="es-ES"/>
        </w:rPr>
        <w:t>1</w:t>
      </w:r>
      <w:r w:rsidRPr="002B2578">
        <w:rPr>
          <w:rFonts w:ascii="Cambria" w:hAnsi="Cambria" w:cs="Calibri Light"/>
          <w:color w:val="000000"/>
          <w:sz w:val="20"/>
          <w:szCs w:val="20"/>
          <w:lang w:val="es-ES"/>
        </w:rPr>
        <w:t xml:space="preserve">, la CIDH solicitó al Estado información actualizada sobre el cumplimiento el </w:t>
      </w:r>
      <w:r w:rsidR="00E05402" w:rsidRPr="002B2578">
        <w:rPr>
          <w:rFonts w:ascii="Cambria" w:hAnsi="Cambria" w:cs="Calibri Light"/>
          <w:color w:val="000000"/>
          <w:sz w:val="20"/>
          <w:szCs w:val="20"/>
          <w:lang w:val="es-ES"/>
        </w:rPr>
        <w:t>1</w:t>
      </w:r>
      <w:r w:rsidR="00C73605" w:rsidRPr="002B2578">
        <w:rPr>
          <w:rFonts w:ascii="Cambria" w:hAnsi="Cambria" w:cs="Calibri Light"/>
          <w:color w:val="000000"/>
          <w:sz w:val="20"/>
          <w:szCs w:val="20"/>
          <w:lang w:val="es-ES"/>
        </w:rPr>
        <w:t>6 de agosto</w:t>
      </w:r>
      <w:r w:rsidR="001542A3" w:rsidRPr="002B2578">
        <w:rPr>
          <w:rFonts w:ascii="Cambria" w:hAnsi="Cambria" w:cs="Calibri Light"/>
          <w:color w:val="000000"/>
          <w:sz w:val="20"/>
          <w:szCs w:val="20"/>
          <w:lang w:val="es-ES"/>
        </w:rPr>
        <w:t xml:space="preserve">. A la fecha de cierre del presente informe, </w:t>
      </w:r>
      <w:r w:rsidRPr="002B2578">
        <w:rPr>
          <w:rFonts w:ascii="Cambria" w:hAnsi="Cambria" w:cs="Calibri Light"/>
          <w:color w:val="000000"/>
          <w:sz w:val="20"/>
          <w:szCs w:val="20"/>
          <w:lang w:val="es-ES"/>
        </w:rPr>
        <w:t xml:space="preserve">el Estado </w:t>
      </w:r>
      <w:r w:rsidR="00E05402" w:rsidRPr="002B2578">
        <w:rPr>
          <w:rFonts w:ascii="Cambria" w:hAnsi="Cambria" w:cs="Calibri Light"/>
          <w:color w:val="000000"/>
          <w:sz w:val="20"/>
          <w:szCs w:val="20"/>
          <w:lang w:val="es-ES"/>
        </w:rPr>
        <w:t xml:space="preserve">no </w:t>
      </w:r>
      <w:r w:rsidR="001542A3" w:rsidRPr="002B2578">
        <w:rPr>
          <w:rFonts w:ascii="Cambria" w:hAnsi="Cambria" w:cs="Calibri Light"/>
          <w:color w:val="000000"/>
          <w:sz w:val="20"/>
          <w:szCs w:val="20"/>
          <w:lang w:val="es-ES"/>
        </w:rPr>
        <w:t>había presentado la información solicitada</w:t>
      </w:r>
      <w:r w:rsidRPr="002B2578">
        <w:rPr>
          <w:rFonts w:ascii="Cambria" w:hAnsi="Cambria" w:cs="Calibri Light"/>
          <w:color w:val="000000"/>
          <w:sz w:val="20"/>
          <w:szCs w:val="20"/>
          <w:lang w:val="es-ES"/>
        </w:rPr>
        <w:t>.</w:t>
      </w:r>
      <w:r w:rsidRPr="002B2578">
        <w:rPr>
          <w:rFonts w:ascii="Cambria" w:eastAsia="Cambria" w:hAnsi="Cambria" w:cs="Cambria"/>
          <w:color w:val="000000"/>
          <w:sz w:val="20"/>
          <w:szCs w:val="20"/>
          <w:u w:color="FF0000"/>
          <w:lang w:val="es-ES_tradnl"/>
        </w:rPr>
        <w:t xml:space="preserve">  </w:t>
      </w:r>
    </w:p>
    <w:p w14:paraId="26C8254B" w14:textId="77777777" w:rsidR="00BB0A7B" w:rsidRPr="002B2578" w:rsidRDefault="00BB0A7B" w:rsidP="00BB0A7B">
      <w:pPr>
        <w:pStyle w:val="BlockText"/>
        <w:spacing w:before="0" w:beforeAutospacing="0" w:after="0" w:afterAutospacing="0"/>
        <w:jc w:val="both"/>
        <w:rPr>
          <w:rFonts w:ascii="Cambria" w:eastAsia="Cambria" w:hAnsi="Cambria" w:cs="Cambria"/>
          <w:color w:val="000000"/>
          <w:sz w:val="20"/>
          <w:szCs w:val="20"/>
          <w:lang w:val="es-ES_tradnl"/>
        </w:rPr>
      </w:pPr>
    </w:p>
    <w:p w14:paraId="674B8623" w14:textId="77777777" w:rsidR="00795351" w:rsidRPr="002B2578" w:rsidRDefault="007E7DF0" w:rsidP="00914942">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2B2578">
        <w:rPr>
          <w:rFonts w:ascii="Cambria" w:hAnsi="Cambria" w:cs="Calibri Light"/>
          <w:color w:val="000000"/>
          <w:sz w:val="20"/>
          <w:szCs w:val="20"/>
          <w:lang w:val="es-ES"/>
        </w:rPr>
        <w:t xml:space="preserve">La CIDH solicitó información actualizada sobre el cumplimiento a los peticionarios el </w:t>
      </w:r>
      <w:r w:rsidR="00E05402" w:rsidRPr="002B2578">
        <w:rPr>
          <w:rFonts w:ascii="Cambria" w:hAnsi="Cambria" w:cs="Calibri Light"/>
          <w:color w:val="000000"/>
          <w:sz w:val="20"/>
          <w:szCs w:val="20"/>
          <w:lang w:val="es-ES"/>
        </w:rPr>
        <w:t>1</w:t>
      </w:r>
      <w:r w:rsidR="00354771" w:rsidRPr="002B2578">
        <w:rPr>
          <w:rFonts w:ascii="Cambria" w:hAnsi="Cambria" w:cs="Calibri Light"/>
          <w:color w:val="000000"/>
          <w:sz w:val="20"/>
          <w:szCs w:val="20"/>
          <w:lang w:val="es-ES"/>
        </w:rPr>
        <w:t>6 de agosto de 202</w:t>
      </w:r>
      <w:r w:rsidR="00E05402" w:rsidRPr="002B2578">
        <w:rPr>
          <w:rFonts w:ascii="Cambria" w:hAnsi="Cambria" w:cs="Calibri Light"/>
          <w:color w:val="000000"/>
          <w:sz w:val="20"/>
          <w:szCs w:val="20"/>
          <w:lang w:val="es-ES"/>
        </w:rPr>
        <w:t>1</w:t>
      </w:r>
      <w:r w:rsidRPr="002B2578">
        <w:rPr>
          <w:rFonts w:ascii="Cambria" w:hAnsi="Cambria" w:cs="Calibri Light"/>
          <w:color w:val="000000"/>
          <w:sz w:val="20"/>
          <w:szCs w:val="20"/>
          <w:lang w:val="es-ES"/>
        </w:rPr>
        <w:t xml:space="preserve">. El </w:t>
      </w:r>
      <w:r w:rsidR="00581351" w:rsidRPr="002B2578">
        <w:rPr>
          <w:rFonts w:ascii="Cambria" w:hAnsi="Cambria" w:cs="Calibri Light"/>
          <w:color w:val="000000"/>
          <w:sz w:val="20"/>
          <w:szCs w:val="20"/>
          <w:lang w:val="es-ES"/>
        </w:rPr>
        <w:t>1</w:t>
      </w:r>
      <w:r w:rsidR="00E05402" w:rsidRPr="002B2578">
        <w:rPr>
          <w:rFonts w:ascii="Cambria" w:hAnsi="Cambria" w:cs="Calibri Light"/>
          <w:color w:val="000000"/>
          <w:sz w:val="20"/>
          <w:szCs w:val="20"/>
          <w:lang w:val="es-ES"/>
        </w:rPr>
        <w:t>5</w:t>
      </w:r>
      <w:r w:rsidR="00581351" w:rsidRPr="002B2578">
        <w:rPr>
          <w:rFonts w:ascii="Cambria" w:hAnsi="Cambria" w:cs="Calibri Light"/>
          <w:color w:val="000000"/>
          <w:sz w:val="20"/>
          <w:szCs w:val="20"/>
          <w:lang w:val="es-ES"/>
        </w:rPr>
        <w:t xml:space="preserve"> de </w:t>
      </w:r>
      <w:r w:rsidR="00E05402" w:rsidRPr="002B2578">
        <w:rPr>
          <w:rFonts w:ascii="Cambria" w:hAnsi="Cambria" w:cs="Calibri Light"/>
          <w:color w:val="000000"/>
          <w:sz w:val="20"/>
          <w:szCs w:val="20"/>
          <w:lang w:val="es-ES"/>
        </w:rPr>
        <w:t>octubre</w:t>
      </w:r>
      <w:r w:rsidRPr="002B2578">
        <w:rPr>
          <w:rFonts w:ascii="Cambria" w:hAnsi="Cambria" w:cs="Calibri Light"/>
          <w:color w:val="000000"/>
          <w:sz w:val="20"/>
          <w:szCs w:val="20"/>
          <w:lang w:val="es-ES"/>
        </w:rPr>
        <w:t xml:space="preserve"> los peticionarios presentaron dicha información.</w:t>
      </w:r>
    </w:p>
    <w:p w14:paraId="5765C907" w14:textId="77777777" w:rsidR="00795351" w:rsidRPr="002B2578" w:rsidRDefault="00795351">
      <w:pPr>
        <w:pStyle w:val="Corpo"/>
        <w:spacing w:after="0" w:line="240" w:lineRule="auto"/>
        <w:jc w:val="both"/>
        <w:rPr>
          <w:rFonts w:ascii="Cambria" w:eastAsia="Cambria" w:hAnsi="Cambria" w:cs="Cambria"/>
          <w:sz w:val="20"/>
          <w:szCs w:val="20"/>
        </w:rPr>
      </w:pPr>
    </w:p>
    <w:p w14:paraId="76DDE2FD" w14:textId="77777777" w:rsidR="00795351" w:rsidRPr="002B2578" w:rsidRDefault="007E7DF0">
      <w:pPr>
        <w:pStyle w:val="ListParagraph"/>
        <w:numPr>
          <w:ilvl w:val="0"/>
          <w:numId w:val="7"/>
        </w:numPr>
        <w:spacing w:after="0" w:line="240" w:lineRule="auto"/>
        <w:jc w:val="both"/>
        <w:rPr>
          <w:rFonts w:ascii="Cambria" w:eastAsia="Cambria" w:hAnsi="Cambria" w:cs="Cambria"/>
          <w:b/>
          <w:bCs/>
          <w:sz w:val="20"/>
          <w:szCs w:val="20"/>
          <w:lang w:val="es-ES_tradnl"/>
        </w:rPr>
      </w:pPr>
      <w:r w:rsidRPr="002B2578">
        <w:rPr>
          <w:rFonts w:ascii="Cambria" w:eastAsia="Cambria" w:hAnsi="Cambria" w:cs="Cambria"/>
          <w:b/>
          <w:bCs/>
          <w:sz w:val="20"/>
          <w:szCs w:val="20"/>
          <w:lang w:val="es-ES_tradnl"/>
        </w:rPr>
        <w:t>Análisis relativo a la información proporcionada</w:t>
      </w:r>
    </w:p>
    <w:p w14:paraId="3959EEC2" w14:textId="77777777" w:rsidR="00795351" w:rsidRPr="002B2578" w:rsidRDefault="00795351">
      <w:pPr>
        <w:pStyle w:val="Corpo"/>
        <w:spacing w:after="0" w:line="240" w:lineRule="auto"/>
        <w:jc w:val="both"/>
        <w:rPr>
          <w:rFonts w:ascii="Cambria" w:eastAsia="Cambria" w:hAnsi="Cambria" w:cs="Cambria"/>
          <w:sz w:val="20"/>
          <w:szCs w:val="20"/>
          <w:shd w:val="clear" w:color="auto" w:fill="FFFF00"/>
        </w:rPr>
      </w:pPr>
    </w:p>
    <w:p w14:paraId="4A296337" w14:textId="77777777" w:rsidR="00795351" w:rsidRPr="002B2578" w:rsidRDefault="007E7DF0" w:rsidP="00914942">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2B2578">
        <w:rPr>
          <w:rFonts w:ascii="Cambria" w:hAnsi="Cambria" w:cs="Calibri Light"/>
          <w:color w:val="000000"/>
          <w:sz w:val="20"/>
          <w:szCs w:val="20"/>
          <w:lang w:val="es-ES"/>
        </w:rPr>
        <w:t>En 20</w:t>
      </w:r>
      <w:r w:rsidR="007947BA" w:rsidRPr="002B2578">
        <w:rPr>
          <w:rFonts w:ascii="Cambria" w:hAnsi="Cambria" w:cs="Calibri Light"/>
          <w:color w:val="000000"/>
          <w:sz w:val="20"/>
          <w:szCs w:val="20"/>
          <w:lang w:val="es-ES"/>
        </w:rPr>
        <w:t>2</w:t>
      </w:r>
      <w:r w:rsidR="00E05402" w:rsidRPr="002B2578">
        <w:rPr>
          <w:rFonts w:ascii="Cambria" w:hAnsi="Cambria" w:cs="Calibri Light"/>
          <w:color w:val="000000"/>
          <w:sz w:val="20"/>
          <w:szCs w:val="20"/>
          <w:lang w:val="es-ES"/>
        </w:rPr>
        <w:t>1</w:t>
      </w:r>
      <w:r w:rsidRPr="002B2578">
        <w:rPr>
          <w:rFonts w:ascii="Cambria" w:hAnsi="Cambria" w:cs="Calibri Light"/>
          <w:color w:val="000000"/>
          <w:sz w:val="20"/>
          <w:szCs w:val="20"/>
          <w:lang w:val="es-ES"/>
        </w:rPr>
        <w:t xml:space="preserve">, la Comisión considera que la información proporcionada por </w:t>
      </w:r>
      <w:r w:rsidR="0016497B" w:rsidRPr="002B2578">
        <w:rPr>
          <w:rFonts w:ascii="Cambria" w:hAnsi="Cambria" w:cs="Calibri Light"/>
          <w:color w:val="000000"/>
          <w:sz w:val="20"/>
          <w:szCs w:val="20"/>
          <w:lang w:val="es-ES"/>
        </w:rPr>
        <w:t xml:space="preserve">la parte peticionaria </w:t>
      </w:r>
      <w:r w:rsidRPr="002B2578">
        <w:rPr>
          <w:rFonts w:ascii="Cambria" w:hAnsi="Cambria" w:cs="Calibri Light"/>
          <w:color w:val="000000"/>
          <w:sz w:val="20"/>
          <w:szCs w:val="20"/>
          <w:lang w:val="es-ES"/>
        </w:rPr>
        <w:t xml:space="preserve">es relevante dado que es actualizada y amplia sobre medidas adoptadas relativas al cumplimiento de al menos una de las recomendaciones emitidas en el Informe Nº 64/01. </w:t>
      </w:r>
    </w:p>
    <w:p w14:paraId="30D00D8C" w14:textId="77777777" w:rsidR="00795351" w:rsidRPr="002B2578" w:rsidRDefault="00795351" w:rsidP="00914942">
      <w:pPr>
        <w:pStyle w:val="BlockText"/>
        <w:spacing w:before="0" w:beforeAutospacing="0" w:after="0" w:afterAutospacing="0"/>
        <w:ind w:left="720"/>
        <w:jc w:val="both"/>
        <w:rPr>
          <w:rFonts w:ascii="Cambria" w:hAnsi="Cambria" w:cs="Calibri Light"/>
          <w:color w:val="000000"/>
          <w:sz w:val="20"/>
          <w:szCs w:val="20"/>
          <w:lang w:val="es-ES"/>
        </w:rPr>
      </w:pPr>
    </w:p>
    <w:p w14:paraId="38A48229" w14:textId="77777777" w:rsidR="00795351" w:rsidRPr="002B2578" w:rsidRDefault="007E7DF0">
      <w:pPr>
        <w:pStyle w:val="ListParagraph"/>
        <w:numPr>
          <w:ilvl w:val="0"/>
          <w:numId w:val="9"/>
        </w:numPr>
        <w:spacing w:after="0" w:line="240" w:lineRule="auto"/>
        <w:jc w:val="both"/>
        <w:rPr>
          <w:rFonts w:ascii="Cambria" w:eastAsia="Cambria" w:hAnsi="Cambria" w:cs="Cambria"/>
          <w:b/>
          <w:bCs/>
          <w:sz w:val="20"/>
          <w:szCs w:val="20"/>
          <w:lang w:val="es-ES_tradnl"/>
        </w:rPr>
      </w:pPr>
      <w:r w:rsidRPr="002B2578">
        <w:rPr>
          <w:rFonts w:ascii="Cambria" w:eastAsia="Cambria" w:hAnsi="Cambria" w:cs="Cambria"/>
          <w:b/>
          <w:bCs/>
          <w:sz w:val="20"/>
          <w:szCs w:val="20"/>
          <w:lang w:val="es-ES_tradnl"/>
        </w:rPr>
        <w:t>Análisis del cumplimiento de las recomendaciones</w:t>
      </w:r>
    </w:p>
    <w:p w14:paraId="1A22319E" w14:textId="77777777" w:rsidR="00795351" w:rsidRPr="002B2578" w:rsidRDefault="00795351">
      <w:pPr>
        <w:pStyle w:val="Corpo"/>
        <w:spacing w:after="0" w:line="240" w:lineRule="auto"/>
        <w:jc w:val="both"/>
        <w:rPr>
          <w:rFonts w:ascii="Cambria" w:eastAsia="Cambria" w:hAnsi="Cambria" w:cs="Cambria"/>
          <w:sz w:val="20"/>
          <w:szCs w:val="20"/>
          <w:shd w:val="clear" w:color="auto" w:fill="FFFF00"/>
        </w:rPr>
      </w:pPr>
    </w:p>
    <w:p w14:paraId="2CD64242" w14:textId="77777777" w:rsidR="00795351" w:rsidRPr="002B2578" w:rsidRDefault="007E7DF0" w:rsidP="00914942">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2B2578">
        <w:rPr>
          <w:rFonts w:ascii="Cambria" w:hAnsi="Cambria" w:cs="Calibri Light"/>
          <w:color w:val="000000"/>
          <w:sz w:val="20"/>
          <w:szCs w:val="20"/>
          <w:lang w:val="es-ES"/>
        </w:rPr>
        <w:t>En relación con la primera recomendación, en 2015, el Estado indicó que la acción de revisión presentada por la Procuraduría General de la Nación contra la sentencia absolutoria emitida el 23 de noviembre de 2004 por el Juzgado Segundo de División adscrito a la Justicia Penal Militar, y confirmada en segunda instancia por el Tribunal Superior Militar se mantenía en trámite. Respecto al proceso disciplinario, el Estado indicó que el 14 de abril de 1998</w:t>
      </w:r>
      <w:r w:rsidR="00477ADC" w:rsidRPr="002B2578">
        <w:rPr>
          <w:rFonts w:ascii="Cambria" w:hAnsi="Cambria" w:cs="Calibri Light"/>
          <w:color w:val="000000"/>
          <w:sz w:val="20"/>
          <w:szCs w:val="20"/>
          <w:lang w:val="es-ES"/>
        </w:rPr>
        <w:t>,</w:t>
      </w:r>
      <w:r w:rsidRPr="002B2578">
        <w:rPr>
          <w:rFonts w:ascii="Cambria" w:hAnsi="Cambria" w:cs="Calibri Light"/>
          <w:color w:val="000000"/>
          <w:sz w:val="20"/>
          <w:szCs w:val="20"/>
          <w:lang w:val="es-ES"/>
        </w:rPr>
        <w:t xml:space="preserve"> el Procurador General de la Nación modificó la sanción de suspensión por el término de 90 días sin remuneración proferida por la Procuraduría </w:t>
      </w:r>
      <w:proofErr w:type="gramStart"/>
      <w:r w:rsidRPr="002B2578">
        <w:rPr>
          <w:rFonts w:ascii="Cambria" w:hAnsi="Cambria" w:cs="Calibri Light"/>
          <w:color w:val="000000"/>
          <w:sz w:val="20"/>
          <w:szCs w:val="20"/>
          <w:lang w:val="es-ES"/>
        </w:rPr>
        <w:t>Delegada</w:t>
      </w:r>
      <w:proofErr w:type="gramEnd"/>
      <w:r w:rsidRPr="002B2578">
        <w:rPr>
          <w:rFonts w:ascii="Cambria" w:hAnsi="Cambria" w:cs="Calibri Light"/>
          <w:color w:val="000000"/>
          <w:sz w:val="20"/>
          <w:szCs w:val="20"/>
          <w:lang w:val="es-ES"/>
        </w:rPr>
        <w:t xml:space="preserve"> para las Fuerzas Militares en contra de un teniente investigado por los hechos ocurridos en el marco del presente caso, con la sanción de represión severa. Agregó que la Procuraduría General de la Nación consideró que se había configurado la responsabilidad disciplinaria mas no la penal por lo que consideró que el proceso penal militar había estado ajustado a derecho, compartiendo la decisión de absolver penalmente a los uniformados investigados</w:t>
      </w:r>
      <w:r w:rsidRPr="002B2578">
        <w:rPr>
          <w:rFonts w:ascii="Cambria" w:hAnsi="Cambria" w:cs="Calibri Light"/>
          <w:color w:val="000000"/>
          <w:sz w:val="20"/>
          <w:szCs w:val="20"/>
          <w:vertAlign w:val="superscript"/>
          <w:lang w:val="es-ES"/>
        </w:rPr>
        <w:footnoteReference w:id="3"/>
      </w:r>
      <w:r w:rsidRPr="002B2578">
        <w:rPr>
          <w:rFonts w:ascii="Cambria" w:hAnsi="Cambria" w:cs="Calibri Light"/>
          <w:color w:val="000000"/>
          <w:sz w:val="20"/>
          <w:szCs w:val="20"/>
          <w:lang w:val="es-ES"/>
        </w:rPr>
        <w:t>. En 2016, el Estado informó que</w:t>
      </w:r>
      <w:r w:rsidR="00E46547" w:rsidRPr="002B2578">
        <w:rPr>
          <w:rFonts w:ascii="Cambria" w:hAnsi="Cambria" w:cs="Calibri Light"/>
          <w:color w:val="000000"/>
          <w:sz w:val="20"/>
          <w:szCs w:val="20"/>
          <w:lang w:val="es-ES"/>
        </w:rPr>
        <w:t>,</w:t>
      </w:r>
      <w:r w:rsidRPr="002B2578">
        <w:rPr>
          <w:rFonts w:ascii="Cambria" w:hAnsi="Cambria" w:cs="Calibri Light"/>
          <w:color w:val="000000"/>
          <w:sz w:val="20"/>
          <w:szCs w:val="20"/>
          <w:lang w:val="es-ES"/>
        </w:rPr>
        <w:t xml:space="preserve"> mediante sentencia de 2 de diciembre de 2015, la Sala de Casación Penal de la Corte Suprema de Justicia decidió dejar sin efecto la sentencia dictada por el Tribunal Militar el 7 de junio de 2005, así como la decisión del Juzgado Segundo de noviembre de 2004, y ordenó remitir el expediente a la </w:t>
      </w:r>
      <w:proofErr w:type="gramStart"/>
      <w:r w:rsidRPr="002B2578">
        <w:rPr>
          <w:rFonts w:ascii="Cambria" w:hAnsi="Cambria" w:cs="Calibri Light"/>
          <w:color w:val="000000"/>
          <w:sz w:val="20"/>
          <w:szCs w:val="20"/>
          <w:lang w:val="es-ES"/>
        </w:rPr>
        <w:t>Fiscalía General</w:t>
      </w:r>
      <w:proofErr w:type="gramEnd"/>
      <w:r w:rsidRPr="002B2578">
        <w:rPr>
          <w:rFonts w:ascii="Cambria" w:hAnsi="Cambria" w:cs="Calibri Light"/>
          <w:color w:val="000000"/>
          <w:sz w:val="20"/>
          <w:szCs w:val="20"/>
          <w:lang w:val="es-ES"/>
        </w:rPr>
        <w:t xml:space="preserve"> de la Nación para que continúe con la investigación de los hechos, lo cual fue remitido en febrero de 2016</w:t>
      </w:r>
      <w:r w:rsidRPr="002B2578">
        <w:rPr>
          <w:rFonts w:ascii="Cambria" w:hAnsi="Cambria" w:cs="Calibri Light"/>
          <w:color w:val="000000"/>
          <w:sz w:val="20"/>
          <w:szCs w:val="20"/>
          <w:vertAlign w:val="superscript"/>
          <w:lang w:val="es-ES"/>
        </w:rPr>
        <w:footnoteReference w:id="4"/>
      </w:r>
      <w:r w:rsidRPr="002B2578">
        <w:rPr>
          <w:rFonts w:ascii="Cambria" w:hAnsi="Cambria" w:cs="Calibri Light"/>
          <w:color w:val="000000"/>
          <w:sz w:val="20"/>
          <w:szCs w:val="20"/>
          <w:lang w:val="es-ES"/>
        </w:rPr>
        <w:t xml:space="preserve">. En 2018, el Estado informó que la investigación finalmente había quedado bajo competencia de la jurisdicción ordinaria, a cargo de la </w:t>
      </w:r>
      <w:proofErr w:type="gramStart"/>
      <w:r w:rsidRPr="002B2578">
        <w:rPr>
          <w:rFonts w:ascii="Cambria" w:hAnsi="Cambria" w:cs="Calibri Light"/>
          <w:color w:val="000000"/>
          <w:sz w:val="20"/>
          <w:szCs w:val="20"/>
          <w:lang w:val="es-ES"/>
        </w:rPr>
        <w:t>Fiscalía General</w:t>
      </w:r>
      <w:proofErr w:type="gramEnd"/>
      <w:r w:rsidRPr="002B2578">
        <w:rPr>
          <w:rFonts w:ascii="Cambria" w:hAnsi="Cambria" w:cs="Calibri Light"/>
          <w:color w:val="000000"/>
          <w:sz w:val="20"/>
          <w:szCs w:val="20"/>
          <w:lang w:val="es-ES"/>
        </w:rPr>
        <w:t xml:space="preserve"> de la Nación. El 24 de mayo de 2017, la </w:t>
      </w:r>
      <w:proofErr w:type="gramStart"/>
      <w:r w:rsidRPr="002B2578">
        <w:rPr>
          <w:rFonts w:ascii="Cambria" w:hAnsi="Cambria" w:cs="Calibri Light"/>
          <w:color w:val="000000"/>
          <w:sz w:val="20"/>
          <w:szCs w:val="20"/>
          <w:lang w:val="es-ES"/>
        </w:rPr>
        <w:t>Fiscalía General</w:t>
      </w:r>
      <w:proofErr w:type="gramEnd"/>
      <w:r w:rsidRPr="002B2578">
        <w:rPr>
          <w:rFonts w:ascii="Cambria" w:hAnsi="Cambria" w:cs="Calibri Light"/>
          <w:color w:val="000000"/>
          <w:sz w:val="20"/>
          <w:szCs w:val="20"/>
          <w:lang w:val="es-ES"/>
        </w:rPr>
        <w:t xml:space="preserve"> de la Nación profirió resolución de acusación en contra de los señores Hernán Carrera Sanabria y el soldado Bonilla Collazos, ambos </w:t>
      </w:r>
      <w:r w:rsidR="00E46547" w:rsidRPr="002B2578">
        <w:rPr>
          <w:rFonts w:ascii="Cambria" w:hAnsi="Cambria" w:cs="Calibri Light"/>
          <w:color w:val="000000"/>
          <w:sz w:val="20"/>
          <w:szCs w:val="20"/>
          <w:lang w:val="es-ES"/>
        </w:rPr>
        <w:t>exmiembros</w:t>
      </w:r>
      <w:r w:rsidRPr="002B2578">
        <w:rPr>
          <w:rFonts w:ascii="Cambria" w:hAnsi="Cambria" w:cs="Calibri Light"/>
          <w:color w:val="000000"/>
          <w:sz w:val="20"/>
          <w:szCs w:val="20"/>
          <w:lang w:val="es-ES"/>
        </w:rPr>
        <w:t xml:space="preserve"> del Ejército Nacional adscritos al pelotón del Batallón de Artillería Nueva Granada para la época de los hechos, como presuntos coautores responsables de los delitos cometidos el 16 de abril de 1993 en Barrancabermeja. Los acusados interpusieron apelación contra la decisión de acusación, frente a lo cual la Sala Penal del Tribunal Superior de Distrito Judicial admitió su estudio. Durante el año 2019, el Estado no aportó información relevante respecto a la tramitación y posible resolución de la apelación </w:t>
      </w:r>
      <w:r w:rsidRPr="002B2578">
        <w:rPr>
          <w:rFonts w:ascii="Cambria" w:hAnsi="Cambria" w:cs="Calibri Light"/>
          <w:color w:val="000000"/>
          <w:sz w:val="20"/>
          <w:szCs w:val="20"/>
          <w:lang w:val="es-ES"/>
        </w:rPr>
        <w:lastRenderedPageBreak/>
        <w:t xml:space="preserve">interpuesta por los presuntos responsables de la muerte del señor Isaza Echeverry en contra de la resolución de acusación emitida por la </w:t>
      </w:r>
      <w:proofErr w:type="gramStart"/>
      <w:r w:rsidRPr="002B2578">
        <w:rPr>
          <w:rFonts w:ascii="Cambria" w:hAnsi="Cambria" w:cs="Calibri Light"/>
          <w:color w:val="000000"/>
          <w:sz w:val="20"/>
          <w:szCs w:val="20"/>
          <w:lang w:val="es-ES"/>
        </w:rPr>
        <w:t>Fiscalía General</w:t>
      </w:r>
      <w:proofErr w:type="gramEnd"/>
      <w:r w:rsidRPr="002B2578">
        <w:rPr>
          <w:rFonts w:ascii="Cambria" w:hAnsi="Cambria" w:cs="Calibri Light"/>
          <w:color w:val="000000"/>
          <w:sz w:val="20"/>
          <w:szCs w:val="20"/>
          <w:lang w:val="es-ES"/>
        </w:rPr>
        <w:t>.</w:t>
      </w:r>
      <w:r w:rsidRPr="002B2578">
        <w:rPr>
          <w:rFonts w:ascii="Cambria" w:eastAsia="Cambria" w:hAnsi="Cambria" w:cs="Cambria"/>
          <w:color w:val="000000"/>
          <w:sz w:val="20"/>
          <w:szCs w:val="20"/>
          <w:lang w:val="es-ES_tradnl"/>
        </w:rPr>
        <w:t xml:space="preserve"> </w:t>
      </w:r>
    </w:p>
    <w:p w14:paraId="32B898DF" w14:textId="77777777" w:rsidR="00E46547" w:rsidRPr="002B2578" w:rsidRDefault="00E46547" w:rsidP="00E46547">
      <w:pPr>
        <w:pStyle w:val="BlockText"/>
        <w:spacing w:before="0" w:beforeAutospacing="0" w:after="0" w:afterAutospacing="0"/>
        <w:ind w:left="720"/>
        <w:jc w:val="both"/>
        <w:rPr>
          <w:rFonts w:ascii="Cambria" w:eastAsia="Cambria" w:hAnsi="Cambria" w:cs="Cambria"/>
          <w:color w:val="000000"/>
          <w:sz w:val="20"/>
          <w:szCs w:val="20"/>
          <w:lang w:val="es-ES_tradnl"/>
        </w:rPr>
      </w:pPr>
    </w:p>
    <w:p w14:paraId="6ECD7402" w14:textId="77777777" w:rsidR="001D26B1" w:rsidRPr="002B2578" w:rsidRDefault="00E46547" w:rsidP="00FA6445">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2B2578">
        <w:rPr>
          <w:rFonts w:ascii="Cambria" w:eastAsia="Cambria" w:hAnsi="Cambria" w:cs="Cambria"/>
          <w:color w:val="000000"/>
          <w:sz w:val="20"/>
          <w:szCs w:val="20"/>
          <w:lang w:val="es-ES_tradnl"/>
        </w:rPr>
        <w:t>En 2020, el Estado</w:t>
      </w:r>
      <w:r w:rsidR="00477ADC" w:rsidRPr="002B2578">
        <w:rPr>
          <w:rFonts w:ascii="Cambria" w:eastAsia="Cambria" w:hAnsi="Cambria" w:cs="Cambria"/>
          <w:color w:val="000000"/>
          <w:sz w:val="20"/>
          <w:szCs w:val="20"/>
          <w:lang w:val="es-ES_tradnl"/>
        </w:rPr>
        <w:t xml:space="preserve"> remitió un informe de la </w:t>
      </w:r>
      <w:proofErr w:type="gramStart"/>
      <w:r w:rsidR="00477ADC" w:rsidRPr="002B2578">
        <w:rPr>
          <w:rFonts w:ascii="Cambria" w:eastAsia="Cambria" w:hAnsi="Cambria" w:cs="Cambria"/>
          <w:color w:val="000000"/>
          <w:sz w:val="20"/>
          <w:szCs w:val="20"/>
          <w:lang w:val="es-ES_tradnl"/>
        </w:rPr>
        <w:t>Fiscalía General</w:t>
      </w:r>
      <w:proofErr w:type="gramEnd"/>
      <w:r w:rsidR="00477ADC" w:rsidRPr="002B2578">
        <w:rPr>
          <w:rFonts w:ascii="Cambria" w:eastAsia="Cambria" w:hAnsi="Cambria" w:cs="Cambria"/>
          <w:color w:val="000000"/>
          <w:sz w:val="20"/>
          <w:szCs w:val="20"/>
          <w:lang w:val="es-ES_tradnl"/>
        </w:rPr>
        <w:t xml:space="preserve"> de la Nación. </w:t>
      </w:r>
      <w:r w:rsidR="00E9612C" w:rsidRPr="002B2578">
        <w:rPr>
          <w:rFonts w:ascii="Cambria" w:hAnsi="Cambria"/>
          <w:color w:val="000000"/>
          <w:sz w:val="20"/>
          <w:szCs w:val="20"/>
          <w:lang w:val="es-CO"/>
        </w:rPr>
        <w:t>I</w:t>
      </w:r>
      <w:r w:rsidR="00D77DBD" w:rsidRPr="002B2578">
        <w:rPr>
          <w:rFonts w:ascii="Cambria" w:hAnsi="Cambria"/>
          <w:color w:val="000000"/>
          <w:sz w:val="20"/>
          <w:szCs w:val="20"/>
          <w:lang w:val="es-CO"/>
        </w:rPr>
        <w:t>nformó que</w:t>
      </w:r>
      <w:r w:rsidR="00AE730E" w:rsidRPr="002B2578">
        <w:rPr>
          <w:rFonts w:ascii="Cambria" w:hAnsi="Cambria"/>
          <w:color w:val="000000"/>
          <w:sz w:val="20"/>
          <w:szCs w:val="20"/>
          <w:lang w:val="es-CO"/>
        </w:rPr>
        <w:t xml:space="preserve"> la investigación </w:t>
      </w:r>
      <w:r w:rsidR="00D77DBD" w:rsidRPr="002B2578">
        <w:rPr>
          <w:rFonts w:ascii="Cambria" w:hAnsi="Cambria"/>
          <w:color w:val="000000"/>
          <w:sz w:val="20"/>
          <w:szCs w:val="20"/>
          <w:lang w:val="es-CO"/>
        </w:rPr>
        <w:t>está</w:t>
      </w:r>
      <w:r w:rsidR="00AE730E" w:rsidRPr="002B2578">
        <w:rPr>
          <w:rFonts w:ascii="Cambria" w:hAnsi="Cambria"/>
          <w:color w:val="000000"/>
          <w:sz w:val="20"/>
          <w:szCs w:val="20"/>
          <w:lang w:val="es-CO"/>
        </w:rPr>
        <w:t xml:space="preserve"> en etapa de instrucción</w:t>
      </w:r>
      <w:r w:rsidR="008F5433" w:rsidRPr="002B2578">
        <w:rPr>
          <w:rFonts w:ascii="Cambria" w:hAnsi="Cambria"/>
          <w:color w:val="000000"/>
          <w:sz w:val="20"/>
          <w:szCs w:val="20"/>
          <w:lang w:val="es-CO"/>
        </w:rPr>
        <w:t>, a la cual están vinculados como autores</w:t>
      </w:r>
      <w:r w:rsidR="00AE730E" w:rsidRPr="002B2578">
        <w:rPr>
          <w:rFonts w:ascii="Cambria" w:hAnsi="Cambria"/>
          <w:color w:val="000000"/>
          <w:sz w:val="20"/>
          <w:szCs w:val="20"/>
          <w:lang w:val="es-CO"/>
        </w:rPr>
        <w:t xml:space="preserve"> Hernán Carrera Sanabria, </w:t>
      </w:r>
      <w:r w:rsidR="008F5433" w:rsidRPr="002B2578">
        <w:rPr>
          <w:rFonts w:ascii="Cambria" w:hAnsi="Cambria"/>
          <w:color w:val="000000"/>
          <w:sz w:val="20"/>
          <w:szCs w:val="20"/>
          <w:lang w:val="es-CO"/>
        </w:rPr>
        <w:t>quien era</w:t>
      </w:r>
      <w:r w:rsidR="00AE730E" w:rsidRPr="002B2578">
        <w:rPr>
          <w:rFonts w:ascii="Cambria" w:hAnsi="Cambria"/>
          <w:color w:val="000000"/>
          <w:sz w:val="20"/>
          <w:szCs w:val="20"/>
          <w:lang w:val="es-CO"/>
        </w:rPr>
        <w:t xml:space="preserve"> teniente</w:t>
      </w:r>
      <w:r w:rsidR="008F5433" w:rsidRPr="002B2578">
        <w:rPr>
          <w:rFonts w:ascii="Cambria" w:hAnsi="Cambria"/>
          <w:color w:val="000000"/>
          <w:sz w:val="20"/>
          <w:szCs w:val="20"/>
          <w:lang w:val="es-CO"/>
        </w:rPr>
        <w:t xml:space="preserve"> y </w:t>
      </w:r>
      <w:r w:rsidR="00AE730E" w:rsidRPr="002B2578">
        <w:rPr>
          <w:rFonts w:ascii="Cambria" w:hAnsi="Cambria"/>
          <w:color w:val="000000"/>
          <w:sz w:val="20"/>
          <w:szCs w:val="20"/>
          <w:lang w:val="es-CO"/>
        </w:rPr>
        <w:t xml:space="preserve">Alexander Bonilla Collazos, quien </w:t>
      </w:r>
      <w:r w:rsidR="008F5433" w:rsidRPr="002B2578">
        <w:rPr>
          <w:rFonts w:ascii="Cambria" w:hAnsi="Cambria"/>
          <w:color w:val="000000"/>
          <w:sz w:val="20"/>
          <w:szCs w:val="20"/>
          <w:lang w:val="es-CO"/>
        </w:rPr>
        <w:t>era</w:t>
      </w:r>
      <w:r w:rsidR="00AE730E" w:rsidRPr="002B2578">
        <w:rPr>
          <w:rFonts w:ascii="Cambria" w:hAnsi="Cambria"/>
          <w:color w:val="000000"/>
          <w:sz w:val="20"/>
          <w:szCs w:val="20"/>
          <w:lang w:val="es-CO"/>
        </w:rPr>
        <w:t xml:space="preserve"> soldado voluntario</w:t>
      </w:r>
      <w:r w:rsidR="008F5433" w:rsidRPr="002B2578">
        <w:rPr>
          <w:rFonts w:ascii="Cambria" w:hAnsi="Cambria"/>
          <w:color w:val="000000"/>
          <w:sz w:val="20"/>
          <w:szCs w:val="20"/>
          <w:lang w:val="es-CO"/>
        </w:rPr>
        <w:t>. La Fiscalía remitió</w:t>
      </w:r>
      <w:r w:rsidR="00E9612C" w:rsidRPr="002B2578">
        <w:rPr>
          <w:rFonts w:ascii="Cambria" w:hAnsi="Cambria"/>
          <w:color w:val="000000"/>
          <w:sz w:val="20"/>
          <w:szCs w:val="20"/>
          <w:lang w:val="es-CO"/>
        </w:rPr>
        <w:t xml:space="preserve"> nuevamente</w:t>
      </w:r>
      <w:r w:rsidR="008F5433" w:rsidRPr="002B2578">
        <w:rPr>
          <w:rFonts w:ascii="Cambria" w:hAnsi="Cambria"/>
          <w:color w:val="000000"/>
          <w:sz w:val="20"/>
          <w:szCs w:val="20"/>
          <w:lang w:val="es-CO"/>
        </w:rPr>
        <w:t xml:space="preserve"> información sobre las diligencias de investigación</w:t>
      </w:r>
      <w:r w:rsidR="00D66E0E" w:rsidRPr="002B2578">
        <w:rPr>
          <w:rFonts w:ascii="Cambria" w:hAnsi="Cambria"/>
          <w:color w:val="000000"/>
          <w:sz w:val="20"/>
          <w:szCs w:val="20"/>
          <w:lang w:val="es-CO"/>
        </w:rPr>
        <w:t xml:space="preserve"> </w:t>
      </w:r>
      <w:r w:rsidR="00E9612C" w:rsidRPr="002B2578">
        <w:rPr>
          <w:rFonts w:ascii="Cambria" w:hAnsi="Cambria"/>
          <w:color w:val="000000"/>
          <w:sz w:val="20"/>
          <w:szCs w:val="20"/>
          <w:lang w:val="es-CO"/>
        </w:rPr>
        <w:t>realizadas</w:t>
      </w:r>
      <w:r w:rsidR="00D66E0E" w:rsidRPr="002B2578">
        <w:rPr>
          <w:rFonts w:ascii="Cambria" w:hAnsi="Cambria"/>
          <w:color w:val="000000"/>
          <w:sz w:val="20"/>
          <w:szCs w:val="20"/>
          <w:lang w:val="es-CO"/>
        </w:rPr>
        <w:t xml:space="preserve"> desde 1994, por </w:t>
      </w:r>
      <w:r w:rsidR="00E9612C" w:rsidRPr="002B2578">
        <w:rPr>
          <w:rFonts w:ascii="Cambria" w:hAnsi="Cambria"/>
          <w:color w:val="000000"/>
          <w:sz w:val="20"/>
          <w:szCs w:val="20"/>
          <w:lang w:val="es-CO"/>
        </w:rPr>
        <w:t>parte de la Justicia Penal Militar</w:t>
      </w:r>
      <w:r w:rsidR="00D66E0E" w:rsidRPr="002B2578">
        <w:rPr>
          <w:rFonts w:ascii="Cambria" w:hAnsi="Cambria"/>
          <w:color w:val="000000"/>
          <w:sz w:val="20"/>
          <w:szCs w:val="20"/>
          <w:lang w:val="es-CO"/>
        </w:rPr>
        <w:t xml:space="preserve">, antes de que </w:t>
      </w:r>
      <w:r w:rsidR="00E9612C" w:rsidRPr="002B2578">
        <w:rPr>
          <w:rFonts w:ascii="Cambria" w:hAnsi="Cambria"/>
          <w:color w:val="000000"/>
          <w:sz w:val="20"/>
          <w:szCs w:val="20"/>
          <w:lang w:val="es-CO"/>
        </w:rPr>
        <w:t>el caso</w:t>
      </w:r>
      <w:r w:rsidR="00D66E0E" w:rsidRPr="002B2578">
        <w:rPr>
          <w:rFonts w:ascii="Cambria" w:hAnsi="Cambria"/>
          <w:color w:val="000000"/>
          <w:sz w:val="20"/>
          <w:szCs w:val="20"/>
          <w:lang w:val="es-CO"/>
        </w:rPr>
        <w:t xml:space="preserve"> hubiese pasado a la jurisdicción ordinaria</w:t>
      </w:r>
      <w:r w:rsidR="00B365F7" w:rsidRPr="002B2578">
        <w:rPr>
          <w:rFonts w:ascii="Cambria" w:hAnsi="Cambria"/>
          <w:color w:val="000000"/>
          <w:sz w:val="20"/>
          <w:szCs w:val="20"/>
          <w:lang w:val="es-CO"/>
        </w:rPr>
        <w:t xml:space="preserve">. Al respecto, recordó </w:t>
      </w:r>
      <w:r w:rsidR="00F30A19" w:rsidRPr="002B2578">
        <w:rPr>
          <w:rFonts w:ascii="Cambria" w:hAnsi="Cambria"/>
          <w:color w:val="000000"/>
          <w:sz w:val="20"/>
          <w:szCs w:val="20"/>
          <w:lang w:val="es-CO"/>
        </w:rPr>
        <w:t xml:space="preserve">que la investigación ante la jurisdicción militar </w:t>
      </w:r>
      <w:r w:rsidR="00E9612C" w:rsidRPr="002B2578">
        <w:rPr>
          <w:rFonts w:ascii="Cambria" w:hAnsi="Cambria"/>
          <w:color w:val="000000"/>
          <w:sz w:val="20"/>
          <w:szCs w:val="20"/>
          <w:lang w:val="es-CO"/>
        </w:rPr>
        <w:t xml:space="preserve">que fue </w:t>
      </w:r>
      <w:r w:rsidR="00F30A19" w:rsidRPr="002B2578">
        <w:rPr>
          <w:rFonts w:ascii="Cambria" w:hAnsi="Cambria"/>
          <w:color w:val="000000"/>
          <w:sz w:val="20"/>
          <w:szCs w:val="20"/>
          <w:lang w:val="es-CO"/>
        </w:rPr>
        <w:t>abierta en 1994 vinculó inicialmente a 4 personas por el homicidio de Leonel de Jesús Isaza Echeverry</w:t>
      </w:r>
      <w:r w:rsidR="0001295C" w:rsidRPr="002B2578">
        <w:rPr>
          <w:rFonts w:ascii="Cambria" w:hAnsi="Cambria"/>
          <w:color w:val="000000"/>
          <w:sz w:val="20"/>
          <w:szCs w:val="20"/>
          <w:lang w:val="es-CO"/>
        </w:rPr>
        <w:t xml:space="preserve"> y que</w:t>
      </w:r>
      <w:r w:rsidR="00E9612C" w:rsidRPr="002B2578">
        <w:rPr>
          <w:rFonts w:ascii="Cambria" w:hAnsi="Cambria"/>
          <w:color w:val="000000"/>
          <w:sz w:val="20"/>
          <w:szCs w:val="20"/>
          <w:lang w:val="es-CO"/>
        </w:rPr>
        <w:t>,</w:t>
      </w:r>
      <w:r w:rsidR="0001295C" w:rsidRPr="002B2578">
        <w:rPr>
          <w:rFonts w:ascii="Cambria" w:hAnsi="Cambria"/>
          <w:color w:val="000000"/>
          <w:sz w:val="20"/>
          <w:szCs w:val="20"/>
          <w:lang w:val="es-CO"/>
        </w:rPr>
        <w:t xml:space="preserve"> posteriormente</w:t>
      </w:r>
      <w:r w:rsidR="00E9612C" w:rsidRPr="002B2578">
        <w:rPr>
          <w:rFonts w:ascii="Cambria" w:hAnsi="Cambria"/>
          <w:color w:val="000000"/>
          <w:sz w:val="20"/>
          <w:szCs w:val="20"/>
          <w:lang w:val="es-CO"/>
        </w:rPr>
        <w:t>,</w:t>
      </w:r>
      <w:r w:rsidR="0001295C" w:rsidRPr="002B2578">
        <w:rPr>
          <w:rFonts w:ascii="Cambria" w:hAnsi="Cambria"/>
          <w:color w:val="000000"/>
          <w:sz w:val="20"/>
          <w:szCs w:val="20"/>
          <w:lang w:val="es-CO"/>
        </w:rPr>
        <w:t xml:space="preserve"> </w:t>
      </w:r>
      <w:r w:rsidR="00E9612C" w:rsidRPr="002B2578">
        <w:rPr>
          <w:rFonts w:ascii="Cambria" w:hAnsi="Cambria"/>
          <w:color w:val="000000"/>
          <w:sz w:val="20"/>
          <w:szCs w:val="20"/>
          <w:lang w:val="es-CO"/>
        </w:rPr>
        <w:t xml:space="preserve">se ordenó cesar </w:t>
      </w:r>
      <w:r w:rsidR="0001295C" w:rsidRPr="002B2578">
        <w:rPr>
          <w:rFonts w:ascii="Cambria" w:hAnsi="Cambria"/>
          <w:color w:val="000000"/>
          <w:sz w:val="20"/>
          <w:szCs w:val="20"/>
          <w:lang w:val="es-CO"/>
        </w:rPr>
        <w:t>el procedimiento respecto a uno de ellos</w:t>
      </w:r>
      <w:r w:rsidR="00F30A19" w:rsidRPr="002B2578">
        <w:rPr>
          <w:rFonts w:ascii="Cambria" w:hAnsi="Cambria"/>
          <w:color w:val="000000"/>
          <w:sz w:val="20"/>
          <w:szCs w:val="20"/>
          <w:lang w:val="es-CO"/>
        </w:rPr>
        <w:t>.</w:t>
      </w:r>
      <w:r w:rsidR="00AE730E" w:rsidRPr="002B2578">
        <w:rPr>
          <w:rFonts w:ascii="Cambria" w:hAnsi="Cambria"/>
          <w:color w:val="000000"/>
          <w:sz w:val="20"/>
          <w:szCs w:val="20"/>
          <w:lang w:val="es-CO"/>
        </w:rPr>
        <w:t xml:space="preserve"> </w:t>
      </w:r>
      <w:r w:rsidR="00F30A19" w:rsidRPr="002B2578">
        <w:rPr>
          <w:rFonts w:ascii="Cambria" w:hAnsi="Cambria"/>
          <w:color w:val="000000"/>
          <w:sz w:val="20"/>
          <w:szCs w:val="20"/>
          <w:lang w:val="es-CO"/>
        </w:rPr>
        <w:t>Asimismo, recordó que</w:t>
      </w:r>
      <w:r w:rsidR="00E9612C" w:rsidRPr="002B2578">
        <w:rPr>
          <w:rFonts w:ascii="Cambria" w:hAnsi="Cambria"/>
          <w:color w:val="000000"/>
          <w:sz w:val="20"/>
          <w:szCs w:val="20"/>
          <w:lang w:val="es-CO"/>
        </w:rPr>
        <w:t xml:space="preserve">, en el marco de la revisión de la decisión absolutoria emitida por la Justicia Penal Militar, </w:t>
      </w:r>
      <w:r w:rsidR="00AE730E" w:rsidRPr="002B2578">
        <w:rPr>
          <w:rFonts w:ascii="Cambria" w:hAnsi="Cambria"/>
          <w:color w:val="000000"/>
          <w:sz w:val="20"/>
          <w:szCs w:val="20"/>
          <w:lang w:val="es-CO"/>
        </w:rPr>
        <w:t xml:space="preserve">la Sala de Casación Penal </w:t>
      </w:r>
      <w:r w:rsidR="00987954" w:rsidRPr="002B2578">
        <w:rPr>
          <w:rFonts w:ascii="Cambria" w:hAnsi="Cambria"/>
          <w:color w:val="000000"/>
          <w:sz w:val="20"/>
          <w:szCs w:val="20"/>
          <w:lang w:val="es-CO"/>
        </w:rPr>
        <w:t xml:space="preserve">de la Corte Suprema de Justicia </w:t>
      </w:r>
      <w:r w:rsidR="0001295C" w:rsidRPr="002B2578">
        <w:rPr>
          <w:rFonts w:ascii="Cambria" w:hAnsi="Cambria"/>
          <w:color w:val="000000"/>
          <w:sz w:val="20"/>
          <w:szCs w:val="20"/>
          <w:lang w:val="es-CO"/>
        </w:rPr>
        <w:t xml:space="preserve">excluyó </w:t>
      </w:r>
      <w:r w:rsidR="00E9612C" w:rsidRPr="002B2578">
        <w:rPr>
          <w:rFonts w:ascii="Cambria" w:hAnsi="Cambria"/>
          <w:color w:val="000000"/>
          <w:sz w:val="20"/>
          <w:szCs w:val="20"/>
          <w:lang w:val="es-CO"/>
        </w:rPr>
        <w:t>a</w:t>
      </w:r>
      <w:r w:rsidR="0001295C" w:rsidRPr="002B2578">
        <w:rPr>
          <w:rFonts w:ascii="Cambria" w:hAnsi="Cambria"/>
          <w:color w:val="000000"/>
          <w:sz w:val="20"/>
          <w:szCs w:val="20"/>
          <w:lang w:val="es-CO"/>
        </w:rPr>
        <w:t xml:space="preserve"> 1 de las 3 personas absueltas debido a su fallecimiento y que</w:t>
      </w:r>
      <w:r w:rsidR="00E9612C" w:rsidRPr="002B2578">
        <w:rPr>
          <w:rFonts w:ascii="Cambria" w:hAnsi="Cambria"/>
          <w:color w:val="000000"/>
          <w:sz w:val="20"/>
          <w:szCs w:val="20"/>
          <w:lang w:val="es-CO"/>
        </w:rPr>
        <w:t xml:space="preserve">, </w:t>
      </w:r>
      <w:r w:rsidR="0001295C" w:rsidRPr="002B2578">
        <w:rPr>
          <w:rFonts w:ascii="Cambria" w:hAnsi="Cambria"/>
          <w:color w:val="000000"/>
          <w:sz w:val="20"/>
          <w:szCs w:val="20"/>
          <w:lang w:val="es-CO"/>
        </w:rPr>
        <w:t xml:space="preserve">el 2 de diciembre de 2015, el Alto Tribunal </w:t>
      </w:r>
      <w:r w:rsidR="00B365F7" w:rsidRPr="002B2578">
        <w:rPr>
          <w:rFonts w:ascii="Cambria" w:hAnsi="Cambria"/>
          <w:color w:val="000000"/>
          <w:sz w:val="20"/>
          <w:szCs w:val="20"/>
          <w:lang w:val="es-CO"/>
        </w:rPr>
        <w:t xml:space="preserve">dejó </w:t>
      </w:r>
      <w:r w:rsidR="00AE730E" w:rsidRPr="002B2578">
        <w:rPr>
          <w:rFonts w:ascii="Cambria" w:hAnsi="Cambria"/>
          <w:color w:val="000000"/>
          <w:sz w:val="20"/>
          <w:szCs w:val="20"/>
          <w:lang w:val="es-CO"/>
        </w:rPr>
        <w:t xml:space="preserve">sin efecto la sentencia </w:t>
      </w:r>
      <w:r w:rsidR="0001295C" w:rsidRPr="002B2578">
        <w:rPr>
          <w:rFonts w:ascii="Cambria" w:hAnsi="Cambria"/>
          <w:color w:val="000000"/>
          <w:sz w:val="20"/>
          <w:szCs w:val="20"/>
          <w:lang w:val="es-CO"/>
        </w:rPr>
        <w:t xml:space="preserve">absolutoria emitida </w:t>
      </w:r>
      <w:r w:rsidR="00987954" w:rsidRPr="002B2578">
        <w:rPr>
          <w:rFonts w:ascii="Cambria" w:hAnsi="Cambria"/>
          <w:color w:val="000000"/>
          <w:sz w:val="20"/>
          <w:szCs w:val="20"/>
          <w:lang w:val="es-CO"/>
        </w:rPr>
        <w:t>respecto a las 2 personas restantes, remitiendo</w:t>
      </w:r>
      <w:r w:rsidR="00AE730E" w:rsidRPr="002B2578">
        <w:rPr>
          <w:rFonts w:ascii="Cambria" w:hAnsi="Cambria"/>
          <w:color w:val="000000"/>
          <w:sz w:val="20"/>
          <w:szCs w:val="20"/>
          <w:lang w:val="es-CO"/>
        </w:rPr>
        <w:t xml:space="preserve"> </w:t>
      </w:r>
      <w:r w:rsidR="0001295C" w:rsidRPr="002B2578">
        <w:rPr>
          <w:rFonts w:ascii="Cambria" w:hAnsi="Cambria"/>
          <w:color w:val="000000"/>
          <w:sz w:val="20"/>
          <w:szCs w:val="20"/>
          <w:lang w:val="es-CO"/>
        </w:rPr>
        <w:t>la investigación a</w:t>
      </w:r>
      <w:r w:rsidR="00AE730E" w:rsidRPr="002B2578">
        <w:rPr>
          <w:rFonts w:ascii="Cambria" w:hAnsi="Cambria"/>
          <w:color w:val="000000"/>
          <w:sz w:val="20"/>
          <w:szCs w:val="20"/>
          <w:lang w:val="es-CO"/>
        </w:rPr>
        <w:t xml:space="preserve"> la </w:t>
      </w:r>
      <w:proofErr w:type="gramStart"/>
      <w:r w:rsidR="00AE730E" w:rsidRPr="002B2578">
        <w:rPr>
          <w:rFonts w:ascii="Cambria" w:hAnsi="Cambria"/>
          <w:color w:val="000000"/>
          <w:sz w:val="20"/>
          <w:szCs w:val="20"/>
          <w:lang w:val="es-CO"/>
        </w:rPr>
        <w:t>Fiscalía General</w:t>
      </w:r>
      <w:proofErr w:type="gramEnd"/>
      <w:r w:rsidR="00AE730E" w:rsidRPr="002B2578">
        <w:rPr>
          <w:rFonts w:ascii="Cambria" w:hAnsi="Cambria"/>
          <w:color w:val="000000"/>
          <w:sz w:val="20"/>
          <w:szCs w:val="20"/>
          <w:lang w:val="es-CO"/>
        </w:rPr>
        <w:t xml:space="preserve"> de la Nación.</w:t>
      </w:r>
      <w:r w:rsidR="0001295C" w:rsidRPr="002B2578">
        <w:rPr>
          <w:rFonts w:ascii="Cambria" w:hAnsi="Cambria"/>
          <w:color w:val="000000"/>
          <w:sz w:val="20"/>
          <w:szCs w:val="20"/>
          <w:lang w:val="es-CO"/>
        </w:rPr>
        <w:t xml:space="preserve"> </w:t>
      </w:r>
    </w:p>
    <w:p w14:paraId="5AE85820" w14:textId="77777777" w:rsidR="001D26B1" w:rsidRPr="002B2578" w:rsidRDefault="001D26B1" w:rsidP="001D26B1">
      <w:pPr>
        <w:pStyle w:val="BlockText"/>
        <w:spacing w:before="0" w:beforeAutospacing="0" w:after="0" w:afterAutospacing="0"/>
        <w:ind w:left="720"/>
        <w:jc w:val="both"/>
        <w:rPr>
          <w:rFonts w:ascii="Cambria" w:eastAsia="Cambria" w:hAnsi="Cambria" w:cs="Cambria"/>
          <w:color w:val="000000"/>
          <w:sz w:val="20"/>
          <w:szCs w:val="20"/>
          <w:lang w:val="es-ES_tradnl"/>
        </w:rPr>
      </w:pPr>
    </w:p>
    <w:p w14:paraId="1E89B6F1" w14:textId="77777777" w:rsidR="00AE730E" w:rsidRPr="002B2578" w:rsidRDefault="00987954" w:rsidP="00FA6445">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2B2578">
        <w:rPr>
          <w:rFonts w:ascii="Cambria" w:hAnsi="Cambria"/>
          <w:color w:val="000000"/>
          <w:sz w:val="20"/>
          <w:szCs w:val="20"/>
          <w:lang w:val="es-CO"/>
        </w:rPr>
        <w:t xml:space="preserve">Respecto a la investigación llevada a cabo por la Fiscalía, el Estado reiteró la información </w:t>
      </w:r>
      <w:r w:rsidR="00E9612C" w:rsidRPr="002B2578">
        <w:rPr>
          <w:rFonts w:ascii="Cambria" w:hAnsi="Cambria"/>
          <w:color w:val="000000"/>
          <w:sz w:val="20"/>
          <w:szCs w:val="20"/>
          <w:lang w:val="es-CO"/>
        </w:rPr>
        <w:t>que había enviado</w:t>
      </w:r>
      <w:r w:rsidRPr="002B2578">
        <w:rPr>
          <w:rFonts w:ascii="Cambria" w:hAnsi="Cambria"/>
          <w:color w:val="000000"/>
          <w:sz w:val="20"/>
          <w:szCs w:val="20"/>
          <w:lang w:val="es-CO"/>
        </w:rPr>
        <w:t xml:space="preserve"> con anterioridad. </w:t>
      </w:r>
      <w:r w:rsidR="00E9612C" w:rsidRPr="002B2578">
        <w:rPr>
          <w:rFonts w:ascii="Cambria" w:hAnsi="Cambria"/>
          <w:color w:val="000000"/>
          <w:sz w:val="20"/>
          <w:szCs w:val="20"/>
          <w:lang w:val="es-CO"/>
        </w:rPr>
        <w:t>I</w:t>
      </w:r>
      <w:r w:rsidR="008A0E12" w:rsidRPr="002B2578">
        <w:rPr>
          <w:rFonts w:ascii="Cambria" w:hAnsi="Cambria"/>
          <w:color w:val="000000"/>
          <w:sz w:val="20"/>
          <w:szCs w:val="20"/>
          <w:lang w:val="es-CO"/>
        </w:rPr>
        <w:t xml:space="preserve">nformó que </w:t>
      </w:r>
      <w:r w:rsidR="00E9612C" w:rsidRPr="002B2578">
        <w:rPr>
          <w:rFonts w:ascii="Cambria" w:hAnsi="Cambria"/>
          <w:color w:val="000000"/>
          <w:sz w:val="20"/>
          <w:szCs w:val="20"/>
          <w:lang w:val="es-CO"/>
        </w:rPr>
        <w:t xml:space="preserve">la investigación </w:t>
      </w:r>
      <w:r w:rsidR="008A0E12" w:rsidRPr="002B2578">
        <w:rPr>
          <w:rFonts w:ascii="Cambria" w:eastAsia="Cambria" w:hAnsi="Cambria" w:cs="Cambria"/>
          <w:color w:val="000000"/>
          <w:sz w:val="20"/>
          <w:szCs w:val="20"/>
          <w:lang w:val="es-ES_tradnl"/>
        </w:rPr>
        <w:t xml:space="preserve">fue llevada a cabo por </w:t>
      </w:r>
      <w:r w:rsidR="008A0E12" w:rsidRPr="002B2578">
        <w:rPr>
          <w:rFonts w:ascii="Cambria" w:hAnsi="Cambria"/>
          <w:color w:val="000000"/>
          <w:sz w:val="20"/>
          <w:szCs w:val="20"/>
          <w:lang w:val="es-CO"/>
        </w:rPr>
        <w:t xml:space="preserve">la Fiscalía 87 Especializada hasta septiembre de 2019 y posteriormente fue asignada a la Fiscalía 90 Especializada con sede en Bucaramanga, Santander, ambas de la Dirección Especializada contra las Violaciones a los Derechos Humanos. Asimismo, </w:t>
      </w:r>
      <w:r w:rsidR="00E9612C" w:rsidRPr="002B2578">
        <w:rPr>
          <w:rFonts w:ascii="Cambria" w:hAnsi="Cambria"/>
          <w:color w:val="000000"/>
          <w:sz w:val="20"/>
          <w:szCs w:val="20"/>
          <w:lang w:val="es-CO"/>
        </w:rPr>
        <w:t xml:space="preserve">respecto a diligencias realizadas en 2020, </w:t>
      </w:r>
      <w:r w:rsidR="008A0E12" w:rsidRPr="002B2578">
        <w:rPr>
          <w:rFonts w:ascii="Cambria" w:hAnsi="Cambria"/>
          <w:color w:val="000000"/>
          <w:sz w:val="20"/>
          <w:szCs w:val="20"/>
          <w:lang w:val="es-CO"/>
        </w:rPr>
        <w:t>el Estado indicó que,</w:t>
      </w:r>
      <w:r w:rsidR="00AE730E" w:rsidRPr="002B2578">
        <w:rPr>
          <w:rFonts w:ascii="Cambria" w:hAnsi="Cambria"/>
          <w:color w:val="000000"/>
          <w:sz w:val="20"/>
          <w:szCs w:val="20"/>
          <w:lang w:val="es-CO"/>
        </w:rPr>
        <w:t xml:space="preserve"> </w:t>
      </w:r>
      <w:r w:rsidR="008A0E12" w:rsidRPr="002B2578">
        <w:rPr>
          <w:rFonts w:ascii="Cambria" w:hAnsi="Cambria"/>
          <w:color w:val="000000"/>
          <w:sz w:val="20"/>
          <w:szCs w:val="20"/>
          <w:lang w:val="es-CO"/>
        </w:rPr>
        <w:t>el 16 de abril</w:t>
      </w:r>
      <w:r w:rsidR="00AE730E" w:rsidRPr="002B2578">
        <w:rPr>
          <w:rFonts w:ascii="Cambria" w:hAnsi="Cambria"/>
          <w:color w:val="000000"/>
          <w:sz w:val="20"/>
          <w:szCs w:val="20"/>
          <w:lang w:val="es-CO"/>
        </w:rPr>
        <w:t xml:space="preserve">, </w:t>
      </w:r>
      <w:r w:rsidR="008A0E12" w:rsidRPr="002B2578">
        <w:rPr>
          <w:rFonts w:ascii="Cambria" w:hAnsi="Cambria"/>
          <w:color w:val="000000"/>
          <w:sz w:val="20"/>
          <w:szCs w:val="20"/>
          <w:lang w:val="es-CO"/>
        </w:rPr>
        <w:t>la Fiscalía a cargo</w:t>
      </w:r>
      <w:r w:rsidR="00AE730E" w:rsidRPr="002B2578">
        <w:rPr>
          <w:rFonts w:ascii="Cambria" w:hAnsi="Cambria"/>
          <w:color w:val="000000"/>
          <w:sz w:val="20"/>
          <w:szCs w:val="20"/>
          <w:lang w:val="es-CO"/>
        </w:rPr>
        <w:t xml:space="preserve"> orden</w:t>
      </w:r>
      <w:r w:rsidR="008A0E12" w:rsidRPr="002B2578">
        <w:rPr>
          <w:rFonts w:ascii="Cambria" w:hAnsi="Cambria"/>
          <w:color w:val="000000"/>
          <w:sz w:val="20"/>
          <w:szCs w:val="20"/>
          <w:lang w:val="es-CO"/>
        </w:rPr>
        <w:t>ó</w:t>
      </w:r>
      <w:r w:rsidR="00AE730E" w:rsidRPr="002B2578">
        <w:rPr>
          <w:rFonts w:ascii="Cambria" w:hAnsi="Cambria"/>
          <w:color w:val="000000"/>
          <w:sz w:val="20"/>
          <w:szCs w:val="20"/>
          <w:lang w:val="es-CO"/>
        </w:rPr>
        <w:t xml:space="preserve"> práctica de pruebas</w:t>
      </w:r>
      <w:r w:rsidR="008A0E12" w:rsidRPr="002B2578">
        <w:rPr>
          <w:rFonts w:ascii="Cambria" w:hAnsi="Cambria"/>
          <w:color w:val="000000"/>
          <w:sz w:val="20"/>
          <w:szCs w:val="20"/>
          <w:lang w:val="es-CO"/>
        </w:rPr>
        <w:t xml:space="preserve"> y que</w:t>
      </w:r>
      <w:r w:rsidR="00E9612C" w:rsidRPr="002B2578">
        <w:rPr>
          <w:rFonts w:ascii="Cambria" w:hAnsi="Cambria"/>
          <w:color w:val="000000"/>
          <w:sz w:val="20"/>
          <w:szCs w:val="20"/>
          <w:lang w:val="es-CO"/>
        </w:rPr>
        <w:t>,</w:t>
      </w:r>
      <w:r w:rsidR="008A0E12" w:rsidRPr="002B2578">
        <w:rPr>
          <w:rFonts w:ascii="Cambria" w:hAnsi="Cambria"/>
          <w:color w:val="000000"/>
          <w:sz w:val="20"/>
          <w:szCs w:val="20"/>
          <w:lang w:val="es-CO"/>
        </w:rPr>
        <w:t xml:space="preserve"> el</w:t>
      </w:r>
      <w:r w:rsidR="00AE730E" w:rsidRPr="002B2578">
        <w:rPr>
          <w:rFonts w:ascii="Cambria" w:hAnsi="Cambria"/>
          <w:color w:val="000000"/>
          <w:sz w:val="20"/>
          <w:szCs w:val="20"/>
          <w:lang w:val="es-CO"/>
        </w:rPr>
        <w:t xml:space="preserve"> 21</w:t>
      </w:r>
      <w:r w:rsidR="008A0E12" w:rsidRPr="002B2578">
        <w:rPr>
          <w:rFonts w:ascii="Cambria" w:hAnsi="Cambria"/>
          <w:color w:val="000000"/>
          <w:sz w:val="20"/>
          <w:szCs w:val="20"/>
          <w:lang w:val="es-CO"/>
        </w:rPr>
        <w:t xml:space="preserve"> </w:t>
      </w:r>
      <w:r w:rsidR="00AE730E" w:rsidRPr="002B2578">
        <w:rPr>
          <w:rFonts w:ascii="Cambria" w:hAnsi="Cambria"/>
          <w:color w:val="000000"/>
          <w:sz w:val="20"/>
          <w:szCs w:val="20"/>
          <w:lang w:val="es-CO"/>
        </w:rPr>
        <w:t>de abril de 2020</w:t>
      </w:r>
      <w:r w:rsidR="008A0E12" w:rsidRPr="002B2578">
        <w:rPr>
          <w:rFonts w:ascii="Cambria" w:hAnsi="Cambria"/>
          <w:color w:val="000000"/>
          <w:sz w:val="20"/>
          <w:szCs w:val="20"/>
          <w:lang w:val="es-CO"/>
        </w:rPr>
        <w:t>,</w:t>
      </w:r>
      <w:r w:rsidR="00AE730E" w:rsidRPr="002B2578">
        <w:rPr>
          <w:rFonts w:ascii="Cambria" w:hAnsi="Cambria"/>
          <w:color w:val="000000"/>
          <w:sz w:val="20"/>
          <w:szCs w:val="20"/>
          <w:lang w:val="es-CO"/>
        </w:rPr>
        <w:t xml:space="preserve"> funcionarios de Policía Judicial</w:t>
      </w:r>
      <w:r w:rsidR="008A0E12" w:rsidRPr="002B2578">
        <w:rPr>
          <w:rFonts w:ascii="Cambria" w:hAnsi="Cambria"/>
          <w:color w:val="000000"/>
          <w:sz w:val="20"/>
          <w:szCs w:val="20"/>
          <w:lang w:val="es-CO"/>
        </w:rPr>
        <w:t xml:space="preserve"> remitieron el respecto informe de </w:t>
      </w:r>
      <w:r w:rsidR="00AE730E" w:rsidRPr="002B2578">
        <w:rPr>
          <w:rFonts w:ascii="Cambria" w:hAnsi="Cambria"/>
          <w:color w:val="000000"/>
          <w:sz w:val="20"/>
          <w:szCs w:val="20"/>
          <w:lang w:val="es-CO"/>
        </w:rPr>
        <w:t xml:space="preserve">estudio y análisis del proceso para </w:t>
      </w:r>
      <w:r w:rsidR="00E9612C" w:rsidRPr="002B2578">
        <w:rPr>
          <w:rFonts w:ascii="Cambria" w:hAnsi="Cambria"/>
          <w:color w:val="000000"/>
          <w:sz w:val="20"/>
          <w:szCs w:val="20"/>
          <w:lang w:val="es-CO"/>
        </w:rPr>
        <w:t>que la Fiscalía ejecute un</w:t>
      </w:r>
      <w:r w:rsidR="00AE730E" w:rsidRPr="002B2578">
        <w:rPr>
          <w:rFonts w:ascii="Cambria" w:hAnsi="Cambria"/>
          <w:color w:val="000000"/>
          <w:sz w:val="20"/>
          <w:szCs w:val="20"/>
          <w:lang w:val="es-CO"/>
        </w:rPr>
        <w:t xml:space="preserve"> plan de trabajo. </w:t>
      </w:r>
      <w:r w:rsidR="008A0E12" w:rsidRPr="002B2578">
        <w:rPr>
          <w:rFonts w:ascii="Cambria" w:hAnsi="Cambria"/>
          <w:color w:val="000000"/>
          <w:sz w:val="20"/>
          <w:szCs w:val="20"/>
          <w:lang w:val="es-CO"/>
        </w:rPr>
        <w:t xml:space="preserve">Respecto a la participación de las víctimas y del Ministerio Público, </w:t>
      </w:r>
      <w:r w:rsidR="00FA6445" w:rsidRPr="002B2578">
        <w:rPr>
          <w:rFonts w:ascii="Cambria" w:hAnsi="Cambria"/>
          <w:color w:val="000000"/>
          <w:sz w:val="20"/>
          <w:szCs w:val="20"/>
          <w:lang w:val="es-CO"/>
        </w:rPr>
        <w:t>la Fiscalía indicó quién actúa como agente especial y señaló que</w:t>
      </w:r>
      <w:r w:rsidR="00AE730E" w:rsidRPr="002B2578">
        <w:rPr>
          <w:rFonts w:ascii="Cambria" w:hAnsi="Cambria"/>
          <w:color w:val="000000"/>
          <w:sz w:val="20"/>
          <w:szCs w:val="20"/>
          <w:lang w:val="es-CO"/>
        </w:rPr>
        <w:t xml:space="preserve"> las víctimas han comparecido </w:t>
      </w:r>
      <w:r w:rsidR="00FA6445" w:rsidRPr="002B2578">
        <w:rPr>
          <w:rFonts w:ascii="Cambria" w:hAnsi="Cambria"/>
          <w:color w:val="000000"/>
          <w:sz w:val="20"/>
          <w:szCs w:val="20"/>
          <w:lang w:val="es-CO"/>
        </w:rPr>
        <w:t xml:space="preserve">cuando se </w:t>
      </w:r>
      <w:r w:rsidR="00AE730E" w:rsidRPr="002B2578">
        <w:rPr>
          <w:rFonts w:ascii="Cambria" w:hAnsi="Cambria"/>
          <w:color w:val="000000"/>
          <w:sz w:val="20"/>
          <w:szCs w:val="20"/>
          <w:lang w:val="es-CO"/>
        </w:rPr>
        <w:t>les ha llamado a participar en alguna diligencia.</w:t>
      </w:r>
      <w:r w:rsidR="00FA6445" w:rsidRPr="002B2578">
        <w:rPr>
          <w:rFonts w:ascii="Cambria" w:hAnsi="Cambria"/>
          <w:color w:val="000000"/>
          <w:sz w:val="20"/>
          <w:szCs w:val="20"/>
          <w:lang w:val="es-CO"/>
        </w:rPr>
        <w:t xml:space="preserve"> Respecto a los obstáculos, </w:t>
      </w:r>
      <w:r w:rsidR="00E9612C" w:rsidRPr="002B2578">
        <w:rPr>
          <w:rFonts w:ascii="Cambria" w:hAnsi="Cambria"/>
          <w:color w:val="000000"/>
          <w:sz w:val="20"/>
          <w:szCs w:val="20"/>
          <w:lang w:val="es-CO"/>
        </w:rPr>
        <w:t>la Fiscalía</w:t>
      </w:r>
      <w:r w:rsidR="00AE730E" w:rsidRPr="002B2578">
        <w:rPr>
          <w:rFonts w:ascii="Cambria" w:hAnsi="Cambria"/>
          <w:color w:val="000000"/>
          <w:sz w:val="20"/>
          <w:szCs w:val="20"/>
          <w:lang w:val="es-CO"/>
        </w:rPr>
        <w:t xml:space="preserve"> señaló que</w:t>
      </w:r>
      <w:r w:rsidR="00776A20" w:rsidRPr="002B2578">
        <w:rPr>
          <w:rFonts w:ascii="Cambria" w:hAnsi="Cambria"/>
          <w:color w:val="000000"/>
          <w:sz w:val="20"/>
          <w:szCs w:val="20"/>
          <w:lang w:val="es-CO"/>
        </w:rPr>
        <w:t xml:space="preserve"> transcurrió mucho tiempo mientras que la investigación estuvo en la </w:t>
      </w:r>
      <w:r w:rsidR="00AE730E" w:rsidRPr="002B2578">
        <w:rPr>
          <w:rFonts w:ascii="Cambria" w:hAnsi="Cambria"/>
          <w:color w:val="000000"/>
          <w:sz w:val="20"/>
          <w:szCs w:val="20"/>
          <w:lang w:val="es-CO"/>
        </w:rPr>
        <w:t>Justicia Penal Militar</w:t>
      </w:r>
      <w:r w:rsidR="00776A20" w:rsidRPr="002B2578">
        <w:rPr>
          <w:rFonts w:ascii="Cambria" w:hAnsi="Cambria"/>
          <w:color w:val="000000"/>
          <w:sz w:val="20"/>
          <w:szCs w:val="20"/>
          <w:lang w:val="es-CO"/>
        </w:rPr>
        <w:t xml:space="preserve"> y que hubo limitaciones en el acceso a la información </w:t>
      </w:r>
      <w:r w:rsidR="00E9612C" w:rsidRPr="002B2578">
        <w:rPr>
          <w:rFonts w:ascii="Cambria" w:hAnsi="Cambria"/>
          <w:color w:val="000000"/>
          <w:sz w:val="20"/>
          <w:szCs w:val="20"/>
          <w:lang w:val="es-CO"/>
        </w:rPr>
        <w:t>en manos de</w:t>
      </w:r>
      <w:r w:rsidR="00776A20" w:rsidRPr="002B2578">
        <w:rPr>
          <w:rFonts w:ascii="Cambria" w:hAnsi="Cambria"/>
          <w:color w:val="000000"/>
          <w:sz w:val="20"/>
          <w:szCs w:val="20"/>
          <w:lang w:val="es-CO"/>
        </w:rPr>
        <w:t xml:space="preserve"> dicha jurisdicción. Finalmente, respecto al </w:t>
      </w:r>
      <w:r w:rsidR="00AE730E" w:rsidRPr="002B2578">
        <w:rPr>
          <w:rFonts w:ascii="Cambria" w:hAnsi="Cambria"/>
          <w:color w:val="000000"/>
          <w:sz w:val="20"/>
          <w:szCs w:val="20"/>
          <w:lang w:val="es-CO"/>
        </w:rPr>
        <w:t>recurso de apelación interpuesto contra l</w:t>
      </w:r>
      <w:r w:rsidR="00776A20" w:rsidRPr="002B2578">
        <w:rPr>
          <w:rFonts w:ascii="Cambria" w:hAnsi="Cambria"/>
          <w:color w:val="000000"/>
          <w:sz w:val="20"/>
          <w:szCs w:val="20"/>
          <w:lang w:val="es-CO"/>
        </w:rPr>
        <w:t>a</w:t>
      </w:r>
      <w:r w:rsidR="00AE730E" w:rsidRPr="002B2578">
        <w:rPr>
          <w:rFonts w:ascii="Cambria" w:hAnsi="Cambria"/>
          <w:color w:val="000000"/>
          <w:sz w:val="20"/>
          <w:szCs w:val="20"/>
          <w:lang w:val="es-CO"/>
        </w:rPr>
        <w:t xml:space="preserve"> resolución de acusación </w:t>
      </w:r>
      <w:r w:rsidR="00776A20" w:rsidRPr="002B2578">
        <w:rPr>
          <w:rFonts w:ascii="Cambria" w:hAnsi="Cambria"/>
          <w:color w:val="000000"/>
          <w:sz w:val="20"/>
          <w:szCs w:val="20"/>
          <w:lang w:val="es-CO"/>
        </w:rPr>
        <w:t>de</w:t>
      </w:r>
      <w:r w:rsidR="00AE730E" w:rsidRPr="002B2578">
        <w:rPr>
          <w:rFonts w:ascii="Cambria" w:hAnsi="Cambria"/>
          <w:color w:val="000000"/>
          <w:sz w:val="20"/>
          <w:szCs w:val="20"/>
          <w:lang w:val="es-CO"/>
        </w:rPr>
        <w:t xml:space="preserve"> </w:t>
      </w:r>
      <w:r w:rsidR="00776A20" w:rsidRPr="002B2578">
        <w:rPr>
          <w:rFonts w:ascii="Cambria" w:hAnsi="Cambria"/>
          <w:color w:val="000000"/>
          <w:sz w:val="20"/>
          <w:szCs w:val="20"/>
          <w:lang w:val="es-CO"/>
        </w:rPr>
        <w:t>los procesados, el Estado informó que todavía no se ha emitido</w:t>
      </w:r>
      <w:r w:rsidR="00E9612C" w:rsidRPr="002B2578">
        <w:rPr>
          <w:rFonts w:ascii="Cambria" w:hAnsi="Cambria"/>
          <w:color w:val="000000"/>
          <w:sz w:val="20"/>
          <w:szCs w:val="20"/>
          <w:lang w:val="es-CO"/>
        </w:rPr>
        <w:t xml:space="preserve"> una</w:t>
      </w:r>
      <w:r w:rsidR="00776A20" w:rsidRPr="002B2578">
        <w:rPr>
          <w:rFonts w:ascii="Cambria" w:hAnsi="Cambria"/>
          <w:color w:val="000000"/>
          <w:sz w:val="20"/>
          <w:szCs w:val="20"/>
          <w:lang w:val="es-CO"/>
        </w:rPr>
        <w:t xml:space="preserve"> decisión judicial. </w:t>
      </w:r>
    </w:p>
    <w:p w14:paraId="243C03EF" w14:textId="77777777" w:rsidR="00795351" w:rsidRPr="002B2578" w:rsidRDefault="00795351" w:rsidP="00C932BE">
      <w:pPr>
        <w:pStyle w:val="BlockText"/>
        <w:spacing w:before="0" w:beforeAutospacing="0" w:after="0" w:afterAutospacing="0"/>
        <w:ind w:left="720"/>
        <w:jc w:val="both"/>
        <w:rPr>
          <w:rFonts w:ascii="Cambria" w:hAnsi="Cambria" w:cs="Calibri Light"/>
          <w:color w:val="000000"/>
          <w:sz w:val="20"/>
          <w:szCs w:val="20"/>
          <w:lang w:val="es-ES"/>
        </w:rPr>
      </w:pPr>
    </w:p>
    <w:p w14:paraId="2D6FAD22" w14:textId="77777777" w:rsidR="00536EE3" w:rsidRPr="002B2578" w:rsidRDefault="007E7DF0" w:rsidP="00536EE3">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2B2578">
        <w:rPr>
          <w:rFonts w:ascii="Cambria" w:hAnsi="Cambria" w:cs="Calibri Light"/>
          <w:color w:val="000000"/>
          <w:sz w:val="20"/>
          <w:szCs w:val="20"/>
          <w:lang w:val="es-ES"/>
        </w:rPr>
        <w:t xml:space="preserve">Durante 2019, los peticionarios reiteraron su preocupación en torno a que las investigaciones no hubiesen avanzado sustancialmente, a pesar de haber transcurrido más de 20 años desde los hechos. Consideraron que no existieron progresos concretos relacionados con la investigación por parte del Estado y que, a pesar de haberse ordenado la investigación de los responsables en el fuero penal ordinario, la reapertura del caso no había podido pasar de las ampliaciones de indagatoria. Además, indicaron que el Estado no presentó información sobre el proceso penal relativa al 2019. </w:t>
      </w:r>
    </w:p>
    <w:p w14:paraId="3051CBDE" w14:textId="77777777" w:rsidR="00536EE3" w:rsidRPr="002B2578" w:rsidRDefault="00536EE3" w:rsidP="00536EE3">
      <w:pPr>
        <w:pStyle w:val="BlockText"/>
        <w:spacing w:before="0" w:beforeAutospacing="0" w:after="0" w:afterAutospacing="0"/>
        <w:jc w:val="both"/>
        <w:rPr>
          <w:rFonts w:ascii="Cambria" w:hAnsi="Cambria" w:cs="Calibri Light"/>
          <w:color w:val="000000"/>
          <w:sz w:val="20"/>
          <w:szCs w:val="20"/>
          <w:lang w:val="es-ES"/>
        </w:rPr>
      </w:pPr>
    </w:p>
    <w:p w14:paraId="4D06C74F" w14:textId="77777777" w:rsidR="00E05402" w:rsidRPr="002B2578" w:rsidRDefault="00536EE3" w:rsidP="00E05402">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2B2578">
        <w:rPr>
          <w:rFonts w:ascii="Cambria" w:hAnsi="Cambria" w:cs="Calibri Light"/>
          <w:color w:val="000000"/>
          <w:sz w:val="20"/>
          <w:szCs w:val="20"/>
          <w:lang w:val="es-ES"/>
        </w:rPr>
        <w:t xml:space="preserve">En 2020, los peticionarios </w:t>
      </w:r>
      <w:r w:rsidR="000E4EFA" w:rsidRPr="002B2578">
        <w:rPr>
          <w:rFonts w:ascii="Cambria" w:hAnsi="Cambria" w:cs="Calibri Light"/>
          <w:color w:val="000000"/>
          <w:sz w:val="20"/>
          <w:szCs w:val="20"/>
          <w:lang w:val="es-ES"/>
        </w:rPr>
        <w:t xml:space="preserve">señalaron que </w:t>
      </w:r>
      <w:r w:rsidR="000462E8" w:rsidRPr="002B2578">
        <w:rPr>
          <w:rFonts w:ascii="Cambria" w:hAnsi="Cambria" w:cs="Calibri Light"/>
          <w:color w:val="000000"/>
          <w:sz w:val="20"/>
          <w:szCs w:val="20"/>
          <w:lang w:val="es-ES"/>
        </w:rPr>
        <w:t xml:space="preserve">todavía </w:t>
      </w:r>
      <w:r w:rsidRPr="002B2578">
        <w:rPr>
          <w:rFonts w:ascii="Cambria" w:hAnsi="Cambria"/>
          <w:color w:val="000000"/>
          <w:sz w:val="20"/>
          <w:szCs w:val="20"/>
          <w:lang w:val="es-CO"/>
        </w:rPr>
        <w:t xml:space="preserve">está pendiente de resolverse el recurso de apelación en contra de la acusación por parte de la Fiscalía, presentada por los </w:t>
      </w:r>
      <w:r w:rsidR="000E4EFA" w:rsidRPr="002B2578">
        <w:rPr>
          <w:rFonts w:ascii="Cambria" w:hAnsi="Cambria"/>
          <w:color w:val="000000"/>
          <w:sz w:val="20"/>
          <w:szCs w:val="20"/>
          <w:lang w:val="es-CO"/>
        </w:rPr>
        <w:t xml:space="preserve">2 </w:t>
      </w:r>
      <w:r w:rsidRPr="002B2578">
        <w:rPr>
          <w:rFonts w:ascii="Cambria" w:hAnsi="Cambria"/>
          <w:color w:val="000000"/>
          <w:sz w:val="20"/>
          <w:szCs w:val="20"/>
          <w:lang w:val="es-CO"/>
        </w:rPr>
        <w:t xml:space="preserve">presuntos responsables de los hechos. </w:t>
      </w:r>
      <w:r w:rsidR="000462E8" w:rsidRPr="002B2578">
        <w:rPr>
          <w:rFonts w:ascii="Cambria" w:hAnsi="Cambria"/>
          <w:color w:val="000000"/>
          <w:sz w:val="20"/>
          <w:szCs w:val="20"/>
          <w:lang w:val="es-CO"/>
        </w:rPr>
        <w:t>Al respecto, m</w:t>
      </w:r>
      <w:r w:rsidR="00053A50" w:rsidRPr="002B2578">
        <w:rPr>
          <w:rFonts w:ascii="Cambria" w:hAnsi="Cambria"/>
          <w:color w:val="000000"/>
          <w:sz w:val="20"/>
          <w:szCs w:val="20"/>
          <w:lang w:val="es-CO"/>
        </w:rPr>
        <w:t xml:space="preserve">anifestaron su </w:t>
      </w:r>
      <w:r w:rsidRPr="002B2578">
        <w:rPr>
          <w:rFonts w:ascii="Cambria" w:hAnsi="Cambria"/>
          <w:color w:val="000000"/>
          <w:sz w:val="20"/>
          <w:szCs w:val="20"/>
          <w:lang w:val="es-CO"/>
        </w:rPr>
        <w:t>preocupación por el hecho de que a más de 3 años de</w:t>
      </w:r>
      <w:r w:rsidR="000462E8" w:rsidRPr="002B2578">
        <w:rPr>
          <w:rFonts w:ascii="Cambria" w:hAnsi="Cambria"/>
          <w:color w:val="000000"/>
          <w:sz w:val="20"/>
          <w:szCs w:val="20"/>
          <w:lang w:val="es-CO"/>
        </w:rPr>
        <w:t>sde</w:t>
      </w:r>
      <w:r w:rsidRPr="002B2578">
        <w:rPr>
          <w:rFonts w:ascii="Cambria" w:hAnsi="Cambria"/>
          <w:color w:val="000000"/>
          <w:sz w:val="20"/>
          <w:szCs w:val="20"/>
          <w:lang w:val="es-CO"/>
        </w:rPr>
        <w:t xml:space="preserve"> que los presuntos responsables presentaron </w:t>
      </w:r>
      <w:r w:rsidR="000462E8" w:rsidRPr="002B2578">
        <w:rPr>
          <w:rFonts w:ascii="Cambria" w:hAnsi="Cambria"/>
          <w:color w:val="000000"/>
          <w:sz w:val="20"/>
          <w:szCs w:val="20"/>
          <w:lang w:val="es-CO"/>
        </w:rPr>
        <w:t xml:space="preserve">el </w:t>
      </w:r>
      <w:r w:rsidRPr="002B2578">
        <w:rPr>
          <w:rFonts w:ascii="Cambria" w:hAnsi="Cambria"/>
          <w:color w:val="000000"/>
          <w:sz w:val="20"/>
          <w:szCs w:val="20"/>
          <w:lang w:val="es-CO"/>
        </w:rPr>
        <w:t>recurso de apelación sobre la acusación por parte de la Fiscalía, aún no se cuent</w:t>
      </w:r>
      <w:r w:rsidR="00053A50" w:rsidRPr="002B2578">
        <w:rPr>
          <w:rFonts w:ascii="Cambria" w:hAnsi="Cambria"/>
          <w:color w:val="000000"/>
          <w:sz w:val="20"/>
          <w:szCs w:val="20"/>
          <w:lang w:val="es-CO"/>
        </w:rPr>
        <w:t>e</w:t>
      </w:r>
      <w:r w:rsidRPr="002B2578">
        <w:rPr>
          <w:rFonts w:ascii="Cambria" w:hAnsi="Cambria"/>
          <w:color w:val="000000"/>
          <w:sz w:val="20"/>
          <w:szCs w:val="20"/>
          <w:lang w:val="es-CO"/>
        </w:rPr>
        <w:t xml:space="preserve"> con una resolución al respecto. </w:t>
      </w:r>
      <w:r w:rsidR="00053A50" w:rsidRPr="002B2578">
        <w:rPr>
          <w:rFonts w:ascii="Cambria" w:hAnsi="Cambria"/>
          <w:color w:val="000000"/>
          <w:sz w:val="20"/>
          <w:szCs w:val="20"/>
          <w:lang w:val="es-CO"/>
        </w:rPr>
        <w:t xml:space="preserve">Asimismo, indicaron que la información presentada por el Estado -refiriéndose al informe presentado en 2020- </w:t>
      </w:r>
      <w:r w:rsidRPr="002B2578">
        <w:rPr>
          <w:rFonts w:ascii="Cambria" w:hAnsi="Cambria"/>
          <w:color w:val="000000"/>
          <w:sz w:val="20"/>
          <w:szCs w:val="20"/>
          <w:lang w:val="es-CO"/>
        </w:rPr>
        <w:t xml:space="preserve">no refleja </w:t>
      </w:r>
      <w:r w:rsidR="00053A50" w:rsidRPr="002B2578">
        <w:rPr>
          <w:rFonts w:ascii="Cambria" w:hAnsi="Cambria"/>
          <w:color w:val="000000"/>
          <w:sz w:val="20"/>
          <w:szCs w:val="20"/>
          <w:lang w:val="es-CO"/>
        </w:rPr>
        <w:t>avances</w:t>
      </w:r>
      <w:r w:rsidRPr="002B2578">
        <w:rPr>
          <w:rFonts w:ascii="Cambria" w:hAnsi="Cambria"/>
          <w:color w:val="000000"/>
          <w:sz w:val="20"/>
          <w:szCs w:val="20"/>
          <w:lang w:val="es-CO"/>
        </w:rPr>
        <w:t xml:space="preserve"> en el cumplimiento de esta recomendación</w:t>
      </w:r>
      <w:r w:rsidR="00053A50" w:rsidRPr="002B2578">
        <w:rPr>
          <w:rFonts w:ascii="Cambria" w:hAnsi="Cambria"/>
          <w:color w:val="000000"/>
          <w:sz w:val="20"/>
          <w:szCs w:val="20"/>
          <w:lang w:val="es-CO"/>
        </w:rPr>
        <w:t xml:space="preserve">, por lo que califican como preocupante que, </w:t>
      </w:r>
      <w:r w:rsidRPr="002B2578">
        <w:rPr>
          <w:rFonts w:ascii="Cambria" w:hAnsi="Cambria"/>
          <w:color w:val="000000"/>
          <w:sz w:val="20"/>
          <w:szCs w:val="20"/>
          <w:lang w:val="es-CO"/>
        </w:rPr>
        <w:t>a más de 27 años de iniciada</w:t>
      </w:r>
      <w:r w:rsidR="00053A50" w:rsidRPr="002B2578">
        <w:rPr>
          <w:rFonts w:ascii="Cambria" w:hAnsi="Cambria"/>
          <w:color w:val="000000"/>
          <w:sz w:val="20"/>
          <w:szCs w:val="20"/>
          <w:lang w:val="es-CO"/>
        </w:rPr>
        <w:t>s</w:t>
      </w:r>
      <w:r w:rsidRPr="002B2578">
        <w:rPr>
          <w:rFonts w:ascii="Cambria" w:hAnsi="Cambria"/>
          <w:color w:val="000000"/>
          <w:sz w:val="20"/>
          <w:szCs w:val="20"/>
          <w:lang w:val="es-CO"/>
        </w:rPr>
        <w:t xml:space="preserve"> las labores de investigación y 20 años de</w:t>
      </w:r>
      <w:r w:rsidR="00053A50" w:rsidRPr="002B2578">
        <w:rPr>
          <w:rFonts w:ascii="Cambria" w:hAnsi="Cambria"/>
          <w:color w:val="000000"/>
          <w:sz w:val="20"/>
          <w:szCs w:val="20"/>
          <w:lang w:val="es-CO"/>
        </w:rPr>
        <w:t>sde la publicación del</w:t>
      </w:r>
      <w:r w:rsidRPr="002B2578">
        <w:rPr>
          <w:rFonts w:ascii="Cambria" w:hAnsi="Cambria"/>
          <w:color w:val="000000"/>
          <w:sz w:val="20"/>
          <w:szCs w:val="20"/>
          <w:lang w:val="es-CO"/>
        </w:rPr>
        <w:t xml:space="preserve"> informe de fondo, </w:t>
      </w:r>
      <w:r w:rsidR="00053A50" w:rsidRPr="002B2578">
        <w:rPr>
          <w:rFonts w:ascii="Cambria" w:hAnsi="Cambria"/>
          <w:color w:val="000000"/>
          <w:sz w:val="20"/>
          <w:szCs w:val="20"/>
          <w:lang w:val="es-CO"/>
        </w:rPr>
        <w:t>todavía no se cumpla con la recomendación</w:t>
      </w:r>
      <w:r w:rsidRPr="002B2578">
        <w:rPr>
          <w:rFonts w:ascii="Cambria" w:hAnsi="Cambria"/>
          <w:color w:val="000000"/>
          <w:sz w:val="20"/>
          <w:szCs w:val="20"/>
          <w:lang w:val="es-CO"/>
        </w:rPr>
        <w:t xml:space="preserve">. </w:t>
      </w:r>
      <w:r w:rsidR="00053A50" w:rsidRPr="002B2578">
        <w:rPr>
          <w:rFonts w:ascii="Cambria" w:hAnsi="Cambria"/>
          <w:color w:val="000000"/>
          <w:sz w:val="20"/>
          <w:szCs w:val="20"/>
          <w:lang w:val="es-CO"/>
        </w:rPr>
        <w:t xml:space="preserve">Indican la importancia de que el Estado identifique y sancione a los responsables para que el caso no se mantenga en la impunidad. </w:t>
      </w:r>
    </w:p>
    <w:p w14:paraId="1818FC5D" w14:textId="77777777" w:rsidR="00E05402" w:rsidRPr="002B2578" w:rsidRDefault="00E05402" w:rsidP="00E05402">
      <w:pPr>
        <w:pStyle w:val="BlockText"/>
        <w:spacing w:before="0" w:beforeAutospacing="0" w:after="0" w:afterAutospacing="0"/>
        <w:jc w:val="both"/>
        <w:rPr>
          <w:rFonts w:ascii="Cambria" w:eastAsia="Cambria" w:hAnsi="Cambria" w:cs="Cambria"/>
          <w:color w:val="000000"/>
          <w:sz w:val="20"/>
          <w:szCs w:val="20"/>
          <w:lang w:val="es-ES_tradnl"/>
        </w:rPr>
      </w:pPr>
    </w:p>
    <w:p w14:paraId="11964D63" w14:textId="77777777" w:rsidR="00E05402" w:rsidRPr="002B2578" w:rsidRDefault="00E05402" w:rsidP="00053A50">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2B2578">
        <w:rPr>
          <w:rFonts w:ascii="Cambria" w:eastAsia="Cambria" w:hAnsi="Cambria" w:cs="Cambria"/>
          <w:color w:val="000000"/>
          <w:sz w:val="20"/>
          <w:szCs w:val="20"/>
          <w:lang w:val="es-ES_tradnl"/>
        </w:rPr>
        <w:t xml:space="preserve">En 2021, </w:t>
      </w:r>
      <w:r w:rsidR="00D16583" w:rsidRPr="002B2578">
        <w:rPr>
          <w:rFonts w:ascii="Cambria" w:eastAsia="Cambria" w:hAnsi="Cambria" w:cs="Cambria"/>
          <w:color w:val="000000"/>
          <w:sz w:val="20"/>
          <w:szCs w:val="20"/>
          <w:lang w:val="es-ES_tradnl"/>
        </w:rPr>
        <w:t>la parte peticionaria</w:t>
      </w:r>
      <w:r w:rsidRPr="002B2578">
        <w:rPr>
          <w:rFonts w:ascii="Cambria" w:eastAsia="Cambria" w:hAnsi="Cambria" w:cs="Cambria"/>
          <w:color w:val="000000"/>
          <w:sz w:val="20"/>
          <w:szCs w:val="20"/>
          <w:lang w:val="es-ES_tradnl"/>
        </w:rPr>
        <w:t xml:space="preserve"> reiter</w:t>
      </w:r>
      <w:r w:rsidR="005F138D" w:rsidRPr="002B2578">
        <w:rPr>
          <w:rFonts w:ascii="Cambria" w:eastAsia="Cambria" w:hAnsi="Cambria" w:cs="Cambria"/>
          <w:color w:val="000000"/>
          <w:sz w:val="20"/>
          <w:szCs w:val="20"/>
          <w:lang w:val="es-ES_tradnl"/>
        </w:rPr>
        <w:t>ó</w:t>
      </w:r>
      <w:r w:rsidRPr="002B2578">
        <w:rPr>
          <w:rFonts w:ascii="Cambria" w:eastAsia="Cambria" w:hAnsi="Cambria" w:cs="Cambria"/>
          <w:color w:val="000000"/>
          <w:sz w:val="20"/>
          <w:szCs w:val="20"/>
          <w:lang w:val="es-ES_tradnl"/>
        </w:rPr>
        <w:t xml:space="preserve"> que se encuentra pendiente por resolver el recurso de apelación promovido por los presuntos responsables de los hechos. Por ello, el 15 de septiembre de 2021, presentaron derecho de petición ante la </w:t>
      </w:r>
      <w:proofErr w:type="gramStart"/>
      <w:r w:rsidRPr="002B2578">
        <w:rPr>
          <w:rFonts w:ascii="Cambria" w:eastAsia="Cambria" w:hAnsi="Cambria" w:cs="Cambria"/>
          <w:color w:val="000000"/>
          <w:sz w:val="20"/>
          <w:szCs w:val="20"/>
          <w:lang w:val="es-ES_tradnl"/>
        </w:rPr>
        <w:t>Fiscalía General</w:t>
      </w:r>
      <w:proofErr w:type="gramEnd"/>
      <w:r w:rsidRPr="002B2578">
        <w:rPr>
          <w:rFonts w:ascii="Cambria" w:eastAsia="Cambria" w:hAnsi="Cambria" w:cs="Cambria"/>
          <w:color w:val="000000"/>
          <w:sz w:val="20"/>
          <w:szCs w:val="20"/>
          <w:lang w:val="es-ES_tradnl"/>
        </w:rPr>
        <w:t xml:space="preserve"> de la Nación para que se les informara si se encuentra en curso la investigación penal, y que en caso de ser así, se les indicara el despacho judicial asignado, el estado actual del proceso y demás información relevante</w:t>
      </w:r>
      <w:r w:rsidR="00126B1B" w:rsidRPr="002B2578">
        <w:rPr>
          <w:rFonts w:ascii="Cambria" w:eastAsia="Cambria" w:hAnsi="Cambria" w:cs="Cambria"/>
          <w:color w:val="000000"/>
          <w:sz w:val="20"/>
          <w:szCs w:val="20"/>
          <w:lang w:val="es-ES_tradnl"/>
        </w:rPr>
        <w:t xml:space="preserve"> del mismo</w:t>
      </w:r>
      <w:r w:rsidRPr="002B2578">
        <w:rPr>
          <w:rFonts w:ascii="Cambria" w:eastAsia="Cambria" w:hAnsi="Cambria" w:cs="Cambria"/>
          <w:color w:val="000000"/>
          <w:sz w:val="20"/>
          <w:szCs w:val="20"/>
          <w:lang w:val="es-ES_tradnl"/>
        </w:rPr>
        <w:t xml:space="preserve">. Sin embargo, a la fecha de presentación de su informe, </w:t>
      </w:r>
      <w:r w:rsidR="00D16583" w:rsidRPr="002B2578">
        <w:rPr>
          <w:rFonts w:ascii="Cambria" w:eastAsia="Cambria" w:hAnsi="Cambria" w:cs="Cambria"/>
          <w:color w:val="000000"/>
          <w:sz w:val="20"/>
          <w:szCs w:val="20"/>
          <w:lang w:val="es-ES_tradnl"/>
        </w:rPr>
        <w:t>la parte peticionaria señaló</w:t>
      </w:r>
      <w:r w:rsidRPr="002B2578">
        <w:rPr>
          <w:rFonts w:ascii="Cambria" w:eastAsia="Cambria" w:hAnsi="Cambria" w:cs="Cambria"/>
          <w:color w:val="000000"/>
          <w:sz w:val="20"/>
          <w:szCs w:val="20"/>
          <w:lang w:val="es-ES_tradnl"/>
        </w:rPr>
        <w:t xml:space="preserve"> no hab</w:t>
      </w:r>
      <w:r w:rsidR="00D16583" w:rsidRPr="002B2578">
        <w:rPr>
          <w:rFonts w:ascii="Cambria" w:eastAsia="Cambria" w:hAnsi="Cambria" w:cs="Cambria"/>
          <w:color w:val="000000"/>
          <w:sz w:val="20"/>
          <w:szCs w:val="20"/>
          <w:lang w:val="es-ES_tradnl"/>
        </w:rPr>
        <w:t>er</w:t>
      </w:r>
      <w:r w:rsidRPr="002B2578">
        <w:rPr>
          <w:rFonts w:ascii="Cambria" w:eastAsia="Cambria" w:hAnsi="Cambria" w:cs="Cambria"/>
          <w:color w:val="000000"/>
          <w:sz w:val="20"/>
          <w:szCs w:val="20"/>
          <w:lang w:val="es-ES_tradnl"/>
        </w:rPr>
        <w:t xml:space="preserve"> recibido respuesta, </w:t>
      </w:r>
      <w:r w:rsidR="00126B1B" w:rsidRPr="002B2578">
        <w:rPr>
          <w:rFonts w:ascii="Cambria" w:eastAsia="Cambria" w:hAnsi="Cambria" w:cs="Cambria"/>
          <w:color w:val="000000"/>
          <w:sz w:val="20"/>
          <w:szCs w:val="20"/>
          <w:lang w:val="es-ES_tradnl"/>
        </w:rPr>
        <w:t xml:space="preserve">por lo que expresaron su preocupación por </w:t>
      </w:r>
      <w:r w:rsidR="00126B1B" w:rsidRPr="002B2578">
        <w:rPr>
          <w:rFonts w:ascii="Cambria" w:eastAsia="Cambria" w:hAnsi="Cambria" w:cs="Cambria"/>
          <w:color w:val="000000"/>
          <w:sz w:val="20"/>
          <w:szCs w:val="20"/>
          <w:lang w:val="es-CO"/>
        </w:rPr>
        <w:t xml:space="preserve">el hecho de que a más de 4 años de que los presuntos responsables presentaran el recurso de apelación sobre </w:t>
      </w:r>
      <w:r w:rsidR="00126B1B" w:rsidRPr="002B2578">
        <w:rPr>
          <w:rFonts w:ascii="Cambria" w:eastAsia="Cambria" w:hAnsi="Cambria" w:cs="Cambria"/>
          <w:color w:val="000000"/>
          <w:sz w:val="20"/>
          <w:szCs w:val="20"/>
          <w:lang w:val="es-CO"/>
        </w:rPr>
        <w:lastRenderedPageBreak/>
        <w:t>la acusación de la Fiscalía, aún no</w:t>
      </w:r>
      <w:r w:rsidR="00D16583" w:rsidRPr="002B2578">
        <w:rPr>
          <w:rFonts w:ascii="Cambria" w:eastAsia="Cambria" w:hAnsi="Cambria" w:cs="Cambria"/>
          <w:color w:val="000000"/>
          <w:sz w:val="20"/>
          <w:szCs w:val="20"/>
          <w:lang w:val="es-CO"/>
        </w:rPr>
        <w:t xml:space="preserve"> exista</w:t>
      </w:r>
      <w:r w:rsidR="00126B1B" w:rsidRPr="002B2578">
        <w:rPr>
          <w:rFonts w:ascii="Cambria" w:eastAsia="Cambria" w:hAnsi="Cambria" w:cs="Cambria"/>
          <w:color w:val="000000"/>
          <w:sz w:val="20"/>
          <w:szCs w:val="20"/>
          <w:lang w:val="es-CO"/>
        </w:rPr>
        <w:t xml:space="preserve"> una resolución lo que</w:t>
      </w:r>
      <w:r w:rsidR="00D16583" w:rsidRPr="002B2578">
        <w:rPr>
          <w:rFonts w:ascii="Cambria" w:eastAsia="Cambria" w:hAnsi="Cambria" w:cs="Cambria"/>
          <w:color w:val="000000"/>
          <w:sz w:val="20"/>
          <w:szCs w:val="20"/>
          <w:lang w:val="es-CO"/>
        </w:rPr>
        <w:t>, en su criterio,</w:t>
      </w:r>
      <w:r w:rsidR="00126B1B" w:rsidRPr="002B2578">
        <w:rPr>
          <w:rFonts w:ascii="Cambria" w:eastAsia="Cambria" w:hAnsi="Cambria" w:cs="Cambria"/>
          <w:color w:val="000000"/>
          <w:sz w:val="20"/>
          <w:szCs w:val="20"/>
          <w:lang w:val="es-CO"/>
        </w:rPr>
        <w:t xml:space="preserve"> </w:t>
      </w:r>
      <w:r w:rsidR="00D16583" w:rsidRPr="002B2578">
        <w:rPr>
          <w:rFonts w:ascii="Cambria" w:eastAsia="Cambria" w:hAnsi="Cambria" w:cs="Cambria"/>
          <w:color w:val="000000"/>
          <w:sz w:val="20"/>
          <w:szCs w:val="20"/>
          <w:lang w:val="es-CO"/>
        </w:rPr>
        <w:t>permite</w:t>
      </w:r>
      <w:r w:rsidR="00126B1B" w:rsidRPr="002B2578">
        <w:rPr>
          <w:rFonts w:ascii="Cambria" w:eastAsia="Cambria" w:hAnsi="Cambria" w:cs="Cambria"/>
          <w:color w:val="000000"/>
          <w:sz w:val="20"/>
          <w:szCs w:val="20"/>
          <w:lang w:val="es-CO"/>
        </w:rPr>
        <w:t xml:space="preserve"> que el caso se mantenga </w:t>
      </w:r>
      <w:r w:rsidR="00D16583" w:rsidRPr="002B2578">
        <w:rPr>
          <w:rFonts w:ascii="Cambria" w:eastAsia="Cambria" w:hAnsi="Cambria" w:cs="Cambria"/>
          <w:color w:val="000000"/>
          <w:sz w:val="20"/>
          <w:szCs w:val="20"/>
          <w:lang w:val="es-CO"/>
        </w:rPr>
        <w:t>impune</w:t>
      </w:r>
      <w:r w:rsidR="00126B1B" w:rsidRPr="002B2578">
        <w:rPr>
          <w:rFonts w:ascii="Cambria" w:eastAsia="Cambria" w:hAnsi="Cambria" w:cs="Cambria"/>
          <w:color w:val="000000"/>
          <w:sz w:val="20"/>
          <w:szCs w:val="20"/>
          <w:lang w:val="es-CO"/>
        </w:rPr>
        <w:t xml:space="preserve">. </w:t>
      </w:r>
    </w:p>
    <w:p w14:paraId="4E237B06" w14:textId="77777777" w:rsidR="00053A50" w:rsidRPr="002B2578" w:rsidRDefault="00053A50" w:rsidP="00053A50">
      <w:pPr>
        <w:pStyle w:val="BlockText"/>
        <w:spacing w:before="0" w:beforeAutospacing="0" w:after="0" w:afterAutospacing="0"/>
        <w:jc w:val="both"/>
        <w:rPr>
          <w:rFonts w:ascii="Cambria" w:eastAsia="Cambria" w:hAnsi="Cambria" w:cs="Cambria"/>
          <w:color w:val="000000"/>
          <w:sz w:val="20"/>
          <w:szCs w:val="20"/>
          <w:lang w:val="es-ES_tradnl"/>
        </w:rPr>
      </w:pPr>
    </w:p>
    <w:p w14:paraId="42336787" w14:textId="77777777" w:rsidR="00795351" w:rsidRPr="002B2578" w:rsidRDefault="007E7DF0" w:rsidP="00C932BE">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2B2578">
        <w:rPr>
          <w:rFonts w:ascii="Cambria" w:hAnsi="Cambria" w:cs="Calibri Light"/>
          <w:color w:val="000000"/>
          <w:sz w:val="20"/>
          <w:szCs w:val="20"/>
          <w:lang w:val="es-ES"/>
        </w:rPr>
        <w:t xml:space="preserve">La Comisión </w:t>
      </w:r>
      <w:r w:rsidR="001F11BE" w:rsidRPr="002B2578">
        <w:rPr>
          <w:rFonts w:ascii="Cambria" w:hAnsi="Cambria" w:cs="Calibri Light"/>
          <w:color w:val="000000"/>
          <w:sz w:val="20"/>
          <w:szCs w:val="20"/>
          <w:lang w:val="es-ES"/>
        </w:rPr>
        <w:t xml:space="preserve">toma nota de la información enviada por </w:t>
      </w:r>
      <w:r w:rsidR="001202B9" w:rsidRPr="002B2578">
        <w:rPr>
          <w:rFonts w:ascii="Cambria" w:hAnsi="Cambria" w:cs="Calibri Light"/>
          <w:color w:val="000000"/>
          <w:sz w:val="20"/>
          <w:szCs w:val="20"/>
          <w:lang w:val="es-ES"/>
        </w:rPr>
        <w:t>la parte peticionaria</w:t>
      </w:r>
      <w:r w:rsidR="000B06CC" w:rsidRPr="002B2578">
        <w:rPr>
          <w:rFonts w:ascii="Cambria" w:hAnsi="Cambria" w:cs="Calibri Light"/>
          <w:color w:val="000000"/>
          <w:sz w:val="20"/>
          <w:szCs w:val="20"/>
          <w:lang w:val="es-ES"/>
        </w:rPr>
        <w:t xml:space="preserve"> y de la presentada por el Estada en años anteriores</w:t>
      </w:r>
      <w:r w:rsidR="001F11BE" w:rsidRPr="002B2578">
        <w:rPr>
          <w:rFonts w:ascii="Cambria" w:hAnsi="Cambria" w:cs="Calibri Light"/>
          <w:color w:val="000000"/>
          <w:sz w:val="20"/>
          <w:szCs w:val="20"/>
          <w:lang w:val="es-ES"/>
        </w:rPr>
        <w:t xml:space="preserve">. Al respecto, evidencia que desde que el Estado informó sobre la emisión de una resolución de acusación por parte de la </w:t>
      </w:r>
      <w:proofErr w:type="gramStart"/>
      <w:r w:rsidR="001F11BE" w:rsidRPr="002B2578">
        <w:rPr>
          <w:rFonts w:ascii="Cambria" w:hAnsi="Cambria" w:cs="Calibri Light"/>
          <w:color w:val="000000"/>
          <w:sz w:val="20"/>
          <w:szCs w:val="20"/>
          <w:lang w:val="es-ES"/>
        </w:rPr>
        <w:t>Fiscalía General</w:t>
      </w:r>
      <w:proofErr w:type="gramEnd"/>
      <w:r w:rsidR="001F11BE" w:rsidRPr="002B2578">
        <w:rPr>
          <w:rFonts w:ascii="Cambria" w:hAnsi="Cambria" w:cs="Calibri Light"/>
          <w:color w:val="000000"/>
          <w:sz w:val="20"/>
          <w:szCs w:val="20"/>
          <w:lang w:val="es-ES"/>
        </w:rPr>
        <w:t xml:space="preserve"> de la Nación contra dos presuntos responsables, no ha reportado avances adicionales</w:t>
      </w:r>
      <w:r w:rsidR="001202B9" w:rsidRPr="002B2578">
        <w:rPr>
          <w:rFonts w:ascii="Cambria" w:hAnsi="Cambria" w:cs="Calibri Light"/>
          <w:color w:val="000000"/>
          <w:sz w:val="20"/>
          <w:szCs w:val="20"/>
          <w:lang w:val="es-ES"/>
        </w:rPr>
        <w:t xml:space="preserve">. Asimismo, la Comisión toma nota de que, hasta </w:t>
      </w:r>
      <w:r w:rsidR="00833540" w:rsidRPr="002B2578">
        <w:rPr>
          <w:rFonts w:ascii="Cambria" w:hAnsi="Cambria" w:cs="Calibri Light"/>
          <w:color w:val="000000"/>
          <w:sz w:val="20"/>
          <w:szCs w:val="20"/>
          <w:lang w:val="es-ES"/>
        </w:rPr>
        <w:t>cuando</w:t>
      </w:r>
      <w:r w:rsidR="001202B9" w:rsidRPr="002B2578">
        <w:rPr>
          <w:rFonts w:ascii="Cambria" w:hAnsi="Cambria" w:cs="Calibri Light"/>
          <w:color w:val="000000"/>
          <w:sz w:val="20"/>
          <w:szCs w:val="20"/>
          <w:lang w:val="es-ES"/>
        </w:rPr>
        <w:t xml:space="preserve"> la parte peticionaria remitió su último reporte</w:t>
      </w:r>
      <w:r w:rsidR="001F11BE" w:rsidRPr="002B2578">
        <w:rPr>
          <w:rFonts w:ascii="Cambria" w:hAnsi="Cambria" w:cs="Calibri Light"/>
          <w:color w:val="000000"/>
          <w:sz w:val="20"/>
          <w:szCs w:val="20"/>
          <w:lang w:val="es-ES"/>
        </w:rPr>
        <w:t>,</w:t>
      </w:r>
      <w:r w:rsidR="001202B9" w:rsidRPr="002B2578">
        <w:rPr>
          <w:rFonts w:ascii="Cambria" w:hAnsi="Cambria" w:cs="Calibri Light"/>
          <w:color w:val="000000"/>
          <w:sz w:val="20"/>
          <w:szCs w:val="20"/>
          <w:lang w:val="es-ES"/>
        </w:rPr>
        <w:t xml:space="preserve"> el Estado tampoco le había dado respuesta a su petición en el sentido de otorgarles la información relativa al estado actual de este recurso. De esta manera,</w:t>
      </w:r>
      <w:r w:rsidR="00833540" w:rsidRPr="002B2578">
        <w:rPr>
          <w:rFonts w:ascii="Cambria" w:hAnsi="Cambria" w:cs="Calibri Light"/>
          <w:color w:val="000000"/>
          <w:sz w:val="20"/>
          <w:szCs w:val="20"/>
          <w:lang w:val="es-ES"/>
        </w:rPr>
        <w:t xml:space="preserve"> </w:t>
      </w:r>
      <w:r w:rsidR="00B01E74" w:rsidRPr="002B2578">
        <w:rPr>
          <w:rFonts w:ascii="Cambria" w:hAnsi="Cambria" w:cs="Calibri Light"/>
          <w:color w:val="000000"/>
          <w:sz w:val="20"/>
          <w:szCs w:val="20"/>
          <w:lang w:val="es-ES"/>
        </w:rPr>
        <w:t xml:space="preserve">la Comisión </w:t>
      </w:r>
      <w:r w:rsidR="00833540" w:rsidRPr="002B2578">
        <w:rPr>
          <w:rFonts w:ascii="Cambria" w:hAnsi="Cambria" w:cs="Calibri Light"/>
          <w:color w:val="000000"/>
          <w:sz w:val="20"/>
          <w:szCs w:val="20"/>
          <w:lang w:val="es-ES"/>
        </w:rPr>
        <w:t>queda a la espera de detalles sobre la decisión del recurso de apelación interpuesto por parte de los acusados</w:t>
      </w:r>
      <w:r w:rsidRPr="002B2578">
        <w:rPr>
          <w:rFonts w:ascii="Cambria" w:hAnsi="Cambria" w:cs="Calibri Light"/>
          <w:color w:val="000000"/>
          <w:sz w:val="20"/>
          <w:szCs w:val="20"/>
          <w:lang w:val="es-ES"/>
        </w:rPr>
        <w:t xml:space="preserve"> </w:t>
      </w:r>
      <w:r w:rsidR="00833540" w:rsidRPr="002B2578">
        <w:rPr>
          <w:rFonts w:ascii="Cambria" w:hAnsi="Cambria" w:cs="Calibri Light"/>
          <w:color w:val="000000"/>
          <w:sz w:val="20"/>
          <w:szCs w:val="20"/>
          <w:lang w:val="es-ES"/>
        </w:rPr>
        <w:t xml:space="preserve">e </w:t>
      </w:r>
      <w:r w:rsidR="001F11BE" w:rsidRPr="002B2578">
        <w:rPr>
          <w:rFonts w:ascii="Cambria" w:hAnsi="Cambria" w:cs="Calibri Light"/>
          <w:color w:val="000000"/>
          <w:sz w:val="20"/>
          <w:szCs w:val="20"/>
          <w:lang w:val="es-ES"/>
        </w:rPr>
        <w:t xml:space="preserve">invita al Estado a adoptar las medidas necesarias para </w:t>
      </w:r>
      <w:r w:rsidR="001202B9" w:rsidRPr="002B2578">
        <w:rPr>
          <w:rFonts w:ascii="Cambria" w:hAnsi="Cambria" w:cs="Calibri Light"/>
          <w:color w:val="000000"/>
          <w:sz w:val="20"/>
          <w:szCs w:val="20"/>
          <w:lang w:val="es-ES"/>
        </w:rPr>
        <w:t>implementar</w:t>
      </w:r>
      <w:r w:rsidR="001F11BE" w:rsidRPr="002B2578">
        <w:rPr>
          <w:rFonts w:ascii="Cambria" w:hAnsi="Cambria" w:cs="Calibri Light"/>
          <w:color w:val="000000"/>
          <w:sz w:val="20"/>
          <w:szCs w:val="20"/>
          <w:lang w:val="es-ES"/>
        </w:rPr>
        <w:t xml:space="preserve"> esta recomendación con miras a juzgar y sancionar a los responsables de la ejecución extrajudicial de Leonel de Jesús Isaza Echeverry</w:t>
      </w:r>
      <w:r w:rsidRPr="002B2578">
        <w:rPr>
          <w:rFonts w:ascii="Cambria" w:hAnsi="Cambria" w:cs="Calibri Light"/>
          <w:color w:val="000000"/>
          <w:sz w:val="20"/>
          <w:szCs w:val="20"/>
          <w:lang w:val="es-ES"/>
        </w:rPr>
        <w:t xml:space="preserve">. </w:t>
      </w:r>
      <w:r w:rsidR="00B01E74" w:rsidRPr="002B2578">
        <w:rPr>
          <w:rFonts w:ascii="Cambria" w:hAnsi="Cambria" w:cs="Calibri Light"/>
          <w:color w:val="000000"/>
          <w:sz w:val="20"/>
          <w:szCs w:val="20"/>
          <w:lang w:val="es-ES"/>
        </w:rPr>
        <w:t xml:space="preserve">Ahora bien, considerando que hay una investigación en curso </w:t>
      </w:r>
      <w:r w:rsidR="00317003" w:rsidRPr="002B2578">
        <w:rPr>
          <w:rFonts w:ascii="Cambria" w:hAnsi="Cambria" w:cs="Calibri Light"/>
          <w:color w:val="000000"/>
          <w:sz w:val="20"/>
          <w:szCs w:val="20"/>
          <w:lang w:val="es-ES"/>
        </w:rPr>
        <w:t xml:space="preserve">mediante la cual la </w:t>
      </w:r>
      <w:proofErr w:type="gramStart"/>
      <w:r w:rsidR="00317003" w:rsidRPr="002B2578">
        <w:rPr>
          <w:rFonts w:ascii="Cambria" w:hAnsi="Cambria" w:cs="Calibri Light"/>
          <w:color w:val="000000"/>
          <w:sz w:val="20"/>
          <w:szCs w:val="20"/>
          <w:lang w:val="es-ES"/>
        </w:rPr>
        <w:t>Fiscalía General</w:t>
      </w:r>
      <w:proofErr w:type="gramEnd"/>
      <w:r w:rsidR="00317003" w:rsidRPr="002B2578">
        <w:rPr>
          <w:rFonts w:ascii="Cambria" w:hAnsi="Cambria" w:cs="Calibri Light"/>
          <w:color w:val="000000"/>
          <w:sz w:val="20"/>
          <w:szCs w:val="20"/>
          <w:lang w:val="es-ES"/>
        </w:rPr>
        <w:t xml:space="preserve"> de la Nación vinculó </w:t>
      </w:r>
      <w:r w:rsidR="00B01E74" w:rsidRPr="002B2578">
        <w:rPr>
          <w:rFonts w:ascii="Cambria" w:hAnsi="Cambria" w:cs="Calibri Light"/>
          <w:color w:val="000000"/>
          <w:sz w:val="20"/>
          <w:szCs w:val="20"/>
          <w:lang w:val="es-ES"/>
        </w:rPr>
        <w:t xml:space="preserve">a presuntos responsables respecto de quienes se emitió una resolución de acusación, </w:t>
      </w:r>
      <w:r w:rsidRPr="002B2578">
        <w:rPr>
          <w:rFonts w:ascii="Cambria" w:hAnsi="Cambria" w:cs="Calibri Light"/>
          <w:color w:val="000000"/>
          <w:sz w:val="20"/>
          <w:szCs w:val="20"/>
          <w:lang w:val="es-ES"/>
        </w:rPr>
        <w:t xml:space="preserve">la CIDH considera que la primera recomendación se encuentra </w:t>
      </w:r>
      <w:r w:rsidR="00B01E74" w:rsidRPr="002B2578">
        <w:rPr>
          <w:rFonts w:ascii="Cambria" w:hAnsi="Cambria" w:cs="Calibri Light"/>
          <w:color w:val="000000"/>
          <w:sz w:val="20"/>
          <w:szCs w:val="20"/>
          <w:lang w:val="es-ES"/>
        </w:rPr>
        <w:t>parcialmente cumplida y continuará supervisando su implementación</w:t>
      </w:r>
      <w:r w:rsidRPr="002B2578">
        <w:rPr>
          <w:rFonts w:ascii="Cambria" w:hAnsi="Cambria" w:cs="Calibri Light"/>
          <w:color w:val="000000"/>
          <w:sz w:val="20"/>
          <w:szCs w:val="20"/>
          <w:lang w:val="es-ES"/>
        </w:rPr>
        <w:t xml:space="preserve">. </w:t>
      </w:r>
    </w:p>
    <w:p w14:paraId="4917716C" w14:textId="77777777" w:rsidR="00795351" w:rsidRPr="002B2578" w:rsidRDefault="00795351">
      <w:pPr>
        <w:pStyle w:val="Default"/>
        <w:ind w:left="720"/>
        <w:jc w:val="both"/>
        <w:rPr>
          <w:rFonts w:ascii="Cambria" w:eastAsia="Cambria" w:hAnsi="Cambria" w:cs="Cambria"/>
          <w:sz w:val="20"/>
          <w:szCs w:val="20"/>
          <w:lang w:val="es-ES_tradnl"/>
        </w:rPr>
      </w:pPr>
    </w:p>
    <w:p w14:paraId="23670BBC" w14:textId="77777777" w:rsidR="00795351" w:rsidRPr="002B2578" w:rsidRDefault="007E7DF0" w:rsidP="00C932BE">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2B2578">
        <w:rPr>
          <w:rFonts w:ascii="Cambria" w:hAnsi="Cambria" w:cs="Calibri Light"/>
          <w:b/>
          <w:bCs/>
          <w:color w:val="000000"/>
          <w:sz w:val="20"/>
          <w:szCs w:val="20"/>
          <w:lang w:val="es-ES"/>
        </w:rPr>
        <w:t>Respecto de la tercera recomendación,</w:t>
      </w:r>
      <w:r w:rsidRPr="002B2578">
        <w:rPr>
          <w:rFonts w:ascii="Cambria" w:hAnsi="Cambria" w:cs="Calibri Light"/>
          <w:color w:val="000000"/>
          <w:sz w:val="20"/>
          <w:szCs w:val="20"/>
          <w:lang w:val="es-ES"/>
        </w:rPr>
        <w:t xml:space="preserve"> el Estado ha informado sobre la incorporación permanente, a través del Ministerio de Defensa Nacional, de políticas en materia de derechos humanos y derecho internacional humanitario (DIH) dirigidas a todos los miembros de la Fuerza Pública. En 2015, el Estado destacó la labor voluntaria que han tenido los jueces penales militares para enviar a la justicia ordinaria las investigaciones relacionadas con violaciones a los derechos humanos y al DIH por parte de miembros de las Fuerzas Armadas, indicando que del 2008 al 2010 se han remitido 744 casos a la justicia ordinaria</w:t>
      </w:r>
      <w:r w:rsidRPr="002B2578">
        <w:rPr>
          <w:rFonts w:ascii="Cambria" w:hAnsi="Cambria" w:cs="Calibri Light"/>
          <w:color w:val="000000"/>
          <w:sz w:val="20"/>
          <w:szCs w:val="20"/>
          <w:lang w:val="es-ES"/>
        </w:rPr>
        <w:footnoteReference w:id="5"/>
      </w:r>
      <w:r w:rsidRPr="002B2578">
        <w:rPr>
          <w:rFonts w:ascii="Cambria" w:hAnsi="Cambria" w:cs="Calibri Light"/>
          <w:color w:val="000000"/>
          <w:sz w:val="20"/>
          <w:szCs w:val="20"/>
          <w:lang w:val="es-ES"/>
        </w:rPr>
        <w:t>, y del 2008 a 27 de enero de 2015 se han remitido un total de 1.298 investigaciones</w:t>
      </w:r>
      <w:r w:rsidRPr="002B2578">
        <w:rPr>
          <w:rFonts w:ascii="Cambria" w:hAnsi="Cambria" w:cs="Calibri Light"/>
          <w:color w:val="000000"/>
          <w:sz w:val="20"/>
          <w:szCs w:val="20"/>
          <w:lang w:val="es-ES"/>
        </w:rPr>
        <w:footnoteReference w:id="6"/>
      </w:r>
      <w:r w:rsidRPr="002B2578">
        <w:rPr>
          <w:rFonts w:ascii="Cambria" w:hAnsi="Cambria" w:cs="Calibri Light"/>
          <w:color w:val="000000"/>
          <w:sz w:val="20"/>
          <w:szCs w:val="20"/>
          <w:lang w:val="es-ES"/>
        </w:rPr>
        <w:t xml:space="preserve">. En 2016, el Estado se refirió al Acto Legislativo Nº 1 del 25 de julio de 2015 que modificó el artículo 221 de la Constitución Política, al permitir que ciertas conductas cometidas por miembros de la fuerza pública en servicio activo y con relación al mismo, sean conocidas por la jurisdicción penal militar. Al respecto, indicó que mediante la Sentencia C-084-16, la Corte Constitucional declaró esta norma exequible. Asimismo, el Estado se refirió a la restructuración de la Justicia Penal Militar mediante la Ley Nº 1765 de 2015, sobre la cual, la Corte Constitucional, mediante la Sentencia C-326 de 2016, declaró la </w:t>
      </w:r>
      <w:proofErr w:type="spellStart"/>
      <w:r w:rsidRPr="002B2578">
        <w:rPr>
          <w:rFonts w:ascii="Cambria" w:hAnsi="Cambria" w:cs="Calibri Light"/>
          <w:color w:val="000000"/>
          <w:sz w:val="20"/>
          <w:szCs w:val="20"/>
          <w:lang w:val="es-ES"/>
        </w:rPr>
        <w:t>inexequibilidad</w:t>
      </w:r>
      <w:proofErr w:type="spellEnd"/>
      <w:r w:rsidRPr="002B2578">
        <w:rPr>
          <w:rFonts w:ascii="Cambria" w:hAnsi="Cambria" w:cs="Calibri Light"/>
          <w:color w:val="000000"/>
          <w:sz w:val="20"/>
          <w:szCs w:val="20"/>
          <w:lang w:val="es-ES"/>
        </w:rPr>
        <w:t xml:space="preserve"> de cierto articulado relacionado con el principio de oportunidad</w:t>
      </w:r>
      <w:r w:rsidRPr="002B2578">
        <w:rPr>
          <w:rFonts w:ascii="Cambria" w:hAnsi="Cambria" w:cs="Calibri Light"/>
          <w:color w:val="000000"/>
          <w:sz w:val="20"/>
          <w:szCs w:val="20"/>
          <w:lang w:val="es-ES"/>
        </w:rPr>
        <w:footnoteReference w:id="7"/>
      </w:r>
      <w:r w:rsidRPr="002B2578">
        <w:rPr>
          <w:rFonts w:ascii="Cambria" w:hAnsi="Cambria" w:cs="Calibri Light"/>
          <w:color w:val="000000"/>
          <w:sz w:val="20"/>
          <w:szCs w:val="20"/>
          <w:lang w:val="es-ES"/>
        </w:rPr>
        <w:t>. En 2018, el Estado manifestó que había adoptado acciones útiles para determinar la responsabilidad de mando de miembros de la Fuerza Pública. Indicó que, con sujeción al procedimiento especial para cumplir el acuerdo que culminó el Proceso de Paz, el Congreso de la República adicionó a la Constitución Política, mediante el Acto Legislativo Nº 01 de 2017, un título transitorio relativo a las normas para la terminación del conflicto armado y la construcción de una paz estable y duradera. Informó que este título desarrolló el marco que constituye el denominado “Sistema Integral de Verdad, Justicia, Reparación y No Repetición”. Adicionalmente, informó que la Corte Constitucional, en ejercicio de control automático de constitucionalidad y de conformidad con un análisis formal y material, declaró exequible esta reforma constitucional.</w:t>
      </w:r>
    </w:p>
    <w:p w14:paraId="4339FA6C" w14:textId="77777777" w:rsidR="00795351" w:rsidRPr="002B2578" w:rsidRDefault="00795351" w:rsidP="00BB0A7B">
      <w:pPr>
        <w:pStyle w:val="Default"/>
        <w:jc w:val="both"/>
        <w:rPr>
          <w:rFonts w:ascii="Cambria" w:eastAsia="Cambria" w:hAnsi="Cambria" w:cs="Cambria"/>
          <w:sz w:val="20"/>
          <w:szCs w:val="20"/>
          <w:lang w:val="es-ES_tradnl"/>
        </w:rPr>
      </w:pPr>
    </w:p>
    <w:p w14:paraId="2248D3E2" w14:textId="77777777" w:rsidR="00823C8F" w:rsidRPr="002B2578" w:rsidRDefault="007E7DF0" w:rsidP="00823C8F">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2B2578">
        <w:rPr>
          <w:rFonts w:ascii="Cambria" w:hAnsi="Cambria" w:cs="Calibri Light"/>
          <w:color w:val="000000"/>
          <w:sz w:val="20"/>
          <w:szCs w:val="20"/>
          <w:lang w:val="es-ES"/>
        </w:rPr>
        <w:t xml:space="preserve">En 2019, el Estado remitió información relativa a la situación de los presuntos responsables de la muerte del señor Isaza Echeverry ante la Jurisdicción Especial para la Paz. Especificó que a la fecha la JEP no tiene registro de que los señores Hernán Carrera Sanabria, Alexander Bonilla Collazos, Antonio </w:t>
      </w:r>
      <w:proofErr w:type="spellStart"/>
      <w:r w:rsidRPr="002B2578">
        <w:rPr>
          <w:rFonts w:ascii="Cambria" w:hAnsi="Cambria" w:cs="Calibri Light"/>
          <w:color w:val="000000"/>
          <w:sz w:val="20"/>
          <w:szCs w:val="20"/>
          <w:lang w:val="es-ES"/>
        </w:rPr>
        <w:t>Chivatá</w:t>
      </w:r>
      <w:proofErr w:type="spellEnd"/>
      <w:r w:rsidRPr="002B2578">
        <w:rPr>
          <w:rFonts w:ascii="Cambria" w:hAnsi="Cambria" w:cs="Calibri Light"/>
          <w:color w:val="000000"/>
          <w:sz w:val="20"/>
          <w:szCs w:val="20"/>
          <w:lang w:val="es-ES"/>
        </w:rPr>
        <w:t xml:space="preserve"> y José Cruz González guarden la calidad de comparecientes ante dicha jurisdicción. Asimismo, el Estado se refirió a los cuestionamientos planteados por los peticionarios respecto a la Ley Nº 1922 de 2018 y su posible incompatibilidad con estándares constitucionales e interamericanos en materia de acceso a la justicia, verdad y reparación. El Estado comunicó que mediante Sentencia C-112-19 de 13 de marzo de 2019 la Corte Constitucional de Colombia declaró inexequibles ciertas </w:t>
      </w:r>
      <w:r w:rsidR="00BB0A7B" w:rsidRPr="002B2578">
        <w:rPr>
          <w:rFonts w:ascii="Cambria" w:hAnsi="Cambria" w:cs="Calibri Light"/>
          <w:color w:val="000000"/>
          <w:sz w:val="20"/>
          <w:szCs w:val="20"/>
          <w:lang w:val="es-ES"/>
        </w:rPr>
        <w:t>disposiciones</w:t>
      </w:r>
      <w:r w:rsidRPr="002B2578">
        <w:rPr>
          <w:rFonts w:ascii="Cambria" w:hAnsi="Cambria" w:cs="Calibri Light"/>
          <w:color w:val="000000"/>
          <w:sz w:val="20"/>
          <w:szCs w:val="20"/>
          <w:lang w:val="es-ES"/>
        </w:rPr>
        <w:t xml:space="preserve"> de dicho ordenamiento por vicio</w:t>
      </w:r>
      <w:r w:rsidR="00BB0A7B" w:rsidRPr="002B2578">
        <w:rPr>
          <w:rFonts w:ascii="Cambria" w:hAnsi="Cambria" w:cs="Calibri Light"/>
          <w:color w:val="000000"/>
          <w:sz w:val="20"/>
          <w:szCs w:val="20"/>
          <w:lang w:val="es-ES"/>
        </w:rPr>
        <w:t>s</w:t>
      </w:r>
      <w:r w:rsidRPr="002B2578">
        <w:rPr>
          <w:rFonts w:ascii="Cambria" w:hAnsi="Cambria" w:cs="Calibri Light"/>
          <w:color w:val="000000"/>
          <w:sz w:val="20"/>
          <w:szCs w:val="20"/>
          <w:lang w:val="es-ES"/>
        </w:rPr>
        <w:t xml:space="preserve"> </w:t>
      </w:r>
      <w:r w:rsidR="00E37761" w:rsidRPr="002B2578">
        <w:rPr>
          <w:rFonts w:ascii="Cambria" w:hAnsi="Cambria" w:cs="Calibri Light"/>
          <w:color w:val="000000"/>
          <w:sz w:val="20"/>
          <w:szCs w:val="20"/>
          <w:lang w:val="es-ES"/>
        </w:rPr>
        <w:t>de forma</w:t>
      </w:r>
      <w:r w:rsidR="00BB0A7B" w:rsidRPr="002B2578">
        <w:rPr>
          <w:rFonts w:ascii="Cambria" w:hAnsi="Cambria" w:cs="Calibri Light"/>
          <w:color w:val="000000"/>
          <w:sz w:val="20"/>
          <w:szCs w:val="20"/>
          <w:lang w:val="es-ES"/>
        </w:rPr>
        <w:t>, entre las que se encuentran</w:t>
      </w:r>
      <w:r w:rsidRPr="002B2578">
        <w:rPr>
          <w:rFonts w:ascii="Cambria" w:hAnsi="Cambria" w:cs="Calibri Light"/>
          <w:color w:val="000000"/>
          <w:sz w:val="20"/>
          <w:szCs w:val="20"/>
          <w:lang w:val="es-ES"/>
        </w:rPr>
        <w:t xml:space="preserve"> el párrafo 2 del artículo 11 y el artículo 75.</w:t>
      </w:r>
    </w:p>
    <w:p w14:paraId="5EF545FD" w14:textId="77777777" w:rsidR="00823C8F" w:rsidRPr="002B2578" w:rsidRDefault="00823C8F" w:rsidP="00823C8F">
      <w:pPr>
        <w:pStyle w:val="BlockText"/>
        <w:spacing w:before="0" w:beforeAutospacing="0" w:after="0" w:afterAutospacing="0"/>
        <w:jc w:val="both"/>
        <w:rPr>
          <w:rFonts w:ascii="Cambria" w:hAnsi="Cambria" w:cs="Calibri Light"/>
          <w:color w:val="000000"/>
          <w:sz w:val="20"/>
          <w:szCs w:val="20"/>
          <w:lang w:val="es-ES"/>
        </w:rPr>
      </w:pPr>
    </w:p>
    <w:p w14:paraId="028AE04B" w14:textId="77777777" w:rsidR="00795351" w:rsidRPr="002B2578" w:rsidRDefault="00823C8F" w:rsidP="00823C8F">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2B2578">
        <w:rPr>
          <w:rFonts w:ascii="Cambria" w:hAnsi="Cambria" w:cs="Calibri Light"/>
          <w:color w:val="000000"/>
          <w:sz w:val="20"/>
          <w:szCs w:val="20"/>
          <w:lang w:val="es-ES"/>
        </w:rPr>
        <w:lastRenderedPageBreak/>
        <w:t xml:space="preserve">En 2020, el Estado </w:t>
      </w:r>
      <w:r w:rsidR="00A66433" w:rsidRPr="002B2578">
        <w:rPr>
          <w:rFonts w:ascii="Cambria" w:hAnsi="Cambria"/>
          <w:color w:val="000000"/>
          <w:sz w:val="20"/>
          <w:szCs w:val="20"/>
          <w:lang w:val="es-CO"/>
        </w:rPr>
        <w:t>señaló que remitía información</w:t>
      </w:r>
      <w:r w:rsidRPr="002B2578">
        <w:rPr>
          <w:rFonts w:ascii="Cambria" w:hAnsi="Cambria"/>
          <w:color w:val="000000"/>
          <w:sz w:val="20"/>
          <w:szCs w:val="20"/>
          <w:lang w:val="es-CO"/>
        </w:rPr>
        <w:t xml:space="preserve"> </w:t>
      </w:r>
      <w:r w:rsidR="00A66433" w:rsidRPr="002B2578">
        <w:rPr>
          <w:rFonts w:ascii="Cambria" w:hAnsi="Cambria"/>
          <w:color w:val="000000"/>
          <w:sz w:val="20"/>
          <w:szCs w:val="20"/>
          <w:lang w:val="es-CO"/>
        </w:rPr>
        <w:t>reportada por el</w:t>
      </w:r>
      <w:r w:rsidRPr="002B2578">
        <w:rPr>
          <w:rFonts w:ascii="Cambria" w:hAnsi="Cambria"/>
          <w:color w:val="000000"/>
          <w:sz w:val="20"/>
          <w:szCs w:val="20"/>
          <w:lang w:val="es-CO"/>
        </w:rPr>
        <w:t xml:space="preserve"> Ministerio de Defensa Nacional</w:t>
      </w:r>
      <w:r w:rsidR="00A66433" w:rsidRPr="002B2578">
        <w:rPr>
          <w:rFonts w:ascii="Cambria" w:hAnsi="Cambria"/>
          <w:color w:val="000000"/>
          <w:sz w:val="20"/>
          <w:szCs w:val="20"/>
          <w:lang w:val="es-CO"/>
        </w:rPr>
        <w:t>. El reporte indica que, según la</w:t>
      </w:r>
      <w:r w:rsidRPr="002B2578">
        <w:rPr>
          <w:rFonts w:ascii="Cambria" w:hAnsi="Cambria"/>
          <w:color w:val="000000"/>
          <w:sz w:val="20"/>
          <w:szCs w:val="20"/>
          <w:lang w:val="es-CO"/>
        </w:rPr>
        <w:t xml:space="preserve"> Dirección General de la Justicia Castrense</w:t>
      </w:r>
      <w:r w:rsidR="00A66433" w:rsidRPr="002B2578">
        <w:rPr>
          <w:rFonts w:ascii="Cambria" w:hAnsi="Cambria"/>
          <w:color w:val="000000"/>
          <w:sz w:val="20"/>
          <w:szCs w:val="20"/>
          <w:lang w:val="es-CO"/>
        </w:rPr>
        <w:t xml:space="preserve">, desde enero a abril de 2020, la </w:t>
      </w:r>
      <w:r w:rsidRPr="002B2578">
        <w:rPr>
          <w:rFonts w:ascii="Cambria" w:hAnsi="Cambria"/>
          <w:color w:val="000000"/>
          <w:sz w:val="20"/>
          <w:szCs w:val="20"/>
          <w:lang w:val="es-CO"/>
        </w:rPr>
        <w:t xml:space="preserve">Justicia Penal Militar y Policial </w:t>
      </w:r>
      <w:r w:rsidR="00A66433" w:rsidRPr="002B2578">
        <w:rPr>
          <w:rFonts w:ascii="Cambria" w:hAnsi="Cambria"/>
          <w:color w:val="000000"/>
          <w:sz w:val="20"/>
          <w:szCs w:val="20"/>
          <w:lang w:val="es-CO"/>
        </w:rPr>
        <w:t xml:space="preserve">remitió a </w:t>
      </w:r>
      <w:r w:rsidRPr="002B2578">
        <w:rPr>
          <w:rFonts w:ascii="Cambria" w:hAnsi="Cambria"/>
          <w:color w:val="000000"/>
          <w:sz w:val="20"/>
          <w:szCs w:val="20"/>
          <w:lang w:val="es-CO"/>
        </w:rPr>
        <w:t>la Justicia Penal ordinaria</w:t>
      </w:r>
      <w:r w:rsidR="00A66433" w:rsidRPr="002B2578">
        <w:rPr>
          <w:rFonts w:ascii="Cambria" w:hAnsi="Cambria"/>
          <w:color w:val="000000"/>
          <w:sz w:val="20"/>
          <w:szCs w:val="20"/>
          <w:lang w:val="es-CO"/>
        </w:rPr>
        <w:t xml:space="preserve"> </w:t>
      </w:r>
      <w:r w:rsidR="00E27EF5" w:rsidRPr="002B2578">
        <w:rPr>
          <w:rFonts w:ascii="Cambria" w:hAnsi="Cambria"/>
          <w:color w:val="000000"/>
          <w:sz w:val="20"/>
          <w:szCs w:val="20"/>
          <w:lang w:val="es-CO"/>
        </w:rPr>
        <w:t xml:space="preserve">un total de </w:t>
      </w:r>
      <w:r w:rsidR="00A66433" w:rsidRPr="002B2578">
        <w:rPr>
          <w:rFonts w:ascii="Cambria" w:hAnsi="Cambria"/>
          <w:color w:val="000000"/>
          <w:sz w:val="20"/>
          <w:szCs w:val="20"/>
          <w:lang w:val="es-CO"/>
        </w:rPr>
        <w:t>12 investigaciones</w:t>
      </w:r>
      <w:r w:rsidRPr="002B2578">
        <w:rPr>
          <w:rFonts w:ascii="Cambria" w:hAnsi="Cambria"/>
          <w:color w:val="000000"/>
          <w:sz w:val="20"/>
          <w:szCs w:val="20"/>
          <w:lang w:val="es-CO"/>
        </w:rPr>
        <w:t xml:space="preserve"> relacionadas con presuntas violaciones a los derechos humanos o al derecho internacional humanitario</w:t>
      </w:r>
      <w:r w:rsidR="00A66433" w:rsidRPr="002B2578">
        <w:rPr>
          <w:rFonts w:ascii="Cambria" w:hAnsi="Cambria"/>
          <w:color w:val="000000"/>
          <w:sz w:val="20"/>
          <w:szCs w:val="20"/>
          <w:lang w:val="es-CO"/>
        </w:rPr>
        <w:t xml:space="preserve"> (</w:t>
      </w:r>
      <w:r w:rsidR="00E27EF5" w:rsidRPr="002B2578">
        <w:rPr>
          <w:rFonts w:ascii="Cambria" w:hAnsi="Cambria"/>
          <w:color w:val="000000"/>
          <w:sz w:val="20"/>
          <w:szCs w:val="20"/>
          <w:lang w:val="es-CO"/>
        </w:rPr>
        <w:t>3 en enero, 6 en febrero, 2 en marzo y 1 en abril</w:t>
      </w:r>
      <w:r w:rsidR="00A66433" w:rsidRPr="002B2578">
        <w:rPr>
          <w:rFonts w:ascii="Cambria" w:hAnsi="Cambria"/>
          <w:color w:val="000000"/>
          <w:sz w:val="20"/>
          <w:szCs w:val="20"/>
          <w:lang w:val="es-CO"/>
        </w:rPr>
        <w:t>).</w:t>
      </w:r>
      <w:r w:rsidRPr="002B2578">
        <w:rPr>
          <w:rFonts w:ascii="Cambria" w:hAnsi="Cambria"/>
          <w:color w:val="000000"/>
          <w:sz w:val="20"/>
          <w:szCs w:val="20"/>
          <w:lang w:val="es-CO"/>
        </w:rPr>
        <w:t xml:space="preserve"> </w:t>
      </w:r>
      <w:r w:rsidR="00E27EF5" w:rsidRPr="002B2578">
        <w:rPr>
          <w:rFonts w:ascii="Cambria" w:hAnsi="Cambria"/>
          <w:color w:val="000000"/>
          <w:sz w:val="20"/>
          <w:szCs w:val="20"/>
          <w:lang w:val="es-CO"/>
        </w:rPr>
        <w:t>Según el Estado, estos datos fueron</w:t>
      </w:r>
      <w:r w:rsidR="00A66433" w:rsidRPr="002B2578">
        <w:rPr>
          <w:rFonts w:ascii="Cambria" w:hAnsi="Cambria"/>
          <w:color w:val="000000"/>
          <w:sz w:val="20"/>
          <w:szCs w:val="20"/>
          <w:lang w:val="es-CO"/>
        </w:rPr>
        <w:t xml:space="preserve"> </w:t>
      </w:r>
      <w:r w:rsidR="00E27EF5" w:rsidRPr="002B2578">
        <w:rPr>
          <w:rFonts w:ascii="Cambria" w:hAnsi="Cambria"/>
          <w:color w:val="000000"/>
          <w:sz w:val="20"/>
          <w:szCs w:val="20"/>
          <w:lang w:val="es-CO"/>
        </w:rPr>
        <w:t>recabados a partir de</w:t>
      </w:r>
      <w:r w:rsidR="00A66433" w:rsidRPr="002B2578">
        <w:rPr>
          <w:rFonts w:ascii="Cambria" w:hAnsi="Cambria"/>
          <w:color w:val="000000"/>
          <w:sz w:val="20"/>
          <w:szCs w:val="20"/>
          <w:lang w:val="es-CO"/>
        </w:rPr>
        <w:t xml:space="preserve"> un</w:t>
      </w:r>
      <w:r w:rsidRPr="002B2578">
        <w:rPr>
          <w:rFonts w:ascii="Cambria" w:hAnsi="Cambria"/>
          <w:color w:val="000000"/>
          <w:sz w:val="20"/>
          <w:szCs w:val="20"/>
          <w:lang w:val="es-CO"/>
        </w:rPr>
        <w:t>a consulta hecha a 275 despachos de la jurisdicción.</w:t>
      </w:r>
    </w:p>
    <w:p w14:paraId="24CB4782" w14:textId="77777777" w:rsidR="00823C8F" w:rsidRPr="002B2578" w:rsidRDefault="00823C8F" w:rsidP="00823C8F">
      <w:pPr>
        <w:pStyle w:val="BlockText"/>
        <w:spacing w:before="0" w:beforeAutospacing="0" w:after="0" w:afterAutospacing="0"/>
        <w:jc w:val="both"/>
        <w:rPr>
          <w:rFonts w:ascii="Cambria" w:hAnsi="Cambria" w:cs="Calibri Light"/>
          <w:color w:val="000000"/>
          <w:sz w:val="20"/>
          <w:szCs w:val="20"/>
          <w:lang w:val="es-ES"/>
        </w:rPr>
      </w:pPr>
    </w:p>
    <w:p w14:paraId="25830ACA" w14:textId="77777777" w:rsidR="00795351" w:rsidRPr="002B2578" w:rsidRDefault="007E7DF0" w:rsidP="00603EE7">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2B2578">
        <w:rPr>
          <w:rFonts w:ascii="Cambria" w:hAnsi="Cambria" w:cs="Calibri Light"/>
          <w:color w:val="000000"/>
          <w:sz w:val="20"/>
          <w:szCs w:val="20"/>
          <w:lang w:val="es-ES"/>
        </w:rPr>
        <w:t>En 2018, los peticionarios manifestaron que el Acto Legislativo Nº 01 de 2017, así como el pronunciamiento de la Corte Constitucional que lo avaló, constituye un avance positivo en la implementación de medidas de no repetición. Señalaron que el Alto Tribunal reiteró en la sentencia de constitucionalidad de esa reforma que el derecho internacional de los derechos humanos, y no solo el derecho internacional humanitario, constituye un parámetro de interpretación y de aplicación en casos relacionados con delitos cometidos por miembros de la fuerza pública. En lo atinente a la Jurisdicción Especial de Paz (JEP) –particularmente, en lo relativo a graves violaciones a los derechos humanos –, los peticionarios notaron con preocupación la normatividad sobre el procesamiento a responsables de mandos superiores. En criterio de los peticionarios, esa reforma constitucional reconoció la competencia por delitos con ocasión directa o indirecta del conflicto armado, pero presenta problemas sobre la definición de responsabilidad de mando y sobre la amnistía de infracciones al derecho internacional humanitario que no son sistemáticas. Adicionalmente, los peticionarios manifestaron, en relación con la Ley de Procedimiento de la JEP –Ley Nº 1922 de 2018-, que el párrafo segundo del artículo 11 y el artículo 75 de esa regulación tienen implicaciones negativas en la obligación del Estado de investigar y sancionar graves violaciones a los DDHH y al DIH cometidas por miembros de la fuerza pública.</w:t>
      </w:r>
    </w:p>
    <w:p w14:paraId="2F41B995" w14:textId="77777777" w:rsidR="00300724" w:rsidRPr="002B2578" w:rsidRDefault="00300724" w:rsidP="00300724">
      <w:pPr>
        <w:pStyle w:val="BlockText"/>
        <w:spacing w:before="0" w:beforeAutospacing="0" w:after="0" w:afterAutospacing="0"/>
        <w:ind w:left="720"/>
        <w:jc w:val="both"/>
        <w:rPr>
          <w:rFonts w:ascii="Cambria" w:hAnsi="Cambria" w:cs="Calibri Light"/>
          <w:color w:val="000000"/>
          <w:sz w:val="20"/>
          <w:szCs w:val="20"/>
          <w:lang w:val="es-ES"/>
        </w:rPr>
      </w:pPr>
    </w:p>
    <w:p w14:paraId="07794693" w14:textId="77777777" w:rsidR="001D26B1" w:rsidRPr="002B2578" w:rsidRDefault="00300724" w:rsidP="001D26B1">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2B2578">
        <w:rPr>
          <w:rFonts w:ascii="Cambria" w:hAnsi="Cambria" w:cs="Calibri Light"/>
          <w:color w:val="000000"/>
          <w:sz w:val="20"/>
          <w:szCs w:val="20"/>
          <w:lang w:val="es-ES"/>
        </w:rPr>
        <w:t>En 2020, los peticionarios manifestaron su preocupación</w:t>
      </w:r>
      <w:r w:rsidRPr="002B2578">
        <w:rPr>
          <w:rFonts w:ascii="Cambria" w:hAnsi="Cambria"/>
          <w:color w:val="000000"/>
          <w:sz w:val="20"/>
          <w:szCs w:val="20"/>
          <w:lang w:val="es-CO"/>
        </w:rPr>
        <w:t xml:space="preserve"> porque, a pesar de la jurisprudencia de la Corte Constitucional de Colombia, de la CIDH y de la Corte Interamericana de Derechos Humanos, el Estado todavía asigna a la Justicia Penal Militar casos que no tienen relación con el orden castrense e incluso en los que se investigan graves violaciones a los Derechos Humanos</w:t>
      </w:r>
      <w:r w:rsidR="00DE24DB" w:rsidRPr="002B2578">
        <w:rPr>
          <w:rFonts w:ascii="Cambria" w:hAnsi="Cambria"/>
          <w:color w:val="000000"/>
          <w:sz w:val="20"/>
          <w:szCs w:val="20"/>
          <w:lang w:val="es-CO"/>
        </w:rPr>
        <w:t>. Al respecto, citaron</w:t>
      </w:r>
      <w:r w:rsidRPr="002B2578">
        <w:rPr>
          <w:rFonts w:ascii="Cambria" w:hAnsi="Cambria"/>
          <w:color w:val="000000"/>
          <w:sz w:val="20"/>
          <w:szCs w:val="20"/>
          <w:lang w:val="es-CO"/>
        </w:rPr>
        <w:t xml:space="preserve"> el caso de </w:t>
      </w:r>
      <w:r w:rsidR="00FA2E9B" w:rsidRPr="002B2578">
        <w:rPr>
          <w:rFonts w:ascii="Cambria" w:hAnsi="Cambria"/>
          <w:color w:val="000000"/>
          <w:sz w:val="20"/>
          <w:szCs w:val="20"/>
          <w:lang w:val="es-CO"/>
        </w:rPr>
        <w:t xml:space="preserve">la muerte de </w:t>
      </w:r>
      <w:r w:rsidRPr="002B2578">
        <w:rPr>
          <w:rFonts w:ascii="Cambria" w:hAnsi="Cambria"/>
          <w:color w:val="000000"/>
          <w:sz w:val="20"/>
          <w:szCs w:val="20"/>
          <w:lang w:val="es-CO"/>
        </w:rPr>
        <w:t>Dilan Cruz</w:t>
      </w:r>
      <w:r w:rsidR="00FA2E9B" w:rsidRPr="002B2578">
        <w:rPr>
          <w:rFonts w:ascii="Cambria" w:hAnsi="Cambria"/>
          <w:color w:val="000000"/>
          <w:sz w:val="20"/>
          <w:szCs w:val="20"/>
          <w:lang w:val="es-CO"/>
        </w:rPr>
        <w:t xml:space="preserve">, </w:t>
      </w:r>
      <w:r w:rsidR="009C3EF7" w:rsidRPr="002B2578">
        <w:rPr>
          <w:rFonts w:ascii="Cambria" w:hAnsi="Cambria"/>
          <w:color w:val="000000"/>
          <w:sz w:val="20"/>
          <w:szCs w:val="20"/>
          <w:lang w:val="es-CO"/>
        </w:rPr>
        <w:t xml:space="preserve">quien murió en el marco de una protesta luego de recibir un impacto de un artefacto y </w:t>
      </w:r>
      <w:r w:rsidR="00FA2E9B" w:rsidRPr="002B2578">
        <w:rPr>
          <w:rFonts w:ascii="Cambria" w:hAnsi="Cambria"/>
          <w:color w:val="000000"/>
          <w:sz w:val="20"/>
          <w:szCs w:val="20"/>
          <w:lang w:val="es-CO"/>
        </w:rPr>
        <w:t xml:space="preserve">cuyo caso </w:t>
      </w:r>
      <w:r w:rsidRPr="002B2578">
        <w:rPr>
          <w:rFonts w:ascii="Cambria" w:hAnsi="Cambria"/>
          <w:color w:val="000000"/>
          <w:sz w:val="20"/>
          <w:szCs w:val="20"/>
          <w:lang w:val="es-CO"/>
        </w:rPr>
        <w:t>fue asignado a la Justicia Penal Militar por parte del Consejo Superior de la Judica</w:t>
      </w:r>
      <w:r w:rsidR="00BA54A6" w:rsidRPr="002B2578">
        <w:rPr>
          <w:rFonts w:ascii="Cambria" w:hAnsi="Cambria"/>
          <w:color w:val="000000"/>
          <w:sz w:val="20"/>
          <w:szCs w:val="20"/>
          <w:lang w:val="es-CO"/>
        </w:rPr>
        <w:t>t</w:t>
      </w:r>
      <w:r w:rsidRPr="002B2578">
        <w:rPr>
          <w:rFonts w:ascii="Cambria" w:hAnsi="Cambria"/>
          <w:color w:val="000000"/>
          <w:sz w:val="20"/>
          <w:szCs w:val="20"/>
          <w:lang w:val="es-CO"/>
        </w:rPr>
        <w:t>ura.</w:t>
      </w:r>
      <w:r w:rsidRPr="002B2578">
        <w:rPr>
          <w:rFonts w:ascii="Cambria" w:hAnsi="Cambria" w:cs="Calibri Light"/>
          <w:color w:val="000000"/>
          <w:sz w:val="20"/>
          <w:szCs w:val="20"/>
          <w:lang w:val="es-ES"/>
        </w:rPr>
        <w:t xml:space="preserve"> Al respecto, los peticionarios indica</w:t>
      </w:r>
      <w:r w:rsidR="00FA2E9B" w:rsidRPr="002B2578">
        <w:rPr>
          <w:rFonts w:ascii="Cambria" w:hAnsi="Cambria" w:cs="Calibri Light"/>
          <w:color w:val="000000"/>
          <w:sz w:val="20"/>
          <w:szCs w:val="20"/>
          <w:lang w:val="es-ES"/>
        </w:rPr>
        <w:t>ron</w:t>
      </w:r>
      <w:r w:rsidRPr="002B2578">
        <w:rPr>
          <w:rFonts w:ascii="Cambria" w:hAnsi="Cambria" w:cs="Calibri Light"/>
          <w:color w:val="000000"/>
          <w:sz w:val="20"/>
          <w:szCs w:val="20"/>
          <w:lang w:val="es-ES"/>
        </w:rPr>
        <w:t xml:space="preserve"> que, además de que estas actuaciones </w:t>
      </w:r>
      <w:r w:rsidR="00FA2E9B" w:rsidRPr="002B2578">
        <w:rPr>
          <w:rFonts w:ascii="Cambria" w:hAnsi="Cambria" w:cs="Calibri Light"/>
          <w:color w:val="000000"/>
          <w:sz w:val="20"/>
          <w:szCs w:val="20"/>
          <w:lang w:val="es-ES"/>
        </w:rPr>
        <w:t>incumplen</w:t>
      </w:r>
      <w:r w:rsidRPr="002B2578">
        <w:rPr>
          <w:rFonts w:ascii="Cambria" w:hAnsi="Cambria" w:cs="Calibri Light"/>
          <w:color w:val="000000"/>
          <w:sz w:val="20"/>
          <w:szCs w:val="20"/>
          <w:lang w:val="es-ES"/>
        </w:rPr>
        <w:t xml:space="preserve"> esta recomendación, </w:t>
      </w:r>
      <w:r w:rsidRPr="002B2578">
        <w:rPr>
          <w:rFonts w:ascii="Cambria" w:hAnsi="Cambria"/>
          <w:color w:val="000000"/>
          <w:sz w:val="20"/>
          <w:szCs w:val="20"/>
          <w:lang w:val="es-CO"/>
        </w:rPr>
        <w:t xml:space="preserve">representan una grave vulneración a los derechos contenidos en los artículos 8 y 25 de la CADH, en concordancia con los artículos 1.1 y 2 del mismo instrumento internacional. </w:t>
      </w:r>
    </w:p>
    <w:p w14:paraId="529526C7" w14:textId="77777777" w:rsidR="001D26B1" w:rsidRPr="002B2578" w:rsidRDefault="001D26B1" w:rsidP="001D26B1">
      <w:pPr>
        <w:pStyle w:val="BlockText"/>
        <w:spacing w:before="0" w:beforeAutospacing="0" w:after="0" w:afterAutospacing="0"/>
        <w:jc w:val="both"/>
        <w:rPr>
          <w:rFonts w:ascii="Cambria" w:eastAsia="Cambria" w:hAnsi="Cambria" w:cs="Cambria"/>
          <w:color w:val="000000"/>
          <w:sz w:val="20"/>
          <w:szCs w:val="20"/>
          <w:lang w:val="es-ES_tradnl"/>
        </w:rPr>
      </w:pPr>
    </w:p>
    <w:p w14:paraId="3EFD9508" w14:textId="77777777" w:rsidR="00795351" w:rsidRPr="002B2578" w:rsidRDefault="00300724" w:rsidP="00BA54A6">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2B2578">
        <w:rPr>
          <w:rFonts w:ascii="Cambria" w:hAnsi="Cambria"/>
          <w:color w:val="000000"/>
          <w:sz w:val="20"/>
          <w:szCs w:val="20"/>
          <w:lang w:val="es-CO"/>
        </w:rPr>
        <w:t>En lo que respecta a la investigación, juzgamiento y sanción de integrantes de la fuerza pública en el marco de la justicia ordinaria, los peticionarios</w:t>
      </w:r>
      <w:r w:rsidR="00BA54A6" w:rsidRPr="002B2578">
        <w:rPr>
          <w:rFonts w:ascii="Cambria" w:hAnsi="Cambria"/>
          <w:color w:val="000000"/>
          <w:sz w:val="20"/>
          <w:szCs w:val="20"/>
          <w:lang w:val="es-CO"/>
        </w:rPr>
        <w:t xml:space="preserve"> se refirieron a la decisión de la Corte Constitucional que establece que cuando integrantes de la fuerza pública se han acogido a la Jurisdicción Especial para la Paz (JEP), </w:t>
      </w:r>
      <w:r w:rsidRPr="002B2578">
        <w:rPr>
          <w:rFonts w:ascii="Cambria" w:hAnsi="Cambria"/>
          <w:color w:val="000000"/>
          <w:sz w:val="20"/>
          <w:szCs w:val="20"/>
          <w:lang w:val="es-CO"/>
        </w:rPr>
        <w:t xml:space="preserve">el deber de investigación en cabeza de la </w:t>
      </w:r>
      <w:proofErr w:type="gramStart"/>
      <w:r w:rsidRPr="002B2578">
        <w:rPr>
          <w:rFonts w:ascii="Cambria" w:hAnsi="Cambria"/>
          <w:color w:val="000000"/>
          <w:sz w:val="20"/>
          <w:szCs w:val="20"/>
          <w:lang w:val="es-CO"/>
        </w:rPr>
        <w:t>Fiscalía General</w:t>
      </w:r>
      <w:proofErr w:type="gramEnd"/>
      <w:r w:rsidRPr="002B2578">
        <w:rPr>
          <w:rFonts w:ascii="Cambria" w:hAnsi="Cambria"/>
          <w:color w:val="000000"/>
          <w:sz w:val="20"/>
          <w:szCs w:val="20"/>
          <w:lang w:val="es-CO"/>
        </w:rPr>
        <w:t xml:space="preserve"> de la Nación no cesa. </w:t>
      </w:r>
      <w:r w:rsidR="00BA54A6" w:rsidRPr="002B2578">
        <w:rPr>
          <w:rFonts w:ascii="Cambria" w:hAnsi="Cambria"/>
          <w:color w:val="000000"/>
          <w:sz w:val="20"/>
          <w:szCs w:val="20"/>
          <w:lang w:val="es-CO"/>
        </w:rPr>
        <w:t xml:space="preserve">Según los peticionarios, en la práctica, </w:t>
      </w:r>
      <w:r w:rsidR="00FA2E9B" w:rsidRPr="002B2578">
        <w:rPr>
          <w:rFonts w:ascii="Cambria" w:hAnsi="Cambria"/>
          <w:color w:val="000000"/>
          <w:sz w:val="20"/>
          <w:szCs w:val="20"/>
          <w:lang w:val="es-CO"/>
        </w:rPr>
        <w:t xml:space="preserve">a pesar de la obligatoriedad de la investigación, </w:t>
      </w:r>
      <w:r w:rsidR="00BA54A6" w:rsidRPr="002B2578">
        <w:rPr>
          <w:rFonts w:ascii="Cambria" w:hAnsi="Cambria"/>
          <w:color w:val="000000"/>
          <w:sz w:val="20"/>
          <w:szCs w:val="20"/>
          <w:lang w:val="es-CO"/>
        </w:rPr>
        <w:t xml:space="preserve">se </w:t>
      </w:r>
      <w:r w:rsidRPr="002B2578">
        <w:rPr>
          <w:rFonts w:ascii="Cambria" w:hAnsi="Cambria"/>
          <w:color w:val="000000"/>
          <w:sz w:val="20"/>
          <w:szCs w:val="20"/>
          <w:lang w:val="es-CO"/>
        </w:rPr>
        <w:t>ha evidenciado el congelamiento de aquellas investigaciones remitidas a la JEP</w:t>
      </w:r>
      <w:r w:rsidR="00BA54A6" w:rsidRPr="002B2578">
        <w:rPr>
          <w:rFonts w:ascii="Cambria" w:hAnsi="Cambria"/>
          <w:color w:val="000000"/>
          <w:sz w:val="20"/>
          <w:szCs w:val="20"/>
          <w:lang w:val="es-CO"/>
        </w:rPr>
        <w:t xml:space="preserve"> e,</w:t>
      </w:r>
      <w:r w:rsidRPr="002B2578">
        <w:rPr>
          <w:rFonts w:ascii="Cambria" w:hAnsi="Cambria"/>
          <w:color w:val="000000"/>
          <w:sz w:val="20"/>
          <w:szCs w:val="20"/>
          <w:lang w:val="es-CO"/>
        </w:rPr>
        <w:t xml:space="preserve"> </w:t>
      </w:r>
      <w:r w:rsidR="00BA54A6" w:rsidRPr="002B2578">
        <w:rPr>
          <w:rFonts w:ascii="Cambria" w:hAnsi="Cambria"/>
          <w:color w:val="000000"/>
          <w:sz w:val="20"/>
          <w:szCs w:val="20"/>
          <w:lang w:val="es-CO"/>
        </w:rPr>
        <w:t>i</w:t>
      </w:r>
      <w:r w:rsidRPr="002B2578">
        <w:rPr>
          <w:rFonts w:ascii="Cambria" w:hAnsi="Cambria"/>
          <w:color w:val="000000"/>
          <w:sz w:val="20"/>
          <w:szCs w:val="20"/>
          <w:lang w:val="es-CO"/>
        </w:rPr>
        <w:t xml:space="preserve">ncluso, </w:t>
      </w:r>
      <w:r w:rsidR="00BA54A6" w:rsidRPr="002B2578">
        <w:rPr>
          <w:rFonts w:ascii="Cambria" w:hAnsi="Cambria"/>
          <w:color w:val="000000"/>
          <w:sz w:val="20"/>
          <w:szCs w:val="20"/>
          <w:lang w:val="es-CO"/>
        </w:rPr>
        <w:t>de lo</w:t>
      </w:r>
      <w:r w:rsidRPr="002B2578">
        <w:rPr>
          <w:rFonts w:ascii="Cambria" w:hAnsi="Cambria"/>
          <w:color w:val="000000"/>
          <w:sz w:val="20"/>
          <w:szCs w:val="20"/>
          <w:lang w:val="es-CO"/>
        </w:rPr>
        <w:t>s casos que no se han sido remitid</w:t>
      </w:r>
      <w:r w:rsidR="00FA2E9B" w:rsidRPr="002B2578">
        <w:rPr>
          <w:rFonts w:ascii="Cambria" w:hAnsi="Cambria"/>
          <w:color w:val="000000"/>
          <w:sz w:val="20"/>
          <w:szCs w:val="20"/>
          <w:lang w:val="es-CO"/>
        </w:rPr>
        <w:t>o</w:t>
      </w:r>
      <w:r w:rsidRPr="002B2578">
        <w:rPr>
          <w:rFonts w:ascii="Cambria" w:hAnsi="Cambria"/>
          <w:color w:val="000000"/>
          <w:sz w:val="20"/>
          <w:szCs w:val="20"/>
          <w:lang w:val="es-CO"/>
        </w:rPr>
        <w:t xml:space="preserve">s a </w:t>
      </w:r>
      <w:r w:rsidR="00BA54A6" w:rsidRPr="002B2578">
        <w:rPr>
          <w:rFonts w:ascii="Cambria" w:hAnsi="Cambria"/>
          <w:color w:val="000000"/>
          <w:sz w:val="20"/>
          <w:szCs w:val="20"/>
          <w:lang w:val="es-CO"/>
        </w:rPr>
        <w:t>dicha</w:t>
      </w:r>
      <w:r w:rsidRPr="002B2578">
        <w:rPr>
          <w:rFonts w:ascii="Cambria" w:hAnsi="Cambria"/>
          <w:color w:val="000000"/>
          <w:sz w:val="20"/>
          <w:szCs w:val="20"/>
          <w:lang w:val="es-CO"/>
        </w:rPr>
        <w:t xml:space="preserve"> jurisdicción, pero </w:t>
      </w:r>
      <w:r w:rsidR="00BA54A6" w:rsidRPr="002B2578">
        <w:rPr>
          <w:rFonts w:ascii="Cambria" w:hAnsi="Cambria"/>
          <w:color w:val="000000"/>
          <w:sz w:val="20"/>
          <w:szCs w:val="20"/>
          <w:lang w:val="es-CO"/>
        </w:rPr>
        <w:t>respecto de los que</w:t>
      </w:r>
      <w:r w:rsidRPr="002B2578">
        <w:rPr>
          <w:rFonts w:ascii="Cambria" w:hAnsi="Cambria"/>
          <w:color w:val="000000"/>
          <w:sz w:val="20"/>
          <w:szCs w:val="20"/>
          <w:lang w:val="es-CO"/>
        </w:rPr>
        <w:t xml:space="preserve"> existen elementos</w:t>
      </w:r>
      <w:r w:rsidR="00BA54A6" w:rsidRPr="002B2578">
        <w:rPr>
          <w:rFonts w:ascii="Cambria" w:hAnsi="Cambria"/>
          <w:color w:val="000000"/>
          <w:sz w:val="20"/>
          <w:szCs w:val="20"/>
          <w:lang w:val="es-CO"/>
        </w:rPr>
        <w:t xml:space="preserve"> que permitirán su eventual </w:t>
      </w:r>
      <w:r w:rsidR="00FA2E9B" w:rsidRPr="002B2578">
        <w:rPr>
          <w:rFonts w:ascii="Cambria" w:hAnsi="Cambria"/>
          <w:color w:val="000000"/>
          <w:sz w:val="20"/>
          <w:szCs w:val="20"/>
          <w:lang w:val="es-CO"/>
        </w:rPr>
        <w:t>traslado</w:t>
      </w:r>
      <w:r w:rsidR="00BA54A6" w:rsidRPr="002B2578">
        <w:rPr>
          <w:rFonts w:ascii="Cambria" w:hAnsi="Cambria"/>
          <w:color w:val="000000"/>
          <w:sz w:val="20"/>
          <w:szCs w:val="20"/>
          <w:lang w:val="es-CO"/>
        </w:rPr>
        <w:t>. Fina</w:t>
      </w:r>
      <w:r w:rsidR="00FA2E9B" w:rsidRPr="002B2578">
        <w:rPr>
          <w:rFonts w:ascii="Cambria" w:hAnsi="Cambria"/>
          <w:color w:val="000000"/>
          <w:sz w:val="20"/>
          <w:szCs w:val="20"/>
          <w:lang w:val="es-CO"/>
        </w:rPr>
        <w:t>l</w:t>
      </w:r>
      <w:r w:rsidR="00BA54A6" w:rsidRPr="002B2578">
        <w:rPr>
          <w:rFonts w:ascii="Cambria" w:hAnsi="Cambria"/>
          <w:color w:val="000000"/>
          <w:sz w:val="20"/>
          <w:szCs w:val="20"/>
          <w:lang w:val="es-CO"/>
        </w:rPr>
        <w:t>mente, respecto a la</w:t>
      </w:r>
      <w:r w:rsidRPr="002B2578">
        <w:rPr>
          <w:rFonts w:ascii="Cambria" w:hAnsi="Cambria"/>
          <w:color w:val="000000"/>
          <w:sz w:val="20"/>
          <w:szCs w:val="20"/>
          <w:lang w:val="es-CO"/>
        </w:rPr>
        <w:t xml:space="preserve"> reparación</w:t>
      </w:r>
      <w:r w:rsidR="00BA54A6" w:rsidRPr="002B2578">
        <w:rPr>
          <w:rFonts w:ascii="Cambria" w:hAnsi="Cambria"/>
          <w:color w:val="000000"/>
          <w:sz w:val="20"/>
          <w:szCs w:val="20"/>
          <w:lang w:val="es-CO"/>
        </w:rPr>
        <w:t>, los peticionarios manifestaron su preocupación con una</w:t>
      </w:r>
      <w:r w:rsidRPr="002B2578">
        <w:rPr>
          <w:rFonts w:ascii="Cambria" w:hAnsi="Cambria"/>
          <w:color w:val="000000"/>
          <w:sz w:val="20"/>
          <w:szCs w:val="20"/>
          <w:lang w:val="es-CO"/>
        </w:rPr>
        <w:t xml:space="preserve"> </w:t>
      </w:r>
      <w:r w:rsidR="00FA2E9B" w:rsidRPr="002B2578">
        <w:rPr>
          <w:rFonts w:ascii="Cambria" w:hAnsi="Cambria"/>
          <w:color w:val="000000"/>
          <w:sz w:val="20"/>
          <w:szCs w:val="20"/>
          <w:lang w:val="es-CO"/>
        </w:rPr>
        <w:t>decisión</w:t>
      </w:r>
      <w:r w:rsidRPr="002B2578">
        <w:rPr>
          <w:rFonts w:ascii="Cambria" w:hAnsi="Cambria"/>
          <w:color w:val="000000"/>
          <w:sz w:val="20"/>
          <w:szCs w:val="20"/>
          <w:lang w:val="es-CO"/>
        </w:rPr>
        <w:t xml:space="preserve"> </w:t>
      </w:r>
      <w:r w:rsidR="00BA54A6" w:rsidRPr="002B2578">
        <w:rPr>
          <w:rFonts w:ascii="Cambria" w:hAnsi="Cambria"/>
          <w:color w:val="000000"/>
          <w:sz w:val="20"/>
          <w:szCs w:val="20"/>
          <w:lang w:val="es-CO"/>
        </w:rPr>
        <w:t>d</w:t>
      </w:r>
      <w:r w:rsidRPr="002B2578">
        <w:rPr>
          <w:rFonts w:ascii="Cambria" w:hAnsi="Cambria"/>
          <w:color w:val="000000"/>
          <w:sz w:val="20"/>
          <w:szCs w:val="20"/>
          <w:lang w:val="es-CO"/>
        </w:rPr>
        <w:t xml:space="preserve">el Consejo de Estado que limita el acceso a la acción de reparación directa </w:t>
      </w:r>
      <w:r w:rsidR="00BA54A6" w:rsidRPr="002B2578">
        <w:rPr>
          <w:rFonts w:ascii="Cambria" w:hAnsi="Cambria"/>
          <w:color w:val="000000"/>
          <w:sz w:val="20"/>
          <w:szCs w:val="20"/>
          <w:lang w:val="es-CO"/>
        </w:rPr>
        <w:t>respecto a</w:t>
      </w:r>
      <w:r w:rsidRPr="002B2578">
        <w:rPr>
          <w:rFonts w:ascii="Cambria" w:hAnsi="Cambria"/>
          <w:color w:val="000000"/>
          <w:sz w:val="20"/>
          <w:szCs w:val="20"/>
          <w:lang w:val="es-CO"/>
        </w:rPr>
        <w:t xml:space="preserve"> graves violaciones a los Derechos Humanos</w:t>
      </w:r>
      <w:r w:rsidR="00BA54A6" w:rsidRPr="002B2578">
        <w:rPr>
          <w:rFonts w:ascii="Cambria" w:hAnsi="Cambria"/>
          <w:color w:val="000000"/>
          <w:sz w:val="20"/>
          <w:szCs w:val="20"/>
          <w:lang w:val="es-CO"/>
        </w:rPr>
        <w:t xml:space="preserve"> (</w:t>
      </w:r>
      <w:r w:rsidR="00FA2E9B" w:rsidRPr="002B2578">
        <w:rPr>
          <w:rFonts w:ascii="Cambria" w:hAnsi="Cambria"/>
          <w:color w:val="000000"/>
          <w:sz w:val="20"/>
          <w:szCs w:val="20"/>
          <w:lang w:val="es-CO"/>
        </w:rPr>
        <w:t>sentencia</w:t>
      </w:r>
      <w:r w:rsidR="00BA54A6" w:rsidRPr="002B2578">
        <w:rPr>
          <w:rFonts w:ascii="Cambria" w:hAnsi="Cambria"/>
          <w:color w:val="000000"/>
          <w:sz w:val="20"/>
          <w:szCs w:val="20"/>
          <w:lang w:val="es-CO"/>
        </w:rPr>
        <w:t xml:space="preserve"> del 29 de enero de 2020 con Radicado No. 85001-33-33-002-2014-00144-01 -61.033-)</w:t>
      </w:r>
      <w:r w:rsidRPr="002B2578">
        <w:rPr>
          <w:rFonts w:ascii="Cambria" w:hAnsi="Cambria"/>
          <w:color w:val="000000"/>
          <w:sz w:val="20"/>
          <w:szCs w:val="20"/>
          <w:lang w:val="es-CO"/>
        </w:rPr>
        <w:t xml:space="preserve">. </w:t>
      </w:r>
      <w:r w:rsidR="00BA54A6" w:rsidRPr="002B2578">
        <w:rPr>
          <w:rFonts w:ascii="Cambria" w:hAnsi="Cambria"/>
          <w:color w:val="000000"/>
          <w:sz w:val="20"/>
          <w:szCs w:val="20"/>
          <w:lang w:val="es-CO"/>
        </w:rPr>
        <w:t xml:space="preserve">Al respecto, los peticionarios </w:t>
      </w:r>
      <w:r w:rsidR="00FA2E9B" w:rsidRPr="002B2578">
        <w:rPr>
          <w:rFonts w:ascii="Cambria" w:hAnsi="Cambria"/>
          <w:color w:val="000000"/>
          <w:sz w:val="20"/>
          <w:szCs w:val="20"/>
          <w:lang w:val="es-CO"/>
        </w:rPr>
        <w:t>señalaron</w:t>
      </w:r>
      <w:r w:rsidR="00BA54A6" w:rsidRPr="002B2578">
        <w:rPr>
          <w:rFonts w:ascii="Cambria" w:hAnsi="Cambria"/>
          <w:color w:val="000000"/>
          <w:sz w:val="20"/>
          <w:szCs w:val="20"/>
          <w:lang w:val="es-CO"/>
        </w:rPr>
        <w:t xml:space="preserve"> que esta decisión aplicó</w:t>
      </w:r>
      <w:r w:rsidRPr="002B2578">
        <w:rPr>
          <w:rFonts w:ascii="Cambria" w:hAnsi="Cambria"/>
          <w:color w:val="000000"/>
          <w:sz w:val="20"/>
          <w:szCs w:val="20"/>
          <w:lang w:val="es-CO"/>
        </w:rPr>
        <w:t xml:space="preserve"> el fenómeno procesal de la caducidad de dos años</w:t>
      </w:r>
      <w:r w:rsidR="00BA54A6" w:rsidRPr="002B2578">
        <w:rPr>
          <w:rFonts w:ascii="Cambria" w:hAnsi="Cambria"/>
          <w:color w:val="000000"/>
          <w:sz w:val="20"/>
          <w:szCs w:val="20"/>
          <w:lang w:val="es-CO"/>
        </w:rPr>
        <w:t xml:space="preserve"> incluso</w:t>
      </w:r>
      <w:r w:rsidRPr="002B2578">
        <w:rPr>
          <w:rFonts w:ascii="Cambria" w:hAnsi="Cambria"/>
          <w:color w:val="000000"/>
          <w:sz w:val="20"/>
          <w:szCs w:val="20"/>
          <w:lang w:val="es-CO"/>
        </w:rPr>
        <w:t xml:space="preserve"> en casos que involucr</w:t>
      </w:r>
      <w:r w:rsidR="00BA54A6" w:rsidRPr="002B2578">
        <w:rPr>
          <w:rFonts w:ascii="Cambria" w:hAnsi="Cambria"/>
          <w:color w:val="000000"/>
          <w:sz w:val="20"/>
          <w:szCs w:val="20"/>
          <w:lang w:val="es-CO"/>
        </w:rPr>
        <w:t>a</w:t>
      </w:r>
      <w:r w:rsidRPr="002B2578">
        <w:rPr>
          <w:rFonts w:ascii="Cambria" w:hAnsi="Cambria"/>
          <w:color w:val="000000"/>
          <w:sz w:val="20"/>
          <w:szCs w:val="20"/>
          <w:lang w:val="es-CO"/>
        </w:rPr>
        <w:t xml:space="preserve">n graves violaciones a los Derechos Humanos, </w:t>
      </w:r>
      <w:r w:rsidR="00BA54A6" w:rsidRPr="002B2578">
        <w:rPr>
          <w:rFonts w:ascii="Cambria" w:hAnsi="Cambria"/>
          <w:color w:val="000000"/>
          <w:sz w:val="20"/>
          <w:szCs w:val="20"/>
          <w:lang w:val="es-CO"/>
        </w:rPr>
        <w:t>contrariando</w:t>
      </w:r>
      <w:r w:rsidRPr="002B2578">
        <w:rPr>
          <w:rFonts w:ascii="Cambria" w:hAnsi="Cambria"/>
          <w:color w:val="000000"/>
          <w:sz w:val="20"/>
          <w:szCs w:val="20"/>
          <w:lang w:val="es-CO"/>
        </w:rPr>
        <w:t xml:space="preserve"> los estándares interamericanos</w:t>
      </w:r>
      <w:r w:rsidR="00BA54A6" w:rsidRPr="002B2578">
        <w:rPr>
          <w:rFonts w:ascii="Cambria" w:hAnsi="Cambria"/>
          <w:color w:val="000000"/>
          <w:sz w:val="20"/>
          <w:szCs w:val="20"/>
          <w:lang w:val="es-CO"/>
        </w:rPr>
        <w:t xml:space="preserve"> (Corte IDH. Caso de los Hermanos Gómez </w:t>
      </w:r>
      <w:proofErr w:type="spellStart"/>
      <w:r w:rsidR="00BA54A6" w:rsidRPr="002B2578">
        <w:rPr>
          <w:rFonts w:ascii="Cambria" w:hAnsi="Cambria"/>
          <w:color w:val="000000"/>
          <w:sz w:val="20"/>
          <w:szCs w:val="20"/>
          <w:lang w:val="es-CO"/>
        </w:rPr>
        <w:t>Paquiyauri</w:t>
      </w:r>
      <w:proofErr w:type="spellEnd"/>
      <w:r w:rsidR="00BA54A6" w:rsidRPr="002B2578">
        <w:rPr>
          <w:rFonts w:ascii="Cambria" w:hAnsi="Cambria"/>
          <w:color w:val="000000"/>
          <w:sz w:val="20"/>
          <w:szCs w:val="20"/>
          <w:lang w:val="es-CO"/>
        </w:rPr>
        <w:t xml:space="preserve"> Vs. Perú. Fondo, Reparaciones y Costas. Sentencia de 8 de julio de 2004 y Caso Bulacio Vs. Argentina. Fondo, Reparaciones y Costas. Sentencia de 18 de septiembre de 2003)</w:t>
      </w:r>
      <w:r w:rsidRPr="002B2578">
        <w:rPr>
          <w:rFonts w:ascii="Cambria" w:hAnsi="Cambria"/>
          <w:color w:val="000000"/>
          <w:sz w:val="20"/>
          <w:szCs w:val="20"/>
          <w:lang w:val="es-CO"/>
        </w:rPr>
        <w:t>.</w:t>
      </w:r>
    </w:p>
    <w:p w14:paraId="214B2D99" w14:textId="77777777" w:rsidR="00126B1B" w:rsidRPr="002B2578" w:rsidRDefault="00126B1B" w:rsidP="00126B1B">
      <w:pPr>
        <w:pStyle w:val="BlockText"/>
        <w:spacing w:before="0" w:beforeAutospacing="0" w:after="0" w:afterAutospacing="0"/>
        <w:ind w:left="720"/>
        <w:jc w:val="both"/>
        <w:rPr>
          <w:rFonts w:ascii="Cambria" w:eastAsia="Cambria" w:hAnsi="Cambria" w:cs="Cambria"/>
          <w:color w:val="000000"/>
          <w:sz w:val="20"/>
          <w:szCs w:val="20"/>
          <w:lang w:val="es-ES_tradnl"/>
        </w:rPr>
      </w:pPr>
    </w:p>
    <w:p w14:paraId="5C210A51" w14:textId="77777777" w:rsidR="00126B1B" w:rsidRPr="002B2578" w:rsidRDefault="00126B1B" w:rsidP="00BA54A6">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2B2578">
        <w:rPr>
          <w:rFonts w:ascii="Cambria" w:eastAsia="Cambria" w:hAnsi="Cambria" w:cs="Cambria"/>
          <w:color w:val="000000"/>
          <w:sz w:val="20"/>
          <w:szCs w:val="20"/>
          <w:lang w:val="es-ES_tradnl"/>
        </w:rPr>
        <w:t xml:space="preserve">En su informe de 2021, los peticionarios </w:t>
      </w:r>
      <w:r w:rsidR="00246691" w:rsidRPr="002B2578">
        <w:rPr>
          <w:rFonts w:ascii="Cambria" w:eastAsia="Cambria" w:hAnsi="Cambria" w:cs="Cambria"/>
          <w:color w:val="000000"/>
          <w:sz w:val="20"/>
          <w:szCs w:val="20"/>
          <w:lang w:val="es-ES_tradnl"/>
        </w:rPr>
        <w:t>reiteraron lo señalado para el año 2020</w:t>
      </w:r>
      <w:r w:rsidR="00015099" w:rsidRPr="002B2578">
        <w:rPr>
          <w:rFonts w:ascii="Cambria" w:eastAsia="Cambria" w:hAnsi="Cambria" w:cs="Cambria"/>
          <w:color w:val="000000"/>
          <w:sz w:val="20"/>
          <w:szCs w:val="20"/>
          <w:lang w:val="es-ES_tradnl"/>
        </w:rPr>
        <w:t>. Particularmente, en criterio de la parte peticionaria,</w:t>
      </w:r>
      <w:r w:rsidR="00AA5C37" w:rsidRPr="002B2578">
        <w:rPr>
          <w:rFonts w:ascii="Cambria" w:eastAsia="Cambria" w:hAnsi="Cambria" w:cs="Cambria"/>
          <w:color w:val="000000"/>
          <w:sz w:val="20"/>
          <w:szCs w:val="20"/>
          <w:lang w:val="es-ES_tradnl"/>
        </w:rPr>
        <w:t xml:space="preserve"> </w:t>
      </w:r>
      <w:r w:rsidR="00AA5C37" w:rsidRPr="002B2578">
        <w:rPr>
          <w:rFonts w:ascii="Cambria" w:hAnsi="Cambria"/>
          <w:color w:val="000000"/>
          <w:sz w:val="20"/>
          <w:szCs w:val="20"/>
          <w:lang w:val="es-CO"/>
        </w:rPr>
        <w:t>el Estado colombiano continúa asignando a la justicia penal militar casos que no tienen relación con el orden castrense y aún más grave, en los que se investigan graves violaciones a los Derechos Humano</w:t>
      </w:r>
      <w:r w:rsidR="003E783A" w:rsidRPr="002B2578">
        <w:rPr>
          <w:rFonts w:ascii="Cambria" w:hAnsi="Cambria"/>
          <w:color w:val="000000"/>
          <w:sz w:val="20"/>
          <w:szCs w:val="20"/>
          <w:lang w:val="es-CO"/>
        </w:rPr>
        <w:t>s</w:t>
      </w:r>
      <w:r w:rsidR="00AA5C37" w:rsidRPr="002B2578">
        <w:rPr>
          <w:rFonts w:ascii="Cambria" w:hAnsi="Cambria"/>
          <w:color w:val="000000"/>
          <w:sz w:val="20"/>
          <w:szCs w:val="20"/>
          <w:lang w:val="es-CO"/>
        </w:rPr>
        <w:t xml:space="preserve">. En este sentido, consideran que esta recomendación está pendiente de </w:t>
      </w:r>
      <w:r w:rsidR="00AA5C37" w:rsidRPr="002B2578">
        <w:rPr>
          <w:rFonts w:ascii="Cambria" w:hAnsi="Cambria"/>
          <w:color w:val="000000"/>
          <w:sz w:val="20"/>
          <w:szCs w:val="20"/>
          <w:lang w:val="es-CO"/>
        </w:rPr>
        <w:lastRenderedPageBreak/>
        <w:t>cumplimiento.</w:t>
      </w:r>
      <w:r w:rsidR="00015099" w:rsidRPr="002B2578">
        <w:rPr>
          <w:rFonts w:ascii="Cambria" w:hAnsi="Cambria"/>
          <w:color w:val="000000"/>
          <w:sz w:val="20"/>
          <w:szCs w:val="20"/>
          <w:lang w:val="es-CO"/>
        </w:rPr>
        <w:t xml:space="preserve"> La parte peticionaria también reiteró que se ha evidenciado el congelamiento por parte de la </w:t>
      </w:r>
      <w:proofErr w:type="gramStart"/>
      <w:r w:rsidR="00015099" w:rsidRPr="002B2578">
        <w:rPr>
          <w:rFonts w:ascii="Cambria" w:hAnsi="Cambria"/>
          <w:color w:val="000000"/>
          <w:sz w:val="20"/>
          <w:szCs w:val="20"/>
          <w:lang w:val="es-CO"/>
        </w:rPr>
        <w:t>Fiscalía General</w:t>
      </w:r>
      <w:proofErr w:type="gramEnd"/>
      <w:r w:rsidR="00015099" w:rsidRPr="002B2578">
        <w:rPr>
          <w:rFonts w:ascii="Cambria" w:hAnsi="Cambria"/>
          <w:color w:val="000000"/>
          <w:sz w:val="20"/>
          <w:szCs w:val="20"/>
          <w:lang w:val="es-CO"/>
        </w:rPr>
        <w:t xml:space="preserve"> de la Nación de las investigaciones que se han remitido a la JEP. </w:t>
      </w:r>
      <w:r w:rsidR="00AA5C37" w:rsidRPr="002B2578">
        <w:rPr>
          <w:rFonts w:ascii="Cambria" w:hAnsi="Cambria"/>
          <w:color w:val="000000"/>
          <w:sz w:val="20"/>
          <w:szCs w:val="20"/>
          <w:lang w:val="es-CO"/>
        </w:rPr>
        <w:t xml:space="preserve">  </w:t>
      </w:r>
    </w:p>
    <w:p w14:paraId="7A95A70E" w14:textId="77777777" w:rsidR="00BA54A6" w:rsidRPr="002B2578" w:rsidRDefault="00BA54A6" w:rsidP="00BA54A6">
      <w:pPr>
        <w:pStyle w:val="BlockText"/>
        <w:spacing w:before="0" w:beforeAutospacing="0" w:after="0" w:afterAutospacing="0"/>
        <w:ind w:left="720"/>
        <w:jc w:val="both"/>
        <w:rPr>
          <w:rFonts w:ascii="Cambria" w:eastAsia="Cambria" w:hAnsi="Cambria" w:cs="Cambria"/>
          <w:color w:val="000000"/>
          <w:sz w:val="20"/>
          <w:szCs w:val="20"/>
          <w:lang w:val="es-ES_tradnl"/>
        </w:rPr>
      </w:pPr>
    </w:p>
    <w:p w14:paraId="5A36B7EC" w14:textId="77777777" w:rsidR="00795351" w:rsidRPr="002B2578" w:rsidRDefault="007E7DF0" w:rsidP="00603EE7">
      <w:pPr>
        <w:pStyle w:val="BlockText"/>
        <w:numPr>
          <w:ilvl w:val="0"/>
          <w:numId w:val="6"/>
        </w:numPr>
        <w:spacing w:before="0" w:beforeAutospacing="0" w:after="0" w:afterAutospacing="0"/>
        <w:ind w:firstLine="720"/>
        <w:jc w:val="both"/>
        <w:rPr>
          <w:rFonts w:ascii="Cambria" w:eastAsia="Cambria" w:hAnsi="Cambria" w:cs="Cambria"/>
          <w:color w:val="000000"/>
          <w:sz w:val="20"/>
          <w:szCs w:val="20"/>
          <w:lang w:val="es-ES_tradnl"/>
        </w:rPr>
      </w:pPr>
      <w:r w:rsidRPr="002B2578">
        <w:rPr>
          <w:rFonts w:ascii="Cambria" w:hAnsi="Cambria" w:cs="Calibri Light"/>
          <w:color w:val="000000"/>
          <w:sz w:val="20"/>
          <w:szCs w:val="20"/>
          <w:lang w:val="es-ES"/>
        </w:rPr>
        <w:t>La Comisión</w:t>
      </w:r>
      <w:r w:rsidR="00FA2E9B" w:rsidRPr="002B2578">
        <w:rPr>
          <w:rFonts w:ascii="Cambria" w:hAnsi="Cambria" w:cs="Calibri Light"/>
          <w:color w:val="000000"/>
          <w:sz w:val="20"/>
          <w:szCs w:val="20"/>
          <w:lang w:val="es-ES"/>
        </w:rPr>
        <w:t xml:space="preserve"> toma nota de la información remitida por </w:t>
      </w:r>
      <w:r w:rsidR="00015099" w:rsidRPr="002B2578">
        <w:rPr>
          <w:rFonts w:ascii="Cambria" w:hAnsi="Cambria" w:cs="Calibri Light"/>
          <w:color w:val="000000"/>
          <w:sz w:val="20"/>
          <w:szCs w:val="20"/>
          <w:lang w:val="es-ES"/>
        </w:rPr>
        <w:t>la parte peticionaria</w:t>
      </w:r>
      <w:r w:rsidR="00FA2E9B" w:rsidRPr="002B2578">
        <w:rPr>
          <w:rFonts w:ascii="Cambria" w:hAnsi="Cambria" w:cs="Calibri Light"/>
          <w:color w:val="000000"/>
          <w:sz w:val="20"/>
          <w:szCs w:val="20"/>
          <w:lang w:val="es-ES"/>
        </w:rPr>
        <w:t xml:space="preserve">. </w:t>
      </w:r>
      <w:r w:rsidR="001438AC" w:rsidRPr="002B2578">
        <w:rPr>
          <w:rFonts w:ascii="Cambria" w:hAnsi="Cambria" w:cs="Calibri Light"/>
          <w:color w:val="000000"/>
          <w:sz w:val="20"/>
          <w:szCs w:val="20"/>
          <w:lang w:val="es-ES"/>
        </w:rPr>
        <w:t xml:space="preserve">La Comisión invita al Estado a adoptar medidas que, de manera estructural, eviten que en el futuro se produzcan hechos similares y a que informe sobre la implementación de estas medidas. Asimismo, solicita información adicional que permita evaluar de qué manera se está dando cumplimiento a la doctrina desarrollada por la Corte Constitucional colombiana y por la Comisión en cuando a la investigación y juzgamiento de casos similares por la justicia penal ordinaria. </w:t>
      </w:r>
      <w:r w:rsidRPr="002B2578">
        <w:rPr>
          <w:rFonts w:ascii="Cambria" w:hAnsi="Cambria" w:cs="Calibri Light"/>
          <w:color w:val="000000"/>
          <w:sz w:val="20"/>
          <w:szCs w:val="20"/>
          <w:lang w:val="es-ES"/>
        </w:rPr>
        <w:t xml:space="preserve">Por lo anterior, la Comisión considera que la Recomendación 3 </w:t>
      </w:r>
      <w:r w:rsidR="005F3C6E" w:rsidRPr="002B2578">
        <w:rPr>
          <w:rFonts w:ascii="Cambria" w:hAnsi="Cambria" w:cs="Calibri Light"/>
          <w:color w:val="000000"/>
          <w:sz w:val="20"/>
          <w:szCs w:val="20"/>
          <w:lang w:val="es-ES"/>
        </w:rPr>
        <w:t>continúa</w:t>
      </w:r>
      <w:r w:rsidRPr="002B2578">
        <w:rPr>
          <w:rFonts w:ascii="Cambria" w:hAnsi="Cambria" w:cs="Calibri Light"/>
          <w:color w:val="000000"/>
          <w:sz w:val="20"/>
          <w:szCs w:val="20"/>
          <w:lang w:val="es-ES"/>
        </w:rPr>
        <w:t xml:space="preserve"> parcialmente cumplida.</w:t>
      </w:r>
      <w:r w:rsidRPr="002B2578">
        <w:rPr>
          <w:rFonts w:ascii="Cambria" w:eastAsia="Cambria" w:hAnsi="Cambria" w:cs="Cambria"/>
          <w:color w:val="000000"/>
          <w:sz w:val="20"/>
          <w:szCs w:val="20"/>
          <w:lang w:val="es-ES_tradnl"/>
        </w:rPr>
        <w:t xml:space="preserve"> </w:t>
      </w:r>
    </w:p>
    <w:p w14:paraId="003AD20C" w14:textId="77777777" w:rsidR="00795351" w:rsidRPr="002B2578" w:rsidRDefault="00795351">
      <w:pPr>
        <w:pStyle w:val="Corpo"/>
        <w:spacing w:after="0" w:line="240" w:lineRule="auto"/>
        <w:rPr>
          <w:rFonts w:ascii="Cambria" w:eastAsia="Cambria" w:hAnsi="Cambria" w:cs="Cambria"/>
          <w:sz w:val="20"/>
          <w:szCs w:val="20"/>
        </w:rPr>
      </w:pPr>
    </w:p>
    <w:p w14:paraId="6B98CCC1" w14:textId="77777777" w:rsidR="00795351" w:rsidRPr="002B2578" w:rsidRDefault="007E7DF0">
      <w:pPr>
        <w:pStyle w:val="ListParagraph"/>
        <w:numPr>
          <w:ilvl w:val="0"/>
          <w:numId w:val="11"/>
        </w:numPr>
        <w:spacing w:after="0" w:line="240" w:lineRule="auto"/>
        <w:jc w:val="both"/>
        <w:rPr>
          <w:rFonts w:ascii="Cambria" w:eastAsia="Cambria" w:hAnsi="Cambria" w:cs="Cambria"/>
          <w:b/>
          <w:bCs/>
          <w:sz w:val="20"/>
          <w:szCs w:val="20"/>
          <w:lang w:val="es-ES_tradnl"/>
        </w:rPr>
      </w:pPr>
      <w:r w:rsidRPr="002B2578">
        <w:rPr>
          <w:rFonts w:ascii="Cambria" w:eastAsia="Cambria" w:hAnsi="Cambria" w:cs="Cambria"/>
          <w:b/>
          <w:bCs/>
          <w:sz w:val="20"/>
          <w:szCs w:val="20"/>
          <w:lang w:val="es-ES_tradnl"/>
        </w:rPr>
        <w:t xml:space="preserve">Nivel del cumplimiento del caso </w:t>
      </w:r>
    </w:p>
    <w:p w14:paraId="5FF4035F" w14:textId="77777777" w:rsidR="00795351" w:rsidRPr="002B2578" w:rsidRDefault="00795351">
      <w:pPr>
        <w:pStyle w:val="Corpo"/>
        <w:spacing w:after="0" w:line="240" w:lineRule="auto"/>
        <w:jc w:val="both"/>
        <w:rPr>
          <w:rFonts w:ascii="Cambria" w:eastAsia="MS Mincho" w:hAnsi="Cambria" w:cs="Calibri Light"/>
          <w:sz w:val="20"/>
          <w:szCs w:val="20"/>
          <w:bdr w:val="none" w:sz="0" w:space="0" w:color="auto"/>
          <w:lang w:val="es-ES" w:eastAsia="en-US"/>
        </w:rPr>
      </w:pPr>
    </w:p>
    <w:p w14:paraId="2F323418" w14:textId="77777777" w:rsidR="00362CFF" w:rsidRPr="002B2578" w:rsidRDefault="007E7DF0" w:rsidP="00246691">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2B2578">
        <w:rPr>
          <w:rFonts w:ascii="Cambria" w:hAnsi="Cambria" w:cs="Calibri Light"/>
          <w:color w:val="000000"/>
          <w:sz w:val="20"/>
          <w:szCs w:val="20"/>
          <w:lang w:val="es-ES"/>
        </w:rPr>
        <w:t>Por lo anterior, la CIDH concluye que el nivel de cumplimiento del caso es parcial. En consecuencia, la Comisión seguirá supervisando el cumplimiento de las recomendaciones 1 y 3.</w:t>
      </w:r>
    </w:p>
    <w:p w14:paraId="34055BBB" w14:textId="77777777" w:rsidR="00795351" w:rsidRPr="002B2578" w:rsidRDefault="00795351">
      <w:pPr>
        <w:pStyle w:val="Corpo"/>
        <w:spacing w:after="0" w:line="240" w:lineRule="auto"/>
        <w:jc w:val="both"/>
        <w:rPr>
          <w:rFonts w:ascii="Cambria" w:eastAsia="Cambria" w:hAnsi="Cambria" w:cs="Cambria"/>
          <w:sz w:val="20"/>
          <w:szCs w:val="20"/>
        </w:rPr>
      </w:pPr>
    </w:p>
    <w:p w14:paraId="4C9CD4B2" w14:textId="77777777" w:rsidR="00795351" w:rsidRPr="002B2578" w:rsidRDefault="007E7DF0">
      <w:pPr>
        <w:pStyle w:val="ListParagraph"/>
        <w:numPr>
          <w:ilvl w:val="0"/>
          <w:numId w:val="13"/>
        </w:numPr>
        <w:spacing w:after="0" w:line="240" w:lineRule="auto"/>
        <w:jc w:val="both"/>
        <w:rPr>
          <w:rFonts w:ascii="Cambria" w:eastAsia="Cambria" w:hAnsi="Cambria" w:cs="Cambria"/>
          <w:b/>
          <w:bCs/>
          <w:sz w:val="20"/>
          <w:szCs w:val="20"/>
          <w:lang w:val="es-ES_tradnl"/>
        </w:rPr>
      </w:pPr>
      <w:r w:rsidRPr="002B2578">
        <w:rPr>
          <w:rFonts w:ascii="Cambria" w:eastAsia="Cambria" w:hAnsi="Cambria" w:cs="Cambria"/>
          <w:b/>
          <w:bCs/>
          <w:sz w:val="20"/>
          <w:szCs w:val="20"/>
          <w:lang w:val="es-ES_tradnl"/>
        </w:rPr>
        <w:t xml:space="preserve">Resultados individuales y estructurales del caso </w:t>
      </w:r>
    </w:p>
    <w:p w14:paraId="3798A09C" w14:textId="77777777" w:rsidR="00795351" w:rsidRPr="002B2578" w:rsidRDefault="00795351">
      <w:pPr>
        <w:pStyle w:val="Corpo"/>
        <w:spacing w:after="0" w:line="240" w:lineRule="auto"/>
        <w:jc w:val="both"/>
        <w:rPr>
          <w:rFonts w:ascii="Cambria" w:eastAsia="Cambria" w:hAnsi="Cambria" w:cs="Cambria"/>
          <w:b/>
          <w:bCs/>
          <w:sz w:val="20"/>
          <w:szCs w:val="20"/>
        </w:rPr>
      </w:pPr>
    </w:p>
    <w:p w14:paraId="75564262" w14:textId="77777777" w:rsidR="00795351" w:rsidRPr="002B2578" w:rsidRDefault="007E7DF0" w:rsidP="00B43A53">
      <w:pPr>
        <w:pStyle w:val="BlockText"/>
        <w:numPr>
          <w:ilvl w:val="0"/>
          <w:numId w:val="6"/>
        </w:numPr>
        <w:spacing w:before="0" w:beforeAutospacing="0" w:after="0" w:afterAutospacing="0"/>
        <w:ind w:firstLine="720"/>
        <w:jc w:val="both"/>
        <w:rPr>
          <w:rFonts w:ascii="Cambria" w:hAnsi="Cambria" w:cs="Calibri Light"/>
          <w:color w:val="000000"/>
          <w:sz w:val="20"/>
          <w:szCs w:val="20"/>
          <w:lang w:val="es-ES"/>
        </w:rPr>
      </w:pPr>
      <w:r w:rsidRPr="002B2578">
        <w:rPr>
          <w:rFonts w:ascii="Cambria" w:hAnsi="Cambria" w:cs="Calibri Light"/>
          <w:color w:val="000000"/>
          <w:sz w:val="20"/>
          <w:szCs w:val="20"/>
          <w:lang w:val="es-ES"/>
        </w:rPr>
        <w:t xml:space="preserve">En esta sección se destacan los resultados individuales y estructurales del caso informados por las partes. </w:t>
      </w:r>
    </w:p>
    <w:p w14:paraId="093D8EE9" w14:textId="77777777" w:rsidR="00795351" w:rsidRPr="002B2578" w:rsidRDefault="00795351">
      <w:pPr>
        <w:pStyle w:val="Corpo"/>
        <w:spacing w:after="0" w:line="240" w:lineRule="auto"/>
        <w:jc w:val="both"/>
        <w:rPr>
          <w:rFonts w:ascii="Cambria" w:eastAsia="Cambria" w:hAnsi="Cambria" w:cs="Cambria"/>
          <w:b/>
          <w:bCs/>
          <w:sz w:val="20"/>
          <w:szCs w:val="20"/>
        </w:rPr>
      </w:pPr>
    </w:p>
    <w:p w14:paraId="19A023F0" w14:textId="77777777" w:rsidR="00795351" w:rsidRPr="002B2578" w:rsidRDefault="007E7DF0">
      <w:pPr>
        <w:pStyle w:val="ListParagraph"/>
        <w:numPr>
          <w:ilvl w:val="0"/>
          <w:numId w:val="16"/>
        </w:numPr>
        <w:spacing w:after="0" w:line="240" w:lineRule="auto"/>
        <w:jc w:val="both"/>
        <w:rPr>
          <w:rFonts w:ascii="Cambria" w:eastAsia="Cambria" w:hAnsi="Cambria" w:cs="Cambria"/>
          <w:b/>
          <w:bCs/>
          <w:sz w:val="20"/>
          <w:szCs w:val="20"/>
          <w:lang w:val="es-ES_tradnl"/>
        </w:rPr>
      </w:pPr>
      <w:r w:rsidRPr="002B2578">
        <w:rPr>
          <w:rFonts w:ascii="Cambria" w:eastAsia="Cambria" w:hAnsi="Cambria" w:cs="Cambria"/>
          <w:b/>
          <w:bCs/>
          <w:sz w:val="20"/>
          <w:szCs w:val="20"/>
          <w:lang w:val="es-ES_tradnl"/>
        </w:rPr>
        <w:t>Resultados individuales del caso</w:t>
      </w:r>
    </w:p>
    <w:p w14:paraId="2F8F76DF" w14:textId="77777777" w:rsidR="00795351" w:rsidRPr="002B2578" w:rsidRDefault="00795351">
      <w:pPr>
        <w:pStyle w:val="Corpo"/>
        <w:spacing w:after="0" w:line="240" w:lineRule="auto"/>
        <w:jc w:val="both"/>
        <w:rPr>
          <w:rFonts w:ascii="Cambria" w:eastAsia="Cambria" w:hAnsi="Cambria" w:cs="Cambria"/>
          <w:b/>
          <w:bCs/>
          <w:sz w:val="20"/>
          <w:szCs w:val="20"/>
        </w:rPr>
      </w:pPr>
    </w:p>
    <w:p w14:paraId="2DD003D5" w14:textId="77777777" w:rsidR="00795351" w:rsidRPr="002B2578" w:rsidRDefault="007E7DF0">
      <w:pPr>
        <w:pStyle w:val="Corpo"/>
        <w:spacing w:after="0" w:line="240" w:lineRule="auto"/>
        <w:jc w:val="both"/>
        <w:rPr>
          <w:rFonts w:ascii="Cambria" w:eastAsia="Cambria" w:hAnsi="Cambria" w:cs="Cambria"/>
          <w:i/>
          <w:iCs/>
          <w:sz w:val="20"/>
          <w:szCs w:val="20"/>
        </w:rPr>
      </w:pPr>
      <w:r w:rsidRPr="002B2578">
        <w:rPr>
          <w:rFonts w:ascii="Cambria" w:eastAsia="Cambria" w:hAnsi="Cambria" w:cs="Cambria"/>
          <w:i/>
          <w:iCs/>
          <w:sz w:val="20"/>
          <w:szCs w:val="20"/>
        </w:rPr>
        <w:t xml:space="preserve">Medidas de compensación pecuniaria </w:t>
      </w:r>
    </w:p>
    <w:p w14:paraId="202FCC69" w14:textId="77777777" w:rsidR="00795351" w:rsidRPr="002B2578" w:rsidRDefault="007E7DF0">
      <w:pPr>
        <w:pStyle w:val="ListParagraph"/>
        <w:numPr>
          <w:ilvl w:val="0"/>
          <w:numId w:val="18"/>
        </w:numPr>
        <w:spacing w:after="0" w:line="240" w:lineRule="auto"/>
        <w:jc w:val="both"/>
        <w:rPr>
          <w:rFonts w:ascii="Cambria" w:eastAsia="Cambria" w:hAnsi="Cambria" w:cs="Cambria"/>
          <w:sz w:val="20"/>
          <w:szCs w:val="20"/>
          <w:lang w:val="es-ES_tradnl"/>
        </w:rPr>
      </w:pPr>
      <w:r w:rsidRPr="002B2578">
        <w:rPr>
          <w:rFonts w:ascii="Cambria" w:eastAsia="Cambria" w:hAnsi="Cambria" w:cs="Cambria"/>
          <w:sz w:val="20"/>
          <w:szCs w:val="20"/>
          <w:lang w:val="es-ES_tradnl"/>
        </w:rPr>
        <w:t xml:space="preserve">Indemnizaciones pagadas mediante Resolución Nº 2512 del Ministerio de Defensa de 27 de junio de 2007 a </w:t>
      </w:r>
      <w:proofErr w:type="spellStart"/>
      <w:r w:rsidRPr="002B2578">
        <w:rPr>
          <w:rFonts w:ascii="Cambria" w:eastAsia="Cambria" w:hAnsi="Cambria" w:cs="Cambria"/>
          <w:sz w:val="20"/>
          <w:szCs w:val="20"/>
          <w:lang w:val="es-ES_tradnl"/>
        </w:rPr>
        <w:t>Glaney</w:t>
      </w:r>
      <w:proofErr w:type="spellEnd"/>
      <w:r w:rsidRPr="002B2578">
        <w:rPr>
          <w:rFonts w:ascii="Cambria" w:eastAsia="Cambria" w:hAnsi="Cambria" w:cs="Cambria"/>
          <w:sz w:val="20"/>
          <w:szCs w:val="20"/>
          <w:lang w:val="es-ES_tradnl"/>
        </w:rPr>
        <w:t xml:space="preserve"> de Jesús Isaza Pérez ($22,595,547.21 COP), Luis </w:t>
      </w:r>
      <w:proofErr w:type="spellStart"/>
      <w:r w:rsidRPr="002B2578">
        <w:rPr>
          <w:rFonts w:ascii="Cambria" w:eastAsia="Cambria" w:hAnsi="Cambria" w:cs="Cambria"/>
          <w:sz w:val="20"/>
          <w:szCs w:val="20"/>
          <w:lang w:val="es-ES_tradnl"/>
        </w:rPr>
        <w:t>Daver</w:t>
      </w:r>
      <w:proofErr w:type="spellEnd"/>
      <w:r w:rsidRPr="002B2578">
        <w:rPr>
          <w:rFonts w:ascii="Cambria" w:eastAsia="Cambria" w:hAnsi="Cambria" w:cs="Cambria"/>
          <w:sz w:val="20"/>
          <w:szCs w:val="20"/>
          <w:lang w:val="es-ES_tradnl"/>
        </w:rPr>
        <w:t xml:space="preserve"> Isaza Echeverri ($22,595,547.21 COP), Luis Enrique Isaza Pérez ($22,595,547.21 COP), Aníbal de Jesús Isaza Echeverri ($31,633,766.09 COP), Fanny del Socorro Isaza Echeverri ($31,633,766.09 COP), Maria Nélida Isaza de Sanabria ($31,633,766.09 COP), Aura del Socorro Isaza de Muñoz ($31,633,766.09 COP), Rosalba Isaza Echeverri ($31,633,766.09 COP), Isaac de Jesús Isaza Echeverri ($31,633,766.09 COP), </w:t>
      </w:r>
      <w:proofErr w:type="spellStart"/>
      <w:r w:rsidRPr="002B2578">
        <w:rPr>
          <w:rFonts w:ascii="Cambria" w:eastAsia="Cambria" w:hAnsi="Cambria" w:cs="Cambria"/>
          <w:sz w:val="20"/>
          <w:szCs w:val="20"/>
          <w:lang w:val="es-ES_tradnl"/>
        </w:rPr>
        <w:t>Amantina</w:t>
      </w:r>
      <w:proofErr w:type="spellEnd"/>
      <w:r w:rsidRPr="002B2578">
        <w:rPr>
          <w:rFonts w:ascii="Cambria" w:eastAsia="Cambria" w:hAnsi="Cambria" w:cs="Cambria"/>
          <w:sz w:val="20"/>
          <w:szCs w:val="20"/>
          <w:lang w:val="es-ES_tradnl"/>
        </w:rPr>
        <w:t xml:space="preserve"> de Jesús Isaza Echeverri ($31,633,766.09 COP), Maria </w:t>
      </w:r>
      <w:proofErr w:type="spellStart"/>
      <w:r w:rsidRPr="002B2578">
        <w:rPr>
          <w:rFonts w:ascii="Cambria" w:eastAsia="Cambria" w:hAnsi="Cambria" w:cs="Cambria"/>
          <w:sz w:val="20"/>
          <w:szCs w:val="20"/>
          <w:lang w:val="es-ES_tradnl"/>
        </w:rPr>
        <w:t>Fredesvinda</w:t>
      </w:r>
      <w:proofErr w:type="spellEnd"/>
      <w:r w:rsidRPr="002B2578">
        <w:rPr>
          <w:rFonts w:ascii="Cambria" w:eastAsia="Cambria" w:hAnsi="Cambria" w:cs="Cambria"/>
          <w:sz w:val="20"/>
          <w:szCs w:val="20"/>
          <w:lang w:val="es-ES_tradnl"/>
        </w:rPr>
        <w:t xml:space="preserve"> Echeverri de Isaza ($122,015,954.93 COP), Lady Andrea Isaza Pinzón ($140,928,087.21) y </w:t>
      </w:r>
      <w:proofErr w:type="spellStart"/>
      <w:r w:rsidRPr="002B2578">
        <w:rPr>
          <w:rFonts w:ascii="Cambria" w:eastAsia="Cambria" w:hAnsi="Cambria" w:cs="Cambria"/>
          <w:sz w:val="20"/>
          <w:szCs w:val="20"/>
          <w:lang w:val="es-ES_tradnl"/>
        </w:rPr>
        <w:t>Hermencia</w:t>
      </w:r>
      <w:proofErr w:type="spellEnd"/>
      <w:r w:rsidRPr="002B2578">
        <w:rPr>
          <w:rFonts w:ascii="Cambria" w:eastAsia="Cambria" w:hAnsi="Cambria" w:cs="Cambria"/>
          <w:sz w:val="20"/>
          <w:szCs w:val="20"/>
          <w:lang w:val="es-ES_tradnl"/>
        </w:rPr>
        <w:t xml:space="preserve"> Pinzón Cala ($160,424,935.92). </w:t>
      </w:r>
    </w:p>
    <w:p w14:paraId="64C19D4D" w14:textId="77777777" w:rsidR="00795351" w:rsidRPr="002B2578" w:rsidRDefault="00795351">
      <w:pPr>
        <w:pStyle w:val="Corpo"/>
        <w:spacing w:after="0" w:line="240" w:lineRule="auto"/>
        <w:jc w:val="both"/>
        <w:rPr>
          <w:rFonts w:ascii="Cambria" w:eastAsia="Cambria" w:hAnsi="Cambria" w:cs="Cambria"/>
          <w:sz w:val="20"/>
          <w:szCs w:val="20"/>
        </w:rPr>
      </w:pPr>
    </w:p>
    <w:p w14:paraId="72BC85E9" w14:textId="77777777" w:rsidR="00795351" w:rsidRPr="002B2578" w:rsidRDefault="007E7DF0">
      <w:pPr>
        <w:pStyle w:val="ListParagraph"/>
        <w:numPr>
          <w:ilvl w:val="0"/>
          <w:numId w:val="19"/>
        </w:numPr>
        <w:spacing w:after="0" w:line="240" w:lineRule="auto"/>
        <w:jc w:val="both"/>
        <w:rPr>
          <w:rFonts w:ascii="Cambria" w:eastAsia="Cambria" w:hAnsi="Cambria" w:cs="Cambria"/>
          <w:b/>
          <w:bCs/>
          <w:sz w:val="20"/>
          <w:szCs w:val="20"/>
          <w:lang w:val="es-ES_tradnl"/>
        </w:rPr>
      </w:pPr>
      <w:r w:rsidRPr="002B2578">
        <w:rPr>
          <w:rFonts w:ascii="Cambria" w:eastAsia="Cambria" w:hAnsi="Cambria" w:cs="Cambria"/>
          <w:b/>
          <w:bCs/>
          <w:sz w:val="20"/>
          <w:szCs w:val="20"/>
          <w:lang w:val="es-ES_tradnl"/>
        </w:rPr>
        <w:t>Resultados estructurales del caso</w:t>
      </w:r>
    </w:p>
    <w:p w14:paraId="456A2DE9" w14:textId="77777777" w:rsidR="00795351" w:rsidRPr="002B2578" w:rsidRDefault="00795351">
      <w:pPr>
        <w:pStyle w:val="Corpo"/>
        <w:spacing w:after="0" w:line="240" w:lineRule="auto"/>
        <w:rPr>
          <w:rFonts w:ascii="Cambria" w:eastAsia="Cambria" w:hAnsi="Cambria" w:cs="Cambria"/>
          <w:sz w:val="20"/>
          <w:szCs w:val="20"/>
        </w:rPr>
      </w:pPr>
    </w:p>
    <w:p w14:paraId="15701DA3" w14:textId="77777777" w:rsidR="00795351" w:rsidRPr="002B2578" w:rsidRDefault="007E7DF0">
      <w:pPr>
        <w:pStyle w:val="Corpo"/>
        <w:spacing w:after="0" w:line="240" w:lineRule="auto"/>
        <w:jc w:val="both"/>
        <w:rPr>
          <w:rFonts w:ascii="Cambria" w:eastAsia="Cambria" w:hAnsi="Cambria" w:cs="Cambria"/>
          <w:i/>
          <w:iCs/>
          <w:sz w:val="20"/>
          <w:szCs w:val="20"/>
        </w:rPr>
      </w:pPr>
      <w:r w:rsidRPr="002B2578">
        <w:rPr>
          <w:rFonts w:ascii="Cambria" w:eastAsia="Cambria" w:hAnsi="Cambria" w:cs="Cambria"/>
          <w:i/>
          <w:iCs/>
          <w:sz w:val="20"/>
          <w:szCs w:val="20"/>
        </w:rPr>
        <w:t xml:space="preserve">Políticas públicas </w:t>
      </w:r>
    </w:p>
    <w:p w14:paraId="092DAF77" w14:textId="77777777" w:rsidR="00795351" w:rsidRPr="002B2578" w:rsidRDefault="007E7DF0">
      <w:pPr>
        <w:pStyle w:val="ListParagraph"/>
        <w:numPr>
          <w:ilvl w:val="0"/>
          <w:numId w:val="21"/>
        </w:numPr>
        <w:spacing w:after="0" w:line="240" w:lineRule="auto"/>
        <w:jc w:val="both"/>
        <w:rPr>
          <w:rFonts w:ascii="Cambria" w:eastAsia="Cambria" w:hAnsi="Cambria" w:cs="Cambria"/>
          <w:sz w:val="20"/>
          <w:szCs w:val="20"/>
          <w:lang w:val="es-ES_tradnl"/>
        </w:rPr>
      </w:pPr>
      <w:r w:rsidRPr="002B2578">
        <w:rPr>
          <w:rFonts w:ascii="Cambria" w:eastAsia="Cambria" w:hAnsi="Cambria" w:cs="Cambria"/>
          <w:sz w:val="20"/>
          <w:szCs w:val="20"/>
          <w:lang w:val="es-ES_tradnl"/>
        </w:rPr>
        <w:t xml:space="preserve">Emisión de la Política Integral del Ministerio de Defensa en relación con derechos humanos y derecho internacional humanitario en enero de 2008. </w:t>
      </w:r>
    </w:p>
    <w:p w14:paraId="38B11304" w14:textId="77777777" w:rsidR="00795351" w:rsidRPr="002B2578" w:rsidRDefault="00795351">
      <w:pPr>
        <w:pStyle w:val="Corpo"/>
        <w:spacing w:after="0" w:line="240" w:lineRule="auto"/>
        <w:ind w:left="360"/>
        <w:jc w:val="both"/>
        <w:rPr>
          <w:rFonts w:ascii="Cambria" w:eastAsia="Cambria" w:hAnsi="Cambria" w:cs="Cambria"/>
          <w:sz w:val="20"/>
          <w:szCs w:val="20"/>
        </w:rPr>
      </w:pPr>
    </w:p>
    <w:p w14:paraId="7C334F6D" w14:textId="77777777" w:rsidR="00795351" w:rsidRPr="002B2578" w:rsidRDefault="007E7DF0">
      <w:pPr>
        <w:pStyle w:val="Corpo"/>
        <w:spacing w:after="0" w:line="240" w:lineRule="auto"/>
        <w:jc w:val="both"/>
        <w:rPr>
          <w:rFonts w:ascii="Cambria" w:eastAsia="Cambria" w:hAnsi="Cambria" w:cs="Cambria"/>
          <w:sz w:val="20"/>
          <w:szCs w:val="20"/>
        </w:rPr>
      </w:pPr>
      <w:r w:rsidRPr="002B2578">
        <w:rPr>
          <w:rFonts w:ascii="Cambria" w:eastAsia="Cambria" w:hAnsi="Cambria" w:cs="Cambria"/>
          <w:i/>
          <w:iCs/>
          <w:sz w:val="20"/>
          <w:szCs w:val="20"/>
        </w:rPr>
        <w:t>Legislación/Normativa</w:t>
      </w:r>
      <w:r w:rsidRPr="002B2578">
        <w:rPr>
          <w:rFonts w:ascii="Cambria" w:eastAsia="Cambria" w:hAnsi="Cambria" w:cs="Cambria"/>
          <w:sz w:val="20"/>
          <w:szCs w:val="20"/>
        </w:rPr>
        <w:t xml:space="preserve"> </w:t>
      </w:r>
    </w:p>
    <w:p w14:paraId="577AF3AB" w14:textId="77777777" w:rsidR="00795351" w:rsidRPr="002B2578" w:rsidRDefault="007E7DF0">
      <w:pPr>
        <w:pStyle w:val="ListParagraph"/>
        <w:numPr>
          <w:ilvl w:val="0"/>
          <w:numId w:val="21"/>
        </w:numPr>
        <w:spacing w:after="0" w:line="240" w:lineRule="auto"/>
        <w:jc w:val="both"/>
        <w:rPr>
          <w:rFonts w:ascii="Cambria" w:eastAsia="Cambria" w:hAnsi="Cambria" w:cs="Cambria"/>
          <w:sz w:val="20"/>
          <w:szCs w:val="20"/>
          <w:lang w:val="es-ES_tradnl"/>
        </w:rPr>
      </w:pPr>
      <w:r w:rsidRPr="002B2578">
        <w:rPr>
          <w:rFonts w:ascii="Cambria" w:eastAsia="Cambria" w:hAnsi="Cambria" w:cs="Cambria"/>
          <w:sz w:val="20"/>
          <w:szCs w:val="20"/>
          <w:lang w:val="es-ES_tradnl"/>
        </w:rPr>
        <w:t>Aprobación del Acto Legislativo Nº 01 de 2017 “por medio del cual se crea un título de disposiciones transitorias de la Constitución para la terminación del conflicto armado y la construcción de una paz estable y duradera y se dictan otras disposiciones” y Sentencia C-647 de 2017 de la Corte Constitucional que aprobó esa reforma constitucional, que determinó los fundamentos de la responsabilidad de mando.</w:t>
      </w:r>
    </w:p>
    <w:p w14:paraId="22E2D6B1" w14:textId="77777777" w:rsidR="00795351" w:rsidRPr="002B2578" w:rsidRDefault="007E7DF0">
      <w:pPr>
        <w:pStyle w:val="ListParagraph"/>
        <w:numPr>
          <w:ilvl w:val="0"/>
          <w:numId w:val="21"/>
        </w:numPr>
        <w:spacing w:after="0" w:line="240" w:lineRule="auto"/>
        <w:jc w:val="both"/>
        <w:rPr>
          <w:rFonts w:ascii="Cambria" w:eastAsia="Cambria" w:hAnsi="Cambria" w:cs="Cambria"/>
          <w:sz w:val="20"/>
          <w:szCs w:val="20"/>
          <w:lang w:val="es-ES_tradnl"/>
        </w:rPr>
      </w:pPr>
      <w:r w:rsidRPr="002B2578">
        <w:rPr>
          <w:rFonts w:ascii="Cambria" w:eastAsia="Cambria" w:hAnsi="Cambria" w:cs="Cambria"/>
          <w:sz w:val="20"/>
          <w:szCs w:val="20"/>
          <w:u w:color="FF0000"/>
          <w:lang w:val="es-ES_tradnl"/>
        </w:rPr>
        <w:t xml:space="preserve">Sentencia C-112 de 2019 de la Corte Constitucional que declaró inexequibles el </w:t>
      </w:r>
      <w:r w:rsidR="00560FF8" w:rsidRPr="002B2578">
        <w:rPr>
          <w:rFonts w:ascii="Cambria" w:eastAsia="Cambria" w:hAnsi="Cambria" w:cs="Cambria"/>
          <w:sz w:val="20"/>
          <w:szCs w:val="20"/>
          <w:u w:color="FF0000"/>
          <w:lang w:val="es-MX"/>
        </w:rPr>
        <w:t>parágrafo</w:t>
      </w:r>
      <w:r w:rsidRPr="002B2578">
        <w:rPr>
          <w:rFonts w:ascii="Cambria" w:eastAsia="Cambria" w:hAnsi="Cambria" w:cs="Cambria"/>
          <w:sz w:val="20"/>
          <w:szCs w:val="20"/>
          <w:u w:color="FF0000"/>
          <w:lang w:val="es-ES_tradnl"/>
        </w:rPr>
        <w:t xml:space="preserve"> 2 del artículo 11 y el artículo 75 de la Ley Nº 1922 de 2018 por vicio en su formación.</w:t>
      </w:r>
    </w:p>
    <w:p w14:paraId="73530988" w14:textId="77777777" w:rsidR="00795351" w:rsidRPr="002B2578" w:rsidRDefault="00795351">
      <w:pPr>
        <w:pStyle w:val="Corpo"/>
        <w:spacing w:after="0" w:line="240" w:lineRule="auto"/>
        <w:ind w:left="360"/>
        <w:jc w:val="both"/>
        <w:rPr>
          <w:rFonts w:ascii="Cambria" w:eastAsia="Cambria" w:hAnsi="Cambria" w:cs="Cambria"/>
          <w:sz w:val="20"/>
          <w:szCs w:val="20"/>
        </w:rPr>
      </w:pPr>
    </w:p>
    <w:p w14:paraId="53A1A050" w14:textId="77777777" w:rsidR="00795351" w:rsidRPr="002B2578" w:rsidRDefault="007E7DF0">
      <w:pPr>
        <w:pStyle w:val="Corpo"/>
        <w:spacing w:after="0" w:line="240" w:lineRule="auto"/>
        <w:jc w:val="both"/>
        <w:rPr>
          <w:rFonts w:ascii="Cambria" w:eastAsia="Cambria" w:hAnsi="Cambria" w:cs="Cambria"/>
          <w:i/>
          <w:iCs/>
          <w:sz w:val="20"/>
          <w:szCs w:val="20"/>
        </w:rPr>
      </w:pPr>
      <w:r w:rsidRPr="002B2578">
        <w:rPr>
          <w:rFonts w:ascii="Cambria" w:eastAsia="Cambria" w:hAnsi="Cambria" w:cs="Cambria"/>
          <w:i/>
          <w:iCs/>
          <w:sz w:val="20"/>
          <w:szCs w:val="20"/>
        </w:rPr>
        <w:t xml:space="preserve">Fortalecimiento institucional </w:t>
      </w:r>
    </w:p>
    <w:p w14:paraId="7A900B47" w14:textId="77777777" w:rsidR="00795351" w:rsidRPr="002B2578" w:rsidRDefault="007E7DF0">
      <w:pPr>
        <w:pStyle w:val="Corpo"/>
        <w:numPr>
          <w:ilvl w:val="0"/>
          <w:numId w:val="23"/>
        </w:numPr>
        <w:spacing w:after="0" w:line="240" w:lineRule="auto"/>
        <w:jc w:val="both"/>
        <w:rPr>
          <w:rFonts w:ascii="Cambria" w:eastAsia="Cambria" w:hAnsi="Cambria" w:cs="Cambria"/>
          <w:sz w:val="20"/>
          <w:szCs w:val="20"/>
        </w:rPr>
      </w:pPr>
      <w:r w:rsidRPr="002B2578">
        <w:rPr>
          <w:rFonts w:ascii="Cambria" w:eastAsia="Cambria" w:hAnsi="Cambria" w:cs="Cambria"/>
          <w:sz w:val="20"/>
          <w:szCs w:val="20"/>
        </w:rPr>
        <w:t xml:space="preserve">Realización de capacitaciones constantes a las unidades militares sobre el sistema interamericano de derechos humanos y las obligaciones que tiene el Estado frente al mismo en el marco de la “Política Integral de Derechos Humanos y Derecho Internacional Humanitario” del Ministerio de Defensa Nacional que se viene implementando desde el año 2008. </w:t>
      </w:r>
    </w:p>
    <w:p w14:paraId="030DAA6B" w14:textId="77777777" w:rsidR="004868B0" w:rsidRPr="002B2578" w:rsidRDefault="004868B0" w:rsidP="004868B0">
      <w:pPr>
        <w:pStyle w:val="BlockText"/>
        <w:numPr>
          <w:ilvl w:val="0"/>
          <w:numId w:val="23"/>
        </w:numPr>
        <w:spacing w:before="0" w:beforeAutospacing="0" w:after="0" w:afterAutospacing="0"/>
        <w:jc w:val="both"/>
        <w:rPr>
          <w:rFonts w:ascii="Cambria" w:hAnsi="Cambria" w:cs="Calibri Light"/>
          <w:color w:val="000000"/>
          <w:sz w:val="20"/>
          <w:szCs w:val="20"/>
          <w:lang w:val="es-ES"/>
        </w:rPr>
      </w:pPr>
      <w:r w:rsidRPr="002B2578">
        <w:rPr>
          <w:rFonts w:ascii="Cambria" w:hAnsi="Cambria"/>
          <w:color w:val="000000"/>
          <w:sz w:val="20"/>
          <w:szCs w:val="20"/>
          <w:lang w:val="es-CO"/>
        </w:rPr>
        <w:lastRenderedPageBreak/>
        <w:t>Desde enero a abril de 2020, la Justicia Penal Militar y Policial remitió a la Justicia Penal ordinaria un total de 12 investigaciones relacionadas con presuntas violaciones a los derechos humanos o al derecho internacional humanitario (3 en enero, 6 en febrero, 2 en marzo y 1 en abril), según datos de una consulta hecha a 275 despachos de la jurisdicción.</w:t>
      </w:r>
    </w:p>
    <w:p w14:paraId="3E4F75A8" w14:textId="77777777" w:rsidR="004868B0" w:rsidRPr="002B2578" w:rsidRDefault="004868B0" w:rsidP="004868B0">
      <w:pPr>
        <w:pStyle w:val="Corpo"/>
        <w:spacing w:after="0" w:line="240" w:lineRule="auto"/>
        <w:ind w:left="720"/>
        <w:jc w:val="both"/>
        <w:rPr>
          <w:rFonts w:ascii="Cambria" w:eastAsia="Cambria" w:hAnsi="Cambria" w:cs="Cambria"/>
          <w:sz w:val="20"/>
          <w:szCs w:val="20"/>
        </w:rPr>
      </w:pPr>
    </w:p>
    <w:p w14:paraId="09617D03" w14:textId="77777777" w:rsidR="004868B0" w:rsidRPr="002B2578" w:rsidRDefault="004868B0" w:rsidP="004868B0">
      <w:pPr>
        <w:pStyle w:val="Corpo"/>
        <w:spacing w:after="0" w:line="240" w:lineRule="auto"/>
        <w:jc w:val="both"/>
        <w:rPr>
          <w:rFonts w:ascii="Cambria" w:eastAsia="Cambria" w:hAnsi="Cambria" w:cs="Cambria"/>
          <w:sz w:val="20"/>
          <w:szCs w:val="20"/>
        </w:rPr>
      </w:pPr>
    </w:p>
    <w:sectPr w:rsidR="004868B0" w:rsidRPr="002B2578">
      <w:headerReference w:type="default" r:id="rId10"/>
      <w:footerReference w:type="default" r:id="rId11"/>
      <w:headerReference w:type="first" r:id="rId12"/>
      <w:pgSz w:w="12240" w:h="15840"/>
      <w:pgMar w:top="1440" w:right="1440" w:bottom="1440" w:left="1440" w:header="72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D585" w14:textId="77777777" w:rsidR="009A276B" w:rsidRDefault="009A276B">
      <w:r>
        <w:separator/>
      </w:r>
    </w:p>
  </w:endnote>
  <w:endnote w:type="continuationSeparator" w:id="0">
    <w:p w14:paraId="10297B36" w14:textId="77777777" w:rsidR="009A276B" w:rsidRDefault="009A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B4F6" w14:textId="77777777" w:rsidR="00795351" w:rsidRDefault="007E7DF0">
    <w:pPr>
      <w:pStyle w:val="Footer"/>
      <w:tabs>
        <w:tab w:val="clear" w:pos="9360"/>
        <w:tab w:val="right" w:pos="9340"/>
      </w:tabs>
      <w:jc w:val="center"/>
    </w:pPr>
    <w:r>
      <w:rPr>
        <w:sz w:val="16"/>
        <w:szCs w:val="16"/>
      </w:rPr>
      <w:fldChar w:fldCharType="begin"/>
    </w:r>
    <w:r>
      <w:rPr>
        <w:sz w:val="16"/>
        <w:szCs w:val="16"/>
      </w:rPr>
      <w:instrText xml:space="preserve"> PAGE </w:instrText>
    </w:r>
    <w:r>
      <w:rPr>
        <w:sz w:val="16"/>
        <w:szCs w:val="16"/>
      </w:rPr>
      <w:fldChar w:fldCharType="separate"/>
    </w:r>
    <w:r w:rsidR="005E7565">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5FF7" w14:textId="77777777" w:rsidR="009A276B" w:rsidRDefault="009A276B">
      <w:r>
        <w:separator/>
      </w:r>
    </w:p>
  </w:footnote>
  <w:footnote w:type="continuationSeparator" w:id="0">
    <w:p w14:paraId="7707DE89" w14:textId="77777777" w:rsidR="009A276B" w:rsidRDefault="009A276B">
      <w:r>
        <w:continuationSeparator/>
      </w:r>
    </w:p>
  </w:footnote>
  <w:footnote w:type="continuationNotice" w:id="1">
    <w:p w14:paraId="552D2A69" w14:textId="77777777" w:rsidR="009A276B" w:rsidRDefault="009A276B"/>
  </w:footnote>
  <w:footnote w:id="2">
    <w:p w14:paraId="7FD664AD" w14:textId="77777777" w:rsidR="00054DD8" w:rsidRPr="008272D1" w:rsidRDefault="00054DD8" w:rsidP="00054DD8">
      <w:pPr>
        <w:pStyle w:val="FootnoteText"/>
        <w:ind w:firstLine="720"/>
        <w:rPr>
          <w:lang w:val="es-MX"/>
        </w:rPr>
      </w:pPr>
      <w:r w:rsidRPr="008272D1">
        <w:rPr>
          <w:rStyle w:val="FootnoteReference"/>
        </w:rPr>
        <w:footnoteRef/>
      </w:r>
      <w:r w:rsidRPr="008272D1">
        <w:rPr>
          <w:lang w:val="es-MX"/>
        </w:rPr>
        <w:t xml:space="preserve"> </w:t>
      </w:r>
      <w:r w:rsidRPr="008272D1">
        <w:rPr>
          <w:rFonts w:ascii="Cambria" w:eastAsia="Cambria" w:hAnsi="Cambria" w:cs="Cambria"/>
          <w:sz w:val="16"/>
          <w:szCs w:val="16"/>
          <w:lang w:val="es-ES_tradnl"/>
        </w:rPr>
        <w:t xml:space="preserve">CIDH, Informe Anual 2017, </w:t>
      </w:r>
      <w:hyperlink r:id="rId1" w:history="1">
        <w:r w:rsidRPr="008272D1">
          <w:rPr>
            <w:rStyle w:val="Hyperlink1"/>
          </w:rPr>
          <w:t>Capítulo II, Sección F: Estado del cumplimiento de las recomendaciones de la CIDH</w:t>
        </w:r>
      </w:hyperlink>
      <w:r w:rsidRPr="008272D1">
        <w:rPr>
          <w:rFonts w:ascii="Cambria" w:eastAsia="Cambria" w:hAnsi="Cambria" w:cs="Cambria"/>
          <w:sz w:val="16"/>
          <w:szCs w:val="16"/>
          <w:lang w:val="es-ES_tradnl"/>
        </w:rPr>
        <w:t>, párr. 588.</w:t>
      </w:r>
    </w:p>
  </w:footnote>
  <w:footnote w:id="3">
    <w:p w14:paraId="5EE144DF" w14:textId="77777777" w:rsidR="00795351" w:rsidRPr="008272D1" w:rsidRDefault="007E7DF0">
      <w:pPr>
        <w:pStyle w:val="FootnoteText"/>
        <w:spacing w:after="120"/>
        <w:ind w:firstLine="720"/>
        <w:jc w:val="both"/>
        <w:rPr>
          <w:lang w:val="es-MX"/>
        </w:rPr>
      </w:pPr>
      <w:r w:rsidRPr="008272D1">
        <w:rPr>
          <w:rFonts w:ascii="Cambria" w:eastAsia="Cambria" w:hAnsi="Cambria" w:cs="Cambria"/>
          <w:vertAlign w:val="superscript"/>
          <w:lang w:val="es-ES_tradnl"/>
        </w:rPr>
        <w:footnoteRef/>
      </w:r>
      <w:r w:rsidRPr="008272D1">
        <w:rPr>
          <w:rFonts w:ascii="Cambria" w:eastAsia="Cambria" w:hAnsi="Cambria" w:cs="Cambria"/>
          <w:sz w:val="16"/>
          <w:szCs w:val="16"/>
          <w:lang w:val="es-ES_tradnl"/>
        </w:rPr>
        <w:t xml:space="preserve"> CIDH, Informe Anual 2017, </w:t>
      </w:r>
      <w:hyperlink r:id="rId2" w:history="1">
        <w:r w:rsidRPr="008272D1">
          <w:rPr>
            <w:rStyle w:val="Hyperlink1"/>
          </w:rPr>
          <w:t>Capítulo II, Sección F: Estado del cumplimiento de las recomendaciones de la CIDH</w:t>
        </w:r>
      </w:hyperlink>
      <w:r w:rsidRPr="008272D1">
        <w:rPr>
          <w:rFonts w:ascii="Cambria" w:eastAsia="Cambria" w:hAnsi="Cambria" w:cs="Cambria"/>
          <w:sz w:val="16"/>
          <w:szCs w:val="16"/>
          <w:lang w:val="es-ES_tradnl"/>
        </w:rPr>
        <w:t>, párr. 647.</w:t>
      </w:r>
    </w:p>
  </w:footnote>
  <w:footnote w:id="4">
    <w:p w14:paraId="031BFAF4" w14:textId="77777777" w:rsidR="00795351" w:rsidRPr="008272D1" w:rsidRDefault="007E7DF0">
      <w:pPr>
        <w:pStyle w:val="FootnoteText"/>
        <w:spacing w:after="120"/>
        <w:ind w:firstLine="720"/>
        <w:jc w:val="both"/>
        <w:rPr>
          <w:lang w:val="es-MX"/>
        </w:rPr>
      </w:pPr>
      <w:r w:rsidRPr="008272D1">
        <w:rPr>
          <w:rFonts w:ascii="Cambria" w:eastAsia="Cambria" w:hAnsi="Cambria" w:cs="Cambria"/>
          <w:vertAlign w:val="superscript"/>
          <w:lang w:val="es-ES_tradnl"/>
        </w:rPr>
        <w:footnoteRef/>
      </w:r>
      <w:r w:rsidRPr="008272D1">
        <w:rPr>
          <w:rFonts w:ascii="Cambria" w:eastAsia="Cambria" w:hAnsi="Cambria" w:cs="Cambria"/>
          <w:sz w:val="16"/>
          <w:szCs w:val="16"/>
          <w:lang w:val="es-ES_tradnl"/>
        </w:rPr>
        <w:t xml:space="preserve"> CIDH, Informe Anual 2017, </w:t>
      </w:r>
      <w:hyperlink r:id="rId3" w:history="1">
        <w:r w:rsidRPr="008272D1">
          <w:rPr>
            <w:rStyle w:val="Hyperlink1"/>
          </w:rPr>
          <w:t>Capítulo II, Sección F: Estado del cumplimiento de las recomendaciones de la CIDH</w:t>
        </w:r>
      </w:hyperlink>
      <w:r w:rsidRPr="008272D1">
        <w:rPr>
          <w:rFonts w:ascii="Cambria" w:eastAsia="Cambria" w:hAnsi="Cambria" w:cs="Cambria"/>
          <w:sz w:val="16"/>
          <w:szCs w:val="16"/>
          <w:lang w:val="es-ES_tradnl"/>
        </w:rPr>
        <w:t>, párr. 650.</w:t>
      </w:r>
    </w:p>
  </w:footnote>
  <w:footnote w:id="5">
    <w:p w14:paraId="6377113F" w14:textId="77777777" w:rsidR="00795351" w:rsidRPr="008272D1" w:rsidRDefault="007E7DF0">
      <w:pPr>
        <w:pStyle w:val="FootnoteText"/>
        <w:spacing w:after="120"/>
        <w:ind w:firstLine="720"/>
        <w:jc w:val="both"/>
        <w:rPr>
          <w:lang w:val="es-MX"/>
        </w:rPr>
      </w:pPr>
      <w:r w:rsidRPr="008272D1">
        <w:rPr>
          <w:rFonts w:ascii="Cambria" w:eastAsia="Cambria" w:hAnsi="Cambria" w:cs="Cambria"/>
          <w:vertAlign w:val="superscript"/>
          <w:lang w:val="es-ES_tradnl"/>
        </w:rPr>
        <w:footnoteRef/>
      </w:r>
      <w:r w:rsidRPr="008272D1">
        <w:rPr>
          <w:rFonts w:ascii="Cambria" w:eastAsia="Cambria" w:hAnsi="Cambria" w:cs="Cambria"/>
          <w:sz w:val="16"/>
          <w:szCs w:val="16"/>
          <w:lang w:val="es-ES_tradnl"/>
        </w:rPr>
        <w:t xml:space="preserve"> CIDH, Informe Anual 2017, </w:t>
      </w:r>
      <w:hyperlink r:id="rId4" w:history="1">
        <w:r w:rsidRPr="008272D1">
          <w:rPr>
            <w:rStyle w:val="Hyperlink1"/>
          </w:rPr>
          <w:t>Capítulo II, Sección F: Estado del cumplimiento de las recomendaciones de la CIDH</w:t>
        </w:r>
      </w:hyperlink>
      <w:r w:rsidRPr="008272D1">
        <w:rPr>
          <w:rFonts w:ascii="Cambria" w:eastAsia="Cambria" w:hAnsi="Cambria" w:cs="Cambria"/>
          <w:sz w:val="16"/>
          <w:szCs w:val="16"/>
          <w:lang w:val="es-ES_tradnl"/>
        </w:rPr>
        <w:t>, párr. 648.</w:t>
      </w:r>
    </w:p>
  </w:footnote>
  <w:footnote w:id="6">
    <w:p w14:paraId="69DD76FA" w14:textId="77777777" w:rsidR="00795351" w:rsidRPr="008272D1" w:rsidRDefault="007E7DF0">
      <w:pPr>
        <w:pStyle w:val="FootnoteText"/>
        <w:spacing w:after="120"/>
        <w:ind w:firstLine="720"/>
        <w:jc w:val="both"/>
        <w:rPr>
          <w:lang w:val="es-MX"/>
        </w:rPr>
      </w:pPr>
      <w:r w:rsidRPr="008272D1">
        <w:rPr>
          <w:rFonts w:ascii="Cambria" w:eastAsia="Cambria" w:hAnsi="Cambria" w:cs="Cambria"/>
          <w:vertAlign w:val="superscript"/>
          <w:lang w:val="es-ES_tradnl"/>
        </w:rPr>
        <w:footnoteRef/>
      </w:r>
      <w:r w:rsidRPr="008272D1">
        <w:rPr>
          <w:rFonts w:ascii="Cambria" w:eastAsia="Cambria" w:hAnsi="Cambria" w:cs="Cambria"/>
          <w:sz w:val="16"/>
          <w:szCs w:val="16"/>
          <w:lang w:val="es-ES_tradnl"/>
        </w:rPr>
        <w:t xml:space="preserve"> CIDH, Informe Anual 2017, </w:t>
      </w:r>
      <w:hyperlink r:id="rId5" w:history="1">
        <w:r w:rsidRPr="008272D1">
          <w:rPr>
            <w:rStyle w:val="Hyperlink1"/>
          </w:rPr>
          <w:t>Capítulo II, Sección F: Estado del cumplimiento de las recomendaciones de la CIDH</w:t>
        </w:r>
      </w:hyperlink>
      <w:r w:rsidRPr="008272D1">
        <w:rPr>
          <w:rFonts w:ascii="Cambria" w:eastAsia="Cambria" w:hAnsi="Cambria" w:cs="Cambria"/>
          <w:sz w:val="16"/>
          <w:szCs w:val="16"/>
          <w:lang w:val="es-ES_tradnl"/>
        </w:rPr>
        <w:t>, párr. 649.</w:t>
      </w:r>
    </w:p>
  </w:footnote>
  <w:footnote w:id="7">
    <w:p w14:paraId="702A4489" w14:textId="77777777" w:rsidR="00795351" w:rsidRPr="008272D1" w:rsidRDefault="007E7DF0">
      <w:pPr>
        <w:pStyle w:val="FootnoteText"/>
        <w:spacing w:after="120"/>
        <w:ind w:firstLine="720"/>
        <w:jc w:val="both"/>
      </w:pPr>
      <w:r w:rsidRPr="008272D1">
        <w:rPr>
          <w:rFonts w:ascii="Cambria" w:eastAsia="Cambria" w:hAnsi="Cambria" w:cs="Cambria"/>
          <w:vertAlign w:val="superscript"/>
          <w:lang w:val="es-ES_tradnl"/>
        </w:rPr>
        <w:footnoteRef/>
      </w:r>
      <w:r w:rsidRPr="008272D1">
        <w:rPr>
          <w:rFonts w:ascii="Cambria" w:eastAsia="Cambria" w:hAnsi="Cambria" w:cs="Cambria"/>
          <w:sz w:val="16"/>
          <w:szCs w:val="16"/>
          <w:lang w:val="es-ES_tradnl"/>
        </w:rPr>
        <w:t xml:space="preserve"> CIDH, Informe Anual 2017, </w:t>
      </w:r>
      <w:hyperlink r:id="rId6" w:history="1">
        <w:r w:rsidRPr="008272D1">
          <w:rPr>
            <w:rStyle w:val="Hyperlink1"/>
          </w:rPr>
          <w:t>Capítulo II, Sección F: Estado del cumplimiento de las recomendaciones de la CIDH</w:t>
        </w:r>
      </w:hyperlink>
      <w:r w:rsidRPr="008272D1">
        <w:rPr>
          <w:rFonts w:ascii="Cambria" w:eastAsia="Cambria" w:hAnsi="Cambria" w:cs="Cambria"/>
          <w:sz w:val="16"/>
          <w:szCs w:val="16"/>
          <w:lang w:val="es-ES_tradnl"/>
        </w:rPr>
        <w:t>, párr. 651.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20E2" w14:textId="67B4B066" w:rsidR="00E05402" w:rsidRPr="00AD498E" w:rsidRDefault="006763E0" w:rsidP="00E05402">
    <w:pPr>
      <w:pStyle w:val="Header"/>
      <w:rPr>
        <w:rFonts w:ascii="Arial" w:hAnsi="Arial" w:cs="Arial"/>
        <w:color w:val="3B3838"/>
        <w:szCs w:val="28"/>
      </w:rPr>
    </w:pPr>
    <w:r>
      <w:rPr>
        <w:noProof/>
      </w:rPr>
      <w:drawing>
        <wp:anchor distT="0" distB="0" distL="114300" distR="114300" simplePos="0" relativeHeight="251659776" behindDoc="0" locked="0" layoutInCell="1" allowOverlap="1" wp14:anchorId="588E9C67" wp14:editId="5E0101F3">
          <wp:simplePos x="0" y="0"/>
          <wp:positionH relativeFrom="column">
            <wp:posOffset>4658995</wp:posOffset>
          </wp:positionH>
          <wp:positionV relativeFrom="paragraph">
            <wp:posOffset>-3175</wp:posOffset>
          </wp:positionV>
          <wp:extent cx="1485900" cy="346075"/>
          <wp:effectExtent l="0" t="0" r="0" b="0"/>
          <wp:wrapSquare wrapText="bothSides"/>
          <wp:docPr id="6"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98E">
      <w:rPr>
        <w:noProof/>
      </w:rPr>
      <w:drawing>
        <wp:inline distT="0" distB="0" distL="0" distR="0" wp14:anchorId="27FBFB22" wp14:editId="0D55946E">
          <wp:extent cx="1333500" cy="314325"/>
          <wp:effectExtent l="0" t="0" r="0" b="0"/>
          <wp:docPr id="2"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sidR="00E05402" w:rsidRPr="00AD498E">
      <w:rPr>
        <w:rFonts w:ascii="Arial" w:hAnsi="Arial" w:cs="Arial"/>
        <w:color w:val="3B3838"/>
        <w:szCs w:val="28"/>
      </w:rPr>
      <w:softHyphen/>
    </w:r>
    <w:r w:rsidR="00E05402" w:rsidRPr="00AD498E">
      <w:rPr>
        <w:rFonts w:ascii="Arial" w:hAnsi="Arial" w:cs="Arial"/>
        <w:color w:val="3B3838"/>
        <w:szCs w:val="28"/>
      </w:rPr>
      <w:softHyphen/>
      <w:t xml:space="preserve">                       </w:t>
    </w:r>
  </w:p>
  <w:p w14:paraId="432C6A86" w14:textId="136706FA" w:rsidR="00795351" w:rsidRPr="00E05402" w:rsidRDefault="006763E0" w:rsidP="00E05402">
    <w:pPr>
      <w:pStyle w:val="Header"/>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8752" behindDoc="0" locked="0" layoutInCell="1" allowOverlap="1" wp14:anchorId="721303D4" wp14:editId="556EB6C8">
              <wp:simplePos x="0" y="0"/>
              <wp:positionH relativeFrom="column">
                <wp:posOffset>-5080</wp:posOffset>
              </wp:positionH>
              <wp:positionV relativeFrom="paragraph">
                <wp:posOffset>173989</wp:posOffset>
              </wp:positionV>
              <wp:extent cx="614807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125D9E" id="Straight Connector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" strokecolor="#262626"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9516" w14:textId="61B1356D" w:rsidR="00E05402" w:rsidRDefault="006763E0" w:rsidP="00E05402">
    <w:pPr>
      <w:pStyle w:val="Header"/>
      <w:spacing w:line="216" w:lineRule="auto"/>
      <w:rPr>
        <w:rFonts w:ascii="Arial" w:hAnsi="Arial" w:cs="Arial"/>
        <w:color w:val="3B3838"/>
        <w:sz w:val="28"/>
        <w:szCs w:val="28"/>
        <w:lang w:val="es-ES"/>
      </w:rPr>
    </w:pPr>
    <w:r>
      <w:rPr>
        <w:noProof/>
      </w:rPr>
      <w:drawing>
        <wp:anchor distT="0" distB="0" distL="114300" distR="114300" simplePos="0" relativeHeight="251656704" behindDoc="0" locked="0" layoutInCell="1" allowOverlap="1" wp14:anchorId="5E86CD75" wp14:editId="0B088A60">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7484DBA4" wp14:editId="7C2515C2">
              <wp:simplePos x="0" y="0"/>
              <wp:positionH relativeFrom="column">
                <wp:posOffset>-166370</wp:posOffset>
              </wp:positionH>
              <wp:positionV relativeFrom="paragraph">
                <wp:posOffset>48895</wp:posOffset>
              </wp:positionV>
              <wp:extent cx="2936875" cy="6648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36875" cy="664845"/>
                      </a:xfrm>
                      <a:prstGeom prst="rect">
                        <a:avLst/>
                      </a:prstGeom>
                      <a:noFill/>
                      <a:ln w="6350">
                        <a:noFill/>
                      </a:ln>
                    </wps:spPr>
                    <wps:txbx>
                      <w:txbxContent>
                        <w:p w14:paraId="70CDBCC9" w14:textId="57C876B1" w:rsidR="00E05402" w:rsidRDefault="006763E0" w:rsidP="00E05402">
                          <w:r w:rsidRPr="00AD498E">
                            <w:rPr>
                              <w:noProof/>
                            </w:rPr>
                            <w:drawing>
                              <wp:inline distT="0" distB="0" distL="0" distR="0" wp14:anchorId="0DC754F9" wp14:editId="428A8977">
                                <wp:extent cx="2019300" cy="466725"/>
                                <wp:effectExtent l="0" t="0" r="0"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84DBA4" id="_x0000_t202" coordsize="21600,21600" o:spt="202" path="m,l,21600r21600,l21600,xe">
              <v:stroke joinstyle="miter"/>
              <v:path gradientshapeok="t" o:connecttype="rect"/>
            </v:shapetype>
            <v:shape id="Text Box 3" o:spid="_x0000_s1026" type="#_x0000_t202" style="position:absolute;margin-left:-13.1pt;margin-top:3.85pt;width:231.25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" filled="f" stroked="f" strokeweight=".5pt">
              <v:textbox>
                <w:txbxContent>
                  <w:p w14:paraId="70CDBCC9" w14:textId="57C876B1" w:rsidR="00E05402" w:rsidRDefault="006763E0" w:rsidP="00E05402">
                    <w:r w:rsidRPr="00AD498E">
                      <w:rPr>
                        <w:noProof/>
                      </w:rPr>
                      <w:drawing>
                        <wp:inline distT="0" distB="0" distL="0" distR="0" wp14:anchorId="0DC754F9" wp14:editId="428A8977">
                          <wp:extent cx="2019300" cy="466725"/>
                          <wp:effectExtent l="0" t="0" r="0" b="0"/>
                          <wp:docPr id="7"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txbxContent>
              </v:textbox>
            </v:shape>
          </w:pict>
        </mc:Fallback>
      </mc:AlternateContent>
    </w:r>
    <w:r w:rsidR="00E05402" w:rsidRPr="00AD498E">
      <w:rPr>
        <w:rFonts w:ascii="Arial" w:hAnsi="Arial" w:cs="Arial"/>
        <w:color w:val="3B3838"/>
        <w:sz w:val="28"/>
        <w:szCs w:val="28"/>
        <w:lang w:val="es-ES"/>
      </w:rPr>
      <w:softHyphen/>
    </w:r>
    <w:r w:rsidR="00E05402" w:rsidRPr="00AD498E">
      <w:rPr>
        <w:rFonts w:ascii="Arial" w:hAnsi="Arial" w:cs="Arial"/>
        <w:color w:val="3B3838"/>
        <w:sz w:val="28"/>
        <w:szCs w:val="28"/>
        <w:lang w:val="es-ES"/>
      </w:rPr>
      <w:softHyphen/>
    </w:r>
    <w:r w:rsidR="00E05402" w:rsidRPr="00AD498E">
      <w:rPr>
        <w:rFonts w:ascii="Arial" w:hAnsi="Arial" w:cs="Arial"/>
        <w:color w:val="3B3838"/>
        <w:sz w:val="28"/>
        <w:szCs w:val="28"/>
        <w:lang w:val="es-ES"/>
      </w:rPr>
      <w:softHyphen/>
    </w:r>
  </w:p>
  <w:p w14:paraId="5466481B" w14:textId="77777777" w:rsidR="00E05402" w:rsidRPr="00AD498E" w:rsidRDefault="00E05402" w:rsidP="00E05402">
    <w:pPr>
      <w:pStyle w:val="Header"/>
      <w:spacing w:line="216" w:lineRule="auto"/>
      <w:rPr>
        <w:rFonts w:ascii="Arial" w:hAnsi="Arial" w:cs="Arial"/>
        <w:color w:val="3B3838"/>
        <w:sz w:val="28"/>
        <w:szCs w:val="28"/>
        <w:lang w:val="es-ES"/>
      </w:rPr>
    </w:pPr>
  </w:p>
  <w:p w14:paraId="72E908D9" w14:textId="77777777" w:rsidR="00015099" w:rsidRDefault="00015099" w:rsidP="00E05402">
    <w:pPr>
      <w:pStyle w:val="Header"/>
      <w:spacing w:line="216" w:lineRule="auto"/>
      <w:rPr>
        <w:rFonts w:ascii="Arial" w:hAnsi="Arial" w:cs="Arial"/>
        <w:b/>
        <w:bCs/>
        <w:color w:val="404040"/>
        <w:sz w:val="44"/>
        <w:szCs w:val="44"/>
        <w:lang w:val="es-ES"/>
      </w:rPr>
    </w:pPr>
  </w:p>
  <w:p w14:paraId="71057340" w14:textId="24097422" w:rsidR="00795351" w:rsidRPr="00E05402" w:rsidRDefault="006763E0" w:rsidP="00E05402">
    <w:pPr>
      <w:pStyle w:val="Header"/>
      <w:spacing w:line="216" w:lineRule="auto"/>
      <w:rPr>
        <w:rFonts w:ascii="Arial" w:hAnsi="Arial" w:cs="Arial"/>
        <w:b/>
        <w:bCs/>
        <w:color w:val="404040"/>
        <w:sz w:val="44"/>
        <w:szCs w:val="44"/>
        <w:lang w:val="es-ES"/>
      </w:rPr>
    </w:pPr>
    <w:r>
      <w:rPr>
        <w:noProof/>
      </w:rPr>
      <mc:AlternateContent>
        <mc:Choice Requires="wps">
          <w:drawing>
            <wp:anchor distT="4294967294" distB="4294967294" distL="114300" distR="114300" simplePos="0" relativeHeight="251655680" behindDoc="0" locked="0" layoutInCell="1" allowOverlap="1" wp14:anchorId="27EB1020" wp14:editId="2A7D4D41">
              <wp:simplePos x="0" y="0"/>
              <wp:positionH relativeFrom="column">
                <wp:posOffset>-5715</wp:posOffset>
              </wp:positionH>
              <wp:positionV relativeFrom="paragraph">
                <wp:posOffset>167639</wp:posOffset>
              </wp:positionV>
              <wp:extent cx="614807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E017F8" id="Straight Connector 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" strokecolor="#262626"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2B6"/>
    <w:multiLevelType w:val="hybridMultilevel"/>
    <w:tmpl w:val="8CFE891A"/>
    <w:numStyleLink w:val="EstiloImportado6"/>
  </w:abstractNum>
  <w:abstractNum w:abstractNumId="1"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1A6537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1C61AD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0FF4401"/>
    <w:multiLevelType w:val="hybridMultilevel"/>
    <w:tmpl w:val="2322560C"/>
    <w:numStyleLink w:val="EstiloImportado2"/>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472E65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82514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14CC03CD"/>
    <w:multiLevelType w:val="hybridMultilevel"/>
    <w:tmpl w:val="816CA44A"/>
    <w:numStyleLink w:val="EstiloImportado3"/>
  </w:abstractNum>
  <w:abstractNum w:abstractNumId="5" w15:restartNumberingAfterBreak="0">
    <w:nsid w:val="205E68A2"/>
    <w:multiLevelType w:val="hybridMultilevel"/>
    <w:tmpl w:val="07302A56"/>
    <w:numStyleLink w:val="EstiloImportado1"/>
  </w:abstractNum>
  <w:abstractNum w:abstractNumId="6" w15:restartNumberingAfterBreak="0">
    <w:nsid w:val="28712E14"/>
    <w:multiLevelType w:val="hybridMultilevel"/>
    <w:tmpl w:val="07302A56"/>
    <w:styleLink w:val="EstiloImportado1"/>
    <w:lvl w:ilvl="0" w:tplc="9BF20A4E">
      <w:start w:val="1"/>
      <w:numFmt w:val="upperRoman"/>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CAC1CCA">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48A07A4">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860B860">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0B474A2">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F2219E">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7D22830">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1309DE0">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36EDE42">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94069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8EE90F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3E266E44"/>
    <w:multiLevelType w:val="hybridMultilevel"/>
    <w:tmpl w:val="4338331A"/>
    <w:numStyleLink w:val="EstiloImportado5"/>
  </w:abstractNum>
  <w:abstractNum w:abstractNumId="9" w15:restartNumberingAfterBreak="0">
    <w:nsid w:val="492C5F48"/>
    <w:multiLevelType w:val="hybridMultilevel"/>
    <w:tmpl w:val="43C8A4B8"/>
    <w:numStyleLink w:val="EstiloImportado4"/>
  </w:abstractNum>
  <w:abstractNum w:abstractNumId="10"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F22F35E">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F763B66">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69005CC">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D0A5092">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E869AA2">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288B6F6">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39C586E">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9A42276">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6"/>
  </w:num>
  <w:num w:numId="2">
    <w:abstractNumId w:val="5"/>
  </w:num>
  <w:num w:numId="3">
    <w:abstractNumId w:val="5"/>
    <w:lvlOverride w:ilvl="0">
      <w:startOverride w:val="2"/>
    </w:lvlOverride>
  </w:num>
  <w:num w:numId="4">
    <w:abstractNumId w:val="5"/>
    <w:lvlOverride w:ilvl="0">
      <w:startOverride w:val="3"/>
    </w:lvlOverride>
  </w:num>
  <w:num w:numId="5">
    <w:abstractNumId w:val="10"/>
  </w:num>
  <w:num w:numId="6">
    <w:abstractNumId w:val="2"/>
  </w:num>
  <w:num w:numId="7">
    <w:abstractNumId w:val="5"/>
    <w:lvlOverride w:ilvl="0">
      <w:startOverride w:val="4"/>
    </w:lvlOverride>
  </w:num>
  <w:num w:numId="8">
    <w:abstractNumId w:val="2"/>
    <w:lvlOverride w:ilvl="0">
      <w:startOverride w:val="4"/>
    </w:lvlOverride>
  </w:num>
  <w:num w:numId="9">
    <w:abstractNumId w:val="5"/>
    <w:lvlOverride w:ilvl="0">
      <w:startOverride w:val="5"/>
    </w:lvlOverride>
  </w:num>
  <w:num w:numId="10">
    <w:abstractNumId w:val="2"/>
    <w:lvlOverride w:ilvl="0">
      <w:startOverride w:val="5"/>
      <w:lvl w:ilvl="0" w:tplc="B456E1CC">
        <w:start w:val="5"/>
        <w:numFmt w:val="decimal"/>
        <w:lvlText w:val="%1."/>
        <w:lvlJc w:val="left"/>
        <w:pPr>
          <w:tabs>
            <w:tab w:val="num" w:pos="1584"/>
          </w:tabs>
          <w:ind w:left="864" w:hanging="14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10F7D8">
        <w:start w:val="1"/>
        <w:numFmt w:val="lowerLetter"/>
        <w:lvlText w:val="%2."/>
        <w:lvlJc w:val="left"/>
        <w:pPr>
          <w:tabs>
            <w:tab w:val="num" w:pos="1152"/>
          </w:tabs>
          <w:ind w:left="432" w:firstLine="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plc="CA48B346">
        <w:start w:val="1"/>
        <w:numFmt w:val="lowerRoman"/>
        <w:lvlText w:val="%3."/>
        <w:lvlJc w:val="left"/>
        <w:pPr>
          <w:tabs>
            <w:tab w:val="num" w:pos="1860"/>
          </w:tabs>
          <w:ind w:left="1140" w:firstLine="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plc="172AFF74">
        <w:start w:val="1"/>
        <w:numFmt w:val="decimal"/>
        <w:lvlText w:val="%4."/>
        <w:lvlJc w:val="left"/>
        <w:pPr>
          <w:tabs>
            <w:tab w:val="num" w:pos="2592"/>
          </w:tabs>
          <w:ind w:left="1872" w:firstLine="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plc="C700F7D8">
        <w:start w:val="1"/>
        <w:numFmt w:val="lowerLetter"/>
        <w:lvlText w:val="%5."/>
        <w:lvlJc w:val="left"/>
        <w:pPr>
          <w:tabs>
            <w:tab w:val="num" w:pos="3312"/>
          </w:tabs>
          <w:ind w:left="2592" w:firstLine="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plc="C1989882">
        <w:start w:val="1"/>
        <w:numFmt w:val="lowerRoman"/>
        <w:lvlText w:val="%6."/>
        <w:lvlJc w:val="left"/>
        <w:pPr>
          <w:tabs>
            <w:tab w:val="num" w:pos="4020"/>
          </w:tabs>
          <w:ind w:left="3300" w:firstLine="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plc="5C409956">
        <w:start w:val="1"/>
        <w:numFmt w:val="decimal"/>
        <w:lvlText w:val="%7."/>
        <w:lvlJc w:val="left"/>
        <w:pPr>
          <w:tabs>
            <w:tab w:val="num" w:pos="4752"/>
          </w:tabs>
          <w:ind w:left="4032" w:firstLine="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plc="0972A28A">
        <w:start w:val="1"/>
        <w:numFmt w:val="lowerLetter"/>
        <w:lvlText w:val="%8."/>
        <w:lvlJc w:val="left"/>
        <w:pPr>
          <w:tabs>
            <w:tab w:val="num" w:pos="5472"/>
          </w:tabs>
          <w:ind w:left="4752" w:firstLine="2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plc="1E3413B4">
        <w:start w:val="1"/>
        <w:numFmt w:val="lowerRoman"/>
        <w:lvlText w:val="%9."/>
        <w:lvlJc w:val="left"/>
        <w:pPr>
          <w:tabs>
            <w:tab w:val="num" w:pos="6180"/>
          </w:tabs>
          <w:ind w:left="5460" w:firstLine="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1">
    <w:abstractNumId w:val="5"/>
    <w:lvlOverride w:ilvl="0">
      <w:startOverride w:val="6"/>
    </w:lvlOverride>
  </w:num>
  <w:num w:numId="12">
    <w:abstractNumId w:val="2"/>
    <w:lvlOverride w:ilvl="0">
      <w:startOverride w:val="12"/>
    </w:lvlOverride>
  </w:num>
  <w:num w:numId="13">
    <w:abstractNumId w:val="5"/>
    <w:lvlOverride w:ilvl="0">
      <w:startOverride w:val="7"/>
    </w:lvlOverride>
  </w:num>
  <w:num w:numId="14">
    <w:abstractNumId w:val="2"/>
    <w:lvlOverride w:ilvl="0">
      <w:startOverride w:val="13"/>
    </w:lvlOverride>
  </w:num>
  <w:num w:numId="15">
    <w:abstractNumId w:val="11"/>
  </w:num>
  <w:num w:numId="16">
    <w:abstractNumId w:val="4"/>
  </w:num>
  <w:num w:numId="17">
    <w:abstractNumId w:val="3"/>
  </w:num>
  <w:num w:numId="18">
    <w:abstractNumId w:val="9"/>
  </w:num>
  <w:num w:numId="19">
    <w:abstractNumId w:val="4"/>
    <w:lvlOverride w:ilvl="0">
      <w:startOverride w:val="2"/>
    </w:lvlOverride>
  </w:num>
  <w:num w:numId="20">
    <w:abstractNumId w:val="7"/>
  </w:num>
  <w:num w:numId="21">
    <w:abstractNumId w:val="8"/>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51"/>
    <w:rsid w:val="0001295C"/>
    <w:rsid w:val="00015099"/>
    <w:rsid w:val="000462E8"/>
    <w:rsid w:val="00053A50"/>
    <w:rsid w:val="00054DD8"/>
    <w:rsid w:val="000643C0"/>
    <w:rsid w:val="000B06CC"/>
    <w:rsid w:val="000E4EFA"/>
    <w:rsid w:val="000E6000"/>
    <w:rsid w:val="001202B9"/>
    <w:rsid w:val="00126B1B"/>
    <w:rsid w:val="00136AB0"/>
    <w:rsid w:val="001438AC"/>
    <w:rsid w:val="001542A3"/>
    <w:rsid w:val="0016497B"/>
    <w:rsid w:val="001D26B1"/>
    <w:rsid w:val="001D36F5"/>
    <w:rsid w:val="001F11BE"/>
    <w:rsid w:val="001F6FF9"/>
    <w:rsid w:val="002161C6"/>
    <w:rsid w:val="0023372E"/>
    <w:rsid w:val="00246691"/>
    <w:rsid w:val="00255979"/>
    <w:rsid w:val="00295E4F"/>
    <w:rsid w:val="002B2578"/>
    <w:rsid w:val="00300724"/>
    <w:rsid w:val="00317003"/>
    <w:rsid w:val="0034135C"/>
    <w:rsid w:val="00354771"/>
    <w:rsid w:val="00362CFF"/>
    <w:rsid w:val="003918FB"/>
    <w:rsid w:val="003B5E84"/>
    <w:rsid w:val="003E783A"/>
    <w:rsid w:val="003F165E"/>
    <w:rsid w:val="00431DE8"/>
    <w:rsid w:val="00433982"/>
    <w:rsid w:val="00477ADC"/>
    <w:rsid w:val="004868B0"/>
    <w:rsid w:val="00501C0E"/>
    <w:rsid w:val="005116CE"/>
    <w:rsid w:val="00536EE3"/>
    <w:rsid w:val="00560FF8"/>
    <w:rsid w:val="00581351"/>
    <w:rsid w:val="005D4A6C"/>
    <w:rsid w:val="005E7565"/>
    <w:rsid w:val="005F138D"/>
    <w:rsid w:val="005F3C6E"/>
    <w:rsid w:val="00603EE7"/>
    <w:rsid w:val="006401C9"/>
    <w:rsid w:val="006718FA"/>
    <w:rsid w:val="00673F13"/>
    <w:rsid w:val="006763E0"/>
    <w:rsid w:val="006C1B70"/>
    <w:rsid w:val="00701C43"/>
    <w:rsid w:val="0072538B"/>
    <w:rsid w:val="00751028"/>
    <w:rsid w:val="00776A20"/>
    <w:rsid w:val="007947BA"/>
    <w:rsid w:val="00795351"/>
    <w:rsid w:val="0079573F"/>
    <w:rsid w:val="007E6CA7"/>
    <w:rsid w:val="007E7DF0"/>
    <w:rsid w:val="00823C8F"/>
    <w:rsid w:val="008272D1"/>
    <w:rsid w:val="00833540"/>
    <w:rsid w:val="0088628E"/>
    <w:rsid w:val="008A0E12"/>
    <w:rsid w:val="008D3380"/>
    <w:rsid w:val="008F5433"/>
    <w:rsid w:val="00914942"/>
    <w:rsid w:val="009626B8"/>
    <w:rsid w:val="0096608A"/>
    <w:rsid w:val="00987954"/>
    <w:rsid w:val="009A276B"/>
    <w:rsid w:val="009C3EF7"/>
    <w:rsid w:val="00A53F08"/>
    <w:rsid w:val="00A66433"/>
    <w:rsid w:val="00A675C6"/>
    <w:rsid w:val="00AA5C37"/>
    <w:rsid w:val="00AE730E"/>
    <w:rsid w:val="00B01E74"/>
    <w:rsid w:val="00B365F7"/>
    <w:rsid w:val="00B43A53"/>
    <w:rsid w:val="00B5797A"/>
    <w:rsid w:val="00BA54A6"/>
    <w:rsid w:val="00BB0A7B"/>
    <w:rsid w:val="00C256DE"/>
    <w:rsid w:val="00C70BCB"/>
    <w:rsid w:val="00C73605"/>
    <w:rsid w:val="00C932BE"/>
    <w:rsid w:val="00CE29D1"/>
    <w:rsid w:val="00D07449"/>
    <w:rsid w:val="00D16583"/>
    <w:rsid w:val="00D66E0E"/>
    <w:rsid w:val="00D77DBD"/>
    <w:rsid w:val="00DB1A79"/>
    <w:rsid w:val="00DE24DB"/>
    <w:rsid w:val="00DF7623"/>
    <w:rsid w:val="00E05402"/>
    <w:rsid w:val="00E27EF5"/>
    <w:rsid w:val="00E37761"/>
    <w:rsid w:val="00E46547"/>
    <w:rsid w:val="00E9612C"/>
    <w:rsid w:val="00EB05E9"/>
    <w:rsid w:val="00EB19F1"/>
    <w:rsid w:val="00EC3701"/>
    <w:rsid w:val="00F224FE"/>
    <w:rsid w:val="00F26562"/>
    <w:rsid w:val="00F268E6"/>
    <w:rsid w:val="00F30A19"/>
    <w:rsid w:val="00F67689"/>
    <w:rsid w:val="00F80686"/>
    <w:rsid w:val="00FA2E9B"/>
    <w:rsid w:val="00FA6445"/>
    <w:rsid w:val="00FC56BE"/>
    <w:rsid w:val="00FE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19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lang w:val="pt-PT" w:eastAsia="es-MX"/>
    </w:rPr>
  </w:style>
  <w:style w:type="paragraph" w:styleId="Footer">
    <w:name w:val="footer"/>
    <w:pPr>
      <w:pBdr>
        <w:top w:val="nil"/>
        <w:left w:val="nil"/>
        <w:bottom w:val="nil"/>
        <w:right w:val="nil"/>
        <w:between w:val="nil"/>
        <w:bar w:val="nil"/>
      </w:pBdr>
      <w:tabs>
        <w:tab w:val="center" w:pos="4680"/>
        <w:tab w:val="right" w:pos="9360"/>
      </w:tabs>
    </w:pPr>
    <w:rPr>
      <w:rFonts w:ascii="Calibri" w:eastAsia="Calibri" w:hAnsi="Calibri" w:cs="Calibri"/>
      <w:color w:val="000000"/>
      <w:sz w:val="22"/>
      <w:szCs w:val="22"/>
      <w:u w:color="000000"/>
      <w:bdr w:val="nil"/>
      <w:lang w:val="pt-PT" w:eastAsia="es-MX"/>
    </w:rPr>
  </w:style>
  <w:style w:type="paragraph" w:customStyle="1" w:styleId="CabealhoeRodap">
    <w:name w:val="Cabeçalho e Rodapé"/>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val="es-MX" w:eastAsia="es-MX"/>
    </w:rPr>
  </w:style>
  <w:style w:type="paragraph" w:styleId="NoSpacing">
    <w:name w:val="No Spacing"/>
    <w:pPr>
      <w:pBdr>
        <w:top w:val="nil"/>
        <w:left w:val="nil"/>
        <w:bottom w:val="nil"/>
        <w:right w:val="nil"/>
        <w:between w:val="nil"/>
        <w:bar w:val="nil"/>
      </w:pBdr>
    </w:pPr>
    <w:rPr>
      <w:rFonts w:ascii="Calibri" w:eastAsia="Calibri" w:hAnsi="Calibri" w:cs="Calibri"/>
      <w:color w:val="000000"/>
      <w:sz w:val="22"/>
      <w:szCs w:val="22"/>
      <w:u w:color="000000"/>
      <w:bdr w:val="nil"/>
      <w:lang w:val="pt-PT" w:eastAsia="es-MX"/>
    </w:rPr>
  </w:style>
  <w:style w:type="paragraph" w:customStyle="1" w:styleId="Corpo">
    <w:name w:val="Corpo"/>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1">
    <w:name w:val="Estilo Importado 1"/>
    <w:pPr>
      <w:numPr>
        <w:numId w:val="1"/>
      </w:numPr>
    </w:pPr>
  </w:style>
  <w:style w:type="character" w:customStyle="1" w:styleId="Link">
    <w:name w:val="Link"/>
    <w:rPr>
      <w:color w:val="0000FF"/>
      <w:u w:val="single" w:color="0000FF"/>
    </w:rPr>
  </w:style>
  <w:style w:type="character" w:customStyle="1" w:styleId="Hyperlink0">
    <w:name w:val="Hyperlink.0"/>
    <w:rPr>
      <w:color w:val="000000"/>
      <w:u w:val="single" w:color="000000"/>
      <w:lang w:val="es-ES_tradnl"/>
    </w:rPr>
  </w:style>
  <w:style w:type="paragraph" w:customStyle="1" w:styleId="Padro">
    <w:name w:val="Padrão"/>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paragraph" w:styleId="ListParagraph">
    <w:name w:val="List Paragraph"/>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s-MX"/>
    </w:rPr>
  </w:style>
  <w:style w:type="numbering" w:customStyle="1" w:styleId="EstiloImportado2">
    <w:name w:val="Estilo Importado 2"/>
    <w:pPr>
      <w:numPr>
        <w:numId w:val="5"/>
      </w:numPr>
    </w:pPr>
  </w:style>
  <w:style w:type="paragraph" w:customStyle="1" w:styleId="Default">
    <w:name w:val="Default"/>
    <w:pPr>
      <w:pBdr>
        <w:top w:val="nil"/>
        <w:left w:val="nil"/>
        <w:bottom w:val="nil"/>
        <w:right w:val="nil"/>
        <w:between w:val="nil"/>
        <w:bar w:val="nil"/>
      </w:pBdr>
    </w:pPr>
    <w:rPr>
      <w:rFonts w:ascii="Arial" w:hAnsi="Arial" w:cs="Arial Unicode MS"/>
      <w:color w:val="000000"/>
      <w:sz w:val="24"/>
      <w:szCs w:val="24"/>
      <w:u w:color="000000"/>
      <w:bdr w:val="nil"/>
      <w:lang w:eastAsia="es-MX"/>
    </w:rPr>
  </w:style>
  <w:style w:type="paragraph" w:styleId="FootnoteText">
    <w:name w:val="footnote text"/>
    <w:pPr>
      <w:pBdr>
        <w:top w:val="nil"/>
        <w:left w:val="nil"/>
        <w:bottom w:val="nil"/>
        <w:right w:val="nil"/>
        <w:between w:val="nil"/>
        <w:bar w:val="nil"/>
      </w:pBdr>
    </w:pPr>
    <w:rPr>
      <w:rFonts w:eastAsia="Times New Roman"/>
      <w:color w:val="000000"/>
      <w:u w:color="000000"/>
      <w:bdr w:val="nil"/>
      <w:lang w:eastAsia="es-MX"/>
    </w:rPr>
  </w:style>
  <w:style w:type="character" w:customStyle="1" w:styleId="Hyperlink1">
    <w:name w:val="Hyperlink.1"/>
    <w:rPr>
      <w:rFonts w:ascii="Cambria" w:eastAsia="Cambria" w:hAnsi="Cambria" w:cs="Cambria"/>
      <w:color w:val="000000"/>
      <w:sz w:val="16"/>
      <w:szCs w:val="16"/>
      <w:u w:val="single" w:color="000000"/>
      <w:lang w:val="es-ES_tradnl"/>
    </w:rPr>
  </w:style>
  <w:style w:type="numbering" w:customStyle="1" w:styleId="EstiloImportado3">
    <w:name w:val="Estilo Importado 3"/>
    <w:pPr>
      <w:numPr>
        <w:numId w:val="15"/>
      </w:numPr>
    </w:pPr>
  </w:style>
  <w:style w:type="numbering" w:customStyle="1" w:styleId="EstiloImportado4">
    <w:name w:val="Estilo Importado 4"/>
    <w:pPr>
      <w:numPr>
        <w:numId w:val="17"/>
      </w:numPr>
    </w:pPr>
  </w:style>
  <w:style w:type="numbering" w:customStyle="1" w:styleId="EstiloImportado5">
    <w:name w:val="Estilo Importado 5"/>
    <w:pPr>
      <w:numPr>
        <w:numId w:val="20"/>
      </w:numPr>
    </w:pPr>
  </w:style>
  <w:style w:type="numbering" w:customStyle="1" w:styleId="EstiloImportado6">
    <w:name w:val="Estilo Importado 6"/>
    <w:pPr>
      <w:numPr>
        <w:numId w:val="22"/>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val="en-US" w:eastAsia="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6C1B70"/>
    <w:rPr>
      <w:rFonts w:ascii="Tahoma" w:hAnsi="Tahoma" w:cs="Tahoma"/>
      <w:sz w:val="16"/>
      <w:szCs w:val="16"/>
    </w:rPr>
  </w:style>
  <w:style w:type="character" w:customStyle="1" w:styleId="BalloonTextChar">
    <w:name w:val="Balloon Text Char"/>
    <w:link w:val="BalloonText"/>
    <w:uiPriority w:val="99"/>
    <w:semiHidden/>
    <w:rsid w:val="006C1B70"/>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3B5E84"/>
    <w:rPr>
      <w:b/>
      <w:bCs/>
    </w:rPr>
  </w:style>
  <w:style w:type="character" w:customStyle="1" w:styleId="CommentSubjectChar">
    <w:name w:val="Comment Subject Char"/>
    <w:link w:val="CommentSubject"/>
    <w:uiPriority w:val="99"/>
    <w:semiHidden/>
    <w:rsid w:val="003B5E84"/>
    <w:rPr>
      <w:b/>
      <w:bCs/>
      <w:lang w:val="en-US" w:eastAsia="en-US"/>
    </w:rPr>
  </w:style>
  <w:style w:type="character" w:styleId="FootnoteReference">
    <w:name w:val="footnote reference"/>
    <w:uiPriority w:val="99"/>
    <w:semiHidden/>
    <w:unhideWhenUsed/>
    <w:rsid w:val="00054DD8"/>
    <w:rPr>
      <w:vertAlign w:val="superscript"/>
    </w:rPr>
  </w:style>
  <w:style w:type="paragraph" w:styleId="BlockText">
    <w:name w:val="Block Text"/>
    <w:basedOn w:val="Normal"/>
    <w:uiPriority w:val="99"/>
    <w:rsid w:val="009149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character" w:customStyle="1" w:styleId="HeaderChar">
    <w:name w:val="Header Char"/>
    <w:link w:val="Header"/>
    <w:uiPriority w:val="99"/>
    <w:rsid w:val="00433982"/>
    <w:rPr>
      <w:rFonts w:ascii="Calibri" w:eastAsia="Calibri" w:hAnsi="Calibri" w:cs="Calibri"/>
      <w:color w:val="000000"/>
      <w:sz w:val="22"/>
      <w:szCs w:val="22"/>
      <w:u w:color="000000"/>
      <w:bdr w:val="nil"/>
      <w:lang w:val="pt-PT"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idh.oas.org/annualrep/2000sp/CapituloIII/Fondo/Colombia11.712.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docs/anual/2016/docs/InformeAnual2016cap2Dseguimiento-es.docx" TargetMode="External"/><Relationship Id="rId6" Type="http://schemas.openxmlformats.org/officeDocument/2006/relationships/hyperlink" Target="http://www.oas.org/es/cidh/docs/anual/2017/docs/IA2017cap.2-es.pdf"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FAEC8F25-B44E-43A8-8F5E-FE42C0715F7A}">
  <ds:schemaRefs>
    <ds:schemaRef ds:uri="http://schemas.openxmlformats.org/officeDocument/2006/bibliography"/>
  </ds:schemaRefs>
</ds:datastoreItem>
</file>

<file path=customXml/itemProps2.xml><?xml version="1.0" encoding="utf-8"?>
<ds:datastoreItem xmlns:ds="http://schemas.openxmlformats.org/officeDocument/2006/customXml" ds:itemID="{7EE152F9-6A1E-40C4-AA11-3ACA762E8A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24418</CharactersWithSpaces>
  <SharedDoc>false</SharedDoc>
  <HLinks>
    <vt:vector size="42" baseType="variant">
      <vt:variant>
        <vt:i4>5111896</vt:i4>
      </vt:variant>
      <vt:variant>
        <vt:i4>0</vt:i4>
      </vt:variant>
      <vt:variant>
        <vt:i4>0</vt:i4>
      </vt:variant>
      <vt:variant>
        <vt:i4>5</vt:i4>
      </vt:variant>
      <vt:variant>
        <vt:lpwstr>http://www.cidh.oas.org/annualrep/2000sp/CapituloIII/Fondo/Colombia11.712.htm</vt:lpwstr>
      </vt:variant>
      <vt:variant>
        <vt:lpwstr/>
      </vt:variant>
      <vt:variant>
        <vt:i4>3276841</vt:i4>
      </vt:variant>
      <vt:variant>
        <vt:i4>15</vt:i4>
      </vt:variant>
      <vt:variant>
        <vt:i4>0</vt:i4>
      </vt:variant>
      <vt:variant>
        <vt:i4>5</vt:i4>
      </vt:variant>
      <vt:variant>
        <vt:lpwstr>http://www.oas.org/es/cidh/docs/anual/2017/docs/IA2017cap.2-es.pdf</vt:lpwstr>
      </vt:variant>
      <vt:variant>
        <vt:lpwstr/>
      </vt:variant>
      <vt:variant>
        <vt:i4>3276841</vt:i4>
      </vt:variant>
      <vt:variant>
        <vt:i4>12</vt:i4>
      </vt:variant>
      <vt:variant>
        <vt:i4>0</vt:i4>
      </vt:variant>
      <vt:variant>
        <vt:i4>5</vt:i4>
      </vt:variant>
      <vt:variant>
        <vt:lpwstr>http://www.oas.org/es/cidh/docs/anual/2017/docs/IA2017cap.2-es.pdf</vt:lpwstr>
      </vt:variant>
      <vt:variant>
        <vt:lpwstr/>
      </vt:variant>
      <vt:variant>
        <vt:i4>3276841</vt:i4>
      </vt:variant>
      <vt:variant>
        <vt:i4>9</vt:i4>
      </vt:variant>
      <vt:variant>
        <vt:i4>0</vt:i4>
      </vt:variant>
      <vt:variant>
        <vt:i4>5</vt:i4>
      </vt:variant>
      <vt:variant>
        <vt:lpwstr>http://www.oas.org/es/cidh/docs/anual/2017/docs/IA2017cap.2-es.pdf</vt:lpwstr>
      </vt:variant>
      <vt:variant>
        <vt:lpwstr/>
      </vt:variant>
      <vt:variant>
        <vt:i4>3276841</vt:i4>
      </vt:variant>
      <vt:variant>
        <vt:i4>6</vt:i4>
      </vt:variant>
      <vt:variant>
        <vt:i4>0</vt:i4>
      </vt:variant>
      <vt:variant>
        <vt:i4>5</vt:i4>
      </vt:variant>
      <vt:variant>
        <vt:lpwstr>http://www.oas.org/es/cidh/docs/anual/2017/docs/IA2017cap.2-es.pdf</vt:lpwstr>
      </vt:variant>
      <vt:variant>
        <vt:lpwstr/>
      </vt:variant>
      <vt:variant>
        <vt:i4>3276841</vt:i4>
      </vt:variant>
      <vt:variant>
        <vt:i4>3</vt:i4>
      </vt:variant>
      <vt:variant>
        <vt:i4>0</vt:i4>
      </vt:variant>
      <vt:variant>
        <vt:i4>5</vt:i4>
      </vt:variant>
      <vt:variant>
        <vt:lpwstr>http://www.oas.org/es/cidh/docs/anual/2017/docs/IA2017cap.2-es.pdf</vt:lpwstr>
      </vt:variant>
      <vt:variant>
        <vt:lpwstr/>
      </vt:variant>
      <vt:variant>
        <vt:i4>5898267</vt:i4>
      </vt:variant>
      <vt:variant>
        <vt:i4>0</vt:i4>
      </vt:variant>
      <vt:variant>
        <vt:i4>0</vt:i4>
      </vt:variant>
      <vt:variant>
        <vt:i4>5</vt:i4>
      </vt:variant>
      <vt:variant>
        <vt:lpwstr>http://www.oas.org/es/cidh/docs/anual/2016/docs/InformeAnual2016cap2Dseguimiento-es.docx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2022-03-22T13:57:00Z</dcterms:created>
  <dcterms:modified xsi:type="dcterms:W3CDTF">2022-03-22T13:57:00Z</dcterms:modified>
</cp:coreProperties>
</file>