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D3737" w14:textId="77777777" w:rsidR="00C73177" w:rsidRPr="00A272A0" w:rsidRDefault="001D7470" w:rsidP="001D7470">
      <w:pPr>
        <w:spacing w:after="0"/>
        <w:ind w:leftChars="0" w:left="0" w:firstLineChars="0" w:firstLine="0"/>
        <w:jc w:val="center"/>
        <w:rPr>
          <w:rFonts w:asciiTheme="minorHAnsi" w:eastAsia="Cambria" w:hAnsiTheme="minorHAnsi" w:cs="Cambria"/>
          <w:color w:val="000000" w:themeColor="text1"/>
          <w:sz w:val="20"/>
          <w:szCs w:val="20"/>
          <w:lang w:val="es-CO"/>
        </w:rPr>
      </w:pPr>
      <w:r w:rsidRPr="00A272A0">
        <w:rPr>
          <w:rFonts w:asciiTheme="minorHAnsi" w:eastAsia="Cambria" w:hAnsiTheme="minorHAnsi" w:cs="Cambria"/>
          <w:b/>
          <w:color w:val="000000" w:themeColor="text1"/>
          <w:sz w:val="20"/>
          <w:szCs w:val="20"/>
          <w:lang w:val="es-CO"/>
        </w:rPr>
        <w:t>FICHA DE SEGUIMIENTO DEL INFORME Nº 79/11</w:t>
      </w:r>
    </w:p>
    <w:p w14:paraId="530C1DE8" w14:textId="77777777" w:rsidR="00C73177" w:rsidRPr="00A272A0" w:rsidRDefault="001D7470">
      <w:pPr>
        <w:spacing w:after="0"/>
        <w:ind w:left="0" w:hanging="2"/>
        <w:jc w:val="center"/>
        <w:rPr>
          <w:rFonts w:asciiTheme="minorHAnsi" w:eastAsia="Cambria" w:hAnsiTheme="minorHAnsi" w:cs="Cambria"/>
          <w:color w:val="000000" w:themeColor="text1"/>
          <w:sz w:val="20"/>
          <w:szCs w:val="20"/>
          <w:lang w:val="es-CO"/>
        </w:rPr>
      </w:pPr>
      <w:r w:rsidRPr="00A272A0">
        <w:rPr>
          <w:rFonts w:asciiTheme="minorHAnsi" w:eastAsia="Cambria" w:hAnsiTheme="minorHAnsi" w:cs="Cambria"/>
          <w:b/>
          <w:color w:val="000000" w:themeColor="text1"/>
          <w:sz w:val="20"/>
          <w:szCs w:val="20"/>
          <w:lang w:val="es-CO"/>
        </w:rPr>
        <w:t>CASO 10.916</w:t>
      </w:r>
    </w:p>
    <w:p w14:paraId="12E440D3" w14:textId="77777777" w:rsidR="00C73177" w:rsidRPr="00A272A0" w:rsidRDefault="001D7470">
      <w:pPr>
        <w:spacing w:after="0"/>
        <w:ind w:left="0" w:hanging="2"/>
        <w:jc w:val="center"/>
        <w:rPr>
          <w:rFonts w:asciiTheme="minorHAnsi" w:eastAsia="Cambria" w:hAnsiTheme="minorHAnsi" w:cs="Cambria"/>
          <w:color w:val="000000" w:themeColor="text1"/>
          <w:sz w:val="20"/>
          <w:szCs w:val="20"/>
          <w:lang w:val="es-CO"/>
        </w:rPr>
      </w:pPr>
      <w:r w:rsidRPr="00A272A0">
        <w:rPr>
          <w:rFonts w:asciiTheme="minorHAnsi" w:eastAsia="Cambria" w:hAnsiTheme="minorHAnsi" w:cs="Cambria"/>
          <w:b/>
          <w:color w:val="000000" w:themeColor="text1"/>
          <w:sz w:val="20"/>
          <w:szCs w:val="20"/>
          <w:lang w:val="es-CO"/>
        </w:rPr>
        <w:t>JAMES ZAPATA VALENCIA Y JOSÉ HERIBERTO RAMÍREZ</w:t>
      </w:r>
    </w:p>
    <w:p w14:paraId="59979593" w14:textId="77777777" w:rsidR="00C73177" w:rsidRPr="00A272A0" w:rsidRDefault="001D7470">
      <w:pPr>
        <w:spacing w:after="0"/>
        <w:ind w:left="0" w:hanging="2"/>
        <w:jc w:val="center"/>
        <w:rPr>
          <w:rFonts w:asciiTheme="minorHAnsi" w:eastAsia="Cambria" w:hAnsiTheme="minorHAnsi" w:cs="Cambria"/>
          <w:color w:val="000000" w:themeColor="text1"/>
          <w:sz w:val="20"/>
          <w:szCs w:val="20"/>
          <w:lang w:val="es-CO"/>
        </w:rPr>
      </w:pPr>
      <w:r w:rsidRPr="00A272A0">
        <w:rPr>
          <w:rFonts w:asciiTheme="minorHAnsi" w:eastAsia="Cambria" w:hAnsiTheme="minorHAnsi" w:cs="Cambria"/>
          <w:b/>
          <w:color w:val="000000" w:themeColor="text1"/>
          <w:sz w:val="20"/>
          <w:szCs w:val="20"/>
          <w:lang w:val="es-CO"/>
        </w:rPr>
        <w:t>(Colombia)</w:t>
      </w:r>
    </w:p>
    <w:p w14:paraId="275207B7" w14:textId="77777777" w:rsidR="00C73177" w:rsidRPr="00A272A0" w:rsidRDefault="00C73177">
      <w:pPr>
        <w:ind w:left="0" w:hanging="2"/>
        <w:jc w:val="center"/>
        <w:rPr>
          <w:rFonts w:asciiTheme="minorHAnsi" w:eastAsia="Cambria" w:hAnsiTheme="minorHAnsi" w:cs="Cambria"/>
          <w:color w:val="000000" w:themeColor="text1"/>
          <w:sz w:val="20"/>
          <w:szCs w:val="20"/>
          <w:lang w:val="es-CO"/>
        </w:rPr>
      </w:pPr>
    </w:p>
    <w:p w14:paraId="10FEACC2" w14:textId="77777777" w:rsidR="00C73177" w:rsidRPr="00A272A0" w:rsidRDefault="001D7470">
      <w:pPr>
        <w:numPr>
          <w:ilvl w:val="0"/>
          <w:numId w:val="10"/>
        </w:numPr>
        <w:spacing w:after="0" w:line="240" w:lineRule="auto"/>
        <w:ind w:left="0" w:hanging="2"/>
        <w:rPr>
          <w:rFonts w:asciiTheme="minorHAnsi" w:eastAsia="Cambria" w:hAnsiTheme="minorHAnsi" w:cs="Cambria"/>
          <w:color w:val="000000" w:themeColor="text1"/>
          <w:sz w:val="20"/>
          <w:szCs w:val="20"/>
        </w:rPr>
      </w:pPr>
      <w:r w:rsidRPr="00A272A0">
        <w:rPr>
          <w:rFonts w:asciiTheme="minorHAnsi" w:eastAsia="Cambria" w:hAnsiTheme="minorHAnsi" w:cs="Cambria"/>
          <w:b/>
          <w:color w:val="000000" w:themeColor="text1"/>
          <w:sz w:val="20"/>
          <w:szCs w:val="20"/>
        </w:rPr>
        <w:t xml:space="preserve">Resumen del caso </w:t>
      </w:r>
    </w:p>
    <w:p w14:paraId="15364793" w14:textId="77777777" w:rsidR="00C73177" w:rsidRPr="00A272A0" w:rsidRDefault="00C73177">
      <w:pPr>
        <w:spacing w:after="0" w:line="240" w:lineRule="auto"/>
        <w:ind w:left="0" w:hanging="2"/>
        <w:rPr>
          <w:rFonts w:asciiTheme="minorHAnsi" w:eastAsia="Cambria" w:hAnsiTheme="minorHAnsi" w:cs="Cambria"/>
          <w:color w:val="000000" w:themeColor="text1"/>
          <w:sz w:val="20"/>
          <w:szCs w:val="20"/>
        </w:rPr>
      </w:pPr>
    </w:p>
    <w:tbl>
      <w:tblPr>
        <w:tblStyle w:val="a"/>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576"/>
      </w:tblGrid>
      <w:tr w:rsidR="00A272A0" w:rsidRPr="00A272A0" w14:paraId="62A65078" w14:textId="77777777">
        <w:trPr>
          <w:trHeight w:val="555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E64959D" w14:textId="77777777" w:rsidR="00C73177" w:rsidRPr="00A272A0" w:rsidRDefault="001D7470">
            <w:pPr>
              <w:spacing w:before="120" w:after="0" w:line="240" w:lineRule="auto"/>
              <w:ind w:left="0" w:hanging="2"/>
              <w:jc w:val="both"/>
              <w:rPr>
                <w:rFonts w:asciiTheme="minorHAnsi" w:eastAsia="Cambria" w:hAnsiTheme="minorHAnsi" w:cs="Cambria"/>
                <w:color w:val="000000" w:themeColor="text1"/>
                <w:sz w:val="20"/>
                <w:szCs w:val="20"/>
              </w:rPr>
            </w:pPr>
            <w:r w:rsidRPr="00A272A0">
              <w:rPr>
                <w:rFonts w:asciiTheme="minorHAnsi" w:eastAsia="Cambria" w:hAnsiTheme="minorHAnsi" w:cs="Cambria"/>
                <w:b/>
                <w:color w:val="000000" w:themeColor="text1"/>
                <w:sz w:val="20"/>
                <w:szCs w:val="20"/>
              </w:rPr>
              <w:t>Víctima (s):</w:t>
            </w:r>
            <w:r w:rsidRPr="00A272A0">
              <w:rPr>
                <w:rFonts w:asciiTheme="minorHAnsi" w:eastAsia="Cambria" w:hAnsiTheme="minorHAnsi" w:cs="Cambria"/>
                <w:color w:val="000000" w:themeColor="text1"/>
                <w:sz w:val="20"/>
                <w:szCs w:val="20"/>
              </w:rPr>
              <w:t xml:space="preserve"> James Zapata Valencia, José Heriberto Ramírez Llanos</w:t>
            </w:r>
          </w:p>
          <w:p w14:paraId="53CC7F40" w14:textId="77777777" w:rsidR="00C73177" w:rsidRPr="00A272A0" w:rsidRDefault="001D7470">
            <w:pPr>
              <w:spacing w:after="0" w:line="240" w:lineRule="auto"/>
              <w:ind w:left="0" w:hanging="2"/>
              <w:jc w:val="both"/>
              <w:rPr>
                <w:rFonts w:asciiTheme="minorHAnsi" w:eastAsia="Cambria" w:hAnsiTheme="minorHAnsi" w:cs="Cambria"/>
                <w:color w:val="000000" w:themeColor="text1"/>
                <w:sz w:val="20"/>
                <w:szCs w:val="20"/>
                <w:lang w:val="es-CO"/>
              </w:rPr>
            </w:pPr>
            <w:r w:rsidRPr="00A272A0">
              <w:rPr>
                <w:rFonts w:asciiTheme="minorHAnsi" w:eastAsia="Cambria" w:hAnsiTheme="minorHAnsi" w:cs="Cambria"/>
                <w:b/>
                <w:color w:val="000000" w:themeColor="text1"/>
                <w:sz w:val="20"/>
                <w:szCs w:val="20"/>
                <w:lang w:val="es-CO"/>
              </w:rPr>
              <w:t xml:space="preserve">Peticionario (s): </w:t>
            </w:r>
            <w:r w:rsidRPr="00A272A0">
              <w:rPr>
                <w:rFonts w:asciiTheme="minorHAnsi" w:eastAsia="Cambria" w:hAnsiTheme="minorHAnsi" w:cs="Cambria"/>
                <w:color w:val="000000" w:themeColor="text1"/>
                <w:sz w:val="20"/>
                <w:szCs w:val="20"/>
                <w:lang w:val="es-CO"/>
              </w:rPr>
              <w:t>Comisión Colombiana de Juristas (CCJ), Maricela Valencia de Zapata</w:t>
            </w:r>
          </w:p>
          <w:p w14:paraId="673AA492" w14:textId="77777777" w:rsidR="00C73177" w:rsidRPr="00A272A0" w:rsidRDefault="001D7470">
            <w:pPr>
              <w:spacing w:after="0" w:line="240" w:lineRule="auto"/>
              <w:ind w:left="0" w:hanging="2"/>
              <w:jc w:val="both"/>
              <w:rPr>
                <w:rFonts w:asciiTheme="minorHAnsi" w:eastAsia="Cambria" w:hAnsiTheme="minorHAnsi" w:cs="Cambria"/>
                <w:color w:val="000000" w:themeColor="text1"/>
                <w:sz w:val="20"/>
                <w:szCs w:val="20"/>
                <w:lang w:val="es-CO"/>
              </w:rPr>
            </w:pPr>
            <w:r w:rsidRPr="00A272A0">
              <w:rPr>
                <w:rFonts w:asciiTheme="minorHAnsi" w:eastAsia="Cambria" w:hAnsiTheme="minorHAnsi" w:cs="Cambria"/>
                <w:b/>
                <w:color w:val="000000" w:themeColor="text1"/>
                <w:sz w:val="20"/>
                <w:szCs w:val="20"/>
                <w:lang w:val="es-CO"/>
              </w:rPr>
              <w:t>Estado:</w:t>
            </w:r>
            <w:r w:rsidRPr="00A272A0">
              <w:rPr>
                <w:rFonts w:asciiTheme="minorHAnsi" w:eastAsia="Cambria" w:hAnsiTheme="minorHAnsi" w:cs="Cambria"/>
                <w:color w:val="000000" w:themeColor="text1"/>
                <w:sz w:val="20"/>
                <w:szCs w:val="20"/>
                <w:lang w:val="es-CO"/>
              </w:rPr>
              <w:t xml:space="preserve"> Colombia</w:t>
            </w:r>
          </w:p>
          <w:p w14:paraId="4FC86B93" w14:textId="77777777" w:rsidR="00C73177" w:rsidRPr="00A272A0" w:rsidRDefault="001D7470">
            <w:pPr>
              <w:spacing w:after="0" w:line="240" w:lineRule="auto"/>
              <w:ind w:left="0" w:hanging="2"/>
              <w:jc w:val="both"/>
              <w:rPr>
                <w:rFonts w:asciiTheme="minorHAnsi" w:eastAsia="Cambria" w:hAnsiTheme="minorHAnsi" w:cs="Cambria"/>
                <w:color w:val="000000" w:themeColor="text1"/>
                <w:sz w:val="20"/>
                <w:szCs w:val="20"/>
                <w:lang w:val="es-CO"/>
              </w:rPr>
            </w:pPr>
            <w:bookmarkStart w:id="0" w:name="_heading=h.gjdgxs" w:colFirst="0" w:colLast="0"/>
            <w:bookmarkEnd w:id="0"/>
            <w:r w:rsidRPr="00A272A0">
              <w:rPr>
                <w:rFonts w:asciiTheme="minorHAnsi" w:eastAsia="Cambria" w:hAnsiTheme="minorHAnsi" w:cs="Cambria"/>
                <w:b/>
                <w:color w:val="000000" w:themeColor="text1"/>
                <w:sz w:val="20"/>
                <w:szCs w:val="20"/>
                <w:lang w:val="es-CO"/>
              </w:rPr>
              <w:t xml:space="preserve">Informe de Fondo Nº: </w:t>
            </w:r>
            <w:hyperlink r:id="rId8">
              <w:r w:rsidRPr="00A272A0">
                <w:rPr>
                  <w:rFonts w:asciiTheme="minorHAnsi" w:eastAsia="Cambria" w:hAnsiTheme="minorHAnsi" w:cs="Cambria"/>
                  <w:color w:val="000000" w:themeColor="text1"/>
                  <w:sz w:val="20"/>
                  <w:szCs w:val="20"/>
                  <w:u w:val="single"/>
                  <w:lang w:val="es-CO"/>
                </w:rPr>
                <w:t>79/11</w:t>
              </w:r>
            </w:hyperlink>
            <w:r w:rsidRPr="00A272A0">
              <w:rPr>
                <w:rFonts w:asciiTheme="minorHAnsi" w:eastAsia="Cambria" w:hAnsiTheme="minorHAnsi" w:cs="Cambria"/>
                <w:color w:val="000000" w:themeColor="text1"/>
                <w:sz w:val="20"/>
                <w:szCs w:val="20"/>
                <w:lang w:val="es-CO"/>
              </w:rPr>
              <w:t>, publicado el 21 de julio de 2011</w:t>
            </w:r>
          </w:p>
          <w:p w14:paraId="56D3CDE1" w14:textId="77777777" w:rsidR="00C73177" w:rsidRPr="00A272A0" w:rsidRDefault="001D7470">
            <w:pPr>
              <w:spacing w:after="0" w:line="240" w:lineRule="auto"/>
              <w:ind w:left="0" w:hanging="2"/>
              <w:jc w:val="both"/>
              <w:rPr>
                <w:rFonts w:asciiTheme="minorHAnsi" w:eastAsia="Cambria" w:hAnsiTheme="minorHAnsi" w:cs="Cambria"/>
                <w:color w:val="000000" w:themeColor="text1"/>
                <w:sz w:val="20"/>
                <w:szCs w:val="20"/>
                <w:lang w:val="es-CO"/>
              </w:rPr>
            </w:pPr>
            <w:r w:rsidRPr="00A272A0">
              <w:rPr>
                <w:rFonts w:asciiTheme="minorHAnsi" w:eastAsia="Cambria" w:hAnsiTheme="minorHAnsi" w:cs="Cambria"/>
                <w:b/>
                <w:color w:val="000000" w:themeColor="text1"/>
                <w:sz w:val="20"/>
                <w:szCs w:val="20"/>
                <w:lang w:val="es-CO"/>
              </w:rPr>
              <w:t xml:space="preserve">Informe de Admisibilidad Nº: </w:t>
            </w:r>
            <w:hyperlink r:id="rId9">
              <w:r w:rsidRPr="00A272A0">
                <w:rPr>
                  <w:rFonts w:asciiTheme="minorHAnsi" w:eastAsia="Cambria" w:hAnsiTheme="minorHAnsi" w:cs="Cambria"/>
                  <w:color w:val="000000" w:themeColor="text1"/>
                  <w:sz w:val="20"/>
                  <w:szCs w:val="20"/>
                  <w:u w:val="single"/>
                  <w:lang w:val="es-CO"/>
                </w:rPr>
                <w:t>100/99</w:t>
              </w:r>
            </w:hyperlink>
            <w:r w:rsidRPr="00A272A0">
              <w:rPr>
                <w:rFonts w:asciiTheme="minorHAnsi" w:eastAsia="Cambria" w:hAnsiTheme="minorHAnsi" w:cs="Cambria"/>
                <w:color w:val="000000" w:themeColor="text1"/>
                <w:sz w:val="20"/>
                <w:szCs w:val="20"/>
                <w:lang w:val="es-CO"/>
              </w:rPr>
              <w:t>, publicado el 27 de septiembre de 1999</w:t>
            </w:r>
          </w:p>
          <w:p w14:paraId="168E04A9" w14:textId="77777777" w:rsidR="00C73177" w:rsidRPr="00A272A0" w:rsidRDefault="001D7470">
            <w:pPr>
              <w:spacing w:after="120" w:line="240" w:lineRule="auto"/>
              <w:ind w:left="0" w:hanging="2"/>
              <w:jc w:val="both"/>
              <w:rPr>
                <w:rFonts w:asciiTheme="minorHAnsi" w:eastAsia="Cambria" w:hAnsiTheme="minorHAnsi" w:cs="Cambria"/>
                <w:color w:val="000000" w:themeColor="text1"/>
                <w:sz w:val="20"/>
                <w:szCs w:val="20"/>
                <w:lang w:val="es-CO"/>
              </w:rPr>
            </w:pPr>
            <w:r w:rsidRPr="00A272A0">
              <w:rPr>
                <w:rFonts w:asciiTheme="minorHAnsi" w:eastAsia="Cambria" w:hAnsiTheme="minorHAnsi" w:cs="Cambria"/>
                <w:b/>
                <w:color w:val="000000" w:themeColor="text1"/>
                <w:sz w:val="20"/>
                <w:szCs w:val="20"/>
                <w:lang w:val="es-CO"/>
              </w:rPr>
              <w:t>Temas:</w:t>
            </w:r>
            <w:r w:rsidRPr="00A272A0">
              <w:rPr>
                <w:rFonts w:asciiTheme="minorHAnsi" w:eastAsia="Cambria" w:hAnsiTheme="minorHAnsi" w:cs="Cambria"/>
                <w:color w:val="000000" w:themeColor="text1"/>
                <w:sz w:val="20"/>
                <w:szCs w:val="20"/>
                <w:lang w:val="es-CO"/>
              </w:rPr>
              <w:t xml:space="preserve"> Derecho a la Vida / Derecho a la Integridad Personal / Derecho a la Libertad Personal / Derechos de Niñas, Niños y Adolescentes / Garantías Judiciales / Protección Judicial / Investigación y Debida Diligencia / Desaparición Forzada / Tortura, Tratos Crueles, Inhumanos y/o Degradantes / Detención Arbitraria</w:t>
            </w:r>
          </w:p>
          <w:p w14:paraId="61558BA7" w14:textId="77777777" w:rsidR="00C73177" w:rsidRPr="00A272A0" w:rsidRDefault="001D7470">
            <w:pPr>
              <w:spacing w:after="120" w:line="240" w:lineRule="auto"/>
              <w:ind w:left="0" w:hanging="2"/>
              <w:jc w:val="both"/>
              <w:rPr>
                <w:rFonts w:asciiTheme="minorHAnsi" w:eastAsia="Cambria" w:hAnsiTheme="minorHAnsi" w:cs="Cambria"/>
                <w:color w:val="000000" w:themeColor="text1"/>
                <w:sz w:val="20"/>
                <w:szCs w:val="20"/>
                <w:lang w:val="es-CO"/>
              </w:rPr>
            </w:pPr>
            <w:r w:rsidRPr="00A272A0">
              <w:rPr>
                <w:rFonts w:asciiTheme="minorHAnsi" w:eastAsia="Cambria" w:hAnsiTheme="minorHAnsi" w:cs="Cambria"/>
                <w:b/>
                <w:color w:val="000000" w:themeColor="text1"/>
                <w:sz w:val="20"/>
                <w:szCs w:val="20"/>
                <w:lang w:val="es-CO"/>
              </w:rPr>
              <w:t>Hechos:</w:t>
            </w:r>
            <w:r w:rsidRPr="00A272A0">
              <w:rPr>
                <w:rFonts w:asciiTheme="minorHAnsi" w:eastAsia="Cambria" w:hAnsiTheme="minorHAnsi" w:cs="Cambria"/>
                <w:color w:val="000000" w:themeColor="text1"/>
                <w:sz w:val="20"/>
                <w:szCs w:val="20"/>
                <w:lang w:val="es-CO"/>
              </w:rPr>
              <w:t xml:space="preserve"> James Zapata y José Heriberto Ramírez, ex miembros del Movimiento 19 de abril, quienes se encontraban trabajando como activistas y celadores en el Comité Cívico Popular en Manizales, Caldas, fueron detenidos y desaparecidos el 22 de marzo de 1988 por individuos que se habían identificado como miembros del grupo de inteligencia F-2 de la Policía Nacional colombiana. Las víctimas aparecieron sin vida y con signos de tortura. El proceso destinado a juzgar a los responsables no fue eficaz.</w:t>
            </w:r>
          </w:p>
          <w:p w14:paraId="29DB71B7" w14:textId="77777777" w:rsidR="00C73177" w:rsidRPr="00A272A0" w:rsidRDefault="001D7470">
            <w:pPr>
              <w:spacing w:after="120" w:line="240" w:lineRule="auto"/>
              <w:ind w:left="0" w:hanging="2"/>
              <w:jc w:val="both"/>
              <w:rPr>
                <w:rFonts w:asciiTheme="minorHAnsi" w:hAnsiTheme="minorHAnsi"/>
                <w:color w:val="000000" w:themeColor="text1"/>
                <w:sz w:val="20"/>
                <w:szCs w:val="20"/>
                <w:lang w:val="es-CO"/>
              </w:rPr>
            </w:pPr>
            <w:r w:rsidRPr="00A272A0">
              <w:rPr>
                <w:rFonts w:asciiTheme="minorHAnsi" w:eastAsia="Cambria" w:hAnsiTheme="minorHAnsi" w:cs="Cambria"/>
                <w:b/>
                <w:color w:val="000000" w:themeColor="text1"/>
                <w:sz w:val="20"/>
                <w:szCs w:val="20"/>
                <w:lang w:val="es-CO"/>
              </w:rPr>
              <w:t>Derechos violados:</w:t>
            </w:r>
            <w:r w:rsidRPr="00A272A0">
              <w:rPr>
                <w:rFonts w:asciiTheme="minorHAnsi" w:eastAsia="Cambria" w:hAnsiTheme="minorHAnsi" w:cs="Cambria"/>
                <w:color w:val="000000" w:themeColor="text1"/>
                <w:sz w:val="20"/>
                <w:szCs w:val="20"/>
                <w:lang w:val="es-CO"/>
              </w:rPr>
              <w:t xml:space="preserve"> La Comisión concluyó que la República de Colombia violó en perjuicio de James Zapata Valencia y José Heriberto Ramírez Llanos el derecho a la vida, el derecho a la integridad personal y el derecho a la libertad personal, consagrados en los artículos 4, 5 y 7 de la Convención Americana, en concordancia con las disposiciones del artículo 1.1 del citado instrumento internacional.  Igualmente, concluyó que el Estado violó los derechos del niño de José Heriberto Ramírez Llanos, quien tenía 16 años para el momento de los hechos.  Finalmente, la CIDH concluyó que el Estado era responsable de la violación del derecho a la integridad personal, a las garantías judiciales y a la protección judicial, consagrados en los artículos 5, 8 y 25 de la Convención en perjuicio de los familiares de las víctimas y en relación con la obligación general de respeto y garantía del artículo 1.1 de la Convención.</w:t>
            </w:r>
          </w:p>
        </w:tc>
      </w:tr>
    </w:tbl>
    <w:p w14:paraId="216A0761" w14:textId="77777777" w:rsidR="00C73177" w:rsidRPr="00A272A0" w:rsidRDefault="00C73177">
      <w:pPr>
        <w:widowControl w:val="0"/>
        <w:spacing w:after="0" w:line="240" w:lineRule="auto"/>
        <w:ind w:left="0" w:hanging="2"/>
        <w:jc w:val="center"/>
        <w:rPr>
          <w:rFonts w:asciiTheme="minorHAnsi" w:eastAsia="Cambria" w:hAnsiTheme="minorHAnsi" w:cs="Cambria"/>
          <w:color w:val="000000" w:themeColor="text1"/>
          <w:sz w:val="20"/>
          <w:szCs w:val="20"/>
          <w:lang w:val="es-CO"/>
        </w:rPr>
      </w:pPr>
    </w:p>
    <w:p w14:paraId="7BA9CA68" w14:textId="77777777" w:rsidR="00C73177" w:rsidRPr="00A272A0" w:rsidRDefault="00C73177">
      <w:pPr>
        <w:spacing w:after="0" w:line="240" w:lineRule="auto"/>
        <w:ind w:left="0" w:hanging="2"/>
        <w:rPr>
          <w:rFonts w:asciiTheme="minorHAnsi" w:eastAsia="Cambria" w:hAnsiTheme="minorHAnsi" w:cs="Cambria"/>
          <w:color w:val="000000" w:themeColor="text1"/>
          <w:sz w:val="20"/>
          <w:szCs w:val="20"/>
          <w:lang w:val="es-CO"/>
        </w:rPr>
      </w:pPr>
    </w:p>
    <w:p w14:paraId="3BC7047F" w14:textId="77777777" w:rsidR="00C73177" w:rsidRPr="00A272A0" w:rsidRDefault="001D7470">
      <w:pPr>
        <w:numPr>
          <w:ilvl w:val="0"/>
          <w:numId w:val="11"/>
        </w:numPr>
        <w:spacing w:after="0" w:line="240" w:lineRule="auto"/>
        <w:ind w:left="0" w:hanging="2"/>
        <w:jc w:val="both"/>
        <w:rPr>
          <w:rFonts w:asciiTheme="minorHAnsi" w:eastAsia="Cambria" w:hAnsiTheme="minorHAnsi" w:cs="Cambria"/>
          <w:color w:val="000000" w:themeColor="text1"/>
          <w:sz w:val="20"/>
          <w:szCs w:val="20"/>
        </w:rPr>
      </w:pPr>
      <w:r w:rsidRPr="00A272A0">
        <w:rPr>
          <w:rFonts w:asciiTheme="minorHAnsi" w:eastAsia="Cambria" w:hAnsiTheme="minorHAnsi" w:cs="Cambria"/>
          <w:b/>
          <w:color w:val="000000" w:themeColor="text1"/>
          <w:sz w:val="20"/>
          <w:szCs w:val="20"/>
        </w:rPr>
        <w:t xml:space="preserve">Recomendaciones </w:t>
      </w:r>
    </w:p>
    <w:p w14:paraId="5D045AC5" w14:textId="77777777" w:rsidR="00C73177" w:rsidRPr="00A272A0" w:rsidRDefault="00C73177">
      <w:pPr>
        <w:spacing w:after="0" w:line="240" w:lineRule="auto"/>
        <w:ind w:left="0" w:hanging="2"/>
        <w:jc w:val="both"/>
        <w:rPr>
          <w:rFonts w:asciiTheme="minorHAnsi" w:eastAsia="Cambria" w:hAnsiTheme="minorHAnsi" w:cs="Cambria"/>
          <w:color w:val="000000" w:themeColor="text1"/>
          <w:sz w:val="20"/>
          <w:szCs w:val="20"/>
        </w:rPr>
      </w:pPr>
    </w:p>
    <w:tbl>
      <w:tblPr>
        <w:tblStyle w:val="a0"/>
        <w:tblW w:w="954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7020"/>
        <w:gridCol w:w="2520"/>
      </w:tblGrid>
      <w:tr w:rsidR="00A272A0" w:rsidRPr="00A272A0" w14:paraId="72904675" w14:textId="77777777">
        <w:trPr>
          <w:trHeight w:val="402"/>
        </w:trPr>
        <w:tc>
          <w:tcPr>
            <w:tcW w:w="70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B1B2138" w14:textId="77777777" w:rsidR="00C73177" w:rsidRPr="00A272A0" w:rsidRDefault="001D7470">
            <w:pPr>
              <w:spacing w:after="0" w:line="240" w:lineRule="auto"/>
              <w:ind w:left="0" w:hanging="2"/>
              <w:jc w:val="center"/>
              <w:rPr>
                <w:rFonts w:asciiTheme="minorHAnsi" w:hAnsiTheme="minorHAnsi"/>
                <w:color w:val="000000" w:themeColor="text1"/>
                <w:sz w:val="18"/>
                <w:szCs w:val="18"/>
              </w:rPr>
            </w:pPr>
            <w:r w:rsidRPr="00A272A0">
              <w:rPr>
                <w:rFonts w:asciiTheme="minorHAnsi" w:eastAsia="Cambria" w:hAnsiTheme="minorHAnsi" w:cs="Cambria"/>
                <w:b/>
                <w:color w:val="000000" w:themeColor="text1"/>
                <w:sz w:val="18"/>
                <w:szCs w:val="18"/>
              </w:rPr>
              <w:t>Recomendaciones</w:t>
            </w:r>
          </w:p>
        </w:tc>
        <w:tc>
          <w:tcPr>
            <w:tcW w:w="2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AD6192B" w14:textId="49C77037" w:rsidR="00C73177" w:rsidRPr="00A272A0" w:rsidRDefault="001D7470">
            <w:pPr>
              <w:spacing w:after="0" w:line="240" w:lineRule="auto"/>
              <w:ind w:left="0" w:hanging="2"/>
              <w:jc w:val="center"/>
              <w:rPr>
                <w:rFonts w:asciiTheme="minorHAnsi" w:hAnsiTheme="minorHAnsi"/>
                <w:color w:val="000000" w:themeColor="text1"/>
                <w:sz w:val="18"/>
                <w:szCs w:val="18"/>
                <w:lang w:val="es-CO"/>
              </w:rPr>
            </w:pPr>
            <w:r w:rsidRPr="00A272A0">
              <w:rPr>
                <w:rFonts w:asciiTheme="minorHAnsi" w:eastAsia="Cambria" w:hAnsiTheme="minorHAnsi" w:cs="Cambria"/>
                <w:b/>
                <w:color w:val="000000" w:themeColor="text1"/>
                <w:sz w:val="18"/>
                <w:szCs w:val="18"/>
                <w:lang w:val="es-CO"/>
              </w:rPr>
              <w:t>Estado de cumplimiento en el 20</w:t>
            </w:r>
            <w:r w:rsidR="0068567A" w:rsidRPr="00A272A0">
              <w:rPr>
                <w:rFonts w:asciiTheme="minorHAnsi" w:eastAsia="Cambria" w:hAnsiTheme="minorHAnsi" w:cs="Cambria"/>
                <w:b/>
                <w:color w:val="000000" w:themeColor="text1"/>
                <w:sz w:val="18"/>
                <w:szCs w:val="18"/>
                <w:lang w:val="es-CO"/>
              </w:rPr>
              <w:t>21</w:t>
            </w:r>
          </w:p>
        </w:tc>
      </w:tr>
      <w:tr w:rsidR="00A272A0" w:rsidRPr="00A272A0" w14:paraId="6F2F776A" w14:textId="77777777">
        <w:trPr>
          <w:trHeight w:val="602"/>
        </w:trPr>
        <w:tc>
          <w:tcPr>
            <w:tcW w:w="70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EBED6B" w14:textId="77777777" w:rsidR="00C73177" w:rsidRPr="00A272A0" w:rsidRDefault="001D7470">
            <w:pPr>
              <w:spacing w:after="0" w:line="240" w:lineRule="auto"/>
              <w:ind w:left="0" w:hanging="2"/>
              <w:jc w:val="both"/>
              <w:rPr>
                <w:rFonts w:asciiTheme="minorHAnsi" w:hAnsiTheme="minorHAnsi"/>
                <w:color w:val="000000" w:themeColor="text1"/>
                <w:sz w:val="18"/>
                <w:szCs w:val="18"/>
                <w:lang w:val="es-CO"/>
              </w:rPr>
            </w:pPr>
            <w:r w:rsidRPr="00A272A0">
              <w:rPr>
                <w:rFonts w:asciiTheme="minorHAnsi" w:eastAsia="Cambria" w:hAnsiTheme="minorHAnsi" w:cs="Cambria"/>
                <w:color w:val="000000" w:themeColor="text1"/>
                <w:sz w:val="18"/>
                <w:szCs w:val="18"/>
                <w:lang w:val="es-CO"/>
              </w:rPr>
              <w:t>1. Que realice una investigación completa, imparcial, efectiva y dentro de un plazo razonable de las circunstancias en la que murieron James Zapata Valencia y el niño José Heriberto Ramírez Llanos.</w:t>
            </w:r>
          </w:p>
        </w:tc>
        <w:tc>
          <w:tcPr>
            <w:tcW w:w="2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CFFDF8A" w14:textId="2A49C722" w:rsidR="00C73177" w:rsidRPr="00A272A0" w:rsidRDefault="0078028E">
            <w:pPr>
              <w:spacing w:after="0" w:line="240" w:lineRule="auto"/>
              <w:ind w:left="0" w:hanging="2"/>
              <w:jc w:val="center"/>
              <w:rPr>
                <w:rFonts w:asciiTheme="minorHAnsi" w:hAnsiTheme="minorHAnsi"/>
                <w:color w:val="000000" w:themeColor="text1"/>
                <w:sz w:val="18"/>
                <w:szCs w:val="18"/>
              </w:rPr>
            </w:pPr>
            <w:r w:rsidRPr="00A272A0">
              <w:rPr>
                <w:rFonts w:asciiTheme="minorHAnsi" w:eastAsia="Cambria" w:hAnsiTheme="minorHAnsi" w:cs="Cambria"/>
                <w:color w:val="000000" w:themeColor="text1"/>
                <w:sz w:val="18"/>
                <w:szCs w:val="18"/>
              </w:rPr>
              <w:t>Cumplimiento pendiente</w:t>
            </w:r>
          </w:p>
        </w:tc>
      </w:tr>
      <w:tr w:rsidR="00A272A0" w:rsidRPr="00A272A0" w14:paraId="011D956B" w14:textId="77777777">
        <w:trPr>
          <w:trHeight w:val="402"/>
        </w:trPr>
        <w:tc>
          <w:tcPr>
            <w:tcW w:w="70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0505E3" w14:textId="77777777" w:rsidR="00C73177" w:rsidRPr="00A272A0" w:rsidRDefault="001D7470">
            <w:pPr>
              <w:spacing w:after="0" w:line="240" w:lineRule="auto"/>
              <w:ind w:left="0" w:hanging="2"/>
              <w:jc w:val="both"/>
              <w:rPr>
                <w:rFonts w:asciiTheme="minorHAnsi" w:hAnsiTheme="minorHAnsi"/>
                <w:color w:val="000000" w:themeColor="text1"/>
                <w:sz w:val="18"/>
                <w:szCs w:val="18"/>
                <w:lang w:val="es-CO"/>
              </w:rPr>
            </w:pPr>
            <w:r w:rsidRPr="00A272A0">
              <w:rPr>
                <w:rFonts w:asciiTheme="minorHAnsi" w:eastAsia="Cambria" w:hAnsiTheme="minorHAnsi" w:cs="Cambria"/>
                <w:color w:val="000000" w:themeColor="text1"/>
                <w:sz w:val="18"/>
                <w:szCs w:val="18"/>
                <w:lang w:val="es-CO"/>
              </w:rPr>
              <w:t>2. Que adopte las medidas necesarias que tiendan a asegurar la debida investigación de los casos de ejecuciones perpetradas por agentes de seguridad del Estado.</w:t>
            </w:r>
          </w:p>
        </w:tc>
        <w:tc>
          <w:tcPr>
            <w:tcW w:w="2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ABF89FD" w14:textId="77777777" w:rsidR="00C73177" w:rsidRPr="00A272A0" w:rsidRDefault="001D7470">
            <w:pPr>
              <w:spacing w:after="0" w:line="240" w:lineRule="auto"/>
              <w:ind w:left="0" w:hanging="2"/>
              <w:jc w:val="center"/>
              <w:rPr>
                <w:rFonts w:asciiTheme="minorHAnsi" w:hAnsiTheme="minorHAnsi"/>
                <w:color w:val="000000" w:themeColor="text1"/>
                <w:sz w:val="18"/>
                <w:szCs w:val="18"/>
              </w:rPr>
            </w:pPr>
            <w:r w:rsidRPr="00A272A0">
              <w:rPr>
                <w:rFonts w:asciiTheme="minorHAnsi" w:eastAsia="Cambria" w:hAnsiTheme="minorHAnsi" w:cs="Cambria"/>
                <w:color w:val="000000" w:themeColor="text1"/>
                <w:sz w:val="18"/>
                <w:szCs w:val="18"/>
              </w:rPr>
              <w:t>Cumplimiento parcial</w:t>
            </w:r>
          </w:p>
        </w:tc>
      </w:tr>
      <w:tr w:rsidR="00A272A0" w:rsidRPr="00A272A0" w14:paraId="5237E515" w14:textId="77777777">
        <w:trPr>
          <w:trHeight w:val="602"/>
        </w:trPr>
        <w:tc>
          <w:tcPr>
            <w:tcW w:w="70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6F9C990" w14:textId="77777777" w:rsidR="00C73177" w:rsidRPr="00A272A0" w:rsidRDefault="001D7470">
            <w:pPr>
              <w:spacing w:after="0" w:line="240" w:lineRule="auto"/>
              <w:ind w:left="0" w:hanging="2"/>
              <w:jc w:val="both"/>
              <w:rPr>
                <w:rFonts w:asciiTheme="minorHAnsi" w:hAnsiTheme="minorHAnsi"/>
                <w:color w:val="000000" w:themeColor="text1"/>
                <w:sz w:val="18"/>
                <w:szCs w:val="18"/>
                <w:lang w:val="es-CO"/>
              </w:rPr>
            </w:pPr>
            <w:r w:rsidRPr="00A272A0">
              <w:rPr>
                <w:rFonts w:asciiTheme="minorHAnsi" w:eastAsia="Cambria" w:hAnsiTheme="minorHAnsi" w:cs="Cambria"/>
                <w:color w:val="000000" w:themeColor="text1"/>
                <w:sz w:val="18"/>
                <w:szCs w:val="18"/>
                <w:lang w:val="es-CO"/>
              </w:rPr>
              <w:lastRenderedPageBreak/>
              <w:t>3. Que repare adecuadamente a los familiares de James Zapata y José Heriberto Ramírez, teniendo en cuenta la especial condición de niño de este último, en el momento en que ocurrieron los hechos.</w:t>
            </w:r>
          </w:p>
        </w:tc>
        <w:tc>
          <w:tcPr>
            <w:tcW w:w="2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7B69326" w14:textId="77777777" w:rsidR="00C73177" w:rsidRPr="00A272A0" w:rsidRDefault="001D7470">
            <w:pPr>
              <w:spacing w:after="0" w:line="240" w:lineRule="auto"/>
              <w:ind w:left="0" w:hanging="2"/>
              <w:jc w:val="center"/>
              <w:rPr>
                <w:rFonts w:asciiTheme="minorHAnsi" w:hAnsiTheme="minorHAnsi"/>
                <w:color w:val="000000" w:themeColor="text1"/>
                <w:sz w:val="18"/>
                <w:szCs w:val="18"/>
              </w:rPr>
            </w:pPr>
            <w:r w:rsidRPr="00A272A0">
              <w:rPr>
                <w:rFonts w:asciiTheme="minorHAnsi" w:eastAsia="Cambria" w:hAnsiTheme="minorHAnsi" w:cs="Cambria"/>
                <w:color w:val="000000" w:themeColor="text1"/>
                <w:sz w:val="18"/>
                <w:szCs w:val="18"/>
              </w:rPr>
              <w:t>Cumplimiento total</w:t>
            </w:r>
            <w:r w:rsidRPr="00A272A0">
              <w:rPr>
                <w:rFonts w:asciiTheme="minorHAnsi" w:eastAsia="Cambria" w:hAnsiTheme="minorHAnsi" w:cs="Cambria"/>
                <w:color w:val="000000" w:themeColor="text1"/>
                <w:sz w:val="18"/>
                <w:szCs w:val="18"/>
                <w:vertAlign w:val="superscript"/>
              </w:rPr>
              <w:footnoteReference w:id="1"/>
            </w:r>
          </w:p>
        </w:tc>
      </w:tr>
    </w:tbl>
    <w:p w14:paraId="455C2D05" w14:textId="77777777" w:rsidR="00C73177" w:rsidRPr="00A272A0" w:rsidRDefault="001D7470">
      <w:pPr>
        <w:spacing w:after="0" w:line="240" w:lineRule="auto"/>
        <w:ind w:left="0" w:hanging="2"/>
        <w:jc w:val="both"/>
        <w:rPr>
          <w:rFonts w:asciiTheme="minorHAnsi" w:eastAsia="Cambria" w:hAnsiTheme="minorHAnsi" w:cs="Cambria"/>
          <w:color w:val="000000" w:themeColor="text1"/>
          <w:sz w:val="20"/>
          <w:szCs w:val="20"/>
        </w:rPr>
      </w:pPr>
      <w:r w:rsidRPr="00A272A0">
        <w:rPr>
          <w:rFonts w:asciiTheme="minorHAnsi" w:eastAsia="Cambria" w:hAnsiTheme="minorHAnsi" w:cs="Cambria"/>
          <w:color w:val="000000" w:themeColor="text1"/>
          <w:sz w:val="20"/>
          <w:szCs w:val="20"/>
        </w:rPr>
        <w:t xml:space="preserve"> </w:t>
      </w:r>
      <w:r w:rsidRPr="00A272A0">
        <w:rPr>
          <w:rFonts w:asciiTheme="minorHAnsi" w:eastAsia="Cambria" w:hAnsiTheme="minorHAnsi" w:cs="Cambria"/>
          <w:color w:val="000000" w:themeColor="text1"/>
          <w:sz w:val="20"/>
          <w:szCs w:val="20"/>
        </w:rPr>
        <w:tab/>
      </w:r>
    </w:p>
    <w:p w14:paraId="7C380336" w14:textId="77777777" w:rsidR="00C73177" w:rsidRPr="00A272A0" w:rsidRDefault="001D7470">
      <w:pPr>
        <w:numPr>
          <w:ilvl w:val="0"/>
          <w:numId w:val="1"/>
        </w:numPr>
        <w:spacing w:after="0" w:line="240" w:lineRule="auto"/>
        <w:ind w:left="0" w:hanging="2"/>
        <w:jc w:val="both"/>
        <w:rPr>
          <w:rFonts w:asciiTheme="minorHAnsi" w:eastAsia="Cambria" w:hAnsiTheme="minorHAnsi" w:cs="Cambria"/>
          <w:color w:val="000000" w:themeColor="text1"/>
          <w:sz w:val="20"/>
          <w:szCs w:val="20"/>
        </w:rPr>
      </w:pPr>
      <w:r w:rsidRPr="00A272A0">
        <w:rPr>
          <w:rFonts w:asciiTheme="minorHAnsi" w:eastAsia="Cambria" w:hAnsiTheme="minorHAnsi" w:cs="Cambria"/>
          <w:b/>
          <w:color w:val="000000" w:themeColor="text1"/>
          <w:sz w:val="20"/>
          <w:szCs w:val="20"/>
        </w:rPr>
        <w:t>Actividad Procesal</w:t>
      </w:r>
    </w:p>
    <w:p w14:paraId="0BE02C20" w14:textId="77777777" w:rsidR="00C73177" w:rsidRPr="00A272A0" w:rsidRDefault="00C73177">
      <w:pPr>
        <w:spacing w:after="0" w:line="240" w:lineRule="auto"/>
        <w:ind w:left="0" w:hanging="2"/>
        <w:jc w:val="both"/>
        <w:rPr>
          <w:rFonts w:asciiTheme="minorHAnsi" w:eastAsia="Cambria" w:hAnsiTheme="minorHAnsi" w:cs="Cambria"/>
          <w:color w:val="000000" w:themeColor="text1"/>
          <w:sz w:val="20"/>
          <w:szCs w:val="20"/>
        </w:rPr>
      </w:pPr>
    </w:p>
    <w:p w14:paraId="320984B1" w14:textId="77777777" w:rsidR="00C73177" w:rsidRPr="00A272A0" w:rsidRDefault="001D747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Theme="minorHAnsi" w:eastAsia="Cambria" w:hAnsiTheme="minorHAnsi" w:cs="Cambria"/>
          <w:color w:val="000000" w:themeColor="text1"/>
          <w:sz w:val="20"/>
          <w:szCs w:val="20"/>
          <w:lang w:val="es-CO"/>
        </w:rPr>
      </w:pPr>
      <w:r w:rsidRPr="00A272A0">
        <w:rPr>
          <w:rFonts w:asciiTheme="minorHAnsi" w:eastAsia="Cambria" w:hAnsiTheme="minorHAnsi" w:cs="Cambria"/>
          <w:color w:val="000000" w:themeColor="text1"/>
          <w:sz w:val="20"/>
          <w:szCs w:val="20"/>
          <w:lang w:val="es-CO"/>
        </w:rPr>
        <w:t>La CIDH sostuvo reuniones de trabajo con las partes en el marco de sus Periodos de Sesiones 147º (13 marzo 2013), 156º (21 octubre 2015), 157º (5 diciembre 2016) y 175º (7 de marzo de 2020) en seguimiento a las recomendaciones emitidas en el Informe de Fondo Nº 79/11.</w:t>
      </w:r>
    </w:p>
    <w:p w14:paraId="32345591" w14:textId="77777777" w:rsidR="00C73177" w:rsidRPr="00A272A0" w:rsidRDefault="00C73177">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Theme="minorHAnsi" w:eastAsia="Cambria" w:hAnsiTheme="minorHAnsi" w:cs="Cambria"/>
          <w:color w:val="000000" w:themeColor="text1"/>
          <w:sz w:val="20"/>
          <w:szCs w:val="20"/>
          <w:lang w:val="es-CO"/>
        </w:rPr>
      </w:pPr>
    </w:p>
    <w:p w14:paraId="5401A161" w14:textId="6DD6727E" w:rsidR="00151363" w:rsidRPr="00A272A0" w:rsidRDefault="00151363" w:rsidP="00151363">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Theme="minorHAnsi" w:eastAsia="Cambria" w:hAnsiTheme="minorHAnsi" w:cs="Cambria"/>
          <w:color w:val="000000" w:themeColor="text1"/>
          <w:sz w:val="20"/>
          <w:szCs w:val="20"/>
          <w:lang w:val="es-CO"/>
        </w:rPr>
      </w:pPr>
      <w:r w:rsidRPr="00A272A0">
        <w:rPr>
          <w:rFonts w:asciiTheme="minorHAnsi" w:eastAsia="Cambria" w:hAnsiTheme="minorHAnsi" w:cs="Cambria"/>
          <w:color w:val="000000" w:themeColor="text1"/>
          <w:sz w:val="20"/>
          <w:szCs w:val="20"/>
          <w:lang w:val="es-CO"/>
        </w:rPr>
        <w:t>En 2021, la</w:t>
      </w:r>
      <w:r w:rsidR="001D7470" w:rsidRPr="00A272A0">
        <w:rPr>
          <w:rFonts w:asciiTheme="minorHAnsi" w:eastAsia="Cambria" w:hAnsiTheme="minorHAnsi" w:cs="Cambria"/>
          <w:color w:val="000000" w:themeColor="text1"/>
          <w:sz w:val="20"/>
          <w:szCs w:val="20"/>
          <w:lang w:val="es-CO"/>
        </w:rPr>
        <w:t xml:space="preserve"> Comisión solicitó al Estado información actualizada sobre el cumplimiento de las recomendaciones el </w:t>
      </w:r>
      <w:r w:rsidRPr="00A272A0">
        <w:rPr>
          <w:rFonts w:asciiTheme="minorHAnsi" w:eastAsia="Cambria" w:hAnsiTheme="minorHAnsi" w:cs="Cambria"/>
          <w:color w:val="000000" w:themeColor="text1"/>
          <w:sz w:val="20"/>
          <w:szCs w:val="20"/>
          <w:lang w:val="es-CO"/>
        </w:rPr>
        <w:t>16 de agosto</w:t>
      </w:r>
      <w:r w:rsidR="001D7470" w:rsidRPr="00A272A0">
        <w:rPr>
          <w:rFonts w:asciiTheme="minorHAnsi" w:eastAsia="Cambria" w:hAnsiTheme="minorHAnsi" w:cs="Cambria"/>
          <w:color w:val="000000" w:themeColor="text1"/>
          <w:sz w:val="20"/>
          <w:szCs w:val="20"/>
          <w:lang w:val="es-CO"/>
        </w:rPr>
        <w:t xml:space="preserve">. </w:t>
      </w:r>
      <w:r w:rsidR="00F841E0" w:rsidRPr="00A272A0">
        <w:rPr>
          <w:rFonts w:asciiTheme="minorHAnsi" w:eastAsia="Cambria" w:hAnsiTheme="minorHAnsi" w:cs="Cambria"/>
          <w:color w:val="000000" w:themeColor="text1"/>
          <w:sz w:val="20"/>
          <w:szCs w:val="20"/>
          <w:lang w:val="es-CO"/>
        </w:rPr>
        <w:t xml:space="preserve">Mediante nota con fecha del 6 de diciembre de 2021, el Estado presentó esta información. </w:t>
      </w:r>
    </w:p>
    <w:p w14:paraId="5420BDEB" w14:textId="77777777" w:rsidR="00151363" w:rsidRPr="00A272A0" w:rsidRDefault="00151363" w:rsidP="00151363">
      <w:pPr>
        <w:pBdr>
          <w:top w:val="none" w:sz="0" w:space="0" w:color="000000"/>
          <w:left w:val="none" w:sz="0" w:space="0" w:color="000000"/>
          <w:bottom w:val="none" w:sz="0" w:space="0" w:color="000000"/>
          <w:right w:val="none" w:sz="0" w:space="0" w:color="000000"/>
          <w:between w:val="none" w:sz="0" w:space="0" w:color="000000"/>
        </w:pBdr>
        <w:spacing w:after="0" w:line="240" w:lineRule="auto"/>
        <w:ind w:leftChars="0" w:left="0" w:firstLineChars="0" w:firstLine="0"/>
        <w:jc w:val="both"/>
        <w:rPr>
          <w:rFonts w:asciiTheme="minorHAnsi" w:eastAsia="Cambria" w:hAnsiTheme="minorHAnsi" w:cs="Cambria"/>
          <w:color w:val="000000" w:themeColor="text1"/>
          <w:sz w:val="20"/>
          <w:szCs w:val="20"/>
          <w:lang w:val="es-CO"/>
        </w:rPr>
      </w:pPr>
    </w:p>
    <w:p w14:paraId="20908271" w14:textId="6B2C6352" w:rsidR="00C73177" w:rsidRPr="00A272A0" w:rsidRDefault="00151363" w:rsidP="0029554A">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Theme="minorHAnsi" w:eastAsia="Cambria" w:hAnsiTheme="minorHAnsi" w:cs="Cambria"/>
          <w:color w:val="000000" w:themeColor="text1"/>
          <w:sz w:val="20"/>
          <w:szCs w:val="20"/>
          <w:lang w:val="es-CO"/>
        </w:rPr>
      </w:pPr>
      <w:r w:rsidRPr="00A272A0">
        <w:rPr>
          <w:rFonts w:asciiTheme="minorHAnsi" w:eastAsia="Cambria" w:hAnsiTheme="minorHAnsi" w:cs="Cambria"/>
          <w:color w:val="000000" w:themeColor="text1"/>
          <w:sz w:val="20"/>
          <w:szCs w:val="20"/>
          <w:lang w:val="es-CO"/>
        </w:rPr>
        <w:t>La Comisión solicitó a</w:t>
      </w:r>
      <w:r w:rsidR="0029554A" w:rsidRPr="00A272A0">
        <w:rPr>
          <w:rFonts w:asciiTheme="minorHAnsi" w:eastAsia="Cambria" w:hAnsiTheme="minorHAnsi" w:cs="Cambria"/>
          <w:color w:val="000000" w:themeColor="text1"/>
          <w:sz w:val="20"/>
          <w:szCs w:val="20"/>
          <w:lang w:val="es-CO"/>
        </w:rPr>
        <w:t xml:space="preserve"> la parte peticionaria </w:t>
      </w:r>
      <w:r w:rsidRPr="00A272A0">
        <w:rPr>
          <w:rFonts w:asciiTheme="minorHAnsi" w:eastAsia="Cambria" w:hAnsiTheme="minorHAnsi" w:cs="Cambria"/>
          <w:color w:val="000000" w:themeColor="text1"/>
          <w:sz w:val="20"/>
          <w:szCs w:val="20"/>
          <w:lang w:val="es-CO"/>
        </w:rPr>
        <w:t>información actualizada sobre el cumplimiento de las recomendaciones el 16 de agosto de 2021.</w:t>
      </w:r>
      <w:r w:rsidR="0029554A" w:rsidRPr="00A272A0">
        <w:rPr>
          <w:rFonts w:asciiTheme="minorHAnsi" w:eastAsia="Cambria" w:hAnsiTheme="minorHAnsi" w:cs="Cambria"/>
          <w:color w:val="000000" w:themeColor="text1"/>
          <w:sz w:val="20"/>
          <w:szCs w:val="20"/>
          <w:lang w:val="es-CO"/>
        </w:rPr>
        <w:t xml:space="preserve"> La parte peticionaria remitió esta información a la Comisión el 13 de octubre de 2021. </w:t>
      </w:r>
    </w:p>
    <w:p w14:paraId="20EB281E" w14:textId="77777777" w:rsidR="0029554A" w:rsidRPr="00A272A0" w:rsidRDefault="0029554A" w:rsidP="0029554A">
      <w:pPr>
        <w:pBdr>
          <w:top w:val="none" w:sz="0" w:space="0" w:color="000000"/>
          <w:left w:val="none" w:sz="0" w:space="0" w:color="000000"/>
          <w:bottom w:val="none" w:sz="0" w:space="0" w:color="000000"/>
          <w:right w:val="none" w:sz="0" w:space="0" w:color="000000"/>
          <w:between w:val="none" w:sz="0" w:space="0" w:color="000000"/>
        </w:pBdr>
        <w:spacing w:after="0" w:line="240" w:lineRule="auto"/>
        <w:ind w:leftChars="0" w:left="0" w:firstLineChars="0" w:firstLine="0"/>
        <w:jc w:val="both"/>
        <w:rPr>
          <w:rFonts w:asciiTheme="minorHAnsi" w:eastAsia="Cambria" w:hAnsiTheme="minorHAnsi" w:cs="Cambria"/>
          <w:color w:val="000000" w:themeColor="text1"/>
          <w:sz w:val="20"/>
          <w:szCs w:val="20"/>
          <w:lang w:val="es-CO"/>
        </w:rPr>
      </w:pPr>
    </w:p>
    <w:p w14:paraId="62E8D9D4" w14:textId="77777777" w:rsidR="00C73177" w:rsidRPr="00A272A0" w:rsidRDefault="001D7470">
      <w:pPr>
        <w:numPr>
          <w:ilvl w:val="0"/>
          <w:numId w:val="4"/>
        </w:numPr>
        <w:spacing w:after="0" w:line="240" w:lineRule="auto"/>
        <w:ind w:left="0" w:hanging="2"/>
        <w:rPr>
          <w:rFonts w:asciiTheme="minorHAnsi" w:eastAsia="Cambria" w:hAnsiTheme="minorHAnsi" w:cs="Cambria"/>
          <w:color w:val="000000" w:themeColor="text1"/>
          <w:sz w:val="20"/>
          <w:szCs w:val="20"/>
          <w:lang w:val="es-CO"/>
        </w:rPr>
      </w:pPr>
      <w:r w:rsidRPr="00A272A0">
        <w:rPr>
          <w:rFonts w:asciiTheme="minorHAnsi" w:eastAsia="Cambria" w:hAnsiTheme="minorHAnsi" w:cs="Cambria"/>
          <w:b/>
          <w:color w:val="000000" w:themeColor="text1"/>
          <w:sz w:val="20"/>
          <w:szCs w:val="20"/>
          <w:lang w:val="es-CO"/>
        </w:rPr>
        <w:t>Análisis relativo a la información proporcionada</w:t>
      </w:r>
      <w:r w:rsidRPr="00A272A0">
        <w:rPr>
          <w:rFonts w:asciiTheme="minorHAnsi" w:eastAsia="Cambria" w:hAnsiTheme="minorHAnsi" w:cs="Cambria"/>
          <w:b/>
          <w:color w:val="000000" w:themeColor="text1"/>
          <w:sz w:val="20"/>
          <w:szCs w:val="20"/>
          <w:lang w:val="es-CO"/>
        </w:rPr>
        <w:br/>
      </w:r>
    </w:p>
    <w:p w14:paraId="19F97D60" w14:textId="473B12DA" w:rsidR="00C73177" w:rsidRPr="00A272A0" w:rsidRDefault="001D747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Theme="minorHAnsi" w:eastAsia="Cambria" w:hAnsiTheme="minorHAnsi" w:cs="Cambria"/>
          <w:color w:val="000000" w:themeColor="text1"/>
          <w:sz w:val="20"/>
          <w:szCs w:val="20"/>
          <w:lang w:val="es-CO"/>
        </w:rPr>
      </w:pPr>
      <w:r w:rsidRPr="00A272A0">
        <w:rPr>
          <w:rFonts w:asciiTheme="minorHAnsi" w:eastAsia="Cambria" w:hAnsiTheme="minorHAnsi" w:cs="Cambria"/>
          <w:color w:val="000000" w:themeColor="text1"/>
          <w:sz w:val="20"/>
          <w:szCs w:val="20"/>
          <w:lang w:val="es-CO"/>
        </w:rPr>
        <w:t xml:space="preserve">La Comisión considera que la información proporcionada por </w:t>
      </w:r>
      <w:r w:rsidR="00F841E0" w:rsidRPr="00A272A0">
        <w:rPr>
          <w:rFonts w:asciiTheme="minorHAnsi" w:eastAsia="Cambria" w:hAnsiTheme="minorHAnsi" w:cs="Cambria"/>
          <w:color w:val="000000" w:themeColor="text1"/>
          <w:sz w:val="20"/>
          <w:szCs w:val="20"/>
          <w:lang w:val="es-CO"/>
        </w:rPr>
        <w:t>ambas partes</w:t>
      </w:r>
      <w:r w:rsidRPr="00A272A0">
        <w:rPr>
          <w:rFonts w:asciiTheme="minorHAnsi" w:eastAsia="Cambria" w:hAnsiTheme="minorHAnsi" w:cs="Cambria"/>
          <w:color w:val="000000" w:themeColor="text1"/>
          <w:sz w:val="20"/>
          <w:szCs w:val="20"/>
          <w:lang w:val="es-CO"/>
        </w:rPr>
        <w:t xml:space="preserve"> en 202</w:t>
      </w:r>
      <w:r w:rsidR="007D5A66" w:rsidRPr="00A272A0">
        <w:rPr>
          <w:rFonts w:asciiTheme="minorHAnsi" w:eastAsia="Cambria" w:hAnsiTheme="minorHAnsi" w:cs="Cambria"/>
          <w:color w:val="000000" w:themeColor="text1"/>
          <w:sz w:val="20"/>
          <w:szCs w:val="20"/>
          <w:lang w:val="es-CO"/>
        </w:rPr>
        <w:t>1</w:t>
      </w:r>
      <w:r w:rsidRPr="00A272A0">
        <w:rPr>
          <w:rFonts w:asciiTheme="minorHAnsi" w:eastAsia="Cambria" w:hAnsiTheme="minorHAnsi" w:cs="Cambria"/>
          <w:color w:val="000000" w:themeColor="text1"/>
          <w:sz w:val="20"/>
          <w:szCs w:val="20"/>
          <w:lang w:val="es-CO"/>
        </w:rPr>
        <w:t xml:space="preserve"> es relevante </w:t>
      </w:r>
      <w:r w:rsidR="007D5A66" w:rsidRPr="00A272A0">
        <w:rPr>
          <w:rFonts w:asciiTheme="minorHAnsi" w:eastAsia="Cambria" w:hAnsiTheme="minorHAnsi" w:cs="Cambria"/>
          <w:color w:val="000000" w:themeColor="text1"/>
          <w:sz w:val="20"/>
          <w:szCs w:val="20"/>
          <w:lang w:val="es-CO"/>
        </w:rPr>
        <w:t>sobre medidas adoptadas relativas al cumplimiento de al menos una de las recomendaciones emitidas en el Informe Nº 79/11</w:t>
      </w:r>
      <w:r w:rsidRPr="00A272A0">
        <w:rPr>
          <w:rFonts w:asciiTheme="minorHAnsi" w:eastAsia="Cambria" w:hAnsiTheme="minorHAnsi" w:cs="Cambria"/>
          <w:color w:val="000000" w:themeColor="text1"/>
          <w:sz w:val="20"/>
          <w:szCs w:val="20"/>
          <w:lang w:val="es-CO"/>
        </w:rPr>
        <w:t xml:space="preserve">.  </w:t>
      </w:r>
    </w:p>
    <w:p w14:paraId="1EEC60A2" w14:textId="77777777" w:rsidR="00C73177" w:rsidRPr="00A272A0" w:rsidRDefault="00C73177" w:rsidP="007D5A66">
      <w:pPr>
        <w:spacing w:after="0" w:line="240" w:lineRule="auto"/>
        <w:ind w:leftChars="0" w:left="0" w:firstLineChars="0" w:firstLine="0"/>
        <w:jc w:val="both"/>
        <w:rPr>
          <w:rFonts w:asciiTheme="minorHAnsi" w:eastAsia="Cambria" w:hAnsiTheme="minorHAnsi" w:cs="Cambria"/>
          <w:color w:val="000000" w:themeColor="text1"/>
          <w:sz w:val="20"/>
          <w:szCs w:val="20"/>
          <w:lang w:val="es-CO"/>
        </w:rPr>
      </w:pPr>
    </w:p>
    <w:p w14:paraId="6D43D95A" w14:textId="77777777" w:rsidR="00C73177" w:rsidRPr="00A272A0" w:rsidRDefault="001D7470">
      <w:pPr>
        <w:numPr>
          <w:ilvl w:val="0"/>
          <w:numId w:val="7"/>
        </w:numPr>
        <w:spacing w:after="0" w:line="240" w:lineRule="auto"/>
        <w:ind w:left="0" w:hanging="2"/>
        <w:jc w:val="both"/>
        <w:rPr>
          <w:rFonts w:asciiTheme="minorHAnsi" w:eastAsia="Cambria" w:hAnsiTheme="minorHAnsi" w:cs="Cambria"/>
          <w:color w:val="000000" w:themeColor="text1"/>
          <w:sz w:val="20"/>
          <w:szCs w:val="20"/>
          <w:lang w:val="es-CO"/>
        </w:rPr>
      </w:pPr>
      <w:r w:rsidRPr="00A272A0">
        <w:rPr>
          <w:rFonts w:asciiTheme="minorHAnsi" w:eastAsia="Cambria" w:hAnsiTheme="minorHAnsi" w:cs="Cambria"/>
          <w:b/>
          <w:color w:val="000000" w:themeColor="text1"/>
          <w:sz w:val="20"/>
          <w:szCs w:val="20"/>
          <w:lang w:val="es-CO"/>
        </w:rPr>
        <w:t>Análisis del cumplimiento de las recomendaciones</w:t>
      </w:r>
    </w:p>
    <w:p w14:paraId="5EF63BDE" w14:textId="77777777" w:rsidR="00C73177" w:rsidRPr="00A272A0" w:rsidRDefault="00C73177">
      <w:pPr>
        <w:spacing w:after="0" w:line="240" w:lineRule="auto"/>
        <w:ind w:left="0" w:hanging="2"/>
        <w:jc w:val="both"/>
        <w:rPr>
          <w:rFonts w:asciiTheme="minorHAnsi" w:eastAsia="Cambria" w:hAnsiTheme="minorHAnsi" w:cs="Cambria"/>
          <w:color w:val="000000" w:themeColor="text1"/>
          <w:sz w:val="20"/>
          <w:szCs w:val="20"/>
          <w:lang w:val="es-CO"/>
        </w:rPr>
      </w:pPr>
    </w:p>
    <w:p w14:paraId="27639C53" w14:textId="77777777" w:rsidR="00C73177" w:rsidRPr="00A272A0" w:rsidRDefault="001D747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Theme="minorHAnsi" w:eastAsia="Cambria" w:hAnsiTheme="minorHAnsi" w:cs="Cambria"/>
          <w:color w:val="000000" w:themeColor="text1"/>
          <w:sz w:val="20"/>
          <w:szCs w:val="20"/>
          <w:lang w:val="es-CO"/>
        </w:rPr>
      </w:pPr>
      <w:r w:rsidRPr="00A272A0">
        <w:rPr>
          <w:rFonts w:asciiTheme="minorHAnsi" w:eastAsia="Cambria" w:hAnsiTheme="minorHAnsi" w:cs="Cambria"/>
          <w:b/>
          <w:color w:val="000000" w:themeColor="text1"/>
          <w:sz w:val="20"/>
          <w:szCs w:val="20"/>
          <w:lang w:val="es-CO"/>
        </w:rPr>
        <w:t>En relación con la primera recomendación</w:t>
      </w:r>
      <w:r w:rsidRPr="00A272A0">
        <w:rPr>
          <w:rFonts w:asciiTheme="minorHAnsi" w:eastAsia="Cambria" w:hAnsiTheme="minorHAnsi" w:cs="Cambria"/>
          <w:color w:val="000000" w:themeColor="text1"/>
          <w:sz w:val="20"/>
          <w:szCs w:val="20"/>
          <w:lang w:val="es-CO"/>
        </w:rPr>
        <w:t>, en 2018, el Estado reiteró que la investigación penal Nº 169 por el delito de homicidio agravado se encuentra aún en etapa preliminar, e indicó a su vez que la Fiscalía 17 especializada profirió decisiones orientadas a obtener evidencia física y elementos materiales probatorios que permitan el esclarecimiento de los hechos. En este sentido, se refirió a una reunión sostenida el 15 de diciembre de 2016 a instancia del despacho de la Vicefiscal General de la Nación, en la cual se expuso la necesidad de identificar plenamente a las 2 víctimas, toda vez que, revisados los registros dactilares no habría plena certeza de su identificación</w:t>
      </w:r>
      <w:r w:rsidRPr="00A272A0">
        <w:rPr>
          <w:rFonts w:asciiTheme="minorHAnsi" w:eastAsia="Cambria" w:hAnsiTheme="minorHAnsi" w:cs="Cambria"/>
          <w:color w:val="000000" w:themeColor="text1"/>
          <w:sz w:val="20"/>
          <w:szCs w:val="20"/>
          <w:vertAlign w:val="superscript"/>
        </w:rPr>
        <w:footnoteReference w:id="2"/>
      </w:r>
      <w:r w:rsidRPr="00A272A0">
        <w:rPr>
          <w:rFonts w:asciiTheme="minorHAnsi" w:eastAsia="Cambria" w:hAnsiTheme="minorHAnsi" w:cs="Cambria"/>
          <w:color w:val="000000" w:themeColor="text1"/>
          <w:sz w:val="20"/>
          <w:szCs w:val="20"/>
          <w:lang w:val="es-CO"/>
        </w:rPr>
        <w:t>. Las exhumaciones tuvieron lugar en el mes de junio de 2017. El Estado informó que, una vez completado el proceso de identificación de las víctimas, la Fiscalía General de la Nación, a través del Grupo Interno de Trabajo de Búsqueda, Identificación y Entrega de Personas Desaparecidas, concertó con los representantes y familiares de las víctimas la entrega digna de los restos de las víctimas. El Estado indicó que la entrega de los restos del menor José Heriberto Ramírez Llanos tuvo lugar el 23 de abril de 2018 en la ciudad de Manizales y fue presidida por el Coordinador Seccional del Subgrupo de Entregas de la Fiscalía y el Fiscal 48 Especializado a cargo de las investigaciones, con la participación de funcionarios del Ministerio de Relaciones Exteriores, la Unidad de Víctimas y la Procuraduría General de la Nación, una hermana de la víctima, sus representantes y un sacerdote católico. Los restos fueron depositados en un lugar designado por los familiares</w:t>
      </w:r>
      <w:r w:rsidRPr="00A272A0">
        <w:rPr>
          <w:rFonts w:asciiTheme="minorHAnsi" w:eastAsia="Cambria" w:hAnsiTheme="minorHAnsi" w:cs="Cambria"/>
          <w:color w:val="000000" w:themeColor="text1"/>
          <w:sz w:val="20"/>
          <w:szCs w:val="20"/>
          <w:vertAlign w:val="superscript"/>
        </w:rPr>
        <w:footnoteReference w:id="3"/>
      </w:r>
      <w:r w:rsidRPr="00A272A0">
        <w:rPr>
          <w:rFonts w:asciiTheme="minorHAnsi" w:eastAsia="Cambria" w:hAnsiTheme="minorHAnsi" w:cs="Cambria"/>
          <w:color w:val="000000" w:themeColor="text1"/>
          <w:sz w:val="20"/>
          <w:szCs w:val="20"/>
          <w:lang w:val="es-CO"/>
        </w:rPr>
        <w:t xml:space="preserve">. La entrega de los restos del señor James Zapata Valencia tuvo lugar los días 25 y 26 de junio, también en la ciudad de Manizales, con participación de los familiares de la víctima, sus representantes y funcionarios de la Fiscalía, el Ministerio de Relaciones Exteriores y la Procuraduría. El Estado indicó que en el espacio fue propicio para presentar a los familiares el estado de la investigación y resolver sus inquietudes </w:t>
      </w:r>
      <w:r w:rsidRPr="00A272A0">
        <w:rPr>
          <w:rFonts w:asciiTheme="minorHAnsi" w:eastAsia="Cambria" w:hAnsiTheme="minorHAnsi" w:cs="Cambria"/>
          <w:color w:val="000000" w:themeColor="text1"/>
          <w:sz w:val="20"/>
          <w:szCs w:val="20"/>
          <w:lang w:val="es-CO"/>
        </w:rPr>
        <w:lastRenderedPageBreak/>
        <w:t>frente al proceso. Igualmente, sus restos fueron depositados en el lugar seleccionado por los familiares además de una ceremonia religiosa de acuerdo con sus creencias</w:t>
      </w:r>
      <w:r w:rsidRPr="00A272A0">
        <w:rPr>
          <w:rFonts w:asciiTheme="minorHAnsi" w:eastAsia="Cambria" w:hAnsiTheme="minorHAnsi" w:cs="Cambria"/>
          <w:color w:val="000000" w:themeColor="text1"/>
          <w:sz w:val="20"/>
          <w:szCs w:val="20"/>
          <w:vertAlign w:val="superscript"/>
        </w:rPr>
        <w:footnoteReference w:id="4"/>
      </w:r>
      <w:r w:rsidRPr="00A272A0">
        <w:rPr>
          <w:rFonts w:asciiTheme="minorHAnsi" w:eastAsia="Cambria" w:hAnsiTheme="minorHAnsi" w:cs="Cambria"/>
          <w:color w:val="000000" w:themeColor="text1"/>
          <w:sz w:val="20"/>
          <w:szCs w:val="20"/>
          <w:lang w:val="es-CO"/>
        </w:rPr>
        <w:t>.</w:t>
      </w:r>
    </w:p>
    <w:p w14:paraId="3370EC7A" w14:textId="77777777" w:rsidR="00C73177" w:rsidRPr="00A272A0" w:rsidRDefault="00C73177">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Theme="minorHAnsi" w:eastAsia="Cambria" w:hAnsiTheme="minorHAnsi" w:cs="Cambria"/>
          <w:color w:val="000000" w:themeColor="text1"/>
          <w:sz w:val="20"/>
          <w:szCs w:val="20"/>
          <w:lang w:val="es-CO"/>
        </w:rPr>
      </w:pPr>
    </w:p>
    <w:p w14:paraId="0E2CD35F" w14:textId="77777777" w:rsidR="00C73177" w:rsidRPr="00A272A0" w:rsidRDefault="001D747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Theme="minorHAnsi" w:eastAsia="Cambria" w:hAnsiTheme="minorHAnsi" w:cs="Cambria"/>
          <w:color w:val="000000" w:themeColor="text1"/>
          <w:sz w:val="20"/>
          <w:szCs w:val="20"/>
          <w:lang w:val="es-CO"/>
        </w:rPr>
      </w:pPr>
      <w:r w:rsidRPr="00A272A0">
        <w:rPr>
          <w:rFonts w:asciiTheme="minorHAnsi" w:eastAsia="Cambria" w:hAnsiTheme="minorHAnsi" w:cs="Cambria"/>
          <w:color w:val="000000" w:themeColor="text1"/>
          <w:sz w:val="20"/>
          <w:szCs w:val="20"/>
          <w:lang w:val="es-CO"/>
        </w:rPr>
        <w:t>En 2019, el Estado informó que pese al paso del tiempo se han abierto varias líneas de investigación en torno a los presuntos responsables y las causas que conllevaron a la muerte violenta de James Zapata y José Heriberto Ramírez, sin que a la fecha se hayan obtenido los resultados esperados.</w:t>
      </w:r>
    </w:p>
    <w:p w14:paraId="68B5AF30" w14:textId="77777777" w:rsidR="00C73177" w:rsidRPr="00A272A0" w:rsidRDefault="00C73177">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Theme="minorHAnsi" w:eastAsia="Cambria" w:hAnsiTheme="minorHAnsi" w:cs="Cambria"/>
          <w:color w:val="000000" w:themeColor="text1"/>
          <w:sz w:val="20"/>
          <w:szCs w:val="20"/>
          <w:lang w:val="es-CO"/>
        </w:rPr>
      </w:pPr>
    </w:p>
    <w:p w14:paraId="1926B1B1" w14:textId="7C7B9F76" w:rsidR="002E019B" w:rsidRPr="00A272A0" w:rsidRDefault="001D747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Theme="minorHAnsi" w:eastAsia="Cambria" w:hAnsiTheme="minorHAnsi" w:cs="Cambria"/>
          <w:color w:val="000000" w:themeColor="text1"/>
          <w:sz w:val="20"/>
          <w:szCs w:val="20"/>
          <w:lang w:val="es-CO"/>
        </w:rPr>
      </w:pPr>
      <w:r w:rsidRPr="00A272A0">
        <w:rPr>
          <w:rFonts w:asciiTheme="minorHAnsi" w:eastAsia="Cambria" w:hAnsiTheme="minorHAnsi" w:cs="Cambria"/>
          <w:color w:val="000000" w:themeColor="text1"/>
          <w:sz w:val="20"/>
          <w:szCs w:val="20"/>
          <w:lang w:val="es-CO"/>
        </w:rPr>
        <w:t>En 2020, el Estado proporcionó un reporte de la Fiscalía General de la Nación que informó que la investigación inició en 1988 a cargo del Juzgado Promiscuo Municipal de Palestina por el homicidio de personas sin identificar. Indicó que, en 1992, se ordenó la vinculación de 5 personas reconocidas por los testigos que posteriormente fueron desvinculados, llevando a que el proceso volviera a la etapa de investigación preliminar. El Estado manifestó que se hizo una inspección de archivos del Ministerio de Defensa, del Departamento de Personal del Ejército Nacional y de los procesos disciplinarios y que la información recaudada no ha aportado datos suficientes para identificar e individualizar a los responsables. El Estado también destacó que se logró pasar de un proceso en el que las víctimas eran desconocidas a ubicarlas, identificarlas y hacer una entrega digna de sus restos en 2018. Finalmente, afirmó que la investigación continúa en fase de indagación y, para el momento en que proporcionó esta información, propuso realizar una reunión con la parte peticionaria luego de que se normalizara la situación causada por la pandemia.</w:t>
      </w:r>
    </w:p>
    <w:p w14:paraId="2DA1775A" w14:textId="77777777" w:rsidR="002E019B" w:rsidRPr="00A272A0" w:rsidRDefault="002E019B" w:rsidP="002E019B">
      <w:pPr>
        <w:pBdr>
          <w:top w:val="none" w:sz="0" w:space="0" w:color="000000"/>
          <w:left w:val="none" w:sz="0" w:space="0" w:color="000000"/>
          <w:bottom w:val="none" w:sz="0" w:space="0" w:color="000000"/>
          <w:right w:val="none" w:sz="0" w:space="0" w:color="000000"/>
          <w:between w:val="none" w:sz="0" w:space="0" w:color="000000"/>
        </w:pBdr>
        <w:spacing w:after="0" w:line="240" w:lineRule="auto"/>
        <w:ind w:leftChars="0" w:left="0" w:firstLineChars="0" w:firstLine="0"/>
        <w:jc w:val="both"/>
        <w:rPr>
          <w:rFonts w:asciiTheme="minorHAnsi" w:eastAsia="Cambria" w:hAnsiTheme="minorHAnsi" w:cs="Cambria"/>
          <w:color w:val="000000" w:themeColor="text1"/>
          <w:sz w:val="20"/>
          <w:szCs w:val="20"/>
          <w:lang w:val="es-CO"/>
        </w:rPr>
      </w:pPr>
    </w:p>
    <w:p w14:paraId="1D0EAFD0" w14:textId="275CC612" w:rsidR="00C73177" w:rsidRPr="00A272A0" w:rsidRDefault="002E019B">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Theme="minorHAnsi" w:eastAsia="Cambria" w:hAnsiTheme="minorHAnsi" w:cs="Cambria"/>
          <w:color w:val="000000" w:themeColor="text1"/>
          <w:sz w:val="20"/>
          <w:szCs w:val="20"/>
          <w:lang w:val="es-CO"/>
        </w:rPr>
      </w:pPr>
      <w:r w:rsidRPr="00A272A0">
        <w:rPr>
          <w:rFonts w:asciiTheme="minorHAnsi" w:eastAsia="Cambria" w:hAnsiTheme="minorHAnsi" w:cs="Cambria"/>
          <w:color w:val="000000" w:themeColor="text1"/>
          <w:sz w:val="20"/>
          <w:szCs w:val="20"/>
          <w:lang w:val="es-CO"/>
        </w:rPr>
        <w:t>En 2021, el Estado señaló que la línea investigativa de este caso se ha centrado en la presunta participación de agentes de la SIJIN y del Ejército Nacional e informó algunas diligencias de investigación realizadas en 2020 y 2021. Manifestó que la etapa continúa en etapa preliminar y que se realizó una reunión con la parte peticionar</w:t>
      </w:r>
      <w:r w:rsidR="003C74FF" w:rsidRPr="00A272A0">
        <w:rPr>
          <w:rFonts w:asciiTheme="minorHAnsi" w:eastAsia="Cambria" w:hAnsiTheme="minorHAnsi" w:cs="Cambria"/>
          <w:color w:val="000000" w:themeColor="text1"/>
          <w:sz w:val="20"/>
          <w:szCs w:val="20"/>
          <w:lang w:val="es-CO"/>
        </w:rPr>
        <w:t>ia para concertar mecanismos que permitan impulsar la investigación.</w:t>
      </w:r>
    </w:p>
    <w:p w14:paraId="577B7D34" w14:textId="77777777" w:rsidR="00C73177" w:rsidRPr="00A272A0" w:rsidRDefault="00C73177">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Theme="minorHAnsi" w:eastAsia="Cambria" w:hAnsiTheme="minorHAnsi" w:cs="Cambria"/>
          <w:color w:val="000000" w:themeColor="text1"/>
          <w:sz w:val="20"/>
          <w:szCs w:val="20"/>
          <w:lang w:val="es-CO"/>
        </w:rPr>
      </w:pPr>
    </w:p>
    <w:p w14:paraId="377F0809" w14:textId="77777777" w:rsidR="00C73177" w:rsidRPr="00A272A0" w:rsidRDefault="001D747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Theme="minorHAnsi" w:eastAsia="Cambria" w:hAnsiTheme="minorHAnsi" w:cs="Cambria"/>
          <w:color w:val="000000" w:themeColor="text1"/>
          <w:sz w:val="20"/>
          <w:szCs w:val="20"/>
          <w:lang w:val="es-CO"/>
        </w:rPr>
      </w:pPr>
      <w:r w:rsidRPr="00A272A0">
        <w:rPr>
          <w:rFonts w:asciiTheme="minorHAnsi" w:eastAsia="Cambria" w:hAnsiTheme="minorHAnsi" w:cs="Cambria"/>
          <w:color w:val="000000" w:themeColor="text1"/>
          <w:sz w:val="20"/>
          <w:szCs w:val="20"/>
          <w:lang w:val="es-CO"/>
        </w:rPr>
        <w:t>Por su parte, en 2019, los peticionarios manifestaron que las informaciones presentadas por el Estado en 2019 no permiten dilucidar cuáles han sido las acciones judiciales o de investigación que se han adelantado desde el último año. Asimismo, los peticionarios añadieron que el último informe presentado por el Estado no hacía referencia a ninguna acción de investigación realizada con posterioridad a la exhumación, identificación y entrega digna de los restos de las víctimas. Así, según los peticionarios, no es posible pronunciarse sobre los esfuerzos realizados por el Estado para avanzar en el cumplimiento de esta medida.</w:t>
      </w:r>
    </w:p>
    <w:p w14:paraId="1F641A70" w14:textId="77777777" w:rsidR="00C73177" w:rsidRPr="00A272A0" w:rsidRDefault="00C73177">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Theme="minorHAnsi" w:eastAsia="Cambria" w:hAnsiTheme="minorHAnsi" w:cs="Cambria"/>
          <w:color w:val="000000" w:themeColor="text1"/>
          <w:sz w:val="20"/>
          <w:szCs w:val="20"/>
          <w:lang w:val="es-CO"/>
        </w:rPr>
      </w:pPr>
    </w:p>
    <w:p w14:paraId="3B394F18" w14:textId="2087DB56" w:rsidR="00615C41" w:rsidRPr="00A272A0" w:rsidRDefault="001D7470" w:rsidP="00615C41">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Theme="minorHAnsi" w:eastAsia="Cambria" w:hAnsiTheme="minorHAnsi" w:cs="Cambria"/>
          <w:color w:val="000000" w:themeColor="text1"/>
          <w:sz w:val="20"/>
          <w:szCs w:val="20"/>
          <w:lang w:val="es-CO"/>
        </w:rPr>
      </w:pPr>
      <w:r w:rsidRPr="00A272A0">
        <w:rPr>
          <w:rFonts w:asciiTheme="minorHAnsi" w:eastAsia="Cambria" w:hAnsiTheme="minorHAnsi" w:cs="Cambria"/>
          <w:color w:val="000000" w:themeColor="text1"/>
          <w:sz w:val="20"/>
          <w:szCs w:val="20"/>
          <w:lang w:val="es-CO"/>
        </w:rPr>
        <w:t xml:space="preserve">En 2020, los peticionarios consideraron que esta recomendación continúa pendiente de cumplimiento. Indicaron que la investigación sigue en estado de averiguaciones, a pesar de que han transcurrido más de 30 años desde su apertura y que, aunque el Estado se ha referido a algunas actuaciones llevadas a cabo en 2017 y 2018 para cumplir con la recomendación, no ha informado sobre avances concretos sobre la investigación de los hechos ni la sanción de los responsables. Señalaron que, en su comunicación más reciente de 2020, el Estado solo reiteró lo reportado anteriormente, respecto a la exhumación de los cuerpos y entrega digna realizada en 2018. Además, se refirieron a la reunión de trabajo celebrada durante el 175º Periodo de Sesiones de la CIDH, en donde se acordó un encuentro posterior entre la Fiscalía y la parte peticionaria. </w:t>
      </w:r>
    </w:p>
    <w:p w14:paraId="16F648A3" w14:textId="77777777" w:rsidR="00615C41" w:rsidRPr="00A272A0" w:rsidRDefault="00615C41" w:rsidP="00615C41">
      <w:pPr>
        <w:pBdr>
          <w:top w:val="none" w:sz="0" w:space="0" w:color="000000"/>
          <w:left w:val="none" w:sz="0" w:space="0" w:color="000000"/>
          <w:bottom w:val="none" w:sz="0" w:space="0" w:color="000000"/>
          <w:right w:val="none" w:sz="0" w:space="0" w:color="000000"/>
          <w:between w:val="none" w:sz="0" w:space="0" w:color="000000"/>
        </w:pBdr>
        <w:spacing w:after="0" w:line="240" w:lineRule="auto"/>
        <w:ind w:leftChars="0" w:left="0" w:firstLineChars="0" w:firstLine="0"/>
        <w:jc w:val="both"/>
        <w:rPr>
          <w:rFonts w:asciiTheme="minorHAnsi" w:eastAsia="Cambria" w:hAnsiTheme="minorHAnsi" w:cs="Cambria"/>
          <w:color w:val="000000" w:themeColor="text1"/>
          <w:sz w:val="20"/>
          <w:szCs w:val="20"/>
          <w:lang w:val="es-CO"/>
        </w:rPr>
      </w:pPr>
    </w:p>
    <w:p w14:paraId="79134C6F" w14:textId="594EC1B1" w:rsidR="005E4049" w:rsidRPr="00A272A0" w:rsidRDefault="00615C41" w:rsidP="005E4049">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Theme="minorHAnsi" w:hAnsiTheme="minorHAnsi"/>
          <w:color w:val="000000" w:themeColor="text1"/>
          <w:sz w:val="20"/>
          <w:szCs w:val="20"/>
          <w:lang w:val="es-CO"/>
        </w:rPr>
      </w:pPr>
      <w:r w:rsidRPr="00A272A0">
        <w:rPr>
          <w:rFonts w:asciiTheme="minorHAnsi" w:eastAsia="Cambria" w:hAnsiTheme="minorHAnsi" w:cs="Cambria"/>
          <w:color w:val="000000" w:themeColor="text1"/>
          <w:sz w:val="20"/>
          <w:szCs w:val="20"/>
          <w:lang w:val="es-CO"/>
        </w:rPr>
        <w:t>También en 202</w:t>
      </w:r>
      <w:r w:rsidR="0052284C" w:rsidRPr="00A272A0">
        <w:rPr>
          <w:rFonts w:asciiTheme="minorHAnsi" w:eastAsia="Cambria" w:hAnsiTheme="minorHAnsi" w:cs="Cambria"/>
          <w:color w:val="000000" w:themeColor="text1"/>
          <w:sz w:val="20"/>
          <w:szCs w:val="20"/>
          <w:lang w:val="es-CO"/>
        </w:rPr>
        <w:t>0</w:t>
      </w:r>
      <w:r w:rsidRPr="00A272A0">
        <w:rPr>
          <w:rFonts w:asciiTheme="minorHAnsi" w:eastAsia="Cambria" w:hAnsiTheme="minorHAnsi" w:cs="Cambria"/>
          <w:color w:val="000000" w:themeColor="text1"/>
          <w:sz w:val="20"/>
          <w:szCs w:val="20"/>
          <w:lang w:val="es-CO"/>
        </w:rPr>
        <w:t>, la parte peticionaria señaló que</w:t>
      </w:r>
      <w:r w:rsidR="001D7470" w:rsidRPr="00A272A0">
        <w:rPr>
          <w:rFonts w:asciiTheme="minorHAnsi" w:eastAsia="Cambria" w:hAnsiTheme="minorHAnsi" w:cs="Cambria"/>
          <w:color w:val="000000" w:themeColor="text1"/>
          <w:sz w:val="20"/>
          <w:szCs w:val="20"/>
          <w:lang w:val="es-CO"/>
        </w:rPr>
        <w:t xml:space="preserve"> solo hasta el 10 de julio de 2020, se llevó a cabo una reunión virtual con la Fiscalía, a la cual acudió la Fiscal a cargo del caso, pero no la representante de la entidad que asistió a la reunión de trabajo ante la Comisión, a pesar de que se había comprometido a participar. Señalaron que en dicha reunión se programó una segunda reunión virtual para el 28 de julio con la madre de James Zapata y sus representantes. Asimismo, señalaron que todavía estaban a la espera de la información sobre las acciones a las que se comprometió la Fiscal a cargo del caso. Adicionalmente, informaron que, como ha sucedido en otros casos sobre desapariciones forzadas y ejecuciones extrajudiciales, la Fiscalía continúa cambiando a los fiscales encargados de las investigaciones, lo cual conduce a que los procesos sean dilatados. Al respecto, reportaron que, en el presente caso, en septiembre de 2019, la fiscalía encargada del proceso era el despacho 48 y para enero de 2020, la investigación fue asignada al despacho 190 de la Dirección Nacional </w:t>
      </w:r>
      <w:r w:rsidR="001D7470" w:rsidRPr="00A272A0">
        <w:rPr>
          <w:rFonts w:asciiTheme="minorHAnsi" w:eastAsia="Cambria" w:hAnsiTheme="minorHAnsi" w:cs="Cambria"/>
          <w:color w:val="000000" w:themeColor="text1"/>
          <w:sz w:val="20"/>
          <w:szCs w:val="20"/>
          <w:lang w:val="es-CO"/>
        </w:rPr>
        <w:lastRenderedPageBreak/>
        <w:t>contra las Violaciones a los Derechos Humanos, lo cual además de retrasar la investigación, significa un desgaste constante para los familiares de las víctimas. En relación con las acciones adelantadas por el Estado en 2019 y 2020, los peticionarios reiteraron que las autoridades no han entregado información detallada y actualizada sobre sus esfuerzos para investigar los hechos, juzgar y sancionar a los responsables, ni sobre acciones de investigación posteriores a la exhumación, identificación y entrega digna de los restos de las víctimas</w:t>
      </w:r>
    </w:p>
    <w:p w14:paraId="3D698D53" w14:textId="77777777" w:rsidR="00D162C9" w:rsidRPr="00A272A0" w:rsidRDefault="00D162C9" w:rsidP="00D162C9">
      <w:pPr>
        <w:pBdr>
          <w:top w:val="none" w:sz="0" w:space="0" w:color="000000"/>
          <w:left w:val="none" w:sz="0" w:space="0" w:color="000000"/>
          <w:bottom w:val="none" w:sz="0" w:space="0" w:color="000000"/>
          <w:right w:val="none" w:sz="0" w:space="0" w:color="000000"/>
          <w:between w:val="none" w:sz="0" w:space="0" w:color="000000"/>
        </w:pBdr>
        <w:spacing w:after="0" w:line="240" w:lineRule="auto"/>
        <w:ind w:leftChars="0" w:left="0" w:firstLineChars="0" w:firstLine="0"/>
        <w:jc w:val="both"/>
        <w:rPr>
          <w:rFonts w:asciiTheme="minorHAnsi" w:hAnsiTheme="minorHAnsi"/>
          <w:color w:val="000000" w:themeColor="text1"/>
          <w:sz w:val="20"/>
          <w:szCs w:val="20"/>
          <w:lang w:val="es-CO"/>
        </w:rPr>
      </w:pPr>
    </w:p>
    <w:p w14:paraId="6521F134" w14:textId="6587E33C" w:rsidR="00BC16EC" w:rsidRPr="00A272A0" w:rsidRDefault="005E4049" w:rsidP="006D0DA4">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Theme="minorHAnsi" w:eastAsia="Cambria" w:hAnsiTheme="minorHAnsi" w:cs="Cambria"/>
          <w:color w:val="000000" w:themeColor="text1"/>
          <w:sz w:val="20"/>
          <w:szCs w:val="20"/>
          <w:lang w:val="es-CO"/>
        </w:rPr>
      </w:pPr>
      <w:r w:rsidRPr="00A272A0">
        <w:rPr>
          <w:rFonts w:asciiTheme="minorHAnsi" w:hAnsiTheme="minorHAnsi"/>
          <w:color w:val="000000" w:themeColor="text1"/>
          <w:sz w:val="20"/>
          <w:szCs w:val="20"/>
          <w:lang w:val="es-CO"/>
        </w:rPr>
        <w:t xml:space="preserve">En 2021, la parte peticionaria reiteró alguna de la información remitida con anterioridad y resaltó que </w:t>
      </w:r>
      <w:r w:rsidRPr="00A272A0">
        <w:rPr>
          <w:rFonts w:asciiTheme="minorHAnsi" w:eastAsia="Cambria" w:hAnsiTheme="minorHAnsi" w:cs="Cambria"/>
          <w:color w:val="000000" w:themeColor="text1"/>
          <w:sz w:val="20"/>
          <w:szCs w:val="20"/>
          <w:lang w:val="es-CO"/>
        </w:rPr>
        <w:t>el Estado no ha proporcionado información detallada y actualizada sobre sus esfuerzos para investigar los hechos, juzgar y sancionar a los responsables de este caso durante los años 2019, 2020 y 2021. L</w:t>
      </w:r>
      <w:r w:rsidR="00BC16EC" w:rsidRPr="00A272A0">
        <w:rPr>
          <w:rFonts w:asciiTheme="minorHAnsi" w:hAnsiTheme="minorHAnsi"/>
          <w:color w:val="000000" w:themeColor="text1"/>
          <w:sz w:val="20"/>
          <w:szCs w:val="20"/>
          <w:lang w:val="es-CO"/>
        </w:rPr>
        <w:t>a parte peticionaria también informó que</w:t>
      </w:r>
      <w:r w:rsidR="00615C41" w:rsidRPr="00A272A0">
        <w:rPr>
          <w:rFonts w:asciiTheme="minorHAnsi" w:hAnsiTheme="minorHAnsi"/>
          <w:color w:val="000000" w:themeColor="text1"/>
          <w:sz w:val="20"/>
          <w:szCs w:val="20"/>
          <w:lang w:val="es-CO"/>
        </w:rPr>
        <w:t>,</w:t>
      </w:r>
      <w:r w:rsidR="00BC16EC" w:rsidRPr="00A272A0">
        <w:rPr>
          <w:rFonts w:asciiTheme="minorHAnsi" w:hAnsiTheme="minorHAnsi"/>
          <w:color w:val="000000" w:themeColor="text1"/>
          <w:sz w:val="20"/>
          <w:szCs w:val="20"/>
          <w:lang w:val="es-CO"/>
        </w:rPr>
        <w:t xml:space="preserve"> a raíz de la última reunión con la fiscal, se obtuvieron </w:t>
      </w:r>
      <w:r w:rsidR="00615C41" w:rsidRPr="00A272A0">
        <w:rPr>
          <w:rFonts w:asciiTheme="minorHAnsi" w:hAnsiTheme="minorHAnsi"/>
          <w:color w:val="000000" w:themeColor="text1"/>
          <w:sz w:val="20"/>
          <w:szCs w:val="20"/>
          <w:lang w:val="es-CO"/>
        </w:rPr>
        <w:t>cuatro</w:t>
      </w:r>
      <w:r w:rsidR="00BC16EC" w:rsidRPr="00A272A0">
        <w:rPr>
          <w:rFonts w:asciiTheme="minorHAnsi" w:hAnsiTheme="minorHAnsi"/>
          <w:color w:val="000000" w:themeColor="text1"/>
          <w:sz w:val="20"/>
          <w:szCs w:val="20"/>
          <w:lang w:val="es-CO"/>
        </w:rPr>
        <w:t xml:space="preserve"> declaraciones </w:t>
      </w:r>
      <w:r w:rsidR="00615C41" w:rsidRPr="00A272A0">
        <w:rPr>
          <w:rFonts w:asciiTheme="minorHAnsi" w:hAnsiTheme="minorHAnsi"/>
          <w:color w:val="000000" w:themeColor="text1"/>
          <w:sz w:val="20"/>
          <w:szCs w:val="20"/>
          <w:lang w:val="es-CO"/>
        </w:rPr>
        <w:t>en septiembre de 2020, agosto de 2021 y octubre de 2021. En este sentido, la parte peticionaria resaltó que ha sido muy importante la labor de la fiscal a cargo del caso y esperan que esta buena práctica continúe en el proceso, considerando que</w:t>
      </w:r>
      <w:r w:rsidR="00615C41" w:rsidRPr="00A272A0">
        <w:rPr>
          <w:rFonts w:asciiTheme="minorHAnsi" w:eastAsia="Cambria" w:hAnsiTheme="minorHAnsi" w:cs="Cambria"/>
          <w:color w:val="000000" w:themeColor="text1"/>
          <w:sz w:val="20"/>
          <w:szCs w:val="20"/>
          <w:lang w:val="es-CO"/>
        </w:rPr>
        <w:t xml:space="preserve"> el cambio anterior y constante de fiscales en el caso ha ocasionado un desgaste para los familiares de las víctimas.</w:t>
      </w:r>
    </w:p>
    <w:p w14:paraId="29256497" w14:textId="77777777" w:rsidR="006D0DA4" w:rsidRPr="00A272A0" w:rsidRDefault="006D0DA4" w:rsidP="006D0DA4">
      <w:pPr>
        <w:pBdr>
          <w:top w:val="none" w:sz="0" w:space="0" w:color="000000"/>
          <w:left w:val="none" w:sz="0" w:space="0" w:color="000000"/>
          <w:bottom w:val="none" w:sz="0" w:space="0" w:color="000000"/>
          <w:right w:val="none" w:sz="0" w:space="0" w:color="000000"/>
          <w:between w:val="none" w:sz="0" w:space="0" w:color="000000"/>
        </w:pBdr>
        <w:spacing w:after="0" w:line="240" w:lineRule="auto"/>
        <w:ind w:leftChars="0" w:left="0" w:firstLineChars="0" w:firstLine="0"/>
        <w:jc w:val="both"/>
        <w:rPr>
          <w:rFonts w:asciiTheme="minorHAnsi" w:eastAsia="Cambria" w:hAnsiTheme="minorHAnsi" w:cs="Cambria"/>
          <w:color w:val="000000" w:themeColor="text1"/>
          <w:sz w:val="20"/>
          <w:szCs w:val="20"/>
          <w:lang w:val="es-CO"/>
        </w:rPr>
      </w:pPr>
    </w:p>
    <w:p w14:paraId="618B9EF4" w14:textId="7254E70E" w:rsidR="00C73177" w:rsidRPr="00A272A0" w:rsidRDefault="00A94D55" w:rsidP="006D0DA4">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Theme="minorHAnsi" w:eastAsia="Cambria" w:hAnsiTheme="minorHAnsi" w:cs="Cambria"/>
          <w:color w:val="000000" w:themeColor="text1"/>
          <w:sz w:val="20"/>
          <w:szCs w:val="20"/>
          <w:lang w:val="es-CO"/>
        </w:rPr>
      </w:pPr>
      <w:r w:rsidRPr="00A272A0">
        <w:rPr>
          <w:rFonts w:asciiTheme="minorHAnsi" w:eastAsia="Cambria" w:hAnsiTheme="minorHAnsi" w:cs="Cambria"/>
          <w:color w:val="000000" w:themeColor="text1"/>
          <w:sz w:val="20"/>
          <w:szCs w:val="20"/>
          <w:lang w:val="es-CO"/>
        </w:rPr>
        <w:t>La Comisión valora positivamente que se haya llevado a cabo una reunión entre la fiscal a cargo del caso y la parte peticionaria durante el 2020</w:t>
      </w:r>
      <w:r w:rsidR="00FA48F4" w:rsidRPr="00A272A0">
        <w:rPr>
          <w:rFonts w:asciiTheme="minorHAnsi" w:eastAsia="Cambria" w:hAnsiTheme="minorHAnsi" w:cs="Cambria"/>
          <w:color w:val="000000" w:themeColor="text1"/>
          <w:sz w:val="20"/>
          <w:szCs w:val="20"/>
          <w:lang w:val="es-CO"/>
        </w:rPr>
        <w:t xml:space="preserve"> y que la parte peticionaria haya considerado las diligencias de investigación realizadas en el último año</w:t>
      </w:r>
      <w:r w:rsidRPr="00A272A0">
        <w:rPr>
          <w:rFonts w:asciiTheme="minorHAnsi" w:eastAsia="Cambria" w:hAnsiTheme="minorHAnsi" w:cs="Cambria"/>
          <w:color w:val="000000" w:themeColor="text1"/>
          <w:sz w:val="20"/>
          <w:szCs w:val="20"/>
          <w:lang w:val="es-CO"/>
        </w:rPr>
        <w:t xml:space="preserve">. </w:t>
      </w:r>
      <w:r w:rsidR="00FA48F4" w:rsidRPr="00A272A0">
        <w:rPr>
          <w:rFonts w:asciiTheme="minorHAnsi" w:eastAsia="Cambria" w:hAnsiTheme="minorHAnsi" w:cs="Cambria"/>
          <w:color w:val="000000" w:themeColor="text1"/>
          <w:sz w:val="20"/>
          <w:szCs w:val="20"/>
          <w:lang w:val="es-CO"/>
        </w:rPr>
        <w:t>En este sentido</w:t>
      </w:r>
      <w:r w:rsidRPr="00A272A0">
        <w:rPr>
          <w:rFonts w:asciiTheme="minorHAnsi" w:eastAsia="Cambria" w:hAnsiTheme="minorHAnsi" w:cs="Cambria"/>
          <w:color w:val="000000" w:themeColor="text1"/>
          <w:sz w:val="20"/>
          <w:szCs w:val="20"/>
          <w:lang w:val="es-CO"/>
        </w:rPr>
        <w:t xml:space="preserve">, la Comisión </w:t>
      </w:r>
      <w:r w:rsidR="00FA48F4" w:rsidRPr="00A272A0">
        <w:rPr>
          <w:rFonts w:asciiTheme="minorHAnsi" w:eastAsia="Cambria" w:hAnsiTheme="minorHAnsi" w:cs="Cambria"/>
          <w:color w:val="000000" w:themeColor="text1"/>
          <w:sz w:val="20"/>
          <w:szCs w:val="20"/>
          <w:lang w:val="es-CO"/>
        </w:rPr>
        <w:t>corrobora la importancia de que se</w:t>
      </w:r>
      <w:r w:rsidRPr="00A272A0">
        <w:rPr>
          <w:rFonts w:asciiTheme="minorHAnsi" w:eastAsia="Cambria" w:hAnsiTheme="minorHAnsi" w:cs="Cambria"/>
          <w:color w:val="000000" w:themeColor="text1"/>
          <w:sz w:val="20"/>
          <w:szCs w:val="20"/>
          <w:lang w:val="es-CO"/>
        </w:rPr>
        <w:t xml:space="preserve"> eviten prácticas que puedan retrasar o entorpecer el desarrollo de las investigaciones. En este sentido, insta al Estado a </w:t>
      </w:r>
      <w:r w:rsidR="00FA48F4" w:rsidRPr="00A272A0">
        <w:rPr>
          <w:rFonts w:asciiTheme="minorHAnsi" w:eastAsia="Cambria" w:hAnsiTheme="minorHAnsi" w:cs="Cambria"/>
          <w:color w:val="000000" w:themeColor="text1"/>
          <w:sz w:val="20"/>
          <w:szCs w:val="20"/>
          <w:lang w:val="es-CO"/>
        </w:rPr>
        <w:t>continuar implementando</w:t>
      </w:r>
      <w:r w:rsidRPr="00A272A0">
        <w:rPr>
          <w:rFonts w:asciiTheme="minorHAnsi" w:eastAsia="Cambria" w:hAnsiTheme="minorHAnsi" w:cs="Cambria"/>
          <w:color w:val="000000" w:themeColor="text1"/>
          <w:sz w:val="20"/>
          <w:szCs w:val="20"/>
          <w:lang w:val="es-CO"/>
        </w:rPr>
        <w:t xml:space="preserve"> las medidas necesarias para que la investigación avance de manera ágil y a informar de manera detallada sobre la naturaleza y desarrollo de las diligencias a fin de avanzar con las investigaciones.</w:t>
      </w:r>
      <w:r w:rsidR="0078028E" w:rsidRPr="00A272A0">
        <w:rPr>
          <w:rFonts w:asciiTheme="minorHAnsi" w:eastAsia="Cambria" w:hAnsiTheme="minorHAnsi" w:cs="Cambria"/>
          <w:color w:val="000000" w:themeColor="text1"/>
          <w:sz w:val="20"/>
          <w:szCs w:val="20"/>
          <w:lang w:val="es-CO"/>
        </w:rPr>
        <w:t xml:space="preserve"> Con miras a determinar un nivel más avanzado en el cumplimiento de esta recomendación, la Comisión solicita al Estado aclarar si </w:t>
      </w:r>
      <w:r w:rsidR="000B4E0B" w:rsidRPr="00A272A0">
        <w:rPr>
          <w:rFonts w:asciiTheme="minorHAnsi" w:eastAsia="Cambria" w:hAnsiTheme="minorHAnsi" w:cs="Cambria"/>
          <w:color w:val="000000" w:themeColor="text1"/>
          <w:sz w:val="20"/>
          <w:szCs w:val="20"/>
          <w:lang w:val="es-CO"/>
        </w:rPr>
        <w:t xml:space="preserve">se ha determinado alguna hipótesis investigativa o si han </w:t>
      </w:r>
      <w:r w:rsidR="0078028E" w:rsidRPr="00A272A0">
        <w:rPr>
          <w:rFonts w:asciiTheme="minorHAnsi" w:eastAsia="Cambria" w:hAnsiTheme="minorHAnsi" w:cs="Cambria"/>
          <w:color w:val="000000" w:themeColor="text1"/>
          <w:sz w:val="20"/>
          <w:szCs w:val="20"/>
          <w:lang w:val="es-CO"/>
        </w:rPr>
        <w:t>sido vinculadas</w:t>
      </w:r>
      <w:r w:rsidR="000B4E0B" w:rsidRPr="00A272A0">
        <w:rPr>
          <w:rFonts w:asciiTheme="minorHAnsi" w:eastAsia="Cambria" w:hAnsiTheme="minorHAnsi" w:cs="Cambria"/>
          <w:color w:val="000000" w:themeColor="text1"/>
          <w:sz w:val="20"/>
          <w:szCs w:val="20"/>
          <w:lang w:val="es-CO"/>
        </w:rPr>
        <w:t xml:space="preserve"> oficialmente</w:t>
      </w:r>
      <w:r w:rsidR="0078028E" w:rsidRPr="00A272A0">
        <w:rPr>
          <w:rFonts w:asciiTheme="minorHAnsi" w:eastAsia="Cambria" w:hAnsiTheme="minorHAnsi" w:cs="Cambria"/>
          <w:color w:val="000000" w:themeColor="text1"/>
          <w:sz w:val="20"/>
          <w:szCs w:val="20"/>
          <w:lang w:val="es-CO"/>
        </w:rPr>
        <w:t xml:space="preserve"> personas en calidad de presuntos autores de los hechos investigados</w:t>
      </w:r>
      <w:r w:rsidR="000B4E0B" w:rsidRPr="00A272A0">
        <w:rPr>
          <w:rFonts w:asciiTheme="minorHAnsi" w:eastAsia="Cambria" w:hAnsiTheme="minorHAnsi" w:cs="Cambria"/>
          <w:color w:val="000000" w:themeColor="text1"/>
          <w:sz w:val="20"/>
          <w:szCs w:val="20"/>
          <w:lang w:val="es-CO"/>
        </w:rPr>
        <w:t>,</w:t>
      </w:r>
      <w:r w:rsidR="00D30365" w:rsidRPr="00A272A0">
        <w:rPr>
          <w:rFonts w:asciiTheme="minorHAnsi" w:eastAsia="Cambria" w:hAnsiTheme="minorHAnsi" w:cs="Cambria"/>
          <w:color w:val="000000" w:themeColor="text1"/>
          <w:sz w:val="20"/>
          <w:szCs w:val="20"/>
          <w:lang w:val="es-CO"/>
        </w:rPr>
        <w:t xml:space="preserve"> y </w:t>
      </w:r>
      <w:r w:rsidR="000B4E0B" w:rsidRPr="00A272A0">
        <w:rPr>
          <w:rFonts w:asciiTheme="minorHAnsi" w:eastAsia="Cambria" w:hAnsiTheme="minorHAnsi" w:cs="Cambria"/>
          <w:color w:val="000000" w:themeColor="text1"/>
          <w:sz w:val="20"/>
          <w:szCs w:val="20"/>
          <w:lang w:val="es-CO"/>
        </w:rPr>
        <w:t>remitir información sobre</w:t>
      </w:r>
      <w:r w:rsidR="00D30365" w:rsidRPr="00A272A0">
        <w:rPr>
          <w:rFonts w:asciiTheme="minorHAnsi" w:eastAsia="Cambria" w:hAnsiTheme="minorHAnsi" w:cs="Cambria"/>
          <w:color w:val="000000" w:themeColor="text1"/>
          <w:sz w:val="20"/>
          <w:szCs w:val="20"/>
          <w:lang w:val="es-CO"/>
        </w:rPr>
        <w:t xml:space="preserve"> las diligencias realizadas para determinar la responsabilidad respecto de cada persona</w:t>
      </w:r>
      <w:r w:rsidR="000B4E0B" w:rsidRPr="00A272A0">
        <w:rPr>
          <w:rFonts w:asciiTheme="minorHAnsi" w:eastAsia="Cambria" w:hAnsiTheme="minorHAnsi" w:cs="Cambria"/>
          <w:color w:val="000000" w:themeColor="text1"/>
          <w:sz w:val="20"/>
          <w:szCs w:val="20"/>
          <w:lang w:val="es-CO"/>
        </w:rPr>
        <w:t>, de ser el caso</w:t>
      </w:r>
      <w:r w:rsidR="0078028E" w:rsidRPr="00A272A0">
        <w:rPr>
          <w:rFonts w:asciiTheme="minorHAnsi" w:eastAsia="Cambria" w:hAnsiTheme="minorHAnsi" w:cs="Cambria"/>
          <w:color w:val="000000" w:themeColor="text1"/>
          <w:sz w:val="20"/>
          <w:szCs w:val="20"/>
          <w:lang w:val="es-CO"/>
        </w:rPr>
        <w:t>.</w:t>
      </w:r>
      <w:r w:rsidRPr="00A272A0">
        <w:rPr>
          <w:rFonts w:asciiTheme="minorHAnsi" w:eastAsia="Cambria" w:hAnsiTheme="minorHAnsi" w:cs="Cambria"/>
          <w:color w:val="000000" w:themeColor="text1"/>
          <w:sz w:val="20"/>
          <w:szCs w:val="20"/>
          <w:lang w:val="es-CO"/>
        </w:rPr>
        <w:t xml:space="preserve"> La CIDH recuerda que el deber de investigar debe cumplirse con seriedad y no como una simple formalidad condenada de antemano a ser infructuosa, y debe tener un sentido y ser asumida por los Estados como un deber jurídico propio y no como una simple gestión de intereses particulares, que dependa de la iniciativa procesal de la víctima o de sus familiares o de la aportación privada de elementos probatorios, sin que la autoridad pública busque efectivamente la verdad</w:t>
      </w:r>
      <w:r w:rsidRPr="00A272A0">
        <w:rPr>
          <w:rFonts w:asciiTheme="minorHAnsi" w:eastAsia="Cambria" w:hAnsiTheme="minorHAnsi" w:cs="Cambria"/>
          <w:color w:val="000000" w:themeColor="text1"/>
          <w:sz w:val="20"/>
          <w:szCs w:val="20"/>
          <w:vertAlign w:val="superscript"/>
        </w:rPr>
        <w:footnoteReference w:id="5"/>
      </w:r>
      <w:r w:rsidRPr="00A272A0">
        <w:rPr>
          <w:rFonts w:asciiTheme="minorHAnsi" w:eastAsia="Cambria" w:hAnsiTheme="minorHAnsi" w:cs="Cambria"/>
          <w:color w:val="000000" w:themeColor="text1"/>
          <w:sz w:val="20"/>
          <w:szCs w:val="20"/>
          <w:lang w:val="es-CO"/>
        </w:rPr>
        <w:t xml:space="preserve">. </w:t>
      </w:r>
      <w:r w:rsidR="00437B7E" w:rsidRPr="00A272A0">
        <w:rPr>
          <w:rFonts w:asciiTheme="minorHAnsi" w:hAnsiTheme="minorHAnsi"/>
          <w:color w:val="000000" w:themeColor="text1"/>
          <w:sz w:val="20"/>
          <w:szCs w:val="20"/>
          <w:lang w:val="es-CO"/>
        </w:rPr>
        <w:t xml:space="preserve">En vista de lo anterior, la Comisión observa que </w:t>
      </w:r>
      <w:r w:rsidR="0078028E" w:rsidRPr="00A272A0">
        <w:rPr>
          <w:rFonts w:asciiTheme="minorHAnsi" w:hAnsiTheme="minorHAnsi"/>
          <w:color w:val="000000" w:themeColor="text1"/>
          <w:sz w:val="20"/>
          <w:szCs w:val="20"/>
          <w:lang w:val="es-CO"/>
        </w:rPr>
        <w:t>esta recomendación continúa pendiente de cumplimiento</w:t>
      </w:r>
      <w:r w:rsidR="006D0DA4" w:rsidRPr="00A272A0">
        <w:rPr>
          <w:rFonts w:asciiTheme="minorHAnsi" w:hAnsiTheme="minorHAnsi"/>
          <w:color w:val="000000" w:themeColor="text1"/>
          <w:sz w:val="20"/>
          <w:szCs w:val="20"/>
          <w:lang w:val="es-CO"/>
        </w:rPr>
        <w:t xml:space="preserve">. </w:t>
      </w:r>
    </w:p>
    <w:p w14:paraId="64ED3618" w14:textId="77777777" w:rsidR="006D0DA4" w:rsidRPr="00A272A0" w:rsidRDefault="006D0DA4" w:rsidP="006D0DA4">
      <w:pPr>
        <w:pBdr>
          <w:top w:val="none" w:sz="0" w:space="0" w:color="000000"/>
          <w:left w:val="none" w:sz="0" w:space="0" w:color="000000"/>
          <w:bottom w:val="none" w:sz="0" w:space="0" w:color="000000"/>
          <w:right w:val="none" w:sz="0" w:space="0" w:color="000000"/>
          <w:between w:val="none" w:sz="0" w:space="0" w:color="000000"/>
        </w:pBdr>
        <w:spacing w:after="0" w:line="240" w:lineRule="auto"/>
        <w:ind w:leftChars="0" w:left="0" w:firstLineChars="0" w:firstLine="0"/>
        <w:jc w:val="both"/>
        <w:rPr>
          <w:rFonts w:asciiTheme="minorHAnsi" w:eastAsia="Cambria" w:hAnsiTheme="minorHAnsi" w:cs="Cambria"/>
          <w:color w:val="000000" w:themeColor="text1"/>
          <w:sz w:val="20"/>
          <w:szCs w:val="20"/>
          <w:lang w:val="es-CO"/>
        </w:rPr>
      </w:pPr>
    </w:p>
    <w:p w14:paraId="445DEE14" w14:textId="4ACA620D" w:rsidR="00C73177" w:rsidRPr="00A272A0" w:rsidRDefault="001D747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Theme="minorHAnsi" w:eastAsia="Cambria" w:hAnsiTheme="minorHAnsi" w:cs="Cambria"/>
          <w:color w:val="000000" w:themeColor="text1"/>
          <w:sz w:val="20"/>
          <w:szCs w:val="20"/>
          <w:lang w:val="es-CO"/>
        </w:rPr>
      </w:pPr>
      <w:r w:rsidRPr="00A272A0">
        <w:rPr>
          <w:rFonts w:asciiTheme="minorHAnsi" w:eastAsia="Cambria" w:hAnsiTheme="minorHAnsi" w:cs="Cambria"/>
          <w:b/>
          <w:color w:val="000000" w:themeColor="text1"/>
          <w:sz w:val="20"/>
          <w:szCs w:val="20"/>
          <w:lang w:val="es-CO"/>
        </w:rPr>
        <w:t>Respecto de la segunda recomendación</w:t>
      </w:r>
      <w:r w:rsidRPr="00A272A0">
        <w:rPr>
          <w:rFonts w:asciiTheme="minorHAnsi" w:eastAsia="Cambria" w:hAnsiTheme="minorHAnsi" w:cs="Cambria"/>
          <w:color w:val="000000" w:themeColor="text1"/>
          <w:sz w:val="20"/>
          <w:szCs w:val="20"/>
          <w:lang w:val="es-CO"/>
        </w:rPr>
        <w:t xml:space="preserve">, en 2018, el Estado reiteró numerosas medidas adoptadas </w:t>
      </w:r>
      <w:r w:rsidR="003C74FF" w:rsidRPr="00A272A0">
        <w:rPr>
          <w:rFonts w:asciiTheme="minorHAnsi" w:eastAsia="Cambria" w:hAnsiTheme="minorHAnsi" w:cs="Cambria"/>
          <w:color w:val="000000" w:themeColor="text1"/>
          <w:sz w:val="20"/>
          <w:szCs w:val="20"/>
          <w:lang w:val="es-CO"/>
        </w:rPr>
        <w:t>para</w:t>
      </w:r>
      <w:r w:rsidRPr="00A272A0">
        <w:rPr>
          <w:rFonts w:asciiTheme="minorHAnsi" w:eastAsia="Cambria" w:hAnsiTheme="minorHAnsi" w:cs="Cambria"/>
          <w:color w:val="000000" w:themeColor="text1"/>
          <w:sz w:val="20"/>
          <w:szCs w:val="20"/>
          <w:lang w:val="es-CO"/>
        </w:rPr>
        <w:t xml:space="preserve"> prevenir las ejecuciones perpetradas por agentes de seguridad del Estado, así como impulsar las respectivas investigaciones y, de ser el caso, reparar a las víctimas de estas conductas delictivas</w:t>
      </w:r>
      <w:r w:rsidRPr="00A272A0">
        <w:rPr>
          <w:rFonts w:asciiTheme="minorHAnsi" w:eastAsia="Times New Roman" w:hAnsiTheme="minorHAnsi" w:cs="Times New Roman"/>
          <w:color w:val="000000" w:themeColor="text1"/>
          <w:sz w:val="20"/>
          <w:szCs w:val="20"/>
          <w:vertAlign w:val="superscript"/>
        </w:rPr>
        <w:footnoteReference w:id="6"/>
      </w:r>
      <w:r w:rsidRPr="00A272A0">
        <w:rPr>
          <w:rFonts w:asciiTheme="minorHAnsi" w:eastAsia="Cambria" w:hAnsiTheme="minorHAnsi" w:cs="Cambria"/>
          <w:color w:val="000000" w:themeColor="text1"/>
          <w:sz w:val="20"/>
          <w:szCs w:val="20"/>
          <w:lang w:val="es-CO"/>
        </w:rPr>
        <w:t>. Agregó que se han creado mecanismos para garantizar la transparencia y cooperación con las autoridades judiciales y disciplinarias en sus investigaciones, adoptando medidas desde la expedición de políticas hasta el fortalecimiento, con base en éstas, de la doctrina operacional de la Fuerza Pública y del sistema educativo, y que el Ministerio de Defensa Nacional implementó la Política Integral de Derechos Humanos y Derecho Internacional Humanitario (DIH), respondiendo a la necesidad de garantizar una integración plena de los derechos humanos y el DIH en la instrucción táctica y en la lógica operacional</w:t>
      </w:r>
      <w:r w:rsidRPr="00A272A0">
        <w:rPr>
          <w:rFonts w:asciiTheme="minorHAnsi" w:eastAsia="Times New Roman" w:hAnsiTheme="minorHAnsi" w:cs="Times New Roman"/>
          <w:color w:val="000000" w:themeColor="text1"/>
          <w:sz w:val="20"/>
          <w:szCs w:val="20"/>
          <w:vertAlign w:val="superscript"/>
        </w:rPr>
        <w:footnoteReference w:id="7"/>
      </w:r>
      <w:r w:rsidRPr="00A272A0">
        <w:rPr>
          <w:rFonts w:asciiTheme="minorHAnsi" w:eastAsia="Cambria" w:hAnsiTheme="minorHAnsi" w:cs="Cambria"/>
          <w:color w:val="000000" w:themeColor="text1"/>
          <w:sz w:val="20"/>
          <w:szCs w:val="20"/>
          <w:lang w:val="es-CO"/>
        </w:rPr>
        <w:t>. Asimismo, destacó la interpretación efectuada por la Corte Constitucional en la sentencia C-084/16 del 24 de febrero de 2016 mediante la cual se modificó el artículo 221 de la Constitución Política, relativo a la justicia penal militar y a la sanción de las conductas punibles cometidas por los miembros de la Fuerza Pública</w:t>
      </w:r>
      <w:r w:rsidRPr="00A272A0">
        <w:rPr>
          <w:rFonts w:asciiTheme="minorHAnsi" w:eastAsia="Times New Roman" w:hAnsiTheme="minorHAnsi" w:cs="Times New Roman"/>
          <w:color w:val="000000" w:themeColor="text1"/>
          <w:sz w:val="20"/>
          <w:szCs w:val="20"/>
          <w:vertAlign w:val="superscript"/>
        </w:rPr>
        <w:footnoteReference w:id="8"/>
      </w:r>
      <w:r w:rsidRPr="00A272A0">
        <w:rPr>
          <w:rFonts w:asciiTheme="minorHAnsi" w:eastAsia="Cambria" w:hAnsiTheme="minorHAnsi" w:cs="Cambria"/>
          <w:color w:val="000000" w:themeColor="text1"/>
          <w:sz w:val="20"/>
          <w:szCs w:val="20"/>
          <w:lang w:val="es-CO"/>
        </w:rPr>
        <w:t xml:space="preserve">. </w:t>
      </w:r>
    </w:p>
    <w:p w14:paraId="3044B365" w14:textId="77777777" w:rsidR="003C74FF" w:rsidRPr="00A272A0" w:rsidRDefault="003C74FF" w:rsidP="003C74FF">
      <w:pPr>
        <w:pBdr>
          <w:top w:val="none" w:sz="0" w:space="0" w:color="000000"/>
          <w:left w:val="none" w:sz="0" w:space="0" w:color="000000"/>
          <w:bottom w:val="none" w:sz="0" w:space="0" w:color="000000"/>
          <w:right w:val="none" w:sz="0" w:space="0" w:color="000000"/>
          <w:between w:val="none" w:sz="0" w:space="0" w:color="000000"/>
        </w:pBdr>
        <w:spacing w:after="0" w:line="240" w:lineRule="auto"/>
        <w:ind w:leftChars="0" w:left="0" w:firstLineChars="0" w:firstLine="0"/>
        <w:jc w:val="both"/>
        <w:rPr>
          <w:rFonts w:asciiTheme="minorHAnsi" w:eastAsia="Cambria" w:hAnsiTheme="minorHAnsi" w:cs="Cambria"/>
          <w:color w:val="000000" w:themeColor="text1"/>
          <w:sz w:val="20"/>
          <w:szCs w:val="20"/>
          <w:lang w:val="es-CO"/>
        </w:rPr>
      </w:pPr>
    </w:p>
    <w:p w14:paraId="04A237CE" w14:textId="7D252F3E" w:rsidR="003C74FF" w:rsidRPr="00A272A0" w:rsidRDefault="003C74FF">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Theme="minorHAnsi" w:eastAsia="Cambria" w:hAnsiTheme="minorHAnsi" w:cs="Cambria"/>
          <w:color w:val="000000" w:themeColor="text1"/>
          <w:sz w:val="20"/>
          <w:szCs w:val="20"/>
          <w:lang w:val="es-CO"/>
        </w:rPr>
      </w:pPr>
      <w:r w:rsidRPr="00A272A0">
        <w:rPr>
          <w:rFonts w:asciiTheme="minorHAnsi" w:eastAsia="Cambria" w:hAnsiTheme="minorHAnsi" w:cs="Cambria"/>
          <w:color w:val="000000" w:themeColor="text1"/>
          <w:sz w:val="20"/>
          <w:szCs w:val="20"/>
          <w:lang w:val="es-CO"/>
        </w:rPr>
        <w:lastRenderedPageBreak/>
        <w:t>En 2021, el Estado</w:t>
      </w:r>
      <w:r w:rsidR="00D12024" w:rsidRPr="00A272A0">
        <w:rPr>
          <w:rFonts w:asciiTheme="minorHAnsi" w:eastAsia="Cambria" w:hAnsiTheme="minorHAnsi" w:cs="Cambria"/>
          <w:color w:val="000000" w:themeColor="text1"/>
          <w:sz w:val="20"/>
          <w:szCs w:val="20"/>
          <w:lang w:val="es-CO"/>
        </w:rPr>
        <w:t xml:space="preserve"> señaló que, </w:t>
      </w:r>
      <w:bookmarkStart w:id="1" w:name="_Hlk89957177"/>
      <w:r w:rsidR="00D12024" w:rsidRPr="00A272A0">
        <w:rPr>
          <w:rFonts w:asciiTheme="minorHAnsi" w:eastAsia="Cambria" w:hAnsiTheme="minorHAnsi" w:cs="Cambria"/>
          <w:color w:val="000000" w:themeColor="text1"/>
          <w:sz w:val="20"/>
          <w:szCs w:val="20"/>
          <w:lang w:val="es-CO"/>
        </w:rPr>
        <w:t>con ocasión de la Ley 1957 de 2021 -Ley Estatutaria de la JEP-, los órganos que venían investigando conductas cometidas antes del 1 de diciembre de 2016 que sean competencias de la JEP solo pueden realizar actos de indagación e investigación, absteniéndose de proferir sentencias, imponer medidas de aseguramiento, ordenar capturas o cumplir las órdenes previas</w:t>
      </w:r>
      <w:bookmarkEnd w:id="1"/>
      <w:r w:rsidR="00D12024" w:rsidRPr="00A272A0">
        <w:rPr>
          <w:rFonts w:asciiTheme="minorHAnsi" w:eastAsia="Cambria" w:hAnsiTheme="minorHAnsi" w:cs="Cambria"/>
          <w:color w:val="000000" w:themeColor="text1"/>
          <w:sz w:val="20"/>
          <w:szCs w:val="20"/>
          <w:lang w:val="es-CO"/>
        </w:rPr>
        <w:t>.</w:t>
      </w:r>
    </w:p>
    <w:p w14:paraId="62833D45" w14:textId="77777777" w:rsidR="00C73177" w:rsidRPr="00A272A0" w:rsidRDefault="00C73177">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Theme="minorHAnsi" w:eastAsia="Cambria" w:hAnsiTheme="minorHAnsi" w:cs="Cambria"/>
          <w:color w:val="000000" w:themeColor="text1"/>
          <w:sz w:val="20"/>
          <w:szCs w:val="20"/>
          <w:lang w:val="es-CO"/>
        </w:rPr>
      </w:pPr>
    </w:p>
    <w:p w14:paraId="5FD26F42" w14:textId="77777777" w:rsidR="00C73177" w:rsidRPr="00A272A0" w:rsidRDefault="001D747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Theme="minorHAnsi" w:eastAsia="Cambria" w:hAnsiTheme="minorHAnsi" w:cs="Cambria"/>
          <w:color w:val="000000" w:themeColor="text1"/>
          <w:sz w:val="20"/>
          <w:szCs w:val="20"/>
          <w:lang w:val="es-CO"/>
        </w:rPr>
      </w:pPr>
      <w:r w:rsidRPr="00A272A0">
        <w:rPr>
          <w:rFonts w:asciiTheme="minorHAnsi" w:eastAsia="Cambria" w:hAnsiTheme="minorHAnsi" w:cs="Cambria"/>
          <w:color w:val="000000" w:themeColor="text1"/>
          <w:sz w:val="20"/>
          <w:szCs w:val="20"/>
          <w:lang w:val="es-CO"/>
        </w:rPr>
        <w:t xml:space="preserve">En 2019, teniendo en cuenta que el Estado no hizo referencia a las observaciones hechas por los peticionarios en su último informe, éstos reiteraron sus observaciones. Los peticionarios demostraron preocupación con el reciente recorte de presupuesto anunciado por parte del Presidente de la República de Colombia al presupuesto de la JEP para el 2020, que podría afectar gravemente el funcionamiento de la entidad y, consecuentemente, el enjuiciamiento de ejecuciones extrajudiciales cometidas en el marco del conflicto armado. </w:t>
      </w:r>
    </w:p>
    <w:p w14:paraId="27032619" w14:textId="77777777" w:rsidR="00C73177" w:rsidRPr="00A272A0" w:rsidRDefault="00C73177">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Theme="minorHAnsi" w:eastAsia="Cambria" w:hAnsiTheme="minorHAnsi" w:cs="Cambria"/>
          <w:color w:val="000000" w:themeColor="text1"/>
          <w:sz w:val="20"/>
          <w:szCs w:val="20"/>
          <w:lang w:val="es-CO"/>
        </w:rPr>
      </w:pPr>
    </w:p>
    <w:p w14:paraId="6136923F" w14:textId="2D277091" w:rsidR="001D7470" w:rsidRPr="00A272A0" w:rsidRDefault="001D7470" w:rsidP="0053523B">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Theme="minorHAnsi" w:eastAsia="Cambria" w:hAnsiTheme="minorHAnsi" w:cs="Cambria"/>
          <w:color w:val="000000" w:themeColor="text1"/>
          <w:sz w:val="20"/>
          <w:szCs w:val="20"/>
          <w:lang w:val="es-CO"/>
        </w:rPr>
      </w:pPr>
      <w:r w:rsidRPr="00A272A0">
        <w:rPr>
          <w:rFonts w:asciiTheme="minorHAnsi" w:eastAsia="Cambria" w:hAnsiTheme="minorHAnsi" w:cs="Cambria"/>
          <w:color w:val="000000" w:themeColor="text1"/>
          <w:sz w:val="20"/>
          <w:szCs w:val="20"/>
          <w:lang w:val="es-CO"/>
        </w:rPr>
        <w:t>En 2020, los peticionarios señalaron que el Estado no ha presentado información alguna que permita valorar algún avance en el cumplimiento de esta recomendación. En este sentido, consideraron que la recomendación está pendiente de cumplimiento.</w:t>
      </w:r>
    </w:p>
    <w:p w14:paraId="5D1634DA" w14:textId="77777777" w:rsidR="003C74FF" w:rsidRPr="00A272A0" w:rsidRDefault="003C74FF" w:rsidP="003C74FF">
      <w:pPr>
        <w:pBdr>
          <w:top w:val="none" w:sz="0" w:space="0" w:color="000000"/>
          <w:left w:val="none" w:sz="0" w:space="0" w:color="000000"/>
          <w:bottom w:val="none" w:sz="0" w:space="0" w:color="000000"/>
          <w:right w:val="none" w:sz="0" w:space="0" w:color="000000"/>
          <w:between w:val="none" w:sz="0" w:space="0" w:color="000000"/>
        </w:pBdr>
        <w:spacing w:after="0" w:line="240" w:lineRule="auto"/>
        <w:ind w:leftChars="0" w:left="0" w:firstLineChars="0" w:firstLine="0"/>
        <w:jc w:val="both"/>
        <w:rPr>
          <w:rFonts w:asciiTheme="minorHAnsi" w:eastAsia="Cambria" w:hAnsiTheme="minorHAnsi" w:cs="Cambria"/>
          <w:color w:val="000000" w:themeColor="text1"/>
          <w:sz w:val="20"/>
          <w:szCs w:val="20"/>
          <w:lang w:val="es-CO"/>
        </w:rPr>
      </w:pPr>
    </w:p>
    <w:p w14:paraId="0593AB02" w14:textId="42B5F41C" w:rsidR="001D7470" w:rsidRPr="00A272A0" w:rsidRDefault="001D7470" w:rsidP="001D747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Theme="minorHAnsi" w:eastAsia="Cambria" w:hAnsiTheme="minorHAnsi" w:cs="Cambria"/>
          <w:color w:val="000000" w:themeColor="text1"/>
          <w:sz w:val="20"/>
          <w:szCs w:val="20"/>
          <w:lang w:val="es-CO"/>
        </w:rPr>
      </w:pPr>
      <w:r w:rsidRPr="00A272A0">
        <w:rPr>
          <w:rFonts w:asciiTheme="minorHAnsi" w:eastAsia="Cambria" w:hAnsiTheme="minorHAnsi" w:cs="Cambria"/>
          <w:color w:val="000000" w:themeColor="text1"/>
          <w:sz w:val="20"/>
          <w:szCs w:val="20"/>
          <w:lang w:val="es-CO"/>
        </w:rPr>
        <w:t>En 2021, la parte peticionaria señaló que el Estado no ha presentado información alguna</w:t>
      </w:r>
      <w:r w:rsidR="000B4E0B" w:rsidRPr="00A272A0">
        <w:rPr>
          <w:rFonts w:asciiTheme="minorHAnsi" w:eastAsia="Cambria" w:hAnsiTheme="minorHAnsi" w:cs="Cambria"/>
          <w:color w:val="000000" w:themeColor="text1"/>
          <w:sz w:val="20"/>
          <w:szCs w:val="20"/>
          <w:lang w:val="es-CO"/>
        </w:rPr>
        <w:t xml:space="preserve">, </w:t>
      </w:r>
      <w:r w:rsidRPr="00A272A0">
        <w:rPr>
          <w:rFonts w:asciiTheme="minorHAnsi" w:eastAsia="Cambria" w:hAnsiTheme="minorHAnsi" w:cs="Cambria"/>
          <w:color w:val="000000" w:themeColor="text1"/>
          <w:sz w:val="20"/>
          <w:szCs w:val="20"/>
          <w:lang w:val="es-CO"/>
        </w:rPr>
        <w:t>desde hace varios años</w:t>
      </w:r>
      <w:r w:rsidR="000B4E0B" w:rsidRPr="00A272A0">
        <w:rPr>
          <w:rFonts w:asciiTheme="minorHAnsi" w:eastAsia="Cambria" w:hAnsiTheme="minorHAnsi" w:cs="Cambria"/>
          <w:color w:val="000000" w:themeColor="text1"/>
          <w:sz w:val="20"/>
          <w:szCs w:val="20"/>
          <w:lang w:val="es-CO"/>
        </w:rPr>
        <w:t>,</w:t>
      </w:r>
      <w:r w:rsidRPr="00A272A0">
        <w:rPr>
          <w:rFonts w:asciiTheme="minorHAnsi" w:eastAsia="Cambria" w:hAnsiTheme="minorHAnsi" w:cs="Cambria"/>
          <w:color w:val="000000" w:themeColor="text1"/>
          <w:sz w:val="20"/>
          <w:szCs w:val="20"/>
          <w:lang w:val="es-CO"/>
        </w:rPr>
        <w:t xml:space="preserve"> que permita valorar algún avance en el cumplimiento de esta recomendación por lo que considera que esta recomendación continúa pendiente de cumplimiento. </w:t>
      </w:r>
    </w:p>
    <w:p w14:paraId="54CA88A5" w14:textId="77777777" w:rsidR="001D7470" w:rsidRPr="00A272A0" w:rsidRDefault="001D7470" w:rsidP="001D7470">
      <w:pPr>
        <w:pBdr>
          <w:top w:val="none" w:sz="0" w:space="0" w:color="000000"/>
          <w:left w:val="none" w:sz="0" w:space="0" w:color="000000"/>
          <w:bottom w:val="none" w:sz="0" w:space="0" w:color="000000"/>
          <w:right w:val="none" w:sz="0" w:space="0" w:color="000000"/>
          <w:between w:val="none" w:sz="0" w:space="0" w:color="000000"/>
        </w:pBdr>
        <w:spacing w:after="0" w:line="240" w:lineRule="auto"/>
        <w:ind w:leftChars="0" w:left="0" w:firstLineChars="0" w:firstLine="0"/>
        <w:jc w:val="both"/>
        <w:rPr>
          <w:rFonts w:asciiTheme="minorHAnsi" w:eastAsia="Cambria" w:hAnsiTheme="minorHAnsi" w:cs="Cambria"/>
          <w:color w:val="000000" w:themeColor="text1"/>
          <w:sz w:val="20"/>
          <w:szCs w:val="20"/>
          <w:lang w:val="es-CO"/>
        </w:rPr>
      </w:pPr>
    </w:p>
    <w:p w14:paraId="68384EEC" w14:textId="4C05118A" w:rsidR="001D7470" w:rsidRPr="00A272A0" w:rsidRDefault="001D7470" w:rsidP="001D747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Theme="minorHAnsi" w:eastAsia="Cambria" w:hAnsiTheme="minorHAnsi" w:cs="Cambria"/>
          <w:color w:val="000000" w:themeColor="text1"/>
          <w:sz w:val="20"/>
          <w:szCs w:val="20"/>
          <w:lang w:val="es-CO"/>
        </w:rPr>
      </w:pPr>
      <w:r w:rsidRPr="00A272A0">
        <w:rPr>
          <w:rFonts w:asciiTheme="minorHAnsi" w:eastAsia="Cambria" w:hAnsiTheme="minorHAnsi" w:cs="Cambria"/>
          <w:color w:val="000000" w:themeColor="text1"/>
          <w:sz w:val="20"/>
          <w:szCs w:val="20"/>
          <w:lang w:val="es-CO"/>
        </w:rPr>
        <w:t xml:space="preserve">La Comisión lamenta que las ejecuciones de José Heriberto Ramírez Llanos y James Zapata Valencia ocurridas en 1988 todavía se encuentren impunes. En este sentido, continuará supervisando el impacto concreto de las medidas reportadas en los años anteriores por el Estado. Al respecto, la Comisión insta al Estado a implementar las medidas necesarias para asegurar la debida investigación de los casos de ejecuciones perpetradas por agentes de seguridad del Estado y a informar sobre dichas medidas y sobre los impactos alcanzados con su adopción. Por lo anterior, la Comisión considera que la Recomendación 2 continúa parcialmente cumplida. </w:t>
      </w:r>
    </w:p>
    <w:p w14:paraId="4C63A885" w14:textId="77777777" w:rsidR="00C73177" w:rsidRPr="00A272A0" w:rsidRDefault="00C73177" w:rsidP="001D7470">
      <w:pPr>
        <w:spacing w:after="0" w:line="240" w:lineRule="auto"/>
        <w:ind w:left="0" w:hanging="2"/>
        <w:jc w:val="both"/>
        <w:rPr>
          <w:rFonts w:asciiTheme="minorHAnsi" w:eastAsia="Cambria" w:hAnsiTheme="minorHAnsi" w:cs="Cambria"/>
          <w:color w:val="000000" w:themeColor="text1"/>
          <w:sz w:val="20"/>
          <w:szCs w:val="20"/>
          <w:lang w:val="es-CO"/>
        </w:rPr>
      </w:pPr>
    </w:p>
    <w:p w14:paraId="2644E3B7" w14:textId="77777777" w:rsidR="00C73177" w:rsidRPr="00A272A0" w:rsidRDefault="001D7470" w:rsidP="001D7470">
      <w:pPr>
        <w:numPr>
          <w:ilvl w:val="0"/>
          <w:numId w:val="6"/>
        </w:numPr>
        <w:spacing w:after="0" w:line="240" w:lineRule="auto"/>
        <w:ind w:left="0" w:hanging="2"/>
        <w:jc w:val="both"/>
        <w:rPr>
          <w:rFonts w:asciiTheme="minorHAnsi" w:eastAsia="Cambria" w:hAnsiTheme="minorHAnsi" w:cs="Cambria"/>
          <w:color w:val="000000" w:themeColor="text1"/>
          <w:sz w:val="20"/>
          <w:szCs w:val="20"/>
          <w:lang w:val="es-CO"/>
        </w:rPr>
      </w:pPr>
      <w:r w:rsidRPr="00A272A0">
        <w:rPr>
          <w:rFonts w:asciiTheme="minorHAnsi" w:eastAsia="Cambria" w:hAnsiTheme="minorHAnsi" w:cs="Cambria"/>
          <w:b/>
          <w:color w:val="000000" w:themeColor="text1"/>
          <w:sz w:val="20"/>
          <w:szCs w:val="20"/>
          <w:lang w:val="es-CO"/>
        </w:rPr>
        <w:t xml:space="preserve">Nivel del cumplimiento del caso </w:t>
      </w:r>
    </w:p>
    <w:p w14:paraId="3BE09E73" w14:textId="77777777" w:rsidR="00C73177" w:rsidRPr="00A272A0" w:rsidRDefault="00C73177">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Theme="minorHAnsi" w:eastAsia="Cambria" w:hAnsiTheme="minorHAnsi" w:cs="Cambria"/>
          <w:color w:val="000000" w:themeColor="text1"/>
          <w:sz w:val="20"/>
          <w:szCs w:val="20"/>
          <w:lang w:val="es-CO"/>
        </w:rPr>
      </w:pPr>
    </w:p>
    <w:p w14:paraId="332B79BF" w14:textId="3B7CE3F3" w:rsidR="00C73177" w:rsidRPr="00A272A0" w:rsidRDefault="001D747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Theme="minorHAnsi" w:eastAsia="Cambria" w:hAnsiTheme="minorHAnsi" w:cs="Cambria"/>
          <w:color w:val="000000" w:themeColor="text1"/>
          <w:sz w:val="20"/>
          <w:szCs w:val="20"/>
          <w:lang w:val="es-CO"/>
        </w:rPr>
      </w:pPr>
      <w:r w:rsidRPr="00A272A0">
        <w:rPr>
          <w:rFonts w:asciiTheme="minorHAnsi" w:eastAsia="Cambria" w:hAnsiTheme="minorHAnsi" w:cs="Cambria"/>
          <w:color w:val="000000" w:themeColor="text1"/>
          <w:sz w:val="20"/>
          <w:szCs w:val="20"/>
          <w:lang w:val="es-CO"/>
        </w:rPr>
        <w:t xml:space="preserve">Por todo anterior, la Comisión concluye que el nivel de cumplimiento del caso es parcial. En consecuencia, la CIDH seguirá supervisando el cumplimiento de las </w:t>
      </w:r>
      <w:r w:rsidR="000B4E0B" w:rsidRPr="00A272A0">
        <w:rPr>
          <w:rFonts w:asciiTheme="minorHAnsi" w:eastAsia="Cambria" w:hAnsiTheme="minorHAnsi" w:cs="Cambria"/>
          <w:color w:val="000000" w:themeColor="text1"/>
          <w:sz w:val="20"/>
          <w:szCs w:val="20"/>
          <w:lang w:val="es-CO"/>
        </w:rPr>
        <w:t>r</w:t>
      </w:r>
      <w:r w:rsidRPr="00A272A0">
        <w:rPr>
          <w:rFonts w:asciiTheme="minorHAnsi" w:eastAsia="Cambria" w:hAnsiTheme="minorHAnsi" w:cs="Cambria"/>
          <w:color w:val="000000" w:themeColor="text1"/>
          <w:sz w:val="20"/>
          <w:szCs w:val="20"/>
          <w:lang w:val="es-CO"/>
        </w:rPr>
        <w:t>ecomendaciones 1 y 2.</w:t>
      </w:r>
    </w:p>
    <w:p w14:paraId="25EA514E" w14:textId="77777777" w:rsidR="00C73177" w:rsidRPr="00A272A0" w:rsidRDefault="00C73177">
      <w:pPr>
        <w:spacing w:after="0" w:line="240" w:lineRule="auto"/>
        <w:ind w:left="0" w:hanging="2"/>
        <w:jc w:val="both"/>
        <w:rPr>
          <w:rFonts w:asciiTheme="minorHAnsi" w:eastAsia="Cambria" w:hAnsiTheme="minorHAnsi" w:cs="Cambria"/>
          <w:color w:val="000000" w:themeColor="text1"/>
          <w:sz w:val="20"/>
          <w:szCs w:val="20"/>
          <w:lang w:val="es-CO"/>
        </w:rPr>
      </w:pPr>
    </w:p>
    <w:p w14:paraId="293DEAAA" w14:textId="77777777" w:rsidR="00C73177" w:rsidRPr="00A272A0" w:rsidRDefault="001D7470">
      <w:pPr>
        <w:numPr>
          <w:ilvl w:val="0"/>
          <w:numId w:val="9"/>
        </w:numPr>
        <w:spacing w:after="0" w:line="240" w:lineRule="auto"/>
        <w:ind w:left="0" w:hanging="2"/>
        <w:jc w:val="both"/>
        <w:rPr>
          <w:rFonts w:asciiTheme="minorHAnsi" w:eastAsia="Cambria" w:hAnsiTheme="minorHAnsi" w:cs="Cambria"/>
          <w:color w:val="000000" w:themeColor="text1"/>
          <w:sz w:val="20"/>
          <w:szCs w:val="20"/>
          <w:lang w:val="es-CO"/>
        </w:rPr>
      </w:pPr>
      <w:r w:rsidRPr="00A272A0">
        <w:rPr>
          <w:rFonts w:asciiTheme="minorHAnsi" w:eastAsia="Cambria" w:hAnsiTheme="minorHAnsi" w:cs="Cambria"/>
          <w:b/>
          <w:color w:val="000000" w:themeColor="text1"/>
          <w:sz w:val="20"/>
          <w:szCs w:val="20"/>
          <w:lang w:val="es-CO"/>
        </w:rPr>
        <w:t>Resultados individuales y estructurales del caso</w:t>
      </w:r>
    </w:p>
    <w:p w14:paraId="4760409E" w14:textId="77777777" w:rsidR="00C73177" w:rsidRPr="00A272A0" w:rsidRDefault="00C73177">
      <w:pPr>
        <w:spacing w:after="0" w:line="240" w:lineRule="auto"/>
        <w:ind w:left="0" w:hanging="2"/>
        <w:jc w:val="both"/>
        <w:rPr>
          <w:rFonts w:asciiTheme="minorHAnsi" w:eastAsia="Cambria" w:hAnsiTheme="minorHAnsi" w:cs="Cambria"/>
          <w:color w:val="000000" w:themeColor="text1"/>
          <w:sz w:val="20"/>
          <w:szCs w:val="20"/>
          <w:lang w:val="es-CO"/>
        </w:rPr>
      </w:pPr>
    </w:p>
    <w:p w14:paraId="529BC477" w14:textId="524A0BB8" w:rsidR="00C73177" w:rsidRPr="00A272A0" w:rsidRDefault="001D7470" w:rsidP="00A272A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Theme="minorHAnsi" w:eastAsia="Cambria" w:hAnsiTheme="minorHAnsi" w:cs="Cambria"/>
          <w:color w:val="000000" w:themeColor="text1"/>
          <w:sz w:val="20"/>
          <w:szCs w:val="20"/>
          <w:lang w:val="es-CO"/>
        </w:rPr>
      </w:pPr>
      <w:r w:rsidRPr="00A272A0">
        <w:rPr>
          <w:rFonts w:asciiTheme="minorHAnsi" w:eastAsia="Cambria" w:hAnsiTheme="minorHAnsi" w:cs="Cambria"/>
          <w:color w:val="000000" w:themeColor="text1"/>
          <w:sz w:val="20"/>
          <w:szCs w:val="20"/>
          <w:lang w:val="es-CO"/>
        </w:rPr>
        <w:t xml:space="preserve"> </w:t>
      </w:r>
      <w:r w:rsidRPr="00A272A0">
        <w:rPr>
          <w:rFonts w:asciiTheme="minorHAnsi" w:eastAsia="Cambria" w:hAnsiTheme="minorHAnsi" w:cs="Cambria"/>
          <w:color w:val="000000" w:themeColor="text1"/>
          <w:sz w:val="20"/>
          <w:szCs w:val="20"/>
          <w:lang w:val="es-CO"/>
        </w:rPr>
        <w:tab/>
        <w:t>En esta sección se destacan los resultados individuales y estructurales del caso informados por las partes.</w:t>
      </w:r>
    </w:p>
    <w:p w14:paraId="3CCCE59E" w14:textId="77777777" w:rsidR="00C73177" w:rsidRPr="00A272A0" w:rsidRDefault="00C73177">
      <w:pPr>
        <w:spacing w:after="0" w:line="240" w:lineRule="auto"/>
        <w:ind w:left="0" w:hanging="2"/>
        <w:jc w:val="both"/>
        <w:rPr>
          <w:rFonts w:asciiTheme="minorHAnsi" w:eastAsia="Cambria" w:hAnsiTheme="minorHAnsi" w:cs="Cambria"/>
          <w:color w:val="000000" w:themeColor="text1"/>
          <w:sz w:val="20"/>
          <w:szCs w:val="20"/>
          <w:lang w:val="es-CO"/>
        </w:rPr>
      </w:pPr>
    </w:p>
    <w:p w14:paraId="1B91B6D1" w14:textId="77777777" w:rsidR="00C73177" w:rsidRPr="00A272A0" w:rsidRDefault="001D7470">
      <w:pPr>
        <w:numPr>
          <w:ilvl w:val="0"/>
          <w:numId w:val="12"/>
        </w:numPr>
        <w:spacing w:after="0" w:line="240" w:lineRule="auto"/>
        <w:ind w:left="0" w:hanging="2"/>
        <w:jc w:val="both"/>
        <w:rPr>
          <w:rFonts w:asciiTheme="minorHAnsi" w:eastAsia="Cambria" w:hAnsiTheme="minorHAnsi" w:cs="Cambria"/>
          <w:color w:val="000000" w:themeColor="text1"/>
          <w:sz w:val="20"/>
          <w:szCs w:val="20"/>
        </w:rPr>
      </w:pPr>
      <w:r w:rsidRPr="00A272A0">
        <w:rPr>
          <w:rFonts w:asciiTheme="minorHAnsi" w:eastAsia="Cambria" w:hAnsiTheme="minorHAnsi" w:cs="Cambria"/>
          <w:b/>
          <w:color w:val="000000" w:themeColor="text1"/>
          <w:sz w:val="20"/>
          <w:szCs w:val="20"/>
        </w:rPr>
        <w:t>Resultados individuales del caso</w:t>
      </w:r>
    </w:p>
    <w:p w14:paraId="401F304A" w14:textId="77777777" w:rsidR="00C73177" w:rsidRPr="00A272A0" w:rsidRDefault="00C73177">
      <w:pPr>
        <w:spacing w:after="0" w:line="240" w:lineRule="auto"/>
        <w:ind w:left="0" w:hanging="2"/>
        <w:jc w:val="both"/>
        <w:rPr>
          <w:rFonts w:asciiTheme="minorHAnsi" w:eastAsia="Cambria" w:hAnsiTheme="minorHAnsi" w:cs="Cambria"/>
          <w:color w:val="000000" w:themeColor="text1"/>
          <w:sz w:val="20"/>
          <w:szCs w:val="20"/>
        </w:rPr>
      </w:pPr>
    </w:p>
    <w:p w14:paraId="078C61D9" w14:textId="77777777" w:rsidR="00C73177" w:rsidRPr="00A272A0" w:rsidRDefault="001D7470">
      <w:pPr>
        <w:spacing w:after="0" w:line="240" w:lineRule="auto"/>
        <w:ind w:left="0" w:hanging="2"/>
        <w:jc w:val="both"/>
        <w:rPr>
          <w:rFonts w:asciiTheme="minorHAnsi" w:eastAsia="Cambria" w:hAnsiTheme="minorHAnsi" w:cs="Cambria"/>
          <w:color w:val="000000" w:themeColor="text1"/>
          <w:sz w:val="20"/>
          <w:szCs w:val="20"/>
        </w:rPr>
      </w:pPr>
      <w:r w:rsidRPr="00A272A0">
        <w:rPr>
          <w:rFonts w:asciiTheme="minorHAnsi" w:eastAsia="Cambria" w:hAnsiTheme="minorHAnsi" w:cs="Cambria"/>
          <w:i/>
          <w:color w:val="000000" w:themeColor="text1"/>
          <w:sz w:val="20"/>
          <w:szCs w:val="20"/>
        </w:rPr>
        <w:t xml:space="preserve">Medidas en verdad y justicia </w:t>
      </w:r>
    </w:p>
    <w:p w14:paraId="2F9288F1" w14:textId="77777777" w:rsidR="00C73177" w:rsidRPr="00A272A0" w:rsidRDefault="001D7470">
      <w:pPr>
        <w:numPr>
          <w:ilvl w:val="0"/>
          <w:numId w:val="13"/>
        </w:numPr>
        <w:spacing w:after="0" w:line="240" w:lineRule="auto"/>
        <w:ind w:left="0" w:hanging="2"/>
        <w:jc w:val="both"/>
        <w:rPr>
          <w:rFonts w:asciiTheme="minorHAnsi" w:eastAsia="Cambria" w:hAnsiTheme="minorHAnsi" w:cs="Cambria"/>
          <w:color w:val="000000" w:themeColor="text1"/>
          <w:sz w:val="20"/>
          <w:szCs w:val="20"/>
          <w:lang w:val="es-CO"/>
        </w:rPr>
      </w:pPr>
      <w:r w:rsidRPr="00A272A0">
        <w:rPr>
          <w:rFonts w:asciiTheme="minorHAnsi" w:eastAsia="Cambria" w:hAnsiTheme="minorHAnsi" w:cs="Cambria"/>
          <w:color w:val="000000" w:themeColor="text1"/>
          <w:sz w:val="20"/>
          <w:szCs w:val="20"/>
          <w:lang w:val="es-CO"/>
        </w:rPr>
        <w:t xml:space="preserve">Realización de un acta de entrega de los restos de José Heriberto Ramírez Llanos el 23 de abril de 2018 en Manizales, presidido por el Coordinador Seccional del Subgrupo de Entregas de la Fiscalía, y el Fiscal 48 Especializado a cargo de las investigaciones, y con la participación de funcionarios del Ministerio de Relaciones Exteriores, la Unidad de Víctimas y la Procuraduría General de la Nación, una hermana de la víctima, sus representantes y un sacerdote católico. </w:t>
      </w:r>
    </w:p>
    <w:p w14:paraId="0F9AC77B" w14:textId="5A132B43" w:rsidR="001D7470" w:rsidRPr="00A272A0" w:rsidRDefault="001D7470" w:rsidP="001D7470">
      <w:pPr>
        <w:numPr>
          <w:ilvl w:val="0"/>
          <w:numId w:val="13"/>
        </w:numPr>
        <w:spacing w:after="0" w:line="240" w:lineRule="auto"/>
        <w:ind w:left="0" w:hanging="2"/>
        <w:jc w:val="both"/>
        <w:rPr>
          <w:rFonts w:asciiTheme="minorHAnsi" w:eastAsia="Cambria" w:hAnsiTheme="minorHAnsi" w:cs="Cambria"/>
          <w:color w:val="000000" w:themeColor="text1"/>
          <w:sz w:val="20"/>
          <w:szCs w:val="20"/>
          <w:lang w:val="es-CO"/>
        </w:rPr>
      </w:pPr>
      <w:r w:rsidRPr="00A272A0">
        <w:rPr>
          <w:rFonts w:asciiTheme="minorHAnsi" w:eastAsia="Cambria" w:hAnsiTheme="minorHAnsi" w:cs="Cambria"/>
          <w:color w:val="000000" w:themeColor="text1"/>
          <w:sz w:val="20"/>
          <w:szCs w:val="20"/>
          <w:lang w:val="es-CO"/>
        </w:rPr>
        <w:t>Realización de un acta de entrega de los restos de James Zapata Valencia los días 25 y 26 de junio de 2018 en Manizales, con participación de los familiares de la víctima, sus representantes y funcionarios de la Fiscalía, el Ministerio de Relaciones Exteriores y la Procuraduría.</w:t>
      </w:r>
    </w:p>
    <w:p w14:paraId="3D6F5A41" w14:textId="77777777" w:rsidR="00C73177" w:rsidRPr="00A272A0" w:rsidRDefault="00C73177">
      <w:pPr>
        <w:spacing w:after="0" w:line="240" w:lineRule="auto"/>
        <w:ind w:left="0" w:hanging="2"/>
        <w:jc w:val="both"/>
        <w:rPr>
          <w:rFonts w:asciiTheme="minorHAnsi" w:eastAsia="Cambria" w:hAnsiTheme="minorHAnsi" w:cs="Cambria"/>
          <w:color w:val="000000" w:themeColor="text1"/>
          <w:sz w:val="20"/>
          <w:szCs w:val="20"/>
          <w:lang w:val="es-CO"/>
        </w:rPr>
      </w:pPr>
    </w:p>
    <w:p w14:paraId="73E65344" w14:textId="77777777" w:rsidR="00C73177" w:rsidRPr="00A272A0" w:rsidRDefault="001D7470">
      <w:pPr>
        <w:spacing w:after="0" w:line="240" w:lineRule="auto"/>
        <w:ind w:left="0" w:hanging="2"/>
        <w:jc w:val="both"/>
        <w:rPr>
          <w:rFonts w:asciiTheme="minorHAnsi" w:eastAsia="Cambria" w:hAnsiTheme="minorHAnsi" w:cs="Cambria"/>
          <w:color w:val="000000" w:themeColor="text1"/>
          <w:sz w:val="20"/>
          <w:szCs w:val="20"/>
        </w:rPr>
      </w:pPr>
      <w:r w:rsidRPr="00A272A0">
        <w:rPr>
          <w:rFonts w:asciiTheme="minorHAnsi" w:eastAsia="Cambria" w:hAnsiTheme="minorHAnsi" w:cs="Cambria"/>
          <w:i/>
          <w:color w:val="000000" w:themeColor="text1"/>
          <w:sz w:val="20"/>
          <w:szCs w:val="20"/>
        </w:rPr>
        <w:t xml:space="preserve">Medidas de compensación pecuniaria </w:t>
      </w:r>
    </w:p>
    <w:p w14:paraId="661547DE" w14:textId="77777777" w:rsidR="00C73177" w:rsidRPr="00A272A0" w:rsidRDefault="001D7470">
      <w:pPr>
        <w:numPr>
          <w:ilvl w:val="0"/>
          <w:numId w:val="3"/>
        </w:numPr>
        <w:spacing w:after="0" w:line="240" w:lineRule="auto"/>
        <w:ind w:left="0" w:hanging="2"/>
        <w:jc w:val="both"/>
        <w:rPr>
          <w:rFonts w:asciiTheme="minorHAnsi" w:eastAsia="Cambria" w:hAnsiTheme="minorHAnsi" w:cs="Cambria"/>
          <w:color w:val="000000" w:themeColor="text1"/>
          <w:sz w:val="20"/>
          <w:szCs w:val="20"/>
          <w:lang w:val="es-CO"/>
        </w:rPr>
      </w:pPr>
      <w:r w:rsidRPr="00A272A0">
        <w:rPr>
          <w:rFonts w:asciiTheme="minorHAnsi" w:eastAsia="Cambria" w:hAnsiTheme="minorHAnsi" w:cs="Cambria"/>
          <w:color w:val="000000" w:themeColor="text1"/>
          <w:sz w:val="20"/>
          <w:szCs w:val="20"/>
          <w:lang w:val="es-CO"/>
        </w:rPr>
        <w:t xml:space="preserve">Mediante Resolución 6286 del 11 de agosto de 2017 se ordenó el pago de $648.087.464,00 COP a favor de José Heriberto Ramírez Bernal (Q.E.P.D), Blanca Oliva Llanos (Q.E.P.D), Javier de Jesús Llanos, José Jair </w:t>
      </w:r>
      <w:r w:rsidRPr="00A272A0">
        <w:rPr>
          <w:rFonts w:asciiTheme="minorHAnsi" w:eastAsia="Cambria" w:hAnsiTheme="minorHAnsi" w:cs="Cambria"/>
          <w:color w:val="000000" w:themeColor="text1"/>
          <w:sz w:val="20"/>
          <w:szCs w:val="20"/>
          <w:lang w:val="es-CO"/>
        </w:rPr>
        <w:lastRenderedPageBreak/>
        <w:t xml:space="preserve">Llanos, Maria Yolanda Londoño Llanos, Herminia Londoño Llanos, José Orlando Ramírez Llanos y </w:t>
      </w:r>
      <w:proofErr w:type="spellStart"/>
      <w:r w:rsidRPr="00A272A0">
        <w:rPr>
          <w:rFonts w:asciiTheme="minorHAnsi" w:eastAsia="Cambria" w:hAnsiTheme="minorHAnsi" w:cs="Cambria"/>
          <w:color w:val="000000" w:themeColor="text1"/>
          <w:sz w:val="20"/>
          <w:szCs w:val="20"/>
          <w:lang w:val="es-CO"/>
        </w:rPr>
        <w:t>Jhon</w:t>
      </w:r>
      <w:proofErr w:type="spellEnd"/>
      <w:r w:rsidRPr="00A272A0">
        <w:rPr>
          <w:rFonts w:asciiTheme="minorHAnsi" w:eastAsia="Cambria" w:hAnsiTheme="minorHAnsi" w:cs="Cambria"/>
          <w:color w:val="000000" w:themeColor="text1"/>
          <w:sz w:val="20"/>
          <w:szCs w:val="20"/>
          <w:lang w:val="es-CO"/>
        </w:rPr>
        <w:t xml:space="preserve"> </w:t>
      </w:r>
      <w:proofErr w:type="spellStart"/>
      <w:r w:rsidRPr="00A272A0">
        <w:rPr>
          <w:rFonts w:asciiTheme="minorHAnsi" w:eastAsia="Cambria" w:hAnsiTheme="minorHAnsi" w:cs="Cambria"/>
          <w:color w:val="000000" w:themeColor="text1"/>
          <w:sz w:val="20"/>
          <w:szCs w:val="20"/>
          <w:lang w:val="es-CO"/>
        </w:rPr>
        <w:t>Meider</w:t>
      </w:r>
      <w:proofErr w:type="spellEnd"/>
      <w:r w:rsidRPr="00A272A0">
        <w:rPr>
          <w:rFonts w:asciiTheme="minorHAnsi" w:eastAsia="Cambria" w:hAnsiTheme="minorHAnsi" w:cs="Cambria"/>
          <w:color w:val="000000" w:themeColor="text1"/>
          <w:sz w:val="20"/>
          <w:szCs w:val="20"/>
          <w:lang w:val="es-CO"/>
        </w:rPr>
        <w:t xml:space="preserve"> Ramírez Llanos. </w:t>
      </w:r>
    </w:p>
    <w:p w14:paraId="59730CB4" w14:textId="77777777" w:rsidR="00C73177" w:rsidRPr="00A272A0" w:rsidRDefault="001D7470">
      <w:pPr>
        <w:numPr>
          <w:ilvl w:val="0"/>
          <w:numId w:val="3"/>
        </w:numPr>
        <w:spacing w:after="0" w:line="240" w:lineRule="auto"/>
        <w:ind w:left="0" w:hanging="2"/>
        <w:jc w:val="both"/>
        <w:rPr>
          <w:rFonts w:asciiTheme="minorHAnsi" w:eastAsia="Cambria" w:hAnsiTheme="minorHAnsi" w:cs="Cambria"/>
          <w:color w:val="000000" w:themeColor="text1"/>
          <w:sz w:val="20"/>
          <w:szCs w:val="20"/>
          <w:lang w:val="es-CO"/>
        </w:rPr>
      </w:pPr>
      <w:r w:rsidRPr="00A272A0">
        <w:rPr>
          <w:rFonts w:asciiTheme="minorHAnsi" w:eastAsia="Cambria" w:hAnsiTheme="minorHAnsi" w:cs="Cambria"/>
          <w:color w:val="000000" w:themeColor="text1"/>
          <w:sz w:val="20"/>
          <w:szCs w:val="20"/>
          <w:lang w:val="es-CO"/>
        </w:rPr>
        <w:t xml:space="preserve">Mediante Resolución 0758 de 11 de octubre de 2017 se ordenó el pago de $953.322.540,21 COP a favor de Marisela Valencia, José Fernando Zapata Valencia, Freddy Zapata Valencia, Dolly Estrella Zapata Valencia, </w:t>
      </w:r>
      <w:proofErr w:type="spellStart"/>
      <w:r w:rsidRPr="00A272A0">
        <w:rPr>
          <w:rFonts w:asciiTheme="minorHAnsi" w:eastAsia="Cambria" w:hAnsiTheme="minorHAnsi" w:cs="Cambria"/>
          <w:color w:val="000000" w:themeColor="text1"/>
          <w:sz w:val="20"/>
          <w:szCs w:val="20"/>
          <w:lang w:val="es-CO"/>
        </w:rPr>
        <w:t>Never</w:t>
      </w:r>
      <w:proofErr w:type="spellEnd"/>
      <w:r w:rsidRPr="00A272A0">
        <w:rPr>
          <w:rFonts w:asciiTheme="minorHAnsi" w:eastAsia="Cambria" w:hAnsiTheme="minorHAnsi" w:cs="Cambria"/>
          <w:color w:val="000000" w:themeColor="text1"/>
          <w:sz w:val="20"/>
          <w:szCs w:val="20"/>
          <w:lang w:val="es-CO"/>
        </w:rPr>
        <w:t xml:space="preserve"> Otoniel </w:t>
      </w:r>
      <w:proofErr w:type="spellStart"/>
      <w:r w:rsidRPr="00A272A0">
        <w:rPr>
          <w:rFonts w:asciiTheme="minorHAnsi" w:eastAsia="Cambria" w:hAnsiTheme="minorHAnsi" w:cs="Cambria"/>
          <w:color w:val="000000" w:themeColor="text1"/>
          <w:sz w:val="20"/>
          <w:szCs w:val="20"/>
          <w:lang w:val="es-CO"/>
        </w:rPr>
        <w:t>Alzate</w:t>
      </w:r>
      <w:proofErr w:type="spellEnd"/>
      <w:r w:rsidRPr="00A272A0">
        <w:rPr>
          <w:rFonts w:asciiTheme="minorHAnsi" w:eastAsia="Cambria" w:hAnsiTheme="minorHAnsi" w:cs="Cambria"/>
          <w:color w:val="000000" w:themeColor="text1"/>
          <w:sz w:val="20"/>
          <w:szCs w:val="20"/>
          <w:lang w:val="es-CO"/>
        </w:rPr>
        <w:t xml:space="preserve"> Valencia, Luz Dalida </w:t>
      </w:r>
      <w:proofErr w:type="spellStart"/>
      <w:r w:rsidRPr="00A272A0">
        <w:rPr>
          <w:rFonts w:asciiTheme="minorHAnsi" w:eastAsia="Cambria" w:hAnsiTheme="minorHAnsi" w:cs="Cambria"/>
          <w:color w:val="000000" w:themeColor="text1"/>
          <w:sz w:val="20"/>
          <w:szCs w:val="20"/>
          <w:lang w:val="es-CO"/>
        </w:rPr>
        <w:t>Alzate</w:t>
      </w:r>
      <w:proofErr w:type="spellEnd"/>
      <w:r w:rsidRPr="00A272A0">
        <w:rPr>
          <w:rFonts w:asciiTheme="minorHAnsi" w:eastAsia="Cambria" w:hAnsiTheme="minorHAnsi" w:cs="Cambria"/>
          <w:color w:val="000000" w:themeColor="text1"/>
          <w:sz w:val="20"/>
          <w:szCs w:val="20"/>
          <w:lang w:val="es-CO"/>
        </w:rPr>
        <w:t xml:space="preserve"> Valencia, </w:t>
      </w:r>
      <w:proofErr w:type="spellStart"/>
      <w:r w:rsidRPr="00A272A0">
        <w:rPr>
          <w:rFonts w:asciiTheme="minorHAnsi" w:eastAsia="Cambria" w:hAnsiTheme="minorHAnsi" w:cs="Cambria"/>
          <w:color w:val="000000" w:themeColor="text1"/>
          <w:sz w:val="20"/>
          <w:szCs w:val="20"/>
          <w:lang w:val="es-CO"/>
        </w:rPr>
        <w:t>Rosse</w:t>
      </w:r>
      <w:proofErr w:type="spellEnd"/>
      <w:r w:rsidRPr="00A272A0">
        <w:rPr>
          <w:rFonts w:asciiTheme="minorHAnsi" w:eastAsia="Cambria" w:hAnsiTheme="minorHAnsi" w:cs="Cambria"/>
          <w:color w:val="000000" w:themeColor="text1"/>
          <w:sz w:val="20"/>
          <w:szCs w:val="20"/>
          <w:lang w:val="es-CO"/>
        </w:rPr>
        <w:t xml:space="preserve"> Alison </w:t>
      </w:r>
      <w:proofErr w:type="spellStart"/>
      <w:r w:rsidRPr="00A272A0">
        <w:rPr>
          <w:rFonts w:asciiTheme="minorHAnsi" w:eastAsia="Cambria" w:hAnsiTheme="minorHAnsi" w:cs="Cambria"/>
          <w:color w:val="000000" w:themeColor="text1"/>
          <w:sz w:val="20"/>
          <w:szCs w:val="20"/>
          <w:lang w:val="es-CO"/>
        </w:rPr>
        <w:t>Alzate</w:t>
      </w:r>
      <w:proofErr w:type="spellEnd"/>
      <w:r w:rsidRPr="00A272A0">
        <w:rPr>
          <w:rFonts w:asciiTheme="minorHAnsi" w:eastAsia="Cambria" w:hAnsiTheme="minorHAnsi" w:cs="Cambria"/>
          <w:color w:val="000000" w:themeColor="text1"/>
          <w:sz w:val="20"/>
          <w:szCs w:val="20"/>
          <w:lang w:val="es-CO"/>
        </w:rPr>
        <w:t xml:space="preserve"> Valencia y Yuliana Patricia </w:t>
      </w:r>
      <w:proofErr w:type="spellStart"/>
      <w:r w:rsidRPr="00A272A0">
        <w:rPr>
          <w:rFonts w:asciiTheme="minorHAnsi" w:eastAsia="Cambria" w:hAnsiTheme="minorHAnsi" w:cs="Cambria"/>
          <w:color w:val="000000" w:themeColor="text1"/>
          <w:sz w:val="20"/>
          <w:szCs w:val="20"/>
          <w:lang w:val="es-CO"/>
        </w:rPr>
        <w:t>Alzate</w:t>
      </w:r>
      <w:proofErr w:type="spellEnd"/>
      <w:r w:rsidRPr="00A272A0">
        <w:rPr>
          <w:rFonts w:asciiTheme="minorHAnsi" w:eastAsia="Cambria" w:hAnsiTheme="minorHAnsi" w:cs="Cambria"/>
          <w:color w:val="000000" w:themeColor="text1"/>
          <w:sz w:val="20"/>
          <w:szCs w:val="20"/>
          <w:lang w:val="es-CO"/>
        </w:rPr>
        <w:t xml:space="preserve"> Valencia.  </w:t>
      </w:r>
    </w:p>
    <w:p w14:paraId="2DBB354D" w14:textId="77777777" w:rsidR="00C73177" w:rsidRPr="00A272A0" w:rsidRDefault="00C73177">
      <w:pPr>
        <w:spacing w:after="0" w:line="240" w:lineRule="auto"/>
        <w:ind w:left="0" w:hanging="2"/>
        <w:jc w:val="both"/>
        <w:rPr>
          <w:rFonts w:asciiTheme="minorHAnsi" w:eastAsia="Cambria" w:hAnsiTheme="minorHAnsi" w:cs="Cambria"/>
          <w:color w:val="000000" w:themeColor="text1"/>
          <w:sz w:val="20"/>
          <w:szCs w:val="20"/>
          <w:lang w:val="es-CO"/>
        </w:rPr>
      </w:pPr>
    </w:p>
    <w:p w14:paraId="01F891A2" w14:textId="77777777" w:rsidR="00C73177" w:rsidRPr="00A272A0" w:rsidRDefault="001D7470">
      <w:pPr>
        <w:numPr>
          <w:ilvl w:val="0"/>
          <w:numId w:val="5"/>
        </w:numPr>
        <w:spacing w:after="0" w:line="240" w:lineRule="auto"/>
        <w:ind w:left="0" w:hanging="2"/>
        <w:jc w:val="both"/>
        <w:rPr>
          <w:rFonts w:asciiTheme="minorHAnsi" w:eastAsia="Cambria" w:hAnsiTheme="minorHAnsi" w:cs="Cambria"/>
          <w:color w:val="000000" w:themeColor="text1"/>
          <w:sz w:val="20"/>
          <w:szCs w:val="20"/>
        </w:rPr>
      </w:pPr>
      <w:r w:rsidRPr="00A272A0">
        <w:rPr>
          <w:rFonts w:asciiTheme="minorHAnsi" w:eastAsia="Cambria" w:hAnsiTheme="minorHAnsi" w:cs="Cambria"/>
          <w:b/>
          <w:color w:val="000000" w:themeColor="text1"/>
          <w:sz w:val="20"/>
          <w:szCs w:val="20"/>
        </w:rPr>
        <w:t>Resultados estructurales del caso</w:t>
      </w:r>
    </w:p>
    <w:p w14:paraId="37F7B258" w14:textId="77777777" w:rsidR="00C73177" w:rsidRPr="00A272A0" w:rsidRDefault="00C73177">
      <w:pPr>
        <w:spacing w:after="0" w:line="240" w:lineRule="auto"/>
        <w:ind w:left="0" w:hanging="2"/>
        <w:rPr>
          <w:rFonts w:asciiTheme="minorHAnsi" w:eastAsia="Cambria" w:hAnsiTheme="minorHAnsi" w:cs="Cambria"/>
          <w:color w:val="000000" w:themeColor="text1"/>
          <w:sz w:val="20"/>
          <w:szCs w:val="20"/>
        </w:rPr>
      </w:pPr>
    </w:p>
    <w:p w14:paraId="3481A02E" w14:textId="77777777" w:rsidR="00C73177" w:rsidRPr="00A272A0" w:rsidRDefault="001D7470">
      <w:pPr>
        <w:spacing w:after="0" w:line="240" w:lineRule="auto"/>
        <w:ind w:left="0" w:hanging="2"/>
        <w:jc w:val="both"/>
        <w:rPr>
          <w:rFonts w:asciiTheme="minorHAnsi" w:eastAsia="Cambria" w:hAnsiTheme="minorHAnsi" w:cs="Cambria"/>
          <w:color w:val="000000" w:themeColor="text1"/>
          <w:sz w:val="20"/>
          <w:szCs w:val="20"/>
        </w:rPr>
      </w:pPr>
      <w:r w:rsidRPr="00A272A0">
        <w:rPr>
          <w:rFonts w:asciiTheme="minorHAnsi" w:eastAsia="Cambria" w:hAnsiTheme="minorHAnsi" w:cs="Cambria"/>
          <w:i/>
          <w:color w:val="000000" w:themeColor="text1"/>
          <w:sz w:val="20"/>
          <w:szCs w:val="20"/>
        </w:rPr>
        <w:t xml:space="preserve">Fortalecimiento institucional </w:t>
      </w:r>
    </w:p>
    <w:p w14:paraId="6BEAD6C1" w14:textId="77777777" w:rsidR="00C73177" w:rsidRPr="00A272A0" w:rsidRDefault="001D7470">
      <w:pPr>
        <w:numPr>
          <w:ilvl w:val="0"/>
          <w:numId w:val="8"/>
        </w:numPr>
        <w:spacing w:after="0" w:line="240" w:lineRule="auto"/>
        <w:ind w:left="0" w:hanging="2"/>
        <w:jc w:val="both"/>
        <w:rPr>
          <w:rFonts w:asciiTheme="minorHAnsi" w:eastAsia="Cambria" w:hAnsiTheme="minorHAnsi" w:cs="Cambria"/>
          <w:color w:val="000000" w:themeColor="text1"/>
          <w:sz w:val="20"/>
          <w:szCs w:val="20"/>
          <w:lang w:val="es-CO"/>
        </w:rPr>
      </w:pPr>
      <w:r w:rsidRPr="00A272A0">
        <w:rPr>
          <w:rFonts w:asciiTheme="minorHAnsi" w:eastAsia="Cambria" w:hAnsiTheme="minorHAnsi" w:cs="Cambria"/>
          <w:color w:val="000000" w:themeColor="text1"/>
          <w:sz w:val="20"/>
          <w:szCs w:val="20"/>
          <w:lang w:val="es-CO"/>
        </w:rPr>
        <w:t>Acciones adoptadas en el marco de la “Política Integral de Derechos Humanos y Derecho Internacional Humanitario” del Ministerio de Defensa Nacional que se viene implementando desde el año 2008, y que fue actualizada en el año 2018 y articulada con la “Estrategia Nacional de Garantías de los Derechos Humanos 2014-2034”. Dichas acciones incluyen: la realización de capacitaciones constantes a las unidades militares sobre el sistema interamericano de derechos humanos y las obligaciones que tiene el Estado frente al mismo; la realización de seminarios y diplomados en derechos humanos y DIH; la publicación de cartillas e impresiones sobre DIH y otros aspectos relacionados a los derechos humanos; pistas de derechos humanos y DIH para la capacitación de unidades militares; y, la implementación de buenas prácticas operacionales.</w:t>
      </w:r>
    </w:p>
    <w:sectPr w:rsidR="00C73177" w:rsidRPr="00A272A0" w:rsidSect="00A272A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00" w:left="1440" w:header="706" w:footer="70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41AFD" w14:textId="77777777" w:rsidR="009665C0" w:rsidRDefault="009665C0">
      <w:pPr>
        <w:spacing w:after="0" w:line="240" w:lineRule="auto"/>
        <w:ind w:left="0" w:hanging="2"/>
      </w:pPr>
      <w:r>
        <w:separator/>
      </w:r>
    </w:p>
  </w:endnote>
  <w:endnote w:type="continuationSeparator" w:id="0">
    <w:p w14:paraId="01F3D15F" w14:textId="77777777" w:rsidR="009665C0" w:rsidRDefault="009665C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mo">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6CE6" w14:textId="77777777" w:rsidR="0068567A" w:rsidRDefault="0068567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E620" w14:textId="77777777" w:rsidR="00C73177" w:rsidRPr="00A272A0" w:rsidRDefault="001D7470">
    <w:pPr>
      <w:tabs>
        <w:tab w:val="center" w:pos="4513"/>
        <w:tab w:val="right" w:pos="9026"/>
      </w:tabs>
      <w:spacing w:after="0" w:line="240" w:lineRule="auto"/>
      <w:ind w:left="0" w:hanging="2"/>
      <w:jc w:val="center"/>
      <w:rPr>
        <w:rFonts w:ascii="Cambria" w:hAnsi="Cambria"/>
        <w:sz w:val="20"/>
        <w:szCs w:val="20"/>
      </w:rPr>
    </w:pPr>
    <w:r w:rsidRPr="00A272A0">
      <w:rPr>
        <w:rFonts w:ascii="Cambria" w:hAnsi="Cambria"/>
        <w:sz w:val="20"/>
        <w:szCs w:val="20"/>
      </w:rPr>
      <w:fldChar w:fldCharType="begin"/>
    </w:r>
    <w:r w:rsidRPr="00A272A0">
      <w:rPr>
        <w:rFonts w:ascii="Cambria" w:hAnsi="Cambria"/>
        <w:sz w:val="20"/>
        <w:szCs w:val="20"/>
      </w:rPr>
      <w:instrText>PAGE</w:instrText>
    </w:r>
    <w:r w:rsidRPr="00A272A0">
      <w:rPr>
        <w:rFonts w:ascii="Cambria" w:hAnsi="Cambria"/>
        <w:sz w:val="20"/>
        <w:szCs w:val="20"/>
      </w:rPr>
      <w:fldChar w:fldCharType="separate"/>
    </w:r>
    <w:r w:rsidR="0068567A" w:rsidRPr="00A272A0">
      <w:rPr>
        <w:rFonts w:ascii="Cambria" w:hAnsi="Cambria"/>
        <w:noProof/>
        <w:sz w:val="20"/>
        <w:szCs w:val="20"/>
      </w:rPr>
      <w:t>2</w:t>
    </w:r>
    <w:r w:rsidRPr="00A272A0">
      <w:rPr>
        <w:rFonts w:ascii="Cambria" w:hAnsi="Cambri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03DE" w14:textId="77777777" w:rsidR="0068567A" w:rsidRDefault="0068567A">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BC737" w14:textId="77777777" w:rsidR="009665C0" w:rsidRDefault="009665C0">
      <w:pPr>
        <w:spacing w:after="0" w:line="240" w:lineRule="auto"/>
        <w:ind w:left="0" w:hanging="2"/>
      </w:pPr>
      <w:r>
        <w:separator/>
      </w:r>
    </w:p>
  </w:footnote>
  <w:footnote w:type="continuationSeparator" w:id="0">
    <w:p w14:paraId="58677A51" w14:textId="77777777" w:rsidR="009665C0" w:rsidRDefault="009665C0">
      <w:pPr>
        <w:spacing w:after="0" w:line="240" w:lineRule="auto"/>
        <w:ind w:left="0" w:hanging="2"/>
      </w:pPr>
      <w:r>
        <w:continuationSeparator/>
      </w:r>
    </w:p>
  </w:footnote>
  <w:footnote w:id="1">
    <w:p w14:paraId="13DE083F" w14:textId="77777777" w:rsidR="00C73177" w:rsidRPr="00A272A0" w:rsidRDefault="001D7470" w:rsidP="00A272A0">
      <w:pPr>
        <w:spacing w:after="0" w:line="360" w:lineRule="auto"/>
        <w:ind w:left="0" w:hanging="2"/>
        <w:jc w:val="both"/>
        <w:rPr>
          <w:rFonts w:asciiTheme="minorHAnsi" w:eastAsia="Times New Roman" w:hAnsiTheme="minorHAnsi" w:cs="Times New Roman"/>
          <w:color w:val="000000" w:themeColor="text1"/>
          <w:sz w:val="16"/>
          <w:szCs w:val="16"/>
          <w:lang w:val="es-CO"/>
        </w:rPr>
      </w:pPr>
      <w:r w:rsidRPr="00A272A0">
        <w:rPr>
          <w:rStyle w:val="FootnoteReference"/>
          <w:rFonts w:asciiTheme="minorHAnsi" w:hAnsiTheme="minorHAnsi"/>
          <w:color w:val="000000" w:themeColor="text1"/>
          <w:sz w:val="16"/>
          <w:szCs w:val="16"/>
        </w:rPr>
        <w:footnoteRef/>
      </w:r>
      <w:r w:rsidRPr="00A272A0">
        <w:rPr>
          <w:rFonts w:asciiTheme="minorHAnsi" w:eastAsia="Times New Roman" w:hAnsiTheme="minorHAnsi" w:cs="Times New Roman"/>
          <w:color w:val="000000" w:themeColor="text1"/>
          <w:sz w:val="16"/>
          <w:szCs w:val="16"/>
          <w:lang w:val="es-CO"/>
        </w:rPr>
        <w:t xml:space="preserve"> </w:t>
      </w:r>
      <w:r w:rsidRPr="00A272A0">
        <w:rPr>
          <w:rFonts w:asciiTheme="minorHAnsi" w:eastAsia="Cambria" w:hAnsiTheme="minorHAnsi" w:cs="Cambria"/>
          <w:color w:val="000000" w:themeColor="text1"/>
          <w:sz w:val="16"/>
          <w:szCs w:val="16"/>
          <w:lang w:val="es-CO"/>
        </w:rPr>
        <w:t xml:space="preserve">CIDH, Informe Anual 2018, </w:t>
      </w:r>
      <w:hyperlink r:id="rId1">
        <w:r w:rsidRPr="00A272A0">
          <w:rPr>
            <w:rFonts w:asciiTheme="minorHAnsi" w:eastAsia="Cambria" w:hAnsiTheme="minorHAnsi" w:cs="Cambria"/>
            <w:color w:val="000000" w:themeColor="text1"/>
            <w:sz w:val="16"/>
            <w:szCs w:val="16"/>
            <w:u w:val="single"/>
            <w:lang w:val="es-CO"/>
          </w:rPr>
          <w:t>Capítulo II, Sección F: Estado del cumplimiento de las recomendaciones de la CIDH</w:t>
        </w:r>
      </w:hyperlink>
      <w:hyperlink r:id="rId2">
        <w:r w:rsidRPr="00A272A0">
          <w:rPr>
            <w:rFonts w:asciiTheme="minorHAnsi" w:eastAsia="Cambria" w:hAnsiTheme="minorHAnsi" w:cs="Cambria"/>
            <w:color w:val="000000" w:themeColor="text1"/>
            <w:sz w:val="16"/>
            <w:szCs w:val="16"/>
            <w:u w:val="single"/>
            <w:lang w:val="es-CO"/>
          </w:rPr>
          <w:t>, Ficha de Seguimiento, Caso 10.916, Informe 79/11, James Zapata Valencia y José Heriberto Ramírez (Colombia)</w:t>
        </w:r>
      </w:hyperlink>
      <w:r w:rsidRPr="00A272A0">
        <w:rPr>
          <w:rFonts w:asciiTheme="minorHAnsi" w:eastAsia="Cambria" w:hAnsiTheme="minorHAnsi" w:cs="Cambria"/>
          <w:color w:val="000000" w:themeColor="text1"/>
          <w:sz w:val="16"/>
          <w:szCs w:val="16"/>
          <w:lang w:val="es-CO"/>
        </w:rPr>
        <w:t>, pár. 14.</w:t>
      </w:r>
    </w:p>
  </w:footnote>
  <w:footnote w:id="2">
    <w:p w14:paraId="47EF1069" w14:textId="77777777" w:rsidR="00C73177" w:rsidRPr="00A272A0" w:rsidRDefault="001D7470" w:rsidP="00A272A0">
      <w:pPr>
        <w:spacing w:after="120" w:line="360" w:lineRule="auto"/>
        <w:ind w:left="0" w:hanging="2"/>
        <w:jc w:val="both"/>
        <w:rPr>
          <w:rFonts w:asciiTheme="minorHAnsi" w:eastAsia="Times New Roman" w:hAnsiTheme="minorHAnsi" w:cs="Times New Roman"/>
          <w:color w:val="000000" w:themeColor="text1"/>
          <w:sz w:val="16"/>
          <w:szCs w:val="16"/>
          <w:lang w:val="es-CO"/>
        </w:rPr>
      </w:pPr>
      <w:r w:rsidRPr="00A272A0">
        <w:rPr>
          <w:rStyle w:val="FootnoteReference"/>
          <w:rFonts w:asciiTheme="minorHAnsi" w:hAnsiTheme="minorHAnsi"/>
          <w:color w:val="000000" w:themeColor="text1"/>
          <w:sz w:val="16"/>
          <w:szCs w:val="16"/>
        </w:rPr>
        <w:footnoteRef/>
      </w:r>
      <w:r w:rsidRPr="00A272A0">
        <w:rPr>
          <w:rFonts w:asciiTheme="minorHAnsi" w:eastAsia="Cambria" w:hAnsiTheme="minorHAnsi" w:cs="Cambria"/>
          <w:color w:val="000000" w:themeColor="text1"/>
          <w:sz w:val="16"/>
          <w:szCs w:val="16"/>
          <w:lang w:val="es-CO"/>
        </w:rPr>
        <w:t xml:space="preserve"> CIDH, Informe Anual 2017, </w:t>
      </w:r>
      <w:hyperlink r:id="rId3">
        <w:r w:rsidRPr="00A272A0">
          <w:rPr>
            <w:rFonts w:asciiTheme="minorHAnsi" w:eastAsia="Cambria" w:hAnsiTheme="minorHAnsi" w:cs="Cambria"/>
            <w:color w:val="000000" w:themeColor="text1"/>
            <w:sz w:val="16"/>
            <w:szCs w:val="16"/>
            <w:u w:val="single"/>
            <w:lang w:val="es-CO"/>
          </w:rPr>
          <w:t>Capítulo II, Sección F: Estado del cumplimiento de las recomendaciones de la CIDH</w:t>
        </w:r>
      </w:hyperlink>
      <w:r w:rsidRPr="00A272A0">
        <w:rPr>
          <w:rFonts w:asciiTheme="minorHAnsi" w:eastAsia="Cambria" w:hAnsiTheme="minorHAnsi" w:cs="Cambria"/>
          <w:color w:val="000000" w:themeColor="text1"/>
          <w:sz w:val="16"/>
          <w:szCs w:val="16"/>
          <w:lang w:val="es-CO"/>
        </w:rPr>
        <w:t>, párr. 711.</w:t>
      </w:r>
    </w:p>
  </w:footnote>
  <w:footnote w:id="3">
    <w:p w14:paraId="39555679" w14:textId="77777777" w:rsidR="00C73177" w:rsidRPr="00A272A0" w:rsidRDefault="001D7470" w:rsidP="00A272A0">
      <w:pPr>
        <w:spacing w:after="120" w:line="240" w:lineRule="auto"/>
        <w:ind w:left="0" w:hanging="2"/>
        <w:jc w:val="both"/>
        <w:rPr>
          <w:rFonts w:asciiTheme="minorHAnsi" w:eastAsia="Times New Roman" w:hAnsiTheme="minorHAnsi" w:cs="Times New Roman"/>
          <w:color w:val="000000" w:themeColor="text1"/>
          <w:sz w:val="16"/>
          <w:szCs w:val="16"/>
          <w:lang w:val="es-CO"/>
        </w:rPr>
      </w:pPr>
      <w:r w:rsidRPr="00A272A0">
        <w:rPr>
          <w:rStyle w:val="FootnoteReference"/>
          <w:rFonts w:asciiTheme="minorHAnsi" w:hAnsiTheme="minorHAnsi"/>
          <w:color w:val="000000" w:themeColor="text1"/>
          <w:sz w:val="16"/>
          <w:szCs w:val="16"/>
        </w:rPr>
        <w:footnoteRef/>
      </w:r>
      <w:r w:rsidRPr="00A272A0">
        <w:rPr>
          <w:rFonts w:asciiTheme="minorHAnsi" w:eastAsia="Cambria" w:hAnsiTheme="minorHAnsi" w:cs="Cambria"/>
          <w:color w:val="000000" w:themeColor="text1"/>
          <w:sz w:val="16"/>
          <w:szCs w:val="16"/>
          <w:lang w:val="es-CO"/>
        </w:rPr>
        <w:t xml:space="preserve"> La Patria, </w:t>
      </w:r>
      <w:hyperlink r:id="rId4">
        <w:r w:rsidRPr="00A272A0">
          <w:rPr>
            <w:rFonts w:asciiTheme="minorHAnsi" w:eastAsia="Cambria" w:hAnsiTheme="minorHAnsi" w:cs="Cambria"/>
            <w:color w:val="000000" w:themeColor="text1"/>
            <w:sz w:val="16"/>
            <w:szCs w:val="16"/>
            <w:u w:val="single"/>
            <w:lang w:val="es-CO"/>
          </w:rPr>
          <w:t>“Familia de víctima del F-2 recibió sus restos óseos”</w:t>
        </w:r>
      </w:hyperlink>
      <w:r w:rsidRPr="00A272A0">
        <w:rPr>
          <w:rFonts w:asciiTheme="minorHAnsi" w:eastAsia="Cambria" w:hAnsiTheme="minorHAnsi" w:cs="Cambria"/>
          <w:color w:val="000000" w:themeColor="text1"/>
          <w:sz w:val="16"/>
          <w:szCs w:val="16"/>
          <w:lang w:val="es-CO"/>
        </w:rPr>
        <w:t>, 25 de abril de 2018; Eje 21, “Fiscalí</w:t>
      </w:r>
      <w:hyperlink r:id="rId5">
        <w:r w:rsidRPr="00A272A0">
          <w:rPr>
            <w:rFonts w:asciiTheme="minorHAnsi" w:eastAsia="Cambria" w:hAnsiTheme="minorHAnsi" w:cs="Cambria"/>
            <w:color w:val="000000" w:themeColor="text1"/>
            <w:sz w:val="16"/>
            <w:szCs w:val="16"/>
            <w:u w:val="single"/>
            <w:lang w:val="es-CO"/>
          </w:rPr>
          <w:t>a entregó cuerpo de víctima de desaparición forzada en Manizales</w:t>
        </w:r>
      </w:hyperlink>
      <w:r w:rsidRPr="00A272A0">
        <w:rPr>
          <w:rFonts w:asciiTheme="minorHAnsi" w:eastAsia="Cambria" w:hAnsiTheme="minorHAnsi" w:cs="Cambria"/>
          <w:color w:val="000000" w:themeColor="text1"/>
          <w:sz w:val="16"/>
          <w:szCs w:val="16"/>
          <w:lang w:val="es-CO"/>
        </w:rPr>
        <w:t>”, 24 de abril de 2018; Fiscalía General de la Nación, “</w:t>
      </w:r>
      <w:hyperlink r:id="rId6">
        <w:r w:rsidRPr="00A272A0">
          <w:rPr>
            <w:rFonts w:asciiTheme="minorHAnsi" w:eastAsia="Cambria" w:hAnsiTheme="minorHAnsi" w:cs="Cambria"/>
            <w:color w:val="000000" w:themeColor="text1"/>
            <w:sz w:val="16"/>
            <w:szCs w:val="16"/>
            <w:u w:val="single"/>
            <w:lang w:val="es-CO"/>
          </w:rPr>
          <w:t>Fiscalía entregó cuerpo de víctima de desaparición forzada en Manizales</w:t>
        </w:r>
      </w:hyperlink>
      <w:r w:rsidRPr="00A272A0">
        <w:rPr>
          <w:rFonts w:asciiTheme="minorHAnsi" w:eastAsia="Cambria" w:hAnsiTheme="minorHAnsi" w:cs="Cambria"/>
          <w:color w:val="000000" w:themeColor="text1"/>
          <w:sz w:val="16"/>
          <w:szCs w:val="16"/>
          <w:lang w:val="es-CO"/>
        </w:rPr>
        <w:t xml:space="preserve">”, 23 de abril de 2018. </w:t>
      </w:r>
    </w:p>
  </w:footnote>
  <w:footnote w:id="4">
    <w:p w14:paraId="19E340FE" w14:textId="77777777" w:rsidR="00C73177" w:rsidRPr="00A272A0" w:rsidRDefault="001D7470" w:rsidP="00A272A0">
      <w:pPr>
        <w:spacing w:after="120" w:line="240" w:lineRule="auto"/>
        <w:ind w:left="0" w:hanging="2"/>
        <w:jc w:val="both"/>
        <w:rPr>
          <w:rFonts w:asciiTheme="minorHAnsi" w:eastAsia="Times New Roman" w:hAnsiTheme="minorHAnsi" w:cs="Times New Roman"/>
          <w:color w:val="000000" w:themeColor="text1"/>
          <w:sz w:val="16"/>
          <w:szCs w:val="16"/>
          <w:lang w:val="es-CO"/>
        </w:rPr>
      </w:pPr>
      <w:r w:rsidRPr="00A272A0">
        <w:rPr>
          <w:rStyle w:val="FootnoteReference"/>
          <w:rFonts w:asciiTheme="minorHAnsi" w:hAnsiTheme="minorHAnsi"/>
          <w:color w:val="000000" w:themeColor="text1"/>
          <w:sz w:val="16"/>
          <w:szCs w:val="16"/>
        </w:rPr>
        <w:footnoteRef/>
      </w:r>
      <w:r w:rsidRPr="00A272A0">
        <w:rPr>
          <w:rFonts w:asciiTheme="minorHAnsi" w:eastAsia="Cambria" w:hAnsiTheme="minorHAnsi" w:cs="Cambria"/>
          <w:color w:val="000000" w:themeColor="text1"/>
          <w:sz w:val="16"/>
          <w:szCs w:val="16"/>
          <w:lang w:val="es-CO"/>
        </w:rPr>
        <w:t xml:space="preserve"> La Patria, “</w:t>
      </w:r>
      <w:hyperlink r:id="rId7">
        <w:r w:rsidRPr="00A272A0">
          <w:rPr>
            <w:rFonts w:asciiTheme="minorHAnsi" w:eastAsia="Cambria" w:hAnsiTheme="minorHAnsi" w:cs="Cambria"/>
            <w:color w:val="000000" w:themeColor="text1"/>
            <w:sz w:val="16"/>
            <w:szCs w:val="16"/>
            <w:u w:val="single"/>
            <w:lang w:val="es-CO"/>
          </w:rPr>
          <w:t>Familiares de víctima en Manizales esperaron 30 años un acto de justicia</w:t>
        </w:r>
      </w:hyperlink>
      <w:r w:rsidRPr="00A272A0">
        <w:rPr>
          <w:rFonts w:asciiTheme="minorHAnsi" w:eastAsia="Cambria" w:hAnsiTheme="minorHAnsi" w:cs="Cambria"/>
          <w:color w:val="000000" w:themeColor="text1"/>
          <w:sz w:val="16"/>
          <w:szCs w:val="16"/>
          <w:lang w:val="es-CO"/>
        </w:rPr>
        <w:t>”, 29 de junio de 2018; Fiscalía General de la Nación, “</w:t>
      </w:r>
      <w:hyperlink r:id="rId8">
        <w:r w:rsidRPr="00A272A0">
          <w:rPr>
            <w:rFonts w:asciiTheme="minorHAnsi" w:eastAsia="Cambria" w:hAnsiTheme="minorHAnsi" w:cs="Cambria"/>
            <w:color w:val="000000" w:themeColor="text1"/>
            <w:sz w:val="16"/>
            <w:szCs w:val="16"/>
            <w:u w:val="single"/>
            <w:lang w:val="es-CO"/>
          </w:rPr>
          <w:t>Fiscalía entregó restos de víctima de desaparición forzada atribuida a agentes del Estado</w:t>
        </w:r>
      </w:hyperlink>
      <w:r w:rsidRPr="00A272A0">
        <w:rPr>
          <w:rFonts w:asciiTheme="minorHAnsi" w:eastAsia="Cambria" w:hAnsiTheme="minorHAnsi" w:cs="Cambria"/>
          <w:color w:val="000000" w:themeColor="text1"/>
          <w:sz w:val="16"/>
          <w:szCs w:val="16"/>
          <w:lang w:val="es-CO"/>
        </w:rPr>
        <w:t xml:space="preserve">”, 27 de junio de 2018. </w:t>
      </w:r>
    </w:p>
  </w:footnote>
  <w:footnote w:id="5">
    <w:p w14:paraId="725ACE19" w14:textId="77777777" w:rsidR="00A94D55" w:rsidRPr="00A272A0" w:rsidRDefault="00A94D55" w:rsidP="00A272A0">
      <w:pPr>
        <w:spacing w:after="0" w:line="240" w:lineRule="auto"/>
        <w:ind w:left="0" w:hanging="2"/>
        <w:jc w:val="both"/>
        <w:rPr>
          <w:rFonts w:asciiTheme="minorHAnsi" w:eastAsia="Times New Roman" w:hAnsiTheme="minorHAnsi" w:cs="Times New Roman"/>
          <w:color w:val="000000" w:themeColor="text1"/>
          <w:sz w:val="16"/>
          <w:szCs w:val="16"/>
          <w:lang w:val="es-CO"/>
        </w:rPr>
      </w:pPr>
      <w:r w:rsidRPr="00A272A0">
        <w:rPr>
          <w:rStyle w:val="FootnoteReference"/>
          <w:rFonts w:asciiTheme="minorHAnsi" w:hAnsiTheme="minorHAnsi"/>
          <w:color w:val="000000" w:themeColor="text1"/>
          <w:sz w:val="16"/>
          <w:szCs w:val="16"/>
        </w:rPr>
        <w:footnoteRef/>
      </w:r>
      <w:r w:rsidRPr="00A272A0">
        <w:rPr>
          <w:rFonts w:asciiTheme="minorHAnsi" w:eastAsia="Cambria" w:hAnsiTheme="minorHAnsi" w:cs="Cambria"/>
          <w:color w:val="000000" w:themeColor="text1"/>
          <w:sz w:val="16"/>
          <w:szCs w:val="16"/>
          <w:lang w:val="es-CO"/>
        </w:rPr>
        <w:t xml:space="preserve"> Corte IDH. Caso Albán Cornejo y otros. Vs. Ecuador. Sentencia de 22 de noviembre de 2007. Serie C No. 171, Párrafo 62.</w:t>
      </w:r>
    </w:p>
  </w:footnote>
  <w:footnote w:id="6">
    <w:p w14:paraId="60843F8C" w14:textId="77777777" w:rsidR="00C73177" w:rsidRPr="00A272A0" w:rsidRDefault="001D7470" w:rsidP="00A272A0">
      <w:pPr>
        <w:spacing w:after="120" w:line="240" w:lineRule="auto"/>
        <w:ind w:left="0" w:hanging="2"/>
        <w:jc w:val="both"/>
        <w:rPr>
          <w:rFonts w:asciiTheme="minorHAnsi" w:eastAsia="Times New Roman" w:hAnsiTheme="minorHAnsi" w:cs="Times New Roman"/>
          <w:color w:val="000000" w:themeColor="text1"/>
          <w:sz w:val="16"/>
          <w:szCs w:val="16"/>
          <w:lang w:val="es-CO"/>
        </w:rPr>
      </w:pPr>
      <w:r w:rsidRPr="00A272A0">
        <w:rPr>
          <w:rStyle w:val="FootnoteReference"/>
          <w:rFonts w:asciiTheme="minorHAnsi" w:hAnsiTheme="minorHAnsi"/>
          <w:color w:val="000000" w:themeColor="text1"/>
          <w:sz w:val="16"/>
          <w:szCs w:val="16"/>
        </w:rPr>
        <w:footnoteRef/>
      </w:r>
      <w:r w:rsidRPr="00A272A0">
        <w:rPr>
          <w:rFonts w:asciiTheme="minorHAnsi" w:eastAsia="Cambria" w:hAnsiTheme="minorHAnsi" w:cs="Cambria"/>
          <w:color w:val="000000" w:themeColor="text1"/>
          <w:sz w:val="16"/>
          <w:szCs w:val="16"/>
          <w:lang w:val="es-CO"/>
        </w:rPr>
        <w:t xml:space="preserve"> CIDH, Informe Anual 2017, </w:t>
      </w:r>
      <w:hyperlink r:id="rId9">
        <w:r w:rsidRPr="00A272A0">
          <w:rPr>
            <w:rFonts w:asciiTheme="minorHAnsi" w:eastAsia="Cambria" w:hAnsiTheme="minorHAnsi" w:cs="Cambria"/>
            <w:color w:val="000000" w:themeColor="text1"/>
            <w:sz w:val="16"/>
            <w:szCs w:val="16"/>
            <w:u w:val="single"/>
            <w:lang w:val="es-CO"/>
          </w:rPr>
          <w:t>Capítulo II, Sección F: Estado del cumplimiento de las recomendaciones de la CIDH</w:t>
        </w:r>
      </w:hyperlink>
      <w:r w:rsidRPr="00A272A0">
        <w:rPr>
          <w:rFonts w:asciiTheme="minorHAnsi" w:eastAsia="Cambria" w:hAnsiTheme="minorHAnsi" w:cs="Cambria"/>
          <w:color w:val="000000" w:themeColor="text1"/>
          <w:sz w:val="16"/>
          <w:szCs w:val="16"/>
          <w:lang w:val="es-CO"/>
        </w:rPr>
        <w:t>, párr. 693.</w:t>
      </w:r>
    </w:p>
  </w:footnote>
  <w:footnote w:id="7">
    <w:p w14:paraId="4C86D00D" w14:textId="77777777" w:rsidR="00C73177" w:rsidRPr="00A272A0" w:rsidRDefault="001D7470" w:rsidP="00A272A0">
      <w:pPr>
        <w:spacing w:after="120" w:line="240" w:lineRule="auto"/>
        <w:ind w:left="0" w:hanging="2"/>
        <w:jc w:val="both"/>
        <w:rPr>
          <w:rFonts w:asciiTheme="minorHAnsi" w:eastAsia="Times New Roman" w:hAnsiTheme="minorHAnsi" w:cs="Times New Roman"/>
          <w:color w:val="000000" w:themeColor="text1"/>
          <w:sz w:val="16"/>
          <w:szCs w:val="16"/>
          <w:lang w:val="es-CO"/>
        </w:rPr>
      </w:pPr>
      <w:r w:rsidRPr="00A272A0">
        <w:rPr>
          <w:rStyle w:val="FootnoteReference"/>
          <w:rFonts w:asciiTheme="minorHAnsi" w:hAnsiTheme="minorHAnsi"/>
          <w:color w:val="000000" w:themeColor="text1"/>
          <w:sz w:val="16"/>
          <w:szCs w:val="16"/>
        </w:rPr>
        <w:footnoteRef/>
      </w:r>
      <w:r w:rsidRPr="00A272A0">
        <w:rPr>
          <w:rFonts w:asciiTheme="minorHAnsi" w:eastAsia="Cambria" w:hAnsiTheme="minorHAnsi" w:cs="Cambria"/>
          <w:color w:val="000000" w:themeColor="text1"/>
          <w:sz w:val="16"/>
          <w:szCs w:val="16"/>
          <w:lang w:val="es-CO"/>
        </w:rPr>
        <w:t xml:space="preserve"> CIDH, Informe Anual 2017, </w:t>
      </w:r>
      <w:hyperlink r:id="rId10">
        <w:r w:rsidRPr="00A272A0">
          <w:rPr>
            <w:rFonts w:asciiTheme="minorHAnsi" w:eastAsia="Cambria" w:hAnsiTheme="minorHAnsi" w:cs="Cambria"/>
            <w:color w:val="000000" w:themeColor="text1"/>
            <w:sz w:val="16"/>
            <w:szCs w:val="16"/>
            <w:u w:val="single"/>
            <w:lang w:val="es-CO"/>
          </w:rPr>
          <w:t>Capítulo II, Sección F: Estado del cumplimiento de las recomendaciones de la CIDH</w:t>
        </w:r>
      </w:hyperlink>
      <w:r w:rsidRPr="00A272A0">
        <w:rPr>
          <w:rFonts w:asciiTheme="minorHAnsi" w:eastAsia="Cambria" w:hAnsiTheme="minorHAnsi" w:cs="Cambria"/>
          <w:color w:val="000000" w:themeColor="text1"/>
          <w:sz w:val="16"/>
          <w:szCs w:val="16"/>
          <w:lang w:val="es-CO"/>
        </w:rPr>
        <w:t>, párr. 697.</w:t>
      </w:r>
    </w:p>
  </w:footnote>
  <w:footnote w:id="8">
    <w:p w14:paraId="6AE855AA" w14:textId="77777777" w:rsidR="00C73177" w:rsidRPr="00A272A0" w:rsidRDefault="001D7470" w:rsidP="00A272A0">
      <w:pPr>
        <w:spacing w:after="120" w:line="240" w:lineRule="auto"/>
        <w:ind w:left="0" w:hanging="2"/>
        <w:jc w:val="both"/>
        <w:rPr>
          <w:rFonts w:asciiTheme="minorHAnsi" w:eastAsia="Times New Roman" w:hAnsiTheme="minorHAnsi" w:cs="Times New Roman"/>
          <w:color w:val="000000" w:themeColor="text1"/>
          <w:sz w:val="16"/>
          <w:szCs w:val="16"/>
        </w:rPr>
      </w:pPr>
      <w:r w:rsidRPr="00A272A0">
        <w:rPr>
          <w:rStyle w:val="FootnoteReference"/>
          <w:rFonts w:asciiTheme="minorHAnsi" w:hAnsiTheme="minorHAnsi"/>
          <w:color w:val="000000" w:themeColor="text1"/>
          <w:sz w:val="16"/>
          <w:szCs w:val="16"/>
        </w:rPr>
        <w:footnoteRef/>
      </w:r>
      <w:r w:rsidRPr="00A272A0">
        <w:rPr>
          <w:rFonts w:asciiTheme="minorHAnsi" w:eastAsia="Cambria" w:hAnsiTheme="minorHAnsi" w:cs="Cambria"/>
          <w:color w:val="000000" w:themeColor="text1"/>
          <w:sz w:val="16"/>
          <w:szCs w:val="16"/>
          <w:lang w:val="es-CO"/>
        </w:rPr>
        <w:t xml:space="preserve"> CIDH, Informe Anual 2017, </w:t>
      </w:r>
      <w:hyperlink r:id="rId11">
        <w:r w:rsidRPr="00A272A0">
          <w:rPr>
            <w:rFonts w:asciiTheme="minorHAnsi" w:eastAsia="Cambria" w:hAnsiTheme="minorHAnsi" w:cs="Cambria"/>
            <w:color w:val="000000" w:themeColor="text1"/>
            <w:sz w:val="16"/>
            <w:szCs w:val="16"/>
            <w:u w:val="single"/>
            <w:lang w:val="es-CO"/>
          </w:rPr>
          <w:t>Capítulo II, Sección F: Estado del cumplimiento de las recomendaciones de la CIDH</w:t>
        </w:r>
      </w:hyperlink>
      <w:r w:rsidRPr="00A272A0">
        <w:rPr>
          <w:rFonts w:asciiTheme="minorHAnsi" w:eastAsia="Cambria" w:hAnsiTheme="minorHAnsi" w:cs="Cambria"/>
          <w:color w:val="000000" w:themeColor="text1"/>
          <w:sz w:val="16"/>
          <w:szCs w:val="16"/>
          <w:lang w:val="es-CO"/>
        </w:rPr>
        <w:t xml:space="preserve">, párr. </w:t>
      </w:r>
      <w:r w:rsidRPr="00A272A0">
        <w:rPr>
          <w:rFonts w:asciiTheme="minorHAnsi" w:eastAsia="Cambria" w:hAnsiTheme="minorHAnsi" w:cs="Cambria"/>
          <w:color w:val="000000" w:themeColor="text1"/>
          <w:sz w:val="16"/>
          <w:szCs w:val="16"/>
        </w:rPr>
        <w:t>712.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EB0F" w14:textId="77777777" w:rsidR="0068567A" w:rsidRDefault="0068567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FEE6" w14:textId="51F7346E" w:rsidR="00567D6C" w:rsidRDefault="00567D6C" w:rsidP="00567D6C">
    <w:pPr>
      <w:pStyle w:val="Header"/>
      <w:spacing w:after="0" w:line="240" w:lineRule="auto"/>
      <w:ind w:left="0" w:hanging="2"/>
      <w:rPr>
        <w:rFonts w:ascii="Arial" w:hAnsi="Arial" w:cs="Arial"/>
        <w:color w:val="4A442A" w:themeColor="background2" w:themeShade="40"/>
        <w:position w:val="0"/>
        <w:szCs w:val="28"/>
        <w:bdr w:val="none" w:sz="0" w:space="0" w:color="auto"/>
        <w:lang w:val="en-US" w:eastAsia="en-US"/>
      </w:rPr>
    </w:pPr>
    <w:r>
      <w:rPr>
        <w:noProof/>
      </w:rPr>
      <w:drawing>
        <wp:anchor distT="0" distB="0" distL="114300" distR="114300" simplePos="0" relativeHeight="251666432" behindDoc="0" locked="0" layoutInCell="1" allowOverlap="1" wp14:anchorId="327E12EC" wp14:editId="6F09470A">
          <wp:simplePos x="0" y="0"/>
          <wp:positionH relativeFrom="column">
            <wp:posOffset>4658995</wp:posOffset>
          </wp:positionH>
          <wp:positionV relativeFrom="paragraph">
            <wp:posOffset>-3175</wp:posOffset>
          </wp:positionV>
          <wp:extent cx="1485900" cy="346075"/>
          <wp:effectExtent l="0" t="0" r="0" b="0"/>
          <wp:wrapSquare wrapText="bothSides"/>
          <wp:docPr id="5" name="Picture 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790332C" wp14:editId="1640982E">
          <wp:extent cx="1333500" cy="314325"/>
          <wp:effectExtent l="0" t="0" r="0" b="9525"/>
          <wp:docPr id="2" name="Picture 2"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Pr>
        <w:rFonts w:ascii="Arial" w:hAnsi="Arial" w:cs="Arial"/>
        <w:color w:val="4A442A" w:themeColor="background2" w:themeShade="40"/>
        <w:szCs w:val="28"/>
      </w:rPr>
      <w:t xml:space="preserve">                      </w:t>
    </w:r>
  </w:p>
  <w:p w14:paraId="07CA5DDA" w14:textId="451782E1" w:rsidR="00567D6C" w:rsidRDefault="00567D6C" w:rsidP="00567D6C">
    <w:pPr>
      <w:pStyle w:val="Header"/>
      <w:spacing w:after="0" w:line="240" w:lineRule="auto"/>
      <w:ind w:left="0" w:hanging="2"/>
      <w:rPr>
        <w:rFonts w:ascii="Arial" w:hAnsi="Arial" w:cs="Arial"/>
        <w:b/>
        <w:bCs/>
        <w:color w:val="404040" w:themeColor="text1" w:themeTint="BF"/>
        <w:sz w:val="44"/>
        <w:szCs w:val="44"/>
        <w:lang w:val="es-ES"/>
      </w:rPr>
    </w:pPr>
    <w:r>
      <w:rPr>
        <w:rFonts w:asciiTheme="minorHAnsi" w:hAnsiTheme="minorHAnsi" w:cstheme="minorBidi"/>
        <w:noProof/>
        <w:color w:val="auto"/>
        <w:sz w:val="24"/>
        <w:szCs w:val="24"/>
      </w:rPr>
      <mc:AlternateContent>
        <mc:Choice Requires="wps">
          <w:drawing>
            <wp:anchor distT="0" distB="0" distL="114300" distR="114300" simplePos="0" relativeHeight="251665408" behindDoc="0" locked="0" layoutInCell="1" allowOverlap="1" wp14:anchorId="29A8B0B7" wp14:editId="3CC0A21A">
              <wp:simplePos x="0" y="0"/>
              <wp:positionH relativeFrom="column">
                <wp:posOffset>-5080</wp:posOffset>
              </wp:positionH>
              <wp:positionV relativeFrom="paragraph">
                <wp:posOffset>173990</wp:posOffset>
              </wp:positionV>
              <wp:extent cx="614807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CA085"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" strokecolor="#272727 [2749]" strokeweight="1.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ACBE" w14:textId="6D47BFD5" w:rsidR="0068567A" w:rsidRDefault="0068567A" w:rsidP="0068567A">
    <w:pPr>
      <w:pStyle w:val="Header"/>
      <w:spacing w:line="216" w:lineRule="auto"/>
      <w:ind w:left="0" w:hanging="2"/>
      <w:rPr>
        <w:rFonts w:ascii="Arial" w:hAnsi="Arial" w:cs="Arial"/>
        <w:color w:val="3B3838"/>
        <w:sz w:val="28"/>
        <w:szCs w:val="28"/>
        <w:lang w:val="es-ES"/>
      </w:rPr>
    </w:pPr>
    <w:r>
      <w:rPr>
        <w:noProof/>
      </w:rPr>
      <w:drawing>
        <wp:anchor distT="0" distB="0" distL="114300" distR="114300" simplePos="0" relativeHeight="251662336" behindDoc="0" locked="0" layoutInCell="1" allowOverlap="1" wp14:anchorId="19ED4C3C" wp14:editId="3E08A8FD">
          <wp:simplePos x="0" y="0"/>
          <wp:positionH relativeFrom="column">
            <wp:posOffset>4088765</wp:posOffset>
          </wp:positionH>
          <wp:positionV relativeFrom="paragraph">
            <wp:posOffset>72390</wp:posOffset>
          </wp:positionV>
          <wp:extent cx="2183130" cy="508635"/>
          <wp:effectExtent l="0" t="0" r="0" b="0"/>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3F926912" wp14:editId="00B9E65B">
              <wp:simplePos x="0" y="0"/>
              <wp:positionH relativeFrom="column">
                <wp:posOffset>-166370</wp:posOffset>
              </wp:positionH>
              <wp:positionV relativeFrom="paragraph">
                <wp:posOffset>48895</wp:posOffset>
              </wp:positionV>
              <wp:extent cx="2936875" cy="664845"/>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6875" cy="664845"/>
                      </a:xfrm>
                      <a:prstGeom prst="rect">
                        <a:avLst/>
                      </a:prstGeom>
                      <a:noFill/>
                      <a:ln w="6350">
                        <a:noFill/>
                      </a:ln>
                    </wps:spPr>
                    <wps:txbx>
                      <w:txbxContent>
                        <w:p w14:paraId="20B1A932" w14:textId="4B7D57D4" w:rsidR="0068567A" w:rsidRDefault="0068567A" w:rsidP="0068567A">
                          <w:pPr>
                            <w:ind w:left="0" w:hanging="2"/>
                          </w:pPr>
                          <w:r w:rsidRPr="00AD498E">
                            <w:rPr>
                              <w:noProof/>
                            </w:rPr>
                            <w:drawing>
                              <wp:inline distT="0" distB="0" distL="0" distR="0" wp14:anchorId="18055C46" wp14:editId="379E35A9">
                                <wp:extent cx="2022475" cy="469265"/>
                                <wp:effectExtent l="0" t="0" r="0" b="6985"/>
                                <wp:docPr id="7" name="Picture 7"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2475" cy="469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F926912" id="_x0000_t202" coordsize="21600,21600" o:spt="202" path="m,l,21600r21600,l21600,xe">
              <v:stroke joinstyle="miter"/>
              <v:path gradientshapeok="t" o:connecttype="rect"/>
            </v:shapetype>
            <v:shape id="Text Box 9" o:spid="_x0000_s1026" type="#_x0000_t202" style="position:absolute;margin-left:-13.1pt;margin-top:3.85pt;width:231.25pt;height:5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" filled="f" stroked="f" strokeweight=".5pt">
              <v:textbox>
                <w:txbxContent>
                  <w:p w14:paraId="20B1A932" w14:textId="4B7D57D4" w:rsidR="0068567A" w:rsidRDefault="0068567A" w:rsidP="0068567A">
                    <w:pPr>
                      <w:ind w:left="0" w:hanging="2"/>
                    </w:pPr>
                    <w:r w:rsidRPr="00AD498E">
                      <w:rPr>
                        <w:noProof/>
                      </w:rPr>
                      <w:drawing>
                        <wp:inline distT="0" distB="0" distL="0" distR="0" wp14:anchorId="18055C46" wp14:editId="379E35A9">
                          <wp:extent cx="2022475" cy="469265"/>
                          <wp:effectExtent l="0" t="0" r="0" b="6985"/>
                          <wp:docPr id="7" name="Picture 7"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2475" cy="469265"/>
                                  </a:xfrm>
                                  <a:prstGeom prst="rect">
                                    <a:avLst/>
                                  </a:prstGeom>
                                  <a:noFill/>
                                  <a:ln>
                                    <a:noFill/>
                                  </a:ln>
                                </pic:spPr>
                              </pic:pic>
                            </a:graphicData>
                          </a:graphic>
                        </wp:inline>
                      </w:drawing>
                    </w:r>
                  </w:p>
                </w:txbxContent>
              </v:textbox>
            </v:shape>
          </w:pict>
        </mc:Fallback>
      </mc:AlternateContent>
    </w:r>
    <w:r w:rsidRPr="00AD498E">
      <w:rPr>
        <w:rFonts w:ascii="Arial" w:hAnsi="Arial" w:cs="Arial"/>
        <w:color w:val="3B3838"/>
        <w:sz w:val="28"/>
        <w:szCs w:val="28"/>
        <w:lang w:val="es-ES"/>
      </w:rPr>
      <w:softHyphen/>
    </w:r>
    <w:r w:rsidRPr="00AD498E">
      <w:rPr>
        <w:rFonts w:ascii="Arial" w:hAnsi="Arial" w:cs="Arial"/>
        <w:color w:val="3B3838"/>
        <w:sz w:val="28"/>
        <w:szCs w:val="28"/>
        <w:lang w:val="es-ES"/>
      </w:rPr>
      <w:softHyphen/>
    </w:r>
    <w:r w:rsidRPr="00AD498E">
      <w:rPr>
        <w:rFonts w:ascii="Arial" w:hAnsi="Arial" w:cs="Arial"/>
        <w:color w:val="3B3838"/>
        <w:sz w:val="28"/>
        <w:szCs w:val="28"/>
        <w:lang w:val="es-ES"/>
      </w:rPr>
      <w:softHyphen/>
    </w:r>
  </w:p>
  <w:p w14:paraId="6053DD19" w14:textId="77777777" w:rsidR="0068567A" w:rsidRPr="00AD498E" w:rsidRDefault="0068567A" w:rsidP="0068567A">
    <w:pPr>
      <w:pStyle w:val="Header"/>
      <w:spacing w:line="216" w:lineRule="auto"/>
      <w:ind w:left="1" w:hanging="3"/>
      <w:rPr>
        <w:rFonts w:ascii="Arial" w:hAnsi="Arial" w:cs="Arial"/>
        <w:color w:val="3B3838"/>
        <w:sz w:val="28"/>
        <w:szCs w:val="28"/>
        <w:lang w:val="es-ES"/>
      </w:rPr>
    </w:pPr>
  </w:p>
  <w:p w14:paraId="68ADEC0A" w14:textId="74974AFB" w:rsidR="00C73177" w:rsidRPr="0068567A" w:rsidRDefault="0068567A" w:rsidP="0068567A">
    <w:pPr>
      <w:pStyle w:val="Header"/>
      <w:spacing w:line="216" w:lineRule="auto"/>
      <w:ind w:leftChars="0" w:left="0" w:firstLineChars="0" w:firstLine="0"/>
      <w:rPr>
        <w:rFonts w:ascii="Arial" w:hAnsi="Arial" w:cs="Arial"/>
        <w:b/>
        <w:bCs/>
        <w:color w:val="404040"/>
        <w:sz w:val="44"/>
        <w:szCs w:val="44"/>
        <w:lang w:val="es-ES"/>
      </w:rPr>
    </w:pPr>
    <w:r>
      <w:rPr>
        <w:noProof/>
      </w:rPr>
      <mc:AlternateContent>
        <mc:Choice Requires="wps">
          <w:drawing>
            <wp:anchor distT="4294967295" distB="4294967295" distL="114300" distR="114300" simplePos="0" relativeHeight="251661312" behindDoc="0" locked="0" layoutInCell="1" allowOverlap="1" wp14:anchorId="6ED5B81E" wp14:editId="28F09718">
              <wp:simplePos x="0" y="0"/>
              <wp:positionH relativeFrom="column">
                <wp:posOffset>-5715</wp:posOffset>
              </wp:positionH>
              <wp:positionV relativeFrom="paragraph">
                <wp:posOffset>167639</wp:posOffset>
              </wp:positionV>
              <wp:extent cx="614807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B08D06"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" strokecolor="#262626" strokeweight="1.2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3AD4"/>
    <w:multiLevelType w:val="multilevel"/>
    <w:tmpl w:val="491C1300"/>
    <w:lvl w:ilvl="0">
      <w:start w:val="6"/>
      <w:numFmt w:val="upperRoman"/>
      <w:lvlText w:val="%1."/>
      <w:lvlJc w:val="left"/>
      <w:pPr>
        <w:ind w:left="1440" w:hanging="720"/>
      </w:pPr>
      <w:rPr>
        <w:b/>
        <w:smallCaps w:val="0"/>
        <w:strike w:val="0"/>
        <w:vertAlign w:val="baseline"/>
      </w:rPr>
    </w:lvl>
    <w:lvl w:ilvl="1">
      <w:start w:val="1"/>
      <w:numFmt w:val="lowerLetter"/>
      <w:lvlText w:val="%2."/>
      <w:lvlJc w:val="left"/>
      <w:pPr>
        <w:ind w:left="1824" w:hanging="384"/>
      </w:pPr>
      <w:rPr>
        <w:b/>
        <w:smallCaps w:val="0"/>
        <w:strike w:val="0"/>
        <w:vertAlign w:val="baseline"/>
      </w:rPr>
    </w:lvl>
    <w:lvl w:ilvl="2">
      <w:start w:val="1"/>
      <w:numFmt w:val="lowerRoman"/>
      <w:lvlText w:val="%3."/>
      <w:lvlJc w:val="left"/>
      <w:pPr>
        <w:ind w:left="2544" w:hanging="304"/>
      </w:pPr>
      <w:rPr>
        <w:b/>
        <w:smallCaps w:val="0"/>
        <w:strike w:val="0"/>
        <w:vertAlign w:val="baseline"/>
      </w:rPr>
    </w:lvl>
    <w:lvl w:ilvl="3">
      <w:start w:val="1"/>
      <w:numFmt w:val="decimal"/>
      <w:lvlText w:val="%4."/>
      <w:lvlJc w:val="left"/>
      <w:pPr>
        <w:ind w:left="3264" w:hanging="384"/>
      </w:pPr>
      <w:rPr>
        <w:b/>
        <w:smallCaps w:val="0"/>
        <w:strike w:val="0"/>
        <w:vertAlign w:val="baseline"/>
      </w:rPr>
    </w:lvl>
    <w:lvl w:ilvl="4">
      <w:start w:val="1"/>
      <w:numFmt w:val="lowerLetter"/>
      <w:lvlText w:val="%5."/>
      <w:lvlJc w:val="left"/>
      <w:pPr>
        <w:ind w:left="3984" w:hanging="384"/>
      </w:pPr>
      <w:rPr>
        <w:b/>
        <w:smallCaps w:val="0"/>
        <w:strike w:val="0"/>
        <w:vertAlign w:val="baseline"/>
      </w:rPr>
    </w:lvl>
    <w:lvl w:ilvl="5">
      <w:start w:val="1"/>
      <w:numFmt w:val="lowerRoman"/>
      <w:lvlText w:val="%6."/>
      <w:lvlJc w:val="left"/>
      <w:pPr>
        <w:ind w:left="4704" w:hanging="304"/>
      </w:pPr>
      <w:rPr>
        <w:b/>
        <w:smallCaps w:val="0"/>
        <w:strike w:val="0"/>
        <w:vertAlign w:val="baseline"/>
      </w:rPr>
    </w:lvl>
    <w:lvl w:ilvl="6">
      <w:start w:val="1"/>
      <w:numFmt w:val="decimal"/>
      <w:lvlText w:val="%7."/>
      <w:lvlJc w:val="left"/>
      <w:pPr>
        <w:ind w:left="5424" w:hanging="384"/>
      </w:pPr>
      <w:rPr>
        <w:b/>
        <w:smallCaps w:val="0"/>
        <w:strike w:val="0"/>
        <w:vertAlign w:val="baseline"/>
      </w:rPr>
    </w:lvl>
    <w:lvl w:ilvl="7">
      <w:start w:val="1"/>
      <w:numFmt w:val="lowerLetter"/>
      <w:lvlText w:val="%8."/>
      <w:lvlJc w:val="left"/>
      <w:pPr>
        <w:ind w:left="6144" w:hanging="384"/>
      </w:pPr>
      <w:rPr>
        <w:b/>
        <w:smallCaps w:val="0"/>
        <w:strike w:val="0"/>
        <w:vertAlign w:val="baseline"/>
      </w:rPr>
    </w:lvl>
    <w:lvl w:ilvl="8">
      <w:start w:val="1"/>
      <w:numFmt w:val="lowerRoman"/>
      <w:lvlText w:val="%9."/>
      <w:lvlJc w:val="left"/>
      <w:pPr>
        <w:ind w:left="6864" w:hanging="304"/>
      </w:pPr>
      <w:rPr>
        <w:b/>
        <w:smallCaps w:val="0"/>
        <w:strike w:val="0"/>
        <w:vertAlign w:val="baseline"/>
      </w:rPr>
    </w:lvl>
  </w:abstractNum>
  <w:abstractNum w:abstractNumId="1" w15:restartNumberingAfterBreak="0">
    <w:nsid w:val="022038FD"/>
    <w:multiLevelType w:val="multilevel"/>
    <w:tmpl w:val="04F2374C"/>
    <w:lvl w:ilvl="0">
      <w:start w:val="1"/>
      <w:numFmt w:val="bullet"/>
      <w:lvlText w:val="●"/>
      <w:lvlJc w:val="left"/>
      <w:pPr>
        <w:ind w:left="720" w:hanging="360"/>
      </w:pPr>
      <w:rPr>
        <w:rFonts w:ascii="Noto Sans Symbols" w:eastAsia="Noto Sans Symbols" w:hAnsi="Noto Sans Symbols" w:cs="Noto Sans Symbols"/>
        <w:b w:val="0"/>
        <w:i w:val="0"/>
        <w:smallCaps w:val="0"/>
        <w:strike w:val="0"/>
        <w:vertAlign w:val="baseline"/>
      </w:rPr>
    </w:lvl>
    <w:lvl w:ilvl="1">
      <w:start w:val="1"/>
      <w:numFmt w:val="bullet"/>
      <w:lvlText w:val="o"/>
      <w:lvlJc w:val="left"/>
      <w:pPr>
        <w:ind w:left="1428" w:hanging="347"/>
      </w:pPr>
      <w:rPr>
        <w:rFonts w:ascii="Arimo" w:eastAsia="Arimo" w:hAnsi="Arimo" w:cs="Arimo"/>
        <w:b w:val="0"/>
        <w:i w:val="0"/>
        <w:smallCaps w:val="0"/>
        <w:strike w:val="0"/>
        <w:vertAlign w:val="baseline"/>
      </w:rPr>
    </w:lvl>
    <w:lvl w:ilvl="2">
      <w:start w:val="1"/>
      <w:numFmt w:val="bullet"/>
      <w:lvlText w:val="▪"/>
      <w:lvlJc w:val="left"/>
      <w:pPr>
        <w:ind w:left="2136" w:hanging="336"/>
      </w:pPr>
      <w:rPr>
        <w:rFonts w:ascii="Arimo" w:eastAsia="Arimo" w:hAnsi="Arimo" w:cs="Arimo"/>
        <w:b w:val="0"/>
        <w:i w:val="0"/>
        <w:smallCaps w:val="0"/>
        <w:strike w:val="0"/>
        <w:vertAlign w:val="baseline"/>
      </w:rPr>
    </w:lvl>
    <w:lvl w:ilvl="3">
      <w:start w:val="1"/>
      <w:numFmt w:val="bullet"/>
      <w:lvlText w:val="●"/>
      <w:lvlJc w:val="left"/>
      <w:pPr>
        <w:ind w:left="2844" w:hanging="324"/>
      </w:pPr>
      <w:rPr>
        <w:rFonts w:ascii="Noto Sans Symbols" w:eastAsia="Noto Sans Symbols" w:hAnsi="Noto Sans Symbols" w:cs="Noto Sans Symbols"/>
        <w:b w:val="0"/>
        <w:i w:val="0"/>
        <w:smallCaps w:val="0"/>
        <w:strike w:val="0"/>
        <w:vertAlign w:val="baseline"/>
      </w:rPr>
    </w:lvl>
    <w:lvl w:ilvl="4">
      <w:start w:val="1"/>
      <w:numFmt w:val="bullet"/>
      <w:lvlText w:val="o"/>
      <w:lvlJc w:val="left"/>
      <w:pPr>
        <w:ind w:left="3552" w:hanging="312"/>
      </w:pPr>
      <w:rPr>
        <w:rFonts w:ascii="Arimo" w:eastAsia="Arimo" w:hAnsi="Arimo" w:cs="Arimo"/>
        <w:b w:val="0"/>
        <w:i w:val="0"/>
        <w:smallCaps w:val="0"/>
        <w:strike w:val="0"/>
        <w:vertAlign w:val="baseline"/>
      </w:rPr>
    </w:lvl>
    <w:lvl w:ilvl="5">
      <w:start w:val="1"/>
      <w:numFmt w:val="bullet"/>
      <w:lvlText w:val="▪"/>
      <w:lvlJc w:val="left"/>
      <w:pPr>
        <w:ind w:left="4260" w:hanging="300"/>
      </w:pPr>
      <w:rPr>
        <w:rFonts w:ascii="Arimo" w:eastAsia="Arimo" w:hAnsi="Arimo" w:cs="Arimo"/>
        <w:b w:val="0"/>
        <w:i w:val="0"/>
        <w:smallCaps w:val="0"/>
        <w:strike w:val="0"/>
        <w:vertAlign w:val="baseline"/>
      </w:rPr>
    </w:lvl>
    <w:lvl w:ilvl="6">
      <w:start w:val="1"/>
      <w:numFmt w:val="bullet"/>
      <w:lvlText w:val="●"/>
      <w:lvlJc w:val="left"/>
      <w:pPr>
        <w:ind w:left="4968" w:hanging="288"/>
      </w:pPr>
      <w:rPr>
        <w:rFonts w:ascii="Noto Sans Symbols" w:eastAsia="Noto Sans Symbols" w:hAnsi="Noto Sans Symbols" w:cs="Noto Sans Symbols"/>
        <w:b w:val="0"/>
        <w:i w:val="0"/>
        <w:smallCaps w:val="0"/>
        <w:strike w:val="0"/>
        <w:vertAlign w:val="baseline"/>
      </w:rPr>
    </w:lvl>
    <w:lvl w:ilvl="7">
      <w:start w:val="1"/>
      <w:numFmt w:val="bullet"/>
      <w:lvlText w:val="o"/>
      <w:lvlJc w:val="left"/>
      <w:pPr>
        <w:ind w:left="5676" w:hanging="276"/>
      </w:pPr>
      <w:rPr>
        <w:rFonts w:ascii="Arimo" w:eastAsia="Arimo" w:hAnsi="Arimo" w:cs="Arimo"/>
        <w:b w:val="0"/>
        <w:i w:val="0"/>
        <w:smallCaps w:val="0"/>
        <w:strike w:val="0"/>
        <w:vertAlign w:val="baseline"/>
      </w:rPr>
    </w:lvl>
    <w:lvl w:ilvl="8">
      <w:start w:val="1"/>
      <w:numFmt w:val="bullet"/>
      <w:lvlText w:val="▪"/>
      <w:lvlJc w:val="left"/>
      <w:pPr>
        <w:ind w:left="6384" w:hanging="264"/>
      </w:pPr>
      <w:rPr>
        <w:rFonts w:ascii="Arimo" w:eastAsia="Arimo" w:hAnsi="Arimo" w:cs="Arimo"/>
        <w:b w:val="0"/>
        <w:i w:val="0"/>
        <w:smallCaps w:val="0"/>
        <w:strike w:val="0"/>
        <w:vertAlign w:val="baseline"/>
      </w:rPr>
    </w:lvl>
  </w:abstractNum>
  <w:abstractNum w:abstractNumId="2" w15:restartNumberingAfterBreak="0">
    <w:nsid w:val="02C57486"/>
    <w:multiLevelType w:val="multilevel"/>
    <w:tmpl w:val="F3B86DA4"/>
    <w:lvl w:ilvl="0">
      <w:start w:val="1"/>
      <w:numFmt w:val="upperRoman"/>
      <w:lvlText w:val="%1."/>
      <w:lvlJc w:val="left"/>
      <w:pPr>
        <w:ind w:left="1440" w:hanging="720"/>
      </w:pPr>
      <w:rPr>
        <w:b/>
        <w:smallCaps w:val="0"/>
        <w:strike w:val="0"/>
        <w:vertAlign w:val="baseline"/>
      </w:rPr>
    </w:lvl>
    <w:lvl w:ilvl="1">
      <w:start w:val="1"/>
      <w:numFmt w:val="lowerLetter"/>
      <w:lvlText w:val="%2."/>
      <w:lvlJc w:val="left"/>
      <w:pPr>
        <w:ind w:left="1824" w:hanging="384"/>
      </w:pPr>
      <w:rPr>
        <w:b/>
        <w:smallCaps w:val="0"/>
        <w:strike w:val="0"/>
        <w:vertAlign w:val="baseline"/>
      </w:rPr>
    </w:lvl>
    <w:lvl w:ilvl="2">
      <w:start w:val="1"/>
      <w:numFmt w:val="lowerRoman"/>
      <w:lvlText w:val="%3."/>
      <w:lvlJc w:val="left"/>
      <w:pPr>
        <w:ind w:left="2544" w:hanging="304"/>
      </w:pPr>
      <w:rPr>
        <w:b/>
        <w:smallCaps w:val="0"/>
        <w:strike w:val="0"/>
        <w:vertAlign w:val="baseline"/>
      </w:rPr>
    </w:lvl>
    <w:lvl w:ilvl="3">
      <w:start w:val="1"/>
      <w:numFmt w:val="decimal"/>
      <w:lvlText w:val="%4."/>
      <w:lvlJc w:val="left"/>
      <w:pPr>
        <w:ind w:left="3264" w:hanging="384"/>
      </w:pPr>
      <w:rPr>
        <w:b/>
        <w:smallCaps w:val="0"/>
        <w:strike w:val="0"/>
        <w:vertAlign w:val="baseline"/>
      </w:rPr>
    </w:lvl>
    <w:lvl w:ilvl="4">
      <w:start w:val="1"/>
      <w:numFmt w:val="lowerLetter"/>
      <w:lvlText w:val="%5."/>
      <w:lvlJc w:val="left"/>
      <w:pPr>
        <w:ind w:left="3984" w:hanging="384"/>
      </w:pPr>
      <w:rPr>
        <w:b/>
        <w:smallCaps w:val="0"/>
        <w:strike w:val="0"/>
        <w:vertAlign w:val="baseline"/>
      </w:rPr>
    </w:lvl>
    <w:lvl w:ilvl="5">
      <w:start w:val="1"/>
      <w:numFmt w:val="lowerRoman"/>
      <w:lvlText w:val="%6."/>
      <w:lvlJc w:val="left"/>
      <w:pPr>
        <w:ind w:left="4704" w:hanging="304"/>
      </w:pPr>
      <w:rPr>
        <w:b/>
        <w:smallCaps w:val="0"/>
        <w:strike w:val="0"/>
        <w:vertAlign w:val="baseline"/>
      </w:rPr>
    </w:lvl>
    <w:lvl w:ilvl="6">
      <w:start w:val="1"/>
      <w:numFmt w:val="decimal"/>
      <w:lvlText w:val="%7."/>
      <w:lvlJc w:val="left"/>
      <w:pPr>
        <w:ind w:left="5424" w:hanging="384"/>
      </w:pPr>
      <w:rPr>
        <w:b/>
        <w:smallCaps w:val="0"/>
        <w:strike w:val="0"/>
        <w:vertAlign w:val="baseline"/>
      </w:rPr>
    </w:lvl>
    <w:lvl w:ilvl="7">
      <w:start w:val="1"/>
      <w:numFmt w:val="lowerLetter"/>
      <w:lvlText w:val="%8."/>
      <w:lvlJc w:val="left"/>
      <w:pPr>
        <w:ind w:left="6144" w:hanging="384"/>
      </w:pPr>
      <w:rPr>
        <w:b/>
        <w:smallCaps w:val="0"/>
        <w:strike w:val="0"/>
        <w:vertAlign w:val="baseline"/>
      </w:rPr>
    </w:lvl>
    <w:lvl w:ilvl="8">
      <w:start w:val="1"/>
      <w:numFmt w:val="lowerRoman"/>
      <w:lvlText w:val="%9."/>
      <w:lvlJc w:val="left"/>
      <w:pPr>
        <w:ind w:left="6864" w:hanging="304"/>
      </w:pPr>
      <w:rPr>
        <w:b/>
        <w:smallCaps w:val="0"/>
        <w:strike w:val="0"/>
        <w:vertAlign w:val="baseline"/>
      </w:rPr>
    </w:lvl>
  </w:abstractNum>
  <w:abstractNum w:abstractNumId="3" w15:restartNumberingAfterBreak="0">
    <w:nsid w:val="1AC36243"/>
    <w:multiLevelType w:val="multilevel"/>
    <w:tmpl w:val="00AE4C22"/>
    <w:lvl w:ilvl="0">
      <w:start w:val="2"/>
      <w:numFmt w:val="upperLetter"/>
      <w:lvlText w:val="%1."/>
      <w:lvlJc w:val="left"/>
      <w:pPr>
        <w:ind w:left="1440" w:hanging="720"/>
      </w:pPr>
      <w:rPr>
        <w:b/>
        <w:smallCaps w:val="0"/>
        <w:strike w:val="0"/>
        <w:vertAlign w:val="baseline"/>
      </w:rPr>
    </w:lvl>
    <w:lvl w:ilvl="1">
      <w:start w:val="1"/>
      <w:numFmt w:val="lowerLetter"/>
      <w:lvlText w:val="%2."/>
      <w:lvlJc w:val="left"/>
      <w:pPr>
        <w:ind w:left="2148" w:hanging="708"/>
      </w:pPr>
      <w:rPr>
        <w:b/>
        <w:smallCaps w:val="0"/>
        <w:strike w:val="0"/>
        <w:vertAlign w:val="baseline"/>
      </w:rPr>
    </w:lvl>
    <w:lvl w:ilvl="2">
      <w:start w:val="1"/>
      <w:numFmt w:val="lowerRoman"/>
      <w:lvlText w:val="%3."/>
      <w:lvlJc w:val="left"/>
      <w:pPr>
        <w:ind w:left="2856" w:hanging="615"/>
      </w:pPr>
      <w:rPr>
        <w:b/>
        <w:smallCaps w:val="0"/>
        <w:strike w:val="0"/>
        <w:vertAlign w:val="baseline"/>
      </w:rPr>
    </w:lvl>
    <w:lvl w:ilvl="3">
      <w:start w:val="1"/>
      <w:numFmt w:val="decimal"/>
      <w:lvlText w:val="%4."/>
      <w:lvlJc w:val="left"/>
      <w:pPr>
        <w:ind w:left="3564" w:hanging="684"/>
      </w:pPr>
      <w:rPr>
        <w:b/>
        <w:smallCaps w:val="0"/>
        <w:strike w:val="0"/>
        <w:vertAlign w:val="baseline"/>
      </w:rPr>
    </w:lvl>
    <w:lvl w:ilvl="4">
      <w:start w:val="1"/>
      <w:numFmt w:val="lowerLetter"/>
      <w:lvlText w:val="%5."/>
      <w:lvlJc w:val="left"/>
      <w:pPr>
        <w:ind w:left="4272" w:hanging="672"/>
      </w:pPr>
      <w:rPr>
        <w:b/>
        <w:smallCaps w:val="0"/>
        <w:strike w:val="0"/>
        <w:vertAlign w:val="baseline"/>
      </w:rPr>
    </w:lvl>
    <w:lvl w:ilvl="5">
      <w:start w:val="1"/>
      <w:numFmt w:val="lowerRoman"/>
      <w:lvlText w:val="%6."/>
      <w:lvlJc w:val="left"/>
      <w:pPr>
        <w:ind w:left="4980" w:hanging="580"/>
      </w:pPr>
      <w:rPr>
        <w:b/>
        <w:smallCaps w:val="0"/>
        <w:strike w:val="0"/>
        <w:vertAlign w:val="baseline"/>
      </w:rPr>
    </w:lvl>
    <w:lvl w:ilvl="6">
      <w:start w:val="1"/>
      <w:numFmt w:val="decimal"/>
      <w:lvlText w:val="%7."/>
      <w:lvlJc w:val="left"/>
      <w:pPr>
        <w:ind w:left="5688" w:hanging="648"/>
      </w:pPr>
      <w:rPr>
        <w:b/>
        <w:smallCaps w:val="0"/>
        <w:strike w:val="0"/>
        <w:vertAlign w:val="baseline"/>
      </w:rPr>
    </w:lvl>
    <w:lvl w:ilvl="7">
      <w:start w:val="1"/>
      <w:numFmt w:val="lowerLetter"/>
      <w:lvlText w:val="%8."/>
      <w:lvlJc w:val="left"/>
      <w:pPr>
        <w:ind w:left="6396" w:hanging="636"/>
      </w:pPr>
      <w:rPr>
        <w:b/>
        <w:smallCaps w:val="0"/>
        <w:strike w:val="0"/>
        <w:vertAlign w:val="baseline"/>
      </w:rPr>
    </w:lvl>
    <w:lvl w:ilvl="8">
      <w:start w:val="1"/>
      <w:numFmt w:val="lowerRoman"/>
      <w:lvlText w:val="%9."/>
      <w:lvlJc w:val="left"/>
      <w:pPr>
        <w:ind w:left="7104" w:hanging="544"/>
      </w:pPr>
      <w:rPr>
        <w:b/>
        <w:smallCaps w:val="0"/>
        <w:strike w:val="0"/>
        <w:vertAlign w:val="baseline"/>
      </w:rPr>
    </w:lvl>
  </w:abstractNum>
  <w:abstractNum w:abstractNumId="4" w15:restartNumberingAfterBreak="0">
    <w:nsid w:val="2930563C"/>
    <w:multiLevelType w:val="multilevel"/>
    <w:tmpl w:val="F28A5494"/>
    <w:lvl w:ilvl="0">
      <w:start w:val="5"/>
      <w:numFmt w:val="upperRoman"/>
      <w:lvlText w:val="%1."/>
      <w:lvlJc w:val="left"/>
      <w:pPr>
        <w:ind w:left="1440" w:hanging="720"/>
      </w:pPr>
      <w:rPr>
        <w:b/>
        <w:smallCaps w:val="0"/>
        <w:strike w:val="0"/>
        <w:vertAlign w:val="baseline"/>
      </w:rPr>
    </w:lvl>
    <w:lvl w:ilvl="1">
      <w:start w:val="1"/>
      <w:numFmt w:val="lowerLetter"/>
      <w:lvlText w:val="%2."/>
      <w:lvlJc w:val="left"/>
      <w:pPr>
        <w:ind w:left="1824" w:hanging="384"/>
      </w:pPr>
      <w:rPr>
        <w:b/>
        <w:smallCaps w:val="0"/>
        <w:strike w:val="0"/>
        <w:vertAlign w:val="baseline"/>
      </w:rPr>
    </w:lvl>
    <w:lvl w:ilvl="2">
      <w:start w:val="1"/>
      <w:numFmt w:val="lowerRoman"/>
      <w:lvlText w:val="%3."/>
      <w:lvlJc w:val="left"/>
      <w:pPr>
        <w:ind w:left="2544" w:hanging="304"/>
      </w:pPr>
      <w:rPr>
        <w:b/>
        <w:smallCaps w:val="0"/>
        <w:strike w:val="0"/>
        <w:vertAlign w:val="baseline"/>
      </w:rPr>
    </w:lvl>
    <w:lvl w:ilvl="3">
      <w:start w:val="1"/>
      <w:numFmt w:val="decimal"/>
      <w:lvlText w:val="%4."/>
      <w:lvlJc w:val="left"/>
      <w:pPr>
        <w:ind w:left="3264" w:hanging="384"/>
      </w:pPr>
      <w:rPr>
        <w:b/>
        <w:smallCaps w:val="0"/>
        <w:strike w:val="0"/>
        <w:vertAlign w:val="baseline"/>
      </w:rPr>
    </w:lvl>
    <w:lvl w:ilvl="4">
      <w:start w:val="1"/>
      <w:numFmt w:val="lowerLetter"/>
      <w:lvlText w:val="%5."/>
      <w:lvlJc w:val="left"/>
      <w:pPr>
        <w:ind w:left="3984" w:hanging="384"/>
      </w:pPr>
      <w:rPr>
        <w:b/>
        <w:smallCaps w:val="0"/>
        <w:strike w:val="0"/>
        <w:vertAlign w:val="baseline"/>
      </w:rPr>
    </w:lvl>
    <w:lvl w:ilvl="5">
      <w:start w:val="1"/>
      <w:numFmt w:val="lowerRoman"/>
      <w:lvlText w:val="%6."/>
      <w:lvlJc w:val="left"/>
      <w:pPr>
        <w:ind w:left="4704" w:hanging="304"/>
      </w:pPr>
      <w:rPr>
        <w:b/>
        <w:smallCaps w:val="0"/>
        <w:strike w:val="0"/>
        <w:vertAlign w:val="baseline"/>
      </w:rPr>
    </w:lvl>
    <w:lvl w:ilvl="6">
      <w:start w:val="1"/>
      <w:numFmt w:val="decimal"/>
      <w:lvlText w:val="%7."/>
      <w:lvlJc w:val="left"/>
      <w:pPr>
        <w:ind w:left="5424" w:hanging="384"/>
      </w:pPr>
      <w:rPr>
        <w:b/>
        <w:smallCaps w:val="0"/>
        <w:strike w:val="0"/>
        <w:vertAlign w:val="baseline"/>
      </w:rPr>
    </w:lvl>
    <w:lvl w:ilvl="7">
      <w:start w:val="1"/>
      <w:numFmt w:val="lowerLetter"/>
      <w:lvlText w:val="%8."/>
      <w:lvlJc w:val="left"/>
      <w:pPr>
        <w:ind w:left="6144" w:hanging="384"/>
      </w:pPr>
      <w:rPr>
        <w:b/>
        <w:smallCaps w:val="0"/>
        <w:strike w:val="0"/>
        <w:vertAlign w:val="baseline"/>
      </w:rPr>
    </w:lvl>
    <w:lvl w:ilvl="8">
      <w:start w:val="1"/>
      <w:numFmt w:val="lowerRoman"/>
      <w:lvlText w:val="%9."/>
      <w:lvlJc w:val="left"/>
      <w:pPr>
        <w:ind w:left="6864" w:hanging="304"/>
      </w:pPr>
      <w:rPr>
        <w:b/>
        <w:smallCaps w:val="0"/>
        <w:strike w:val="0"/>
        <w:vertAlign w:val="baseline"/>
      </w:rPr>
    </w:lvl>
  </w:abstractNum>
  <w:abstractNum w:abstractNumId="5" w15:restartNumberingAfterBreak="0">
    <w:nsid w:val="2D7220EA"/>
    <w:multiLevelType w:val="multilevel"/>
    <w:tmpl w:val="E594FC12"/>
    <w:lvl w:ilvl="0">
      <w:start w:val="1"/>
      <w:numFmt w:val="bullet"/>
      <w:lvlText w:val="●"/>
      <w:lvlJc w:val="left"/>
      <w:pPr>
        <w:ind w:left="720" w:hanging="360"/>
      </w:pPr>
      <w:rPr>
        <w:rFonts w:ascii="Noto Sans Symbols" w:eastAsia="Noto Sans Symbols" w:hAnsi="Noto Sans Symbols" w:cs="Noto Sans Symbols"/>
        <w:b w:val="0"/>
        <w:i w:val="0"/>
        <w:smallCaps w:val="0"/>
        <w:strike w:val="0"/>
        <w:vertAlign w:val="baseline"/>
      </w:rPr>
    </w:lvl>
    <w:lvl w:ilvl="1">
      <w:start w:val="1"/>
      <w:numFmt w:val="bullet"/>
      <w:lvlText w:val="o"/>
      <w:lvlJc w:val="left"/>
      <w:pPr>
        <w:ind w:left="1428" w:hanging="347"/>
      </w:pPr>
      <w:rPr>
        <w:rFonts w:ascii="Arimo" w:eastAsia="Arimo" w:hAnsi="Arimo" w:cs="Arimo"/>
        <w:b w:val="0"/>
        <w:i w:val="0"/>
        <w:smallCaps w:val="0"/>
        <w:strike w:val="0"/>
        <w:vertAlign w:val="baseline"/>
      </w:rPr>
    </w:lvl>
    <w:lvl w:ilvl="2">
      <w:start w:val="1"/>
      <w:numFmt w:val="bullet"/>
      <w:lvlText w:val="▪"/>
      <w:lvlJc w:val="left"/>
      <w:pPr>
        <w:ind w:left="2136" w:hanging="336"/>
      </w:pPr>
      <w:rPr>
        <w:rFonts w:ascii="Arimo" w:eastAsia="Arimo" w:hAnsi="Arimo" w:cs="Arimo"/>
        <w:b w:val="0"/>
        <w:i w:val="0"/>
        <w:smallCaps w:val="0"/>
        <w:strike w:val="0"/>
        <w:vertAlign w:val="baseline"/>
      </w:rPr>
    </w:lvl>
    <w:lvl w:ilvl="3">
      <w:start w:val="1"/>
      <w:numFmt w:val="bullet"/>
      <w:lvlText w:val="●"/>
      <w:lvlJc w:val="left"/>
      <w:pPr>
        <w:ind w:left="2844" w:hanging="324"/>
      </w:pPr>
      <w:rPr>
        <w:rFonts w:ascii="Noto Sans Symbols" w:eastAsia="Noto Sans Symbols" w:hAnsi="Noto Sans Symbols" w:cs="Noto Sans Symbols"/>
        <w:b w:val="0"/>
        <w:i w:val="0"/>
        <w:smallCaps w:val="0"/>
        <w:strike w:val="0"/>
        <w:vertAlign w:val="baseline"/>
      </w:rPr>
    </w:lvl>
    <w:lvl w:ilvl="4">
      <w:start w:val="1"/>
      <w:numFmt w:val="bullet"/>
      <w:lvlText w:val="o"/>
      <w:lvlJc w:val="left"/>
      <w:pPr>
        <w:ind w:left="3552" w:hanging="312"/>
      </w:pPr>
      <w:rPr>
        <w:rFonts w:ascii="Arimo" w:eastAsia="Arimo" w:hAnsi="Arimo" w:cs="Arimo"/>
        <w:b w:val="0"/>
        <w:i w:val="0"/>
        <w:smallCaps w:val="0"/>
        <w:strike w:val="0"/>
        <w:vertAlign w:val="baseline"/>
      </w:rPr>
    </w:lvl>
    <w:lvl w:ilvl="5">
      <w:start w:val="1"/>
      <w:numFmt w:val="bullet"/>
      <w:lvlText w:val="▪"/>
      <w:lvlJc w:val="left"/>
      <w:pPr>
        <w:ind w:left="4260" w:hanging="300"/>
      </w:pPr>
      <w:rPr>
        <w:rFonts w:ascii="Arimo" w:eastAsia="Arimo" w:hAnsi="Arimo" w:cs="Arimo"/>
        <w:b w:val="0"/>
        <w:i w:val="0"/>
        <w:smallCaps w:val="0"/>
        <w:strike w:val="0"/>
        <w:vertAlign w:val="baseline"/>
      </w:rPr>
    </w:lvl>
    <w:lvl w:ilvl="6">
      <w:start w:val="1"/>
      <w:numFmt w:val="bullet"/>
      <w:lvlText w:val="●"/>
      <w:lvlJc w:val="left"/>
      <w:pPr>
        <w:ind w:left="4968" w:hanging="288"/>
      </w:pPr>
      <w:rPr>
        <w:rFonts w:ascii="Noto Sans Symbols" w:eastAsia="Noto Sans Symbols" w:hAnsi="Noto Sans Symbols" w:cs="Noto Sans Symbols"/>
        <w:b w:val="0"/>
        <w:i w:val="0"/>
        <w:smallCaps w:val="0"/>
        <w:strike w:val="0"/>
        <w:vertAlign w:val="baseline"/>
      </w:rPr>
    </w:lvl>
    <w:lvl w:ilvl="7">
      <w:start w:val="1"/>
      <w:numFmt w:val="bullet"/>
      <w:lvlText w:val="o"/>
      <w:lvlJc w:val="left"/>
      <w:pPr>
        <w:ind w:left="5676" w:hanging="276"/>
      </w:pPr>
      <w:rPr>
        <w:rFonts w:ascii="Arimo" w:eastAsia="Arimo" w:hAnsi="Arimo" w:cs="Arimo"/>
        <w:b w:val="0"/>
        <w:i w:val="0"/>
        <w:smallCaps w:val="0"/>
        <w:strike w:val="0"/>
        <w:vertAlign w:val="baseline"/>
      </w:rPr>
    </w:lvl>
    <w:lvl w:ilvl="8">
      <w:start w:val="1"/>
      <w:numFmt w:val="bullet"/>
      <w:lvlText w:val="▪"/>
      <w:lvlJc w:val="left"/>
      <w:pPr>
        <w:ind w:left="6384" w:hanging="264"/>
      </w:pPr>
      <w:rPr>
        <w:rFonts w:ascii="Arimo" w:eastAsia="Arimo" w:hAnsi="Arimo" w:cs="Arimo"/>
        <w:b w:val="0"/>
        <w:i w:val="0"/>
        <w:smallCaps w:val="0"/>
        <w:strike w:val="0"/>
        <w:vertAlign w:val="baseline"/>
      </w:rPr>
    </w:lvl>
  </w:abstractNum>
  <w:abstractNum w:abstractNumId="6" w15:restartNumberingAfterBreak="0">
    <w:nsid w:val="483F4F34"/>
    <w:multiLevelType w:val="multilevel"/>
    <w:tmpl w:val="70782568"/>
    <w:lvl w:ilvl="0">
      <w:start w:val="1"/>
      <w:numFmt w:val="upperLetter"/>
      <w:lvlText w:val="%1."/>
      <w:lvlJc w:val="left"/>
      <w:pPr>
        <w:ind w:left="1440" w:hanging="720"/>
      </w:pPr>
      <w:rPr>
        <w:b/>
        <w:smallCaps w:val="0"/>
        <w:strike w:val="0"/>
        <w:vertAlign w:val="baseline"/>
      </w:rPr>
    </w:lvl>
    <w:lvl w:ilvl="1">
      <w:start w:val="1"/>
      <w:numFmt w:val="lowerLetter"/>
      <w:lvlText w:val="%2."/>
      <w:lvlJc w:val="left"/>
      <w:pPr>
        <w:ind w:left="2148" w:hanging="708"/>
      </w:pPr>
      <w:rPr>
        <w:b/>
        <w:smallCaps w:val="0"/>
        <w:strike w:val="0"/>
        <w:vertAlign w:val="baseline"/>
      </w:rPr>
    </w:lvl>
    <w:lvl w:ilvl="2">
      <w:start w:val="1"/>
      <w:numFmt w:val="lowerRoman"/>
      <w:lvlText w:val="%3."/>
      <w:lvlJc w:val="left"/>
      <w:pPr>
        <w:ind w:left="2856" w:hanging="615"/>
      </w:pPr>
      <w:rPr>
        <w:b/>
        <w:smallCaps w:val="0"/>
        <w:strike w:val="0"/>
        <w:vertAlign w:val="baseline"/>
      </w:rPr>
    </w:lvl>
    <w:lvl w:ilvl="3">
      <w:start w:val="1"/>
      <w:numFmt w:val="decimal"/>
      <w:lvlText w:val="%4."/>
      <w:lvlJc w:val="left"/>
      <w:pPr>
        <w:ind w:left="3564" w:hanging="684"/>
      </w:pPr>
      <w:rPr>
        <w:b/>
        <w:smallCaps w:val="0"/>
        <w:strike w:val="0"/>
        <w:vertAlign w:val="baseline"/>
      </w:rPr>
    </w:lvl>
    <w:lvl w:ilvl="4">
      <w:start w:val="1"/>
      <w:numFmt w:val="lowerLetter"/>
      <w:lvlText w:val="%5."/>
      <w:lvlJc w:val="left"/>
      <w:pPr>
        <w:ind w:left="4272" w:hanging="672"/>
      </w:pPr>
      <w:rPr>
        <w:b/>
        <w:smallCaps w:val="0"/>
        <w:strike w:val="0"/>
        <w:vertAlign w:val="baseline"/>
      </w:rPr>
    </w:lvl>
    <w:lvl w:ilvl="5">
      <w:start w:val="1"/>
      <w:numFmt w:val="lowerRoman"/>
      <w:lvlText w:val="%6."/>
      <w:lvlJc w:val="left"/>
      <w:pPr>
        <w:ind w:left="4980" w:hanging="580"/>
      </w:pPr>
      <w:rPr>
        <w:b/>
        <w:smallCaps w:val="0"/>
        <w:strike w:val="0"/>
        <w:vertAlign w:val="baseline"/>
      </w:rPr>
    </w:lvl>
    <w:lvl w:ilvl="6">
      <w:start w:val="1"/>
      <w:numFmt w:val="decimal"/>
      <w:lvlText w:val="%7."/>
      <w:lvlJc w:val="left"/>
      <w:pPr>
        <w:ind w:left="5688" w:hanging="648"/>
      </w:pPr>
      <w:rPr>
        <w:b/>
        <w:smallCaps w:val="0"/>
        <w:strike w:val="0"/>
        <w:vertAlign w:val="baseline"/>
      </w:rPr>
    </w:lvl>
    <w:lvl w:ilvl="7">
      <w:start w:val="1"/>
      <w:numFmt w:val="lowerLetter"/>
      <w:lvlText w:val="%8."/>
      <w:lvlJc w:val="left"/>
      <w:pPr>
        <w:ind w:left="6396" w:hanging="636"/>
      </w:pPr>
      <w:rPr>
        <w:b/>
        <w:smallCaps w:val="0"/>
        <w:strike w:val="0"/>
        <w:vertAlign w:val="baseline"/>
      </w:rPr>
    </w:lvl>
    <w:lvl w:ilvl="8">
      <w:start w:val="1"/>
      <w:numFmt w:val="lowerRoman"/>
      <w:lvlText w:val="%9."/>
      <w:lvlJc w:val="left"/>
      <w:pPr>
        <w:ind w:left="7104" w:hanging="544"/>
      </w:pPr>
      <w:rPr>
        <w:b/>
        <w:smallCaps w:val="0"/>
        <w:strike w:val="0"/>
        <w:vertAlign w:val="baseline"/>
      </w:rPr>
    </w:lvl>
  </w:abstractNum>
  <w:abstractNum w:abstractNumId="7" w15:restartNumberingAfterBreak="0">
    <w:nsid w:val="505A64D3"/>
    <w:multiLevelType w:val="multilevel"/>
    <w:tmpl w:val="5E6CF066"/>
    <w:lvl w:ilvl="0">
      <w:start w:val="4"/>
      <w:numFmt w:val="upperRoman"/>
      <w:lvlText w:val="%1."/>
      <w:lvlJc w:val="left"/>
      <w:pPr>
        <w:ind w:left="1440" w:hanging="720"/>
      </w:pPr>
      <w:rPr>
        <w:b/>
        <w:smallCaps w:val="0"/>
        <w:strike w:val="0"/>
        <w:vertAlign w:val="baseline"/>
      </w:rPr>
    </w:lvl>
    <w:lvl w:ilvl="1">
      <w:start w:val="1"/>
      <w:numFmt w:val="lowerLetter"/>
      <w:lvlText w:val="%2."/>
      <w:lvlJc w:val="left"/>
      <w:pPr>
        <w:ind w:left="1824" w:hanging="384"/>
      </w:pPr>
      <w:rPr>
        <w:b/>
        <w:smallCaps w:val="0"/>
        <w:strike w:val="0"/>
        <w:vertAlign w:val="baseline"/>
      </w:rPr>
    </w:lvl>
    <w:lvl w:ilvl="2">
      <w:start w:val="1"/>
      <w:numFmt w:val="lowerRoman"/>
      <w:lvlText w:val="%3."/>
      <w:lvlJc w:val="left"/>
      <w:pPr>
        <w:ind w:left="2544" w:hanging="304"/>
      </w:pPr>
      <w:rPr>
        <w:b/>
        <w:smallCaps w:val="0"/>
        <w:strike w:val="0"/>
        <w:vertAlign w:val="baseline"/>
      </w:rPr>
    </w:lvl>
    <w:lvl w:ilvl="3">
      <w:start w:val="1"/>
      <w:numFmt w:val="decimal"/>
      <w:lvlText w:val="%4."/>
      <w:lvlJc w:val="left"/>
      <w:pPr>
        <w:ind w:left="3264" w:hanging="384"/>
      </w:pPr>
      <w:rPr>
        <w:b/>
        <w:smallCaps w:val="0"/>
        <w:strike w:val="0"/>
        <w:vertAlign w:val="baseline"/>
      </w:rPr>
    </w:lvl>
    <w:lvl w:ilvl="4">
      <w:start w:val="1"/>
      <w:numFmt w:val="lowerLetter"/>
      <w:lvlText w:val="%5."/>
      <w:lvlJc w:val="left"/>
      <w:pPr>
        <w:ind w:left="3984" w:hanging="384"/>
      </w:pPr>
      <w:rPr>
        <w:b/>
        <w:smallCaps w:val="0"/>
        <w:strike w:val="0"/>
        <w:vertAlign w:val="baseline"/>
      </w:rPr>
    </w:lvl>
    <w:lvl w:ilvl="5">
      <w:start w:val="1"/>
      <w:numFmt w:val="lowerRoman"/>
      <w:lvlText w:val="%6."/>
      <w:lvlJc w:val="left"/>
      <w:pPr>
        <w:ind w:left="4704" w:hanging="304"/>
      </w:pPr>
      <w:rPr>
        <w:b/>
        <w:smallCaps w:val="0"/>
        <w:strike w:val="0"/>
        <w:vertAlign w:val="baseline"/>
      </w:rPr>
    </w:lvl>
    <w:lvl w:ilvl="6">
      <w:start w:val="1"/>
      <w:numFmt w:val="decimal"/>
      <w:lvlText w:val="%7."/>
      <w:lvlJc w:val="left"/>
      <w:pPr>
        <w:ind w:left="5424" w:hanging="384"/>
      </w:pPr>
      <w:rPr>
        <w:b/>
        <w:smallCaps w:val="0"/>
        <w:strike w:val="0"/>
        <w:vertAlign w:val="baseline"/>
      </w:rPr>
    </w:lvl>
    <w:lvl w:ilvl="7">
      <w:start w:val="1"/>
      <w:numFmt w:val="lowerLetter"/>
      <w:lvlText w:val="%8."/>
      <w:lvlJc w:val="left"/>
      <w:pPr>
        <w:ind w:left="6144" w:hanging="384"/>
      </w:pPr>
      <w:rPr>
        <w:b/>
        <w:smallCaps w:val="0"/>
        <w:strike w:val="0"/>
        <w:vertAlign w:val="baseline"/>
      </w:rPr>
    </w:lvl>
    <w:lvl w:ilvl="8">
      <w:start w:val="1"/>
      <w:numFmt w:val="lowerRoman"/>
      <w:lvlText w:val="%9."/>
      <w:lvlJc w:val="left"/>
      <w:pPr>
        <w:ind w:left="6864" w:hanging="304"/>
      </w:pPr>
      <w:rPr>
        <w:b/>
        <w:smallCaps w:val="0"/>
        <w:strike w:val="0"/>
        <w:vertAlign w:val="baseline"/>
      </w:rPr>
    </w:lvl>
  </w:abstractNum>
  <w:abstractNum w:abstractNumId="8" w15:restartNumberingAfterBreak="0">
    <w:nsid w:val="617F0051"/>
    <w:multiLevelType w:val="multilevel"/>
    <w:tmpl w:val="8AD212B4"/>
    <w:lvl w:ilvl="0">
      <w:start w:val="1"/>
      <w:numFmt w:val="decimal"/>
      <w:lvlText w:val="%1."/>
      <w:lvlJc w:val="left"/>
      <w:pPr>
        <w:ind w:left="696" w:firstLine="24"/>
      </w:pPr>
      <w:rPr>
        <w:smallCaps w:val="0"/>
        <w:strike w:val="0"/>
        <w:color w:val="000000"/>
        <w:vertAlign w:val="baseline"/>
      </w:rPr>
    </w:lvl>
    <w:lvl w:ilvl="1">
      <w:start w:val="1"/>
      <w:numFmt w:val="lowerLetter"/>
      <w:lvlText w:val="%2."/>
      <w:lvlJc w:val="left"/>
      <w:pPr>
        <w:ind w:left="720" w:firstLine="36"/>
      </w:pPr>
      <w:rPr>
        <w:smallCaps w:val="0"/>
        <w:strike w:val="0"/>
        <w:color w:val="000000"/>
        <w:vertAlign w:val="baseline"/>
      </w:rPr>
    </w:lvl>
    <w:lvl w:ilvl="2">
      <w:start w:val="1"/>
      <w:numFmt w:val="lowerRoman"/>
      <w:lvlText w:val="%3."/>
      <w:lvlJc w:val="left"/>
      <w:pPr>
        <w:ind w:left="1440" w:firstLine="128"/>
      </w:pPr>
      <w:rPr>
        <w:smallCaps w:val="0"/>
        <w:strike w:val="0"/>
        <w:color w:val="000000"/>
        <w:vertAlign w:val="baseline"/>
      </w:rPr>
    </w:lvl>
    <w:lvl w:ilvl="3">
      <w:start w:val="1"/>
      <w:numFmt w:val="decimal"/>
      <w:lvlText w:val="%4."/>
      <w:lvlJc w:val="left"/>
      <w:pPr>
        <w:ind w:left="2160" w:firstLine="60"/>
      </w:pPr>
      <w:rPr>
        <w:smallCaps w:val="0"/>
        <w:strike w:val="0"/>
        <w:color w:val="000000"/>
        <w:vertAlign w:val="baseline"/>
      </w:rPr>
    </w:lvl>
    <w:lvl w:ilvl="4">
      <w:start w:val="1"/>
      <w:numFmt w:val="lowerLetter"/>
      <w:lvlText w:val="%5."/>
      <w:lvlJc w:val="left"/>
      <w:pPr>
        <w:ind w:left="2880" w:firstLine="72"/>
      </w:pPr>
      <w:rPr>
        <w:smallCaps w:val="0"/>
        <w:strike w:val="0"/>
        <w:color w:val="000000"/>
        <w:vertAlign w:val="baseline"/>
      </w:rPr>
    </w:lvl>
    <w:lvl w:ilvl="5">
      <w:start w:val="1"/>
      <w:numFmt w:val="lowerRoman"/>
      <w:lvlText w:val="%6."/>
      <w:lvlJc w:val="left"/>
      <w:pPr>
        <w:ind w:left="3600" w:firstLine="164"/>
      </w:pPr>
      <w:rPr>
        <w:smallCaps w:val="0"/>
        <w:strike w:val="0"/>
        <w:color w:val="000000"/>
        <w:vertAlign w:val="baseline"/>
      </w:rPr>
    </w:lvl>
    <w:lvl w:ilvl="6">
      <w:start w:val="1"/>
      <w:numFmt w:val="decimal"/>
      <w:lvlText w:val="%7."/>
      <w:lvlJc w:val="left"/>
      <w:pPr>
        <w:ind w:left="4320" w:firstLine="96"/>
      </w:pPr>
      <w:rPr>
        <w:smallCaps w:val="0"/>
        <w:strike w:val="0"/>
        <w:color w:val="000000"/>
        <w:vertAlign w:val="baseline"/>
      </w:rPr>
    </w:lvl>
    <w:lvl w:ilvl="7">
      <w:start w:val="1"/>
      <w:numFmt w:val="lowerLetter"/>
      <w:lvlText w:val="%8."/>
      <w:lvlJc w:val="left"/>
      <w:pPr>
        <w:ind w:left="5040" w:firstLine="108"/>
      </w:pPr>
      <w:rPr>
        <w:smallCaps w:val="0"/>
        <w:strike w:val="0"/>
        <w:color w:val="000000"/>
        <w:vertAlign w:val="baseline"/>
      </w:rPr>
    </w:lvl>
    <w:lvl w:ilvl="8">
      <w:start w:val="1"/>
      <w:numFmt w:val="lowerRoman"/>
      <w:lvlText w:val="%9."/>
      <w:lvlJc w:val="left"/>
      <w:pPr>
        <w:ind w:left="5760" w:firstLine="200"/>
      </w:pPr>
      <w:rPr>
        <w:smallCaps w:val="0"/>
        <w:strike w:val="0"/>
        <w:color w:val="000000"/>
        <w:vertAlign w:val="baseline"/>
      </w:rPr>
    </w:lvl>
  </w:abstractNum>
  <w:abstractNum w:abstractNumId="9" w15:restartNumberingAfterBreak="0">
    <w:nsid w:val="67380A20"/>
    <w:multiLevelType w:val="multilevel"/>
    <w:tmpl w:val="3A264B3C"/>
    <w:lvl w:ilvl="0">
      <w:start w:val="2"/>
      <w:numFmt w:val="upperRoman"/>
      <w:lvlText w:val="%1."/>
      <w:lvlJc w:val="left"/>
      <w:pPr>
        <w:ind w:left="1440" w:hanging="720"/>
      </w:pPr>
      <w:rPr>
        <w:b/>
        <w:smallCaps w:val="0"/>
        <w:strike w:val="0"/>
        <w:vertAlign w:val="baseline"/>
      </w:rPr>
    </w:lvl>
    <w:lvl w:ilvl="1">
      <w:start w:val="1"/>
      <w:numFmt w:val="lowerLetter"/>
      <w:lvlText w:val="%2."/>
      <w:lvlJc w:val="left"/>
      <w:pPr>
        <w:ind w:left="1824" w:hanging="384"/>
      </w:pPr>
      <w:rPr>
        <w:b/>
        <w:smallCaps w:val="0"/>
        <w:strike w:val="0"/>
        <w:vertAlign w:val="baseline"/>
      </w:rPr>
    </w:lvl>
    <w:lvl w:ilvl="2">
      <w:start w:val="1"/>
      <w:numFmt w:val="lowerRoman"/>
      <w:lvlText w:val="%3."/>
      <w:lvlJc w:val="left"/>
      <w:pPr>
        <w:ind w:left="2544" w:hanging="304"/>
      </w:pPr>
      <w:rPr>
        <w:b/>
        <w:smallCaps w:val="0"/>
        <w:strike w:val="0"/>
        <w:vertAlign w:val="baseline"/>
      </w:rPr>
    </w:lvl>
    <w:lvl w:ilvl="3">
      <w:start w:val="1"/>
      <w:numFmt w:val="decimal"/>
      <w:lvlText w:val="%4."/>
      <w:lvlJc w:val="left"/>
      <w:pPr>
        <w:ind w:left="3264" w:hanging="384"/>
      </w:pPr>
      <w:rPr>
        <w:b/>
        <w:smallCaps w:val="0"/>
        <w:strike w:val="0"/>
        <w:vertAlign w:val="baseline"/>
      </w:rPr>
    </w:lvl>
    <w:lvl w:ilvl="4">
      <w:start w:val="1"/>
      <w:numFmt w:val="lowerLetter"/>
      <w:lvlText w:val="%5."/>
      <w:lvlJc w:val="left"/>
      <w:pPr>
        <w:ind w:left="3984" w:hanging="384"/>
      </w:pPr>
      <w:rPr>
        <w:b/>
        <w:smallCaps w:val="0"/>
        <w:strike w:val="0"/>
        <w:vertAlign w:val="baseline"/>
      </w:rPr>
    </w:lvl>
    <w:lvl w:ilvl="5">
      <w:start w:val="1"/>
      <w:numFmt w:val="lowerRoman"/>
      <w:lvlText w:val="%6."/>
      <w:lvlJc w:val="left"/>
      <w:pPr>
        <w:ind w:left="4704" w:hanging="304"/>
      </w:pPr>
      <w:rPr>
        <w:b/>
        <w:smallCaps w:val="0"/>
        <w:strike w:val="0"/>
        <w:vertAlign w:val="baseline"/>
      </w:rPr>
    </w:lvl>
    <w:lvl w:ilvl="6">
      <w:start w:val="1"/>
      <w:numFmt w:val="decimal"/>
      <w:lvlText w:val="%7."/>
      <w:lvlJc w:val="left"/>
      <w:pPr>
        <w:ind w:left="5424" w:hanging="384"/>
      </w:pPr>
      <w:rPr>
        <w:b/>
        <w:smallCaps w:val="0"/>
        <w:strike w:val="0"/>
        <w:vertAlign w:val="baseline"/>
      </w:rPr>
    </w:lvl>
    <w:lvl w:ilvl="7">
      <w:start w:val="1"/>
      <w:numFmt w:val="lowerLetter"/>
      <w:lvlText w:val="%8."/>
      <w:lvlJc w:val="left"/>
      <w:pPr>
        <w:ind w:left="6144" w:hanging="384"/>
      </w:pPr>
      <w:rPr>
        <w:b/>
        <w:smallCaps w:val="0"/>
        <w:strike w:val="0"/>
        <w:vertAlign w:val="baseline"/>
      </w:rPr>
    </w:lvl>
    <w:lvl w:ilvl="8">
      <w:start w:val="1"/>
      <w:numFmt w:val="lowerRoman"/>
      <w:lvlText w:val="%9."/>
      <w:lvlJc w:val="left"/>
      <w:pPr>
        <w:ind w:left="6864" w:hanging="304"/>
      </w:pPr>
      <w:rPr>
        <w:b/>
        <w:smallCaps w:val="0"/>
        <w:strike w:val="0"/>
        <w:vertAlign w:val="baseline"/>
      </w:rPr>
    </w:lvl>
  </w:abstractNum>
  <w:abstractNum w:abstractNumId="10" w15:restartNumberingAfterBreak="0">
    <w:nsid w:val="6F223524"/>
    <w:multiLevelType w:val="multilevel"/>
    <w:tmpl w:val="CEF8BAC4"/>
    <w:lvl w:ilvl="0">
      <w:start w:val="1"/>
      <w:numFmt w:val="bullet"/>
      <w:lvlText w:val="●"/>
      <w:lvlJc w:val="left"/>
      <w:pPr>
        <w:ind w:left="720" w:hanging="360"/>
      </w:pPr>
      <w:rPr>
        <w:rFonts w:ascii="Noto Sans Symbols" w:eastAsia="Noto Sans Symbols" w:hAnsi="Noto Sans Symbols" w:cs="Noto Sans Symbols"/>
        <w:b w:val="0"/>
        <w:i w:val="0"/>
        <w:smallCaps w:val="0"/>
        <w:strike w:val="0"/>
        <w:vertAlign w:val="baseline"/>
      </w:rPr>
    </w:lvl>
    <w:lvl w:ilvl="1">
      <w:start w:val="1"/>
      <w:numFmt w:val="bullet"/>
      <w:lvlText w:val="o"/>
      <w:lvlJc w:val="left"/>
      <w:pPr>
        <w:ind w:left="1428" w:hanging="347"/>
      </w:pPr>
      <w:rPr>
        <w:rFonts w:ascii="Arimo" w:eastAsia="Arimo" w:hAnsi="Arimo" w:cs="Arimo"/>
        <w:b w:val="0"/>
        <w:i w:val="0"/>
        <w:smallCaps w:val="0"/>
        <w:strike w:val="0"/>
        <w:vertAlign w:val="baseline"/>
      </w:rPr>
    </w:lvl>
    <w:lvl w:ilvl="2">
      <w:start w:val="1"/>
      <w:numFmt w:val="bullet"/>
      <w:lvlText w:val="▪"/>
      <w:lvlJc w:val="left"/>
      <w:pPr>
        <w:ind w:left="2136" w:hanging="336"/>
      </w:pPr>
      <w:rPr>
        <w:rFonts w:ascii="Arimo" w:eastAsia="Arimo" w:hAnsi="Arimo" w:cs="Arimo"/>
        <w:b w:val="0"/>
        <w:i w:val="0"/>
        <w:smallCaps w:val="0"/>
        <w:strike w:val="0"/>
        <w:vertAlign w:val="baseline"/>
      </w:rPr>
    </w:lvl>
    <w:lvl w:ilvl="3">
      <w:start w:val="1"/>
      <w:numFmt w:val="bullet"/>
      <w:lvlText w:val="●"/>
      <w:lvlJc w:val="left"/>
      <w:pPr>
        <w:ind w:left="2844" w:hanging="324"/>
      </w:pPr>
      <w:rPr>
        <w:rFonts w:ascii="Noto Sans Symbols" w:eastAsia="Noto Sans Symbols" w:hAnsi="Noto Sans Symbols" w:cs="Noto Sans Symbols"/>
        <w:b w:val="0"/>
        <w:i w:val="0"/>
        <w:smallCaps w:val="0"/>
        <w:strike w:val="0"/>
        <w:vertAlign w:val="baseline"/>
      </w:rPr>
    </w:lvl>
    <w:lvl w:ilvl="4">
      <w:start w:val="1"/>
      <w:numFmt w:val="bullet"/>
      <w:lvlText w:val="o"/>
      <w:lvlJc w:val="left"/>
      <w:pPr>
        <w:ind w:left="3552" w:hanging="312"/>
      </w:pPr>
      <w:rPr>
        <w:rFonts w:ascii="Arimo" w:eastAsia="Arimo" w:hAnsi="Arimo" w:cs="Arimo"/>
        <w:b w:val="0"/>
        <w:i w:val="0"/>
        <w:smallCaps w:val="0"/>
        <w:strike w:val="0"/>
        <w:vertAlign w:val="baseline"/>
      </w:rPr>
    </w:lvl>
    <w:lvl w:ilvl="5">
      <w:start w:val="1"/>
      <w:numFmt w:val="bullet"/>
      <w:lvlText w:val="▪"/>
      <w:lvlJc w:val="left"/>
      <w:pPr>
        <w:ind w:left="4260" w:hanging="300"/>
      </w:pPr>
      <w:rPr>
        <w:rFonts w:ascii="Arimo" w:eastAsia="Arimo" w:hAnsi="Arimo" w:cs="Arimo"/>
        <w:b w:val="0"/>
        <w:i w:val="0"/>
        <w:smallCaps w:val="0"/>
        <w:strike w:val="0"/>
        <w:vertAlign w:val="baseline"/>
      </w:rPr>
    </w:lvl>
    <w:lvl w:ilvl="6">
      <w:start w:val="1"/>
      <w:numFmt w:val="bullet"/>
      <w:lvlText w:val="●"/>
      <w:lvlJc w:val="left"/>
      <w:pPr>
        <w:ind w:left="4968" w:hanging="288"/>
      </w:pPr>
      <w:rPr>
        <w:rFonts w:ascii="Noto Sans Symbols" w:eastAsia="Noto Sans Symbols" w:hAnsi="Noto Sans Symbols" w:cs="Noto Sans Symbols"/>
        <w:b w:val="0"/>
        <w:i w:val="0"/>
        <w:smallCaps w:val="0"/>
        <w:strike w:val="0"/>
        <w:vertAlign w:val="baseline"/>
      </w:rPr>
    </w:lvl>
    <w:lvl w:ilvl="7">
      <w:start w:val="1"/>
      <w:numFmt w:val="bullet"/>
      <w:lvlText w:val="o"/>
      <w:lvlJc w:val="left"/>
      <w:pPr>
        <w:ind w:left="5676" w:hanging="276"/>
      </w:pPr>
      <w:rPr>
        <w:rFonts w:ascii="Arimo" w:eastAsia="Arimo" w:hAnsi="Arimo" w:cs="Arimo"/>
        <w:b w:val="0"/>
        <w:i w:val="0"/>
        <w:smallCaps w:val="0"/>
        <w:strike w:val="0"/>
        <w:vertAlign w:val="baseline"/>
      </w:rPr>
    </w:lvl>
    <w:lvl w:ilvl="8">
      <w:start w:val="1"/>
      <w:numFmt w:val="bullet"/>
      <w:lvlText w:val="▪"/>
      <w:lvlJc w:val="left"/>
      <w:pPr>
        <w:ind w:left="6384" w:hanging="264"/>
      </w:pPr>
      <w:rPr>
        <w:rFonts w:ascii="Arimo" w:eastAsia="Arimo" w:hAnsi="Arimo" w:cs="Arimo"/>
        <w:b w:val="0"/>
        <w:i w:val="0"/>
        <w:smallCaps w:val="0"/>
        <w:strike w:val="0"/>
        <w:vertAlign w:val="baseline"/>
      </w:rPr>
    </w:lvl>
  </w:abstractNum>
  <w:abstractNum w:abstractNumId="11" w15:restartNumberingAfterBreak="0">
    <w:nsid w:val="737174B4"/>
    <w:multiLevelType w:val="multilevel"/>
    <w:tmpl w:val="F3D840DE"/>
    <w:lvl w:ilvl="0">
      <w:start w:val="7"/>
      <w:numFmt w:val="upperRoman"/>
      <w:lvlText w:val="%1."/>
      <w:lvlJc w:val="left"/>
      <w:pPr>
        <w:ind w:left="1440" w:hanging="720"/>
      </w:pPr>
      <w:rPr>
        <w:b/>
        <w:smallCaps w:val="0"/>
        <w:strike w:val="0"/>
        <w:vertAlign w:val="baseline"/>
      </w:rPr>
    </w:lvl>
    <w:lvl w:ilvl="1">
      <w:start w:val="1"/>
      <w:numFmt w:val="lowerLetter"/>
      <w:lvlText w:val="%2."/>
      <w:lvlJc w:val="left"/>
      <w:pPr>
        <w:ind w:left="1824" w:hanging="384"/>
      </w:pPr>
      <w:rPr>
        <w:b/>
        <w:smallCaps w:val="0"/>
        <w:strike w:val="0"/>
        <w:vertAlign w:val="baseline"/>
      </w:rPr>
    </w:lvl>
    <w:lvl w:ilvl="2">
      <w:start w:val="1"/>
      <w:numFmt w:val="lowerRoman"/>
      <w:lvlText w:val="%3."/>
      <w:lvlJc w:val="left"/>
      <w:pPr>
        <w:ind w:left="2544" w:hanging="304"/>
      </w:pPr>
      <w:rPr>
        <w:b/>
        <w:smallCaps w:val="0"/>
        <w:strike w:val="0"/>
        <w:vertAlign w:val="baseline"/>
      </w:rPr>
    </w:lvl>
    <w:lvl w:ilvl="3">
      <w:start w:val="1"/>
      <w:numFmt w:val="decimal"/>
      <w:lvlText w:val="%4."/>
      <w:lvlJc w:val="left"/>
      <w:pPr>
        <w:ind w:left="3264" w:hanging="384"/>
      </w:pPr>
      <w:rPr>
        <w:b/>
        <w:smallCaps w:val="0"/>
        <w:strike w:val="0"/>
        <w:vertAlign w:val="baseline"/>
      </w:rPr>
    </w:lvl>
    <w:lvl w:ilvl="4">
      <w:start w:val="1"/>
      <w:numFmt w:val="lowerLetter"/>
      <w:lvlText w:val="%5."/>
      <w:lvlJc w:val="left"/>
      <w:pPr>
        <w:ind w:left="3984" w:hanging="384"/>
      </w:pPr>
      <w:rPr>
        <w:b/>
        <w:smallCaps w:val="0"/>
        <w:strike w:val="0"/>
        <w:vertAlign w:val="baseline"/>
      </w:rPr>
    </w:lvl>
    <w:lvl w:ilvl="5">
      <w:start w:val="1"/>
      <w:numFmt w:val="lowerRoman"/>
      <w:lvlText w:val="%6."/>
      <w:lvlJc w:val="left"/>
      <w:pPr>
        <w:ind w:left="4704" w:hanging="304"/>
      </w:pPr>
      <w:rPr>
        <w:b/>
        <w:smallCaps w:val="0"/>
        <w:strike w:val="0"/>
        <w:vertAlign w:val="baseline"/>
      </w:rPr>
    </w:lvl>
    <w:lvl w:ilvl="6">
      <w:start w:val="1"/>
      <w:numFmt w:val="decimal"/>
      <w:lvlText w:val="%7."/>
      <w:lvlJc w:val="left"/>
      <w:pPr>
        <w:ind w:left="5424" w:hanging="384"/>
      </w:pPr>
      <w:rPr>
        <w:b/>
        <w:smallCaps w:val="0"/>
        <w:strike w:val="0"/>
        <w:vertAlign w:val="baseline"/>
      </w:rPr>
    </w:lvl>
    <w:lvl w:ilvl="7">
      <w:start w:val="1"/>
      <w:numFmt w:val="lowerLetter"/>
      <w:lvlText w:val="%8."/>
      <w:lvlJc w:val="left"/>
      <w:pPr>
        <w:ind w:left="6144" w:hanging="384"/>
      </w:pPr>
      <w:rPr>
        <w:b/>
        <w:smallCaps w:val="0"/>
        <w:strike w:val="0"/>
        <w:vertAlign w:val="baseline"/>
      </w:rPr>
    </w:lvl>
    <w:lvl w:ilvl="8">
      <w:start w:val="1"/>
      <w:numFmt w:val="lowerRoman"/>
      <w:lvlText w:val="%9."/>
      <w:lvlJc w:val="left"/>
      <w:pPr>
        <w:ind w:left="6864" w:hanging="304"/>
      </w:pPr>
      <w:rPr>
        <w:b/>
        <w:smallCaps w:val="0"/>
        <w:strike w:val="0"/>
        <w:vertAlign w:val="baseline"/>
      </w:rPr>
    </w:lvl>
  </w:abstractNum>
  <w:abstractNum w:abstractNumId="12" w15:restartNumberingAfterBreak="0">
    <w:nsid w:val="7E710E38"/>
    <w:multiLevelType w:val="multilevel"/>
    <w:tmpl w:val="76AAC7B4"/>
    <w:lvl w:ilvl="0">
      <w:start w:val="3"/>
      <w:numFmt w:val="upperRoman"/>
      <w:lvlText w:val="%1."/>
      <w:lvlJc w:val="left"/>
      <w:pPr>
        <w:ind w:left="1440" w:hanging="720"/>
      </w:pPr>
      <w:rPr>
        <w:b/>
        <w:smallCaps w:val="0"/>
        <w:strike w:val="0"/>
        <w:vertAlign w:val="baseline"/>
      </w:rPr>
    </w:lvl>
    <w:lvl w:ilvl="1">
      <w:start w:val="1"/>
      <w:numFmt w:val="lowerLetter"/>
      <w:lvlText w:val="%2."/>
      <w:lvlJc w:val="left"/>
      <w:pPr>
        <w:ind w:left="1824" w:hanging="384"/>
      </w:pPr>
      <w:rPr>
        <w:b/>
        <w:smallCaps w:val="0"/>
        <w:strike w:val="0"/>
        <w:vertAlign w:val="baseline"/>
      </w:rPr>
    </w:lvl>
    <w:lvl w:ilvl="2">
      <w:start w:val="1"/>
      <w:numFmt w:val="lowerRoman"/>
      <w:lvlText w:val="%3."/>
      <w:lvlJc w:val="left"/>
      <w:pPr>
        <w:ind w:left="2544" w:hanging="304"/>
      </w:pPr>
      <w:rPr>
        <w:b/>
        <w:smallCaps w:val="0"/>
        <w:strike w:val="0"/>
        <w:vertAlign w:val="baseline"/>
      </w:rPr>
    </w:lvl>
    <w:lvl w:ilvl="3">
      <w:start w:val="1"/>
      <w:numFmt w:val="decimal"/>
      <w:lvlText w:val="%4."/>
      <w:lvlJc w:val="left"/>
      <w:pPr>
        <w:ind w:left="3264" w:hanging="384"/>
      </w:pPr>
      <w:rPr>
        <w:b/>
        <w:smallCaps w:val="0"/>
        <w:strike w:val="0"/>
        <w:vertAlign w:val="baseline"/>
      </w:rPr>
    </w:lvl>
    <w:lvl w:ilvl="4">
      <w:start w:val="1"/>
      <w:numFmt w:val="lowerLetter"/>
      <w:lvlText w:val="%5."/>
      <w:lvlJc w:val="left"/>
      <w:pPr>
        <w:ind w:left="3984" w:hanging="384"/>
      </w:pPr>
      <w:rPr>
        <w:b/>
        <w:smallCaps w:val="0"/>
        <w:strike w:val="0"/>
        <w:vertAlign w:val="baseline"/>
      </w:rPr>
    </w:lvl>
    <w:lvl w:ilvl="5">
      <w:start w:val="1"/>
      <w:numFmt w:val="lowerRoman"/>
      <w:lvlText w:val="%6."/>
      <w:lvlJc w:val="left"/>
      <w:pPr>
        <w:ind w:left="4704" w:hanging="304"/>
      </w:pPr>
      <w:rPr>
        <w:b/>
        <w:smallCaps w:val="0"/>
        <w:strike w:val="0"/>
        <w:vertAlign w:val="baseline"/>
      </w:rPr>
    </w:lvl>
    <w:lvl w:ilvl="6">
      <w:start w:val="1"/>
      <w:numFmt w:val="decimal"/>
      <w:lvlText w:val="%7."/>
      <w:lvlJc w:val="left"/>
      <w:pPr>
        <w:ind w:left="5424" w:hanging="384"/>
      </w:pPr>
      <w:rPr>
        <w:b/>
        <w:smallCaps w:val="0"/>
        <w:strike w:val="0"/>
        <w:vertAlign w:val="baseline"/>
      </w:rPr>
    </w:lvl>
    <w:lvl w:ilvl="7">
      <w:start w:val="1"/>
      <w:numFmt w:val="lowerLetter"/>
      <w:lvlText w:val="%8."/>
      <w:lvlJc w:val="left"/>
      <w:pPr>
        <w:ind w:left="6144" w:hanging="384"/>
      </w:pPr>
      <w:rPr>
        <w:b/>
        <w:smallCaps w:val="0"/>
        <w:strike w:val="0"/>
        <w:vertAlign w:val="baseline"/>
      </w:rPr>
    </w:lvl>
    <w:lvl w:ilvl="8">
      <w:start w:val="1"/>
      <w:numFmt w:val="lowerRoman"/>
      <w:lvlText w:val="%9."/>
      <w:lvlJc w:val="left"/>
      <w:pPr>
        <w:ind w:left="6864" w:hanging="304"/>
      </w:pPr>
      <w:rPr>
        <w:b/>
        <w:smallCaps w:val="0"/>
        <w:strike w:val="0"/>
        <w:vertAlign w:val="baseline"/>
      </w:rPr>
    </w:lvl>
  </w:abstractNum>
  <w:abstractNum w:abstractNumId="13" w15:restartNumberingAfterBreak="0">
    <w:nsid w:val="7F454E2D"/>
    <w:multiLevelType w:val="multilevel"/>
    <w:tmpl w:val="ABB6FC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2"/>
  </w:num>
  <w:num w:numId="2">
    <w:abstractNumId w:val="8"/>
  </w:num>
  <w:num w:numId="3">
    <w:abstractNumId w:val="10"/>
  </w:num>
  <w:num w:numId="4">
    <w:abstractNumId w:val="7"/>
  </w:num>
  <w:num w:numId="5">
    <w:abstractNumId w:val="3"/>
  </w:num>
  <w:num w:numId="6">
    <w:abstractNumId w:val="0"/>
  </w:num>
  <w:num w:numId="7">
    <w:abstractNumId w:val="4"/>
  </w:num>
  <w:num w:numId="8">
    <w:abstractNumId w:val="1"/>
  </w:num>
  <w:num w:numId="9">
    <w:abstractNumId w:val="11"/>
  </w:num>
  <w:num w:numId="10">
    <w:abstractNumId w:val="2"/>
  </w:num>
  <w:num w:numId="11">
    <w:abstractNumId w:val="9"/>
  </w:num>
  <w:num w:numId="12">
    <w:abstractNumId w:val="6"/>
  </w:num>
  <w:num w:numId="13">
    <w:abstractNumId w:val="5"/>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177"/>
    <w:rsid w:val="000B4E0B"/>
    <w:rsid w:val="00151363"/>
    <w:rsid w:val="001D7470"/>
    <w:rsid w:val="00205325"/>
    <w:rsid w:val="0029554A"/>
    <w:rsid w:val="002E019B"/>
    <w:rsid w:val="003C74FF"/>
    <w:rsid w:val="003D67EF"/>
    <w:rsid w:val="00437B7E"/>
    <w:rsid w:val="004411AD"/>
    <w:rsid w:val="004D695A"/>
    <w:rsid w:val="004F2D41"/>
    <w:rsid w:val="0052284C"/>
    <w:rsid w:val="0053523B"/>
    <w:rsid w:val="00567D6C"/>
    <w:rsid w:val="005B0F5E"/>
    <w:rsid w:val="005E4049"/>
    <w:rsid w:val="00615C41"/>
    <w:rsid w:val="0068567A"/>
    <w:rsid w:val="006D0DA4"/>
    <w:rsid w:val="0078028E"/>
    <w:rsid w:val="007D5A66"/>
    <w:rsid w:val="008A7FB7"/>
    <w:rsid w:val="00903DCE"/>
    <w:rsid w:val="009665C0"/>
    <w:rsid w:val="009E5884"/>
    <w:rsid w:val="00A272A0"/>
    <w:rsid w:val="00A94D55"/>
    <w:rsid w:val="00BC16EC"/>
    <w:rsid w:val="00C73177"/>
    <w:rsid w:val="00D12024"/>
    <w:rsid w:val="00D162C9"/>
    <w:rsid w:val="00D30365"/>
    <w:rsid w:val="00E854B0"/>
    <w:rsid w:val="00F841E0"/>
    <w:rsid w:val="00FA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F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suppressAutoHyphens/>
      <w:ind w:leftChars="-1" w:left="-1" w:hangingChars="1" w:hanging="1"/>
      <w:textDirection w:val="btLr"/>
      <w:textAlignment w:val="top"/>
      <w:outlineLvl w:val="0"/>
    </w:pPr>
    <w:rPr>
      <w:color w:val="000000"/>
      <w:position w:val="-1"/>
      <w:bdr w:val="nil"/>
      <w:lang w:val="pt-PT" w:eastAsia="es-MX"/>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w w:val="100"/>
      <w:position w:val="-1"/>
      <w:u w:val="single"/>
      <w:effect w:val="none"/>
      <w:vertAlign w:val="baseline"/>
      <w:cs w:val="0"/>
      <w:em w:val="none"/>
    </w:rPr>
  </w:style>
  <w:style w:type="paragraph" w:styleId="Header">
    <w:name w:val="header"/>
    <w:uiPriority w:val="99"/>
    <w:pPr>
      <w:pBdr>
        <w:top w:val="nil"/>
        <w:left w:val="nil"/>
        <w:bottom w:val="nil"/>
        <w:right w:val="nil"/>
        <w:between w:val="nil"/>
        <w:bar w:val="nil"/>
      </w:pBdr>
      <w:tabs>
        <w:tab w:val="center" w:pos="4513"/>
        <w:tab w:val="right" w:pos="9026"/>
      </w:tabs>
      <w:suppressAutoHyphens/>
      <w:ind w:leftChars="-1" w:left="-1" w:hangingChars="1" w:hanging="1"/>
      <w:textDirection w:val="btLr"/>
      <w:textAlignment w:val="top"/>
      <w:outlineLvl w:val="0"/>
    </w:pPr>
    <w:rPr>
      <w:color w:val="000000"/>
      <w:position w:val="-1"/>
      <w:bdr w:val="nil"/>
      <w:lang w:val="pt-PT" w:eastAsia="es-MX"/>
    </w:rPr>
  </w:style>
  <w:style w:type="paragraph" w:styleId="Footer">
    <w:name w:val="footer"/>
    <w:pPr>
      <w:pBdr>
        <w:top w:val="nil"/>
        <w:left w:val="nil"/>
        <w:bottom w:val="nil"/>
        <w:right w:val="nil"/>
        <w:between w:val="nil"/>
        <w:bar w:val="nil"/>
      </w:pBdr>
      <w:tabs>
        <w:tab w:val="center" w:pos="4513"/>
        <w:tab w:val="right" w:pos="9026"/>
      </w:tabs>
      <w:suppressAutoHyphens/>
      <w:ind w:leftChars="-1" w:left="-1" w:hangingChars="1" w:hanging="1"/>
      <w:textDirection w:val="btLr"/>
      <w:textAlignment w:val="top"/>
      <w:outlineLvl w:val="0"/>
    </w:pPr>
    <w:rPr>
      <w:color w:val="000000"/>
      <w:position w:val="-1"/>
      <w:bdr w:val="nil"/>
      <w:lang w:val="pt-PT" w:eastAsia="es-MX"/>
    </w:rPr>
  </w:style>
  <w:style w:type="paragraph" w:customStyle="1" w:styleId="CabealhoeRodap">
    <w:name w:val="Cabeçalho e Rodapé"/>
    <w:pPr>
      <w:pBdr>
        <w:top w:val="nil"/>
        <w:left w:val="nil"/>
        <w:bottom w:val="nil"/>
        <w:right w:val="nil"/>
        <w:between w:val="nil"/>
        <w:bar w:val="nil"/>
      </w:pBdr>
      <w:tabs>
        <w:tab w:val="right" w:pos="9020"/>
      </w:tabs>
      <w:suppressAutoHyphens/>
      <w:spacing w:line="1" w:lineRule="atLeast"/>
      <w:ind w:leftChars="-1" w:left="-1" w:hangingChars="1" w:hanging="1"/>
      <w:textDirection w:val="btLr"/>
      <w:textAlignment w:val="top"/>
      <w:outlineLvl w:val="0"/>
    </w:pPr>
    <w:rPr>
      <w:rFonts w:ascii="Helvetica Neue" w:hAnsi="Helvetica Neue" w:cs="Arial Unicode MS"/>
      <w:color w:val="000000"/>
      <w:position w:val="-1"/>
      <w:sz w:val="24"/>
      <w:szCs w:val="24"/>
      <w:bdr w:val="nil"/>
      <w:lang w:val="es-MX" w:eastAsia="es-MX"/>
    </w:rPr>
  </w:style>
  <w:style w:type="paragraph" w:styleId="NoSpacing">
    <w:name w:val="No Spacing"/>
    <w:pPr>
      <w:pBdr>
        <w:top w:val="nil"/>
        <w:left w:val="nil"/>
        <w:bottom w:val="nil"/>
        <w:right w:val="nil"/>
        <w:between w:val="nil"/>
        <w:bar w:val="nil"/>
      </w:pBdr>
      <w:suppressAutoHyphens/>
      <w:ind w:leftChars="-1" w:left="-1" w:hangingChars="1" w:hanging="1"/>
      <w:textDirection w:val="btLr"/>
      <w:textAlignment w:val="top"/>
      <w:outlineLvl w:val="0"/>
    </w:pPr>
    <w:rPr>
      <w:color w:val="000000"/>
      <w:position w:val="-1"/>
      <w:bdr w:val="nil"/>
      <w:lang w:val="pt-PT" w:eastAsia="es-MX"/>
    </w:rPr>
  </w:style>
  <w:style w:type="numbering" w:customStyle="1" w:styleId="EstiloImportado1">
    <w:name w:val="Estilo Importado 1"/>
  </w:style>
  <w:style w:type="character" w:customStyle="1" w:styleId="Link">
    <w:name w:val="Link"/>
    <w:rPr>
      <w:color w:val="0000FF"/>
      <w:w w:val="100"/>
      <w:position w:val="-1"/>
      <w:u w:val="single" w:color="0000FF"/>
      <w:effect w:val="none"/>
      <w:vertAlign w:val="baseline"/>
      <w:cs w:val="0"/>
      <w:em w:val="none"/>
    </w:rPr>
  </w:style>
  <w:style w:type="character" w:customStyle="1" w:styleId="Hyperlink0">
    <w:name w:val="Hyperlink.0"/>
    <w:rPr>
      <w:color w:val="000000"/>
      <w:w w:val="100"/>
      <w:position w:val="-1"/>
      <w:u w:val="single" w:color="000000"/>
      <w:effect w:val="none"/>
      <w:vertAlign w:val="baseline"/>
      <w:cs w:val="0"/>
      <w:em w:val="none"/>
    </w:rPr>
  </w:style>
  <w:style w:type="paragraph" w:customStyle="1" w:styleId="Padro">
    <w:name w:val="Padrão"/>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Helvetica Neue" w:eastAsia="Helvetica Neue" w:hAnsi="Helvetica Neue" w:cs="Helvetica Neue"/>
      <w:color w:val="000000"/>
      <w:position w:val="-1"/>
      <w:bdr w:val="nil"/>
      <w:lang w:val="es-MX" w:eastAsia="es-MX"/>
    </w:rPr>
  </w:style>
  <w:style w:type="paragraph" w:styleId="ListParagraph">
    <w:name w:val="List Paragraph"/>
    <w:pPr>
      <w:pBdr>
        <w:top w:val="nil"/>
        <w:left w:val="nil"/>
        <w:bottom w:val="nil"/>
        <w:right w:val="nil"/>
        <w:between w:val="nil"/>
        <w:bar w:val="nil"/>
      </w:pBdr>
      <w:suppressAutoHyphens/>
      <w:ind w:leftChars="-1" w:left="720" w:hangingChars="1" w:hanging="1"/>
      <w:textDirection w:val="btLr"/>
      <w:textAlignment w:val="top"/>
      <w:outlineLvl w:val="0"/>
    </w:pPr>
    <w:rPr>
      <w:color w:val="000000"/>
      <w:position w:val="-1"/>
      <w:bdr w:val="nil"/>
      <w:lang w:val="en-US" w:eastAsia="es-MX"/>
    </w:rPr>
  </w:style>
  <w:style w:type="numbering" w:customStyle="1" w:styleId="EstiloImportado2">
    <w:name w:val="Estilo Importado 2"/>
  </w:style>
  <w:style w:type="paragraph" w:customStyle="1" w:styleId="FootnoteText1">
    <w:name w:val="Footnote Text1"/>
    <w:aliases w:val="Footnote Reference1,Footnotes refss,Texto de nota al pie,referencia nota al pie,BVI fnr,Appel note de bas de page,Footnote symbol,Footnote number,f,Ref. de nota al pie.,4_G,16 Point,Superscript 6 Point,Texto nota al pie,Ref. de nota al pi"/>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color w:val="000000"/>
      <w:position w:val="-1"/>
      <w:bdr w:val="nil"/>
      <w:lang w:val="en-US" w:eastAsia="es-MX"/>
    </w:rPr>
  </w:style>
  <w:style w:type="character" w:customStyle="1" w:styleId="Hyperlink1">
    <w:name w:val="Hyperlink.1"/>
    <w:rPr>
      <w:rFonts w:ascii="Cambria" w:eastAsia="Cambria" w:hAnsi="Cambria" w:cs="Cambria"/>
      <w:color w:val="000000"/>
      <w:w w:val="100"/>
      <w:position w:val="-1"/>
      <w:sz w:val="16"/>
      <w:szCs w:val="16"/>
      <w:u w:val="single" w:color="000000"/>
      <w:effect w:val="none"/>
      <w:vertAlign w:val="baseline"/>
      <w:cs w:val="0"/>
      <w:em w:val="none"/>
      <w:lang w:val="es-ES"/>
    </w:rPr>
  </w:style>
  <w:style w:type="numbering" w:customStyle="1" w:styleId="EstiloImportado3">
    <w:name w:val="Estilo Importado 3"/>
  </w:style>
  <w:style w:type="numbering" w:customStyle="1" w:styleId="EstiloImportado4">
    <w:name w:val="Estilo Importado 4"/>
  </w:style>
  <w:style w:type="numbering" w:customStyle="1" w:styleId="EstiloImportado5">
    <w:name w:val="Estilo Importado 5"/>
  </w:style>
  <w:style w:type="numbering" w:customStyle="1" w:styleId="EstiloImportado6">
    <w:name w:val="Estilo Importado 6"/>
  </w:style>
  <w:style w:type="paragraph" w:styleId="CommentText">
    <w:name w:val="annotation text"/>
    <w:basedOn w:val="Normal"/>
    <w:qFormat/>
    <w:pPr>
      <w:spacing w:line="240" w:lineRule="auto"/>
    </w:pPr>
    <w:rPr>
      <w:sz w:val="20"/>
      <w:szCs w:val="20"/>
    </w:rPr>
  </w:style>
  <w:style w:type="character" w:customStyle="1" w:styleId="CommentTextChar">
    <w:name w:val="Comment Text Char"/>
    <w:rPr>
      <w:rFonts w:ascii="Calibri" w:eastAsia="Calibri" w:hAnsi="Calibri" w:cs="Calibri"/>
      <w:color w:val="000000"/>
      <w:w w:val="100"/>
      <w:position w:val="-1"/>
      <w:effect w:val="none"/>
      <w:vertAlign w:val="baseline"/>
      <w:cs w:val="0"/>
      <w:em w:val="none"/>
      <w:lang w:val="pt-PT"/>
    </w:rPr>
  </w:style>
  <w:style w:type="character" w:styleId="CommentReference">
    <w:name w:val="annotation reference"/>
    <w:qFormat/>
    <w:rPr>
      <w:w w:val="100"/>
      <w:position w:val="-1"/>
      <w:sz w:val="16"/>
      <w:szCs w:val="16"/>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eastAsia="Calibri" w:hAnsi="Tahoma" w:cs="Tahoma"/>
      <w:color w:val="000000"/>
      <w:w w:val="100"/>
      <w:position w:val="-1"/>
      <w:sz w:val="16"/>
      <w:szCs w:val="16"/>
      <w:effect w:val="none"/>
      <w:vertAlign w:val="baseline"/>
      <w:cs w:val="0"/>
      <w:em w:val="none"/>
      <w:lang w:val="pt-PT"/>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Calibri" w:eastAsia="Calibri" w:hAnsi="Calibri" w:cs="Calibri"/>
      <w:b/>
      <w:bCs/>
      <w:color w:val="000000"/>
      <w:w w:val="100"/>
      <w:position w:val="-1"/>
      <w:effect w:val="none"/>
      <w:vertAlign w:val="baseline"/>
      <w:cs w:val="0"/>
      <w:em w:val="none"/>
      <w:lang w:val="pt-PT"/>
    </w:rPr>
  </w:style>
  <w:style w:type="character" w:styleId="FootnoteReference">
    <w:name w:val="footnote reference"/>
    <w:qFormat/>
    <w:rPr>
      <w:w w:val="100"/>
      <w:position w:val="-1"/>
      <w:effect w:val="none"/>
      <w:vertAlign w:val="superscript"/>
      <w:cs w:val="0"/>
      <w:em w:val="none"/>
    </w:rPr>
  </w:style>
  <w:style w:type="paragraph" w:styleId="BlockText">
    <w:name w:val="Block Text"/>
    <w:basedOn w:val="Normal"/>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MS Mincho" w:hAnsi="Times New Roman" w:cs="Times New Roman"/>
      <w:color w:val="auto"/>
      <w:sz w:val="24"/>
      <w:szCs w:val="24"/>
      <w:bdr w:val="none" w:sz="0" w:space="0" w:color="auto"/>
      <w:lang w:val="en-US" w:eastAsia="en-US"/>
    </w:rPr>
  </w:style>
  <w:style w:type="character" w:customStyle="1" w:styleId="HeaderChar">
    <w:name w:val="Header Char"/>
    <w:uiPriority w:val="99"/>
    <w:rPr>
      <w:rFonts w:ascii="Calibri" w:eastAsia="Calibri" w:hAnsi="Calibri" w:cs="Calibri"/>
      <w:color w:val="000000"/>
      <w:w w:val="100"/>
      <w:position w:val="-1"/>
      <w:sz w:val="22"/>
      <w:szCs w:val="22"/>
      <w:effect w:val="none"/>
      <w:bdr w:val="nil"/>
      <w:vertAlign w:val="baseline"/>
      <w:cs w:val="0"/>
      <w:em w:val="none"/>
      <w:lang w:val="pt-PT" w:eastAsia="es-MX"/>
    </w:rPr>
  </w:style>
  <w:style w:type="character" w:customStyle="1" w:styleId="FootnoteTextChar">
    <w:name w:val="Footnote Text Char"/>
    <w:aliases w:val="Footnote Reference1 Char,Footnotes refss Char,Texto de nota al pie Char,referencia nota al pie Char,BVI fnr Char,Appel note de bas de page Char,Footnote symbol Char,Footnote number Char,f Char,Ref. de nota al pie. Char,4_G Char"/>
    <w:rPr>
      <w:color w:val="000000"/>
      <w:w w:val="100"/>
      <w:position w:val="-1"/>
      <w:effect w:val="none"/>
      <w:bdr w:val="nil"/>
      <w:vertAlign w:val="baseline"/>
      <w:cs w:val="0"/>
      <w:em w:val="none"/>
      <w:lang w:eastAsia="es-MX"/>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147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decisiones/2011/COPU10916ES.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99span/Admisible/Colombia10916.htm"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fiscalia.gov.co/colombia/seccionales/fiscalia-entrego-restos-de-victima-de-desaparicion-forzada-atribuida-a-agentes-del-estado/" TargetMode="External"/><Relationship Id="rId3" Type="http://schemas.openxmlformats.org/officeDocument/2006/relationships/hyperlink" Target="http://www.oas.org/es/cidh/docs/anual/2017/docs/IA2017cap.2-es.pdf" TargetMode="External"/><Relationship Id="rId7" Type="http://schemas.openxmlformats.org/officeDocument/2006/relationships/hyperlink" Target="http://www.lapatria.com/sucesos/familiares-de-victima-en-manizales-esperaron-30-anos-un-acto-de-justicia-418752" TargetMode="External"/><Relationship Id="rId2" Type="http://schemas.openxmlformats.org/officeDocument/2006/relationships/hyperlink" Target="http://www.oas.org/es/cidh/docs/anual/2018/docs/IA2018cap2.g.co10.916-es.doc" TargetMode="External"/><Relationship Id="rId1" Type="http://schemas.openxmlformats.org/officeDocument/2006/relationships/hyperlink" Target="http://www.oas.org/es/cidh/docs/anual/2018/docs/IA2018cap.2-es.doc" TargetMode="External"/><Relationship Id="rId6" Type="http://schemas.openxmlformats.org/officeDocument/2006/relationships/hyperlink" Target="https://www.fiscalia.gov.co/colombia/seccionales/fiscalia-entrego-cuerpo-de-victima-de-desaparicion-forzada-en-manizales/" TargetMode="External"/><Relationship Id="rId11" Type="http://schemas.openxmlformats.org/officeDocument/2006/relationships/hyperlink" Target="http://www.oas.org/es/cidh/docs/anual/2017/docs/IA2017cap.2-es.pdf" TargetMode="External"/><Relationship Id="rId5" Type="http://schemas.openxmlformats.org/officeDocument/2006/relationships/hyperlink" Target="http://www.eje21.com.co/2018/04/fiscalia-entrego-cuerpo-de-victima-de-desaparicion-forzada-en-manizales/" TargetMode="External"/><Relationship Id="rId10" Type="http://schemas.openxmlformats.org/officeDocument/2006/relationships/hyperlink" Target="http://www.oas.org/es/cidh/docs/anual/2017/docs/IA2017cap.2-es.pdf" TargetMode="External"/><Relationship Id="rId4" Type="http://schemas.openxmlformats.org/officeDocument/2006/relationships/hyperlink" Target="http://www.lapatria.com/sucesos/familia-de-victima-del-f-2-recibio-sus-restos-oseos-415045" TargetMode="External"/><Relationship Id="rId9" Type="http://schemas.openxmlformats.org/officeDocument/2006/relationships/hyperlink" Target="http://www.oas.org/es/cidh/docs/anual/2017/docs/IA2017cap.2-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hFzsNb1us3W2GlABx+Xz3ZTmaQ==">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2961</Words>
  <Characters>16883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2022-03-28T16:32:00Z</dcterms:created>
  <dcterms:modified xsi:type="dcterms:W3CDTF">2022-03-28T16:32:00Z</dcterms:modified>
</cp:coreProperties>
</file>