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E867" w14:textId="77777777" w:rsidR="00A97CAF" w:rsidRPr="00840047" w:rsidRDefault="00A97CAF" w:rsidP="00A97CAF">
      <w:pPr>
        <w:pStyle w:val="NoSpacing"/>
        <w:jc w:val="center"/>
        <w:rPr>
          <w:rFonts w:ascii="Cambria" w:hAnsi="Cambria"/>
          <w:b/>
          <w:color w:val="000000" w:themeColor="text1"/>
          <w:sz w:val="20"/>
          <w:szCs w:val="20"/>
          <w:lang w:val="es-ES"/>
        </w:rPr>
      </w:pPr>
    </w:p>
    <w:p w14:paraId="0E479442" w14:textId="77777777" w:rsidR="00A97CAF" w:rsidRPr="00840047" w:rsidRDefault="00A97CAF" w:rsidP="00A97CAF">
      <w:pPr>
        <w:pStyle w:val="NoSpacing"/>
        <w:jc w:val="center"/>
        <w:rPr>
          <w:rFonts w:ascii="Cambria" w:hAnsi="Cambria"/>
          <w:b/>
          <w:color w:val="000000" w:themeColor="text1"/>
          <w:sz w:val="20"/>
          <w:szCs w:val="20"/>
          <w:lang w:val="es-ES"/>
        </w:rPr>
      </w:pPr>
      <w:r w:rsidRPr="00840047">
        <w:rPr>
          <w:rFonts w:ascii="Cambria" w:hAnsi="Cambria"/>
          <w:b/>
          <w:color w:val="000000" w:themeColor="text1"/>
          <w:sz w:val="20"/>
          <w:szCs w:val="20"/>
          <w:lang w:val="es-ES"/>
        </w:rPr>
        <w:t xml:space="preserve">FICHA DE SEGUIMIENTO DEL INFORME Nº </w:t>
      </w:r>
      <w:r w:rsidRPr="00840047">
        <w:rPr>
          <w:rFonts w:ascii="Cambria" w:hAnsi="Cambria" w:cs="Calibri"/>
          <w:b/>
          <w:bCs/>
          <w:color w:val="000000" w:themeColor="text1"/>
          <w:sz w:val="20"/>
          <w:szCs w:val="20"/>
          <w:lang w:val="es-ES"/>
        </w:rPr>
        <w:t>48/16</w:t>
      </w:r>
    </w:p>
    <w:p w14:paraId="6B0F5D79" w14:textId="77777777" w:rsidR="00A97CAF" w:rsidRPr="00840047" w:rsidRDefault="00A97CAF" w:rsidP="00A97CAF">
      <w:pPr>
        <w:pStyle w:val="NoSpacing"/>
        <w:jc w:val="center"/>
        <w:rPr>
          <w:rFonts w:ascii="Cambria" w:hAnsi="Cambria"/>
          <w:b/>
          <w:color w:val="000000" w:themeColor="text1"/>
          <w:sz w:val="20"/>
          <w:szCs w:val="20"/>
          <w:lang w:val="es-ES"/>
        </w:rPr>
      </w:pPr>
      <w:r w:rsidRPr="00840047">
        <w:rPr>
          <w:rFonts w:ascii="Cambria" w:hAnsi="Cambria"/>
          <w:b/>
          <w:color w:val="000000" w:themeColor="text1"/>
          <w:sz w:val="20"/>
          <w:szCs w:val="20"/>
          <w:lang w:val="es-ES"/>
        </w:rPr>
        <w:t>CASO 12.799</w:t>
      </w:r>
    </w:p>
    <w:p w14:paraId="4781DF52" w14:textId="77777777" w:rsidR="00A97CAF" w:rsidRPr="00840047" w:rsidRDefault="00A97CAF" w:rsidP="00A97CAF">
      <w:pPr>
        <w:pStyle w:val="NoSpacing"/>
        <w:jc w:val="center"/>
        <w:rPr>
          <w:rFonts w:ascii="Cambria" w:hAnsi="Cambria"/>
          <w:b/>
          <w:color w:val="000000" w:themeColor="text1"/>
          <w:sz w:val="20"/>
          <w:szCs w:val="20"/>
          <w:lang w:val="es-ES"/>
        </w:rPr>
      </w:pPr>
      <w:r w:rsidRPr="00840047">
        <w:rPr>
          <w:rFonts w:ascii="Cambria" w:hAnsi="Cambria"/>
          <w:b/>
          <w:color w:val="000000" w:themeColor="text1"/>
          <w:sz w:val="20"/>
          <w:szCs w:val="20"/>
          <w:lang w:val="es-ES"/>
        </w:rPr>
        <w:t>MIGUEL ÁNGEL MILLAR SILVA Y OTROS (RADIO ESTRELLA DEL MAR DE MELINKA)</w:t>
      </w:r>
    </w:p>
    <w:p w14:paraId="5C612A13" w14:textId="77777777" w:rsidR="00A97CAF" w:rsidRPr="00840047" w:rsidRDefault="00A97CAF" w:rsidP="00A97CAF">
      <w:pPr>
        <w:pStyle w:val="NoSpacing"/>
        <w:jc w:val="center"/>
        <w:rPr>
          <w:rFonts w:ascii="Cambria" w:hAnsi="Cambria"/>
          <w:b/>
          <w:color w:val="000000" w:themeColor="text1"/>
          <w:sz w:val="20"/>
          <w:szCs w:val="20"/>
          <w:lang w:val="es-ES"/>
        </w:rPr>
      </w:pPr>
      <w:r w:rsidRPr="00840047">
        <w:rPr>
          <w:rFonts w:ascii="Cambria" w:hAnsi="Cambria"/>
          <w:b/>
          <w:color w:val="000000" w:themeColor="text1"/>
          <w:sz w:val="20"/>
          <w:szCs w:val="20"/>
          <w:lang w:val="es-ES"/>
        </w:rPr>
        <w:t>(Chile)</w:t>
      </w:r>
    </w:p>
    <w:p w14:paraId="1697FA37" w14:textId="77777777" w:rsidR="00A97CAF" w:rsidRPr="00840047" w:rsidRDefault="00A97CAF" w:rsidP="00A97CAF">
      <w:pPr>
        <w:pStyle w:val="NoSpacing"/>
        <w:jc w:val="center"/>
        <w:rPr>
          <w:rFonts w:ascii="Cambria" w:hAnsi="Cambria"/>
          <w:color w:val="000000" w:themeColor="text1"/>
          <w:sz w:val="20"/>
          <w:szCs w:val="20"/>
          <w:lang w:val="es-ES"/>
        </w:rPr>
      </w:pPr>
    </w:p>
    <w:p w14:paraId="5F66C541" w14:textId="77777777" w:rsidR="00A97CAF" w:rsidRPr="00840047" w:rsidRDefault="00A97CAF" w:rsidP="00A97CAF">
      <w:pPr>
        <w:numPr>
          <w:ilvl w:val="0"/>
          <w:numId w:val="14"/>
        </w:numPr>
        <w:spacing w:after="0" w:line="240" w:lineRule="auto"/>
        <w:ind w:left="1440"/>
        <w:rPr>
          <w:rFonts w:ascii="Cambria" w:hAnsi="Cambria" w:cs="Calibri Light"/>
          <w:b/>
          <w:color w:val="000000" w:themeColor="text1"/>
          <w:sz w:val="20"/>
          <w:szCs w:val="20"/>
          <w:lang w:val="es-US"/>
        </w:rPr>
      </w:pPr>
      <w:r w:rsidRPr="00840047">
        <w:rPr>
          <w:rFonts w:ascii="Cambria" w:hAnsi="Cambria" w:cs="Calibri Light"/>
          <w:b/>
          <w:color w:val="000000" w:themeColor="text1"/>
          <w:sz w:val="20"/>
          <w:szCs w:val="20"/>
          <w:lang w:val="es-US"/>
        </w:rPr>
        <w:t xml:space="preserve">Resumen del caso </w:t>
      </w:r>
    </w:p>
    <w:p w14:paraId="04AA2E13" w14:textId="77777777" w:rsidR="00A97CAF" w:rsidRPr="00840047" w:rsidRDefault="00A97CAF" w:rsidP="00A97CAF">
      <w:pPr>
        <w:spacing w:after="0" w:line="240" w:lineRule="auto"/>
        <w:ind w:left="1080"/>
        <w:rPr>
          <w:rFonts w:ascii="Cambria" w:hAnsi="Cambria" w:cs="Calibri Light"/>
          <w:color w:val="000000" w:themeColor="text1"/>
          <w:sz w:val="20"/>
          <w:szCs w:val="20"/>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840047" w:rsidRPr="00840047" w14:paraId="69E62D2C" w14:textId="77777777" w:rsidTr="0034460E">
        <w:trPr>
          <w:jc w:val="center"/>
        </w:trPr>
        <w:tc>
          <w:tcPr>
            <w:tcW w:w="9576" w:type="dxa"/>
            <w:shd w:val="clear" w:color="auto" w:fill="F2F2F2"/>
          </w:tcPr>
          <w:p w14:paraId="0FB6521E" w14:textId="77777777" w:rsidR="00A97CAF" w:rsidRPr="00840047" w:rsidRDefault="00A97CAF" w:rsidP="0034460E">
            <w:pPr>
              <w:pStyle w:val="NoSpacing"/>
              <w:spacing w:before="120"/>
              <w:jc w:val="both"/>
              <w:rPr>
                <w:rFonts w:ascii="Cambria" w:hAnsi="Cambria"/>
                <w:color w:val="000000" w:themeColor="text1"/>
                <w:sz w:val="20"/>
                <w:szCs w:val="20"/>
                <w:lang w:val="es-US"/>
              </w:rPr>
            </w:pPr>
            <w:r w:rsidRPr="00840047">
              <w:rPr>
                <w:rFonts w:ascii="Cambria" w:hAnsi="Cambria"/>
                <w:b/>
                <w:color w:val="000000" w:themeColor="text1"/>
                <w:sz w:val="20"/>
                <w:szCs w:val="20"/>
                <w:lang w:val="es-ES"/>
              </w:rPr>
              <w:t>Víctima (s):</w:t>
            </w:r>
            <w:r w:rsidRPr="00840047">
              <w:rPr>
                <w:rFonts w:ascii="Cambria" w:hAnsi="Cambria"/>
                <w:color w:val="000000" w:themeColor="text1"/>
                <w:sz w:val="20"/>
                <w:szCs w:val="20"/>
                <w:lang w:val="es-ES"/>
              </w:rPr>
              <w:t xml:space="preserve"> </w:t>
            </w:r>
            <w:r w:rsidRPr="00840047">
              <w:rPr>
                <w:rFonts w:ascii="Cambria" w:hAnsi="Cambria"/>
                <w:color w:val="000000" w:themeColor="text1"/>
                <w:sz w:val="20"/>
                <w:szCs w:val="20"/>
                <w:lang w:val="es-US"/>
              </w:rPr>
              <w:t xml:space="preserve">Miguel Millar Silva, Narciso </w:t>
            </w:r>
            <w:proofErr w:type="spellStart"/>
            <w:r w:rsidRPr="00840047">
              <w:rPr>
                <w:rFonts w:ascii="Cambria" w:hAnsi="Cambria"/>
                <w:color w:val="000000" w:themeColor="text1"/>
                <w:sz w:val="20"/>
                <w:szCs w:val="20"/>
                <w:lang w:val="es-US"/>
              </w:rPr>
              <w:t>Nahuelquín</w:t>
            </w:r>
            <w:proofErr w:type="spellEnd"/>
            <w:r w:rsidRPr="00840047">
              <w:rPr>
                <w:rFonts w:ascii="Cambria" w:hAnsi="Cambria"/>
                <w:color w:val="000000" w:themeColor="text1"/>
                <w:sz w:val="20"/>
                <w:szCs w:val="20"/>
                <w:lang w:val="es-US"/>
              </w:rPr>
              <w:t xml:space="preserve"> </w:t>
            </w:r>
            <w:proofErr w:type="spellStart"/>
            <w:r w:rsidRPr="00840047">
              <w:rPr>
                <w:rFonts w:ascii="Cambria" w:hAnsi="Cambria"/>
                <w:color w:val="000000" w:themeColor="text1"/>
                <w:sz w:val="20"/>
                <w:szCs w:val="20"/>
                <w:lang w:val="es-US"/>
              </w:rPr>
              <w:t>Lepío</w:t>
            </w:r>
            <w:proofErr w:type="spellEnd"/>
            <w:r w:rsidRPr="00840047">
              <w:rPr>
                <w:rFonts w:ascii="Cambria" w:hAnsi="Cambria"/>
                <w:color w:val="000000" w:themeColor="text1"/>
                <w:sz w:val="20"/>
                <w:szCs w:val="20"/>
                <w:lang w:val="es-US"/>
              </w:rPr>
              <w:t xml:space="preserve">, Patricia </w:t>
            </w:r>
            <w:proofErr w:type="spellStart"/>
            <w:r w:rsidRPr="00840047">
              <w:rPr>
                <w:rFonts w:ascii="Cambria" w:hAnsi="Cambria"/>
                <w:color w:val="000000" w:themeColor="text1"/>
                <w:sz w:val="20"/>
                <w:szCs w:val="20"/>
                <w:lang w:val="es-US"/>
              </w:rPr>
              <w:t>Cocq</w:t>
            </w:r>
            <w:proofErr w:type="spellEnd"/>
            <w:r w:rsidRPr="00840047">
              <w:rPr>
                <w:rFonts w:ascii="Cambria" w:hAnsi="Cambria"/>
                <w:color w:val="000000" w:themeColor="text1"/>
                <w:sz w:val="20"/>
                <w:szCs w:val="20"/>
                <w:lang w:val="es-US"/>
              </w:rPr>
              <w:t xml:space="preserve">, Luis Jerez, Carolina Leyton, Soledad Lorca, Vanesa Mancisidor, Marcia Paredes, Alejandra Venegas, Genaro Barría, Eduardo </w:t>
            </w:r>
            <w:proofErr w:type="spellStart"/>
            <w:r w:rsidRPr="00840047">
              <w:rPr>
                <w:rFonts w:ascii="Cambria" w:hAnsi="Cambria"/>
                <w:color w:val="000000" w:themeColor="text1"/>
                <w:sz w:val="20"/>
                <w:szCs w:val="20"/>
                <w:lang w:val="es-US"/>
              </w:rPr>
              <w:t>Carimoney</w:t>
            </w:r>
            <w:proofErr w:type="spellEnd"/>
            <w:r w:rsidRPr="00840047">
              <w:rPr>
                <w:rFonts w:ascii="Cambria" w:hAnsi="Cambria"/>
                <w:color w:val="000000" w:themeColor="text1"/>
                <w:sz w:val="20"/>
                <w:szCs w:val="20"/>
                <w:lang w:val="es-US"/>
              </w:rPr>
              <w:t xml:space="preserve">, Mabel Chiguay </w:t>
            </w:r>
            <w:proofErr w:type="spellStart"/>
            <w:r w:rsidRPr="00840047">
              <w:rPr>
                <w:rFonts w:ascii="Cambria" w:hAnsi="Cambria"/>
                <w:color w:val="000000" w:themeColor="text1"/>
                <w:sz w:val="20"/>
                <w:szCs w:val="20"/>
                <w:lang w:val="es-US"/>
              </w:rPr>
              <w:t>Carimoney</w:t>
            </w:r>
            <w:proofErr w:type="spellEnd"/>
            <w:r w:rsidRPr="00840047">
              <w:rPr>
                <w:rFonts w:ascii="Cambria" w:hAnsi="Cambria"/>
                <w:color w:val="000000" w:themeColor="text1"/>
                <w:sz w:val="20"/>
                <w:szCs w:val="20"/>
                <w:lang w:val="es-US"/>
              </w:rPr>
              <w:t xml:space="preserve">, Rodrigo </w:t>
            </w:r>
            <w:proofErr w:type="spellStart"/>
            <w:r w:rsidRPr="00840047">
              <w:rPr>
                <w:rFonts w:ascii="Cambria" w:hAnsi="Cambria"/>
                <w:color w:val="000000" w:themeColor="text1"/>
                <w:sz w:val="20"/>
                <w:szCs w:val="20"/>
                <w:lang w:val="es-US"/>
              </w:rPr>
              <w:t>Levicoy</w:t>
            </w:r>
            <w:proofErr w:type="spellEnd"/>
            <w:r w:rsidRPr="00840047">
              <w:rPr>
                <w:rFonts w:ascii="Cambria" w:hAnsi="Cambria"/>
                <w:color w:val="000000" w:themeColor="text1"/>
                <w:sz w:val="20"/>
                <w:szCs w:val="20"/>
                <w:lang w:val="es-US"/>
              </w:rPr>
              <w:t xml:space="preserve">, </w:t>
            </w:r>
            <w:proofErr w:type="spellStart"/>
            <w:r w:rsidRPr="00840047">
              <w:rPr>
                <w:rFonts w:ascii="Cambria" w:hAnsi="Cambria"/>
                <w:color w:val="000000" w:themeColor="text1"/>
                <w:sz w:val="20"/>
                <w:szCs w:val="20"/>
                <w:lang w:val="es-US"/>
              </w:rPr>
              <w:t>Palmenia</w:t>
            </w:r>
            <w:proofErr w:type="spellEnd"/>
            <w:r w:rsidRPr="00840047">
              <w:rPr>
                <w:rFonts w:ascii="Cambria" w:hAnsi="Cambria"/>
                <w:color w:val="000000" w:themeColor="text1"/>
                <w:sz w:val="20"/>
                <w:szCs w:val="20"/>
                <w:lang w:val="es-US"/>
              </w:rPr>
              <w:t xml:space="preserve"> Saldivia, Marcos Silva</w:t>
            </w:r>
          </w:p>
          <w:p w14:paraId="6078F9C0" w14:textId="77777777" w:rsidR="00A97CAF" w:rsidRPr="00840047" w:rsidRDefault="00A97CAF" w:rsidP="0034460E">
            <w:pPr>
              <w:pStyle w:val="NoSpacing"/>
              <w:jc w:val="both"/>
              <w:rPr>
                <w:rFonts w:ascii="Cambria" w:hAnsi="Cambria"/>
                <w:color w:val="000000" w:themeColor="text1"/>
                <w:sz w:val="20"/>
                <w:szCs w:val="20"/>
                <w:lang w:val="es-VE"/>
              </w:rPr>
            </w:pPr>
            <w:r w:rsidRPr="00840047">
              <w:rPr>
                <w:rFonts w:ascii="Cambria" w:hAnsi="Cambria"/>
                <w:b/>
                <w:color w:val="000000" w:themeColor="text1"/>
                <w:sz w:val="20"/>
                <w:szCs w:val="20"/>
                <w:lang w:val="es-ES"/>
              </w:rPr>
              <w:t>Peticionario (s):</w:t>
            </w:r>
            <w:r w:rsidRPr="00840047">
              <w:rPr>
                <w:rFonts w:ascii="Cambria" w:hAnsi="Cambria"/>
                <w:color w:val="000000" w:themeColor="text1"/>
                <w:sz w:val="20"/>
                <w:szCs w:val="20"/>
                <w:lang w:val="es-ES"/>
              </w:rPr>
              <w:t xml:space="preserve"> Centro por la Justicia y el Derecho Internacional (CEJIL), Miguel Millar Silva, Pía Matta </w:t>
            </w:r>
            <w:r w:rsidRPr="00840047">
              <w:rPr>
                <w:rFonts w:ascii="Cambria" w:hAnsi="Cambria"/>
                <w:b/>
                <w:color w:val="000000" w:themeColor="text1"/>
                <w:sz w:val="20"/>
                <w:szCs w:val="20"/>
                <w:lang w:val="es-VE"/>
              </w:rPr>
              <w:t>Estado:</w:t>
            </w:r>
            <w:r w:rsidRPr="00840047">
              <w:rPr>
                <w:rFonts w:ascii="Cambria" w:hAnsi="Cambria"/>
                <w:color w:val="000000" w:themeColor="text1"/>
                <w:sz w:val="20"/>
                <w:szCs w:val="20"/>
                <w:lang w:val="es-VE"/>
              </w:rPr>
              <w:t xml:space="preserve"> Chile</w:t>
            </w:r>
          </w:p>
          <w:p w14:paraId="1C122513" w14:textId="77777777" w:rsidR="00A97CAF" w:rsidRPr="00840047" w:rsidRDefault="00A97CAF" w:rsidP="0034460E">
            <w:pPr>
              <w:pStyle w:val="NoSpacing"/>
              <w:jc w:val="both"/>
              <w:rPr>
                <w:rFonts w:ascii="Cambria" w:hAnsi="Cambria"/>
                <w:color w:val="000000" w:themeColor="text1"/>
                <w:sz w:val="20"/>
                <w:szCs w:val="20"/>
                <w:lang w:val="es-VE"/>
              </w:rPr>
            </w:pPr>
            <w:r w:rsidRPr="00840047">
              <w:rPr>
                <w:rFonts w:ascii="Cambria" w:hAnsi="Cambria"/>
                <w:b/>
                <w:color w:val="000000" w:themeColor="text1"/>
                <w:sz w:val="20"/>
                <w:szCs w:val="20"/>
                <w:lang w:val="es-VE"/>
              </w:rPr>
              <w:t xml:space="preserve">Informe de Fondo Nº: </w:t>
            </w:r>
            <w:hyperlink r:id="rId8" w:history="1">
              <w:r w:rsidRPr="00840047">
                <w:rPr>
                  <w:rStyle w:val="Hyperlink"/>
                  <w:rFonts w:ascii="Cambria" w:hAnsi="Cambria"/>
                  <w:color w:val="000000" w:themeColor="text1"/>
                  <w:sz w:val="20"/>
                  <w:szCs w:val="20"/>
                  <w:lang w:val="es-VE"/>
                </w:rPr>
                <w:t>48/16</w:t>
              </w:r>
            </w:hyperlink>
            <w:r w:rsidRPr="00840047">
              <w:rPr>
                <w:rFonts w:ascii="Cambria" w:hAnsi="Cambria"/>
                <w:color w:val="000000" w:themeColor="text1"/>
                <w:sz w:val="20"/>
                <w:szCs w:val="20"/>
                <w:lang w:val="es-VE"/>
              </w:rPr>
              <w:t>, publicado el 29 de noviembre de 2016</w:t>
            </w:r>
          </w:p>
          <w:p w14:paraId="7F251A12" w14:textId="77777777" w:rsidR="00A97CAF" w:rsidRPr="00840047" w:rsidRDefault="00A97CAF" w:rsidP="0034460E">
            <w:pPr>
              <w:pStyle w:val="NoSpacing"/>
              <w:jc w:val="both"/>
              <w:rPr>
                <w:rFonts w:ascii="Cambria" w:hAnsi="Cambria"/>
                <w:color w:val="000000" w:themeColor="text1"/>
                <w:sz w:val="20"/>
                <w:szCs w:val="20"/>
                <w:lang w:val="es-VE"/>
              </w:rPr>
            </w:pPr>
            <w:r w:rsidRPr="00840047">
              <w:rPr>
                <w:rFonts w:ascii="Cambria" w:hAnsi="Cambria"/>
                <w:b/>
                <w:color w:val="000000" w:themeColor="text1"/>
                <w:sz w:val="20"/>
                <w:szCs w:val="20"/>
                <w:lang w:val="es-VE"/>
              </w:rPr>
              <w:t xml:space="preserve">Informe de Admisibilidad Nº: </w:t>
            </w:r>
            <w:hyperlink r:id="rId9" w:history="1">
              <w:r w:rsidRPr="00840047">
                <w:rPr>
                  <w:rStyle w:val="Hyperlink"/>
                  <w:rFonts w:ascii="Cambria" w:hAnsi="Cambria"/>
                  <w:color w:val="000000" w:themeColor="text1"/>
                  <w:sz w:val="20"/>
                  <w:szCs w:val="20"/>
                  <w:lang w:val="es-VE"/>
                </w:rPr>
                <w:t>171/10</w:t>
              </w:r>
            </w:hyperlink>
            <w:r w:rsidRPr="00840047">
              <w:rPr>
                <w:rFonts w:ascii="Cambria" w:hAnsi="Cambria"/>
                <w:color w:val="000000" w:themeColor="text1"/>
                <w:sz w:val="20"/>
                <w:szCs w:val="20"/>
                <w:lang w:val="es-VE"/>
              </w:rPr>
              <w:t>, publicado el 1 de noviembre de 2010</w:t>
            </w:r>
          </w:p>
          <w:p w14:paraId="4D663261" w14:textId="77777777" w:rsidR="00A97CAF" w:rsidRPr="00840047" w:rsidRDefault="00A97CAF" w:rsidP="0034460E">
            <w:pPr>
              <w:pStyle w:val="NoSpacing"/>
              <w:jc w:val="both"/>
              <w:rPr>
                <w:rFonts w:ascii="Cambria" w:hAnsi="Cambria"/>
                <w:color w:val="000000" w:themeColor="text1"/>
                <w:sz w:val="20"/>
                <w:szCs w:val="20"/>
                <w:lang w:val="es-VE"/>
              </w:rPr>
            </w:pPr>
            <w:r w:rsidRPr="00840047">
              <w:rPr>
                <w:rFonts w:ascii="Cambria" w:hAnsi="Cambria"/>
                <w:b/>
                <w:color w:val="000000" w:themeColor="text1"/>
                <w:sz w:val="20"/>
                <w:szCs w:val="20"/>
                <w:lang w:val="es-VE"/>
              </w:rPr>
              <w:t xml:space="preserve">Acuerdo de Cumplimiento de Recomendaciones: </w:t>
            </w:r>
            <w:r w:rsidRPr="00840047">
              <w:rPr>
                <w:rFonts w:ascii="Cambria" w:hAnsi="Cambria"/>
                <w:color w:val="000000" w:themeColor="text1"/>
                <w:sz w:val="20"/>
                <w:szCs w:val="20"/>
                <w:lang w:val="es-VE"/>
              </w:rPr>
              <w:t>Suscrito entre las partes el 8 mayo 2015</w:t>
            </w:r>
          </w:p>
          <w:p w14:paraId="64A7873B" w14:textId="77777777" w:rsidR="00A97CAF" w:rsidRPr="00840047" w:rsidRDefault="00A97CAF" w:rsidP="0034460E">
            <w:pPr>
              <w:pStyle w:val="NoSpacing"/>
              <w:spacing w:after="120"/>
              <w:jc w:val="both"/>
              <w:rPr>
                <w:rFonts w:ascii="Cambria" w:hAnsi="Cambria"/>
                <w:color w:val="000000" w:themeColor="text1"/>
                <w:sz w:val="20"/>
                <w:szCs w:val="20"/>
                <w:lang w:val="es-VE"/>
              </w:rPr>
            </w:pPr>
            <w:r w:rsidRPr="00840047">
              <w:rPr>
                <w:rFonts w:ascii="Cambria" w:hAnsi="Cambria"/>
                <w:b/>
                <w:color w:val="000000" w:themeColor="text1"/>
                <w:sz w:val="20"/>
                <w:szCs w:val="20"/>
                <w:lang w:val="es-VE"/>
              </w:rPr>
              <w:t xml:space="preserve">Temas: </w:t>
            </w:r>
            <w:r w:rsidRPr="00840047">
              <w:rPr>
                <w:rFonts w:ascii="Cambria" w:hAnsi="Cambria"/>
                <w:color w:val="000000" w:themeColor="text1"/>
                <w:sz w:val="20"/>
                <w:szCs w:val="20"/>
                <w:lang w:val="es-VE"/>
              </w:rPr>
              <w:t xml:space="preserve">Libertad de Pensamiento y Expresión / Derecho a los Beneficios de la Cultura / Restricciones Indirectas a la Libertad de Expresión. </w:t>
            </w:r>
          </w:p>
          <w:p w14:paraId="09FBD407" w14:textId="77777777" w:rsidR="00A97CAF" w:rsidRPr="00840047" w:rsidRDefault="00A97CAF" w:rsidP="0034460E">
            <w:pPr>
              <w:pStyle w:val="NoSpacing"/>
              <w:spacing w:after="120"/>
              <w:jc w:val="both"/>
              <w:rPr>
                <w:rFonts w:ascii="Cambria" w:hAnsi="Cambria"/>
                <w:color w:val="000000" w:themeColor="text1"/>
                <w:sz w:val="20"/>
                <w:szCs w:val="20"/>
                <w:lang w:val="es-ES"/>
              </w:rPr>
            </w:pPr>
            <w:r w:rsidRPr="00840047">
              <w:rPr>
                <w:rFonts w:ascii="Cambria" w:hAnsi="Cambria"/>
                <w:b/>
                <w:color w:val="000000" w:themeColor="text1"/>
                <w:sz w:val="20"/>
                <w:szCs w:val="20"/>
                <w:lang w:val="es-ES"/>
              </w:rPr>
              <w:t>Hechos:</w:t>
            </w:r>
            <w:r w:rsidRPr="00840047">
              <w:rPr>
                <w:rFonts w:ascii="Cambria" w:hAnsi="Cambria"/>
                <w:color w:val="000000" w:themeColor="text1"/>
                <w:sz w:val="20"/>
                <w:szCs w:val="20"/>
                <w:lang w:val="es-ES"/>
              </w:rPr>
              <w:t xml:space="preserve"> La radioemisora Estrella del Mar de Melinka está situada en un pequeño poblado portuario en la región austral de Chile, caracterizado por su aislamiento y problemas de accesibilidad y conectividad con el resto del país. Debido a la situación de aislamiento de Melinka, el suministro eléctrico de la población es realizado a través de motores electrógenos, de propiedad y administración de la Municipalidad. En octubre de 1999, por instrucciones del Municipio, la Radio Estrella del Mar fue desconectada del sistema de horario amplio y gratuito, mientras que los otros medios de comunicación presentes en Melinka siguieron conectados a dicho sistema.  </w:t>
            </w:r>
          </w:p>
          <w:p w14:paraId="1D01D21C" w14:textId="77777777" w:rsidR="00A97CAF" w:rsidRPr="00840047" w:rsidRDefault="00A97CAF" w:rsidP="0034460E">
            <w:pPr>
              <w:pStyle w:val="NoSpacing"/>
              <w:spacing w:after="120"/>
              <w:jc w:val="both"/>
              <w:rPr>
                <w:rFonts w:ascii="Cambria" w:hAnsi="Cambria"/>
                <w:color w:val="000000" w:themeColor="text1"/>
                <w:sz w:val="20"/>
                <w:szCs w:val="20"/>
                <w:lang w:val="es-ES"/>
              </w:rPr>
            </w:pPr>
            <w:r w:rsidRPr="00840047">
              <w:rPr>
                <w:rFonts w:ascii="Cambria" w:hAnsi="Cambria"/>
                <w:b/>
                <w:color w:val="000000" w:themeColor="text1"/>
                <w:sz w:val="20"/>
                <w:szCs w:val="20"/>
                <w:lang w:val="es-ES"/>
              </w:rPr>
              <w:t>Derechos violados:</w:t>
            </w:r>
            <w:r w:rsidRPr="00840047">
              <w:rPr>
                <w:rFonts w:ascii="Cambria" w:hAnsi="Cambria"/>
                <w:color w:val="000000" w:themeColor="text1"/>
                <w:sz w:val="20"/>
                <w:szCs w:val="20"/>
                <w:lang w:val="es-ES"/>
              </w:rPr>
              <w:t xml:space="preserve"> </w:t>
            </w:r>
            <w:r w:rsidRPr="00840047">
              <w:rPr>
                <w:rFonts w:ascii="Cambria" w:eastAsia="Times New Roman" w:hAnsi="Cambria"/>
                <w:color w:val="000000" w:themeColor="text1"/>
                <w:sz w:val="20"/>
                <w:szCs w:val="20"/>
                <w:lang w:val="es-AR" w:eastAsia="pt-BR"/>
              </w:rPr>
              <w:t xml:space="preserve">La Comisión concluyó </w:t>
            </w:r>
            <w:r w:rsidRPr="00840047">
              <w:rPr>
                <w:rFonts w:ascii="Cambria" w:hAnsi="Cambria"/>
                <w:color w:val="000000" w:themeColor="text1"/>
                <w:sz w:val="20"/>
                <w:szCs w:val="20"/>
                <w:lang w:val="es-ES"/>
              </w:rPr>
              <w:t xml:space="preserve">que el Estado chileno incurrió en responsabilidad internacional por haber violado, en perjuicio de Miguel Ángel Millar, Narciso </w:t>
            </w:r>
            <w:proofErr w:type="spellStart"/>
            <w:r w:rsidRPr="00840047">
              <w:rPr>
                <w:rFonts w:ascii="Cambria" w:hAnsi="Cambria"/>
                <w:color w:val="000000" w:themeColor="text1"/>
                <w:sz w:val="20"/>
                <w:szCs w:val="20"/>
                <w:lang w:val="es-ES"/>
              </w:rPr>
              <w:t>Nahuelquín</w:t>
            </w:r>
            <w:proofErr w:type="spellEnd"/>
            <w:r w:rsidRPr="00840047">
              <w:rPr>
                <w:rFonts w:ascii="Cambria" w:hAnsi="Cambria"/>
                <w:color w:val="000000" w:themeColor="text1"/>
                <w:sz w:val="20"/>
                <w:szCs w:val="20"/>
                <w:lang w:val="es-ES"/>
              </w:rPr>
              <w:t xml:space="preserve"> </w:t>
            </w:r>
            <w:proofErr w:type="spellStart"/>
            <w:r w:rsidRPr="00840047">
              <w:rPr>
                <w:rFonts w:ascii="Cambria" w:hAnsi="Cambria"/>
                <w:color w:val="000000" w:themeColor="text1"/>
                <w:sz w:val="20"/>
                <w:szCs w:val="20"/>
                <w:lang w:val="es-ES"/>
              </w:rPr>
              <w:t>Lepío</w:t>
            </w:r>
            <w:proofErr w:type="spellEnd"/>
            <w:r w:rsidRPr="00840047">
              <w:rPr>
                <w:rFonts w:ascii="Cambria" w:hAnsi="Cambria"/>
                <w:color w:val="000000" w:themeColor="text1"/>
                <w:sz w:val="20"/>
                <w:szCs w:val="20"/>
                <w:lang w:val="es-ES"/>
              </w:rPr>
              <w:t xml:space="preserve">, Patricia </w:t>
            </w:r>
            <w:proofErr w:type="spellStart"/>
            <w:r w:rsidRPr="00840047">
              <w:rPr>
                <w:rFonts w:ascii="Cambria" w:hAnsi="Cambria"/>
                <w:color w:val="000000" w:themeColor="text1"/>
                <w:sz w:val="20"/>
                <w:szCs w:val="20"/>
                <w:lang w:val="es-ES"/>
              </w:rPr>
              <w:t>Cocq</w:t>
            </w:r>
            <w:proofErr w:type="spellEnd"/>
            <w:r w:rsidRPr="00840047">
              <w:rPr>
                <w:rFonts w:ascii="Cambria" w:hAnsi="Cambria"/>
                <w:color w:val="000000" w:themeColor="text1"/>
                <w:sz w:val="20"/>
                <w:szCs w:val="20"/>
                <w:lang w:val="es-ES"/>
              </w:rPr>
              <w:t xml:space="preserve">, Luis Jerez, Carolina Leyton, Soledad Lorca, Vanesa Mancisidor, Marcia Paredes y Alejandra Venegas como trabajadores y periodistas de Radio Estrella del Mar y de </w:t>
            </w:r>
            <w:proofErr w:type="spellStart"/>
            <w:r w:rsidRPr="00840047">
              <w:rPr>
                <w:rFonts w:ascii="Cambria" w:hAnsi="Cambria"/>
                <w:color w:val="000000" w:themeColor="text1"/>
                <w:sz w:val="20"/>
                <w:szCs w:val="20"/>
                <w:lang w:val="es-ES"/>
              </w:rPr>
              <w:t>Palmenia</w:t>
            </w:r>
            <w:proofErr w:type="spellEnd"/>
            <w:r w:rsidRPr="00840047">
              <w:rPr>
                <w:rFonts w:ascii="Cambria" w:hAnsi="Cambria"/>
                <w:color w:val="000000" w:themeColor="text1"/>
                <w:sz w:val="20"/>
                <w:szCs w:val="20"/>
                <w:lang w:val="es-ES"/>
              </w:rPr>
              <w:t xml:space="preserve"> Saldivia, Eduardo </w:t>
            </w:r>
            <w:proofErr w:type="spellStart"/>
            <w:r w:rsidRPr="00840047">
              <w:rPr>
                <w:rFonts w:ascii="Cambria" w:hAnsi="Cambria"/>
                <w:color w:val="000000" w:themeColor="text1"/>
                <w:sz w:val="20"/>
                <w:szCs w:val="20"/>
                <w:lang w:val="es-ES"/>
              </w:rPr>
              <w:t>Carimoney</w:t>
            </w:r>
            <w:proofErr w:type="spellEnd"/>
            <w:r w:rsidRPr="00840047">
              <w:rPr>
                <w:rFonts w:ascii="Cambria" w:hAnsi="Cambria"/>
                <w:color w:val="000000" w:themeColor="text1"/>
                <w:sz w:val="20"/>
                <w:szCs w:val="20"/>
                <w:lang w:val="es-ES"/>
              </w:rPr>
              <w:t xml:space="preserve">, Mabel Chiguay </w:t>
            </w:r>
            <w:proofErr w:type="spellStart"/>
            <w:r w:rsidRPr="00840047">
              <w:rPr>
                <w:rFonts w:ascii="Cambria" w:hAnsi="Cambria"/>
                <w:color w:val="000000" w:themeColor="text1"/>
                <w:sz w:val="20"/>
                <w:szCs w:val="20"/>
                <w:lang w:val="es-ES"/>
              </w:rPr>
              <w:t>Carimoney</w:t>
            </w:r>
            <w:proofErr w:type="spellEnd"/>
            <w:r w:rsidRPr="00840047">
              <w:rPr>
                <w:rFonts w:ascii="Cambria" w:hAnsi="Cambria"/>
                <w:color w:val="000000" w:themeColor="text1"/>
                <w:sz w:val="20"/>
                <w:szCs w:val="20"/>
                <w:lang w:val="es-ES"/>
              </w:rPr>
              <w:t xml:space="preserve">, Genaro Barría, Rodrigo </w:t>
            </w:r>
            <w:proofErr w:type="spellStart"/>
            <w:r w:rsidRPr="00840047">
              <w:rPr>
                <w:rFonts w:ascii="Cambria" w:hAnsi="Cambria"/>
                <w:color w:val="000000" w:themeColor="text1"/>
                <w:sz w:val="20"/>
                <w:szCs w:val="20"/>
                <w:lang w:val="es-ES"/>
              </w:rPr>
              <w:t>Levicoy</w:t>
            </w:r>
            <w:proofErr w:type="spellEnd"/>
            <w:r w:rsidRPr="00840047">
              <w:rPr>
                <w:rFonts w:ascii="Cambria" w:hAnsi="Cambria"/>
                <w:color w:val="000000" w:themeColor="text1"/>
                <w:sz w:val="20"/>
                <w:szCs w:val="20"/>
                <w:lang w:val="es-ES"/>
              </w:rPr>
              <w:t xml:space="preserve">, y Marcos Silva como usuarios de la radio, los derechos consagrados en los artículos 13 y 24 de la Convención Americana, conjuntamente con el artículo 1.1 de dicho tratado. </w:t>
            </w:r>
          </w:p>
        </w:tc>
      </w:tr>
    </w:tbl>
    <w:p w14:paraId="3E5FE93F" w14:textId="77777777" w:rsidR="00A97CAF" w:rsidRPr="00840047" w:rsidRDefault="00A97CAF" w:rsidP="00A97CAF">
      <w:pPr>
        <w:spacing w:after="0" w:line="240" w:lineRule="auto"/>
        <w:ind w:left="180"/>
        <w:rPr>
          <w:rFonts w:ascii="Cambria" w:hAnsi="Cambria"/>
          <w:color w:val="000000" w:themeColor="text1"/>
          <w:sz w:val="20"/>
          <w:szCs w:val="20"/>
          <w:lang w:val="es-ES"/>
        </w:rPr>
      </w:pPr>
    </w:p>
    <w:p w14:paraId="0083DDD2" w14:textId="77777777" w:rsidR="00A97CAF" w:rsidRPr="00840047" w:rsidRDefault="00A97CAF" w:rsidP="00A97CAF">
      <w:pPr>
        <w:numPr>
          <w:ilvl w:val="0"/>
          <w:numId w:val="14"/>
        </w:numPr>
        <w:spacing w:after="0" w:line="240" w:lineRule="auto"/>
        <w:ind w:left="1440"/>
        <w:rPr>
          <w:rFonts w:ascii="Cambria" w:hAnsi="Cambria" w:cs="Calibri Light"/>
          <w:b/>
          <w:color w:val="000000" w:themeColor="text1"/>
          <w:sz w:val="20"/>
          <w:szCs w:val="20"/>
          <w:lang w:val="es-US"/>
        </w:rPr>
      </w:pPr>
      <w:r w:rsidRPr="00840047">
        <w:rPr>
          <w:rFonts w:ascii="Cambria" w:hAnsi="Cambria" w:cs="Calibri Light"/>
          <w:b/>
          <w:color w:val="000000" w:themeColor="text1"/>
          <w:sz w:val="20"/>
          <w:szCs w:val="20"/>
          <w:lang w:val="es-US"/>
        </w:rPr>
        <w:t xml:space="preserve">Recomendaciones </w:t>
      </w:r>
    </w:p>
    <w:p w14:paraId="5DE18326" w14:textId="77777777" w:rsidR="00A97CAF" w:rsidRPr="00840047" w:rsidRDefault="00A97CAF" w:rsidP="00A97CAF">
      <w:pPr>
        <w:spacing w:after="0" w:line="240" w:lineRule="auto"/>
        <w:ind w:left="1080"/>
        <w:jc w:val="both"/>
        <w:rPr>
          <w:rFonts w:ascii="Cambria" w:hAnsi="Cambria" w:cs="Calibri Light"/>
          <w:color w:val="000000" w:themeColor="text1"/>
          <w:sz w:val="20"/>
          <w:szCs w:val="20"/>
          <w:lang w:val="es-US"/>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6570"/>
        <w:gridCol w:w="1620"/>
      </w:tblGrid>
      <w:tr w:rsidR="00840047" w:rsidRPr="00840047" w14:paraId="374D9693" w14:textId="77777777" w:rsidTr="0034460E">
        <w:tc>
          <w:tcPr>
            <w:tcW w:w="7920" w:type="dxa"/>
            <w:gridSpan w:val="2"/>
            <w:shd w:val="clear" w:color="auto" w:fill="auto"/>
            <w:vAlign w:val="center"/>
          </w:tcPr>
          <w:p w14:paraId="2F713C0C" w14:textId="77777777" w:rsidR="00A97CAF" w:rsidRPr="00840047" w:rsidRDefault="00A97CAF" w:rsidP="0034460E">
            <w:pPr>
              <w:spacing w:after="0" w:line="240" w:lineRule="auto"/>
              <w:jc w:val="center"/>
              <w:rPr>
                <w:rFonts w:ascii="Cambria" w:hAnsi="Cambria" w:cs="Calibri Light"/>
                <w:b/>
                <w:color w:val="000000" w:themeColor="text1"/>
                <w:sz w:val="18"/>
                <w:szCs w:val="18"/>
                <w:lang w:val="es-US"/>
              </w:rPr>
            </w:pPr>
            <w:bookmarkStart w:id="0" w:name="_Hlk90465642"/>
            <w:r w:rsidRPr="00840047">
              <w:rPr>
                <w:rFonts w:ascii="Cambria" w:hAnsi="Cambria" w:cs="Calibri Light"/>
                <w:b/>
                <w:color w:val="000000" w:themeColor="text1"/>
                <w:sz w:val="18"/>
                <w:szCs w:val="18"/>
                <w:lang w:val="es-US"/>
              </w:rPr>
              <w:t>Recomendaciones</w:t>
            </w:r>
          </w:p>
        </w:tc>
        <w:tc>
          <w:tcPr>
            <w:tcW w:w="1620" w:type="dxa"/>
            <w:shd w:val="clear" w:color="auto" w:fill="auto"/>
            <w:vAlign w:val="center"/>
          </w:tcPr>
          <w:p w14:paraId="2619653D" w14:textId="79306533" w:rsidR="00A97CAF" w:rsidRPr="00840047" w:rsidRDefault="00A97CAF" w:rsidP="0034460E">
            <w:pPr>
              <w:spacing w:after="0" w:line="240" w:lineRule="auto"/>
              <w:jc w:val="center"/>
              <w:rPr>
                <w:rFonts w:ascii="Cambria" w:hAnsi="Cambria" w:cs="Calibri Light"/>
                <w:b/>
                <w:color w:val="000000" w:themeColor="text1"/>
                <w:sz w:val="18"/>
                <w:szCs w:val="18"/>
                <w:lang w:val="es-US"/>
              </w:rPr>
            </w:pPr>
            <w:r w:rsidRPr="00840047">
              <w:rPr>
                <w:rFonts w:ascii="Cambria" w:hAnsi="Cambria" w:cs="Calibri Light"/>
                <w:b/>
                <w:color w:val="000000" w:themeColor="text1"/>
                <w:sz w:val="18"/>
                <w:szCs w:val="18"/>
                <w:lang w:val="es-US"/>
              </w:rPr>
              <w:t xml:space="preserve">Estado de cumplimiento en el </w:t>
            </w:r>
            <w:r w:rsidR="002E748C" w:rsidRPr="00840047">
              <w:rPr>
                <w:rFonts w:ascii="Cambria" w:hAnsi="Cambria"/>
                <w:b/>
                <w:color w:val="000000" w:themeColor="text1"/>
                <w:sz w:val="18"/>
                <w:szCs w:val="18"/>
                <w:lang w:val="es-ES"/>
              </w:rPr>
              <w:t>2021</w:t>
            </w:r>
          </w:p>
        </w:tc>
      </w:tr>
      <w:tr w:rsidR="00840047" w:rsidRPr="00840047" w14:paraId="253B8480" w14:textId="77777777" w:rsidTr="0034460E">
        <w:tc>
          <w:tcPr>
            <w:tcW w:w="7920" w:type="dxa"/>
            <w:gridSpan w:val="2"/>
            <w:shd w:val="clear" w:color="auto" w:fill="auto"/>
            <w:vAlign w:val="center"/>
          </w:tcPr>
          <w:p w14:paraId="36964ED5" w14:textId="77777777" w:rsidR="00A97CAF" w:rsidRPr="00840047" w:rsidRDefault="00A97CAF" w:rsidP="0034460E">
            <w:pPr>
              <w:pStyle w:val="Default"/>
              <w:jc w:val="both"/>
              <w:rPr>
                <w:rFonts w:cs="Calibri"/>
                <w:color w:val="000000" w:themeColor="text1"/>
                <w:sz w:val="18"/>
                <w:szCs w:val="18"/>
                <w:lang w:val="es-ES"/>
              </w:rPr>
            </w:pPr>
            <w:r w:rsidRPr="00840047">
              <w:rPr>
                <w:rFonts w:cs="Calibri"/>
                <w:color w:val="000000" w:themeColor="text1"/>
                <w:sz w:val="18"/>
                <w:szCs w:val="18"/>
                <w:lang w:val="es-ES"/>
              </w:rPr>
              <w:t xml:space="preserve">1. De mantenerse la situación, permitir el acceso a Radio Estrella del Mar de Melinka al suministro de energía eléctrica en horario amplio del que gozan el resto de los medios de comunicación en la localidad. </w:t>
            </w:r>
          </w:p>
        </w:tc>
        <w:tc>
          <w:tcPr>
            <w:tcW w:w="1620" w:type="dxa"/>
            <w:shd w:val="clear" w:color="auto" w:fill="auto"/>
            <w:vAlign w:val="center"/>
          </w:tcPr>
          <w:p w14:paraId="3F5B1B85" w14:textId="60F74E7E" w:rsidR="00A97CAF" w:rsidRPr="00840047" w:rsidRDefault="00354309" w:rsidP="0034460E">
            <w:pPr>
              <w:spacing w:after="0" w:line="240" w:lineRule="auto"/>
              <w:jc w:val="center"/>
              <w:rPr>
                <w:rFonts w:ascii="Cambria" w:hAnsi="Cambria" w:cs="Calibri"/>
                <w:color w:val="000000" w:themeColor="text1"/>
                <w:sz w:val="18"/>
                <w:szCs w:val="18"/>
                <w:lang w:val="es-ES"/>
              </w:rPr>
            </w:pPr>
            <w:r w:rsidRPr="00840047">
              <w:rPr>
                <w:rFonts w:ascii="Cambria" w:hAnsi="Cambria" w:cs="Calibri"/>
                <w:color w:val="000000" w:themeColor="text1"/>
                <w:sz w:val="18"/>
                <w:szCs w:val="18"/>
                <w:lang w:val="es-ES"/>
              </w:rPr>
              <w:t>Cumplimiento total</w:t>
            </w:r>
          </w:p>
        </w:tc>
      </w:tr>
      <w:tr w:rsidR="00840047" w:rsidRPr="00840047" w14:paraId="5F2C6CE4" w14:textId="77777777" w:rsidTr="0034460E">
        <w:tc>
          <w:tcPr>
            <w:tcW w:w="7920" w:type="dxa"/>
            <w:gridSpan w:val="2"/>
            <w:shd w:val="clear" w:color="auto" w:fill="auto"/>
            <w:vAlign w:val="center"/>
          </w:tcPr>
          <w:p w14:paraId="7756EB67" w14:textId="77777777" w:rsidR="00A97CAF" w:rsidRPr="00840047" w:rsidRDefault="00A97CAF" w:rsidP="0034460E">
            <w:pPr>
              <w:pStyle w:val="Default"/>
              <w:jc w:val="both"/>
              <w:rPr>
                <w:rFonts w:cs="Calibri"/>
                <w:color w:val="000000" w:themeColor="text1"/>
                <w:sz w:val="18"/>
                <w:szCs w:val="18"/>
                <w:lang w:val="es-ES"/>
              </w:rPr>
            </w:pPr>
            <w:r w:rsidRPr="00840047">
              <w:rPr>
                <w:rFonts w:cs="Calibri"/>
                <w:color w:val="000000" w:themeColor="text1"/>
                <w:sz w:val="18"/>
                <w:szCs w:val="18"/>
                <w:lang w:val="es-ES"/>
              </w:rPr>
              <w:t xml:space="preserve">2. Reparar adecuadamente los perjuicios causados a las víctimas. </w:t>
            </w:r>
          </w:p>
        </w:tc>
        <w:tc>
          <w:tcPr>
            <w:tcW w:w="1620" w:type="dxa"/>
            <w:shd w:val="clear" w:color="auto" w:fill="auto"/>
            <w:vAlign w:val="center"/>
          </w:tcPr>
          <w:p w14:paraId="5C91C481" w14:textId="626060AF" w:rsidR="00A97CAF" w:rsidRPr="00840047" w:rsidRDefault="005914C2" w:rsidP="0034460E">
            <w:pPr>
              <w:spacing w:after="0" w:line="240" w:lineRule="auto"/>
              <w:jc w:val="center"/>
              <w:rPr>
                <w:rFonts w:ascii="Cambria" w:hAnsi="Cambria" w:cs="Calibri"/>
                <w:b/>
                <w:color w:val="000000" w:themeColor="text1"/>
                <w:sz w:val="18"/>
                <w:szCs w:val="18"/>
                <w:lang w:val="es-ES"/>
              </w:rPr>
            </w:pPr>
            <w:r w:rsidRPr="00840047">
              <w:rPr>
                <w:rFonts w:ascii="Cambria" w:hAnsi="Cambria" w:cs="Calibri"/>
                <w:color w:val="000000" w:themeColor="text1"/>
                <w:sz w:val="18"/>
                <w:szCs w:val="18"/>
                <w:lang w:val="es-ES"/>
              </w:rPr>
              <w:t>Cumplimiento total</w:t>
            </w:r>
          </w:p>
        </w:tc>
      </w:tr>
      <w:tr w:rsidR="00840047" w:rsidRPr="00840047" w14:paraId="4539B9D6" w14:textId="77777777" w:rsidTr="0034460E">
        <w:tc>
          <w:tcPr>
            <w:tcW w:w="1350" w:type="dxa"/>
            <w:shd w:val="clear" w:color="auto" w:fill="auto"/>
            <w:vAlign w:val="center"/>
          </w:tcPr>
          <w:p w14:paraId="465A5379" w14:textId="77777777" w:rsidR="00A97CAF" w:rsidRPr="00840047" w:rsidRDefault="00A97CAF" w:rsidP="0034460E">
            <w:pPr>
              <w:pStyle w:val="Default"/>
              <w:jc w:val="both"/>
              <w:rPr>
                <w:rFonts w:cs="Calibri"/>
                <w:color w:val="000000" w:themeColor="text1"/>
                <w:sz w:val="18"/>
                <w:szCs w:val="18"/>
                <w:lang w:val="es-ES"/>
              </w:rPr>
            </w:pPr>
            <w:r w:rsidRPr="00840047">
              <w:rPr>
                <w:rFonts w:cs="Calibri"/>
                <w:color w:val="000000" w:themeColor="text1"/>
                <w:sz w:val="18"/>
                <w:szCs w:val="18"/>
                <w:lang w:val="es-ES"/>
              </w:rPr>
              <w:t>Acuerdo de cumplimiento</w:t>
            </w:r>
          </w:p>
        </w:tc>
        <w:tc>
          <w:tcPr>
            <w:tcW w:w="6570" w:type="dxa"/>
            <w:shd w:val="clear" w:color="auto" w:fill="auto"/>
            <w:vAlign w:val="center"/>
          </w:tcPr>
          <w:p w14:paraId="12413156" w14:textId="77777777" w:rsidR="00A97CAF" w:rsidRPr="00840047" w:rsidRDefault="00A97CAF" w:rsidP="0034460E">
            <w:pPr>
              <w:pStyle w:val="Default"/>
              <w:jc w:val="both"/>
              <w:rPr>
                <w:rFonts w:cs="Calibri"/>
                <w:color w:val="000000" w:themeColor="text1"/>
                <w:sz w:val="18"/>
                <w:szCs w:val="18"/>
                <w:lang w:val="es-ES"/>
              </w:rPr>
            </w:pPr>
            <w:r w:rsidRPr="00840047">
              <w:rPr>
                <w:rFonts w:cs="Calibri"/>
                <w:bCs/>
                <w:color w:val="000000" w:themeColor="text1"/>
                <w:sz w:val="18"/>
                <w:szCs w:val="18"/>
                <w:lang w:val="es-ES"/>
              </w:rPr>
              <w:t xml:space="preserve">1. Reparación económica: </w:t>
            </w:r>
            <w:r w:rsidRPr="00840047">
              <w:rPr>
                <w:rFonts w:cs="Calibri"/>
                <w:color w:val="000000" w:themeColor="text1"/>
                <w:sz w:val="18"/>
                <w:szCs w:val="18"/>
                <w:lang w:val="es-ES"/>
              </w:rPr>
              <w:t>Las quince víctimas expresan que se considerarán reparadas por este concepto con el pago de un monto –que estiman simbólico– de 3.000 dólares americanos a cada una. Que se pagará mediante cheque nominativo a cada víctima, en el plazo máximo de 3 meses, contados desde la firma de presente acuerdo.</w:t>
            </w:r>
          </w:p>
        </w:tc>
        <w:tc>
          <w:tcPr>
            <w:tcW w:w="1620" w:type="dxa"/>
            <w:shd w:val="clear" w:color="auto" w:fill="auto"/>
            <w:vAlign w:val="center"/>
          </w:tcPr>
          <w:p w14:paraId="6A0E64B1" w14:textId="1E9C6DD6" w:rsidR="00A97CAF" w:rsidRPr="00840047" w:rsidRDefault="00A97CAF" w:rsidP="0034460E">
            <w:pPr>
              <w:spacing w:after="0" w:line="240" w:lineRule="auto"/>
              <w:jc w:val="center"/>
              <w:rPr>
                <w:rFonts w:ascii="Cambria" w:hAnsi="Cambria" w:cs="Calibri"/>
                <w:color w:val="000000" w:themeColor="text1"/>
                <w:sz w:val="18"/>
                <w:szCs w:val="18"/>
                <w:lang w:val="es-ES"/>
              </w:rPr>
            </w:pPr>
            <w:r w:rsidRPr="00840047">
              <w:rPr>
                <w:rFonts w:ascii="Cambria" w:hAnsi="Cambria" w:cs="Calibri"/>
                <w:color w:val="000000" w:themeColor="text1"/>
                <w:sz w:val="18"/>
                <w:szCs w:val="18"/>
                <w:lang w:val="es-ES"/>
              </w:rPr>
              <w:t xml:space="preserve">Cumplimiento </w:t>
            </w:r>
            <w:r w:rsidR="003C6E0C" w:rsidRPr="00840047">
              <w:rPr>
                <w:rFonts w:ascii="Cambria" w:hAnsi="Cambria" w:cs="Calibri"/>
                <w:color w:val="000000" w:themeColor="text1"/>
                <w:sz w:val="18"/>
                <w:szCs w:val="18"/>
                <w:lang w:val="es-ES"/>
              </w:rPr>
              <w:t>total</w:t>
            </w:r>
          </w:p>
        </w:tc>
      </w:tr>
      <w:tr w:rsidR="00840047" w:rsidRPr="00840047" w14:paraId="695DAFB6" w14:textId="77777777" w:rsidTr="0034460E">
        <w:tc>
          <w:tcPr>
            <w:tcW w:w="7920" w:type="dxa"/>
            <w:gridSpan w:val="2"/>
            <w:shd w:val="clear" w:color="auto" w:fill="auto"/>
            <w:vAlign w:val="center"/>
          </w:tcPr>
          <w:p w14:paraId="529B10EC" w14:textId="77777777" w:rsidR="00A97CAF" w:rsidRPr="00840047" w:rsidRDefault="00A97CAF" w:rsidP="0034460E">
            <w:pPr>
              <w:pStyle w:val="Default"/>
              <w:jc w:val="both"/>
              <w:rPr>
                <w:rFonts w:cs="Calibri"/>
                <w:color w:val="000000" w:themeColor="text1"/>
                <w:sz w:val="18"/>
                <w:szCs w:val="18"/>
                <w:lang w:val="es-ES"/>
              </w:rPr>
            </w:pPr>
            <w:r w:rsidRPr="00840047">
              <w:rPr>
                <w:rFonts w:cs="Calibri"/>
                <w:color w:val="000000" w:themeColor="text1"/>
                <w:sz w:val="18"/>
                <w:szCs w:val="18"/>
                <w:lang w:val="es-ES"/>
              </w:rPr>
              <w:t xml:space="preserve">3. Adoptar toda medida que resulte necesaria para garantizar que hechos como los establecidos en el presente caso no vuelvan a repetirse. </w:t>
            </w:r>
          </w:p>
        </w:tc>
        <w:tc>
          <w:tcPr>
            <w:tcW w:w="1620" w:type="dxa"/>
            <w:shd w:val="clear" w:color="auto" w:fill="auto"/>
            <w:vAlign w:val="center"/>
          </w:tcPr>
          <w:p w14:paraId="21E500D5" w14:textId="77777777" w:rsidR="00A97CAF" w:rsidRPr="00840047" w:rsidRDefault="00A97CAF" w:rsidP="0034460E">
            <w:pPr>
              <w:spacing w:after="0" w:line="240" w:lineRule="auto"/>
              <w:jc w:val="center"/>
              <w:rPr>
                <w:rFonts w:ascii="Cambria" w:hAnsi="Cambria" w:cs="Calibri"/>
                <w:b/>
                <w:color w:val="000000" w:themeColor="text1"/>
                <w:sz w:val="18"/>
                <w:szCs w:val="18"/>
                <w:lang w:val="es-ES"/>
              </w:rPr>
            </w:pPr>
            <w:r w:rsidRPr="00840047">
              <w:rPr>
                <w:rFonts w:ascii="Cambria" w:hAnsi="Cambria" w:cs="Calibri"/>
                <w:color w:val="000000" w:themeColor="text1"/>
                <w:sz w:val="18"/>
                <w:szCs w:val="18"/>
                <w:lang w:val="es-ES"/>
              </w:rPr>
              <w:t>Cumplimiento parcial</w:t>
            </w:r>
          </w:p>
        </w:tc>
      </w:tr>
      <w:tr w:rsidR="00840047" w:rsidRPr="00840047" w14:paraId="74EA6683" w14:textId="77777777" w:rsidTr="0034460E">
        <w:tc>
          <w:tcPr>
            <w:tcW w:w="1350" w:type="dxa"/>
            <w:vMerge w:val="restart"/>
            <w:shd w:val="clear" w:color="auto" w:fill="auto"/>
            <w:vAlign w:val="center"/>
          </w:tcPr>
          <w:p w14:paraId="4A2ACC22" w14:textId="77777777" w:rsidR="00A97CAF" w:rsidRPr="00840047" w:rsidRDefault="00A97CAF" w:rsidP="0034460E">
            <w:pPr>
              <w:pStyle w:val="Default"/>
              <w:jc w:val="both"/>
              <w:rPr>
                <w:rFonts w:cs="Calibri"/>
                <w:color w:val="000000" w:themeColor="text1"/>
                <w:sz w:val="18"/>
                <w:szCs w:val="18"/>
                <w:lang w:val="es-ES"/>
              </w:rPr>
            </w:pPr>
            <w:r w:rsidRPr="00840047">
              <w:rPr>
                <w:rFonts w:cs="Calibri"/>
                <w:color w:val="000000" w:themeColor="text1"/>
                <w:sz w:val="18"/>
                <w:szCs w:val="18"/>
                <w:lang w:val="es-ES"/>
              </w:rPr>
              <w:t>Acuerdo de cumplimiento</w:t>
            </w:r>
          </w:p>
        </w:tc>
        <w:tc>
          <w:tcPr>
            <w:tcW w:w="6570" w:type="dxa"/>
            <w:shd w:val="clear" w:color="auto" w:fill="auto"/>
            <w:vAlign w:val="center"/>
          </w:tcPr>
          <w:p w14:paraId="66E60738" w14:textId="77777777" w:rsidR="00A97CAF" w:rsidRPr="00840047" w:rsidRDefault="00A97CAF" w:rsidP="0034460E">
            <w:pPr>
              <w:pStyle w:val="Default"/>
              <w:jc w:val="both"/>
              <w:rPr>
                <w:rFonts w:cs="Calibri"/>
                <w:color w:val="000000" w:themeColor="text1"/>
                <w:sz w:val="18"/>
                <w:szCs w:val="18"/>
                <w:lang w:val="es-ES"/>
              </w:rPr>
            </w:pPr>
            <w:r w:rsidRPr="00840047">
              <w:rPr>
                <w:rFonts w:cs="Calibri"/>
                <w:color w:val="000000" w:themeColor="text1"/>
                <w:sz w:val="18"/>
                <w:szCs w:val="18"/>
                <w:lang w:val="es-ES"/>
              </w:rPr>
              <w:t xml:space="preserve">2. Garantías de no repetición: a. Programa de fomento de la radiodifusión ciudadana en las Regiones X y XI (con énfasis en Chiloé y las Guaitecas) con participación de </w:t>
            </w:r>
            <w:r w:rsidRPr="00840047">
              <w:rPr>
                <w:rFonts w:cs="Calibri"/>
                <w:color w:val="000000" w:themeColor="text1"/>
                <w:sz w:val="18"/>
                <w:szCs w:val="18"/>
                <w:lang w:val="es-ES"/>
              </w:rPr>
              <w:lastRenderedPageBreak/>
              <w:t xml:space="preserve">los peticionarios. </w:t>
            </w:r>
            <w:proofErr w:type="gramStart"/>
            <w:r w:rsidRPr="00840047">
              <w:rPr>
                <w:rFonts w:cs="Calibri"/>
                <w:color w:val="000000" w:themeColor="text1"/>
                <w:sz w:val="18"/>
                <w:szCs w:val="18"/>
                <w:lang w:val="es-ES"/>
              </w:rPr>
              <w:t>El Programa a implementar</w:t>
            </w:r>
            <w:proofErr w:type="gramEnd"/>
            <w:r w:rsidRPr="00840047">
              <w:rPr>
                <w:rFonts w:cs="Calibri"/>
                <w:color w:val="000000" w:themeColor="text1"/>
                <w:sz w:val="18"/>
                <w:szCs w:val="18"/>
                <w:lang w:val="es-ES"/>
              </w:rPr>
              <w:t xml:space="preserve"> deberá incluir medidas de acción positiva para garantizar el funcionamiento efectivo de las radios que promueve la sociedad civil. El Programa sería elaborado de manera conjunta y para ello se propone realizar previamente un plan de trabajo específico.</w:t>
            </w:r>
          </w:p>
        </w:tc>
        <w:tc>
          <w:tcPr>
            <w:tcW w:w="1620" w:type="dxa"/>
            <w:shd w:val="clear" w:color="auto" w:fill="auto"/>
            <w:vAlign w:val="center"/>
          </w:tcPr>
          <w:p w14:paraId="21AFEB81" w14:textId="65CCFA24" w:rsidR="00A97CAF" w:rsidRPr="00840047" w:rsidRDefault="006F127F" w:rsidP="0034460E">
            <w:pPr>
              <w:spacing w:after="0" w:line="240" w:lineRule="auto"/>
              <w:jc w:val="center"/>
              <w:rPr>
                <w:rFonts w:ascii="Cambria" w:hAnsi="Cambria" w:cs="Calibri"/>
                <w:color w:val="000000" w:themeColor="text1"/>
                <w:sz w:val="18"/>
                <w:szCs w:val="18"/>
                <w:lang w:val="es-ES"/>
              </w:rPr>
            </w:pPr>
            <w:r w:rsidRPr="00840047">
              <w:rPr>
                <w:rFonts w:ascii="Cambria" w:hAnsi="Cambria" w:cs="Calibri"/>
                <w:color w:val="000000" w:themeColor="text1"/>
                <w:sz w:val="18"/>
                <w:szCs w:val="18"/>
                <w:lang w:val="es-ES"/>
              </w:rPr>
              <w:lastRenderedPageBreak/>
              <w:t>Cumplimiento parcial</w:t>
            </w:r>
          </w:p>
        </w:tc>
      </w:tr>
      <w:tr w:rsidR="00840047" w:rsidRPr="00840047" w14:paraId="4703D68F" w14:textId="77777777" w:rsidTr="0034460E">
        <w:tc>
          <w:tcPr>
            <w:tcW w:w="1350" w:type="dxa"/>
            <w:vMerge/>
            <w:shd w:val="clear" w:color="auto" w:fill="auto"/>
            <w:vAlign w:val="center"/>
          </w:tcPr>
          <w:p w14:paraId="5F6BA7B3" w14:textId="77777777" w:rsidR="00A97CAF" w:rsidRPr="00840047" w:rsidRDefault="00A97CAF" w:rsidP="0034460E">
            <w:pPr>
              <w:pStyle w:val="Default"/>
              <w:jc w:val="both"/>
              <w:rPr>
                <w:rFonts w:cs="Calibri"/>
                <w:color w:val="000000" w:themeColor="text1"/>
                <w:sz w:val="18"/>
                <w:szCs w:val="18"/>
                <w:lang w:val="es-ES"/>
              </w:rPr>
            </w:pPr>
          </w:p>
        </w:tc>
        <w:tc>
          <w:tcPr>
            <w:tcW w:w="6570" w:type="dxa"/>
            <w:shd w:val="clear" w:color="auto" w:fill="auto"/>
            <w:vAlign w:val="center"/>
          </w:tcPr>
          <w:p w14:paraId="400D5E76" w14:textId="77777777" w:rsidR="00A97CAF" w:rsidRPr="00840047" w:rsidRDefault="00A97CAF" w:rsidP="0034460E">
            <w:pPr>
              <w:pStyle w:val="Default"/>
              <w:jc w:val="both"/>
              <w:rPr>
                <w:rFonts w:cs="Calibri"/>
                <w:color w:val="000000" w:themeColor="text1"/>
                <w:sz w:val="18"/>
                <w:szCs w:val="18"/>
                <w:lang w:val="es-ES"/>
              </w:rPr>
            </w:pPr>
            <w:r w:rsidRPr="00840047">
              <w:rPr>
                <w:rFonts w:cs="Calibri"/>
                <w:color w:val="000000" w:themeColor="text1"/>
                <w:sz w:val="18"/>
                <w:szCs w:val="18"/>
                <w:lang w:val="es-ES"/>
              </w:rPr>
              <w:t xml:space="preserve">2. Garantías de no repetición: b. El Estado, en el marco de las actividades habituales de difusión que realiza la Dirección de Derechos Humanos del Ministerio de Relaciones Exteriores, asumirá los costos para la realización de un evento de discusión –con formato de Seminario– organizado en conjunto con una Universidad Regional y con la participación de las organizaciones peticionarias, sobre aspectos de la implementación de la ley a la luz de los estándares internacionales en materia de acceso a una radiodifusión libre e incluyente, las partes realizarán gestiones destinadas a que la referida actividad cuente con la participación de la Subsecretaría de Comunicaciones del Gobierno de Chile (SUBTEL), el Instituto Nacional de DDHH, el Ministerio Secretaría General de Gobierno, la Universidad de Chile, y la radio Estrella del Mar, entre otras instituciones. El Estado compromete la difusión </w:t>
            </w:r>
            <w:proofErr w:type="gramStart"/>
            <w:r w:rsidRPr="00840047">
              <w:rPr>
                <w:rFonts w:cs="Calibri"/>
                <w:color w:val="000000" w:themeColor="text1"/>
                <w:sz w:val="18"/>
                <w:szCs w:val="18"/>
                <w:lang w:val="es-ES"/>
              </w:rPr>
              <w:t>del mismo</w:t>
            </w:r>
            <w:proofErr w:type="gramEnd"/>
            <w:r w:rsidRPr="00840047">
              <w:rPr>
                <w:rFonts w:cs="Calibri"/>
                <w:color w:val="000000" w:themeColor="text1"/>
                <w:sz w:val="18"/>
                <w:szCs w:val="18"/>
                <w:lang w:val="es-ES"/>
              </w:rPr>
              <w:t xml:space="preserve"> –incluyendo sus Memorias– por medio de publicación en un sitio web del Estado.</w:t>
            </w:r>
          </w:p>
        </w:tc>
        <w:tc>
          <w:tcPr>
            <w:tcW w:w="1620" w:type="dxa"/>
            <w:shd w:val="clear" w:color="auto" w:fill="auto"/>
            <w:vAlign w:val="center"/>
          </w:tcPr>
          <w:p w14:paraId="5BEDA5F0" w14:textId="77777777" w:rsidR="00A97CAF" w:rsidRPr="00840047" w:rsidRDefault="00A97CAF" w:rsidP="0034460E">
            <w:pPr>
              <w:spacing w:after="0" w:line="240" w:lineRule="auto"/>
              <w:jc w:val="center"/>
              <w:rPr>
                <w:rFonts w:ascii="Cambria" w:hAnsi="Cambria" w:cs="Calibri"/>
                <w:color w:val="000000" w:themeColor="text1"/>
                <w:sz w:val="18"/>
                <w:szCs w:val="18"/>
                <w:lang w:val="es-ES"/>
              </w:rPr>
            </w:pPr>
            <w:r w:rsidRPr="00840047">
              <w:rPr>
                <w:rFonts w:ascii="Cambria" w:hAnsi="Cambria" w:cs="Calibri"/>
                <w:color w:val="000000" w:themeColor="text1"/>
                <w:sz w:val="18"/>
                <w:szCs w:val="18"/>
                <w:lang w:val="es-ES"/>
              </w:rPr>
              <w:t>Pendiente de cumplimiento</w:t>
            </w:r>
          </w:p>
        </w:tc>
      </w:tr>
      <w:tr w:rsidR="00840047" w:rsidRPr="00840047" w14:paraId="21FFEA64" w14:textId="77777777" w:rsidTr="0034460E">
        <w:tc>
          <w:tcPr>
            <w:tcW w:w="1350" w:type="dxa"/>
            <w:vMerge/>
            <w:shd w:val="clear" w:color="auto" w:fill="auto"/>
            <w:vAlign w:val="center"/>
          </w:tcPr>
          <w:p w14:paraId="794AF4C7" w14:textId="77777777" w:rsidR="00A97CAF" w:rsidRPr="00840047" w:rsidRDefault="00A97CAF" w:rsidP="0034460E">
            <w:pPr>
              <w:pStyle w:val="Default"/>
              <w:jc w:val="both"/>
              <w:rPr>
                <w:rFonts w:cs="Calibri"/>
                <w:color w:val="000000" w:themeColor="text1"/>
                <w:sz w:val="18"/>
                <w:szCs w:val="18"/>
                <w:lang w:val="es-ES"/>
              </w:rPr>
            </w:pPr>
          </w:p>
        </w:tc>
        <w:tc>
          <w:tcPr>
            <w:tcW w:w="6570" w:type="dxa"/>
            <w:shd w:val="clear" w:color="auto" w:fill="auto"/>
            <w:vAlign w:val="center"/>
          </w:tcPr>
          <w:p w14:paraId="4B9D6569" w14:textId="77777777" w:rsidR="00A97CAF" w:rsidRPr="00840047" w:rsidRDefault="00A97CAF" w:rsidP="0034460E">
            <w:pPr>
              <w:pStyle w:val="Default"/>
              <w:jc w:val="both"/>
              <w:rPr>
                <w:rFonts w:cs="Calibri"/>
                <w:color w:val="000000" w:themeColor="text1"/>
                <w:sz w:val="18"/>
                <w:szCs w:val="18"/>
                <w:lang w:val="es-ES"/>
              </w:rPr>
            </w:pPr>
            <w:r w:rsidRPr="00840047">
              <w:rPr>
                <w:rFonts w:cs="Calibri"/>
                <w:color w:val="000000" w:themeColor="text1"/>
                <w:sz w:val="18"/>
                <w:szCs w:val="18"/>
                <w:lang w:val="es-ES"/>
              </w:rPr>
              <w:t xml:space="preserve">2. Garantías de no repetición: c. Establecimiento de una Mesa de Trabajo para asegurar la superación de prácticas discriminatorias en el proceso de implementación de la Ley. Las partes harán esfuerzos para que la misma cuente con la participación del Ministerio Secretaría General de Gobierno, SUBTEL, Asociación Mundial de Radios Comunitarias (AMARC), Asociación Nacional de Radios Comunitarias y Ciudadanas de Chile (ANARCICH), Universidades, el Colegio de Periodistas de Chile y el Instituto Nacional de Derechos Humanos. Al respecto, la mesa de trabajo impulsará un estudio para analizar la pertinencia de introducir modificaciones al artículo 36b de la Ley Nº. 18.168 </w:t>
            </w:r>
            <w:proofErr w:type="gramStart"/>
            <w:r w:rsidRPr="00840047">
              <w:rPr>
                <w:rFonts w:cs="Calibri"/>
                <w:color w:val="000000" w:themeColor="text1"/>
                <w:sz w:val="18"/>
                <w:szCs w:val="18"/>
                <w:lang w:val="es-ES"/>
              </w:rPr>
              <w:t>General</w:t>
            </w:r>
            <w:proofErr w:type="gramEnd"/>
            <w:r w:rsidRPr="00840047">
              <w:rPr>
                <w:rFonts w:cs="Calibri"/>
                <w:color w:val="000000" w:themeColor="text1"/>
                <w:sz w:val="18"/>
                <w:szCs w:val="18"/>
                <w:lang w:val="es-ES"/>
              </w:rPr>
              <w:t xml:space="preserve"> de Telecomunicaciones. A efectos de facilitar la ejecución de las medidas propuestas en el marco de las políticas públicas en ejecución, se propone una reunión de trabajo entre el Estado y los peticionarios.</w:t>
            </w:r>
          </w:p>
        </w:tc>
        <w:tc>
          <w:tcPr>
            <w:tcW w:w="1620" w:type="dxa"/>
            <w:shd w:val="clear" w:color="auto" w:fill="auto"/>
            <w:vAlign w:val="center"/>
          </w:tcPr>
          <w:p w14:paraId="7048555E" w14:textId="77777777" w:rsidR="00A97CAF" w:rsidRPr="00840047" w:rsidRDefault="00A97CAF" w:rsidP="0034460E">
            <w:pPr>
              <w:spacing w:after="0" w:line="240" w:lineRule="auto"/>
              <w:jc w:val="center"/>
              <w:rPr>
                <w:rFonts w:ascii="Cambria" w:hAnsi="Cambria" w:cs="Calibri"/>
                <w:color w:val="000000" w:themeColor="text1"/>
                <w:sz w:val="18"/>
                <w:szCs w:val="18"/>
                <w:lang w:val="es-ES"/>
              </w:rPr>
            </w:pPr>
            <w:r w:rsidRPr="00840047">
              <w:rPr>
                <w:rFonts w:ascii="Cambria" w:hAnsi="Cambria" w:cs="Calibri"/>
                <w:color w:val="000000" w:themeColor="text1"/>
                <w:sz w:val="18"/>
                <w:szCs w:val="18"/>
                <w:lang w:val="es-ES"/>
              </w:rPr>
              <w:t>Cumplimiento parcial</w:t>
            </w:r>
          </w:p>
        </w:tc>
      </w:tr>
      <w:bookmarkEnd w:id="0"/>
    </w:tbl>
    <w:p w14:paraId="2207AD2F" w14:textId="77777777" w:rsidR="00003CEF" w:rsidRPr="00840047" w:rsidRDefault="00003CEF" w:rsidP="00003CEF">
      <w:pPr>
        <w:spacing w:after="0" w:line="240" w:lineRule="auto"/>
        <w:rPr>
          <w:rFonts w:ascii="Cambria" w:hAnsi="Cambria" w:cs="Calibri Light"/>
          <w:b/>
          <w:color w:val="000000" w:themeColor="text1"/>
          <w:sz w:val="20"/>
          <w:szCs w:val="20"/>
          <w:lang w:val="es-US"/>
        </w:rPr>
      </w:pPr>
    </w:p>
    <w:p w14:paraId="4A016532" w14:textId="4F3FF082" w:rsidR="00A97CAF" w:rsidRPr="00840047" w:rsidRDefault="00A97CAF" w:rsidP="00A97CAF">
      <w:pPr>
        <w:numPr>
          <w:ilvl w:val="0"/>
          <w:numId w:val="14"/>
        </w:numPr>
        <w:spacing w:after="0" w:line="240" w:lineRule="auto"/>
        <w:ind w:left="1440"/>
        <w:rPr>
          <w:rFonts w:ascii="Cambria" w:hAnsi="Cambria" w:cs="Calibri Light"/>
          <w:b/>
          <w:color w:val="000000" w:themeColor="text1"/>
          <w:sz w:val="20"/>
          <w:szCs w:val="20"/>
          <w:lang w:val="es-US"/>
        </w:rPr>
      </w:pPr>
      <w:r w:rsidRPr="00840047">
        <w:rPr>
          <w:rFonts w:ascii="Cambria" w:hAnsi="Cambria" w:cs="Calibri Light"/>
          <w:b/>
          <w:color w:val="000000" w:themeColor="text1"/>
          <w:sz w:val="20"/>
          <w:szCs w:val="20"/>
          <w:lang w:val="es-US"/>
        </w:rPr>
        <w:t>Actividad Procesal</w:t>
      </w:r>
    </w:p>
    <w:p w14:paraId="32940136" w14:textId="77777777" w:rsidR="00A97CAF" w:rsidRPr="00840047" w:rsidRDefault="00A97CAF" w:rsidP="00A97CAF">
      <w:pPr>
        <w:spacing w:after="0" w:line="240" w:lineRule="auto"/>
        <w:jc w:val="both"/>
        <w:rPr>
          <w:rFonts w:ascii="Cambria" w:hAnsi="Cambria" w:cs="Calibri Light"/>
          <w:color w:val="000000" w:themeColor="text1"/>
          <w:sz w:val="20"/>
          <w:szCs w:val="20"/>
          <w:lang w:val="es-ES_tradnl"/>
        </w:rPr>
      </w:pPr>
    </w:p>
    <w:p w14:paraId="72FF4A7B" w14:textId="77777777" w:rsidR="00A97CAF" w:rsidRPr="00840047" w:rsidRDefault="00A97CAF" w:rsidP="00A97CAF">
      <w:pPr>
        <w:numPr>
          <w:ilvl w:val="0"/>
          <w:numId w:val="24"/>
        </w:numPr>
        <w:spacing w:after="0" w:line="240" w:lineRule="auto"/>
        <w:ind w:left="0" w:firstLine="720"/>
        <w:jc w:val="both"/>
        <w:rPr>
          <w:rFonts w:ascii="Cambria" w:hAnsi="Cambria" w:cs="Calibri Light"/>
          <w:color w:val="000000" w:themeColor="text1"/>
          <w:sz w:val="20"/>
          <w:szCs w:val="20"/>
          <w:lang w:val="es-ES_tradnl"/>
        </w:rPr>
      </w:pPr>
      <w:r w:rsidRPr="00840047">
        <w:rPr>
          <w:rFonts w:ascii="Cambria" w:hAnsi="Cambria" w:cs="Calibri Light"/>
          <w:color w:val="000000" w:themeColor="text1"/>
          <w:sz w:val="20"/>
          <w:szCs w:val="20"/>
          <w:lang w:val="es-ES_tradnl"/>
        </w:rPr>
        <w:t xml:space="preserve">Las partes suscribieron un acuerdo de cumplimiento de recomendaciones el 8 de mayo de 2015.  </w:t>
      </w:r>
    </w:p>
    <w:p w14:paraId="46D95708" w14:textId="77777777" w:rsidR="00A97CAF" w:rsidRPr="00840047" w:rsidRDefault="00A97CAF" w:rsidP="00A97CAF">
      <w:pPr>
        <w:spacing w:after="0" w:line="240" w:lineRule="auto"/>
        <w:ind w:left="720"/>
        <w:jc w:val="both"/>
        <w:rPr>
          <w:rFonts w:ascii="Cambria" w:hAnsi="Cambria" w:cs="Calibri Light"/>
          <w:color w:val="000000" w:themeColor="text1"/>
          <w:sz w:val="20"/>
          <w:szCs w:val="20"/>
          <w:lang w:val="es-ES_tradnl"/>
        </w:rPr>
      </w:pPr>
    </w:p>
    <w:p w14:paraId="1AEC9B9C" w14:textId="1FCC4C23" w:rsidR="00A97CAF" w:rsidRPr="00840047" w:rsidRDefault="00A97CAF" w:rsidP="00A97CAF">
      <w:pPr>
        <w:numPr>
          <w:ilvl w:val="0"/>
          <w:numId w:val="24"/>
        </w:numPr>
        <w:spacing w:after="0" w:line="240" w:lineRule="auto"/>
        <w:ind w:left="0" w:firstLine="720"/>
        <w:jc w:val="both"/>
        <w:rPr>
          <w:rFonts w:ascii="Cambria" w:hAnsi="Cambria" w:cs="Calibri Light"/>
          <w:color w:val="000000" w:themeColor="text1"/>
          <w:sz w:val="20"/>
          <w:szCs w:val="20"/>
          <w:lang w:val="es-ES_tradnl"/>
        </w:rPr>
      </w:pPr>
      <w:r w:rsidRPr="00840047">
        <w:rPr>
          <w:rFonts w:ascii="Cambria" w:hAnsi="Cambria" w:cs="Calibri Light"/>
          <w:color w:val="000000" w:themeColor="text1"/>
          <w:sz w:val="20"/>
          <w:szCs w:val="20"/>
          <w:lang w:val="es-ES_tradnl"/>
        </w:rPr>
        <w:t>El 11 de junio de 2016</w:t>
      </w:r>
      <w:r w:rsidR="001C5053" w:rsidRPr="00840047">
        <w:rPr>
          <w:rFonts w:ascii="Cambria" w:hAnsi="Cambria" w:cs="Calibri Light"/>
          <w:color w:val="000000" w:themeColor="text1"/>
          <w:sz w:val="20"/>
          <w:szCs w:val="20"/>
          <w:lang w:val="es-ES_tradnl"/>
        </w:rPr>
        <w:t>,</w:t>
      </w:r>
      <w:r w:rsidRPr="00840047">
        <w:rPr>
          <w:rFonts w:ascii="Cambria" w:hAnsi="Cambria" w:cs="Calibri Light"/>
          <w:color w:val="000000" w:themeColor="text1"/>
          <w:sz w:val="20"/>
          <w:szCs w:val="20"/>
          <w:lang w:val="es-ES_tradnl"/>
        </w:rPr>
        <w:t xml:space="preserve"> las partes sostuvieron una reunión de trabajo en Chile con el acompañamiento </w:t>
      </w:r>
      <w:r w:rsidRPr="00840047">
        <w:rPr>
          <w:rFonts w:ascii="Cambria" w:hAnsi="Cambria"/>
          <w:color w:val="000000" w:themeColor="text1"/>
          <w:sz w:val="20"/>
          <w:szCs w:val="20"/>
          <w:lang w:val="es-CR"/>
        </w:rPr>
        <w:t>del Comisionado Enrique Gil Botero, Relator de la CIDH para el país, en la que las partes acordaron un plazo para la instalación de la Mesa de Trabajo</w:t>
      </w:r>
      <w:r w:rsidRPr="00840047">
        <w:rPr>
          <w:rStyle w:val="FootnoteReference"/>
          <w:rFonts w:ascii="Cambria" w:hAnsi="Cambria"/>
          <w:color w:val="000000" w:themeColor="text1"/>
          <w:sz w:val="20"/>
          <w:szCs w:val="20"/>
          <w:lang w:val="es-CR"/>
        </w:rPr>
        <w:footnoteReference w:id="1"/>
      </w:r>
      <w:r w:rsidRPr="00840047">
        <w:rPr>
          <w:rFonts w:ascii="Cambria" w:hAnsi="Cambria"/>
          <w:color w:val="000000" w:themeColor="text1"/>
          <w:sz w:val="20"/>
          <w:szCs w:val="20"/>
          <w:lang w:val="es-CR"/>
        </w:rPr>
        <w:t xml:space="preserve">. </w:t>
      </w:r>
    </w:p>
    <w:p w14:paraId="021A7103" w14:textId="77777777" w:rsidR="00A97CAF" w:rsidRPr="00840047" w:rsidRDefault="00A97CAF" w:rsidP="00A97CAF">
      <w:pPr>
        <w:spacing w:after="0" w:line="240" w:lineRule="auto"/>
        <w:jc w:val="both"/>
        <w:rPr>
          <w:rFonts w:ascii="Cambria" w:hAnsi="Cambria" w:cs="Calibri Light"/>
          <w:color w:val="000000" w:themeColor="text1"/>
          <w:sz w:val="20"/>
          <w:szCs w:val="20"/>
          <w:lang w:val="es-ES_tradnl"/>
        </w:rPr>
      </w:pPr>
    </w:p>
    <w:p w14:paraId="4B6E428D" w14:textId="7B919980" w:rsidR="00A97CAF" w:rsidRPr="00840047" w:rsidRDefault="00A97CAF" w:rsidP="00A97CAF">
      <w:pPr>
        <w:numPr>
          <w:ilvl w:val="0"/>
          <w:numId w:val="24"/>
        </w:numPr>
        <w:spacing w:after="0" w:line="240" w:lineRule="auto"/>
        <w:ind w:left="0" w:firstLine="720"/>
        <w:jc w:val="both"/>
        <w:rPr>
          <w:rFonts w:ascii="Cambria" w:hAnsi="Cambria" w:cs="Calibri Light"/>
          <w:color w:val="000000" w:themeColor="text1"/>
          <w:sz w:val="20"/>
          <w:szCs w:val="20"/>
          <w:lang w:val="es-ES_tradnl"/>
        </w:rPr>
      </w:pPr>
      <w:r w:rsidRPr="00840047">
        <w:rPr>
          <w:rFonts w:ascii="Cambria" w:hAnsi="Cambria" w:cs="Calibri Light"/>
          <w:color w:val="000000" w:themeColor="text1"/>
          <w:sz w:val="20"/>
          <w:szCs w:val="20"/>
          <w:lang w:val="es-ES_tradnl"/>
        </w:rPr>
        <w:t>El 7 de mayo de 2018</w:t>
      </w:r>
      <w:r w:rsidR="001C5053" w:rsidRPr="00840047">
        <w:rPr>
          <w:rFonts w:ascii="Cambria" w:hAnsi="Cambria" w:cs="Calibri Light"/>
          <w:color w:val="000000" w:themeColor="text1"/>
          <w:sz w:val="20"/>
          <w:szCs w:val="20"/>
          <w:lang w:val="es-ES_tradnl"/>
        </w:rPr>
        <w:t>,</w:t>
      </w:r>
      <w:r w:rsidRPr="00840047">
        <w:rPr>
          <w:rFonts w:ascii="Cambria" w:hAnsi="Cambria" w:cs="Calibri Light"/>
          <w:color w:val="000000" w:themeColor="text1"/>
          <w:sz w:val="20"/>
          <w:szCs w:val="20"/>
          <w:lang w:val="es-ES_tradnl"/>
        </w:rPr>
        <w:t xml:space="preserve"> la CIDH sostuvo una reunión de trabajo con las partes en el marco de su 168º Periodo de Sesiones en seguimiento a las recomendaciones emitidas en el Informe de Fondo Nº. 48/16. En seguimiento a esta reunión, la CIDH envió cartas a las partes el 26 de junio solicitando información sobre las medidas adoptadas para implementar los compromisos acordados en dicha reunión. Solamente los peticionarios presentaron dicha información el 21 de agosto</w:t>
      </w:r>
      <w:r w:rsidRPr="00840047">
        <w:rPr>
          <w:rFonts w:ascii="Cambria" w:hAnsi="Cambria" w:cs="Calibri Light"/>
          <w:color w:val="000000" w:themeColor="text1"/>
          <w:sz w:val="20"/>
          <w:szCs w:val="20"/>
          <w:lang w:val="es-ES"/>
        </w:rPr>
        <w:t xml:space="preserve">. </w:t>
      </w:r>
    </w:p>
    <w:p w14:paraId="5FFBF97C" w14:textId="77777777" w:rsidR="00A97CAF" w:rsidRPr="00840047" w:rsidRDefault="00A97CAF" w:rsidP="00A97CAF">
      <w:pPr>
        <w:spacing w:after="0" w:line="240" w:lineRule="auto"/>
        <w:jc w:val="both"/>
        <w:rPr>
          <w:rFonts w:ascii="Cambria" w:hAnsi="Cambria" w:cs="Calibri Light"/>
          <w:color w:val="000000" w:themeColor="text1"/>
          <w:sz w:val="20"/>
          <w:szCs w:val="20"/>
          <w:lang w:val="es-ES_tradnl"/>
        </w:rPr>
      </w:pPr>
      <w:r w:rsidRPr="00840047">
        <w:rPr>
          <w:rFonts w:ascii="Cambria" w:hAnsi="Cambria" w:cs="Calibri Light"/>
          <w:color w:val="000000" w:themeColor="text1"/>
          <w:sz w:val="20"/>
          <w:szCs w:val="20"/>
          <w:lang w:val="es-ES_tradnl"/>
        </w:rPr>
        <w:t xml:space="preserve"> </w:t>
      </w:r>
    </w:p>
    <w:p w14:paraId="55990C9F" w14:textId="1BBACBF2" w:rsidR="002E748C" w:rsidRPr="00840047" w:rsidRDefault="00A97CAF" w:rsidP="002E748C">
      <w:pPr>
        <w:pStyle w:val="CommentText"/>
        <w:numPr>
          <w:ilvl w:val="0"/>
          <w:numId w:val="24"/>
        </w:numPr>
        <w:ind w:left="0" w:firstLine="720"/>
        <w:jc w:val="both"/>
        <w:rPr>
          <w:rFonts w:ascii="Cambria" w:hAnsi="Cambria"/>
          <w:color w:val="000000" w:themeColor="text1"/>
          <w:lang w:val="es-UY"/>
        </w:rPr>
      </w:pPr>
      <w:r w:rsidRPr="00840047">
        <w:rPr>
          <w:rFonts w:ascii="Cambria" w:hAnsi="Cambria"/>
          <w:color w:val="000000" w:themeColor="text1"/>
          <w:lang w:val="es-UY"/>
        </w:rPr>
        <w:t>El 27 de septiembre de 2019</w:t>
      </w:r>
      <w:r w:rsidR="001C5053" w:rsidRPr="00840047">
        <w:rPr>
          <w:rFonts w:ascii="Cambria" w:hAnsi="Cambria"/>
          <w:color w:val="000000" w:themeColor="text1"/>
          <w:lang w:val="es-UY"/>
        </w:rPr>
        <w:t>,</w:t>
      </w:r>
      <w:r w:rsidRPr="00840047">
        <w:rPr>
          <w:rFonts w:ascii="Cambria" w:hAnsi="Cambria"/>
          <w:color w:val="000000" w:themeColor="text1"/>
          <w:lang w:val="es-UY"/>
        </w:rPr>
        <w:t xml:space="preserve"> las partes sostuvieron una reunión de trabajo en el marco del 173° Período de Sesiones de la CIDH. </w:t>
      </w:r>
    </w:p>
    <w:p w14:paraId="2C9886D9" w14:textId="7ABE504A" w:rsidR="002E748C" w:rsidRPr="00840047" w:rsidRDefault="002E748C" w:rsidP="002E748C">
      <w:pPr>
        <w:pStyle w:val="CommentText"/>
        <w:numPr>
          <w:ilvl w:val="0"/>
          <w:numId w:val="24"/>
        </w:numPr>
        <w:ind w:left="0" w:firstLine="720"/>
        <w:jc w:val="both"/>
        <w:rPr>
          <w:rFonts w:ascii="Cambria" w:hAnsi="Cambria"/>
          <w:color w:val="000000" w:themeColor="text1"/>
          <w:lang w:val="es-UY"/>
        </w:rPr>
      </w:pPr>
      <w:r w:rsidRPr="00840047">
        <w:rPr>
          <w:rFonts w:ascii="Cambria" w:hAnsi="Cambria" w:cs="Calibri Light"/>
          <w:color w:val="000000" w:themeColor="text1"/>
          <w:lang w:val="es-ES"/>
        </w:rPr>
        <w:t xml:space="preserve">En 2021, la CIDH solicitó al Estado información actualizada sobre el cumplimiento de recomendaciones el 16 de agosto. </w:t>
      </w:r>
      <w:r w:rsidR="003C6E0C" w:rsidRPr="00840047">
        <w:rPr>
          <w:rFonts w:ascii="Cambria" w:hAnsi="Cambria" w:cs="Calibri Light"/>
          <w:color w:val="000000" w:themeColor="text1"/>
          <w:lang w:val="es-ES"/>
        </w:rPr>
        <w:t xml:space="preserve">El 19 de noviembre de 2021 el Estado presentó </w:t>
      </w:r>
      <w:r w:rsidRPr="00840047">
        <w:rPr>
          <w:rFonts w:ascii="Cambria" w:hAnsi="Cambria"/>
          <w:color w:val="000000" w:themeColor="text1"/>
          <w:lang w:val="es-ES"/>
        </w:rPr>
        <w:t>dicha información.</w:t>
      </w:r>
    </w:p>
    <w:p w14:paraId="7DD08068" w14:textId="00B42BB4" w:rsidR="002E748C" w:rsidRPr="00840047" w:rsidRDefault="002E748C" w:rsidP="006F0B1C">
      <w:pPr>
        <w:pStyle w:val="CommentText"/>
        <w:numPr>
          <w:ilvl w:val="0"/>
          <w:numId w:val="24"/>
        </w:numPr>
        <w:spacing w:line="240" w:lineRule="auto"/>
        <w:ind w:left="0" w:firstLine="720"/>
        <w:jc w:val="both"/>
        <w:rPr>
          <w:rFonts w:ascii="Cambria" w:hAnsi="Cambria"/>
          <w:color w:val="000000" w:themeColor="text1"/>
          <w:lang w:val="es-UY"/>
        </w:rPr>
      </w:pPr>
      <w:r w:rsidRPr="00840047">
        <w:rPr>
          <w:rFonts w:ascii="Cambria" w:hAnsi="Cambria" w:cs="Calibri Light"/>
          <w:color w:val="000000" w:themeColor="text1"/>
          <w:lang w:val="es-ES"/>
        </w:rPr>
        <w:lastRenderedPageBreak/>
        <w:t xml:space="preserve">La CIDH </w:t>
      </w:r>
      <w:r w:rsidRPr="00840047">
        <w:rPr>
          <w:rFonts w:ascii="Cambria" w:hAnsi="Cambria"/>
          <w:color w:val="000000" w:themeColor="text1"/>
          <w:lang w:val="es-ES"/>
        </w:rPr>
        <w:t>solicitó información actualizada al peticionario sobre el cumplimiento el 16 de agosto de 2021. A la fecha de cierre de este informe, la Comisión no había recibido dicha información de los peticionarios.</w:t>
      </w:r>
    </w:p>
    <w:p w14:paraId="04E94695" w14:textId="77777777" w:rsidR="00A97CAF" w:rsidRPr="00840047" w:rsidRDefault="00A97CAF" w:rsidP="00A97CAF">
      <w:pPr>
        <w:numPr>
          <w:ilvl w:val="0"/>
          <w:numId w:val="14"/>
        </w:numPr>
        <w:spacing w:after="0" w:line="240" w:lineRule="auto"/>
        <w:ind w:left="1440"/>
        <w:rPr>
          <w:rFonts w:ascii="Cambria" w:hAnsi="Cambria" w:cs="Calibri Light"/>
          <w:b/>
          <w:color w:val="000000" w:themeColor="text1"/>
          <w:sz w:val="20"/>
          <w:szCs w:val="20"/>
          <w:lang w:val="es-US"/>
        </w:rPr>
      </w:pPr>
      <w:r w:rsidRPr="00840047">
        <w:rPr>
          <w:rFonts w:ascii="Cambria" w:hAnsi="Cambria" w:cs="Calibri Light"/>
          <w:b/>
          <w:color w:val="000000" w:themeColor="text1"/>
          <w:sz w:val="20"/>
          <w:szCs w:val="20"/>
          <w:lang w:val="es-US"/>
        </w:rPr>
        <w:t>Análisis relativo a la información proporcionada</w:t>
      </w:r>
    </w:p>
    <w:p w14:paraId="04457C34" w14:textId="77777777" w:rsidR="00A97CAF" w:rsidRPr="00840047" w:rsidRDefault="00A97CAF" w:rsidP="00A97CAF">
      <w:pPr>
        <w:spacing w:after="0" w:line="240" w:lineRule="auto"/>
        <w:jc w:val="both"/>
        <w:rPr>
          <w:rFonts w:ascii="Cambria" w:hAnsi="Cambria" w:cs="Calibri Light"/>
          <w:color w:val="000000" w:themeColor="text1"/>
          <w:sz w:val="20"/>
          <w:szCs w:val="20"/>
          <w:lang w:val="es-ES_tradnl"/>
        </w:rPr>
      </w:pPr>
    </w:p>
    <w:p w14:paraId="15AA4FF3" w14:textId="08E6AE88" w:rsidR="002E748C" w:rsidRPr="00840047" w:rsidRDefault="001C5053" w:rsidP="002E748C">
      <w:pPr>
        <w:numPr>
          <w:ilvl w:val="0"/>
          <w:numId w:val="24"/>
        </w:numPr>
        <w:spacing w:after="0" w:line="240" w:lineRule="auto"/>
        <w:ind w:left="0" w:firstLine="720"/>
        <w:jc w:val="both"/>
        <w:rPr>
          <w:rFonts w:ascii="Cambria" w:hAnsi="Cambria" w:cs="Calibri Light"/>
          <w:color w:val="000000" w:themeColor="text1"/>
          <w:sz w:val="20"/>
          <w:szCs w:val="20"/>
          <w:lang w:val="es-ES_tradnl"/>
        </w:rPr>
      </w:pPr>
      <w:r w:rsidRPr="00840047">
        <w:rPr>
          <w:rFonts w:ascii="Cambria" w:hAnsi="Cambria" w:cs="Calibri Light"/>
          <w:color w:val="000000" w:themeColor="text1"/>
          <w:sz w:val="20"/>
          <w:szCs w:val="20"/>
          <w:lang w:val="es-ES_tradnl"/>
        </w:rPr>
        <w:t>La Comisión considera que la información proporcionada por el Estado en 2021 es relevante respecto de medidas de cumplimiento adoptadas respecto de al menos una de las recomendaciones emitidas en el Informe de Fondo No. 48/19</w:t>
      </w:r>
      <w:r w:rsidR="002E748C" w:rsidRPr="00840047">
        <w:rPr>
          <w:rFonts w:ascii="Cambria" w:hAnsi="Cambria" w:cs="Calibri Light"/>
          <w:color w:val="000000" w:themeColor="text1"/>
          <w:sz w:val="20"/>
          <w:szCs w:val="20"/>
          <w:lang w:val="es-ES_tradnl"/>
        </w:rPr>
        <w:t>.</w:t>
      </w:r>
    </w:p>
    <w:p w14:paraId="297CD544" w14:textId="77777777" w:rsidR="00A97CAF" w:rsidRPr="00840047" w:rsidRDefault="00A97CAF" w:rsidP="00A97CAF">
      <w:pPr>
        <w:spacing w:after="0" w:line="240" w:lineRule="auto"/>
        <w:jc w:val="both"/>
        <w:rPr>
          <w:rFonts w:ascii="Cambria" w:hAnsi="Cambria" w:cs="Calibri Light"/>
          <w:b/>
          <w:color w:val="000000" w:themeColor="text1"/>
          <w:sz w:val="20"/>
          <w:szCs w:val="20"/>
          <w:lang w:val="es-ES"/>
        </w:rPr>
      </w:pPr>
    </w:p>
    <w:p w14:paraId="350E60C1" w14:textId="77777777" w:rsidR="00A97CAF" w:rsidRPr="00840047" w:rsidRDefault="00A97CAF" w:rsidP="00A97CAF">
      <w:pPr>
        <w:numPr>
          <w:ilvl w:val="0"/>
          <w:numId w:val="14"/>
        </w:numPr>
        <w:spacing w:after="0" w:line="240" w:lineRule="auto"/>
        <w:ind w:left="1440"/>
        <w:rPr>
          <w:rFonts w:ascii="Cambria" w:hAnsi="Cambria" w:cs="Calibri Light"/>
          <w:b/>
          <w:color w:val="000000" w:themeColor="text1"/>
          <w:sz w:val="20"/>
          <w:szCs w:val="20"/>
          <w:lang w:val="es-US"/>
        </w:rPr>
      </w:pPr>
      <w:r w:rsidRPr="00840047">
        <w:rPr>
          <w:rFonts w:ascii="Cambria" w:hAnsi="Cambria" w:cs="Calibri Light"/>
          <w:b/>
          <w:color w:val="000000" w:themeColor="text1"/>
          <w:sz w:val="20"/>
          <w:szCs w:val="20"/>
          <w:lang w:val="es-US"/>
        </w:rPr>
        <w:t>Análisis del cumplimiento de las recomendaciones</w:t>
      </w:r>
    </w:p>
    <w:p w14:paraId="03A297CB" w14:textId="77777777" w:rsidR="00A97CAF" w:rsidRPr="00840047" w:rsidRDefault="00A97CAF" w:rsidP="00A97CAF">
      <w:pPr>
        <w:spacing w:after="0" w:line="240" w:lineRule="auto"/>
        <w:jc w:val="both"/>
        <w:rPr>
          <w:rFonts w:ascii="Cambria" w:hAnsi="Cambria" w:cs="Calibri Light"/>
          <w:color w:val="000000" w:themeColor="text1"/>
          <w:sz w:val="20"/>
          <w:szCs w:val="20"/>
          <w:lang w:val="es-US"/>
        </w:rPr>
      </w:pPr>
    </w:p>
    <w:p w14:paraId="77612252" w14:textId="27572349" w:rsidR="00DD1DD8" w:rsidRPr="00840047" w:rsidRDefault="00A97CAF" w:rsidP="00354309">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b/>
          <w:color w:val="000000" w:themeColor="text1"/>
          <w:sz w:val="20"/>
          <w:szCs w:val="20"/>
          <w:lang w:val="es-US"/>
        </w:rPr>
        <w:t>En relación con la primera recomendación</w:t>
      </w:r>
      <w:r w:rsidRPr="00840047">
        <w:rPr>
          <w:rFonts w:ascii="Cambria" w:hAnsi="Cambria" w:cs="Calibri Light"/>
          <w:color w:val="000000" w:themeColor="text1"/>
          <w:sz w:val="20"/>
          <w:szCs w:val="20"/>
          <w:lang w:val="es-US"/>
        </w:rPr>
        <w:t xml:space="preserve">, </w:t>
      </w:r>
      <w:r w:rsidR="00354309" w:rsidRPr="00840047">
        <w:rPr>
          <w:rFonts w:ascii="Cambria" w:hAnsi="Cambria" w:cs="Calibri Light"/>
          <w:color w:val="000000" w:themeColor="text1"/>
          <w:sz w:val="20"/>
          <w:szCs w:val="20"/>
          <w:lang w:val="es-US"/>
        </w:rPr>
        <w:t>e</w:t>
      </w:r>
      <w:r w:rsidR="003C6E0C" w:rsidRPr="00840047">
        <w:rPr>
          <w:rFonts w:ascii="Cambria" w:hAnsi="Cambria" w:cs="Calibri Light"/>
          <w:color w:val="000000" w:themeColor="text1"/>
          <w:sz w:val="20"/>
          <w:szCs w:val="20"/>
          <w:lang w:val="es-US"/>
        </w:rPr>
        <w:t>n</w:t>
      </w:r>
      <w:r w:rsidRPr="00840047">
        <w:rPr>
          <w:rFonts w:ascii="Cambria" w:hAnsi="Cambria" w:cs="Calibri Light"/>
          <w:color w:val="000000" w:themeColor="text1"/>
          <w:sz w:val="20"/>
          <w:szCs w:val="20"/>
          <w:lang w:val="es-US"/>
        </w:rPr>
        <w:t xml:space="preserve"> 2018, el Estado informó que Radio Estrella del Mar llegó a un acuerdo con la Radio de la Universidad de Valdivia respecto al uso de su espectro eléctrico para </w:t>
      </w:r>
      <w:r w:rsidR="002C65A9" w:rsidRPr="00840047">
        <w:rPr>
          <w:rFonts w:ascii="Cambria" w:hAnsi="Cambria" w:cs="Calibri Light"/>
          <w:color w:val="000000" w:themeColor="text1"/>
          <w:sz w:val="20"/>
          <w:szCs w:val="20"/>
          <w:lang w:val="es-US"/>
        </w:rPr>
        <w:t>su</w:t>
      </w:r>
      <w:r w:rsidRPr="00840047">
        <w:rPr>
          <w:rFonts w:ascii="Cambria" w:hAnsi="Cambria" w:cs="Calibri Light"/>
          <w:color w:val="000000" w:themeColor="text1"/>
          <w:sz w:val="20"/>
          <w:szCs w:val="20"/>
          <w:lang w:val="es-US"/>
        </w:rPr>
        <w:t xml:space="preserve"> funcionamiento. </w:t>
      </w:r>
    </w:p>
    <w:p w14:paraId="6C33BC42" w14:textId="77777777" w:rsidR="00354309" w:rsidRPr="00840047" w:rsidRDefault="00354309" w:rsidP="00354309">
      <w:pPr>
        <w:spacing w:after="0" w:line="240" w:lineRule="auto"/>
        <w:ind w:left="720"/>
        <w:jc w:val="both"/>
        <w:rPr>
          <w:rFonts w:ascii="Cambria" w:hAnsi="Cambria" w:cs="Calibri Light"/>
          <w:color w:val="000000" w:themeColor="text1"/>
          <w:sz w:val="20"/>
          <w:szCs w:val="20"/>
          <w:lang w:val="es-US"/>
        </w:rPr>
      </w:pPr>
    </w:p>
    <w:p w14:paraId="41409816" w14:textId="3A585278" w:rsidR="00354309" w:rsidRPr="00840047" w:rsidRDefault="00354309" w:rsidP="00354309">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color w:val="000000" w:themeColor="text1"/>
          <w:sz w:val="20"/>
          <w:szCs w:val="20"/>
          <w:lang w:val="es-US"/>
        </w:rPr>
        <w:t>En 2021</w:t>
      </w:r>
      <w:r w:rsidR="00EB372C" w:rsidRPr="00840047">
        <w:rPr>
          <w:rFonts w:ascii="Cambria" w:hAnsi="Cambria" w:cs="Calibri Light"/>
          <w:color w:val="000000" w:themeColor="text1"/>
          <w:sz w:val="20"/>
          <w:szCs w:val="20"/>
          <w:lang w:val="es-US"/>
        </w:rPr>
        <w:t>,</w:t>
      </w:r>
      <w:r w:rsidRPr="00840047">
        <w:rPr>
          <w:rFonts w:ascii="Cambria" w:hAnsi="Cambria" w:cs="Calibri Light"/>
          <w:color w:val="000000" w:themeColor="text1"/>
          <w:sz w:val="20"/>
          <w:szCs w:val="20"/>
          <w:lang w:val="es-US"/>
        </w:rPr>
        <w:t xml:space="preserve"> el Estado informó </w:t>
      </w:r>
      <w:r w:rsidR="00B35544" w:rsidRPr="00840047">
        <w:rPr>
          <w:rFonts w:ascii="Cambria" w:hAnsi="Cambria" w:cs="Calibri Light"/>
          <w:color w:val="000000" w:themeColor="text1"/>
          <w:sz w:val="20"/>
          <w:szCs w:val="20"/>
          <w:lang w:val="es-US"/>
        </w:rPr>
        <w:t>que,</w:t>
      </w:r>
      <w:r w:rsidR="00475D96" w:rsidRPr="00840047">
        <w:rPr>
          <w:rFonts w:ascii="Cambria" w:hAnsi="Cambria" w:cs="Calibri Light"/>
          <w:color w:val="000000" w:themeColor="text1"/>
          <w:sz w:val="20"/>
          <w:szCs w:val="20"/>
          <w:lang w:val="es-US"/>
        </w:rPr>
        <w:t xml:space="preserve"> según la Municipalidad de Guaitecas,</w:t>
      </w:r>
      <w:r w:rsidR="00B35544" w:rsidRPr="00840047">
        <w:rPr>
          <w:rFonts w:ascii="Cambria" w:hAnsi="Cambria" w:cs="Calibri Light"/>
          <w:color w:val="000000" w:themeColor="text1"/>
          <w:sz w:val="20"/>
          <w:szCs w:val="20"/>
          <w:lang w:val="es-US"/>
        </w:rPr>
        <w:t xml:space="preserve"> desde noviembre del 2014, </w:t>
      </w:r>
      <w:r w:rsidRPr="00840047">
        <w:rPr>
          <w:rFonts w:ascii="Cambria" w:hAnsi="Cambria" w:cs="Calibri Light"/>
          <w:color w:val="000000" w:themeColor="text1"/>
          <w:sz w:val="20"/>
          <w:szCs w:val="20"/>
          <w:lang w:val="es-US"/>
        </w:rPr>
        <w:t xml:space="preserve">Radio Estrella del Mar funciona de manera continua e ininterrumpida, sin </w:t>
      </w:r>
      <w:proofErr w:type="spellStart"/>
      <w:r w:rsidRPr="00840047">
        <w:rPr>
          <w:rFonts w:ascii="Cambria" w:hAnsi="Cambria" w:cs="Calibri Light"/>
          <w:color w:val="000000" w:themeColor="text1"/>
          <w:sz w:val="20"/>
          <w:szCs w:val="20"/>
          <w:lang w:val="es-US"/>
        </w:rPr>
        <w:t>limitación</w:t>
      </w:r>
      <w:proofErr w:type="spellEnd"/>
      <w:r w:rsidRPr="00840047">
        <w:rPr>
          <w:rFonts w:ascii="Cambria" w:hAnsi="Cambria" w:cs="Calibri Light"/>
          <w:color w:val="000000" w:themeColor="text1"/>
          <w:sz w:val="20"/>
          <w:szCs w:val="20"/>
          <w:lang w:val="es-US"/>
        </w:rPr>
        <w:t xml:space="preserve"> de horario y</w:t>
      </w:r>
      <w:r w:rsidR="00B35544" w:rsidRPr="00840047">
        <w:rPr>
          <w:rFonts w:ascii="Cambria" w:hAnsi="Cambria" w:cs="Calibri Light"/>
          <w:color w:val="000000" w:themeColor="text1"/>
          <w:sz w:val="20"/>
          <w:szCs w:val="20"/>
          <w:lang w:val="es-US"/>
        </w:rPr>
        <w:t xml:space="preserve"> </w:t>
      </w:r>
      <w:r w:rsidRPr="00840047">
        <w:rPr>
          <w:rFonts w:ascii="Cambria" w:hAnsi="Cambria" w:cs="Calibri Light"/>
          <w:color w:val="000000" w:themeColor="text1"/>
          <w:sz w:val="20"/>
          <w:szCs w:val="20"/>
          <w:lang w:val="es-US"/>
        </w:rPr>
        <w:t xml:space="preserve">exenta de cualquier forma de censura o limitaciones a su </w:t>
      </w:r>
      <w:proofErr w:type="spellStart"/>
      <w:r w:rsidRPr="00840047">
        <w:rPr>
          <w:rFonts w:ascii="Cambria" w:hAnsi="Cambria" w:cs="Calibri Light"/>
          <w:color w:val="000000" w:themeColor="text1"/>
          <w:sz w:val="20"/>
          <w:szCs w:val="20"/>
          <w:lang w:val="es-US"/>
        </w:rPr>
        <w:t>línea</w:t>
      </w:r>
      <w:proofErr w:type="spellEnd"/>
      <w:r w:rsidRPr="00840047">
        <w:rPr>
          <w:rFonts w:ascii="Cambria" w:hAnsi="Cambria" w:cs="Calibri Light"/>
          <w:color w:val="000000" w:themeColor="text1"/>
          <w:sz w:val="20"/>
          <w:szCs w:val="20"/>
          <w:lang w:val="es-US"/>
        </w:rPr>
        <w:t xml:space="preserve"> editorial.  Asimismo, de acuerdo </w:t>
      </w:r>
      <w:r w:rsidR="00B35544" w:rsidRPr="00840047">
        <w:rPr>
          <w:rFonts w:ascii="Cambria" w:hAnsi="Cambria" w:cs="Calibri Light"/>
          <w:color w:val="000000" w:themeColor="text1"/>
          <w:sz w:val="20"/>
          <w:szCs w:val="20"/>
          <w:lang w:val="es-US"/>
        </w:rPr>
        <w:t>con</w:t>
      </w:r>
      <w:r w:rsidRPr="00840047">
        <w:rPr>
          <w:rFonts w:ascii="Cambria" w:hAnsi="Cambria" w:cs="Calibri Light"/>
          <w:color w:val="000000" w:themeColor="text1"/>
          <w:sz w:val="20"/>
          <w:szCs w:val="20"/>
          <w:lang w:val="es-US"/>
        </w:rPr>
        <w:t xml:space="preserve"> las </w:t>
      </w:r>
      <w:proofErr w:type="spellStart"/>
      <w:r w:rsidRPr="00840047">
        <w:rPr>
          <w:rFonts w:ascii="Cambria" w:hAnsi="Cambria" w:cs="Calibri Light"/>
          <w:color w:val="000000" w:themeColor="text1"/>
          <w:sz w:val="20"/>
          <w:szCs w:val="20"/>
          <w:lang w:val="es-US"/>
        </w:rPr>
        <w:t>características</w:t>
      </w:r>
      <w:proofErr w:type="spellEnd"/>
      <w:r w:rsidRPr="00840047">
        <w:rPr>
          <w:rFonts w:ascii="Cambria" w:hAnsi="Cambria" w:cs="Calibri Light"/>
          <w:color w:val="000000" w:themeColor="text1"/>
          <w:sz w:val="20"/>
          <w:szCs w:val="20"/>
          <w:lang w:val="es-US"/>
        </w:rPr>
        <w:t xml:space="preserve"> de la comuna, </w:t>
      </w:r>
      <w:r w:rsidR="00475D96" w:rsidRPr="00840047">
        <w:rPr>
          <w:rFonts w:ascii="Cambria" w:hAnsi="Cambria" w:cs="Calibri Light"/>
          <w:color w:val="000000" w:themeColor="text1"/>
          <w:sz w:val="20"/>
          <w:szCs w:val="20"/>
          <w:lang w:val="es-US"/>
        </w:rPr>
        <w:t xml:space="preserve">el Estado señaló que </w:t>
      </w:r>
      <w:r w:rsidRPr="00840047">
        <w:rPr>
          <w:rFonts w:ascii="Cambria" w:hAnsi="Cambria" w:cs="Calibri Light"/>
          <w:color w:val="000000" w:themeColor="text1"/>
          <w:sz w:val="20"/>
          <w:szCs w:val="20"/>
          <w:lang w:val="es-US"/>
        </w:rPr>
        <w:t xml:space="preserve">en </w:t>
      </w:r>
      <w:r w:rsidR="00475D96" w:rsidRPr="00840047">
        <w:rPr>
          <w:rFonts w:ascii="Cambria" w:hAnsi="Cambria" w:cs="Calibri Light"/>
          <w:color w:val="000000" w:themeColor="text1"/>
          <w:sz w:val="20"/>
          <w:szCs w:val="20"/>
          <w:lang w:val="es-US"/>
        </w:rPr>
        <w:t>ese</w:t>
      </w:r>
      <w:r w:rsidRPr="00840047">
        <w:rPr>
          <w:rFonts w:ascii="Cambria" w:hAnsi="Cambria" w:cs="Calibri Light"/>
          <w:color w:val="000000" w:themeColor="text1"/>
          <w:sz w:val="20"/>
          <w:szCs w:val="20"/>
          <w:lang w:val="es-US"/>
        </w:rPr>
        <w:t xml:space="preserve"> lugar</w:t>
      </w:r>
      <w:r w:rsidR="00475D96" w:rsidRPr="00840047">
        <w:rPr>
          <w:rFonts w:ascii="Cambria" w:hAnsi="Cambria" w:cs="Calibri Light"/>
          <w:color w:val="000000" w:themeColor="text1"/>
          <w:sz w:val="20"/>
          <w:szCs w:val="20"/>
          <w:lang w:val="es-US"/>
        </w:rPr>
        <w:t xml:space="preserve"> funciona</w:t>
      </w:r>
      <w:r w:rsidRPr="00840047">
        <w:rPr>
          <w:rFonts w:ascii="Cambria" w:hAnsi="Cambria" w:cs="Calibri Light"/>
          <w:color w:val="000000" w:themeColor="text1"/>
          <w:sz w:val="20"/>
          <w:szCs w:val="20"/>
          <w:lang w:val="es-US"/>
        </w:rPr>
        <w:t xml:space="preserve"> una Planta Municipal de </w:t>
      </w:r>
      <w:proofErr w:type="spellStart"/>
      <w:r w:rsidRPr="00840047">
        <w:rPr>
          <w:rFonts w:ascii="Cambria" w:hAnsi="Cambria" w:cs="Calibri Light"/>
          <w:color w:val="000000" w:themeColor="text1"/>
          <w:sz w:val="20"/>
          <w:szCs w:val="20"/>
          <w:lang w:val="es-US"/>
        </w:rPr>
        <w:t>Energía</w:t>
      </w:r>
      <w:proofErr w:type="spellEnd"/>
      <w:r w:rsidRPr="00840047">
        <w:rPr>
          <w:rFonts w:ascii="Cambria" w:hAnsi="Cambria" w:cs="Calibri Light"/>
          <w:color w:val="000000" w:themeColor="text1"/>
          <w:sz w:val="20"/>
          <w:szCs w:val="20"/>
          <w:lang w:val="es-US"/>
        </w:rPr>
        <w:t xml:space="preserve"> </w:t>
      </w:r>
      <w:proofErr w:type="spellStart"/>
      <w:r w:rsidRPr="00840047">
        <w:rPr>
          <w:rFonts w:ascii="Cambria" w:hAnsi="Cambria" w:cs="Calibri Light"/>
          <w:color w:val="000000" w:themeColor="text1"/>
          <w:sz w:val="20"/>
          <w:szCs w:val="20"/>
          <w:lang w:val="es-US"/>
        </w:rPr>
        <w:t>Eléctrica</w:t>
      </w:r>
      <w:proofErr w:type="spellEnd"/>
      <w:r w:rsidRPr="00840047">
        <w:rPr>
          <w:rFonts w:ascii="Cambria" w:hAnsi="Cambria" w:cs="Calibri Light"/>
          <w:color w:val="000000" w:themeColor="text1"/>
          <w:sz w:val="20"/>
          <w:szCs w:val="20"/>
          <w:lang w:val="es-US"/>
        </w:rPr>
        <w:t xml:space="preserve"> creada por Decreto Ley No 1.289, de 175, Ley </w:t>
      </w:r>
      <w:proofErr w:type="spellStart"/>
      <w:r w:rsidRPr="00840047">
        <w:rPr>
          <w:rFonts w:ascii="Cambria" w:hAnsi="Cambria" w:cs="Calibri Light"/>
          <w:color w:val="000000" w:themeColor="text1"/>
          <w:sz w:val="20"/>
          <w:szCs w:val="20"/>
          <w:lang w:val="es-US"/>
        </w:rPr>
        <w:t>Orgánica</w:t>
      </w:r>
      <w:proofErr w:type="spellEnd"/>
      <w:r w:rsidRPr="00840047">
        <w:rPr>
          <w:rFonts w:ascii="Cambria" w:hAnsi="Cambria" w:cs="Calibri Light"/>
          <w:color w:val="000000" w:themeColor="text1"/>
          <w:sz w:val="20"/>
          <w:szCs w:val="20"/>
          <w:lang w:val="es-US"/>
        </w:rPr>
        <w:t xml:space="preserve"> de Municipios y </w:t>
      </w:r>
      <w:proofErr w:type="spellStart"/>
      <w:r w:rsidRPr="00840047">
        <w:rPr>
          <w:rFonts w:ascii="Cambria" w:hAnsi="Cambria" w:cs="Calibri Light"/>
          <w:color w:val="000000" w:themeColor="text1"/>
          <w:sz w:val="20"/>
          <w:szCs w:val="20"/>
          <w:lang w:val="es-US"/>
        </w:rPr>
        <w:t>Administración</w:t>
      </w:r>
      <w:proofErr w:type="spellEnd"/>
      <w:r w:rsidRPr="00840047">
        <w:rPr>
          <w:rFonts w:ascii="Cambria" w:hAnsi="Cambria" w:cs="Calibri Light"/>
          <w:color w:val="000000" w:themeColor="text1"/>
          <w:sz w:val="20"/>
          <w:szCs w:val="20"/>
          <w:lang w:val="es-US"/>
        </w:rPr>
        <w:t xml:space="preserve"> Comunal, y Decreto No 614/D/35, de 21 de noviembre de 1975, del entonces alcalde de la comuna de Guaitecas</w:t>
      </w:r>
      <w:r w:rsidR="00B93C89" w:rsidRPr="00840047">
        <w:rPr>
          <w:rFonts w:ascii="Cambria" w:hAnsi="Cambria" w:cs="Calibri Light"/>
          <w:color w:val="000000" w:themeColor="text1"/>
          <w:sz w:val="20"/>
          <w:szCs w:val="20"/>
          <w:lang w:val="es-US"/>
        </w:rPr>
        <w:t>. El Estado indicó que este</w:t>
      </w:r>
      <w:r w:rsidRPr="00840047">
        <w:rPr>
          <w:rFonts w:ascii="Cambria" w:hAnsi="Cambria" w:cs="Calibri Light"/>
          <w:color w:val="000000" w:themeColor="text1"/>
          <w:sz w:val="20"/>
          <w:szCs w:val="20"/>
          <w:lang w:val="es-US"/>
        </w:rPr>
        <w:t xml:space="preserve"> instrumento</w:t>
      </w:r>
      <w:r w:rsidR="00475D96" w:rsidRPr="00840047">
        <w:rPr>
          <w:rFonts w:ascii="Cambria" w:hAnsi="Cambria" w:cs="Calibri Light"/>
          <w:color w:val="000000" w:themeColor="text1"/>
          <w:sz w:val="20"/>
          <w:szCs w:val="20"/>
          <w:lang w:val="es-US"/>
        </w:rPr>
        <w:t xml:space="preserve"> </w:t>
      </w:r>
      <w:r w:rsidR="00B93C89" w:rsidRPr="00840047">
        <w:rPr>
          <w:rFonts w:ascii="Cambria" w:hAnsi="Cambria" w:cs="Calibri Light"/>
          <w:color w:val="000000" w:themeColor="text1"/>
          <w:sz w:val="20"/>
          <w:szCs w:val="20"/>
          <w:lang w:val="es-US"/>
        </w:rPr>
        <w:t>previó</w:t>
      </w:r>
      <w:r w:rsidR="00475D96" w:rsidRPr="00840047">
        <w:rPr>
          <w:rFonts w:ascii="Cambria" w:hAnsi="Cambria" w:cs="Calibri Light"/>
          <w:color w:val="000000" w:themeColor="text1"/>
          <w:sz w:val="20"/>
          <w:szCs w:val="20"/>
          <w:lang w:val="es-US"/>
        </w:rPr>
        <w:t xml:space="preserve"> l</w:t>
      </w:r>
      <w:r w:rsidRPr="00840047">
        <w:rPr>
          <w:rFonts w:ascii="Cambria" w:hAnsi="Cambria" w:cs="Calibri Light"/>
          <w:color w:val="000000" w:themeColor="text1"/>
          <w:sz w:val="20"/>
          <w:szCs w:val="20"/>
          <w:lang w:val="es-US"/>
        </w:rPr>
        <w:t xml:space="preserve">a necesidad de suministrar </w:t>
      </w:r>
      <w:proofErr w:type="spellStart"/>
      <w:r w:rsidRPr="00840047">
        <w:rPr>
          <w:rFonts w:ascii="Cambria" w:hAnsi="Cambria" w:cs="Calibri Light"/>
          <w:color w:val="000000" w:themeColor="text1"/>
          <w:sz w:val="20"/>
          <w:szCs w:val="20"/>
          <w:lang w:val="es-US"/>
        </w:rPr>
        <w:t>energía</w:t>
      </w:r>
      <w:proofErr w:type="spellEnd"/>
      <w:r w:rsidRPr="00840047">
        <w:rPr>
          <w:rFonts w:ascii="Cambria" w:hAnsi="Cambria" w:cs="Calibri Light"/>
          <w:color w:val="000000" w:themeColor="text1"/>
          <w:sz w:val="20"/>
          <w:szCs w:val="20"/>
          <w:lang w:val="es-US"/>
        </w:rPr>
        <w:t xml:space="preserve"> </w:t>
      </w:r>
      <w:proofErr w:type="spellStart"/>
      <w:r w:rsidRPr="00840047">
        <w:rPr>
          <w:rFonts w:ascii="Cambria" w:hAnsi="Cambria" w:cs="Calibri Light"/>
          <w:color w:val="000000" w:themeColor="text1"/>
          <w:sz w:val="20"/>
          <w:szCs w:val="20"/>
          <w:lang w:val="es-US"/>
        </w:rPr>
        <w:t>eléctrica</w:t>
      </w:r>
      <w:proofErr w:type="spellEnd"/>
      <w:r w:rsidRPr="00840047">
        <w:rPr>
          <w:rFonts w:ascii="Cambria" w:hAnsi="Cambria" w:cs="Calibri Light"/>
          <w:color w:val="000000" w:themeColor="text1"/>
          <w:sz w:val="20"/>
          <w:szCs w:val="20"/>
          <w:lang w:val="es-US"/>
        </w:rPr>
        <w:t xml:space="preserve"> a la </w:t>
      </w:r>
      <w:proofErr w:type="spellStart"/>
      <w:r w:rsidRPr="00840047">
        <w:rPr>
          <w:rFonts w:ascii="Cambria" w:hAnsi="Cambria" w:cs="Calibri Light"/>
          <w:color w:val="000000" w:themeColor="text1"/>
          <w:sz w:val="20"/>
          <w:szCs w:val="20"/>
          <w:lang w:val="es-US"/>
        </w:rPr>
        <w:t>población</w:t>
      </w:r>
      <w:proofErr w:type="spellEnd"/>
      <w:r w:rsidRPr="00840047">
        <w:rPr>
          <w:rFonts w:ascii="Cambria" w:hAnsi="Cambria" w:cs="Calibri Light"/>
          <w:color w:val="000000" w:themeColor="text1"/>
          <w:sz w:val="20"/>
          <w:szCs w:val="20"/>
          <w:lang w:val="es-US"/>
        </w:rPr>
        <w:t xml:space="preserve"> de Melinka en </w:t>
      </w:r>
      <w:proofErr w:type="spellStart"/>
      <w:r w:rsidRPr="00840047">
        <w:rPr>
          <w:rFonts w:ascii="Cambria" w:hAnsi="Cambria" w:cs="Calibri Light"/>
          <w:color w:val="000000" w:themeColor="text1"/>
          <w:sz w:val="20"/>
          <w:szCs w:val="20"/>
          <w:lang w:val="es-US"/>
        </w:rPr>
        <w:t>razón</w:t>
      </w:r>
      <w:proofErr w:type="spellEnd"/>
      <w:r w:rsidRPr="00840047">
        <w:rPr>
          <w:rFonts w:ascii="Cambria" w:hAnsi="Cambria" w:cs="Calibri Light"/>
          <w:color w:val="000000" w:themeColor="text1"/>
          <w:sz w:val="20"/>
          <w:szCs w:val="20"/>
          <w:lang w:val="es-US"/>
        </w:rPr>
        <w:t xml:space="preserve"> al </w:t>
      </w:r>
      <w:proofErr w:type="spellStart"/>
      <w:r w:rsidRPr="00840047">
        <w:rPr>
          <w:rFonts w:ascii="Cambria" w:hAnsi="Cambria" w:cs="Calibri Light"/>
          <w:color w:val="000000" w:themeColor="text1"/>
          <w:sz w:val="20"/>
          <w:szCs w:val="20"/>
          <w:lang w:val="es-US"/>
        </w:rPr>
        <w:t>término</w:t>
      </w:r>
      <w:proofErr w:type="spellEnd"/>
      <w:r w:rsidRPr="00840047">
        <w:rPr>
          <w:rFonts w:ascii="Cambria" w:hAnsi="Cambria" w:cs="Calibri Light"/>
          <w:color w:val="000000" w:themeColor="text1"/>
          <w:sz w:val="20"/>
          <w:szCs w:val="20"/>
          <w:lang w:val="es-US"/>
        </w:rPr>
        <w:t xml:space="preserve"> de sus operaciones en la localidad, de la Sociedad Austral de Electricidad S.A.</w:t>
      </w:r>
      <w:r w:rsidR="00B93C89" w:rsidRPr="00840047">
        <w:rPr>
          <w:rFonts w:ascii="Cambria" w:hAnsi="Cambria" w:cs="Calibri Light"/>
          <w:color w:val="000000" w:themeColor="text1"/>
          <w:sz w:val="20"/>
          <w:szCs w:val="20"/>
          <w:lang w:val="es-US"/>
        </w:rPr>
        <w:t>,</w:t>
      </w:r>
      <w:r w:rsidRPr="00840047">
        <w:rPr>
          <w:rFonts w:ascii="Cambria" w:hAnsi="Cambria" w:cs="Calibri Light"/>
          <w:color w:val="000000" w:themeColor="text1"/>
          <w:sz w:val="20"/>
          <w:szCs w:val="20"/>
          <w:lang w:val="es-US"/>
        </w:rPr>
        <w:t xml:space="preserve"> la </w:t>
      </w:r>
      <w:proofErr w:type="spellStart"/>
      <w:r w:rsidRPr="00840047">
        <w:rPr>
          <w:rFonts w:ascii="Cambria" w:hAnsi="Cambria" w:cs="Calibri Light"/>
          <w:color w:val="000000" w:themeColor="text1"/>
          <w:sz w:val="20"/>
          <w:szCs w:val="20"/>
          <w:lang w:val="es-US"/>
        </w:rPr>
        <w:t>adquisición</w:t>
      </w:r>
      <w:proofErr w:type="spellEnd"/>
      <w:r w:rsidRPr="00840047">
        <w:rPr>
          <w:rFonts w:ascii="Cambria" w:hAnsi="Cambria" w:cs="Calibri Light"/>
          <w:color w:val="000000" w:themeColor="text1"/>
          <w:sz w:val="20"/>
          <w:szCs w:val="20"/>
          <w:lang w:val="es-US"/>
        </w:rPr>
        <w:t xml:space="preserve"> de los bienes </w:t>
      </w:r>
      <w:proofErr w:type="spellStart"/>
      <w:r w:rsidRPr="00840047">
        <w:rPr>
          <w:rFonts w:ascii="Cambria" w:hAnsi="Cambria" w:cs="Calibri Light"/>
          <w:color w:val="000000" w:themeColor="text1"/>
          <w:sz w:val="20"/>
          <w:szCs w:val="20"/>
          <w:lang w:val="es-US"/>
        </w:rPr>
        <w:t>físicos</w:t>
      </w:r>
      <w:proofErr w:type="spellEnd"/>
      <w:r w:rsidRPr="00840047">
        <w:rPr>
          <w:rFonts w:ascii="Cambria" w:hAnsi="Cambria" w:cs="Calibri Light"/>
          <w:color w:val="000000" w:themeColor="text1"/>
          <w:sz w:val="20"/>
          <w:szCs w:val="20"/>
          <w:lang w:val="es-US"/>
        </w:rPr>
        <w:t xml:space="preserve"> de dicha Empresa por la Municipalidad de Guaitecas </w:t>
      </w:r>
      <w:r w:rsidR="00B93C89" w:rsidRPr="00840047">
        <w:rPr>
          <w:rFonts w:ascii="Cambria" w:hAnsi="Cambria" w:cs="Calibri Light"/>
          <w:color w:val="000000" w:themeColor="text1"/>
          <w:sz w:val="20"/>
          <w:szCs w:val="20"/>
          <w:lang w:val="es-US"/>
        </w:rPr>
        <w:t>para</w:t>
      </w:r>
      <w:r w:rsidRPr="00840047">
        <w:rPr>
          <w:rFonts w:ascii="Cambria" w:hAnsi="Cambria" w:cs="Calibri Light"/>
          <w:color w:val="000000" w:themeColor="text1"/>
          <w:sz w:val="20"/>
          <w:szCs w:val="20"/>
          <w:lang w:val="es-US"/>
        </w:rPr>
        <w:t xml:space="preserve"> mantener el servicio </w:t>
      </w:r>
      <w:proofErr w:type="spellStart"/>
      <w:r w:rsidRPr="00840047">
        <w:rPr>
          <w:rFonts w:ascii="Cambria" w:hAnsi="Cambria" w:cs="Calibri Light"/>
          <w:color w:val="000000" w:themeColor="text1"/>
          <w:sz w:val="20"/>
          <w:szCs w:val="20"/>
          <w:lang w:val="es-US"/>
        </w:rPr>
        <w:t>eléctrico</w:t>
      </w:r>
      <w:proofErr w:type="spellEnd"/>
      <w:r w:rsidR="00B93C89" w:rsidRPr="00840047">
        <w:rPr>
          <w:rFonts w:ascii="Cambria" w:hAnsi="Cambria" w:cs="Calibri Light"/>
          <w:color w:val="000000" w:themeColor="text1"/>
          <w:sz w:val="20"/>
          <w:szCs w:val="20"/>
          <w:lang w:val="es-US"/>
        </w:rPr>
        <w:t xml:space="preserve"> y creación de una empresa municipal para otorgar servicio eléctrico a la comunidad</w:t>
      </w:r>
      <w:r w:rsidRPr="00840047">
        <w:rPr>
          <w:rFonts w:ascii="Cambria" w:hAnsi="Cambria" w:cs="Calibri Light"/>
          <w:color w:val="000000" w:themeColor="text1"/>
          <w:sz w:val="20"/>
          <w:szCs w:val="20"/>
          <w:lang w:val="es-US"/>
        </w:rPr>
        <w:t>.</w:t>
      </w:r>
    </w:p>
    <w:p w14:paraId="3D93E0EA" w14:textId="77777777" w:rsidR="00354309" w:rsidRPr="00840047" w:rsidRDefault="00354309" w:rsidP="00354309">
      <w:pPr>
        <w:spacing w:after="0" w:line="240" w:lineRule="auto"/>
        <w:jc w:val="both"/>
        <w:rPr>
          <w:rFonts w:ascii="Cambria" w:hAnsi="Cambria" w:cs="Calibri Light"/>
          <w:color w:val="000000" w:themeColor="text1"/>
          <w:sz w:val="20"/>
          <w:szCs w:val="20"/>
          <w:lang w:val="es-US"/>
        </w:rPr>
      </w:pPr>
    </w:p>
    <w:p w14:paraId="4DC2B257" w14:textId="184BFA84" w:rsidR="00354309" w:rsidRPr="00840047" w:rsidRDefault="00354309" w:rsidP="00354309">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bCs/>
          <w:color w:val="000000" w:themeColor="text1"/>
          <w:sz w:val="20"/>
          <w:szCs w:val="20"/>
          <w:lang w:val="es-US"/>
        </w:rPr>
        <w:t xml:space="preserve">Asimismo, </w:t>
      </w:r>
      <w:r w:rsidR="002215DD" w:rsidRPr="00840047">
        <w:rPr>
          <w:rFonts w:ascii="Cambria" w:hAnsi="Cambria" w:cs="Calibri Light"/>
          <w:bCs/>
          <w:color w:val="000000" w:themeColor="text1"/>
          <w:sz w:val="20"/>
          <w:szCs w:val="20"/>
          <w:lang w:val="es-US"/>
        </w:rPr>
        <w:t xml:space="preserve">en 2021, </w:t>
      </w:r>
      <w:r w:rsidRPr="00840047">
        <w:rPr>
          <w:rFonts w:ascii="Cambria" w:hAnsi="Cambria" w:cs="Calibri Light"/>
          <w:bCs/>
          <w:color w:val="000000" w:themeColor="text1"/>
          <w:sz w:val="20"/>
          <w:szCs w:val="20"/>
          <w:lang w:val="es-US"/>
        </w:rPr>
        <w:t>el Estado refirió que la</w:t>
      </w:r>
      <w:r w:rsidRPr="00840047">
        <w:rPr>
          <w:rFonts w:ascii="Cambria" w:hAnsi="Cambria" w:cs="Calibri Light"/>
          <w:b/>
          <w:color w:val="000000" w:themeColor="text1"/>
          <w:sz w:val="20"/>
          <w:szCs w:val="20"/>
          <w:lang w:val="es-US"/>
        </w:rPr>
        <w:t xml:space="preserve"> </w:t>
      </w:r>
      <w:proofErr w:type="spellStart"/>
      <w:r w:rsidRPr="00840047">
        <w:rPr>
          <w:rFonts w:ascii="Cambria" w:hAnsi="Cambria" w:cs="Calibri Light"/>
          <w:color w:val="000000" w:themeColor="text1"/>
          <w:sz w:val="20"/>
          <w:szCs w:val="20"/>
          <w:lang w:val="es-US"/>
        </w:rPr>
        <w:t>Administración</w:t>
      </w:r>
      <w:proofErr w:type="spellEnd"/>
      <w:r w:rsidRPr="00840047">
        <w:rPr>
          <w:rFonts w:ascii="Cambria" w:hAnsi="Cambria" w:cs="Calibri Light"/>
          <w:color w:val="000000" w:themeColor="text1"/>
          <w:sz w:val="20"/>
          <w:szCs w:val="20"/>
          <w:lang w:val="es-US"/>
        </w:rPr>
        <w:t xml:space="preserve"> Municipal, dirigida por el Sr. </w:t>
      </w:r>
      <w:proofErr w:type="gramStart"/>
      <w:r w:rsidRPr="00840047">
        <w:rPr>
          <w:rFonts w:ascii="Cambria" w:hAnsi="Cambria" w:cs="Calibri Light"/>
          <w:color w:val="000000" w:themeColor="text1"/>
          <w:sz w:val="20"/>
          <w:szCs w:val="20"/>
          <w:lang w:val="es-US"/>
        </w:rPr>
        <w:t>Alcalde</w:t>
      </w:r>
      <w:proofErr w:type="gramEnd"/>
      <w:r w:rsidRPr="00840047">
        <w:rPr>
          <w:rFonts w:ascii="Cambria" w:hAnsi="Cambria" w:cs="Calibri Light"/>
          <w:color w:val="000000" w:themeColor="text1"/>
          <w:sz w:val="20"/>
          <w:szCs w:val="20"/>
          <w:lang w:val="es-US"/>
        </w:rPr>
        <w:t xml:space="preserve"> Marcos Rafael Silva Miranda, ha fortalecido y facilitado la libertad de </w:t>
      </w:r>
      <w:proofErr w:type="spellStart"/>
      <w:r w:rsidRPr="00840047">
        <w:rPr>
          <w:rFonts w:ascii="Cambria" w:hAnsi="Cambria" w:cs="Calibri Light"/>
          <w:color w:val="000000" w:themeColor="text1"/>
          <w:sz w:val="20"/>
          <w:szCs w:val="20"/>
          <w:lang w:val="es-US"/>
        </w:rPr>
        <w:t>opinión</w:t>
      </w:r>
      <w:proofErr w:type="spellEnd"/>
      <w:r w:rsidRPr="00840047">
        <w:rPr>
          <w:rFonts w:ascii="Cambria" w:hAnsi="Cambria" w:cs="Calibri Light"/>
          <w:color w:val="000000" w:themeColor="text1"/>
          <w:sz w:val="20"/>
          <w:szCs w:val="20"/>
          <w:lang w:val="es-US"/>
        </w:rPr>
        <w:t xml:space="preserve"> y </w:t>
      </w:r>
      <w:proofErr w:type="spellStart"/>
      <w:r w:rsidRPr="00840047">
        <w:rPr>
          <w:rFonts w:ascii="Cambria" w:hAnsi="Cambria" w:cs="Calibri Light"/>
          <w:color w:val="000000" w:themeColor="text1"/>
          <w:sz w:val="20"/>
          <w:szCs w:val="20"/>
          <w:lang w:val="es-US"/>
        </w:rPr>
        <w:t>expresión</w:t>
      </w:r>
      <w:proofErr w:type="spellEnd"/>
      <w:r w:rsidRPr="00840047">
        <w:rPr>
          <w:rFonts w:ascii="Cambria" w:hAnsi="Cambria" w:cs="Calibri Light"/>
          <w:color w:val="000000" w:themeColor="text1"/>
          <w:sz w:val="20"/>
          <w:szCs w:val="20"/>
          <w:lang w:val="es-US"/>
        </w:rPr>
        <w:t xml:space="preserve"> para los habitantes de la Comuna. De esa forma, </w:t>
      </w:r>
      <w:r w:rsidR="002215DD" w:rsidRPr="00840047">
        <w:rPr>
          <w:rFonts w:ascii="Cambria" w:hAnsi="Cambria" w:cs="Calibri Light"/>
          <w:color w:val="000000" w:themeColor="text1"/>
          <w:sz w:val="20"/>
          <w:szCs w:val="20"/>
          <w:lang w:val="es-US"/>
        </w:rPr>
        <w:t>la</w:t>
      </w:r>
      <w:r w:rsidRPr="00840047">
        <w:rPr>
          <w:rFonts w:ascii="Cambria" w:hAnsi="Cambria" w:cs="Calibri Light"/>
          <w:color w:val="000000" w:themeColor="text1"/>
          <w:sz w:val="20"/>
          <w:szCs w:val="20"/>
          <w:lang w:val="es-US"/>
        </w:rPr>
        <w:t xml:space="preserve"> autoridad municipal ha expresado su compromiso de velar por la libertad de </w:t>
      </w:r>
      <w:proofErr w:type="spellStart"/>
      <w:r w:rsidRPr="00840047">
        <w:rPr>
          <w:rFonts w:ascii="Cambria" w:hAnsi="Cambria" w:cs="Calibri Light"/>
          <w:color w:val="000000" w:themeColor="text1"/>
          <w:sz w:val="20"/>
          <w:szCs w:val="20"/>
          <w:lang w:val="es-US"/>
        </w:rPr>
        <w:t>opinión</w:t>
      </w:r>
      <w:proofErr w:type="spellEnd"/>
      <w:r w:rsidRPr="00840047">
        <w:rPr>
          <w:rFonts w:ascii="Cambria" w:hAnsi="Cambria" w:cs="Calibri Light"/>
          <w:color w:val="000000" w:themeColor="text1"/>
          <w:sz w:val="20"/>
          <w:szCs w:val="20"/>
          <w:lang w:val="es-US"/>
        </w:rPr>
        <w:t xml:space="preserve"> y de </w:t>
      </w:r>
      <w:proofErr w:type="spellStart"/>
      <w:r w:rsidRPr="00840047">
        <w:rPr>
          <w:rFonts w:ascii="Cambria" w:hAnsi="Cambria" w:cs="Calibri Light"/>
          <w:color w:val="000000" w:themeColor="text1"/>
          <w:sz w:val="20"/>
          <w:szCs w:val="20"/>
          <w:lang w:val="es-US"/>
        </w:rPr>
        <w:t>información</w:t>
      </w:r>
      <w:proofErr w:type="spellEnd"/>
      <w:r w:rsidRPr="00840047">
        <w:rPr>
          <w:rFonts w:ascii="Cambria" w:hAnsi="Cambria" w:cs="Calibri Light"/>
          <w:color w:val="000000" w:themeColor="text1"/>
          <w:sz w:val="20"/>
          <w:szCs w:val="20"/>
          <w:lang w:val="es-US"/>
        </w:rPr>
        <w:t xml:space="preserve"> como pilares de su </w:t>
      </w:r>
      <w:proofErr w:type="spellStart"/>
      <w:r w:rsidRPr="00840047">
        <w:rPr>
          <w:rFonts w:ascii="Cambria" w:hAnsi="Cambria" w:cs="Calibri Light"/>
          <w:color w:val="000000" w:themeColor="text1"/>
          <w:sz w:val="20"/>
          <w:szCs w:val="20"/>
          <w:lang w:val="es-US"/>
        </w:rPr>
        <w:t>gestión</w:t>
      </w:r>
      <w:proofErr w:type="spellEnd"/>
      <w:r w:rsidRPr="00840047">
        <w:rPr>
          <w:rFonts w:ascii="Cambria" w:hAnsi="Cambria" w:cs="Calibri Light"/>
          <w:color w:val="000000" w:themeColor="text1"/>
          <w:sz w:val="20"/>
          <w:szCs w:val="20"/>
          <w:lang w:val="es-US"/>
        </w:rPr>
        <w:t xml:space="preserve"> edilicia, y garantizar la continuidad del suministro del servicio a </w:t>
      </w:r>
      <w:proofErr w:type="spellStart"/>
      <w:r w:rsidRPr="00840047">
        <w:rPr>
          <w:rFonts w:ascii="Cambria" w:hAnsi="Cambria" w:cs="Calibri Light"/>
          <w:color w:val="000000" w:themeColor="text1"/>
          <w:sz w:val="20"/>
          <w:szCs w:val="20"/>
          <w:lang w:val="es-US"/>
        </w:rPr>
        <w:t>través</w:t>
      </w:r>
      <w:proofErr w:type="spellEnd"/>
      <w:r w:rsidRPr="00840047">
        <w:rPr>
          <w:rFonts w:ascii="Cambria" w:hAnsi="Cambria" w:cs="Calibri Light"/>
          <w:color w:val="000000" w:themeColor="text1"/>
          <w:sz w:val="20"/>
          <w:szCs w:val="20"/>
          <w:lang w:val="es-US"/>
        </w:rPr>
        <w:t xml:space="preserve"> del funcionamiento de la Planta </w:t>
      </w:r>
      <w:proofErr w:type="spellStart"/>
      <w:r w:rsidRPr="00840047">
        <w:rPr>
          <w:rFonts w:ascii="Cambria" w:hAnsi="Cambria" w:cs="Calibri Light"/>
          <w:color w:val="000000" w:themeColor="text1"/>
          <w:sz w:val="20"/>
          <w:szCs w:val="20"/>
          <w:lang w:val="es-US"/>
        </w:rPr>
        <w:t>Eléctrica</w:t>
      </w:r>
      <w:proofErr w:type="spellEnd"/>
      <w:r w:rsidRPr="00840047">
        <w:rPr>
          <w:rFonts w:ascii="Cambria" w:hAnsi="Cambria" w:cs="Calibri Light"/>
          <w:color w:val="000000" w:themeColor="text1"/>
          <w:sz w:val="20"/>
          <w:szCs w:val="20"/>
          <w:lang w:val="es-US"/>
        </w:rPr>
        <w:t xml:space="preserve"> Municipal. En ese sentido, el 2 septiembre de 2021, la Municipalidad de Guaitecas solicitó a la </w:t>
      </w:r>
      <w:proofErr w:type="spellStart"/>
      <w:r w:rsidRPr="00840047">
        <w:rPr>
          <w:rFonts w:ascii="Cambria" w:hAnsi="Cambria" w:cs="Calibri Light"/>
          <w:color w:val="000000" w:themeColor="text1"/>
          <w:sz w:val="20"/>
          <w:szCs w:val="20"/>
          <w:lang w:val="es-US"/>
        </w:rPr>
        <w:t>Gobernación</w:t>
      </w:r>
      <w:proofErr w:type="spellEnd"/>
      <w:r w:rsidRPr="00840047">
        <w:rPr>
          <w:rFonts w:ascii="Cambria" w:hAnsi="Cambria" w:cs="Calibri Light"/>
          <w:color w:val="000000" w:themeColor="text1"/>
          <w:sz w:val="20"/>
          <w:szCs w:val="20"/>
          <w:lang w:val="es-US"/>
        </w:rPr>
        <w:t xml:space="preserve"> Regional de </w:t>
      </w:r>
      <w:proofErr w:type="spellStart"/>
      <w:r w:rsidRPr="00840047">
        <w:rPr>
          <w:rFonts w:ascii="Cambria" w:hAnsi="Cambria" w:cs="Calibri Light"/>
          <w:color w:val="000000" w:themeColor="text1"/>
          <w:sz w:val="20"/>
          <w:szCs w:val="20"/>
          <w:lang w:val="es-US"/>
        </w:rPr>
        <w:t>Aysén</w:t>
      </w:r>
      <w:proofErr w:type="spellEnd"/>
      <w:r w:rsidRPr="00840047">
        <w:rPr>
          <w:rFonts w:ascii="Cambria" w:hAnsi="Cambria" w:cs="Calibri Light"/>
          <w:color w:val="000000" w:themeColor="text1"/>
          <w:sz w:val="20"/>
          <w:szCs w:val="20"/>
          <w:lang w:val="es-US"/>
        </w:rPr>
        <w:t xml:space="preserve"> un aumento del subsidio para la </w:t>
      </w:r>
      <w:proofErr w:type="spellStart"/>
      <w:r w:rsidRPr="00840047">
        <w:rPr>
          <w:rFonts w:ascii="Cambria" w:hAnsi="Cambria" w:cs="Calibri Light"/>
          <w:color w:val="000000" w:themeColor="text1"/>
          <w:sz w:val="20"/>
          <w:szCs w:val="20"/>
          <w:lang w:val="es-US"/>
        </w:rPr>
        <w:t>autogeneración</w:t>
      </w:r>
      <w:proofErr w:type="spellEnd"/>
      <w:r w:rsidRPr="00840047">
        <w:rPr>
          <w:rFonts w:ascii="Cambria" w:hAnsi="Cambria" w:cs="Calibri Light"/>
          <w:color w:val="000000" w:themeColor="text1"/>
          <w:sz w:val="20"/>
          <w:szCs w:val="20"/>
          <w:lang w:val="es-US"/>
        </w:rPr>
        <w:t xml:space="preserve"> del servicio de </w:t>
      </w:r>
      <w:proofErr w:type="spellStart"/>
      <w:r w:rsidRPr="00840047">
        <w:rPr>
          <w:rFonts w:ascii="Cambria" w:hAnsi="Cambria" w:cs="Calibri Light"/>
          <w:color w:val="000000" w:themeColor="text1"/>
          <w:sz w:val="20"/>
          <w:szCs w:val="20"/>
          <w:lang w:val="es-US"/>
        </w:rPr>
        <w:t>energía</w:t>
      </w:r>
      <w:proofErr w:type="spellEnd"/>
      <w:r w:rsidRPr="00840047">
        <w:rPr>
          <w:rFonts w:ascii="Cambria" w:hAnsi="Cambria" w:cs="Calibri Light"/>
          <w:color w:val="000000" w:themeColor="text1"/>
          <w:sz w:val="20"/>
          <w:szCs w:val="20"/>
          <w:lang w:val="es-US"/>
        </w:rPr>
        <w:t xml:space="preserve"> </w:t>
      </w:r>
      <w:proofErr w:type="spellStart"/>
      <w:r w:rsidRPr="00840047">
        <w:rPr>
          <w:rFonts w:ascii="Cambria" w:hAnsi="Cambria" w:cs="Calibri Light"/>
          <w:color w:val="000000" w:themeColor="text1"/>
          <w:sz w:val="20"/>
          <w:szCs w:val="20"/>
          <w:lang w:val="es-US"/>
        </w:rPr>
        <w:t>eléctrica</w:t>
      </w:r>
      <w:proofErr w:type="spellEnd"/>
      <w:r w:rsidRPr="00840047">
        <w:rPr>
          <w:rFonts w:ascii="Cambria" w:hAnsi="Cambria" w:cs="Calibri Light"/>
          <w:color w:val="000000" w:themeColor="text1"/>
          <w:sz w:val="20"/>
          <w:szCs w:val="20"/>
          <w:lang w:val="es-US"/>
        </w:rPr>
        <w:t xml:space="preserve"> para las localidades de Melinka y </w:t>
      </w:r>
      <w:proofErr w:type="spellStart"/>
      <w:r w:rsidRPr="00840047">
        <w:rPr>
          <w:rFonts w:ascii="Cambria" w:hAnsi="Cambria" w:cs="Calibri Light"/>
          <w:color w:val="000000" w:themeColor="text1"/>
          <w:sz w:val="20"/>
          <w:szCs w:val="20"/>
          <w:lang w:val="es-US"/>
        </w:rPr>
        <w:t>Repollal</w:t>
      </w:r>
      <w:proofErr w:type="spellEnd"/>
      <w:r w:rsidRPr="00840047">
        <w:rPr>
          <w:rFonts w:ascii="Cambria" w:hAnsi="Cambria" w:cs="Calibri Light"/>
          <w:color w:val="000000" w:themeColor="text1"/>
          <w:sz w:val="20"/>
          <w:szCs w:val="20"/>
          <w:lang w:val="es-US"/>
        </w:rPr>
        <w:t>, de aproximadamente $252 millones de pesos. El Estado destacó que dicho financiamiento se ha mantenido ininterrumpido durante los últimos 9 años.</w:t>
      </w:r>
    </w:p>
    <w:p w14:paraId="646EA27E" w14:textId="77777777" w:rsidR="00DD1DD8" w:rsidRPr="00840047" w:rsidRDefault="00DD1DD8" w:rsidP="00DD1DD8">
      <w:pPr>
        <w:pStyle w:val="ListParagraph"/>
        <w:rPr>
          <w:rFonts w:ascii="Cambria" w:hAnsi="Cambria" w:cs="Calibri Light"/>
          <w:color w:val="000000" w:themeColor="text1"/>
          <w:sz w:val="20"/>
          <w:szCs w:val="20"/>
          <w:lang w:val="es-US"/>
        </w:rPr>
      </w:pPr>
    </w:p>
    <w:p w14:paraId="0FA60BC2" w14:textId="2244A7F1" w:rsidR="00A97CAF" w:rsidRPr="00840047" w:rsidRDefault="00A97CAF" w:rsidP="00DD1DD8">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color w:val="000000" w:themeColor="text1"/>
          <w:sz w:val="20"/>
          <w:szCs w:val="20"/>
          <w:lang w:val="es-US"/>
        </w:rPr>
        <w:t xml:space="preserve">En 2019, los peticionarios informaron a la CIDH que la Radio Estrella de Mar contaba con el suministro de energía necesaria para su normal funcionamiento en un horario amplio. Sin embargo, informaron sobre su desconocimiento en torno a la celebración y existencia del convenio entre la Radio Estrella del Mar y la Radio de la Universidad de Valdivia referido por el Estado. </w:t>
      </w:r>
      <w:r w:rsidR="00DD1DD8" w:rsidRPr="00840047">
        <w:rPr>
          <w:rFonts w:ascii="Cambria" w:hAnsi="Cambria" w:cs="Calibri Light"/>
          <w:color w:val="000000" w:themeColor="text1"/>
          <w:sz w:val="20"/>
          <w:szCs w:val="20"/>
          <w:lang w:val="es-US"/>
        </w:rPr>
        <w:t xml:space="preserve">Los </w:t>
      </w:r>
      <w:r w:rsidRPr="00840047">
        <w:rPr>
          <w:rFonts w:ascii="Cambria" w:hAnsi="Cambria" w:cs="Calibri Light"/>
          <w:color w:val="000000" w:themeColor="text1"/>
          <w:sz w:val="20"/>
          <w:szCs w:val="20"/>
          <w:lang w:val="es-US"/>
        </w:rPr>
        <w:t xml:space="preserve">peticionarios sostuvieron que el suministro de energía eléctrica con el que cuenta la Radio Estrella del Mar deriva del hecho de que actualmente no existe un conflicto entre la Municipalidad de Melinka y la Radio, y no porque existan medidas específicas adoptadas por el Estado para garantizar este punto. </w:t>
      </w:r>
    </w:p>
    <w:p w14:paraId="6366C0A9" w14:textId="77777777" w:rsidR="003C6E0C" w:rsidRPr="00840047" w:rsidRDefault="003C6E0C" w:rsidP="003C6E0C">
      <w:pPr>
        <w:spacing w:after="0" w:line="240" w:lineRule="auto"/>
        <w:ind w:left="720"/>
        <w:jc w:val="both"/>
        <w:rPr>
          <w:rFonts w:ascii="Cambria" w:hAnsi="Cambria" w:cs="Calibri Light"/>
          <w:color w:val="000000" w:themeColor="text1"/>
          <w:sz w:val="20"/>
          <w:szCs w:val="20"/>
          <w:lang w:val="es-US"/>
        </w:rPr>
      </w:pPr>
    </w:p>
    <w:p w14:paraId="701DD01D" w14:textId="77777777" w:rsidR="00A97CAF" w:rsidRPr="00840047" w:rsidRDefault="00A97CAF" w:rsidP="00A97CAF">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color w:val="000000" w:themeColor="text1"/>
          <w:sz w:val="20"/>
          <w:szCs w:val="20"/>
          <w:lang w:val="es-US"/>
        </w:rPr>
        <w:t>Durante el 2020, los peticionarios señalaron la inexistencia de cambios en el estado de cumplimiento de esta recomendación. Informaron que la Radio Estrella del Mar mantiene el suministro de energía eléctrica por parte de la municipalidad. Sin embargo, a su juicio, esta recomendación debe seguir siendo supervisada por la CIDH en tanto que el Estado continúa sin aportar condiciones y garantías sobre la continuidad y aceptabilidad de la provisión del servicio de energía eléctrica. Además, los peticionarios señalaron que continúan a la espera de que el Estado les proporcione información clara y detallada sobre el Acuerdo alcanzado con la Radio de la Universidad de Valdivia.</w:t>
      </w:r>
    </w:p>
    <w:p w14:paraId="42C5E30B" w14:textId="77777777" w:rsidR="00A97CAF" w:rsidRPr="00840047" w:rsidRDefault="00A97CAF" w:rsidP="00A97CAF">
      <w:pPr>
        <w:spacing w:after="0" w:line="240" w:lineRule="auto"/>
        <w:ind w:left="720"/>
        <w:jc w:val="both"/>
        <w:rPr>
          <w:rFonts w:ascii="Cambria" w:hAnsi="Cambria" w:cs="Calibri Light"/>
          <w:color w:val="000000" w:themeColor="text1"/>
          <w:sz w:val="20"/>
          <w:szCs w:val="20"/>
          <w:lang w:val="es-US"/>
        </w:rPr>
      </w:pPr>
    </w:p>
    <w:p w14:paraId="3CA3F63C" w14:textId="77777777" w:rsidR="00A97CAF" w:rsidRPr="00840047" w:rsidRDefault="00A97CAF" w:rsidP="00A97CAF">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color w:val="000000" w:themeColor="text1"/>
          <w:sz w:val="20"/>
          <w:szCs w:val="20"/>
          <w:lang w:val="es-US"/>
        </w:rPr>
        <w:lastRenderedPageBreak/>
        <w:t xml:space="preserve">Por su parte, en el marco de la reunión de trabajo celebrada entre las partes y la Comisión durante su 173º Período de Sesiones, el Estado reiteró el hecho de que la Radio Estrella del Mar actualmente cuenta con el suministro de energía eléctrica que asegura su operación.  </w:t>
      </w:r>
    </w:p>
    <w:p w14:paraId="792A4272" w14:textId="77777777" w:rsidR="00A97CAF" w:rsidRPr="00840047" w:rsidRDefault="00A97CAF" w:rsidP="00A97CAF">
      <w:pPr>
        <w:spacing w:after="0" w:line="240" w:lineRule="auto"/>
        <w:jc w:val="both"/>
        <w:rPr>
          <w:rFonts w:ascii="Cambria" w:hAnsi="Cambria" w:cs="Calibri Light"/>
          <w:color w:val="000000" w:themeColor="text1"/>
          <w:sz w:val="20"/>
          <w:szCs w:val="20"/>
          <w:lang w:val="es-US"/>
        </w:rPr>
      </w:pPr>
    </w:p>
    <w:p w14:paraId="654409C5" w14:textId="51924776" w:rsidR="00A97CAF" w:rsidRPr="00840047" w:rsidRDefault="00A97CAF" w:rsidP="00354309">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color w:val="000000" w:themeColor="text1"/>
          <w:sz w:val="20"/>
          <w:szCs w:val="20"/>
          <w:lang w:val="es-US"/>
        </w:rPr>
        <w:t xml:space="preserve">La Comisión toma nota de la información suministrada </w:t>
      </w:r>
      <w:r w:rsidR="00354309" w:rsidRPr="00840047">
        <w:rPr>
          <w:rFonts w:ascii="Cambria" w:hAnsi="Cambria" w:cs="Calibri Light"/>
          <w:color w:val="000000" w:themeColor="text1"/>
          <w:sz w:val="20"/>
          <w:szCs w:val="20"/>
          <w:lang w:val="es-US"/>
        </w:rPr>
        <w:t>por el Estado y saluda la adopción de</w:t>
      </w:r>
      <w:r w:rsidR="00F6303D" w:rsidRPr="00840047">
        <w:rPr>
          <w:rFonts w:ascii="Cambria" w:hAnsi="Cambria" w:cs="Calibri Light"/>
          <w:color w:val="000000" w:themeColor="text1"/>
          <w:sz w:val="20"/>
          <w:szCs w:val="20"/>
          <w:lang w:val="es-US"/>
        </w:rPr>
        <w:t xml:space="preserve"> las</w:t>
      </w:r>
      <w:r w:rsidR="00354309" w:rsidRPr="00840047">
        <w:rPr>
          <w:rFonts w:ascii="Cambria" w:hAnsi="Cambria" w:cs="Calibri Light"/>
          <w:color w:val="000000" w:themeColor="text1"/>
          <w:sz w:val="20"/>
          <w:szCs w:val="20"/>
          <w:lang w:val="es-US"/>
        </w:rPr>
        <w:t xml:space="preserve"> medidas</w:t>
      </w:r>
      <w:r w:rsidR="00F6303D" w:rsidRPr="00840047">
        <w:rPr>
          <w:rFonts w:ascii="Cambria" w:hAnsi="Cambria" w:cs="Calibri Light"/>
          <w:color w:val="000000" w:themeColor="text1"/>
          <w:sz w:val="20"/>
          <w:szCs w:val="20"/>
          <w:lang w:val="es-US"/>
        </w:rPr>
        <w:t xml:space="preserve"> adoptadas</w:t>
      </w:r>
      <w:r w:rsidR="00354309" w:rsidRPr="00840047">
        <w:rPr>
          <w:rFonts w:ascii="Cambria" w:hAnsi="Cambria" w:cs="Calibri Light"/>
          <w:color w:val="000000" w:themeColor="text1"/>
          <w:sz w:val="20"/>
          <w:szCs w:val="20"/>
          <w:lang w:val="es-US"/>
        </w:rPr>
        <w:t xml:space="preserve"> para garantizar la estabilidad y permanencia </w:t>
      </w:r>
      <w:r w:rsidR="008041ED" w:rsidRPr="00840047">
        <w:rPr>
          <w:rFonts w:ascii="Cambria" w:hAnsi="Cambria" w:cs="Calibri Light"/>
          <w:color w:val="000000" w:themeColor="text1"/>
          <w:sz w:val="20"/>
          <w:szCs w:val="20"/>
          <w:lang w:val="es-US"/>
        </w:rPr>
        <w:t>de la</w:t>
      </w:r>
      <w:r w:rsidR="00354309" w:rsidRPr="00840047">
        <w:rPr>
          <w:rFonts w:ascii="Cambria" w:hAnsi="Cambria" w:cs="Calibri Light"/>
          <w:color w:val="000000" w:themeColor="text1"/>
          <w:sz w:val="20"/>
          <w:szCs w:val="20"/>
          <w:lang w:val="es-US"/>
        </w:rPr>
        <w:t xml:space="preserve"> Radio Estrella del Mar de Melinka </w:t>
      </w:r>
      <w:r w:rsidR="00F6303D" w:rsidRPr="00840047">
        <w:rPr>
          <w:rFonts w:ascii="Cambria" w:hAnsi="Cambria" w:cs="Calibri Light"/>
          <w:color w:val="000000" w:themeColor="text1"/>
          <w:sz w:val="20"/>
          <w:szCs w:val="20"/>
          <w:lang w:val="es-US"/>
        </w:rPr>
        <w:t>en el acceso</w:t>
      </w:r>
      <w:r w:rsidR="008041ED" w:rsidRPr="00840047">
        <w:rPr>
          <w:rFonts w:ascii="Cambria" w:hAnsi="Cambria" w:cs="Calibri Light"/>
          <w:color w:val="000000" w:themeColor="text1"/>
          <w:sz w:val="20"/>
          <w:szCs w:val="20"/>
          <w:lang w:val="es-US"/>
        </w:rPr>
        <w:t xml:space="preserve"> </w:t>
      </w:r>
      <w:r w:rsidR="00354309" w:rsidRPr="00840047">
        <w:rPr>
          <w:rFonts w:ascii="Cambria" w:hAnsi="Cambria" w:cs="Calibri Light"/>
          <w:color w:val="000000" w:themeColor="text1"/>
          <w:sz w:val="20"/>
          <w:szCs w:val="20"/>
          <w:lang w:val="es-US"/>
        </w:rPr>
        <w:t>al suministro de energía eléctrica en horario amplio</w:t>
      </w:r>
      <w:r w:rsidR="00F6303D" w:rsidRPr="00840047">
        <w:rPr>
          <w:rFonts w:ascii="Cambria" w:hAnsi="Cambria" w:cs="Calibri Light"/>
          <w:color w:val="000000" w:themeColor="text1"/>
          <w:sz w:val="20"/>
          <w:szCs w:val="20"/>
          <w:lang w:val="es-US"/>
        </w:rPr>
        <w:t xml:space="preserve"> que la ha permitido funcionar de manera </w:t>
      </w:r>
      <w:proofErr w:type="spellStart"/>
      <w:r w:rsidR="00F6303D" w:rsidRPr="00840047">
        <w:rPr>
          <w:rFonts w:ascii="Cambria" w:hAnsi="Cambria" w:cs="Calibri Light"/>
          <w:color w:val="000000" w:themeColor="text1"/>
          <w:sz w:val="20"/>
          <w:szCs w:val="20"/>
          <w:lang w:val="es-US"/>
        </w:rPr>
        <w:t>initerrumpida</w:t>
      </w:r>
      <w:proofErr w:type="spellEnd"/>
      <w:r w:rsidR="00354309" w:rsidRPr="00840047">
        <w:rPr>
          <w:rFonts w:ascii="Cambria" w:hAnsi="Cambria" w:cs="Calibri Light"/>
          <w:color w:val="000000" w:themeColor="text1"/>
          <w:sz w:val="20"/>
          <w:szCs w:val="20"/>
          <w:lang w:val="es-US"/>
        </w:rPr>
        <w:t xml:space="preserve">. </w:t>
      </w:r>
      <w:r w:rsidR="006F0B1C" w:rsidRPr="00840047">
        <w:rPr>
          <w:rFonts w:ascii="Cambria" w:hAnsi="Cambria"/>
          <w:color w:val="000000" w:themeColor="text1"/>
          <w:sz w:val="20"/>
          <w:szCs w:val="20"/>
          <w:lang w:val="es-CO"/>
        </w:rPr>
        <w:t>En vista de lo anterior, la Comisión observa que el Estado ha aportado información relevante para actualizar el estado de cumplimiento de esta recomendación y considera que el nivel de dicha recomendación es total</w:t>
      </w:r>
      <w:r w:rsidR="00354309" w:rsidRPr="00840047">
        <w:rPr>
          <w:rFonts w:ascii="Cambria" w:hAnsi="Cambria" w:cs="Calibri Light"/>
          <w:color w:val="000000" w:themeColor="text1"/>
          <w:sz w:val="20"/>
          <w:szCs w:val="20"/>
          <w:lang w:val="es-US"/>
        </w:rPr>
        <w:t>.</w:t>
      </w:r>
    </w:p>
    <w:p w14:paraId="7E37BC3B" w14:textId="77777777" w:rsidR="00A97CAF" w:rsidRPr="00840047" w:rsidRDefault="00A97CAF" w:rsidP="00A97CAF">
      <w:pPr>
        <w:spacing w:after="0" w:line="240" w:lineRule="auto"/>
        <w:ind w:left="720"/>
        <w:jc w:val="both"/>
        <w:rPr>
          <w:rFonts w:ascii="Cambria" w:hAnsi="Cambria" w:cs="Calibri Light"/>
          <w:color w:val="000000" w:themeColor="text1"/>
          <w:sz w:val="20"/>
          <w:szCs w:val="20"/>
          <w:lang w:val="es-US"/>
        </w:rPr>
      </w:pPr>
    </w:p>
    <w:p w14:paraId="3B3D1254" w14:textId="44C8A1D4" w:rsidR="00A97CAF" w:rsidRPr="00840047" w:rsidRDefault="00A97CAF" w:rsidP="00354309">
      <w:pPr>
        <w:numPr>
          <w:ilvl w:val="0"/>
          <w:numId w:val="24"/>
        </w:numPr>
        <w:autoSpaceDE w:val="0"/>
        <w:autoSpaceDN w:val="0"/>
        <w:adjustRightInd w:val="0"/>
        <w:spacing w:after="0" w:line="240" w:lineRule="auto"/>
        <w:ind w:left="0" w:firstLine="720"/>
        <w:jc w:val="both"/>
        <w:rPr>
          <w:rFonts w:ascii="Cambria" w:hAnsi="Cambria"/>
          <w:color w:val="000000" w:themeColor="text1"/>
          <w:sz w:val="20"/>
          <w:szCs w:val="20"/>
          <w:lang w:val="es-ES_tradnl"/>
        </w:rPr>
      </w:pPr>
      <w:r w:rsidRPr="00840047">
        <w:rPr>
          <w:rFonts w:ascii="Cambria" w:hAnsi="Cambria"/>
          <w:b/>
          <w:color w:val="000000" w:themeColor="text1"/>
          <w:sz w:val="20"/>
          <w:szCs w:val="20"/>
          <w:lang w:val="es-ES_tradnl"/>
        </w:rPr>
        <w:t>Respecto de la segunda recomendación</w:t>
      </w:r>
      <w:r w:rsidRPr="00840047">
        <w:rPr>
          <w:rFonts w:ascii="Cambria" w:hAnsi="Cambria"/>
          <w:color w:val="000000" w:themeColor="text1"/>
          <w:sz w:val="20"/>
          <w:szCs w:val="20"/>
          <w:lang w:val="es-ES_tradnl"/>
        </w:rPr>
        <w:t xml:space="preserve">, </w:t>
      </w:r>
      <w:r w:rsidR="00354309" w:rsidRPr="00840047">
        <w:rPr>
          <w:rFonts w:ascii="Cambria" w:hAnsi="Cambria"/>
          <w:color w:val="000000" w:themeColor="text1"/>
          <w:sz w:val="20"/>
          <w:szCs w:val="20"/>
          <w:lang w:val="es-ES_tradnl"/>
        </w:rPr>
        <w:t>e</w:t>
      </w:r>
      <w:r w:rsidRPr="00840047">
        <w:rPr>
          <w:rFonts w:ascii="Cambria" w:hAnsi="Cambria"/>
          <w:color w:val="000000" w:themeColor="text1"/>
          <w:sz w:val="20"/>
          <w:szCs w:val="20"/>
          <w:lang w:val="es-ES_tradnl"/>
        </w:rPr>
        <w:t>n 2019</w:t>
      </w:r>
      <w:r w:rsidR="00561104" w:rsidRPr="00840047">
        <w:rPr>
          <w:rFonts w:ascii="Cambria" w:hAnsi="Cambria"/>
          <w:color w:val="000000" w:themeColor="text1"/>
          <w:sz w:val="20"/>
          <w:szCs w:val="20"/>
          <w:lang w:val="es-ES_tradnl"/>
        </w:rPr>
        <w:t>,</w:t>
      </w:r>
      <w:r w:rsidRPr="00840047">
        <w:rPr>
          <w:rFonts w:ascii="Cambria" w:hAnsi="Cambria"/>
          <w:color w:val="000000" w:themeColor="text1"/>
          <w:sz w:val="20"/>
          <w:szCs w:val="20"/>
          <w:lang w:val="es-ES_tradnl"/>
        </w:rPr>
        <w:t xml:space="preserve"> el Estado informó el cumplimiento total de esta recomendación </w:t>
      </w:r>
      <w:r w:rsidRPr="00840047">
        <w:rPr>
          <w:rFonts w:ascii="Cambria" w:hAnsi="Cambria" w:cs="Calibri Light"/>
          <w:color w:val="000000" w:themeColor="text1"/>
          <w:sz w:val="20"/>
          <w:szCs w:val="20"/>
          <w:lang w:val="es-ES_tradnl"/>
        </w:rPr>
        <w:t xml:space="preserve">dado que se efectuó el pago a cada una de las 15 víctimas de un monto de 3000.00 USD mediante el Decreto Presidencial Nº 111 del 17 de agosto de 2015. </w:t>
      </w:r>
    </w:p>
    <w:p w14:paraId="709E8F32" w14:textId="77777777" w:rsidR="00354309" w:rsidRPr="00840047" w:rsidRDefault="00354309" w:rsidP="00354309">
      <w:pPr>
        <w:pStyle w:val="ListParagraph"/>
        <w:rPr>
          <w:rFonts w:ascii="Cambria" w:hAnsi="Cambria"/>
          <w:color w:val="000000" w:themeColor="text1"/>
          <w:sz w:val="20"/>
          <w:szCs w:val="20"/>
          <w:lang w:val="es-ES_tradnl"/>
        </w:rPr>
      </w:pPr>
    </w:p>
    <w:p w14:paraId="0DE85E30" w14:textId="579C10BC" w:rsidR="00354309" w:rsidRPr="00840047" w:rsidRDefault="00354309" w:rsidP="00354309">
      <w:pPr>
        <w:numPr>
          <w:ilvl w:val="0"/>
          <w:numId w:val="24"/>
        </w:numPr>
        <w:autoSpaceDE w:val="0"/>
        <w:autoSpaceDN w:val="0"/>
        <w:adjustRightInd w:val="0"/>
        <w:spacing w:after="0" w:line="240" w:lineRule="auto"/>
        <w:ind w:left="0" w:firstLine="720"/>
        <w:jc w:val="both"/>
        <w:rPr>
          <w:rFonts w:ascii="Cambria" w:hAnsi="Cambria"/>
          <w:color w:val="000000" w:themeColor="text1"/>
          <w:sz w:val="20"/>
          <w:szCs w:val="20"/>
          <w:lang w:val="es-ES_tradnl"/>
        </w:rPr>
      </w:pPr>
      <w:r w:rsidRPr="00840047">
        <w:rPr>
          <w:rFonts w:ascii="Cambria" w:hAnsi="Cambria"/>
          <w:color w:val="000000" w:themeColor="text1"/>
          <w:sz w:val="20"/>
          <w:szCs w:val="20"/>
          <w:lang w:val="es-ES_tradnl"/>
        </w:rPr>
        <w:t>En 2021</w:t>
      </w:r>
      <w:r w:rsidR="00561104" w:rsidRPr="00840047">
        <w:rPr>
          <w:rFonts w:ascii="Cambria" w:hAnsi="Cambria"/>
          <w:color w:val="000000" w:themeColor="text1"/>
          <w:sz w:val="20"/>
          <w:szCs w:val="20"/>
          <w:lang w:val="es-ES_tradnl"/>
        </w:rPr>
        <w:t>,</w:t>
      </w:r>
      <w:r w:rsidRPr="00840047">
        <w:rPr>
          <w:rFonts w:ascii="Cambria" w:hAnsi="Cambria"/>
          <w:color w:val="000000" w:themeColor="text1"/>
          <w:sz w:val="20"/>
          <w:szCs w:val="20"/>
          <w:lang w:val="es-ES_tradnl"/>
        </w:rPr>
        <w:t xml:space="preserve"> el Estado reiteró </w:t>
      </w:r>
      <w:r w:rsidR="00EC2993" w:rsidRPr="00840047">
        <w:rPr>
          <w:rFonts w:ascii="Cambria" w:hAnsi="Cambria"/>
          <w:color w:val="000000" w:themeColor="text1"/>
          <w:sz w:val="20"/>
          <w:szCs w:val="20"/>
          <w:lang w:val="es-ES_tradnl"/>
        </w:rPr>
        <w:t>la información remitida con anterioridad</w:t>
      </w:r>
      <w:r w:rsidRPr="00840047">
        <w:rPr>
          <w:rFonts w:ascii="Cambria" w:hAnsi="Cambria"/>
          <w:color w:val="000000" w:themeColor="text1"/>
          <w:sz w:val="20"/>
          <w:szCs w:val="20"/>
          <w:lang w:val="es-ES_tradnl"/>
        </w:rPr>
        <w:t xml:space="preserve">. En el caso de la </w:t>
      </w:r>
      <w:proofErr w:type="spellStart"/>
      <w:r w:rsidRPr="00840047">
        <w:rPr>
          <w:rFonts w:ascii="Cambria" w:hAnsi="Cambria"/>
          <w:color w:val="000000" w:themeColor="text1"/>
          <w:sz w:val="20"/>
          <w:szCs w:val="20"/>
          <w:lang w:val="es-ES_tradnl"/>
        </w:rPr>
        <w:t>víctima</w:t>
      </w:r>
      <w:proofErr w:type="spellEnd"/>
      <w:r w:rsidRPr="00840047">
        <w:rPr>
          <w:rFonts w:ascii="Cambria" w:hAnsi="Cambria"/>
          <w:color w:val="000000" w:themeColor="text1"/>
          <w:sz w:val="20"/>
          <w:szCs w:val="20"/>
          <w:lang w:val="es-ES_tradnl"/>
        </w:rPr>
        <w:t xml:space="preserve"> José Genaro </w:t>
      </w:r>
      <w:proofErr w:type="spellStart"/>
      <w:r w:rsidRPr="00840047">
        <w:rPr>
          <w:rFonts w:ascii="Cambria" w:hAnsi="Cambria"/>
          <w:color w:val="000000" w:themeColor="text1"/>
          <w:sz w:val="20"/>
          <w:szCs w:val="20"/>
          <w:lang w:val="es-ES_tradnl"/>
        </w:rPr>
        <w:t>Barría</w:t>
      </w:r>
      <w:proofErr w:type="spellEnd"/>
      <w:r w:rsidRPr="00840047">
        <w:rPr>
          <w:rFonts w:ascii="Cambria" w:hAnsi="Cambria"/>
          <w:color w:val="000000" w:themeColor="text1"/>
          <w:sz w:val="20"/>
          <w:szCs w:val="20"/>
          <w:lang w:val="es-ES_tradnl"/>
        </w:rPr>
        <w:t xml:space="preserve"> Barrientos, ya fallecido, el Estado refirió que del Decreto No</w:t>
      </w:r>
      <w:r w:rsidR="00EC2993" w:rsidRPr="00840047">
        <w:rPr>
          <w:rFonts w:ascii="Cambria" w:hAnsi="Cambria"/>
          <w:color w:val="000000" w:themeColor="text1"/>
          <w:sz w:val="20"/>
          <w:szCs w:val="20"/>
          <w:lang w:val="es-ES_tradnl"/>
        </w:rPr>
        <w:t>.</w:t>
      </w:r>
      <w:r w:rsidRPr="00840047">
        <w:rPr>
          <w:rFonts w:ascii="Cambria" w:hAnsi="Cambria"/>
          <w:color w:val="000000" w:themeColor="text1"/>
          <w:sz w:val="20"/>
          <w:szCs w:val="20"/>
          <w:lang w:val="es-ES_tradnl"/>
        </w:rPr>
        <w:t xml:space="preserve"> 111 del 17 de agosto de 2015 autorizó que el pago de </w:t>
      </w:r>
      <w:r w:rsidR="00EC2993" w:rsidRPr="00840047">
        <w:rPr>
          <w:rFonts w:ascii="Cambria" w:hAnsi="Cambria"/>
          <w:color w:val="000000" w:themeColor="text1"/>
          <w:sz w:val="20"/>
          <w:szCs w:val="20"/>
          <w:lang w:val="es-ES_tradnl"/>
        </w:rPr>
        <w:t xml:space="preserve">la </w:t>
      </w:r>
      <w:proofErr w:type="spellStart"/>
      <w:r w:rsidR="00346CB9" w:rsidRPr="00840047">
        <w:rPr>
          <w:rFonts w:ascii="Cambria" w:hAnsi="Cambria"/>
          <w:color w:val="000000" w:themeColor="text1"/>
          <w:sz w:val="20"/>
          <w:szCs w:val="20"/>
          <w:lang w:val="es-ES_tradnl"/>
        </w:rPr>
        <w:t>r</w:t>
      </w:r>
      <w:r w:rsidRPr="00840047">
        <w:rPr>
          <w:rFonts w:ascii="Cambria" w:hAnsi="Cambria"/>
          <w:color w:val="000000" w:themeColor="text1"/>
          <w:sz w:val="20"/>
          <w:szCs w:val="20"/>
          <w:lang w:val="es-ES_tradnl"/>
        </w:rPr>
        <w:t>eparación</w:t>
      </w:r>
      <w:proofErr w:type="spellEnd"/>
      <w:r w:rsidRPr="00840047">
        <w:rPr>
          <w:rFonts w:ascii="Cambria" w:hAnsi="Cambria"/>
          <w:color w:val="000000" w:themeColor="text1"/>
          <w:sz w:val="20"/>
          <w:szCs w:val="20"/>
          <w:lang w:val="es-ES_tradnl"/>
        </w:rPr>
        <w:t xml:space="preserve"> </w:t>
      </w:r>
      <w:proofErr w:type="spellStart"/>
      <w:r w:rsidRPr="00840047">
        <w:rPr>
          <w:rFonts w:ascii="Cambria" w:hAnsi="Cambria"/>
          <w:color w:val="000000" w:themeColor="text1"/>
          <w:sz w:val="20"/>
          <w:szCs w:val="20"/>
          <w:lang w:val="es-ES_tradnl"/>
        </w:rPr>
        <w:t>económica</w:t>
      </w:r>
      <w:proofErr w:type="spellEnd"/>
      <w:r w:rsidRPr="00840047">
        <w:rPr>
          <w:rFonts w:ascii="Cambria" w:hAnsi="Cambria"/>
          <w:color w:val="000000" w:themeColor="text1"/>
          <w:sz w:val="20"/>
          <w:szCs w:val="20"/>
          <w:lang w:val="es-ES_tradnl"/>
        </w:rPr>
        <w:t xml:space="preserve"> se </w:t>
      </w:r>
      <w:r w:rsidR="00EC2993" w:rsidRPr="00840047">
        <w:rPr>
          <w:rFonts w:ascii="Cambria" w:hAnsi="Cambria"/>
          <w:color w:val="000000" w:themeColor="text1"/>
          <w:sz w:val="20"/>
          <w:szCs w:val="20"/>
          <w:lang w:val="es-ES_tradnl"/>
        </w:rPr>
        <w:t>efectúe</w:t>
      </w:r>
      <w:r w:rsidRPr="00840047">
        <w:rPr>
          <w:rFonts w:ascii="Cambria" w:hAnsi="Cambria"/>
          <w:color w:val="000000" w:themeColor="text1"/>
          <w:sz w:val="20"/>
          <w:szCs w:val="20"/>
          <w:lang w:val="es-ES_tradnl"/>
        </w:rPr>
        <w:t xml:space="preserve"> a sus herederos. </w:t>
      </w:r>
      <w:r w:rsidR="00346CB9" w:rsidRPr="00840047">
        <w:rPr>
          <w:rFonts w:ascii="Cambria" w:hAnsi="Cambria"/>
          <w:color w:val="000000" w:themeColor="text1"/>
          <w:sz w:val="20"/>
          <w:szCs w:val="20"/>
          <w:lang w:val="es-ES_tradnl"/>
        </w:rPr>
        <w:t>Al respecto, el Estado indicó que se han efectuado todos los pagos dispuestos en ese decreto.</w:t>
      </w:r>
    </w:p>
    <w:p w14:paraId="26721601" w14:textId="77777777" w:rsidR="00354309" w:rsidRPr="00840047" w:rsidRDefault="00354309" w:rsidP="00354309">
      <w:pPr>
        <w:pStyle w:val="ListParagraph"/>
        <w:rPr>
          <w:rFonts w:ascii="Cambria" w:hAnsi="Cambria"/>
          <w:color w:val="000000" w:themeColor="text1"/>
          <w:sz w:val="20"/>
          <w:szCs w:val="20"/>
          <w:lang w:val="es-ES_tradnl"/>
        </w:rPr>
      </w:pPr>
    </w:p>
    <w:p w14:paraId="36C9A3D2" w14:textId="17496F06" w:rsidR="00354309" w:rsidRPr="00840047" w:rsidRDefault="00354309" w:rsidP="00354309">
      <w:pPr>
        <w:numPr>
          <w:ilvl w:val="0"/>
          <w:numId w:val="24"/>
        </w:numPr>
        <w:autoSpaceDE w:val="0"/>
        <w:autoSpaceDN w:val="0"/>
        <w:adjustRightInd w:val="0"/>
        <w:spacing w:after="0" w:line="240" w:lineRule="auto"/>
        <w:ind w:left="0" w:firstLine="720"/>
        <w:jc w:val="both"/>
        <w:rPr>
          <w:rFonts w:ascii="Cambria" w:hAnsi="Cambria"/>
          <w:color w:val="000000" w:themeColor="text1"/>
          <w:sz w:val="20"/>
          <w:szCs w:val="20"/>
          <w:lang w:val="es-ES_tradnl"/>
        </w:rPr>
      </w:pPr>
      <w:r w:rsidRPr="00840047">
        <w:rPr>
          <w:rFonts w:ascii="Cambria" w:hAnsi="Cambria"/>
          <w:color w:val="000000" w:themeColor="text1"/>
          <w:sz w:val="20"/>
          <w:szCs w:val="20"/>
          <w:lang w:val="es-ES_tradnl"/>
        </w:rPr>
        <w:t xml:space="preserve">En cuanto a la </w:t>
      </w:r>
      <w:proofErr w:type="spellStart"/>
      <w:r w:rsidRPr="00840047">
        <w:rPr>
          <w:rFonts w:ascii="Cambria" w:hAnsi="Cambria"/>
          <w:color w:val="000000" w:themeColor="text1"/>
          <w:sz w:val="20"/>
          <w:szCs w:val="20"/>
          <w:lang w:val="es-ES_tradnl"/>
        </w:rPr>
        <w:t>situación</w:t>
      </w:r>
      <w:proofErr w:type="spellEnd"/>
      <w:r w:rsidRPr="00840047">
        <w:rPr>
          <w:rFonts w:ascii="Cambria" w:hAnsi="Cambria"/>
          <w:color w:val="000000" w:themeColor="text1"/>
          <w:sz w:val="20"/>
          <w:szCs w:val="20"/>
          <w:lang w:val="es-ES_tradnl"/>
        </w:rPr>
        <w:t xml:space="preserve"> particular del pago a los herederos del Sr. </w:t>
      </w:r>
      <w:proofErr w:type="spellStart"/>
      <w:r w:rsidRPr="00840047">
        <w:rPr>
          <w:rFonts w:ascii="Cambria" w:hAnsi="Cambria"/>
          <w:color w:val="000000" w:themeColor="text1"/>
          <w:sz w:val="20"/>
          <w:szCs w:val="20"/>
          <w:lang w:val="es-ES_tradnl"/>
        </w:rPr>
        <w:t>Barría</w:t>
      </w:r>
      <w:proofErr w:type="spellEnd"/>
      <w:r w:rsidRPr="00840047">
        <w:rPr>
          <w:rFonts w:ascii="Cambria" w:hAnsi="Cambria"/>
          <w:color w:val="000000" w:themeColor="text1"/>
          <w:sz w:val="20"/>
          <w:szCs w:val="20"/>
          <w:lang w:val="es-ES_tradnl"/>
        </w:rPr>
        <w:t xml:space="preserve"> Barrientos, el Estado </w:t>
      </w:r>
      <w:r w:rsidR="00A30D2E" w:rsidRPr="00840047">
        <w:rPr>
          <w:rFonts w:ascii="Cambria" w:hAnsi="Cambria"/>
          <w:color w:val="000000" w:themeColor="text1"/>
          <w:sz w:val="20"/>
          <w:szCs w:val="20"/>
          <w:lang w:val="es-ES_tradnl"/>
        </w:rPr>
        <w:t>remitió</w:t>
      </w:r>
      <w:r w:rsidRPr="00840047">
        <w:rPr>
          <w:rFonts w:ascii="Cambria" w:hAnsi="Cambria"/>
          <w:color w:val="000000" w:themeColor="text1"/>
          <w:sz w:val="20"/>
          <w:szCs w:val="20"/>
          <w:lang w:val="es-ES_tradnl"/>
        </w:rPr>
        <w:t xml:space="preserve"> una copia del Poder Especial otorgado por el Sr. Daniel </w:t>
      </w:r>
      <w:proofErr w:type="spellStart"/>
      <w:r w:rsidRPr="00840047">
        <w:rPr>
          <w:rFonts w:ascii="Cambria" w:hAnsi="Cambria"/>
          <w:color w:val="000000" w:themeColor="text1"/>
          <w:sz w:val="20"/>
          <w:szCs w:val="20"/>
          <w:lang w:val="es-ES_tradnl"/>
        </w:rPr>
        <w:t>Andrés</w:t>
      </w:r>
      <w:proofErr w:type="spellEnd"/>
      <w:r w:rsidRPr="00840047">
        <w:rPr>
          <w:rFonts w:ascii="Cambria" w:hAnsi="Cambria"/>
          <w:color w:val="000000" w:themeColor="text1"/>
          <w:sz w:val="20"/>
          <w:szCs w:val="20"/>
          <w:lang w:val="es-ES_tradnl"/>
        </w:rPr>
        <w:t xml:space="preserve"> </w:t>
      </w:r>
      <w:proofErr w:type="spellStart"/>
      <w:r w:rsidRPr="00840047">
        <w:rPr>
          <w:rFonts w:ascii="Cambria" w:hAnsi="Cambria"/>
          <w:color w:val="000000" w:themeColor="text1"/>
          <w:sz w:val="20"/>
          <w:szCs w:val="20"/>
          <w:lang w:val="es-ES_tradnl"/>
        </w:rPr>
        <w:t>Barría</w:t>
      </w:r>
      <w:proofErr w:type="spellEnd"/>
      <w:r w:rsidRPr="00840047">
        <w:rPr>
          <w:rFonts w:ascii="Cambria" w:hAnsi="Cambria"/>
          <w:color w:val="000000" w:themeColor="text1"/>
          <w:sz w:val="20"/>
          <w:szCs w:val="20"/>
          <w:lang w:val="es-ES_tradnl"/>
        </w:rPr>
        <w:t xml:space="preserve"> </w:t>
      </w:r>
      <w:proofErr w:type="spellStart"/>
      <w:r w:rsidRPr="00840047">
        <w:rPr>
          <w:rFonts w:ascii="Cambria" w:hAnsi="Cambria"/>
          <w:color w:val="000000" w:themeColor="text1"/>
          <w:sz w:val="20"/>
          <w:szCs w:val="20"/>
          <w:lang w:val="es-ES_tradnl"/>
        </w:rPr>
        <w:t>Nahuelquin</w:t>
      </w:r>
      <w:proofErr w:type="spellEnd"/>
      <w:r w:rsidRPr="00840047">
        <w:rPr>
          <w:rFonts w:ascii="Cambria" w:hAnsi="Cambria"/>
          <w:color w:val="000000" w:themeColor="text1"/>
          <w:sz w:val="20"/>
          <w:szCs w:val="20"/>
          <w:lang w:val="es-ES_tradnl"/>
        </w:rPr>
        <w:t xml:space="preserve"> quien</w:t>
      </w:r>
      <w:r w:rsidR="00346CB9" w:rsidRPr="00840047">
        <w:rPr>
          <w:rFonts w:ascii="Cambria" w:hAnsi="Cambria"/>
          <w:color w:val="000000" w:themeColor="text1"/>
          <w:sz w:val="20"/>
          <w:szCs w:val="20"/>
          <w:lang w:val="es-ES_tradnl"/>
        </w:rPr>
        <w:t>,</w:t>
      </w:r>
      <w:r w:rsidRPr="00840047">
        <w:rPr>
          <w:rFonts w:ascii="Cambria" w:hAnsi="Cambria"/>
          <w:color w:val="000000" w:themeColor="text1"/>
          <w:sz w:val="20"/>
          <w:szCs w:val="20"/>
          <w:lang w:val="es-ES_tradnl"/>
        </w:rPr>
        <w:t xml:space="preserve"> en su calidad de heredero del Sr. José Genaro </w:t>
      </w:r>
      <w:proofErr w:type="spellStart"/>
      <w:r w:rsidRPr="00840047">
        <w:rPr>
          <w:rFonts w:ascii="Cambria" w:hAnsi="Cambria"/>
          <w:color w:val="000000" w:themeColor="text1"/>
          <w:sz w:val="20"/>
          <w:szCs w:val="20"/>
          <w:lang w:val="es-ES_tradnl"/>
        </w:rPr>
        <w:t>Barría</w:t>
      </w:r>
      <w:proofErr w:type="spellEnd"/>
      <w:r w:rsidRPr="00840047">
        <w:rPr>
          <w:rFonts w:ascii="Cambria" w:hAnsi="Cambria"/>
          <w:color w:val="000000" w:themeColor="text1"/>
          <w:sz w:val="20"/>
          <w:szCs w:val="20"/>
          <w:lang w:val="es-ES_tradnl"/>
        </w:rPr>
        <w:t xml:space="preserve"> Barrientos, confirió un mandato especial amplio y suficiente al Sr. Miguel </w:t>
      </w:r>
      <w:proofErr w:type="spellStart"/>
      <w:r w:rsidRPr="00840047">
        <w:rPr>
          <w:rFonts w:ascii="Cambria" w:hAnsi="Cambria"/>
          <w:color w:val="000000" w:themeColor="text1"/>
          <w:sz w:val="20"/>
          <w:szCs w:val="20"/>
          <w:lang w:val="es-ES_tradnl"/>
        </w:rPr>
        <w:t>Ángel</w:t>
      </w:r>
      <w:proofErr w:type="spellEnd"/>
      <w:r w:rsidRPr="00840047">
        <w:rPr>
          <w:rFonts w:ascii="Cambria" w:hAnsi="Cambria"/>
          <w:color w:val="000000" w:themeColor="text1"/>
          <w:sz w:val="20"/>
          <w:szCs w:val="20"/>
          <w:lang w:val="es-ES_tradnl"/>
        </w:rPr>
        <w:t xml:space="preserve"> Millar Silva para que </w:t>
      </w:r>
      <w:r w:rsidR="00A30D2E" w:rsidRPr="00840047">
        <w:rPr>
          <w:rFonts w:ascii="Cambria" w:hAnsi="Cambria"/>
          <w:color w:val="000000" w:themeColor="text1"/>
          <w:sz w:val="20"/>
          <w:szCs w:val="20"/>
          <w:lang w:val="es-ES_tradnl"/>
        </w:rPr>
        <w:t xml:space="preserve">se gire el cheque </w:t>
      </w:r>
      <w:r w:rsidRPr="00840047">
        <w:rPr>
          <w:rFonts w:ascii="Cambria" w:hAnsi="Cambria"/>
          <w:color w:val="000000" w:themeColor="text1"/>
          <w:sz w:val="20"/>
          <w:szCs w:val="20"/>
          <w:lang w:val="es-ES_tradnl"/>
        </w:rPr>
        <w:t xml:space="preserve">en su nombre </w:t>
      </w:r>
      <w:r w:rsidR="00A30D2E" w:rsidRPr="00840047">
        <w:rPr>
          <w:rFonts w:ascii="Cambria" w:hAnsi="Cambria"/>
          <w:color w:val="000000" w:themeColor="text1"/>
          <w:sz w:val="20"/>
          <w:szCs w:val="20"/>
          <w:lang w:val="es-ES_tradnl"/>
        </w:rPr>
        <w:t>por</w:t>
      </w:r>
      <w:r w:rsidRPr="00840047">
        <w:rPr>
          <w:rFonts w:ascii="Cambria" w:hAnsi="Cambria"/>
          <w:color w:val="000000" w:themeColor="text1"/>
          <w:sz w:val="20"/>
          <w:szCs w:val="20"/>
          <w:lang w:val="es-ES_tradnl"/>
        </w:rPr>
        <w:t xml:space="preserve"> parte del Ministerio de Relaciones Exteriores, en cumplimiento del pago ordenado por el Decreto No</w:t>
      </w:r>
      <w:r w:rsidR="00117F79" w:rsidRPr="00840047">
        <w:rPr>
          <w:rFonts w:ascii="Cambria" w:hAnsi="Cambria"/>
          <w:color w:val="000000" w:themeColor="text1"/>
          <w:sz w:val="20"/>
          <w:szCs w:val="20"/>
          <w:lang w:val="es-ES_tradnl"/>
        </w:rPr>
        <w:t>.</w:t>
      </w:r>
      <w:r w:rsidRPr="00840047">
        <w:rPr>
          <w:rFonts w:ascii="Cambria" w:hAnsi="Cambria"/>
          <w:color w:val="000000" w:themeColor="text1"/>
          <w:sz w:val="20"/>
          <w:szCs w:val="20"/>
          <w:lang w:val="es-ES_tradnl"/>
        </w:rPr>
        <w:t xml:space="preserve"> 111 del 17 de agosto de 2015. </w:t>
      </w:r>
      <w:r w:rsidR="00117F79" w:rsidRPr="00840047">
        <w:rPr>
          <w:rFonts w:ascii="Cambria" w:hAnsi="Cambria"/>
          <w:color w:val="000000" w:themeColor="text1"/>
          <w:sz w:val="20"/>
          <w:szCs w:val="20"/>
          <w:lang w:val="es-ES_tradnl"/>
        </w:rPr>
        <w:t>D</w:t>
      </w:r>
      <w:r w:rsidRPr="00840047">
        <w:rPr>
          <w:rFonts w:ascii="Cambria" w:hAnsi="Cambria"/>
          <w:color w:val="000000" w:themeColor="text1"/>
          <w:sz w:val="20"/>
          <w:szCs w:val="20"/>
          <w:lang w:val="es-ES_tradnl"/>
        </w:rPr>
        <w:t xml:space="preserve">e acuerdo con el </w:t>
      </w:r>
      <w:proofErr w:type="gramStart"/>
      <w:r w:rsidRPr="00840047">
        <w:rPr>
          <w:rFonts w:ascii="Cambria" w:hAnsi="Cambria"/>
          <w:color w:val="000000" w:themeColor="text1"/>
          <w:sz w:val="20"/>
          <w:szCs w:val="20"/>
          <w:lang w:val="es-ES_tradnl"/>
        </w:rPr>
        <w:t>Director</w:t>
      </w:r>
      <w:proofErr w:type="gramEnd"/>
      <w:r w:rsidR="00346CB9" w:rsidRPr="00840047">
        <w:rPr>
          <w:rFonts w:ascii="Cambria" w:hAnsi="Cambria"/>
          <w:color w:val="000000" w:themeColor="text1"/>
          <w:sz w:val="20"/>
          <w:szCs w:val="20"/>
          <w:lang w:val="es-ES_tradnl"/>
        </w:rPr>
        <w:t xml:space="preserve"> </w:t>
      </w:r>
      <w:r w:rsidRPr="00840047">
        <w:rPr>
          <w:rFonts w:ascii="Cambria" w:hAnsi="Cambria"/>
          <w:color w:val="000000" w:themeColor="text1"/>
          <w:sz w:val="20"/>
          <w:szCs w:val="20"/>
          <w:lang w:val="es-ES_tradnl"/>
        </w:rPr>
        <w:t xml:space="preserve">de Finanzas y Presupuesto del Ministerio de Relaciones Exteriores, dicho pago se </w:t>
      </w:r>
      <w:r w:rsidR="00117F79" w:rsidRPr="00840047">
        <w:rPr>
          <w:rFonts w:ascii="Cambria" w:hAnsi="Cambria"/>
          <w:color w:val="000000" w:themeColor="text1"/>
          <w:sz w:val="20"/>
          <w:szCs w:val="20"/>
          <w:lang w:val="es-ES_tradnl"/>
        </w:rPr>
        <w:t>efectuó</w:t>
      </w:r>
      <w:r w:rsidRPr="00840047">
        <w:rPr>
          <w:rFonts w:ascii="Cambria" w:hAnsi="Cambria"/>
          <w:color w:val="000000" w:themeColor="text1"/>
          <w:sz w:val="20"/>
          <w:szCs w:val="20"/>
          <w:lang w:val="es-ES_tradnl"/>
        </w:rPr>
        <w:t xml:space="preserve"> el 13 de febrero de 2017, </w:t>
      </w:r>
      <w:r w:rsidR="00117F79" w:rsidRPr="00840047">
        <w:rPr>
          <w:rFonts w:ascii="Cambria" w:hAnsi="Cambria"/>
          <w:color w:val="000000" w:themeColor="text1"/>
          <w:sz w:val="20"/>
          <w:szCs w:val="20"/>
          <w:lang w:val="es-ES_tradnl"/>
        </w:rPr>
        <w:t>cuando el</w:t>
      </w:r>
      <w:r w:rsidRPr="00840047">
        <w:rPr>
          <w:rFonts w:ascii="Cambria" w:hAnsi="Cambria"/>
          <w:color w:val="000000" w:themeColor="text1"/>
          <w:sz w:val="20"/>
          <w:szCs w:val="20"/>
          <w:lang w:val="es-ES_tradnl"/>
        </w:rPr>
        <w:t xml:space="preserve"> Sr. Miguel </w:t>
      </w:r>
      <w:proofErr w:type="spellStart"/>
      <w:r w:rsidRPr="00840047">
        <w:rPr>
          <w:rFonts w:ascii="Cambria" w:hAnsi="Cambria"/>
          <w:color w:val="000000" w:themeColor="text1"/>
          <w:sz w:val="20"/>
          <w:szCs w:val="20"/>
          <w:lang w:val="es-ES_tradnl"/>
        </w:rPr>
        <w:t>Ángel</w:t>
      </w:r>
      <w:proofErr w:type="spellEnd"/>
      <w:r w:rsidRPr="00840047">
        <w:rPr>
          <w:rFonts w:ascii="Cambria" w:hAnsi="Cambria"/>
          <w:color w:val="000000" w:themeColor="text1"/>
          <w:sz w:val="20"/>
          <w:szCs w:val="20"/>
          <w:lang w:val="es-ES_tradnl"/>
        </w:rPr>
        <w:t xml:space="preserve"> Millar Silva retiró el cheque. </w:t>
      </w:r>
    </w:p>
    <w:p w14:paraId="30F4F3C3" w14:textId="77777777" w:rsidR="00A97CAF" w:rsidRPr="00840047" w:rsidRDefault="00A97CAF" w:rsidP="00A97CAF">
      <w:pPr>
        <w:autoSpaceDE w:val="0"/>
        <w:autoSpaceDN w:val="0"/>
        <w:adjustRightInd w:val="0"/>
        <w:spacing w:after="0" w:line="240" w:lineRule="auto"/>
        <w:ind w:left="720"/>
        <w:jc w:val="both"/>
        <w:rPr>
          <w:rFonts w:ascii="Cambria" w:hAnsi="Cambria"/>
          <w:color w:val="000000" w:themeColor="text1"/>
          <w:sz w:val="20"/>
          <w:szCs w:val="20"/>
          <w:lang w:val="es-CR"/>
        </w:rPr>
      </w:pPr>
    </w:p>
    <w:p w14:paraId="4038521D" w14:textId="77777777" w:rsidR="00A97CAF" w:rsidRPr="00840047" w:rsidRDefault="00A97CAF" w:rsidP="00A97CAF">
      <w:pPr>
        <w:numPr>
          <w:ilvl w:val="0"/>
          <w:numId w:val="24"/>
        </w:numPr>
        <w:autoSpaceDE w:val="0"/>
        <w:autoSpaceDN w:val="0"/>
        <w:adjustRightInd w:val="0"/>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olor w:val="000000" w:themeColor="text1"/>
          <w:sz w:val="20"/>
          <w:szCs w:val="20"/>
          <w:lang w:val="es-CR"/>
        </w:rPr>
        <w:t xml:space="preserve">Los peticionarios informaron en 2016 que el Estado había realizado el pago de la indemnización a las víctimas de manera satisfactoria, pero que no había sido posible para los hijos de Genaro Barría realizar el cobro de la indemnización por problemas internos con los trámites </w:t>
      </w:r>
      <w:proofErr w:type="spellStart"/>
      <w:r w:rsidRPr="00840047">
        <w:rPr>
          <w:rFonts w:ascii="Cambria" w:hAnsi="Cambria"/>
          <w:color w:val="000000" w:themeColor="text1"/>
          <w:sz w:val="20"/>
          <w:szCs w:val="20"/>
          <w:lang w:val="es-CR"/>
        </w:rPr>
        <w:t>sucesorales</w:t>
      </w:r>
      <w:proofErr w:type="spellEnd"/>
      <w:r w:rsidRPr="00840047">
        <w:rPr>
          <w:rStyle w:val="FootnoteReference"/>
          <w:rFonts w:ascii="Cambria" w:hAnsi="Cambria"/>
          <w:color w:val="000000" w:themeColor="text1"/>
          <w:sz w:val="20"/>
          <w:szCs w:val="20"/>
          <w:lang w:val="es-CR"/>
        </w:rPr>
        <w:footnoteReference w:id="2"/>
      </w:r>
      <w:r w:rsidRPr="00840047">
        <w:rPr>
          <w:rFonts w:ascii="Cambria" w:hAnsi="Cambria"/>
          <w:color w:val="000000" w:themeColor="text1"/>
          <w:sz w:val="20"/>
          <w:szCs w:val="20"/>
          <w:lang w:val="es-CR"/>
        </w:rPr>
        <w:t xml:space="preserve">. En 2019, los peticionarios precisaron que habían sido informados que el Estado había cumplido con el pago de todas las indemnizaciones estipuladas en el Acuerdo, incluida la indemnización correspondiente a los hijos de Genaro Barría. Sin embargo, los peticionarios precisaron que a la fecha no cuentan con los comprobantes correspondientes que acrediten dicho pago por parte del Estado.  </w:t>
      </w:r>
    </w:p>
    <w:p w14:paraId="4BB2E6F2" w14:textId="77777777" w:rsidR="00A97CAF" w:rsidRPr="00840047" w:rsidRDefault="00A97CAF" w:rsidP="00A97CAF">
      <w:pPr>
        <w:autoSpaceDE w:val="0"/>
        <w:autoSpaceDN w:val="0"/>
        <w:adjustRightInd w:val="0"/>
        <w:spacing w:after="0" w:line="240" w:lineRule="auto"/>
        <w:jc w:val="both"/>
        <w:rPr>
          <w:rFonts w:ascii="Cambria" w:hAnsi="Cambria"/>
          <w:color w:val="000000" w:themeColor="text1"/>
          <w:sz w:val="20"/>
          <w:szCs w:val="20"/>
          <w:lang w:val="es-CR"/>
        </w:rPr>
      </w:pPr>
    </w:p>
    <w:p w14:paraId="7F34F9D6" w14:textId="3A8F9F15" w:rsidR="003C6E0C" w:rsidRPr="00840047" w:rsidRDefault="00A97CAF" w:rsidP="000A5E9A">
      <w:pPr>
        <w:numPr>
          <w:ilvl w:val="0"/>
          <w:numId w:val="24"/>
        </w:numPr>
        <w:autoSpaceDE w:val="0"/>
        <w:autoSpaceDN w:val="0"/>
        <w:adjustRightInd w:val="0"/>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color w:val="000000" w:themeColor="text1"/>
          <w:sz w:val="20"/>
          <w:szCs w:val="20"/>
          <w:lang w:val="es-US"/>
        </w:rPr>
        <w:t>La Comisión valora positivamente el pago de las indemnizaciones a favor de las víctimas</w:t>
      </w:r>
      <w:r w:rsidR="003C6E0C" w:rsidRPr="00840047">
        <w:rPr>
          <w:rFonts w:ascii="Cambria" w:hAnsi="Cambria" w:cs="Calibri Light"/>
          <w:color w:val="000000" w:themeColor="text1"/>
          <w:sz w:val="20"/>
          <w:szCs w:val="20"/>
          <w:lang w:val="es-US"/>
        </w:rPr>
        <w:t>, así como la remisión de los comprobantes que acreditan el pago de la indemnización</w:t>
      </w:r>
      <w:r w:rsidRPr="00840047">
        <w:rPr>
          <w:rFonts w:ascii="Cambria" w:hAnsi="Cambria" w:cs="Calibri Light"/>
          <w:color w:val="000000" w:themeColor="text1"/>
          <w:sz w:val="20"/>
          <w:szCs w:val="20"/>
          <w:lang w:val="es-US"/>
        </w:rPr>
        <w:t xml:space="preserve"> </w:t>
      </w:r>
      <w:r w:rsidR="003C6E0C" w:rsidRPr="00840047">
        <w:rPr>
          <w:rFonts w:ascii="Cambria" w:hAnsi="Cambria" w:cs="Calibri Light"/>
          <w:color w:val="000000" w:themeColor="text1"/>
          <w:sz w:val="20"/>
          <w:szCs w:val="20"/>
          <w:lang w:val="es-US"/>
        </w:rPr>
        <w:t xml:space="preserve">correspondiente a los hijos de Genaro Barría con el fin de dar por cumplida la supervisión de esta recomendación. </w:t>
      </w:r>
      <w:r w:rsidR="001A2B28" w:rsidRPr="00840047">
        <w:rPr>
          <w:rFonts w:ascii="Cambria" w:hAnsi="Cambria"/>
          <w:color w:val="000000" w:themeColor="text1"/>
          <w:sz w:val="20"/>
          <w:szCs w:val="20"/>
          <w:lang w:val="es-CO"/>
        </w:rPr>
        <w:t>En vista de lo anterior, la Comisión observa que el Estado ha aportado información relevante para actualizar el estado de cumplimiento de esta recomendación y considera que el nivel de dicha recomendación es total</w:t>
      </w:r>
      <w:r w:rsidR="001A2B28" w:rsidRPr="00840047">
        <w:rPr>
          <w:rFonts w:ascii="Cambria" w:hAnsi="Cambria" w:cs="Calibri Light"/>
          <w:color w:val="000000" w:themeColor="text1"/>
          <w:sz w:val="20"/>
          <w:szCs w:val="20"/>
          <w:lang w:val="es-US"/>
        </w:rPr>
        <w:t>.</w:t>
      </w:r>
    </w:p>
    <w:p w14:paraId="3288709A" w14:textId="77777777" w:rsidR="003C6E0C" w:rsidRPr="00840047" w:rsidRDefault="003C6E0C" w:rsidP="00A97CAF">
      <w:pPr>
        <w:spacing w:after="0" w:line="240" w:lineRule="auto"/>
        <w:jc w:val="both"/>
        <w:rPr>
          <w:rFonts w:ascii="Cambria" w:hAnsi="Cambria" w:cs="Calibri Light"/>
          <w:color w:val="000000" w:themeColor="text1"/>
          <w:sz w:val="20"/>
          <w:szCs w:val="20"/>
          <w:lang w:val="es-US"/>
        </w:rPr>
      </w:pPr>
    </w:p>
    <w:p w14:paraId="79B58F7B" w14:textId="210DCDE4" w:rsidR="00A97CAF" w:rsidRPr="00840047" w:rsidRDefault="00A97CAF" w:rsidP="00354309">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b/>
          <w:color w:val="000000" w:themeColor="text1"/>
          <w:sz w:val="20"/>
          <w:szCs w:val="20"/>
          <w:lang w:val="es-US"/>
        </w:rPr>
        <w:t>En relación con la tercera recomendación</w:t>
      </w:r>
      <w:r w:rsidRPr="00840047">
        <w:rPr>
          <w:rFonts w:ascii="Cambria" w:hAnsi="Cambria" w:cs="Calibri Light"/>
          <w:color w:val="000000" w:themeColor="text1"/>
          <w:sz w:val="20"/>
          <w:szCs w:val="20"/>
          <w:lang w:val="es-US"/>
        </w:rPr>
        <w:t xml:space="preserve">, </w:t>
      </w:r>
      <w:r w:rsidR="003C6E0C" w:rsidRPr="00840047">
        <w:rPr>
          <w:rFonts w:ascii="Cambria" w:hAnsi="Cambria" w:cs="Calibri Light"/>
          <w:color w:val="000000" w:themeColor="text1"/>
          <w:sz w:val="20"/>
          <w:szCs w:val="20"/>
          <w:lang w:val="es-US"/>
        </w:rPr>
        <w:t>E</w:t>
      </w:r>
      <w:r w:rsidRPr="00840047">
        <w:rPr>
          <w:rFonts w:ascii="Cambria" w:hAnsi="Cambria" w:cs="Calibri Light"/>
          <w:color w:val="000000" w:themeColor="text1"/>
          <w:sz w:val="20"/>
          <w:szCs w:val="20"/>
          <w:lang w:val="es-US"/>
        </w:rPr>
        <w:t xml:space="preserve">l 27 de </w:t>
      </w:r>
      <w:r w:rsidRPr="00840047">
        <w:rPr>
          <w:rFonts w:ascii="Cambria" w:hAnsi="Cambria"/>
          <w:color w:val="000000" w:themeColor="text1"/>
          <w:sz w:val="20"/>
          <w:szCs w:val="20"/>
          <w:lang w:val="es-CR"/>
        </w:rPr>
        <w:t xml:space="preserve">septiembre de 2016, se constituyó la Mesa de Trabajo según lo establecido en el acuerdo de cumplimiento de recomendaciones suscrito entre las partes, para impulsar el estudio de la pertinencia de la introducción de modificaciones al artículo 36b de la Ley Nº. 18.168 </w:t>
      </w:r>
      <w:proofErr w:type="gramStart"/>
      <w:r w:rsidRPr="00840047">
        <w:rPr>
          <w:rFonts w:ascii="Cambria" w:hAnsi="Cambria"/>
          <w:color w:val="000000" w:themeColor="text1"/>
          <w:sz w:val="20"/>
          <w:szCs w:val="20"/>
          <w:lang w:val="es-CR"/>
        </w:rPr>
        <w:t>General</w:t>
      </w:r>
      <w:proofErr w:type="gramEnd"/>
      <w:r w:rsidRPr="00840047">
        <w:rPr>
          <w:rFonts w:ascii="Cambria" w:hAnsi="Cambria"/>
          <w:color w:val="000000" w:themeColor="text1"/>
          <w:sz w:val="20"/>
          <w:szCs w:val="20"/>
          <w:lang w:val="es-CR"/>
        </w:rPr>
        <w:t xml:space="preserve"> de Telecomunicaciones</w:t>
      </w:r>
      <w:r w:rsidRPr="00840047">
        <w:rPr>
          <w:rStyle w:val="FootnoteReference"/>
          <w:rFonts w:ascii="Cambria" w:hAnsi="Cambria"/>
          <w:color w:val="000000" w:themeColor="text1"/>
          <w:sz w:val="20"/>
          <w:szCs w:val="20"/>
          <w:lang w:val="es-CR"/>
        </w:rPr>
        <w:footnoteReference w:id="3"/>
      </w:r>
      <w:r w:rsidRPr="00840047">
        <w:rPr>
          <w:rFonts w:ascii="Cambria" w:hAnsi="Cambria"/>
          <w:color w:val="000000" w:themeColor="text1"/>
          <w:sz w:val="20"/>
          <w:szCs w:val="20"/>
          <w:lang w:val="es-CR"/>
        </w:rPr>
        <w:t xml:space="preserve">. </w:t>
      </w:r>
      <w:r w:rsidRPr="00840047">
        <w:rPr>
          <w:rFonts w:ascii="Cambria" w:hAnsi="Cambria" w:cs="Calibri Light"/>
          <w:color w:val="000000" w:themeColor="text1"/>
          <w:sz w:val="20"/>
          <w:szCs w:val="20"/>
          <w:lang w:val="es-US"/>
        </w:rPr>
        <w:t xml:space="preserve">En 2018, el Estado informó que después de la reunión de trabajo realizada en el marco del 168º Periodo de Sesiones de la CIDH, las partes se reunieron el 19 de junio de 2018 para discutir los avances en el cumplimiento de los compromisos acordados en dicha reunión. Asimismo, el Estado informó que, de manera independiente del acuerdo de cumplimiento, la Subsecretaría de </w:t>
      </w:r>
      <w:r w:rsidRPr="00840047">
        <w:rPr>
          <w:rFonts w:ascii="Cambria" w:hAnsi="Cambria" w:cs="Calibri Light"/>
          <w:color w:val="000000" w:themeColor="text1"/>
          <w:sz w:val="20"/>
          <w:szCs w:val="20"/>
          <w:lang w:val="es-US"/>
        </w:rPr>
        <w:lastRenderedPageBreak/>
        <w:t>Telecomunicaciones ha trabajado en una mesa técnica en conjunto con la Asociación Mundial de Radios Comunitarios, Asociación Nacional de Radios Comunitarias y Ciudadanas de Chile y la Asociación de Radiodifusores de Chile para la elaboración de una propuesta en el marco del proyecto de ley que modifica la pena para la radiodifusión no autorizada. La misma incluye la modificación del artículo 36b de la Ley Nº 18.168, existiendo acuerdo por parte de los integrantes de la mesa respecto de la necesidad de su despenalización. Dicho proyecto fue aprobado por el Senado en su primer trámite constitucional el 14 de marzo de 2018, pasando al día siguiente a la Comisión de Obras Públicas, Transportes y Telecomunicaciones. De acuerdo con información proporcionada por el Estado durante el 2019, el proyecto referido continúa en primer trámite constitucional en la Comisión de Obras Públicas, Transportes y Telecomunicaciones.</w:t>
      </w:r>
    </w:p>
    <w:p w14:paraId="29A077AD" w14:textId="77777777" w:rsidR="00861F8C" w:rsidRPr="00840047" w:rsidRDefault="00861F8C" w:rsidP="00861F8C">
      <w:pPr>
        <w:spacing w:after="0" w:line="240" w:lineRule="auto"/>
        <w:ind w:left="720"/>
        <w:jc w:val="both"/>
        <w:rPr>
          <w:rFonts w:ascii="Cambria" w:hAnsi="Cambria" w:cs="Calibri Light"/>
          <w:color w:val="000000" w:themeColor="text1"/>
          <w:sz w:val="20"/>
          <w:szCs w:val="20"/>
          <w:lang w:val="es-US"/>
        </w:rPr>
      </w:pPr>
    </w:p>
    <w:p w14:paraId="43C61483" w14:textId="7C0E82BE" w:rsidR="00861F8C" w:rsidRPr="00840047" w:rsidRDefault="00861F8C" w:rsidP="00861F8C">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color w:val="000000" w:themeColor="text1"/>
          <w:sz w:val="20"/>
          <w:szCs w:val="20"/>
          <w:lang w:val="es-US"/>
        </w:rPr>
        <w:t xml:space="preserve">En 2019, el Estado informó a la CIDH que sostuvo diversas reuniones encaminadas a analizar la propuesta enviada por los peticionarios y verificar su viabilidad. Asimismo, informó a la CIDH sobre la celebración de diversas reuniones de trabajo con la Universidad Austral que tuvieron como objetivo elaborar una propuesta para abordar el programa de fomento desde el trabajo que desarrollan con la comunidad a través de sus distintas radios. Frente a esto, los peticionarios señalaron no haber sido notificados de dichas reuniones y manifestaron su preocupación sobre la posibilidad de que el programa de fomento avance sin la participación de ellos. </w:t>
      </w:r>
    </w:p>
    <w:p w14:paraId="0FCA1308" w14:textId="77777777" w:rsidR="00354309" w:rsidRPr="00840047" w:rsidRDefault="00354309" w:rsidP="00354309">
      <w:pPr>
        <w:spacing w:after="0" w:line="240" w:lineRule="auto"/>
        <w:ind w:left="720"/>
        <w:jc w:val="both"/>
        <w:rPr>
          <w:rFonts w:ascii="Cambria" w:hAnsi="Cambria" w:cs="Calibri Light"/>
          <w:color w:val="000000" w:themeColor="text1"/>
          <w:sz w:val="20"/>
          <w:szCs w:val="20"/>
          <w:lang w:val="es-US"/>
        </w:rPr>
      </w:pPr>
    </w:p>
    <w:p w14:paraId="2EF6EC41" w14:textId="5668ADD7" w:rsidR="00EA5D31" w:rsidRPr="00840047" w:rsidRDefault="00354309" w:rsidP="00712F6D">
      <w:pPr>
        <w:numPr>
          <w:ilvl w:val="0"/>
          <w:numId w:val="24"/>
        </w:numPr>
        <w:spacing w:after="0" w:line="240" w:lineRule="auto"/>
        <w:ind w:left="0" w:firstLine="720"/>
        <w:jc w:val="both"/>
        <w:rPr>
          <w:rFonts w:ascii="Cambria" w:eastAsiaTheme="minorHAnsi" w:hAnsi="Cambria"/>
          <w:color w:val="000000" w:themeColor="text1"/>
          <w:sz w:val="20"/>
          <w:szCs w:val="20"/>
          <w:lang w:val="es-CO"/>
        </w:rPr>
      </w:pPr>
      <w:r w:rsidRPr="00840047">
        <w:rPr>
          <w:rFonts w:ascii="Cambria" w:hAnsi="Cambria" w:cs="Calibri Light"/>
          <w:color w:val="000000" w:themeColor="text1"/>
          <w:sz w:val="20"/>
          <w:szCs w:val="20"/>
          <w:lang w:val="es-US"/>
        </w:rPr>
        <w:t>En 2021</w:t>
      </w:r>
      <w:r w:rsidR="00CF7F3C" w:rsidRPr="00840047">
        <w:rPr>
          <w:rFonts w:ascii="Cambria" w:hAnsi="Cambria" w:cs="Calibri Light"/>
          <w:color w:val="000000" w:themeColor="text1"/>
          <w:sz w:val="20"/>
          <w:szCs w:val="20"/>
          <w:lang w:val="es-US"/>
        </w:rPr>
        <w:t>,</w:t>
      </w:r>
      <w:r w:rsidRPr="00840047">
        <w:rPr>
          <w:rFonts w:ascii="Cambria" w:hAnsi="Cambria" w:cs="Calibri Light"/>
          <w:color w:val="000000" w:themeColor="text1"/>
          <w:sz w:val="20"/>
          <w:szCs w:val="20"/>
          <w:lang w:val="es-US"/>
        </w:rPr>
        <w:t xml:space="preserve"> el Estado reiteró la información proporcionada </w:t>
      </w:r>
      <w:r w:rsidR="00EF6704" w:rsidRPr="00840047">
        <w:rPr>
          <w:rFonts w:ascii="Cambria" w:hAnsi="Cambria" w:cs="Calibri Light"/>
          <w:color w:val="000000" w:themeColor="text1"/>
          <w:sz w:val="20"/>
          <w:szCs w:val="20"/>
          <w:lang w:val="es-US"/>
        </w:rPr>
        <w:t>anteriormente</w:t>
      </w:r>
      <w:r w:rsidR="00CF7F3C" w:rsidRPr="00840047">
        <w:rPr>
          <w:rFonts w:ascii="Cambria" w:hAnsi="Cambria" w:cs="Calibri Light"/>
          <w:color w:val="000000" w:themeColor="text1"/>
          <w:sz w:val="20"/>
          <w:szCs w:val="20"/>
          <w:lang w:val="es-US"/>
        </w:rPr>
        <w:t xml:space="preserve">. </w:t>
      </w:r>
      <w:r w:rsidR="00EF6704" w:rsidRPr="00840047">
        <w:rPr>
          <w:rFonts w:ascii="Cambria" w:hAnsi="Cambria" w:cs="Calibri Light"/>
          <w:color w:val="000000" w:themeColor="text1"/>
          <w:sz w:val="20"/>
          <w:szCs w:val="20"/>
          <w:lang w:val="es-US"/>
        </w:rPr>
        <w:t>S</w:t>
      </w:r>
      <w:r w:rsidR="00CF7F3C" w:rsidRPr="00840047">
        <w:rPr>
          <w:rFonts w:ascii="Cambria" w:hAnsi="Cambria" w:cs="Calibri Light"/>
          <w:color w:val="000000" w:themeColor="text1"/>
          <w:sz w:val="20"/>
          <w:szCs w:val="20"/>
          <w:lang w:val="es-US"/>
        </w:rPr>
        <w:t xml:space="preserve">e refirió a la propuesta presentada por la parte peticionaria para impulsar el programa de fomento. </w:t>
      </w:r>
      <w:r w:rsidR="00EF6704" w:rsidRPr="00840047">
        <w:rPr>
          <w:rFonts w:ascii="Cambria" w:hAnsi="Cambria" w:cs="Calibri Light"/>
          <w:color w:val="000000" w:themeColor="text1"/>
          <w:sz w:val="20"/>
          <w:szCs w:val="20"/>
          <w:lang w:val="es-US"/>
        </w:rPr>
        <w:t>P</w:t>
      </w:r>
      <w:r w:rsidR="00D5468C" w:rsidRPr="00840047">
        <w:rPr>
          <w:rFonts w:ascii="Cambria" w:hAnsi="Cambria" w:cs="Calibri Light"/>
          <w:color w:val="000000" w:themeColor="text1"/>
          <w:sz w:val="20"/>
          <w:szCs w:val="20"/>
          <w:lang w:val="es-US"/>
        </w:rPr>
        <w:t xml:space="preserve">or ejemplo, </w:t>
      </w:r>
      <w:r w:rsidR="00CF7F3C" w:rsidRPr="00840047">
        <w:rPr>
          <w:rFonts w:ascii="Cambria" w:hAnsi="Cambria" w:cs="Calibri Light"/>
          <w:color w:val="000000" w:themeColor="text1"/>
          <w:sz w:val="20"/>
          <w:szCs w:val="20"/>
          <w:lang w:val="es-US"/>
        </w:rPr>
        <w:t>señaló que</w:t>
      </w:r>
      <w:r w:rsidR="00EF6704" w:rsidRPr="00840047">
        <w:rPr>
          <w:rFonts w:ascii="Cambria" w:hAnsi="Cambria" w:cs="Calibri Light"/>
          <w:color w:val="000000" w:themeColor="text1"/>
          <w:sz w:val="20"/>
          <w:szCs w:val="20"/>
          <w:lang w:val="es-US"/>
        </w:rPr>
        <w:t xml:space="preserve"> es factible </w:t>
      </w:r>
      <w:r w:rsidR="00EA5D31" w:rsidRPr="00840047">
        <w:rPr>
          <w:rFonts w:ascii="Cambria" w:eastAsiaTheme="minorHAnsi" w:hAnsi="Cambria"/>
          <w:color w:val="000000" w:themeColor="text1"/>
          <w:sz w:val="20"/>
          <w:szCs w:val="20"/>
          <w:lang w:val="es-CO"/>
        </w:rPr>
        <w:t xml:space="preserve">la opción de </w:t>
      </w:r>
      <w:r w:rsidR="00CF7F3C" w:rsidRPr="00840047">
        <w:rPr>
          <w:rFonts w:ascii="Cambria" w:eastAsiaTheme="minorHAnsi" w:hAnsi="Cambria"/>
          <w:i/>
          <w:iCs/>
          <w:color w:val="000000" w:themeColor="text1"/>
          <w:sz w:val="20"/>
          <w:szCs w:val="20"/>
          <w:lang w:val="es-CO"/>
        </w:rPr>
        <w:t>replicar en regiones el modelo de gestión de radios universitarias que ceden espacio a la sociedad civil</w:t>
      </w:r>
      <w:r w:rsidR="00CF7F3C" w:rsidRPr="00840047">
        <w:rPr>
          <w:rFonts w:ascii="Cambria" w:eastAsiaTheme="minorHAnsi" w:hAnsi="Cambria"/>
          <w:color w:val="000000" w:themeColor="text1"/>
          <w:sz w:val="20"/>
          <w:szCs w:val="20"/>
          <w:lang w:val="es-CO"/>
        </w:rPr>
        <w:t>.</w:t>
      </w:r>
      <w:r w:rsidR="00EA5D31" w:rsidRPr="00840047">
        <w:rPr>
          <w:rFonts w:ascii="Cambria" w:eastAsiaTheme="minorHAnsi" w:hAnsi="Cambria"/>
          <w:color w:val="000000" w:themeColor="text1"/>
          <w:sz w:val="20"/>
          <w:szCs w:val="20"/>
          <w:lang w:val="es-CO"/>
        </w:rPr>
        <w:t xml:space="preserve"> Sin embargo, aclaró que </w:t>
      </w:r>
      <w:r w:rsidR="00EF6704" w:rsidRPr="00840047">
        <w:rPr>
          <w:rFonts w:ascii="Cambria" w:eastAsiaTheme="minorHAnsi" w:hAnsi="Cambria"/>
          <w:color w:val="000000" w:themeColor="text1"/>
          <w:sz w:val="20"/>
          <w:szCs w:val="20"/>
          <w:lang w:val="es-CO"/>
        </w:rPr>
        <w:t xml:space="preserve">es cuestionable </w:t>
      </w:r>
      <w:r w:rsidR="00EA5D31" w:rsidRPr="00840047">
        <w:rPr>
          <w:rFonts w:ascii="Cambria" w:eastAsiaTheme="minorHAnsi" w:hAnsi="Cambria"/>
          <w:color w:val="000000" w:themeColor="text1"/>
          <w:sz w:val="20"/>
          <w:szCs w:val="20"/>
          <w:lang w:val="es-CO"/>
        </w:rPr>
        <w:t xml:space="preserve">una cesión de espacio en la programación que ocupe una parte significativa del tiempo </w:t>
      </w:r>
      <w:r w:rsidR="00712F6D" w:rsidRPr="00840047">
        <w:rPr>
          <w:rFonts w:ascii="Cambria" w:eastAsiaTheme="minorHAnsi" w:hAnsi="Cambria"/>
          <w:color w:val="000000" w:themeColor="text1"/>
          <w:sz w:val="20"/>
          <w:szCs w:val="20"/>
          <w:lang w:val="es-CO"/>
        </w:rPr>
        <w:t>y que esta cesión sólo puede tener cabida bajo la dirección y responsabilidad del titular de la radioemisora</w:t>
      </w:r>
      <w:r w:rsidR="00EA5D31" w:rsidRPr="00840047">
        <w:rPr>
          <w:rFonts w:ascii="Cambria" w:eastAsiaTheme="minorHAnsi" w:hAnsi="Cambria"/>
          <w:color w:val="000000" w:themeColor="text1"/>
          <w:sz w:val="20"/>
          <w:szCs w:val="20"/>
          <w:lang w:val="es-CO"/>
        </w:rPr>
        <w:t xml:space="preserve">. </w:t>
      </w:r>
      <w:r w:rsidR="00712F6D" w:rsidRPr="00840047">
        <w:rPr>
          <w:rFonts w:ascii="Cambria" w:eastAsiaTheme="minorHAnsi" w:hAnsi="Cambria"/>
          <w:color w:val="000000" w:themeColor="text1"/>
          <w:sz w:val="20"/>
          <w:szCs w:val="20"/>
          <w:lang w:val="es-CO"/>
        </w:rPr>
        <w:t>Al respecto,</w:t>
      </w:r>
      <w:r w:rsidR="00EA5D31" w:rsidRPr="00840047">
        <w:rPr>
          <w:rFonts w:ascii="Cambria" w:eastAsiaTheme="minorHAnsi" w:hAnsi="Cambria"/>
          <w:color w:val="000000" w:themeColor="text1"/>
          <w:sz w:val="20"/>
          <w:szCs w:val="20"/>
          <w:lang w:val="es-CO"/>
        </w:rPr>
        <w:t xml:space="preserve"> </w:t>
      </w:r>
      <w:r w:rsidR="00712F6D" w:rsidRPr="00840047">
        <w:rPr>
          <w:rFonts w:ascii="Cambria" w:eastAsiaTheme="minorHAnsi" w:hAnsi="Cambria"/>
          <w:color w:val="000000" w:themeColor="text1"/>
          <w:sz w:val="20"/>
          <w:szCs w:val="20"/>
          <w:lang w:val="es-CO"/>
        </w:rPr>
        <w:t>s</w:t>
      </w:r>
      <w:r w:rsidR="00EA5D31" w:rsidRPr="00840047">
        <w:rPr>
          <w:rFonts w:ascii="Cambria" w:eastAsiaTheme="minorHAnsi" w:hAnsi="Cambria"/>
          <w:color w:val="000000" w:themeColor="text1"/>
          <w:sz w:val="20"/>
          <w:szCs w:val="20"/>
          <w:lang w:val="es-CO"/>
        </w:rPr>
        <w:t xml:space="preserve">eñaló que los Acuerdos con los concesionarios de radiodifusión </w:t>
      </w:r>
      <w:r w:rsidR="00712F6D" w:rsidRPr="00840047">
        <w:rPr>
          <w:rFonts w:ascii="Cambria" w:eastAsiaTheme="minorHAnsi" w:hAnsi="Cambria"/>
          <w:color w:val="000000" w:themeColor="text1"/>
          <w:sz w:val="20"/>
          <w:szCs w:val="20"/>
          <w:lang w:val="es-CO"/>
        </w:rPr>
        <w:t>deberán acotar la cesión</w:t>
      </w:r>
      <w:r w:rsidR="00EA5D31" w:rsidRPr="00840047">
        <w:rPr>
          <w:rFonts w:ascii="Cambria" w:eastAsiaTheme="minorHAnsi" w:hAnsi="Cambria"/>
          <w:color w:val="000000" w:themeColor="text1"/>
          <w:sz w:val="20"/>
          <w:szCs w:val="20"/>
          <w:lang w:val="es-CO"/>
        </w:rPr>
        <w:t xml:space="preserve"> a terceros en el tiempo </w:t>
      </w:r>
      <w:r w:rsidR="00712F6D" w:rsidRPr="00840047">
        <w:rPr>
          <w:rFonts w:ascii="Cambria" w:eastAsiaTheme="minorHAnsi" w:hAnsi="Cambria"/>
          <w:color w:val="000000" w:themeColor="text1"/>
          <w:sz w:val="20"/>
          <w:szCs w:val="20"/>
          <w:lang w:val="es-CO"/>
        </w:rPr>
        <w:t>y</w:t>
      </w:r>
      <w:r w:rsidR="00EA5D31" w:rsidRPr="00840047">
        <w:rPr>
          <w:rFonts w:ascii="Cambria" w:eastAsiaTheme="minorHAnsi" w:hAnsi="Cambria"/>
          <w:color w:val="000000" w:themeColor="text1"/>
          <w:sz w:val="20"/>
          <w:szCs w:val="20"/>
          <w:lang w:val="es-CO"/>
        </w:rPr>
        <w:t xml:space="preserve"> en el espacio diario, semanal o mensual, sin que implique la cesión de la explotación de la concesión</w:t>
      </w:r>
      <w:r w:rsidR="00EF6704" w:rsidRPr="00840047">
        <w:rPr>
          <w:rFonts w:ascii="Cambria" w:eastAsiaTheme="minorHAnsi" w:hAnsi="Cambria"/>
          <w:color w:val="000000" w:themeColor="text1"/>
          <w:sz w:val="20"/>
          <w:szCs w:val="20"/>
          <w:lang w:val="es-CO"/>
        </w:rPr>
        <w:t xml:space="preserve"> y </w:t>
      </w:r>
      <w:r w:rsidR="00712F6D" w:rsidRPr="00840047">
        <w:rPr>
          <w:rFonts w:ascii="Cambria" w:eastAsiaTheme="minorHAnsi" w:hAnsi="Cambria"/>
          <w:color w:val="000000" w:themeColor="text1"/>
          <w:sz w:val="20"/>
          <w:szCs w:val="20"/>
          <w:lang w:val="es-CO"/>
        </w:rPr>
        <w:t>que l</w:t>
      </w:r>
      <w:r w:rsidR="00EA5D31" w:rsidRPr="00840047">
        <w:rPr>
          <w:rFonts w:ascii="Cambria" w:eastAsiaTheme="minorHAnsi" w:hAnsi="Cambria"/>
          <w:color w:val="000000" w:themeColor="text1"/>
          <w:sz w:val="20"/>
          <w:szCs w:val="20"/>
          <w:lang w:val="es-CO"/>
        </w:rPr>
        <w:t xml:space="preserve">os concesionarios seguirán obligados a </w:t>
      </w:r>
      <w:r w:rsidR="00712F6D" w:rsidRPr="00840047">
        <w:rPr>
          <w:rFonts w:ascii="Cambria" w:eastAsiaTheme="minorHAnsi" w:hAnsi="Cambria"/>
          <w:color w:val="000000" w:themeColor="text1"/>
          <w:sz w:val="20"/>
          <w:szCs w:val="20"/>
          <w:lang w:val="es-CO"/>
        </w:rPr>
        <w:t>cumplir</w:t>
      </w:r>
      <w:r w:rsidR="00EA5D31" w:rsidRPr="00840047">
        <w:rPr>
          <w:rFonts w:ascii="Cambria" w:eastAsiaTheme="minorHAnsi" w:hAnsi="Cambria"/>
          <w:color w:val="000000" w:themeColor="text1"/>
          <w:sz w:val="20"/>
          <w:szCs w:val="20"/>
          <w:lang w:val="es-CO"/>
        </w:rPr>
        <w:t xml:space="preserve"> normativa sectorial. En lo referente a que los espacios radiales </w:t>
      </w:r>
      <w:r w:rsidR="00EF6704" w:rsidRPr="00840047">
        <w:rPr>
          <w:rFonts w:ascii="Cambria" w:eastAsiaTheme="minorHAnsi" w:hAnsi="Cambria"/>
          <w:color w:val="000000" w:themeColor="text1"/>
          <w:sz w:val="20"/>
          <w:szCs w:val="20"/>
          <w:lang w:val="es-CO"/>
        </w:rPr>
        <w:t>sean</w:t>
      </w:r>
      <w:r w:rsidR="00EA5D31" w:rsidRPr="00840047">
        <w:rPr>
          <w:rFonts w:ascii="Cambria" w:eastAsiaTheme="minorHAnsi" w:hAnsi="Cambria"/>
          <w:color w:val="000000" w:themeColor="text1"/>
          <w:sz w:val="20"/>
          <w:szCs w:val="20"/>
          <w:lang w:val="es-CO"/>
        </w:rPr>
        <w:t xml:space="preserve"> más extensos, el Estado </w:t>
      </w:r>
      <w:r w:rsidR="00712F6D" w:rsidRPr="00840047">
        <w:rPr>
          <w:rFonts w:ascii="Cambria" w:eastAsiaTheme="minorHAnsi" w:hAnsi="Cambria"/>
          <w:color w:val="000000" w:themeColor="text1"/>
          <w:sz w:val="20"/>
          <w:szCs w:val="20"/>
          <w:lang w:val="es-CO"/>
        </w:rPr>
        <w:t>señaló</w:t>
      </w:r>
      <w:r w:rsidR="00EA5D31" w:rsidRPr="00840047">
        <w:rPr>
          <w:rFonts w:ascii="Cambria" w:eastAsiaTheme="minorHAnsi" w:hAnsi="Cambria"/>
          <w:color w:val="000000" w:themeColor="text1"/>
          <w:sz w:val="20"/>
          <w:szCs w:val="20"/>
          <w:lang w:val="es-CO"/>
        </w:rPr>
        <w:t xml:space="preserve"> que ello dependerá de un eventual Acuerdo con el concesionario en cuestión. Y respecto al hecho que la Radio Universidad Austral haya solicitado frecuencias en las comunas de La Unión, Lago Ranco y Los Lagos, para ampliar su cobertura </w:t>
      </w:r>
      <w:r w:rsidR="00EA5D31" w:rsidRPr="00840047">
        <w:rPr>
          <w:rFonts w:ascii="Cambria" w:hAnsi="Cambria"/>
          <w:color w:val="000000" w:themeColor="text1"/>
          <w:sz w:val="20"/>
          <w:szCs w:val="20"/>
        </w:rPr>
        <w:t xml:space="preserve">provincial, </w:t>
      </w:r>
      <w:r w:rsidR="00712F6D" w:rsidRPr="00840047">
        <w:rPr>
          <w:rFonts w:ascii="Cambria" w:hAnsi="Cambria"/>
          <w:color w:val="000000" w:themeColor="text1"/>
          <w:sz w:val="20"/>
          <w:szCs w:val="20"/>
        </w:rPr>
        <w:t>menci</w:t>
      </w:r>
      <w:r w:rsidR="00EF6704" w:rsidRPr="00840047">
        <w:rPr>
          <w:rFonts w:ascii="Cambria" w:hAnsi="Cambria"/>
          <w:color w:val="000000" w:themeColor="text1"/>
          <w:sz w:val="20"/>
          <w:szCs w:val="20"/>
        </w:rPr>
        <w:t>o</w:t>
      </w:r>
      <w:r w:rsidR="00712F6D" w:rsidRPr="00840047">
        <w:rPr>
          <w:rFonts w:ascii="Cambria" w:hAnsi="Cambria"/>
          <w:color w:val="000000" w:themeColor="text1"/>
          <w:sz w:val="20"/>
          <w:szCs w:val="20"/>
        </w:rPr>
        <w:t>nó</w:t>
      </w:r>
      <w:r w:rsidR="00EA5D31" w:rsidRPr="00840047">
        <w:rPr>
          <w:rFonts w:ascii="Cambria" w:hAnsi="Cambria"/>
          <w:color w:val="000000" w:themeColor="text1"/>
          <w:sz w:val="20"/>
          <w:szCs w:val="20"/>
        </w:rPr>
        <w:t xml:space="preserve"> que el otorgamiento de concesiones de radiodifusión sonora es reglado por ley y que, al ser el espectro radioeléctrico un bien escaso, no existen frecuencias disponibles en todas las localidades.</w:t>
      </w:r>
      <w:r w:rsidR="00D5468C" w:rsidRPr="00840047">
        <w:rPr>
          <w:rFonts w:ascii="Cambria" w:hAnsi="Cambria"/>
          <w:color w:val="000000" w:themeColor="text1"/>
          <w:sz w:val="20"/>
          <w:szCs w:val="20"/>
        </w:rPr>
        <w:t xml:space="preserve"> También, el Estado señaló que no ha sido posible convocar a nuevas reuniones y señaló </w:t>
      </w:r>
      <w:r w:rsidR="00EF6704" w:rsidRPr="00840047">
        <w:rPr>
          <w:rFonts w:ascii="Cambria" w:hAnsi="Cambria"/>
          <w:color w:val="000000" w:themeColor="text1"/>
          <w:sz w:val="20"/>
          <w:szCs w:val="20"/>
        </w:rPr>
        <w:t>su</w:t>
      </w:r>
      <w:r w:rsidR="00D5468C" w:rsidRPr="00840047">
        <w:rPr>
          <w:rFonts w:ascii="Cambria" w:hAnsi="Cambria"/>
          <w:color w:val="000000" w:themeColor="text1"/>
          <w:sz w:val="20"/>
          <w:szCs w:val="20"/>
        </w:rPr>
        <w:t xml:space="preserve"> disposición para que la parte peticionaria sea incluida en las conversaciones con la SUBTEL, SUBDERE y la Universidad Austral de Chile e indicó que informará sobre una fecha en la que se puedan reanudar las </w:t>
      </w:r>
      <w:r w:rsidR="00EF6704" w:rsidRPr="00840047">
        <w:rPr>
          <w:rFonts w:ascii="Cambria" w:hAnsi="Cambria"/>
          <w:color w:val="000000" w:themeColor="text1"/>
          <w:sz w:val="20"/>
          <w:szCs w:val="20"/>
        </w:rPr>
        <w:t>reuniones pertinentes</w:t>
      </w:r>
      <w:r w:rsidR="00D5468C" w:rsidRPr="00840047">
        <w:rPr>
          <w:rFonts w:ascii="Cambria" w:hAnsi="Cambria"/>
          <w:color w:val="000000" w:themeColor="text1"/>
          <w:sz w:val="20"/>
          <w:szCs w:val="20"/>
        </w:rPr>
        <w:t>.</w:t>
      </w:r>
    </w:p>
    <w:p w14:paraId="377012D3" w14:textId="77777777" w:rsidR="00A97CAF" w:rsidRPr="00840047" w:rsidRDefault="00A97CAF" w:rsidP="00A97CAF">
      <w:pPr>
        <w:spacing w:after="0" w:line="240" w:lineRule="auto"/>
        <w:jc w:val="both"/>
        <w:rPr>
          <w:rFonts w:ascii="Cambria" w:hAnsi="Cambria" w:cs="Calibri Light"/>
          <w:color w:val="000000" w:themeColor="text1"/>
          <w:sz w:val="20"/>
          <w:szCs w:val="20"/>
          <w:lang w:val="es-US"/>
        </w:rPr>
      </w:pPr>
    </w:p>
    <w:p w14:paraId="618EF71A" w14:textId="2F7FBEDC" w:rsidR="00A97CAF" w:rsidRPr="00840047" w:rsidRDefault="00A97CAF" w:rsidP="00A97CAF">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color w:val="000000" w:themeColor="text1"/>
          <w:sz w:val="20"/>
          <w:szCs w:val="20"/>
          <w:lang w:val="es-US"/>
        </w:rPr>
        <w:t>En 2020, los peticionarios informaron a la CIDH que, el 27 de septiembre de 2019, el Estado les hizo llegar una respuesta a su propuesta para dar cumplimiento al Programa de Fomento de Radiodifusión Ciudadana. Sin embargo, manifestaron su preocupación respecto de ciertos puntos contenidos en dicha respuesta. En primer lugar, señalaron que la implementación de dicho Programa debe considera</w:t>
      </w:r>
      <w:r w:rsidR="007D4985" w:rsidRPr="00840047">
        <w:rPr>
          <w:rFonts w:ascii="Cambria" w:hAnsi="Cambria" w:cs="Calibri Light"/>
          <w:color w:val="000000" w:themeColor="text1"/>
          <w:sz w:val="20"/>
          <w:szCs w:val="20"/>
          <w:lang w:val="es-US"/>
        </w:rPr>
        <w:t>r</w:t>
      </w:r>
      <w:r w:rsidRPr="00840047">
        <w:rPr>
          <w:rFonts w:ascii="Cambria" w:hAnsi="Cambria" w:cs="Calibri Light"/>
          <w:color w:val="000000" w:themeColor="text1"/>
          <w:sz w:val="20"/>
          <w:szCs w:val="20"/>
          <w:lang w:val="es-US"/>
        </w:rPr>
        <w:t xml:space="preserve"> a emisoras de radio que asuman un modelo de gestión de libre acceso público, y no sólo a aquellas que se inserten en los parámetros técnicos y legales previstos en la normatividad chilena. Precisaron que aun cuando la Radio Estrella del Mar es de origen privado, sus fines y objetivos </w:t>
      </w:r>
      <w:r w:rsidR="007D4985" w:rsidRPr="00840047">
        <w:rPr>
          <w:rFonts w:ascii="Cambria" w:hAnsi="Cambria" w:cs="Calibri Light"/>
          <w:color w:val="000000" w:themeColor="text1"/>
          <w:sz w:val="20"/>
          <w:szCs w:val="20"/>
          <w:lang w:val="es-US"/>
        </w:rPr>
        <w:t>son</w:t>
      </w:r>
      <w:r w:rsidRPr="00840047">
        <w:rPr>
          <w:rFonts w:ascii="Cambria" w:hAnsi="Cambria" w:cs="Calibri Light"/>
          <w:color w:val="000000" w:themeColor="text1"/>
          <w:sz w:val="20"/>
          <w:szCs w:val="20"/>
          <w:lang w:val="es-US"/>
        </w:rPr>
        <w:t xml:space="preserve"> públicos, comunitarios y no comerciales, razón por la que debería de ser reconocida en el marco de la implementación del Programa. Por tanto, desde su perspectiva, el argumento del Estado relacionado con la inexistencia legal de la categoría “radios públicas de libre acceso” representa en realidad una limitante para dar un efectivo cumplimiento al acuerdo. </w:t>
      </w:r>
    </w:p>
    <w:p w14:paraId="44AA811A" w14:textId="77777777" w:rsidR="00A97CAF" w:rsidRPr="00840047" w:rsidRDefault="00A97CAF" w:rsidP="00A97CAF">
      <w:pPr>
        <w:spacing w:after="0" w:line="240" w:lineRule="auto"/>
        <w:jc w:val="both"/>
        <w:rPr>
          <w:rFonts w:ascii="Cambria" w:hAnsi="Cambria" w:cs="Calibri Light"/>
          <w:color w:val="000000" w:themeColor="text1"/>
          <w:sz w:val="20"/>
          <w:szCs w:val="20"/>
          <w:lang w:val="es-US"/>
        </w:rPr>
      </w:pPr>
    </w:p>
    <w:p w14:paraId="5C27A86C" w14:textId="77777777" w:rsidR="00A97CAF" w:rsidRPr="00840047" w:rsidRDefault="00A97CAF" w:rsidP="00A97CAF">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color w:val="000000" w:themeColor="text1"/>
          <w:sz w:val="20"/>
          <w:szCs w:val="20"/>
          <w:lang w:val="es-US"/>
        </w:rPr>
        <w:t xml:space="preserve">Por otro lado, los peticionarios externaron sus dudas respecto a la intención del Estado de utilizar espacios públicos de radiodifusión existentes, en vez de generar esquemas nuevos que amplíen la participación de la sociedad civil mediante un incremento en el uso del espacio radioeléctrico. Sobre este punto, los peticionarios informaron que el Estado propuso celebrar convenios entre diversas Universidades y Gobiernos regionales a fin de ceder espacios radiales para la participación de la sociedad civil. Sin embargo, a juicio de los peticionarios, lo realmente importante y necesario para asegurar una adecuada implementación del Programa de Fomento de Radiodifusión Ciudadana es ampliar los espacios y no depender exclusivamente de aquellos espacios comerciales ya existentes. Informaron que actualmente, las Radios Universitarias ya ceden </w:t>
      </w:r>
      <w:r w:rsidRPr="00840047">
        <w:rPr>
          <w:rFonts w:ascii="Cambria" w:hAnsi="Cambria" w:cs="Calibri Light"/>
          <w:color w:val="000000" w:themeColor="text1"/>
          <w:sz w:val="20"/>
          <w:szCs w:val="20"/>
          <w:lang w:val="es-US"/>
        </w:rPr>
        <w:lastRenderedPageBreak/>
        <w:t xml:space="preserve">ampliamente sus espacios radiales para el ejercicio a la comunicación de la sociedad civil, por lo que solicitan que dicho modelo sea replicado en las regiones de Los Ríos, Los Lagos y Aysén. Agregaron que, pese a la intención de ciertas Radios Universitarias de ampliar su cobertura hacia zonas más remotas, el Estado ha manifestado que no existe factibilidad técnica para abrir nuevos concursos de frecuencias. </w:t>
      </w:r>
    </w:p>
    <w:p w14:paraId="7875193D" w14:textId="77777777" w:rsidR="00A97CAF" w:rsidRPr="00840047" w:rsidRDefault="00A97CAF" w:rsidP="00A97CAF">
      <w:pPr>
        <w:spacing w:after="0" w:line="240" w:lineRule="auto"/>
        <w:ind w:left="720"/>
        <w:jc w:val="both"/>
        <w:rPr>
          <w:rFonts w:ascii="Cambria" w:hAnsi="Cambria" w:cs="Calibri Light"/>
          <w:color w:val="000000" w:themeColor="text1"/>
          <w:sz w:val="20"/>
          <w:szCs w:val="20"/>
          <w:lang w:val="es-US"/>
        </w:rPr>
      </w:pPr>
    </w:p>
    <w:p w14:paraId="3F56297A" w14:textId="6E21B167" w:rsidR="00A97CAF" w:rsidRPr="00840047" w:rsidRDefault="00A97CAF" w:rsidP="00A97CAF">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color w:val="000000" w:themeColor="text1"/>
          <w:sz w:val="20"/>
          <w:szCs w:val="20"/>
          <w:lang w:val="es-US"/>
        </w:rPr>
        <w:t>En materia de financiamiento</w:t>
      </w:r>
      <w:r w:rsidR="007D4985" w:rsidRPr="00840047">
        <w:rPr>
          <w:rFonts w:ascii="Cambria" w:hAnsi="Cambria" w:cs="Calibri Light"/>
          <w:color w:val="000000" w:themeColor="text1"/>
          <w:sz w:val="20"/>
          <w:szCs w:val="20"/>
          <w:lang w:val="es-US"/>
        </w:rPr>
        <w:t>,</w:t>
      </w:r>
      <w:r w:rsidRPr="00840047">
        <w:rPr>
          <w:rFonts w:ascii="Cambria" w:hAnsi="Cambria" w:cs="Calibri Light"/>
          <w:color w:val="000000" w:themeColor="text1"/>
          <w:sz w:val="20"/>
          <w:szCs w:val="20"/>
          <w:lang w:val="es-US"/>
        </w:rPr>
        <w:t xml:space="preserve"> los peticionarios expresaron su inconformidad con la propuesta </w:t>
      </w:r>
      <w:r w:rsidR="007D4985" w:rsidRPr="00840047">
        <w:rPr>
          <w:rFonts w:ascii="Cambria" w:hAnsi="Cambria" w:cs="Calibri Light"/>
          <w:color w:val="000000" w:themeColor="text1"/>
          <w:sz w:val="20"/>
          <w:szCs w:val="20"/>
          <w:lang w:val="es-US"/>
        </w:rPr>
        <w:t>d</w:t>
      </w:r>
      <w:r w:rsidRPr="00840047">
        <w:rPr>
          <w:rFonts w:ascii="Cambria" w:hAnsi="Cambria" w:cs="Calibri Light"/>
          <w:color w:val="000000" w:themeColor="text1"/>
          <w:sz w:val="20"/>
          <w:szCs w:val="20"/>
          <w:lang w:val="es-US"/>
        </w:rPr>
        <w:t>el Estado de acudir a mecanismos de financiamiento municipal</w:t>
      </w:r>
      <w:r w:rsidR="007D4985" w:rsidRPr="00840047">
        <w:rPr>
          <w:rFonts w:ascii="Cambria" w:hAnsi="Cambria" w:cs="Calibri Light"/>
          <w:color w:val="000000" w:themeColor="text1"/>
          <w:sz w:val="20"/>
          <w:szCs w:val="20"/>
          <w:lang w:val="es-US"/>
        </w:rPr>
        <w:t>es</w:t>
      </w:r>
      <w:r w:rsidRPr="00840047">
        <w:rPr>
          <w:rFonts w:ascii="Cambria" w:hAnsi="Cambria" w:cs="Calibri Light"/>
          <w:color w:val="000000" w:themeColor="text1"/>
          <w:sz w:val="20"/>
          <w:szCs w:val="20"/>
          <w:lang w:val="es-US"/>
        </w:rPr>
        <w:t xml:space="preserve">. Consideran que, como lo estableció </w:t>
      </w:r>
      <w:r w:rsidR="007D4985" w:rsidRPr="00840047">
        <w:rPr>
          <w:rFonts w:ascii="Cambria" w:hAnsi="Cambria" w:cs="Calibri Light"/>
          <w:color w:val="000000" w:themeColor="text1"/>
          <w:sz w:val="20"/>
          <w:szCs w:val="20"/>
          <w:lang w:val="es-US"/>
        </w:rPr>
        <w:t>el</w:t>
      </w:r>
      <w:r w:rsidRPr="00840047">
        <w:rPr>
          <w:rFonts w:ascii="Cambria" w:hAnsi="Cambria" w:cs="Calibri Light"/>
          <w:color w:val="000000" w:themeColor="text1"/>
          <w:sz w:val="20"/>
          <w:szCs w:val="20"/>
          <w:lang w:val="es-US"/>
        </w:rPr>
        <w:t xml:space="preserve"> Informe Nº 48/16, los municipios representan una extensión del Estado, cuya participación debe estar acompañada de un compromiso y coordinación del gobierno central. Por último, enfatizaron la solicitud al Estado de considerarlos como parte activa en el proceso de diseño y revisión del Acuerdo. Particularmente</w:t>
      </w:r>
      <w:r w:rsidR="007D4985" w:rsidRPr="00840047">
        <w:rPr>
          <w:rFonts w:ascii="Cambria" w:hAnsi="Cambria" w:cs="Calibri Light"/>
          <w:color w:val="000000" w:themeColor="text1"/>
          <w:sz w:val="20"/>
          <w:szCs w:val="20"/>
          <w:lang w:val="es-US"/>
        </w:rPr>
        <w:t>,</w:t>
      </w:r>
      <w:r w:rsidRPr="00840047">
        <w:rPr>
          <w:rFonts w:ascii="Cambria" w:hAnsi="Cambria" w:cs="Calibri Light"/>
          <w:color w:val="000000" w:themeColor="text1"/>
          <w:sz w:val="20"/>
          <w:szCs w:val="20"/>
          <w:lang w:val="es-US"/>
        </w:rPr>
        <w:t xml:space="preserve"> en el marco de la propuesta realizada por el Estado de que la SUBDERE y la Universidad de Austral realicen un estudio de las características y viabilidad de dicho Acuerdo, una vez que haya sido aprobado por SUBTEL. </w:t>
      </w:r>
    </w:p>
    <w:p w14:paraId="678211F2" w14:textId="77777777" w:rsidR="00A97CAF" w:rsidRPr="00840047" w:rsidRDefault="00A97CAF" w:rsidP="00A97CAF">
      <w:pPr>
        <w:spacing w:after="0" w:line="240" w:lineRule="auto"/>
        <w:ind w:left="720"/>
        <w:jc w:val="both"/>
        <w:rPr>
          <w:rFonts w:ascii="Cambria" w:hAnsi="Cambria" w:cs="Calibri Light"/>
          <w:color w:val="000000" w:themeColor="text1"/>
          <w:sz w:val="20"/>
          <w:szCs w:val="20"/>
          <w:lang w:val="es-US"/>
        </w:rPr>
      </w:pPr>
    </w:p>
    <w:p w14:paraId="03F76EF3" w14:textId="77777777" w:rsidR="00A97CAF" w:rsidRPr="00840047" w:rsidRDefault="00A97CAF" w:rsidP="00A97CAF">
      <w:pPr>
        <w:numPr>
          <w:ilvl w:val="0"/>
          <w:numId w:val="24"/>
        </w:numPr>
        <w:spacing w:after="0" w:line="240" w:lineRule="auto"/>
        <w:ind w:left="0" w:firstLine="720"/>
        <w:jc w:val="both"/>
        <w:rPr>
          <w:rFonts w:ascii="Cambria" w:hAnsi="Cambria" w:cs="Calibri Light"/>
          <w:color w:val="000000" w:themeColor="text1"/>
          <w:sz w:val="20"/>
          <w:szCs w:val="20"/>
          <w:lang w:val="es-US"/>
        </w:rPr>
      </w:pPr>
      <w:proofErr w:type="gramStart"/>
      <w:r w:rsidRPr="00840047">
        <w:rPr>
          <w:rFonts w:ascii="Cambria" w:hAnsi="Cambria" w:cs="Calibri Light"/>
          <w:color w:val="000000" w:themeColor="text1"/>
          <w:sz w:val="20"/>
          <w:szCs w:val="20"/>
          <w:lang w:val="es-US"/>
        </w:rPr>
        <w:t>En relación al</w:t>
      </w:r>
      <w:proofErr w:type="gramEnd"/>
      <w:r w:rsidRPr="00840047">
        <w:rPr>
          <w:rFonts w:ascii="Cambria" w:hAnsi="Cambria" w:cs="Calibri Light"/>
          <w:color w:val="000000" w:themeColor="text1"/>
          <w:sz w:val="20"/>
          <w:szCs w:val="20"/>
          <w:lang w:val="es-US"/>
        </w:rPr>
        <w:t xml:space="preserve"> seminario, los peticionarios informaron que el Estado renovó la disposición de financiamiento por un monto de $7.000.000 pesos chilenos, indicando que, en aquel momento, ellos insistieron esperar más avances respecto de la elaboración del programa de fomento antes de realizar el seminario. El Estado manifestó en la reunión de trabajo sostenida </w:t>
      </w:r>
      <w:r w:rsidRPr="00840047">
        <w:rPr>
          <w:rFonts w:ascii="Cambria" w:hAnsi="Cambria"/>
          <w:color w:val="000000" w:themeColor="text1"/>
          <w:sz w:val="20"/>
          <w:szCs w:val="20"/>
          <w:lang w:val="es-UY"/>
        </w:rPr>
        <w:t xml:space="preserve">en el marco del 173° Período de Sesiones de la CIDH </w:t>
      </w:r>
      <w:r w:rsidRPr="00840047">
        <w:rPr>
          <w:rFonts w:ascii="Cambria" w:hAnsi="Cambria" w:cs="Calibri Light"/>
          <w:color w:val="000000" w:themeColor="text1"/>
          <w:sz w:val="20"/>
          <w:szCs w:val="20"/>
          <w:lang w:val="es-US"/>
        </w:rPr>
        <w:t xml:space="preserve">que dicho presupuesto se encuentra disponible para la celebración del seminario en la fecha que se acuerde con los peticionarios. </w:t>
      </w:r>
    </w:p>
    <w:p w14:paraId="46680152" w14:textId="77777777" w:rsidR="00A97CAF" w:rsidRPr="00840047" w:rsidRDefault="00A97CAF" w:rsidP="00A97CAF">
      <w:pPr>
        <w:spacing w:after="0" w:line="240" w:lineRule="auto"/>
        <w:jc w:val="both"/>
        <w:rPr>
          <w:rFonts w:ascii="Cambria" w:hAnsi="Cambria" w:cs="Calibri Light"/>
          <w:color w:val="000000" w:themeColor="text1"/>
          <w:sz w:val="20"/>
          <w:szCs w:val="20"/>
          <w:lang w:val="es-US"/>
        </w:rPr>
      </w:pPr>
    </w:p>
    <w:p w14:paraId="1F07849A" w14:textId="77777777" w:rsidR="00A97CAF" w:rsidRPr="00840047" w:rsidRDefault="00A97CAF" w:rsidP="00A97CAF">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color w:val="000000" w:themeColor="text1"/>
          <w:sz w:val="20"/>
          <w:szCs w:val="20"/>
          <w:lang w:val="es-US"/>
        </w:rPr>
        <w:t xml:space="preserve">Sobre este punto, en 2020 los peticionarios informaron que dicho Seminario no ha tenido lugar, ya que las partes acordaron que su implementación se vería beneficiada de contar primero con el Programa de Radiodifusión Ciudadana. Añadieron que, dado que el Plan de Fomento de Radiodifusión Ciudadana en Los Ríos, Los Lagos y Aysén contendrá importantes novedades y oportunidades para la ciudadanía, resulta oportuno aprovechar los recursos destinados al seminario para anunciar e informar a los actores comunitarios de las regiones de cobertura sobre los detalles de dicho Programa. </w:t>
      </w:r>
    </w:p>
    <w:p w14:paraId="7E76CB4D" w14:textId="77777777" w:rsidR="00A97CAF" w:rsidRPr="00840047" w:rsidRDefault="00A97CAF" w:rsidP="00A97CAF">
      <w:pPr>
        <w:spacing w:after="0" w:line="240" w:lineRule="auto"/>
        <w:ind w:left="720"/>
        <w:jc w:val="both"/>
        <w:rPr>
          <w:rFonts w:ascii="Cambria" w:hAnsi="Cambria" w:cs="Calibri Light"/>
          <w:color w:val="000000" w:themeColor="text1"/>
          <w:sz w:val="20"/>
          <w:szCs w:val="20"/>
          <w:lang w:val="es-US"/>
        </w:rPr>
      </w:pPr>
    </w:p>
    <w:p w14:paraId="2E62547E" w14:textId="0309BDE6" w:rsidR="00A97CAF" w:rsidRPr="00840047" w:rsidRDefault="00A97CAF" w:rsidP="00354309">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color w:val="000000" w:themeColor="text1"/>
          <w:sz w:val="20"/>
          <w:szCs w:val="20"/>
          <w:lang w:val="es-US"/>
        </w:rPr>
        <w:t xml:space="preserve">La CIDH agradece la información remitida </w:t>
      </w:r>
      <w:r w:rsidR="007D4985" w:rsidRPr="00840047">
        <w:rPr>
          <w:rFonts w:ascii="Cambria" w:hAnsi="Cambria" w:cs="Calibri Light"/>
          <w:color w:val="000000" w:themeColor="text1"/>
          <w:sz w:val="20"/>
          <w:szCs w:val="20"/>
          <w:lang w:val="es-US"/>
        </w:rPr>
        <w:t>por el Estado</w:t>
      </w:r>
      <w:r w:rsidR="000A5E9A" w:rsidRPr="00840047">
        <w:rPr>
          <w:rFonts w:ascii="Cambria" w:hAnsi="Cambria" w:cs="Calibri Light"/>
          <w:color w:val="000000" w:themeColor="text1"/>
          <w:sz w:val="20"/>
          <w:szCs w:val="20"/>
          <w:lang w:val="es-US"/>
        </w:rPr>
        <w:t xml:space="preserve">. </w:t>
      </w:r>
      <w:r w:rsidRPr="00840047">
        <w:rPr>
          <w:rFonts w:ascii="Cambria" w:hAnsi="Cambria" w:cs="Calibri Light"/>
          <w:color w:val="000000" w:themeColor="text1"/>
          <w:sz w:val="20"/>
          <w:szCs w:val="20"/>
          <w:lang w:val="es-US"/>
        </w:rPr>
        <w:t xml:space="preserve">La CIDH considera que la presentación comprometida y constante de información actualizada constituye una buena práctica que fomenta el ejercicio integral del seguimiento de recomendaciones y, por tanto, su cumplimiento. </w:t>
      </w:r>
      <w:r w:rsidR="00354309" w:rsidRPr="00840047">
        <w:rPr>
          <w:rFonts w:ascii="Cambria" w:hAnsi="Cambria" w:cs="Calibri Light"/>
          <w:color w:val="000000" w:themeColor="text1"/>
          <w:sz w:val="20"/>
          <w:szCs w:val="20"/>
          <w:lang w:val="es-US"/>
        </w:rPr>
        <w:t>Sin perjuicio de lo anterior</w:t>
      </w:r>
      <w:r w:rsidRPr="00840047">
        <w:rPr>
          <w:rFonts w:ascii="Cambria" w:hAnsi="Cambria" w:cs="Calibri Light"/>
          <w:color w:val="000000" w:themeColor="text1"/>
          <w:sz w:val="20"/>
          <w:szCs w:val="20"/>
          <w:lang w:val="es-US"/>
        </w:rPr>
        <w:t>, la C</w:t>
      </w:r>
      <w:r w:rsidR="00354309" w:rsidRPr="00840047">
        <w:rPr>
          <w:rFonts w:ascii="Cambria" w:hAnsi="Cambria" w:cs="Calibri Light"/>
          <w:color w:val="000000" w:themeColor="text1"/>
          <w:sz w:val="20"/>
          <w:szCs w:val="20"/>
          <w:lang w:val="es-US"/>
        </w:rPr>
        <w:t>omisión</w:t>
      </w:r>
      <w:r w:rsidR="007D4985" w:rsidRPr="00840047">
        <w:rPr>
          <w:rFonts w:ascii="Cambria" w:hAnsi="Cambria" w:cs="Calibri Light"/>
          <w:color w:val="000000" w:themeColor="text1"/>
          <w:sz w:val="20"/>
          <w:szCs w:val="20"/>
          <w:lang w:val="es-US"/>
        </w:rPr>
        <w:t xml:space="preserve"> nota que las partes todavía están en proceso de acordar los componentes del Programa de Fomento al que se refiere la cláusula 2.a del acuerdo de cumplimiento</w:t>
      </w:r>
      <w:r w:rsidR="007615CA" w:rsidRPr="00840047">
        <w:rPr>
          <w:rFonts w:ascii="Cambria" w:hAnsi="Cambria" w:cs="Calibri Light"/>
          <w:color w:val="000000" w:themeColor="text1"/>
          <w:sz w:val="20"/>
          <w:szCs w:val="20"/>
          <w:lang w:val="es-US"/>
        </w:rPr>
        <w:t xml:space="preserve">, por lo que considera que el nivel de su cumplimiento continúa siendo parcial. Asimismo, la Comisión </w:t>
      </w:r>
      <w:r w:rsidR="00354309" w:rsidRPr="00840047">
        <w:rPr>
          <w:rFonts w:ascii="Cambria" w:hAnsi="Cambria" w:cs="Calibri Light"/>
          <w:color w:val="000000" w:themeColor="text1"/>
          <w:sz w:val="20"/>
          <w:szCs w:val="20"/>
          <w:lang w:val="es-US"/>
        </w:rPr>
        <w:t xml:space="preserve">invita a las partes a presentar información detallada respecto al desarrollo del Programa de fomento de la radiodifusión ciudadana en las Regiones X y XI (con énfasis en Chiloé y las Guaitecas) y la manera en la que se ha garantizado la participación de los peticionarios. </w:t>
      </w:r>
      <w:r w:rsidR="007615CA" w:rsidRPr="00840047">
        <w:rPr>
          <w:rFonts w:ascii="Cambria" w:hAnsi="Cambria" w:cs="Calibri Light"/>
          <w:color w:val="000000" w:themeColor="text1"/>
          <w:sz w:val="20"/>
          <w:szCs w:val="20"/>
          <w:lang w:val="es-US"/>
        </w:rPr>
        <w:t xml:space="preserve">Por su parte, la Comisión nota que no se recibió información relativa al cumplimiento de la cláusula 2.b del acuerdo de cumplimiento por lo que, a la espera de esta información, considera que su nivel de cumplimiento es pendiente. Finalmente, respecto a la cláusula 2.3 del acuerdo de cumplimiento, la Comisión observa que el Estado manifestó su disposición para permitir la participación de la parte peticionaria en las conversaciones con </w:t>
      </w:r>
      <w:r w:rsidR="007615CA" w:rsidRPr="00840047">
        <w:rPr>
          <w:rFonts w:ascii="Cambria" w:hAnsi="Cambria"/>
          <w:color w:val="000000" w:themeColor="text1"/>
          <w:sz w:val="20"/>
          <w:szCs w:val="20"/>
        </w:rPr>
        <w:t>la SUBTEL, SUBDERE y la Universidad Austral de Chile. Al respecto, la Comisión solicita aclarar si esta participación está referida a la Mesa de Seguimiento a la que se refiere esta cláusula y queda a la espera de ifnromación sobre avance en su implementación. En este sentido, el nivel de cumplimiento de la cláusula 2.3 continúa siendo parcial.</w:t>
      </w:r>
      <w:r w:rsidR="007615CA" w:rsidRPr="00840047">
        <w:rPr>
          <w:rFonts w:ascii="Cambria" w:hAnsi="Cambria" w:cs="Calibri Light"/>
          <w:color w:val="000000" w:themeColor="text1"/>
          <w:sz w:val="20"/>
          <w:szCs w:val="20"/>
          <w:lang w:val="es-US"/>
        </w:rPr>
        <w:t xml:space="preserve"> </w:t>
      </w:r>
      <w:r w:rsidRPr="00840047">
        <w:rPr>
          <w:rFonts w:ascii="Cambria" w:hAnsi="Cambria" w:cs="Calibri Light"/>
          <w:color w:val="000000" w:themeColor="text1"/>
          <w:sz w:val="20"/>
          <w:szCs w:val="20"/>
          <w:lang w:val="es-US"/>
        </w:rPr>
        <w:t>Por</w:t>
      </w:r>
      <w:r w:rsidR="007615CA" w:rsidRPr="00840047">
        <w:rPr>
          <w:rFonts w:ascii="Cambria" w:hAnsi="Cambria" w:cs="Calibri Light"/>
          <w:color w:val="000000" w:themeColor="text1"/>
          <w:sz w:val="20"/>
          <w:szCs w:val="20"/>
          <w:lang w:val="es-US"/>
        </w:rPr>
        <w:t xml:space="preserve"> todo</w:t>
      </w:r>
      <w:r w:rsidRPr="00840047">
        <w:rPr>
          <w:rFonts w:ascii="Cambria" w:hAnsi="Cambria" w:cs="Calibri Light"/>
          <w:color w:val="000000" w:themeColor="text1"/>
          <w:sz w:val="20"/>
          <w:szCs w:val="20"/>
          <w:lang w:val="es-US"/>
        </w:rPr>
        <w:t xml:space="preserve"> lo anterior, la CIDH considera que la </w:t>
      </w:r>
      <w:r w:rsidR="0032459F" w:rsidRPr="00840047">
        <w:rPr>
          <w:rFonts w:ascii="Cambria" w:hAnsi="Cambria" w:cs="Calibri Light"/>
          <w:color w:val="000000" w:themeColor="text1"/>
          <w:sz w:val="20"/>
          <w:szCs w:val="20"/>
          <w:lang w:val="es-US"/>
        </w:rPr>
        <w:t>r</w:t>
      </w:r>
      <w:r w:rsidRPr="00840047">
        <w:rPr>
          <w:rFonts w:ascii="Cambria" w:hAnsi="Cambria" w:cs="Calibri Light"/>
          <w:color w:val="000000" w:themeColor="text1"/>
          <w:sz w:val="20"/>
          <w:szCs w:val="20"/>
          <w:lang w:val="es-US"/>
        </w:rPr>
        <w:t xml:space="preserve">ecomendación 3 </w:t>
      </w:r>
      <w:r w:rsidR="007615CA" w:rsidRPr="00840047">
        <w:rPr>
          <w:rFonts w:ascii="Cambria" w:hAnsi="Cambria" w:cs="Calibri Light"/>
          <w:color w:val="000000" w:themeColor="text1"/>
          <w:sz w:val="20"/>
          <w:szCs w:val="20"/>
          <w:lang w:val="es-US"/>
        </w:rPr>
        <w:t xml:space="preserve">en su conjunto es </w:t>
      </w:r>
      <w:r w:rsidRPr="00840047">
        <w:rPr>
          <w:rFonts w:ascii="Cambria" w:hAnsi="Cambria" w:cs="Calibri Light"/>
          <w:color w:val="000000" w:themeColor="text1"/>
          <w:sz w:val="20"/>
          <w:szCs w:val="20"/>
          <w:lang w:val="es-US"/>
        </w:rPr>
        <w:t xml:space="preserve">parcial y continuará ejerciendo un seguimiento </w:t>
      </w:r>
      <w:r w:rsidR="007615CA" w:rsidRPr="00840047">
        <w:rPr>
          <w:rFonts w:ascii="Cambria" w:hAnsi="Cambria" w:cs="Calibri Light"/>
          <w:color w:val="000000" w:themeColor="text1"/>
          <w:sz w:val="20"/>
          <w:szCs w:val="20"/>
          <w:lang w:val="es-US"/>
        </w:rPr>
        <w:t>a la evolución de su cumplimiento</w:t>
      </w:r>
      <w:r w:rsidRPr="00840047">
        <w:rPr>
          <w:rFonts w:ascii="Cambria" w:hAnsi="Cambria" w:cs="Calibri Light"/>
          <w:color w:val="000000" w:themeColor="text1"/>
          <w:sz w:val="20"/>
          <w:szCs w:val="20"/>
          <w:lang w:val="es-US"/>
        </w:rPr>
        <w:t xml:space="preserve">.  </w:t>
      </w:r>
    </w:p>
    <w:p w14:paraId="06C79759" w14:textId="77777777" w:rsidR="00CF7F3C" w:rsidRPr="00840047" w:rsidRDefault="00CF7F3C" w:rsidP="00A97CAF">
      <w:pPr>
        <w:spacing w:after="0" w:line="240" w:lineRule="auto"/>
        <w:rPr>
          <w:rFonts w:ascii="Cambria" w:hAnsi="Cambria"/>
          <w:color w:val="000000" w:themeColor="text1"/>
          <w:sz w:val="20"/>
          <w:szCs w:val="20"/>
          <w:lang w:val="es-US"/>
        </w:rPr>
      </w:pPr>
    </w:p>
    <w:p w14:paraId="56276F70" w14:textId="77777777" w:rsidR="00A97CAF" w:rsidRPr="00840047" w:rsidRDefault="00A97CAF" w:rsidP="00A97CAF">
      <w:pPr>
        <w:numPr>
          <w:ilvl w:val="0"/>
          <w:numId w:val="14"/>
        </w:numPr>
        <w:spacing w:after="0" w:line="240" w:lineRule="auto"/>
        <w:ind w:left="1440"/>
        <w:rPr>
          <w:rFonts w:ascii="Cambria" w:hAnsi="Cambria" w:cs="Calibri Light"/>
          <w:b/>
          <w:color w:val="000000" w:themeColor="text1"/>
          <w:sz w:val="20"/>
          <w:szCs w:val="20"/>
          <w:lang w:val="es-US"/>
        </w:rPr>
      </w:pPr>
      <w:r w:rsidRPr="00840047">
        <w:rPr>
          <w:rFonts w:ascii="Cambria" w:hAnsi="Cambria" w:cs="Calibri Light"/>
          <w:b/>
          <w:color w:val="000000" w:themeColor="text1"/>
          <w:sz w:val="20"/>
          <w:szCs w:val="20"/>
          <w:lang w:val="es-US"/>
        </w:rPr>
        <w:t xml:space="preserve">Nivel del cumplimiento del caso </w:t>
      </w:r>
    </w:p>
    <w:p w14:paraId="41EAF3E1" w14:textId="77777777" w:rsidR="00A97CAF" w:rsidRPr="00840047" w:rsidRDefault="00A97CAF" w:rsidP="00A97CAF">
      <w:pPr>
        <w:spacing w:after="0" w:line="240" w:lineRule="auto"/>
        <w:jc w:val="both"/>
        <w:rPr>
          <w:rFonts w:ascii="Cambria" w:hAnsi="Cambria" w:cs="Calibri Light"/>
          <w:color w:val="000000" w:themeColor="text1"/>
          <w:sz w:val="20"/>
          <w:szCs w:val="20"/>
          <w:lang w:val="es-US"/>
        </w:rPr>
      </w:pPr>
    </w:p>
    <w:p w14:paraId="6D9AD08F" w14:textId="5FD87D24" w:rsidR="00A97CAF" w:rsidRPr="00840047" w:rsidRDefault="00840047" w:rsidP="00A97CAF">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color w:val="000000" w:themeColor="text1"/>
          <w:sz w:val="20"/>
          <w:szCs w:val="20"/>
          <w:lang w:val="es-US"/>
        </w:rPr>
        <w:t>Derivado de lo anterior</w:t>
      </w:r>
      <w:r w:rsidR="00A97CAF" w:rsidRPr="00840047">
        <w:rPr>
          <w:rFonts w:ascii="Cambria" w:hAnsi="Cambria" w:cs="Calibri Light"/>
          <w:color w:val="000000" w:themeColor="text1"/>
          <w:sz w:val="20"/>
          <w:szCs w:val="20"/>
          <w:lang w:val="es-US"/>
        </w:rPr>
        <w:t xml:space="preserve">, la Comisión concluye que el nivel de cumplimiento </w:t>
      </w:r>
      <w:r w:rsidR="009E4545" w:rsidRPr="00840047">
        <w:rPr>
          <w:rFonts w:ascii="Cambria" w:hAnsi="Cambria" w:cs="Calibri Light"/>
          <w:color w:val="000000" w:themeColor="text1"/>
          <w:sz w:val="20"/>
          <w:szCs w:val="20"/>
          <w:lang w:val="es-US"/>
        </w:rPr>
        <w:t xml:space="preserve">de las recomendaciones 1 y 2 es total y el cumplimiento de la recomendación 1 </w:t>
      </w:r>
      <w:r w:rsidR="00A97CAF" w:rsidRPr="00840047">
        <w:rPr>
          <w:rFonts w:ascii="Cambria" w:hAnsi="Cambria" w:cs="Calibri Light"/>
          <w:color w:val="000000" w:themeColor="text1"/>
          <w:sz w:val="20"/>
          <w:szCs w:val="20"/>
          <w:lang w:val="es-US"/>
        </w:rPr>
        <w:t xml:space="preserve">es parcial. </w:t>
      </w:r>
      <w:r w:rsidR="009E4545" w:rsidRPr="00840047">
        <w:rPr>
          <w:rFonts w:ascii="Cambria" w:hAnsi="Cambria" w:cs="Calibri Light"/>
          <w:color w:val="000000" w:themeColor="text1"/>
          <w:sz w:val="20"/>
          <w:szCs w:val="20"/>
          <w:lang w:val="es-US"/>
        </w:rPr>
        <w:t>La</w:t>
      </w:r>
      <w:r w:rsidR="00A97CAF" w:rsidRPr="00840047">
        <w:rPr>
          <w:rFonts w:ascii="Cambria" w:hAnsi="Cambria" w:cs="Calibri Light"/>
          <w:color w:val="000000" w:themeColor="text1"/>
          <w:sz w:val="20"/>
          <w:szCs w:val="20"/>
          <w:lang w:val="es-US"/>
        </w:rPr>
        <w:t xml:space="preserve"> CIDH seguirá supervisando el cumplimiento las recomendaciones</w:t>
      </w:r>
      <w:r w:rsidR="009E4545" w:rsidRPr="00840047">
        <w:rPr>
          <w:rFonts w:ascii="Cambria" w:hAnsi="Cambria" w:cs="Calibri Light"/>
          <w:color w:val="000000" w:themeColor="text1"/>
          <w:sz w:val="20"/>
          <w:szCs w:val="20"/>
          <w:lang w:val="es-US"/>
        </w:rPr>
        <w:t>.</w:t>
      </w:r>
      <w:r w:rsidR="00A97CAF" w:rsidRPr="00840047">
        <w:rPr>
          <w:rFonts w:ascii="Cambria" w:hAnsi="Cambria" w:cs="Calibri Light"/>
          <w:color w:val="000000" w:themeColor="text1"/>
          <w:sz w:val="20"/>
          <w:szCs w:val="20"/>
          <w:lang w:val="es-US"/>
        </w:rPr>
        <w:t xml:space="preserve"> </w:t>
      </w:r>
    </w:p>
    <w:p w14:paraId="673FE546" w14:textId="77777777" w:rsidR="00A97CAF" w:rsidRPr="00840047" w:rsidRDefault="00A97CAF" w:rsidP="00A97CAF">
      <w:pPr>
        <w:spacing w:after="0" w:line="240" w:lineRule="auto"/>
        <w:ind w:left="720"/>
        <w:jc w:val="both"/>
        <w:rPr>
          <w:rFonts w:ascii="Cambria" w:hAnsi="Cambria" w:cs="Calibri Light"/>
          <w:color w:val="000000" w:themeColor="text1"/>
          <w:sz w:val="20"/>
          <w:szCs w:val="20"/>
          <w:lang w:val="es-US"/>
        </w:rPr>
      </w:pPr>
    </w:p>
    <w:p w14:paraId="194B9ADB" w14:textId="77777777" w:rsidR="00A97CAF" w:rsidRPr="00840047" w:rsidRDefault="00A97CAF" w:rsidP="00A97CAF">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color w:val="000000" w:themeColor="text1"/>
          <w:sz w:val="20"/>
          <w:szCs w:val="20"/>
          <w:lang w:val="es-US"/>
        </w:rPr>
        <w:t xml:space="preserve">La Comisión valora los esfuerzos desplegados por ambas partes para desarrollar un diálogo y proceso constructivo hacia la implementación de las recomendaciones de la CIDH emitidas en el Informe de Fondo Nº 48/16 y los compromisos acordados en el acuerdo de cumplimiento de recomendaciones. En este </w:t>
      </w:r>
      <w:r w:rsidRPr="00840047">
        <w:rPr>
          <w:rFonts w:ascii="Cambria" w:hAnsi="Cambria" w:cs="Calibri Light"/>
          <w:color w:val="000000" w:themeColor="text1"/>
          <w:sz w:val="20"/>
          <w:szCs w:val="20"/>
          <w:lang w:val="es-US"/>
        </w:rPr>
        <w:lastRenderedPageBreak/>
        <w:t xml:space="preserve">sentido, la CIDH insta al Estado seguir adoptando las acciones necesarias para cumplir con dichas recomendaciones y cláusulas y proporcionar información actualizada y detallada sobre dichas acciones a la CIDH. </w:t>
      </w:r>
    </w:p>
    <w:p w14:paraId="048070AB" w14:textId="77777777" w:rsidR="00A97CAF" w:rsidRPr="00840047" w:rsidRDefault="00A97CAF" w:rsidP="00A97CAF">
      <w:pPr>
        <w:pStyle w:val="ListParagraph"/>
        <w:ind w:left="1080"/>
        <w:jc w:val="both"/>
        <w:rPr>
          <w:rFonts w:ascii="Cambria" w:hAnsi="Cambria" w:cs="Calibri Light"/>
          <w:b/>
          <w:color w:val="000000" w:themeColor="text1"/>
          <w:sz w:val="20"/>
          <w:szCs w:val="20"/>
          <w:lang w:val="es-US"/>
        </w:rPr>
      </w:pPr>
    </w:p>
    <w:p w14:paraId="4E6F10EF" w14:textId="77777777" w:rsidR="00A97CAF" w:rsidRPr="00840047" w:rsidRDefault="00A97CAF" w:rsidP="00A97CAF">
      <w:pPr>
        <w:numPr>
          <w:ilvl w:val="0"/>
          <w:numId w:val="14"/>
        </w:numPr>
        <w:spacing w:after="0" w:line="240" w:lineRule="auto"/>
        <w:ind w:left="1440"/>
        <w:rPr>
          <w:rFonts w:ascii="Cambria" w:hAnsi="Cambria" w:cs="Calibri Light"/>
          <w:b/>
          <w:color w:val="000000" w:themeColor="text1"/>
          <w:sz w:val="20"/>
          <w:szCs w:val="20"/>
          <w:lang w:val="es-US"/>
        </w:rPr>
      </w:pPr>
      <w:r w:rsidRPr="00840047">
        <w:rPr>
          <w:rFonts w:ascii="Cambria" w:hAnsi="Cambria" w:cs="Calibri Light"/>
          <w:b/>
          <w:color w:val="000000" w:themeColor="text1"/>
          <w:sz w:val="20"/>
          <w:szCs w:val="20"/>
          <w:lang w:val="es-US"/>
        </w:rPr>
        <w:t xml:space="preserve">Resultados individuales y estructurales del caso </w:t>
      </w:r>
    </w:p>
    <w:p w14:paraId="15E97F3D" w14:textId="77777777" w:rsidR="00A97CAF" w:rsidRPr="00840047" w:rsidRDefault="00A97CAF" w:rsidP="00A97CAF">
      <w:pPr>
        <w:spacing w:after="0" w:line="240" w:lineRule="auto"/>
        <w:jc w:val="both"/>
        <w:rPr>
          <w:rFonts w:ascii="Cambria" w:hAnsi="Cambria" w:cs="Calibri Light"/>
          <w:color w:val="000000" w:themeColor="text1"/>
          <w:sz w:val="20"/>
          <w:szCs w:val="20"/>
          <w:lang w:val="es-US"/>
        </w:rPr>
      </w:pPr>
    </w:p>
    <w:p w14:paraId="39C2F58B" w14:textId="77777777" w:rsidR="00A97CAF" w:rsidRPr="00840047" w:rsidRDefault="00A97CAF" w:rsidP="00A97CAF">
      <w:pPr>
        <w:numPr>
          <w:ilvl w:val="0"/>
          <w:numId w:val="24"/>
        </w:numPr>
        <w:spacing w:after="0" w:line="240" w:lineRule="auto"/>
        <w:ind w:left="0" w:firstLine="720"/>
        <w:jc w:val="both"/>
        <w:rPr>
          <w:rFonts w:ascii="Cambria" w:hAnsi="Cambria" w:cs="Calibri Light"/>
          <w:color w:val="000000" w:themeColor="text1"/>
          <w:sz w:val="20"/>
          <w:szCs w:val="20"/>
          <w:lang w:val="es-US"/>
        </w:rPr>
      </w:pPr>
      <w:r w:rsidRPr="00840047">
        <w:rPr>
          <w:rFonts w:ascii="Cambria" w:hAnsi="Cambria" w:cs="Calibri Light"/>
          <w:color w:val="000000" w:themeColor="text1"/>
          <w:sz w:val="20"/>
          <w:szCs w:val="20"/>
          <w:lang w:val="es-US"/>
        </w:rPr>
        <w:t xml:space="preserve">En esta sección se destacan los resultados individuales y estructurales del caso informados por las partes. </w:t>
      </w:r>
    </w:p>
    <w:p w14:paraId="075299AF" w14:textId="77777777" w:rsidR="00A97CAF" w:rsidRPr="00840047" w:rsidRDefault="00A97CAF" w:rsidP="00A97CAF">
      <w:pPr>
        <w:spacing w:after="0" w:line="240" w:lineRule="auto"/>
        <w:ind w:left="720"/>
        <w:jc w:val="both"/>
        <w:rPr>
          <w:rFonts w:ascii="Cambria" w:hAnsi="Cambria" w:cs="Calibri Light"/>
          <w:color w:val="000000" w:themeColor="text1"/>
          <w:sz w:val="20"/>
          <w:szCs w:val="20"/>
          <w:lang w:val="es-US"/>
        </w:rPr>
      </w:pPr>
    </w:p>
    <w:p w14:paraId="06DE8D4B" w14:textId="77777777" w:rsidR="00A97CAF" w:rsidRPr="00840047" w:rsidRDefault="00A97CAF" w:rsidP="00A97CAF">
      <w:pPr>
        <w:pStyle w:val="ListParagraph"/>
        <w:numPr>
          <w:ilvl w:val="0"/>
          <w:numId w:val="16"/>
        </w:numPr>
        <w:ind w:firstLine="0"/>
        <w:jc w:val="both"/>
        <w:rPr>
          <w:rFonts w:ascii="Cambria" w:hAnsi="Cambria" w:cs="Calibri Light"/>
          <w:b/>
          <w:color w:val="000000" w:themeColor="text1"/>
          <w:sz w:val="20"/>
          <w:szCs w:val="20"/>
          <w:lang w:val="es-US"/>
        </w:rPr>
      </w:pPr>
      <w:r w:rsidRPr="00840047">
        <w:rPr>
          <w:rFonts w:ascii="Cambria" w:hAnsi="Cambria" w:cs="Calibri Light"/>
          <w:b/>
          <w:color w:val="000000" w:themeColor="text1"/>
          <w:sz w:val="20"/>
          <w:szCs w:val="20"/>
          <w:lang w:val="es-US"/>
        </w:rPr>
        <w:t>Resultados individuales del caso</w:t>
      </w:r>
    </w:p>
    <w:p w14:paraId="22DF2AFF" w14:textId="77777777" w:rsidR="00A97CAF" w:rsidRPr="00840047" w:rsidRDefault="00A97CAF" w:rsidP="00A97CAF">
      <w:pPr>
        <w:spacing w:after="0" w:line="240" w:lineRule="auto"/>
        <w:jc w:val="both"/>
        <w:rPr>
          <w:rFonts w:ascii="Cambria" w:hAnsi="Cambria" w:cs="Calibri Light"/>
          <w:b/>
          <w:color w:val="000000" w:themeColor="text1"/>
          <w:sz w:val="20"/>
          <w:szCs w:val="20"/>
          <w:lang w:val="es-US"/>
        </w:rPr>
      </w:pPr>
    </w:p>
    <w:p w14:paraId="66814DAE" w14:textId="77777777" w:rsidR="00A97CAF" w:rsidRPr="00840047" w:rsidRDefault="00A97CAF" w:rsidP="00A97CAF">
      <w:pPr>
        <w:spacing w:after="0" w:line="240" w:lineRule="auto"/>
        <w:jc w:val="both"/>
        <w:rPr>
          <w:rFonts w:ascii="Cambria" w:hAnsi="Cambria" w:cs="Calibri Light"/>
          <w:i/>
          <w:color w:val="000000" w:themeColor="text1"/>
          <w:sz w:val="20"/>
          <w:szCs w:val="20"/>
          <w:lang w:val="es-US"/>
        </w:rPr>
      </w:pPr>
      <w:r w:rsidRPr="00840047">
        <w:rPr>
          <w:rFonts w:ascii="Cambria" w:hAnsi="Cambria" w:cs="Calibri Light"/>
          <w:i/>
          <w:color w:val="000000" w:themeColor="text1"/>
          <w:sz w:val="20"/>
          <w:szCs w:val="20"/>
          <w:lang w:val="es-US"/>
        </w:rPr>
        <w:t>Medidas de restitución en el ejercicio de derecho</w:t>
      </w:r>
    </w:p>
    <w:p w14:paraId="098DEC46" w14:textId="77777777" w:rsidR="00A97CAF" w:rsidRPr="00840047" w:rsidRDefault="00A97CAF" w:rsidP="00A97CAF">
      <w:pPr>
        <w:numPr>
          <w:ilvl w:val="0"/>
          <w:numId w:val="25"/>
        </w:numPr>
        <w:spacing w:after="0" w:line="240" w:lineRule="auto"/>
        <w:jc w:val="both"/>
        <w:rPr>
          <w:rFonts w:ascii="Cambria" w:hAnsi="Cambria" w:cs="Calibri Light"/>
          <w:i/>
          <w:color w:val="000000" w:themeColor="text1"/>
          <w:sz w:val="20"/>
          <w:szCs w:val="20"/>
          <w:lang w:val="es-US"/>
        </w:rPr>
      </w:pPr>
      <w:r w:rsidRPr="00840047">
        <w:rPr>
          <w:rFonts w:ascii="Cambria" w:hAnsi="Cambria" w:cs="Calibri Light"/>
          <w:color w:val="000000" w:themeColor="text1"/>
          <w:sz w:val="20"/>
          <w:szCs w:val="20"/>
          <w:lang w:val="es-US"/>
        </w:rPr>
        <w:t>Actualmente la Radio Estrella del Mar cuenta con energía eléctrica con el suministro de energía necesaria para su normal funcionamiento en un horario amplio.</w:t>
      </w:r>
    </w:p>
    <w:p w14:paraId="24ADE7AA" w14:textId="77777777" w:rsidR="00A97CAF" w:rsidRPr="00840047" w:rsidRDefault="00A97CAF" w:rsidP="00A97CAF">
      <w:pPr>
        <w:spacing w:after="0" w:line="240" w:lineRule="auto"/>
        <w:ind w:left="720"/>
        <w:jc w:val="both"/>
        <w:rPr>
          <w:rFonts w:ascii="Cambria" w:hAnsi="Cambria" w:cs="Calibri Light"/>
          <w:i/>
          <w:color w:val="000000" w:themeColor="text1"/>
          <w:sz w:val="20"/>
          <w:szCs w:val="20"/>
          <w:lang w:val="es-US"/>
        </w:rPr>
      </w:pPr>
    </w:p>
    <w:p w14:paraId="3E9D1B02" w14:textId="77777777" w:rsidR="00A97CAF" w:rsidRPr="00840047" w:rsidRDefault="00A97CAF" w:rsidP="00A97CAF">
      <w:pPr>
        <w:spacing w:after="0" w:line="240" w:lineRule="auto"/>
        <w:jc w:val="both"/>
        <w:rPr>
          <w:rFonts w:ascii="Cambria" w:hAnsi="Cambria" w:cs="Calibri Light"/>
          <w:i/>
          <w:color w:val="000000" w:themeColor="text1"/>
          <w:sz w:val="20"/>
          <w:szCs w:val="20"/>
          <w:lang w:val="es-US"/>
        </w:rPr>
      </w:pPr>
      <w:r w:rsidRPr="00840047">
        <w:rPr>
          <w:rFonts w:ascii="Cambria" w:hAnsi="Cambria" w:cs="Calibri Light"/>
          <w:i/>
          <w:color w:val="000000" w:themeColor="text1"/>
          <w:sz w:val="20"/>
          <w:szCs w:val="20"/>
          <w:lang w:val="es-US"/>
        </w:rPr>
        <w:t>Medidas de compensación pecuniaria</w:t>
      </w:r>
    </w:p>
    <w:p w14:paraId="6EF577B3" w14:textId="39A36C60" w:rsidR="0032459F" w:rsidRPr="00840047" w:rsidRDefault="00A97CAF" w:rsidP="00A97CAF">
      <w:pPr>
        <w:numPr>
          <w:ilvl w:val="0"/>
          <w:numId w:val="17"/>
        </w:numPr>
        <w:spacing w:after="0" w:line="240" w:lineRule="auto"/>
        <w:jc w:val="both"/>
        <w:rPr>
          <w:rFonts w:ascii="Cambria" w:hAnsi="Cambria" w:cs="Calibri Light"/>
          <w:color w:val="000000" w:themeColor="text1"/>
          <w:sz w:val="20"/>
          <w:szCs w:val="20"/>
          <w:lang w:val="es-US"/>
        </w:rPr>
      </w:pPr>
      <w:r w:rsidRPr="00840047">
        <w:rPr>
          <w:rFonts w:ascii="Cambria" w:hAnsi="Cambria" w:cs="Calibri Light"/>
          <w:color w:val="000000" w:themeColor="text1"/>
          <w:sz w:val="20"/>
          <w:szCs w:val="20"/>
          <w:lang w:val="es-US"/>
        </w:rPr>
        <w:t xml:space="preserve">Mediante Decreto Presidencial Nº. 111 se efectuó el pago de un monto de 3000.00 USD el 17 de agosto de 2015 a Miguel Millar Silva, Narciso </w:t>
      </w:r>
      <w:proofErr w:type="spellStart"/>
      <w:r w:rsidRPr="00840047">
        <w:rPr>
          <w:rFonts w:ascii="Cambria" w:hAnsi="Cambria" w:cs="Calibri Light"/>
          <w:color w:val="000000" w:themeColor="text1"/>
          <w:sz w:val="20"/>
          <w:szCs w:val="20"/>
          <w:lang w:val="es-US"/>
        </w:rPr>
        <w:t>Nahuelquín</w:t>
      </w:r>
      <w:proofErr w:type="spellEnd"/>
      <w:r w:rsidRPr="00840047">
        <w:rPr>
          <w:rFonts w:ascii="Cambria" w:hAnsi="Cambria" w:cs="Calibri Light"/>
          <w:color w:val="000000" w:themeColor="text1"/>
          <w:sz w:val="20"/>
          <w:szCs w:val="20"/>
          <w:lang w:val="es-US"/>
        </w:rPr>
        <w:t xml:space="preserve"> </w:t>
      </w:r>
      <w:proofErr w:type="spellStart"/>
      <w:r w:rsidRPr="00840047">
        <w:rPr>
          <w:rFonts w:ascii="Cambria" w:hAnsi="Cambria" w:cs="Calibri Light"/>
          <w:color w:val="000000" w:themeColor="text1"/>
          <w:sz w:val="20"/>
          <w:szCs w:val="20"/>
          <w:lang w:val="es-US"/>
        </w:rPr>
        <w:t>Lepío</w:t>
      </w:r>
      <w:proofErr w:type="spellEnd"/>
      <w:r w:rsidRPr="00840047">
        <w:rPr>
          <w:rFonts w:ascii="Cambria" w:hAnsi="Cambria" w:cs="Calibri Light"/>
          <w:color w:val="000000" w:themeColor="text1"/>
          <w:sz w:val="20"/>
          <w:szCs w:val="20"/>
          <w:lang w:val="es-US"/>
        </w:rPr>
        <w:t xml:space="preserve">, Patricia </w:t>
      </w:r>
      <w:proofErr w:type="spellStart"/>
      <w:r w:rsidRPr="00840047">
        <w:rPr>
          <w:rFonts w:ascii="Cambria" w:hAnsi="Cambria" w:cs="Calibri Light"/>
          <w:color w:val="000000" w:themeColor="text1"/>
          <w:sz w:val="20"/>
          <w:szCs w:val="20"/>
          <w:lang w:val="es-US"/>
        </w:rPr>
        <w:t>Cocq</w:t>
      </w:r>
      <w:proofErr w:type="spellEnd"/>
      <w:r w:rsidRPr="00840047">
        <w:rPr>
          <w:rFonts w:ascii="Cambria" w:hAnsi="Cambria" w:cs="Calibri Light"/>
          <w:color w:val="000000" w:themeColor="text1"/>
          <w:sz w:val="20"/>
          <w:szCs w:val="20"/>
          <w:lang w:val="es-US"/>
        </w:rPr>
        <w:t xml:space="preserve">, Luis Jerez, Carolina Leyton, Soledad Lorca, Vanesa Mancisidor, Marcia Paredes, Alejandra Venegas, Eduardo </w:t>
      </w:r>
      <w:proofErr w:type="spellStart"/>
      <w:r w:rsidRPr="00840047">
        <w:rPr>
          <w:rFonts w:ascii="Cambria" w:hAnsi="Cambria" w:cs="Calibri Light"/>
          <w:color w:val="000000" w:themeColor="text1"/>
          <w:sz w:val="20"/>
          <w:szCs w:val="20"/>
          <w:lang w:val="es-US"/>
        </w:rPr>
        <w:t>Carimoney</w:t>
      </w:r>
      <w:proofErr w:type="spellEnd"/>
      <w:r w:rsidRPr="00840047">
        <w:rPr>
          <w:rFonts w:ascii="Cambria" w:hAnsi="Cambria" w:cs="Calibri Light"/>
          <w:color w:val="000000" w:themeColor="text1"/>
          <w:sz w:val="20"/>
          <w:szCs w:val="20"/>
          <w:lang w:val="es-US"/>
        </w:rPr>
        <w:t xml:space="preserve">, Mabel Chiguay </w:t>
      </w:r>
      <w:proofErr w:type="spellStart"/>
      <w:r w:rsidRPr="00840047">
        <w:rPr>
          <w:rFonts w:ascii="Cambria" w:hAnsi="Cambria" w:cs="Calibri Light"/>
          <w:color w:val="000000" w:themeColor="text1"/>
          <w:sz w:val="20"/>
          <w:szCs w:val="20"/>
          <w:lang w:val="es-US"/>
        </w:rPr>
        <w:t>Carimoney</w:t>
      </w:r>
      <w:proofErr w:type="spellEnd"/>
      <w:r w:rsidRPr="00840047">
        <w:rPr>
          <w:rFonts w:ascii="Cambria" w:hAnsi="Cambria" w:cs="Calibri Light"/>
          <w:color w:val="000000" w:themeColor="text1"/>
          <w:sz w:val="20"/>
          <w:szCs w:val="20"/>
          <w:lang w:val="es-US"/>
        </w:rPr>
        <w:t xml:space="preserve">, Rodrigo </w:t>
      </w:r>
      <w:proofErr w:type="spellStart"/>
      <w:r w:rsidRPr="00840047">
        <w:rPr>
          <w:rFonts w:ascii="Cambria" w:hAnsi="Cambria" w:cs="Calibri Light"/>
          <w:color w:val="000000" w:themeColor="text1"/>
          <w:sz w:val="20"/>
          <w:szCs w:val="20"/>
          <w:lang w:val="es-US"/>
        </w:rPr>
        <w:t>Levicoy</w:t>
      </w:r>
      <w:proofErr w:type="spellEnd"/>
      <w:r w:rsidRPr="00840047">
        <w:rPr>
          <w:rFonts w:ascii="Cambria" w:hAnsi="Cambria" w:cs="Calibri Light"/>
          <w:color w:val="000000" w:themeColor="text1"/>
          <w:sz w:val="20"/>
          <w:szCs w:val="20"/>
          <w:lang w:val="es-US"/>
        </w:rPr>
        <w:t xml:space="preserve">, </w:t>
      </w:r>
      <w:proofErr w:type="spellStart"/>
      <w:r w:rsidRPr="00840047">
        <w:rPr>
          <w:rFonts w:ascii="Cambria" w:hAnsi="Cambria" w:cs="Calibri Light"/>
          <w:color w:val="000000" w:themeColor="text1"/>
          <w:sz w:val="20"/>
          <w:szCs w:val="20"/>
          <w:lang w:val="es-US"/>
        </w:rPr>
        <w:t>Palmenia</w:t>
      </w:r>
      <w:proofErr w:type="spellEnd"/>
      <w:r w:rsidRPr="00840047">
        <w:rPr>
          <w:rFonts w:ascii="Cambria" w:hAnsi="Cambria" w:cs="Calibri Light"/>
          <w:color w:val="000000" w:themeColor="text1"/>
          <w:sz w:val="20"/>
          <w:szCs w:val="20"/>
          <w:lang w:val="es-US"/>
        </w:rPr>
        <w:t xml:space="preserve"> Saldivia y Marcos Silva. </w:t>
      </w:r>
    </w:p>
    <w:p w14:paraId="7E16918F" w14:textId="77777777" w:rsidR="0032459F" w:rsidRPr="00840047" w:rsidRDefault="0032459F" w:rsidP="00A97CAF">
      <w:pPr>
        <w:spacing w:after="0" w:line="240" w:lineRule="auto"/>
        <w:jc w:val="both"/>
        <w:rPr>
          <w:rFonts w:ascii="Cambria" w:hAnsi="Cambria" w:cs="Calibri Light"/>
          <w:color w:val="000000" w:themeColor="text1"/>
          <w:sz w:val="20"/>
          <w:szCs w:val="20"/>
          <w:lang w:val="es-US"/>
        </w:rPr>
      </w:pPr>
    </w:p>
    <w:p w14:paraId="0DA92C47" w14:textId="77777777" w:rsidR="00A97CAF" w:rsidRPr="00840047" w:rsidRDefault="00A97CAF" w:rsidP="00A97CAF">
      <w:pPr>
        <w:pStyle w:val="ListParagraph"/>
        <w:numPr>
          <w:ilvl w:val="0"/>
          <w:numId w:val="16"/>
        </w:numPr>
        <w:ind w:firstLine="0"/>
        <w:jc w:val="both"/>
        <w:rPr>
          <w:rFonts w:ascii="Cambria" w:hAnsi="Cambria" w:cs="Calibri Light"/>
          <w:b/>
          <w:color w:val="000000" w:themeColor="text1"/>
          <w:sz w:val="20"/>
          <w:szCs w:val="20"/>
          <w:lang w:val="es-US"/>
        </w:rPr>
      </w:pPr>
      <w:r w:rsidRPr="00840047">
        <w:rPr>
          <w:rFonts w:ascii="Cambria" w:hAnsi="Cambria" w:cs="Calibri Light"/>
          <w:b/>
          <w:color w:val="000000" w:themeColor="text1"/>
          <w:sz w:val="20"/>
          <w:szCs w:val="20"/>
          <w:lang w:val="es-US"/>
        </w:rPr>
        <w:t>Resultados estructurales del caso</w:t>
      </w:r>
    </w:p>
    <w:p w14:paraId="2E145C56" w14:textId="77777777" w:rsidR="00A97CAF" w:rsidRPr="00840047" w:rsidRDefault="00A97CAF" w:rsidP="00A97CAF">
      <w:pPr>
        <w:spacing w:after="0" w:line="240" w:lineRule="auto"/>
        <w:rPr>
          <w:rFonts w:ascii="Cambria" w:hAnsi="Cambria"/>
          <w:color w:val="000000" w:themeColor="text1"/>
          <w:sz w:val="20"/>
          <w:szCs w:val="20"/>
          <w:lang w:val="es-ES"/>
        </w:rPr>
      </w:pPr>
    </w:p>
    <w:p w14:paraId="5E272017" w14:textId="77777777" w:rsidR="00A97CAF" w:rsidRPr="00840047" w:rsidRDefault="00A97CAF" w:rsidP="00A97CAF">
      <w:pPr>
        <w:spacing w:after="0" w:line="240" w:lineRule="auto"/>
        <w:rPr>
          <w:rFonts w:ascii="Cambria" w:hAnsi="Cambria"/>
          <w:i/>
          <w:color w:val="000000" w:themeColor="text1"/>
          <w:sz w:val="20"/>
          <w:szCs w:val="20"/>
          <w:lang w:val="es-ES"/>
        </w:rPr>
      </w:pPr>
      <w:r w:rsidRPr="00840047">
        <w:rPr>
          <w:rFonts w:ascii="Cambria" w:hAnsi="Cambria"/>
          <w:i/>
          <w:color w:val="000000" w:themeColor="text1"/>
          <w:sz w:val="20"/>
          <w:szCs w:val="20"/>
          <w:lang w:val="es-ES"/>
        </w:rPr>
        <w:t>Legislación/Normativa</w:t>
      </w:r>
    </w:p>
    <w:p w14:paraId="1E06EBD2" w14:textId="42DB2079" w:rsidR="00A97CAF" w:rsidRPr="00840047" w:rsidRDefault="00A97CAF" w:rsidP="00A97CAF">
      <w:pPr>
        <w:pStyle w:val="ListParagraph"/>
        <w:numPr>
          <w:ilvl w:val="0"/>
          <w:numId w:val="17"/>
        </w:numPr>
        <w:jc w:val="both"/>
        <w:rPr>
          <w:rFonts w:ascii="Cambria" w:hAnsi="Cambria"/>
          <w:color w:val="000000" w:themeColor="text1"/>
          <w:sz w:val="20"/>
          <w:szCs w:val="20"/>
          <w:lang w:val="es-ES"/>
        </w:rPr>
      </w:pPr>
      <w:r w:rsidRPr="00840047">
        <w:rPr>
          <w:rFonts w:ascii="Cambria" w:hAnsi="Cambria"/>
          <w:color w:val="000000" w:themeColor="text1"/>
          <w:sz w:val="20"/>
          <w:szCs w:val="20"/>
          <w:lang w:val="es-US"/>
        </w:rPr>
        <w:t>E</w:t>
      </w:r>
      <w:r w:rsidRPr="00840047">
        <w:rPr>
          <w:rFonts w:ascii="Cambria" w:hAnsi="Cambria"/>
          <w:color w:val="000000" w:themeColor="text1"/>
          <w:sz w:val="20"/>
          <w:szCs w:val="20"/>
          <w:lang w:val="es-ES"/>
        </w:rPr>
        <w:t>l 27 de septiembre de 2016. se constituyó la Mesa de Trabajo para impulsar el estudio de la pertinencia de la introducción de modificaciones al artículo 36b de la Ley Nº 18.168 General de Telecomunicaciones.</w:t>
      </w:r>
    </w:p>
    <w:p w14:paraId="45B26099" w14:textId="77777777" w:rsidR="00BD17B0" w:rsidRPr="00840047" w:rsidRDefault="00BD17B0" w:rsidP="00A97CAF">
      <w:pPr>
        <w:rPr>
          <w:rFonts w:ascii="Cambria" w:hAnsi="Cambria"/>
          <w:color w:val="000000" w:themeColor="text1"/>
          <w:sz w:val="20"/>
          <w:szCs w:val="20"/>
          <w:lang w:val="es-ES"/>
        </w:rPr>
      </w:pPr>
    </w:p>
    <w:sectPr w:rsidR="00BD17B0" w:rsidRPr="00840047" w:rsidSect="00566CD0">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DB1E" w14:textId="77777777" w:rsidR="009A43B9" w:rsidRDefault="009A43B9" w:rsidP="00672733">
      <w:r>
        <w:separator/>
      </w:r>
    </w:p>
  </w:endnote>
  <w:endnote w:type="continuationSeparator" w:id="0">
    <w:p w14:paraId="081239D2" w14:textId="77777777" w:rsidR="009A43B9" w:rsidRDefault="009A43B9"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5716" w14:textId="77777777" w:rsidR="009A43B9" w:rsidRDefault="009A43B9" w:rsidP="00672733">
      <w:r>
        <w:separator/>
      </w:r>
    </w:p>
  </w:footnote>
  <w:footnote w:type="continuationSeparator" w:id="0">
    <w:p w14:paraId="1A4FBF62" w14:textId="77777777" w:rsidR="009A43B9" w:rsidRDefault="009A43B9" w:rsidP="00672733">
      <w:r>
        <w:continuationSeparator/>
      </w:r>
    </w:p>
  </w:footnote>
  <w:footnote w:id="1">
    <w:p w14:paraId="0A91AC7C" w14:textId="77777777" w:rsidR="00A97CAF" w:rsidRPr="00685294" w:rsidRDefault="00A97CAF" w:rsidP="00A97CAF">
      <w:pPr>
        <w:spacing w:after="120" w:line="240" w:lineRule="auto"/>
        <w:ind w:firstLine="720"/>
        <w:jc w:val="both"/>
        <w:rPr>
          <w:rFonts w:ascii="Cambria" w:hAnsi="Cambria"/>
          <w:sz w:val="16"/>
          <w:szCs w:val="16"/>
          <w:lang w:val="es-ES"/>
        </w:rPr>
      </w:pPr>
      <w:r w:rsidRPr="00685294">
        <w:rPr>
          <w:rStyle w:val="FootnoteReference"/>
          <w:rFonts w:ascii="Cambria" w:hAnsi="Cambria"/>
          <w:sz w:val="16"/>
          <w:szCs w:val="16"/>
        </w:rPr>
        <w:footnoteRef/>
      </w:r>
      <w:r w:rsidRPr="00685294">
        <w:rPr>
          <w:rFonts w:ascii="Cambria" w:hAnsi="Cambria"/>
          <w:sz w:val="16"/>
          <w:szCs w:val="16"/>
          <w:lang w:val="es-ES"/>
        </w:rPr>
        <w:t xml:space="preserve"> CIDH, Informe Anual 2017, </w:t>
      </w:r>
      <w:hyperlink r:id="rId1" w:history="1">
        <w:r w:rsidRPr="00685294">
          <w:rPr>
            <w:rStyle w:val="Hyperlink"/>
            <w:rFonts w:ascii="Cambria" w:hAnsi="Cambria"/>
            <w:sz w:val="16"/>
            <w:szCs w:val="16"/>
            <w:lang w:val="es-ES"/>
          </w:rPr>
          <w:t>Capítulo II, Sección F: Estado del cumplimiento de las recomendaciones de la CIDH</w:t>
        </w:r>
      </w:hyperlink>
      <w:r w:rsidRPr="00685294">
        <w:rPr>
          <w:rFonts w:ascii="Cambria" w:hAnsi="Cambria"/>
          <w:sz w:val="16"/>
          <w:szCs w:val="16"/>
          <w:lang w:val="es-ES"/>
        </w:rPr>
        <w:t xml:space="preserve">, párr. 591. </w:t>
      </w:r>
    </w:p>
  </w:footnote>
  <w:footnote w:id="2">
    <w:p w14:paraId="1192D8AE" w14:textId="77777777" w:rsidR="00A97CAF" w:rsidRPr="00685294" w:rsidRDefault="00A97CAF" w:rsidP="00A97CAF">
      <w:pPr>
        <w:pStyle w:val="FootnoteText"/>
        <w:spacing w:after="120"/>
        <w:ind w:firstLine="720"/>
        <w:jc w:val="both"/>
        <w:rPr>
          <w:rFonts w:ascii="Cambria" w:hAnsi="Cambria"/>
          <w:sz w:val="16"/>
          <w:szCs w:val="16"/>
          <w:lang w:val="es-ES"/>
        </w:rPr>
      </w:pPr>
      <w:r w:rsidRPr="00685294">
        <w:rPr>
          <w:rStyle w:val="FootnoteReference"/>
          <w:rFonts w:ascii="Cambria" w:hAnsi="Cambria"/>
          <w:sz w:val="16"/>
          <w:szCs w:val="16"/>
        </w:rPr>
        <w:footnoteRef/>
      </w:r>
      <w:r w:rsidRPr="00685294">
        <w:rPr>
          <w:rFonts w:ascii="Cambria" w:hAnsi="Cambria"/>
          <w:sz w:val="16"/>
          <w:szCs w:val="16"/>
          <w:lang w:val="es-ES"/>
        </w:rPr>
        <w:t xml:space="preserve"> CIDH, Informe Anual 2017, </w:t>
      </w:r>
      <w:hyperlink r:id="rId2" w:history="1">
        <w:r w:rsidRPr="00685294">
          <w:rPr>
            <w:rStyle w:val="Hyperlink"/>
            <w:rFonts w:ascii="Cambria" w:hAnsi="Cambria"/>
            <w:sz w:val="16"/>
            <w:szCs w:val="16"/>
            <w:lang w:val="es-ES"/>
          </w:rPr>
          <w:t>Capítulo II, Sección F: Estado del cumplimiento de las recomendaciones de la CIDH</w:t>
        </w:r>
      </w:hyperlink>
      <w:r w:rsidRPr="00685294">
        <w:rPr>
          <w:rFonts w:ascii="Cambria" w:hAnsi="Cambria"/>
          <w:sz w:val="16"/>
          <w:szCs w:val="16"/>
          <w:lang w:val="es-ES"/>
        </w:rPr>
        <w:t xml:space="preserve">, párr. 590. </w:t>
      </w:r>
    </w:p>
  </w:footnote>
  <w:footnote w:id="3">
    <w:p w14:paraId="498F5790" w14:textId="77777777" w:rsidR="00A97CAF" w:rsidRPr="00646942" w:rsidRDefault="00A97CAF" w:rsidP="00A97CAF">
      <w:pPr>
        <w:pStyle w:val="FootnoteText"/>
        <w:spacing w:after="120"/>
        <w:ind w:firstLine="720"/>
        <w:jc w:val="both"/>
        <w:rPr>
          <w:lang w:val="es-ES"/>
        </w:rPr>
      </w:pPr>
      <w:r w:rsidRPr="00685294">
        <w:rPr>
          <w:rStyle w:val="FootnoteReference"/>
          <w:rFonts w:ascii="Cambria" w:hAnsi="Cambria"/>
          <w:sz w:val="16"/>
          <w:szCs w:val="16"/>
        </w:rPr>
        <w:footnoteRef/>
      </w:r>
      <w:r w:rsidRPr="00685294">
        <w:rPr>
          <w:rFonts w:ascii="Cambria" w:hAnsi="Cambria"/>
          <w:sz w:val="16"/>
          <w:szCs w:val="16"/>
          <w:lang w:val="es-ES"/>
        </w:rPr>
        <w:t xml:space="preserve"> CIDH, Informe Anual 2017, </w:t>
      </w:r>
      <w:hyperlink r:id="rId3" w:history="1">
        <w:r w:rsidRPr="00685294">
          <w:rPr>
            <w:rStyle w:val="Hyperlink"/>
            <w:rFonts w:ascii="Cambria" w:hAnsi="Cambria"/>
            <w:sz w:val="16"/>
            <w:szCs w:val="16"/>
            <w:lang w:val="es-ES"/>
          </w:rPr>
          <w:t>Capítulo II, Sección F: Estado del cumplimiento de las recomendaciones de la CIDH</w:t>
        </w:r>
      </w:hyperlink>
      <w:r w:rsidRPr="00685294">
        <w:rPr>
          <w:rFonts w:ascii="Cambria" w:hAnsi="Cambria"/>
          <w:sz w:val="16"/>
          <w:szCs w:val="16"/>
          <w:lang w:val="es-ES"/>
        </w:rPr>
        <w:t>, párr. 593.</w:t>
      </w:r>
      <w:r>
        <w:rPr>
          <w:rFonts w:ascii="Cambria" w:hAnsi="Cambria"/>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74F643C0">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2F88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A03F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5682E"/>
    <w:multiLevelType w:val="hybridMultilevel"/>
    <w:tmpl w:val="C054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15:restartNumberingAfterBreak="0">
    <w:nsid w:val="1D7C52EC"/>
    <w:multiLevelType w:val="hybridMultilevel"/>
    <w:tmpl w:val="AE8A7140"/>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E174EF"/>
    <w:multiLevelType w:val="hybridMultilevel"/>
    <w:tmpl w:val="AE8A7140"/>
    <w:lvl w:ilvl="0" w:tplc="3000BD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F586B"/>
    <w:multiLevelType w:val="hybridMultilevel"/>
    <w:tmpl w:val="43DCE4C0"/>
    <w:lvl w:ilvl="0" w:tplc="4DEE32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E60B5"/>
    <w:multiLevelType w:val="hybridMultilevel"/>
    <w:tmpl w:val="B5262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 w15:restartNumberingAfterBreak="0">
    <w:nsid w:val="2CE87E74"/>
    <w:multiLevelType w:val="hybridMultilevel"/>
    <w:tmpl w:val="D834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2" w15:restartNumberingAfterBreak="0">
    <w:nsid w:val="427662E5"/>
    <w:multiLevelType w:val="hybridMultilevel"/>
    <w:tmpl w:val="2BDAD2FE"/>
    <w:lvl w:ilvl="0" w:tplc="FC120C76">
      <w:start w:val="1"/>
      <w:numFmt w:val="decimal"/>
      <w:lvlText w:val="%1."/>
      <w:lvlJc w:val="left"/>
      <w:pPr>
        <w:ind w:left="0" w:firstLine="72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0A07D1"/>
    <w:multiLevelType w:val="hybridMultilevel"/>
    <w:tmpl w:val="7C5437E8"/>
    <w:lvl w:ilvl="0" w:tplc="363C2D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734497"/>
    <w:multiLevelType w:val="hybridMultilevel"/>
    <w:tmpl w:val="C758F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575E59"/>
    <w:multiLevelType w:val="hybridMultilevel"/>
    <w:tmpl w:val="EC7C1830"/>
    <w:lvl w:ilvl="0" w:tplc="4A864CD6">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2294D"/>
    <w:multiLevelType w:val="hybridMultilevel"/>
    <w:tmpl w:val="FB021BC8"/>
    <w:lvl w:ilvl="0" w:tplc="6400DF4A">
      <w:start w:val="1"/>
      <w:numFmt w:val="decimal"/>
      <w:lvlText w:val="%1."/>
      <w:lvlJc w:val="left"/>
      <w:pPr>
        <w:ind w:left="0" w:firstLine="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B7C6B"/>
    <w:multiLevelType w:val="hybridMultilevel"/>
    <w:tmpl w:val="2D266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2A62BA2"/>
    <w:multiLevelType w:val="hybridMultilevel"/>
    <w:tmpl w:val="4FE6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12FF0"/>
    <w:multiLevelType w:val="hybridMultilevel"/>
    <w:tmpl w:val="C9067B9A"/>
    <w:lvl w:ilvl="0" w:tplc="4BCC38A6">
      <w:start w:val="6"/>
      <w:numFmt w:val="decimal"/>
      <w:lvlText w:val="%1."/>
      <w:lvlJc w:val="left"/>
      <w:pPr>
        <w:ind w:left="0" w:firstLine="720"/>
      </w:pPr>
      <w:rPr>
        <w:rFonts w:hint="default"/>
        <w:b w:val="0"/>
        <w:color w:val="000000" w:themeColor="text1"/>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15:restartNumberingAfterBreak="0">
    <w:nsid w:val="78E00A47"/>
    <w:multiLevelType w:val="hybridMultilevel"/>
    <w:tmpl w:val="AE7C49BC"/>
    <w:lvl w:ilvl="0" w:tplc="04160013">
      <w:start w:val="1"/>
      <w:numFmt w:val="upperRoman"/>
      <w:lvlText w:val="%1."/>
      <w:lvlJc w:val="right"/>
      <w:pPr>
        <w:ind w:left="81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994624A"/>
    <w:multiLevelType w:val="hybridMultilevel"/>
    <w:tmpl w:val="8174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9E3B56"/>
    <w:multiLevelType w:val="hybridMultilevel"/>
    <w:tmpl w:val="06C2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abstractNumId w:val="11"/>
  </w:num>
  <w:num w:numId="2">
    <w:abstractNumId w:val="24"/>
  </w:num>
  <w:num w:numId="3">
    <w:abstractNumId w:val="14"/>
  </w:num>
  <w:num w:numId="4">
    <w:abstractNumId w:val="4"/>
  </w:num>
  <w:num w:numId="5">
    <w:abstractNumId w:val="3"/>
  </w:num>
  <w:num w:numId="6">
    <w:abstractNumId w:val="9"/>
  </w:num>
  <w:num w:numId="7">
    <w:abstractNumId w:val="0"/>
  </w:num>
  <w:num w:numId="8">
    <w:abstractNumId w:val="1"/>
  </w:num>
  <w:num w:numId="9">
    <w:abstractNumId w:val="22"/>
  </w:num>
  <w:num w:numId="10">
    <w:abstractNumId w:val="17"/>
  </w:num>
  <w:num w:numId="11">
    <w:abstractNumId w:val="21"/>
  </w:num>
  <w:num w:numId="12">
    <w:abstractNumId w:val="20"/>
  </w:num>
  <w:num w:numId="13">
    <w:abstractNumId w:val="12"/>
  </w:num>
  <w:num w:numId="14">
    <w:abstractNumId w:val="13"/>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
  </w:num>
  <w:num w:numId="19">
    <w:abstractNumId w:val="10"/>
  </w:num>
  <w:num w:numId="20">
    <w:abstractNumId w:val="19"/>
  </w:num>
  <w:num w:numId="21">
    <w:abstractNumId w:val="18"/>
  </w:num>
  <w:num w:numId="22">
    <w:abstractNumId w:val="16"/>
  </w:num>
  <w:num w:numId="23">
    <w:abstractNumId w:val="15"/>
  </w:num>
  <w:num w:numId="24">
    <w:abstractNumId w:val="6"/>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03CEF"/>
    <w:rsid w:val="00045E5E"/>
    <w:rsid w:val="000A5E9A"/>
    <w:rsid w:val="000B20E3"/>
    <w:rsid w:val="000B5E1D"/>
    <w:rsid w:val="000F5920"/>
    <w:rsid w:val="00105B23"/>
    <w:rsid w:val="00117F79"/>
    <w:rsid w:val="00162AD5"/>
    <w:rsid w:val="00181DA0"/>
    <w:rsid w:val="001A2B28"/>
    <w:rsid w:val="001C5053"/>
    <w:rsid w:val="001F07B3"/>
    <w:rsid w:val="001F08D4"/>
    <w:rsid w:val="002215DD"/>
    <w:rsid w:val="002248FB"/>
    <w:rsid w:val="002339B1"/>
    <w:rsid w:val="00234E64"/>
    <w:rsid w:val="002B08BC"/>
    <w:rsid w:val="002C65A9"/>
    <w:rsid w:val="002E748C"/>
    <w:rsid w:val="00322720"/>
    <w:rsid w:val="0032459F"/>
    <w:rsid w:val="00346CB9"/>
    <w:rsid w:val="00354309"/>
    <w:rsid w:val="00392ADD"/>
    <w:rsid w:val="003C58AF"/>
    <w:rsid w:val="003C6E0C"/>
    <w:rsid w:val="00402E17"/>
    <w:rsid w:val="00407A40"/>
    <w:rsid w:val="00453115"/>
    <w:rsid w:val="004758C9"/>
    <w:rsid w:val="00475D96"/>
    <w:rsid w:val="0048723C"/>
    <w:rsid w:val="0049053A"/>
    <w:rsid w:val="004C5501"/>
    <w:rsid w:val="00500FDE"/>
    <w:rsid w:val="0053662F"/>
    <w:rsid w:val="00561104"/>
    <w:rsid w:val="00566CD0"/>
    <w:rsid w:val="005914C2"/>
    <w:rsid w:val="00637ED3"/>
    <w:rsid w:val="006638E5"/>
    <w:rsid w:val="00666F25"/>
    <w:rsid w:val="00672733"/>
    <w:rsid w:val="00690977"/>
    <w:rsid w:val="006B1F24"/>
    <w:rsid w:val="006F0B1C"/>
    <w:rsid w:val="006F127F"/>
    <w:rsid w:val="00712F6D"/>
    <w:rsid w:val="00757595"/>
    <w:rsid w:val="007615CA"/>
    <w:rsid w:val="00763104"/>
    <w:rsid w:val="0078107C"/>
    <w:rsid w:val="007A61C5"/>
    <w:rsid w:val="007C4DCE"/>
    <w:rsid w:val="007D4985"/>
    <w:rsid w:val="007F2517"/>
    <w:rsid w:val="008041ED"/>
    <w:rsid w:val="00817DD8"/>
    <w:rsid w:val="00840047"/>
    <w:rsid w:val="008463D3"/>
    <w:rsid w:val="00861F8C"/>
    <w:rsid w:val="008818B0"/>
    <w:rsid w:val="008861D6"/>
    <w:rsid w:val="009A43B9"/>
    <w:rsid w:val="009E4545"/>
    <w:rsid w:val="00A30D2E"/>
    <w:rsid w:val="00A860C8"/>
    <w:rsid w:val="00A97CAF"/>
    <w:rsid w:val="00AB458B"/>
    <w:rsid w:val="00B003D0"/>
    <w:rsid w:val="00B35544"/>
    <w:rsid w:val="00B93C89"/>
    <w:rsid w:val="00BD17B0"/>
    <w:rsid w:val="00BF7A78"/>
    <w:rsid w:val="00CE7858"/>
    <w:rsid w:val="00CF7F3C"/>
    <w:rsid w:val="00D122B1"/>
    <w:rsid w:val="00D125D1"/>
    <w:rsid w:val="00D427BD"/>
    <w:rsid w:val="00D474B2"/>
    <w:rsid w:val="00D5468C"/>
    <w:rsid w:val="00D56DC4"/>
    <w:rsid w:val="00D917F9"/>
    <w:rsid w:val="00DD1DD8"/>
    <w:rsid w:val="00DD4805"/>
    <w:rsid w:val="00E042FE"/>
    <w:rsid w:val="00E313E9"/>
    <w:rsid w:val="00E516AB"/>
    <w:rsid w:val="00E90CB3"/>
    <w:rsid w:val="00EA0262"/>
    <w:rsid w:val="00EA5D31"/>
    <w:rsid w:val="00EB372C"/>
    <w:rsid w:val="00EC2993"/>
    <w:rsid w:val="00EC61E3"/>
    <w:rsid w:val="00ED0AAA"/>
    <w:rsid w:val="00ED1EBA"/>
    <w:rsid w:val="00EF6704"/>
    <w:rsid w:val="00F2500C"/>
    <w:rsid w:val="00F41E7E"/>
    <w:rsid w:val="00F6303D"/>
    <w:rsid w:val="00F87605"/>
    <w:rsid w:val="00F94D02"/>
    <w:rsid w:val="00FA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8AF"/>
    <w:pPr>
      <w:spacing w:after="200" w:line="276" w:lineRule="auto"/>
    </w:pPr>
    <w:rPr>
      <w:rFonts w:ascii="Calibri" w:eastAsia="Calibri" w:hAnsi="Calibri" w:cs="Times New Roman"/>
      <w:sz w:val="22"/>
      <w:szCs w:val="22"/>
      <w:lang w:val="pt-BR"/>
    </w:rPr>
  </w:style>
  <w:style w:type="paragraph" w:styleId="Heading1">
    <w:name w:val="heading 1"/>
    <w:basedOn w:val="Normal"/>
    <w:next w:val="Normal"/>
    <w:link w:val="Heading1Char"/>
    <w:uiPriority w:val="9"/>
    <w:qFormat/>
    <w:rsid w:val="006B1F2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spacing w:after="0" w:line="240" w:lineRule="auto"/>
    </w:pPr>
    <w:rPr>
      <w:rFonts w:asciiTheme="minorHAnsi" w:eastAsiaTheme="minorHAnsi" w:hAnsiTheme="minorHAnsi" w:cstheme="minorBidi"/>
      <w:sz w:val="24"/>
      <w:szCs w:val="24"/>
      <w:lang w:val="en-US"/>
    </w:r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spacing w:after="0" w:line="240" w:lineRule="auto"/>
    </w:pPr>
    <w:rPr>
      <w:rFonts w:asciiTheme="minorHAnsi" w:eastAsiaTheme="minorHAnsi" w:hAnsiTheme="minorHAnsi" w:cstheme="minorBidi"/>
      <w:sz w:val="24"/>
      <w:szCs w:val="24"/>
      <w:lang w:val="en-US"/>
    </w:r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spacing w:after="0" w:line="240" w:lineRule="auto"/>
      <w:ind w:left="720"/>
      <w:contextualSpacing/>
    </w:pPr>
    <w:rPr>
      <w:rFonts w:asciiTheme="minorHAnsi" w:eastAsiaTheme="minorHAnsi" w:hAnsiTheme="minorHAnsi" w:cstheme="minorBidi"/>
      <w:sz w:val="24"/>
      <w:szCs w:val="24"/>
      <w:lang w:val="en-US"/>
    </w:rPr>
  </w:style>
  <w:style w:type="paragraph" w:styleId="Subtitle">
    <w:name w:val="Subtitle"/>
    <w:basedOn w:val="Normal"/>
    <w:next w:val="Normal"/>
    <w:link w:val="SubtitleChar"/>
    <w:uiPriority w:val="11"/>
    <w:qFormat/>
    <w:rsid w:val="00045E5E"/>
    <w:pPr>
      <w:numPr>
        <w:ilvl w:val="1"/>
      </w:numPr>
      <w:spacing w:after="160" w:line="240" w:lineRule="auto"/>
    </w:pPr>
    <w:rPr>
      <w:rFonts w:asciiTheme="minorHAnsi" w:eastAsiaTheme="minorEastAsia" w:hAnsiTheme="minorHAnsi" w:cstheme="minorBidi"/>
      <w:color w:val="5A5A5A" w:themeColor="text1" w:themeTint="A5"/>
      <w:spacing w:val="15"/>
      <w:lang w:val="en-US"/>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E516AB"/>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line="240" w:lineRule="auto"/>
    </w:pPr>
    <w:rPr>
      <w:rFonts w:asciiTheme="minorHAnsi" w:eastAsiaTheme="minorHAnsi" w:hAnsiTheme="minorHAnsi" w:cstheme="minorBidi"/>
      <w:i/>
      <w:iCs/>
      <w:color w:val="44546A" w:themeColor="text2"/>
      <w:sz w:val="18"/>
      <w:szCs w:val="18"/>
      <w:lang w:val="en-US"/>
    </w:rPr>
  </w:style>
  <w:style w:type="paragraph" w:customStyle="1" w:styleId="Appelnotedebasde">
    <w:name w:val="Appel note de bas de..."/>
    <w:basedOn w:val="Normal"/>
    <w:link w:val="FootnoteReference"/>
    <w:uiPriority w:val="99"/>
    <w:rsid w:val="00757595"/>
    <w:pPr>
      <w:spacing w:after="160" w:line="240" w:lineRule="exact"/>
    </w:pPr>
    <w:rPr>
      <w:rFonts w:asciiTheme="minorHAnsi" w:eastAsiaTheme="minorHAnsi" w:hAnsiTheme="minorHAnsi" w:cstheme="minorBidi"/>
      <w:sz w:val="24"/>
      <w:szCs w:val="24"/>
      <w:vertAlign w:val="superscript"/>
      <w:lang w:val="en-US"/>
    </w:rPr>
  </w:style>
  <w:style w:type="character" w:styleId="Hyperlink">
    <w:name w:val="Hyperlink"/>
    <w:uiPriority w:val="99"/>
    <w:unhideWhenUsed/>
    <w:rsid w:val="00757595"/>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757595"/>
  </w:style>
  <w:style w:type="paragraph" w:styleId="NoSpacing">
    <w:name w:val="No Spacing"/>
    <w:uiPriority w:val="1"/>
    <w:qFormat/>
    <w:rsid w:val="00D125D1"/>
    <w:rPr>
      <w:rFonts w:ascii="Calibri" w:eastAsia="Calibri" w:hAnsi="Calibri" w:cs="Times New Roman"/>
      <w:sz w:val="22"/>
      <w:szCs w:val="22"/>
      <w:lang w:val="pt-BR"/>
    </w:rPr>
  </w:style>
  <w:style w:type="paragraph" w:styleId="BlockText">
    <w:name w:val="Block Text"/>
    <w:basedOn w:val="Normal"/>
    <w:uiPriority w:val="99"/>
    <w:rsid w:val="00D125D1"/>
    <w:pPr>
      <w:spacing w:before="100" w:beforeAutospacing="1" w:after="100" w:afterAutospacing="1" w:line="240" w:lineRule="auto"/>
    </w:pPr>
    <w:rPr>
      <w:rFonts w:ascii="Times New Roman" w:eastAsia="MS Mincho" w:hAnsi="Times New Roman"/>
      <w:sz w:val="24"/>
      <w:szCs w:val="24"/>
      <w:lang w:val="en-US"/>
    </w:rPr>
  </w:style>
  <w:style w:type="paragraph" w:customStyle="1" w:styleId="Default">
    <w:name w:val="Default"/>
    <w:rsid w:val="00A97CAF"/>
    <w:pPr>
      <w:autoSpaceDE w:val="0"/>
      <w:autoSpaceDN w:val="0"/>
      <w:adjustRightInd w:val="0"/>
    </w:pPr>
    <w:rPr>
      <w:rFonts w:ascii="Cambria" w:eastAsia="Calibri" w:hAnsi="Cambria" w:cs="Cambria"/>
      <w:color w:val="000000"/>
      <w:lang w:val="pt-BR" w:eastAsia="pt-BR"/>
    </w:rPr>
  </w:style>
  <w:style w:type="paragraph" w:styleId="CommentText">
    <w:name w:val="annotation text"/>
    <w:basedOn w:val="Normal"/>
    <w:link w:val="CommentTextChar"/>
    <w:uiPriority w:val="99"/>
    <w:unhideWhenUsed/>
    <w:rsid w:val="00A97CAF"/>
    <w:rPr>
      <w:sz w:val="20"/>
      <w:szCs w:val="20"/>
    </w:rPr>
  </w:style>
  <w:style w:type="character" w:customStyle="1" w:styleId="CommentTextChar">
    <w:name w:val="Comment Text Char"/>
    <w:basedOn w:val="DefaultParagraphFont"/>
    <w:link w:val="CommentText"/>
    <w:uiPriority w:val="99"/>
    <w:rsid w:val="00A97CAF"/>
    <w:rPr>
      <w:rFonts w:ascii="Calibri" w:eastAsia="Calibri" w:hAnsi="Calibri" w:cs="Times New Roman"/>
      <w:sz w:val="20"/>
      <w:szCs w:val="20"/>
      <w:lang w:val="pt-BR"/>
    </w:rPr>
  </w:style>
  <w:style w:type="paragraph" w:styleId="NormalWeb">
    <w:name w:val="Normal (Web)"/>
    <w:basedOn w:val="Normal"/>
    <w:uiPriority w:val="99"/>
    <w:unhideWhenUsed/>
    <w:rsid w:val="003C6E0C"/>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666F25"/>
    <w:rPr>
      <w:sz w:val="16"/>
      <w:szCs w:val="16"/>
    </w:rPr>
  </w:style>
  <w:style w:type="paragraph" w:styleId="CommentSubject">
    <w:name w:val="annotation subject"/>
    <w:basedOn w:val="CommentText"/>
    <w:next w:val="CommentText"/>
    <w:link w:val="CommentSubjectChar"/>
    <w:uiPriority w:val="99"/>
    <w:semiHidden/>
    <w:unhideWhenUsed/>
    <w:rsid w:val="00666F25"/>
    <w:pPr>
      <w:spacing w:line="240" w:lineRule="auto"/>
    </w:pPr>
    <w:rPr>
      <w:b/>
      <w:bCs/>
    </w:rPr>
  </w:style>
  <w:style w:type="character" w:customStyle="1" w:styleId="CommentSubjectChar">
    <w:name w:val="Comment Subject Char"/>
    <w:basedOn w:val="CommentTextChar"/>
    <w:link w:val="CommentSubject"/>
    <w:uiPriority w:val="99"/>
    <w:semiHidden/>
    <w:rsid w:val="00666F25"/>
    <w:rPr>
      <w:rFonts w:ascii="Calibri" w:eastAsia="Calibri" w:hAnsi="Calibri" w:cs="Times New Roman"/>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2663">
      <w:bodyDiv w:val="1"/>
      <w:marLeft w:val="0"/>
      <w:marRight w:val="0"/>
      <w:marTop w:val="0"/>
      <w:marBottom w:val="0"/>
      <w:divBdr>
        <w:top w:val="none" w:sz="0" w:space="0" w:color="auto"/>
        <w:left w:val="none" w:sz="0" w:space="0" w:color="auto"/>
        <w:bottom w:val="none" w:sz="0" w:space="0" w:color="auto"/>
        <w:right w:val="none" w:sz="0" w:space="0" w:color="auto"/>
      </w:divBdr>
      <w:divsChild>
        <w:div w:id="1178693560">
          <w:marLeft w:val="0"/>
          <w:marRight w:val="0"/>
          <w:marTop w:val="0"/>
          <w:marBottom w:val="0"/>
          <w:divBdr>
            <w:top w:val="none" w:sz="0" w:space="0" w:color="auto"/>
            <w:left w:val="none" w:sz="0" w:space="0" w:color="auto"/>
            <w:bottom w:val="none" w:sz="0" w:space="0" w:color="auto"/>
            <w:right w:val="none" w:sz="0" w:space="0" w:color="auto"/>
          </w:divBdr>
          <w:divsChild>
            <w:div w:id="1551113096">
              <w:marLeft w:val="0"/>
              <w:marRight w:val="0"/>
              <w:marTop w:val="0"/>
              <w:marBottom w:val="0"/>
              <w:divBdr>
                <w:top w:val="none" w:sz="0" w:space="0" w:color="auto"/>
                <w:left w:val="none" w:sz="0" w:space="0" w:color="auto"/>
                <w:bottom w:val="none" w:sz="0" w:space="0" w:color="auto"/>
                <w:right w:val="none" w:sz="0" w:space="0" w:color="auto"/>
              </w:divBdr>
              <w:divsChild>
                <w:div w:id="16182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7165">
      <w:bodyDiv w:val="1"/>
      <w:marLeft w:val="0"/>
      <w:marRight w:val="0"/>
      <w:marTop w:val="0"/>
      <w:marBottom w:val="0"/>
      <w:divBdr>
        <w:top w:val="none" w:sz="0" w:space="0" w:color="auto"/>
        <w:left w:val="none" w:sz="0" w:space="0" w:color="auto"/>
        <w:bottom w:val="none" w:sz="0" w:space="0" w:color="auto"/>
        <w:right w:val="none" w:sz="0" w:space="0" w:color="auto"/>
      </w:divBdr>
      <w:divsChild>
        <w:div w:id="1574775481">
          <w:marLeft w:val="0"/>
          <w:marRight w:val="0"/>
          <w:marTop w:val="0"/>
          <w:marBottom w:val="0"/>
          <w:divBdr>
            <w:top w:val="none" w:sz="0" w:space="0" w:color="auto"/>
            <w:left w:val="none" w:sz="0" w:space="0" w:color="auto"/>
            <w:bottom w:val="none" w:sz="0" w:space="0" w:color="auto"/>
            <w:right w:val="none" w:sz="0" w:space="0" w:color="auto"/>
          </w:divBdr>
          <w:divsChild>
            <w:div w:id="1854605341">
              <w:marLeft w:val="0"/>
              <w:marRight w:val="0"/>
              <w:marTop w:val="0"/>
              <w:marBottom w:val="0"/>
              <w:divBdr>
                <w:top w:val="none" w:sz="0" w:space="0" w:color="auto"/>
                <w:left w:val="none" w:sz="0" w:space="0" w:color="auto"/>
                <w:bottom w:val="none" w:sz="0" w:space="0" w:color="auto"/>
                <w:right w:val="none" w:sz="0" w:space="0" w:color="auto"/>
              </w:divBdr>
              <w:divsChild>
                <w:div w:id="21455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1370">
      <w:bodyDiv w:val="1"/>
      <w:marLeft w:val="0"/>
      <w:marRight w:val="0"/>
      <w:marTop w:val="0"/>
      <w:marBottom w:val="0"/>
      <w:divBdr>
        <w:top w:val="none" w:sz="0" w:space="0" w:color="auto"/>
        <w:left w:val="none" w:sz="0" w:space="0" w:color="auto"/>
        <w:bottom w:val="none" w:sz="0" w:space="0" w:color="auto"/>
        <w:right w:val="none" w:sz="0" w:space="0" w:color="auto"/>
      </w:divBdr>
      <w:divsChild>
        <w:div w:id="188034285">
          <w:marLeft w:val="0"/>
          <w:marRight w:val="0"/>
          <w:marTop w:val="0"/>
          <w:marBottom w:val="0"/>
          <w:divBdr>
            <w:top w:val="none" w:sz="0" w:space="0" w:color="auto"/>
            <w:left w:val="none" w:sz="0" w:space="0" w:color="auto"/>
            <w:bottom w:val="none" w:sz="0" w:space="0" w:color="auto"/>
            <w:right w:val="none" w:sz="0" w:space="0" w:color="auto"/>
          </w:divBdr>
          <w:divsChild>
            <w:div w:id="1988437161">
              <w:marLeft w:val="0"/>
              <w:marRight w:val="0"/>
              <w:marTop w:val="0"/>
              <w:marBottom w:val="0"/>
              <w:divBdr>
                <w:top w:val="none" w:sz="0" w:space="0" w:color="auto"/>
                <w:left w:val="none" w:sz="0" w:space="0" w:color="auto"/>
                <w:bottom w:val="none" w:sz="0" w:space="0" w:color="auto"/>
                <w:right w:val="none" w:sz="0" w:space="0" w:color="auto"/>
              </w:divBdr>
              <w:divsChild>
                <w:div w:id="17418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5659">
      <w:bodyDiv w:val="1"/>
      <w:marLeft w:val="0"/>
      <w:marRight w:val="0"/>
      <w:marTop w:val="0"/>
      <w:marBottom w:val="0"/>
      <w:divBdr>
        <w:top w:val="none" w:sz="0" w:space="0" w:color="auto"/>
        <w:left w:val="none" w:sz="0" w:space="0" w:color="auto"/>
        <w:bottom w:val="none" w:sz="0" w:space="0" w:color="auto"/>
        <w:right w:val="none" w:sz="0" w:space="0" w:color="auto"/>
      </w:divBdr>
      <w:divsChild>
        <w:div w:id="1219367127">
          <w:marLeft w:val="0"/>
          <w:marRight w:val="0"/>
          <w:marTop w:val="0"/>
          <w:marBottom w:val="0"/>
          <w:divBdr>
            <w:top w:val="none" w:sz="0" w:space="0" w:color="auto"/>
            <w:left w:val="none" w:sz="0" w:space="0" w:color="auto"/>
            <w:bottom w:val="none" w:sz="0" w:space="0" w:color="auto"/>
            <w:right w:val="none" w:sz="0" w:space="0" w:color="auto"/>
          </w:divBdr>
          <w:divsChild>
            <w:div w:id="1254778087">
              <w:marLeft w:val="0"/>
              <w:marRight w:val="0"/>
              <w:marTop w:val="0"/>
              <w:marBottom w:val="0"/>
              <w:divBdr>
                <w:top w:val="none" w:sz="0" w:space="0" w:color="auto"/>
                <w:left w:val="none" w:sz="0" w:space="0" w:color="auto"/>
                <w:bottom w:val="none" w:sz="0" w:space="0" w:color="auto"/>
                <w:right w:val="none" w:sz="0" w:space="0" w:color="auto"/>
              </w:divBdr>
              <w:divsChild>
                <w:div w:id="1368794847">
                  <w:marLeft w:val="0"/>
                  <w:marRight w:val="0"/>
                  <w:marTop w:val="0"/>
                  <w:marBottom w:val="0"/>
                  <w:divBdr>
                    <w:top w:val="none" w:sz="0" w:space="0" w:color="auto"/>
                    <w:left w:val="none" w:sz="0" w:space="0" w:color="auto"/>
                    <w:bottom w:val="none" w:sz="0" w:space="0" w:color="auto"/>
                    <w:right w:val="none" w:sz="0" w:space="0" w:color="auto"/>
                  </w:divBdr>
                </w:div>
              </w:divsChild>
            </w:div>
            <w:div w:id="1901401609">
              <w:marLeft w:val="0"/>
              <w:marRight w:val="0"/>
              <w:marTop w:val="0"/>
              <w:marBottom w:val="0"/>
              <w:divBdr>
                <w:top w:val="none" w:sz="0" w:space="0" w:color="auto"/>
                <w:left w:val="none" w:sz="0" w:space="0" w:color="auto"/>
                <w:bottom w:val="none" w:sz="0" w:space="0" w:color="auto"/>
                <w:right w:val="none" w:sz="0" w:space="0" w:color="auto"/>
              </w:divBdr>
              <w:divsChild>
                <w:div w:id="426728384">
                  <w:marLeft w:val="0"/>
                  <w:marRight w:val="0"/>
                  <w:marTop w:val="0"/>
                  <w:marBottom w:val="0"/>
                  <w:divBdr>
                    <w:top w:val="none" w:sz="0" w:space="0" w:color="auto"/>
                    <w:left w:val="none" w:sz="0" w:space="0" w:color="auto"/>
                    <w:bottom w:val="none" w:sz="0" w:space="0" w:color="auto"/>
                    <w:right w:val="none" w:sz="0" w:space="0" w:color="auto"/>
                  </w:divBdr>
                </w:div>
              </w:divsChild>
            </w:div>
            <w:div w:id="213276964">
              <w:marLeft w:val="0"/>
              <w:marRight w:val="0"/>
              <w:marTop w:val="0"/>
              <w:marBottom w:val="0"/>
              <w:divBdr>
                <w:top w:val="none" w:sz="0" w:space="0" w:color="auto"/>
                <w:left w:val="none" w:sz="0" w:space="0" w:color="auto"/>
                <w:bottom w:val="none" w:sz="0" w:space="0" w:color="auto"/>
                <w:right w:val="none" w:sz="0" w:space="0" w:color="auto"/>
              </w:divBdr>
              <w:divsChild>
                <w:div w:id="19586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21240">
      <w:bodyDiv w:val="1"/>
      <w:marLeft w:val="0"/>
      <w:marRight w:val="0"/>
      <w:marTop w:val="0"/>
      <w:marBottom w:val="0"/>
      <w:divBdr>
        <w:top w:val="none" w:sz="0" w:space="0" w:color="auto"/>
        <w:left w:val="none" w:sz="0" w:space="0" w:color="auto"/>
        <w:bottom w:val="none" w:sz="0" w:space="0" w:color="auto"/>
        <w:right w:val="none" w:sz="0" w:space="0" w:color="auto"/>
      </w:divBdr>
      <w:divsChild>
        <w:div w:id="341858638">
          <w:marLeft w:val="0"/>
          <w:marRight w:val="0"/>
          <w:marTop w:val="0"/>
          <w:marBottom w:val="0"/>
          <w:divBdr>
            <w:top w:val="none" w:sz="0" w:space="0" w:color="auto"/>
            <w:left w:val="none" w:sz="0" w:space="0" w:color="auto"/>
            <w:bottom w:val="none" w:sz="0" w:space="0" w:color="auto"/>
            <w:right w:val="none" w:sz="0" w:space="0" w:color="auto"/>
          </w:divBdr>
          <w:divsChild>
            <w:div w:id="903835753">
              <w:marLeft w:val="0"/>
              <w:marRight w:val="0"/>
              <w:marTop w:val="0"/>
              <w:marBottom w:val="0"/>
              <w:divBdr>
                <w:top w:val="none" w:sz="0" w:space="0" w:color="auto"/>
                <w:left w:val="none" w:sz="0" w:space="0" w:color="auto"/>
                <w:bottom w:val="none" w:sz="0" w:space="0" w:color="auto"/>
                <w:right w:val="none" w:sz="0" w:space="0" w:color="auto"/>
              </w:divBdr>
              <w:divsChild>
                <w:div w:id="13307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92836">
      <w:bodyDiv w:val="1"/>
      <w:marLeft w:val="0"/>
      <w:marRight w:val="0"/>
      <w:marTop w:val="0"/>
      <w:marBottom w:val="0"/>
      <w:divBdr>
        <w:top w:val="none" w:sz="0" w:space="0" w:color="auto"/>
        <w:left w:val="none" w:sz="0" w:space="0" w:color="auto"/>
        <w:bottom w:val="none" w:sz="0" w:space="0" w:color="auto"/>
        <w:right w:val="none" w:sz="0" w:space="0" w:color="auto"/>
      </w:divBdr>
      <w:divsChild>
        <w:div w:id="531962756">
          <w:marLeft w:val="0"/>
          <w:marRight w:val="0"/>
          <w:marTop w:val="0"/>
          <w:marBottom w:val="0"/>
          <w:divBdr>
            <w:top w:val="none" w:sz="0" w:space="0" w:color="auto"/>
            <w:left w:val="none" w:sz="0" w:space="0" w:color="auto"/>
            <w:bottom w:val="none" w:sz="0" w:space="0" w:color="auto"/>
            <w:right w:val="none" w:sz="0" w:space="0" w:color="auto"/>
          </w:divBdr>
          <w:divsChild>
            <w:div w:id="1417244884">
              <w:marLeft w:val="0"/>
              <w:marRight w:val="0"/>
              <w:marTop w:val="0"/>
              <w:marBottom w:val="0"/>
              <w:divBdr>
                <w:top w:val="none" w:sz="0" w:space="0" w:color="auto"/>
                <w:left w:val="none" w:sz="0" w:space="0" w:color="auto"/>
                <w:bottom w:val="none" w:sz="0" w:space="0" w:color="auto"/>
                <w:right w:val="none" w:sz="0" w:space="0" w:color="auto"/>
              </w:divBdr>
              <w:divsChild>
                <w:div w:id="11441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3054">
      <w:bodyDiv w:val="1"/>
      <w:marLeft w:val="0"/>
      <w:marRight w:val="0"/>
      <w:marTop w:val="0"/>
      <w:marBottom w:val="0"/>
      <w:divBdr>
        <w:top w:val="none" w:sz="0" w:space="0" w:color="auto"/>
        <w:left w:val="none" w:sz="0" w:space="0" w:color="auto"/>
        <w:bottom w:val="none" w:sz="0" w:space="0" w:color="auto"/>
        <w:right w:val="none" w:sz="0" w:space="0" w:color="auto"/>
      </w:divBdr>
      <w:divsChild>
        <w:div w:id="1860466380">
          <w:marLeft w:val="0"/>
          <w:marRight w:val="0"/>
          <w:marTop w:val="0"/>
          <w:marBottom w:val="0"/>
          <w:divBdr>
            <w:top w:val="none" w:sz="0" w:space="0" w:color="auto"/>
            <w:left w:val="none" w:sz="0" w:space="0" w:color="auto"/>
            <w:bottom w:val="none" w:sz="0" w:space="0" w:color="auto"/>
            <w:right w:val="none" w:sz="0" w:space="0" w:color="auto"/>
          </w:divBdr>
          <w:divsChild>
            <w:div w:id="1092973102">
              <w:marLeft w:val="0"/>
              <w:marRight w:val="0"/>
              <w:marTop w:val="0"/>
              <w:marBottom w:val="0"/>
              <w:divBdr>
                <w:top w:val="none" w:sz="0" w:space="0" w:color="auto"/>
                <w:left w:val="none" w:sz="0" w:space="0" w:color="auto"/>
                <w:bottom w:val="none" w:sz="0" w:space="0" w:color="auto"/>
                <w:right w:val="none" w:sz="0" w:space="0" w:color="auto"/>
              </w:divBdr>
              <w:divsChild>
                <w:div w:id="12955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5963">
      <w:bodyDiv w:val="1"/>
      <w:marLeft w:val="0"/>
      <w:marRight w:val="0"/>
      <w:marTop w:val="0"/>
      <w:marBottom w:val="0"/>
      <w:divBdr>
        <w:top w:val="none" w:sz="0" w:space="0" w:color="auto"/>
        <w:left w:val="none" w:sz="0" w:space="0" w:color="auto"/>
        <w:bottom w:val="none" w:sz="0" w:space="0" w:color="auto"/>
        <w:right w:val="none" w:sz="0" w:space="0" w:color="auto"/>
      </w:divBdr>
      <w:divsChild>
        <w:div w:id="721102728">
          <w:marLeft w:val="0"/>
          <w:marRight w:val="0"/>
          <w:marTop w:val="0"/>
          <w:marBottom w:val="0"/>
          <w:divBdr>
            <w:top w:val="none" w:sz="0" w:space="0" w:color="auto"/>
            <w:left w:val="none" w:sz="0" w:space="0" w:color="auto"/>
            <w:bottom w:val="none" w:sz="0" w:space="0" w:color="auto"/>
            <w:right w:val="none" w:sz="0" w:space="0" w:color="auto"/>
          </w:divBdr>
          <w:divsChild>
            <w:div w:id="1683697956">
              <w:marLeft w:val="0"/>
              <w:marRight w:val="0"/>
              <w:marTop w:val="0"/>
              <w:marBottom w:val="0"/>
              <w:divBdr>
                <w:top w:val="none" w:sz="0" w:space="0" w:color="auto"/>
                <w:left w:val="none" w:sz="0" w:space="0" w:color="auto"/>
                <w:bottom w:val="none" w:sz="0" w:space="0" w:color="auto"/>
                <w:right w:val="none" w:sz="0" w:space="0" w:color="auto"/>
              </w:divBdr>
              <w:divsChild>
                <w:div w:id="1768427637">
                  <w:marLeft w:val="0"/>
                  <w:marRight w:val="0"/>
                  <w:marTop w:val="0"/>
                  <w:marBottom w:val="0"/>
                  <w:divBdr>
                    <w:top w:val="none" w:sz="0" w:space="0" w:color="auto"/>
                    <w:left w:val="none" w:sz="0" w:space="0" w:color="auto"/>
                    <w:bottom w:val="none" w:sz="0" w:space="0" w:color="auto"/>
                    <w:right w:val="none" w:sz="0" w:space="0" w:color="auto"/>
                  </w:divBdr>
                </w:div>
              </w:divsChild>
            </w:div>
            <w:div w:id="1977831755">
              <w:marLeft w:val="0"/>
              <w:marRight w:val="0"/>
              <w:marTop w:val="0"/>
              <w:marBottom w:val="0"/>
              <w:divBdr>
                <w:top w:val="none" w:sz="0" w:space="0" w:color="auto"/>
                <w:left w:val="none" w:sz="0" w:space="0" w:color="auto"/>
                <w:bottom w:val="none" w:sz="0" w:space="0" w:color="auto"/>
                <w:right w:val="none" w:sz="0" w:space="0" w:color="auto"/>
              </w:divBdr>
              <w:divsChild>
                <w:div w:id="12550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69136">
      <w:bodyDiv w:val="1"/>
      <w:marLeft w:val="0"/>
      <w:marRight w:val="0"/>
      <w:marTop w:val="0"/>
      <w:marBottom w:val="0"/>
      <w:divBdr>
        <w:top w:val="none" w:sz="0" w:space="0" w:color="auto"/>
        <w:left w:val="none" w:sz="0" w:space="0" w:color="auto"/>
        <w:bottom w:val="none" w:sz="0" w:space="0" w:color="auto"/>
        <w:right w:val="none" w:sz="0" w:space="0" w:color="auto"/>
      </w:divBdr>
      <w:divsChild>
        <w:div w:id="469830932">
          <w:marLeft w:val="0"/>
          <w:marRight w:val="0"/>
          <w:marTop w:val="0"/>
          <w:marBottom w:val="0"/>
          <w:divBdr>
            <w:top w:val="none" w:sz="0" w:space="0" w:color="auto"/>
            <w:left w:val="none" w:sz="0" w:space="0" w:color="auto"/>
            <w:bottom w:val="none" w:sz="0" w:space="0" w:color="auto"/>
            <w:right w:val="none" w:sz="0" w:space="0" w:color="auto"/>
          </w:divBdr>
          <w:divsChild>
            <w:div w:id="1843010065">
              <w:marLeft w:val="0"/>
              <w:marRight w:val="0"/>
              <w:marTop w:val="0"/>
              <w:marBottom w:val="0"/>
              <w:divBdr>
                <w:top w:val="none" w:sz="0" w:space="0" w:color="auto"/>
                <w:left w:val="none" w:sz="0" w:space="0" w:color="auto"/>
                <w:bottom w:val="none" w:sz="0" w:space="0" w:color="auto"/>
                <w:right w:val="none" w:sz="0" w:space="0" w:color="auto"/>
              </w:divBdr>
              <w:divsChild>
                <w:div w:id="10688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60105">
      <w:bodyDiv w:val="1"/>
      <w:marLeft w:val="0"/>
      <w:marRight w:val="0"/>
      <w:marTop w:val="0"/>
      <w:marBottom w:val="0"/>
      <w:divBdr>
        <w:top w:val="none" w:sz="0" w:space="0" w:color="auto"/>
        <w:left w:val="none" w:sz="0" w:space="0" w:color="auto"/>
        <w:bottom w:val="none" w:sz="0" w:space="0" w:color="auto"/>
        <w:right w:val="none" w:sz="0" w:space="0" w:color="auto"/>
      </w:divBdr>
      <w:divsChild>
        <w:div w:id="1700622029">
          <w:marLeft w:val="0"/>
          <w:marRight w:val="0"/>
          <w:marTop w:val="0"/>
          <w:marBottom w:val="0"/>
          <w:divBdr>
            <w:top w:val="none" w:sz="0" w:space="0" w:color="auto"/>
            <w:left w:val="none" w:sz="0" w:space="0" w:color="auto"/>
            <w:bottom w:val="none" w:sz="0" w:space="0" w:color="auto"/>
            <w:right w:val="none" w:sz="0" w:space="0" w:color="auto"/>
          </w:divBdr>
          <w:divsChild>
            <w:div w:id="2118862949">
              <w:marLeft w:val="0"/>
              <w:marRight w:val="0"/>
              <w:marTop w:val="0"/>
              <w:marBottom w:val="0"/>
              <w:divBdr>
                <w:top w:val="none" w:sz="0" w:space="0" w:color="auto"/>
                <w:left w:val="none" w:sz="0" w:space="0" w:color="auto"/>
                <w:bottom w:val="none" w:sz="0" w:space="0" w:color="auto"/>
                <w:right w:val="none" w:sz="0" w:space="0" w:color="auto"/>
              </w:divBdr>
              <w:divsChild>
                <w:div w:id="16010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14">
      <w:bodyDiv w:val="1"/>
      <w:marLeft w:val="0"/>
      <w:marRight w:val="0"/>
      <w:marTop w:val="0"/>
      <w:marBottom w:val="0"/>
      <w:divBdr>
        <w:top w:val="none" w:sz="0" w:space="0" w:color="auto"/>
        <w:left w:val="none" w:sz="0" w:space="0" w:color="auto"/>
        <w:bottom w:val="none" w:sz="0" w:space="0" w:color="auto"/>
        <w:right w:val="none" w:sz="0" w:space="0" w:color="auto"/>
      </w:divBdr>
      <w:divsChild>
        <w:div w:id="1520268388">
          <w:marLeft w:val="0"/>
          <w:marRight w:val="0"/>
          <w:marTop w:val="0"/>
          <w:marBottom w:val="0"/>
          <w:divBdr>
            <w:top w:val="none" w:sz="0" w:space="0" w:color="auto"/>
            <w:left w:val="none" w:sz="0" w:space="0" w:color="auto"/>
            <w:bottom w:val="none" w:sz="0" w:space="0" w:color="auto"/>
            <w:right w:val="none" w:sz="0" w:space="0" w:color="auto"/>
          </w:divBdr>
          <w:divsChild>
            <w:div w:id="1265726521">
              <w:marLeft w:val="0"/>
              <w:marRight w:val="0"/>
              <w:marTop w:val="0"/>
              <w:marBottom w:val="0"/>
              <w:divBdr>
                <w:top w:val="none" w:sz="0" w:space="0" w:color="auto"/>
                <w:left w:val="none" w:sz="0" w:space="0" w:color="auto"/>
                <w:bottom w:val="none" w:sz="0" w:space="0" w:color="auto"/>
                <w:right w:val="none" w:sz="0" w:space="0" w:color="auto"/>
              </w:divBdr>
              <w:divsChild>
                <w:div w:id="4435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69230">
      <w:bodyDiv w:val="1"/>
      <w:marLeft w:val="0"/>
      <w:marRight w:val="0"/>
      <w:marTop w:val="0"/>
      <w:marBottom w:val="0"/>
      <w:divBdr>
        <w:top w:val="none" w:sz="0" w:space="0" w:color="auto"/>
        <w:left w:val="none" w:sz="0" w:space="0" w:color="auto"/>
        <w:bottom w:val="none" w:sz="0" w:space="0" w:color="auto"/>
        <w:right w:val="none" w:sz="0" w:space="0" w:color="auto"/>
      </w:divBdr>
      <w:divsChild>
        <w:div w:id="1486311395">
          <w:marLeft w:val="0"/>
          <w:marRight w:val="0"/>
          <w:marTop w:val="0"/>
          <w:marBottom w:val="0"/>
          <w:divBdr>
            <w:top w:val="none" w:sz="0" w:space="0" w:color="auto"/>
            <w:left w:val="none" w:sz="0" w:space="0" w:color="auto"/>
            <w:bottom w:val="none" w:sz="0" w:space="0" w:color="auto"/>
            <w:right w:val="none" w:sz="0" w:space="0" w:color="auto"/>
          </w:divBdr>
          <w:divsChild>
            <w:div w:id="1839732166">
              <w:marLeft w:val="0"/>
              <w:marRight w:val="0"/>
              <w:marTop w:val="0"/>
              <w:marBottom w:val="0"/>
              <w:divBdr>
                <w:top w:val="none" w:sz="0" w:space="0" w:color="auto"/>
                <w:left w:val="none" w:sz="0" w:space="0" w:color="auto"/>
                <w:bottom w:val="none" w:sz="0" w:space="0" w:color="auto"/>
                <w:right w:val="none" w:sz="0" w:space="0" w:color="auto"/>
              </w:divBdr>
              <w:divsChild>
                <w:div w:id="338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68535">
      <w:bodyDiv w:val="1"/>
      <w:marLeft w:val="0"/>
      <w:marRight w:val="0"/>
      <w:marTop w:val="0"/>
      <w:marBottom w:val="0"/>
      <w:divBdr>
        <w:top w:val="none" w:sz="0" w:space="0" w:color="auto"/>
        <w:left w:val="none" w:sz="0" w:space="0" w:color="auto"/>
        <w:bottom w:val="none" w:sz="0" w:space="0" w:color="auto"/>
        <w:right w:val="none" w:sz="0" w:space="0" w:color="auto"/>
      </w:divBdr>
      <w:divsChild>
        <w:div w:id="385223003">
          <w:marLeft w:val="0"/>
          <w:marRight w:val="0"/>
          <w:marTop w:val="0"/>
          <w:marBottom w:val="0"/>
          <w:divBdr>
            <w:top w:val="none" w:sz="0" w:space="0" w:color="auto"/>
            <w:left w:val="none" w:sz="0" w:space="0" w:color="auto"/>
            <w:bottom w:val="none" w:sz="0" w:space="0" w:color="auto"/>
            <w:right w:val="none" w:sz="0" w:space="0" w:color="auto"/>
          </w:divBdr>
          <w:divsChild>
            <w:div w:id="1618560616">
              <w:marLeft w:val="0"/>
              <w:marRight w:val="0"/>
              <w:marTop w:val="0"/>
              <w:marBottom w:val="0"/>
              <w:divBdr>
                <w:top w:val="none" w:sz="0" w:space="0" w:color="auto"/>
                <w:left w:val="none" w:sz="0" w:space="0" w:color="auto"/>
                <w:bottom w:val="none" w:sz="0" w:space="0" w:color="auto"/>
                <w:right w:val="none" w:sz="0" w:space="0" w:color="auto"/>
              </w:divBdr>
              <w:divsChild>
                <w:div w:id="10961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32694">
      <w:bodyDiv w:val="1"/>
      <w:marLeft w:val="0"/>
      <w:marRight w:val="0"/>
      <w:marTop w:val="0"/>
      <w:marBottom w:val="0"/>
      <w:divBdr>
        <w:top w:val="none" w:sz="0" w:space="0" w:color="auto"/>
        <w:left w:val="none" w:sz="0" w:space="0" w:color="auto"/>
        <w:bottom w:val="none" w:sz="0" w:space="0" w:color="auto"/>
        <w:right w:val="none" w:sz="0" w:space="0" w:color="auto"/>
      </w:divBdr>
      <w:divsChild>
        <w:div w:id="1218711509">
          <w:marLeft w:val="0"/>
          <w:marRight w:val="0"/>
          <w:marTop w:val="0"/>
          <w:marBottom w:val="0"/>
          <w:divBdr>
            <w:top w:val="none" w:sz="0" w:space="0" w:color="auto"/>
            <w:left w:val="none" w:sz="0" w:space="0" w:color="auto"/>
            <w:bottom w:val="none" w:sz="0" w:space="0" w:color="auto"/>
            <w:right w:val="none" w:sz="0" w:space="0" w:color="auto"/>
          </w:divBdr>
          <w:divsChild>
            <w:div w:id="1883251974">
              <w:marLeft w:val="0"/>
              <w:marRight w:val="0"/>
              <w:marTop w:val="0"/>
              <w:marBottom w:val="0"/>
              <w:divBdr>
                <w:top w:val="none" w:sz="0" w:space="0" w:color="auto"/>
                <w:left w:val="none" w:sz="0" w:space="0" w:color="auto"/>
                <w:bottom w:val="none" w:sz="0" w:space="0" w:color="auto"/>
                <w:right w:val="none" w:sz="0" w:space="0" w:color="auto"/>
              </w:divBdr>
              <w:divsChild>
                <w:div w:id="380323070">
                  <w:marLeft w:val="0"/>
                  <w:marRight w:val="0"/>
                  <w:marTop w:val="0"/>
                  <w:marBottom w:val="0"/>
                  <w:divBdr>
                    <w:top w:val="none" w:sz="0" w:space="0" w:color="auto"/>
                    <w:left w:val="none" w:sz="0" w:space="0" w:color="auto"/>
                    <w:bottom w:val="none" w:sz="0" w:space="0" w:color="auto"/>
                    <w:right w:val="none" w:sz="0" w:space="0" w:color="auto"/>
                  </w:divBdr>
                </w:div>
              </w:divsChild>
            </w:div>
            <w:div w:id="1207253670">
              <w:marLeft w:val="0"/>
              <w:marRight w:val="0"/>
              <w:marTop w:val="0"/>
              <w:marBottom w:val="0"/>
              <w:divBdr>
                <w:top w:val="none" w:sz="0" w:space="0" w:color="auto"/>
                <w:left w:val="none" w:sz="0" w:space="0" w:color="auto"/>
                <w:bottom w:val="none" w:sz="0" w:space="0" w:color="auto"/>
                <w:right w:val="none" w:sz="0" w:space="0" w:color="auto"/>
              </w:divBdr>
              <w:divsChild>
                <w:div w:id="2076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1829">
      <w:bodyDiv w:val="1"/>
      <w:marLeft w:val="0"/>
      <w:marRight w:val="0"/>
      <w:marTop w:val="0"/>
      <w:marBottom w:val="0"/>
      <w:divBdr>
        <w:top w:val="none" w:sz="0" w:space="0" w:color="auto"/>
        <w:left w:val="none" w:sz="0" w:space="0" w:color="auto"/>
        <w:bottom w:val="none" w:sz="0" w:space="0" w:color="auto"/>
        <w:right w:val="none" w:sz="0" w:space="0" w:color="auto"/>
      </w:divBdr>
      <w:divsChild>
        <w:div w:id="440078777">
          <w:marLeft w:val="0"/>
          <w:marRight w:val="0"/>
          <w:marTop w:val="0"/>
          <w:marBottom w:val="0"/>
          <w:divBdr>
            <w:top w:val="none" w:sz="0" w:space="0" w:color="auto"/>
            <w:left w:val="none" w:sz="0" w:space="0" w:color="auto"/>
            <w:bottom w:val="none" w:sz="0" w:space="0" w:color="auto"/>
            <w:right w:val="none" w:sz="0" w:space="0" w:color="auto"/>
          </w:divBdr>
          <w:divsChild>
            <w:div w:id="409892101">
              <w:marLeft w:val="0"/>
              <w:marRight w:val="0"/>
              <w:marTop w:val="0"/>
              <w:marBottom w:val="0"/>
              <w:divBdr>
                <w:top w:val="none" w:sz="0" w:space="0" w:color="auto"/>
                <w:left w:val="none" w:sz="0" w:space="0" w:color="auto"/>
                <w:bottom w:val="none" w:sz="0" w:space="0" w:color="auto"/>
                <w:right w:val="none" w:sz="0" w:space="0" w:color="auto"/>
              </w:divBdr>
              <w:divsChild>
                <w:div w:id="294214396">
                  <w:marLeft w:val="0"/>
                  <w:marRight w:val="0"/>
                  <w:marTop w:val="0"/>
                  <w:marBottom w:val="0"/>
                  <w:divBdr>
                    <w:top w:val="none" w:sz="0" w:space="0" w:color="auto"/>
                    <w:left w:val="none" w:sz="0" w:space="0" w:color="auto"/>
                    <w:bottom w:val="none" w:sz="0" w:space="0" w:color="auto"/>
                    <w:right w:val="none" w:sz="0" w:space="0" w:color="auto"/>
                  </w:divBdr>
                </w:div>
              </w:divsChild>
            </w:div>
            <w:div w:id="420759374">
              <w:marLeft w:val="0"/>
              <w:marRight w:val="0"/>
              <w:marTop w:val="0"/>
              <w:marBottom w:val="0"/>
              <w:divBdr>
                <w:top w:val="none" w:sz="0" w:space="0" w:color="auto"/>
                <w:left w:val="none" w:sz="0" w:space="0" w:color="auto"/>
                <w:bottom w:val="none" w:sz="0" w:space="0" w:color="auto"/>
                <w:right w:val="none" w:sz="0" w:space="0" w:color="auto"/>
              </w:divBdr>
              <w:divsChild>
                <w:div w:id="15620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s/cidh/decisiones/2016/CHPU12799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dh.oas.org/annualrep/2010sp/14.CHAD%20578-03ES.do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ocs/anual/2017/docs/IA2017cap.2-es.pdf" TargetMode="External"/><Relationship Id="rId2" Type="http://schemas.openxmlformats.org/officeDocument/2006/relationships/hyperlink" Target="http://www.oas.org/es/cidh/docs/anual/2017/docs/IA2017cap.2-es.pdf" TargetMode="External"/><Relationship Id="rId1" Type="http://schemas.openxmlformats.org/officeDocument/2006/relationships/hyperlink" Target="http://www.oas.org/es/cidh/docs/anual/2017/docs/IA2017cap.2-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3901</Words>
  <Characters>22240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2022-03-28T16:31:00Z</dcterms:created>
  <dcterms:modified xsi:type="dcterms:W3CDTF">2022-03-28T16:31:00Z</dcterms:modified>
</cp:coreProperties>
</file>