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rawings/drawing4.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theme/themeOverride1.xml" ContentType="application/vnd.openxmlformats-officedocument.themeOverrid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EE5" w14:textId="5C9D98F5" w:rsidR="008463D3" w:rsidRDefault="008463D3" w:rsidP="007C4DCE">
      <w:pPr>
        <w:rPr>
          <w:sz w:val="20"/>
          <w:szCs w:val="20"/>
          <w:lang w:val="es-ES"/>
        </w:rPr>
      </w:pPr>
    </w:p>
    <w:p w14:paraId="12B7328D" w14:textId="77777777" w:rsidR="00966382" w:rsidRPr="00966382" w:rsidRDefault="00C81467" w:rsidP="00C81467">
      <w:pPr>
        <w:jc w:val="center"/>
        <w:rPr>
          <w:rFonts w:ascii="Cambria" w:hAnsi="Cambria"/>
          <w:b/>
          <w:sz w:val="32"/>
          <w:szCs w:val="32"/>
          <w:lang w:val="es-ES_tradnl"/>
        </w:rPr>
      </w:pPr>
      <w:r w:rsidRPr="00966382">
        <w:rPr>
          <w:rFonts w:ascii="Cambria" w:hAnsi="Cambria"/>
          <w:b/>
          <w:sz w:val="32"/>
          <w:szCs w:val="32"/>
          <w:lang w:val="es-ES_tradnl"/>
        </w:rPr>
        <w:t>CAPÍTULO VI</w:t>
      </w:r>
      <w:r w:rsidRPr="00966382">
        <w:rPr>
          <w:rFonts w:ascii="Cambria" w:hAnsi="Cambria"/>
          <w:b/>
          <w:sz w:val="32"/>
          <w:szCs w:val="32"/>
          <w:lang w:val="es-ES_tradnl"/>
        </w:rPr>
        <w:br/>
      </w:r>
    </w:p>
    <w:p w14:paraId="07193416" w14:textId="1FBF8DFF" w:rsidR="00C81467" w:rsidRPr="00966382" w:rsidRDefault="00C81467" w:rsidP="00C81467">
      <w:pPr>
        <w:jc w:val="center"/>
        <w:rPr>
          <w:rFonts w:ascii="Cambria" w:hAnsi="Cambria"/>
          <w:b/>
          <w:sz w:val="32"/>
          <w:szCs w:val="32"/>
          <w:lang w:val="es-ES_tradnl"/>
        </w:rPr>
      </w:pPr>
      <w:r w:rsidRPr="00966382">
        <w:rPr>
          <w:rFonts w:ascii="Cambria" w:hAnsi="Cambria"/>
          <w:b/>
          <w:sz w:val="32"/>
          <w:szCs w:val="32"/>
          <w:lang w:val="es-ES_tradnl"/>
        </w:rPr>
        <w:t>DESARROLLO INSTITUCIONAL</w:t>
      </w:r>
    </w:p>
    <w:p w14:paraId="6CEFD381" w14:textId="77777777" w:rsidR="00C81467" w:rsidRPr="007B7D30" w:rsidRDefault="00C81467" w:rsidP="00C81467">
      <w:pPr>
        <w:ind w:firstLine="851"/>
        <w:jc w:val="center"/>
        <w:rPr>
          <w:rFonts w:ascii="Cambria" w:hAnsi="Cambria"/>
          <w:b/>
          <w:sz w:val="20"/>
          <w:szCs w:val="20"/>
          <w:lang w:val="es-ES_tradnl"/>
        </w:rPr>
      </w:pPr>
    </w:p>
    <w:p w14:paraId="7DA7FFC4" w14:textId="3AE9222E" w:rsidR="000B2968" w:rsidRPr="00966382" w:rsidRDefault="00C81467" w:rsidP="00966382">
      <w:pPr>
        <w:pStyle w:val="Heading1"/>
      </w:pPr>
      <w:r w:rsidRPr="00966382">
        <w:t>Estructura y personal de la CIDH</w:t>
      </w:r>
    </w:p>
    <w:p w14:paraId="310C07E0" w14:textId="38FEC4BB" w:rsidR="000B2968" w:rsidRPr="007B7D30" w:rsidRDefault="000B2968" w:rsidP="00966382">
      <w:pPr>
        <w:pStyle w:val="paragraphs"/>
      </w:pPr>
      <w:r w:rsidRPr="007B7D30">
        <w:t>Durante el año 2021, la Secretaría Ejecutiva continuó avanzando en adecuar su personal y recursos a la realidad impuesta por los mandatos a la CIDH.  En ese sentido la Secretaría Ejecutiva de la CIDH, al 3</w:t>
      </w:r>
      <w:r w:rsidR="003C0A6A" w:rsidRPr="007B7D30">
        <w:t>1</w:t>
      </w:r>
      <w:r w:rsidRPr="007B7D30">
        <w:t xml:space="preserve"> de</w:t>
      </w:r>
      <w:r w:rsidR="003C0A6A" w:rsidRPr="007B7D30">
        <w:t xml:space="preserve"> diciembre</w:t>
      </w:r>
      <w:r w:rsidRPr="007B7D30">
        <w:t xml:space="preserve"> de 2021 está conformada por 145 funcionarios/as (</w:t>
      </w:r>
      <w:r w:rsidR="00D219DA" w:rsidRPr="007B7D30">
        <w:t>63</w:t>
      </w:r>
      <w:r w:rsidRPr="007B7D30">
        <w:t xml:space="preserve"> funcionarios/as, </w:t>
      </w:r>
      <w:r w:rsidR="00D219DA" w:rsidRPr="007B7D30">
        <w:t>79</w:t>
      </w:r>
      <w:r w:rsidRPr="007B7D30">
        <w:t xml:space="preserve"> consultores/as y 3 profesionales asociados). En adición, la CIDH cuenta con 7 becarios/as.  </w:t>
      </w:r>
    </w:p>
    <w:p w14:paraId="3596F803" w14:textId="195B6CD3" w:rsidR="000B2968" w:rsidRPr="007B7D30" w:rsidRDefault="000B2968" w:rsidP="00966382">
      <w:pPr>
        <w:pStyle w:val="paragraphs"/>
      </w:pPr>
      <w:r w:rsidRPr="007B7D30">
        <w:t>La siguiente tabla muestra la distribución de personal por fuente de financiamiento al 3</w:t>
      </w:r>
      <w:r w:rsidR="003C0A6A" w:rsidRPr="007B7D30">
        <w:t>1</w:t>
      </w:r>
      <w:r w:rsidRPr="007B7D30">
        <w:t xml:space="preserve"> de </w:t>
      </w:r>
      <w:r w:rsidR="003C0A6A" w:rsidRPr="007B7D30">
        <w:t>diciembre</w:t>
      </w:r>
      <w:r w:rsidRPr="007B7D30">
        <w:t xml:space="preserve"> de 2021.</w:t>
      </w:r>
      <w:r w:rsidRPr="007B7D30">
        <w:rPr>
          <w:rFonts w:eastAsia="Times New Roman" w:cs="Arial"/>
          <w:b/>
          <w:bCs/>
          <w:lang w:eastAsia="es-CO"/>
        </w:rPr>
        <w:t xml:space="preserve"> </w:t>
      </w:r>
    </w:p>
    <w:tbl>
      <w:tblPr>
        <w:tblW w:w="9720" w:type="dxa"/>
        <w:tblInd w:w="-10" w:type="dxa"/>
        <w:tblCellMar>
          <w:left w:w="70" w:type="dxa"/>
          <w:right w:w="70" w:type="dxa"/>
        </w:tblCellMar>
        <w:tblLook w:val="04A0" w:firstRow="1" w:lastRow="0" w:firstColumn="1" w:lastColumn="0" w:noHBand="0" w:noVBand="1"/>
      </w:tblPr>
      <w:tblGrid>
        <w:gridCol w:w="3690"/>
        <w:gridCol w:w="863"/>
        <w:gridCol w:w="1843"/>
        <w:gridCol w:w="2208"/>
        <w:gridCol w:w="1116"/>
      </w:tblGrid>
      <w:tr w:rsidR="000B2968" w:rsidRPr="00001276" w14:paraId="79C5666E" w14:textId="77777777" w:rsidTr="00DB3DB9">
        <w:trPr>
          <w:trHeight w:val="795"/>
        </w:trPr>
        <w:tc>
          <w:tcPr>
            <w:tcW w:w="9720" w:type="dxa"/>
            <w:gridSpan w:val="5"/>
            <w:tcBorders>
              <w:top w:val="single" w:sz="8" w:space="0" w:color="4F81BD"/>
              <w:left w:val="single" w:sz="8" w:space="0" w:color="4F81BD"/>
              <w:bottom w:val="single" w:sz="8" w:space="0" w:color="4F81BD"/>
              <w:right w:val="single" w:sz="8" w:space="0" w:color="4F81BD"/>
            </w:tcBorders>
            <w:shd w:val="clear" w:color="000000" w:fill="4F81BD"/>
            <w:noWrap/>
            <w:vAlign w:val="center"/>
            <w:hideMark/>
          </w:tcPr>
          <w:p w14:paraId="7BB56A8C" w14:textId="77777777" w:rsidR="000B2968" w:rsidRPr="007B7D30" w:rsidRDefault="000B2968" w:rsidP="00DB3DB9">
            <w:pPr>
              <w:ind w:firstLine="851"/>
              <w:jc w:val="center"/>
              <w:rPr>
                <w:rFonts w:ascii="Cambria" w:eastAsia="Times New Roman" w:hAnsi="Cambria" w:cs="Arial"/>
                <w:b/>
                <w:bCs/>
                <w:color w:val="FFFFFF"/>
                <w:sz w:val="20"/>
                <w:szCs w:val="20"/>
                <w:lang w:val="es-CO" w:eastAsia="es-CO"/>
              </w:rPr>
            </w:pPr>
            <w:r w:rsidRPr="007B7D30">
              <w:rPr>
                <w:rFonts w:ascii="Cambria" w:eastAsia="Times New Roman" w:hAnsi="Cambria" w:cs="Arial"/>
                <w:b/>
                <w:bCs/>
                <w:color w:val="FFFFFF" w:themeColor="background1"/>
                <w:sz w:val="20"/>
                <w:szCs w:val="20"/>
                <w:lang w:val="es-ES_tradnl" w:eastAsia="es-CO"/>
              </w:rPr>
              <w:t>Fuente de Financiamiento por Grupo</w:t>
            </w:r>
          </w:p>
        </w:tc>
      </w:tr>
      <w:tr w:rsidR="000B2968" w:rsidRPr="007B7D30" w14:paraId="5B95AA70" w14:textId="77777777" w:rsidTr="00DB3DB9">
        <w:trPr>
          <w:trHeight w:hRule="exact" w:val="780"/>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24F7879E" w14:textId="77777777" w:rsidR="000B2968" w:rsidRPr="007B7D30" w:rsidRDefault="000B2968" w:rsidP="00DB3DB9">
            <w:pPr>
              <w:jc w:val="center"/>
              <w:rPr>
                <w:rFonts w:ascii="Cambria" w:eastAsia="Times New Roman" w:hAnsi="Cambria" w:cs="Arial"/>
                <w:b/>
                <w:bCs/>
                <w:sz w:val="20"/>
                <w:szCs w:val="20"/>
                <w:lang w:val="es-CO" w:eastAsia="es-CO"/>
              </w:rPr>
            </w:pPr>
            <w:r w:rsidRPr="007B7D30">
              <w:rPr>
                <w:rFonts w:ascii="Cambria" w:eastAsia="Times New Roman" w:hAnsi="Cambria" w:cs="Arial"/>
                <w:b/>
                <w:bCs/>
                <w:sz w:val="20"/>
                <w:szCs w:val="20"/>
                <w:lang w:val="es-ES_tradnl" w:eastAsia="es-CO"/>
              </w:rPr>
              <w:t>Categoría</w:t>
            </w:r>
          </w:p>
        </w:tc>
        <w:tc>
          <w:tcPr>
            <w:tcW w:w="863" w:type="dxa"/>
            <w:tcBorders>
              <w:top w:val="nil"/>
              <w:left w:val="nil"/>
              <w:bottom w:val="single" w:sz="8" w:space="0" w:color="95B3D7"/>
              <w:right w:val="single" w:sz="8" w:space="0" w:color="95B3D7"/>
            </w:tcBorders>
            <w:shd w:val="clear" w:color="000000" w:fill="DBE5F1"/>
            <w:noWrap/>
            <w:vAlign w:val="center"/>
            <w:hideMark/>
          </w:tcPr>
          <w:p w14:paraId="471A8367" w14:textId="77777777" w:rsidR="000B2968" w:rsidRPr="007B7D30" w:rsidRDefault="000B2968" w:rsidP="00DB3DB9">
            <w:pPr>
              <w:jc w:val="center"/>
              <w:rPr>
                <w:rFonts w:ascii="Cambria" w:eastAsia="Times New Roman" w:hAnsi="Cambria" w:cs="Arial"/>
                <w:b/>
                <w:bCs/>
                <w:sz w:val="20"/>
                <w:szCs w:val="20"/>
                <w:lang w:val="es-CO" w:eastAsia="es-CO"/>
              </w:rPr>
            </w:pPr>
            <w:r w:rsidRPr="007B7D30">
              <w:rPr>
                <w:rFonts w:ascii="Cambria" w:eastAsia="Times New Roman" w:hAnsi="Cambria" w:cs="Arial"/>
                <w:b/>
                <w:bCs/>
                <w:sz w:val="20"/>
                <w:szCs w:val="20"/>
                <w:lang w:val="es-ES_tradnl" w:eastAsia="es-CO"/>
              </w:rPr>
              <w:t>Fondo Regular</w:t>
            </w:r>
          </w:p>
        </w:tc>
        <w:tc>
          <w:tcPr>
            <w:tcW w:w="1843" w:type="dxa"/>
            <w:tcBorders>
              <w:top w:val="nil"/>
              <w:left w:val="nil"/>
              <w:bottom w:val="single" w:sz="8" w:space="0" w:color="95B3D7"/>
              <w:right w:val="single" w:sz="8" w:space="0" w:color="95B3D7"/>
            </w:tcBorders>
            <w:shd w:val="clear" w:color="000000" w:fill="DBE5F1"/>
            <w:vAlign w:val="center"/>
            <w:hideMark/>
          </w:tcPr>
          <w:p w14:paraId="5F2FD970" w14:textId="77777777" w:rsidR="000B2968" w:rsidRPr="007B7D30" w:rsidRDefault="000B2968" w:rsidP="00DB3DB9">
            <w:pPr>
              <w:jc w:val="center"/>
              <w:rPr>
                <w:rFonts w:ascii="Cambria" w:eastAsia="Times New Roman" w:hAnsi="Cambria" w:cs="Arial"/>
                <w:b/>
                <w:bCs/>
                <w:sz w:val="20"/>
                <w:szCs w:val="20"/>
                <w:lang w:val="es-CO" w:eastAsia="es-CO"/>
              </w:rPr>
            </w:pPr>
            <w:r w:rsidRPr="007B7D30">
              <w:rPr>
                <w:rFonts w:ascii="Cambria" w:eastAsia="Times New Roman" w:hAnsi="Cambria" w:cs="Arial"/>
                <w:b/>
                <w:bCs/>
                <w:sz w:val="20"/>
                <w:szCs w:val="20"/>
                <w:lang w:val="es-ES_tradnl" w:eastAsia="es-CO"/>
              </w:rPr>
              <w:t>Fondo Específico</w:t>
            </w:r>
          </w:p>
        </w:tc>
        <w:tc>
          <w:tcPr>
            <w:tcW w:w="2208" w:type="dxa"/>
            <w:tcBorders>
              <w:top w:val="nil"/>
              <w:left w:val="nil"/>
              <w:bottom w:val="single" w:sz="8" w:space="0" w:color="95B3D7"/>
              <w:right w:val="single" w:sz="8" w:space="0" w:color="95B3D7"/>
            </w:tcBorders>
            <w:shd w:val="clear" w:color="000000" w:fill="DBE5F1"/>
            <w:vAlign w:val="center"/>
            <w:hideMark/>
          </w:tcPr>
          <w:p w14:paraId="49B5816B" w14:textId="77777777" w:rsidR="000B2968" w:rsidRPr="007B7D30" w:rsidRDefault="000B2968" w:rsidP="00DB3DB9">
            <w:pPr>
              <w:jc w:val="center"/>
              <w:rPr>
                <w:rFonts w:ascii="Cambria" w:eastAsia="Times New Roman" w:hAnsi="Cambria" w:cs="Arial"/>
                <w:b/>
                <w:bCs/>
                <w:sz w:val="20"/>
                <w:szCs w:val="20"/>
                <w:lang w:val="es-CO" w:eastAsia="es-CO"/>
              </w:rPr>
            </w:pPr>
            <w:r w:rsidRPr="007B7D30">
              <w:rPr>
                <w:rFonts w:ascii="Cambria" w:eastAsia="Times New Roman" w:hAnsi="Cambria" w:cs="Arial"/>
                <w:b/>
                <w:bCs/>
                <w:sz w:val="20"/>
                <w:szCs w:val="20"/>
                <w:lang w:val="es-ES_tradnl" w:eastAsia="es-CO"/>
              </w:rPr>
              <w:t>Sin Costo para la CIDH</w:t>
            </w:r>
          </w:p>
        </w:tc>
        <w:tc>
          <w:tcPr>
            <w:tcW w:w="1116" w:type="dxa"/>
            <w:tcBorders>
              <w:top w:val="nil"/>
              <w:left w:val="nil"/>
              <w:bottom w:val="single" w:sz="8" w:space="0" w:color="95B3D7"/>
              <w:right w:val="single" w:sz="8" w:space="0" w:color="95B3D7"/>
            </w:tcBorders>
            <w:shd w:val="clear" w:color="000000" w:fill="DBE5F1"/>
            <w:vAlign w:val="center"/>
            <w:hideMark/>
          </w:tcPr>
          <w:p w14:paraId="5332B6A5" w14:textId="77777777" w:rsidR="000B2968" w:rsidRPr="007B7D30" w:rsidRDefault="000B2968" w:rsidP="00DB3DB9">
            <w:pPr>
              <w:jc w:val="center"/>
              <w:rPr>
                <w:rFonts w:ascii="Cambria" w:eastAsia="Times New Roman" w:hAnsi="Cambria" w:cs="Arial"/>
                <w:b/>
                <w:bCs/>
                <w:sz w:val="20"/>
                <w:szCs w:val="20"/>
                <w:lang w:val="es-CO" w:eastAsia="es-CO"/>
              </w:rPr>
            </w:pPr>
            <w:r w:rsidRPr="007B7D30">
              <w:rPr>
                <w:rFonts w:ascii="Cambria" w:eastAsia="Times New Roman" w:hAnsi="Cambria" w:cs="Arial"/>
                <w:b/>
                <w:bCs/>
                <w:sz w:val="20"/>
                <w:szCs w:val="20"/>
                <w:lang w:val="es-ES_tradnl" w:eastAsia="es-CO"/>
              </w:rPr>
              <w:t>Total</w:t>
            </w:r>
          </w:p>
        </w:tc>
      </w:tr>
      <w:tr w:rsidR="000B2968" w:rsidRPr="007B7D30" w14:paraId="5CDA55A3"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vAlign w:val="center"/>
            <w:hideMark/>
          </w:tcPr>
          <w:p w14:paraId="17B86401" w14:textId="0DB89F7A" w:rsidR="000B2968" w:rsidRPr="007B7D30" w:rsidRDefault="000B2968" w:rsidP="00DB3DB9">
            <w:pPr>
              <w:spacing w:after="120"/>
              <w:rPr>
                <w:rFonts w:ascii="Cambria" w:eastAsia="Times New Roman" w:hAnsi="Cambria" w:cs="Arial"/>
                <w:sz w:val="20"/>
                <w:szCs w:val="20"/>
                <w:lang w:val="es-CO" w:eastAsia="es-CO"/>
              </w:rPr>
            </w:pPr>
            <w:r w:rsidRPr="007B7D30">
              <w:rPr>
                <w:rFonts w:ascii="Cambria" w:eastAsia="Times New Roman" w:hAnsi="Cambria" w:cs="Arial"/>
                <w:sz w:val="20"/>
                <w:szCs w:val="20"/>
                <w:lang w:val="es-ES_tradnl" w:eastAsia="es-CO"/>
              </w:rPr>
              <w:t>Secretaria Ejecutiva</w:t>
            </w:r>
          </w:p>
        </w:tc>
        <w:tc>
          <w:tcPr>
            <w:tcW w:w="863" w:type="dxa"/>
            <w:tcBorders>
              <w:top w:val="nil"/>
              <w:left w:val="nil"/>
              <w:bottom w:val="single" w:sz="8" w:space="0" w:color="95B3D7"/>
              <w:right w:val="single" w:sz="8" w:space="0" w:color="95B3D7"/>
            </w:tcBorders>
            <w:shd w:val="clear" w:color="auto" w:fill="auto"/>
            <w:noWrap/>
            <w:vAlign w:val="bottom"/>
            <w:hideMark/>
          </w:tcPr>
          <w:p w14:paraId="17E1419F"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1</w:t>
            </w:r>
          </w:p>
        </w:tc>
        <w:tc>
          <w:tcPr>
            <w:tcW w:w="1843" w:type="dxa"/>
            <w:tcBorders>
              <w:top w:val="nil"/>
              <w:left w:val="nil"/>
              <w:bottom w:val="single" w:sz="8" w:space="0" w:color="95B3D7"/>
              <w:right w:val="single" w:sz="8" w:space="0" w:color="95B3D7"/>
            </w:tcBorders>
            <w:shd w:val="clear" w:color="auto" w:fill="auto"/>
            <w:vAlign w:val="bottom"/>
            <w:hideMark/>
          </w:tcPr>
          <w:p w14:paraId="379F40A3"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2208" w:type="dxa"/>
            <w:tcBorders>
              <w:top w:val="nil"/>
              <w:left w:val="nil"/>
              <w:bottom w:val="single" w:sz="8" w:space="0" w:color="95B3D7"/>
              <w:right w:val="single" w:sz="8" w:space="0" w:color="95B3D7"/>
            </w:tcBorders>
            <w:shd w:val="clear" w:color="auto" w:fill="auto"/>
            <w:vAlign w:val="bottom"/>
            <w:hideMark/>
          </w:tcPr>
          <w:p w14:paraId="737F78D1"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auto" w:fill="auto"/>
            <w:vAlign w:val="bottom"/>
            <w:hideMark/>
          </w:tcPr>
          <w:p w14:paraId="7C4ACE54"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1</w:t>
            </w:r>
          </w:p>
        </w:tc>
      </w:tr>
      <w:tr w:rsidR="000B2968" w:rsidRPr="007B7D30" w14:paraId="0484398D" w14:textId="77777777" w:rsidTr="00DB3DB9">
        <w:trPr>
          <w:trHeight w:hRule="exact" w:val="542"/>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3F14486C" w14:textId="77777777" w:rsidR="000B2968" w:rsidRPr="007B7D30" w:rsidRDefault="000B2968" w:rsidP="00DB3DB9">
            <w:pPr>
              <w:rPr>
                <w:rFonts w:ascii="Cambria" w:eastAsia="Times New Roman" w:hAnsi="Cambria" w:cs="Arial"/>
                <w:sz w:val="20"/>
                <w:szCs w:val="20"/>
                <w:lang w:val="pt-BR" w:eastAsia="es-CO"/>
              </w:rPr>
            </w:pPr>
            <w:r w:rsidRPr="007B7D30">
              <w:rPr>
                <w:rFonts w:ascii="Cambria" w:eastAsia="Times New Roman" w:hAnsi="Cambria" w:cs="Arial"/>
                <w:sz w:val="20"/>
                <w:szCs w:val="20"/>
                <w:lang w:val="pt-BR" w:eastAsia="es-CO"/>
              </w:rPr>
              <w:t>Secretarias Ejecutivas Adjuntas</w:t>
            </w:r>
          </w:p>
        </w:tc>
        <w:tc>
          <w:tcPr>
            <w:tcW w:w="863" w:type="dxa"/>
            <w:tcBorders>
              <w:top w:val="nil"/>
              <w:left w:val="nil"/>
              <w:bottom w:val="single" w:sz="8" w:space="0" w:color="95B3D7"/>
              <w:right w:val="single" w:sz="8" w:space="0" w:color="95B3D7"/>
            </w:tcBorders>
            <w:shd w:val="clear" w:color="000000" w:fill="DBE5F1"/>
            <w:noWrap/>
            <w:vAlign w:val="bottom"/>
            <w:hideMark/>
          </w:tcPr>
          <w:p w14:paraId="082B3AE5"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2</w:t>
            </w:r>
          </w:p>
        </w:tc>
        <w:tc>
          <w:tcPr>
            <w:tcW w:w="1843" w:type="dxa"/>
            <w:tcBorders>
              <w:top w:val="nil"/>
              <w:left w:val="nil"/>
              <w:bottom w:val="single" w:sz="8" w:space="0" w:color="95B3D7"/>
              <w:right w:val="single" w:sz="8" w:space="0" w:color="95B3D7"/>
            </w:tcBorders>
            <w:shd w:val="clear" w:color="000000" w:fill="DBE5F1"/>
            <w:vAlign w:val="bottom"/>
            <w:hideMark/>
          </w:tcPr>
          <w:p w14:paraId="7D7F06A1"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2208" w:type="dxa"/>
            <w:tcBorders>
              <w:top w:val="nil"/>
              <w:left w:val="nil"/>
              <w:bottom w:val="single" w:sz="8" w:space="0" w:color="95B3D7"/>
              <w:right w:val="single" w:sz="8" w:space="0" w:color="95B3D7"/>
            </w:tcBorders>
            <w:shd w:val="clear" w:color="000000" w:fill="DBE5F1"/>
            <w:vAlign w:val="bottom"/>
            <w:hideMark/>
          </w:tcPr>
          <w:p w14:paraId="0D2E4B79"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000000" w:fill="DBE5F1"/>
            <w:vAlign w:val="bottom"/>
            <w:hideMark/>
          </w:tcPr>
          <w:p w14:paraId="44121389" w14:textId="77777777" w:rsidR="000B2968" w:rsidRPr="007B7D30" w:rsidRDefault="000B2968" w:rsidP="00DB3DB9">
            <w:pPr>
              <w:jc w:val="center"/>
              <w:rPr>
                <w:rFonts w:ascii="Cambria" w:eastAsia="Times New Roman" w:hAnsi="Cambria" w:cs="Arial"/>
                <w:sz w:val="20"/>
                <w:szCs w:val="20"/>
                <w:lang w:val="es-CO" w:eastAsia="es-CO"/>
              </w:rPr>
            </w:pPr>
            <w:r w:rsidRPr="007B7D30">
              <w:rPr>
                <w:rFonts w:ascii="Cambria" w:hAnsi="Cambria" w:cs="Arial"/>
                <w:b/>
                <w:bCs/>
                <w:sz w:val="20"/>
                <w:szCs w:val="20"/>
              </w:rPr>
              <w:t>2</w:t>
            </w:r>
          </w:p>
        </w:tc>
      </w:tr>
      <w:tr w:rsidR="000B2968" w:rsidRPr="007B7D30" w14:paraId="7D7E006E"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vAlign w:val="center"/>
            <w:hideMark/>
          </w:tcPr>
          <w:p w14:paraId="5FA09456" w14:textId="77777777" w:rsidR="000B2968" w:rsidRPr="007B7D30" w:rsidRDefault="000B2968" w:rsidP="00DB3DB9">
            <w:pPr>
              <w:spacing w:after="120"/>
              <w:rPr>
                <w:rFonts w:ascii="Cambria" w:eastAsia="Times New Roman" w:hAnsi="Cambria" w:cs="Arial"/>
                <w:sz w:val="20"/>
                <w:szCs w:val="20"/>
                <w:lang w:val="es-CO" w:eastAsia="es-CO"/>
              </w:rPr>
            </w:pPr>
            <w:r w:rsidRPr="007B7D30">
              <w:rPr>
                <w:rFonts w:ascii="Cambria" w:eastAsia="Times New Roman" w:hAnsi="Cambria" w:cs="Arial"/>
                <w:sz w:val="20"/>
                <w:szCs w:val="20"/>
                <w:lang w:val="es-ES_tradnl" w:eastAsia="es-CO"/>
              </w:rPr>
              <w:t>Relatores Especiales</w:t>
            </w:r>
          </w:p>
        </w:tc>
        <w:tc>
          <w:tcPr>
            <w:tcW w:w="863" w:type="dxa"/>
            <w:tcBorders>
              <w:top w:val="nil"/>
              <w:left w:val="nil"/>
              <w:bottom w:val="single" w:sz="8" w:space="0" w:color="95B3D7"/>
              <w:right w:val="single" w:sz="8" w:space="0" w:color="95B3D7"/>
            </w:tcBorders>
            <w:shd w:val="clear" w:color="auto" w:fill="auto"/>
            <w:noWrap/>
            <w:vAlign w:val="bottom"/>
            <w:hideMark/>
          </w:tcPr>
          <w:p w14:paraId="2E679756"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843" w:type="dxa"/>
            <w:tcBorders>
              <w:top w:val="nil"/>
              <w:left w:val="nil"/>
              <w:bottom w:val="single" w:sz="8" w:space="0" w:color="95B3D7"/>
              <w:right w:val="single" w:sz="8" w:space="0" w:color="95B3D7"/>
            </w:tcBorders>
            <w:shd w:val="clear" w:color="auto" w:fill="auto"/>
            <w:vAlign w:val="bottom"/>
            <w:hideMark/>
          </w:tcPr>
          <w:p w14:paraId="57258DE4"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2</w:t>
            </w:r>
          </w:p>
        </w:tc>
        <w:tc>
          <w:tcPr>
            <w:tcW w:w="2208" w:type="dxa"/>
            <w:tcBorders>
              <w:top w:val="nil"/>
              <w:left w:val="nil"/>
              <w:bottom w:val="single" w:sz="8" w:space="0" w:color="95B3D7"/>
              <w:right w:val="single" w:sz="8" w:space="0" w:color="95B3D7"/>
            </w:tcBorders>
            <w:shd w:val="clear" w:color="auto" w:fill="auto"/>
            <w:vAlign w:val="bottom"/>
            <w:hideMark/>
          </w:tcPr>
          <w:p w14:paraId="56C140E3"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auto" w:fill="auto"/>
            <w:vAlign w:val="bottom"/>
            <w:hideMark/>
          </w:tcPr>
          <w:p w14:paraId="4EE3353B"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2</w:t>
            </w:r>
          </w:p>
        </w:tc>
      </w:tr>
      <w:tr w:rsidR="000B2968" w:rsidRPr="007B7D30" w14:paraId="4D4945A4"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65E380A8" w14:textId="77777777" w:rsidR="000B2968" w:rsidRPr="007B7D30" w:rsidRDefault="000B2968" w:rsidP="00DB3DB9">
            <w:pPr>
              <w:rPr>
                <w:rFonts w:ascii="Cambria" w:eastAsia="Times New Roman" w:hAnsi="Cambria" w:cs="Arial"/>
                <w:sz w:val="20"/>
                <w:szCs w:val="20"/>
                <w:lang w:val="es-CO" w:eastAsia="es-CO"/>
              </w:rPr>
            </w:pPr>
            <w:r w:rsidRPr="007B7D30">
              <w:rPr>
                <w:rFonts w:ascii="Cambria" w:eastAsia="Times New Roman" w:hAnsi="Cambria" w:cs="Arial"/>
                <w:sz w:val="20"/>
                <w:szCs w:val="20"/>
                <w:lang w:val="es-ES_tradnl" w:eastAsia="es-CO"/>
              </w:rPr>
              <w:t>Profesionales</w:t>
            </w:r>
          </w:p>
        </w:tc>
        <w:tc>
          <w:tcPr>
            <w:tcW w:w="863" w:type="dxa"/>
            <w:tcBorders>
              <w:top w:val="nil"/>
              <w:left w:val="nil"/>
              <w:bottom w:val="single" w:sz="8" w:space="0" w:color="95B3D7"/>
              <w:right w:val="single" w:sz="8" w:space="0" w:color="95B3D7"/>
            </w:tcBorders>
            <w:shd w:val="clear" w:color="000000" w:fill="DBE5F1"/>
            <w:noWrap/>
            <w:vAlign w:val="bottom"/>
            <w:hideMark/>
          </w:tcPr>
          <w:p w14:paraId="63CBA13E"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32</w:t>
            </w:r>
          </w:p>
        </w:tc>
        <w:tc>
          <w:tcPr>
            <w:tcW w:w="1843" w:type="dxa"/>
            <w:tcBorders>
              <w:top w:val="nil"/>
              <w:left w:val="nil"/>
              <w:bottom w:val="single" w:sz="8" w:space="0" w:color="95B3D7"/>
              <w:right w:val="single" w:sz="8" w:space="0" w:color="95B3D7"/>
            </w:tcBorders>
            <w:shd w:val="clear" w:color="000000" w:fill="DBE5F1"/>
            <w:vAlign w:val="bottom"/>
            <w:hideMark/>
          </w:tcPr>
          <w:p w14:paraId="15F5BD2A" w14:textId="636A9D56" w:rsidR="000B2968" w:rsidRPr="007B7D30" w:rsidRDefault="00716EA7"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12</w:t>
            </w:r>
          </w:p>
        </w:tc>
        <w:tc>
          <w:tcPr>
            <w:tcW w:w="2208" w:type="dxa"/>
            <w:tcBorders>
              <w:top w:val="nil"/>
              <w:left w:val="nil"/>
              <w:bottom w:val="single" w:sz="8" w:space="0" w:color="95B3D7"/>
              <w:right w:val="single" w:sz="8" w:space="0" w:color="95B3D7"/>
            </w:tcBorders>
            <w:shd w:val="clear" w:color="000000" w:fill="DBE5F1"/>
            <w:vAlign w:val="bottom"/>
            <w:hideMark/>
          </w:tcPr>
          <w:p w14:paraId="0F66AE7B"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000000" w:fill="DBE5F1"/>
            <w:vAlign w:val="bottom"/>
            <w:hideMark/>
          </w:tcPr>
          <w:p w14:paraId="71405D54" w14:textId="0C22DF69" w:rsidR="000B2968" w:rsidRPr="007B7D30" w:rsidRDefault="00716EA7"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44</w:t>
            </w:r>
          </w:p>
        </w:tc>
      </w:tr>
      <w:tr w:rsidR="000B2968" w:rsidRPr="007B7D30" w14:paraId="288BEE5F"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vAlign w:val="center"/>
            <w:hideMark/>
          </w:tcPr>
          <w:p w14:paraId="0F019499" w14:textId="77777777" w:rsidR="000B2968" w:rsidRPr="007B7D30" w:rsidRDefault="000B2968" w:rsidP="00DB3DB9">
            <w:pPr>
              <w:rPr>
                <w:rFonts w:ascii="Cambria" w:eastAsia="Times New Roman" w:hAnsi="Cambria" w:cs="Arial"/>
                <w:sz w:val="20"/>
                <w:szCs w:val="20"/>
                <w:lang w:val="es-CO" w:eastAsia="es-CO"/>
              </w:rPr>
            </w:pPr>
            <w:r w:rsidRPr="007B7D30">
              <w:rPr>
                <w:rFonts w:ascii="Cambria" w:eastAsia="Times New Roman" w:hAnsi="Cambria" w:cs="Arial"/>
                <w:sz w:val="20"/>
                <w:szCs w:val="20"/>
                <w:lang w:val="es-ES_tradnl" w:eastAsia="es-CO"/>
              </w:rPr>
              <w:t>Personal Administrativo</w:t>
            </w:r>
          </w:p>
        </w:tc>
        <w:tc>
          <w:tcPr>
            <w:tcW w:w="863" w:type="dxa"/>
            <w:tcBorders>
              <w:top w:val="nil"/>
              <w:left w:val="nil"/>
              <w:bottom w:val="single" w:sz="8" w:space="0" w:color="95B3D7"/>
              <w:right w:val="single" w:sz="8" w:space="0" w:color="95B3D7"/>
            </w:tcBorders>
            <w:shd w:val="clear" w:color="auto" w:fill="auto"/>
            <w:noWrap/>
            <w:vAlign w:val="bottom"/>
            <w:hideMark/>
          </w:tcPr>
          <w:p w14:paraId="4AAE7A43"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12</w:t>
            </w:r>
          </w:p>
        </w:tc>
        <w:tc>
          <w:tcPr>
            <w:tcW w:w="1843" w:type="dxa"/>
            <w:tcBorders>
              <w:top w:val="nil"/>
              <w:left w:val="nil"/>
              <w:bottom w:val="single" w:sz="8" w:space="0" w:color="95B3D7"/>
              <w:right w:val="single" w:sz="8" w:space="0" w:color="95B3D7"/>
            </w:tcBorders>
            <w:shd w:val="clear" w:color="auto" w:fill="auto"/>
            <w:vAlign w:val="bottom"/>
            <w:hideMark/>
          </w:tcPr>
          <w:p w14:paraId="22953D86" w14:textId="30E17997" w:rsidR="000B2968" w:rsidRPr="007B7D30" w:rsidRDefault="00716EA7"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2</w:t>
            </w:r>
          </w:p>
        </w:tc>
        <w:tc>
          <w:tcPr>
            <w:tcW w:w="2208" w:type="dxa"/>
            <w:tcBorders>
              <w:top w:val="nil"/>
              <w:left w:val="nil"/>
              <w:bottom w:val="single" w:sz="8" w:space="0" w:color="95B3D7"/>
              <w:right w:val="single" w:sz="8" w:space="0" w:color="95B3D7"/>
            </w:tcBorders>
            <w:shd w:val="clear" w:color="auto" w:fill="auto"/>
            <w:vAlign w:val="bottom"/>
            <w:hideMark/>
          </w:tcPr>
          <w:p w14:paraId="526607B5"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auto" w:fill="auto"/>
            <w:vAlign w:val="bottom"/>
            <w:hideMark/>
          </w:tcPr>
          <w:p w14:paraId="2F429647" w14:textId="55026368"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1</w:t>
            </w:r>
            <w:r w:rsidR="00716EA7" w:rsidRPr="007B7D30">
              <w:rPr>
                <w:rFonts w:ascii="Cambria" w:hAnsi="Cambria" w:cs="Arial"/>
                <w:b/>
                <w:bCs/>
                <w:sz w:val="20"/>
                <w:szCs w:val="20"/>
              </w:rPr>
              <w:t>4</w:t>
            </w:r>
          </w:p>
        </w:tc>
      </w:tr>
      <w:tr w:rsidR="000B2968" w:rsidRPr="007B7D30" w14:paraId="17C35FCE"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1B447E6B" w14:textId="77777777" w:rsidR="000B2968" w:rsidRPr="007B7D30" w:rsidRDefault="000B2968" w:rsidP="00DB3DB9">
            <w:pPr>
              <w:rPr>
                <w:rFonts w:ascii="Cambria" w:eastAsia="Times New Roman" w:hAnsi="Cambria" w:cs="Arial"/>
                <w:b/>
                <w:bCs/>
                <w:sz w:val="20"/>
                <w:szCs w:val="20"/>
                <w:lang w:val="es-CO" w:eastAsia="es-CO"/>
              </w:rPr>
            </w:pPr>
            <w:r w:rsidRPr="007B7D30">
              <w:rPr>
                <w:rFonts w:ascii="Cambria" w:eastAsia="Times New Roman" w:hAnsi="Cambria" w:cs="Arial"/>
                <w:b/>
                <w:bCs/>
                <w:sz w:val="20"/>
                <w:szCs w:val="20"/>
                <w:lang w:val="es-ES_tradnl" w:eastAsia="es-CO"/>
              </w:rPr>
              <w:t>Subtotal Personal</w:t>
            </w:r>
          </w:p>
        </w:tc>
        <w:tc>
          <w:tcPr>
            <w:tcW w:w="863" w:type="dxa"/>
            <w:tcBorders>
              <w:top w:val="nil"/>
              <w:left w:val="nil"/>
              <w:bottom w:val="single" w:sz="8" w:space="0" w:color="95B3D7"/>
              <w:right w:val="single" w:sz="8" w:space="0" w:color="95B3D7"/>
            </w:tcBorders>
            <w:shd w:val="clear" w:color="000000" w:fill="DBE5F1"/>
            <w:noWrap/>
            <w:vAlign w:val="bottom"/>
            <w:hideMark/>
          </w:tcPr>
          <w:p w14:paraId="2DB2826C" w14:textId="77777777" w:rsidR="000B2968" w:rsidRPr="007B7D30" w:rsidRDefault="000B2968" w:rsidP="00DB3DB9">
            <w:pPr>
              <w:jc w:val="center"/>
              <w:rPr>
                <w:rFonts w:ascii="Cambria" w:eastAsia="Times New Roman" w:hAnsi="Cambria" w:cs="Arial"/>
                <w:b/>
                <w:bCs/>
                <w:color w:val="000000"/>
                <w:sz w:val="20"/>
                <w:szCs w:val="20"/>
                <w:lang w:val="es-CO" w:eastAsia="es-CO"/>
              </w:rPr>
            </w:pPr>
            <w:r w:rsidRPr="007B7D30">
              <w:rPr>
                <w:rFonts w:ascii="Cambria" w:hAnsi="Cambria" w:cs="Arial"/>
                <w:b/>
                <w:bCs/>
                <w:sz w:val="20"/>
                <w:szCs w:val="20"/>
              </w:rPr>
              <w:t>47</w:t>
            </w:r>
          </w:p>
        </w:tc>
        <w:tc>
          <w:tcPr>
            <w:tcW w:w="1843" w:type="dxa"/>
            <w:tcBorders>
              <w:top w:val="nil"/>
              <w:left w:val="nil"/>
              <w:bottom w:val="single" w:sz="8" w:space="0" w:color="95B3D7"/>
              <w:right w:val="single" w:sz="8" w:space="0" w:color="95B3D7"/>
            </w:tcBorders>
            <w:shd w:val="clear" w:color="000000" w:fill="DBE5F1"/>
            <w:noWrap/>
            <w:vAlign w:val="bottom"/>
            <w:hideMark/>
          </w:tcPr>
          <w:p w14:paraId="344241E0" w14:textId="57AC668B" w:rsidR="000B2968" w:rsidRPr="007B7D30" w:rsidRDefault="00716EA7" w:rsidP="00DB3DB9">
            <w:pPr>
              <w:jc w:val="center"/>
              <w:rPr>
                <w:rFonts w:ascii="Cambria" w:eastAsia="Times New Roman" w:hAnsi="Cambria" w:cs="Arial"/>
                <w:b/>
                <w:bCs/>
                <w:color w:val="000000"/>
                <w:sz w:val="20"/>
                <w:szCs w:val="20"/>
                <w:lang w:val="es-CO" w:eastAsia="es-CO"/>
              </w:rPr>
            </w:pPr>
            <w:r w:rsidRPr="007B7D30">
              <w:rPr>
                <w:rFonts w:ascii="Cambria" w:hAnsi="Cambria" w:cs="Arial"/>
                <w:b/>
                <w:bCs/>
                <w:sz w:val="20"/>
                <w:szCs w:val="20"/>
              </w:rPr>
              <w:t>16</w:t>
            </w:r>
          </w:p>
        </w:tc>
        <w:tc>
          <w:tcPr>
            <w:tcW w:w="2208" w:type="dxa"/>
            <w:tcBorders>
              <w:top w:val="nil"/>
              <w:left w:val="nil"/>
              <w:bottom w:val="single" w:sz="8" w:space="0" w:color="95B3D7"/>
              <w:right w:val="single" w:sz="8" w:space="0" w:color="95B3D7"/>
            </w:tcBorders>
            <w:shd w:val="clear" w:color="000000" w:fill="DBE5F1"/>
            <w:noWrap/>
            <w:vAlign w:val="bottom"/>
            <w:hideMark/>
          </w:tcPr>
          <w:p w14:paraId="6CE603A4" w14:textId="77777777" w:rsidR="000B2968" w:rsidRPr="007B7D30" w:rsidRDefault="000B2968" w:rsidP="00DB3DB9">
            <w:pPr>
              <w:jc w:val="center"/>
              <w:rPr>
                <w:rFonts w:ascii="Cambria" w:eastAsia="Times New Roman" w:hAnsi="Cambria" w:cs="Arial"/>
                <w:b/>
                <w:bCs/>
                <w:color w:val="000000"/>
                <w:sz w:val="20"/>
                <w:szCs w:val="20"/>
                <w:lang w:val="es-CO" w:eastAsia="es-CO"/>
              </w:rPr>
            </w:pPr>
            <w:r w:rsidRPr="007B7D30">
              <w:rPr>
                <w:rFonts w:ascii="Cambria" w:hAnsi="Cambria" w:cs="Arial"/>
                <w:b/>
                <w:bCs/>
                <w:sz w:val="20"/>
                <w:szCs w:val="20"/>
              </w:rPr>
              <w:t>0</w:t>
            </w:r>
          </w:p>
        </w:tc>
        <w:tc>
          <w:tcPr>
            <w:tcW w:w="1116" w:type="dxa"/>
            <w:tcBorders>
              <w:top w:val="nil"/>
              <w:left w:val="nil"/>
              <w:bottom w:val="single" w:sz="8" w:space="0" w:color="95B3D7"/>
              <w:right w:val="single" w:sz="8" w:space="0" w:color="95B3D7"/>
            </w:tcBorders>
            <w:shd w:val="clear" w:color="000000" w:fill="DBE5F1"/>
            <w:noWrap/>
            <w:vAlign w:val="bottom"/>
            <w:hideMark/>
          </w:tcPr>
          <w:p w14:paraId="4F269F8A" w14:textId="0BE6D391" w:rsidR="000B2968" w:rsidRPr="007B7D30" w:rsidRDefault="00716EA7" w:rsidP="00DB3DB9">
            <w:pPr>
              <w:jc w:val="center"/>
              <w:rPr>
                <w:rFonts w:ascii="Cambria" w:eastAsia="Times New Roman" w:hAnsi="Cambria" w:cs="Arial"/>
                <w:b/>
                <w:bCs/>
                <w:color w:val="000000"/>
                <w:sz w:val="20"/>
                <w:szCs w:val="20"/>
                <w:lang w:val="es-CO" w:eastAsia="es-CO"/>
              </w:rPr>
            </w:pPr>
            <w:r w:rsidRPr="007B7D30">
              <w:rPr>
                <w:rFonts w:ascii="Cambria" w:hAnsi="Cambria" w:cs="Arial"/>
                <w:b/>
                <w:bCs/>
                <w:sz w:val="20"/>
                <w:szCs w:val="20"/>
              </w:rPr>
              <w:t>63</w:t>
            </w:r>
          </w:p>
        </w:tc>
      </w:tr>
      <w:tr w:rsidR="000B2968" w:rsidRPr="007B7D30" w14:paraId="32B83560" w14:textId="77777777" w:rsidTr="00DB3DB9">
        <w:trPr>
          <w:trHeight w:hRule="exact" w:val="560"/>
        </w:trPr>
        <w:tc>
          <w:tcPr>
            <w:tcW w:w="3690" w:type="dxa"/>
            <w:tcBorders>
              <w:top w:val="nil"/>
              <w:left w:val="single" w:sz="8" w:space="0" w:color="95B3D7"/>
              <w:bottom w:val="single" w:sz="8" w:space="0" w:color="95B3D7"/>
              <w:right w:val="single" w:sz="8" w:space="0" w:color="95B3D7"/>
            </w:tcBorders>
            <w:shd w:val="clear" w:color="auto" w:fill="auto"/>
            <w:noWrap/>
            <w:hideMark/>
          </w:tcPr>
          <w:p w14:paraId="3D3F202D" w14:textId="77777777" w:rsidR="000B2968" w:rsidRPr="007B7D30" w:rsidRDefault="000B2968" w:rsidP="00DB3DB9">
            <w:pPr>
              <w:rPr>
                <w:rFonts w:ascii="Cambria" w:eastAsia="Times New Roman" w:hAnsi="Cambria" w:cs="Arial"/>
                <w:sz w:val="20"/>
                <w:szCs w:val="20"/>
                <w:lang w:val="es-CO" w:eastAsia="es-CO"/>
              </w:rPr>
            </w:pPr>
            <w:r w:rsidRPr="007B7D30">
              <w:rPr>
                <w:rFonts w:ascii="Cambria" w:eastAsia="Times New Roman" w:hAnsi="Cambria" w:cs="Arial"/>
                <w:sz w:val="20"/>
                <w:szCs w:val="20"/>
                <w:lang w:val="es-ES_tradnl" w:eastAsia="es-CO"/>
              </w:rPr>
              <w:t xml:space="preserve">Consultorías de Profesionales en Derechos Humanos </w:t>
            </w:r>
          </w:p>
        </w:tc>
        <w:tc>
          <w:tcPr>
            <w:tcW w:w="863" w:type="dxa"/>
            <w:tcBorders>
              <w:top w:val="nil"/>
              <w:left w:val="nil"/>
              <w:bottom w:val="single" w:sz="8" w:space="0" w:color="95B3D7"/>
              <w:right w:val="single" w:sz="8" w:space="0" w:color="95B3D7"/>
            </w:tcBorders>
            <w:shd w:val="clear" w:color="auto" w:fill="auto"/>
            <w:noWrap/>
            <w:vAlign w:val="bottom"/>
            <w:hideMark/>
          </w:tcPr>
          <w:p w14:paraId="39C23CFC" w14:textId="42782481" w:rsidR="000B2968" w:rsidRPr="007B7D30" w:rsidRDefault="00367F16"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11</w:t>
            </w:r>
          </w:p>
        </w:tc>
        <w:tc>
          <w:tcPr>
            <w:tcW w:w="1843" w:type="dxa"/>
            <w:tcBorders>
              <w:top w:val="nil"/>
              <w:left w:val="nil"/>
              <w:bottom w:val="single" w:sz="8" w:space="0" w:color="95B3D7"/>
              <w:right w:val="single" w:sz="8" w:space="0" w:color="95B3D7"/>
            </w:tcBorders>
            <w:shd w:val="clear" w:color="auto" w:fill="auto"/>
            <w:vAlign w:val="bottom"/>
            <w:hideMark/>
          </w:tcPr>
          <w:p w14:paraId="6BAA52D5" w14:textId="161D3824"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3</w:t>
            </w:r>
            <w:r w:rsidR="00367F16" w:rsidRPr="007B7D30">
              <w:rPr>
                <w:rFonts w:ascii="Cambria" w:hAnsi="Cambria" w:cs="Arial"/>
                <w:sz w:val="20"/>
                <w:szCs w:val="20"/>
              </w:rPr>
              <w:t>2</w:t>
            </w:r>
          </w:p>
        </w:tc>
        <w:tc>
          <w:tcPr>
            <w:tcW w:w="2208" w:type="dxa"/>
            <w:tcBorders>
              <w:top w:val="nil"/>
              <w:left w:val="nil"/>
              <w:bottom w:val="single" w:sz="8" w:space="0" w:color="95B3D7"/>
              <w:right w:val="single" w:sz="8" w:space="0" w:color="95B3D7"/>
            </w:tcBorders>
            <w:shd w:val="clear" w:color="auto" w:fill="auto"/>
            <w:vAlign w:val="bottom"/>
            <w:hideMark/>
          </w:tcPr>
          <w:p w14:paraId="00389391"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auto" w:fill="auto"/>
            <w:vAlign w:val="bottom"/>
            <w:hideMark/>
          </w:tcPr>
          <w:p w14:paraId="1581E198" w14:textId="79FF774B" w:rsidR="000B2968" w:rsidRPr="007B7D30" w:rsidRDefault="00716EA7"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43</w:t>
            </w:r>
          </w:p>
        </w:tc>
      </w:tr>
      <w:tr w:rsidR="000B2968" w:rsidRPr="007B7D30" w14:paraId="6948A6FE" w14:textId="77777777" w:rsidTr="00DB3DB9">
        <w:trPr>
          <w:trHeight w:hRule="exact" w:val="353"/>
        </w:trPr>
        <w:tc>
          <w:tcPr>
            <w:tcW w:w="3690" w:type="dxa"/>
            <w:tcBorders>
              <w:top w:val="nil"/>
              <w:left w:val="single" w:sz="8" w:space="0" w:color="95B3D7"/>
              <w:bottom w:val="single" w:sz="8" w:space="0" w:color="95B3D7"/>
              <w:right w:val="single" w:sz="8" w:space="0" w:color="95B3D7"/>
            </w:tcBorders>
            <w:shd w:val="clear" w:color="000000" w:fill="DBE5F1"/>
            <w:noWrap/>
          </w:tcPr>
          <w:p w14:paraId="5FE46BB6" w14:textId="77777777" w:rsidR="000B2968" w:rsidRPr="007B7D30" w:rsidRDefault="000B2968" w:rsidP="00DB3DB9">
            <w:pP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Consultorías de Personal Administrativo</w:t>
            </w:r>
          </w:p>
        </w:tc>
        <w:tc>
          <w:tcPr>
            <w:tcW w:w="863" w:type="dxa"/>
            <w:tcBorders>
              <w:top w:val="nil"/>
              <w:left w:val="nil"/>
              <w:bottom w:val="single" w:sz="8" w:space="0" w:color="95B3D7"/>
              <w:right w:val="single" w:sz="8" w:space="0" w:color="95B3D7"/>
            </w:tcBorders>
            <w:shd w:val="clear" w:color="000000" w:fill="DBE5F1"/>
            <w:noWrap/>
            <w:vAlign w:val="bottom"/>
          </w:tcPr>
          <w:p w14:paraId="59050E3E" w14:textId="58907D9E" w:rsidR="000B2968" w:rsidRPr="007B7D30" w:rsidRDefault="000B2968" w:rsidP="00DB3DB9">
            <w:pPr>
              <w:jc w:val="center"/>
              <w:rPr>
                <w:rFonts w:ascii="Cambria" w:eastAsia="Times New Roman" w:hAnsi="Cambria" w:cs="Arial"/>
                <w:color w:val="000000"/>
                <w:sz w:val="20"/>
                <w:szCs w:val="20"/>
                <w:lang w:val="es-ES_tradnl" w:eastAsia="es-CO"/>
              </w:rPr>
            </w:pPr>
            <w:r w:rsidRPr="007B7D30">
              <w:rPr>
                <w:rFonts w:ascii="Cambria" w:hAnsi="Cambria" w:cs="Arial"/>
                <w:sz w:val="20"/>
                <w:szCs w:val="20"/>
              </w:rPr>
              <w:t>1</w:t>
            </w:r>
            <w:r w:rsidR="00716EA7" w:rsidRPr="007B7D30">
              <w:rPr>
                <w:rFonts w:ascii="Cambria" w:hAnsi="Cambria" w:cs="Arial"/>
                <w:sz w:val="20"/>
                <w:szCs w:val="20"/>
              </w:rPr>
              <w:t>3</w:t>
            </w:r>
          </w:p>
        </w:tc>
        <w:tc>
          <w:tcPr>
            <w:tcW w:w="1843" w:type="dxa"/>
            <w:tcBorders>
              <w:top w:val="nil"/>
              <w:left w:val="nil"/>
              <w:bottom w:val="single" w:sz="8" w:space="0" w:color="95B3D7"/>
              <w:right w:val="single" w:sz="8" w:space="0" w:color="95B3D7"/>
            </w:tcBorders>
            <w:shd w:val="clear" w:color="000000" w:fill="DBE5F1"/>
            <w:vAlign w:val="bottom"/>
          </w:tcPr>
          <w:p w14:paraId="3200344B" w14:textId="3A2FFC87" w:rsidR="000B2968" w:rsidRPr="007B7D30" w:rsidRDefault="00716EA7" w:rsidP="00DB3DB9">
            <w:pPr>
              <w:jc w:val="center"/>
              <w:rPr>
                <w:rFonts w:ascii="Cambria" w:eastAsia="Times New Roman" w:hAnsi="Cambria" w:cs="Arial"/>
                <w:color w:val="000000"/>
                <w:sz w:val="20"/>
                <w:szCs w:val="20"/>
                <w:lang w:val="es-ES_tradnl" w:eastAsia="es-CO"/>
              </w:rPr>
            </w:pPr>
            <w:r w:rsidRPr="007B7D30">
              <w:rPr>
                <w:rFonts w:ascii="Cambria" w:hAnsi="Cambria" w:cs="Arial"/>
                <w:sz w:val="20"/>
                <w:szCs w:val="20"/>
              </w:rPr>
              <w:t>5</w:t>
            </w:r>
          </w:p>
        </w:tc>
        <w:tc>
          <w:tcPr>
            <w:tcW w:w="2208" w:type="dxa"/>
            <w:tcBorders>
              <w:top w:val="nil"/>
              <w:left w:val="nil"/>
              <w:bottom w:val="single" w:sz="8" w:space="0" w:color="95B3D7"/>
              <w:right w:val="single" w:sz="8" w:space="0" w:color="95B3D7"/>
            </w:tcBorders>
            <w:shd w:val="clear" w:color="000000" w:fill="DBE5F1"/>
            <w:vAlign w:val="bottom"/>
          </w:tcPr>
          <w:p w14:paraId="4CE2FDEF"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000000" w:fill="DBE5F1"/>
            <w:vAlign w:val="bottom"/>
          </w:tcPr>
          <w:p w14:paraId="3B3487C0" w14:textId="5DF7909F" w:rsidR="000B2968" w:rsidRPr="007B7D30" w:rsidRDefault="00716EA7"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18</w:t>
            </w:r>
          </w:p>
        </w:tc>
      </w:tr>
      <w:tr w:rsidR="000B2968" w:rsidRPr="007B7D30" w14:paraId="5F155993" w14:textId="77777777" w:rsidTr="00DB3DB9">
        <w:trPr>
          <w:trHeight w:hRule="exact" w:val="353"/>
        </w:trPr>
        <w:tc>
          <w:tcPr>
            <w:tcW w:w="3690" w:type="dxa"/>
            <w:tcBorders>
              <w:top w:val="nil"/>
              <w:left w:val="single" w:sz="8" w:space="0" w:color="95B3D7"/>
              <w:bottom w:val="single" w:sz="8" w:space="0" w:color="95B3D7"/>
              <w:right w:val="single" w:sz="8" w:space="0" w:color="95B3D7"/>
            </w:tcBorders>
            <w:shd w:val="clear" w:color="auto" w:fill="auto"/>
            <w:noWrap/>
          </w:tcPr>
          <w:p w14:paraId="233B3ABD" w14:textId="77777777" w:rsidR="000B2968" w:rsidRPr="007B7D30" w:rsidRDefault="000B2968" w:rsidP="00DB3DB9">
            <w:pP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Consultorías de Otros/as Profesionales</w:t>
            </w:r>
          </w:p>
        </w:tc>
        <w:tc>
          <w:tcPr>
            <w:tcW w:w="863" w:type="dxa"/>
            <w:tcBorders>
              <w:top w:val="nil"/>
              <w:left w:val="nil"/>
              <w:bottom w:val="single" w:sz="8" w:space="0" w:color="95B3D7"/>
              <w:right w:val="single" w:sz="8" w:space="0" w:color="95B3D7"/>
            </w:tcBorders>
            <w:shd w:val="clear" w:color="auto" w:fill="auto"/>
            <w:noWrap/>
            <w:vAlign w:val="bottom"/>
          </w:tcPr>
          <w:p w14:paraId="32491DAF" w14:textId="7D740BD5" w:rsidR="000B2968" w:rsidRPr="007B7D30" w:rsidRDefault="00716EA7" w:rsidP="00DB3DB9">
            <w:pPr>
              <w:jc w:val="center"/>
              <w:rPr>
                <w:rFonts w:ascii="Cambria" w:eastAsia="Times New Roman" w:hAnsi="Cambria" w:cs="Arial"/>
                <w:sz w:val="20"/>
                <w:szCs w:val="20"/>
                <w:lang w:val="es-ES_tradnl" w:eastAsia="es-CO"/>
              </w:rPr>
            </w:pPr>
            <w:r w:rsidRPr="007B7D30">
              <w:rPr>
                <w:rFonts w:ascii="Cambria" w:hAnsi="Cambria" w:cs="Arial"/>
                <w:sz w:val="20"/>
                <w:szCs w:val="20"/>
              </w:rPr>
              <w:t>1</w:t>
            </w:r>
            <w:r w:rsidR="00367F16" w:rsidRPr="007B7D30">
              <w:rPr>
                <w:rFonts w:ascii="Cambria" w:hAnsi="Cambria" w:cs="Arial"/>
                <w:sz w:val="20"/>
                <w:szCs w:val="20"/>
              </w:rPr>
              <w:t>1</w:t>
            </w:r>
          </w:p>
        </w:tc>
        <w:tc>
          <w:tcPr>
            <w:tcW w:w="1843" w:type="dxa"/>
            <w:tcBorders>
              <w:top w:val="nil"/>
              <w:left w:val="nil"/>
              <w:bottom w:val="single" w:sz="8" w:space="0" w:color="95B3D7"/>
              <w:right w:val="single" w:sz="8" w:space="0" w:color="95B3D7"/>
            </w:tcBorders>
            <w:shd w:val="clear" w:color="auto" w:fill="auto"/>
            <w:vAlign w:val="bottom"/>
          </w:tcPr>
          <w:p w14:paraId="3A047ED1" w14:textId="67F6F60B" w:rsidR="000B2968" w:rsidRPr="007B7D30" w:rsidRDefault="00367F16" w:rsidP="00DB3DB9">
            <w:pPr>
              <w:jc w:val="center"/>
              <w:rPr>
                <w:rFonts w:ascii="Cambria" w:eastAsia="Times New Roman" w:hAnsi="Cambria" w:cs="Arial"/>
                <w:sz w:val="20"/>
                <w:szCs w:val="20"/>
                <w:lang w:val="es-ES_tradnl" w:eastAsia="es-CO"/>
              </w:rPr>
            </w:pPr>
            <w:r w:rsidRPr="007B7D30">
              <w:rPr>
                <w:rFonts w:ascii="Cambria" w:hAnsi="Cambria" w:cs="Arial"/>
                <w:sz w:val="20"/>
                <w:szCs w:val="20"/>
              </w:rPr>
              <w:t>7</w:t>
            </w:r>
          </w:p>
        </w:tc>
        <w:tc>
          <w:tcPr>
            <w:tcW w:w="2208" w:type="dxa"/>
            <w:tcBorders>
              <w:top w:val="nil"/>
              <w:left w:val="nil"/>
              <w:bottom w:val="single" w:sz="8" w:space="0" w:color="95B3D7"/>
              <w:right w:val="single" w:sz="8" w:space="0" w:color="95B3D7"/>
            </w:tcBorders>
            <w:shd w:val="clear" w:color="auto" w:fill="auto"/>
            <w:vAlign w:val="bottom"/>
          </w:tcPr>
          <w:p w14:paraId="5981F343" w14:textId="77777777" w:rsidR="000B2968" w:rsidRPr="007B7D30" w:rsidRDefault="000B2968" w:rsidP="00DB3DB9">
            <w:pPr>
              <w:jc w:val="center"/>
              <w:rPr>
                <w:rFonts w:ascii="Cambria" w:eastAsia="Times New Roman" w:hAnsi="Cambria" w:cs="Arial"/>
                <w:sz w:val="20"/>
                <w:szCs w:val="20"/>
                <w:lang w:val="es-ES_tradnl" w:eastAsia="es-CO"/>
              </w:rPr>
            </w:pPr>
            <w:r w:rsidRPr="007B7D30">
              <w:rPr>
                <w:rFonts w:ascii="Cambria" w:hAnsi="Cambria" w:cs="Arial"/>
                <w:sz w:val="20"/>
                <w:szCs w:val="20"/>
              </w:rPr>
              <w:t>0</w:t>
            </w:r>
          </w:p>
        </w:tc>
        <w:tc>
          <w:tcPr>
            <w:tcW w:w="1116" w:type="dxa"/>
            <w:tcBorders>
              <w:top w:val="nil"/>
              <w:left w:val="nil"/>
              <w:bottom w:val="single" w:sz="8" w:space="0" w:color="95B3D7"/>
              <w:right w:val="single" w:sz="8" w:space="0" w:color="95B3D7"/>
            </w:tcBorders>
            <w:shd w:val="clear" w:color="auto" w:fill="auto"/>
            <w:vAlign w:val="bottom"/>
          </w:tcPr>
          <w:p w14:paraId="695E3B49" w14:textId="0849F405" w:rsidR="000B2968" w:rsidRPr="007B7D30" w:rsidRDefault="000B2968" w:rsidP="00DB3DB9">
            <w:pPr>
              <w:jc w:val="center"/>
              <w:rPr>
                <w:rFonts w:ascii="Cambria" w:eastAsia="Times New Roman" w:hAnsi="Cambria" w:cs="Arial"/>
                <w:sz w:val="20"/>
                <w:szCs w:val="20"/>
                <w:lang w:val="es-ES_tradnl" w:eastAsia="es-CO"/>
              </w:rPr>
            </w:pPr>
            <w:r w:rsidRPr="007B7D30">
              <w:rPr>
                <w:rFonts w:ascii="Cambria" w:hAnsi="Cambria" w:cs="Arial"/>
                <w:b/>
                <w:bCs/>
                <w:sz w:val="20"/>
                <w:szCs w:val="20"/>
              </w:rPr>
              <w:t>1</w:t>
            </w:r>
            <w:r w:rsidR="00716EA7" w:rsidRPr="007B7D30">
              <w:rPr>
                <w:rFonts w:ascii="Cambria" w:hAnsi="Cambria" w:cs="Arial"/>
                <w:b/>
                <w:bCs/>
                <w:sz w:val="20"/>
                <w:szCs w:val="20"/>
              </w:rPr>
              <w:t>8</w:t>
            </w:r>
          </w:p>
        </w:tc>
      </w:tr>
      <w:tr w:rsidR="000B2968" w:rsidRPr="007B7D30" w14:paraId="69B3F86D"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auto" w:fill="D9E2F3" w:themeFill="accent1" w:themeFillTint="33"/>
            <w:noWrap/>
            <w:vAlign w:val="center"/>
          </w:tcPr>
          <w:p w14:paraId="511A587C"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xml:space="preserve">Subtotal Consultorías </w:t>
            </w:r>
          </w:p>
        </w:tc>
        <w:tc>
          <w:tcPr>
            <w:tcW w:w="863" w:type="dxa"/>
            <w:tcBorders>
              <w:top w:val="nil"/>
              <w:left w:val="nil"/>
              <w:bottom w:val="single" w:sz="8" w:space="0" w:color="95B3D7"/>
              <w:right w:val="single" w:sz="8" w:space="0" w:color="95B3D7"/>
            </w:tcBorders>
            <w:shd w:val="clear" w:color="auto" w:fill="D9E2F3" w:themeFill="accent1" w:themeFillTint="33"/>
            <w:noWrap/>
            <w:vAlign w:val="bottom"/>
          </w:tcPr>
          <w:p w14:paraId="7AC15F17" w14:textId="18230623" w:rsidR="000B2968" w:rsidRPr="007B7D30" w:rsidRDefault="000B2968" w:rsidP="00DB3DB9">
            <w:pPr>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3</w:t>
            </w:r>
            <w:r w:rsidR="00716EA7" w:rsidRPr="007B7D30">
              <w:rPr>
                <w:rFonts w:ascii="Cambria" w:eastAsia="Times New Roman" w:hAnsi="Cambria" w:cs="Arial"/>
                <w:b/>
                <w:bCs/>
                <w:sz w:val="20"/>
                <w:szCs w:val="20"/>
                <w:lang w:val="es-ES_tradnl" w:eastAsia="es-CO"/>
              </w:rPr>
              <w:t>5</w:t>
            </w:r>
          </w:p>
        </w:tc>
        <w:tc>
          <w:tcPr>
            <w:tcW w:w="1843" w:type="dxa"/>
            <w:tcBorders>
              <w:top w:val="nil"/>
              <w:left w:val="nil"/>
              <w:bottom w:val="single" w:sz="8" w:space="0" w:color="95B3D7"/>
              <w:right w:val="single" w:sz="8" w:space="0" w:color="95B3D7"/>
            </w:tcBorders>
            <w:shd w:val="clear" w:color="auto" w:fill="D9E2F3" w:themeFill="accent1" w:themeFillTint="33"/>
            <w:vAlign w:val="bottom"/>
          </w:tcPr>
          <w:p w14:paraId="6769F196" w14:textId="12AF2789" w:rsidR="000B2968" w:rsidRPr="007B7D30" w:rsidRDefault="00716EA7" w:rsidP="00DB3DB9">
            <w:pPr>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44</w:t>
            </w:r>
          </w:p>
        </w:tc>
        <w:tc>
          <w:tcPr>
            <w:tcW w:w="2208" w:type="dxa"/>
            <w:tcBorders>
              <w:top w:val="nil"/>
              <w:left w:val="nil"/>
              <w:bottom w:val="single" w:sz="8" w:space="0" w:color="95B3D7"/>
              <w:right w:val="single" w:sz="8" w:space="0" w:color="95B3D7"/>
            </w:tcBorders>
            <w:shd w:val="clear" w:color="auto" w:fill="D9E2F3" w:themeFill="accent1" w:themeFillTint="33"/>
            <w:vAlign w:val="bottom"/>
          </w:tcPr>
          <w:p w14:paraId="6665E7A0" w14:textId="77777777" w:rsidR="000B2968" w:rsidRPr="007B7D30" w:rsidRDefault="000B2968" w:rsidP="00DB3DB9">
            <w:pPr>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0</w:t>
            </w:r>
          </w:p>
        </w:tc>
        <w:tc>
          <w:tcPr>
            <w:tcW w:w="1116" w:type="dxa"/>
            <w:tcBorders>
              <w:top w:val="nil"/>
              <w:left w:val="nil"/>
              <w:bottom w:val="single" w:sz="8" w:space="0" w:color="95B3D7"/>
              <w:right w:val="single" w:sz="8" w:space="0" w:color="95B3D7"/>
            </w:tcBorders>
            <w:shd w:val="clear" w:color="auto" w:fill="D9E2F3" w:themeFill="accent1" w:themeFillTint="33"/>
            <w:vAlign w:val="bottom"/>
          </w:tcPr>
          <w:p w14:paraId="6E73C0AF" w14:textId="648C7CCC" w:rsidR="000B2968" w:rsidRPr="007B7D30" w:rsidRDefault="004F5667" w:rsidP="00DB3DB9">
            <w:pPr>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79</w:t>
            </w:r>
          </w:p>
        </w:tc>
      </w:tr>
      <w:tr w:rsidR="000B2968" w:rsidRPr="007B7D30" w14:paraId="32ABDCCE"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auto" w:fill="FFFFFF" w:themeFill="background1"/>
            <w:noWrap/>
            <w:vAlign w:val="center"/>
            <w:hideMark/>
          </w:tcPr>
          <w:p w14:paraId="384E5B5E" w14:textId="77777777" w:rsidR="000B2968" w:rsidRPr="007B7D30" w:rsidRDefault="000B2968" w:rsidP="00DB3DB9">
            <w:pPr>
              <w:rPr>
                <w:rFonts w:ascii="Cambria" w:eastAsia="Times New Roman" w:hAnsi="Cambria" w:cs="Arial"/>
                <w:sz w:val="20"/>
                <w:szCs w:val="20"/>
                <w:lang w:val="es-CO" w:eastAsia="es-CO"/>
              </w:rPr>
            </w:pPr>
            <w:r w:rsidRPr="007B7D30">
              <w:rPr>
                <w:rFonts w:ascii="Cambria" w:eastAsia="Times New Roman" w:hAnsi="Cambria" w:cs="Arial"/>
                <w:sz w:val="20"/>
                <w:szCs w:val="20"/>
                <w:lang w:val="es-ES_tradnl" w:eastAsia="es-CO"/>
              </w:rPr>
              <w:t>Personal Asociado</w:t>
            </w:r>
          </w:p>
        </w:tc>
        <w:tc>
          <w:tcPr>
            <w:tcW w:w="863" w:type="dxa"/>
            <w:tcBorders>
              <w:top w:val="nil"/>
              <w:left w:val="nil"/>
              <w:bottom w:val="single" w:sz="8" w:space="0" w:color="95B3D7"/>
              <w:right w:val="single" w:sz="8" w:space="0" w:color="95B3D7"/>
            </w:tcBorders>
            <w:shd w:val="clear" w:color="auto" w:fill="FFFFFF" w:themeFill="background1"/>
            <w:noWrap/>
            <w:vAlign w:val="bottom"/>
            <w:hideMark/>
          </w:tcPr>
          <w:p w14:paraId="311402F6"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843" w:type="dxa"/>
            <w:tcBorders>
              <w:top w:val="nil"/>
              <w:left w:val="nil"/>
              <w:bottom w:val="single" w:sz="8" w:space="0" w:color="95B3D7"/>
              <w:right w:val="single" w:sz="8" w:space="0" w:color="95B3D7"/>
            </w:tcBorders>
            <w:shd w:val="clear" w:color="auto" w:fill="FFFFFF" w:themeFill="background1"/>
            <w:vAlign w:val="bottom"/>
            <w:hideMark/>
          </w:tcPr>
          <w:p w14:paraId="67C25ABA"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2</w:t>
            </w:r>
          </w:p>
        </w:tc>
        <w:tc>
          <w:tcPr>
            <w:tcW w:w="2208" w:type="dxa"/>
            <w:tcBorders>
              <w:top w:val="nil"/>
              <w:left w:val="nil"/>
              <w:bottom w:val="single" w:sz="8" w:space="0" w:color="95B3D7"/>
              <w:right w:val="single" w:sz="8" w:space="0" w:color="95B3D7"/>
            </w:tcBorders>
            <w:shd w:val="clear" w:color="auto" w:fill="FFFFFF" w:themeFill="background1"/>
            <w:vAlign w:val="bottom"/>
            <w:hideMark/>
          </w:tcPr>
          <w:p w14:paraId="261F76BA"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1</w:t>
            </w:r>
          </w:p>
        </w:tc>
        <w:tc>
          <w:tcPr>
            <w:tcW w:w="1116" w:type="dxa"/>
            <w:tcBorders>
              <w:top w:val="nil"/>
              <w:left w:val="nil"/>
              <w:bottom w:val="single" w:sz="8" w:space="0" w:color="95B3D7"/>
              <w:right w:val="single" w:sz="8" w:space="0" w:color="95B3D7"/>
            </w:tcBorders>
            <w:shd w:val="clear" w:color="auto" w:fill="FFFFFF" w:themeFill="background1"/>
            <w:vAlign w:val="bottom"/>
            <w:hideMark/>
          </w:tcPr>
          <w:p w14:paraId="201A794A"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3</w:t>
            </w:r>
          </w:p>
        </w:tc>
      </w:tr>
      <w:tr w:rsidR="000B2968" w:rsidRPr="007B7D30" w14:paraId="57BA7501"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auto" w:fill="D9E2F3" w:themeFill="accent1" w:themeFillTint="33"/>
            <w:noWrap/>
          </w:tcPr>
          <w:p w14:paraId="0642AB46" w14:textId="77777777" w:rsidR="000B2968" w:rsidRPr="007B7D30" w:rsidRDefault="000B2968" w:rsidP="00DB3DB9">
            <w:pPr>
              <w:rPr>
                <w:rFonts w:ascii="Cambria" w:eastAsia="Times New Roman" w:hAnsi="Cambria" w:cs="Arial"/>
                <w:b/>
                <w:sz w:val="20"/>
                <w:szCs w:val="20"/>
                <w:lang w:val="es-ES_tradnl" w:eastAsia="es-CO"/>
              </w:rPr>
            </w:pPr>
            <w:proofErr w:type="gramStart"/>
            <w:r w:rsidRPr="007B7D30">
              <w:rPr>
                <w:rFonts w:ascii="Cambria" w:eastAsia="Times New Roman" w:hAnsi="Cambria" w:cs="Arial"/>
                <w:b/>
                <w:sz w:val="20"/>
                <w:szCs w:val="20"/>
                <w:lang w:val="es-ES_tradnl" w:eastAsia="es-CO"/>
              </w:rPr>
              <w:t>Total</w:t>
            </w:r>
            <w:proofErr w:type="gramEnd"/>
            <w:r w:rsidRPr="007B7D30">
              <w:rPr>
                <w:rFonts w:ascii="Cambria" w:eastAsia="Times New Roman" w:hAnsi="Cambria" w:cs="Arial"/>
                <w:b/>
                <w:sz w:val="20"/>
                <w:szCs w:val="20"/>
                <w:lang w:val="es-ES_tradnl" w:eastAsia="es-CO"/>
              </w:rPr>
              <w:t xml:space="preserve"> Personal</w:t>
            </w:r>
          </w:p>
        </w:tc>
        <w:tc>
          <w:tcPr>
            <w:tcW w:w="863" w:type="dxa"/>
            <w:tcBorders>
              <w:top w:val="nil"/>
              <w:left w:val="nil"/>
              <w:bottom w:val="single" w:sz="8" w:space="0" w:color="95B3D7"/>
              <w:right w:val="single" w:sz="8" w:space="0" w:color="95B3D7"/>
            </w:tcBorders>
            <w:shd w:val="clear" w:color="auto" w:fill="D9E2F3" w:themeFill="accent1" w:themeFillTint="33"/>
            <w:noWrap/>
            <w:vAlign w:val="bottom"/>
          </w:tcPr>
          <w:p w14:paraId="46B14724" w14:textId="7C9C89A1" w:rsidR="000B2968" w:rsidRPr="007B7D30" w:rsidRDefault="004F5667" w:rsidP="00DB3DB9">
            <w:pPr>
              <w:jc w:val="center"/>
              <w:rPr>
                <w:rFonts w:ascii="Cambria" w:eastAsia="Times New Roman" w:hAnsi="Cambria" w:cs="Arial"/>
                <w:b/>
                <w:sz w:val="20"/>
                <w:szCs w:val="20"/>
              </w:rPr>
            </w:pPr>
            <w:r w:rsidRPr="007B7D30">
              <w:rPr>
                <w:rFonts w:ascii="Cambria" w:hAnsi="Cambria" w:cs="Arial"/>
                <w:b/>
                <w:bCs/>
                <w:sz w:val="20"/>
                <w:szCs w:val="20"/>
              </w:rPr>
              <w:t>82</w:t>
            </w:r>
          </w:p>
        </w:tc>
        <w:tc>
          <w:tcPr>
            <w:tcW w:w="1843" w:type="dxa"/>
            <w:tcBorders>
              <w:top w:val="nil"/>
              <w:left w:val="nil"/>
              <w:bottom w:val="single" w:sz="8" w:space="0" w:color="95B3D7"/>
              <w:right w:val="single" w:sz="8" w:space="0" w:color="95B3D7"/>
            </w:tcBorders>
            <w:shd w:val="clear" w:color="auto" w:fill="D9E2F3" w:themeFill="accent1" w:themeFillTint="33"/>
            <w:vAlign w:val="bottom"/>
          </w:tcPr>
          <w:p w14:paraId="1A02F816" w14:textId="1C58D86E" w:rsidR="000B2968" w:rsidRPr="007B7D30" w:rsidRDefault="000B2968" w:rsidP="00DB3DB9">
            <w:pPr>
              <w:jc w:val="center"/>
              <w:rPr>
                <w:rFonts w:ascii="Cambria" w:eastAsia="Times New Roman" w:hAnsi="Cambria" w:cs="Arial"/>
                <w:b/>
                <w:sz w:val="20"/>
                <w:szCs w:val="20"/>
              </w:rPr>
            </w:pPr>
            <w:r w:rsidRPr="007B7D30">
              <w:rPr>
                <w:rFonts w:ascii="Cambria" w:hAnsi="Cambria" w:cs="Arial"/>
                <w:b/>
                <w:bCs/>
                <w:sz w:val="20"/>
                <w:szCs w:val="20"/>
              </w:rPr>
              <w:t>6</w:t>
            </w:r>
            <w:r w:rsidR="004F5667" w:rsidRPr="007B7D30">
              <w:rPr>
                <w:rFonts w:ascii="Cambria" w:hAnsi="Cambria" w:cs="Arial"/>
                <w:b/>
                <w:bCs/>
                <w:sz w:val="20"/>
                <w:szCs w:val="20"/>
              </w:rPr>
              <w:t>2</w:t>
            </w:r>
          </w:p>
        </w:tc>
        <w:tc>
          <w:tcPr>
            <w:tcW w:w="2208" w:type="dxa"/>
            <w:tcBorders>
              <w:top w:val="nil"/>
              <w:left w:val="nil"/>
              <w:bottom w:val="single" w:sz="8" w:space="0" w:color="95B3D7"/>
              <w:right w:val="single" w:sz="8" w:space="0" w:color="95B3D7"/>
            </w:tcBorders>
            <w:shd w:val="clear" w:color="auto" w:fill="D9E2F3" w:themeFill="accent1" w:themeFillTint="33"/>
            <w:vAlign w:val="bottom"/>
          </w:tcPr>
          <w:p w14:paraId="7EF42CD2" w14:textId="77777777" w:rsidR="000B2968" w:rsidRPr="007B7D30" w:rsidRDefault="000B2968" w:rsidP="00DB3DB9">
            <w:pPr>
              <w:jc w:val="center"/>
              <w:rPr>
                <w:rFonts w:ascii="Cambria" w:eastAsia="Times New Roman" w:hAnsi="Cambria" w:cs="Arial"/>
                <w:b/>
                <w:sz w:val="20"/>
                <w:szCs w:val="20"/>
              </w:rPr>
            </w:pPr>
            <w:r w:rsidRPr="007B7D30">
              <w:rPr>
                <w:rFonts w:ascii="Cambria" w:hAnsi="Cambria" w:cs="Arial"/>
                <w:b/>
                <w:bCs/>
                <w:sz w:val="20"/>
                <w:szCs w:val="20"/>
              </w:rPr>
              <w:t>1</w:t>
            </w:r>
          </w:p>
        </w:tc>
        <w:tc>
          <w:tcPr>
            <w:tcW w:w="1116" w:type="dxa"/>
            <w:tcBorders>
              <w:top w:val="nil"/>
              <w:left w:val="nil"/>
              <w:bottom w:val="single" w:sz="8" w:space="0" w:color="95B3D7"/>
              <w:right w:val="single" w:sz="8" w:space="0" w:color="95B3D7"/>
            </w:tcBorders>
            <w:shd w:val="clear" w:color="auto" w:fill="D9E2F3" w:themeFill="accent1" w:themeFillTint="33"/>
            <w:vAlign w:val="bottom"/>
          </w:tcPr>
          <w:p w14:paraId="78686368" w14:textId="77777777" w:rsidR="000B2968" w:rsidRPr="007B7D30" w:rsidRDefault="000B2968" w:rsidP="00DB3DB9">
            <w:pPr>
              <w:jc w:val="center"/>
              <w:rPr>
                <w:rFonts w:ascii="Cambria" w:eastAsia="Times New Roman" w:hAnsi="Cambria" w:cs="Arial"/>
                <w:b/>
                <w:bCs/>
                <w:sz w:val="20"/>
                <w:szCs w:val="20"/>
              </w:rPr>
            </w:pPr>
            <w:r w:rsidRPr="007B7D30">
              <w:rPr>
                <w:rFonts w:ascii="Cambria" w:hAnsi="Cambria" w:cs="Arial"/>
                <w:b/>
                <w:bCs/>
                <w:sz w:val="20"/>
                <w:szCs w:val="20"/>
              </w:rPr>
              <w:t>145</w:t>
            </w:r>
          </w:p>
        </w:tc>
      </w:tr>
      <w:tr w:rsidR="000B2968" w:rsidRPr="007B7D30" w14:paraId="4CF99E56" w14:textId="77777777" w:rsidTr="00DB3DB9">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hideMark/>
          </w:tcPr>
          <w:p w14:paraId="27279AAE" w14:textId="77777777" w:rsidR="000B2968" w:rsidRPr="007B7D30" w:rsidRDefault="000B2968" w:rsidP="00DB3DB9">
            <w:pPr>
              <w:rPr>
                <w:rFonts w:ascii="Cambria" w:eastAsia="Times New Roman" w:hAnsi="Cambria" w:cs="Arial"/>
                <w:sz w:val="20"/>
                <w:szCs w:val="20"/>
                <w:lang w:val="es-CO" w:eastAsia="es-CO"/>
              </w:rPr>
            </w:pPr>
            <w:r w:rsidRPr="007B7D30">
              <w:rPr>
                <w:rFonts w:ascii="Cambria" w:eastAsia="Times New Roman" w:hAnsi="Cambria" w:cs="Arial"/>
                <w:sz w:val="20"/>
                <w:szCs w:val="20"/>
                <w:lang w:val="es-ES_tradnl" w:eastAsia="es-CO"/>
              </w:rPr>
              <w:t>Becario/as</w:t>
            </w:r>
          </w:p>
        </w:tc>
        <w:tc>
          <w:tcPr>
            <w:tcW w:w="863" w:type="dxa"/>
            <w:tcBorders>
              <w:top w:val="nil"/>
              <w:left w:val="nil"/>
              <w:bottom w:val="single" w:sz="8" w:space="0" w:color="95B3D7"/>
              <w:right w:val="single" w:sz="8" w:space="0" w:color="95B3D7"/>
            </w:tcBorders>
            <w:shd w:val="clear" w:color="auto" w:fill="auto"/>
            <w:noWrap/>
            <w:vAlign w:val="bottom"/>
            <w:hideMark/>
          </w:tcPr>
          <w:p w14:paraId="3565CD98"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0</w:t>
            </w:r>
          </w:p>
        </w:tc>
        <w:tc>
          <w:tcPr>
            <w:tcW w:w="1843" w:type="dxa"/>
            <w:tcBorders>
              <w:top w:val="nil"/>
              <w:left w:val="nil"/>
              <w:bottom w:val="single" w:sz="8" w:space="0" w:color="95B3D7"/>
              <w:right w:val="single" w:sz="8" w:space="0" w:color="95B3D7"/>
            </w:tcBorders>
            <w:shd w:val="clear" w:color="auto" w:fill="auto"/>
            <w:vAlign w:val="bottom"/>
            <w:hideMark/>
          </w:tcPr>
          <w:p w14:paraId="1D8D0588"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5</w:t>
            </w:r>
          </w:p>
        </w:tc>
        <w:tc>
          <w:tcPr>
            <w:tcW w:w="2208" w:type="dxa"/>
            <w:tcBorders>
              <w:top w:val="nil"/>
              <w:left w:val="nil"/>
              <w:bottom w:val="single" w:sz="8" w:space="0" w:color="95B3D7"/>
              <w:right w:val="single" w:sz="8" w:space="0" w:color="95B3D7"/>
            </w:tcBorders>
            <w:shd w:val="clear" w:color="auto" w:fill="auto"/>
            <w:vAlign w:val="bottom"/>
            <w:hideMark/>
          </w:tcPr>
          <w:p w14:paraId="4619E68E"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sz w:val="20"/>
                <w:szCs w:val="20"/>
              </w:rPr>
              <w:t>5</w:t>
            </w:r>
          </w:p>
        </w:tc>
        <w:tc>
          <w:tcPr>
            <w:tcW w:w="1116" w:type="dxa"/>
            <w:tcBorders>
              <w:top w:val="nil"/>
              <w:left w:val="nil"/>
              <w:bottom w:val="single" w:sz="8" w:space="0" w:color="95B3D7"/>
              <w:right w:val="single" w:sz="8" w:space="0" w:color="95B3D7"/>
            </w:tcBorders>
            <w:shd w:val="clear" w:color="auto" w:fill="auto"/>
            <w:vAlign w:val="bottom"/>
            <w:hideMark/>
          </w:tcPr>
          <w:p w14:paraId="6AAEBF9B" w14:textId="77777777" w:rsidR="000B2968" w:rsidRPr="007B7D30" w:rsidRDefault="000B2968" w:rsidP="00DB3DB9">
            <w:pPr>
              <w:jc w:val="center"/>
              <w:rPr>
                <w:rFonts w:ascii="Cambria" w:eastAsia="Times New Roman" w:hAnsi="Cambria" w:cs="Arial"/>
                <w:color w:val="000000"/>
                <w:sz w:val="20"/>
                <w:szCs w:val="20"/>
                <w:lang w:val="es-CO" w:eastAsia="es-CO"/>
              </w:rPr>
            </w:pPr>
            <w:r w:rsidRPr="007B7D30">
              <w:rPr>
                <w:rFonts w:ascii="Cambria" w:hAnsi="Cambria" w:cs="Arial"/>
                <w:b/>
                <w:bCs/>
                <w:sz w:val="20"/>
                <w:szCs w:val="20"/>
              </w:rPr>
              <w:t>10</w:t>
            </w:r>
          </w:p>
        </w:tc>
      </w:tr>
      <w:tr w:rsidR="000B2968" w:rsidRPr="007B7D30" w14:paraId="0326DB7C" w14:textId="77777777" w:rsidTr="00DB3DB9">
        <w:trPr>
          <w:trHeight w:hRule="exact" w:val="470"/>
        </w:trPr>
        <w:tc>
          <w:tcPr>
            <w:tcW w:w="3690" w:type="dxa"/>
            <w:tcBorders>
              <w:top w:val="nil"/>
              <w:left w:val="single" w:sz="8" w:space="0" w:color="95B3D7"/>
              <w:bottom w:val="single" w:sz="8" w:space="0" w:color="95B3D7"/>
              <w:right w:val="single" w:sz="8" w:space="0" w:color="95B3D7"/>
            </w:tcBorders>
            <w:shd w:val="clear" w:color="auto" w:fill="D9E2F3" w:themeFill="accent1" w:themeFillTint="33"/>
            <w:noWrap/>
            <w:hideMark/>
          </w:tcPr>
          <w:p w14:paraId="1F3C1AD7" w14:textId="77777777" w:rsidR="000B2968" w:rsidRPr="007B7D30" w:rsidRDefault="000B2968" w:rsidP="00DB3DB9">
            <w:pPr>
              <w:rPr>
                <w:rFonts w:ascii="Cambria" w:eastAsia="Times New Roman" w:hAnsi="Cambria" w:cs="Arial"/>
                <w:b/>
                <w:bCs/>
                <w:sz w:val="20"/>
                <w:szCs w:val="20"/>
                <w:lang w:val="es-CO" w:eastAsia="es-CO"/>
              </w:rPr>
            </w:pPr>
            <w:r w:rsidRPr="007B7D30">
              <w:rPr>
                <w:rFonts w:ascii="Cambria" w:eastAsia="Times New Roman" w:hAnsi="Cambria" w:cs="Arial"/>
                <w:b/>
                <w:sz w:val="20"/>
                <w:szCs w:val="20"/>
                <w:lang w:val="es-ES_tradnl" w:eastAsia="es-CO"/>
              </w:rPr>
              <w:t>Gran Total</w:t>
            </w:r>
          </w:p>
        </w:tc>
        <w:tc>
          <w:tcPr>
            <w:tcW w:w="863" w:type="dxa"/>
            <w:tcBorders>
              <w:top w:val="nil"/>
              <w:left w:val="nil"/>
              <w:bottom w:val="single" w:sz="8" w:space="0" w:color="95B3D7"/>
              <w:right w:val="single" w:sz="8" w:space="0" w:color="95B3D7"/>
            </w:tcBorders>
            <w:shd w:val="clear" w:color="auto" w:fill="D9E2F3" w:themeFill="accent1" w:themeFillTint="33"/>
            <w:noWrap/>
            <w:hideMark/>
          </w:tcPr>
          <w:p w14:paraId="5FDE7C86" w14:textId="1773C004" w:rsidR="000B2968" w:rsidRPr="007B7D30" w:rsidRDefault="004F5667" w:rsidP="00DB3DB9">
            <w:pPr>
              <w:jc w:val="center"/>
              <w:rPr>
                <w:rFonts w:ascii="Cambria" w:eastAsia="Times New Roman" w:hAnsi="Cambria" w:cs="Arial"/>
                <w:b/>
                <w:bCs/>
                <w:color w:val="000000"/>
                <w:sz w:val="20"/>
                <w:szCs w:val="20"/>
                <w:lang w:val="es-CO" w:eastAsia="es-CO"/>
              </w:rPr>
            </w:pPr>
            <w:r w:rsidRPr="007B7D30">
              <w:rPr>
                <w:rFonts w:ascii="Cambria" w:eastAsia="Times New Roman" w:hAnsi="Cambria" w:cs="Arial"/>
                <w:b/>
                <w:bCs/>
                <w:color w:val="000000"/>
                <w:sz w:val="20"/>
                <w:szCs w:val="20"/>
                <w:lang w:val="es-CO" w:eastAsia="es-CO"/>
              </w:rPr>
              <w:t>82</w:t>
            </w:r>
          </w:p>
        </w:tc>
        <w:tc>
          <w:tcPr>
            <w:tcW w:w="1843" w:type="dxa"/>
            <w:tcBorders>
              <w:top w:val="nil"/>
              <w:left w:val="nil"/>
              <w:bottom w:val="single" w:sz="8" w:space="0" w:color="95B3D7"/>
              <w:right w:val="single" w:sz="8" w:space="0" w:color="95B3D7"/>
            </w:tcBorders>
            <w:shd w:val="clear" w:color="auto" w:fill="D9E2F3" w:themeFill="accent1" w:themeFillTint="33"/>
            <w:noWrap/>
            <w:hideMark/>
          </w:tcPr>
          <w:p w14:paraId="755C1963" w14:textId="4E9A1AF1" w:rsidR="000B2968" w:rsidRPr="007B7D30" w:rsidRDefault="004F5667" w:rsidP="00BA31BE">
            <w:pPr>
              <w:tabs>
                <w:tab w:val="left" w:pos="588"/>
                <w:tab w:val="center" w:pos="851"/>
              </w:tabs>
              <w:rPr>
                <w:rFonts w:ascii="Cambria" w:eastAsia="Times New Roman" w:hAnsi="Cambria" w:cs="Arial"/>
                <w:b/>
                <w:bCs/>
                <w:color w:val="000000"/>
                <w:sz w:val="20"/>
                <w:szCs w:val="20"/>
                <w:lang w:val="es-CO" w:eastAsia="es-CO"/>
              </w:rPr>
            </w:pPr>
            <w:r w:rsidRPr="007B7D30">
              <w:rPr>
                <w:rFonts w:ascii="Cambria" w:eastAsia="Times New Roman" w:hAnsi="Cambria" w:cs="Arial"/>
                <w:b/>
                <w:bCs/>
                <w:sz w:val="20"/>
                <w:szCs w:val="20"/>
              </w:rPr>
              <w:tab/>
            </w:r>
            <w:r w:rsidRPr="007B7D30">
              <w:rPr>
                <w:rFonts w:ascii="Cambria" w:eastAsia="Times New Roman" w:hAnsi="Cambria" w:cs="Arial"/>
                <w:b/>
                <w:bCs/>
                <w:sz w:val="20"/>
                <w:szCs w:val="20"/>
              </w:rPr>
              <w:tab/>
              <w:t>67</w:t>
            </w:r>
          </w:p>
        </w:tc>
        <w:tc>
          <w:tcPr>
            <w:tcW w:w="2208" w:type="dxa"/>
            <w:tcBorders>
              <w:top w:val="nil"/>
              <w:left w:val="nil"/>
              <w:bottom w:val="single" w:sz="8" w:space="0" w:color="95B3D7"/>
              <w:right w:val="single" w:sz="8" w:space="0" w:color="95B3D7"/>
            </w:tcBorders>
            <w:shd w:val="clear" w:color="auto" w:fill="D9E2F3" w:themeFill="accent1" w:themeFillTint="33"/>
            <w:noWrap/>
            <w:hideMark/>
          </w:tcPr>
          <w:p w14:paraId="6946DCB4" w14:textId="77777777" w:rsidR="000B2968" w:rsidRPr="007B7D30" w:rsidRDefault="000B2968" w:rsidP="00DB3DB9">
            <w:pPr>
              <w:jc w:val="center"/>
              <w:rPr>
                <w:rFonts w:ascii="Cambria" w:eastAsia="Times New Roman" w:hAnsi="Cambria" w:cs="Arial"/>
                <w:b/>
                <w:bCs/>
                <w:color w:val="000000"/>
                <w:sz w:val="20"/>
                <w:szCs w:val="20"/>
                <w:lang w:val="es-CO" w:eastAsia="es-CO"/>
              </w:rPr>
            </w:pPr>
            <w:r w:rsidRPr="007B7D30">
              <w:rPr>
                <w:rFonts w:ascii="Cambria" w:eastAsia="Times New Roman" w:hAnsi="Cambria" w:cs="Arial"/>
                <w:b/>
                <w:bCs/>
                <w:color w:val="000000"/>
                <w:sz w:val="20"/>
                <w:szCs w:val="20"/>
                <w:lang w:val="es-CO" w:eastAsia="es-CO"/>
              </w:rPr>
              <w:t>6</w:t>
            </w:r>
          </w:p>
        </w:tc>
        <w:tc>
          <w:tcPr>
            <w:tcW w:w="1116" w:type="dxa"/>
            <w:tcBorders>
              <w:top w:val="nil"/>
              <w:left w:val="nil"/>
              <w:bottom w:val="single" w:sz="8" w:space="0" w:color="95B3D7"/>
              <w:right w:val="single" w:sz="8" w:space="0" w:color="95B3D7"/>
            </w:tcBorders>
            <w:shd w:val="clear" w:color="auto" w:fill="D9E2F3" w:themeFill="accent1" w:themeFillTint="33"/>
            <w:noWrap/>
            <w:hideMark/>
          </w:tcPr>
          <w:p w14:paraId="5E8DDB67" w14:textId="77777777" w:rsidR="000B2968" w:rsidRPr="007B7D30" w:rsidRDefault="000B2968" w:rsidP="00DB3DB9">
            <w:pPr>
              <w:jc w:val="center"/>
              <w:rPr>
                <w:rFonts w:ascii="Cambria" w:eastAsia="Times New Roman" w:hAnsi="Cambria" w:cs="Arial"/>
                <w:b/>
                <w:bCs/>
                <w:color w:val="000000"/>
                <w:sz w:val="20"/>
                <w:szCs w:val="20"/>
                <w:lang w:val="es-CO" w:eastAsia="es-CO"/>
              </w:rPr>
            </w:pPr>
            <w:r w:rsidRPr="007B7D30">
              <w:rPr>
                <w:rFonts w:ascii="Cambria" w:eastAsia="Times New Roman" w:hAnsi="Cambria" w:cs="Arial"/>
                <w:b/>
                <w:bCs/>
                <w:sz w:val="20"/>
                <w:szCs w:val="20"/>
              </w:rPr>
              <w:t>155</w:t>
            </w:r>
          </w:p>
        </w:tc>
      </w:tr>
    </w:tbl>
    <w:p w14:paraId="04BEC817" w14:textId="77777777" w:rsidR="000B2968" w:rsidRPr="007B7D30" w:rsidRDefault="000B2968" w:rsidP="00966382">
      <w:pPr>
        <w:pStyle w:val="paragraphs"/>
        <w:numPr>
          <w:ilvl w:val="0"/>
          <w:numId w:val="0"/>
        </w:numPr>
        <w:ind w:left="720"/>
      </w:pPr>
    </w:p>
    <w:p w14:paraId="260EDBFF" w14:textId="7232022A" w:rsidR="000B2968" w:rsidRPr="007B7D30" w:rsidRDefault="000B2968" w:rsidP="00966382">
      <w:pPr>
        <w:pStyle w:val="paragraphs"/>
      </w:pPr>
      <w:r w:rsidRPr="007B7D30">
        <w:t>En términos de representación geográfica y diversidad, los/as 145 funcionarios/as mencionados en el párrafo 1 (funcionarios/as, consultores/as y profesionales asociados) provienen de 2</w:t>
      </w:r>
      <w:r w:rsidR="00E8625C" w:rsidRPr="007B7D30">
        <w:t>4</w:t>
      </w:r>
      <w:r w:rsidRPr="007B7D30">
        <w:t xml:space="preserve"> Estados diferentes, 6</w:t>
      </w:r>
      <w:r w:rsidR="00E8625C" w:rsidRPr="007B7D30">
        <w:t>6</w:t>
      </w:r>
      <w:r w:rsidRPr="007B7D30">
        <w:t>% de los funcionarios/as son mujeres y 3</w:t>
      </w:r>
      <w:r w:rsidR="00E8625C" w:rsidRPr="007B7D30">
        <w:t>4</w:t>
      </w:r>
      <w:r w:rsidRPr="007B7D30">
        <w:t xml:space="preserve">% son hombres. La siguiente tabla muestra la distribución de personal por nacionalidad y tipo de vínculo. </w:t>
      </w:r>
    </w:p>
    <w:tbl>
      <w:tblPr>
        <w:tblW w:w="9990" w:type="dxa"/>
        <w:jc w:val="center"/>
        <w:tblCellMar>
          <w:left w:w="70" w:type="dxa"/>
          <w:right w:w="70" w:type="dxa"/>
        </w:tblCellMar>
        <w:tblLook w:val="04A0" w:firstRow="1" w:lastRow="0" w:firstColumn="1" w:lastColumn="0" w:noHBand="0" w:noVBand="1"/>
      </w:tblPr>
      <w:tblGrid>
        <w:gridCol w:w="1411"/>
        <w:gridCol w:w="3261"/>
        <w:gridCol w:w="2460"/>
        <w:gridCol w:w="2858"/>
      </w:tblGrid>
      <w:tr w:rsidR="000B2968" w:rsidRPr="007B7D30" w14:paraId="31F13D36" w14:textId="77777777" w:rsidTr="00966382">
        <w:trPr>
          <w:trHeight w:val="340"/>
          <w:jc w:val="center"/>
        </w:trPr>
        <w:tc>
          <w:tcPr>
            <w:tcW w:w="1411" w:type="dxa"/>
            <w:tcBorders>
              <w:top w:val="single" w:sz="8" w:space="0" w:color="4472C4"/>
              <w:left w:val="nil"/>
              <w:bottom w:val="single" w:sz="8" w:space="0" w:color="4472C4"/>
              <w:right w:val="nil"/>
            </w:tcBorders>
            <w:shd w:val="clear" w:color="auto" w:fill="4F81BD"/>
            <w:noWrap/>
            <w:vAlign w:val="center"/>
            <w:hideMark/>
          </w:tcPr>
          <w:p w14:paraId="231A949B" w14:textId="77777777" w:rsidR="000B2968" w:rsidRPr="007B7D30" w:rsidRDefault="000B2968" w:rsidP="00DB3DB9">
            <w:pPr>
              <w:jc w:val="center"/>
              <w:rPr>
                <w:rFonts w:ascii="Cambria" w:eastAsia="Times New Roman" w:hAnsi="Cambria" w:cs="Arial"/>
                <w:b/>
                <w:bCs/>
                <w:color w:val="FFFFFF"/>
                <w:sz w:val="20"/>
                <w:szCs w:val="20"/>
                <w:lang w:val="es-ES_tradnl" w:eastAsia="es-CO"/>
              </w:rPr>
            </w:pPr>
            <w:r w:rsidRPr="007B7D30">
              <w:rPr>
                <w:rFonts w:ascii="Cambria" w:eastAsia="Times New Roman" w:hAnsi="Cambria" w:cs="Arial"/>
                <w:b/>
                <w:bCs/>
                <w:color w:val="FFFFFF"/>
                <w:sz w:val="20"/>
                <w:szCs w:val="20"/>
                <w:lang w:val="es-ES_tradnl" w:eastAsia="es-CO"/>
              </w:rPr>
              <w:lastRenderedPageBreak/>
              <w:t>Tipo de vínculo</w:t>
            </w:r>
          </w:p>
        </w:tc>
        <w:tc>
          <w:tcPr>
            <w:tcW w:w="3261" w:type="dxa"/>
            <w:tcBorders>
              <w:top w:val="single" w:sz="8" w:space="0" w:color="4472C4"/>
              <w:left w:val="nil"/>
              <w:bottom w:val="single" w:sz="8" w:space="0" w:color="4472C4"/>
              <w:right w:val="nil"/>
            </w:tcBorders>
            <w:shd w:val="clear" w:color="auto" w:fill="4F81BD"/>
            <w:noWrap/>
            <w:vAlign w:val="center"/>
            <w:hideMark/>
          </w:tcPr>
          <w:p w14:paraId="4DC3B3C5" w14:textId="77777777" w:rsidR="000B2968" w:rsidRPr="007B7D30" w:rsidRDefault="000B2968" w:rsidP="00DB3DB9">
            <w:pPr>
              <w:ind w:left="92" w:hanging="20"/>
              <w:rPr>
                <w:rFonts w:ascii="Cambria" w:eastAsia="Times New Roman" w:hAnsi="Cambria" w:cs="Arial"/>
                <w:b/>
                <w:bCs/>
                <w:color w:val="FFFFFF"/>
                <w:sz w:val="20"/>
                <w:szCs w:val="20"/>
                <w:lang w:val="es-ES_tradnl" w:eastAsia="es-CO"/>
              </w:rPr>
            </w:pPr>
            <w:r w:rsidRPr="007B7D30">
              <w:rPr>
                <w:rFonts w:ascii="Cambria" w:eastAsia="Times New Roman" w:hAnsi="Cambria" w:cs="Arial"/>
                <w:b/>
                <w:bCs/>
                <w:color w:val="FFFFFF"/>
                <w:sz w:val="20"/>
                <w:szCs w:val="20"/>
                <w:lang w:val="es-ES_tradnl" w:eastAsia="es-CO"/>
              </w:rPr>
              <w:t>País</w:t>
            </w:r>
          </w:p>
        </w:tc>
        <w:tc>
          <w:tcPr>
            <w:tcW w:w="2460" w:type="dxa"/>
            <w:tcBorders>
              <w:top w:val="single" w:sz="8" w:space="0" w:color="4472C4"/>
              <w:left w:val="nil"/>
              <w:bottom w:val="single" w:sz="8" w:space="0" w:color="4472C4"/>
              <w:right w:val="nil"/>
            </w:tcBorders>
            <w:shd w:val="clear" w:color="auto" w:fill="4F81BD"/>
            <w:noWrap/>
            <w:vAlign w:val="center"/>
            <w:hideMark/>
          </w:tcPr>
          <w:p w14:paraId="67D46A43" w14:textId="77777777" w:rsidR="000B2968" w:rsidRPr="007B7D30" w:rsidRDefault="000B2968" w:rsidP="00DB3DB9">
            <w:pPr>
              <w:jc w:val="center"/>
              <w:rPr>
                <w:rFonts w:ascii="Cambria" w:eastAsia="Times New Roman" w:hAnsi="Cambria" w:cs="Arial"/>
                <w:b/>
                <w:bCs/>
                <w:color w:val="FFFFFF"/>
                <w:sz w:val="20"/>
                <w:szCs w:val="20"/>
                <w:lang w:val="es-ES_tradnl" w:eastAsia="es-CO"/>
              </w:rPr>
            </w:pPr>
            <w:r w:rsidRPr="007B7D30">
              <w:rPr>
                <w:rFonts w:ascii="Cambria" w:eastAsia="Times New Roman" w:hAnsi="Cambria" w:cs="Arial"/>
                <w:b/>
                <w:bCs/>
                <w:color w:val="FFFFFF"/>
                <w:sz w:val="20"/>
                <w:szCs w:val="20"/>
                <w:lang w:val="es-ES_tradnl" w:eastAsia="es-CO"/>
              </w:rPr>
              <w:t xml:space="preserve">Nacionalidad al </w:t>
            </w:r>
          </w:p>
          <w:p w14:paraId="5AFD7ED4" w14:textId="77777777" w:rsidR="000B2968" w:rsidRPr="007B7D30" w:rsidRDefault="000B2968" w:rsidP="00DB3DB9">
            <w:pPr>
              <w:jc w:val="center"/>
              <w:rPr>
                <w:rFonts w:ascii="Cambria" w:eastAsia="Times New Roman" w:hAnsi="Cambria" w:cs="Arial"/>
                <w:b/>
                <w:bCs/>
                <w:color w:val="FFFFFF"/>
                <w:sz w:val="20"/>
                <w:szCs w:val="20"/>
                <w:lang w:val="es-ES_tradnl" w:eastAsia="es-CO"/>
              </w:rPr>
            </w:pPr>
            <w:r w:rsidRPr="007B7D30">
              <w:rPr>
                <w:rFonts w:ascii="Cambria" w:eastAsia="Times New Roman" w:hAnsi="Cambria" w:cs="Arial"/>
                <w:b/>
                <w:bCs/>
                <w:color w:val="FFFFFF"/>
                <w:sz w:val="20"/>
                <w:szCs w:val="20"/>
                <w:lang w:val="es-ES_tradnl" w:eastAsia="es-CO"/>
              </w:rPr>
              <w:t>ingresar a la OEA</w:t>
            </w:r>
          </w:p>
        </w:tc>
        <w:tc>
          <w:tcPr>
            <w:tcW w:w="2858" w:type="dxa"/>
            <w:tcBorders>
              <w:top w:val="single" w:sz="8" w:space="0" w:color="4472C4"/>
              <w:left w:val="nil"/>
              <w:bottom w:val="single" w:sz="8" w:space="0" w:color="4472C4"/>
              <w:right w:val="nil"/>
            </w:tcBorders>
            <w:shd w:val="clear" w:color="auto" w:fill="4F81BD"/>
            <w:noWrap/>
            <w:vAlign w:val="center"/>
            <w:hideMark/>
          </w:tcPr>
          <w:p w14:paraId="49F779D6" w14:textId="77777777" w:rsidR="000B2968" w:rsidRPr="007B7D30" w:rsidRDefault="000B2968" w:rsidP="00DB3DB9">
            <w:pPr>
              <w:jc w:val="center"/>
              <w:rPr>
                <w:rFonts w:ascii="Cambria" w:eastAsia="Times New Roman" w:hAnsi="Cambria" w:cs="Arial"/>
                <w:b/>
                <w:bCs/>
                <w:color w:val="FFFFFF"/>
                <w:sz w:val="20"/>
                <w:szCs w:val="20"/>
                <w:lang w:val="es-ES_tradnl" w:eastAsia="es-CO"/>
              </w:rPr>
            </w:pPr>
            <w:r w:rsidRPr="007B7D30">
              <w:rPr>
                <w:rFonts w:ascii="Cambria" w:eastAsia="Times New Roman" w:hAnsi="Cambria" w:cs="Arial"/>
                <w:b/>
                <w:bCs/>
                <w:color w:val="FFFFFF"/>
                <w:sz w:val="20"/>
                <w:szCs w:val="20"/>
                <w:lang w:val="es-ES_tradnl" w:eastAsia="es-CO"/>
              </w:rPr>
              <w:t xml:space="preserve">Nacionalidad </w:t>
            </w:r>
          </w:p>
          <w:p w14:paraId="3609D305" w14:textId="77777777" w:rsidR="000B2968" w:rsidRPr="007B7D30" w:rsidRDefault="000B2968" w:rsidP="00DB3DB9">
            <w:pPr>
              <w:jc w:val="center"/>
              <w:rPr>
                <w:rFonts w:ascii="Cambria" w:eastAsia="Times New Roman" w:hAnsi="Cambria" w:cs="Arial"/>
                <w:b/>
                <w:bCs/>
                <w:color w:val="FFFFFF"/>
                <w:sz w:val="20"/>
                <w:szCs w:val="20"/>
                <w:lang w:val="es-ES_tradnl" w:eastAsia="es-CO"/>
              </w:rPr>
            </w:pPr>
            <w:r w:rsidRPr="007B7D30">
              <w:rPr>
                <w:rFonts w:ascii="Cambria" w:eastAsia="Times New Roman" w:hAnsi="Cambria" w:cs="Arial"/>
                <w:b/>
                <w:bCs/>
                <w:color w:val="FFFFFF"/>
                <w:sz w:val="20"/>
                <w:szCs w:val="20"/>
                <w:lang w:val="es-ES_tradnl" w:eastAsia="es-CO"/>
              </w:rPr>
              <w:t>Actual</w:t>
            </w:r>
          </w:p>
        </w:tc>
      </w:tr>
      <w:tr w:rsidR="000B2968" w:rsidRPr="007B7D30" w14:paraId="5D002AD7" w14:textId="77777777" w:rsidTr="00DB3DB9">
        <w:trPr>
          <w:trHeight w:val="306"/>
          <w:jc w:val="center"/>
        </w:trPr>
        <w:tc>
          <w:tcPr>
            <w:tcW w:w="1411" w:type="dxa"/>
            <w:tcBorders>
              <w:top w:val="nil"/>
              <w:left w:val="nil"/>
              <w:bottom w:val="nil"/>
              <w:right w:val="nil"/>
            </w:tcBorders>
            <w:shd w:val="clear" w:color="auto" w:fill="auto"/>
            <w:noWrap/>
            <w:vAlign w:val="center"/>
          </w:tcPr>
          <w:p w14:paraId="0EC604A8"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Staff</w:t>
            </w:r>
          </w:p>
        </w:tc>
        <w:tc>
          <w:tcPr>
            <w:tcW w:w="3261" w:type="dxa"/>
            <w:tcBorders>
              <w:top w:val="nil"/>
              <w:left w:val="nil"/>
              <w:bottom w:val="nil"/>
              <w:right w:val="nil"/>
            </w:tcBorders>
            <w:shd w:val="clear" w:color="auto" w:fill="auto"/>
            <w:noWrap/>
            <w:vAlign w:val="center"/>
          </w:tcPr>
          <w:p w14:paraId="5DAD51CF"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Antigua and Barbuda</w:t>
            </w:r>
          </w:p>
        </w:tc>
        <w:tc>
          <w:tcPr>
            <w:tcW w:w="2460" w:type="dxa"/>
            <w:tcBorders>
              <w:top w:val="nil"/>
              <w:left w:val="nil"/>
              <w:bottom w:val="nil"/>
              <w:right w:val="nil"/>
            </w:tcBorders>
            <w:shd w:val="clear" w:color="auto" w:fill="auto"/>
            <w:noWrap/>
          </w:tcPr>
          <w:p w14:paraId="5D28558D"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c>
          <w:tcPr>
            <w:tcW w:w="2858" w:type="dxa"/>
            <w:tcBorders>
              <w:top w:val="nil"/>
              <w:left w:val="nil"/>
              <w:bottom w:val="nil"/>
              <w:right w:val="nil"/>
            </w:tcBorders>
            <w:shd w:val="clear" w:color="auto" w:fill="auto"/>
            <w:noWrap/>
          </w:tcPr>
          <w:p w14:paraId="6F66FCE1"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r>
      <w:tr w:rsidR="000B2968" w:rsidRPr="007B7D30" w14:paraId="497C4976" w14:textId="77777777" w:rsidTr="00DB3DB9">
        <w:trPr>
          <w:trHeight w:val="315"/>
          <w:jc w:val="center"/>
        </w:trPr>
        <w:tc>
          <w:tcPr>
            <w:tcW w:w="1411" w:type="dxa"/>
            <w:tcBorders>
              <w:top w:val="nil"/>
              <w:left w:val="nil"/>
              <w:bottom w:val="nil"/>
              <w:right w:val="nil"/>
            </w:tcBorders>
            <w:shd w:val="clear" w:color="000000" w:fill="D0DBF0"/>
            <w:noWrap/>
            <w:vAlign w:val="center"/>
            <w:hideMark/>
          </w:tcPr>
          <w:p w14:paraId="6A78518B" w14:textId="77777777" w:rsidR="000B2968" w:rsidRPr="007B7D30" w:rsidRDefault="000B2968" w:rsidP="00DB3DB9">
            <w:pP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000000" w:fill="D0DBF0"/>
            <w:noWrap/>
            <w:vAlign w:val="center"/>
            <w:hideMark/>
          </w:tcPr>
          <w:p w14:paraId="24DD40BA"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Argentina</w:t>
            </w:r>
          </w:p>
        </w:tc>
        <w:tc>
          <w:tcPr>
            <w:tcW w:w="2460" w:type="dxa"/>
            <w:tcBorders>
              <w:top w:val="nil"/>
              <w:left w:val="nil"/>
              <w:bottom w:val="nil"/>
              <w:right w:val="nil"/>
            </w:tcBorders>
            <w:shd w:val="clear" w:color="000000" w:fill="D0DBF0"/>
            <w:noWrap/>
            <w:hideMark/>
          </w:tcPr>
          <w:p w14:paraId="5708E361" w14:textId="0389F102" w:rsidR="000B2968" w:rsidRPr="007B7D30" w:rsidRDefault="002865BF"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6</w:t>
            </w:r>
          </w:p>
        </w:tc>
        <w:tc>
          <w:tcPr>
            <w:tcW w:w="2858" w:type="dxa"/>
            <w:tcBorders>
              <w:top w:val="nil"/>
              <w:left w:val="nil"/>
              <w:bottom w:val="nil"/>
              <w:right w:val="nil"/>
            </w:tcBorders>
            <w:shd w:val="clear" w:color="000000" w:fill="D0DBF0"/>
            <w:noWrap/>
            <w:hideMark/>
          </w:tcPr>
          <w:p w14:paraId="0B07E8D7" w14:textId="5DEF94FE" w:rsidR="000B2968" w:rsidRPr="007B7D30" w:rsidRDefault="002865BF"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5</w:t>
            </w:r>
          </w:p>
        </w:tc>
      </w:tr>
      <w:tr w:rsidR="000B2968" w:rsidRPr="007B7D30" w14:paraId="142372A1" w14:textId="77777777" w:rsidTr="00DB3DB9">
        <w:trPr>
          <w:trHeight w:val="247"/>
          <w:jc w:val="center"/>
        </w:trPr>
        <w:tc>
          <w:tcPr>
            <w:tcW w:w="1411" w:type="dxa"/>
            <w:tcBorders>
              <w:top w:val="nil"/>
              <w:left w:val="nil"/>
              <w:bottom w:val="nil"/>
              <w:right w:val="nil"/>
            </w:tcBorders>
            <w:shd w:val="clear" w:color="auto" w:fill="auto"/>
            <w:noWrap/>
            <w:vAlign w:val="center"/>
            <w:hideMark/>
          </w:tcPr>
          <w:p w14:paraId="401B070A"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67E9D5EF"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Barbados</w:t>
            </w:r>
          </w:p>
        </w:tc>
        <w:tc>
          <w:tcPr>
            <w:tcW w:w="2460" w:type="dxa"/>
            <w:tcBorders>
              <w:top w:val="nil"/>
              <w:left w:val="nil"/>
              <w:bottom w:val="nil"/>
              <w:right w:val="nil"/>
            </w:tcBorders>
            <w:shd w:val="clear" w:color="auto" w:fill="auto"/>
            <w:noWrap/>
            <w:hideMark/>
          </w:tcPr>
          <w:p w14:paraId="10C120B9"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c>
          <w:tcPr>
            <w:tcW w:w="2858" w:type="dxa"/>
            <w:tcBorders>
              <w:top w:val="nil"/>
              <w:left w:val="nil"/>
              <w:bottom w:val="nil"/>
              <w:right w:val="nil"/>
            </w:tcBorders>
            <w:shd w:val="clear" w:color="auto" w:fill="auto"/>
            <w:noWrap/>
            <w:hideMark/>
          </w:tcPr>
          <w:p w14:paraId="5C110616"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r>
      <w:tr w:rsidR="000B2968" w:rsidRPr="007B7D30" w14:paraId="3F97479D" w14:textId="77777777" w:rsidTr="00DB3DB9">
        <w:trPr>
          <w:trHeight w:val="255"/>
          <w:jc w:val="center"/>
        </w:trPr>
        <w:tc>
          <w:tcPr>
            <w:tcW w:w="1411" w:type="dxa"/>
            <w:tcBorders>
              <w:top w:val="nil"/>
              <w:left w:val="nil"/>
              <w:bottom w:val="nil"/>
              <w:right w:val="nil"/>
            </w:tcBorders>
            <w:shd w:val="clear" w:color="000000" w:fill="D0DBF0"/>
            <w:noWrap/>
            <w:vAlign w:val="center"/>
            <w:hideMark/>
          </w:tcPr>
          <w:p w14:paraId="2EF14EE6"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7A6CA12C"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Bolivia</w:t>
            </w:r>
          </w:p>
        </w:tc>
        <w:tc>
          <w:tcPr>
            <w:tcW w:w="2460" w:type="dxa"/>
            <w:tcBorders>
              <w:top w:val="nil"/>
              <w:left w:val="nil"/>
              <w:bottom w:val="nil"/>
              <w:right w:val="nil"/>
            </w:tcBorders>
            <w:shd w:val="clear" w:color="000000" w:fill="D0DBF0"/>
            <w:noWrap/>
            <w:hideMark/>
          </w:tcPr>
          <w:p w14:paraId="34700A19"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c>
          <w:tcPr>
            <w:tcW w:w="2858" w:type="dxa"/>
            <w:tcBorders>
              <w:top w:val="nil"/>
              <w:left w:val="nil"/>
              <w:bottom w:val="nil"/>
              <w:right w:val="nil"/>
            </w:tcBorders>
            <w:shd w:val="clear" w:color="000000" w:fill="D0DBF0"/>
            <w:noWrap/>
            <w:hideMark/>
          </w:tcPr>
          <w:p w14:paraId="49403753"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0</w:t>
            </w:r>
          </w:p>
        </w:tc>
      </w:tr>
      <w:tr w:rsidR="000B2968" w:rsidRPr="007B7D30" w14:paraId="1BB361D4"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29A3316C"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74ABB879"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Brazil</w:t>
            </w:r>
            <w:proofErr w:type="spellEnd"/>
            <w:r w:rsidRPr="007B7D30">
              <w:rPr>
                <w:rFonts w:ascii="Cambria" w:eastAsia="Times New Roman" w:hAnsi="Cambria" w:cs="Arial"/>
                <w:sz w:val="20"/>
                <w:szCs w:val="20"/>
                <w:lang w:val="es-ES_tradnl" w:eastAsia="es-CO"/>
              </w:rPr>
              <w:t>/Brasil</w:t>
            </w:r>
          </w:p>
        </w:tc>
        <w:tc>
          <w:tcPr>
            <w:tcW w:w="2460" w:type="dxa"/>
            <w:tcBorders>
              <w:top w:val="nil"/>
              <w:left w:val="nil"/>
              <w:bottom w:val="nil"/>
              <w:right w:val="nil"/>
            </w:tcBorders>
            <w:shd w:val="clear" w:color="auto" w:fill="auto"/>
            <w:noWrap/>
            <w:hideMark/>
          </w:tcPr>
          <w:p w14:paraId="7AD0FBA8" w14:textId="4B33C81D" w:rsidR="000B2968" w:rsidRPr="007B7D30" w:rsidRDefault="002865BF"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9</w:t>
            </w:r>
          </w:p>
        </w:tc>
        <w:tc>
          <w:tcPr>
            <w:tcW w:w="2858" w:type="dxa"/>
            <w:tcBorders>
              <w:top w:val="nil"/>
              <w:left w:val="nil"/>
              <w:bottom w:val="nil"/>
              <w:right w:val="nil"/>
            </w:tcBorders>
            <w:shd w:val="clear" w:color="auto" w:fill="auto"/>
            <w:noWrap/>
            <w:hideMark/>
          </w:tcPr>
          <w:p w14:paraId="3E53460E" w14:textId="1C90D355" w:rsidR="000B2968" w:rsidRPr="007B7D30" w:rsidRDefault="002865BF"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8</w:t>
            </w:r>
          </w:p>
        </w:tc>
      </w:tr>
      <w:tr w:rsidR="000B2968" w:rsidRPr="007B7D30" w14:paraId="307BDF4B" w14:textId="77777777" w:rsidTr="00DB3DB9">
        <w:trPr>
          <w:trHeight w:val="255"/>
          <w:jc w:val="center"/>
        </w:trPr>
        <w:tc>
          <w:tcPr>
            <w:tcW w:w="1411" w:type="dxa"/>
            <w:tcBorders>
              <w:top w:val="nil"/>
              <w:left w:val="nil"/>
              <w:bottom w:val="nil"/>
              <w:right w:val="nil"/>
            </w:tcBorders>
            <w:shd w:val="clear" w:color="000000" w:fill="D0DBF0"/>
            <w:noWrap/>
            <w:vAlign w:val="center"/>
            <w:hideMark/>
          </w:tcPr>
          <w:p w14:paraId="4BBCB438"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215A96A5"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Chile</w:t>
            </w:r>
          </w:p>
        </w:tc>
        <w:tc>
          <w:tcPr>
            <w:tcW w:w="2460" w:type="dxa"/>
            <w:tcBorders>
              <w:top w:val="nil"/>
              <w:left w:val="nil"/>
              <w:bottom w:val="nil"/>
              <w:right w:val="nil"/>
            </w:tcBorders>
            <w:shd w:val="clear" w:color="000000" w:fill="D0DBF0"/>
            <w:noWrap/>
            <w:hideMark/>
          </w:tcPr>
          <w:p w14:paraId="2B520AA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3</w:t>
            </w:r>
          </w:p>
        </w:tc>
        <w:tc>
          <w:tcPr>
            <w:tcW w:w="2858" w:type="dxa"/>
            <w:tcBorders>
              <w:top w:val="nil"/>
              <w:left w:val="nil"/>
              <w:bottom w:val="nil"/>
              <w:right w:val="nil"/>
            </w:tcBorders>
            <w:shd w:val="clear" w:color="000000" w:fill="D0DBF0"/>
            <w:noWrap/>
            <w:hideMark/>
          </w:tcPr>
          <w:p w14:paraId="056FE39E"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3</w:t>
            </w:r>
          </w:p>
        </w:tc>
      </w:tr>
      <w:tr w:rsidR="000B2968" w:rsidRPr="007B7D30" w14:paraId="4C5A0EFD"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1B32113F"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6ACC5EEC"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Colombia</w:t>
            </w:r>
          </w:p>
        </w:tc>
        <w:tc>
          <w:tcPr>
            <w:tcW w:w="2460" w:type="dxa"/>
            <w:tcBorders>
              <w:top w:val="nil"/>
              <w:left w:val="nil"/>
              <w:bottom w:val="nil"/>
              <w:right w:val="nil"/>
            </w:tcBorders>
            <w:shd w:val="clear" w:color="auto" w:fill="auto"/>
            <w:noWrap/>
            <w:hideMark/>
          </w:tcPr>
          <w:p w14:paraId="3D62770D" w14:textId="7B0832B3" w:rsidR="000B2968" w:rsidRPr="007B7D30" w:rsidRDefault="002865BF"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8</w:t>
            </w:r>
          </w:p>
        </w:tc>
        <w:tc>
          <w:tcPr>
            <w:tcW w:w="2858" w:type="dxa"/>
            <w:tcBorders>
              <w:top w:val="nil"/>
              <w:left w:val="nil"/>
              <w:bottom w:val="nil"/>
              <w:right w:val="nil"/>
            </w:tcBorders>
            <w:shd w:val="clear" w:color="auto" w:fill="auto"/>
            <w:noWrap/>
            <w:hideMark/>
          </w:tcPr>
          <w:p w14:paraId="057DF62F" w14:textId="048E0088" w:rsidR="000B2968" w:rsidRPr="007B7D30" w:rsidRDefault="002865BF"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6</w:t>
            </w:r>
          </w:p>
        </w:tc>
      </w:tr>
      <w:tr w:rsidR="000B2968" w:rsidRPr="007B7D30" w14:paraId="3E48A179" w14:textId="77777777" w:rsidTr="00DB3DB9">
        <w:trPr>
          <w:trHeight w:val="255"/>
          <w:jc w:val="center"/>
        </w:trPr>
        <w:tc>
          <w:tcPr>
            <w:tcW w:w="1411" w:type="dxa"/>
            <w:tcBorders>
              <w:top w:val="nil"/>
              <w:left w:val="nil"/>
              <w:bottom w:val="nil"/>
              <w:right w:val="nil"/>
            </w:tcBorders>
            <w:shd w:val="clear" w:color="auto" w:fill="D9E2F3" w:themeFill="accent1" w:themeFillTint="33"/>
            <w:noWrap/>
            <w:vAlign w:val="center"/>
          </w:tcPr>
          <w:p w14:paraId="35FDD64E"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9E2F3" w:themeFill="accent1" w:themeFillTint="33"/>
            <w:noWrap/>
            <w:vAlign w:val="center"/>
          </w:tcPr>
          <w:p w14:paraId="6613325E"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El Salvador</w:t>
            </w:r>
          </w:p>
        </w:tc>
        <w:tc>
          <w:tcPr>
            <w:tcW w:w="2460" w:type="dxa"/>
            <w:tcBorders>
              <w:top w:val="nil"/>
              <w:left w:val="nil"/>
              <w:bottom w:val="nil"/>
              <w:right w:val="nil"/>
            </w:tcBorders>
            <w:shd w:val="clear" w:color="auto" w:fill="D9E2F3" w:themeFill="accent1" w:themeFillTint="33"/>
            <w:noWrap/>
          </w:tcPr>
          <w:p w14:paraId="09803DA8"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c>
          <w:tcPr>
            <w:tcW w:w="2858" w:type="dxa"/>
            <w:tcBorders>
              <w:top w:val="nil"/>
              <w:left w:val="nil"/>
              <w:bottom w:val="nil"/>
              <w:right w:val="nil"/>
            </w:tcBorders>
            <w:shd w:val="clear" w:color="auto" w:fill="D9E2F3" w:themeFill="accent1" w:themeFillTint="33"/>
            <w:noWrap/>
          </w:tcPr>
          <w:p w14:paraId="17CA1307"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r>
      <w:tr w:rsidR="000B2968" w:rsidRPr="007B7D30" w14:paraId="3E1CE98F"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03678610"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noWrap/>
            <w:vAlign w:val="center"/>
            <w:hideMark/>
          </w:tcPr>
          <w:p w14:paraId="358EC4E4"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Guatemala</w:t>
            </w:r>
          </w:p>
        </w:tc>
        <w:tc>
          <w:tcPr>
            <w:tcW w:w="2460" w:type="dxa"/>
            <w:tcBorders>
              <w:top w:val="nil"/>
              <w:left w:val="nil"/>
              <w:bottom w:val="nil"/>
              <w:right w:val="nil"/>
            </w:tcBorders>
            <w:shd w:val="clear" w:color="auto" w:fill="auto"/>
            <w:noWrap/>
            <w:vAlign w:val="bottom"/>
          </w:tcPr>
          <w:p w14:paraId="412437B1"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1</w:t>
            </w:r>
          </w:p>
        </w:tc>
        <w:tc>
          <w:tcPr>
            <w:tcW w:w="2858" w:type="dxa"/>
            <w:tcBorders>
              <w:top w:val="nil"/>
              <w:left w:val="nil"/>
              <w:bottom w:val="nil"/>
              <w:right w:val="nil"/>
            </w:tcBorders>
            <w:shd w:val="clear" w:color="auto" w:fill="auto"/>
            <w:noWrap/>
            <w:vAlign w:val="bottom"/>
          </w:tcPr>
          <w:p w14:paraId="25796B7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1</w:t>
            </w:r>
          </w:p>
        </w:tc>
      </w:tr>
      <w:tr w:rsidR="000B2968" w:rsidRPr="007B7D30" w14:paraId="24A98416"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7638DC4D"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hideMark/>
          </w:tcPr>
          <w:p w14:paraId="7E686F81"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Mexico</w:t>
            </w:r>
            <w:proofErr w:type="spellEnd"/>
            <w:r w:rsidRPr="007B7D30">
              <w:rPr>
                <w:rFonts w:ascii="Cambria" w:eastAsia="Times New Roman" w:hAnsi="Cambria" w:cs="Arial"/>
                <w:sz w:val="20"/>
                <w:szCs w:val="20"/>
                <w:lang w:val="es-ES_tradnl" w:eastAsia="es-CO"/>
              </w:rPr>
              <w:t>/México</w:t>
            </w:r>
          </w:p>
        </w:tc>
        <w:tc>
          <w:tcPr>
            <w:tcW w:w="2460" w:type="dxa"/>
            <w:tcBorders>
              <w:top w:val="nil"/>
              <w:left w:val="nil"/>
              <w:bottom w:val="nil"/>
              <w:right w:val="nil"/>
            </w:tcBorders>
            <w:shd w:val="clear" w:color="auto" w:fill="DEEAF6" w:themeFill="accent5" w:themeFillTint="33"/>
            <w:noWrap/>
            <w:vAlign w:val="bottom"/>
            <w:hideMark/>
          </w:tcPr>
          <w:p w14:paraId="078A99AF"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4</w:t>
            </w:r>
          </w:p>
        </w:tc>
        <w:tc>
          <w:tcPr>
            <w:tcW w:w="2858" w:type="dxa"/>
            <w:tcBorders>
              <w:top w:val="nil"/>
              <w:left w:val="nil"/>
              <w:bottom w:val="nil"/>
              <w:right w:val="nil"/>
            </w:tcBorders>
            <w:shd w:val="clear" w:color="auto" w:fill="DEEAF6" w:themeFill="accent5" w:themeFillTint="33"/>
            <w:noWrap/>
            <w:vAlign w:val="bottom"/>
            <w:hideMark/>
          </w:tcPr>
          <w:p w14:paraId="6B367EC0"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4</w:t>
            </w:r>
          </w:p>
        </w:tc>
      </w:tr>
      <w:tr w:rsidR="000B2968" w:rsidRPr="007B7D30" w14:paraId="4041F375"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163D0F0B"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noWrap/>
            <w:vAlign w:val="center"/>
            <w:hideMark/>
          </w:tcPr>
          <w:p w14:paraId="3F76E4AD"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Panama</w:t>
            </w:r>
            <w:proofErr w:type="spellEnd"/>
            <w:r w:rsidRPr="007B7D30">
              <w:rPr>
                <w:rFonts w:ascii="Cambria" w:eastAsia="Times New Roman" w:hAnsi="Cambria" w:cs="Arial"/>
                <w:sz w:val="20"/>
                <w:szCs w:val="20"/>
                <w:lang w:val="es-ES_tradnl" w:eastAsia="es-CO"/>
              </w:rPr>
              <w:t>/Panamá</w:t>
            </w:r>
          </w:p>
        </w:tc>
        <w:tc>
          <w:tcPr>
            <w:tcW w:w="2460" w:type="dxa"/>
            <w:tcBorders>
              <w:top w:val="nil"/>
              <w:left w:val="nil"/>
              <w:bottom w:val="nil"/>
              <w:right w:val="nil"/>
            </w:tcBorders>
            <w:shd w:val="clear" w:color="auto" w:fill="auto"/>
            <w:noWrap/>
            <w:vAlign w:val="bottom"/>
            <w:hideMark/>
          </w:tcPr>
          <w:p w14:paraId="4F2F85DB"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1</w:t>
            </w:r>
          </w:p>
        </w:tc>
        <w:tc>
          <w:tcPr>
            <w:tcW w:w="2858" w:type="dxa"/>
            <w:tcBorders>
              <w:top w:val="nil"/>
              <w:left w:val="nil"/>
              <w:bottom w:val="nil"/>
              <w:right w:val="nil"/>
            </w:tcBorders>
            <w:shd w:val="clear" w:color="auto" w:fill="auto"/>
            <w:noWrap/>
            <w:vAlign w:val="bottom"/>
            <w:hideMark/>
          </w:tcPr>
          <w:p w14:paraId="6D2F078F"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0</w:t>
            </w:r>
          </w:p>
        </w:tc>
      </w:tr>
      <w:tr w:rsidR="000B2968" w:rsidRPr="007B7D30" w14:paraId="152F3C98"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3D25A8BE"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hideMark/>
          </w:tcPr>
          <w:p w14:paraId="68C767AC"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Paraguay</w:t>
            </w:r>
          </w:p>
        </w:tc>
        <w:tc>
          <w:tcPr>
            <w:tcW w:w="2460" w:type="dxa"/>
            <w:tcBorders>
              <w:top w:val="nil"/>
              <w:left w:val="nil"/>
              <w:bottom w:val="nil"/>
              <w:right w:val="nil"/>
            </w:tcBorders>
            <w:shd w:val="clear" w:color="auto" w:fill="DEEAF6" w:themeFill="accent5" w:themeFillTint="33"/>
            <w:noWrap/>
            <w:vAlign w:val="bottom"/>
            <w:hideMark/>
          </w:tcPr>
          <w:p w14:paraId="44E12BD8"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2</w:t>
            </w:r>
          </w:p>
        </w:tc>
        <w:tc>
          <w:tcPr>
            <w:tcW w:w="2858" w:type="dxa"/>
            <w:tcBorders>
              <w:top w:val="nil"/>
              <w:left w:val="nil"/>
              <w:bottom w:val="nil"/>
              <w:right w:val="nil"/>
            </w:tcBorders>
            <w:shd w:val="clear" w:color="auto" w:fill="DEEAF6" w:themeFill="accent5" w:themeFillTint="33"/>
            <w:noWrap/>
            <w:vAlign w:val="bottom"/>
            <w:hideMark/>
          </w:tcPr>
          <w:p w14:paraId="0D5BC8B3"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2</w:t>
            </w:r>
          </w:p>
        </w:tc>
      </w:tr>
      <w:tr w:rsidR="000B2968" w:rsidRPr="007B7D30" w14:paraId="27F7EF3B"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50344439"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noWrap/>
            <w:vAlign w:val="center"/>
            <w:hideMark/>
          </w:tcPr>
          <w:p w14:paraId="002A109C"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Peru</w:t>
            </w:r>
            <w:proofErr w:type="spellEnd"/>
            <w:r w:rsidRPr="007B7D30">
              <w:rPr>
                <w:rFonts w:ascii="Cambria" w:eastAsia="Times New Roman" w:hAnsi="Cambria" w:cs="Arial"/>
                <w:sz w:val="20"/>
                <w:szCs w:val="20"/>
                <w:lang w:val="es-ES_tradnl" w:eastAsia="es-CO"/>
              </w:rPr>
              <w:t>/Perú</w:t>
            </w:r>
          </w:p>
        </w:tc>
        <w:tc>
          <w:tcPr>
            <w:tcW w:w="2460" w:type="dxa"/>
            <w:tcBorders>
              <w:top w:val="nil"/>
              <w:left w:val="nil"/>
              <w:bottom w:val="nil"/>
              <w:right w:val="nil"/>
            </w:tcBorders>
            <w:shd w:val="clear" w:color="auto" w:fill="auto"/>
            <w:noWrap/>
            <w:vAlign w:val="bottom"/>
            <w:hideMark/>
          </w:tcPr>
          <w:p w14:paraId="68CBD23D" w14:textId="56B70C7D" w:rsidR="000B2968" w:rsidRPr="007B7D30" w:rsidRDefault="002F2D3A"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8</w:t>
            </w:r>
          </w:p>
        </w:tc>
        <w:tc>
          <w:tcPr>
            <w:tcW w:w="2858" w:type="dxa"/>
            <w:tcBorders>
              <w:top w:val="nil"/>
              <w:left w:val="nil"/>
              <w:bottom w:val="nil"/>
              <w:right w:val="nil"/>
            </w:tcBorders>
            <w:shd w:val="clear" w:color="auto" w:fill="auto"/>
            <w:noWrap/>
            <w:vAlign w:val="bottom"/>
            <w:hideMark/>
          </w:tcPr>
          <w:p w14:paraId="6E4D5662" w14:textId="47670242" w:rsidR="000B2968" w:rsidRPr="007B7D30" w:rsidRDefault="002F2D3A" w:rsidP="00DB3DB9">
            <w:pPr>
              <w:ind w:firstLine="42"/>
              <w:jc w:val="center"/>
              <w:rPr>
                <w:rFonts w:ascii="Cambria" w:eastAsia="Times New Roman" w:hAnsi="Cambria" w:cs="Arial"/>
                <w:sz w:val="20"/>
                <w:szCs w:val="20"/>
                <w:lang w:val="es-ES_tradnl" w:eastAsia="es-CO"/>
              </w:rPr>
            </w:pPr>
            <w:r w:rsidRPr="007B7D30">
              <w:rPr>
                <w:rFonts w:ascii="Cambria" w:hAnsi="Cambria" w:cs="Calibri"/>
                <w:color w:val="000000"/>
                <w:sz w:val="20"/>
                <w:szCs w:val="20"/>
              </w:rPr>
              <w:t>5</w:t>
            </w:r>
          </w:p>
        </w:tc>
      </w:tr>
      <w:tr w:rsidR="000B2968" w:rsidRPr="007B7D30" w14:paraId="29EFDE75"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6DA16733"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hideMark/>
          </w:tcPr>
          <w:p w14:paraId="6400F547"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Uruguay</w:t>
            </w:r>
          </w:p>
        </w:tc>
        <w:tc>
          <w:tcPr>
            <w:tcW w:w="2460" w:type="dxa"/>
            <w:tcBorders>
              <w:top w:val="nil"/>
              <w:left w:val="nil"/>
              <w:bottom w:val="nil"/>
              <w:right w:val="nil"/>
            </w:tcBorders>
            <w:shd w:val="clear" w:color="auto" w:fill="DEEAF6" w:themeFill="accent5" w:themeFillTint="33"/>
            <w:noWrap/>
            <w:hideMark/>
          </w:tcPr>
          <w:p w14:paraId="13CE9869"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3</w:t>
            </w:r>
          </w:p>
        </w:tc>
        <w:tc>
          <w:tcPr>
            <w:tcW w:w="2858" w:type="dxa"/>
            <w:tcBorders>
              <w:top w:val="nil"/>
              <w:left w:val="nil"/>
              <w:bottom w:val="nil"/>
              <w:right w:val="nil"/>
            </w:tcBorders>
            <w:shd w:val="clear" w:color="auto" w:fill="DEEAF6" w:themeFill="accent5" w:themeFillTint="33"/>
            <w:noWrap/>
            <w:hideMark/>
          </w:tcPr>
          <w:p w14:paraId="77B9B208"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3</w:t>
            </w:r>
          </w:p>
        </w:tc>
      </w:tr>
      <w:tr w:rsidR="000B2968" w:rsidRPr="007B7D30" w14:paraId="59A5C39C"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72360A97" w14:textId="77777777" w:rsidR="000B2968" w:rsidRPr="007B7D30" w:rsidRDefault="000B2968" w:rsidP="00DB3DB9">
            <w:pPr>
              <w:jc w:val="cente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1E4125C3"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United</w:t>
            </w:r>
            <w:proofErr w:type="spellEnd"/>
            <w:r w:rsidRPr="007B7D30">
              <w:rPr>
                <w:rFonts w:ascii="Cambria" w:eastAsia="Times New Roman" w:hAnsi="Cambria" w:cs="Arial"/>
                <w:sz w:val="20"/>
                <w:szCs w:val="20"/>
                <w:lang w:val="es-ES_tradnl" w:eastAsia="es-CO"/>
              </w:rPr>
              <w:t xml:space="preserve"> </w:t>
            </w:r>
            <w:proofErr w:type="spellStart"/>
            <w:r w:rsidRPr="007B7D30">
              <w:rPr>
                <w:rFonts w:ascii="Cambria" w:eastAsia="Times New Roman" w:hAnsi="Cambria" w:cs="Arial"/>
                <w:sz w:val="20"/>
                <w:szCs w:val="20"/>
                <w:lang w:val="es-ES_tradnl" w:eastAsia="es-CO"/>
              </w:rPr>
              <w:t>States</w:t>
            </w:r>
            <w:proofErr w:type="spellEnd"/>
            <w:r w:rsidRPr="007B7D30">
              <w:rPr>
                <w:rFonts w:ascii="Cambria" w:eastAsia="Times New Roman" w:hAnsi="Cambria" w:cs="Arial"/>
                <w:sz w:val="20"/>
                <w:szCs w:val="20"/>
                <w:lang w:val="es-ES_tradnl" w:eastAsia="es-CO"/>
              </w:rPr>
              <w:t xml:space="preserve"> / Estados Unidos</w:t>
            </w:r>
          </w:p>
        </w:tc>
        <w:tc>
          <w:tcPr>
            <w:tcW w:w="2460" w:type="dxa"/>
            <w:tcBorders>
              <w:top w:val="nil"/>
              <w:left w:val="nil"/>
              <w:bottom w:val="nil"/>
              <w:right w:val="nil"/>
            </w:tcBorders>
            <w:shd w:val="clear" w:color="auto" w:fill="auto"/>
            <w:noWrap/>
            <w:hideMark/>
          </w:tcPr>
          <w:p w14:paraId="44527AB0"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12</w:t>
            </w:r>
          </w:p>
        </w:tc>
        <w:tc>
          <w:tcPr>
            <w:tcW w:w="2858" w:type="dxa"/>
            <w:tcBorders>
              <w:top w:val="nil"/>
              <w:left w:val="nil"/>
              <w:bottom w:val="nil"/>
              <w:right w:val="nil"/>
            </w:tcBorders>
            <w:shd w:val="clear" w:color="auto" w:fill="auto"/>
            <w:noWrap/>
            <w:hideMark/>
          </w:tcPr>
          <w:p w14:paraId="2B398B67"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22</w:t>
            </w:r>
          </w:p>
        </w:tc>
      </w:tr>
      <w:tr w:rsidR="000B2968" w:rsidRPr="007B7D30" w14:paraId="70FE9DFB"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474E25AB"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hideMark/>
          </w:tcPr>
          <w:p w14:paraId="1C07DD7A"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Venezuela</w:t>
            </w:r>
          </w:p>
        </w:tc>
        <w:tc>
          <w:tcPr>
            <w:tcW w:w="2460" w:type="dxa"/>
            <w:tcBorders>
              <w:top w:val="nil"/>
              <w:left w:val="nil"/>
              <w:bottom w:val="nil"/>
              <w:right w:val="nil"/>
            </w:tcBorders>
            <w:shd w:val="clear" w:color="auto" w:fill="DEEAF6" w:themeFill="accent5" w:themeFillTint="33"/>
            <w:noWrap/>
            <w:hideMark/>
          </w:tcPr>
          <w:p w14:paraId="74C84851"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2</w:t>
            </w:r>
          </w:p>
        </w:tc>
        <w:tc>
          <w:tcPr>
            <w:tcW w:w="2858" w:type="dxa"/>
            <w:tcBorders>
              <w:top w:val="nil"/>
              <w:left w:val="nil"/>
              <w:bottom w:val="nil"/>
              <w:right w:val="nil"/>
            </w:tcBorders>
            <w:shd w:val="clear" w:color="auto" w:fill="DEEAF6" w:themeFill="accent5" w:themeFillTint="33"/>
            <w:noWrap/>
            <w:hideMark/>
          </w:tcPr>
          <w:p w14:paraId="428B31B4"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sz w:val="20"/>
                <w:szCs w:val="20"/>
              </w:rPr>
              <w:t>1</w:t>
            </w:r>
          </w:p>
        </w:tc>
      </w:tr>
      <w:tr w:rsidR="000B2968" w:rsidRPr="007B7D30" w14:paraId="4C263253" w14:textId="77777777" w:rsidTr="00DB3DB9">
        <w:trPr>
          <w:trHeight w:val="255"/>
          <w:jc w:val="center"/>
        </w:trPr>
        <w:tc>
          <w:tcPr>
            <w:tcW w:w="1411" w:type="dxa"/>
            <w:tcBorders>
              <w:top w:val="nil"/>
              <w:left w:val="nil"/>
              <w:bottom w:val="nil"/>
              <w:right w:val="nil"/>
            </w:tcBorders>
            <w:shd w:val="clear" w:color="000000" w:fill="8EAADB"/>
            <w:noWrap/>
            <w:vAlign w:val="center"/>
            <w:hideMark/>
          </w:tcPr>
          <w:p w14:paraId="72FF8CFC"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Staff Total</w:t>
            </w:r>
          </w:p>
        </w:tc>
        <w:tc>
          <w:tcPr>
            <w:tcW w:w="3261" w:type="dxa"/>
            <w:tcBorders>
              <w:top w:val="nil"/>
              <w:left w:val="nil"/>
              <w:bottom w:val="nil"/>
              <w:right w:val="nil"/>
            </w:tcBorders>
            <w:shd w:val="clear" w:color="000000" w:fill="8EAADB"/>
            <w:noWrap/>
            <w:vAlign w:val="center"/>
            <w:hideMark/>
          </w:tcPr>
          <w:p w14:paraId="50D0817A" w14:textId="77777777" w:rsidR="000B2968" w:rsidRPr="007B7D30" w:rsidRDefault="000B2968" w:rsidP="00DB3DB9">
            <w:pPr>
              <w:ind w:left="92" w:hanging="20"/>
              <w:jc w:val="right"/>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2460" w:type="dxa"/>
            <w:tcBorders>
              <w:top w:val="nil"/>
              <w:left w:val="nil"/>
              <w:bottom w:val="nil"/>
              <w:right w:val="nil"/>
            </w:tcBorders>
            <w:shd w:val="clear" w:color="000000" w:fill="8EAADB"/>
            <w:noWrap/>
            <w:hideMark/>
          </w:tcPr>
          <w:p w14:paraId="6A040EBE" w14:textId="55CE7890" w:rsidR="000B2968" w:rsidRPr="007B7D30" w:rsidRDefault="002F2D3A" w:rsidP="00DB3DB9">
            <w:pPr>
              <w:ind w:firstLine="42"/>
              <w:jc w:val="center"/>
              <w:rPr>
                <w:rFonts w:ascii="Cambria" w:eastAsia="Times New Roman" w:hAnsi="Cambria" w:cs="Arial"/>
                <w:b/>
                <w:bCs/>
                <w:sz w:val="20"/>
                <w:szCs w:val="20"/>
                <w:lang w:val="es-ES_tradnl" w:eastAsia="es-CO"/>
              </w:rPr>
            </w:pPr>
            <w:r w:rsidRPr="007B7D30">
              <w:rPr>
                <w:rFonts w:ascii="Cambria" w:hAnsi="Cambria"/>
                <w:b/>
                <w:bCs/>
                <w:sz w:val="20"/>
                <w:szCs w:val="20"/>
              </w:rPr>
              <w:t>63</w:t>
            </w:r>
          </w:p>
        </w:tc>
        <w:tc>
          <w:tcPr>
            <w:tcW w:w="2858" w:type="dxa"/>
            <w:tcBorders>
              <w:top w:val="nil"/>
              <w:left w:val="nil"/>
              <w:bottom w:val="nil"/>
              <w:right w:val="nil"/>
            </w:tcBorders>
            <w:shd w:val="clear" w:color="000000" w:fill="8EAADB"/>
            <w:noWrap/>
            <w:hideMark/>
          </w:tcPr>
          <w:p w14:paraId="38B67EAB" w14:textId="6CF41D4D" w:rsidR="000B2968" w:rsidRPr="007B7D30" w:rsidRDefault="002F2D3A" w:rsidP="00DB3DB9">
            <w:pPr>
              <w:ind w:firstLine="42"/>
              <w:jc w:val="center"/>
              <w:rPr>
                <w:rFonts w:ascii="Cambria" w:eastAsia="Times New Roman" w:hAnsi="Cambria" w:cs="Arial"/>
                <w:b/>
                <w:bCs/>
                <w:sz w:val="20"/>
                <w:szCs w:val="20"/>
                <w:lang w:val="es-ES_tradnl" w:eastAsia="es-CO"/>
              </w:rPr>
            </w:pPr>
            <w:r w:rsidRPr="007B7D30">
              <w:rPr>
                <w:rFonts w:ascii="Cambria" w:hAnsi="Cambria"/>
                <w:b/>
                <w:bCs/>
                <w:sz w:val="20"/>
                <w:szCs w:val="20"/>
              </w:rPr>
              <w:t>6</w:t>
            </w:r>
            <w:r w:rsidR="002611EE" w:rsidRPr="007B7D30">
              <w:rPr>
                <w:rFonts w:ascii="Cambria" w:hAnsi="Cambria"/>
                <w:b/>
                <w:bCs/>
                <w:sz w:val="20"/>
                <w:szCs w:val="20"/>
              </w:rPr>
              <w:t>3</w:t>
            </w:r>
          </w:p>
        </w:tc>
      </w:tr>
      <w:tr w:rsidR="000B2968" w:rsidRPr="007B7D30" w14:paraId="58878C89" w14:textId="77777777" w:rsidTr="00DB3DB9">
        <w:trPr>
          <w:trHeight w:val="255"/>
          <w:jc w:val="center"/>
        </w:trPr>
        <w:tc>
          <w:tcPr>
            <w:tcW w:w="1411" w:type="dxa"/>
            <w:tcBorders>
              <w:top w:val="nil"/>
              <w:left w:val="nil"/>
              <w:bottom w:val="nil"/>
              <w:right w:val="nil"/>
            </w:tcBorders>
            <w:shd w:val="clear" w:color="000000" w:fill="D0DBF0"/>
            <w:noWrap/>
            <w:vAlign w:val="center"/>
            <w:hideMark/>
          </w:tcPr>
          <w:p w14:paraId="70656993"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CPR</w:t>
            </w:r>
          </w:p>
        </w:tc>
        <w:tc>
          <w:tcPr>
            <w:tcW w:w="3261" w:type="dxa"/>
            <w:tcBorders>
              <w:top w:val="nil"/>
              <w:left w:val="nil"/>
              <w:bottom w:val="nil"/>
              <w:right w:val="nil"/>
            </w:tcBorders>
            <w:shd w:val="clear" w:color="000000" w:fill="D0DBF0"/>
            <w:noWrap/>
            <w:vAlign w:val="center"/>
            <w:hideMark/>
          </w:tcPr>
          <w:p w14:paraId="7D901AEB"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Argentina</w:t>
            </w:r>
          </w:p>
        </w:tc>
        <w:tc>
          <w:tcPr>
            <w:tcW w:w="2460" w:type="dxa"/>
            <w:tcBorders>
              <w:top w:val="nil"/>
              <w:left w:val="nil"/>
              <w:bottom w:val="nil"/>
              <w:right w:val="nil"/>
            </w:tcBorders>
            <w:shd w:val="clear" w:color="000000" w:fill="D0DBF0"/>
            <w:noWrap/>
            <w:vAlign w:val="bottom"/>
            <w:hideMark/>
          </w:tcPr>
          <w:p w14:paraId="1C65A694" w14:textId="6C150FE0" w:rsidR="000B2968" w:rsidRPr="007B7D30" w:rsidRDefault="0038231C"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4</w:t>
            </w:r>
          </w:p>
        </w:tc>
        <w:tc>
          <w:tcPr>
            <w:tcW w:w="2858" w:type="dxa"/>
            <w:tcBorders>
              <w:top w:val="nil"/>
              <w:left w:val="nil"/>
              <w:bottom w:val="nil"/>
              <w:right w:val="nil"/>
            </w:tcBorders>
            <w:shd w:val="clear" w:color="000000" w:fill="D0DBF0"/>
            <w:noWrap/>
            <w:vAlign w:val="bottom"/>
            <w:hideMark/>
          </w:tcPr>
          <w:p w14:paraId="02B44354" w14:textId="7F0EFCC8" w:rsidR="000B2968" w:rsidRPr="007B7D30" w:rsidRDefault="0038231C"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4</w:t>
            </w:r>
          </w:p>
        </w:tc>
      </w:tr>
      <w:tr w:rsidR="000B2968" w:rsidRPr="007B7D30" w14:paraId="17471CB0"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63274540"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7498A527"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Bolivia</w:t>
            </w:r>
          </w:p>
        </w:tc>
        <w:tc>
          <w:tcPr>
            <w:tcW w:w="2460" w:type="dxa"/>
            <w:tcBorders>
              <w:top w:val="nil"/>
              <w:left w:val="nil"/>
              <w:bottom w:val="nil"/>
              <w:right w:val="nil"/>
            </w:tcBorders>
            <w:shd w:val="clear" w:color="auto" w:fill="auto"/>
            <w:noWrap/>
            <w:vAlign w:val="bottom"/>
            <w:hideMark/>
          </w:tcPr>
          <w:p w14:paraId="1F04C181"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5</w:t>
            </w:r>
          </w:p>
        </w:tc>
        <w:tc>
          <w:tcPr>
            <w:tcW w:w="2858" w:type="dxa"/>
            <w:tcBorders>
              <w:top w:val="nil"/>
              <w:left w:val="nil"/>
              <w:bottom w:val="nil"/>
              <w:right w:val="nil"/>
            </w:tcBorders>
            <w:shd w:val="clear" w:color="auto" w:fill="auto"/>
            <w:noWrap/>
            <w:vAlign w:val="bottom"/>
            <w:hideMark/>
          </w:tcPr>
          <w:p w14:paraId="148040E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5</w:t>
            </w:r>
          </w:p>
        </w:tc>
      </w:tr>
      <w:tr w:rsidR="000B2968" w:rsidRPr="007B7D30" w14:paraId="72B77686" w14:textId="77777777" w:rsidTr="00DB3DB9">
        <w:trPr>
          <w:trHeight w:val="255"/>
          <w:jc w:val="center"/>
        </w:trPr>
        <w:tc>
          <w:tcPr>
            <w:tcW w:w="1411" w:type="dxa"/>
            <w:tcBorders>
              <w:top w:val="nil"/>
              <w:left w:val="nil"/>
              <w:bottom w:val="nil"/>
              <w:right w:val="nil"/>
            </w:tcBorders>
            <w:shd w:val="clear" w:color="000000" w:fill="D0DBF0"/>
            <w:noWrap/>
            <w:vAlign w:val="center"/>
            <w:hideMark/>
          </w:tcPr>
          <w:p w14:paraId="1E2450F3"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724238EA"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Brazil</w:t>
            </w:r>
            <w:proofErr w:type="spellEnd"/>
            <w:r w:rsidRPr="007B7D30">
              <w:rPr>
                <w:rFonts w:ascii="Cambria" w:eastAsia="Times New Roman" w:hAnsi="Cambria" w:cs="Arial"/>
                <w:sz w:val="20"/>
                <w:szCs w:val="20"/>
                <w:lang w:val="es-ES_tradnl" w:eastAsia="es-CO"/>
              </w:rPr>
              <w:t>/Brasil</w:t>
            </w:r>
          </w:p>
        </w:tc>
        <w:tc>
          <w:tcPr>
            <w:tcW w:w="2460" w:type="dxa"/>
            <w:tcBorders>
              <w:top w:val="nil"/>
              <w:left w:val="nil"/>
              <w:bottom w:val="nil"/>
              <w:right w:val="nil"/>
            </w:tcBorders>
            <w:shd w:val="clear" w:color="000000" w:fill="D0DBF0"/>
            <w:noWrap/>
            <w:vAlign w:val="bottom"/>
            <w:hideMark/>
          </w:tcPr>
          <w:p w14:paraId="718E6383" w14:textId="7D0480F5" w:rsidR="000B2968" w:rsidRPr="007B7D30" w:rsidRDefault="0038231C"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8</w:t>
            </w:r>
          </w:p>
        </w:tc>
        <w:tc>
          <w:tcPr>
            <w:tcW w:w="2858" w:type="dxa"/>
            <w:tcBorders>
              <w:top w:val="nil"/>
              <w:left w:val="nil"/>
              <w:bottom w:val="nil"/>
              <w:right w:val="nil"/>
            </w:tcBorders>
            <w:shd w:val="clear" w:color="000000" w:fill="D0DBF0"/>
            <w:noWrap/>
            <w:vAlign w:val="bottom"/>
            <w:hideMark/>
          </w:tcPr>
          <w:p w14:paraId="7E8C9830" w14:textId="30D44465" w:rsidR="000B2968" w:rsidRPr="007B7D30" w:rsidRDefault="0038231C"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8</w:t>
            </w:r>
          </w:p>
        </w:tc>
      </w:tr>
      <w:tr w:rsidR="000B2968" w:rsidRPr="007B7D30" w14:paraId="2033FA02" w14:textId="77777777" w:rsidTr="00DB3DB9">
        <w:trPr>
          <w:trHeight w:val="255"/>
          <w:jc w:val="center"/>
        </w:trPr>
        <w:tc>
          <w:tcPr>
            <w:tcW w:w="1411" w:type="dxa"/>
            <w:tcBorders>
              <w:top w:val="nil"/>
              <w:left w:val="nil"/>
              <w:bottom w:val="nil"/>
              <w:right w:val="nil"/>
            </w:tcBorders>
            <w:shd w:val="clear" w:color="000000" w:fill="D0DBF0"/>
            <w:noWrap/>
            <w:vAlign w:val="center"/>
            <w:hideMark/>
          </w:tcPr>
          <w:p w14:paraId="2575346E"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1C692426"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Chile</w:t>
            </w:r>
          </w:p>
        </w:tc>
        <w:tc>
          <w:tcPr>
            <w:tcW w:w="2460" w:type="dxa"/>
            <w:tcBorders>
              <w:top w:val="nil"/>
              <w:left w:val="nil"/>
              <w:bottom w:val="nil"/>
              <w:right w:val="nil"/>
            </w:tcBorders>
            <w:shd w:val="clear" w:color="000000" w:fill="D0DBF0"/>
            <w:noWrap/>
            <w:vAlign w:val="bottom"/>
            <w:hideMark/>
          </w:tcPr>
          <w:p w14:paraId="089C8486"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2</w:t>
            </w:r>
          </w:p>
        </w:tc>
        <w:tc>
          <w:tcPr>
            <w:tcW w:w="2858" w:type="dxa"/>
            <w:tcBorders>
              <w:top w:val="nil"/>
              <w:left w:val="nil"/>
              <w:bottom w:val="nil"/>
              <w:right w:val="nil"/>
            </w:tcBorders>
            <w:shd w:val="clear" w:color="000000" w:fill="D0DBF0"/>
            <w:noWrap/>
            <w:vAlign w:val="bottom"/>
            <w:hideMark/>
          </w:tcPr>
          <w:p w14:paraId="7794BD6D"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2</w:t>
            </w:r>
          </w:p>
        </w:tc>
      </w:tr>
      <w:tr w:rsidR="000B2968" w:rsidRPr="007B7D30" w14:paraId="06038227"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050AD880"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0C205BB4"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Colombia</w:t>
            </w:r>
          </w:p>
        </w:tc>
        <w:tc>
          <w:tcPr>
            <w:tcW w:w="2460" w:type="dxa"/>
            <w:tcBorders>
              <w:top w:val="nil"/>
              <w:left w:val="nil"/>
              <w:bottom w:val="nil"/>
              <w:right w:val="nil"/>
            </w:tcBorders>
            <w:shd w:val="clear" w:color="auto" w:fill="auto"/>
            <w:noWrap/>
            <w:vAlign w:val="bottom"/>
            <w:hideMark/>
          </w:tcPr>
          <w:p w14:paraId="506ABA84" w14:textId="5A50A73D"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r w:rsidR="00730B14" w:rsidRPr="007B7D30">
              <w:rPr>
                <w:rFonts w:ascii="Cambria" w:hAnsi="Cambria" w:cs="Calibri"/>
                <w:sz w:val="20"/>
                <w:szCs w:val="20"/>
              </w:rPr>
              <w:t>3</w:t>
            </w:r>
          </w:p>
        </w:tc>
        <w:tc>
          <w:tcPr>
            <w:tcW w:w="2858" w:type="dxa"/>
            <w:tcBorders>
              <w:top w:val="nil"/>
              <w:left w:val="nil"/>
              <w:bottom w:val="nil"/>
              <w:right w:val="nil"/>
            </w:tcBorders>
            <w:shd w:val="clear" w:color="auto" w:fill="auto"/>
            <w:noWrap/>
            <w:vAlign w:val="bottom"/>
            <w:hideMark/>
          </w:tcPr>
          <w:p w14:paraId="298247A6" w14:textId="632CB31D"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r w:rsidR="00730B14" w:rsidRPr="007B7D30">
              <w:rPr>
                <w:rFonts w:ascii="Cambria" w:hAnsi="Cambria" w:cs="Calibri"/>
                <w:sz w:val="20"/>
                <w:szCs w:val="20"/>
              </w:rPr>
              <w:t>3</w:t>
            </w:r>
          </w:p>
        </w:tc>
      </w:tr>
      <w:tr w:rsidR="000B2968" w:rsidRPr="007B7D30" w14:paraId="1890F001" w14:textId="77777777" w:rsidTr="00DB3DB9">
        <w:trPr>
          <w:trHeight w:val="255"/>
          <w:jc w:val="center"/>
        </w:trPr>
        <w:tc>
          <w:tcPr>
            <w:tcW w:w="1411" w:type="dxa"/>
            <w:tcBorders>
              <w:top w:val="nil"/>
              <w:left w:val="nil"/>
              <w:bottom w:val="nil"/>
              <w:right w:val="nil"/>
            </w:tcBorders>
            <w:shd w:val="clear" w:color="000000" w:fill="D0DBF0"/>
            <w:noWrap/>
            <w:vAlign w:val="center"/>
            <w:hideMark/>
          </w:tcPr>
          <w:p w14:paraId="4FA4B349"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7C7EDC4B"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Costa Rica</w:t>
            </w:r>
          </w:p>
        </w:tc>
        <w:tc>
          <w:tcPr>
            <w:tcW w:w="2460" w:type="dxa"/>
            <w:tcBorders>
              <w:top w:val="nil"/>
              <w:left w:val="nil"/>
              <w:bottom w:val="nil"/>
              <w:right w:val="nil"/>
            </w:tcBorders>
            <w:shd w:val="clear" w:color="000000" w:fill="D0DBF0"/>
            <w:noWrap/>
            <w:vAlign w:val="bottom"/>
            <w:hideMark/>
          </w:tcPr>
          <w:p w14:paraId="29D63537"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2</w:t>
            </w:r>
          </w:p>
        </w:tc>
        <w:tc>
          <w:tcPr>
            <w:tcW w:w="2858" w:type="dxa"/>
            <w:tcBorders>
              <w:top w:val="nil"/>
              <w:left w:val="nil"/>
              <w:bottom w:val="nil"/>
              <w:right w:val="nil"/>
            </w:tcBorders>
            <w:shd w:val="clear" w:color="000000" w:fill="D0DBF0"/>
            <w:noWrap/>
            <w:vAlign w:val="bottom"/>
            <w:hideMark/>
          </w:tcPr>
          <w:p w14:paraId="19C43E26"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2</w:t>
            </w:r>
          </w:p>
        </w:tc>
      </w:tr>
      <w:tr w:rsidR="000B2968" w:rsidRPr="007B7D30" w14:paraId="0C691DC5"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0B5412AF"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335D7F85"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Ecuador</w:t>
            </w:r>
          </w:p>
        </w:tc>
        <w:tc>
          <w:tcPr>
            <w:tcW w:w="2460" w:type="dxa"/>
            <w:tcBorders>
              <w:top w:val="nil"/>
              <w:left w:val="nil"/>
              <w:bottom w:val="nil"/>
              <w:right w:val="nil"/>
            </w:tcBorders>
            <w:shd w:val="clear" w:color="auto" w:fill="auto"/>
            <w:noWrap/>
            <w:vAlign w:val="bottom"/>
            <w:hideMark/>
          </w:tcPr>
          <w:p w14:paraId="24F1D0C8"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3</w:t>
            </w:r>
          </w:p>
        </w:tc>
        <w:tc>
          <w:tcPr>
            <w:tcW w:w="2858" w:type="dxa"/>
            <w:tcBorders>
              <w:top w:val="nil"/>
              <w:left w:val="nil"/>
              <w:bottom w:val="nil"/>
              <w:right w:val="nil"/>
            </w:tcBorders>
            <w:shd w:val="clear" w:color="auto" w:fill="auto"/>
            <w:noWrap/>
            <w:vAlign w:val="bottom"/>
            <w:hideMark/>
          </w:tcPr>
          <w:p w14:paraId="6BE35CB9"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3</w:t>
            </w:r>
          </w:p>
        </w:tc>
      </w:tr>
      <w:tr w:rsidR="000B2968" w:rsidRPr="007B7D30" w14:paraId="566CE21F" w14:textId="77777777" w:rsidTr="00DB3DB9">
        <w:trPr>
          <w:trHeight w:val="255"/>
          <w:jc w:val="center"/>
        </w:trPr>
        <w:tc>
          <w:tcPr>
            <w:tcW w:w="1411" w:type="dxa"/>
            <w:tcBorders>
              <w:top w:val="nil"/>
              <w:left w:val="nil"/>
              <w:bottom w:val="nil"/>
              <w:right w:val="nil"/>
            </w:tcBorders>
            <w:shd w:val="clear" w:color="000000" w:fill="D0DBF0"/>
            <w:noWrap/>
            <w:vAlign w:val="center"/>
            <w:hideMark/>
          </w:tcPr>
          <w:p w14:paraId="37A7CC15"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3B4D2057"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El Salvador</w:t>
            </w:r>
          </w:p>
        </w:tc>
        <w:tc>
          <w:tcPr>
            <w:tcW w:w="2460" w:type="dxa"/>
            <w:tcBorders>
              <w:top w:val="nil"/>
              <w:left w:val="nil"/>
              <w:bottom w:val="nil"/>
              <w:right w:val="nil"/>
            </w:tcBorders>
            <w:shd w:val="clear" w:color="000000" w:fill="D0DBF0"/>
            <w:noWrap/>
            <w:vAlign w:val="bottom"/>
            <w:hideMark/>
          </w:tcPr>
          <w:p w14:paraId="18DE73DD"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3</w:t>
            </w:r>
          </w:p>
        </w:tc>
        <w:tc>
          <w:tcPr>
            <w:tcW w:w="2858" w:type="dxa"/>
            <w:tcBorders>
              <w:top w:val="nil"/>
              <w:left w:val="nil"/>
              <w:bottom w:val="nil"/>
              <w:right w:val="nil"/>
            </w:tcBorders>
            <w:shd w:val="clear" w:color="000000" w:fill="D0DBF0"/>
            <w:noWrap/>
            <w:vAlign w:val="bottom"/>
            <w:hideMark/>
          </w:tcPr>
          <w:p w14:paraId="290F98FD"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2</w:t>
            </w:r>
          </w:p>
        </w:tc>
      </w:tr>
      <w:tr w:rsidR="000B2968" w:rsidRPr="007B7D30" w14:paraId="0D04A3C1"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2A2BB2A7"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69718004"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Guatemala</w:t>
            </w:r>
          </w:p>
        </w:tc>
        <w:tc>
          <w:tcPr>
            <w:tcW w:w="2460" w:type="dxa"/>
            <w:tcBorders>
              <w:top w:val="nil"/>
              <w:left w:val="nil"/>
              <w:bottom w:val="nil"/>
              <w:right w:val="nil"/>
            </w:tcBorders>
            <w:shd w:val="clear" w:color="auto" w:fill="auto"/>
            <w:noWrap/>
            <w:vAlign w:val="bottom"/>
            <w:hideMark/>
          </w:tcPr>
          <w:p w14:paraId="42490101"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c>
          <w:tcPr>
            <w:tcW w:w="2858" w:type="dxa"/>
            <w:tcBorders>
              <w:top w:val="nil"/>
              <w:left w:val="nil"/>
              <w:bottom w:val="nil"/>
              <w:right w:val="nil"/>
            </w:tcBorders>
            <w:shd w:val="clear" w:color="auto" w:fill="auto"/>
            <w:noWrap/>
            <w:vAlign w:val="bottom"/>
            <w:hideMark/>
          </w:tcPr>
          <w:p w14:paraId="05B85E41"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r>
      <w:tr w:rsidR="000B2968" w:rsidRPr="007B7D30" w14:paraId="1DB7C46F"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060AE92D"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6BA01074"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Honduras</w:t>
            </w:r>
          </w:p>
        </w:tc>
        <w:tc>
          <w:tcPr>
            <w:tcW w:w="2460" w:type="dxa"/>
            <w:tcBorders>
              <w:top w:val="nil"/>
              <w:left w:val="nil"/>
              <w:bottom w:val="nil"/>
              <w:right w:val="nil"/>
            </w:tcBorders>
            <w:shd w:val="clear" w:color="auto" w:fill="DEEAF6" w:themeFill="accent5" w:themeFillTint="33"/>
            <w:noWrap/>
            <w:vAlign w:val="bottom"/>
          </w:tcPr>
          <w:p w14:paraId="76A41950"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c>
          <w:tcPr>
            <w:tcW w:w="2858" w:type="dxa"/>
            <w:tcBorders>
              <w:top w:val="nil"/>
              <w:left w:val="nil"/>
              <w:bottom w:val="nil"/>
              <w:right w:val="nil"/>
            </w:tcBorders>
            <w:shd w:val="clear" w:color="auto" w:fill="DEEAF6" w:themeFill="accent5" w:themeFillTint="33"/>
            <w:noWrap/>
            <w:vAlign w:val="bottom"/>
          </w:tcPr>
          <w:p w14:paraId="106C16E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r>
      <w:tr w:rsidR="000B2968" w:rsidRPr="007B7D30" w14:paraId="59F8DD71"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2DF79D5C"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noWrap/>
            <w:vAlign w:val="center"/>
          </w:tcPr>
          <w:p w14:paraId="0F5C8D65"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Mexico</w:t>
            </w:r>
            <w:proofErr w:type="spellEnd"/>
            <w:r w:rsidRPr="007B7D30">
              <w:rPr>
                <w:rFonts w:ascii="Cambria" w:eastAsia="Times New Roman" w:hAnsi="Cambria" w:cs="Arial"/>
                <w:sz w:val="20"/>
                <w:szCs w:val="20"/>
                <w:lang w:val="es-ES_tradnl" w:eastAsia="es-CO"/>
              </w:rPr>
              <w:t>/México</w:t>
            </w:r>
          </w:p>
        </w:tc>
        <w:tc>
          <w:tcPr>
            <w:tcW w:w="2460" w:type="dxa"/>
            <w:tcBorders>
              <w:top w:val="nil"/>
              <w:left w:val="nil"/>
              <w:bottom w:val="nil"/>
              <w:right w:val="nil"/>
            </w:tcBorders>
            <w:shd w:val="clear" w:color="auto" w:fill="auto"/>
            <w:noWrap/>
            <w:vAlign w:val="bottom"/>
          </w:tcPr>
          <w:p w14:paraId="6CA90D4B" w14:textId="44E04536"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r w:rsidR="00730B14" w:rsidRPr="007B7D30">
              <w:rPr>
                <w:rFonts w:ascii="Cambria" w:hAnsi="Cambria" w:cs="Calibri"/>
                <w:sz w:val="20"/>
                <w:szCs w:val="20"/>
              </w:rPr>
              <w:t>1</w:t>
            </w:r>
          </w:p>
        </w:tc>
        <w:tc>
          <w:tcPr>
            <w:tcW w:w="2858" w:type="dxa"/>
            <w:tcBorders>
              <w:top w:val="nil"/>
              <w:left w:val="nil"/>
              <w:bottom w:val="nil"/>
              <w:right w:val="nil"/>
            </w:tcBorders>
            <w:shd w:val="clear" w:color="auto" w:fill="auto"/>
            <w:noWrap/>
            <w:vAlign w:val="bottom"/>
          </w:tcPr>
          <w:p w14:paraId="2C6FD987" w14:textId="6ACC151C"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r w:rsidR="00730B14" w:rsidRPr="007B7D30">
              <w:rPr>
                <w:rFonts w:ascii="Cambria" w:hAnsi="Cambria" w:cs="Calibri"/>
                <w:sz w:val="20"/>
                <w:szCs w:val="20"/>
              </w:rPr>
              <w:t>1</w:t>
            </w:r>
          </w:p>
        </w:tc>
      </w:tr>
      <w:tr w:rsidR="000B2968" w:rsidRPr="007B7D30" w14:paraId="5BDB10C3"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3B542A3E"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26E55F79"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Panama</w:t>
            </w:r>
            <w:proofErr w:type="spellEnd"/>
            <w:r w:rsidRPr="007B7D30">
              <w:rPr>
                <w:rFonts w:ascii="Cambria" w:eastAsia="Times New Roman" w:hAnsi="Cambria" w:cs="Arial"/>
                <w:sz w:val="20"/>
                <w:szCs w:val="20"/>
                <w:lang w:val="es-ES_tradnl" w:eastAsia="es-CO"/>
              </w:rPr>
              <w:t>/Panamá</w:t>
            </w:r>
          </w:p>
        </w:tc>
        <w:tc>
          <w:tcPr>
            <w:tcW w:w="2460" w:type="dxa"/>
            <w:tcBorders>
              <w:top w:val="nil"/>
              <w:left w:val="nil"/>
              <w:bottom w:val="nil"/>
              <w:right w:val="nil"/>
            </w:tcBorders>
            <w:shd w:val="clear" w:color="auto" w:fill="DEEAF6" w:themeFill="accent5" w:themeFillTint="33"/>
            <w:noWrap/>
            <w:vAlign w:val="bottom"/>
          </w:tcPr>
          <w:p w14:paraId="488C5B5B"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2</w:t>
            </w:r>
          </w:p>
        </w:tc>
        <w:tc>
          <w:tcPr>
            <w:tcW w:w="2858" w:type="dxa"/>
            <w:tcBorders>
              <w:top w:val="nil"/>
              <w:left w:val="nil"/>
              <w:bottom w:val="nil"/>
              <w:right w:val="nil"/>
            </w:tcBorders>
            <w:shd w:val="clear" w:color="auto" w:fill="DEEAF6" w:themeFill="accent5" w:themeFillTint="33"/>
            <w:noWrap/>
            <w:vAlign w:val="bottom"/>
          </w:tcPr>
          <w:p w14:paraId="4B9986F4"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2</w:t>
            </w:r>
          </w:p>
        </w:tc>
      </w:tr>
      <w:tr w:rsidR="000B2968" w:rsidRPr="007B7D30" w14:paraId="672DF24B"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7E1EE5AC"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noWrap/>
            <w:vAlign w:val="center"/>
          </w:tcPr>
          <w:p w14:paraId="025DF9B7"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Peru</w:t>
            </w:r>
            <w:proofErr w:type="spellEnd"/>
            <w:r w:rsidRPr="007B7D30">
              <w:rPr>
                <w:rFonts w:ascii="Cambria" w:eastAsia="Times New Roman" w:hAnsi="Cambria" w:cs="Arial"/>
                <w:sz w:val="20"/>
                <w:szCs w:val="20"/>
                <w:lang w:val="es-ES_tradnl" w:eastAsia="es-CO"/>
              </w:rPr>
              <w:t>/Perú</w:t>
            </w:r>
          </w:p>
        </w:tc>
        <w:tc>
          <w:tcPr>
            <w:tcW w:w="2460" w:type="dxa"/>
            <w:tcBorders>
              <w:top w:val="nil"/>
              <w:left w:val="nil"/>
              <w:bottom w:val="nil"/>
              <w:right w:val="nil"/>
            </w:tcBorders>
            <w:shd w:val="clear" w:color="auto" w:fill="auto"/>
            <w:noWrap/>
            <w:vAlign w:val="bottom"/>
          </w:tcPr>
          <w:p w14:paraId="6A418944" w14:textId="3252D3FA" w:rsidR="000B2968" w:rsidRPr="007B7D30" w:rsidRDefault="00730B14"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3</w:t>
            </w:r>
          </w:p>
        </w:tc>
        <w:tc>
          <w:tcPr>
            <w:tcW w:w="2858" w:type="dxa"/>
            <w:tcBorders>
              <w:top w:val="nil"/>
              <w:left w:val="nil"/>
              <w:bottom w:val="nil"/>
              <w:right w:val="nil"/>
            </w:tcBorders>
            <w:shd w:val="clear" w:color="auto" w:fill="auto"/>
            <w:noWrap/>
            <w:vAlign w:val="bottom"/>
          </w:tcPr>
          <w:p w14:paraId="6F3BE0DA" w14:textId="2E9ADA97" w:rsidR="000B2968" w:rsidRPr="007B7D30" w:rsidRDefault="00730B14"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3</w:t>
            </w:r>
          </w:p>
        </w:tc>
      </w:tr>
      <w:tr w:rsidR="000B2968" w:rsidRPr="007B7D30" w14:paraId="1ADDDCC7"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68B5250C"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085B3C97"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Portugal</w:t>
            </w:r>
          </w:p>
        </w:tc>
        <w:tc>
          <w:tcPr>
            <w:tcW w:w="2460" w:type="dxa"/>
            <w:tcBorders>
              <w:top w:val="nil"/>
              <w:left w:val="nil"/>
              <w:bottom w:val="nil"/>
              <w:right w:val="nil"/>
            </w:tcBorders>
            <w:shd w:val="clear" w:color="auto" w:fill="DEEAF6" w:themeFill="accent5" w:themeFillTint="33"/>
            <w:noWrap/>
            <w:vAlign w:val="bottom"/>
          </w:tcPr>
          <w:p w14:paraId="2F3030AB"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c>
          <w:tcPr>
            <w:tcW w:w="2858" w:type="dxa"/>
            <w:tcBorders>
              <w:top w:val="nil"/>
              <w:left w:val="nil"/>
              <w:bottom w:val="nil"/>
              <w:right w:val="nil"/>
            </w:tcBorders>
            <w:shd w:val="clear" w:color="auto" w:fill="DEEAF6" w:themeFill="accent5" w:themeFillTint="33"/>
            <w:noWrap/>
            <w:vAlign w:val="bottom"/>
          </w:tcPr>
          <w:p w14:paraId="66C7D25B"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r>
      <w:tr w:rsidR="00730B14" w:rsidRPr="007B7D30" w14:paraId="0C1B231E" w14:textId="77777777" w:rsidTr="00DB3DB9">
        <w:trPr>
          <w:trHeight w:val="255"/>
          <w:jc w:val="center"/>
        </w:trPr>
        <w:tc>
          <w:tcPr>
            <w:tcW w:w="1411" w:type="dxa"/>
            <w:tcBorders>
              <w:top w:val="nil"/>
              <w:left w:val="nil"/>
              <w:bottom w:val="nil"/>
              <w:right w:val="nil"/>
            </w:tcBorders>
            <w:shd w:val="clear" w:color="auto" w:fill="auto"/>
            <w:noWrap/>
            <w:vAlign w:val="center"/>
          </w:tcPr>
          <w:p w14:paraId="2D37840F" w14:textId="77777777" w:rsidR="00730B14" w:rsidRPr="007B7D30" w:rsidRDefault="00730B14" w:rsidP="00DB3DB9">
            <w:pP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auto" w:fill="auto"/>
            <w:vAlign w:val="center"/>
          </w:tcPr>
          <w:p w14:paraId="45D20F29" w14:textId="0C070128" w:rsidR="00730B14" w:rsidRPr="007B7D30" w:rsidRDefault="00730B14"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República Dominicana</w:t>
            </w:r>
          </w:p>
        </w:tc>
        <w:tc>
          <w:tcPr>
            <w:tcW w:w="2460" w:type="dxa"/>
            <w:tcBorders>
              <w:top w:val="nil"/>
              <w:left w:val="nil"/>
              <w:bottom w:val="nil"/>
              <w:right w:val="nil"/>
            </w:tcBorders>
            <w:shd w:val="clear" w:color="auto" w:fill="auto"/>
            <w:noWrap/>
            <w:vAlign w:val="bottom"/>
          </w:tcPr>
          <w:p w14:paraId="269C7E53" w14:textId="0B3E8B4A" w:rsidR="00730B14" w:rsidRPr="007B7D30" w:rsidRDefault="00730B14" w:rsidP="00DB3DB9">
            <w:pPr>
              <w:ind w:firstLine="42"/>
              <w:jc w:val="center"/>
              <w:rPr>
                <w:rFonts w:ascii="Cambria" w:hAnsi="Cambria" w:cs="Calibri"/>
                <w:sz w:val="20"/>
                <w:szCs w:val="20"/>
              </w:rPr>
            </w:pPr>
            <w:r w:rsidRPr="007B7D30">
              <w:rPr>
                <w:rFonts w:ascii="Cambria" w:hAnsi="Cambria" w:cs="Calibri"/>
                <w:sz w:val="20"/>
                <w:szCs w:val="20"/>
              </w:rPr>
              <w:t>2</w:t>
            </w:r>
          </w:p>
        </w:tc>
        <w:tc>
          <w:tcPr>
            <w:tcW w:w="2858" w:type="dxa"/>
            <w:tcBorders>
              <w:top w:val="nil"/>
              <w:left w:val="nil"/>
              <w:bottom w:val="nil"/>
              <w:right w:val="nil"/>
            </w:tcBorders>
            <w:shd w:val="clear" w:color="auto" w:fill="auto"/>
            <w:noWrap/>
            <w:vAlign w:val="bottom"/>
          </w:tcPr>
          <w:p w14:paraId="5CA6F53E" w14:textId="4611D619" w:rsidR="00730B14" w:rsidRPr="007B7D30" w:rsidRDefault="00730B14" w:rsidP="00DB3DB9">
            <w:pPr>
              <w:ind w:firstLine="42"/>
              <w:jc w:val="center"/>
              <w:rPr>
                <w:rFonts w:ascii="Cambria" w:hAnsi="Cambria" w:cs="Calibri"/>
                <w:sz w:val="20"/>
                <w:szCs w:val="20"/>
              </w:rPr>
            </w:pPr>
            <w:r w:rsidRPr="007B7D30">
              <w:rPr>
                <w:rFonts w:ascii="Cambria" w:hAnsi="Cambria" w:cs="Calibri"/>
                <w:sz w:val="20"/>
                <w:szCs w:val="20"/>
              </w:rPr>
              <w:t>2</w:t>
            </w:r>
          </w:p>
        </w:tc>
      </w:tr>
      <w:tr w:rsidR="000B2968" w:rsidRPr="007B7D30" w14:paraId="45B6509D"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4C6B9177"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vAlign w:val="center"/>
          </w:tcPr>
          <w:p w14:paraId="55B84D88"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Saint Lucia/Santa Lucia</w:t>
            </w:r>
          </w:p>
        </w:tc>
        <w:tc>
          <w:tcPr>
            <w:tcW w:w="2460" w:type="dxa"/>
            <w:tcBorders>
              <w:top w:val="nil"/>
              <w:left w:val="nil"/>
              <w:bottom w:val="nil"/>
              <w:right w:val="nil"/>
            </w:tcBorders>
            <w:shd w:val="clear" w:color="auto" w:fill="auto"/>
            <w:noWrap/>
            <w:vAlign w:val="bottom"/>
          </w:tcPr>
          <w:p w14:paraId="1A83494D"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c>
          <w:tcPr>
            <w:tcW w:w="2858" w:type="dxa"/>
            <w:tcBorders>
              <w:top w:val="nil"/>
              <w:left w:val="nil"/>
              <w:bottom w:val="nil"/>
              <w:right w:val="nil"/>
            </w:tcBorders>
            <w:shd w:val="clear" w:color="auto" w:fill="auto"/>
            <w:noWrap/>
            <w:vAlign w:val="bottom"/>
          </w:tcPr>
          <w:p w14:paraId="399FE238"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r>
      <w:tr w:rsidR="000B2968" w:rsidRPr="007B7D30" w14:paraId="1E87B6F8"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7E3F81CE"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6563B5D1"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Spain</w:t>
            </w:r>
            <w:proofErr w:type="spellEnd"/>
            <w:r w:rsidRPr="007B7D30">
              <w:rPr>
                <w:rFonts w:ascii="Cambria" w:eastAsia="Times New Roman" w:hAnsi="Cambria" w:cs="Arial"/>
                <w:sz w:val="20"/>
                <w:szCs w:val="20"/>
                <w:lang w:val="es-ES_tradnl" w:eastAsia="es-CO"/>
              </w:rPr>
              <w:t xml:space="preserve">/España </w:t>
            </w:r>
          </w:p>
        </w:tc>
        <w:tc>
          <w:tcPr>
            <w:tcW w:w="2460" w:type="dxa"/>
            <w:tcBorders>
              <w:top w:val="nil"/>
              <w:left w:val="nil"/>
              <w:bottom w:val="nil"/>
              <w:right w:val="nil"/>
            </w:tcBorders>
            <w:shd w:val="clear" w:color="auto" w:fill="DEEAF6" w:themeFill="accent5" w:themeFillTint="33"/>
            <w:noWrap/>
            <w:vAlign w:val="bottom"/>
          </w:tcPr>
          <w:p w14:paraId="3D43080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c>
          <w:tcPr>
            <w:tcW w:w="2858" w:type="dxa"/>
            <w:tcBorders>
              <w:top w:val="nil"/>
              <w:left w:val="nil"/>
              <w:bottom w:val="nil"/>
              <w:right w:val="nil"/>
            </w:tcBorders>
            <w:shd w:val="clear" w:color="auto" w:fill="DEEAF6" w:themeFill="accent5" w:themeFillTint="33"/>
            <w:noWrap/>
            <w:vAlign w:val="bottom"/>
          </w:tcPr>
          <w:p w14:paraId="4F983DCD"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r>
      <w:tr w:rsidR="000B2968" w:rsidRPr="007B7D30" w14:paraId="07C7F57F" w14:textId="77777777" w:rsidTr="00DB3DB9">
        <w:trPr>
          <w:trHeight w:val="510"/>
          <w:jc w:val="center"/>
        </w:trPr>
        <w:tc>
          <w:tcPr>
            <w:tcW w:w="1411" w:type="dxa"/>
            <w:tcBorders>
              <w:top w:val="nil"/>
              <w:left w:val="nil"/>
              <w:bottom w:val="nil"/>
              <w:right w:val="nil"/>
            </w:tcBorders>
            <w:shd w:val="clear" w:color="auto" w:fill="auto"/>
            <w:noWrap/>
            <w:vAlign w:val="center"/>
            <w:hideMark/>
          </w:tcPr>
          <w:p w14:paraId="5783053C"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vAlign w:val="center"/>
          </w:tcPr>
          <w:p w14:paraId="586CB107"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Trinidad and Tobago/Trinidad y Tobago</w:t>
            </w:r>
          </w:p>
        </w:tc>
        <w:tc>
          <w:tcPr>
            <w:tcW w:w="2460" w:type="dxa"/>
            <w:tcBorders>
              <w:top w:val="nil"/>
              <w:left w:val="nil"/>
              <w:bottom w:val="nil"/>
              <w:right w:val="nil"/>
            </w:tcBorders>
            <w:shd w:val="clear" w:color="auto" w:fill="auto"/>
            <w:noWrap/>
            <w:vAlign w:val="bottom"/>
          </w:tcPr>
          <w:p w14:paraId="5CD03867"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c>
          <w:tcPr>
            <w:tcW w:w="2858" w:type="dxa"/>
            <w:tcBorders>
              <w:top w:val="nil"/>
              <w:left w:val="nil"/>
              <w:bottom w:val="nil"/>
              <w:right w:val="nil"/>
            </w:tcBorders>
            <w:shd w:val="clear" w:color="auto" w:fill="auto"/>
            <w:noWrap/>
            <w:vAlign w:val="bottom"/>
          </w:tcPr>
          <w:p w14:paraId="3B109F9C"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1</w:t>
            </w:r>
          </w:p>
        </w:tc>
      </w:tr>
      <w:tr w:rsidR="000B2968" w:rsidRPr="007B7D30" w14:paraId="3EF9E44B"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1D21CA1A"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34530D6E"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Uruguay</w:t>
            </w:r>
          </w:p>
        </w:tc>
        <w:tc>
          <w:tcPr>
            <w:tcW w:w="2460" w:type="dxa"/>
            <w:tcBorders>
              <w:top w:val="nil"/>
              <w:left w:val="nil"/>
              <w:bottom w:val="nil"/>
              <w:right w:val="nil"/>
            </w:tcBorders>
            <w:shd w:val="clear" w:color="auto" w:fill="DEEAF6" w:themeFill="accent5" w:themeFillTint="33"/>
            <w:noWrap/>
            <w:vAlign w:val="bottom"/>
          </w:tcPr>
          <w:p w14:paraId="71370176"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5</w:t>
            </w:r>
          </w:p>
        </w:tc>
        <w:tc>
          <w:tcPr>
            <w:tcW w:w="2858" w:type="dxa"/>
            <w:tcBorders>
              <w:top w:val="nil"/>
              <w:left w:val="nil"/>
              <w:bottom w:val="nil"/>
              <w:right w:val="nil"/>
            </w:tcBorders>
            <w:shd w:val="clear" w:color="auto" w:fill="DEEAF6" w:themeFill="accent5" w:themeFillTint="33"/>
            <w:noWrap/>
            <w:vAlign w:val="bottom"/>
          </w:tcPr>
          <w:p w14:paraId="663FF72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5</w:t>
            </w:r>
          </w:p>
        </w:tc>
      </w:tr>
      <w:tr w:rsidR="000B2968" w:rsidRPr="007B7D30" w14:paraId="2B9F6AE9" w14:textId="77777777" w:rsidTr="00DB3DB9">
        <w:trPr>
          <w:trHeight w:val="255"/>
          <w:jc w:val="center"/>
        </w:trPr>
        <w:tc>
          <w:tcPr>
            <w:tcW w:w="1411" w:type="dxa"/>
            <w:tcBorders>
              <w:top w:val="nil"/>
              <w:left w:val="nil"/>
              <w:bottom w:val="nil"/>
              <w:right w:val="nil"/>
            </w:tcBorders>
            <w:shd w:val="clear" w:color="auto" w:fill="auto"/>
            <w:noWrap/>
            <w:vAlign w:val="center"/>
            <w:hideMark/>
          </w:tcPr>
          <w:p w14:paraId="13B7E984"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vAlign w:val="center"/>
          </w:tcPr>
          <w:p w14:paraId="11861F62" w14:textId="77777777" w:rsidR="000B2968" w:rsidRPr="007B7D30" w:rsidRDefault="000B2968" w:rsidP="00DB3DB9">
            <w:pPr>
              <w:ind w:left="92" w:hanging="20"/>
              <w:rPr>
                <w:rFonts w:ascii="Cambria" w:eastAsia="Times New Roman" w:hAnsi="Cambria" w:cs="Arial"/>
                <w:sz w:val="20"/>
                <w:szCs w:val="20"/>
                <w:lang w:val="es-ES_tradnl" w:eastAsia="es-CO"/>
              </w:rPr>
            </w:pPr>
            <w:proofErr w:type="spellStart"/>
            <w:r w:rsidRPr="007B7D30">
              <w:rPr>
                <w:rFonts w:ascii="Cambria" w:eastAsia="Times New Roman" w:hAnsi="Cambria" w:cs="Arial"/>
                <w:sz w:val="20"/>
                <w:szCs w:val="20"/>
                <w:lang w:val="es-ES_tradnl" w:eastAsia="es-CO"/>
              </w:rPr>
              <w:t>United</w:t>
            </w:r>
            <w:proofErr w:type="spellEnd"/>
            <w:r w:rsidRPr="007B7D30">
              <w:rPr>
                <w:rFonts w:ascii="Cambria" w:eastAsia="Times New Roman" w:hAnsi="Cambria" w:cs="Arial"/>
                <w:sz w:val="20"/>
                <w:szCs w:val="20"/>
                <w:lang w:val="es-ES_tradnl" w:eastAsia="es-CO"/>
              </w:rPr>
              <w:t xml:space="preserve"> </w:t>
            </w:r>
            <w:proofErr w:type="spellStart"/>
            <w:r w:rsidRPr="007B7D30">
              <w:rPr>
                <w:rFonts w:ascii="Cambria" w:eastAsia="Times New Roman" w:hAnsi="Cambria" w:cs="Arial"/>
                <w:sz w:val="20"/>
                <w:szCs w:val="20"/>
                <w:lang w:val="es-ES_tradnl" w:eastAsia="es-CO"/>
              </w:rPr>
              <w:t>States</w:t>
            </w:r>
            <w:proofErr w:type="spellEnd"/>
            <w:r w:rsidRPr="007B7D30">
              <w:rPr>
                <w:rFonts w:ascii="Cambria" w:eastAsia="Times New Roman" w:hAnsi="Cambria" w:cs="Arial"/>
                <w:sz w:val="20"/>
                <w:szCs w:val="20"/>
                <w:lang w:val="es-ES_tradnl" w:eastAsia="es-CO"/>
              </w:rPr>
              <w:t xml:space="preserve"> / Estados Unidos</w:t>
            </w:r>
          </w:p>
        </w:tc>
        <w:tc>
          <w:tcPr>
            <w:tcW w:w="2460" w:type="dxa"/>
            <w:tcBorders>
              <w:top w:val="nil"/>
              <w:left w:val="nil"/>
              <w:bottom w:val="nil"/>
              <w:right w:val="nil"/>
            </w:tcBorders>
            <w:shd w:val="clear" w:color="auto" w:fill="auto"/>
            <w:noWrap/>
            <w:vAlign w:val="bottom"/>
          </w:tcPr>
          <w:p w14:paraId="616EAF71" w14:textId="05C09240" w:rsidR="000B2968" w:rsidRPr="007B7D30" w:rsidRDefault="00730B14"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6</w:t>
            </w:r>
          </w:p>
        </w:tc>
        <w:tc>
          <w:tcPr>
            <w:tcW w:w="2858" w:type="dxa"/>
            <w:tcBorders>
              <w:top w:val="nil"/>
              <w:left w:val="nil"/>
              <w:bottom w:val="nil"/>
              <w:right w:val="nil"/>
            </w:tcBorders>
            <w:shd w:val="clear" w:color="auto" w:fill="auto"/>
            <w:noWrap/>
            <w:vAlign w:val="bottom"/>
          </w:tcPr>
          <w:p w14:paraId="6E4D6EC5"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7</w:t>
            </w:r>
          </w:p>
        </w:tc>
      </w:tr>
      <w:tr w:rsidR="000B2968" w:rsidRPr="007B7D30" w14:paraId="6F2D172B" w14:textId="77777777" w:rsidTr="00DB3DB9">
        <w:trPr>
          <w:trHeight w:val="255"/>
          <w:jc w:val="center"/>
        </w:trPr>
        <w:tc>
          <w:tcPr>
            <w:tcW w:w="1411" w:type="dxa"/>
            <w:tcBorders>
              <w:top w:val="nil"/>
              <w:left w:val="nil"/>
              <w:bottom w:val="nil"/>
              <w:right w:val="nil"/>
            </w:tcBorders>
            <w:shd w:val="clear" w:color="auto" w:fill="DEEAF6" w:themeFill="accent5" w:themeFillTint="33"/>
            <w:noWrap/>
            <w:vAlign w:val="center"/>
            <w:hideMark/>
          </w:tcPr>
          <w:p w14:paraId="1DD5437D" w14:textId="77777777" w:rsidR="000B2968" w:rsidRPr="007B7D30" w:rsidRDefault="000B2968" w:rsidP="00DB3DB9">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198AD9E5"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Venezuela</w:t>
            </w:r>
          </w:p>
        </w:tc>
        <w:tc>
          <w:tcPr>
            <w:tcW w:w="2460" w:type="dxa"/>
            <w:tcBorders>
              <w:top w:val="nil"/>
              <w:left w:val="nil"/>
              <w:bottom w:val="nil"/>
              <w:right w:val="nil"/>
            </w:tcBorders>
            <w:shd w:val="clear" w:color="auto" w:fill="DEEAF6" w:themeFill="accent5" w:themeFillTint="33"/>
            <w:noWrap/>
            <w:vAlign w:val="bottom"/>
          </w:tcPr>
          <w:p w14:paraId="7ED5E49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4</w:t>
            </w:r>
          </w:p>
        </w:tc>
        <w:tc>
          <w:tcPr>
            <w:tcW w:w="2858" w:type="dxa"/>
            <w:tcBorders>
              <w:top w:val="nil"/>
              <w:left w:val="nil"/>
              <w:bottom w:val="nil"/>
              <w:right w:val="nil"/>
            </w:tcBorders>
            <w:shd w:val="clear" w:color="auto" w:fill="DEEAF6" w:themeFill="accent5" w:themeFillTint="33"/>
            <w:noWrap/>
            <w:vAlign w:val="bottom"/>
          </w:tcPr>
          <w:p w14:paraId="6EAFF3E9"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hAnsi="Cambria" w:cs="Calibri"/>
                <w:sz w:val="20"/>
                <w:szCs w:val="20"/>
              </w:rPr>
              <w:t>4</w:t>
            </w:r>
          </w:p>
        </w:tc>
      </w:tr>
      <w:tr w:rsidR="000B2968" w:rsidRPr="007B7D30" w14:paraId="510493DA" w14:textId="77777777" w:rsidTr="00DB3DB9">
        <w:trPr>
          <w:trHeight w:val="255"/>
          <w:jc w:val="center"/>
        </w:trPr>
        <w:tc>
          <w:tcPr>
            <w:tcW w:w="1411" w:type="dxa"/>
            <w:tcBorders>
              <w:top w:val="nil"/>
              <w:left w:val="nil"/>
              <w:bottom w:val="nil"/>
              <w:right w:val="nil"/>
            </w:tcBorders>
            <w:shd w:val="clear" w:color="000000" w:fill="8EAADB"/>
            <w:noWrap/>
            <w:vAlign w:val="center"/>
            <w:hideMark/>
          </w:tcPr>
          <w:p w14:paraId="2FDED19F"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CPR Total</w:t>
            </w:r>
          </w:p>
        </w:tc>
        <w:tc>
          <w:tcPr>
            <w:tcW w:w="3261" w:type="dxa"/>
            <w:tcBorders>
              <w:top w:val="nil"/>
              <w:left w:val="nil"/>
              <w:bottom w:val="nil"/>
              <w:right w:val="nil"/>
            </w:tcBorders>
            <w:shd w:val="clear" w:color="000000" w:fill="8EAADB"/>
            <w:noWrap/>
            <w:vAlign w:val="center"/>
            <w:hideMark/>
          </w:tcPr>
          <w:p w14:paraId="121C8420" w14:textId="77777777" w:rsidR="000B2968" w:rsidRPr="007B7D30" w:rsidRDefault="000B2968" w:rsidP="00DB3DB9">
            <w:pPr>
              <w:ind w:left="92" w:hanging="20"/>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2460" w:type="dxa"/>
            <w:tcBorders>
              <w:top w:val="nil"/>
              <w:left w:val="nil"/>
              <w:bottom w:val="nil"/>
              <w:right w:val="nil"/>
            </w:tcBorders>
            <w:shd w:val="clear" w:color="000000" w:fill="8EAADB"/>
            <w:noWrap/>
            <w:vAlign w:val="center"/>
            <w:hideMark/>
          </w:tcPr>
          <w:p w14:paraId="6B057E6A" w14:textId="47B747FD" w:rsidR="000B2968" w:rsidRPr="007B7D30" w:rsidRDefault="00730B14" w:rsidP="00DB3DB9">
            <w:pPr>
              <w:ind w:firstLine="42"/>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79</w:t>
            </w:r>
          </w:p>
        </w:tc>
        <w:tc>
          <w:tcPr>
            <w:tcW w:w="2858" w:type="dxa"/>
            <w:tcBorders>
              <w:top w:val="nil"/>
              <w:left w:val="nil"/>
              <w:bottom w:val="nil"/>
              <w:right w:val="nil"/>
            </w:tcBorders>
            <w:shd w:val="clear" w:color="000000" w:fill="8EAADB"/>
            <w:noWrap/>
            <w:vAlign w:val="center"/>
            <w:hideMark/>
          </w:tcPr>
          <w:p w14:paraId="4CCF8A97" w14:textId="5D518B3A" w:rsidR="000B2968" w:rsidRPr="007B7D30" w:rsidRDefault="00730B14" w:rsidP="00DB3DB9">
            <w:pPr>
              <w:ind w:firstLine="42"/>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79</w:t>
            </w:r>
          </w:p>
        </w:tc>
      </w:tr>
      <w:tr w:rsidR="000B2968" w:rsidRPr="007B7D30" w14:paraId="158CE6E9" w14:textId="77777777" w:rsidTr="00966382">
        <w:trPr>
          <w:trHeight w:val="171"/>
          <w:jc w:val="center"/>
        </w:trPr>
        <w:tc>
          <w:tcPr>
            <w:tcW w:w="1411" w:type="dxa"/>
            <w:tcBorders>
              <w:top w:val="nil"/>
              <w:left w:val="nil"/>
              <w:bottom w:val="nil"/>
              <w:right w:val="nil"/>
            </w:tcBorders>
            <w:shd w:val="clear" w:color="000000" w:fill="D0DBF0"/>
            <w:noWrap/>
            <w:vAlign w:val="center"/>
          </w:tcPr>
          <w:p w14:paraId="37A8F999"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xml:space="preserve">Staff Asociado </w:t>
            </w:r>
          </w:p>
        </w:tc>
        <w:tc>
          <w:tcPr>
            <w:tcW w:w="3261" w:type="dxa"/>
            <w:tcBorders>
              <w:top w:val="nil"/>
              <w:left w:val="nil"/>
              <w:bottom w:val="nil"/>
              <w:right w:val="nil"/>
            </w:tcBorders>
            <w:shd w:val="clear" w:color="000000" w:fill="D0DBF0"/>
            <w:noWrap/>
            <w:vAlign w:val="center"/>
          </w:tcPr>
          <w:p w14:paraId="687C2F88"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Argentina</w:t>
            </w:r>
          </w:p>
        </w:tc>
        <w:tc>
          <w:tcPr>
            <w:tcW w:w="2460" w:type="dxa"/>
            <w:tcBorders>
              <w:top w:val="nil"/>
              <w:left w:val="nil"/>
              <w:bottom w:val="nil"/>
              <w:right w:val="nil"/>
            </w:tcBorders>
            <w:shd w:val="clear" w:color="000000" w:fill="D0DBF0"/>
            <w:noWrap/>
            <w:vAlign w:val="center"/>
          </w:tcPr>
          <w:p w14:paraId="7F386326"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1</w:t>
            </w:r>
          </w:p>
        </w:tc>
        <w:tc>
          <w:tcPr>
            <w:tcW w:w="2858" w:type="dxa"/>
            <w:tcBorders>
              <w:top w:val="nil"/>
              <w:left w:val="nil"/>
              <w:bottom w:val="nil"/>
              <w:right w:val="nil"/>
            </w:tcBorders>
            <w:shd w:val="clear" w:color="000000" w:fill="D0DBF0"/>
            <w:noWrap/>
            <w:vAlign w:val="center"/>
          </w:tcPr>
          <w:p w14:paraId="3140947A"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1</w:t>
            </w:r>
          </w:p>
        </w:tc>
      </w:tr>
      <w:tr w:rsidR="000B2968" w:rsidRPr="007B7D30" w14:paraId="76AFC206" w14:textId="77777777" w:rsidTr="00DB3DB9">
        <w:trPr>
          <w:trHeight w:val="255"/>
          <w:jc w:val="center"/>
        </w:trPr>
        <w:tc>
          <w:tcPr>
            <w:tcW w:w="1411" w:type="dxa"/>
            <w:tcBorders>
              <w:top w:val="nil"/>
              <w:left w:val="nil"/>
              <w:bottom w:val="nil"/>
              <w:right w:val="nil"/>
            </w:tcBorders>
            <w:shd w:val="clear" w:color="auto" w:fill="auto"/>
            <w:noWrap/>
            <w:vAlign w:val="center"/>
          </w:tcPr>
          <w:p w14:paraId="59834346" w14:textId="77777777" w:rsidR="000B2968" w:rsidRPr="007B7D30" w:rsidRDefault="000B2968" w:rsidP="00DB3DB9">
            <w:pP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auto" w:fill="auto"/>
            <w:noWrap/>
            <w:vAlign w:val="center"/>
          </w:tcPr>
          <w:p w14:paraId="1BB8AAF9"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Chile</w:t>
            </w:r>
          </w:p>
        </w:tc>
        <w:tc>
          <w:tcPr>
            <w:tcW w:w="2460" w:type="dxa"/>
            <w:tcBorders>
              <w:top w:val="nil"/>
              <w:left w:val="nil"/>
              <w:bottom w:val="nil"/>
              <w:right w:val="nil"/>
            </w:tcBorders>
            <w:shd w:val="clear" w:color="auto" w:fill="auto"/>
            <w:noWrap/>
            <w:vAlign w:val="center"/>
          </w:tcPr>
          <w:p w14:paraId="1683E46E"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1</w:t>
            </w:r>
          </w:p>
        </w:tc>
        <w:tc>
          <w:tcPr>
            <w:tcW w:w="2858" w:type="dxa"/>
            <w:tcBorders>
              <w:top w:val="nil"/>
              <w:left w:val="nil"/>
              <w:bottom w:val="nil"/>
              <w:right w:val="nil"/>
            </w:tcBorders>
            <w:shd w:val="clear" w:color="auto" w:fill="auto"/>
            <w:noWrap/>
            <w:vAlign w:val="center"/>
          </w:tcPr>
          <w:p w14:paraId="5CDF1EDC"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1</w:t>
            </w:r>
          </w:p>
        </w:tc>
      </w:tr>
      <w:tr w:rsidR="000B2968" w:rsidRPr="007B7D30" w14:paraId="748C66EA" w14:textId="77777777" w:rsidTr="00966382">
        <w:trPr>
          <w:trHeight w:val="73"/>
          <w:jc w:val="center"/>
        </w:trPr>
        <w:tc>
          <w:tcPr>
            <w:tcW w:w="1411" w:type="dxa"/>
            <w:tcBorders>
              <w:top w:val="nil"/>
              <w:left w:val="nil"/>
              <w:bottom w:val="nil"/>
              <w:right w:val="nil"/>
            </w:tcBorders>
            <w:shd w:val="clear" w:color="000000" w:fill="D0DBF0"/>
            <w:noWrap/>
            <w:vAlign w:val="center"/>
            <w:hideMark/>
          </w:tcPr>
          <w:p w14:paraId="4FB353CB" w14:textId="77777777" w:rsidR="000B2968" w:rsidRPr="007B7D30" w:rsidRDefault="000B2968" w:rsidP="00DB3DB9">
            <w:pP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000000" w:fill="D0DBF0"/>
            <w:noWrap/>
            <w:vAlign w:val="center"/>
            <w:hideMark/>
          </w:tcPr>
          <w:p w14:paraId="2DA27714"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Guatemala</w:t>
            </w:r>
          </w:p>
        </w:tc>
        <w:tc>
          <w:tcPr>
            <w:tcW w:w="2460" w:type="dxa"/>
            <w:tcBorders>
              <w:top w:val="nil"/>
              <w:left w:val="nil"/>
              <w:bottom w:val="nil"/>
              <w:right w:val="nil"/>
            </w:tcBorders>
            <w:shd w:val="clear" w:color="000000" w:fill="D0DBF0"/>
            <w:noWrap/>
            <w:vAlign w:val="center"/>
            <w:hideMark/>
          </w:tcPr>
          <w:p w14:paraId="4CBEF60F"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1</w:t>
            </w:r>
          </w:p>
        </w:tc>
        <w:tc>
          <w:tcPr>
            <w:tcW w:w="2858" w:type="dxa"/>
            <w:tcBorders>
              <w:top w:val="nil"/>
              <w:left w:val="nil"/>
              <w:bottom w:val="nil"/>
              <w:right w:val="nil"/>
            </w:tcBorders>
            <w:shd w:val="clear" w:color="000000" w:fill="D0DBF0"/>
            <w:noWrap/>
            <w:vAlign w:val="center"/>
            <w:hideMark/>
          </w:tcPr>
          <w:p w14:paraId="54F27557" w14:textId="77777777" w:rsidR="000B2968" w:rsidRPr="007B7D30" w:rsidRDefault="000B2968" w:rsidP="00DB3DB9">
            <w:pPr>
              <w:ind w:firstLine="42"/>
              <w:jc w:val="center"/>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1</w:t>
            </w:r>
          </w:p>
        </w:tc>
      </w:tr>
      <w:tr w:rsidR="000B2968" w:rsidRPr="007B7D30" w14:paraId="6D0F9AA8" w14:textId="77777777" w:rsidTr="00DB3DB9">
        <w:trPr>
          <w:trHeight w:val="255"/>
          <w:jc w:val="center"/>
        </w:trPr>
        <w:tc>
          <w:tcPr>
            <w:tcW w:w="1411" w:type="dxa"/>
            <w:tcBorders>
              <w:top w:val="nil"/>
              <w:left w:val="nil"/>
              <w:bottom w:val="nil"/>
              <w:right w:val="nil"/>
            </w:tcBorders>
            <w:shd w:val="clear" w:color="000000" w:fill="8EAADB"/>
            <w:noWrap/>
            <w:vAlign w:val="center"/>
            <w:hideMark/>
          </w:tcPr>
          <w:p w14:paraId="495516D1"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xml:space="preserve">Staff </w:t>
            </w:r>
            <w:proofErr w:type="gramStart"/>
            <w:r w:rsidRPr="007B7D30">
              <w:rPr>
                <w:rFonts w:ascii="Cambria" w:eastAsia="Times New Roman" w:hAnsi="Cambria" w:cs="Arial"/>
                <w:b/>
                <w:bCs/>
                <w:sz w:val="20"/>
                <w:szCs w:val="20"/>
                <w:lang w:val="es-ES_tradnl" w:eastAsia="es-CO"/>
              </w:rPr>
              <w:t>Asociado  Total</w:t>
            </w:r>
            <w:proofErr w:type="gramEnd"/>
          </w:p>
        </w:tc>
        <w:tc>
          <w:tcPr>
            <w:tcW w:w="3261" w:type="dxa"/>
            <w:tcBorders>
              <w:top w:val="nil"/>
              <w:left w:val="nil"/>
              <w:bottom w:val="nil"/>
              <w:right w:val="nil"/>
            </w:tcBorders>
            <w:shd w:val="clear" w:color="000000" w:fill="8EAADB"/>
            <w:noWrap/>
            <w:vAlign w:val="center"/>
            <w:hideMark/>
          </w:tcPr>
          <w:p w14:paraId="60593AD9" w14:textId="77777777" w:rsidR="000B2968" w:rsidRPr="007B7D30" w:rsidRDefault="000B2968" w:rsidP="00DB3DB9">
            <w:pPr>
              <w:ind w:left="92" w:hanging="20"/>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 </w:t>
            </w:r>
          </w:p>
        </w:tc>
        <w:tc>
          <w:tcPr>
            <w:tcW w:w="2460" w:type="dxa"/>
            <w:tcBorders>
              <w:top w:val="nil"/>
              <w:left w:val="nil"/>
              <w:bottom w:val="nil"/>
              <w:right w:val="nil"/>
            </w:tcBorders>
            <w:shd w:val="clear" w:color="000000" w:fill="8EAADB"/>
            <w:noWrap/>
            <w:vAlign w:val="center"/>
            <w:hideMark/>
          </w:tcPr>
          <w:p w14:paraId="5A337863" w14:textId="77777777" w:rsidR="000B2968" w:rsidRPr="007B7D30" w:rsidRDefault="000B2968" w:rsidP="00DB3DB9">
            <w:pPr>
              <w:ind w:firstLine="42"/>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3</w:t>
            </w:r>
          </w:p>
        </w:tc>
        <w:tc>
          <w:tcPr>
            <w:tcW w:w="2858" w:type="dxa"/>
            <w:tcBorders>
              <w:top w:val="nil"/>
              <w:left w:val="nil"/>
              <w:bottom w:val="nil"/>
              <w:right w:val="nil"/>
            </w:tcBorders>
            <w:shd w:val="clear" w:color="000000" w:fill="8EAADB"/>
            <w:noWrap/>
            <w:vAlign w:val="center"/>
            <w:hideMark/>
          </w:tcPr>
          <w:p w14:paraId="039E5AD7" w14:textId="77777777" w:rsidR="000B2968" w:rsidRPr="007B7D30" w:rsidRDefault="000B2968" w:rsidP="00DB3DB9">
            <w:pPr>
              <w:ind w:firstLine="42"/>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3</w:t>
            </w:r>
          </w:p>
        </w:tc>
      </w:tr>
      <w:tr w:rsidR="000B2968" w:rsidRPr="007B7D30" w14:paraId="388862CC" w14:textId="77777777" w:rsidTr="00966382">
        <w:trPr>
          <w:trHeight w:val="73"/>
          <w:jc w:val="center"/>
        </w:trPr>
        <w:tc>
          <w:tcPr>
            <w:tcW w:w="1411" w:type="dxa"/>
            <w:tcBorders>
              <w:top w:val="nil"/>
              <w:left w:val="nil"/>
              <w:bottom w:val="single" w:sz="8" w:space="0" w:color="4472C4"/>
              <w:right w:val="nil"/>
            </w:tcBorders>
            <w:shd w:val="clear" w:color="auto" w:fill="auto"/>
            <w:noWrap/>
            <w:vAlign w:val="center"/>
            <w:hideMark/>
          </w:tcPr>
          <w:p w14:paraId="0AAD13D9" w14:textId="77777777" w:rsidR="000B2968" w:rsidRPr="007B7D30" w:rsidRDefault="000B2968" w:rsidP="00DB3DB9">
            <w:pP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lastRenderedPageBreak/>
              <w:t>Grand Total</w:t>
            </w:r>
          </w:p>
        </w:tc>
        <w:tc>
          <w:tcPr>
            <w:tcW w:w="3261" w:type="dxa"/>
            <w:tcBorders>
              <w:top w:val="nil"/>
              <w:left w:val="nil"/>
              <w:bottom w:val="single" w:sz="8" w:space="0" w:color="4472C4"/>
              <w:right w:val="nil"/>
            </w:tcBorders>
            <w:shd w:val="clear" w:color="auto" w:fill="auto"/>
            <w:noWrap/>
            <w:vAlign w:val="center"/>
            <w:hideMark/>
          </w:tcPr>
          <w:p w14:paraId="2CDF2634" w14:textId="77777777" w:rsidR="000B2968" w:rsidRPr="007B7D30" w:rsidRDefault="000B2968" w:rsidP="00DB3DB9">
            <w:pPr>
              <w:ind w:left="92" w:hanging="20"/>
              <w:rPr>
                <w:rFonts w:ascii="Cambria" w:eastAsia="Times New Roman" w:hAnsi="Cambria" w:cs="Arial"/>
                <w:sz w:val="20"/>
                <w:szCs w:val="20"/>
                <w:lang w:val="es-ES_tradnl" w:eastAsia="es-CO"/>
              </w:rPr>
            </w:pPr>
            <w:r w:rsidRPr="007B7D30">
              <w:rPr>
                <w:rFonts w:ascii="Cambria" w:eastAsia="Times New Roman" w:hAnsi="Cambria" w:cs="Arial"/>
                <w:sz w:val="20"/>
                <w:szCs w:val="20"/>
                <w:lang w:val="es-ES_tradnl" w:eastAsia="es-CO"/>
              </w:rPr>
              <w:t> </w:t>
            </w:r>
          </w:p>
        </w:tc>
        <w:tc>
          <w:tcPr>
            <w:tcW w:w="2460" w:type="dxa"/>
            <w:tcBorders>
              <w:top w:val="nil"/>
              <w:left w:val="nil"/>
              <w:bottom w:val="single" w:sz="8" w:space="0" w:color="4472C4"/>
              <w:right w:val="nil"/>
            </w:tcBorders>
            <w:shd w:val="clear" w:color="auto" w:fill="auto"/>
            <w:noWrap/>
            <w:vAlign w:val="center"/>
            <w:hideMark/>
          </w:tcPr>
          <w:p w14:paraId="07C95F7A" w14:textId="77777777" w:rsidR="000B2968" w:rsidRPr="007B7D30" w:rsidRDefault="000B2968" w:rsidP="00DB3DB9">
            <w:pPr>
              <w:ind w:firstLine="42"/>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145</w:t>
            </w:r>
          </w:p>
        </w:tc>
        <w:tc>
          <w:tcPr>
            <w:tcW w:w="2858" w:type="dxa"/>
            <w:tcBorders>
              <w:top w:val="nil"/>
              <w:left w:val="nil"/>
              <w:bottom w:val="single" w:sz="8" w:space="0" w:color="4472C4"/>
              <w:right w:val="nil"/>
            </w:tcBorders>
            <w:shd w:val="clear" w:color="auto" w:fill="auto"/>
            <w:noWrap/>
            <w:vAlign w:val="center"/>
            <w:hideMark/>
          </w:tcPr>
          <w:p w14:paraId="536082D7" w14:textId="77777777" w:rsidR="000B2968" w:rsidRPr="007B7D30" w:rsidRDefault="000B2968" w:rsidP="00DB3DB9">
            <w:pPr>
              <w:ind w:firstLine="42"/>
              <w:jc w:val="center"/>
              <w:rPr>
                <w:rFonts w:ascii="Cambria" w:eastAsia="Times New Roman" w:hAnsi="Cambria" w:cs="Arial"/>
                <w:b/>
                <w:bCs/>
                <w:sz w:val="20"/>
                <w:szCs w:val="20"/>
                <w:lang w:val="es-ES_tradnl" w:eastAsia="es-CO"/>
              </w:rPr>
            </w:pPr>
            <w:r w:rsidRPr="007B7D30">
              <w:rPr>
                <w:rFonts w:ascii="Cambria" w:eastAsia="Times New Roman" w:hAnsi="Cambria" w:cs="Arial"/>
                <w:b/>
                <w:bCs/>
                <w:sz w:val="20"/>
                <w:szCs w:val="20"/>
                <w:lang w:val="es-ES_tradnl" w:eastAsia="es-CO"/>
              </w:rPr>
              <w:t>145</w:t>
            </w:r>
          </w:p>
        </w:tc>
      </w:tr>
    </w:tbl>
    <w:p w14:paraId="63430D24" w14:textId="77777777" w:rsidR="000B2968" w:rsidRPr="007B7D30" w:rsidRDefault="000B2968" w:rsidP="00966382">
      <w:pPr>
        <w:pStyle w:val="paragraphs"/>
        <w:numPr>
          <w:ilvl w:val="0"/>
          <w:numId w:val="0"/>
        </w:numPr>
        <w:ind w:left="720"/>
      </w:pPr>
    </w:p>
    <w:p w14:paraId="1E5C0089" w14:textId="77777777" w:rsidR="000B2968" w:rsidRPr="00966382" w:rsidRDefault="000B2968" w:rsidP="00966382">
      <w:pPr>
        <w:pStyle w:val="paragraphs"/>
      </w:pPr>
      <w:r w:rsidRPr="00966382">
        <w:t xml:space="preserve">Durante el primer semestre de 2021 se continuó con el proceso de selección para ocupar el cargo de Titular de la Secretaría Ejecutiva conforme a los procedimientos contenidos en el Artículo 11 del Reglamento de la CIDH. El 4 de mayo la CIDH seleccionó a Tania Reneaum Panszi y remitió su nombre al </w:t>
      </w:r>
      <w:proofErr w:type="gramStart"/>
      <w:r w:rsidRPr="00966382">
        <w:t>Secretario General</w:t>
      </w:r>
      <w:proofErr w:type="gramEnd"/>
      <w:r w:rsidRPr="00966382">
        <w:t xml:space="preserve"> de la Organización de los Estados Americanos (OEA), Luis Almagro, proponiendo su designación por un periodo de cuatro años. Tania Reneaum Panszi inició funciones como </w:t>
      </w:r>
      <w:proofErr w:type="gramStart"/>
      <w:r w:rsidRPr="00966382">
        <w:t>Secretaria Ejecutiva</w:t>
      </w:r>
      <w:proofErr w:type="gramEnd"/>
      <w:r w:rsidRPr="00966382">
        <w:t xml:space="preserve"> el 1 de junio de 2021.</w:t>
      </w:r>
    </w:p>
    <w:p w14:paraId="1DA1B283" w14:textId="7ABECCEF" w:rsidR="000B2968" w:rsidRPr="007B7D30" w:rsidRDefault="00BA31BE" w:rsidP="00966382">
      <w:pPr>
        <w:pStyle w:val="paragraphs"/>
      </w:pPr>
      <w:r w:rsidRPr="007B7D30">
        <w:t>Finalizó el proceso de selección de concursos en fondos específicos para ocupar 3 cargos a nivel P02 en la Sección de Estudio Inicial – Admisibilidad; en la Sección de Monitoreo II, una persona Especialista en Género y en la Sección de Monitoreo III, Relatoría de los Derechos de la Niñez, una persona Especialista en Derechos Humanos.</w:t>
      </w:r>
    </w:p>
    <w:p w14:paraId="5F4A01FC" w14:textId="77777777" w:rsidR="000B2968" w:rsidRPr="007B7D30" w:rsidRDefault="000B2968" w:rsidP="00966382">
      <w:pPr>
        <w:pStyle w:val="paragraphs"/>
      </w:pPr>
      <w:r w:rsidRPr="007B7D30">
        <w:t xml:space="preserve">Se lanzaron las convocatorias para ocupar 11 posiciones financiadas por fondos específicos destinadas a fortalecer el equipo del sistema de peticiones y casos, medidas cautelares, monitoreo, promoción y cooperación técnica, prensa y comunicación, tramitación y gestión administrativa. </w:t>
      </w:r>
    </w:p>
    <w:p w14:paraId="0CFBA400" w14:textId="05E928BD" w:rsidR="00D06795" w:rsidRPr="007B7D30" w:rsidRDefault="00D06795" w:rsidP="00D06795">
      <w:pPr>
        <w:pStyle w:val="paragraphs"/>
      </w:pPr>
      <w:r w:rsidRPr="007B7D30">
        <w:t xml:space="preserve">Se han implementado fichas informativas para cada uno de estos concursos </w:t>
      </w:r>
      <w:r w:rsidR="0012500A" w:rsidRPr="007B7D30">
        <w:t>financiad</w:t>
      </w:r>
      <w:r w:rsidR="00572E2B">
        <w:t>o</w:t>
      </w:r>
      <w:r w:rsidR="0012500A" w:rsidRPr="007B7D30">
        <w:t xml:space="preserve">s por fondos específicos </w:t>
      </w:r>
      <w:r w:rsidRPr="007B7D30">
        <w:t xml:space="preserve">con el fin de transparentar los criterios de selección. Estas fichas se comparten con todo el personal de la SE/CIDH. Asimismo, se realizan evaluaciones escritas en aquellos concursos que lo requieran. El área técnica recibe los documentos sin los nombres de las personas finalistas y posteriormente se invita a las entrevistas de panel a las personas mejor evaluadas. </w:t>
      </w:r>
    </w:p>
    <w:p w14:paraId="37A67FF5" w14:textId="61D6F5CF" w:rsidR="000B2968" w:rsidRPr="007B7D30" w:rsidRDefault="000B2968" w:rsidP="00966382">
      <w:pPr>
        <w:pStyle w:val="paragraphs"/>
      </w:pPr>
      <w:r w:rsidRPr="007B7D30">
        <w:t xml:space="preserve">Adicionalmente se lanzaron las convocatorias para ocupar 5 posiciones financiadas por Fondo Regular: un puesto nivel P03 (Oficial de Proyectos) cuyo proceso de selección finalizó en el mes de octubre. </w:t>
      </w:r>
      <w:r w:rsidR="00331B95" w:rsidRPr="007B7D30">
        <w:t xml:space="preserve">Se encuentran en proceso de selección conforme a las Normas Generales de la SG/OEA: dos puestos nivel P02 (Especialistas en Derechos Humanos destinadas a la Sección de Medidas Cautelares y Monitoreo II respectivamente). Se finalizaron los procesos de selección para los concursos de Jefatura de Gabinete y Especialista Principal en Derechos Humanos, a cargo de la </w:t>
      </w:r>
      <w:proofErr w:type="gramStart"/>
      <w:r w:rsidR="00331B95" w:rsidRPr="007B7D30">
        <w:t>Secretaria Ejecutiva</w:t>
      </w:r>
      <w:proofErr w:type="gramEnd"/>
      <w:r w:rsidR="00331B95" w:rsidRPr="007B7D30">
        <w:t xml:space="preserve"> Adjunta del Sistema de Casos y Peticiones, ambos a nivel P05. Se espera la aprobación de nombramientos por el </w:t>
      </w:r>
      <w:proofErr w:type="gramStart"/>
      <w:r w:rsidR="00331B95" w:rsidRPr="007B7D30">
        <w:t>Secretario General</w:t>
      </w:r>
      <w:proofErr w:type="gramEnd"/>
      <w:r w:rsidR="00331B95" w:rsidRPr="007B7D30">
        <w:t xml:space="preserve"> de la OEA.</w:t>
      </w:r>
    </w:p>
    <w:p w14:paraId="694906ED" w14:textId="77777777" w:rsidR="000B2968" w:rsidRPr="007B7D30" w:rsidRDefault="000B2968" w:rsidP="00966382">
      <w:pPr>
        <w:pStyle w:val="paragraphs"/>
      </w:pPr>
      <w:r w:rsidRPr="007B7D30">
        <w:t>Entre el 2020 y 2021 se gestionaron concursos para ocupar 20 posiciones de Staff, cifra inédita para fortalecer el trabajo de la SE/CIDH, así como atender hallazgos del diagnóstico sobre clima laboral en la SE/CIDH presentado a la CIDH en el primer trimestre de 2021.</w:t>
      </w:r>
    </w:p>
    <w:p w14:paraId="3CDA883B" w14:textId="77777777" w:rsidR="000B2968" w:rsidRPr="007B7D30" w:rsidRDefault="000B2968" w:rsidP="00966382">
      <w:pPr>
        <w:pStyle w:val="paragraphs"/>
      </w:pPr>
      <w:r w:rsidRPr="007B7D30">
        <w:t xml:space="preserve">En el primer semestre la SE/CIDH fue notificada sobre los resultados de las solicitudes de reclasificación para 8 puestos de Coordinación que estaban pendientes desde inicios de 2020. </w:t>
      </w:r>
    </w:p>
    <w:p w14:paraId="41049B0D" w14:textId="77777777" w:rsidR="000B2968" w:rsidRPr="007B7D30" w:rsidRDefault="000B2968" w:rsidP="00966382">
      <w:pPr>
        <w:pStyle w:val="paragraphs"/>
      </w:pPr>
      <w:r w:rsidRPr="007B7D30">
        <w:t>Debido a la situación de pandemia la SG/OEA ha informado que el regreso a las oficinas ha sido pospuesto hasta nuevo aviso. Todo el personal continúa trabajando desde sus hogares y de manera voluntaria, algunas personas asisten a la oficina cumpliendo con los requerimientos de salud solicitados por la SG/OEA para el acceso a los edificios.</w:t>
      </w:r>
    </w:p>
    <w:p w14:paraId="36C95829" w14:textId="77777777" w:rsidR="000B2968" w:rsidRPr="00F5200C" w:rsidRDefault="000B2968" w:rsidP="00F5200C">
      <w:pPr>
        <w:pStyle w:val="Heading2"/>
      </w:pPr>
      <w:r w:rsidRPr="00F5200C">
        <w:t>Consultores, Pasantes, Becarios y Personal Asociado:</w:t>
      </w:r>
    </w:p>
    <w:p w14:paraId="16020E43" w14:textId="65F9E160" w:rsidR="000B2968" w:rsidRPr="00737C8A" w:rsidRDefault="000B2968" w:rsidP="00966382">
      <w:pPr>
        <w:pStyle w:val="paragraphs"/>
      </w:pPr>
      <w:r w:rsidRPr="007B7D30">
        <w:t>Durante 2021 se continuó con la elaboración de contratos de personas consultoras ya existentes y la contratación de nuevos consultores fortaleciendo las diferentes secciones de la SE/CIDH. Al 3</w:t>
      </w:r>
      <w:r w:rsidR="00381B26" w:rsidRPr="007B7D30">
        <w:t>1</w:t>
      </w:r>
      <w:r w:rsidRPr="007B7D30">
        <w:t xml:space="preserve"> de </w:t>
      </w:r>
      <w:r w:rsidR="00381B26" w:rsidRPr="007B7D30">
        <w:t>diciembre</w:t>
      </w:r>
      <w:r w:rsidRPr="007B7D30">
        <w:t xml:space="preserve"> de 2021, la SE/CIDH cuenta con </w:t>
      </w:r>
      <w:r w:rsidR="00381B26" w:rsidRPr="007B7D30">
        <w:t>79</w:t>
      </w:r>
      <w:r w:rsidRPr="007B7D30">
        <w:t xml:space="preserve"> personas consultoras en proyectos de mediano plazo y se han procesado </w:t>
      </w:r>
      <w:r w:rsidR="00C0424C" w:rsidRPr="007B7D30">
        <w:t>477</w:t>
      </w:r>
      <w:r w:rsidRPr="007B7D30">
        <w:t xml:space="preserve"> contratos de personas naturales con fecha de inicio entre el periodo </w:t>
      </w:r>
      <w:r w:rsidR="00102684" w:rsidRPr="007B7D30">
        <w:t xml:space="preserve">de 1 de </w:t>
      </w:r>
      <w:proofErr w:type="gramStart"/>
      <w:r w:rsidRPr="007B7D30">
        <w:t>Enero</w:t>
      </w:r>
      <w:proofErr w:type="gramEnd"/>
      <w:r w:rsidRPr="007B7D30">
        <w:t xml:space="preserve"> </w:t>
      </w:r>
      <w:r w:rsidR="00102684" w:rsidRPr="007B7D30">
        <w:t>a</w:t>
      </w:r>
      <w:r w:rsidRPr="007B7D30">
        <w:t xml:space="preserve"> </w:t>
      </w:r>
      <w:r w:rsidR="00381B26" w:rsidRPr="007B7D30">
        <w:t>31 de diciembre</w:t>
      </w:r>
      <w:r w:rsidR="00410BE4" w:rsidRPr="007B7D30">
        <w:t xml:space="preserve"> de</w:t>
      </w:r>
      <w:r w:rsidRPr="007B7D30">
        <w:t xml:space="preserve"> 2021.</w:t>
      </w:r>
    </w:p>
    <w:p w14:paraId="67E9EAE4" w14:textId="77777777" w:rsidR="000B2968" w:rsidRPr="007B7D30" w:rsidRDefault="000B2968" w:rsidP="00966382">
      <w:pPr>
        <w:pStyle w:val="paragraphs"/>
      </w:pPr>
      <w:r w:rsidRPr="007B7D30">
        <w:lastRenderedPageBreak/>
        <w:t xml:space="preserve">En el mes de julio se implementó un formulario de evaluación para los contratos de consultoría lo que permite contar con información sobre la contribución individual de cada persona consultora para la SE/CIDH. </w:t>
      </w:r>
    </w:p>
    <w:p w14:paraId="13E522C5" w14:textId="77777777" w:rsidR="000B2968" w:rsidRPr="007B7D30" w:rsidRDefault="000B2968" w:rsidP="00966382">
      <w:pPr>
        <w:pStyle w:val="paragraphs"/>
      </w:pPr>
      <w:r w:rsidRPr="007B7D30">
        <w:t xml:space="preserve">Durante el 2021 se llevaron a cabo tres Sesiones de Pasantías a distancia coordinadas por el Departamento de Recursos Humanos de la SG/OEA, se incorporaron un total de 83 pasantes en la Secretaría Ejecutiva de la CIDH. </w:t>
      </w:r>
    </w:p>
    <w:p w14:paraId="58738F4B" w14:textId="77777777" w:rsidR="000B2968" w:rsidRPr="007B7D30" w:rsidRDefault="000B2968" w:rsidP="00966382">
      <w:pPr>
        <w:pStyle w:val="paragraphs"/>
      </w:pPr>
      <w:r w:rsidRPr="007B7D30">
        <w:t xml:space="preserve">A través del apoyo de diferentes instituciones, la SE/CIDH recibió a 16 nuevas personas becarias quienes han trabajado a distancia durante el año: </w:t>
      </w:r>
    </w:p>
    <w:tbl>
      <w:tblPr>
        <w:tblW w:w="79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485"/>
        <w:gridCol w:w="2520"/>
        <w:gridCol w:w="2123"/>
      </w:tblGrid>
      <w:tr w:rsidR="000B2968" w:rsidRPr="007B7D30" w14:paraId="38DDD8AF" w14:textId="77777777" w:rsidTr="00DB3DB9">
        <w:trPr>
          <w:trHeight w:val="615"/>
        </w:trPr>
        <w:tc>
          <w:tcPr>
            <w:tcW w:w="840" w:type="dxa"/>
            <w:shd w:val="clear" w:color="000000" w:fill="C5D9F1"/>
            <w:noWrap/>
            <w:vAlign w:val="center"/>
            <w:hideMark/>
          </w:tcPr>
          <w:p w14:paraId="644D2522" w14:textId="77777777" w:rsidR="000B2968" w:rsidRPr="007B7D30" w:rsidRDefault="000B2968" w:rsidP="00DB3DB9">
            <w:pPr>
              <w:jc w:val="center"/>
              <w:rPr>
                <w:rFonts w:ascii="Cambria" w:eastAsia="Times New Roman" w:hAnsi="Cambria" w:cs="Calibri"/>
                <w:b/>
                <w:bCs/>
                <w:color w:val="000000"/>
                <w:sz w:val="20"/>
                <w:szCs w:val="20"/>
                <w:lang w:val="es-ES_tradnl"/>
              </w:rPr>
            </w:pPr>
            <w:r w:rsidRPr="007B7D30">
              <w:rPr>
                <w:rFonts w:ascii="Cambria" w:eastAsia="Times New Roman" w:hAnsi="Cambria" w:cs="Calibri"/>
                <w:b/>
                <w:bCs/>
                <w:color w:val="000000"/>
                <w:sz w:val="20"/>
                <w:szCs w:val="20"/>
                <w:lang w:val="es-ES_tradnl"/>
              </w:rPr>
              <w:t>No.</w:t>
            </w:r>
          </w:p>
        </w:tc>
        <w:tc>
          <w:tcPr>
            <w:tcW w:w="2485" w:type="dxa"/>
            <w:shd w:val="clear" w:color="000000" w:fill="C5D9F1"/>
            <w:noWrap/>
            <w:vAlign w:val="center"/>
            <w:hideMark/>
          </w:tcPr>
          <w:p w14:paraId="7E9670F9" w14:textId="77777777" w:rsidR="000B2968" w:rsidRPr="007B7D30" w:rsidRDefault="000B2968" w:rsidP="00DB3DB9">
            <w:pPr>
              <w:jc w:val="center"/>
              <w:rPr>
                <w:rFonts w:ascii="Cambria" w:eastAsia="Times New Roman" w:hAnsi="Cambria" w:cs="Calibri"/>
                <w:b/>
                <w:bCs/>
                <w:color w:val="000000"/>
                <w:sz w:val="20"/>
                <w:szCs w:val="20"/>
                <w:lang w:val="es-ES_tradnl"/>
              </w:rPr>
            </w:pPr>
            <w:r w:rsidRPr="007B7D30">
              <w:rPr>
                <w:rFonts w:ascii="Cambria" w:eastAsia="Times New Roman" w:hAnsi="Cambria" w:cs="Calibri"/>
                <w:b/>
                <w:bCs/>
                <w:color w:val="000000"/>
                <w:sz w:val="20"/>
                <w:szCs w:val="20"/>
                <w:lang w:val="es-ES_tradnl"/>
              </w:rPr>
              <w:t>Nacionalidad</w:t>
            </w:r>
          </w:p>
        </w:tc>
        <w:tc>
          <w:tcPr>
            <w:tcW w:w="2520" w:type="dxa"/>
            <w:shd w:val="clear" w:color="000000" w:fill="C5D9F1"/>
            <w:noWrap/>
            <w:vAlign w:val="center"/>
            <w:hideMark/>
          </w:tcPr>
          <w:p w14:paraId="6C7908AD" w14:textId="77777777" w:rsidR="000B2968" w:rsidRPr="007B7D30" w:rsidRDefault="000B2968" w:rsidP="00DB3DB9">
            <w:pPr>
              <w:jc w:val="center"/>
              <w:rPr>
                <w:rFonts w:ascii="Cambria" w:eastAsia="Times New Roman" w:hAnsi="Cambria" w:cs="Calibri"/>
                <w:b/>
                <w:bCs/>
                <w:color w:val="000000"/>
                <w:sz w:val="20"/>
                <w:szCs w:val="20"/>
                <w:lang w:val="es-ES_tradnl"/>
              </w:rPr>
            </w:pPr>
            <w:r w:rsidRPr="007B7D30">
              <w:rPr>
                <w:rFonts w:ascii="Cambria" w:eastAsia="Times New Roman" w:hAnsi="Cambria" w:cs="Calibri"/>
                <w:b/>
                <w:bCs/>
                <w:color w:val="000000"/>
                <w:sz w:val="20"/>
                <w:szCs w:val="20"/>
                <w:lang w:val="es-ES_tradnl"/>
              </w:rPr>
              <w:t>BECA</w:t>
            </w:r>
          </w:p>
        </w:tc>
        <w:tc>
          <w:tcPr>
            <w:tcW w:w="2123" w:type="dxa"/>
            <w:shd w:val="clear" w:color="000000" w:fill="C5D9F1"/>
            <w:noWrap/>
            <w:vAlign w:val="center"/>
            <w:hideMark/>
          </w:tcPr>
          <w:p w14:paraId="7A4EB760" w14:textId="77777777" w:rsidR="000B2968" w:rsidRPr="007B7D30" w:rsidRDefault="000B2968" w:rsidP="00DB3DB9">
            <w:pPr>
              <w:jc w:val="center"/>
              <w:rPr>
                <w:rFonts w:ascii="Cambria" w:eastAsia="Times New Roman" w:hAnsi="Cambria" w:cs="Calibri"/>
                <w:b/>
                <w:bCs/>
                <w:color w:val="000000"/>
                <w:sz w:val="20"/>
                <w:szCs w:val="20"/>
                <w:lang w:val="es-ES_tradnl"/>
              </w:rPr>
            </w:pPr>
            <w:r w:rsidRPr="007B7D30">
              <w:rPr>
                <w:rFonts w:ascii="Cambria" w:eastAsia="Times New Roman" w:hAnsi="Cambria" w:cs="Calibri"/>
                <w:b/>
                <w:bCs/>
                <w:color w:val="000000"/>
                <w:sz w:val="20"/>
                <w:szCs w:val="20"/>
                <w:lang w:val="es-ES_tradnl"/>
              </w:rPr>
              <w:t>Asignación</w:t>
            </w:r>
          </w:p>
        </w:tc>
      </w:tr>
      <w:tr w:rsidR="000B2968" w:rsidRPr="007B7D30" w14:paraId="214F43A1" w14:textId="77777777" w:rsidTr="00F5200C">
        <w:trPr>
          <w:trHeight w:val="467"/>
        </w:trPr>
        <w:tc>
          <w:tcPr>
            <w:tcW w:w="840" w:type="dxa"/>
            <w:shd w:val="clear" w:color="000000" w:fill="FFFFFF"/>
            <w:noWrap/>
            <w:vAlign w:val="center"/>
            <w:hideMark/>
          </w:tcPr>
          <w:p w14:paraId="31CE8053"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w:t>
            </w:r>
          </w:p>
        </w:tc>
        <w:tc>
          <w:tcPr>
            <w:tcW w:w="2485" w:type="dxa"/>
            <w:shd w:val="clear" w:color="auto" w:fill="auto"/>
            <w:noWrap/>
            <w:vAlign w:val="center"/>
          </w:tcPr>
          <w:p w14:paraId="5A1DC652" w14:textId="77777777" w:rsidR="000B2968" w:rsidRPr="007B7D30" w:rsidRDefault="000B2968" w:rsidP="00DB3DB9">
            <w:pPr>
              <w:rPr>
                <w:rFonts w:ascii="Segoe UI Symbol" w:eastAsia="Times New Roman" w:hAnsi="Segoe UI Symbol" w:cs="Calibri"/>
                <w:color w:val="000000"/>
                <w:sz w:val="20"/>
                <w:szCs w:val="20"/>
                <w:lang w:val="es-ES_tradnl" w:eastAsia="ja-JP"/>
              </w:rPr>
            </w:pPr>
            <w:r w:rsidRPr="007B7D30">
              <w:rPr>
                <w:rFonts w:ascii="Cambria" w:eastAsia="Times New Roman" w:hAnsi="Cambria" w:cs="Calibri"/>
                <w:color w:val="000000"/>
                <w:sz w:val="20"/>
                <w:szCs w:val="20"/>
                <w:lang w:val="es-ES_tradnl"/>
              </w:rPr>
              <w:t>Perú</w:t>
            </w:r>
          </w:p>
        </w:tc>
        <w:tc>
          <w:tcPr>
            <w:tcW w:w="2520" w:type="dxa"/>
            <w:shd w:val="clear" w:color="auto" w:fill="auto"/>
            <w:vAlign w:val="center"/>
          </w:tcPr>
          <w:p w14:paraId="434E0D48"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PUCP</w:t>
            </w:r>
          </w:p>
        </w:tc>
        <w:tc>
          <w:tcPr>
            <w:tcW w:w="2123" w:type="dxa"/>
            <w:shd w:val="clear" w:color="auto" w:fill="auto"/>
            <w:vAlign w:val="center"/>
          </w:tcPr>
          <w:p w14:paraId="246066AA"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Casos</w:t>
            </w:r>
          </w:p>
        </w:tc>
      </w:tr>
      <w:tr w:rsidR="000B2968" w:rsidRPr="007B7D30" w14:paraId="7D018AF6" w14:textId="77777777" w:rsidTr="00F5200C">
        <w:trPr>
          <w:trHeight w:val="620"/>
        </w:trPr>
        <w:tc>
          <w:tcPr>
            <w:tcW w:w="840" w:type="dxa"/>
            <w:shd w:val="clear" w:color="000000" w:fill="FFFFFF"/>
            <w:noWrap/>
            <w:vAlign w:val="center"/>
            <w:hideMark/>
          </w:tcPr>
          <w:p w14:paraId="78E22FFB"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2</w:t>
            </w:r>
          </w:p>
        </w:tc>
        <w:tc>
          <w:tcPr>
            <w:tcW w:w="2485" w:type="dxa"/>
            <w:shd w:val="clear" w:color="auto" w:fill="auto"/>
            <w:noWrap/>
            <w:vAlign w:val="center"/>
          </w:tcPr>
          <w:p w14:paraId="1857AEBD"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República Dominicana</w:t>
            </w:r>
          </w:p>
        </w:tc>
        <w:tc>
          <w:tcPr>
            <w:tcW w:w="2520" w:type="dxa"/>
            <w:shd w:val="clear" w:color="auto" w:fill="auto"/>
            <w:vAlign w:val="center"/>
          </w:tcPr>
          <w:p w14:paraId="76D75A8E"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LGBTI-ARCUS</w:t>
            </w:r>
          </w:p>
        </w:tc>
        <w:tc>
          <w:tcPr>
            <w:tcW w:w="2123" w:type="dxa"/>
            <w:shd w:val="clear" w:color="auto" w:fill="auto"/>
            <w:vAlign w:val="center"/>
          </w:tcPr>
          <w:p w14:paraId="3EB9E7E1"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Monitoreo II</w:t>
            </w:r>
          </w:p>
        </w:tc>
      </w:tr>
      <w:tr w:rsidR="000B2968" w:rsidRPr="007B7D30" w14:paraId="431BC876" w14:textId="77777777" w:rsidTr="00F5200C">
        <w:trPr>
          <w:trHeight w:val="620"/>
        </w:trPr>
        <w:tc>
          <w:tcPr>
            <w:tcW w:w="840" w:type="dxa"/>
            <w:shd w:val="clear" w:color="000000" w:fill="FFFFFF"/>
            <w:noWrap/>
            <w:vAlign w:val="center"/>
          </w:tcPr>
          <w:p w14:paraId="3F3CF29B"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3</w:t>
            </w:r>
          </w:p>
        </w:tc>
        <w:tc>
          <w:tcPr>
            <w:tcW w:w="2485" w:type="dxa"/>
            <w:shd w:val="clear" w:color="auto" w:fill="auto"/>
            <w:noWrap/>
            <w:vAlign w:val="center"/>
          </w:tcPr>
          <w:p w14:paraId="20340C3D"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Perú</w:t>
            </w:r>
          </w:p>
        </w:tc>
        <w:tc>
          <w:tcPr>
            <w:tcW w:w="2520" w:type="dxa"/>
            <w:shd w:val="clear" w:color="auto" w:fill="auto"/>
            <w:vAlign w:val="center"/>
          </w:tcPr>
          <w:p w14:paraId="07C6312B"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PUCP</w:t>
            </w:r>
          </w:p>
        </w:tc>
        <w:tc>
          <w:tcPr>
            <w:tcW w:w="2123" w:type="dxa"/>
            <w:shd w:val="clear" w:color="auto" w:fill="auto"/>
            <w:vAlign w:val="center"/>
          </w:tcPr>
          <w:p w14:paraId="5958EA27"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Casos</w:t>
            </w:r>
          </w:p>
        </w:tc>
      </w:tr>
      <w:tr w:rsidR="000B2968" w:rsidRPr="007B7D30" w14:paraId="669F4C2F" w14:textId="77777777" w:rsidTr="00F5200C">
        <w:trPr>
          <w:trHeight w:val="539"/>
        </w:trPr>
        <w:tc>
          <w:tcPr>
            <w:tcW w:w="840" w:type="dxa"/>
            <w:shd w:val="clear" w:color="000000" w:fill="FFFFFF"/>
            <w:noWrap/>
            <w:vAlign w:val="center"/>
          </w:tcPr>
          <w:p w14:paraId="1BE63F18"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4</w:t>
            </w:r>
          </w:p>
        </w:tc>
        <w:tc>
          <w:tcPr>
            <w:tcW w:w="2485" w:type="dxa"/>
            <w:shd w:val="clear" w:color="auto" w:fill="auto"/>
            <w:noWrap/>
            <w:vAlign w:val="center"/>
          </w:tcPr>
          <w:p w14:paraId="6B0F4898"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Perú</w:t>
            </w:r>
          </w:p>
        </w:tc>
        <w:tc>
          <w:tcPr>
            <w:tcW w:w="2520" w:type="dxa"/>
            <w:shd w:val="clear" w:color="auto" w:fill="auto"/>
            <w:vAlign w:val="center"/>
          </w:tcPr>
          <w:p w14:paraId="4460D6FF"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Orlando Sierra</w:t>
            </w:r>
          </w:p>
        </w:tc>
        <w:tc>
          <w:tcPr>
            <w:tcW w:w="2123" w:type="dxa"/>
            <w:shd w:val="clear" w:color="auto" w:fill="auto"/>
            <w:vAlign w:val="center"/>
          </w:tcPr>
          <w:p w14:paraId="5224BE24"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RELE</w:t>
            </w:r>
          </w:p>
        </w:tc>
      </w:tr>
      <w:tr w:rsidR="000B2968" w:rsidRPr="007B7D30" w14:paraId="46E4B07D" w14:textId="77777777" w:rsidTr="00F5200C">
        <w:trPr>
          <w:trHeight w:val="620"/>
        </w:trPr>
        <w:tc>
          <w:tcPr>
            <w:tcW w:w="840" w:type="dxa"/>
            <w:shd w:val="clear" w:color="000000" w:fill="FFFFFF"/>
            <w:noWrap/>
            <w:vAlign w:val="center"/>
          </w:tcPr>
          <w:p w14:paraId="083A9081"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5</w:t>
            </w:r>
          </w:p>
        </w:tc>
        <w:tc>
          <w:tcPr>
            <w:tcW w:w="2485" w:type="dxa"/>
            <w:shd w:val="clear" w:color="auto" w:fill="auto"/>
            <w:noWrap/>
            <w:vAlign w:val="center"/>
          </w:tcPr>
          <w:p w14:paraId="49C647C8"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El Salvador</w:t>
            </w:r>
          </w:p>
        </w:tc>
        <w:tc>
          <w:tcPr>
            <w:tcW w:w="2520" w:type="dxa"/>
            <w:shd w:val="clear" w:color="auto" w:fill="auto"/>
            <w:vAlign w:val="center"/>
          </w:tcPr>
          <w:p w14:paraId="56BC8FDB"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Orlando Sierra</w:t>
            </w:r>
          </w:p>
        </w:tc>
        <w:tc>
          <w:tcPr>
            <w:tcW w:w="2123" w:type="dxa"/>
            <w:shd w:val="clear" w:color="auto" w:fill="auto"/>
            <w:vAlign w:val="center"/>
          </w:tcPr>
          <w:p w14:paraId="1AE7BA59"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RELE</w:t>
            </w:r>
          </w:p>
        </w:tc>
      </w:tr>
      <w:tr w:rsidR="000B2968" w:rsidRPr="007B7D30" w14:paraId="655E59D2" w14:textId="77777777" w:rsidTr="00F5200C">
        <w:trPr>
          <w:trHeight w:val="521"/>
        </w:trPr>
        <w:tc>
          <w:tcPr>
            <w:tcW w:w="840" w:type="dxa"/>
            <w:shd w:val="clear" w:color="000000" w:fill="FFFFFF"/>
            <w:noWrap/>
            <w:vAlign w:val="center"/>
          </w:tcPr>
          <w:p w14:paraId="4E53822D"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6</w:t>
            </w:r>
          </w:p>
        </w:tc>
        <w:tc>
          <w:tcPr>
            <w:tcW w:w="2485" w:type="dxa"/>
            <w:shd w:val="clear" w:color="auto" w:fill="auto"/>
            <w:noWrap/>
            <w:vAlign w:val="center"/>
          </w:tcPr>
          <w:p w14:paraId="74B5DF39"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Brasil</w:t>
            </w:r>
          </w:p>
        </w:tc>
        <w:tc>
          <w:tcPr>
            <w:tcW w:w="2520" w:type="dxa"/>
            <w:shd w:val="clear" w:color="auto" w:fill="auto"/>
            <w:vAlign w:val="center"/>
          </w:tcPr>
          <w:p w14:paraId="0041769C"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Orlando Sierra</w:t>
            </w:r>
          </w:p>
        </w:tc>
        <w:tc>
          <w:tcPr>
            <w:tcW w:w="2123" w:type="dxa"/>
            <w:shd w:val="clear" w:color="auto" w:fill="auto"/>
            <w:vAlign w:val="center"/>
          </w:tcPr>
          <w:p w14:paraId="6A6FFD89"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RELE</w:t>
            </w:r>
          </w:p>
        </w:tc>
      </w:tr>
      <w:tr w:rsidR="000B2968" w:rsidRPr="007B7D30" w14:paraId="28322C48" w14:textId="77777777" w:rsidTr="00F5200C">
        <w:trPr>
          <w:trHeight w:val="539"/>
        </w:trPr>
        <w:tc>
          <w:tcPr>
            <w:tcW w:w="840" w:type="dxa"/>
            <w:shd w:val="clear" w:color="000000" w:fill="FFFFFF"/>
            <w:noWrap/>
            <w:vAlign w:val="center"/>
          </w:tcPr>
          <w:p w14:paraId="6FA8A879"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7</w:t>
            </w:r>
          </w:p>
        </w:tc>
        <w:tc>
          <w:tcPr>
            <w:tcW w:w="2485" w:type="dxa"/>
            <w:shd w:val="clear" w:color="auto" w:fill="auto"/>
            <w:noWrap/>
            <w:vAlign w:val="center"/>
          </w:tcPr>
          <w:p w14:paraId="34542C55"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Perú</w:t>
            </w:r>
          </w:p>
        </w:tc>
        <w:tc>
          <w:tcPr>
            <w:tcW w:w="2520" w:type="dxa"/>
            <w:shd w:val="clear" w:color="auto" w:fill="auto"/>
            <w:vAlign w:val="center"/>
          </w:tcPr>
          <w:p w14:paraId="1C3594D2"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PUCP</w:t>
            </w:r>
          </w:p>
        </w:tc>
        <w:tc>
          <w:tcPr>
            <w:tcW w:w="2123" w:type="dxa"/>
            <w:shd w:val="clear" w:color="auto" w:fill="auto"/>
            <w:vAlign w:val="center"/>
          </w:tcPr>
          <w:p w14:paraId="4E9AEAE5"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Casos</w:t>
            </w:r>
          </w:p>
        </w:tc>
      </w:tr>
      <w:tr w:rsidR="000B2968" w:rsidRPr="007B7D30" w14:paraId="3C52E859" w14:textId="77777777" w:rsidTr="00F5200C">
        <w:trPr>
          <w:trHeight w:val="611"/>
        </w:trPr>
        <w:tc>
          <w:tcPr>
            <w:tcW w:w="840" w:type="dxa"/>
            <w:shd w:val="clear" w:color="000000" w:fill="FFFFFF"/>
            <w:noWrap/>
            <w:vAlign w:val="center"/>
          </w:tcPr>
          <w:p w14:paraId="27D99EE0"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8</w:t>
            </w:r>
          </w:p>
        </w:tc>
        <w:tc>
          <w:tcPr>
            <w:tcW w:w="2485" w:type="dxa"/>
            <w:shd w:val="clear" w:color="auto" w:fill="auto"/>
            <w:noWrap/>
            <w:vAlign w:val="center"/>
          </w:tcPr>
          <w:p w14:paraId="62B0AD3F"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Estados Unidos de América</w:t>
            </w:r>
          </w:p>
        </w:tc>
        <w:tc>
          <w:tcPr>
            <w:tcW w:w="2520" w:type="dxa"/>
            <w:shd w:val="clear" w:color="auto" w:fill="auto"/>
            <w:vAlign w:val="center"/>
          </w:tcPr>
          <w:p w14:paraId="2EF33ABB"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Caribe</w:t>
            </w:r>
          </w:p>
        </w:tc>
        <w:tc>
          <w:tcPr>
            <w:tcW w:w="2123" w:type="dxa"/>
            <w:shd w:val="clear" w:color="auto" w:fill="auto"/>
            <w:vAlign w:val="center"/>
          </w:tcPr>
          <w:p w14:paraId="4420E08A"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Monitoreo III</w:t>
            </w:r>
          </w:p>
        </w:tc>
      </w:tr>
      <w:tr w:rsidR="000B2968" w:rsidRPr="007B7D30" w14:paraId="66B7C0ED" w14:textId="77777777" w:rsidTr="00DB3DB9">
        <w:trPr>
          <w:trHeight w:val="690"/>
        </w:trPr>
        <w:tc>
          <w:tcPr>
            <w:tcW w:w="840" w:type="dxa"/>
            <w:shd w:val="clear" w:color="000000" w:fill="FFFFFF"/>
            <w:noWrap/>
            <w:vAlign w:val="center"/>
          </w:tcPr>
          <w:p w14:paraId="53A86C7B"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9</w:t>
            </w:r>
          </w:p>
        </w:tc>
        <w:tc>
          <w:tcPr>
            <w:tcW w:w="2485" w:type="dxa"/>
            <w:shd w:val="clear" w:color="auto" w:fill="auto"/>
            <w:noWrap/>
            <w:vAlign w:val="center"/>
          </w:tcPr>
          <w:p w14:paraId="7F5695D4"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Estados Unidos de América</w:t>
            </w:r>
          </w:p>
        </w:tc>
        <w:tc>
          <w:tcPr>
            <w:tcW w:w="2520" w:type="dxa"/>
            <w:shd w:val="clear" w:color="auto" w:fill="auto"/>
            <w:vAlign w:val="center"/>
          </w:tcPr>
          <w:p w14:paraId="37BEDC7A"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 xml:space="preserve">Yale </w:t>
            </w:r>
            <w:proofErr w:type="spellStart"/>
            <w:r w:rsidRPr="007B7D30">
              <w:rPr>
                <w:rFonts w:ascii="Cambria" w:eastAsia="Times New Roman" w:hAnsi="Cambria" w:cs="Calibri"/>
                <w:sz w:val="20"/>
                <w:szCs w:val="20"/>
                <w:lang w:val="es-ES_tradnl"/>
              </w:rPr>
              <w:t>Law</w:t>
            </w:r>
            <w:proofErr w:type="spellEnd"/>
            <w:r w:rsidRPr="007B7D30">
              <w:rPr>
                <w:rFonts w:ascii="Cambria" w:eastAsia="Times New Roman" w:hAnsi="Cambria" w:cs="Calibri"/>
                <w:sz w:val="20"/>
                <w:szCs w:val="20"/>
                <w:lang w:val="es-ES_tradnl"/>
              </w:rPr>
              <w:t xml:space="preserve"> </w:t>
            </w:r>
            <w:proofErr w:type="spellStart"/>
            <w:r w:rsidRPr="007B7D30">
              <w:rPr>
                <w:rFonts w:ascii="Cambria" w:eastAsia="Times New Roman" w:hAnsi="Cambria" w:cs="Calibri"/>
                <w:sz w:val="20"/>
                <w:szCs w:val="20"/>
                <w:lang w:val="es-ES_tradnl"/>
              </w:rPr>
              <w:t>School</w:t>
            </w:r>
            <w:proofErr w:type="spellEnd"/>
          </w:p>
        </w:tc>
        <w:tc>
          <w:tcPr>
            <w:tcW w:w="2123" w:type="dxa"/>
            <w:shd w:val="clear" w:color="auto" w:fill="auto"/>
            <w:vAlign w:val="center"/>
          </w:tcPr>
          <w:p w14:paraId="301D14E7"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Monitoreo II</w:t>
            </w:r>
          </w:p>
        </w:tc>
      </w:tr>
      <w:tr w:rsidR="000B2968" w:rsidRPr="007B7D30" w14:paraId="46C34827" w14:textId="77777777" w:rsidTr="00F5200C">
        <w:trPr>
          <w:trHeight w:val="548"/>
        </w:trPr>
        <w:tc>
          <w:tcPr>
            <w:tcW w:w="840" w:type="dxa"/>
            <w:shd w:val="clear" w:color="000000" w:fill="FFFFFF"/>
            <w:noWrap/>
            <w:vAlign w:val="center"/>
          </w:tcPr>
          <w:p w14:paraId="32712A3A"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10</w:t>
            </w:r>
          </w:p>
        </w:tc>
        <w:tc>
          <w:tcPr>
            <w:tcW w:w="2485" w:type="dxa"/>
            <w:shd w:val="clear" w:color="auto" w:fill="auto"/>
            <w:noWrap/>
            <w:vAlign w:val="center"/>
          </w:tcPr>
          <w:p w14:paraId="3A6DBCA7"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Perú</w:t>
            </w:r>
          </w:p>
        </w:tc>
        <w:tc>
          <w:tcPr>
            <w:tcW w:w="2520" w:type="dxa"/>
            <w:shd w:val="clear" w:color="auto" w:fill="auto"/>
            <w:vAlign w:val="center"/>
          </w:tcPr>
          <w:p w14:paraId="1EEB1462"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PUCP</w:t>
            </w:r>
          </w:p>
        </w:tc>
        <w:tc>
          <w:tcPr>
            <w:tcW w:w="2123" w:type="dxa"/>
            <w:shd w:val="clear" w:color="auto" w:fill="auto"/>
            <w:vAlign w:val="center"/>
          </w:tcPr>
          <w:p w14:paraId="3B79B28B"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Casos</w:t>
            </w:r>
          </w:p>
        </w:tc>
      </w:tr>
      <w:tr w:rsidR="000B2968" w:rsidRPr="007B7D30" w14:paraId="1F3F70D5" w14:textId="77777777" w:rsidTr="00F5200C">
        <w:trPr>
          <w:trHeight w:val="620"/>
        </w:trPr>
        <w:tc>
          <w:tcPr>
            <w:tcW w:w="840" w:type="dxa"/>
            <w:shd w:val="clear" w:color="000000" w:fill="FFFFFF"/>
            <w:noWrap/>
            <w:vAlign w:val="center"/>
          </w:tcPr>
          <w:p w14:paraId="4CB3C8D9"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11</w:t>
            </w:r>
          </w:p>
        </w:tc>
        <w:tc>
          <w:tcPr>
            <w:tcW w:w="2485" w:type="dxa"/>
            <w:shd w:val="clear" w:color="auto" w:fill="auto"/>
            <w:noWrap/>
            <w:vAlign w:val="center"/>
          </w:tcPr>
          <w:p w14:paraId="282D0E04"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México</w:t>
            </w:r>
          </w:p>
        </w:tc>
        <w:tc>
          <w:tcPr>
            <w:tcW w:w="2520" w:type="dxa"/>
            <w:shd w:val="clear" w:color="auto" w:fill="auto"/>
            <w:vAlign w:val="center"/>
          </w:tcPr>
          <w:p w14:paraId="637F797B"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UNAM</w:t>
            </w:r>
          </w:p>
        </w:tc>
        <w:tc>
          <w:tcPr>
            <w:tcW w:w="2123" w:type="dxa"/>
            <w:shd w:val="clear" w:color="auto" w:fill="auto"/>
            <w:vAlign w:val="center"/>
          </w:tcPr>
          <w:p w14:paraId="2C644F35"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Casos</w:t>
            </w:r>
          </w:p>
        </w:tc>
      </w:tr>
      <w:tr w:rsidR="000B2968" w:rsidRPr="007B7D30" w14:paraId="29590EC9" w14:textId="77777777" w:rsidTr="00F5200C">
        <w:trPr>
          <w:trHeight w:val="530"/>
        </w:trPr>
        <w:tc>
          <w:tcPr>
            <w:tcW w:w="840" w:type="dxa"/>
            <w:shd w:val="clear" w:color="000000" w:fill="FFFFFF"/>
            <w:noWrap/>
            <w:vAlign w:val="center"/>
          </w:tcPr>
          <w:p w14:paraId="5FD86748"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12</w:t>
            </w:r>
          </w:p>
        </w:tc>
        <w:tc>
          <w:tcPr>
            <w:tcW w:w="2485" w:type="dxa"/>
            <w:shd w:val="clear" w:color="auto" w:fill="auto"/>
            <w:noWrap/>
            <w:vAlign w:val="center"/>
          </w:tcPr>
          <w:p w14:paraId="0BFF0F13"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México</w:t>
            </w:r>
          </w:p>
        </w:tc>
        <w:tc>
          <w:tcPr>
            <w:tcW w:w="2520" w:type="dxa"/>
            <w:shd w:val="clear" w:color="auto" w:fill="auto"/>
            <w:vAlign w:val="center"/>
          </w:tcPr>
          <w:p w14:paraId="52F1FE2E"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Universidad de Monterrey</w:t>
            </w:r>
          </w:p>
        </w:tc>
        <w:tc>
          <w:tcPr>
            <w:tcW w:w="2123" w:type="dxa"/>
            <w:shd w:val="clear" w:color="auto" w:fill="auto"/>
            <w:vAlign w:val="center"/>
          </w:tcPr>
          <w:p w14:paraId="28B0FFFB"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REDESCA</w:t>
            </w:r>
          </w:p>
        </w:tc>
      </w:tr>
      <w:tr w:rsidR="000B2968" w:rsidRPr="007B7D30" w14:paraId="5E1E4EF6" w14:textId="77777777" w:rsidTr="00F5200C">
        <w:trPr>
          <w:trHeight w:val="539"/>
        </w:trPr>
        <w:tc>
          <w:tcPr>
            <w:tcW w:w="840" w:type="dxa"/>
            <w:shd w:val="clear" w:color="000000" w:fill="FFFFFF"/>
            <w:noWrap/>
            <w:vAlign w:val="center"/>
          </w:tcPr>
          <w:p w14:paraId="5898FD40"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13</w:t>
            </w:r>
          </w:p>
        </w:tc>
        <w:tc>
          <w:tcPr>
            <w:tcW w:w="2485" w:type="dxa"/>
            <w:shd w:val="clear" w:color="auto" w:fill="auto"/>
            <w:noWrap/>
            <w:vAlign w:val="center"/>
          </w:tcPr>
          <w:p w14:paraId="00385DFD"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Venezuela</w:t>
            </w:r>
          </w:p>
        </w:tc>
        <w:tc>
          <w:tcPr>
            <w:tcW w:w="2520" w:type="dxa"/>
            <w:shd w:val="clear" w:color="auto" w:fill="auto"/>
            <w:vAlign w:val="center"/>
          </w:tcPr>
          <w:p w14:paraId="0D7A6F4E" w14:textId="77777777" w:rsidR="000B2968" w:rsidRPr="007B7D30" w:rsidRDefault="000B2968" w:rsidP="00DB3DB9">
            <w:pPr>
              <w:rPr>
                <w:rFonts w:ascii="Cambria" w:eastAsia="Times New Roman" w:hAnsi="Cambria" w:cs="Calibri"/>
                <w:sz w:val="20"/>
                <w:szCs w:val="20"/>
                <w:lang w:val="es-ES_tradnl"/>
              </w:rPr>
            </w:pPr>
            <w:proofErr w:type="spellStart"/>
            <w:r w:rsidRPr="007B7D30">
              <w:rPr>
                <w:rFonts w:ascii="Cambria" w:eastAsia="Times New Roman" w:hAnsi="Cambria" w:cs="Calibri"/>
                <w:sz w:val="20"/>
                <w:szCs w:val="20"/>
                <w:lang w:val="es-ES_tradnl"/>
              </w:rPr>
              <w:t>Save</w:t>
            </w:r>
            <w:proofErr w:type="spellEnd"/>
            <w:r w:rsidRPr="007B7D30">
              <w:rPr>
                <w:rFonts w:ascii="Cambria" w:eastAsia="Times New Roman" w:hAnsi="Cambria" w:cs="Calibri"/>
                <w:sz w:val="20"/>
                <w:szCs w:val="20"/>
                <w:lang w:val="es-ES_tradnl"/>
              </w:rPr>
              <w:t xml:space="preserve"> </w:t>
            </w:r>
            <w:proofErr w:type="spellStart"/>
            <w:r w:rsidRPr="007B7D30">
              <w:rPr>
                <w:rFonts w:ascii="Cambria" w:eastAsia="Times New Roman" w:hAnsi="Cambria" w:cs="Calibri"/>
                <w:sz w:val="20"/>
                <w:szCs w:val="20"/>
                <w:lang w:val="es-ES_tradnl"/>
              </w:rPr>
              <w:t>The</w:t>
            </w:r>
            <w:proofErr w:type="spellEnd"/>
            <w:r w:rsidRPr="007B7D30">
              <w:rPr>
                <w:rFonts w:ascii="Cambria" w:eastAsia="Times New Roman" w:hAnsi="Cambria" w:cs="Calibri"/>
                <w:sz w:val="20"/>
                <w:szCs w:val="20"/>
                <w:lang w:val="es-ES_tradnl"/>
              </w:rPr>
              <w:t xml:space="preserve"> </w:t>
            </w:r>
            <w:proofErr w:type="spellStart"/>
            <w:r w:rsidRPr="007B7D30">
              <w:rPr>
                <w:rFonts w:ascii="Cambria" w:eastAsia="Times New Roman" w:hAnsi="Cambria" w:cs="Calibri"/>
                <w:sz w:val="20"/>
                <w:szCs w:val="20"/>
                <w:lang w:val="es-ES_tradnl"/>
              </w:rPr>
              <w:t>Children</w:t>
            </w:r>
            <w:proofErr w:type="spellEnd"/>
          </w:p>
        </w:tc>
        <w:tc>
          <w:tcPr>
            <w:tcW w:w="2123" w:type="dxa"/>
            <w:shd w:val="clear" w:color="auto" w:fill="auto"/>
            <w:vAlign w:val="center"/>
          </w:tcPr>
          <w:p w14:paraId="2D0CC640"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Monitoreo III</w:t>
            </w:r>
          </w:p>
        </w:tc>
      </w:tr>
      <w:tr w:rsidR="000B2968" w:rsidRPr="007B7D30" w14:paraId="679D5587" w14:textId="77777777" w:rsidTr="00F5200C">
        <w:trPr>
          <w:trHeight w:val="530"/>
        </w:trPr>
        <w:tc>
          <w:tcPr>
            <w:tcW w:w="840" w:type="dxa"/>
            <w:shd w:val="clear" w:color="000000" w:fill="FFFFFF"/>
            <w:noWrap/>
            <w:vAlign w:val="center"/>
          </w:tcPr>
          <w:p w14:paraId="4BC80AE2"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14</w:t>
            </w:r>
          </w:p>
        </w:tc>
        <w:tc>
          <w:tcPr>
            <w:tcW w:w="2485" w:type="dxa"/>
            <w:shd w:val="clear" w:color="auto" w:fill="auto"/>
            <w:noWrap/>
            <w:vAlign w:val="center"/>
          </w:tcPr>
          <w:p w14:paraId="54565FEF"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Costa Rica</w:t>
            </w:r>
          </w:p>
        </w:tc>
        <w:tc>
          <w:tcPr>
            <w:tcW w:w="2520" w:type="dxa"/>
            <w:shd w:val="clear" w:color="auto" w:fill="auto"/>
            <w:vAlign w:val="center"/>
          </w:tcPr>
          <w:p w14:paraId="10AB39E1"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LGBTI - ARCUS</w:t>
            </w:r>
          </w:p>
        </w:tc>
        <w:tc>
          <w:tcPr>
            <w:tcW w:w="2123" w:type="dxa"/>
            <w:shd w:val="clear" w:color="auto" w:fill="auto"/>
            <w:vAlign w:val="center"/>
          </w:tcPr>
          <w:p w14:paraId="13D82F5A"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Monitoreo II</w:t>
            </w:r>
          </w:p>
        </w:tc>
      </w:tr>
      <w:tr w:rsidR="000B2968" w:rsidRPr="007B7D30" w14:paraId="650D7CD1" w14:textId="77777777" w:rsidTr="00DB3DB9">
        <w:trPr>
          <w:trHeight w:val="690"/>
        </w:trPr>
        <w:tc>
          <w:tcPr>
            <w:tcW w:w="840" w:type="dxa"/>
            <w:shd w:val="clear" w:color="000000" w:fill="FFFFFF"/>
            <w:noWrap/>
            <w:vAlign w:val="center"/>
          </w:tcPr>
          <w:p w14:paraId="19E700F9"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15</w:t>
            </w:r>
          </w:p>
        </w:tc>
        <w:tc>
          <w:tcPr>
            <w:tcW w:w="2485" w:type="dxa"/>
            <w:shd w:val="clear" w:color="auto" w:fill="auto"/>
            <w:noWrap/>
            <w:vAlign w:val="center"/>
          </w:tcPr>
          <w:p w14:paraId="4E1D1DA2"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Perú</w:t>
            </w:r>
          </w:p>
        </w:tc>
        <w:tc>
          <w:tcPr>
            <w:tcW w:w="2520" w:type="dxa"/>
            <w:shd w:val="clear" w:color="auto" w:fill="auto"/>
            <w:vAlign w:val="center"/>
          </w:tcPr>
          <w:p w14:paraId="4E06AD23"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PUCP</w:t>
            </w:r>
          </w:p>
        </w:tc>
        <w:tc>
          <w:tcPr>
            <w:tcW w:w="2123" w:type="dxa"/>
            <w:shd w:val="clear" w:color="auto" w:fill="auto"/>
            <w:vAlign w:val="center"/>
          </w:tcPr>
          <w:p w14:paraId="712CF705"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Casos</w:t>
            </w:r>
          </w:p>
        </w:tc>
      </w:tr>
      <w:tr w:rsidR="000B2968" w:rsidRPr="007B7D30" w14:paraId="03CBA1C3" w14:textId="77777777" w:rsidTr="00F5200C">
        <w:trPr>
          <w:trHeight w:val="440"/>
        </w:trPr>
        <w:tc>
          <w:tcPr>
            <w:tcW w:w="840" w:type="dxa"/>
            <w:shd w:val="clear" w:color="000000" w:fill="FFFFFF"/>
            <w:noWrap/>
            <w:vAlign w:val="center"/>
          </w:tcPr>
          <w:p w14:paraId="517A3D75" w14:textId="77777777" w:rsidR="000B2968" w:rsidRPr="007B7D30" w:rsidRDefault="000B2968" w:rsidP="00DB3DB9">
            <w:pPr>
              <w:jc w:val="center"/>
              <w:rPr>
                <w:rFonts w:ascii="Cambria" w:eastAsia="Times New Roman" w:hAnsi="Cambria" w:cs="Calibri"/>
                <w:bCs/>
                <w:sz w:val="20"/>
                <w:szCs w:val="20"/>
                <w:lang w:val="es-ES_tradnl"/>
              </w:rPr>
            </w:pPr>
            <w:r w:rsidRPr="007B7D30">
              <w:rPr>
                <w:rFonts w:ascii="Cambria" w:eastAsia="Times New Roman" w:hAnsi="Cambria" w:cs="Calibri"/>
                <w:bCs/>
                <w:sz w:val="20"/>
                <w:szCs w:val="20"/>
                <w:lang w:val="es-ES_tradnl"/>
              </w:rPr>
              <w:t>16</w:t>
            </w:r>
          </w:p>
        </w:tc>
        <w:tc>
          <w:tcPr>
            <w:tcW w:w="2485" w:type="dxa"/>
            <w:shd w:val="clear" w:color="auto" w:fill="auto"/>
            <w:noWrap/>
            <w:vAlign w:val="center"/>
          </w:tcPr>
          <w:p w14:paraId="5994A20C"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Perú</w:t>
            </w:r>
          </w:p>
        </w:tc>
        <w:tc>
          <w:tcPr>
            <w:tcW w:w="2520" w:type="dxa"/>
            <w:shd w:val="clear" w:color="auto" w:fill="auto"/>
            <w:vAlign w:val="center"/>
          </w:tcPr>
          <w:p w14:paraId="36197975" w14:textId="77777777" w:rsidR="000B2968" w:rsidRPr="007B7D30" w:rsidRDefault="000B2968" w:rsidP="00DB3DB9">
            <w:pPr>
              <w:rPr>
                <w:rFonts w:ascii="Cambria" w:eastAsia="Times New Roman" w:hAnsi="Cambria" w:cs="Calibri"/>
                <w:sz w:val="20"/>
                <w:szCs w:val="20"/>
                <w:lang w:val="es-ES_tradnl"/>
              </w:rPr>
            </w:pPr>
            <w:r w:rsidRPr="007B7D30">
              <w:rPr>
                <w:rFonts w:ascii="Cambria" w:eastAsia="Times New Roman" w:hAnsi="Cambria" w:cs="Calibri"/>
                <w:sz w:val="20"/>
                <w:szCs w:val="20"/>
                <w:lang w:val="es-ES_tradnl"/>
              </w:rPr>
              <w:t>PUCP</w:t>
            </w:r>
          </w:p>
        </w:tc>
        <w:tc>
          <w:tcPr>
            <w:tcW w:w="2123" w:type="dxa"/>
            <w:shd w:val="clear" w:color="auto" w:fill="auto"/>
            <w:vAlign w:val="center"/>
          </w:tcPr>
          <w:p w14:paraId="0A5541D8" w14:textId="77777777" w:rsidR="000B2968" w:rsidRPr="007B7D30" w:rsidRDefault="000B2968" w:rsidP="00DB3DB9">
            <w:pPr>
              <w:rPr>
                <w:rFonts w:ascii="Cambria" w:eastAsia="Times New Roman" w:hAnsi="Cambria" w:cs="Calibri"/>
                <w:color w:val="000000"/>
                <w:sz w:val="20"/>
                <w:szCs w:val="20"/>
                <w:lang w:val="es-ES_tradnl"/>
              </w:rPr>
            </w:pPr>
            <w:r w:rsidRPr="007B7D30">
              <w:rPr>
                <w:rFonts w:ascii="Cambria" w:eastAsia="Times New Roman" w:hAnsi="Cambria" w:cs="Calibri"/>
                <w:color w:val="000000"/>
                <w:sz w:val="20"/>
                <w:szCs w:val="20"/>
                <w:lang w:val="es-ES_tradnl"/>
              </w:rPr>
              <w:t>Casos</w:t>
            </w:r>
          </w:p>
        </w:tc>
      </w:tr>
    </w:tbl>
    <w:p w14:paraId="210EC621" w14:textId="77777777" w:rsidR="000B2968" w:rsidRPr="007B7D30" w:rsidRDefault="000B2968" w:rsidP="00966382">
      <w:pPr>
        <w:pStyle w:val="paragraphs"/>
      </w:pPr>
      <w:r w:rsidRPr="007B7D30">
        <w:lastRenderedPageBreak/>
        <w:t>Adicionalmente, gracias al apoyo de las siguientes Instituciones, durante el 2021 la SE/CIDH recibió a cinco de sus funcionarios/as bajo la modalidad de personal asociado:</w:t>
      </w:r>
    </w:p>
    <w:tbl>
      <w:tblPr>
        <w:tblW w:w="82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73"/>
        <w:gridCol w:w="4770"/>
        <w:gridCol w:w="2620"/>
      </w:tblGrid>
      <w:tr w:rsidR="000B2968" w:rsidRPr="007B7D30" w14:paraId="2651A2B2" w14:textId="77777777" w:rsidTr="00DB3DB9">
        <w:trPr>
          <w:trHeight w:val="300"/>
          <w:jc w:val="center"/>
        </w:trPr>
        <w:tc>
          <w:tcPr>
            <w:tcW w:w="873" w:type="dxa"/>
            <w:shd w:val="clear" w:color="auto" w:fill="D9E2F3" w:themeFill="accent1" w:themeFillTint="33"/>
            <w:noWrap/>
            <w:tcMar>
              <w:top w:w="0" w:type="dxa"/>
              <w:left w:w="108" w:type="dxa"/>
              <w:bottom w:w="0" w:type="dxa"/>
              <w:right w:w="108" w:type="dxa"/>
            </w:tcMar>
            <w:vAlign w:val="bottom"/>
            <w:hideMark/>
          </w:tcPr>
          <w:p w14:paraId="4ED392A4" w14:textId="77777777" w:rsidR="000B2968" w:rsidRPr="007B7D30" w:rsidRDefault="000B2968" w:rsidP="00966382">
            <w:pPr>
              <w:pStyle w:val="paragraphs"/>
              <w:numPr>
                <w:ilvl w:val="0"/>
                <w:numId w:val="0"/>
              </w:numPr>
              <w:ind w:left="360"/>
            </w:pPr>
            <w:r w:rsidRPr="007B7D30">
              <w:t>No.</w:t>
            </w:r>
          </w:p>
        </w:tc>
        <w:tc>
          <w:tcPr>
            <w:tcW w:w="4770" w:type="dxa"/>
            <w:shd w:val="clear" w:color="auto" w:fill="D9E2F3" w:themeFill="accent1" w:themeFillTint="33"/>
            <w:noWrap/>
            <w:tcMar>
              <w:top w:w="0" w:type="dxa"/>
              <w:left w:w="108" w:type="dxa"/>
              <w:bottom w:w="0" w:type="dxa"/>
              <w:right w:w="108" w:type="dxa"/>
            </w:tcMar>
            <w:vAlign w:val="bottom"/>
            <w:hideMark/>
          </w:tcPr>
          <w:p w14:paraId="25AD6F54" w14:textId="77777777" w:rsidR="000B2968" w:rsidRPr="007B7D30" w:rsidRDefault="000B2968" w:rsidP="00966382">
            <w:pPr>
              <w:pStyle w:val="paragraphs"/>
              <w:numPr>
                <w:ilvl w:val="0"/>
                <w:numId w:val="0"/>
              </w:numPr>
              <w:ind w:left="360"/>
            </w:pPr>
            <w:r w:rsidRPr="007B7D30">
              <w:t>Institución</w:t>
            </w:r>
          </w:p>
        </w:tc>
        <w:tc>
          <w:tcPr>
            <w:tcW w:w="2620" w:type="dxa"/>
            <w:shd w:val="clear" w:color="auto" w:fill="D9E2F3" w:themeFill="accent1" w:themeFillTint="33"/>
            <w:noWrap/>
            <w:tcMar>
              <w:top w:w="0" w:type="dxa"/>
              <w:left w:w="108" w:type="dxa"/>
              <w:bottom w:w="0" w:type="dxa"/>
              <w:right w:w="108" w:type="dxa"/>
            </w:tcMar>
            <w:vAlign w:val="bottom"/>
            <w:hideMark/>
          </w:tcPr>
          <w:p w14:paraId="0994A384" w14:textId="77777777" w:rsidR="000B2968" w:rsidRPr="007B7D30" w:rsidRDefault="000B2968" w:rsidP="00966382">
            <w:pPr>
              <w:pStyle w:val="paragraphs"/>
              <w:numPr>
                <w:ilvl w:val="0"/>
                <w:numId w:val="0"/>
              </w:numPr>
              <w:ind w:left="360"/>
            </w:pPr>
            <w:r w:rsidRPr="007B7D30">
              <w:t>Asignación</w:t>
            </w:r>
          </w:p>
        </w:tc>
      </w:tr>
      <w:tr w:rsidR="000B2968" w:rsidRPr="007B7D30" w14:paraId="2CA09104" w14:textId="77777777" w:rsidTr="00DB3DB9">
        <w:trPr>
          <w:trHeight w:val="300"/>
          <w:jc w:val="center"/>
        </w:trPr>
        <w:tc>
          <w:tcPr>
            <w:tcW w:w="873" w:type="dxa"/>
            <w:noWrap/>
            <w:tcMar>
              <w:top w:w="0" w:type="dxa"/>
              <w:left w:w="108" w:type="dxa"/>
              <w:bottom w:w="0" w:type="dxa"/>
              <w:right w:w="108" w:type="dxa"/>
            </w:tcMar>
            <w:vAlign w:val="center"/>
          </w:tcPr>
          <w:p w14:paraId="24DB52CB" w14:textId="77777777" w:rsidR="000B2968" w:rsidRPr="007B7D30" w:rsidRDefault="000B2968" w:rsidP="00966382">
            <w:pPr>
              <w:pStyle w:val="paragraphs"/>
              <w:numPr>
                <w:ilvl w:val="0"/>
                <w:numId w:val="0"/>
              </w:numPr>
              <w:ind w:left="360"/>
            </w:pPr>
            <w:r w:rsidRPr="007B7D30">
              <w:t>1</w:t>
            </w:r>
          </w:p>
        </w:tc>
        <w:tc>
          <w:tcPr>
            <w:tcW w:w="4770" w:type="dxa"/>
            <w:noWrap/>
            <w:tcMar>
              <w:top w:w="0" w:type="dxa"/>
              <w:left w:w="108" w:type="dxa"/>
              <w:bottom w:w="0" w:type="dxa"/>
              <w:right w:w="108" w:type="dxa"/>
            </w:tcMar>
            <w:vAlign w:val="center"/>
            <w:hideMark/>
          </w:tcPr>
          <w:p w14:paraId="0D03FE35" w14:textId="77777777" w:rsidR="000B2968" w:rsidRPr="007B7D30" w:rsidRDefault="000B2968" w:rsidP="00966382">
            <w:pPr>
              <w:pStyle w:val="paragraphs"/>
              <w:numPr>
                <w:ilvl w:val="0"/>
                <w:numId w:val="0"/>
              </w:numPr>
              <w:ind w:left="360"/>
            </w:pPr>
            <w:r w:rsidRPr="007B7D30">
              <w:t>Trust de las Américas</w:t>
            </w:r>
          </w:p>
        </w:tc>
        <w:tc>
          <w:tcPr>
            <w:tcW w:w="2620" w:type="dxa"/>
            <w:noWrap/>
            <w:tcMar>
              <w:top w:w="0" w:type="dxa"/>
              <w:left w:w="108" w:type="dxa"/>
              <w:bottom w:w="0" w:type="dxa"/>
              <w:right w:w="108" w:type="dxa"/>
            </w:tcMar>
            <w:vAlign w:val="center"/>
            <w:hideMark/>
          </w:tcPr>
          <w:p w14:paraId="6D3BDD2A" w14:textId="77777777" w:rsidR="000B2968" w:rsidRPr="007B7D30" w:rsidRDefault="000B2968" w:rsidP="00966382">
            <w:pPr>
              <w:pStyle w:val="paragraphs"/>
              <w:numPr>
                <w:ilvl w:val="0"/>
                <w:numId w:val="0"/>
              </w:numPr>
              <w:ind w:left="360"/>
            </w:pPr>
            <w:r w:rsidRPr="007B7D30">
              <w:t>RELE</w:t>
            </w:r>
          </w:p>
        </w:tc>
      </w:tr>
      <w:tr w:rsidR="000B2968" w:rsidRPr="007B7D30" w14:paraId="574E9A43" w14:textId="77777777" w:rsidTr="00DB3DB9">
        <w:trPr>
          <w:trHeight w:val="300"/>
          <w:jc w:val="center"/>
        </w:trPr>
        <w:tc>
          <w:tcPr>
            <w:tcW w:w="873" w:type="dxa"/>
            <w:noWrap/>
            <w:tcMar>
              <w:top w:w="0" w:type="dxa"/>
              <w:left w:w="108" w:type="dxa"/>
              <w:bottom w:w="0" w:type="dxa"/>
              <w:right w:w="108" w:type="dxa"/>
            </w:tcMar>
            <w:vAlign w:val="center"/>
          </w:tcPr>
          <w:p w14:paraId="26E80A91" w14:textId="77777777" w:rsidR="000B2968" w:rsidRPr="007B7D30" w:rsidRDefault="000B2968" w:rsidP="00966382">
            <w:pPr>
              <w:pStyle w:val="paragraphs"/>
              <w:numPr>
                <w:ilvl w:val="0"/>
                <w:numId w:val="0"/>
              </w:numPr>
              <w:ind w:left="360"/>
            </w:pPr>
            <w:r w:rsidRPr="007B7D30">
              <w:t>2</w:t>
            </w:r>
          </w:p>
        </w:tc>
        <w:tc>
          <w:tcPr>
            <w:tcW w:w="4770" w:type="dxa"/>
            <w:noWrap/>
            <w:tcMar>
              <w:top w:w="0" w:type="dxa"/>
              <w:left w:w="108" w:type="dxa"/>
              <w:bottom w:w="0" w:type="dxa"/>
              <w:right w:w="108" w:type="dxa"/>
            </w:tcMar>
            <w:vAlign w:val="center"/>
            <w:hideMark/>
          </w:tcPr>
          <w:p w14:paraId="2EEA146C" w14:textId="77777777" w:rsidR="000B2968" w:rsidRPr="007B7D30" w:rsidRDefault="000B2968" w:rsidP="00966382">
            <w:pPr>
              <w:pStyle w:val="paragraphs"/>
              <w:numPr>
                <w:ilvl w:val="0"/>
                <w:numId w:val="0"/>
              </w:numPr>
              <w:ind w:left="360"/>
            </w:pPr>
            <w:r w:rsidRPr="007B7D30">
              <w:t>Trust de las Américas</w:t>
            </w:r>
          </w:p>
        </w:tc>
        <w:tc>
          <w:tcPr>
            <w:tcW w:w="2620" w:type="dxa"/>
            <w:noWrap/>
            <w:tcMar>
              <w:top w:w="0" w:type="dxa"/>
              <w:left w:w="108" w:type="dxa"/>
              <w:bottom w:w="0" w:type="dxa"/>
              <w:right w:w="108" w:type="dxa"/>
            </w:tcMar>
            <w:vAlign w:val="center"/>
            <w:hideMark/>
          </w:tcPr>
          <w:p w14:paraId="651E5277" w14:textId="77777777" w:rsidR="000B2968" w:rsidRPr="007B7D30" w:rsidRDefault="000B2968" w:rsidP="00966382">
            <w:pPr>
              <w:pStyle w:val="paragraphs"/>
              <w:numPr>
                <w:ilvl w:val="0"/>
                <w:numId w:val="0"/>
              </w:numPr>
              <w:ind w:left="360"/>
            </w:pPr>
            <w:r w:rsidRPr="007B7D30">
              <w:t>Monitoreo II</w:t>
            </w:r>
          </w:p>
        </w:tc>
      </w:tr>
      <w:tr w:rsidR="000B2968" w:rsidRPr="007B7D30" w14:paraId="4DB014DC" w14:textId="77777777" w:rsidTr="00DB3DB9">
        <w:trPr>
          <w:trHeight w:val="300"/>
          <w:jc w:val="center"/>
        </w:trPr>
        <w:tc>
          <w:tcPr>
            <w:tcW w:w="873" w:type="dxa"/>
            <w:noWrap/>
            <w:tcMar>
              <w:top w:w="0" w:type="dxa"/>
              <w:left w:w="108" w:type="dxa"/>
              <w:bottom w:w="0" w:type="dxa"/>
              <w:right w:w="108" w:type="dxa"/>
            </w:tcMar>
            <w:vAlign w:val="center"/>
          </w:tcPr>
          <w:p w14:paraId="7D80DFEB" w14:textId="77777777" w:rsidR="000B2968" w:rsidRPr="007B7D30" w:rsidRDefault="000B2968" w:rsidP="00966382">
            <w:pPr>
              <w:pStyle w:val="paragraphs"/>
              <w:numPr>
                <w:ilvl w:val="0"/>
                <w:numId w:val="0"/>
              </w:numPr>
              <w:ind w:left="360"/>
            </w:pPr>
            <w:r w:rsidRPr="007B7D30">
              <w:t>3</w:t>
            </w:r>
          </w:p>
        </w:tc>
        <w:tc>
          <w:tcPr>
            <w:tcW w:w="4770" w:type="dxa"/>
            <w:noWrap/>
            <w:tcMar>
              <w:top w:w="0" w:type="dxa"/>
              <w:left w:w="108" w:type="dxa"/>
              <w:bottom w:w="0" w:type="dxa"/>
              <w:right w:w="108" w:type="dxa"/>
            </w:tcMar>
            <w:vAlign w:val="center"/>
          </w:tcPr>
          <w:p w14:paraId="541B2392" w14:textId="77777777" w:rsidR="000B2968" w:rsidRPr="007B7D30" w:rsidRDefault="000B2968" w:rsidP="00966382">
            <w:pPr>
              <w:pStyle w:val="paragraphs"/>
              <w:numPr>
                <w:ilvl w:val="0"/>
                <w:numId w:val="0"/>
              </w:numPr>
              <w:ind w:left="360"/>
              <w:rPr>
                <w:rFonts w:cs="Calibri"/>
              </w:rPr>
            </w:pPr>
            <w:r w:rsidRPr="007B7D30">
              <w:t>Ministerio Público del Trabajo de Brasil</w:t>
            </w:r>
          </w:p>
        </w:tc>
        <w:tc>
          <w:tcPr>
            <w:tcW w:w="2620" w:type="dxa"/>
            <w:noWrap/>
            <w:tcMar>
              <w:top w:w="0" w:type="dxa"/>
              <w:left w:w="108" w:type="dxa"/>
              <w:bottom w:w="0" w:type="dxa"/>
              <w:right w:w="108" w:type="dxa"/>
            </w:tcMar>
            <w:vAlign w:val="center"/>
          </w:tcPr>
          <w:p w14:paraId="303072C7" w14:textId="77777777" w:rsidR="000B2968" w:rsidRPr="007B7D30" w:rsidRDefault="000B2968" w:rsidP="00966382">
            <w:pPr>
              <w:pStyle w:val="paragraphs"/>
              <w:numPr>
                <w:ilvl w:val="0"/>
                <w:numId w:val="0"/>
              </w:numPr>
              <w:ind w:left="360"/>
            </w:pPr>
            <w:r w:rsidRPr="007B7D30">
              <w:t>REDESCA</w:t>
            </w:r>
          </w:p>
        </w:tc>
      </w:tr>
      <w:tr w:rsidR="000B2968" w:rsidRPr="007B7D30" w14:paraId="7A8FC12E" w14:textId="77777777" w:rsidTr="00DB3DB9">
        <w:trPr>
          <w:trHeight w:val="300"/>
          <w:jc w:val="center"/>
        </w:trPr>
        <w:tc>
          <w:tcPr>
            <w:tcW w:w="873" w:type="dxa"/>
            <w:noWrap/>
            <w:tcMar>
              <w:top w:w="0" w:type="dxa"/>
              <w:left w:w="108" w:type="dxa"/>
              <w:bottom w:w="0" w:type="dxa"/>
              <w:right w:w="108" w:type="dxa"/>
            </w:tcMar>
            <w:vAlign w:val="center"/>
          </w:tcPr>
          <w:p w14:paraId="771D0A38" w14:textId="77777777" w:rsidR="000B2968" w:rsidRPr="007B7D30" w:rsidRDefault="000B2968" w:rsidP="00966382">
            <w:pPr>
              <w:pStyle w:val="paragraphs"/>
              <w:numPr>
                <w:ilvl w:val="0"/>
                <w:numId w:val="0"/>
              </w:numPr>
              <w:ind w:left="360"/>
            </w:pPr>
            <w:r w:rsidRPr="007B7D30">
              <w:t>4</w:t>
            </w:r>
          </w:p>
        </w:tc>
        <w:tc>
          <w:tcPr>
            <w:tcW w:w="4770" w:type="dxa"/>
            <w:noWrap/>
            <w:tcMar>
              <w:top w:w="0" w:type="dxa"/>
              <w:left w:w="108" w:type="dxa"/>
              <w:bottom w:w="0" w:type="dxa"/>
              <w:right w:w="108" w:type="dxa"/>
            </w:tcMar>
            <w:vAlign w:val="center"/>
            <w:hideMark/>
          </w:tcPr>
          <w:p w14:paraId="301DFF6E" w14:textId="77777777" w:rsidR="000B2968" w:rsidRPr="007B7D30" w:rsidRDefault="000B2968" w:rsidP="00966382">
            <w:pPr>
              <w:pStyle w:val="paragraphs"/>
              <w:numPr>
                <w:ilvl w:val="0"/>
                <w:numId w:val="0"/>
              </w:numPr>
              <w:ind w:left="360"/>
              <w:rPr>
                <w:rFonts w:eastAsia="Cambria" w:cs="Calibri"/>
              </w:rPr>
            </w:pPr>
            <w:proofErr w:type="spellStart"/>
            <w:r w:rsidRPr="007B7D30">
              <w:t>Justice</w:t>
            </w:r>
            <w:proofErr w:type="spellEnd"/>
            <w:r w:rsidRPr="007B7D30">
              <w:t xml:space="preserve"> Rapid Response (JRR)</w:t>
            </w:r>
          </w:p>
        </w:tc>
        <w:tc>
          <w:tcPr>
            <w:tcW w:w="2620" w:type="dxa"/>
            <w:noWrap/>
            <w:tcMar>
              <w:top w:w="0" w:type="dxa"/>
              <w:left w:w="108" w:type="dxa"/>
              <w:bottom w:w="0" w:type="dxa"/>
              <w:right w:w="108" w:type="dxa"/>
            </w:tcMar>
            <w:vAlign w:val="center"/>
            <w:hideMark/>
          </w:tcPr>
          <w:p w14:paraId="09DCE6D2" w14:textId="77777777" w:rsidR="000B2968" w:rsidRPr="007B7D30" w:rsidRDefault="000B2968" w:rsidP="00966382">
            <w:pPr>
              <w:pStyle w:val="paragraphs"/>
              <w:numPr>
                <w:ilvl w:val="0"/>
                <w:numId w:val="0"/>
              </w:numPr>
              <w:ind w:left="360"/>
            </w:pPr>
            <w:r w:rsidRPr="007B7D30">
              <w:t>GIEI Bolivia</w:t>
            </w:r>
          </w:p>
        </w:tc>
      </w:tr>
      <w:tr w:rsidR="000B2968" w:rsidRPr="007B7D30" w14:paraId="7C656701" w14:textId="77777777" w:rsidTr="00DB3DB9">
        <w:trPr>
          <w:trHeight w:val="300"/>
          <w:jc w:val="center"/>
        </w:trPr>
        <w:tc>
          <w:tcPr>
            <w:tcW w:w="873" w:type="dxa"/>
            <w:noWrap/>
            <w:tcMar>
              <w:top w:w="0" w:type="dxa"/>
              <w:left w:w="108" w:type="dxa"/>
              <w:bottom w:w="0" w:type="dxa"/>
              <w:right w:w="108" w:type="dxa"/>
            </w:tcMar>
            <w:vAlign w:val="center"/>
          </w:tcPr>
          <w:p w14:paraId="77F2F912" w14:textId="77777777" w:rsidR="000B2968" w:rsidRPr="007B7D30" w:rsidRDefault="000B2968" w:rsidP="00966382">
            <w:pPr>
              <w:pStyle w:val="paragraphs"/>
              <w:numPr>
                <w:ilvl w:val="0"/>
                <w:numId w:val="0"/>
              </w:numPr>
              <w:ind w:left="360"/>
            </w:pPr>
            <w:r w:rsidRPr="007B7D30">
              <w:t xml:space="preserve">5 </w:t>
            </w:r>
          </w:p>
        </w:tc>
        <w:tc>
          <w:tcPr>
            <w:tcW w:w="4770" w:type="dxa"/>
            <w:noWrap/>
            <w:tcMar>
              <w:top w:w="0" w:type="dxa"/>
              <w:left w:w="108" w:type="dxa"/>
              <w:bottom w:w="0" w:type="dxa"/>
              <w:right w:w="108" w:type="dxa"/>
            </w:tcMar>
            <w:vAlign w:val="center"/>
          </w:tcPr>
          <w:p w14:paraId="3F4A0F04" w14:textId="77777777" w:rsidR="000B2968" w:rsidRPr="007B7D30" w:rsidRDefault="000B2968" w:rsidP="00966382">
            <w:pPr>
              <w:pStyle w:val="paragraphs"/>
              <w:numPr>
                <w:ilvl w:val="0"/>
                <w:numId w:val="0"/>
              </w:numPr>
              <w:ind w:left="360"/>
            </w:pPr>
            <w:r w:rsidRPr="007B7D30">
              <w:t>Defensoría Pública Penal de Chile</w:t>
            </w:r>
          </w:p>
        </w:tc>
        <w:tc>
          <w:tcPr>
            <w:tcW w:w="2620" w:type="dxa"/>
            <w:noWrap/>
            <w:tcMar>
              <w:top w:w="0" w:type="dxa"/>
              <w:left w:w="108" w:type="dxa"/>
              <w:bottom w:w="0" w:type="dxa"/>
              <w:right w:w="108" w:type="dxa"/>
            </w:tcMar>
            <w:vAlign w:val="center"/>
          </w:tcPr>
          <w:p w14:paraId="172EE073" w14:textId="77777777" w:rsidR="000B2968" w:rsidRPr="007B7D30" w:rsidRDefault="000B2968" w:rsidP="00966382">
            <w:pPr>
              <w:pStyle w:val="paragraphs"/>
              <w:numPr>
                <w:ilvl w:val="0"/>
                <w:numId w:val="0"/>
              </w:numPr>
              <w:ind w:left="360"/>
            </w:pPr>
            <w:r w:rsidRPr="007B7D30">
              <w:t>Casos</w:t>
            </w:r>
          </w:p>
        </w:tc>
      </w:tr>
    </w:tbl>
    <w:p w14:paraId="592D794A" w14:textId="77777777" w:rsidR="000B2968" w:rsidRPr="007B7D30" w:rsidRDefault="000B2968" w:rsidP="000B2968">
      <w:pPr>
        <w:rPr>
          <w:rFonts w:ascii="Cambria" w:hAnsi="Cambria"/>
          <w:sz w:val="20"/>
          <w:szCs w:val="20"/>
          <w:lang w:val="es-ES_tradnl"/>
        </w:rPr>
      </w:pPr>
    </w:p>
    <w:p w14:paraId="4092E353" w14:textId="73E9DB4A" w:rsidR="000B2968" w:rsidRPr="007B7D30" w:rsidRDefault="000B2968" w:rsidP="00F5200C">
      <w:pPr>
        <w:pStyle w:val="Heading2"/>
      </w:pPr>
      <w:r w:rsidRPr="007B7D30">
        <w:t xml:space="preserve">Plan de ambiente laboral elaborado colectivamente en proceso de implementación </w:t>
      </w:r>
    </w:p>
    <w:p w14:paraId="5E27C004" w14:textId="77777777" w:rsidR="000B2968" w:rsidRPr="007B7D30" w:rsidRDefault="000B2968" w:rsidP="00966382">
      <w:pPr>
        <w:pStyle w:val="paragraphs"/>
      </w:pPr>
      <w:r w:rsidRPr="007B7D30">
        <w:t xml:space="preserve">En el primer trimestre de 2021 se recibieron los resultados del diagnóstico de clima laboral en la SE/CIDH. La empresa consultora contratada, experta en el tema, realizó una presentación de los hallazgos, recomendaciones y acciones propuestas resultado de su diagnóstico tanto a la CIDH como a todo el personal. </w:t>
      </w:r>
    </w:p>
    <w:p w14:paraId="6CBF7D9D" w14:textId="398883FF" w:rsidR="006471CD" w:rsidRPr="007B7D30" w:rsidRDefault="006471CD" w:rsidP="00966382">
      <w:pPr>
        <w:pStyle w:val="paragraphs"/>
      </w:pPr>
      <w:r w:rsidRPr="007B7D30">
        <w:t xml:space="preserve">Como iniciativa del Comité de Ambiente Laboral de la SE/CIDH se realizó una consulta a todo el personal para conocer su opinión sobre las propuestas presentadas por la empresa consultora. Con los resultados de esta consulta y el reporte de la empresa consultora </w:t>
      </w:r>
      <w:r w:rsidR="002F7D7D">
        <w:t>s</w:t>
      </w:r>
      <w:r w:rsidRPr="006471CD">
        <w:t>e han explorado opciones de empresas consultoras expertas en temas de recursos humanos y desarrollo organizacional para trabajar en una estrategia para la mejora de clima laboral. Se realizará un proceso de licitación para la selección y contratación de la empresa consultora. Se estima que su labor inicie a mediados del 2022</w:t>
      </w:r>
      <w:r w:rsidRPr="007B7D30">
        <w:t>.</w:t>
      </w:r>
    </w:p>
    <w:p w14:paraId="0A345DEE" w14:textId="77777777" w:rsidR="000B2968" w:rsidRPr="007B7D30" w:rsidRDefault="000B2968" w:rsidP="00966382">
      <w:pPr>
        <w:pStyle w:val="paragraphs"/>
      </w:pPr>
      <w:r w:rsidRPr="007B7D30">
        <w:t>Como apoyo a las personas que atendieron la Misión a Colombia durante el mes de junio, se ofrecieron sesiones para la contención emocional. Las personas interesadas contaron con 8 sesiones donde reciben herramientas prácticas que les permite el manejo de emociones.</w:t>
      </w:r>
    </w:p>
    <w:p w14:paraId="16042059" w14:textId="77777777" w:rsidR="000B2968" w:rsidRPr="007B7D30" w:rsidRDefault="000B2968" w:rsidP="00966382">
      <w:pPr>
        <w:pStyle w:val="paragraphs"/>
      </w:pPr>
      <w:r w:rsidRPr="007B7D30">
        <w:t>Para inicios del 2022 se ofrecerán sesiones de coaching ejecutivo para todas las personas interesadas que tengan personal a su cargo con el fin de apoyarles y fortalecer sus habilidades de supervisión y liderazgo.</w:t>
      </w:r>
    </w:p>
    <w:p w14:paraId="3759A23E" w14:textId="77777777" w:rsidR="000B2968" w:rsidRPr="007B7D30" w:rsidRDefault="000B2968" w:rsidP="00966382">
      <w:pPr>
        <w:pStyle w:val="paragraphs"/>
      </w:pPr>
      <w:r w:rsidRPr="007B7D30">
        <w:t xml:space="preserve">Se continuó con la “Política de Puertas Abiertas” donde el personal tiene la oportunidad de reunirse con la </w:t>
      </w:r>
      <w:proofErr w:type="gramStart"/>
      <w:r w:rsidRPr="007B7D30">
        <w:t>Secretaria Ejecutiva</w:t>
      </w:r>
      <w:proofErr w:type="gramEnd"/>
      <w:r w:rsidRPr="007B7D30">
        <w:t xml:space="preserve"> para plantear temas de su interés. </w:t>
      </w:r>
    </w:p>
    <w:p w14:paraId="3841EC72" w14:textId="2A418E1A" w:rsidR="000B2968" w:rsidRPr="007B7D30" w:rsidRDefault="000B2968" w:rsidP="00966382">
      <w:pPr>
        <w:pStyle w:val="paragraphs"/>
      </w:pPr>
      <w:r w:rsidRPr="007B7D30">
        <w:t xml:space="preserve">La </w:t>
      </w:r>
      <w:proofErr w:type="gramStart"/>
      <w:r w:rsidRPr="007B7D30">
        <w:t>Secretaria Ejecutiva</w:t>
      </w:r>
      <w:proofErr w:type="gramEnd"/>
      <w:r w:rsidRPr="007B7D30">
        <w:t xml:space="preserve"> ha realizado reuniones periódicas con el personal para informar sobre los acontecimientos del momento, el desarrollo de los concursos y escuchar propuestas y/o solicitudes del personal.</w:t>
      </w:r>
    </w:p>
    <w:p w14:paraId="621F18EE" w14:textId="77777777" w:rsidR="006D09DD" w:rsidRPr="00F5200C" w:rsidRDefault="006D09DD" w:rsidP="00F5200C">
      <w:pPr>
        <w:pStyle w:val="Heading1"/>
      </w:pPr>
      <w:r w:rsidRPr="00F5200C">
        <w:t>Recursos financieros y ejecución presupuestaria</w:t>
      </w:r>
    </w:p>
    <w:p w14:paraId="5D6BC817" w14:textId="04CD63C6" w:rsidR="000B2968" w:rsidRPr="007B7D30" w:rsidRDefault="000B2968" w:rsidP="00966382">
      <w:pPr>
        <w:pStyle w:val="paragraphs"/>
      </w:pPr>
      <w:r w:rsidRPr="007B7D30">
        <w:t xml:space="preserve">Para el año 2021, la Asamblea General aprobó del </w:t>
      </w:r>
      <w:r w:rsidR="00801AE0" w:rsidRPr="007B7D30">
        <w:t>f</w:t>
      </w:r>
      <w:r w:rsidRPr="007B7D30">
        <w:t>ondo regular un presupuesto para la CIDH de $10,081,900, del cual $6,960,100</w:t>
      </w:r>
      <w:r w:rsidRPr="007B7D30">
        <w:rPr>
          <w:rStyle w:val="Nenhum"/>
          <w:rFonts w:cs="Calibri Light"/>
          <w:bCs/>
          <w:u w:color="002060"/>
        </w:rPr>
        <w:t xml:space="preserve"> </w:t>
      </w:r>
      <w:r w:rsidRPr="007B7D30">
        <w:t>son para gastos de personal y $ 3.121,800 para gastos operacionales.  Pese a una reducción del presupuesto del fondo regular de la Organización para el año 2021 frente al año inmediatamente anterior, la porción aprobada a la CIDH se mantuvo en el 13%.</w:t>
      </w:r>
    </w:p>
    <w:p w14:paraId="0AE7FDDD" w14:textId="64FEDC13" w:rsidR="000B2968" w:rsidRPr="007B7D30" w:rsidRDefault="000B2968" w:rsidP="000B2968">
      <w:pPr>
        <w:pStyle w:val="Default"/>
        <w:ind w:firstLine="851"/>
        <w:jc w:val="center"/>
        <w:rPr>
          <w:rFonts w:ascii="Cambria" w:hAnsi="Cambria"/>
          <w:b/>
          <w:color w:val="auto"/>
          <w:sz w:val="20"/>
          <w:szCs w:val="20"/>
          <w:lang w:val="es-ES_tradnl"/>
        </w:rPr>
      </w:pPr>
      <w:r w:rsidRPr="007B7D30">
        <w:rPr>
          <w:rFonts w:ascii="Cambria" w:hAnsi="Cambria"/>
          <w:b/>
          <w:color w:val="auto"/>
          <w:sz w:val="20"/>
          <w:szCs w:val="20"/>
          <w:lang w:val="es-ES_tradnl"/>
        </w:rPr>
        <w:lastRenderedPageBreak/>
        <w:t>Figura 1.   Distribución del Presupuesto Aprobado del Fondo Regular de la OEA para el año 2021 (</w:t>
      </w:r>
      <w:r w:rsidR="000C3236" w:rsidRPr="007B7D30">
        <w:rPr>
          <w:rFonts w:ascii="Cambria" w:hAnsi="Cambria"/>
          <w:b/>
          <w:color w:val="auto"/>
          <w:sz w:val="20"/>
          <w:szCs w:val="20"/>
          <w:lang w:val="es-ES_tradnl"/>
        </w:rPr>
        <w:t xml:space="preserve">Valores </w:t>
      </w:r>
      <w:r w:rsidRPr="007B7D30">
        <w:rPr>
          <w:rFonts w:ascii="Cambria" w:hAnsi="Cambria"/>
          <w:b/>
          <w:color w:val="auto"/>
          <w:sz w:val="20"/>
          <w:szCs w:val="20"/>
          <w:lang w:val="es-ES_tradnl"/>
        </w:rPr>
        <w:t>en miles de USD)</w:t>
      </w:r>
      <w:r w:rsidRPr="007B7D30">
        <w:rPr>
          <w:rStyle w:val="FootnoteReference"/>
          <w:rFonts w:ascii="Cambria" w:hAnsi="Cambria"/>
          <w:b/>
          <w:color w:val="auto"/>
          <w:sz w:val="20"/>
          <w:szCs w:val="20"/>
          <w:lang w:val="es-ES_tradnl"/>
        </w:rPr>
        <w:footnoteReference w:id="1"/>
      </w:r>
    </w:p>
    <w:p w14:paraId="0C916A76" w14:textId="59D9AD50" w:rsidR="00FF4EBB" w:rsidRPr="007B7D30" w:rsidRDefault="00FF4EBB" w:rsidP="00FF4EBB">
      <w:pPr>
        <w:tabs>
          <w:tab w:val="left" w:pos="6204"/>
        </w:tabs>
        <w:rPr>
          <w:lang w:val="es-ES_tradnl"/>
        </w:rPr>
      </w:pPr>
      <w:r w:rsidRPr="007B7D30">
        <w:rPr>
          <w:lang w:val="es-ES_tradnl"/>
        </w:rPr>
        <w:tab/>
      </w:r>
    </w:p>
    <w:p w14:paraId="0EDACBEE" w14:textId="3A341EFA" w:rsidR="00FF4EBB" w:rsidRPr="007B7D30" w:rsidRDefault="00FF4EBB" w:rsidP="00BA31BE">
      <w:pPr>
        <w:tabs>
          <w:tab w:val="left" w:pos="6204"/>
        </w:tabs>
        <w:rPr>
          <w:lang w:val="es-ES_tradnl"/>
        </w:rPr>
      </w:pPr>
      <w:r w:rsidRPr="007B7D30">
        <w:rPr>
          <w:noProof/>
        </w:rPr>
        <w:drawing>
          <wp:inline distT="0" distB="0" distL="0" distR="0" wp14:anchorId="7C953DC6" wp14:editId="57EFD4CA">
            <wp:extent cx="5943600" cy="4591685"/>
            <wp:effectExtent l="0" t="0" r="0" b="18415"/>
            <wp:docPr id="25" name="Chart 25">
              <a:extLst xmlns:a="http://schemas.openxmlformats.org/drawingml/2006/main">
                <a:ext uri="{FF2B5EF4-FFF2-40B4-BE49-F238E27FC236}">
                  <a16:creationId xmlns:a16="http://schemas.microsoft.com/office/drawing/2014/main" id="{437E1EC8-94C6-4ED3-B7E1-9CD051C15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02C328" w14:textId="69132643" w:rsidR="000B2968" w:rsidRPr="007B7D30" w:rsidRDefault="00BD45C9" w:rsidP="00BA31BE">
      <w:pPr>
        <w:tabs>
          <w:tab w:val="left" w:pos="6264"/>
        </w:tabs>
        <w:rPr>
          <w:rFonts w:ascii="Cambria" w:hAnsi="Cambria"/>
          <w:b/>
          <w:sz w:val="20"/>
          <w:szCs w:val="20"/>
          <w:lang w:val="es-ES_tradnl"/>
        </w:rPr>
      </w:pPr>
      <w:r w:rsidRPr="007B7D30">
        <w:rPr>
          <w:lang w:val="es-ES_tradnl"/>
        </w:rPr>
        <w:tab/>
        <w:t>\</w:t>
      </w:r>
    </w:p>
    <w:p w14:paraId="013F5B96" w14:textId="77777777" w:rsidR="000B2968" w:rsidRPr="007B7D30" w:rsidRDefault="000B2968" w:rsidP="000B2968">
      <w:pPr>
        <w:ind w:right="2880" w:firstLine="850"/>
        <w:jc w:val="center"/>
        <w:rPr>
          <w:rFonts w:ascii="Cambria" w:eastAsia="Times New Roman" w:hAnsi="Cambria"/>
          <w:color w:val="000000"/>
          <w:sz w:val="20"/>
          <w:szCs w:val="20"/>
          <w:lang w:val="es-ES_tradnl"/>
        </w:rPr>
      </w:pPr>
    </w:p>
    <w:p w14:paraId="76A9426F" w14:textId="29BCA7AB" w:rsidR="000B2968" w:rsidRPr="007B7D30" w:rsidRDefault="000B2968" w:rsidP="00966382">
      <w:pPr>
        <w:pStyle w:val="paragraphs"/>
      </w:pPr>
      <w:r w:rsidRPr="007B7D30">
        <w:t>Al 3</w:t>
      </w:r>
      <w:r w:rsidR="004E691E" w:rsidRPr="007B7D30">
        <w:t>1</w:t>
      </w:r>
      <w:r w:rsidRPr="007B7D30">
        <w:t xml:space="preserve"> de</w:t>
      </w:r>
      <w:r w:rsidR="004E691E" w:rsidRPr="007B7D30">
        <w:t xml:space="preserve"> diciembre</w:t>
      </w:r>
      <w:r w:rsidRPr="007B7D30">
        <w:t xml:space="preserve"> de 2021, </w:t>
      </w:r>
      <w:r w:rsidR="00801AE0" w:rsidRPr="007B7D30">
        <w:t>la apropiación modificada d</w:t>
      </w:r>
      <w:r w:rsidRPr="007B7D30">
        <w:t>el presupuesto del fondo regular original fue de $</w:t>
      </w:r>
      <w:proofErr w:type="gramStart"/>
      <w:r w:rsidR="004E691E" w:rsidRPr="007B7D30">
        <w:t>10,0</w:t>
      </w:r>
      <w:r w:rsidR="00BD45C9" w:rsidRPr="007B7D30">
        <w:t>74</w:t>
      </w:r>
      <w:r w:rsidR="0079085F" w:rsidRPr="007B7D30">
        <w:t>,</w:t>
      </w:r>
      <w:r w:rsidR="00BD45C9" w:rsidRPr="007B7D30">
        <w:t>83</w:t>
      </w:r>
      <w:r w:rsidR="00C2217B" w:rsidRPr="007B7D30">
        <w:t>7.7</w:t>
      </w:r>
      <w:r w:rsidR="004E691E" w:rsidRPr="007B7D30">
        <w:t xml:space="preserve"> </w:t>
      </w:r>
      <w:r w:rsidRPr="007B7D30">
        <w:t xml:space="preserve"> cuya</w:t>
      </w:r>
      <w:proofErr w:type="gramEnd"/>
      <w:r w:rsidRPr="007B7D30">
        <w:t xml:space="preserve"> distribución fue de $</w:t>
      </w:r>
      <w:r w:rsidR="004E691E" w:rsidRPr="007B7D30">
        <w:t xml:space="preserve">6,916,787.7 </w:t>
      </w:r>
      <w:r w:rsidRPr="007B7D30">
        <w:t xml:space="preserve"> para gastos de personal y $3,158,050.0 para gastos de no-personal. La porción correspondiente a gastos de personal aparece </w:t>
      </w:r>
      <w:proofErr w:type="spellStart"/>
      <w:r w:rsidRPr="007B7D30">
        <w:t>sub-ejecutada</w:t>
      </w:r>
      <w:proofErr w:type="spellEnd"/>
      <w:r w:rsidRPr="007B7D30">
        <w:t xml:space="preserve"> debido a que, durante el año 2021, la E/CIDH tuvo parte del año posiciones vacantes las cuales se encuentran a la fecha aún en proceso de concurso. </w:t>
      </w:r>
    </w:p>
    <w:p w14:paraId="56669E53" w14:textId="441F42C7" w:rsidR="000B2968" w:rsidRPr="007B7D30" w:rsidRDefault="000B2968" w:rsidP="00966382">
      <w:pPr>
        <w:pStyle w:val="paragraphs"/>
      </w:pPr>
      <w:r w:rsidRPr="007B7D30">
        <w:t>Con relación a la captación de fondos específicos, como fruto de la estrategia de la movilización de recursos y gracias a la confianza depositada en la CIDH, se ha conseguido recaudar USD $</w:t>
      </w:r>
      <w:r w:rsidR="00772C3A" w:rsidRPr="007B7D30">
        <w:t>7</w:t>
      </w:r>
      <w:r w:rsidR="000B2205" w:rsidRPr="007B7D30">
        <w:t>.</w:t>
      </w:r>
      <w:r w:rsidR="00772C3A" w:rsidRPr="007B7D30">
        <w:t>252</w:t>
      </w:r>
      <w:r w:rsidR="000B2205" w:rsidRPr="007B7D30">
        <w:t>.</w:t>
      </w:r>
      <w:r w:rsidR="00772C3A" w:rsidRPr="007B7D30">
        <w:t>91</w:t>
      </w:r>
      <w:r w:rsidR="0079085F" w:rsidRPr="007B7D30">
        <w:t>1</w:t>
      </w:r>
      <w:r w:rsidR="000B2205" w:rsidRPr="007B7D30">
        <w:t>,</w:t>
      </w:r>
      <w:r w:rsidR="0079085F" w:rsidRPr="007B7D30">
        <w:t>5</w:t>
      </w:r>
      <w:r w:rsidRPr="007B7D30">
        <w:t xml:space="preserve"> al 3</w:t>
      </w:r>
      <w:r w:rsidR="00772C3A" w:rsidRPr="007B7D30">
        <w:t>1</w:t>
      </w:r>
      <w:r w:rsidRPr="007B7D30">
        <w:t xml:space="preserve"> de </w:t>
      </w:r>
      <w:r w:rsidR="00772C3A" w:rsidRPr="007B7D30">
        <w:t>diciembre</w:t>
      </w:r>
      <w:r w:rsidRPr="007B7D30">
        <w:t xml:space="preserve"> de 2021. La siguiente gráfica muestra la distribución de fondos recibidos por la CIDH, por fuente de financiamiento. </w:t>
      </w:r>
    </w:p>
    <w:p w14:paraId="39D4C13A" w14:textId="77777777" w:rsidR="000B2968" w:rsidRPr="007B7D30" w:rsidRDefault="000B2968" w:rsidP="000B2968">
      <w:pPr>
        <w:pStyle w:val="Default"/>
        <w:rPr>
          <w:rFonts w:ascii="Cambria" w:hAnsi="Cambria"/>
          <w:b/>
          <w:sz w:val="20"/>
          <w:szCs w:val="20"/>
          <w:lang w:val="es-ES_tradnl"/>
        </w:rPr>
      </w:pPr>
    </w:p>
    <w:p w14:paraId="4CD91E9A" w14:textId="77777777" w:rsidR="00932B39" w:rsidRDefault="00932B39" w:rsidP="000B2968">
      <w:pPr>
        <w:pStyle w:val="Default"/>
        <w:ind w:left="2127" w:hanging="2127"/>
        <w:jc w:val="center"/>
        <w:rPr>
          <w:rFonts w:ascii="Cambria" w:hAnsi="Cambria"/>
          <w:b/>
          <w:sz w:val="20"/>
          <w:szCs w:val="20"/>
          <w:lang w:val="es-ES_tradnl"/>
        </w:rPr>
      </w:pPr>
    </w:p>
    <w:p w14:paraId="52CD779E" w14:textId="77777777" w:rsidR="00932B39" w:rsidRDefault="00932B39" w:rsidP="000B2968">
      <w:pPr>
        <w:pStyle w:val="Default"/>
        <w:ind w:left="2127" w:hanging="2127"/>
        <w:jc w:val="center"/>
        <w:rPr>
          <w:rFonts w:ascii="Cambria" w:hAnsi="Cambria"/>
          <w:b/>
          <w:sz w:val="20"/>
          <w:szCs w:val="20"/>
          <w:lang w:val="es-ES_tradnl"/>
        </w:rPr>
      </w:pPr>
    </w:p>
    <w:p w14:paraId="629218CF" w14:textId="77777777" w:rsidR="00932B39" w:rsidRDefault="00932B39" w:rsidP="000B2968">
      <w:pPr>
        <w:pStyle w:val="Default"/>
        <w:ind w:left="2127" w:hanging="2127"/>
        <w:jc w:val="center"/>
        <w:rPr>
          <w:rFonts w:ascii="Cambria" w:hAnsi="Cambria"/>
          <w:b/>
          <w:sz w:val="20"/>
          <w:szCs w:val="20"/>
          <w:lang w:val="es-ES_tradnl"/>
        </w:rPr>
      </w:pPr>
    </w:p>
    <w:p w14:paraId="32059734" w14:textId="2F72CF93" w:rsidR="000B2968" w:rsidRPr="007B7D30" w:rsidRDefault="000B2968" w:rsidP="000B2968">
      <w:pPr>
        <w:pStyle w:val="Default"/>
        <w:ind w:left="2127" w:hanging="2127"/>
        <w:jc w:val="center"/>
        <w:rPr>
          <w:rFonts w:ascii="Cambria" w:hAnsi="Cambria"/>
          <w:b/>
          <w:sz w:val="20"/>
          <w:szCs w:val="20"/>
          <w:lang w:val="es-ES_tradnl"/>
        </w:rPr>
      </w:pPr>
      <w:r w:rsidRPr="007B7D30">
        <w:rPr>
          <w:rFonts w:ascii="Cambria" w:hAnsi="Cambria"/>
          <w:b/>
          <w:sz w:val="20"/>
          <w:szCs w:val="20"/>
          <w:lang w:val="es-ES_tradnl"/>
        </w:rPr>
        <w:t>Figura 2.     Fondos recibidos por la CIDH al 3</w:t>
      </w:r>
      <w:r w:rsidR="00772C3A" w:rsidRPr="007B7D30">
        <w:rPr>
          <w:rFonts w:ascii="Cambria" w:hAnsi="Cambria"/>
          <w:b/>
          <w:sz w:val="20"/>
          <w:szCs w:val="20"/>
          <w:lang w:val="es-ES_tradnl"/>
        </w:rPr>
        <w:t>1</w:t>
      </w:r>
      <w:r w:rsidRPr="007B7D30">
        <w:rPr>
          <w:rFonts w:ascii="Cambria" w:hAnsi="Cambria"/>
          <w:b/>
          <w:sz w:val="20"/>
          <w:szCs w:val="20"/>
          <w:lang w:val="es-ES_tradnl"/>
        </w:rPr>
        <w:t xml:space="preserve"> de </w:t>
      </w:r>
      <w:r w:rsidR="00772C3A" w:rsidRPr="007B7D30">
        <w:rPr>
          <w:rFonts w:ascii="Cambria" w:hAnsi="Cambria"/>
          <w:b/>
          <w:sz w:val="20"/>
          <w:szCs w:val="20"/>
          <w:lang w:val="es-ES_tradnl"/>
        </w:rPr>
        <w:t>diciembre</w:t>
      </w:r>
      <w:r w:rsidRPr="007B7D30">
        <w:rPr>
          <w:rFonts w:ascii="Cambria" w:hAnsi="Cambria"/>
          <w:b/>
          <w:sz w:val="20"/>
          <w:szCs w:val="20"/>
          <w:lang w:val="es-ES_tradnl"/>
        </w:rPr>
        <w:t xml:space="preserve"> de 2021 distribuidos por fuente de financiamiento</w:t>
      </w:r>
    </w:p>
    <w:p w14:paraId="1B866429" w14:textId="77777777" w:rsidR="000B2968" w:rsidRPr="007B7D30" w:rsidRDefault="000B2968" w:rsidP="000B2968">
      <w:pPr>
        <w:pStyle w:val="Default"/>
        <w:ind w:left="2127" w:hanging="2127"/>
        <w:jc w:val="center"/>
        <w:rPr>
          <w:rFonts w:ascii="Cambria" w:hAnsi="Cambria"/>
          <w:b/>
          <w:color w:val="auto"/>
          <w:sz w:val="20"/>
          <w:szCs w:val="20"/>
          <w:lang w:val="es-ES_tradnl"/>
        </w:rPr>
      </w:pPr>
      <w:r w:rsidRPr="007B7D30">
        <w:rPr>
          <w:rFonts w:ascii="Cambria" w:hAnsi="Cambria"/>
          <w:b/>
          <w:color w:val="auto"/>
          <w:sz w:val="20"/>
          <w:szCs w:val="20"/>
          <w:lang w:val="es-ES_tradnl"/>
        </w:rPr>
        <w:t>(Valores en miles de USD, preliminares y no auditados)</w:t>
      </w:r>
    </w:p>
    <w:p w14:paraId="0DBD2A33" w14:textId="7B3B781A" w:rsidR="000B2968" w:rsidRPr="007B7D30" w:rsidRDefault="000B2968" w:rsidP="000B2968">
      <w:pPr>
        <w:pStyle w:val="Default"/>
        <w:ind w:left="2127" w:hanging="2127"/>
        <w:jc w:val="center"/>
        <w:rPr>
          <w:rFonts w:ascii="Cambria" w:hAnsi="Cambria"/>
          <w:b/>
          <w:color w:val="auto"/>
          <w:sz w:val="20"/>
          <w:szCs w:val="20"/>
          <w:lang w:val="es-ES_tradnl"/>
        </w:rPr>
      </w:pPr>
    </w:p>
    <w:p w14:paraId="038154AE" w14:textId="34062C5D" w:rsidR="00772C3A" w:rsidRPr="007B7D30" w:rsidRDefault="00494F79" w:rsidP="000B2968">
      <w:pPr>
        <w:pStyle w:val="Default"/>
        <w:ind w:left="2127" w:hanging="2127"/>
        <w:jc w:val="center"/>
        <w:rPr>
          <w:rFonts w:ascii="Cambria" w:hAnsi="Cambria"/>
          <w:b/>
          <w:color w:val="auto"/>
          <w:sz w:val="20"/>
          <w:szCs w:val="20"/>
          <w:lang w:val="es-ES_tradnl"/>
        </w:rPr>
      </w:pPr>
      <w:r w:rsidRPr="007B7D30">
        <w:rPr>
          <w:noProof/>
        </w:rPr>
        <w:drawing>
          <wp:inline distT="0" distB="0" distL="0" distR="0" wp14:anchorId="6BE0CC71" wp14:editId="2A0FF108">
            <wp:extent cx="4780429" cy="2685602"/>
            <wp:effectExtent l="0" t="0" r="1270" b="635"/>
            <wp:docPr id="22" name="Chart 22">
              <a:extLst xmlns:a="http://schemas.openxmlformats.org/drawingml/2006/main">
                <a:ext uri="{FF2B5EF4-FFF2-40B4-BE49-F238E27FC236}">
                  <a16:creationId xmlns:a16="http://schemas.microsoft.com/office/drawing/2014/main" id="{4078289E-AFF6-43E3-9115-BD46201DE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313B94" w14:textId="77777777" w:rsidR="000B2968" w:rsidRPr="007B7D30" w:rsidRDefault="000B2968" w:rsidP="000B2968">
      <w:pPr>
        <w:pStyle w:val="Default"/>
        <w:ind w:left="2127" w:hanging="2127"/>
        <w:rPr>
          <w:rFonts w:ascii="Cambria" w:hAnsi="Cambria"/>
          <w:b/>
          <w:sz w:val="20"/>
          <w:szCs w:val="20"/>
          <w:lang w:val="es-ES_tradnl"/>
        </w:rPr>
      </w:pPr>
    </w:p>
    <w:p w14:paraId="57C75B8E" w14:textId="77777777" w:rsidR="000B2968" w:rsidRPr="007B7D30" w:rsidRDefault="000B2968" w:rsidP="00966382">
      <w:pPr>
        <w:pStyle w:val="paragraphs"/>
      </w:pPr>
      <w:r w:rsidRPr="007B7D30">
        <w:t>La siguiente tabla muestra las contribuciones de fondos recibidos por la CIDH por fuente de financiamiento.</w:t>
      </w:r>
    </w:p>
    <w:p w14:paraId="161038AC" w14:textId="4EEA7547" w:rsidR="000B2968" w:rsidRPr="007B7D30" w:rsidRDefault="000B2968" w:rsidP="000B2968">
      <w:pPr>
        <w:jc w:val="center"/>
        <w:rPr>
          <w:rFonts w:ascii="Cambria" w:hAnsi="Cambria"/>
          <w:b/>
          <w:sz w:val="20"/>
          <w:szCs w:val="20"/>
          <w:lang w:val="es-ES_tradnl"/>
        </w:rPr>
      </w:pPr>
      <w:r w:rsidRPr="007B7D30">
        <w:rPr>
          <w:rFonts w:ascii="Cambria" w:hAnsi="Cambria"/>
          <w:b/>
          <w:sz w:val="20"/>
          <w:szCs w:val="20"/>
          <w:lang w:val="es-ES_tradnl"/>
        </w:rPr>
        <w:t>Tabla 1.  Contribuciones de Fondos Recibidos por la CIDH al 3</w:t>
      </w:r>
      <w:r w:rsidR="00772C3A" w:rsidRPr="007B7D30">
        <w:rPr>
          <w:rFonts w:ascii="Cambria" w:hAnsi="Cambria"/>
          <w:b/>
          <w:sz w:val="20"/>
          <w:szCs w:val="20"/>
          <w:lang w:val="es-ES_tradnl"/>
        </w:rPr>
        <w:t>1</w:t>
      </w:r>
      <w:r w:rsidRPr="007B7D30">
        <w:rPr>
          <w:rFonts w:ascii="Cambria" w:hAnsi="Cambria"/>
          <w:b/>
          <w:sz w:val="20"/>
          <w:szCs w:val="20"/>
          <w:lang w:val="es-ES_tradnl"/>
        </w:rPr>
        <w:t xml:space="preserve"> de</w:t>
      </w:r>
      <w:r w:rsidR="00772C3A" w:rsidRPr="007B7D30">
        <w:rPr>
          <w:rFonts w:ascii="Cambria" w:hAnsi="Cambria"/>
          <w:b/>
          <w:sz w:val="20"/>
          <w:szCs w:val="20"/>
          <w:lang w:val="es-ES_tradnl"/>
        </w:rPr>
        <w:t xml:space="preserve"> diciembre</w:t>
      </w:r>
      <w:r w:rsidRPr="007B7D30">
        <w:rPr>
          <w:rFonts w:ascii="Cambria" w:hAnsi="Cambria"/>
          <w:b/>
          <w:sz w:val="20"/>
          <w:szCs w:val="20"/>
          <w:lang w:val="es-ES_tradnl"/>
        </w:rPr>
        <w:t xml:space="preserve"> de 2021</w:t>
      </w:r>
    </w:p>
    <w:p w14:paraId="075AC90C" w14:textId="77777777" w:rsidR="000B2968" w:rsidRPr="007B7D30" w:rsidRDefault="000B2968" w:rsidP="000B2968">
      <w:pPr>
        <w:jc w:val="center"/>
        <w:rPr>
          <w:rFonts w:ascii="Cambria" w:eastAsia="Times New Roman" w:hAnsi="Cambria" w:cs="Calibri"/>
          <w:b/>
          <w:color w:val="000000"/>
          <w:sz w:val="20"/>
          <w:szCs w:val="20"/>
          <w:lang w:val="es-ES_tradnl"/>
        </w:rPr>
      </w:pPr>
      <w:r w:rsidRPr="007B7D30">
        <w:rPr>
          <w:rFonts w:ascii="Cambria" w:hAnsi="Cambria"/>
          <w:b/>
          <w:sz w:val="20"/>
          <w:szCs w:val="20"/>
          <w:lang w:val="es-ES_tradnl"/>
        </w:rPr>
        <w:t>Por fuente de financiamiento y temática especial</w:t>
      </w:r>
    </w:p>
    <w:p w14:paraId="40DF8B6E" w14:textId="415FFDF8" w:rsidR="000B2968" w:rsidRPr="007B7D30" w:rsidRDefault="000B2968" w:rsidP="000B2968">
      <w:pPr>
        <w:pStyle w:val="Default"/>
        <w:jc w:val="center"/>
        <w:rPr>
          <w:rFonts w:ascii="Cambria" w:hAnsi="Cambria"/>
          <w:b/>
          <w:sz w:val="20"/>
          <w:szCs w:val="20"/>
          <w:lang w:val="es-ES_tradnl"/>
        </w:rPr>
      </w:pPr>
      <w:r w:rsidRPr="007B7D30">
        <w:rPr>
          <w:rFonts w:ascii="Cambria" w:hAnsi="Cambria"/>
          <w:b/>
          <w:sz w:val="20"/>
          <w:szCs w:val="20"/>
          <w:lang w:val="es-ES_tradnl"/>
        </w:rPr>
        <w:t>(Valores en USD, preliminares y no auditados)</w:t>
      </w:r>
      <w:bookmarkStart w:id="0" w:name="OLE_LINK1"/>
      <w:r w:rsidRPr="007B7D30">
        <w:rPr>
          <w:rStyle w:val="FootnoteReference"/>
          <w:rFonts w:ascii="Cambria" w:hAnsi="Cambria"/>
          <w:b/>
          <w:sz w:val="20"/>
          <w:szCs w:val="20"/>
          <w:lang w:val="es-ES_tradnl"/>
        </w:rPr>
        <w:footnoteReference w:id="2"/>
      </w:r>
      <w:r w:rsidR="00F835E0" w:rsidRPr="007B7D30">
        <w:rPr>
          <w:rFonts w:ascii="Cambria" w:hAnsi="Cambria"/>
          <w:b/>
          <w:color w:val="auto"/>
          <w:sz w:val="20"/>
          <w:szCs w:val="20"/>
          <w:vertAlign w:val="superscript"/>
          <w:lang w:val="es-ES_tradnl"/>
        </w:rPr>
        <w:t>,</w:t>
      </w:r>
      <w:r w:rsidRPr="007B7D30">
        <w:rPr>
          <w:rFonts w:ascii="Cambria" w:hAnsi="Cambria"/>
          <w:b/>
          <w:sz w:val="20"/>
          <w:szCs w:val="20"/>
          <w:lang w:val="es-ES_tradnl"/>
        </w:rPr>
        <w:t xml:space="preserve"> </w:t>
      </w:r>
      <w:r w:rsidRPr="007B7D30">
        <w:rPr>
          <w:rStyle w:val="FootnoteReference"/>
          <w:rFonts w:ascii="Cambria" w:hAnsi="Cambria"/>
          <w:b/>
          <w:sz w:val="20"/>
          <w:szCs w:val="20"/>
          <w:lang w:val="es-ES_tradnl"/>
        </w:rPr>
        <w:footnoteReference w:id="3"/>
      </w:r>
    </w:p>
    <w:p w14:paraId="518DE40C" w14:textId="1E6589EC" w:rsidR="00772C3A" w:rsidRPr="007B7D30" w:rsidRDefault="00435624" w:rsidP="000B2968">
      <w:pPr>
        <w:pStyle w:val="Default"/>
        <w:jc w:val="center"/>
        <w:rPr>
          <w:rFonts w:ascii="Cambria" w:hAnsi="Cambria"/>
          <w:b/>
          <w:sz w:val="20"/>
          <w:szCs w:val="20"/>
          <w:lang w:val="es-ES_tradnl"/>
        </w:rPr>
      </w:pPr>
      <w:r w:rsidRPr="007B7D30">
        <w:rPr>
          <w:noProof/>
        </w:rPr>
        <w:lastRenderedPageBreak/>
        <w:drawing>
          <wp:inline distT="0" distB="0" distL="0" distR="0" wp14:anchorId="3B4FF29F" wp14:editId="54E44746">
            <wp:extent cx="5943600" cy="76650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65085"/>
                    </a:xfrm>
                    <a:prstGeom prst="rect">
                      <a:avLst/>
                    </a:prstGeom>
                    <a:noFill/>
                    <a:ln>
                      <a:noFill/>
                    </a:ln>
                  </pic:spPr>
                </pic:pic>
              </a:graphicData>
            </a:graphic>
          </wp:inline>
        </w:drawing>
      </w:r>
    </w:p>
    <w:p w14:paraId="6C43C3D7" w14:textId="13A21111" w:rsidR="00772C3A" w:rsidRPr="007B7D30" w:rsidRDefault="00772C3A" w:rsidP="000B2968">
      <w:pPr>
        <w:pStyle w:val="Default"/>
        <w:jc w:val="center"/>
        <w:rPr>
          <w:rFonts w:ascii="Cambria" w:hAnsi="Cambria"/>
          <w:b/>
          <w:sz w:val="20"/>
          <w:szCs w:val="20"/>
          <w:lang w:val="es-ES_tradnl"/>
        </w:rPr>
      </w:pPr>
    </w:p>
    <w:p w14:paraId="5AF4CC08" w14:textId="4B757EB5" w:rsidR="000B2968" w:rsidRPr="007B7D30" w:rsidRDefault="000B2968" w:rsidP="00966382">
      <w:pPr>
        <w:pStyle w:val="paragraphs"/>
        <w:numPr>
          <w:ilvl w:val="0"/>
          <w:numId w:val="0"/>
        </w:numPr>
      </w:pPr>
    </w:p>
    <w:p w14:paraId="7C443D46" w14:textId="6A20D6A4" w:rsidR="000B2968" w:rsidRPr="007B7D30" w:rsidRDefault="000B2968" w:rsidP="00966382">
      <w:pPr>
        <w:pStyle w:val="paragraphs"/>
        <w:rPr>
          <w:rFonts w:eastAsia="Times New Roman" w:cs="Calibri"/>
          <w:b/>
        </w:rPr>
      </w:pPr>
      <w:r w:rsidRPr="007B7D30">
        <w:lastRenderedPageBreak/>
        <w:t>La siguiente tabla muestra el estado de variación en el saldo de los fondos de los proyectos financiados por fondos específicos de la CIDH al 3</w:t>
      </w:r>
      <w:r w:rsidR="00B336D7" w:rsidRPr="007B7D30">
        <w:t>1</w:t>
      </w:r>
      <w:r w:rsidRPr="007B7D30">
        <w:t xml:space="preserve"> de</w:t>
      </w:r>
      <w:r w:rsidR="00B336D7" w:rsidRPr="007B7D30">
        <w:t xml:space="preserve"> diciembre</w:t>
      </w:r>
      <w:r w:rsidRPr="007B7D30">
        <w:t xml:space="preserve"> de 2021.</w:t>
      </w:r>
    </w:p>
    <w:p w14:paraId="60EF959F" w14:textId="77777777" w:rsidR="000B2968" w:rsidRPr="007B7D30" w:rsidRDefault="000B2968" w:rsidP="00966382">
      <w:pPr>
        <w:pStyle w:val="paragraphs"/>
        <w:numPr>
          <w:ilvl w:val="0"/>
          <w:numId w:val="0"/>
        </w:numPr>
        <w:ind w:left="720"/>
      </w:pPr>
    </w:p>
    <w:p w14:paraId="624BE3E1" w14:textId="7A5CD7B8" w:rsidR="000B2968" w:rsidRPr="007B7D30" w:rsidRDefault="000B2968" w:rsidP="00F5200C">
      <w:pPr>
        <w:pStyle w:val="Default"/>
        <w:jc w:val="center"/>
        <w:rPr>
          <w:rFonts w:ascii="Cambria" w:hAnsi="Cambria"/>
          <w:b/>
          <w:sz w:val="20"/>
          <w:szCs w:val="20"/>
          <w:lang w:val="es-ES_tradnl"/>
        </w:rPr>
      </w:pPr>
      <w:r w:rsidRPr="007B7D30">
        <w:rPr>
          <w:rFonts w:ascii="Cambria" w:hAnsi="Cambria"/>
          <w:b/>
          <w:color w:val="auto"/>
          <w:sz w:val="20"/>
          <w:szCs w:val="20"/>
          <w:lang w:val="es-ES_tradnl"/>
        </w:rPr>
        <w:t>Tabla 2. Informe de Variaciones en el Saldo de Fondo de Fondos Específicos por proyectos. Información al 3</w:t>
      </w:r>
      <w:r w:rsidR="000626D7" w:rsidRPr="007B7D30">
        <w:rPr>
          <w:rFonts w:ascii="Cambria" w:hAnsi="Cambria"/>
          <w:b/>
          <w:color w:val="auto"/>
          <w:sz w:val="20"/>
          <w:szCs w:val="20"/>
          <w:lang w:val="es-ES_tradnl"/>
        </w:rPr>
        <w:t>1</w:t>
      </w:r>
      <w:r w:rsidRPr="007B7D30">
        <w:rPr>
          <w:rFonts w:ascii="Cambria" w:hAnsi="Cambria"/>
          <w:b/>
          <w:color w:val="auto"/>
          <w:sz w:val="20"/>
          <w:szCs w:val="20"/>
          <w:lang w:val="es-ES_tradnl"/>
        </w:rPr>
        <w:t xml:space="preserve"> de </w:t>
      </w:r>
      <w:r w:rsidR="000626D7" w:rsidRPr="007B7D30">
        <w:rPr>
          <w:rFonts w:ascii="Cambria" w:hAnsi="Cambria"/>
          <w:b/>
          <w:color w:val="auto"/>
          <w:sz w:val="20"/>
          <w:szCs w:val="20"/>
          <w:lang w:val="es-ES_tradnl"/>
        </w:rPr>
        <w:t>diciembre</w:t>
      </w:r>
      <w:r w:rsidRPr="007B7D30">
        <w:rPr>
          <w:rFonts w:ascii="Cambria" w:hAnsi="Cambria"/>
          <w:b/>
          <w:color w:val="auto"/>
          <w:sz w:val="20"/>
          <w:szCs w:val="20"/>
          <w:lang w:val="es-ES_tradnl"/>
        </w:rPr>
        <w:t xml:space="preserve"> de 2021</w:t>
      </w:r>
      <w:r w:rsidRPr="007B7D30">
        <w:rPr>
          <w:rStyle w:val="FootnoteReference"/>
          <w:rFonts w:ascii="Cambria" w:hAnsi="Cambria"/>
          <w:b/>
          <w:color w:val="auto"/>
          <w:sz w:val="20"/>
          <w:szCs w:val="20"/>
          <w:lang w:val="es-ES_tradnl"/>
        </w:rPr>
        <w:footnoteReference w:id="4"/>
      </w:r>
      <w:r w:rsidRPr="007B7D30">
        <w:rPr>
          <w:rFonts w:ascii="Cambria" w:hAnsi="Cambria"/>
          <w:b/>
          <w:color w:val="auto"/>
          <w:sz w:val="20"/>
          <w:szCs w:val="20"/>
          <w:vertAlign w:val="superscript"/>
          <w:lang w:val="es-ES_tradnl"/>
        </w:rPr>
        <w:t xml:space="preserve">, </w:t>
      </w:r>
      <w:r w:rsidRPr="007B7D30">
        <w:rPr>
          <w:rStyle w:val="FootnoteReference"/>
          <w:rFonts w:ascii="Cambria" w:hAnsi="Cambria"/>
          <w:b/>
          <w:color w:val="auto"/>
          <w:sz w:val="20"/>
          <w:szCs w:val="20"/>
          <w:lang w:val="es-ES_tradnl"/>
        </w:rPr>
        <w:footnoteReference w:id="5"/>
      </w:r>
      <w:r w:rsidR="00F835E0" w:rsidRPr="007B7D30">
        <w:rPr>
          <w:rFonts w:ascii="Cambria" w:hAnsi="Cambria"/>
          <w:b/>
          <w:color w:val="auto"/>
          <w:sz w:val="20"/>
          <w:szCs w:val="20"/>
          <w:vertAlign w:val="superscript"/>
          <w:lang w:val="es-ES_tradnl"/>
        </w:rPr>
        <w:t>,</w:t>
      </w:r>
      <w:r w:rsidR="0063014B" w:rsidRPr="007B7D30">
        <w:rPr>
          <w:rFonts w:ascii="Cambria" w:hAnsi="Cambria"/>
          <w:b/>
          <w:color w:val="auto"/>
          <w:sz w:val="20"/>
          <w:szCs w:val="20"/>
          <w:vertAlign w:val="superscript"/>
          <w:lang w:val="es-ES_tradnl"/>
        </w:rPr>
        <w:t xml:space="preserve"> </w:t>
      </w:r>
      <w:r w:rsidR="0063014B" w:rsidRPr="007B7D30">
        <w:rPr>
          <w:rStyle w:val="FootnoteReference"/>
          <w:rFonts w:ascii="Cambria" w:hAnsi="Cambria"/>
          <w:b/>
          <w:color w:val="auto"/>
          <w:sz w:val="20"/>
          <w:szCs w:val="20"/>
          <w:lang w:val="es-ES_tradnl"/>
        </w:rPr>
        <w:footnoteReference w:id="6"/>
      </w:r>
      <w:r w:rsidR="00F835E0" w:rsidRPr="007B7D30">
        <w:rPr>
          <w:rFonts w:ascii="Cambria" w:hAnsi="Cambria"/>
          <w:b/>
          <w:color w:val="auto"/>
          <w:sz w:val="20"/>
          <w:szCs w:val="20"/>
          <w:vertAlign w:val="superscript"/>
          <w:lang w:val="es-ES_tradnl"/>
        </w:rPr>
        <w:t>,</w:t>
      </w:r>
      <w:r w:rsidR="0063014B" w:rsidRPr="007B7D30">
        <w:rPr>
          <w:rFonts w:ascii="Cambria" w:hAnsi="Cambria"/>
          <w:b/>
          <w:color w:val="auto"/>
          <w:sz w:val="20"/>
          <w:szCs w:val="20"/>
          <w:vertAlign w:val="superscript"/>
          <w:lang w:val="es-ES_tradnl"/>
        </w:rPr>
        <w:t xml:space="preserve"> </w:t>
      </w:r>
      <w:r w:rsidR="0063014B" w:rsidRPr="007B7D30">
        <w:rPr>
          <w:rStyle w:val="FootnoteReference"/>
          <w:rFonts w:ascii="Cambria" w:hAnsi="Cambria"/>
          <w:b/>
          <w:color w:val="auto"/>
          <w:sz w:val="20"/>
          <w:szCs w:val="20"/>
          <w:lang w:val="es-ES_tradnl"/>
        </w:rPr>
        <w:footnoteReference w:id="7"/>
      </w:r>
    </w:p>
    <w:bookmarkEnd w:id="0"/>
    <w:p w14:paraId="147216E4" w14:textId="5DD8EB93" w:rsidR="000B2968" w:rsidRPr="007B7D30" w:rsidRDefault="000B2968" w:rsidP="00F5200C">
      <w:pPr>
        <w:pStyle w:val="Default"/>
        <w:jc w:val="center"/>
        <w:rPr>
          <w:rFonts w:ascii="Cambria" w:hAnsi="Cambria"/>
          <w:b/>
          <w:color w:val="auto"/>
          <w:sz w:val="20"/>
          <w:szCs w:val="20"/>
          <w:lang w:val="es-ES_tradnl"/>
        </w:rPr>
      </w:pPr>
      <w:r w:rsidRPr="007B7D30">
        <w:rPr>
          <w:rFonts w:ascii="Cambria" w:hAnsi="Cambria"/>
          <w:b/>
          <w:color w:val="auto"/>
          <w:sz w:val="20"/>
          <w:szCs w:val="20"/>
          <w:lang w:val="es-ES_tradnl"/>
        </w:rPr>
        <w:t>(Valores en USD, preliminares y no auditados)</w:t>
      </w:r>
    </w:p>
    <w:p w14:paraId="65D25A64" w14:textId="6D9B7FE3" w:rsidR="000626D7" w:rsidRPr="007B7D30" w:rsidRDefault="00E86C1B" w:rsidP="00F5200C">
      <w:pPr>
        <w:pStyle w:val="Default"/>
        <w:jc w:val="center"/>
        <w:rPr>
          <w:rFonts w:ascii="Cambria" w:hAnsi="Cambria"/>
          <w:b/>
          <w:color w:val="auto"/>
          <w:sz w:val="20"/>
          <w:szCs w:val="20"/>
          <w:lang w:val="es-ES_tradnl"/>
        </w:rPr>
      </w:pPr>
      <w:r w:rsidRPr="007B7D30">
        <w:rPr>
          <w:noProof/>
        </w:rPr>
        <w:drawing>
          <wp:inline distT="0" distB="0" distL="0" distR="0" wp14:anchorId="018622E0" wp14:editId="11F4A526">
            <wp:extent cx="5745480" cy="3291840"/>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3291840"/>
                    </a:xfrm>
                    <a:prstGeom prst="rect">
                      <a:avLst/>
                    </a:prstGeom>
                    <a:noFill/>
                    <a:ln>
                      <a:noFill/>
                    </a:ln>
                  </pic:spPr>
                </pic:pic>
              </a:graphicData>
            </a:graphic>
          </wp:inline>
        </w:drawing>
      </w:r>
    </w:p>
    <w:p w14:paraId="77E4EEBC" w14:textId="3F01E0E6" w:rsidR="000B2968" w:rsidRPr="007B7D30" w:rsidRDefault="000B2968" w:rsidP="000B2968">
      <w:pPr>
        <w:pStyle w:val="Default"/>
        <w:ind w:firstLine="993"/>
        <w:jc w:val="center"/>
        <w:rPr>
          <w:rFonts w:ascii="Cambria" w:hAnsi="Cambria"/>
          <w:sz w:val="20"/>
          <w:szCs w:val="20"/>
          <w:lang w:val="es-ES_tradnl"/>
        </w:rPr>
      </w:pPr>
    </w:p>
    <w:p w14:paraId="4B06DD38" w14:textId="77777777" w:rsidR="000B2968" w:rsidRPr="007B7D30" w:rsidRDefault="000B2968" w:rsidP="000B2968">
      <w:pPr>
        <w:pStyle w:val="Default"/>
        <w:tabs>
          <w:tab w:val="left" w:pos="6600"/>
        </w:tabs>
        <w:ind w:firstLine="851"/>
        <w:rPr>
          <w:rFonts w:ascii="Cambria" w:hAnsi="Cambria"/>
          <w:b/>
          <w:sz w:val="20"/>
          <w:szCs w:val="20"/>
          <w:lang w:val="es-ES_tradnl"/>
        </w:rPr>
      </w:pPr>
    </w:p>
    <w:p w14:paraId="61618B01" w14:textId="77777777" w:rsidR="000B2968" w:rsidRPr="007B7D30" w:rsidRDefault="000B2968" w:rsidP="000B2968">
      <w:pPr>
        <w:pStyle w:val="Default"/>
        <w:tabs>
          <w:tab w:val="left" w:pos="6600"/>
        </w:tabs>
        <w:rPr>
          <w:rFonts w:ascii="Cambria" w:hAnsi="Cambria"/>
          <w:b/>
          <w:sz w:val="20"/>
          <w:szCs w:val="20"/>
          <w:lang w:val="es-ES_tradnl"/>
        </w:rPr>
      </w:pPr>
    </w:p>
    <w:p w14:paraId="761E8126" w14:textId="0C0E96D3" w:rsidR="000B2968" w:rsidRPr="007B7D30" w:rsidRDefault="000B2968" w:rsidP="00966382">
      <w:pPr>
        <w:pStyle w:val="paragraphs"/>
      </w:pPr>
      <w:r w:rsidRPr="007B7D30">
        <w:t>La siguiente figura muestra la distribución del gasto de la CIDH por fuente de financiamiento al 3</w:t>
      </w:r>
      <w:r w:rsidR="000626D7" w:rsidRPr="007B7D30">
        <w:t>1</w:t>
      </w:r>
      <w:r w:rsidRPr="007B7D30">
        <w:t xml:space="preserve"> de </w:t>
      </w:r>
      <w:r w:rsidR="000626D7" w:rsidRPr="007B7D30">
        <w:t>diciembre</w:t>
      </w:r>
      <w:r w:rsidRPr="007B7D30">
        <w:t xml:space="preserve"> de 2021. Los gastos financiados a través de los fondos específicos ascienden al 4</w:t>
      </w:r>
      <w:r w:rsidR="0063014B" w:rsidRPr="007B7D30">
        <w:t>8</w:t>
      </w:r>
      <w:r w:rsidRPr="007B7D30">
        <w:t>% y del fondo regular, al 5</w:t>
      </w:r>
      <w:r w:rsidR="0063014B" w:rsidRPr="007B7D30">
        <w:t>2</w:t>
      </w:r>
      <w:r w:rsidRPr="007B7D30">
        <w:t>%.</w:t>
      </w:r>
    </w:p>
    <w:p w14:paraId="0B4D7C34" w14:textId="77777777" w:rsidR="000B2968" w:rsidRPr="007B7D30" w:rsidRDefault="000B2968" w:rsidP="000B2968">
      <w:pPr>
        <w:rPr>
          <w:rFonts w:ascii="Cambria" w:eastAsia="Times New Roman" w:hAnsi="Cambria" w:cs="Calibri"/>
          <w:b/>
          <w:sz w:val="20"/>
          <w:szCs w:val="20"/>
          <w:lang w:val="es-ES_tradnl"/>
        </w:rPr>
      </w:pPr>
      <w:r w:rsidRPr="007B7D30">
        <w:rPr>
          <w:rFonts w:ascii="Cambria" w:hAnsi="Cambria"/>
          <w:b/>
          <w:sz w:val="20"/>
          <w:szCs w:val="20"/>
          <w:lang w:val="es-ES_tradnl"/>
        </w:rPr>
        <w:br w:type="page"/>
      </w:r>
    </w:p>
    <w:p w14:paraId="36A291DC" w14:textId="3383BF6E" w:rsidR="000B2968" w:rsidRPr="007B7D30" w:rsidRDefault="000B2968" w:rsidP="000B2968">
      <w:pPr>
        <w:pStyle w:val="Default"/>
        <w:ind w:left="1985" w:hanging="992"/>
        <w:jc w:val="center"/>
        <w:rPr>
          <w:rFonts w:ascii="Cambria" w:hAnsi="Cambria"/>
          <w:b/>
          <w:color w:val="auto"/>
          <w:sz w:val="20"/>
          <w:szCs w:val="20"/>
          <w:lang w:val="es-ES_tradnl"/>
        </w:rPr>
      </w:pPr>
      <w:r w:rsidRPr="007B7D30">
        <w:rPr>
          <w:rFonts w:ascii="Cambria" w:hAnsi="Cambria"/>
          <w:b/>
          <w:color w:val="auto"/>
          <w:sz w:val="20"/>
          <w:szCs w:val="20"/>
          <w:lang w:val="es-ES_tradnl"/>
        </w:rPr>
        <w:lastRenderedPageBreak/>
        <w:t>Figura 3. Distribución del Gasto de la CIDH por Fuente de Financiamiento al 3</w:t>
      </w:r>
      <w:r w:rsidR="000626D7" w:rsidRPr="007B7D30">
        <w:rPr>
          <w:rFonts w:ascii="Cambria" w:hAnsi="Cambria"/>
          <w:b/>
          <w:color w:val="auto"/>
          <w:sz w:val="20"/>
          <w:szCs w:val="20"/>
          <w:lang w:val="es-ES_tradnl"/>
        </w:rPr>
        <w:t>1</w:t>
      </w:r>
      <w:r w:rsidRPr="007B7D30">
        <w:rPr>
          <w:rFonts w:ascii="Cambria" w:hAnsi="Cambria"/>
          <w:b/>
          <w:color w:val="auto"/>
          <w:sz w:val="20"/>
          <w:szCs w:val="20"/>
          <w:lang w:val="es-ES_tradnl"/>
        </w:rPr>
        <w:t xml:space="preserve"> de </w:t>
      </w:r>
      <w:r w:rsidR="000626D7" w:rsidRPr="007B7D30">
        <w:rPr>
          <w:rFonts w:ascii="Cambria" w:hAnsi="Cambria"/>
          <w:b/>
          <w:color w:val="auto"/>
          <w:sz w:val="20"/>
          <w:szCs w:val="20"/>
          <w:lang w:val="es-ES_tradnl"/>
        </w:rPr>
        <w:t>diciembre</w:t>
      </w:r>
      <w:r w:rsidRPr="007B7D30">
        <w:rPr>
          <w:rFonts w:ascii="Cambria" w:hAnsi="Cambria"/>
          <w:b/>
          <w:color w:val="auto"/>
          <w:sz w:val="20"/>
          <w:szCs w:val="20"/>
          <w:lang w:val="es-ES_tradnl"/>
        </w:rPr>
        <w:t xml:space="preserve"> de 2021</w:t>
      </w:r>
    </w:p>
    <w:p w14:paraId="15C27CE4" w14:textId="280F995A" w:rsidR="000B2968" w:rsidRPr="007B7D30" w:rsidRDefault="000B2968" w:rsidP="000B2968">
      <w:pPr>
        <w:pStyle w:val="Default"/>
        <w:ind w:left="1985" w:hanging="992"/>
        <w:jc w:val="center"/>
        <w:rPr>
          <w:rFonts w:ascii="Cambria" w:hAnsi="Cambria"/>
          <w:b/>
          <w:color w:val="auto"/>
          <w:sz w:val="20"/>
          <w:szCs w:val="20"/>
          <w:lang w:val="es-ES_tradnl"/>
        </w:rPr>
      </w:pPr>
      <w:r w:rsidRPr="007B7D30">
        <w:rPr>
          <w:rFonts w:ascii="Cambria" w:hAnsi="Cambria"/>
          <w:b/>
          <w:color w:val="auto"/>
          <w:sz w:val="20"/>
          <w:szCs w:val="20"/>
          <w:lang w:val="es-ES_tradnl"/>
        </w:rPr>
        <w:t>(Valores en miles de USD, preliminares y no auditados)</w:t>
      </w:r>
    </w:p>
    <w:p w14:paraId="797ACC5C" w14:textId="245E5140" w:rsidR="00A57582" w:rsidRPr="007B7D30" w:rsidRDefault="005C38AC" w:rsidP="000B2968">
      <w:pPr>
        <w:pStyle w:val="Default"/>
        <w:ind w:left="1985" w:hanging="992"/>
        <w:jc w:val="center"/>
        <w:rPr>
          <w:rFonts w:ascii="Cambria" w:hAnsi="Cambria"/>
          <w:b/>
          <w:color w:val="auto"/>
          <w:sz w:val="20"/>
          <w:szCs w:val="20"/>
          <w:lang w:val="es-ES_tradnl"/>
        </w:rPr>
      </w:pPr>
      <w:r w:rsidRPr="007B7D30">
        <w:rPr>
          <w:noProof/>
        </w:rPr>
        <w:drawing>
          <wp:inline distT="0" distB="0" distL="0" distR="0" wp14:anchorId="515FD074" wp14:editId="770C8274">
            <wp:extent cx="4672536" cy="3270875"/>
            <wp:effectExtent l="0" t="0" r="0" b="6350"/>
            <wp:docPr id="27" name="Chart 27">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A5E0B0" w14:textId="77777777" w:rsidR="00A57582" w:rsidRPr="007B7D30" w:rsidRDefault="00A57582" w:rsidP="000B2968">
      <w:pPr>
        <w:pStyle w:val="Default"/>
        <w:ind w:left="1985" w:hanging="992"/>
        <w:jc w:val="center"/>
        <w:rPr>
          <w:rFonts w:ascii="Cambria" w:hAnsi="Cambria"/>
          <w:b/>
          <w:color w:val="auto"/>
          <w:sz w:val="20"/>
          <w:szCs w:val="20"/>
          <w:lang w:val="es-ES_tradnl"/>
        </w:rPr>
      </w:pPr>
    </w:p>
    <w:p w14:paraId="613DF3BE" w14:textId="67F06B35" w:rsidR="000B2968" w:rsidRPr="007B7D30" w:rsidRDefault="000B2968" w:rsidP="000B2968">
      <w:pPr>
        <w:pStyle w:val="Default"/>
        <w:jc w:val="center"/>
        <w:rPr>
          <w:noProof/>
          <w:lang w:val="es-CO" w:eastAsia="es-CO"/>
        </w:rPr>
      </w:pPr>
    </w:p>
    <w:p w14:paraId="20BCB3B7" w14:textId="77777777" w:rsidR="000B2968" w:rsidRPr="007B7D30" w:rsidRDefault="000B2968" w:rsidP="000B2968">
      <w:pPr>
        <w:pStyle w:val="Default"/>
        <w:jc w:val="center"/>
        <w:rPr>
          <w:rFonts w:ascii="Cambria" w:hAnsi="Cambria"/>
          <w:b/>
          <w:color w:val="auto"/>
          <w:sz w:val="20"/>
          <w:szCs w:val="20"/>
          <w:lang w:val="es-ES_tradnl"/>
        </w:rPr>
      </w:pPr>
    </w:p>
    <w:p w14:paraId="02473858" w14:textId="77777777" w:rsidR="000B2968" w:rsidRPr="007B7D30" w:rsidRDefault="000B2968" w:rsidP="000B2968">
      <w:pPr>
        <w:pStyle w:val="Default"/>
        <w:ind w:firstLine="851"/>
        <w:jc w:val="center"/>
        <w:rPr>
          <w:rFonts w:ascii="Cambria" w:hAnsi="Cambria"/>
          <w:sz w:val="20"/>
          <w:szCs w:val="20"/>
          <w:lang w:val="es-ES_tradnl"/>
        </w:rPr>
      </w:pPr>
    </w:p>
    <w:p w14:paraId="014938AD" w14:textId="77777777" w:rsidR="000B2968" w:rsidRPr="007B7D30" w:rsidRDefault="000B2968" w:rsidP="00966382">
      <w:pPr>
        <w:pStyle w:val="paragraphs"/>
      </w:pPr>
      <w:r w:rsidRPr="007B7D30">
        <w:t>La siguiente tabla y gráfica muestran la distribución del gasto de la CIDH por fuente de financiamiento y objeto de gasto.</w:t>
      </w:r>
    </w:p>
    <w:p w14:paraId="0D182C6D" w14:textId="47D6B640" w:rsidR="000B2968" w:rsidRPr="007B7D30" w:rsidRDefault="000B2968" w:rsidP="000B2968">
      <w:pPr>
        <w:pStyle w:val="Default"/>
        <w:jc w:val="center"/>
        <w:rPr>
          <w:rFonts w:ascii="Cambria" w:hAnsi="Cambria"/>
          <w:b/>
          <w:color w:val="auto"/>
          <w:sz w:val="20"/>
          <w:szCs w:val="20"/>
          <w:lang w:val="es-ES_tradnl"/>
        </w:rPr>
      </w:pPr>
      <w:r w:rsidRPr="007B7D30">
        <w:rPr>
          <w:rFonts w:ascii="Cambria" w:hAnsi="Cambria"/>
          <w:b/>
          <w:sz w:val="20"/>
          <w:szCs w:val="20"/>
          <w:lang w:val="es-ES_tradnl"/>
        </w:rPr>
        <w:t xml:space="preserve">Tabla 3. Distribución del gasto de la CIDH </w:t>
      </w:r>
      <w:r w:rsidRPr="007B7D30">
        <w:rPr>
          <w:rFonts w:ascii="Cambria" w:hAnsi="Cambria"/>
          <w:b/>
          <w:color w:val="auto"/>
          <w:sz w:val="20"/>
          <w:szCs w:val="20"/>
          <w:lang w:val="es-ES_tradnl"/>
        </w:rPr>
        <w:t>por fuente de financiamiento en el 2021 y Objeto de Gasto (Valores redondeados en USD, preliminares y no auditados) al 3</w:t>
      </w:r>
      <w:r w:rsidR="00A57582" w:rsidRPr="007B7D30">
        <w:rPr>
          <w:rFonts w:ascii="Cambria" w:hAnsi="Cambria"/>
          <w:b/>
          <w:color w:val="auto"/>
          <w:sz w:val="20"/>
          <w:szCs w:val="20"/>
          <w:lang w:val="es-ES_tradnl"/>
        </w:rPr>
        <w:t>1</w:t>
      </w:r>
      <w:r w:rsidRPr="007B7D30">
        <w:rPr>
          <w:rFonts w:ascii="Cambria" w:hAnsi="Cambria"/>
          <w:b/>
          <w:color w:val="auto"/>
          <w:sz w:val="20"/>
          <w:szCs w:val="20"/>
          <w:lang w:val="es-ES_tradnl"/>
        </w:rPr>
        <w:t xml:space="preserve"> de </w:t>
      </w:r>
      <w:r w:rsidR="00A57582" w:rsidRPr="007B7D30">
        <w:rPr>
          <w:rFonts w:ascii="Cambria" w:hAnsi="Cambria"/>
          <w:b/>
          <w:color w:val="auto"/>
          <w:sz w:val="20"/>
          <w:szCs w:val="20"/>
          <w:lang w:val="es-ES_tradnl"/>
        </w:rPr>
        <w:t>diciembre</w:t>
      </w:r>
      <w:r w:rsidRPr="007B7D30">
        <w:rPr>
          <w:rFonts w:ascii="Cambria" w:hAnsi="Cambria"/>
          <w:b/>
          <w:color w:val="auto"/>
          <w:sz w:val="20"/>
          <w:szCs w:val="20"/>
          <w:lang w:val="es-ES_tradnl"/>
        </w:rPr>
        <w:t xml:space="preserve"> de 2021</w:t>
      </w:r>
      <w:r w:rsidR="00F5200C">
        <w:rPr>
          <w:rFonts w:ascii="Cambria" w:hAnsi="Cambria"/>
          <w:b/>
          <w:color w:val="auto"/>
          <w:sz w:val="20"/>
          <w:szCs w:val="20"/>
          <w:lang w:val="es-ES_tradnl"/>
        </w:rPr>
        <w:br/>
      </w:r>
    </w:p>
    <w:tbl>
      <w:tblPr>
        <w:tblStyle w:val="GridTable4-Accent1"/>
        <w:tblW w:w="9180" w:type="dxa"/>
        <w:tblLook w:val="04A0" w:firstRow="1" w:lastRow="0" w:firstColumn="1" w:lastColumn="0" w:noHBand="0" w:noVBand="1"/>
      </w:tblPr>
      <w:tblGrid>
        <w:gridCol w:w="4040"/>
        <w:gridCol w:w="1445"/>
        <w:gridCol w:w="2095"/>
        <w:gridCol w:w="1600"/>
      </w:tblGrid>
      <w:tr w:rsidR="000E076C" w:rsidRPr="007B7D30" w14:paraId="4CD91756" w14:textId="77777777" w:rsidTr="00BA31B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3DA424F" w14:textId="5A34C8B7" w:rsidR="000E076C" w:rsidRPr="00F5200C" w:rsidRDefault="000E076C" w:rsidP="007127D5">
            <w:pPr>
              <w:jc w:val="center"/>
              <w:rPr>
                <w:rFonts w:ascii="Calibri" w:eastAsia="Times New Roman" w:hAnsi="Calibri" w:cs="Calibri"/>
                <w:sz w:val="22"/>
                <w:szCs w:val="22"/>
              </w:rPr>
            </w:pPr>
            <w:proofErr w:type="spellStart"/>
            <w:r w:rsidRPr="00F5200C">
              <w:rPr>
                <w:rFonts w:ascii="Calibri" w:eastAsia="Times New Roman" w:hAnsi="Calibri" w:cs="Calibri"/>
                <w:sz w:val="22"/>
                <w:szCs w:val="22"/>
              </w:rPr>
              <w:t>Objeto</w:t>
            </w:r>
            <w:proofErr w:type="spellEnd"/>
            <w:r w:rsidRPr="00F5200C">
              <w:rPr>
                <w:rFonts w:ascii="Calibri" w:eastAsia="Times New Roman" w:hAnsi="Calibri" w:cs="Calibri"/>
                <w:sz w:val="22"/>
                <w:szCs w:val="22"/>
              </w:rPr>
              <w:t xml:space="preserve"> de </w:t>
            </w:r>
            <w:proofErr w:type="spellStart"/>
            <w:r w:rsidRPr="00F5200C">
              <w:rPr>
                <w:rFonts w:ascii="Calibri" w:eastAsia="Times New Roman" w:hAnsi="Calibri" w:cs="Calibri"/>
                <w:sz w:val="22"/>
                <w:szCs w:val="22"/>
              </w:rPr>
              <w:t>Gasto</w:t>
            </w:r>
            <w:proofErr w:type="spellEnd"/>
          </w:p>
        </w:tc>
        <w:tc>
          <w:tcPr>
            <w:tcW w:w="1445" w:type="dxa"/>
            <w:noWrap/>
            <w:hideMark/>
          </w:tcPr>
          <w:p w14:paraId="372E9B67" w14:textId="76710EDF" w:rsidR="000E076C" w:rsidRPr="00F5200C" w:rsidRDefault="000E076C" w:rsidP="007127D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roofErr w:type="spellStart"/>
            <w:r w:rsidRPr="00F5200C">
              <w:rPr>
                <w:rFonts w:ascii="Calibri" w:eastAsia="Times New Roman" w:hAnsi="Calibri" w:cs="Calibri"/>
                <w:sz w:val="22"/>
                <w:szCs w:val="22"/>
              </w:rPr>
              <w:t>Fondo</w:t>
            </w:r>
            <w:proofErr w:type="spellEnd"/>
            <w:r w:rsidRPr="00F5200C">
              <w:rPr>
                <w:rFonts w:ascii="Calibri" w:eastAsia="Times New Roman" w:hAnsi="Calibri" w:cs="Calibri"/>
                <w:sz w:val="22"/>
                <w:szCs w:val="22"/>
              </w:rPr>
              <w:t xml:space="preserve"> Regular</w:t>
            </w:r>
          </w:p>
        </w:tc>
        <w:tc>
          <w:tcPr>
            <w:tcW w:w="2095" w:type="dxa"/>
            <w:noWrap/>
            <w:hideMark/>
          </w:tcPr>
          <w:p w14:paraId="120C9BEE" w14:textId="46023755" w:rsidR="000E076C" w:rsidRPr="00F5200C" w:rsidRDefault="000E076C" w:rsidP="007127D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roofErr w:type="spellStart"/>
            <w:r w:rsidRPr="00F5200C">
              <w:rPr>
                <w:rFonts w:ascii="Calibri" w:eastAsia="Times New Roman" w:hAnsi="Calibri" w:cs="Calibri"/>
                <w:sz w:val="22"/>
                <w:szCs w:val="22"/>
              </w:rPr>
              <w:t>Fondos</w:t>
            </w:r>
            <w:proofErr w:type="spellEnd"/>
            <w:r w:rsidRPr="00F5200C">
              <w:rPr>
                <w:rFonts w:ascii="Calibri" w:eastAsia="Times New Roman" w:hAnsi="Calibri" w:cs="Calibri"/>
                <w:sz w:val="22"/>
                <w:szCs w:val="22"/>
              </w:rPr>
              <w:t xml:space="preserve"> </w:t>
            </w:r>
            <w:proofErr w:type="spellStart"/>
            <w:r w:rsidRPr="00F5200C">
              <w:rPr>
                <w:rFonts w:ascii="Calibri" w:eastAsia="Times New Roman" w:hAnsi="Calibri" w:cs="Calibri"/>
                <w:sz w:val="22"/>
                <w:szCs w:val="22"/>
              </w:rPr>
              <w:t>Específicos</w:t>
            </w:r>
            <w:proofErr w:type="spellEnd"/>
          </w:p>
        </w:tc>
        <w:tc>
          <w:tcPr>
            <w:tcW w:w="0" w:type="dxa"/>
            <w:noWrap/>
            <w:hideMark/>
          </w:tcPr>
          <w:p w14:paraId="08C6C751" w14:textId="62F072F0" w:rsidR="000E076C" w:rsidRPr="00F5200C" w:rsidRDefault="000E076C" w:rsidP="007127D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F5200C">
              <w:rPr>
                <w:rFonts w:ascii="Calibri" w:eastAsia="Times New Roman" w:hAnsi="Calibri" w:cs="Calibri"/>
                <w:sz w:val="22"/>
                <w:szCs w:val="22"/>
              </w:rPr>
              <w:t>Total</w:t>
            </w:r>
          </w:p>
        </w:tc>
      </w:tr>
      <w:tr w:rsidR="000E076C" w:rsidRPr="007B7D30" w14:paraId="48F52234" w14:textId="77777777" w:rsidTr="00BA31B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F611ED3" w14:textId="77777777" w:rsidR="000E076C" w:rsidRPr="007B7D30" w:rsidRDefault="000E076C" w:rsidP="007127D5">
            <w:pPr>
              <w:jc w:val="center"/>
              <w:rPr>
                <w:rFonts w:ascii="Calibri" w:eastAsia="Times New Roman" w:hAnsi="Calibri" w:cs="Calibri"/>
                <w:sz w:val="22"/>
                <w:szCs w:val="22"/>
              </w:rPr>
            </w:pPr>
            <w:proofErr w:type="spellStart"/>
            <w:r w:rsidRPr="007B7D30">
              <w:rPr>
                <w:rFonts w:ascii="Calibri" w:eastAsia="Times New Roman" w:hAnsi="Calibri" w:cs="Calibri"/>
                <w:sz w:val="22"/>
                <w:szCs w:val="22"/>
              </w:rPr>
              <w:t>Salarios</w:t>
            </w:r>
            <w:proofErr w:type="spellEnd"/>
          </w:p>
        </w:tc>
        <w:tc>
          <w:tcPr>
            <w:tcW w:w="1445" w:type="dxa"/>
            <w:noWrap/>
            <w:hideMark/>
          </w:tcPr>
          <w:p w14:paraId="0BE863AA" w14:textId="7CBD61F6"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6,179,566.6</w:t>
            </w:r>
          </w:p>
        </w:tc>
        <w:tc>
          <w:tcPr>
            <w:tcW w:w="2095" w:type="dxa"/>
            <w:noWrap/>
            <w:hideMark/>
          </w:tcPr>
          <w:p w14:paraId="6D443085" w14:textId="014E1C62"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1,122,346.8</w:t>
            </w:r>
          </w:p>
        </w:tc>
        <w:tc>
          <w:tcPr>
            <w:tcW w:w="0" w:type="dxa"/>
            <w:noWrap/>
            <w:hideMark/>
          </w:tcPr>
          <w:p w14:paraId="6C064E42" w14:textId="17AC7B59"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7,301,913.4</w:t>
            </w:r>
          </w:p>
        </w:tc>
      </w:tr>
      <w:tr w:rsidR="000E076C" w:rsidRPr="007B7D30" w14:paraId="1BBAA2AF" w14:textId="77777777" w:rsidTr="000E076C">
        <w:trPr>
          <w:trHeight w:val="288"/>
        </w:trPr>
        <w:tc>
          <w:tcPr>
            <w:cnfStyle w:val="001000000000" w:firstRow="0" w:lastRow="0" w:firstColumn="1" w:lastColumn="0" w:oddVBand="0" w:evenVBand="0" w:oddHBand="0" w:evenHBand="0" w:firstRowFirstColumn="0" w:firstRowLastColumn="0" w:lastRowFirstColumn="0" w:lastRowLastColumn="0"/>
            <w:tcW w:w="4040" w:type="dxa"/>
            <w:noWrap/>
            <w:hideMark/>
          </w:tcPr>
          <w:p w14:paraId="7F2DF1D7" w14:textId="77777777" w:rsidR="000E076C" w:rsidRPr="007B7D30" w:rsidRDefault="000E076C" w:rsidP="007127D5">
            <w:pPr>
              <w:jc w:val="center"/>
              <w:rPr>
                <w:rFonts w:ascii="Calibri" w:eastAsia="Times New Roman" w:hAnsi="Calibri" w:cs="Calibri"/>
                <w:color w:val="000000"/>
                <w:sz w:val="22"/>
                <w:szCs w:val="22"/>
              </w:rPr>
            </w:pPr>
            <w:proofErr w:type="spellStart"/>
            <w:r w:rsidRPr="007B7D30">
              <w:rPr>
                <w:rFonts w:ascii="Calibri" w:eastAsia="Times New Roman" w:hAnsi="Calibri" w:cs="Calibri"/>
                <w:color w:val="000000"/>
                <w:sz w:val="22"/>
                <w:szCs w:val="22"/>
              </w:rPr>
              <w:t>Contratos</w:t>
            </w:r>
            <w:proofErr w:type="spellEnd"/>
            <w:r w:rsidRPr="007B7D30">
              <w:rPr>
                <w:rFonts w:ascii="Calibri" w:eastAsia="Times New Roman" w:hAnsi="Calibri" w:cs="Calibri"/>
                <w:color w:val="000000"/>
                <w:sz w:val="22"/>
                <w:szCs w:val="22"/>
              </w:rPr>
              <w:t xml:space="preserve"> </w:t>
            </w:r>
            <w:proofErr w:type="spellStart"/>
            <w:r w:rsidRPr="007B7D30">
              <w:rPr>
                <w:rFonts w:ascii="Calibri" w:eastAsia="Times New Roman" w:hAnsi="Calibri" w:cs="Calibri"/>
                <w:color w:val="000000"/>
                <w:sz w:val="22"/>
                <w:szCs w:val="22"/>
              </w:rPr>
              <w:t>por</w:t>
            </w:r>
            <w:proofErr w:type="spellEnd"/>
            <w:r w:rsidRPr="007B7D30">
              <w:rPr>
                <w:rFonts w:ascii="Calibri" w:eastAsia="Times New Roman" w:hAnsi="Calibri" w:cs="Calibri"/>
                <w:color w:val="000000"/>
                <w:sz w:val="22"/>
                <w:szCs w:val="22"/>
              </w:rPr>
              <w:t xml:space="preserve"> </w:t>
            </w:r>
            <w:proofErr w:type="spellStart"/>
            <w:r w:rsidRPr="007B7D30">
              <w:rPr>
                <w:rFonts w:ascii="Calibri" w:eastAsia="Times New Roman" w:hAnsi="Calibri" w:cs="Calibri"/>
                <w:color w:val="000000"/>
                <w:sz w:val="22"/>
                <w:szCs w:val="22"/>
              </w:rPr>
              <w:t>resultado</w:t>
            </w:r>
            <w:proofErr w:type="spellEnd"/>
          </w:p>
        </w:tc>
        <w:tc>
          <w:tcPr>
            <w:tcW w:w="1445" w:type="dxa"/>
            <w:noWrap/>
            <w:hideMark/>
          </w:tcPr>
          <w:p w14:paraId="20A3B3DA" w14:textId="07672E71"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2,481,373.6</w:t>
            </w:r>
          </w:p>
        </w:tc>
        <w:tc>
          <w:tcPr>
            <w:tcW w:w="2095" w:type="dxa"/>
            <w:noWrap/>
            <w:hideMark/>
          </w:tcPr>
          <w:p w14:paraId="433777A7" w14:textId="2B685384"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5,200,025.8</w:t>
            </w:r>
          </w:p>
        </w:tc>
        <w:tc>
          <w:tcPr>
            <w:tcW w:w="1600" w:type="dxa"/>
            <w:noWrap/>
            <w:hideMark/>
          </w:tcPr>
          <w:p w14:paraId="41F62A1E" w14:textId="53641934"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7,681,399.5</w:t>
            </w:r>
          </w:p>
        </w:tc>
      </w:tr>
      <w:tr w:rsidR="000E076C" w:rsidRPr="007B7D30" w14:paraId="368DB623" w14:textId="77777777" w:rsidTr="00BA31B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1FFC89F" w14:textId="77777777" w:rsidR="000E076C" w:rsidRPr="007B7D30" w:rsidRDefault="000E076C" w:rsidP="007127D5">
            <w:pPr>
              <w:jc w:val="center"/>
              <w:rPr>
                <w:rFonts w:ascii="Calibri" w:eastAsia="Times New Roman" w:hAnsi="Calibri" w:cs="Calibri"/>
                <w:sz w:val="22"/>
                <w:szCs w:val="22"/>
              </w:rPr>
            </w:pPr>
            <w:proofErr w:type="spellStart"/>
            <w:r w:rsidRPr="007B7D30">
              <w:rPr>
                <w:rFonts w:ascii="Calibri" w:eastAsia="Times New Roman" w:hAnsi="Calibri" w:cs="Calibri"/>
                <w:sz w:val="22"/>
                <w:szCs w:val="22"/>
              </w:rPr>
              <w:t>Becas</w:t>
            </w:r>
            <w:proofErr w:type="spellEnd"/>
          </w:p>
        </w:tc>
        <w:tc>
          <w:tcPr>
            <w:tcW w:w="1445" w:type="dxa"/>
            <w:noWrap/>
            <w:hideMark/>
          </w:tcPr>
          <w:p w14:paraId="2CC06CAE" w14:textId="0B7CD08C"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w:t>
            </w:r>
          </w:p>
        </w:tc>
        <w:tc>
          <w:tcPr>
            <w:tcW w:w="2095" w:type="dxa"/>
            <w:noWrap/>
            <w:hideMark/>
          </w:tcPr>
          <w:p w14:paraId="6D161EC8" w14:textId="4EDEF041"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174,400.0</w:t>
            </w:r>
          </w:p>
        </w:tc>
        <w:tc>
          <w:tcPr>
            <w:tcW w:w="0" w:type="dxa"/>
            <w:noWrap/>
            <w:hideMark/>
          </w:tcPr>
          <w:p w14:paraId="04A7DB1E" w14:textId="5F50F1D2"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174,400.0</w:t>
            </w:r>
          </w:p>
        </w:tc>
      </w:tr>
      <w:tr w:rsidR="000E076C" w:rsidRPr="007B7D30" w14:paraId="4A35B0CE" w14:textId="77777777" w:rsidTr="00BA31BE">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59124F1" w14:textId="77777777" w:rsidR="000E076C" w:rsidRPr="007B7D30" w:rsidRDefault="000E076C" w:rsidP="007127D5">
            <w:pPr>
              <w:jc w:val="center"/>
              <w:rPr>
                <w:rFonts w:ascii="Calibri" w:eastAsia="Times New Roman" w:hAnsi="Calibri" w:cs="Calibri"/>
                <w:sz w:val="22"/>
                <w:szCs w:val="22"/>
              </w:rPr>
            </w:pPr>
            <w:proofErr w:type="spellStart"/>
            <w:r w:rsidRPr="007B7D30">
              <w:rPr>
                <w:rFonts w:ascii="Calibri" w:eastAsia="Times New Roman" w:hAnsi="Calibri" w:cs="Calibri"/>
                <w:sz w:val="22"/>
                <w:szCs w:val="22"/>
              </w:rPr>
              <w:t>Viajes</w:t>
            </w:r>
            <w:proofErr w:type="spellEnd"/>
          </w:p>
        </w:tc>
        <w:tc>
          <w:tcPr>
            <w:tcW w:w="1445" w:type="dxa"/>
            <w:noWrap/>
            <w:hideMark/>
          </w:tcPr>
          <w:p w14:paraId="5C4335A6" w14:textId="7A4CB30E"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137,308.6</w:t>
            </w:r>
          </w:p>
        </w:tc>
        <w:tc>
          <w:tcPr>
            <w:tcW w:w="0" w:type="dxa"/>
            <w:noWrap/>
            <w:hideMark/>
          </w:tcPr>
          <w:p w14:paraId="196E0423" w14:textId="61646026"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278,185.2</w:t>
            </w:r>
          </w:p>
        </w:tc>
        <w:tc>
          <w:tcPr>
            <w:tcW w:w="0" w:type="dxa"/>
            <w:noWrap/>
            <w:hideMark/>
          </w:tcPr>
          <w:p w14:paraId="2CA17C98" w14:textId="643EEA18"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415,493.7</w:t>
            </w:r>
          </w:p>
        </w:tc>
      </w:tr>
      <w:tr w:rsidR="000E076C" w:rsidRPr="007B7D30" w14:paraId="0F4F4137" w14:textId="77777777" w:rsidTr="00BA31B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8CCA3A9" w14:textId="77777777" w:rsidR="000E076C" w:rsidRPr="007B7D30" w:rsidRDefault="000E076C" w:rsidP="007127D5">
            <w:pPr>
              <w:jc w:val="center"/>
              <w:rPr>
                <w:rFonts w:ascii="Calibri" w:eastAsia="Times New Roman" w:hAnsi="Calibri" w:cs="Calibri"/>
                <w:color w:val="000000"/>
                <w:sz w:val="22"/>
                <w:szCs w:val="22"/>
              </w:rPr>
            </w:pPr>
            <w:proofErr w:type="spellStart"/>
            <w:r w:rsidRPr="007B7D30">
              <w:rPr>
                <w:rFonts w:ascii="Calibri" w:eastAsia="Times New Roman" w:hAnsi="Calibri" w:cs="Calibri"/>
                <w:color w:val="000000"/>
                <w:sz w:val="22"/>
                <w:szCs w:val="22"/>
              </w:rPr>
              <w:t>Documentos</w:t>
            </w:r>
            <w:proofErr w:type="spellEnd"/>
          </w:p>
        </w:tc>
        <w:tc>
          <w:tcPr>
            <w:tcW w:w="1445" w:type="dxa"/>
            <w:noWrap/>
            <w:hideMark/>
          </w:tcPr>
          <w:p w14:paraId="2DAF2F30" w14:textId="22657EA3"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752.7</w:t>
            </w:r>
          </w:p>
        </w:tc>
        <w:tc>
          <w:tcPr>
            <w:tcW w:w="2095" w:type="dxa"/>
            <w:noWrap/>
            <w:hideMark/>
          </w:tcPr>
          <w:p w14:paraId="34B1FF08" w14:textId="6DA0D462"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3,298.6</w:t>
            </w:r>
          </w:p>
        </w:tc>
        <w:tc>
          <w:tcPr>
            <w:tcW w:w="0" w:type="dxa"/>
            <w:noWrap/>
            <w:hideMark/>
          </w:tcPr>
          <w:p w14:paraId="2B91B165" w14:textId="086CA0B6"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4,051.2</w:t>
            </w:r>
          </w:p>
        </w:tc>
      </w:tr>
      <w:tr w:rsidR="000E076C" w:rsidRPr="007B7D30" w14:paraId="3E68B914" w14:textId="77777777" w:rsidTr="000E076C">
        <w:trPr>
          <w:trHeight w:val="288"/>
        </w:trPr>
        <w:tc>
          <w:tcPr>
            <w:cnfStyle w:val="001000000000" w:firstRow="0" w:lastRow="0" w:firstColumn="1" w:lastColumn="0" w:oddVBand="0" w:evenVBand="0" w:oddHBand="0" w:evenHBand="0" w:firstRowFirstColumn="0" w:firstRowLastColumn="0" w:lastRowFirstColumn="0" w:lastRowLastColumn="0"/>
            <w:tcW w:w="4040" w:type="dxa"/>
            <w:noWrap/>
            <w:hideMark/>
          </w:tcPr>
          <w:p w14:paraId="6E85A66E" w14:textId="77777777" w:rsidR="000E076C" w:rsidRPr="007B7D30" w:rsidRDefault="000E076C" w:rsidP="007127D5">
            <w:pPr>
              <w:jc w:val="center"/>
              <w:rPr>
                <w:rFonts w:ascii="Calibri" w:eastAsia="Times New Roman" w:hAnsi="Calibri" w:cs="Calibri"/>
                <w:color w:val="000000"/>
                <w:sz w:val="22"/>
                <w:szCs w:val="22"/>
              </w:rPr>
            </w:pPr>
            <w:proofErr w:type="spellStart"/>
            <w:r w:rsidRPr="007B7D30">
              <w:rPr>
                <w:rFonts w:ascii="Calibri" w:eastAsia="Times New Roman" w:hAnsi="Calibri" w:cs="Calibri"/>
                <w:color w:val="000000"/>
                <w:sz w:val="22"/>
                <w:szCs w:val="22"/>
              </w:rPr>
              <w:t>Equipos</w:t>
            </w:r>
            <w:proofErr w:type="spellEnd"/>
            <w:r w:rsidRPr="007B7D30">
              <w:rPr>
                <w:rFonts w:ascii="Calibri" w:eastAsia="Times New Roman" w:hAnsi="Calibri" w:cs="Calibri"/>
                <w:color w:val="000000"/>
                <w:sz w:val="22"/>
                <w:szCs w:val="22"/>
              </w:rPr>
              <w:t xml:space="preserve"> y </w:t>
            </w:r>
            <w:proofErr w:type="spellStart"/>
            <w:r w:rsidRPr="007B7D30">
              <w:rPr>
                <w:rFonts w:ascii="Calibri" w:eastAsia="Times New Roman" w:hAnsi="Calibri" w:cs="Calibri"/>
                <w:color w:val="000000"/>
                <w:sz w:val="22"/>
                <w:szCs w:val="22"/>
              </w:rPr>
              <w:t>suministros</w:t>
            </w:r>
            <w:proofErr w:type="spellEnd"/>
          </w:p>
        </w:tc>
        <w:tc>
          <w:tcPr>
            <w:tcW w:w="1445" w:type="dxa"/>
            <w:noWrap/>
            <w:hideMark/>
          </w:tcPr>
          <w:p w14:paraId="184EC6CB" w14:textId="18EE780A"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62,002.2</w:t>
            </w:r>
          </w:p>
        </w:tc>
        <w:tc>
          <w:tcPr>
            <w:tcW w:w="2095" w:type="dxa"/>
            <w:noWrap/>
            <w:hideMark/>
          </w:tcPr>
          <w:p w14:paraId="212D24E7" w14:textId="33AB6DD6"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17,146.0</w:t>
            </w:r>
          </w:p>
        </w:tc>
        <w:tc>
          <w:tcPr>
            <w:tcW w:w="1600" w:type="dxa"/>
            <w:noWrap/>
            <w:hideMark/>
          </w:tcPr>
          <w:p w14:paraId="5BED6C83" w14:textId="1A1771EA"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79,148.2</w:t>
            </w:r>
          </w:p>
        </w:tc>
      </w:tr>
      <w:tr w:rsidR="000E076C" w:rsidRPr="007B7D30" w14:paraId="5E904DDB" w14:textId="77777777" w:rsidTr="00BA31B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29105C9" w14:textId="77777777" w:rsidR="000E076C" w:rsidRPr="007B7D30" w:rsidRDefault="000E076C" w:rsidP="007127D5">
            <w:pPr>
              <w:jc w:val="center"/>
              <w:rPr>
                <w:rFonts w:ascii="Calibri" w:eastAsia="Times New Roman" w:hAnsi="Calibri" w:cs="Calibri"/>
                <w:color w:val="000000"/>
                <w:sz w:val="22"/>
                <w:szCs w:val="22"/>
              </w:rPr>
            </w:pPr>
            <w:proofErr w:type="spellStart"/>
            <w:r w:rsidRPr="007B7D30">
              <w:rPr>
                <w:rFonts w:ascii="Calibri" w:eastAsia="Times New Roman" w:hAnsi="Calibri" w:cs="Calibri"/>
                <w:color w:val="000000"/>
                <w:sz w:val="22"/>
                <w:szCs w:val="22"/>
              </w:rPr>
              <w:t>Edificio</w:t>
            </w:r>
            <w:proofErr w:type="spellEnd"/>
            <w:r w:rsidRPr="007B7D30">
              <w:rPr>
                <w:rFonts w:ascii="Calibri" w:eastAsia="Times New Roman" w:hAnsi="Calibri" w:cs="Calibri"/>
                <w:color w:val="000000"/>
                <w:sz w:val="22"/>
                <w:szCs w:val="22"/>
              </w:rPr>
              <w:t xml:space="preserve"> y </w:t>
            </w:r>
            <w:proofErr w:type="spellStart"/>
            <w:r w:rsidRPr="007B7D30">
              <w:rPr>
                <w:rFonts w:ascii="Calibri" w:eastAsia="Times New Roman" w:hAnsi="Calibri" w:cs="Calibri"/>
                <w:color w:val="000000"/>
                <w:sz w:val="22"/>
                <w:szCs w:val="22"/>
              </w:rPr>
              <w:t>Mantenimiento</w:t>
            </w:r>
            <w:proofErr w:type="spellEnd"/>
          </w:p>
        </w:tc>
        <w:tc>
          <w:tcPr>
            <w:tcW w:w="1445" w:type="dxa"/>
            <w:noWrap/>
            <w:hideMark/>
          </w:tcPr>
          <w:p w14:paraId="2097E1D6" w14:textId="2EE756E1"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w:t>
            </w:r>
          </w:p>
        </w:tc>
        <w:tc>
          <w:tcPr>
            <w:tcW w:w="2095" w:type="dxa"/>
            <w:noWrap/>
            <w:hideMark/>
          </w:tcPr>
          <w:p w14:paraId="7DBFA535" w14:textId="2CE5103E"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23,445.3</w:t>
            </w:r>
          </w:p>
        </w:tc>
        <w:tc>
          <w:tcPr>
            <w:tcW w:w="0" w:type="dxa"/>
            <w:noWrap/>
            <w:hideMark/>
          </w:tcPr>
          <w:p w14:paraId="3C31D39F" w14:textId="03591CD0"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23,445.3</w:t>
            </w:r>
          </w:p>
        </w:tc>
      </w:tr>
      <w:tr w:rsidR="000E076C" w:rsidRPr="007B7D30" w14:paraId="0DD999BD" w14:textId="77777777" w:rsidTr="00BA31BE">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107B541" w14:textId="77777777" w:rsidR="000E076C" w:rsidRPr="007B7D30" w:rsidRDefault="000E076C" w:rsidP="007127D5">
            <w:pPr>
              <w:jc w:val="center"/>
              <w:rPr>
                <w:rFonts w:ascii="Calibri" w:eastAsia="Times New Roman" w:hAnsi="Calibri" w:cs="Calibri"/>
                <w:sz w:val="22"/>
                <w:szCs w:val="22"/>
              </w:rPr>
            </w:pPr>
            <w:proofErr w:type="spellStart"/>
            <w:r w:rsidRPr="007B7D30">
              <w:rPr>
                <w:rFonts w:ascii="Calibri" w:eastAsia="Times New Roman" w:hAnsi="Calibri" w:cs="Calibri"/>
                <w:sz w:val="22"/>
                <w:szCs w:val="22"/>
              </w:rPr>
              <w:t>Otros</w:t>
            </w:r>
            <w:proofErr w:type="spellEnd"/>
            <w:r w:rsidRPr="007B7D30">
              <w:rPr>
                <w:rFonts w:ascii="Calibri" w:eastAsia="Times New Roman" w:hAnsi="Calibri" w:cs="Calibri"/>
                <w:sz w:val="22"/>
                <w:szCs w:val="22"/>
              </w:rPr>
              <w:t xml:space="preserve"> </w:t>
            </w:r>
            <w:proofErr w:type="spellStart"/>
            <w:r w:rsidRPr="007B7D30">
              <w:rPr>
                <w:rFonts w:ascii="Calibri" w:eastAsia="Times New Roman" w:hAnsi="Calibri" w:cs="Calibri"/>
                <w:sz w:val="22"/>
                <w:szCs w:val="22"/>
              </w:rPr>
              <w:t>costos</w:t>
            </w:r>
            <w:proofErr w:type="spellEnd"/>
          </w:p>
        </w:tc>
        <w:tc>
          <w:tcPr>
            <w:tcW w:w="1445" w:type="dxa"/>
            <w:noWrap/>
            <w:hideMark/>
          </w:tcPr>
          <w:p w14:paraId="7FC171A0" w14:textId="4B8792A2"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97,777.9</w:t>
            </w:r>
          </w:p>
        </w:tc>
        <w:tc>
          <w:tcPr>
            <w:tcW w:w="0" w:type="dxa"/>
            <w:noWrap/>
            <w:hideMark/>
          </w:tcPr>
          <w:p w14:paraId="3B31005C" w14:textId="4C2C9F25"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144,725.1</w:t>
            </w:r>
          </w:p>
        </w:tc>
        <w:tc>
          <w:tcPr>
            <w:tcW w:w="0" w:type="dxa"/>
            <w:noWrap/>
            <w:hideMark/>
          </w:tcPr>
          <w:p w14:paraId="61E79F5D" w14:textId="0ED3D0F3"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242,503.0</w:t>
            </w:r>
          </w:p>
        </w:tc>
      </w:tr>
      <w:tr w:rsidR="000E076C" w:rsidRPr="007B7D30" w14:paraId="25B061C2" w14:textId="77777777" w:rsidTr="00BA31B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FEBB12A" w14:textId="77777777" w:rsidR="000E076C" w:rsidRPr="007B7D30" w:rsidRDefault="000E076C" w:rsidP="007127D5">
            <w:pPr>
              <w:jc w:val="center"/>
              <w:rPr>
                <w:rFonts w:ascii="Calibri" w:eastAsia="Times New Roman" w:hAnsi="Calibri" w:cs="Calibri"/>
                <w:color w:val="000000"/>
                <w:sz w:val="22"/>
                <w:szCs w:val="22"/>
                <w:lang w:val="es-US"/>
              </w:rPr>
            </w:pPr>
            <w:r w:rsidRPr="007B7D30">
              <w:rPr>
                <w:rFonts w:ascii="Calibri" w:eastAsia="Times New Roman" w:hAnsi="Calibri" w:cs="Calibri"/>
                <w:color w:val="000000"/>
                <w:sz w:val="22"/>
                <w:szCs w:val="22"/>
                <w:lang w:val="es-US"/>
              </w:rPr>
              <w:t>Recuperación de costos indirectos (RCI)</w:t>
            </w:r>
          </w:p>
        </w:tc>
        <w:tc>
          <w:tcPr>
            <w:tcW w:w="1445" w:type="dxa"/>
            <w:noWrap/>
            <w:hideMark/>
          </w:tcPr>
          <w:p w14:paraId="3FF8795D" w14:textId="7CEE029B"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w:t>
            </w:r>
          </w:p>
        </w:tc>
        <w:tc>
          <w:tcPr>
            <w:tcW w:w="2095" w:type="dxa"/>
            <w:noWrap/>
            <w:hideMark/>
          </w:tcPr>
          <w:p w14:paraId="3A54CE36" w14:textId="259807D2"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1,448,886.7</w:t>
            </w:r>
          </w:p>
        </w:tc>
        <w:tc>
          <w:tcPr>
            <w:tcW w:w="0" w:type="dxa"/>
            <w:noWrap/>
            <w:hideMark/>
          </w:tcPr>
          <w:p w14:paraId="6277B6E5" w14:textId="04BB5C63" w:rsidR="000E076C" w:rsidRPr="007B7D30" w:rsidRDefault="000E076C" w:rsidP="007127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7B7D30">
              <w:rPr>
                <w:rFonts w:ascii="Calibri" w:eastAsia="Times New Roman" w:hAnsi="Calibri" w:cs="Calibri"/>
                <w:sz w:val="22"/>
                <w:szCs w:val="22"/>
              </w:rPr>
              <w:t>1,448,886.7</w:t>
            </w:r>
          </w:p>
        </w:tc>
      </w:tr>
      <w:tr w:rsidR="000E076C" w:rsidRPr="007B7D30" w14:paraId="24BA1A6E" w14:textId="77777777" w:rsidTr="00BA31BE">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AA31EE6" w14:textId="22D3E722" w:rsidR="000E076C" w:rsidRPr="007B7D30" w:rsidRDefault="000E076C" w:rsidP="007127D5">
            <w:pPr>
              <w:jc w:val="center"/>
              <w:rPr>
                <w:rFonts w:ascii="Calibri" w:eastAsia="Times New Roman" w:hAnsi="Calibri" w:cs="Calibri"/>
                <w:color w:val="000000"/>
                <w:sz w:val="22"/>
                <w:szCs w:val="22"/>
              </w:rPr>
            </w:pPr>
            <w:r w:rsidRPr="007B7D30">
              <w:rPr>
                <w:rFonts w:ascii="Calibri" w:eastAsia="Times New Roman" w:hAnsi="Calibri" w:cs="Calibri"/>
                <w:color w:val="000000"/>
                <w:sz w:val="22"/>
                <w:szCs w:val="22"/>
              </w:rPr>
              <w:t>Total</w:t>
            </w:r>
          </w:p>
        </w:tc>
        <w:tc>
          <w:tcPr>
            <w:tcW w:w="1445" w:type="dxa"/>
            <w:noWrap/>
            <w:hideMark/>
          </w:tcPr>
          <w:p w14:paraId="5EE54C13" w14:textId="383AAE7B"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rPr>
            </w:pPr>
            <w:r w:rsidRPr="007B7D30">
              <w:rPr>
                <w:rFonts w:ascii="Calibri" w:eastAsia="Times New Roman" w:hAnsi="Calibri" w:cs="Calibri"/>
                <w:b/>
                <w:bCs/>
                <w:color w:val="000000"/>
                <w:sz w:val="22"/>
                <w:szCs w:val="22"/>
              </w:rPr>
              <w:t>8,958,781.6</w:t>
            </w:r>
          </w:p>
        </w:tc>
        <w:tc>
          <w:tcPr>
            <w:tcW w:w="0" w:type="dxa"/>
            <w:noWrap/>
            <w:hideMark/>
          </w:tcPr>
          <w:p w14:paraId="1DA44BBF" w14:textId="63BF7779"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rPr>
            </w:pPr>
            <w:r w:rsidRPr="007B7D30">
              <w:rPr>
                <w:rFonts w:ascii="Calibri" w:eastAsia="Times New Roman" w:hAnsi="Calibri" w:cs="Calibri"/>
                <w:b/>
                <w:bCs/>
                <w:color w:val="000000"/>
                <w:sz w:val="22"/>
                <w:szCs w:val="22"/>
              </w:rPr>
              <w:t>8,412,459.5</w:t>
            </w:r>
          </w:p>
        </w:tc>
        <w:tc>
          <w:tcPr>
            <w:tcW w:w="0" w:type="dxa"/>
            <w:noWrap/>
            <w:hideMark/>
          </w:tcPr>
          <w:p w14:paraId="42FAA5DE" w14:textId="052B72C9" w:rsidR="000E076C" w:rsidRPr="007B7D30" w:rsidRDefault="000E076C" w:rsidP="007127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rPr>
            </w:pPr>
            <w:r w:rsidRPr="007B7D30">
              <w:rPr>
                <w:rFonts w:ascii="Calibri" w:eastAsia="Times New Roman" w:hAnsi="Calibri" w:cs="Calibri"/>
                <w:b/>
                <w:bCs/>
                <w:color w:val="000000"/>
                <w:sz w:val="22"/>
                <w:szCs w:val="22"/>
              </w:rPr>
              <w:t>17,371,241.1</w:t>
            </w:r>
          </w:p>
        </w:tc>
      </w:tr>
    </w:tbl>
    <w:p w14:paraId="42DBD9C5" w14:textId="77777777" w:rsidR="000E076C" w:rsidRPr="007B7D30" w:rsidRDefault="000E076C" w:rsidP="000B2968">
      <w:pPr>
        <w:pStyle w:val="Default"/>
        <w:jc w:val="center"/>
        <w:rPr>
          <w:rFonts w:ascii="Cambria" w:hAnsi="Cambria"/>
          <w:b/>
          <w:color w:val="auto"/>
          <w:sz w:val="20"/>
          <w:szCs w:val="20"/>
          <w:lang w:val="es-ES_tradnl"/>
        </w:rPr>
      </w:pPr>
    </w:p>
    <w:p w14:paraId="1A9DCFAC" w14:textId="65A95D76" w:rsidR="000B2968" w:rsidRPr="007B7D30" w:rsidRDefault="000B2968" w:rsidP="000B2968">
      <w:pPr>
        <w:pStyle w:val="Default"/>
        <w:jc w:val="center"/>
        <w:rPr>
          <w:rFonts w:ascii="Cambria" w:hAnsi="Cambria"/>
          <w:b/>
          <w:color w:val="FF0000"/>
          <w:sz w:val="20"/>
          <w:szCs w:val="20"/>
          <w:lang w:val="es-ES_tradnl"/>
        </w:rPr>
      </w:pPr>
    </w:p>
    <w:p w14:paraId="2D7354C8" w14:textId="77777777" w:rsidR="00A610DA" w:rsidRPr="007B7D30" w:rsidRDefault="00A610DA" w:rsidP="000B2968">
      <w:pPr>
        <w:pStyle w:val="Default"/>
        <w:jc w:val="center"/>
        <w:rPr>
          <w:rFonts w:ascii="Cambria" w:hAnsi="Cambria"/>
          <w:b/>
          <w:color w:val="FF0000"/>
          <w:sz w:val="20"/>
          <w:szCs w:val="20"/>
          <w:lang w:val="es-ES_tradnl"/>
        </w:rPr>
      </w:pPr>
    </w:p>
    <w:p w14:paraId="67281DA6" w14:textId="77777777" w:rsidR="000B2968" w:rsidRPr="007B7D30" w:rsidRDefault="000B2968" w:rsidP="000B2968">
      <w:pPr>
        <w:rPr>
          <w:rFonts w:ascii="Cambria" w:eastAsia="Times New Roman" w:hAnsi="Cambria" w:cs="Calibri"/>
          <w:b/>
          <w:sz w:val="20"/>
          <w:szCs w:val="20"/>
          <w:lang w:val="es-ES_tradnl"/>
        </w:rPr>
      </w:pPr>
    </w:p>
    <w:p w14:paraId="09064FBC" w14:textId="0EB4B7E7" w:rsidR="000B2968" w:rsidRPr="007B7D30" w:rsidRDefault="000B2968" w:rsidP="000B2968">
      <w:pPr>
        <w:pStyle w:val="Default"/>
        <w:jc w:val="center"/>
        <w:rPr>
          <w:rFonts w:ascii="Cambria" w:hAnsi="Cambria"/>
          <w:b/>
          <w:color w:val="auto"/>
          <w:sz w:val="20"/>
          <w:szCs w:val="20"/>
          <w:lang w:val="es-ES_tradnl"/>
        </w:rPr>
      </w:pPr>
      <w:r w:rsidRPr="007B7D30">
        <w:rPr>
          <w:rFonts w:ascii="Cambria" w:hAnsi="Cambria"/>
          <w:b/>
          <w:color w:val="auto"/>
          <w:sz w:val="20"/>
          <w:szCs w:val="20"/>
          <w:lang w:val="es-ES_tradnl"/>
        </w:rPr>
        <w:t>Figura 4. Distribución del Gasto de la CIDH por Objeto de Gasto al 3</w:t>
      </w:r>
      <w:r w:rsidR="00A57582" w:rsidRPr="007B7D30">
        <w:rPr>
          <w:rFonts w:ascii="Cambria" w:hAnsi="Cambria"/>
          <w:b/>
          <w:color w:val="auto"/>
          <w:sz w:val="20"/>
          <w:szCs w:val="20"/>
          <w:lang w:val="es-ES_tradnl"/>
        </w:rPr>
        <w:t>1</w:t>
      </w:r>
      <w:r w:rsidRPr="007B7D30">
        <w:rPr>
          <w:rFonts w:ascii="Cambria" w:hAnsi="Cambria"/>
          <w:b/>
          <w:color w:val="auto"/>
          <w:sz w:val="20"/>
          <w:szCs w:val="20"/>
          <w:lang w:val="es-ES_tradnl"/>
        </w:rPr>
        <w:t xml:space="preserve"> de</w:t>
      </w:r>
      <w:r w:rsidR="00A57582" w:rsidRPr="007B7D30">
        <w:rPr>
          <w:rFonts w:ascii="Cambria" w:hAnsi="Cambria"/>
          <w:b/>
          <w:color w:val="auto"/>
          <w:sz w:val="20"/>
          <w:szCs w:val="20"/>
          <w:lang w:val="es-ES_tradnl"/>
        </w:rPr>
        <w:t xml:space="preserve"> diciembre</w:t>
      </w:r>
      <w:r w:rsidRPr="007B7D30">
        <w:rPr>
          <w:rFonts w:ascii="Cambria" w:hAnsi="Cambria"/>
          <w:b/>
          <w:color w:val="auto"/>
          <w:sz w:val="20"/>
          <w:szCs w:val="20"/>
          <w:lang w:val="es-ES_tradnl"/>
        </w:rPr>
        <w:t xml:space="preserve"> de </w:t>
      </w:r>
      <w:proofErr w:type="gramStart"/>
      <w:r w:rsidRPr="007B7D30">
        <w:rPr>
          <w:rFonts w:ascii="Cambria" w:hAnsi="Cambria"/>
          <w:b/>
          <w:color w:val="auto"/>
          <w:sz w:val="20"/>
          <w:szCs w:val="20"/>
          <w:lang w:val="es-ES_tradnl"/>
        </w:rPr>
        <w:t>2021  (</w:t>
      </w:r>
      <w:proofErr w:type="gramEnd"/>
      <w:r w:rsidRPr="007B7D30">
        <w:rPr>
          <w:rFonts w:ascii="Cambria" w:hAnsi="Cambria"/>
          <w:b/>
          <w:color w:val="auto"/>
          <w:sz w:val="20"/>
          <w:szCs w:val="20"/>
          <w:lang w:val="es-ES_tradnl"/>
        </w:rPr>
        <w:t>Valores en miles de USD, preliminares y no auditados)</w:t>
      </w:r>
      <w:r w:rsidRPr="007B7D30">
        <w:rPr>
          <w:rStyle w:val="FootnoteReference"/>
          <w:rFonts w:ascii="Cambria" w:hAnsi="Cambria"/>
          <w:b/>
          <w:color w:val="auto"/>
          <w:sz w:val="20"/>
          <w:szCs w:val="20"/>
          <w:lang w:val="es-ES_tradnl"/>
        </w:rPr>
        <w:footnoteReference w:id="8"/>
      </w:r>
      <w:r w:rsidR="007127D5" w:rsidRPr="007B7D30">
        <w:rPr>
          <w:rFonts w:ascii="Cambria" w:hAnsi="Cambria"/>
          <w:b/>
          <w:color w:val="auto"/>
          <w:sz w:val="20"/>
          <w:szCs w:val="20"/>
          <w:vertAlign w:val="superscript"/>
          <w:lang w:val="es-419"/>
        </w:rPr>
        <w:t xml:space="preserve"> ,</w:t>
      </w:r>
      <w:r w:rsidRPr="007B7D30">
        <w:rPr>
          <w:rStyle w:val="FootnoteReference"/>
          <w:rFonts w:ascii="Cambria" w:hAnsi="Cambria"/>
          <w:b/>
          <w:color w:val="auto"/>
          <w:sz w:val="20"/>
          <w:szCs w:val="20"/>
          <w:lang w:val="es-ES_tradnl"/>
        </w:rPr>
        <w:footnoteReference w:id="9"/>
      </w:r>
      <w:r w:rsidR="007127D5" w:rsidRPr="007B7D30">
        <w:rPr>
          <w:rFonts w:ascii="Cambria" w:hAnsi="Cambria"/>
          <w:b/>
          <w:color w:val="auto"/>
          <w:sz w:val="20"/>
          <w:szCs w:val="20"/>
          <w:vertAlign w:val="superscript"/>
          <w:lang w:val="es-419"/>
        </w:rPr>
        <w:t xml:space="preserve"> ,</w:t>
      </w:r>
      <w:r w:rsidRPr="007B7D30">
        <w:rPr>
          <w:rStyle w:val="FootnoteReference"/>
          <w:rFonts w:ascii="Cambria" w:hAnsi="Cambria"/>
          <w:b/>
          <w:color w:val="auto"/>
          <w:sz w:val="20"/>
          <w:szCs w:val="20"/>
          <w:lang w:val="es-ES_tradnl"/>
        </w:rPr>
        <w:footnoteReference w:id="10"/>
      </w:r>
      <w:r w:rsidR="007127D5" w:rsidRPr="007B7D30">
        <w:rPr>
          <w:rFonts w:ascii="Cambria" w:hAnsi="Cambria"/>
          <w:b/>
          <w:color w:val="auto"/>
          <w:sz w:val="20"/>
          <w:szCs w:val="20"/>
          <w:vertAlign w:val="superscript"/>
          <w:lang w:val="es-419"/>
        </w:rPr>
        <w:t xml:space="preserve"> ,</w:t>
      </w:r>
      <w:r w:rsidRPr="007B7D30">
        <w:rPr>
          <w:rStyle w:val="FootnoteReference"/>
          <w:rFonts w:ascii="Cambria" w:hAnsi="Cambria"/>
          <w:b/>
          <w:color w:val="auto"/>
          <w:sz w:val="20"/>
          <w:szCs w:val="20"/>
          <w:lang w:val="es-ES_tradnl"/>
        </w:rPr>
        <w:footnoteReference w:id="11"/>
      </w:r>
    </w:p>
    <w:p w14:paraId="552AAB91" w14:textId="77777777" w:rsidR="00FC5490" w:rsidRPr="007B7D30" w:rsidRDefault="00FC5490" w:rsidP="000B2968">
      <w:pPr>
        <w:pStyle w:val="Default"/>
        <w:jc w:val="center"/>
        <w:rPr>
          <w:rFonts w:ascii="Cambria" w:hAnsi="Cambria"/>
          <w:b/>
          <w:color w:val="auto"/>
          <w:sz w:val="20"/>
          <w:szCs w:val="20"/>
          <w:lang w:val="es-ES_tradnl"/>
        </w:rPr>
      </w:pPr>
    </w:p>
    <w:p w14:paraId="3956C360" w14:textId="77777777" w:rsidR="00A57582" w:rsidRPr="007B7D30" w:rsidRDefault="00A57582" w:rsidP="000B2968">
      <w:pPr>
        <w:pStyle w:val="Default"/>
        <w:jc w:val="center"/>
        <w:rPr>
          <w:rFonts w:ascii="Cambria" w:hAnsi="Cambria"/>
          <w:b/>
          <w:color w:val="auto"/>
          <w:sz w:val="20"/>
          <w:szCs w:val="20"/>
          <w:lang w:val="es-ES_tradnl"/>
        </w:rPr>
      </w:pPr>
    </w:p>
    <w:p w14:paraId="31FD0728" w14:textId="34A52C04" w:rsidR="00A57582" w:rsidRPr="007B7D30" w:rsidRDefault="000E076C" w:rsidP="000B2968">
      <w:pPr>
        <w:pStyle w:val="Default"/>
        <w:jc w:val="center"/>
        <w:rPr>
          <w:rFonts w:ascii="Cambria" w:hAnsi="Cambria"/>
          <w:b/>
          <w:color w:val="auto"/>
          <w:sz w:val="20"/>
          <w:szCs w:val="20"/>
          <w:lang w:val="es-ES_tradnl"/>
        </w:rPr>
      </w:pPr>
      <w:r w:rsidRPr="007B7D30">
        <w:rPr>
          <w:noProof/>
        </w:rPr>
        <w:drawing>
          <wp:inline distT="0" distB="0" distL="0" distR="0" wp14:anchorId="3F9655E4" wp14:editId="21A9A970">
            <wp:extent cx="6073140" cy="4038600"/>
            <wp:effectExtent l="0" t="0" r="3810" b="0"/>
            <wp:docPr id="30" name="Chart 30">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0535AF" w14:textId="2F3B91EF" w:rsidR="00A57582" w:rsidRPr="007B7D30" w:rsidRDefault="00A57582" w:rsidP="000B2968">
      <w:pPr>
        <w:pStyle w:val="Default"/>
        <w:jc w:val="center"/>
        <w:rPr>
          <w:rFonts w:ascii="Cambria" w:hAnsi="Cambria"/>
          <w:b/>
          <w:color w:val="auto"/>
          <w:sz w:val="20"/>
          <w:szCs w:val="20"/>
          <w:lang w:val="es-ES_tradnl"/>
        </w:rPr>
      </w:pPr>
    </w:p>
    <w:p w14:paraId="522D9E63" w14:textId="77777777" w:rsidR="000B2968" w:rsidRPr="007B7D30" w:rsidRDefault="000B2968" w:rsidP="000B2968">
      <w:pPr>
        <w:pStyle w:val="Default"/>
        <w:ind w:left="1843" w:hanging="992"/>
        <w:rPr>
          <w:rFonts w:ascii="Cambria" w:hAnsi="Cambria"/>
          <w:b/>
          <w:sz w:val="20"/>
          <w:szCs w:val="20"/>
          <w:lang w:val="es-ES_tradnl"/>
        </w:rPr>
      </w:pPr>
    </w:p>
    <w:p w14:paraId="3B22138E" w14:textId="7FC3CAD6" w:rsidR="000B2968" w:rsidRPr="007B7D30" w:rsidRDefault="000B2968" w:rsidP="000B2968">
      <w:pPr>
        <w:pStyle w:val="Default"/>
        <w:ind w:firstLine="851"/>
        <w:jc w:val="center"/>
        <w:rPr>
          <w:rFonts w:ascii="Cambria" w:hAnsi="Cambria"/>
          <w:sz w:val="20"/>
          <w:szCs w:val="20"/>
          <w:lang w:val="es-ES_tradnl"/>
        </w:rPr>
      </w:pPr>
    </w:p>
    <w:p w14:paraId="25551564" w14:textId="77777777" w:rsidR="000B2968" w:rsidRPr="007B7D30" w:rsidRDefault="000B2968" w:rsidP="000B2968">
      <w:pPr>
        <w:pStyle w:val="Default"/>
        <w:jc w:val="center"/>
        <w:rPr>
          <w:rFonts w:ascii="Cambria" w:hAnsi="Cambria"/>
          <w:sz w:val="20"/>
          <w:szCs w:val="20"/>
          <w:lang w:val="es-ES_tradnl"/>
        </w:rPr>
      </w:pPr>
    </w:p>
    <w:p w14:paraId="4C2258E5" w14:textId="77777777" w:rsidR="000B2968" w:rsidRPr="007B7D30" w:rsidRDefault="000B2968" w:rsidP="000B2968">
      <w:pPr>
        <w:rPr>
          <w:rFonts w:ascii="Cambria" w:hAnsi="Cambria"/>
          <w:sz w:val="20"/>
          <w:szCs w:val="20"/>
          <w:lang w:val="es-ES_tradnl"/>
        </w:rPr>
      </w:pPr>
    </w:p>
    <w:p w14:paraId="784E82AD" w14:textId="76F80EB2" w:rsidR="000B5E1D" w:rsidRPr="007B7D30" w:rsidRDefault="000B5E1D" w:rsidP="007C4DCE">
      <w:pPr>
        <w:rPr>
          <w:sz w:val="20"/>
          <w:szCs w:val="20"/>
          <w:lang w:val="es-ES_tradnl"/>
        </w:rPr>
      </w:pPr>
    </w:p>
    <w:p w14:paraId="5DD329EC" w14:textId="08FC2FFC" w:rsidR="00BD17B0" w:rsidRPr="007B7D30" w:rsidRDefault="00BD17B0" w:rsidP="007C4DCE">
      <w:pPr>
        <w:rPr>
          <w:sz w:val="20"/>
          <w:szCs w:val="20"/>
          <w:lang w:val="es-ES"/>
        </w:rPr>
      </w:pPr>
    </w:p>
    <w:p w14:paraId="3D89A7E2" w14:textId="77777777" w:rsidR="00F5200C" w:rsidRDefault="00F5200C">
      <w:pPr>
        <w:rPr>
          <w:rFonts w:ascii="Cambria" w:hAnsi="Cambria"/>
          <w:b/>
          <w:sz w:val="22"/>
          <w:szCs w:val="22"/>
          <w:lang w:val="es-ES_tradnl"/>
        </w:rPr>
      </w:pPr>
      <w:r>
        <w:br w:type="page"/>
      </w:r>
    </w:p>
    <w:p w14:paraId="1DD4FA70" w14:textId="16726497" w:rsidR="00C81467" w:rsidRPr="00F5200C" w:rsidRDefault="00C81467" w:rsidP="00F5200C">
      <w:pPr>
        <w:pStyle w:val="Heading1"/>
      </w:pPr>
      <w:r w:rsidRPr="00F5200C">
        <w:lastRenderedPageBreak/>
        <w:t>Planeación, movilización de recursos y administración de proyectos</w:t>
      </w:r>
    </w:p>
    <w:p w14:paraId="0E9856C9" w14:textId="77777777" w:rsidR="00C81467" w:rsidRPr="007B7D30" w:rsidRDefault="00C81467" w:rsidP="00932B39">
      <w:pPr>
        <w:pStyle w:val="Heading2"/>
        <w:numPr>
          <w:ilvl w:val="0"/>
          <w:numId w:val="22"/>
        </w:numPr>
        <w:ind w:hanging="720"/>
      </w:pPr>
      <w:r w:rsidRPr="007B7D30">
        <w:t>Planeación Financiera de la CIDH</w:t>
      </w:r>
    </w:p>
    <w:p w14:paraId="05460410" w14:textId="424C3BCC" w:rsidR="00C81467" w:rsidRPr="007B7D30" w:rsidRDefault="00C81467" w:rsidP="00966382">
      <w:pPr>
        <w:pStyle w:val="paragraphs"/>
      </w:pPr>
      <w:r w:rsidRPr="007B7D30">
        <w:t>La Secretaría Ejecutiva avanzó en la planeación financiera anual para 202</w:t>
      </w:r>
      <w:r w:rsidR="006766B1" w:rsidRPr="007B7D30">
        <w:t>2</w:t>
      </w:r>
      <w:r w:rsidRPr="007B7D30">
        <w:t xml:space="preserve"> con fuentes provenientes del fondo regular (total $10</w:t>
      </w:r>
      <w:r w:rsidR="00034C43" w:rsidRPr="007B7D30">
        <w:t>.3</w:t>
      </w:r>
      <w:r w:rsidRPr="007B7D30">
        <w:t xml:space="preserve"> millones) y de fondos específicos (estimado $</w:t>
      </w:r>
      <w:r w:rsidR="000510C2" w:rsidRPr="007B7D30">
        <w:t>8</w:t>
      </w:r>
      <w:r w:rsidRPr="007B7D30">
        <w:t>.</w:t>
      </w:r>
      <w:r w:rsidR="00034C43" w:rsidRPr="007B7D30">
        <w:t>1</w:t>
      </w:r>
      <w:r w:rsidRPr="007B7D30">
        <w:t xml:space="preserve"> millones) para un total de $1</w:t>
      </w:r>
      <w:r w:rsidR="000510C2" w:rsidRPr="007B7D30">
        <w:t>8</w:t>
      </w:r>
      <w:r w:rsidRPr="007B7D30">
        <w:t>.</w:t>
      </w:r>
      <w:r w:rsidR="00034C43" w:rsidRPr="007B7D30">
        <w:t>4</w:t>
      </w:r>
      <w:r w:rsidRPr="007B7D30">
        <w:t xml:space="preserve"> millones. Para ello, fue revisado el estado de ejecución de los proyectos actuales, la proyección de posibles ingresos con base en los proyectos plurianuales y las negociaciones en curso. </w:t>
      </w:r>
    </w:p>
    <w:p w14:paraId="6A167F46" w14:textId="321DAA36" w:rsidR="00C81467" w:rsidRPr="007B7D30" w:rsidRDefault="00C81467" w:rsidP="00F5200C">
      <w:pPr>
        <w:pStyle w:val="Heading2"/>
      </w:pPr>
      <w:r w:rsidRPr="007B7D30">
        <w:t>Proyectos ejecutados en 202</w:t>
      </w:r>
      <w:r w:rsidR="00201917" w:rsidRPr="007B7D30">
        <w:t>1</w:t>
      </w:r>
    </w:p>
    <w:p w14:paraId="7C1D99BC" w14:textId="32F14760" w:rsidR="00C81467" w:rsidRPr="007B7D30" w:rsidRDefault="00C81467" w:rsidP="00966382">
      <w:pPr>
        <w:pStyle w:val="paragraphs"/>
      </w:pPr>
      <w:r w:rsidRPr="007B7D30">
        <w:t>Durante el 202</w:t>
      </w:r>
      <w:r w:rsidR="00F90C35" w:rsidRPr="007B7D30">
        <w:t>1</w:t>
      </w:r>
      <w:r w:rsidRPr="007B7D30">
        <w:t xml:space="preserve">, la Secretaría Ejecutiva de la CIDH preparó y entregó </w:t>
      </w:r>
      <w:r w:rsidR="00CF7385" w:rsidRPr="007B7D30">
        <w:t>3</w:t>
      </w:r>
      <w:r w:rsidR="00F90C35" w:rsidRPr="007B7D30">
        <w:t>7</w:t>
      </w:r>
      <w:r w:rsidRPr="007B7D30">
        <w:t xml:space="preserve"> informes narrativos intermedios o finales, correspondientes a </w:t>
      </w:r>
      <w:r w:rsidR="00651652" w:rsidRPr="007B7D30">
        <w:t>22 Acuerdos</w:t>
      </w:r>
      <w:r w:rsidR="00B823E8" w:rsidRPr="007B7D30">
        <w:t xml:space="preserve"> de donación para financiar 18 proy</w:t>
      </w:r>
      <w:r w:rsidR="00CF7385" w:rsidRPr="007B7D30">
        <w:t>e</w:t>
      </w:r>
      <w:r w:rsidR="00B823E8" w:rsidRPr="007B7D30">
        <w:t>ctos</w:t>
      </w:r>
      <w:r w:rsidRPr="007B7D30">
        <w:t>. A continuación, se presenta un listado de los proyectos ejecutados y en ejecución durante el 202</w:t>
      </w:r>
      <w:r w:rsidR="004E6485" w:rsidRPr="007B7D30">
        <w:t>1</w:t>
      </w:r>
      <w:r w:rsidRPr="007B7D30">
        <w:t xml:space="preserve"> con sus respectivos donantes:</w:t>
      </w:r>
    </w:p>
    <w:tbl>
      <w:tblPr>
        <w:tblW w:w="92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457"/>
        <w:gridCol w:w="176"/>
        <w:gridCol w:w="3525"/>
        <w:gridCol w:w="181"/>
        <w:gridCol w:w="1890"/>
        <w:gridCol w:w="182"/>
        <w:gridCol w:w="1258"/>
        <w:gridCol w:w="182"/>
        <w:gridCol w:w="1447"/>
      </w:tblGrid>
      <w:tr w:rsidR="00C81467" w:rsidRPr="007B7D30" w14:paraId="3B31F898" w14:textId="77777777" w:rsidTr="00035D30">
        <w:trPr>
          <w:trHeight w:val="584"/>
        </w:trPr>
        <w:tc>
          <w:tcPr>
            <w:tcW w:w="633" w:type="dxa"/>
            <w:gridSpan w:val="2"/>
            <w:tcBorders>
              <w:top w:val="single" w:sz="4" w:space="0" w:color="FFFFFF"/>
              <w:left w:val="single" w:sz="4" w:space="0" w:color="FFFFFF"/>
              <w:right w:val="nil"/>
            </w:tcBorders>
            <w:shd w:val="clear" w:color="auto" w:fill="2E74B5" w:themeFill="accent5" w:themeFillShade="BF"/>
            <w:hideMark/>
          </w:tcPr>
          <w:p w14:paraId="169FC46D" w14:textId="77777777" w:rsidR="00C81467" w:rsidRPr="007B7D30" w:rsidRDefault="00C81467" w:rsidP="00CC71AE">
            <w:pPr>
              <w:jc w:val="center"/>
              <w:rPr>
                <w:rFonts w:eastAsia="Times New Roman" w:cs="Arial"/>
                <w:b/>
                <w:bCs/>
                <w:color w:val="FFFFFF"/>
                <w:sz w:val="20"/>
                <w:szCs w:val="20"/>
                <w:lang w:val="es-ES_tradnl"/>
              </w:rPr>
            </w:pPr>
          </w:p>
        </w:tc>
        <w:tc>
          <w:tcPr>
            <w:tcW w:w="3706" w:type="dxa"/>
            <w:gridSpan w:val="2"/>
            <w:tcBorders>
              <w:top w:val="single" w:sz="4" w:space="0" w:color="FFFFFF"/>
              <w:left w:val="nil"/>
              <w:right w:val="nil"/>
            </w:tcBorders>
            <w:shd w:val="clear" w:color="auto" w:fill="2E74B5" w:themeFill="accent5" w:themeFillShade="BF"/>
            <w:hideMark/>
          </w:tcPr>
          <w:p w14:paraId="0A3F3848" w14:textId="77777777" w:rsidR="00C81467" w:rsidRPr="007B7D30" w:rsidRDefault="00C81467" w:rsidP="00CC71AE">
            <w:pPr>
              <w:jc w:val="center"/>
              <w:rPr>
                <w:rFonts w:eastAsia="Times New Roman" w:cs="Arial"/>
                <w:b/>
                <w:bCs/>
                <w:color w:val="FFFFFF"/>
                <w:sz w:val="20"/>
                <w:szCs w:val="20"/>
                <w:lang w:val="es-ES_tradnl"/>
              </w:rPr>
            </w:pPr>
            <w:r w:rsidRPr="007B7D30">
              <w:rPr>
                <w:rFonts w:eastAsia="Times New Roman" w:cs="Arial"/>
                <w:b/>
                <w:bCs/>
                <w:color w:val="FFFFFF"/>
                <w:sz w:val="20"/>
                <w:szCs w:val="20"/>
                <w:lang w:val="es-ES_tradnl"/>
              </w:rPr>
              <w:t>Proyecto</w:t>
            </w:r>
          </w:p>
        </w:tc>
        <w:tc>
          <w:tcPr>
            <w:tcW w:w="2072" w:type="dxa"/>
            <w:gridSpan w:val="2"/>
            <w:tcBorders>
              <w:top w:val="single" w:sz="4" w:space="0" w:color="FFFFFF"/>
              <w:left w:val="nil"/>
              <w:right w:val="nil"/>
            </w:tcBorders>
            <w:shd w:val="clear" w:color="auto" w:fill="2E74B5" w:themeFill="accent5" w:themeFillShade="BF"/>
          </w:tcPr>
          <w:p w14:paraId="365EDBDA" w14:textId="77777777" w:rsidR="00C81467" w:rsidRPr="007B7D30" w:rsidRDefault="00C81467" w:rsidP="00CC71AE">
            <w:pPr>
              <w:jc w:val="center"/>
              <w:rPr>
                <w:rFonts w:eastAsia="Times New Roman" w:cs="Arial"/>
                <w:b/>
                <w:bCs/>
                <w:color w:val="FFFFFF"/>
                <w:sz w:val="20"/>
                <w:szCs w:val="20"/>
                <w:lang w:val="es-ES_tradnl"/>
              </w:rPr>
            </w:pPr>
            <w:r w:rsidRPr="007B7D30">
              <w:rPr>
                <w:rFonts w:eastAsia="Times New Roman" w:cs="Arial"/>
                <w:b/>
                <w:bCs/>
                <w:color w:val="FFFFFF"/>
                <w:sz w:val="20"/>
                <w:szCs w:val="20"/>
                <w:lang w:val="es-ES_tradnl"/>
              </w:rPr>
              <w:t>Monto total del proyecto</w:t>
            </w:r>
          </w:p>
        </w:tc>
        <w:tc>
          <w:tcPr>
            <w:tcW w:w="1440" w:type="dxa"/>
            <w:gridSpan w:val="2"/>
            <w:tcBorders>
              <w:top w:val="single" w:sz="4" w:space="0" w:color="FFFFFF"/>
              <w:left w:val="nil"/>
              <w:right w:val="nil"/>
            </w:tcBorders>
            <w:shd w:val="clear" w:color="auto" w:fill="2E74B5" w:themeFill="accent5" w:themeFillShade="BF"/>
            <w:hideMark/>
          </w:tcPr>
          <w:p w14:paraId="70250EC9" w14:textId="77777777" w:rsidR="00C81467" w:rsidRPr="007B7D30" w:rsidRDefault="00C81467" w:rsidP="00CC71AE">
            <w:pPr>
              <w:jc w:val="center"/>
              <w:rPr>
                <w:rFonts w:eastAsia="Times New Roman" w:cs="Arial"/>
                <w:b/>
                <w:bCs/>
                <w:color w:val="FFFFFF"/>
                <w:sz w:val="20"/>
                <w:szCs w:val="20"/>
                <w:lang w:val="es-ES_tradnl"/>
              </w:rPr>
            </w:pPr>
            <w:r w:rsidRPr="007B7D30">
              <w:rPr>
                <w:rFonts w:eastAsia="Times New Roman" w:cs="Arial"/>
                <w:b/>
                <w:bCs/>
                <w:color w:val="FFFFFF"/>
                <w:sz w:val="20"/>
                <w:szCs w:val="20"/>
                <w:lang w:val="es-ES_tradnl"/>
              </w:rPr>
              <w:t>Donante</w:t>
            </w:r>
          </w:p>
        </w:tc>
        <w:tc>
          <w:tcPr>
            <w:tcW w:w="1447" w:type="dxa"/>
            <w:tcBorders>
              <w:top w:val="single" w:sz="4" w:space="0" w:color="FFFFFF"/>
              <w:left w:val="nil"/>
              <w:right w:val="single" w:sz="4" w:space="0" w:color="FFFFFF"/>
            </w:tcBorders>
            <w:shd w:val="clear" w:color="auto" w:fill="2E74B5" w:themeFill="accent5" w:themeFillShade="BF"/>
            <w:hideMark/>
          </w:tcPr>
          <w:p w14:paraId="58B537FE" w14:textId="77777777" w:rsidR="00C81467" w:rsidRPr="007B7D30" w:rsidRDefault="00C81467" w:rsidP="00CC71AE">
            <w:pPr>
              <w:jc w:val="center"/>
              <w:rPr>
                <w:rFonts w:eastAsia="Times New Roman" w:cs="Arial"/>
                <w:b/>
                <w:bCs/>
                <w:color w:val="FFFFFF"/>
                <w:sz w:val="20"/>
                <w:szCs w:val="20"/>
                <w:lang w:val="es-ES_tradnl"/>
              </w:rPr>
            </w:pPr>
            <w:r w:rsidRPr="007B7D30">
              <w:rPr>
                <w:rFonts w:eastAsia="Times New Roman" w:cs="Arial"/>
                <w:b/>
                <w:bCs/>
                <w:color w:val="FFFFFF"/>
                <w:sz w:val="20"/>
                <w:szCs w:val="20"/>
                <w:lang w:val="es-ES_tradnl"/>
              </w:rPr>
              <w:t>Informes entregados</w:t>
            </w:r>
          </w:p>
        </w:tc>
      </w:tr>
      <w:tr w:rsidR="00C81467" w:rsidRPr="007B7D30" w14:paraId="4F65FBA5" w14:textId="77777777" w:rsidTr="00CC71AE">
        <w:trPr>
          <w:trHeight w:val="535"/>
        </w:trPr>
        <w:tc>
          <w:tcPr>
            <w:tcW w:w="457" w:type="dxa"/>
            <w:shd w:val="clear" w:color="auto" w:fill="DEEAF6"/>
          </w:tcPr>
          <w:p w14:paraId="0A278BDF" w14:textId="77777777" w:rsidR="00C81467" w:rsidRPr="007B7D30" w:rsidRDefault="00C81467" w:rsidP="00C8146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cPr>
          <w:p w14:paraId="2A2D96F8" w14:textId="4156C9BD" w:rsidR="00C81467" w:rsidRPr="007B7D30" w:rsidRDefault="00201917" w:rsidP="00CC71AE">
            <w:pPr>
              <w:rPr>
                <w:rFonts w:ascii="Cambria" w:eastAsia="Times New Roman" w:hAnsi="Cambria" w:cs="Arial"/>
                <w:sz w:val="20"/>
                <w:szCs w:val="20"/>
                <w:lang w:val="es-ES"/>
              </w:rPr>
            </w:pPr>
            <w:r w:rsidRPr="007B7D30">
              <w:rPr>
                <w:rFonts w:ascii="Cambria" w:eastAsia="Times New Roman" w:hAnsi="Cambria" w:cs="Arial"/>
                <w:sz w:val="20"/>
                <w:szCs w:val="20"/>
                <w:lang w:val="es-ES" w:eastAsia="es-US"/>
              </w:rPr>
              <w:t>Fortalecimiento de la protección internacional en las Américas</w:t>
            </w:r>
          </w:p>
        </w:tc>
        <w:tc>
          <w:tcPr>
            <w:tcW w:w="2071" w:type="dxa"/>
            <w:gridSpan w:val="2"/>
            <w:shd w:val="clear" w:color="auto" w:fill="DEEAF6"/>
          </w:tcPr>
          <w:p w14:paraId="32058156" w14:textId="77777777" w:rsidR="00C81467" w:rsidRPr="007B7D30" w:rsidRDefault="00C81467" w:rsidP="00035D30">
            <w:pPr>
              <w:tabs>
                <w:tab w:val="center" w:pos="948"/>
                <w:tab w:val="right" w:pos="1896"/>
              </w:tabs>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$80,000 USD</w:t>
            </w:r>
          </w:p>
        </w:tc>
        <w:tc>
          <w:tcPr>
            <w:tcW w:w="1440" w:type="dxa"/>
            <w:gridSpan w:val="2"/>
            <w:shd w:val="clear" w:color="auto" w:fill="DEEAF6"/>
          </w:tcPr>
          <w:p w14:paraId="183F8089" w14:textId="77777777" w:rsidR="00C81467" w:rsidRPr="007B7D30" w:rsidRDefault="00C81467" w:rsidP="00CC71AE">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ACNUR</w:t>
            </w:r>
          </w:p>
        </w:tc>
        <w:tc>
          <w:tcPr>
            <w:tcW w:w="1629" w:type="dxa"/>
            <w:gridSpan w:val="2"/>
            <w:shd w:val="clear" w:color="auto" w:fill="DEEAF6"/>
          </w:tcPr>
          <w:p w14:paraId="4B2182FA" w14:textId="23D19C17" w:rsidR="00C81467" w:rsidRPr="007B7D30" w:rsidRDefault="00C81467" w:rsidP="00E51654">
            <w:pPr>
              <w:ind w:left="-42"/>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intermedio</w:t>
            </w:r>
            <w:r w:rsidR="00E51654" w:rsidRPr="007B7D30">
              <w:rPr>
                <w:rFonts w:ascii="Cambria" w:eastAsia="Times New Roman" w:hAnsi="Cambria" w:cs="Arial"/>
                <w:sz w:val="20"/>
                <w:szCs w:val="20"/>
                <w:lang w:val="es-ES_tradnl"/>
              </w:rPr>
              <w:t xml:space="preserve"> 2021</w:t>
            </w:r>
          </w:p>
          <w:p w14:paraId="5732B566" w14:textId="04CB21AC" w:rsidR="00E51654" w:rsidRPr="007B7D30" w:rsidRDefault="00E51654" w:rsidP="00E51654">
            <w:pPr>
              <w:ind w:left="-42"/>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final 2020</w:t>
            </w:r>
          </w:p>
        </w:tc>
      </w:tr>
      <w:tr w:rsidR="00C81467" w:rsidRPr="007B7D30" w14:paraId="6EE1B476" w14:textId="77777777" w:rsidTr="00CC71AE">
        <w:trPr>
          <w:trHeight w:val="520"/>
        </w:trPr>
        <w:tc>
          <w:tcPr>
            <w:tcW w:w="457" w:type="dxa"/>
            <w:shd w:val="clear" w:color="auto" w:fill="BDD6EE"/>
          </w:tcPr>
          <w:p w14:paraId="1673D0DF" w14:textId="77777777" w:rsidR="00C81467" w:rsidRPr="007B7D30" w:rsidRDefault="00C81467" w:rsidP="00C81467">
            <w:pPr>
              <w:numPr>
                <w:ilvl w:val="0"/>
                <w:numId w:val="12"/>
              </w:numPr>
              <w:spacing w:after="200" w:line="276" w:lineRule="auto"/>
              <w:ind w:left="360"/>
              <w:jc w:val="center"/>
              <w:rPr>
                <w:rFonts w:ascii="Cambria" w:eastAsia="Times New Roman" w:hAnsi="Cambria" w:cs="Arial"/>
                <w:sz w:val="20"/>
                <w:szCs w:val="20"/>
                <w:lang w:val="es-ES_tradnl"/>
              </w:rPr>
            </w:pPr>
          </w:p>
        </w:tc>
        <w:tc>
          <w:tcPr>
            <w:tcW w:w="3701" w:type="dxa"/>
            <w:gridSpan w:val="2"/>
            <w:shd w:val="clear" w:color="auto" w:fill="BDD6EE"/>
          </w:tcPr>
          <w:p w14:paraId="7420AC03" w14:textId="373DDE05" w:rsidR="00C81467" w:rsidRPr="007B7D30" w:rsidRDefault="00C81467" w:rsidP="00CC71AE">
            <w:pPr>
              <w:rPr>
                <w:rFonts w:ascii="Cambria" w:eastAsia="Times New Roman" w:hAnsi="Cambria" w:cs="Arial"/>
                <w:sz w:val="20"/>
                <w:szCs w:val="20"/>
              </w:rPr>
            </w:pPr>
            <w:r w:rsidRPr="007B7D30">
              <w:rPr>
                <w:rFonts w:ascii="Cambria" w:hAnsi="Cambria" w:cs="Arial"/>
                <w:sz w:val="20"/>
                <w:szCs w:val="20"/>
              </w:rPr>
              <w:t xml:space="preserve">Protection and promotion of the Rights of Lesbian, Gay, Bisexual, </w:t>
            </w:r>
            <w:proofErr w:type="gramStart"/>
            <w:r w:rsidRPr="007B7D30">
              <w:rPr>
                <w:rFonts w:ascii="Cambria" w:hAnsi="Cambria" w:cs="Arial"/>
                <w:sz w:val="20"/>
                <w:szCs w:val="20"/>
              </w:rPr>
              <w:t>Trans</w:t>
            </w:r>
            <w:proofErr w:type="gramEnd"/>
            <w:r w:rsidRPr="007B7D30">
              <w:rPr>
                <w:rFonts w:ascii="Cambria" w:hAnsi="Cambria" w:cs="Arial"/>
                <w:sz w:val="20"/>
                <w:szCs w:val="20"/>
              </w:rPr>
              <w:t xml:space="preserve"> and Intersex Persons</w:t>
            </w:r>
            <w:r w:rsidR="00E51654" w:rsidRPr="007B7D30">
              <w:rPr>
                <w:rFonts w:ascii="Cambria" w:hAnsi="Cambria" w:cs="Arial"/>
                <w:sz w:val="20"/>
                <w:szCs w:val="20"/>
              </w:rPr>
              <w:t xml:space="preserve"> (2021-2024)</w:t>
            </w:r>
          </w:p>
        </w:tc>
        <w:tc>
          <w:tcPr>
            <w:tcW w:w="2071" w:type="dxa"/>
            <w:gridSpan w:val="2"/>
            <w:shd w:val="clear" w:color="auto" w:fill="BDD6EE"/>
          </w:tcPr>
          <w:p w14:paraId="2473E75A" w14:textId="1B488417" w:rsidR="00C81467" w:rsidRPr="007B7D30" w:rsidRDefault="00C81467" w:rsidP="00035D30">
            <w:pPr>
              <w:jc w:val="center"/>
              <w:rPr>
                <w:rFonts w:ascii="Cambria" w:eastAsia="Times New Roman" w:hAnsi="Cambria" w:cs="Arial"/>
                <w:sz w:val="20"/>
                <w:szCs w:val="20"/>
                <w:lang w:val="es-ES_tradnl"/>
              </w:rPr>
            </w:pPr>
            <w:r w:rsidRPr="007B7D30">
              <w:rPr>
                <w:rFonts w:ascii="Cambria" w:hAnsi="Cambria" w:cs="Arial"/>
                <w:sz w:val="20"/>
                <w:szCs w:val="20"/>
                <w:lang w:val="es-ES_tradnl"/>
              </w:rPr>
              <w:t>$1</w:t>
            </w:r>
            <w:r w:rsidR="004E6485" w:rsidRPr="007B7D30">
              <w:rPr>
                <w:rFonts w:ascii="Cambria" w:hAnsi="Cambria" w:cs="Arial"/>
                <w:sz w:val="20"/>
                <w:szCs w:val="20"/>
                <w:lang w:val="es-ES_tradnl"/>
              </w:rPr>
              <w:t>5</w:t>
            </w:r>
            <w:r w:rsidRPr="007B7D30">
              <w:rPr>
                <w:rFonts w:ascii="Cambria" w:hAnsi="Cambria" w:cs="Arial"/>
                <w:sz w:val="20"/>
                <w:szCs w:val="20"/>
                <w:lang w:val="es-ES_tradnl"/>
              </w:rPr>
              <w:t xml:space="preserve">0,000 </w:t>
            </w:r>
            <w:r w:rsidRPr="007B7D30">
              <w:rPr>
                <w:rFonts w:ascii="Cambria" w:eastAsia="Times New Roman" w:hAnsi="Cambria" w:cs="Arial"/>
                <w:sz w:val="20"/>
                <w:szCs w:val="20"/>
                <w:lang w:val="es-ES_tradnl"/>
              </w:rPr>
              <w:t>USD</w:t>
            </w:r>
          </w:p>
        </w:tc>
        <w:tc>
          <w:tcPr>
            <w:tcW w:w="1440" w:type="dxa"/>
            <w:gridSpan w:val="2"/>
            <w:shd w:val="clear" w:color="auto" w:fill="BDD6EE"/>
          </w:tcPr>
          <w:p w14:paraId="0D7F2FB4" w14:textId="77777777" w:rsidR="00C81467" w:rsidRPr="007B7D30" w:rsidRDefault="00C81467" w:rsidP="00CC71AE">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ARCUS</w:t>
            </w:r>
          </w:p>
        </w:tc>
        <w:tc>
          <w:tcPr>
            <w:tcW w:w="1629" w:type="dxa"/>
            <w:gridSpan w:val="2"/>
            <w:shd w:val="clear" w:color="auto" w:fill="BDD6EE"/>
          </w:tcPr>
          <w:p w14:paraId="6355D538" w14:textId="7962A66B" w:rsidR="00C81467" w:rsidRPr="007B7D30" w:rsidRDefault="00651652" w:rsidP="00CC71AE">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En ejecución</w:t>
            </w:r>
          </w:p>
        </w:tc>
      </w:tr>
      <w:tr w:rsidR="00C81467" w:rsidRPr="00001276" w14:paraId="6D707238" w14:textId="77777777" w:rsidTr="00CC71AE">
        <w:trPr>
          <w:trHeight w:val="773"/>
        </w:trPr>
        <w:tc>
          <w:tcPr>
            <w:tcW w:w="457" w:type="dxa"/>
            <w:shd w:val="clear" w:color="auto" w:fill="DEEAF6"/>
          </w:tcPr>
          <w:p w14:paraId="63D4FB04" w14:textId="77777777" w:rsidR="00C81467" w:rsidRPr="007B7D30" w:rsidRDefault="00C81467" w:rsidP="00C8146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hideMark/>
          </w:tcPr>
          <w:p w14:paraId="7CAEB4DF" w14:textId="18AE4AB5" w:rsidR="00C81467" w:rsidRPr="007B7D30" w:rsidRDefault="00F11C16" w:rsidP="00CC71AE">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Combate a la discriminación y violencia contra mujeres, niñas y adolescentes en América Latina y el Caribe</w:t>
            </w:r>
          </w:p>
        </w:tc>
        <w:tc>
          <w:tcPr>
            <w:tcW w:w="2071" w:type="dxa"/>
            <w:gridSpan w:val="2"/>
            <w:shd w:val="clear" w:color="auto" w:fill="DEEAF6"/>
          </w:tcPr>
          <w:p w14:paraId="555DC8D8" w14:textId="77777777" w:rsidR="00C81467" w:rsidRPr="007B7D30" w:rsidRDefault="00C81467" w:rsidP="00035D30">
            <w:pPr>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2,988,609 CAD</w:t>
            </w:r>
          </w:p>
        </w:tc>
        <w:tc>
          <w:tcPr>
            <w:tcW w:w="1440" w:type="dxa"/>
            <w:gridSpan w:val="2"/>
            <w:shd w:val="clear" w:color="auto" w:fill="DEEAF6"/>
            <w:hideMark/>
          </w:tcPr>
          <w:p w14:paraId="09EEEDCC" w14:textId="77777777" w:rsidR="00C81467" w:rsidRPr="007B7D30" w:rsidRDefault="00C81467" w:rsidP="00CC71AE">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Canadá</w:t>
            </w:r>
          </w:p>
        </w:tc>
        <w:tc>
          <w:tcPr>
            <w:tcW w:w="1629" w:type="dxa"/>
            <w:gridSpan w:val="2"/>
            <w:shd w:val="clear" w:color="auto" w:fill="DEEAF6"/>
            <w:hideMark/>
          </w:tcPr>
          <w:p w14:paraId="2E257118" w14:textId="7EB0BC8E" w:rsidR="00C81467" w:rsidRPr="007B7D30" w:rsidRDefault="00C81467" w:rsidP="00CC71AE">
            <w:pPr>
              <w:jc w:val="right"/>
              <w:rPr>
                <w:rFonts w:ascii="Cambria" w:eastAsia="Times New Roman" w:hAnsi="Cambria" w:cs="Arial"/>
                <w:sz w:val="20"/>
                <w:szCs w:val="20"/>
                <w:lang w:val="pt-BR"/>
              </w:rPr>
            </w:pPr>
            <w:r w:rsidRPr="007B7D30">
              <w:rPr>
                <w:rFonts w:ascii="Cambria" w:eastAsia="Times New Roman" w:hAnsi="Cambria" w:cs="Arial"/>
                <w:sz w:val="20"/>
                <w:szCs w:val="20"/>
                <w:lang w:val="pt-BR"/>
              </w:rPr>
              <w:t xml:space="preserve">Informe </w:t>
            </w:r>
            <w:r w:rsidR="004E6485" w:rsidRPr="007B7D30">
              <w:rPr>
                <w:rFonts w:ascii="Cambria" w:eastAsia="Times New Roman" w:hAnsi="Cambria" w:cs="Arial"/>
                <w:sz w:val="20"/>
                <w:szCs w:val="20"/>
                <w:lang w:val="pt-BR"/>
              </w:rPr>
              <w:t>Final</w:t>
            </w:r>
            <w:r w:rsidRPr="007B7D30">
              <w:rPr>
                <w:rFonts w:ascii="Cambria" w:eastAsia="Times New Roman" w:hAnsi="Cambria" w:cs="Arial"/>
                <w:sz w:val="20"/>
                <w:szCs w:val="20"/>
                <w:lang w:val="pt-BR"/>
              </w:rPr>
              <w:t xml:space="preserve"> y Semi-anual </w:t>
            </w:r>
          </w:p>
        </w:tc>
      </w:tr>
      <w:tr w:rsidR="00C81467" w:rsidRPr="007B7D30" w14:paraId="685111B7" w14:textId="77777777" w:rsidTr="00CC71AE">
        <w:trPr>
          <w:trHeight w:val="267"/>
        </w:trPr>
        <w:tc>
          <w:tcPr>
            <w:tcW w:w="457" w:type="dxa"/>
            <w:shd w:val="clear" w:color="auto" w:fill="BDD6EE"/>
          </w:tcPr>
          <w:p w14:paraId="0DDAB9A5" w14:textId="77777777" w:rsidR="00C81467" w:rsidRPr="007B7D30" w:rsidRDefault="00C81467" w:rsidP="00C81467">
            <w:pPr>
              <w:numPr>
                <w:ilvl w:val="0"/>
                <w:numId w:val="12"/>
              </w:numPr>
              <w:spacing w:after="200" w:line="276" w:lineRule="auto"/>
              <w:ind w:left="360"/>
              <w:jc w:val="right"/>
              <w:rPr>
                <w:rFonts w:ascii="Cambria" w:eastAsia="Times New Roman" w:hAnsi="Cambria" w:cs="Arial"/>
                <w:sz w:val="20"/>
                <w:szCs w:val="20"/>
                <w:lang w:val="pt-BR"/>
              </w:rPr>
            </w:pPr>
          </w:p>
        </w:tc>
        <w:tc>
          <w:tcPr>
            <w:tcW w:w="3701" w:type="dxa"/>
            <w:gridSpan w:val="2"/>
            <w:shd w:val="clear" w:color="auto" w:fill="BDD6EE"/>
          </w:tcPr>
          <w:p w14:paraId="1B10A69E" w14:textId="77777777" w:rsidR="00C81467" w:rsidRPr="007B7D30" w:rsidRDefault="00C81467" w:rsidP="00CC71AE">
            <w:pPr>
              <w:rPr>
                <w:rFonts w:ascii="Cambria" w:hAnsi="Cambria" w:cs="Arial"/>
                <w:sz w:val="20"/>
                <w:szCs w:val="20"/>
                <w:lang w:val="es-ES_tradnl"/>
              </w:rPr>
            </w:pPr>
            <w:r w:rsidRPr="007B7D30">
              <w:rPr>
                <w:rFonts w:ascii="Cambria" w:hAnsi="Cambria" w:cs="Arial"/>
                <w:sz w:val="20"/>
                <w:szCs w:val="20"/>
                <w:lang w:val="es-ES_tradnl"/>
              </w:rPr>
              <w:t>Acceso a la justicia internacional a través de peticiones individuales presentadas a la CIDH por presuntas víctimas de violaciones de derechos humanos en el hemisferio</w:t>
            </w:r>
          </w:p>
        </w:tc>
        <w:tc>
          <w:tcPr>
            <w:tcW w:w="2071" w:type="dxa"/>
            <w:gridSpan w:val="2"/>
            <w:shd w:val="clear" w:color="auto" w:fill="BDD6EE"/>
          </w:tcPr>
          <w:p w14:paraId="68D4AD4C" w14:textId="1E648EDC" w:rsidR="00C81467" w:rsidRPr="007B7D30" w:rsidRDefault="00C81467" w:rsidP="00035D30">
            <w:pPr>
              <w:jc w:val="center"/>
              <w:rPr>
                <w:rFonts w:ascii="Cambria" w:hAnsi="Cambria" w:cs="Arial"/>
                <w:sz w:val="20"/>
                <w:szCs w:val="20"/>
                <w:lang w:val="es-ES_tradnl"/>
              </w:rPr>
            </w:pPr>
            <w:r w:rsidRPr="007B7D30">
              <w:rPr>
                <w:rFonts w:ascii="Cambria" w:hAnsi="Cambria" w:cs="Arial"/>
                <w:sz w:val="20"/>
                <w:szCs w:val="20"/>
                <w:lang w:val="es-ES_tradnl"/>
              </w:rPr>
              <w:t xml:space="preserve">1,000,000 </w:t>
            </w:r>
            <w:proofErr w:type="gramStart"/>
            <w:r w:rsidR="007F644E" w:rsidRPr="007B7D30">
              <w:rPr>
                <w:rFonts w:ascii="Cambria" w:hAnsi="Cambria" w:cs="Arial"/>
                <w:sz w:val="20"/>
                <w:szCs w:val="20"/>
                <w:lang w:val="es-ES_tradnl"/>
              </w:rPr>
              <w:t>E</w:t>
            </w:r>
            <w:r w:rsidRPr="007B7D30">
              <w:rPr>
                <w:rFonts w:ascii="Cambria" w:hAnsi="Cambria" w:cs="Arial"/>
                <w:sz w:val="20"/>
                <w:szCs w:val="20"/>
                <w:lang w:val="es-ES_tradnl"/>
              </w:rPr>
              <w:t>uros</w:t>
            </w:r>
            <w:proofErr w:type="gramEnd"/>
          </w:p>
        </w:tc>
        <w:tc>
          <w:tcPr>
            <w:tcW w:w="1440" w:type="dxa"/>
            <w:gridSpan w:val="2"/>
            <w:shd w:val="clear" w:color="auto" w:fill="BDD6EE"/>
          </w:tcPr>
          <w:p w14:paraId="42093BC3" w14:textId="77777777" w:rsidR="00C81467" w:rsidRPr="007B7D30" w:rsidRDefault="00C81467" w:rsidP="00CC71AE">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Comisión Europea</w:t>
            </w:r>
          </w:p>
        </w:tc>
        <w:tc>
          <w:tcPr>
            <w:tcW w:w="1629" w:type="dxa"/>
            <w:gridSpan w:val="2"/>
            <w:shd w:val="clear" w:color="auto" w:fill="BDD6EE"/>
          </w:tcPr>
          <w:p w14:paraId="77468B0B" w14:textId="77777777" w:rsidR="00C81467" w:rsidRPr="007B7D30" w:rsidRDefault="00C81467" w:rsidP="00CC71AE">
            <w:pPr>
              <w:jc w:val="right"/>
              <w:rPr>
                <w:rFonts w:ascii="Cambria" w:eastAsia="Times New Roman" w:hAnsi="Cambria" w:cs="Calibri Light"/>
                <w:sz w:val="20"/>
                <w:szCs w:val="20"/>
                <w:lang w:val="es-ES_tradnl"/>
              </w:rPr>
            </w:pPr>
            <w:r w:rsidRPr="007B7D30">
              <w:rPr>
                <w:rFonts w:ascii="Cambria" w:eastAsia="Times New Roman" w:hAnsi="Cambria" w:cs="Calibri Light"/>
                <w:sz w:val="20"/>
                <w:szCs w:val="20"/>
                <w:lang w:val="es-ES_tradnl"/>
              </w:rPr>
              <w:t>Informe Anual</w:t>
            </w:r>
          </w:p>
        </w:tc>
      </w:tr>
      <w:tr w:rsidR="00C81467" w:rsidRPr="007B7D30" w14:paraId="08CB34FA" w14:textId="77777777" w:rsidTr="00CC71AE">
        <w:trPr>
          <w:trHeight w:val="355"/>
        </w:trPr>
        <w:tc>
          <w:tcPr>
            <w:tcW w:w="457" w:type="dxa"/>
            <w:shd w:val="clear" w:color="auto" w:fill="DEEAF6"/>
          </w:tcPr>
          <w:p w14:paraId="092188E7" w14:textId="77777777" w:rsidR="00C81467" w:rsidRPr="007B7D30" w:rsidRDefault="00C81467" w:rsidP="00C8146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cPr>
          <w:p w14:paraId="668DBD37" w14:textId="77777777" w:rsidR="00C81467" w:rsidRPr="007B7D30" w:rsidRDefault="00C81467" w:rsidP="00CC71AE">
            <w:pPr>
              <w:tabs>
                <w:tab w:val="left" w:pos="1634"/>
              </w:tabs>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Protección y defensa de los derechos humanos en Nicaragua</w:t>
            </w:r>
          </w:p>
        </w:tc>
        <w:tc>
          <w:tcPr>
            <w:tcW w:w="2071" w:type="dxa"/>
            <w:gridSpan w:val="2"/>
            <w:shd w:val="clear" w:color="auto" w:fill="DEEAF6"/>
          </w:tcPr>
          <w:p w14:paraId="66A0C2C4" w14:textId="52CF7ED3" w:rsidR="00C81467" w:rsidRPr="007B7D30" w:rsidRDefault="00C81467" w:rsidP="00035D30">
            <w:pPr>
              <w:jc w:val="center"/>
              <w:rPr>
                <w:rFonts w:ascii="Cambria" w:eastAsia="Times New Roman" w:hAnsi="Cambria" w:cs="Arial"/>
                <w:sz w:val="20"/>
                <w:szCs w:val="20"/>
                <w:lang w:val="es-ES_tradnl"/>
              </w:rPr>
            </w:pPr>
            <w:r w:rsidRPr="007B7D30">
              <w:rPr>
                <w:rFonts w:ascii="Cambria" w:hAnsi="Cambria" w:cs="Arial"/>
                <w:sz w:val="20"/>
                <w:szCs w:val="20"/>
                <w:lang w:val="es-ES_tradnl"/>
              </w:rPr>
              <w:t xml:space="preserve">$739,317 </w:t>
            </w:r>
            <w:proofErr w:type="gramStart"/>
            <w:r w:rsidR="007F644E" w:rsidRPr="007B7D30">
              <w:rPr>
                <w:rFonts w:ascii="Cambria" w:hAnsi="Cambria" w:cs="Arial"/>
                <w:sz w:val="20"/>
                <w:szCs w:val="20"/>
                <w:lang w:val="es-ES_tradnl"/>
              </w:rPr>
              <w:t>E</w:t>
            </w:r>
            <w:r w:rsidRPr="007B7D30">
              <w:rPr>
                <w:rFonts w:ascii="Cambria" w:hAnsi="Cambria" w:cs="Arial"/>
                <w:sz w:val="20"/>
                <w:szCs w:val="20"/>
                <w:lang w:val="es-ES_tradnl"/>
              </w:rPr>
              <w:t>uros</w:t>
            </w:r>
            <w:proofErr w:type="gramEnd"/>
          </w:p>
        </w:tc>
        <w:tc>
          <w:tcPr>
            <w:tcW w:w="1440" w:type="dxa"/>
            <w:gridSpan w:val="2"/>
            <w:shd w:val="clear" w:color="auto" w:fill="DEEAF6"/>
          </w:tcPr>
          <w:p w14:paraId="405CC699" w14:textId="77777777" w:rsidR="00C81467" w:rsidRPr="007B7D30" w:rsidRDefault="00C81467" w:rsidP="00CC71AE">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Comisión Europea</w:t>
            </w:r>
          </w:p>
        </w:tc>
        <w:tc>
          <w:tcPr>
            <w:tcW w:w="1629" w:type="dxa"/>
            <w:gridSpan w:val="2"/>
            <w:shd w:val="clear" w:color="auto" w:fill="DEEAF6"/>
          </w:tcPr>
          <w:p w14:paraId="423BBCEA" w14:textId="5558989B" w:rsidR="00C81467" w:rsidRPr="007B7D30" w:rsidRDefault="00C81467" w:rsidP="00CC71AE">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 xml:space="preserve">Informe </w:t>
            </w:r>
            <w:r w:rsidR="00F11C16" w:rsidRPr="007B7D30">
              <w:rPr>
                <w:rFonts w:ascii="Cambria" w:eastAsia="Times New Roman" w:hAnsi="Cambria" w:cs="Arial"/>
                <w:sz w:val="20"/>
                <w:szCs w:val="20"/>
                <w:lang w:val="es-ES_tradnl"/>
              </w:rPr>
              <w:t>final</w:t>
            </w:r>
          </w:p>
        </w:tc>
      </w:tr>
      <w:tr w:rsidR="00C81467" w:rsidRPr="007B7D30" w14:paraId="2180C122" w14:textId="77777777" w:rsidTr="00CC71AE">
        <w:trPr>
          <w:trHeight w:val="267"/>
        </w:trPr>
        <w:tc>
          <w:tcPr>
            <w:tcW w:w="457" w:type="dxa"/>
            <w:shd w:val="clear" w:color="auto" w:fill="BDD6EE"/>
          </w:tcPr>
          <w:p w14:paraId="76BC17BC" w14:textId="77777777" w:rsidR="00C81467" w:rsidRPr="007B7D30" w:rsidRDefault="00C81467" w:rsidP="00C8146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BDD6EE"/>
          </w:tcPr>
          <w:p w14:paraId="28E77AFD" w14:textId="6D4C06D0" w:rsidR="00C81467" w:rsidRPr="007B7D30" w:rsidRDefault="00C81467" w:rsidP="00CC71AE">
            <w:pPr>
              <w:rPr>
                <w:rFonts w:ascii="Cambria" w:hAnsi="Cambria" w:cs="Arial"/>
                <w:sz w:val="20"/>
                <w:szCs w:val="20"/>
                <w:lang w:val="es-ES_tradnl"/>
              </w:rPr>
            </w:pPr>
            <w:r w:rsidRPr="007B7D30">
              <w:rPr>
                <w:rFonts w:ascii="Cambria" w:hAnsi="Cambria" w:cs="Arial"/>
                <w:sz w:val="20"/>
                <w:szCs w:val="20"/>
                <w:lang w:val="es-ES_tradnl"/>
              </w:rPr>
              <w:t>Incrementar la efectividad del trabajo de la Comisión Interamericana de Derechos Humanos durante 2018-2022.</w:t>
            </w:r>
          </w:p>
        </w:tc>
        <w:tc>
          <w:tcPr>
            <w:tcW w:w="2071" w:type="dxa"/>
            <w:gridSpan w:val="2"/>
            <w:shd w:val="clear" w:color="auto" w:fill="BDD6EE"/>
          </w:tcPr>
          <w:p w14:paraId="0B385CA3" w14:textId="5B3DFF23" w:rsidR="00C81467" w:rsidRPr="007B7D30" w:rsidRDefault="003E2DD7" w:rsidP="00035D30">
            <w:pPr>
              <w:jc w:val="center"/>
              <w:rPr>
                <w:rFonts w:ascii="Cambria" w:hAnsi="Cambria"/>
                <w:sz w:val="20"/>
                <w:szCs w:val="20"/>
                <w:lang w:val="es-ES_tradnl"/>
              </w:rPr>
            </w:pPr>
            <w:r w:rsidRPr="007B7D30">
              <w:rPr>
                <w:rFonts w:ascii="Cambria" w:eastAsia="Helvetica" w:hAnsi="Cambria" w:cs="Calibri"/>
                <w:sz w:val="20"/>
                <w:szCs w:val="20"/>
                <w:lang w:val="es-US" w:eastAsia="es-US"/>
              </w:rPr>
              <w:t>$14,263,887</w:t>
            </w:r>
            <w:r w:rsidR="00F92100" w:rsidRPr="007B7D30">
              <w:rPr>
                <w:rFonts w:ascii="Cambria" w:eastAsia="Helvetica" w:hAnsi="Cambria" w:cs="Calibri"/>
                <w:sz w:val="20"/>
                <w:szCs w:val="20"/>
                <w:lang w:val="es-US" w:eastAsia="es-US"/>
              </w:rPr>
              <w:t xml:space="preserve"> USD</w:t>
            </w:r>
          </w:p>
        </w:tc>
        <w:tc>
          <w:tcPr>
            <w:tcW w:w="1440" w:type="dxa"/>
            <w:gridSpan w:val="2"/>
            <w:shd w:val="clear" w:color="auto" w:fill="BDD6EE"/>
          </w:tcPr>
          <w:p w14:paraId="0C468F3E" w14:textId="77777777" w:rsidR="00C81467" w:rsidRPr="007B7D30" w:rsidRDefault="00C81467" w:rsidP="00CC71AE">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Estados Unidos</w:t>
            </w:r>
          </w:p>
        </w:tc>
        <w:tc>
          <w:tcPr>
            <w:tcW w:w="1629" w:type="dxa"/>
            <w:gridSpan w:val="2"/>
            <w:shd w:val="clear" w:color="auto" w:fill="BDD6EE"/>
          </w:tcPr>
          <w:p w14:paraId="09F1EF94" w14:textId="77777777" w:rsidR="00C81467" w:rsidRPr="007B7D30" w:rsidRDefault="00C81467" w:rsidP="00CC71AE">
            <w:pPr>
              <w:jc w:val="right"/>
              <w:rPr>
                <w:rFonts w:ascii="Cambria" w:eastAsia="Times New Roman" w:hAnsi="Cambria" w:cs="Calibri Light"/>
                <w:sz w:val="20"/>
                <w:szCs w:val="20"/>
                <w:lang w:val="es-ES_tradnl"/>
              </w:rPr>
            </w:pPr>
            <w:r w:rsidRPr="007B7D30">
              <w:rPr>
                <w:rFonts w:ascii="Cambria" w:eastAsia="Times New Roman" w:hAnsi="Cambria" w:cs="Calibri Light"/>
                <w:sz w:val="20"/>
                <w:szCs w:val="20"/>
                <w:lang w:val="es-ES_tradnl"/>
              </w:rPr>
              <w:t xml:space="preserve">4 </w:t>
            </w:r>
            <w:proofErr w:type="gramStart"/>
            <w:r w:rsidRPr="007B7D30">
              <w:rPr>
                <w:rFonts w:ascii="Cambria" w:eastAsia="Times New Roman" w:hAnsi="Cambria" w:cs="Calibri Light"/>
                <w:sz w:val="20"/>
                <w:szCs w:val="20"/>
                <w:lang w:val="es-ES_tradnl"/>
              </w:rPr>
              <w:t>Informes</w:t>
            </w:r>
            <w:proofErr w:type="gramEnd"/>
            <w:r w:rsidRPr="007B7D30">
              <w:rPr>
                <w:rFonts w:ascii="Cambria" w:eastAsia="Times New Roman" w:hAnsi="Cambria" w:cs="Calibri Light"/>
                <w:sz w:val="20"/>
                <w:szCs w:val="20"/>
                <w:lang w:val="es-ES_tradnl"/>
              </w:rPr>
              <w:t xml:space="preserve"> trimestrales</w:t>
            </w:r>
          </w:p>
        </w:tc>
      </w:tr>
      <w:tr w:rsidR="003E2DD7" w:rsidRPr="007B7D30" w14:paraId="786AA216" w14:textId="77777777" w:rsidTr="00035D30">
        <w:trPr>
          <w:trHeight w:val="520"/>
        </w:trPr>
        <w:tc>
          <w:tcPr>
            <w:tcW w:w="457" w:type="dxa"/>
            <w:shd w:val="clear" w:color="auto" w:fill="DEEAF6" w:themeFill="accent5" w:themeFillTint="33"/>
          </w:tcPr>
          <w:p w14:paraId="6DBE631F"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hemeFill="accent5" w:themeFillTint="33"/>
          </w:tcPr>
          <w:p w14:paraId="3BED907A" w14:textId="71D83F6B" w:rsidR="003E2DD7" w:rsidRPr="007B7D30" w:rsidRDefault="003E2DD7" w:rsidP="003E2DD7">
            <w:pPr>
              <w:tabs>
                <w:tab w:val="left" w:pos="1246"/>
              </w:tabs>
              <w:rPr>
                <w:rFonts w:ascii="Cambria" w:eastAsia="Helvetica" w:hAnsi="Cambria" w:cs="Calibri"/>
                <w:sz w:val="20"/>
                <w:szCs w:val="20"/>
                <w:lang w:val="es-ES" w:eastAsia="es-US"/>
              </w:rPr>
            </w:pPr>
            <w:r w:rsidRPr="007B7D30">
              <w:rPr>
                <w:rFonts w:ascii="Cambria" w:eastAsia="Helvetica" w:hAnsi="Cambria" w:cs="Calibri"/>
                <w:sz w:val="20"/>
                <w:szCs w:val="20"/>
                <w:lang w:val="es-ES" w:eastAsia="es-US"/>
              </w:rPr>
              <w:t xml:space="preserve">Incrementar la protección y defensa de los derechos humanos en las Américas periodo 2021-2024 </w:t>
            </w:r>
          </w:p>
        </w:tc>
        <w:tc>
          <w:tcPr>
            <w:tcW w:w="2071" w:type="dxa"/>
            <w:gridSpan w:val="2"/>
            <w:shd w:val="clear" w:color="auto" w:fill="DEEAF6" w:themeFill="accent5" w:themeFillTint="33"/>
          </w:tcPr>
          <w:p w14:paraId="23CC67AC" w14:textId="69909FF4" w:rsidR="003E2DD7" w:rsidRPr="007B7D30" w:rsidRDefault="003E2DD7" w:rsidP="00035D30">
            <w:pPr>
              <w:tabs>
                <w:tab w:val="left" w:pos="1060"/>
              </w:tabs>
              <w:jc w:val="center"/>
              <w:rPr>
                <w:rFonts w:ascii="Cambria" w:eastAsia="Helvetica" w:hAnsi="Cambria" w:cs="Times New Roman"/>
                <w:sz w:val="20"/>
                <w:szCs w:val="20"/>
                <w:lang w:val="es-US" w:eastAsia="es-US"/>
              </w:rPr>
            </w:pPr>
            <w:r w:rsidRPr="007B7D30">
              <w:rPr>
                <w:rFonts w:ascii="Cambria" w:eastAsia="Helvetica" w:hAnsi="Cambria" w:cs="Times New Roman"/>
                <w:sz w:val="20"/>
                <w:szCs w:val="20"/>
                <w:lang w:val="es-US" w:eastAsia="es-US"/>
              </w:rPr>
              <w:t>$4,937,500</w:t>
            </w:r>
            <w:r w:rsidR="00F92100" w:rsidRPr="007B7D30">
              <w:rPr>
                <w:rFonts w:ascii="Cambria" w:eastAsia="Helvetica" w:hAnsi="Cambria" w:cs="Times New Roman"/>
                <w:sz w:val="20"/>
                <w:szCs w:val="20"/>
                <w:lang w:val="es-US" w:eastAsia="es-US"/>
              </w:rPr>
              <w:t xml:space="preserve"> USD</w:t>
            </w:r>
          </w:p>
        </w:tc>
        <w:tc>
          <w:tcPr>
            <w:tcW w:w="1440" w:type="dxa"/>
            <w:gridSpan w:val="2"/>
            <w:shd w:val="clear" w:color="auto" w:fill="DEEAF6" w:themeFill="accent5" w:themeFillTint="33"/>
          </w:tcPr>
          <w:p w14:paraId="73B1F2AB" w14:textId="6D20FA3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Estados Unidos</w:t>
            </w:r>
          </w:p>
        </w:tc>
        <w:tc>
          <w:tcPr>
            <w:tcW w:w="1629" w:type="dxa"/>
            <w:gridSpan w:val="2"/>
            <w:shd w:val="clear" w:color="auto" w:fill="DEEAF6" w:themeFill="accent5" w:themeFillTint="33"/>
          </w:tcPr>
          <w:p w14:paraId="0CB78B60" w14:textId="47F3BD33"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Un informe trimestral</w:t>
            </w:r>
          </w:p>
        </w:tc>
      </w:tr>
      <w:tr w:rsidR="003E2DD7" w:rsidRPr="007B7D30" w14:paraId="14615859" w14:textId="77777777" w:rsidTr="00CF7385">
        <w:trPr>
          <w:trHeight w:val="520"/>
        </w:trPr>
        <w:tc>
          <w:tcPr>
            <w:tcW w:w="457" w:type="dxa"/>
            <w:shd w:val="clear" w:color="auto" w:fill="9CC2E5" w:themeFill="accent5" w:themeFillTint="99"/>
          </w:tcPr>
          <w:p w14:paraId="0C79876B"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9CC2E5" w:themeFill="accent5" w:themeFillTint="99"/>
          </w:tcPr>
          <w:p w14:paraId="2D4CD356" w14:textId="004E9BB7" w:rsidR="003E2DD7" w:rsidRPr="007B7D30" w:rsidRDefault="003E2DD7" w:rsidP="003E2DD7">
            <w:pPr>
              <w:tabs>
                <w:tab w:val="left" w:pos="1246"/>
              </w:tabs>
              <w:rPr>
                <w:rFonts w:ascii="Cambria" w:eastAsia="Helvetica" w:hAnsi="Cambria" w:cs="Calibri"/>
                <w:sz w:val="20"/>
                <w:szCs w:val="20"/>
                <w:lang w:val="es-ES" w:eastAsia="es-US"/>
              </w:rPr>
            </w:pPr>
            <w:r w:rsidRPr="007B7D30">
              <w:rPr>
                <w:rFonts w:ascii="Cambria" w:eastAsia="Helvetica" w:hAnsi="Cambria" w:cs="Calibri"/>
                <w:sz w:val="20"/>
                <w:szCs w:val="20"/>
                <w:lang w:val="es-ES" w:eastAsia="es-US"/>
              </w:rPr>
              <w:t>Apoyo a la implementación del GIEI Bolivia</w:t>
            </w:r>
          </w:p>
        </w:tc>
        <w:tc>
          <w:tcPr>
            <w:tcW w:w="2071" w:type="dxa"/>
            <w:gridSpan w:val="2"/>
            <w:shd w:val="clear" w:color="auto" w:fill="9CC2E5" w:themeFill="accent5" w:themeFillTint="99"/>
          </w:tcPr>
          <w:p w14:paraId="77545E4F" w14:textId="031D598E" w:rsidR="003E2DD7" w:rsidRPr="007B7D30" w:rsidRDefault="003E2DD7" w:rsidP="00035D30">
            <w:pPr>
              <w:tabs>
                <w:tab w:val="left" w:pos="1060"/>
              </w:tabs>
              <w:jc w:val="center"/>
              <w:rPr>
                <w:rFonts w:ascii="Cambria" w:eastAsia="Helvetica" w:hAnsi="Cambria" w:cs="Times New Roman"/>
                <w:sz w:val="20"/>
                <w:szCs w:val="20"/>
                <w:lang w:val="es-US" w:eastAsia="es-US"/>
              </w:rPr>
            </w:pPr>
            <w:r w:rsidRPr="007B7D30">
              <w:rPr>
                <w:rFonts w:ascii="Cambria" w:eastAsia="Helvetica" w:hAnsi="Cambria" w:cs="Times New Roman"/>
                <w:sz w:val="20"/>
                <w:szCs w:val="20"/>
                <w:lang w:val="es-US" w:eastAsia="es-US"/>
              </w:rPr>
              <w:t>$189,000</w:t>
            </w:r>
            <w:r w:rsidR="00F92100" w:rsidRPr="007B7D30">
              <w:rPr>
                <w:rFonts w:ascii="Cambria" w:eastAsia="Helvetica" w:hAnsi="Cambria" w:cs="Times New Roman"/>
                <w:sz w:val="20"/>
                <w:szCs w:val="20"/>
                <w:lang w:val="es-US" w:eastAsia="es-US"/>
              </w:rPr>
              <w:t xml:space="preserve"> USD</w:t>
            </w:r>
          </w:p>
        </w:tc>
        <w:tc>
          <w:tcPr>
            <w:tcW w:w="1440" w:type="dxa"/>
            <w:gridSpan w:val="2"/>
            <w:shd w:val="clear" w:color="auto" w:fill="9CC2E5" w:themeFill="accent5" w:themeFillTint="99"/>
          </w:tcPr>
          <w:p w14:paraId="7AB2F541" w14:textId="7D824BF8"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Estados Unidos</w:t>
            </w:r>
          </w:p>
        </w:tc>
        <w:tc>
          <w:tcPr>
            <w:tcW w:w="1629" w:type="dxa"/>
            <w:gridSpan w:val="2"/>
            <w:shd w:val="clear" w:color="auto" w:fill="9CC2E5" w:themeFill="accent5" w:themeFillTint="99"/>
          </w:tcPr>
          <w:p w14:paraId="3E77C8DB" w14:textId="7668E5C1"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Dos informes trimestrales</w:t>
            </w:r>
          </w:p>
        </w:tc>
      </w:tr>
      <w:tr w:rsidR="003E2DD7" w:rsidRPr="007B7D30" w14:paraId="4A28823F" w14:textId="77777777" w:rsidTr="00047560">
        <w:trPr>
          <w:trHeight w:val="520"/>
        </w:trPr>
        <w:tc>
          <w:tcPr>
            <w:tcW w:w="457" w:type="dxa"/>
            <w:shd w:val="clear" w:color="auto" w:fill="DEEAF6" w:themeFill="accent5" w:themeFillTint="33"/>
          </w:tcPr>
          <w:p w14:paraId="243D2E02"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hemeFill="accent5" w:themeFillTint="33"/>
          </w:tcPr>
          <w:p w14:paraId="5A1AC94F" w14:textId="3C077C37" w:rsidR="003E2DD7" w:rsidRPr="007B7D30" w:rsidRDefault="003E2DD7" w:rsidP="003E2DD7">
            <w:pPr>
              <w:tabs>
                <w:tab w:val="left" w:pos="1246"/>
              </w:tabs>
              <w:rPr>
                <w:rFonts w:ascii="Cambria" w:eastAsia="Times New Roman" w:hAnsi="Cambria" w:cs="Arial"/>
                <w:sz w:val="20"/>
                <w:szCs w:val="20"/>
                <w:lang w:val="es-ES_tradnl"/>
              </w:rPr>
            </w:pPr>
            <w:r w:rsidRPr="007B7D30">
              <w:rPr>
                <w:rFonts w:ascii="Cambria" w:eastAsia="Helvetica" w:hAnsi="Cambria" w:cs="Calibri"/>
                <w:sz w:val="20"/>
                <w:szCs w:val="20"/>
                <w:lang w:val="es-ES" w:eastAsia="es-US"/>
              </w:rPr>
              <w:t>Monitoreo de la Situación de Derechos humanos en Nicaragua</w:t>
            </w:r>
            <w:r w:rsidR="000D31EF" w:rsidRPr="007B7D30">
              <w:rPr>
                <w:rFonts w:ascii="Cambria" w:eastAsia="Helvetica" w:hAnsi="Cambria" w:cs="Calibri"/>
                <w:sz w:val="20"/>
                <w:szCs w:val="20"/>
                <w:lang w:val="es-ES" w:eastAsia="es-US"/>
              </w:rPr>
              <w:t xml:space="preserve"> II</w:t>
            </w:r>
            <w:r w:rsidRPr="007B7D30">
              <w:rPr>
                <w:rFonts w:ascii="Cambria" w:eastAsia="Helvetica" w:hAnsi="Cambria" w:cs="Calibri"/>
                <w:sz w:val="20"/>
                <w:szCs w:val="20"/>
                <w:lang w:val="es-ES" w:eastAsia="es-US"/>
              </w:rPr>
              <w:t>.</w:t>
            </w:r>
          </w:p>
        </w:tc>
        <w:tc>
          <w:tcPr>
            <w:tcW w:w="2071" w:type="dxa"/>
            <w:gridSpan w:val="2"/>
            <w:shd w:val="clear" w:color="auto" w:fill="DEEAF6" w:themeFill="accent5" w:themeFillTint="33"/>
          </w:tcPr>
          <w:p w14:paraId="50A9B995" w14:textId="02640A48" w:rsidR="003E2DD7" w:rsidRPr="007B7D30" w:rsidRDefault="003E2DD7" w:rsidP="00035D30">
            <w:pPr>
              <w:tabs>
                <w:tab w:val="left" w:pos="1060"/>
              </w:tabs>
              <w:jc w:val="center"/>
              <w:rPr>
                <w:rFonts w:ascii="Cambria" w:eastAsia="Times New Roman" w:hAnsi="Cambria" w:cs="Arial"/>
                <w:sz w:val="20"/>
                <w:szCs w:val="20"/>
                <w:lang w:val="es-ES_tradnl"/>
              </w:rPr>
            </w:pPr>
            <w:r w:rsidRPr="007B7D30">
              <w:rPr>
                <w:rFonts w:ascii="Cambria" w:eastAsia="Helvetica" w:hAnsi="Cambria" w:cs="Times New Roman"/>
                <w:sz w:val="20"/>
                <w:szCs w:val="20"/>
                <w:lang w:val="es-US" w:eastAsia="es-US"/>
              </w:rPr>
              <w:t>$119,870</w:t>
            </w:r>
            <w:r w:rsidR="00F92100" w:rsidRPr="007B7D30">
              <w:rPr>
                <w:rFonts w:ascii="Cambria" w:eastAsia="Helvetica" w:hAnsi="Cambria" w:cs="Times New Roman"/>
                <w:sz w:val="20"/>
                <w:szCs w:val="20"/>
                <w:lang w:val="es-US" w:eastAsia="es-US"/>
              </w:rPr>
              <w:t xml:space="preserve"> USD</w:t>
            </w:r>
          </w:p>
        </w:tc>
        <w:tc>
          <w:tcPr>
            <w:tcW w:w="1440" w:type="dxa"/>
            <w:gridSpan w:val="2"/>
            <w:shd w:val="clear" w:color="auto" w:fill="DEEAF6" w:themeFill="accent5" w:themeFillTint="33"/>
          </w:tcPr>
          <w:p w14:paraId="1A4179D3" w14:textId="3E5584C5"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Fondo Español para la OEA</w:t>
            </w:r>
          </w:p>
        </w:tc>
        <w:tc>
          <w:tcPr>
            <w:tcW w:w="1629" w:type="dxa"/>
            <w:gridSpan w:val="2"/>
            <w:shd w:val="clear" w:color="auto" w:fill="DEEAF6" w:themeFill="accent5" w:themeFillTint="33"/>
          </w:tcPr>
          <w:p w14:paraId="5CEB4E52" w14:textId="69FEBB2D"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En ejecución</w:t>
            </w:r>
          </w:p>
        </w:tc>
      </w:tr>
      <w:tr w:rsidR="003E2DD7" w:rsidRPr="007B7D30" w14:paraId="259240E6" w14:textId="77777777" w:rsidTr="00CC71AE">
        <w:trPr>
          <w:trHeight w:val="520"/>
        </w:trPr>
        <w:tc>
          <w:tcPr>
            <w:tcW w:w="457" w:type="dxa"/>
            <w:shd w:val="clear" w:color="auto" w:fill="BDD6EE"/>
          </w:tcPr>
          <w:p w14:paraId="3F2AE2D9"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BDD6EE"/>
          </w:tcPr>
          <w:p w14:paraId="6B4D8508" w14:textId="77777777" w:rsidR="003E2DD7" w:rsidRPr="007B7D30" w:rsidRDefault="003E2DD7" w:rsidP="003E2DD7">
            <w:pPr>
              <w:tabs>
                <w:tab w:val="left" w:pos="1246"/>
              </w:tabs>
              <w:rPr>
                <w:rFonts w:ascii="Cambria" w:hAnsi="Cambria" w:cs="Arial"/>
                <w:sz w:val="20"/>
                <w:szCs w:val="20"/>
                <w:lang w:val="es-ES_tradnl"/>
              </w:rPr>
            </w:pPr>
            <w:r w:rsidRPr="007B7D30">
              <w:rPr>
                <w:rFonts w:ascii="Cambria" w:hAnsi="Cambria" w:cs="Arial"/>
                <w:sz w:val="20"/>
                <w:szCs w:val="20"/>
                <w:lang w:val="es-ES_tradnl"/>
              </w:rPr>
              <w:t>Mejorar las herramientas disponibles que favorecen la protección de los derechos a la vida e integridad personal de los defensores de derechos humanos en Latinoamérica</w:t>
            </w:r>
          </w:p>
        </w:tc>
        <w:tc>
          <w:tcPr>
            <w:tcW w:w="2071" w:type="dxa"/>
            <w:gridSpan w:val="2"/>
            <w:shd w:val="clear" w:color="auto" w:fill="BDD6EE"/>
          </w:tcPr>
          <w:p w14:paraId="17F57AD2" w14:textId="77777777" w:rsidR="003E2DD7" w:rsidRPr="007B7D30" w:rsidRDefault="003E2DD7" w:rsidP="00035D30">
            <w:pPr>
              <w:tabs>
                <w:tab w:val="left" w:pos="1060"/>
              </w:tabs>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$131,675 USD</w:t>
            </w:r>
          </w:p>
        </w:tc>
        <w:tc>
          <w:tcPr>
            <w:tcW w:w="1440" w:type="dxa"/>
            <w:gridSpan w:val="2"/>
            <w:shd w:val="clear" w:color="auto" w:fill="BDD6EE"/>
          </w:tcPr>
          <w:p w14:paraId="3F7587F5"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Fondo Español para la OEA</w:t>
            </w:r>
          </w:p>
        </w:tc>
        <w:tc>
          <w:tcPr>
            <w:tcW w:w="1629" w:type="dxa"/>
            <w:gridSpan w:val="2"/>
            <w:shd w:val="clear" w:color="auto" w:fill="BDD6EE"/>
          </w:tcPr>
          <w:p w14:paraId="1AED884A" w14:textId="06982A4D"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Final</w:t>
            </w:r>
          </w:p>
        </w:tc>
      </w:tr>
      <w:tr w:rsidR="003E2DD7" w:rsidRPr="007B7D30" w14:paraId="2C973FF5" w14:textId="77777777" w:rsidTr="00047560">
        <w:trPr>
          <w:trHeight w:val="267"/>
        </w:trPr>
        <w:tc>
          <w:tcPr>
            <w:tcW w:w="457" w:type="dxa"/>
            <w:shd w:val="clear" w:color="auto" w:fill="DEEAF6" w:themeFill="accent5" w:themeFillTint="33"/>
          </w:tcPr>
          <w:p w14:paraId="7A6DAC4B"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hemeFill="accent5" w:themeFillTint="33"/>
          </w:tcPr>
          <w:p w14:paraId="5C77B5C7" w14:textId="1A00CAF7" w:rsidR="003E2DD7" w:rsidRPr="007B7D30" w:rsidRDefault="003E2DD7" w:rsidP="003E2DD7">
            <w:pPr>
              <w:rPr>
                <w:rFonts w:ascii="Cambria" w:hAnsi="Cambria" w:cs="Arial"/>
                <w:sz w:val="20"/>
                <w:szCs w:val="20"/>
              </w:rPr>
            </w:pPr>
            <w:r w:rsidRPr="007B7D30">
              <w:rPr>
                <w:rFonts w:ascii="Cambria" w:eastAsia="Helvetica" w:hAnsi="Cambria" w:cs="Calibri"/>
                <w:sz w:val="20"/>
                <w:szCs w:val="20"/>
                <w:lang w:val="es-ES" w:eastAsia="es-US"/>
              </w:rPr>
              <w:t>Fortalecimiento de estándares jurídicos y recomendaciones para combatir a la discriminación estructural racial en las Américas desde los mecanismos de la CIDH - Fase II.</w:t>
            </w:r>
            <w:r w:rsidRPr="007B7D30">
              <w:rPr>
                <w:rFonts w:ascii="Cambria" w:hAnsi="Cambria" w:cs="Calibri"/>
                <w:sz w:val="20"/>
                <w:szCs w:val="20"/>
                <w:lang w:val="es-ES"/>
              </w:rPr>
              <w:t xml:space="preserve"> </w:t>
            </w:r>
            <w:r w:rsidRPr="007B7D30">
              <w:rPr>
                <w:rFonts w:ascii="Cambria" w:eastAsia="Helvetica" w:hAnsi="Cambria" w:cs="Calibri"/>
                <w:sz w:val="20"/>
                <w:szCs w:val="20"/>
                <w:lang w:val="es-ES" w:eastAsia="es-US"/>
              </w:rPr>
              <w:t>CDH2004</w:t>
            </w:r>
          </w:p>
        </w:tc>
        <w:tc>
          <w:tcPr>
            <w:tcW w:w="2071" w:type="dxa"/>
            <w:gridSpan w:val="2"/>
            <w:shd w:val="clear" w:color="auto" w:fill="DEEAF6" w:themeFill="accent5" w:themeFillTint="33"/>
          </w:tcPr>
          <w:p w14:paraId="77857FDC" w14:textId="6CC12C87" w:rsidR="003E2DD7" w:rsidRPr="007B7D30" w:rsidRDefault="00F92100" w:rsidP="00035D30">
            <w:pPr>
              <w:jc w:val="center"/>
              <w:rPr>
                <w:rFonts w:ascii="Cambria" w:hAnsi="Cambria" w:cs="Arial"/>
                <w:sz w:val="20"/>
                <w:szCs w:val="20"/>
                <w:lang w:val="es-ES_tradnl"/>
              </w:rPr>
            </w:pPr>
            <w:r w:rsidRPr="007B7D30">
              <w:rPr>
                <w:rFonts w:ascii="Cambria" w:eastAsia="Helvetica" w:hAnsi="Cambria" w:cs="Times New Roman"/>
                <w:sz w:val="20"/>
                <w:szCs w:val="20"/>
                <w:lang w:val="es-US" w:eastAsia="es-US"/>
              </w:rPr>
              <w:t xml:space="preserve">$ </w:t>
            </w:r>
            <w:r w:rsidR="003E2DD7" w:rsidRPr="007B7D30">
              <w:rPr>
                <w:rFonts w:ascii="Cambria" w:eastAsia="Helvetica" w:hAnsi="Cambria" w:cs="Times New Roman"/>
                <w:sz w:val="20"/>
                <w:szCs w:val="20"/>
                <w:lang w:val="es-US" w:eastAsia="es-US"/>
              </w:rPr>
              <w:t>299,675</w:t>
            </w:r>
            <w:r w:rsidRPr="007B7D30">
              <w:rPr>
                <w:rFonts w:ascii="Cambria" w:eastAsia="Helvetica" w:hAnsi="Cambria" w:cs="Times New Roman"/>
                <w:sz w:val="20"/>
                <w:szCs w:val="20"/>
                <w:lang w:val="es-US" w:eastAsia="es-US"/>
              </w:rPr>
              <w:t xml:space="preserve"> USD</w:t>
            </w:r>
          </w:p>
        </w:tc>
        <w:tc>
          <w:tcPr>
            <w:tcW w:w="1440" w:type="dxa"/>
            <w:gridSpan w:val="2"/>
            <w:shd w:val="clear" w:color="auto" w:fill="DEEAF6" w:themeFill="accent5" w:themeFillTint="33"/>
          </w:tcPr>
          <w:p w14:paraId="578722B1" w14:textId="1E9985E6"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Fondo Español para la OEA</w:t>
            </w:r>
          </w:p>
        </w:tc>
        <w:tc>
          <w:tcPr>
            <w:tcW w:w="1629" w:type="dxa"/>
            <w:gridSpan w:val="2"/>
            <w:shd w:val="clear" w:color="auto" w:fill="DEEAF6" w:themeFill="accent5" w:themeFillTint="33"/>
          </w:tcPr>
          <w:p w14:paraId="764ABF3B" w14:textId="02E97985"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En ejecución</w:t>
            </w:r>
          </w:p>
        </w:tc>
      </w:tr>
      <w:tr w:rsidR="003E2DD7" w:rsidRPr="007B7D30" w14:paraId="1387911C" w14:textId="77777777" w:rsidTr="00CC71AE">
        <w:trPr>
          <w:trHeight w:val="267"/>
        </w:trPr>
        <w:tc>
          <w:tcPr>
            <w:tcW w:w="457" w:type="dxa"/>
            <w:shd w:val="clear" w:color="auto" w:fill="BDD6EE"/>
          </w:tcPr>
          <w:p w14:paraId="5EFA9567"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BDD6EE"/>
          </w:tcPr>
          <w:p w14:paraId="4E4277F8" w14:textId="19FE3F79" w:rsidR="003E2DD7" w:rsidRPr="007B7D30" w:rsidRDefault="003E2DD7" w:rsidP="003E2DD7">
            <w:pPr>
              <w:rPr>
                <w:rFonts w:ascii="Cambria" w:hAnsi="Cambria" w:cs="Arial"/>
                <w:sz w:val="20"/>
                <w:szCs w:val="20"/>
              </w:rPr>
            </w:pPr>
            <w:r w:rsidRPr="007B7D30">
              <w:rPr>
                <w:rFonts w:ascii="Cambria" w:hAnsi="Cambria" w:cs="Arial"/>
                <w:sz w:val="20"/>
                <w:szCs w:val="20"/>
              </w:rPr>
              <w:t>Supporting the Special Group for the Supervision of Precautionary Measures, SACROI COVID-19 and GIEI Bolivia</w:t>
            </w:r>
          </w:p>
        </w:tc>
        <w:tc>
          <w:tcPr>
            <w:tcW w:w="2071" w:type="dxa"/>
            <w:gridSpan w:val="2"/>
            <w:shd w:val="clear" w:color="auto" w:fill="BDD6EE"/>
          </w:tcPr>
          <w:p w14:paraId="67013FFB" w14:textId="67CB410F" w:rsidR="003E2DD7" w:rsidRPr="007B7D30" w:rsidRDefault="003E2DD7" w:rsidP="00035D30">
            <w:pPr>
              <w:jc w:val="center"/>
              <w:rPr>
                <w:rFonts w:ascii="Cambria" w:hAnsi="Cambria" w:cs="Arial"/>
                <w:sz w:val="20"/>
                <w:szCs w:val="20"/>
                <w:lang w:val="es-ES_tradnl"/>
              </w:rPr>
            </w:pPr>
            <w:r w:rsidRPr="007B7D30">
              <w:rPr>
                <w:rFonts w:ascii="Cambria" w:hAnsi="Cambria" w:cs="Arial"/>
                <w:sz w:val="20"/>
                <w:szCs w:val="20"/>
                <w:lang w:val="es-ES_tradnl"/>
              </w:rPr>
              <w:t>$450,000</w:t>
            </w:r>
            <w:r w:rsidRPr="007B7D30">
              <w:rPr>
                <w:rFonts w:ascii="Cambria" w:eastAsia="Times New Roman" w:hAnsi="Cambria" w:cs="Arial"/>
                <w:sz w:val="20"/>
                <w:szCs w:val="20"/>
                <w:lang w:val="es-ES_tradnl"/>
              </w:rPr>
              <w:t xml:space="preserve"> USD</w:t>
            </w:r>
          </w:p>
        </w:tc>
        <w:tc>
          <w:tcPr>
            <w:tcW w:w="1440" w:type="dxa"/>
            <w:gridSpan w:val="2"/>
            <w:shd w:val="clear" w:color="auto" w:fill="BDD6EE"/>
          </w:tcPr>
          <w:p w14:paraId="360066B0"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Fundación Ford</w:t>
            </w:r>
          </w:p>
        </w:tc>
        <w:tc>
          <w:tcPr>
            <w:tcW w:w="1629" w:type="dxa"/>
            <w:gridSpan w:val="2"/>
            <w:shd w:val="clear" w:color="auto" w:fill="BDD6EE"/>
          </w:tcPr>
          <w:p w14:paraId="487033FF" w14:textId="77777777"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Intermedio</w:t>
            </w:r>
          </w:p>
        </w:tc>
      </w:tr>
      <w:tr w:rsidR="003E2DD7" w:rsidRPr="007B7D30" w14:paraId="4BA22608" w14:textId="77777777" w:rsidTr="00CC71AE">
        <w:trPr>
          <w:trHeight w:val="267"/>
        </w:trPr>
        <w:tc>
          <w:tcPr>
            <w:tcW w:w="457" w:type="dxa"/>
            <w:shd w:val="clear" w:color="auto" w:fill="DEEAF6"/>
          </w:tcPr>
          <w:p w14:paraId="52D69FFC"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cPr>
          <w:p w14:paraId="0EC464F6" w14:textId="094DFF4A" w:rsidR="003E2DD7" w:rsidRPr="007B7D30" w:rsidRDefault="003E2DD7" w:rsidP="003E2DD7">
            <w:pPr>
              <w:rPr>
                <w:rFonts w:ascii="Cambria" w:eastAsia="Times New Roman" w:hAnsi="Cambria" w:cs="Arial"/>
                <w:sz w:val="20"/>
                <w:szCs w:val="20"/>
                <w:lang w:val="es-ES_tradnl"/>
              </w:rPr>
            </w:pPr>
            <w:r w:rsidRPr="007B7D30">
              <w:rPr>
                <w:rFonts w:ascii="Cambria" w:hAnsi="Cambria" w:cs="Arial"/>
                <w:sz w:val="20"/>
                <w:szCs w:val="20"/>
                <w:lang w:val="es-ES_tradnl"/>
              </w:rPr>
              <w:t xml:space="preserve">Apoyo al trabajo de la Relatoría de derechos de personas Lesbianas, </w:t>
            </w:r>
            <w:proofErr w:type="spellStart"/>
            <w:r w:rsidRPr="007B7D30">
              <w:rPr>
                <w:rFonts w:ascii="Cambria" w:hAnsi="Cambria" w:cs="Arial"/>
                <w:sz w:val="20"/>
                <w:szCs w:val="20"/>
                <w:lang w:val="es-ES_tradnl"/>
              </w:rPr>
              <w:t>Gays</w:t>
            </w:r>
            <w:proofErr w:type="spellEnd"/>
            <w:r w:rsidRPr="007B7D30">
              <w:rPr>
                <w:rFonts w:ascii="Cambria" w:hAnsi="Cambria" w:cs="Arial"/>
                <w:sz w:val="20"/>
                <w:szCs w:val="20"/>
                <w:lang w:val="es-ES_tradnl"/>
              </w:rPr>
              <w:t>, Bisexuales, Trans e Intersex de la CIDH. (20</w:t>
            </w:r>
            <w:r w:rsidR="000D31EF" w:rsidRPr="007B7D30">
              <w:rPr>
                <w:rFonts w:ascii="Cambria" w:hAnsi="Cambria" w:cs="Arial"/>
                <w:sz w:val="20"/>
                <w:szCs w:val="20"/>
                <w:lang w:val="es-ES_tradnl"/>
              </w:rPr>
              <w:t>20-2023</w:t>
            </w:r>
            <w:r w:rsidRPr="007B7D30">
              <w:rPr>
                <w:rFonts w:ascii="Cambria" w:hAnsi="Cambria" w:cs="Arial"/>
                <w:sz w:val="20"/>
                <w:szCs w:val="20"/>
                <w:lang w:val="es-ES_tradnl"/>
              </w:rPr>
              <w:t>)</w:t>
            </w:r>
          </w:p>
        </w:tc>
        <w:tc>
          <w:tcPr>
            <w:tcW w:w="2071" w:type="dxa"/>
            <w:gridSpan w:val="2"/>
            <w:shd w:val="clear" w:color="auto" w:fill="DEEAF6"/>
          </w:tcPr>
          <w:p w14:paraId="1F61DFC0" w14:textId="39BF5CB3" w:rsidR="003E2DD7" w:rsidRPr="007B7D30" w:rsidRDefault="003E2DD7" w:rsidP="00035D30">
            <w:pPr>
              <w:jc w:val="center"/>
              <w:rPr>
                <w:rFonts w:ascii="Cambria" w:eastAsia="Times New Roman" w:hAnsi="Cambria" w:cs="Arial"/>
                <w:sz w:val="20"/>
                <w:szCs w:val="20"/>
                <w:lang w:val="es-ES_tradnl"/>
              </w:rPr>
            </w:pPr>
            <w:r w:rsidRPr="007B7D30">
              <w:rPr>
                <w:rFonts w:ascii="Cambria" w:hAnsi="Cambria" w:cs="Arial"/>
                <w:sz w:val="20"/>
                <w:szCs w:val="20"/>
                <w:lang w:val="es-ES_tradnl"/>
              </w:rPr>
              <w:t>$</w:t>
            </w:r>
            <w:r w:rsidR="000D31EF" w:rsidRPr="007B7D30">
              <w:rPr>
                <w:rFonts w:ascii="Cambria" w:hAnsi="Cambria" w:cs="Arial"/>
                <w:sz w:val="20"/>
                <w:szCs w:val="20"/>
                <w:lang w:val="es-ES_tradnl"/>
              </w:rPr>
              <w:t>4</w:t>
            </w:r>
            <w:r w:rsidRPr="007B7D30">
              <w:rPr>
                <w:rFonts w:ascii="Cambria" w:hAnsi="Cambria" w:cs="Arial"/>
                <w:sz w:val="20"/>
                <w:szCs w:val="20"/>
                <w:lang w:val="es-ES_tradnl"/>
              </w:rPr>
              <w:t>50,000</w:t>
            </w:r>
            <w:r w:rsidRPr="007B7D30">
              <w:rPr>
                <w:rFonts w:ascii="Cambria" w:eastAsia="Times New Roman" w:hAnsi="Cambria" w:cs="Arial"/>
                <w:sz w:val="20"/>
                <w:szCs w:val="20"/>
                <w:lang w:val="es-ES_tradnl"/>
              </w:rPr>
              <w:t xml:space="preserve"> USD</w:t>
            </w:r>
          </w:p>
        </w:tc>
        <w:tc>
          <w:tcPr>
            <w:tcW w:w="1440" w:type="dxa"/>
            <w:gridSpan w:val="2"/>
            <w:shd w:val="clear" w:color="auto" w:fill="DEEAF6"/>
          </w:tcPr>
          <w:p w14:paraId="08D18CF0" w14:textId="10564670"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Fundación para</w:t>
            </w:r>
            <w:r w:rsidR="00456154" w:rsidRPr="007B7D30">
              <w:rPr>
                <w:rFonts w:ascii="Cambria" w:eastAsia="Times New Roman" w:hAnsi="Cambria" w:cs="Arial"/>
                <w:sz w:val="20"/>
                <w:szCs w:val="20"/>
                <w:lang w:val="es-ES_tradnl"/>
              </w:rPr>
              <w:t xml:space="preserve"> </w:t>
            </w:r>
            <w:r w:rsidRPr="007B7D30">
              <w:rPr>
                <w:rFonts w:ascii="Cambria" w:eastAsia="Times New Roman" w:hAnsi="Cambria" w:cs="Arial"/>
                <w:sz w:val="20"/>
                <w:szCs w:val="20"/>
                <w:lang w:val="es-ES_tradnl"/>
              </w:rPr>
              <w:t xml:space="preserve">las </w:t>
            </w:r>
            <w:r w:rsidR="000D31EF" w:rsidRPr="007B7D30">
              <w:rPr>
                <w:rFonts w:ascii="Cambria" w:eastAsia="Times New Roman" w:hAnsi="Cambria" w:cs="Arial"/>
                <w:sz w:val="20"/>
                <w:szCs w:val="20"/>
                <w:lang w:val="es-ES_tradnl"/>
              </w:rPr>
              <w:t>Américas</w:t>
            </w:r>
          </w:p>
        </w:tc>
        <w:tc>
          <w:tcPr>
            <w:tcW w:w="1629" w:type="dxa"/>
            <w:gridSpan w:val="2"/>
            <w:shd w:val="clear" w:color="auto" w:fill="DEEAF6"/>
          </w:tcPr>
          <w:p w14:paraId="6A1891E6" w14:textId="422A7E72"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Final</w:t>
            </w:r>
            <w:r w:rsidR="000D31EF" w:rsidRPr="007B7D30">
              <w:rPr>
                <w:rFonts w:ascii="Cambria" w:eastAsia="Times New Roman" w:hAnsi="Cambria" w:cs="Arial"/>
                <w:sz w:val="20"/>
                <w:szCs w:val="20"/>
                <w:lang w:val="es-ES_tradnl"/>
              </w:rPr>
              <w:t xml:space="preserve"> (2018)</w:t>
            </w:r>
          </w:p>
        </w:tc>
      </w:tr>
      <w:tr w:rsidR="003E2DD7" w:rsidRPr="007B7D30" w14:paraId="67F085BA" w14:textId="77777777" w:rsidTr="00CF7385">
        <w:trPr>
          <w:trHeight w:val="520"/>
        </w:trPr>
        <w:tc>
          <w:tcPr>
            <w:tcW w:w="457" w:type="dxa"/>
            <w:shd w:val="clear" w:color="auto" w:fill="9CC2E5" w:themeFill="accent5" w:themeFillTint="99"/>
          </w:tcPr>
          <w:p w14:paraId="09EBDB39"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9CC2E5" w:themeFill="accent5" w:themeFillTint="99"/>
          </w:tcPr>
          <w:p w14:paraId="3845C35E" w14:textId="77777777" w:rsidR="003E2DD7" w:rsidRPr="007B7D30" w:rsidRDefault="003E2DD7" w:rsidP="003E2DD7">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“Apoyar a la CIDH con la implementación de su Plan Estratégico 2017-2021”.</w:t>
            </w:r>
          </w:p>
        </w:tc>
        <w:tc>
          <w:tcPr>
            <w:tcW w:w="2071" w:type="dxa"/>
            <w:gridSpan w:val="2"/>
            <w:shd w:val="clear" w:color="auto" w:fill="9CC2E5" w:themeFill="accent5" w:themeFillTint="99"/>
          </w:tcPr>
          <w:p w14:paraId="6764C6B0" w14:textId="77777777" w:rsidR="003E2DD7" w:rsidRPr="007B7D30" w:rsidRDefault="003E2DD7" w:rsidP="00035D30">
            <w:pPr>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$1,120,000 USD</w:t>
            </w:r>
          </w:p>
        </w:tc>
        <w:tc>
          <w:tcPr>
            <w:tcW w:w="1440" w:type="dxa"/>
            <w:gridSpan w:val="2"/>
            <w:shd w:val="clear" w:color="auto" w:fill="9CC2E5" w:themeFill="accent5" w:themeFillTint="99"/>
          </w:tcPr>
          <w:p w14:paraId="20272A1A"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Holanda</w:t>
            </w:r>
          </w:p>
        </w:tc>
        <w:tc>
          <w:tcPr>
            <w:tcW w:w="1629" w:type="dxa"/>
            <w:gridSpan w:val="2"/>
            <w:shd w:val="clear" w:color="auto" w:fill="9CC2E5" w:themeFill="accent5" w:themeFillTint="99"/>
          </w:tcPr>
          <w:p w14:paraId="1986EAF5" w14:textId="77777777"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Anual</w:t>
            </w:r>
          </w:p>
        </w:tc>
      </w:tr>
      <w:tr w:rsidR="003E2DD7" w:rsidRPr="007B7D30" w14:paraId="5591FBDC" w14:textId="77777777" w:rsidTr="002A128B">
        <w:trPr>
          <w:trHeight w:val="520"/>
        </w:trPr>
        <w:tc>
          <w:tcPr>
            <w:tcW w:w="457" w:type="dxa"/>
            <w:shd w:val="clear" w:color="auto" w:fill="DEEAF6" w:themeFill="accent5" w:themeFillTint="33"/>
          </w:tcPr>
          <w:p w14:paraId="114730C7"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hemeFill="accent5" w:themeFillTint="33"/>
          </w:tcPr>
          <w:p w14:paraId="7326ED99" w14:textId="77777777" w:rsidR="003E2DD7" w:rsidRPr="007B7D30" w:rsidRDefault="003E2DD7" w:rsidP="003E2DD7">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MESEVE Venezuela</w:t>
            </w:r>
          </w:p>
        </w:tc>
        <w:tc>
          <w:tcPr>
            <w:tcW w:w="2071" w:type="dxa"/>
            <w:gridSpan w:val="2"/>
            <w:shd w:val="clear" w:color="auto" w:fill="DEEAF6" w:themeFill="accent5" w:themeFillTint="33"/>
          </w:tcPr>
          <w:p w14:paraId="37760656" w14:textId="77777777" w:rsidR="003E2DD7" w:rsidRPr="007B7D30" w:rsidRDefault="003E2DD7" w:rsidP="00035D30">
            <w:pPr>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$29,410 USD</w:t>
            </w:r>
          </w:p>
          <w:p w14:paraId="45DDDF8B" w14:textId="3C364109" w:rsidR="003E2DD7" w:rsidRPr="007B7D30" w:rsidRDefault="003E2DD7" w:rsidP="00035D30">
            <w:pPr>
              <w:ind w:left="-30" w:right="-144"/>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w:t>
            </w:r>
            <w:proofErr w:type="gramStart"/>
            <w:r w:rsidRPr="007B7D30">
              <w:rPr>
                <w:rFonts w:ascii="Cambria" w:eastAsia="Times New Roman" w:hAnsi="Cambria" w:cs="Arial"/>
                <w:sz w:val="20"/>
                <w:szCs w:val="20"/>
                <w:lang w:val="es-ES_tradnl"/>
              </w:rPr>
              <w:t>217,000  USD</w:t>
            </w:r>
            <w:proofErr w:type="gramEnd"/>
          </w:p>
        </w:tc>
        <w:tc>
          <w:tcPr>
            <w:tcW w:w="1440" w:type="dxa"/>
            <w:gridSpan w:val="2"/>
            <w:shd w:val="clear" w:color="auto" w:fill="DEEAF6" w:themeFill="accent5" w:themeFillTint="33"/>
          </w:tcPr>
          <w:p w14:paraId="6BD5AA37"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Holanda</w:t>
            </w:r>
          </w:p>
        </w:tc>
        <w:tc>
          <w:tcPr>
            <w:tcW w:w="1629" w:type="dxa"/>
            <w:gridSpan w:val="2"/>
            <w:shd w:val="clear" w:color="auto" w:fill="DEEAF6" w:themeFill="accent5" w:themeFillTint="33"/>
          </w:tcPr>
          <w:p w14:paraId="7EEFEE32" w14:textId="77B32A57"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Intermedio</w:t>
            </w:r>
          </w:p>
        </w:tc>
      </w:tr>
      <w:tr w:rsidR="003E2DD7" w:rsidRPr="007B7D30" w14:paraId="209DCDED" w14:textId="77777777" w:rsidTr="002A128B">
        <w:trPr>
          <w:trHeight w:val="773"/>
        </w:trPr>
        <w:tc>
          <w:tcPr>
            <w:tcW w:w="457" w:type="dxa"/>
            <w:shd w:val="clear" w:color="auto" w:fill="9CC2E5" w:themeFill="accent5" w:themeFillTint="99"/>
          </w:tcPr>
          <w:p w14:paraId="51034A70"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9CC2E5" w:themeFill="accent5" w:themeFillTint="99"/>
          </w:tcPr>
          <w:p w14:paraId="064B85F4" w14:textId="1EA632FC" w:rsidR="003E2DD7" w:rsidRPr="007B7D30" w:rsidRDefault="003E2DD7" w:rsidP="003E2DD7">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MESENI- Nicaragua</w:t>
            </w:r>
          </w:p>
        </w:tc>
        <w:tc>
          <w:tcPr>
            <w:tcW w:w="2071" w:type="dxa"/>
            <w:gridSpan w:val="2"/>
            <w:shd w:val="clear" w:color="auto" w:fill="9CC2E5" w:themeFill="accent5" w:themeFillTint="99"/>
          </w:tcPr>
          <w:p w14:paraId="1A5E9E43" w14:textId="0B7F0FC7" w:rsidR="003E2DD7" w:rsidRPr="007B7D30" w:rsidRDefault="003E2DD7" w:rsidP="00035D30">
            <w:pPr>
              <w:jc w:val="center"/>
              <w:rPr>
                <w:rFonts w:ascii="Cambria" w:hAnsi="Cambria" w:cs="Arial"/>
                <w:sz w:val="20"/>
                <w:szCs w:val="20"/>
                <w:lang w:val="es-ES_tradnl"/>
              </w:rPr>
            </w:pPr>
            <w:r w:rsidRPr="007B7D30">
              <w:rPr>
                <w:rFonts w:ascii="Cambria" w:eastAsia="Times New Roman" w:hAnsi="Cambria" w:cs="Arial"/>
                <w:sz w:val="20"/>
                <w:szCs w:val="20"/>
                <w:lang w:val="es-ES_tradnl"/>
              </w:rPr>
              <w:t>$</w:t>
            </w:r>
            <w:r w:rsidR="00035D30" w:rsidRPr="007B7D30">
              <w:rPr>
                <w:rFonts w:ascii="Cambria" w:eastAsia="Times New Roman" w:hAnsi="Cambria" w:cs="Arial"/>
                <w:sz w:val="20"/>
                <w:szCs w:val="20"/>
                <w:lang w:val="es-ES_tradnl"/>
              </w:rPr>
              <w:t>56,798</w:t>
            </w:r>
            <w:r w:rsidRPr="007B7D30">
              <w:rPr>
                <w:rFonts w:ascii="Cambria" w:eastAsia="Times New Roman" w:hAnsi="Cambria" w:cs="Arial"/>
                <w:sz w:val="20"/>
                <w:szCs w:val="20"/>
                <w:lang w:val="es-ES_tradnl"/>
              </w:rPr>
              <w:t xml:space="preserve"> USD</w:t>
            </w:r>
          </w:p>
        </w:tc>
        <w:tc>
          <w:tcPr>
            <w:tcW w:w="1440" w:type="dxa"/>
            <w:gridSpan w:val="2"/>
            <w:shd w:val="clear" w:color="auto" w:fill="9CC2E5" w:themeFill="accent5" w:themeFillTint="99"/>
          </w:tcPr>
          <w:p w14:paraId="3AEA21CB" w14:textId="0C0C8E00"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Holanda</w:t>
            </w:r>
          </w:p>
        </w:tc>
        <w:tc>
          <w:tcPr>
            <w:tcW w:w="1629" w:type="dxa"/>
            <w:gridSpan w:val="2"/>
            <w:shd w:val="clear" w:color="auto" w:fill="9CC2E5" w:themeFill="accent5" w:themeFillTint="99"/>
          </w:tcPr>
          <w:p w14:paraId="431F3E17" w14:textId="58B054CA"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Final</w:t>
            </w:r>
          </w:p>
        </w:tc>
      </w:tr>
      <w:tr w:rsidR="003E2DD7" w:rsidRPr="007B7D30" w14:paraId="5A6A1013" w14:textId="77777777" w:rsidTr="00CC71AE">
        <w:trPr>
          <w:trHeight w:val="773"/>
        </w:trPr>
        <w:tc>
          <w:tcPr>
            <w:tcW w:w="457" w:type="dxa"/>
            <w:shd w:val="clear" w:color="auto" w:fill="DEEAF6"/>
          </w:tcPr>
          <w:p w14:paraId="5C77FEF6"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hideMark/>
          </w:tcPr>
          <w:p w14:paraId="027D0D9F" w14:textId="77777777" w:rsidR="003E2DD7" w:rsidRPr="007B7D30" w:rsidRDefault="003E2DD7" w:rsidP="003E2DD7">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 xml:space="preserve">“Acceso a la justicia internacional a través de la atención a las peticiones presentadas ante la CIDH, para personas discriminadas en el </w:t>
            </w:r>
            <w:proofErr w:type="gramStart"/>
            <w:r w:rsidRPr="007B7D30">
              <w:rPr>
                <w:rFonts w:ascii="Cambria" w:eastAsia="Times New Roman" w:hAnsi="Cambria" w:cs="Arial"/>
                <w:sz w:val="20"/>
                <w:szCs w:val="20"/>
                <w:lang w:val="es-ES_tradnl"/>
              </w:rPr>
              <w:t>Hemisferio</w:t>
            </w:r>
            <w:proofErr w:type="gramEnd"/>
            <w:r w:rsidRPr="007B7D30">
              <w:rPr>
                <w:rFonts w:ascii="Cambria" w:eastAsia="Times New Roman" w:hAnsi="Cambria" w:cs="Arial"/>
                <w:sz w:val="20"/>
                <w:szCs w:val="20"/>
                <w:lang w:val="es-ES_tradnl"/>
              </w:rPr>
              <w:t xml:space="preserve">” </w:t>
            </w:r>
          </w:p>
        </w:tc>
        <w:tc>
          <w:tcPr>
            <w:tcW w:w="2071" w:type="dxa"/>
            <w:gridSpan w:val="2"/>
            <w:shd w:val="clear" w:color="auto" w:fill="DEEAF6"/>
          </w:tcPr>
          <w:p w14:paraId="12802F9B" w14:textId="29C1B922" w:rsidR="003E2DD7" w:rsidRPr="007B7D30" w:rsidRDefault="003E2DD7" w:rsidP="00035D30">
            <w:pPr>
              <w:jc w:val="center"/>
              <w:rPr>
                <w:rFonts w:ascii="Cambria" w:eastAsia="Times New Roman" w:hAnsi="Cambria" w:cs="Arial"/>
                <w:sz w:val="20"/>
                <w:szCs w:val="20"/>
                <w:lang w:val="es-ES_tradnl"/>
              </w:rPr>
            </w:pPr>
            <w:r w:rsidRPr="007B7D30">
              <w:rPr>
                <w:rFonts w:ascii="Cambria" w:hAnsi="Cambria" w:cs="Arial"/>
                <w:sz w:val="20"/>
                <w:szCs w:val="20"/>
                <w:lang w:val="es-ES_tradnl"/>
              </w:rPr>
              <w:t xml:space="preserve">50,000 </w:t>
            </w:r>
            <w:proofErr w:type="gramStart"/>
            <w:r w:rsidR="00035D30" w:rsidRPr="007B7D30">
              <w:rPr>
                <w:rFonts w:ascii="Cambria" w:hAnsi="Cambria" w:cs="Arial"/>
                <w:sz w:val="20"/>
                <w:szCs w:val="20"/>
                <w:lang w:val="es-ES_tradnl"/>
              </w:rPr>
              <w:t>E</w:t>
            </w:r>
            <w:r w:rsidRPr="007B7D30">
              <w:rPr>
                <w:rFonts w:ascii="Cambria" w:hAnsi="Cambria" w:cs="Arial"/>
                <w:sz w:val="20"/>
                <w:szCs w:val="20"/>
                <w:lang w:val="es-ES_tradnl"/>
              </w:rPr>
              <w:t>uros</w:t>
            </w:r>
            <w:proofErr w:type="gramEnd"/>
          </w:p>
        </w:tc>
        <w:tc>
          <w:tcPr>
            <w:tcW w:w="1440" w:type="dxa"/>
            <w:gridSpan w:val="2"/>
            <w:shd w:val="clear" w:color="auto" w:fill="DEEAF6"/>
            <w:hideMark/>
          </w:tcPr>
          <w:p w14:paraId="5AAF128B"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Irlanda</w:t>
            </w:r>
          </w:p>
        </w:tc>
        <w:tc>
          <w:tcPr>
            <w:tcW w:w="1629" w:type="dxa"/>
            <w:gridSpan w:val="2"/>
            <w:shd w:val="clear" w:color="auto" w:fill="DEEAF6"/>
            <w:hideMark/>
          </w:tcPr>
          <w:p w14:paraId="0967490C" w14:textId="10FD6814"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Final</w:t>
            </w:r>
          </w:p>
        </w:tc>
      </w:tr>
      <w:tr w:rsidR="003E2DD7" w:rsidRPr="007B7D30" w14:paraId="55D901BB" w14:textId="77777777" w:rsidTr="002A128B">
        <w:trPr>
          <w:trHeight w:val="520"/>
        </w:trPr>
        <w:tc>
          <w:tcPr>
            <w:tcW w:w="457" w:type="dxa"/>
            <w:shd w:val="clear" w:color="auto" w:fill="9CC2E5" w:themeFill="accent5" w:themeFillTint="99"/>
          </w:tcPr>
          <w:p w14:paraId="46ED5B48"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9CC2E5" w:themeFill="accent5" w:themeFillTint="99"/>
          </w:tcPr>
          <w:p w14:paraId="1AD3B120" w14:textId="6A89A388" w:rsidR="003E2DD7" w:rsidRPr="007B7D30" w:rsidRDefault="003E2DD7" w:rsidP="003E2DD7">
            <w:pPr>
              <w:rPr>
                <w:rFonts w:ascii="Cambria" w:eastAsia="Times New Roman" w:hAnsi="Cambria" w:cs="Arial"/>
                <w:sz w:val="20"/>
                <w:szCs w:val="20"/>
                <w:lang w:val="es-CO"/>
              </w:rPr>
            </w:pPr>
            <w:r w:rsidRPr="007B7D30">
              <w:rPr>
                <w:rFonts w:ascii="Cambria" w:eastAsia="Helvetica" w:hAnsi="Cambria" w:cs="Calibri"/>
                <w:sz w:val="20"/>
                <w:szCs w:val="20"/>
                <w:lang w:val="es-US" w:eastAsia="es-US"/>
              </w:rPr>
              <w:t>Apoyar el Sistema de Peticiones y Casos de la CIDH. Programa de atraso en tramitación</w:t>
            </w:r>
          </w:p>
        </w:tc>
        <w:tc>
          <w:tcPr>
            <w:tcW w:w="2071" w:type="dxa"/>
            <w:gridSpan w:val="2"/>
            <w:shd w:val="clear" w:color="auto" w:fill="9CC2E5" w:themeFill="accent5" w:themeFillTint="99"/>
            <w:vAlign w:val="center"/>
          </w:tcPr>
          <w:p w14:paraId="463ED58B" w14:textId="56CE3B53" w:rsidR="003E2DD7" w:rsidRPr="007B7D30" w:rsidRDefault="003E2DD7" w:rsidP="00035D30">
            <w:pPr>
              <w:jc w:val="center"/>
              <w:rPr>
                <w:rFonts w:ascii="Cambria" w:eastAsia="Times New Roman" w:hAnsi="Cambria" w:cs="Arial"/>
                <w:sz w:val="20"/>
                <w:szCs w:val="20"/>
                <w:lang w:val="es-CO"/>
              </w:rPr>
            </w:pPr>
            <w:r w:rsidRPr="007B7D30">
              <w:rPr>
                <w:rFonts w:ascii="Cambria" w:eastAsia="Helvetica" w:hAnsi="Cambria" w:cs="Calibri"/>
                <w:sz w:val="20"/>
                <w:szCs w:val="20"/>
                <w:lang w:val="es-ES" w:eastAsia="es-US"/>
              </w:rPr>
              <w:t xml:space="preserve">50.000 </w:t>
            </w:r>
            <w:proofErr w:type="gramStart"/>
            <w:r w:rsidR="00035D30" w:rsidRPr="007B7D30">
              <w:rPr>
                <w:rFonts w:ascii="Cambria" w:eastAsia="Helvetica" w:hAnsi="Cambria" w:cs="Calibri"/>
                <w:sz w:val="20"/>
                <w:szCs w:val="20"/>
                <w:lang w:val="es-ES" w:eastAsia="es-US"/>
              </w:rPr>
              <w:t>Euros</w:t>
            </w:r>
            <w:proofErr w:type="gramEnd"/>
          </w:p>
        </w:tc>
        <w:tc>
          <w:tcPr>
            <w:tcW w:w="1440" w:type="dxa"/>
            <w:gridSpan w:val="2"/>
            <w:shd w:val="clear" w:color="auto" w:fill="9CC2E5" w:themeFill="accent5" w:themeFillTint="99"/>
          </w:tcPr>
          <w:p w14:paraId="68C66E26" w14:textId="77777777" w:rsidR="003E2DD7" w:rsidRPr="007B7D30" w:rsidRDefault="003E2DD7" w:rsidP="003E2DD7">
            <w:pPr>
              <w:jc w:val="both"/>
              <w:rPr>
                <w:rFonts w:ascii="Cambria" w:eastAsia="Times New Roman" w:hAnsi="Cambria" w:cs="Arial"/>
                <w:sz w:val="20"/>
                <w:szCs w:val="20"/>
                <w:lang w:val="es-ES_tradnl"/>
              </w:rPr>
            </w:pPr>
          </w:p>
          <w:p w14:paraId="739302D2" w14:textId="1F7C9C8C" w:rsidR="003E2DD7" w:rsidRPr="007B7D30" w:rsidRDefault="003E2DD7" w:rsidP="003E2DD7">
            <w:pPr>
              <w:jc w:val="both"/>
              <w:rPr>
                <w:rFonts w:ascii="Cambria" w:eastAsia="Times New Roman" w:hAnsi="Cambria" w:cs="Arial"/>
                <w:sz w:val="20"/>
                <w:szCs w:val="20"/>
                <w:lang w:val="es-CO"/>
              </w:rPr>
            </w:pPr>
            <w:r w:rsidRPr="007B7D30">
              <w:rPr>
                <w:rFonts w:ascii="Cambria" w:eastAsia="Times New Roman" w:hAnsi="Cambria" w:cs="Arial"/>
                <w:sz w:val="20"/>
                <w:szCs w:val="20"/>
                <w:lang w:val="es-ES_tradnl"/>
              </w:rPr>
              <w:t>Irlanda</w:t>
            </w:r>
          </w:p>
        </w:tc>
        <w:tc>
          <w:tcPr>
            <w:tcW w:w="1629" w:type="dxa"/>
            <w:gridSpan w:val="2"/>
            <w:shd w:val="clear" w:color="auto" w:fill="9CC2E5" w:themeFill="accent5" w:themeFillTint="99"/>
          </w:tcPr>
          <w:p w14:paraId="6FE8249D" w14:textId="77777777" w:rsidR="003E2DD7" w:rsidRPr="007B7D30" w:rsidRDefault="003E2DD7" w:rsidP="003E2DD7">
            <w:pPr>
              <w:jc w:val="right"/>
              <w:rPr>
                <w:rFonts w:ascii="Cambria" w:eastAsia="Times New Roman" w:hAnsi="Cambria" w:cs="Arial"/>
                <w:sz w:val="20"/>
                <w:szCs w:val="20"/>
                <w:lang w:val="es-CO"/>
              </w:rPr>
            </w:pPr>
          </w:p>
          <w:p w14:paraId="69E01D82" w14:textId="51473C75" w:rsidR="003E2DD7" w:rsidRPr="007B7D30" w:rsidRDefault="003E2DD7" w:rsidP="003E2DD7">
            <w:pPr>
              <w:jc w:val="right"/>
              <w:rPr>
                <w:rFonts w:ascii="Cambria" w:eastAsia="Times New Roman" w:hAnsi="Cambria" w:cs="Arial"/>
                <w:sz w:val="20"/>
                <w:szCs w:val="20"/>
                <w:lang w:val="es-CO"/>
              </w:rPr>
            </w:pPr>
            <w:r w:rsidRPr="007B7D30">
              <w:rPr>
                <w:rFonts w:ascii="Cambria" w:eastAsia="Times New Roman" w:hAnsi="Cambria" w:cs="Arial"/>
                <w:sz w:val="20"/>
                <w:szCs w:val="20"/>
                <w:lang w:val="es-CO"/>
              </w:rPr>
              <w:t>En ejecución</w:t>
            </w:r>
          </w:p>
        </w:tc>
      </w:tr>
      <w:tr w:rsidR="003E2DD7" w:rsidRPr="007B7D30" w14:paraId="5EBBA7B5" w14:textId="77777777" w:rsidTr="00CC71AE">
        <w:trPr>
          <w:trHeight w:val="520"/>
        </w:trPr>
        <w:tc>
          <w:tcPr>
            <w:tcW w:w="457" w:type="dxa"/>
            <w:shd w:val="clear" w:color="auto" w:fill="DEEAF6"/>
          </w:tcPr>
          <w:p w14:paraId="2EE88FE8"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CO"/>
              </w:rPr>
            </w:pPr>
          </w:p>
        </w:tc>
        <w:tc>
          <w:tcPr>
            <w:tcW w:w="3701" w:type="dxa"/>
            <w:gridSpan w:val="2"/>
            <w:shd w:val="clear" w:color="auto" w:fill="DEEAF6"/>
            <w:hideMark/>
          </w:tcPr>
          <w:p w14:paraId="2AE5934B" w14:textId="77777777" w:rsidR="003E2DD7" w:rsidRPr="007B7D30" w:rsidRDefault="003E2DD7" w:rsidP="003E2DD7">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 xml:space="preserve">“Promover y proteger los derechos humanos en el Triángulo Norte de América Central”.  </w:t>
            </w:r>
          </w:p>
        </w:tc>
        <w:tc>
          <w:tcPr>
            <w:tcW w:w="2071" w:type="dxa"/>
            <w:gridSpan w:val="2"/>
            <w:shd w:val="clear" w:color="auto" w:fill="DEEAF6"/>
          </w:tcPr>
          <w:p w14:paraId="5AC35B44" w14:textId="25D5B5DE" w:rsidR="003E2DD7" w:rsidRPr="007B7D30" w:rsidRDefault="003E2DD7" w:rsidP="00035D30">
            <w:pPr>
              <w:jc w:val="center"/>
              <w:rPr>
                <w:rFonts w:ascii="Cambria" w:eastAsia="Helvetica" w:hAnsi="Cambria" w:cs="Calibri"/>
                <w:sz w:val="20"/>
                <w:szCs w:val="20"/>
                <w:lang w:val="es-US" w:eastAsia="es-US"/>
              </w:rPr>
            </w:pPr>
            <w:r w:rsidRPr="007B7D30">
              <w:rPr>
                <w:rFonts w:ascii="Cambria" w:eastAsia="Helvetica" w:hAnsi="Cambria" w:cs="Calibri"/>
                <w:sz w:val="20"/>
                <w:szCs w:val="20"/>
                <w:lang w:val="es-US" w:eastAsia="es-US"/>
              </w:rPr>
              <w:t>$1,025,076</w:t>
            </w:r>
            <w:r w:rsidR="00035D30" w:rsidRPr="007B7D30">
              <w:rPr>
                <w:rFonts w:ascii="Cambria" w:eastAsia="Helvetica" w:hAnsi="Cambria" w:cs="Calibri"/>
                <w:sz w:val="20"/>
                <w:szCs w:val="20"/>
                <w:lang w:val="es-US" w:eastAsia="es-US"/>
              </w:rPr>
              <w:t xml:space="preserve"> </w:t>
            </w:r>
            <w:r w:rsidR="00035D30" w:rsidRPr="007B7D30">
              <w:rPr>
                <w:rFonts w:ascii="Cambria" w:eastAsia="Helvetica" w:hAnsi="Cambria" w:cs="Times New Roman"/>
                <w:sz w:val="20"/>
                <w:szCs w:val="20"/>
                <w:lang w:val="es-US" w:eastAsia="es-US"/>
              </w:rPr>
              <w:t>USD</w:t>
            </w:r>
          </w:p>
          <w:p w14:paraId="4450802F" w14:textId="793C9832" w:rsidR="003E2DD7" w:rsidRPr="007B7D30" w:rsidRDefault="003E2DD7" w:rsidP="00035D30">
            <w:pPr>
              <w:jc w:val="center"/>
              <w:rPr>
                <w:rFonts w:ascii="Cambria" w:eastAsia="Times New Roman" w:hAnsi="Cambria" w:cs="Arial"/>
                <w:sz w:val="20"/>
                <w:szCs w:val="20"/>
                <w:lang w:val="es-ES_tradnl"/>
              </w:rPr>
            </w:pPr>
          </w:p>
        </w:tc>
        <w:tc>
          <w:tcPr>
            <w:tcW w:w="1440" w:type="dxa"/>
            <w:gridSpan w:val="2"/>
            <w:shd w:val="clear" w:color="auto" w:fill="DEEAF6"/>
            <w:hideMark/>
          </w:tcPr>
          <w:p w14:paraId="5F52600B"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PADF</w:t>
            </w:r>
          </w:p>
        </w:tc>
        <w:tc>
          <w:tcPr>
            <w:tcW w:w="1629" w:type="dxa"/>
            <w:gridSpan w:val="2"/>
            <w:shd w:val="clear" w:color="auto" w:fill="DEEAF6"/>
            <w:hideMark/>
          </w:tcPr>
          <w:p w14:paraId="763B5F15" w14:textId="77777777"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 xml:space="preserve">4 </w:t>
            </w:r>
            <w:proofErr w:type="gramStart"/>
            <w:r w:rsidRPr="007B7D30">
              <w:rPr>
                <w:rFonts w:ascii="Cambria" w:eastAsia="Times New Roman" w:hAnsi="Cambria" w:cs="Arial"/>
                <w:sz w:val="20"/>
                <w:szCs w:val="20"/>
                <w:lang w:val="es-ES_tradnl"/>
              </w:rPr>
              <w:t>Informes</w:t>
            </w:r>
            <w:proofErr w:type="gramEnd"/>
            <w:r w:rsidRPr="007B7D30">
              <w:rPr>
                <w:rFonts w:ascii="Cambria" w:eastAsia="Times New Roman" w:hAnsi="Cambria" w:cs="Arial"/>
                <w:sz w:val="20"/>
                <w:szCs w:val="20"/>
                <w:lang w:val="es-ES_tradnl"/>
              </w:rPr>
              <w:t xml:space="preserve"> trimestrales </w:t>
            </w:r>
          </w:p>
        </w:tc>
      </w:tr>
      <w:tr w:rsidR="003E2DD7" w:rsidRPr="007B7D30" w14:paraId="100BBCA0" w14:textId="77777777" w:rsidTr="00CC71AE">
        <w:trPr>
          <w:trHeight w:val="520"/>
        </w:trPr>
        <w:tc>
          <w:tcPr>
            <w:tcW w:w="457" w:type="dxa"/>
            <w:shd w:val="clear" w:color="auto" w:fill="BDD6EE"/>
          </w:tcPr>
          <w:p w14:paraId="601DA6FD"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BDD6EE"/>
          </w:tcPr>
          <w:p w14:paraId="6C9C28C0" w14:textId="77777777" w:rsidR="003E2DD7" w:rsidRPr="007B7D30" w:rsidRDefault="003E2DD7" w:rsidP="003E2DD7">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Bases para Justicia Transicional en Nicaragua</w:t>
            </w:r>
          </w:p>
        </w:tc>
        <w:tc>
          <w:tcPr>
            <w:tcW w:w="2071" w:type="dxa"/>
            <w:gridSpan w:val="2"/>
            <w:shd w:val="clear" w:color="auto" w:fill="BDD6EE"/>
          </w:tcPr>
          <w:p w14:paraId="3DD43CB8" w14:textId="77777777" w:rsidR="003E2DD7" w:rsidRPr="007B7D30" w:rsidRDefault="003E2DD7" w:rsidP="00035D30">
            <w:pPr>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$260,875 USD</w:t>
            </w:r>
          </w:p>
        </w:tc>
        <w:tc>
          <w:tcPr>
            <w:tcW w:w="1440" w:type="dxa"/>
            <w:gridSpan w:val="2"/>
            <w:shd w:val="clear" w:color="auto" w:fill="BDD6EE"/>
          </w:tcPr>
          <w:p w14:paraId="122A3923"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PADF</w:t>
            </w:r>
          </w:p>
        </w:tc>
        <w:tc>
          <w:tcPr>
            <w:tcW w:w="1629" w:type="dxa"/>
            <w:gridSpan w:val="2"/>
            <w:shd w:val="clear" w:color="auto" w:fill="BDD6EE"/>
          </w:tcPr>
          <w:p w14:paraId="78DEA278" w14:textId="1E7A9CC3"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 xml:space="preserve">4 </w:t>
            </w:r>
            <w:proofErr w:type="gramStart"/>
            <w:r w:rsidRPr="007B7D30">
              <w:rPr>
                <w:rFonts w:ascii="Cambria" w:eastAsia="Times New Roman" w:hAnsi="Cambria" w:cs="Arial"/>
                <w:sz w:val="20"/>
                <w:szCs w:val="20"/>
                <w:lang w:val="es-ES_tradnl"/>
              </w:rPr>
              <w:t>Informes</w:t>
            </w:r>
            <w:proofErr w:type="gramEnd"/>
            <w:r w:rsidRPr="007B7D30">
              <w:rPr>
                <w:rFonts w:ascii="Cambria" w:eastAsia="Times New Roman" w:hAnsi="Cambria" w:cs="Arial"/>
                <w:sz w:val="20"/>
                <w:szCs w:val="20"/>
                <w:lang w:val="es-ES_tradnl"/>
              </w:rPr>
              <w:t xml:space="preserve"> trimestral</w:t>
            </w:r>
            <w:r w:rsidR="000D31EF" w:rsidRPr="007B7D30">
              <w:rPr>
                <w:rFonts w:ascii="Cambria" w:eastAsia="Times New Roman" w:hAnsi="Cambria" w:cs="Arial"/>
                <w:sz w:val="20"/>
                <w:szCs w:val="20"/>
                <w:lang w:val="es-ES_tradnl"/>
              </w:rPr>
              <w:t>es</w:t>
            </w:r>
          </w:p>
        </w:tc>
      </w:tr>
      <w:tr w:rsidR="003E2DD7" w:rsidRPr="007B7D30" w14:paraId="0DCE4B85" w14:textId="77777777" w:rsidTr="00CC71AE">
        <w:trPr>
          <w:trHeight w:val="355"/>
        </w:trPr>
        <w:tc>
          <w:tcPr>
            <w:tcW w:w="457" w:type="dxa"/>
            <w:shd w:val="clear" w:color="auto" w:fill="DEEAF6"/>
          </w:tcPr>
          <w:p w14:paraId="06414C6D"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lang w:val="es-ES_tradnl"/>
              </w:rPr>
            </w:pPr>
          </w:p>
        </w:tc>
        <w:tc>
          <w:tcPr>
            <w:tcW w:w="3701" w:type="dxa"/>
            <w:gridSpan w:val="2"/>
            <w:shd w:val="clear" w:color="auto" w:fill="DEEAF6"/>
          </w:tcPr>
          <w:p w14:paraId="121DB8A2" w14:textId="05196603" w:rsidR="003E2DD7" w:rsidRPr="007B7D30" w:rsidRDefault="003E2DD7" w:rsidP="003E2DD7">
            <w:pPr>
              <w:rPr>
                <w:rFonts w:ascii="Cambria" w:eastAsia="Times New Roman" w:hAnsi="Cambria" w:cs="Arial"/>
                <w:sz w:val="20"/>
                <w:szCs w:val="20"/>
              </w:rPr>
            </w:pPr>
            <w:r w:rsidRPr="007B7D30">
              <w:rPr>
                <w:rFonts w:ascii="Cambria" w:eastAsia="Helvetica" w:hAnsi="Cambria" w:cs="Calibri"/>
                <w:sz w:val="20"/>
                <w:szCs w:val="20"/>
                <w:lang w:eastAsia="es-US"/>
              </w:rPr>
              <w:t xml:space="preserve"> Derechos </w:t>
            </w:r>
            <w:proofErr w:type="spellStart"/>
            <w:r w:rsidRPr="007B7D30">
              <w:rPr>
                <w:rFonts w:ascii="Cambria" w:eastAsia="Helvetica" w:hAnsi="Cambria" w:cs="Calibri"/>
                <w:sz w:val="20"/>
                <w:szCs w:val="20"/>
                <w:lang w:eastAsia="es-US"/>
              </w:rPr>
              <w:t>laborales</w:t>
            </w:r>
            <w:proofErr w:type="spellEnd"/>
            <w:r w:rsidRPr="007B7D30">
              <w:rPr>
                <w:rFonts w:ascii="Cambria" w:eastAsia="Helvetica" w:hAnsi="Cambria" w:cs="Calibri"/>
                <w:sz w:val="20"/>
                <w:szCs w:val="20"/>
                <w:lang w:eastAsia="es-US"/>
              </w:rPr>
              <w:t xml:space="preserve"> </w:t>
            </w:r>
            <w:proofErr w:type="spellStart"/>
            <w:r w:rsidRPr="007B7D30">
              <w:rPr>
                <w:rFonts w:ascii="Cambria" w:eastAsia="Helvetica" w:hAnsi="Cambria" w:cs="Calibri"/>
                <w:sz w:val="20"/>
                <w:szCs w:val="20"/>
                <w:lang w:eastAsia="es-US"/>
              </w:rPr>
              <w:t>en</w:t>
            </w:r>
            <w:proofErr w:type="spellEnd"/>
            <w:r w:rsidRPr="007B7D30">
              <w:rPr>
                <w:rFonts w:ascii="Cambria" w:eastAsia="Helvetica" w:hAnsi="Cambria" w:cs="Calibri"/>
                <w:sz w:val="20"/>
                <w:szCs w:val="20"/>
                <w:lang w:eastAsia="es-US"/>
              </w:rPr>
              <w:t xml:space="preserve"> Cuba</w:t>
            </w:r>
          </w:p>
        </w:tc>
        <w:tc>
          <w:tcPr>
            <w:tcW w:w="2071" w:type="dxa"/>
            <w:gridSpan w:val="2"/>
            <w:shd w:val="clear" w:color="auto" w:fill="DEEAF6"/>
          </w:tcPr>
          <w:p w14:paraId="1940D9D3" w14:textId="1D1CE425" w:rsidR="003E2DD7" w:rsidRPr="007B7D30" w:rsidRDefault="003E2DD7" w:rsidP="00035D30">
            <w:pPr>
              <w:jc w:val="center"/>
              <w:rPr>
                <w:rFonts w:ascii="Cambria" w:eastAsia="Times New Roman" w:hAnsi="Cambria" w:cs="Arial"/>
                <w:sz w:val="20"/>
                <w:szCs w:val="20"/>
              </w:rPr>
            </w:pPr>
            <w:r w:rsidRPr="007B7D30">
              <w:rPr>
                <w:rFonts w:ascii="Cambria" w:eastAsia="Helvetica" w:hAnsi="Cambria" w:cs="Calibri"/>
                <w:sz w:val="20"/>
                <w:szCs w:val="20"/>
                <w:lang w:val="es-US" w:eastAsia="es-US"/>
              </w:rPr>
              <w:t>$470,000</w:t>
            </w:r>
            <w:r w:rsidR="00035D30" w:rsidRPr="007B7D30">
              <w:rPr>
                <w:rFonts w:ascii="Cambria" w:eastAsia="Helvetica" w:hAnsi="Cambria" w:cs="Times New Roman"/>
                <w:sz w:val="20"/>
                <w:szCs w:val="20"/>
                <w:lang w:val="es-US" w:eastAsia="es-US"/>
              </w:rPr>
              <w:t xml:space="preserve"> USD</w:t>
            </w:r>
          </w:p>
        </w:tc>
        <w:tc>
          <w:tcPr>
            <w:tcW w:w="1440" w:type="dxa"/>
            <w:gridSpan w:val="2"/>
            <w:shd w:val="clear" w:color="auto" w:fill="DEEAF6"/>
          </w:tcPr>
          <w:p w14:paraId="67F12541" w14:textId="72FD5959" w:rsidR="003E2DD7" w:rsidRPr="007B7D30" w:rsidRDefault="003E2DD7" w:rsidP="003E2DD7">
            <w:pPr>
              <w:jc w:val="both"/>
              <w:rPr>
                <w:rFonts w:ascii="Cambria" w:eastAsia="Times New Roman" w:hAnsi="Cambria" w:cs="Arial"/>
                <w:sz w:val="20"/>
                <w:szCs w:val="20"/>
              </w:rPr>
            </w:pPr>
            <w:r w:rsidRPr="007B7D30">
              <w:rPr>
                <w:rFonts w:ascii="Cambria" w:eastAsia="Times New Roman" w:hAnsi="Cambria" w:cs="Arial"/>
                <w:sz w:val="20"/>
                <w:szCs w:val="20"/>
              </w:rPr>
              <w:t>PADF</w:t>
            </w:r>
          </w:p>
        </w:tc>
        <w:tc>
          <w:tcPr>
            <w:tcW w:w="1629" w:type="dxa"/>
            <w:gridSpan w:val="2"/>
            <w:shd w:val="clear" w:color="auto" w:fill="DEEAF6"/>
          </w:tcPr>
          <w:p w14:paraId="292F11E5" w14:textId="0DC41D72" w:rsidR="003E2DD7" w:rsidRPr="007B7D30" w:rsidRDefault="003E2DD7" w:rsidP="003E2DD7">
            <w:pPr>
              <w:jc w:val="right"/>
              <w:rPr>
                <w:rFonts w:ascii="Cambria" w:eastAsia="Times New Roman" w:hAnsi="Cambria" w:cs="Arial"/>
                <w:sz w:val="20"/>
                <w:szCs w:val="20"/>
              </w:rPr>
            </w:pPr>
            <w:r w:rsidRPr="007B7D30">
              <w:rPr>
                <w:rFonts w:ascii="Cambria" w:eastAsia="Times New Roman" w:hAnsi="Cambria" w:cs="Arial"/>
                <w:sz w:val="20"/>
                <w:szCs w:val="20"/>
              </w:rPr>
              <w:t xml:space="preserve">3 </w:t>
            </w:r>
            <w:proofErr w:type="spellStart"/>
            <w:r w:rsidRPr="007B7D30">
              <w:rPr>
                <w:rFonts w:ascii="Cambria" w:eastAsia="Times New Roman" w:hAnsi="Cambria" w:cs="Arial"/>
                <w:sz w:val="20"/>
                <w:szCs w:val="20"/>
              </w:rPr>
              <w:t>informes</w:t>
            </w:r>
            <w:proofErr w:type="spellEnd"/>
            <w:r w:rsidRPr="007B7D30">
              <w:rPr>
                <w:rFonts w:ascii="Cambria" w:eastAsia="Times New Roman" w:hAnsi="Cambria" w:cs="Arial"/>
                <w:sz w:val="20"/>
                <w:szCs w:val="20"/>
              </w:rPr>
              <w:t xml:space="preserve"> </w:t>
            </w:r>
            <w:proofErr w:type="spellStart"/>
            <w:r w:rsidRPr="007B7D30">
              <w:rPr>
                <w:rFonts w:ascii="Cambria" w:eastAsia="Times New Roman" w:hAnsi="Cambria" w:cs="Arial"/>
                <w:sz w:val="20"/>
                <w:szCs w:val="20"/>
              </w:rPr>
              <w:t>trimestrales</w:t>
            </w:r>
            <w:proofErr w:type="spellEnd"/>
          </w:p>
        </w:tc>
      </w:tr>
      <w:tr w:rsidR="003E2DD7" w:rsidRPr="007B7D30" w14:paraId="291D2212" w14:textId="77777777" w:rsidTr="002A128B">
        <w:trPr>
          <w:trHeight w:val="355"/>
        </w:trPr>
        <w:tc>
          <w:tcPr>
            <w:tcW w:w="457" w:type="dxa"/>
            <w:shd w:val="clear" w:color="auto" w:fill="9CC2E5" w:themeFill="accent5" w:themeFillTint="99"/>
          </w:tcPr>
          <w:p w14:paraId="2D4FF050" w14:textId="77777777" w:rsidR="003E2DD7" w:rsidRPr="007B7D30" w:rsidRDefault="003E2DD7" w:rsidP="003E2DD7">
            <w:pPr>
              <w:numPr>
                <w:ilvl w:val="0"/>
                <w:numId w:val="12"/>
              </w:numPr>
              <w:spacing w:after="200" w:line="276" w:lineRule="auto"/>
              <w:ind w:left="360"/>
              <w:jc w:val="right"/>
              <w:rPr>
                <w:rFonts w:ascii="Cambria" w:eastAsia="Times New Roman" w:hAnsi="Cambria" w:cs="Arial"/>
                <w:sz w:val="20"/>
                <w:szCs w:val="20"/>
              </w:rPr>
            </w:pPr>
          </w:p>
        </w:tc>
        <w:tc>
          <w:tcPr>
            <w:tcW w:w="3701" w:type="dxa"/>
            <w:gridSpan w:val="2"/>
            <w:shd w:val="clear" w:color="auto" w:fill="9CC2E5" w:themeFill="accent5" w:themeFillTint="99"/>
            <w:hideMark/>
          </w:tcPr>
          <w:p w14:paraId="6EC2EAA7" w14:textId="77777777" w:rsidR="003E2DD7" w:rsidRPr="007B7D30" w:rsidRDefault="003E2DD7" w:rsidP="003E2DD7">
            <w:pP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“Fortalecimiento de la Gobernanza y los Derechos Humanos en América Central” Fase II</w:t>
            </w:r>
          </w:p>
        </w:tc>
        <w:tc>
          <w:tcPr>
            <w:tcW w:w="2071" w:type="dxa"/>
            <w:gridSpan w:val="2"/>
            <w:shd w:val="clear" w:color="auto" w:fill="9CC2E5" w:themeFill="accent5" w:themeFillTint="99"/>
          </w:tcPr>
          <w:p w14:paraId="46B0EE58" w14:textId="6746AB0C" w:rsidR="003E2DD7" w:rsidRPr="007B7D30" w:rsidRDefault="00035D30" w:rsidP="00035D30">
            <w:pPr>
              <w:jc w:val="center"/>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w:t>
            </w:r>
            <w:r w:rsidR="003E2DD7" w:rsidRPr="007B7D30">
              <w:rPr>
                <w:rFonts w:ascii="Cambria" w:eastAsia="Times New Roman" w:hAnsi="Cambria" w:cs="Arial"/>
                <w:sz w:val="20"/>
                <w:szCs w:val="20"/>
                <w:lang w:val="es-ES_tradnl"/>
              </w:rPr>
              <w:t>2,600,000 USD</w:t>
            </w:r>
          </w:p>
        </w:tc>
        <w:tc>
          <w:tcPr>
            <w:tcW w:w="1440" w:type="dxa"/>
            <w:gridSpan w:val="2"/>
            <w:shd w:val="clear" w:color="auto" w:fill="9CC2E5" w:themeFill="accent5" w:themeFillTint="99"/>
            <w:hideMark/>
          </w:tcPr>
          <w:p w14:paraId="0CB4928B" w14:textId="77777777" w:rsidR="003E2DD7" w:rsidRPr="007B7D30" w:rsidRDefault="003E2DD7" w:rsidP="003E2DD7">
            <w:pPr>
              <w:jc w:val="both"/>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Suiza</w:t>
            </w:r>
          </w:p>
        </w:tc>
        <w:tc>
          <w:tcPr>
            <w:tcW w:w="1629" w:type="dxa"/>
            <w:gridSpan w:val="2"/>
            <w:shd w:val="clear" w:color="auto" w:fill="9CC2E5" w:themeFill="accent5" w:themeFillTint="99"/>
            <w:hideMark/>
          </w:tcPr>
          <w:p w14:paraId="496F0BCF" w14:textId="77777777" w:rsidR="003E2DD7" w:rsidRPr="007B7D30" w:rsidRDefault="003E2DD7"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Informe intermedio</w:t>
            </w:r>
          </w:p>
          <w:p w14:paraId="0666998B" w14:textId="0ADD40D1" w:rsidR="003E2DD7" w:rsidRPr="007B7D30" w:rsidRDefault="000D31EF" w:rsidP="003E2DD7">
            <w:pPr>
              <w:jc w:val="right"/>
              <w:rPr>
                <w:rFonts w:ascii="Cambria" w:eastAsia="Times New Roman" w:hAnsi="Cambria" w:cs="Arial"/>
                <w:sz w:val="20"/>
                <w:szCs w:val="20"/>
                <w:lang w:val="es-ES_tradnl"/>
              </w:rPr>
            </w:pPr>
            <w:r w:rsidRPr="007B7D30">
              <w:rPr>
                <w:rFonts w:ascii="Cambria" w:eastAsia="Times New Roman" w:hAnsi="Cambria" w:cs="Arial"/>
                <w:sz w:val="20"/>
                <w:szCs w:val="20"/>
                <w:lang w:val="es-ES_tradnl"/>
              </w:rPr>
              <w:t>5</w:t>
            </w:r>
            <w:r w:rsidR="003E2DD7" w:rsidRPr="007B7D30">
              <w:rPr>
                <w:rFonts w:ascii="Cambria" w:eastAsia="Times New Roman" w:hAnsi="Cambria" w:cs="Arial"/>
                <w:sz w:val="20"/>
                <w:szCs w:val="20"/>
                <w:lang w:val="es-ES_tradnl"/>
              </w:rPr>
              <w:t xml:space="preserve"> informes bimensuales</w:t>
            </w:r>
          </w:p>
        </w:tc>
      </w:tr>
    </w:tbl>
    <w:p w14:paraId="6B3F4682" w14:textId="77777777" w:rsidR="00CF7385" w:rsidRPr="007B7D30" w:rsidRDefault="00CF7385" w:rsidP="00F90C35">
      <w:pPr>
        <w:spacing w:after="240"/>
        <w:jc w:val="both"/>
        <w:rPr>
          <w:rFonts w:ascii="Cambria" w:eastAsia="Calibri" w:hAnsi="Cambria"/>
          <w:b/>
          <w:sz w:val="20"/>
          <w:szCs w:val="20"/>
          <w:lang w:val="es-ES_tradnl"/>
        </w:rPr>
      </w:pPr>
    </w:p>
    <w:p w14:paraId="618F41F1" w14:textId="77777777" w:rsidR="00C81467" w:rsidRPr="00F5200C" w:rsidRDefault="00C81467" w:rsidP="00F5200C">
      <w:pPr>
        <w:pStyle w:val="Heading2"/>
      </w:pPr>
      <w:r w:rsidRPr="00F5200C">
        <w:t>Propuestas de proyectos de Financiamiento</w:t>
      </w:r>
    </w:p>
    <w:p w14:paraId="4FE1A240" w14:textId="4441D0A2" w:rsidR="00C81467" w:rsidRPr="007B7D30" w:rsidRDefault="00C81467" w:rsidP="00F5200C">
      <w:pPr>
        <w:pStyle w:val="paragraphs"/>
      </w:pPr>
      <w:r w:rsidRPr="007B7D30">
        <w:t>Durante el año 202</w:t>
      </w:r>
      <w:r w:rsidR="00E1198F" w:rsidRPr="007B7D30">
        <w:t>1</w:t>
      </w:r>
      <w:r w:rsidRPr="007B7D30">
        <w:t xml:space="preserve"> la Secretaría Ejecutiva de la CIDH elaboró </w:t>
      </w:r>
      <w:r w:rsidR="002E3224" w:rsidRPr="007B7D30">
        <w:t>12</w:t>
      </w:r>
      <w:r w:rsidRPr="007B7D30">
        <w:t xml:space="preserve"> propuestas de proyectos de </w:t>
      </w:r>
      <w:r w:rsidRPr="00F5200C">
        <w:t>financiamiento</w:t>
      </w:r>
      <w:r w:rsidRPr="007B7D30">
        <w:t xml:space="preserve"> para presentar a donantes. La mayor parte de las propuestas fue aprobada.</w:t>
      </w:r>
    </w:p>
    <w:p w14:paraId="0F05C853" w14:textId="52700A85"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Propuesta de proyecto para ACNUR para apoyar las actividades de la relatoría de migrantes</w:t>
      </w:r>
      <w:r w:rsidR="008C59AE" w:rsidRPr="007B7D30">
        <w:rPr>
          <w:rFonts w:ascii="Cambria" w:hAnsi="Cambria"/>
          <w:sz w:val="20"/>
          <w:szCs w:val="20"/>
          <w:lang w:val="es-ES_tradnl"/>
        </w:rPr>
        <w:t xml:space="preserve"> por $80,000. (aprobada)</w:t>
      </w:r>
      <w:r w:rsidRPr="007B7D30">
        <w:rPr>
          <w:rFonts w:ascii="Cambria" w:hAnsi="Cambria"/>
          <w:sz w:val="20"/>
          <w:szCs w:val="20"/>
          <w:lang w:val="es-ES_tradnl"/>
        </w:rPr>
        <w:t>.</w:t>
      </w:r>
    </w:p>
    <w:p w14:paraId="64EA8058" w14:textId="071CB610"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 xml:space="preserve">Propuesta de extensión </w:t>
      </w:r>
      <w:r w:rsidR="003E2DD7" w:rsidRPr="007B7D30">
        <w:rPr>
          <w:rFonts w:ascii="Cambria" w:hAnsi="Cambria"/>
          <w:sz w:val="20"/>
          <w:szCs w:val="20"/>
          <w:lang w:val="es-ES_tradnl"/>
        </w:rPr>
        <w:t xml:space="preserve">del proyecto </w:t>
      </w:r>
      <w:r w:rsidRPr="007B7D30">
        <w:rPr>
          <w:rFonts w:ascii="Cambria" w:hAnsi="Cambria"/>
          <w:sz w:val="20"/>
          <w:szCs w:val="20"/>
          <w:lang w:val="es-ES_tradnl"/>
        </w:rPr>
        <w:t>sobre Bases para la Justicia Transicional en Nicaragua- Fase II</w:t>
      </w:r>
      <w:r w:rsidR="00304E0E" w:rsidRPr="007B7D30">
        <w:rPr>
          <w:rFonts w:ascii="Cambria" w:hAnsi="Cambria"/>
          <w:sz w:val="20"/>
          <w:szCs w:val="20"/>
          <w:lang w:val="es-ES_tradnl"/>
        </w:rPr>
        <w:t>,</w:t>
      </w:r>
      <w:r w:rsidRPr="007B7D30">
        <w:rPr>
          <w:rFonts w:ascii="Cambria" w:hAnsi="Cambria"/>
          <w:sz w:val="20"/>
          <w:szCs w:val="20"/>
          <w:lang w:val="es-ES_tradnl"/>
        </w:rPr>
        <w:t xml:space="preserve"> financiado por PADF</w:t>
      </w:r>
      <w:r w:rsidR="008C59AE" w:rsidRPr="007B7D30">
        <w:rPr>
          <w:rFonts w:ascii="Cambria" w:hAnsi="Cambria"/>
          <w:sz w:val="20"/>
          <w:szCs w:val="20"/>
          <w:lang w:val="es-ES_tradnl"/>
        </w:rPr>
        <w:t xml:space="preserve"> por $200,000 (aprobada)</w:t>
      </w:r>
      <w:r w:rsidR="00304E0E" w:rsidRPr="007B7D30">
        <w:rPr>
          <w:rFonts w:ascii="Cambria" w:hAnsi="Cambria"/>
          <w:sz w:val="20"/>
          <w:szCs w:val="20"/>
          <w:lang w:val="es-ES_tradnl"/>
        </w:rPr>
        <w:t>.</w:t>
      </w:r>
    </w:p>
    <w:p w14:paraId="134AA3E3" w14:textId="7381339D"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Propuesta de extensión Programa de Democracia y Derechos humanos en Honduras, Guatemala y El Salvador</w:t>
      </w:r>
      <w:r w:rsidR="00304E0E" w:rsidRPr="007B7D30">
        <w:rPr>
          <w:rFonts w:ascii="Cambria" w:hAnsi="Cambria"/>
          <w:sz w:val="20"/>
          <w:szCs w:val="20"/>
          <w:lang w:val="es-ES_tradnl"/>
        </w:rPr>
        <w:t>,</w:t>
      </w:r>
      <w:r w:rsidRPr="007B7D30">
        <w:rPr>
          <w:rFonts w:ascii="Cambria" w:hAnsi="Cambria"/>
          <w:sz w:val="20"/>
          <w:szCs w:val="20"/>
          <w:lang w:val="es-ES_tradnl"/>
        </w:rPr>
        <w:t xml:space="preserve"> Fase III</w:t>
      </w:r>
      <w:r w:rsidR="00304E0E" w:rsidRPr="007B7D30">
        <w:rPr>
          <w:rFonts w:ascii="Cambria" w:hAnsi="Cambria"/>
          <w:sz w:val="20"/>
          <w:szCs w:val="20"/>
          <w:lang w:val="es-ES_tradnl"/>
        </w:rPr>
        <w:t>,</w:t>
      </w:r>
      <w:r w:rsidRPr="007B7D30">
        <w:rPr>
          <w:rFonts w:ascii="Cambria" w:hAnsi="Cambria"/>
          <w:sz w:val="20"/>
          <w:szCs w:val="20"/>
          <w:lang w:val="es-ES_tradnl"/>
        </w:rPr>
        <w:t xml:space="preserve"> financiado por PADF</w:t>
      </w:r>
      <w:r w:rsidR="008C59AE" w:rsidRPr="007B7D30">
        <w:rPr>
          <w:rFonts w:ascii="Cambria" w:hAnsi="Cambria"/>
          <w:sz w:val="20"/>
          <w:szCs w:val="20"/>
          <w:lang w:val="es-ES_tradnl"/>
        </w:rPr>
        <w:t xml:space="preserve"> por $250,000 (aprobada)</w:t>
      </w:r>
      <w:r w:rsidR="00304E0E" w:rsidRPr="007B7D30">
        <w:rPr>
          <w:rFonts w:ascii="Cambria" w:hAnsi="Cambria"/>
          <w:sz w:val="20"/>
          <w:szCs w:val="20"/>
          <w:lang w:val="es-ES_tradnl"/>
        </w:rPr>
        <w:t>.</w:t>
      </w:r>
    </w:p>
    <w:p w14:paraId="317DEEDE" w14:textId="3EA609E4"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lastRenderedPageBreak/>
        <w:t xml:space="preserve">Propuesta </w:t>
      </w:r>
      <w:r w:rsidR="008C59AE" w:rsidRPr="007B7D30">
        <w:rPr>
          <w:rFonts w:ascii="Cambria" w:hAnsi="Cambria"/>
          <w:sz w:val="20"/>
          <w:szCs w:val="20"/>
          <w:lang w:val="es-ES_tradnl"/>
        </w:rPr>
        <w:t xml:space="preserve">para la Fundación </w:t>
      </w:r>
      <w:proofErr w:type="spellStart"/>
      <w:r w:rsidR="008C59AE" w:rsidRPr="007B7D30">
        <w:rPr>
          <w:rFonts w:ascii="Cambria" w:hAnsi="Cambria"/>
          <w:sz w:val="20"/>
          <w:szCs w:val="20"/>
          <w:lang w:val="es-ES_tradnl"/>
        </w:rPr>
        <w:t>Arcus</w:t>
      </w:r>
      <w:proofErr w:type="spellEnd"/>
      <w:r w:rsidR="008C59AE" w:rsidRPr="007B7D30">
        <w:rPr>
          <w:rFonts w:ascii="Cambria" w:hAnsi="Cambria"/>
          <w:sz w:val="20"/>
          <w:szCs w:val="20"/>
          <w:lang w:val="es-ES_tradnl"/>
        </w:rPr>
        <w:t xml:space="preserve"> para apoyar la </w:t>
      </w:r>
      <w:r w:rsidRPr="007B7D30">
        <w:rPr>
          <w:rFonts w:ascii="Cambria" w:hAnsi="Cambria"/>
          <w:sz w:val="20"/>
          <w:szCs w:val="20"/>
          <w:lang w:val="es-ES_tradnl"/>
        </w:rPr>
        <w:t xml:space="preserve">Beca </w:t>
      </w:r>
      <w:r w:rsidR="008C59AE" w:rsidRPr="007B7D30">
        <w:rPr>
          <w:rFonts w:ascii="Cambria" w:hAnsi="Cambria"/>
          <w:sz w:val="20"/>
          <w:szCs w:val="20"/>
          <w:lang w:val="es-ES_tradnl"/>
        </w:rPr>
        <w:t>profesional de l</w:t>
      </w:r>
      <w:r w:rsidRPr="007B7D30">
        <w:rPr>
          <w:rFonts w:ascii="Cambria" w:hAnsi="Cambria"/>
          <w:sz w:val="20"/>
          <w:szCs w:val="20"/>
          <w:lang w:val="es-ES_tradnl"/>
        </w:rPr>
        <w:t xml:space="preserve">a </w:t>
      </w:r>
      <w:r w:rsidR="00304E0E" w:rsidRPr="007B7D30">
        <w:rPr>
          <w:rFonts w:ascii="Cambria" w:hAnsi="Cambria"/>
          <w:sz w:val="20"/>
          <w:szCs w:val="20"/>
          <w:lang w:val="es-ES_tradnl"/>
        </w:rPr>
        <w:t>Relatoría sobre los Derechos de las Personas LGBTI,</w:t>
      </w:r>
      <w:r w:rsidRPr="007B7D30">
        <w:rPr>
          <w:rFonts w:ascii="Cambria" w:hAnsi="Cambria"/>
          <w:sz w:val="20"/>
          <w:szCs w:val="20"/>
          <w:lang w:val="es-ES_tradnl"/>
        </w:rPr>
        <w:t xml:space="preserve"> financiada </w:t>
      </w:r>
      <w:r w:rsidR="008C59AE" w:rsidRPr="007B7D30">
        <w:rPr>
          <w:rFonts w:ascii="Cambria" w:hAnsi="Cambria"/>
          <w:sz w:val="20"/>
          <w:szCs w:val="20"/>
          <w:lang w:val="es-ES_tradnl"/>
        </w:rPr>
        <w:t>por $150,000 (aprobada)</w:t>
      </w:r>
      <w:r w:rsidR="00304E0E" w:rsidRPr="007B7D30">
        <w:rPr>
          <w:rFonts w:ascii="Cambria" w:hAnsi="Cambria"/>
          <w:sz w:val="20"/>
          <w:szCs w:val="20"/>
          <w:lang w:val="es-ES_tradnl"/>
        </w:rPr>
        <w:t>.</w:t>
      </w:r>
    </w:p>
    <w:p w14:paraId="4741855A" w14:textId="0C613C8A"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Propuesta de actividades y adición al proyecto</w:t>
      </w:r>
      <w:r w:rsidR="00D836A6">
        <w:rPr>
          <w:rFonts w:ascii="Cambria" w:hAnsi="Cambria"/>
          <w:sz w:val="20"/>
          <w:szCs w:val="20"/>
          <w:lang w:val="es-ES_tradnl"/>
        </w:rPr>
        <w:t xml:space="preserve"> “Grupo Especial de Seguimiento de Protección”</w:t>
      </w:r>
      <w:r w:rsidRPr="007B7D30">
        <w:rPr>
          <w:rFonts w:ascii="Cambria" w:hAnsi="Cambria"/>
          <w:sz w:val="20"/>
          <w:szCs w:val="20"/>
          <w:lang w:val="es-ES_tradnl"/>
        </w:rPr>
        <w:t xml:space="preserve"> </w:t>
      </w:r>
      <w:r w:rsidR="00D836A6">
        <w:rPr>
          <w:rFonts w:ascii="Cambria" w:hAnsi="Cambria"/>
          <w:sz w:val="20"/>
          <w:szCs w:val="20"/>
          <w:lang w:val="es-ES_tradnl"/>
        </w:rPr>
        <w:t>(</w:t>
      </w:r>
      <w:r w:rsidRPr="007B7D30">
        <w:rPr>
          <w:rFonts w:ascii="Cambria" w:hAnsi="Cambria"/>
          <w:sz w:val="20"/>
          <w:szCs w:val="20"/>
          <w:lang w:val="es-ES_tradnl"/>
        </w:rPr>
        <w:t>GESP</w:t>
      </w:r>
      <w:r w:rsidR="00D836A6">
        <w:rPr>
          <w:rFonts w:ascii="Cambria" w:hAnsi="Cambria"/>
          <w:sz w:val="20"/>
          <w:szCs w:val="20"/>
          <w:lang w:val="es-ES_tradnl"/>
        </w:rPr>
        <w:t>)</w:t>
      </w:r>
      <w:r w:rsidRPr="007B7D30">
        <w:rPr>
          <w:rFonts w:ascii="Cambria" w:hAnsi="Cambria"/>
          <w:sz w:val="20"/>
          <w:szCs w:val="20"/>
          <w:lang w:val="es-ES_tradnl"/>
        </w:rPr>
        <w:t xml:space="preserve"> para apoyo GIEI Bolivia</w:t>
      </w:r>
      <w:r w:rsidR="008C59AE" w:rsidRPr="007B7D30">
        <w:rPr>
          <w:rFonts w:ascii="Cambria" w:hAnsi="Cambria"/>
          <w:sz w:val="20"/>
          <w:szCs w:val="20"/>
          <w:lang w:val="es-ES_tradnl"/>
        </w:rPr>
        <w:t xml:space="preserve"> por $100,000 (aprobada)</w:t>
      </w:r>
      <w:r w:rsidR="00304E0E" w:rsidRPr="007B7D30">
        <w:rPr>
          <w:rFonts w:ascii="Cambria" w:hAnsi="Cambria"/>
          <w:sz w:val="20"/>
          <w:szCs w:val="20"/>
          <w:lang w:val="es-ES_tradnl"/>
        </w:rPr>
        <w:t>.</w:t>
      </w:r>
    </w:p>
    <w:p w14:paraId="3BD48BCC" w14:textId="5B70B295" w:rsidR="00E1198F" w:rsidRPr="007B7D30" w:rsidRDefault="002E3224"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 xml:space="preserve">Propuesta para la Misión </w:t>
      </w:r>
      <w:r w:rsidR="00F90C35" w:rsidRPr="007B7D30">
        <w:rPr>
          <w:rFonts w:ascii="Cambria" w:hAnsi="Cambria"/>
          <w:sz w:val="20"/>
          <w:szCs w:val="20"/>
          <w:lang w:val="es-ES_tradnl"/>
        </w:rPr>
        <w:t>Permanente de los Estados Unidos ante la OE</w:t>
      </w:r>
      <w:r w:rsidRPr="007B7D30">
        <w:rPr>
          <w:rFonts w:ascii="Cambria" w:hAnsi="Cambria"/>
          <w:sz w:val="20"/>
          <w:szCs w:val="20"/>
          <w:lang w:val="es-ES_tradnl"/>
        </w:rPr>
        <w:t xml:space="preserve">A para apoyar la terminación del Informe </w:t>
      </w:r>
      <w:r w:rsidR="00E1198F" w:rsidRPr="007B7D30">
        <w:rPr>
          <w:rFonts w:ascii="Cambria" w:hAnsi="Cambria"/>
          <w:sz w:val="20"/>
          <w:szCs w:val="20"/>
          <w:lang w:val="es-ES_tradnl"/>
        </w:rPr>
        <w:t xml:space="preserve">del GIEI Bolivia </w:t>
      </w:r>
      <w:r w:rsidR="00F11C16" w:rsidRPr="007B7D30">
        <w:rPr>
          <w:rFonts w:ascii="Cambria" w:hAnsi="Cambria"/>
          <w:sz w:val="20"/>
          <w:szCs w:val="20"/>
          <w:lang w:val="es-ES_tradnl"/>
        </w:rPr>
        <w:t>por $</w:t>
      </w:r>
      <w:r w:rsidR="00E1198F" w:rsidRPr="007B7D30">
        <w:rPr>
          <w:rFonts w:ascii="Cambria" w:hAnsi="Cambria"/>
          <w:sz w:val="20"/>
          <w:szCs w:val="20"/>
          <w:lang w:val="es-ES_tradnl"/>
        </w:rPr>
        <w:t>180</w:t>
      </w:r>
      <w:r w:rsidR="00304E0E" w:rsidRPr="007B7D30">
        <w:rPr>
          <w:rFonts w:ascii="Cambria" w:hAnsi="Cambria"/>
          <w:sz w:val="20"/>
          <w:szCs w:val="20"/>
          <w:lang w:val="es-ES_tradnl"/>
        </w:rPr>
        <w:t>,</w:t>
      </w:r>
      <w:r w:rsidR="00E1198F" w:rsidRPr="007B7D30">
        <w:rPr>
          <w:rFonts w:ascii="Cambria" w:hAnsi="Cambria"/>
          <w:sz w:val="20"/>
          <w:szCs w:val="20"/>
          <w:lang w:val="es-ES_tradnl"/>
        </w:rPr>
        <w:t>000 (aprobada)</w:t>
      </w:r>
      <w:r w:rsidR="00304E0E" w:rsidRPr="007B7D30">
        <w:rPr>
          <w:rFonts w:ascii="Cambria" w:hAnsi="Cambria"/>
          <w:sz w:val="20"/>
          <w:szCs w:val="20"/>
          <w:lang w:val="es-ES_tradnl"/>
        </w:rPr>
        <w:t>.</w:t>
      </w:r>
    </w:p>
    <w:p w14:paraId="20EFDFF7" w14:textId="22115E2C" w:rsidR="008C59AE" w:rsidRPr="007B7D30" w:rsidRDefault="008C59AE"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 xml:space="preserve">Propuesta para Irlanda para apoyar el Sistema de Peticiones y Casos presentada ($50,000 </w:t>
      </w:r>
      <w:proofErr w:type="gramStart"/>
      <w:r w:rsidRPr="007B7D30">
        <w:rPr>
          <w:rFonts w:ascii="Cambria" w:hAnsi="Cambria"/>
          <w:sz w:val="20"/>
          <w:szCs w:val="20"/>
          <w:lang w:val="es-ES_tradnl"/>
        </w:rPr>
        <w:t>Euros</w:t>
      </w:r>
      <w:proofErr w:type="gramEnd"/>
      <w:r w:rsidR="00F90C35" w:rsidRPr="007B7D30">
        <w:rPr>
          <w:rFonts w:ascii="Cambria" w:hAnsi="Cambria"/>
          <w:sz w:val="20"/>
          <w:szCs w:val="20"/>
          <w:lang w:val="es-ES_tradnl"/>
        </w:rPr>
        <w:t>)</w:t>
      </w:r>
      <w:r w:rsidRPr="007B7D30">
        <w:rPr>
          <w:rFonts w:ascii="Cambria" w:hAnsi="Cambria"/>
          <w:sz w:val="20"/>
          <w:szCs w:val="20"/>
          <w:lang w:val="es-ES_tradnl"/>
        </w:rPr>
        <w:t xml:space="preserve"> </w:t>
      </w:r>
      <w:r w:rsidR="00F11C16" w:rsidRPr="007B7D30">
        <w:rPr>
          <w:rFonts w:ascii="Cambria" w:hAnsi="Cambria"/>
          <w:sz w:val="20"/>
          <w:szCs w:val="20"/>
          <w:lang w:val="es-ES_tradnl"/>
        </w:rPr>
        <w:t>(Aprobada)</w:t>
      </w:r>
      <w:r w:rsidR="00304E0E" w:rsidRPr="007B7D30">
        <w:rPr>
          <w:rFonts w:ascii="Cambria" w:hAnsi="Cambria"/>
          <w:sz w:val="20"/>
          <w:szCs w:val="20"/>
          <w:lang w:val="es-ES_tradnl"/>
        </w:rPr>
        <w:t>.</w:t>
      </w:r>
    </w:p>
    <w:p w14:paraId="6403D7B1" w14:textId="2FD727A6"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 xml:space="preserve">Propuesta para incrementar la protección y defensa de los derechos humanos en las Américas presentada a </w:t>
      </w:r>
      <w:proofErr w:type="gramStart"/>
      <w:r w:rsidR="00304E0E" w:rsidRPr="007B7D30">
        <w:rPr>
          <w:rFonts w:ascii="Cambria" w:hAnsi="Cambria"/>
          <w:sz w:val="20"/>
          <w:szCs w:val="20"/>
          <w:lang w:val="es-ES_tradnl"/>
        </w:rPr>
        <w:t>EE.UU.</w:t>
      </w:r>
      <w:proofErr w:type="gramEnd"/>
      <w:r w:rsidRPr="007B7D30">
        <w:rPr>
          <w:rFonts w:ascii="Cambria" w:hAnsi="Cambria"/>
          <w:sz w:val="20"/>
          <w:szCs w:val="20"/>
          <w:lang w:val="es-ES_tradnl"/>
        </w:rPr>
        <w:t xml:space="preserve"> ($4,9</w:t>
      </w:r>
      <w:r w:rsidR="002E3224" w:rsidRPr="007B7D30">
        <w:rPr>
          <w:rFonts w:ascii="Cambria" w:hAnsi="Cambria"/>
          <w:sz w:val="20"/>
          <w:szCs w:val="20"/>
          <w:lang w:val="es-ES_tradnl"/>
        </w:rPr>
        <w:t>37,500</w:t>
      </w:r>
      <w:r w:rsidRPr="007B7D30">
        <w:rPr>
          <w:rFonts w:ascii="Cambria" w:hAnsi="Cambria"/>
          <w:sz w:val="20"/>
          <w:szCs w:val="20"/>
          <w:lang w:val="es-ES_tradnl"/>
        </w:rPr>
        <w:t>) (Aprobada)</w:t>
      </w:r>
      <w:r w:rsidR="00304E0E" w:rsidRPr="007B7D30">
        <w:rPr>
          <w:rFonts w:ascii="Cambria" w:hAnsi="Cambria"/>
          <w:sz w:val="20"/>
          <w:szCs w:val="20"/>
          <w:lang w:val="es-ES_tradnl"/>
        </w:rPr>
        <w:t>.</w:t>
      </w:r>
      <w:r w:rsidRPr="007B7D30">
        <w:rPr>
          <w:rFonts w:ascii="Cambria" w:hAnsi="Cambria"/>
          <w:sz w:val="20"/>
          <w:szCs w:val="20"/>
          <w:lang w:val="es-ES_tradnl"/>
        </w:rPr>
        <w:t xml:space="preserve"> </w:t>
      </w:r>
    </w:p>
    <w:p w14:paraId="02767F31" w14:textId="28AE46C7"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 xml:space="preserve">Propuesta para Incrementar la protección y garantía de los derechos humanos </w:t>
      </w:r>
      <w:r w:rsidR="00304E0E" w:rsidRPr="007B7D30">
        <w:rPr>
          <w:rFonts w:ascii="Cambria" w:hAnsi="Cambria"/>
          <w:sz w:val="20"/>
          <w:szCs w:val="20"/>
          <w:lang w:val="es-ES_tradnl"/>
        </w:rPr>
        <w:t>de</w:t>
      </w:r>
      <w:r w:rsidRPr="007B7D30">
        <w:rPr>
          <w:rFonts w:ascii="Cambria" w:hAnsi="Cambria"/>
          <w:sz w:val="20"/>
          <w:szCs w:val="20"/>
          <w:lang w:val="es-ES_tradnl"/>
        </w:rPr>
        <w:t xml:space="preserve"> otros grupos especiales en condiciones </w:t>
      </w:r>
      <w:r w:rsidR="00F90C35" w:rsidRPr="007B7D30">
        <w:rPr>
          <w:rFonts w:ascii="Cambria" w:hAnsi="Cambria"/>
          <w:sz w:val="20"/>
          <w:szCs w:val="20"/>
          <w:lang w:val="es-ES_tradnl"/>
        </w:rPr>
        <w:t xml:space="preserve">de </w:t>
      </w:r>
      <w:r w:rsidRPr="007B7D30">
        <w:rPr>
          <w:rFonts w:ascii="Cambria" w:hAnsi="Cambria"/>
          <w:sz w:val="20"/>
          <w:szCs w:val="20"/>
          <w:lang w:val="es-ES_tradnl"/>
        </w:rPr>
        <w:t>vulnerab</w:t>
      </w:r>
      <w:r w:rsidR="00F90C35" w:rsidRPr="007B7D30">
        <w:rPr>
          <w:rFonts w:ascii="Cambria" w:hAnsi="Cambria"/>
          <w:sz w:val="20"/>
          <w:szCs w:val="20"/>
          <w:lang w:val="es-ES_tradnl"/>
        </w:rPr>
        <w:t>ilidad</w:t>
      </w:r>
      <w:r w:rsidRPr="007B7D30">
        <w:rPr>
          <w:rFonts w:ascii="Cambria" w:hAnsi="Cambria"/>
          <w:sz w:val="20"/>
          <w:szCs w:val="20"/>
          <w:lang w:val="es-ES_tradnl"/>
        </w:rPr>
        <w:t xml:space="preserve"> en las Américas, presentada a Holanda ($1,200,000). (En estudio)</w:t>
      </w:r>
      <w:r w:rsidR="00304E0E" w:rsidRPr="007B7D30">
        <w:rPr>
          <w:rFonts w:ascii="Cambria" w:hAnsi="Cambria"/>
          <w:sz w:val="20"/>
          <w:szCs w:val="20"/>
          <w:lang w:val="es-ES_tradnl"/>
        </w:rPr>
        <w:t>.</w:t>
      </w:r>
    </w:p>
    <w:p w14:paraId="16FA1EC5" w14:textId="40DE0A8C"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 xml:space="preserve">Nota Conceptual para continuar el </w:t>
      </w:r>
      <w:r w:rsidR="00304E0E" w:rsidRPr="007B7D30">
        <w:rPr>
          <w:rFonts w:ascii="Cambria" w:hAnsi="Cambria"/>
          <w:sz w:val="20"/>
          <w:szCs w:val="20"/>
          <w:lang w:val="es-ES_tradnl"/>
        </w:rPr>
        <w:t>a</w:t>
      </w:r>
      <w:r w:rsidRPr="007B7D30">
        <w:rPr>
          <w:rFonts w:ascii="Cambria" w:hAnsi="Cambria"/>
          <w:sz w:val="20"/>
          <w:szCs w:val="20"/>
          <w:lang w:val="es-ES_tradnl"/>
        </w:rPr>
        <w:t xml:space="preserve">poyo al sistema de peticiones y casos presentada a Comisión Europea ($1 Millones de </w:t>
      </w:r>
      <w:proofErr w:type="gramStart"/>
      <w:r w:rsidRPr="007B7D30">
        <w:rPr>
          <w:rFonts w:ascii="Cambria" w:hAnsi="Cambria"/>
          <w:sz w:val="20"/>
          <w:szCs w:val="20"/>
          <w:lang w:val="es-ES_tradnl"/>
        </w:rPr>
        <w:t>Euros</w:t>
      </w:r>
      <w:proofErr w:type="gramEnd"/>
      <w:r w:rsidRPr="007B7D30">
        <w:rPr>
          <w:rFonts w:ascii="Cambria" w:hAnsi="Cambria"/>
          <w:sz w:val="20"/>
          <w:szCs w:val="20"/>
          <w:lang w:val="es-ES_tradnl"/>
        </w:rPr>
        <w:t>)</w:t>
      </w:r>
      <w:r w:rsidR="00304E0E" w:rsidRPr="007B7D30">
        <w:rPr>
          <w:rFonts w:ascii="Cambria" w:hAnsi="Cambria"/>
          <w:sz w:val="20"/>
          <w:szCs w:val="20"/>
          <w:lang w:val="es-ES_tradnl"/>
        </w:rPr>
        <w:t>.</w:t>
      </w:r>
    </w:p>
    <w:p w14:paraId="147B263E" w14:textId="4DAA2250"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Nota conceptual para KAS para apoyar Capacitaciones sobre Movilidad Humana (contribución en especie equivalente a $56,000)</w:t>
      </w:r>
      <w:r w:rsidR="00F11C16" w:rsidRPr="007B7D30">
        <w:rPr>
          <w:rFonts w:ascii="Cambria" w:hAnsi="Cambria"/>
          <w:sz w:val="20"/>
          <w:szCs w:val="20"/>
          <w:lang w:val="es-ES_tradnl"/>
        </w:rPr>
        <w:t xml:space="preserve"> </w:t>
      </w:r>
      <w:r w:rsidR="00304E0E" w:rsidRPr="007B7D30">
        <w:rPr>
          <w:rFonts w:ascii="Cambria" w:hAnsi="Cambria"/>
          <w:sz w:val="20"/>
          <w:szCs w:val="20"/>
          <w:lang w:val="es-ES_tradnl"/>
        </w:rPr>
        <w:t>(</w:t>
      </w:r>
      <w:r w:rsidR="00F11C16" w:rsidRPr="007B7D30">
        <w:rPr>
          <w:rFonts w:ascii="Cambria" w:hAnsi="Cambria"/>
          <w:sz w:val="20"/>
          <w:szCs w:val="20"/>
          <w:lang w:val="es-ES_tradnl"/>
        </w:rPr>
        <w:t>en estudio</w:t>
      </w:r>
      <w:r w:rsidR="00304E0E" w:rsidRPr="007B7D30">
        <w:rPr>
          <w:rFonts w:ascii="Cambria" w:hAnsi="Cambria"/>
          <w:sz w:val="20"/>
          <w:szCs w:val="20"/>
          <w:lang w:val="es-ES_tradnl"/>
        </w:rPr>
        <w:t>)</w:t>
      </w:r>
      <w:r w:rsidR="00F11C16" w:rsidRPr="007B7D30">
        <w:rPr>
          <w:rFonts w:ascii="Cambria" w:hAnsi="Cambria"/>
          <w:sz w:val="20"/>
          <w:szCs w:val="20"/>
          <w:lang w:val="es-ES_tradnl"/>
        </w:rPr>
        <w:t>.</w:t>
      </w:r>
    </w:p>
    <w:p w14:paraId="5376C541" w14:textId="7D9C8C07" w:rsidR="00E1198F" w:rsidRPr="007B7D30" w:rsidRDefault="00E1198F" w:rsidP="00F92100">
      <w:pPr>
        <w:pStyle w:val="ListParagraph"/>
        <w:numPr>
          <w:ilvl w:val="0"/>
          <w:numId w:val="11"/>
        </w:numPr>
        <w:spacing w:after="160"/>
        <w:jc w:val="both"/>
        <w:rPr>
          <w:rFonts w:ascii="Cambria" w:hAnsi="Cambria"/>
          <w:sz w:val="20"/>
          <w:szCs w:val="20"/>
          <w:lang w:val="es-ES_tradnl"/>
        </w:rPr>
      </w:pPr>
      <w:r w:rsidRPr="007B7D30">
        <w:rPr>
          <w:rFonts w:ascii="Cambria" w:hAnsi="Cambria"/>
          <w:sz w:val="20"/>
          <w:szCs w:val="20"/>
          <w:lang w:val="es-ES_tradnl"/>
        </w:rPr>
        <w:t xml:space="preserve">Nota Conceptual para Open </w:t>
      </w:r>
      <w:proofErr w:type="spellStart"/>
      <w:r w:rsidRPr="007B7D30">
        <w:rPr>
          <w:rFonts w:ascii="Cambria" w:hAnsi="Cambria"/>
          <w:sz w:val="20"/>
          <w:szCs w:val="20"/>
          <w:lang w:val="es-ES_tradnl"/>
        </w:rPr>
        <w:t>Society</w:t>
      </w:r>
      <w:proofErr w:type="spellEnd"/>
      <w:r w:rsidRPr="007B7D30">
        <w:rPr>
          <w:rFonts w:ascii="Cambria" w:hAnsi="Cambria"/>
          <w:sz w:val="20"/>
          <w:szCs w:val="20"/>
          <w:lang w:val="es-ES_tradnl"/>
        </w:rPr>
        <w:t xml:space="preserve"> </w:t>
      </w:r>
      <w:proofErr w:type="spellStart"/>
      <w:r w:rsidRPr="007B7D30">
        <w:rPr>
          <w:rFonts w:ascii="Cambria" w:hAnsi="Cambria"/>
          <w:sz w:val="20"/>
          <w:szCs w:val="20"/>
          <w:lang w:val="es-ES_tradnl"/>
        </w:rPr>
        <w:t>Foundations</w:t>
      </w:r>
      <w:proofErr w:type="spellEnd"/>
      <w:r w:rsidRPr="007B7D30">
        <w:rPr>
          <w:rFonts w:ascii="Cambria" w:hAnsi="Cambria"/>
          <w:sz w:val="20"/>
          <w:szCs w:val="20"/>
          <w:lang w:val="es-ES_tradnl"/>
        </w:rPr>
        <w:t xml:space="preserve"> – prevención y combate al perfilamiento racial (US $100,000)</w:t>
      </w:r>
      <w:r w:rsidR="00F11C16" w:rsidRPr="007B7D30">
        <w:rPr>
          <w:rFonts w:ascii="Cambria" w:hAnsi="Cambria"/>
          <w:sz w:val="20"/>
          <w:szCs w:val="20"/>
          <w:lang w:val="es-ES_tradnl"/>
        </w:rPr>
        <w:t xml:space="preserve"> </w:t>
      </w:r>
      <w:r w:rsidR="00304E0E" w:rsidRPr="007B7D30">
        <w:rPr>
          <w:rFonts w:ascii="Cambria" w:hAnsi="Cambria"/>
          <w:sz w:val="20"/>
          <w:szCs w:val="20"/>
          <w:lang w:val="es-ES_tradnl"/>
        </w:rPr>
        <w:t>(E</w:t>
      </w:r>
      <w:r w:rsidR="00F11C16" w:rsidRPr="007B7D30">
        <w:rPr>
          <w:rFonts w:ascii="Cambria" w:hAnsi="Cambria"/>
          <w:sz w:val="20"/>
          <w:szCs w:val="20"/>
          <w:lang w:val="es-ES_tradnl"/>
        </w:rPr>
        <w:t>n estudio</w:t>
      </w:r>
      <w:r w:rsidR="00304E0E" w:rsidRPr="007B7D30">
        <w:rPr>
          <w:rFonts w:ascii="Cambria" w:hAnsi="Cambria"/>
          <w:sz w:val="20"/>
          <w:szCs w:val="20"/>
          <w:lang w:val="es-ES_tradnl"/>
        </w:rPr>
        <w:t>)</w:t>
      </w:r>
      <w:r w:rsidR="00F11C16" w:rsidRPr="007B7D30">
        <w:rPr>
          <w:rFonts w:ascii="Cambria" w:hAnsi="Cambria"/>
          <w:sz w:val="20"/>
          <w:szCs w:val="20"/>
          <w:lang w:val="es-ES_tradnl"/>
        </w:rPr>
        <w:t>.</w:t>
      </w:r>
    </w:p>
    <w:p w14:paraId="34DC1E53" w14:textId="44BEBAD1" w:rsidR="00F93D87" w:rsidRPr="00F5200C" w:rsidRDefault="00F93D87" w:rsidP="00F5200C">
      <w:pPr>
        <w:pStyle w:val="Heading1"/>
      </w:pPr>
      <w:r w:rsidRPr="00F5200C">
        <w:t>Avances tecnológicos</w:t>
      </w:r>
    </w:p>
    <w:p w14:paraId="119E75B4" w14:textId="50B8E458" w:rsidR="00F93D87" w:rsidRPr="007B7D30" w:rsidRDefault="00F93D87" w:rsidP="00966382">
      <w:pPr>
        <w:pStyle w:val="paragraphs"/>
      </w:pPr>
      <w:r w:rsidRPr="007B7D30">
        <w:t>Dada la situación propia de la pandemia de COVID-19 y la necesidad de crear nuevas metodologías de trabajo ante circunstancias especiales, es esencial para la Comisión mantener un enfoque y prioridad en la continuidad de sus labores en forma remota, la Sección de Tecnología y Sistemas (STS) actuando como catalizador ante nuevos desafíos tecnológicos, ha concentrado sus esfuerzos en actualizaciones sobre herramientas de vanguardia y en analizar, examinar, aplicar, implementar y poner en marcha avances en materia tecnológica, utilizadas dentro del colegiado y la Secretaría Ejecutiva</w:t>
      </w:r>
      <w:r w:rsidR="006D09DD" w:rsidRPr="007B7D30">
        <w:t>.</w:t>
      </w:r>
    </w:p>
    <w:p w14:paraId="780FF925" w14:textId="50FDCD4F" w:rsidR="00F93D87" w:rsidRPr="007B7D30" w:rsidRDefault="00F93D87" w:rsidP="00966382">
      <w:pPr>
        <w:pStyle w:val="paragraphs"/>
      </w:pPr>
      <w:r w:rsidRPr="007B7D30">
        <w:t xml:space="preserve">Con el constante crecimiento de la tecnología y sus alcances, junto a la necesidad de llegar a más personas que puedan ejercer sus Derechos Humanos y con el propósito de continuar desarrollando y facilitando la comunicación para la Comisión y SE/CIDH en los Períodos de Sesiones, siguiendo la línea de innovación en materia de tecnología, se trabajó en la logística, asesoría y recomendaciones para la virtualización de los diferentes eventos y tipos de reuniones efectuados. Se realizaron gestiones para la adquisición y evaluación de herramientas que innovaran los períodos de sesiones, facilitará las transcripciones multilingüe de reuniones virtuales, el subtitulado en directo y también el uso de documentos virtuales. A partir de su implementación, la herramienta para retransmitir </w:t>
      </w:r>
      <w:proofErr w:type="spellStart"/>
      <w:r w:rsidRPr="007B7D30">
        <w:t>webinars</w:t>
      </w:r>
      <w:proofErr w:type="spellEnd"/>
      <w:r w:rsidRPr="007B7D30">
        <w:t xml:space="preserve"> ha trascendido los PS 179°,180°,181° como nunca. Después de realizar pruebas, investigaciones, análisis y ventajas de funcionalidades para obtener un mayor alcance en la transmisión, se logró por primera vez la retransmisión en vivo de las audiencias virtuales por una plataforma social adicional (Twitter), manteniendo el compromiso de innovación al hacer posible alcanzar, aportar y proporcionar el trabajo en vivo de la Comisión y la CIDH. Asimismo, se trabajó en la obtención, creación de escenarios y pruebas reales para desarrollar y llevar a cabo la puesta en marcha de una aplicación que permitiera llevar el tiempo dentro de los </w:t>
      </w:r>
      <w:proofErr w:type="spellStart"/>
      <w:r w:rsidRPr="007B7D30">
        <w:t>webinars</w:t>
      </w:r>
      <w:proofErr w:type="spellEnd"/>
      <w:r w:rsidRPr="007B7D30">
        <w:t xml:space="preserve"> y reuniones virtuales, logrando así una mejor distribución en la duración del tiempo de forma automatizada. Luego de su puesta en marcha, con el fin de mejorar la calidad de esta herramienta implementada durante los encuentros sostenidos con los Estados y la Sociedad Civil, se investigaron nuevas funcionalidades e incorporaciones que permitieron de manera rápida y ágil el manejo de la plataforma, así como también, nuevos diseños que permiten visualizar las diferentes funcionalidades que ofrece la herramienta.</w:t>
      </w:r>
    </w:p>
    <w:p w14:paraId="08C3C19B" w14:textId="3827D795" w:rsidR="00F93D87" w:rsidRPr="007B7D30" w:rsidRDefault="00F93D87" w:rsidP="00966382">
      <w:pPr>
        <w:pStyle w:val="paragraphs"/>
      </w:pPr>
      <w:r w:rsidRPr="007B7D30">
        <w:t xml:space="preserve">A su vez, se brindó apoyo ininterrumpido durante todas las reuniones efectuadas en este lapso, certificando el buen funcionamiento y manejo de las plataformas, a su vez que la transmisión en vivo fuera desempeñada de manera adecuada, eficiente y óptima. Adicionalmente, se sostuvieron pruebas técnicas, brindando apoyo y asistencia para garantizar un buen uso de los recursos tecnológicos ante encuentros con la </w:t>
      </w:r>
      <w:r w:rsidRPr="007B7D30">
        <w:lastRenderedPageBreak/>
        <w:t xml:space="preserve">Sociedad Civil y en previa a la realización de audiencias. Se mantuvo un grupo crucial, clave y esencial para la gestión de </w:t>
      </w:r>
      <w:proofErr w:type="spellStart"/>
      <w:r w:rsidRPr="007B7D30">
        <w:t>webinars</w:t>
      </w:r>
      <w:proofErr w:type="spellEnd"/>
      <w:r w:rsidRPr="007B7D30">
        <w:t>, con el entrenamiento y supervisión necesarias por parte de la STS, impartiendo formación a los encargados de reuniones y administradores de salas, así como a nuevos integrantes a los equipos de trabajo, al mismo tiempo, certificó el correcto funcionamiento y gestión de las plataformas de interconexión. De igual manera, se brindó apoyo a la Comisión, SE y demás personas que conforman la CIDH y que manejaron reuniones en bilateral o de trabajo con énfasis tecnológico.</w:t>
      </w:r>
    </w:p>
    <w:p w14:paraId="58E702C4" w14:textId="505EACEC" w:rsidR="00F93D87" w:rsidRPr="007B7D30" w:rsidRDefault="00F93D87" w:rsidP="00966382">
      <w:pPr>
        <w:pStyle w:val="paragraphs"/>
      </w:pPr>
      <w:r w:rsidRPr="007B7D30">
        <w:t>Gracias a las tecnologías de puntas implementadas, la Comisión ha podido llevar a cabo las transmisiones de sus eventos, tales como 2</w:t>
      </w:r>
      <w:r w:rsidR="00847A4D" w:rsidRPr="007B7D30">
        <w:t>5</w:t>
      </w:r>
      <w:r w:rsidRPr="007B7D30">
        <w:t xml:space="preserve"> seminarios virtuales temáticos y sus audiencias públicas por medio de varias plataformas tecnológicas, con el objetivo de obtener un mayor alcance en la difusión de información, permitiendo a la CIDH abarcar temas amplios por medio de las diferentes redes sociales, como medios de comunicación. </w:t>
      </w:r>
    </w:p>
    <w:p w14:paraId="31620088" w14:textId="77777777" w:rsidR="00F93D87" w:rsidRPr="007B7D30" w:rsidRDefault="00F93D87" w:rsidP="00966382">
      <w:pPr>
        <w:pStyle w:val="paragraphs"/>
      </w:pPr>
      <w:r w:rsidRPr="007B7D30">
        <w:t>La Comisión se ha mantenido actualizada con innovaciones tecnológicas, investigaciones sobre funcionalidades que brinden de manera provechosa y eficiente nuevas características que puedan ser integradas a sus labores, con el propósito de seguir impulsando y proporcionando herramientas que faciliten los mecanismos de trabajos.</w:t>
      </w:r>
    </w:p>
    <w:p w14:paraId="17BB2764" w14:textId="77777777" w:rsidR="00F93D87" w:rsidRPr="007B7D30" w:rsidRDefault="00F93D87" w:rsidP="00966382">
      <w:pPr>
        <w:pStyle w:val="paragraphs"/>
      </w:pPr>
      <w:r w:rsidRPr="007B7D30">
        <w:t>Con miras al constante aporte de soluciones efectivas, se desarrolló el proyecto de capacitación virtual interno en la Secretaría Ejecutiva, sobre el uso de los sistemas centrales de la CIDH. Este proyecto fue diseñado y elaborado con base de la metodología E-learning, promoviendo el conocimiento y desempeño a distancia, orientado a facilitar la experiencia de capacitación. Luego del éxito obtenido tras su implementación, este proyecto permanece promoviendo el conocimiento y desempeño, orientado a facilitar la experiencia de aprendizaje y formación a distancia con módulos de entrenamientos para personas que se integran a las labores de la SE/CIDH. Los módulos de capacitación electrónica y audiovisual consisten en videos subtitulados centrados en el funcionamiento y correcto uso de los sistemas para los distintos roles de acción y que desempeñará la persona usuaria en los actuales sistemas centrales de la SE/CIDH e igualmente, fortaleciendo y compartiendo el conocimiento con el personal ya existente.</w:t>
      </w:r>
    </w:p>
    <w:p w14:paraId="01E2F3D6" w14:textId="77777777" w:rsidR="00F93D87" w:rsidRPr="007B7D30" w:rsidRDefault="00F93D87" w:rsidP="00966382">
      <w:pPr>
        <w:pStyle w:val="paragraphs"/>
      </w:pPr>
      <w:r w:rsidRPr="007B7D30">
        <w:t xml:space="preserve">Adicionalmente, en continuidad al avance en materia de innovación tecnológica y conforme nuevas herramientas y funciones son incorporadas en las diferentes plataformas que se manejan e implementan en la Comisión y la SE/CIDH, se han creado y desarrollado productos y documentos didácticos, manteniéndolos actualizados para brindar las nuevas ventajas con respecto a los avances tecnológicos de vanguardia dentro de las herramientas en uso. De manera que, se acompañe a la resolución de inconvenientes y la proyección del uso de nuevas aplicaciones de tecnologías, que permitan un mejor desenvolvimiento de los trabajos realizados. Algunas de las investigaciones abarcan: actualizaciones de plataformas en uso, configuraciones y nuevas funcionalidades, así como también de nuevos aplicativos que nos ayudan a automatizar nuestros procesos. </w:t>
      </w:r>
    </w:p>
    <w:p w14:paraId="7AB0F74F" w14:textId="7D68BBCC" w:rsidR="00F93D87" w:rsidRPr="007B7D30" w:rsidRDefault="00F93D87" w:rsidP="00966382">
      <w:pPr>
        <w:pStyle w:val="paragraphs"/>
      </w:pPr>
      <w:r w:rsidRPr="007B7D30">
        <w:t>Con enfoque en el avance, desarrollo, continuidad y compromiso de realizar de manera eficiente el trabajo a distancia, hemos implementado una herramienta colaborativa de información digital, desarrollando estrategias para la centralización de la información y las integraciones necesarias para la interconexión con los diferentes grupos internos de trabajo. Destacando dentro de sus ventajas, la sincronización de la información en tiempo real, lo que garantiza se obtengan la última versión donde se modifican o actualizan los datos. Esta herramienta como resultado, ha generado ventajas en: mejoras en los tiempos de trabajo, en la estructura y sistematización de los datos, así como mejora en la planificación de manera compartida. Se han realizado e implementado hasta ahora 5</w:t>
      </w:r>
      <w:r w:rsidR="003F70DC" w:rsidRPr="007B7D30">
        <w:t>2</w:t>
      </w:r>
      <w:r w:rsidRPr="007B7D30">
        <w:t xml:space="preserve"> bases de datos para 15 áreas de la SE/CIDH, generando así la simplificación, agilización y consolidación de la información utilizada por los diferentes equipos de trabajo de la Secretaría Ejecutiva.</w:t>
      </w:r>
    </w:p>
    <w:p w14:paraId="720C9619" w14:textId="77777777" w:rsidR="00F93D87" w:rsidRPr="007B7D30" w:rsidRDefault="00F93D87" w:rsidP="00966382">
      <w:pPr>
        <w:pStyle w:val="paragraphs"/>
      </w:pPr>
      <w:r w:rsidRPr="007B7D30">
        <w:t xml:space="preserve">El sistema de votación electrónica para consultas a la CIDH, E-Vote, continúa siendo una herramienta indispensable y vital para las consultas y tomas de decisiones de la Comisión. Se mantiene el constante apoyo y actualizaciones de nuevas funcionalidades para el sistema, siendo previamente evaluadas en el ambiente de pruebas. Se han implementado mejoras y actualizaciones para mejorar la efectividad de uso. </w:t>
      </w:r>
      <w:r w:rsidRPr="007B7D30">
        <w:lastRenderedPageBreak/>
        <w:t xml:space="preserve">Con la mejora y evolución de procedimientos para este sistema, la Comisión hace un mejor uso a las soluciones tecnológicas. El sistema de E-Vote ha automatizado y agilizado las comunicaciones de las consultas internas de acuerdo con su gran diversidad operativa. </w:t>
      </w:r>
    </w:p>
    <w:p w14:paraId="67E72C59" w14:textId="77777777" w:rsidR="00F93D87" w:rsidRPr="007B7D30" w:rsidRDefault="00F93D87" w:rsidP="00966382">
      <w:pPr>
        <w:pStyle w:val="paragraphs"/>
      </w:pPr>
      <w:r w:rsidRPr="007B7D30">
        <w:t xml:space="preserve">Los Estados Miembros y Sociedad Civil, continuamente tienen a su alcance una herramienta tecnológica automatizada desarrollada para la búsqueda y seguimiento de información. El Sistema de Monitoreo de Recomendaciones Interamericano (SIMORE), dentro de sus funcionalidades y ventajas de uso, ha representado un papel importante para la carga de información de los usuarios en cuanto al cumplimiento de recomendaciones de forma confiable y estable. </w:t>
      </w:r>
    </w:p>
    <w:p w14:paraId="2A9D487F" w14:textId="77777777" w:rsidR="00F93D87" w:rsidRPr="007B7D30" w:rsidRDefault="00F93D87" w:rsidP="00966382">
      <w:pPr>
        <w:pStyle w:val="paragraphs"/>
      </w:pPr>
      <w:r w:rsidRPr="007B7D30">
        <w:t xml:space="preserve">Actualmente, se mantiene el progreso y evolución de manera constante en el desarrollo del proyecto de redefinición y rediseño de los sistemas centrales de la Comisión y SE/CIDH, manteniendo reuniones con las diferentes áreas involucradas en las tareas y los procesos en marcha para la recolección y estructuración de información obtenida. Adicionalmente, ha sido entregado un ambiente de pruebas para los equipos de trabajo, para que de esta manea puedan relacionarse con el diseño del sistema, interactuar, probar y visualizar el desarrollo de la primera fase. Entre algunos de los avances se pueden mencionar: avances y mejoras en distintas funcionalidades como en la generación de </w:t>
      </w:r>
      <w:proofErr w:type="spellStart"/>
      <w:r w:rsidRPr="007B7D30">
        <w:t>eBooks</w:t>
      </w:r>
      <w:proofErr w:type="spellEnd"/>
      <w:r w:rsidRPr="007B7D30">
        <w:t>, mejoras en la creación de nuevos registros de petición/caso y medidas cautelares, funcionalidad para subir múltiples archivos entre otros. Igualmente, han sido incorporados nuevos campos de SIMORE en MC, ente otros. La reedificación y reconstrucción de estos sistemas con miras a la agilización de la información, automatizará, simplificará la producción y procesos de las labores realizadas por la SE/CIDH, asimismo, se creará una reducción en los tiempos de respuesta a personas usuarias de la organización.</w:t>
      </w:r>
    </w:p>
    <w:p w14:paraId="6EF2F4C5" w14:textId="1532EB4B" w:rsidR="00F93D87" w:rsidRPr="007B7D30" w:rsidRDefault="00F93D87" w:rsidP="00966382">
      <w:pPr>
        <w:pStyle w:val="paragraphs"/>
      </w:pPr>
      <w:r w:rsidRPr="007B7D30">
        <w:t xml:space="preserve">Continuando con el compromiso, apoyo y asistencia de la Comisión con quienes utilizan el Portal del Sistema Individual de Peticiones (Portal), tenemos que en el año 2021 se han atendido más de </w:t>
      </w:r>
      <w:r w:rsidR="003F70DC" w:rsidRPr="007B7D30">
        <w:t>14</w:t>
      </w:r>
      <w:r w:rsidRPr="007B7D30">
        <w:t>.</w:t>
      </w:r>
      <w:r w:rsidR="003F70DC" w:rsidRPr="007B7D30">
        <w:t>321</w:t>
      </w:r>
      <w:r w:rsidRPr="007B7D30">
        <w:t xml:space="preserve"> consultas que llegaron a la casilla electrónica de atención del Portal, proporcionando atención y asistencia técnica, así como el correcto funcionamiento y manejo digital del sistema. Actualmente, contamos con </w:t>
      </w:r>
      <w:r w:rsidR="003F70DC" w:rsidRPr="007B7D30">
        <w:t>4</w:t>
      </w:r>
      <w:r w:rsidRPr="007B7D30">
        <w:t>.</w:t>
      </w:r>
      <w:r w:rsidR="003F70DC" w:rsidRPr="007B7D30">
        <w:t>159</w:t>
      </w:r>
      <w:r w:rsidRPr="007B7D30">
        <w:t xml:space="preserve"> cuentas suscritas.  Asimismo, se han registrado </w:t>
      </w:r>
      <w:r w:rsidR="003F70DC" w:rsidRPr="007B7D30">
        <w:t>1</w:t>
      </w:r>
      <w:r w:rsidRPr="007B7D30">
        <w:t>.</w:t>
      </w:r>
      <w:r w:rsidR="003F70DC" w:rsidRPr="007B7D30">
        <w:t>941</w:t>
      </w:r>
      <w:r w:rsidRPr="007B7D30">
        <w:t xml:space="preserve"> nuevas cuentas, incluyendo 12 nuevas activaciones por parte de Estados durante este año. Agregando que han sido procesados </w:t>
      </w:r>
      <w:r w:rsidR="003F70DC" w:rsidRPr="007B7D30">
        <w:t>44</w:t>
      </w:r>
      <w:r w:rsidRPr="007B7D30">
        <w:t>.</w:t>
      </w:r>
      <w:r w:rsidR="003F70DC" w:rsidRPr="007B7D30">
        <w:t>645</w:t>
      </w:r>
      <w:r w:rsidRPr="007B7D30">
        <w:t xml:space="preserve"> documentos de información adicional de forma automatizada a través del Portal. Se han elaborado y compartido </w:t>
      </w:r>
      <w:r w:rsidR="003F70DC" w:rsidRPr="007B7D30">
        <w:t>80</w:t>
      </w:r>
      <w:r w:rsidRPr="007B7D30">
        <w:t xml:space="preserve"> videos instructivos en el Portal, esto con el objetivo de apoyar y mantener las capacitaciones digitales con material audiovisual que facilite con respuestas inmediatas a preguntas frecuentes o dudas que las personas usuarias puedan tener sobre el manejo y uso de la plataforma. </w:t>
      </w:r>
    </w:p>
    <w:p w14:paraId="4CB3E52E" w14:textId="4AF91FE2" w:rsidR="00F93D87" w:rsidRPr="007B7D30" w:rsidRDefault="00F93D87" w:rsidP="00966382">
      <w:pPr>
        <w:pStyle w:val="paragraphs"/>
      </w:pPr>
      <w:r w:rsidRPr="007B7D30">
        <w:t>Con la intención de mantener la información centralizada y automatizada, ayudando a mejorar la sistematización de los datos y tiempos de respuesta de las diferentes áreas de la Secretaría de la SE/CIDH, se pusieron en línea los siguientes sistemas para la colaboración en la recogida y obtención de información de manera digital, que pueda estar al alcance y de forma asequible:</w:t>
      </w:r>
    </w:p>
    <w:p w14:paraId="2C6BF40C" w14:textId="77777777" w:rsidR="00F93D87" w:rsidRPr="007B7D30" w:rsidRDefault="00F93D87" w:rsidP="00F5200C">
      <w:pPr>
        <w:pStyle w:val="paragraphs"/>
        <w:numPr>
          <w:ilvl w:val="0"/>
          <w:numId w:val="23"/>
        </w:numPr>
        <w:spacing w:after="120"/>
      </w:pPr>
      <w:r w:rsidRPr="007B7D30">
        <w:t>Solicitudes de Audiencia y Reuniones de Trabajo - 179°,180°,181°, 182° PS Virtual, en los 4 idiomas oficiales.</w:t>
      </w:r>
    </w:p>
    <w:p w14:paraId="447E3E23" w14:textId="77777777" w:rsidR="00F93D87" w:rsidRPr="007B7D30" w:rsidRDefault="00F93D87" w:rsidP="00F5200C">
      <w:pPr>
        <w:pStyle w:val="paragraphs"/>
        <w:numPr>
          <w:ilvl w:val="0"/>
          <w:numId w:val="23"/>
        </w:numPr>
        <w:spacing w:after="120"/>
      </w:pPr>
      <w:r w:rsidRPr="007B7D30">
        <w:t>Convocatoria para participar en audiencias solicitadas por la CIDH en el 179°,180°,181°, 182° PS.</w:t>
      </w:r>
    </w:p>
    <w:p w14:paraId="3A228D05" w14:textId="77777777" w:rsidR="00F93D87" w:rsidRPr="007B7D30" w:rsidRDefault="00F93D87" w:rsidP="00F5200C">
      <w:pPr>
        <w:pStyle w:val="paragraphs"/>
        <w:numPr>
          <w:ilvl w:val="0"/>
          <w:numId w:val="23"/>
        </w:numPr>
        <w:spacing w:after="120"/>
      </w:pPr>
      <w:r w:rsidRPr="007B7D30">
        <w:t>Convocatoria para participar en audiencias solicitadas por el Estado en el 179° PS.</w:t>
      </w:r>
    </w:p>
    <w:p w14:paraId="5A88DD85" w14:textId="77777777" w:rsidR="00F93D87" w:rsidRPr="007B7D30" w:rsidRDefault="00F93D87" w:rsidP="00F5200C">
      <w:pPr>
        <w:pStyle w:val="paragraphs"/>
        <w:numPr>
          <w:ilvl w:val="0"/>
          <w:numId w:val="23"/>
        </w:numPr>
        <w:spacing w:after="120"/>
      </w:pPr>
      <w:r w:rsidRPr="007B7D30">
        <w:t>Formularios de inscripción para participar en las reuniones con la sociedad civil en el marco del 179°,180° y 181°, 182° PS Virtual, en inglés y español.</w:t>
      </w:r>
    </w:p>
    <w:p w14:paraId="4FA715F3" w14:textId="77777777" w:rsidR="00F93D87" w:rsidRPr="007B7D30" w:rsidRDefault="00F93D87" w:rsidP="00F5200C">
      <w:pPr>
        <w:pStyle w:val="paragraphs"/>
        <w:numPr>
          <w:ilvl w:val="0"/>
          <w:numId w:val="23"/>
        </w:numPr>
        <w:spacing w:after="120"/>
      </w:pPr>
      <w:r w:rsidRPr="007B7D30">
        <w:t xml:space="preserve">Formulario de inscripción para Comentarios sobre Finalistas </w:t>
      </w:r>
      <w:proofErr w:type="gramStart"/>
      <w:r w:rsidRPr="007B7D30">
        <w:t>Secretario</w:t>
      </w:r>
      <w:proofErr w:type="gramEnd"/>
      <w:r w:rsidRPr="007B7D30">
        <w:t>/a Ejecutivo/a de la CIDH.</w:t>
      </w:r>
    </w:p>
    <w:p w14:paraId="5801F4ED" w14:textId="77777777" w:rsidR="00F93D87" w:rsidRPr="007B7D30" w:rsidRDefault="00F93D87" w:rsidP="00F5200C">
      <w:pPr>
        <w:pStyle w:val="paragraphs"/>
        <w:numPr>
          <w:ilvl w:val="0"/>
          <w:numId w:val="23"/>
        </w:numPr>
        <w:spacing w:after="120"/>
      </w:pPr>
      <w:r w:rsidRPr="007B7D30">
        <w:t>Cuestionario para los Estados, Pueblos, Organizaciones Indígenas y Tribales, y Organizaciones de la Sociedad Civil.</w:t>
      </w:r>
    </w:p>
    <w:p w14:paraId="5E1E0648" w14:textId="77777777" w:rsidR="00F93D87" w:rsidRPr="007B7D30" w:rsidRDefault="00F93D87" w:rsidP="00F5200C">
      <w:pPr>
        <w:pStyle w:val="paragraphs"/>
        <w:numPr>
          <w:ilvl w:val="0"/>
          <w:numId w:val="23"/>
        </w:numPr>
        <w:spacing w:after="120"/>
      </w:pPr>
      <w:r w:rsidRPr="007B7D30">
        <w:t xml:space="preserve">Beca para </w:t>
      </w:r>
      <w:proofErr w:type="gramStart"/>
      <w:r w:rsidRPr="007B7D30">
        <w:t>Abogadas y Abogados</w:t>
      </w:r>
      <w:proofErr w:type="gramEnd"/>
      <w:r w:rsidRPr="007B7D30">
        <w:t xml:space="preserve"> de los países de CARICOM.</w:t>
      </w:r>
    </w:p>
    <w:p w14:paraId="40E3DE5C" w14:textId="77777777" w:rsidR="00F93D87" w:rsidRPr="007B7D30" w:rsidRDefault="00F93D87" w:rsidP="00F5200C">
      <w:pPr>
        <w:pStyle w:val="paragraphs"/>
        <w:numPr>
          <w:ilvl w:val="0"/>
          <w:numId w:val="23"/>
        </w:numPr>
        <w:spacing w:after="120"/>
      </w:pPr>
      <w:r w:rsidRPr="007B7D30">
        <w:lastRenderedPageBreak/>
        <w:t>Beca para la Relatoría sobre los Derechos de las Personas Afrodescendientes y contra la Discriminación Racial.</w:t>
      </w:r>
    </w:p>
    <w:p w14:paraId="00D63FF9" w14:textId="77777777" w:rsidR="00F93D87" w:rsidRPr="007B7D30" w:rsidRDefault="00F93D87" w:rsidP="00F5200C">
      <w:pPr>
        <w:pStyle w:val="paragraphs"/>
        <w:numPr>
          <w:ilvl w:val="0"/>
          <w:numId w:val="23"/>
        </w:numPr>
        <w:spacing w:after="120"/>
      </w:pPr>
      <w:r w:rsidRPr="007B7D30">
        <w:t xml:space="preserve">Registro para Recepción de Testimonios en el contexto de la Visita de Trabajo a Colombia. </w:t>
      </w:r>
    </w:p>
    <w:p w14:paraId="3660F10D" w14:textId="77777777" w:rsidR="00F93D87" w:rsidRPr="007B7D30" w:rsidRDefault="00F93D87" w:rsidP="00F5200C">
      <w:pPr>
        <w:pStyle w:val="paragraphs"/>
        <w:numPr>
          <w:ilvl w:val="0"/>
          <w:numId w:val="23"/>
        </w:numPr>
        <w:spacing w:after="120"/>
      </w:pPr>
      <w:r w:rsidRPr="007B7D30">
        <w:t>Beca de la Relatoría sobre los Derechos de las Personas LGBTI período 2021-2022.</w:t>
      </w:r>
    </w:p>
    <w:p w14:paraId="30DB343B" w14:textId="5342DCDD" w:rsidR="00F93D87" w:rsidRPr="007B7D30" w:rsidRDefault="00F93D87" w:rsidP="00F5200C">
      <w:pPr>
        <w:pStyle w:val="paragraphs"/>
        <w:numPr>
          <w:ilvl w:val="0"/>
          <w:numId w:val="23"/>
        </w:numPr>
        <w:spacing w:after="120"/>
      </w:pPr>
      <w:r w:rsidRPr="007B7D30">
        <w:t>Formulario para el Proyecto de Derechos Laborales en Cuba PADF</w:t>
      </w:r>
      <w:r w:rsidR="00F9479E" w:rsidRPr="007B7D30">
        <w:t>.</w:t>
      </w:r>
    </w:p>
    <w:p w14:paraId="16383738" w14:textId="77777777" w:rsidR="00F93D87" w:rsidRPr="00F93D87" w:rsidRDefault="00F93D87" w:rsidP="00F93D87">
      <w:pPr>
        <w:spacing w:after="160"/>
        <w:jc w:val="both"/>
        <w:rPr>
          <w:rFonts w:ascii="Cambria" w:hAnsi="Cambria"/>
          <w:sz w:val="20"/>
          <w:szCs w:val="20"/>
          <w:lang w:val="es-ES"/>
        </w:rPr>
      </w:pPr>
    </w:p>
    <w:sectPr w:rsidR="00F93D87" w:rsidRPr="00F93D87" w:rsidSect="00001276">
      <w:headerReference w:type="default" r:id="rId14"/>
      <w:footerReference w:type="default" r:id="rId15"/>
      <w:headerReference w:type="first" r:id="rId16"/>
      <w:pgSz w:w="12240" w:h="15840"/>
      <w:pgMar w:top="1440" w:right="1440" w:bottom="1440" w:left="1440" w:header="708" w:footer="708" w:gutter="0"/>
      <w:pgNumType w:start="11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AEA4" w14:textId="77777777" w:rsidR="008179FE" w:rsidRDefault="008179FE" w:rsidP="00672733">
      <w:r>
        <w:separator/>
      </w:r>
    </w:p>
  </w:endnote>
  <w:endnote w:type="continuationSeparator" w:id="0">
    <w:p w14:paraId="6BBE55F0" w14:textId="77777777" w:rsidR="008179FE" w:rsidRDefault="008179FE"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1892" w14:textId="77777777" w:rsidR="008179FE" w:rsidRDefault="008179FE" w:rsidP="00672733">
      <w:r>
        <w:separator/>
      </w:r>
    </w:p>
  </w:footnote>
  <w:footnote w:type="continuationSeparator" w:id="0">
    <w:p w14:paraId="3BD08287" w14:textId="77777777" w:rsidR="008179FE" w:rsidRDefault="008179FE" w:rsidP="00672733">
      <w:r>
        <w:continuationSeparator/>
      </w:r>
    </w:p>
  </w:footnote>
  <w:footnote w:id="1">
    <w:p w14:paraId="27CEDC29" w14:textId="1ECEFB68" w:rsidR="000B2968" w:rsidRDefault="000B2968" w:rsidP="000B2968">
      <w:pPr>
        <w:pStyle w:val="FootnoteText"/>
        <w:spacing w:after="120"/>
        <w:ind w:firstLine="720"/>
        <w:jc w:val="both"/>
        <w:rPr>
          <w:rFonts w:ascii="Cambria" w:eastAsia="Calibri" w:hAnsi="Cambria"/>
          <w:sz w:val="16"/>
          <w:szCs w:val="16"/>
          <w:lang w:val="es-US"/>
        </w:rPr>
      </w:pPr>
      <w:r w:rsidRPr="00041E84">
        <w:rPr>
          <w:rStyle w:val="FootnoteReference"/>
          <w:rFonts w:ascii="Cambria" w:hAnsi="Cambria"/>
          <w:sz w:val="16"/>
          <w:szCs w:val="16"/>
        </w:rPr>
        <w:footnoteRef/>
      </w:r>
      <w:r w:rsidRPr="00041E84">
        <w:rPr>
          <w:rFonts w:ascii="Cambria" w:hAnsi="Cambria"/>
          <w:sz w:val="16"/>
          <w:szCs w:val="16"/>
          <w:lang w:val="es-US"/>
        </w:rPr>
        <w:t xml:space="preserve"> </w:t>
      </w:r>
      <w:r w:rsidR="00DD7B82">
        <w:rPr>
          <w:rFonts w:ascii="Cambria" w:eastAsia="Calibri" w:hAnsi="Cambria"/>
          <w:sz w:val="16"/>
          <w:szCs w:val="16"/>
          <w:lang w:val="es-US"/>
        </w:rPr>
        <w:t>L</w:t>
      </w:r>
      <w:r w:rsidRPr="00041E84">
        <w:rPr>
          <w:rFonts w:ascii="Cambria" w:eastAsia="Calibri" w:hAnsi="Cambria"/>
          <w:sz w:val="16"/>
          <w:szCs w:val="16"/>
          <w:lang w:val="es-US"/>
        </w:rPr>
        <w:t>a distribución del programa presupuesto</w:t>
      </w:r>
      <w:r w:rsidR="00DD7B82">
        <w:rPr>
          <w:rFonts w:ascii="Cambria" w:eastAsia="Calibri" w:hAnsi="Cambria"/>
          <w:sz w:val="16"/>
          <w:szCs w:val="16"/>
          <w:lang w:val="es-US"/>
        </w:rPr>
        <w:t xml:space="preserve"> fue</w:t>
      </w:r>
      <w:r w:rsidRPr="00041E84">
        <w:rPr>
          <w:rFonts w:ascii="Cambria" w:eastAsia="Calibri" w:hAnsi="Cambria"/>
          <w:sz w:val="16"/>
          <w:szCs w:val="16"/>
          <w:lang w:val="es-US"/>
        </w:rPr>
        <w:t xml:space="preserve"> aprobad</w:t>
      </w:r>
      <w:r w:rsidR="00801AE0">
        <w:rPr>
          <w:rFonts w:ascii="Cambria" w:eastAsia="Calibri" w:hAnsi="Cambria"/>
          <w:sz w:val="16"/>
          <w:szCs w:val="16"/>
          <w:lang w:val="es-US"/>
        </w:rPr>
        <w:t>a</w:t>
      </w:r>
      <w:r w:rsidRPr="00041E84">
        <w:rPr>
          <w:rFonts w:ascii="Cambria" w:eastAsia="Calibri" w:hAnsi="Cambria"/>
          <w:sz w:val="16"/>
          <w:szCs w:val="16"/>
          <w:lang w:val="es-US"/>
        </w:rPr>
        <w:t xml:space="preserve"> </w:t>
      </w:r>
      <w:r w:rsidRPr="00820EF5">
        <w:rPr>
          <w:rFonts w:ascii="Cambria" w:eastAsia="Calibri" w:hAnsi="Cambria"/>
          <w:sz w:val="16"/>
          <w:szCs w:val="16"/>
          <w:lang w:val="es-US"/>
        </w:rPr>
        <w:t xml:space="preserve">por la </w:t>
      </w:r>
      <w:r>
        <w:rPr>
          <w:rFonts w:ascii="Cambria" w:eastAsia="Calibri" w:hAnsi="Cambria"/>
          <w:sz w:val="16"/>
          <w:szCs w:val="16"/>
          <w:lang w:val="es-US"/>
        </w:rPr>
        <w:t>A</w:t>
      </w:r>
      <w:r w:rsidRPr="00820EF5">
        <w:rPr>
          <w:rFonts w:ascii="Cambria" w:eastAsia="Calibri" w:hAnsi="Cambria"/>
          <w:sz w:val="16"/>
          <w:szCs w:val="16"/>
          <w:lang w:val="es-US"/>
        </w:rPr>
        <w:t xml:space="preserve">samblea </w:t>
      </w:r>
      <w:r>
        <w:rPr>
          <w:rFonts w:ascii="Cambria" w:eastAsia="Calibri" w:hAnsi="Cambria"/>
          <w:sz w:val="16"/>
          <w:szCs w:val="16"/>
          <w:lang w:val="es-US"/>
        </w:rPr>
        <w:t>G</w:t>
      </w:r>
      <w:r w:rsidRPr="00820EF5">
        <w:rPr>
          <w:rFonts w:ascii="Cambria" w:eastAsia="Calibri" w:hAnsi="Cambria"/>
          <w:sz w:val="16"/>
          <w:szCs w:val="16"/>
          <w:lang w:val="es-US"/>
        </w:rPr>
        <w:t>eneral</w:t>
      </w:r>
      <w:r>
        <w:rPr>
          <w:rFonts w:ascii="Cambria" w:eastAsia="Calibri" w:hAnsi="Cambria"/>
          <w:sz w:val="16"/>
          <w:szCs w:val="16"/>
          <w:lang w:val="es-US"/>
        </w:rPr>
        <w:t xml:space="preserve"> en el </w:t>
      </w:r>
      <w:r w:rsidRPr="00820EF5">
        <w:rPr>
          <w:rFonts w:ascii="Cambria" w:eastAsia="Calibri" w:hAnsi="Cambria"/>
          <w:sz w:val="16"/>
          <w:szCs w:val="16"/>
          <w:lang w:val="es-US"/>
        </w:rPr>
        <w:t xml:space="preserve">50 periodo ordinario de sesiones </w:t>
      </w:r>
      <w:r>
        <w:rPr>
          <w:rFonts w:ascii="Cambria" w:eastAsia="Calibri" w:hAnsi="Cambria"/>
          <w:sz w:val="16"/>
          <w:szCs w:val="16"/>
          <w:lang w:val="es-US"/>
        </w:rPr>
        <w:t>en O</w:t>
      </w:r>
      <w:r w:rsidRPr="00820EF5">
        <w:rPr>
          <w:rFonts w:ascii="Cambria" w:eastAsia="Calibri" w:hAnsi="Cambria"/>
          <w:sz w:val="16"/>
          <w:szCs w:val="16"/>
          <w:lang w:val="es-US"/>
        </w:rPr>
        <w:t>ctubre</w:t>
      </w:r>
      <w:r>
        <w:rPr>
          <w:rFonts w:ascii="Cambria" w:eastAsia="Calibri" w:hAnsi="Cambria"/>
          <w:sz w:val="16"/>
          <w:szCs w:val="16"/>
          <w:lang w:val="es-US"/>
        </w:rPr>
        <w:t xml:space="preserve"> de</w:t>
      </w:r>
      <w:r w:rsidRPr="00820EF5">
        <w:rPr>
          <w:rFonts w:ascii="Cambria" w:eastAsia="Calibri" w:hAnsi="Cambria"/>
          <w:sz w:val="16"/>
          <w:szCs w:val="16"/>
          <w:lang w:val="es-US"/>
        </w:rPr>
        <w:t xml:space="preserve"> 2020</w:t>
      </w:r>
      <w:r>
        <w:rPr>
          <w:rFonts w:ascii="Cambria" w:eastAsia="Calibri" w:hAnsi="Cambria"/>
          <w:sz w:val="16"/>
          <w:szCs w:val="16"/>
          <w:lang w:val="es-US"/>
        </w:rPr>
        <w:t xml:space="preserve"> mediante la </w:t>
      </w:r>
      <w:r w:rsidRPr="00820EF5">
        <w:rPr>
          <w:rFonts w:ascii="Cambria" w:eastAsia="Calibri" w:hAnsi="Cambria"/>
          <w:sz w:val="16"/>
          <w:szCs w:val="16"/>
          <w:lang w:val="es-US"/>
        </w:rPr>
        <w:t>AG/RES.2957 (L-O/20)</w:t>
      </w:r>
      <w:r w:rsidRPr="00041E84">
        <w:rPr>
          <w:rFonts w:ascii="Cambria" w:eastAsia="Calibri" w:hAnsi="Cambria"/>
          <w:sz w:val="16"/>
          <w:szCs w:val="16"/>
          <w:lang w:val="es-US"/>
        </w:rPr>
        <w:t xml:space="preserve"> para el periodo del 1 de enero al 31 de diciembre de 202</w:t>
      </w:r>
      <w:r>
        <w:rPr>
          <w:rFonts w:ascii="Cambria" w:eastAsia="Calibri" w:hAnsi="Cambria"/>
          <w:sz w:val="16"/>
          <w:szCs w:val="16"/>
          <w:lang w:val="es-US"/>
        </w:rPr>
        <w:t>1</w:t>
      </w:r>
      <w:r w:rsidR="00801AE0">
        <w:rPr>
          <w:rFonts w:ascii="Cambria" w:eastAsia="Calibri" w:hAnsi="Cambria"/>
          <w:sz w:val="16"/>
          <w:szCs w:val="16"/>
          <w:lang w:val="es-US"/>
        </w:rPr>
        <w:t>. L</w:t>
      </w:r>
      <w:r w:rsidR="00DD7B82">
        <w:rPr>
          <w:rFonts w:ascii="Cambria" w:eastAsia="Calibri" w:hAnsi="Cambria"/>
          <w:sz w:val="16"/>
          <w:szCs w:val="16"/>
          <w:lang w:val="es-US"/>
        </w:rPr>
        <w:t xml:space="preserve">as </w:t>
      </w:r>
      <w:r w:rsidR="00DD7B82" w:rsidRPr="00041E84">
        <w:rPr>
          <w:rFonts w:ascii="Cambria" w:eastAsia="Calibri" w:hAnsi="Cambria"/>
          <w:sz w:val="16"/>
          <w:szCs w:val="16"/>
          <w:lang w:val="es-US"/>
        </w:rPr>
        <w:t xml:space="preserve"> cifras muestran </w:t>
      </w:r>
      <w:r w:rsidR="00DD7B82">
        <w:rPr>
          <w:rFonts w:ascii="Cambria" w:eastAsia="Calibri" w:hAnsi="Cambria"/>
          <w:sz w:val="16"/>
          <w:szCs w:val="16"/>
          <w:lang w:val="es-US"/>
        </w:rPr>
        <w:t>el presupuesto modificado</w:t>
      </w:r>
      <w:r w:rsidR="000C3236">
        <w:rPr>
          <w:rFonts w:ascii="Cambria" w:eastAsia="Calibri" w:hAnsi="Cambria"/>
          <w:sz w:val="16"/>
          <w:szCs w:val="16"/>
          <w:lang w:val="es-US"/>
        </w:rPr>
        <w:t xml:space="preserve"> al 31 de diciembre de 2021</w:t>
      </w:r>
      <w:r w:rsidRPr="00041E84">
        <w:rPr>
          <w:rFonts w:ascii="Cambria" w:eastAsia="Calibri" w:hAnsi="Cambria"/>
          <w:sz w:val="16"/>
          <w:szCs w:val="16"/>
          <w:lang w:val="es-US"/>
        </w:rPr>
        <w:t xml:space="preserve">. </w:t>
      </w:r>
    </w:p>
    <w:p w14:paraId="45E0D681" w14:textId="77777777" w:rsidR="000B2968" w:rsidRPr="00041E84" w:rsidRDefault="000B2968" w:rsidP="000B2968">
      <w:pPr>
        <w:pStyle w:val="FootnoteText"/>
        <w:spacing w:after="120"/>
        <w:ind w:firstLine="720"/>
        <w:jc w:val="both"/>
        <w:rPr>
          <w:rFonts w:ascii="Cambria" w:hAnsi="Cambria"/>
          <w:sz w:val="16"/>
          <w:szCs w:val="16"/>
          <w:lang w:val="es-US"/>
        </w:rPr>
      </w:pPr>
      <w:r w:rsidRPr="00041E84">
        <w:rPr>
          <w:rFonts w:ascii="Cambria" w:eastAsia="Calibri" w:hAnsi="Cambria"/>
          <w:sz w:val="16"/>
          <w:szCs w:val="16"/>
          <w:lang w:val="es-US"/>
        </w:rPr>
        <w:t>El valor señalado bajo Administración corresponde a la Secretaria de Administración y Finanzas (Capítulo 11).</w:t>
      </w:r>
    </w:p>
  </w:footnote>
  <w:footnote w:id="2">
    <w:p w14:paraId="5D91E2E3" w14:textId="6BF40E6C" w:rsidR="000B2968" w:rsidRPr="00DD1DDD" w:rsidRDefault="000B2968" w:rsidP="000B2968">
      <w:pPr>
        <w:pStyle w:val="FootnoteText"/>
        <w:spacing w:after="120"/>
        <w:ind w:firstLine="720"/>
        <w:jc w:val="both"/>
        <w:rPr>
          <w:rStyle w:val="FootnoteReference"/>
          <w:rFonts w:ascii="Cambria" w:hAnsi="Cambria"/>
          <w:sz w:val="16"/>
          <w:szCs w:val="16"/>
          <w:lang w:val="es-US"/>
        </w:rPr>
      </w:pPr>
      <w:r w:rsidRPr="00DD1DDD">
        <w:rPr>
          <w:rStyle w:val="FootnoteReference"/>
          <w:rFonts w:ascii="Cambria" w:hAnsi="Cambria"/>
          <w:sz w:val="16"/>
          <w:szCs w:val="16"/>
        </w:rPr>
        <w:footnoteRef/>
      </w:r>
      <w:r w:rsidRPr="00DD1DDD">
        <w:rPr>
          <w:rStyle w:val="FootnoteReference"/>
          <w:rFonts w:ascii="Cambria" w:hAnsi="Cambria"/>
          <w:sz w:val="16"/>
          <w:szCs w:val="16"/>
          <w:lang w:val="es-US"/>
        </w:rPr>
        <w:t xml:space="preserve"> </w:t>
      </w:r>
      <w:r w:rsidR="0063014B" w:rsidRPr="0063014B">
        <w:rPr>
          <w:rFonts w:ascii="Cambria" w:hAnsi="Cambria"/>
          <w:sz w:val="16"/>
          <w:szCs w:val="16"/>
          <w:lang w:val="es-US"/>
        </w:rPr>
        <w:t xml:space="preserve">La CIDH suscribió un acuerdo de asistencia con Estados Unidos por un valor de USD 14.2 millones para el periodo comprendido entre 2018 y 2022 y otro acuerdo por USD 4.9 millones para el periodo 2021 - 2023. Ambos acuerdos se implementan bajo la modalidad de envío de desembolsos contra la ejecución financiera del proyecto. La Relatoría Especial para la Libertad de Expresión tiene una asignación de USD 1.2M (costos directos) dentro del primer acuerdo y USD </w:t>
      </w:r>
      <w:r w:rsidR="0063014B">
        <w:rPr>
          <w:rFonts w:ascii="Cambria" w:hAnsi="Cambria"/>
          <w:sz w:val="16"/>
          <w:szCs w:val="16"/>
          <w:lang w:val="es-US"/>
        </w:rPr>
        <w:t>0.4M</w:t>
      </w:r>
      <w:r w:rsidR="0063014B" w:rsidRPr="0063014B">
        <w:rPr>
          <w:rFonts w:ascii="Cambria" w:hAnsi="Cambria"/>
          <w:sz w:val="16"/>
          <w:szCs w:val="16"/>
          <w:lang w:val="es-US"/>
        </w:rPr>
        <w:t xml:space="preserve"> (</w:t>
      </w:r>
      <w:r w:rsidR="0063014B">
        <w:rPr>
          <w:rFonts w:ascii="Cambria" w:hAnsi="Cambria"/>
          <w:sz w:val="16"/>
          <w:szCs w:val="16"/>
          <w:lang w:val="es-US"/>
        </w:rPr>
        <w:t>costos directos</w:t>
      </w:r>
      <w:r w:rsidR="0063014B" w:rsidRPr="0063014B">
        <w:rPr>
          <w:rFonts w:ascii="Cambria" w:hAnsi="Cambria"/>
          <w:sz w:val="16"/>
          <w:szCs w:val="16"/>
          <w:lang w:val="es-US"/>
        </w:rPr>
        <w:t>) dentro del segundo acuerdo .</w:t>
      </w:r>
    </w:p>
  </w:footnote>
  <w:footnote w:id="3">
    <w:p w14:paraId="40B9F801" w14:textId="423AF799" w:rsidR="000B2968" w:rsidRDefault="000B2968" w:rsidP="000B2968">
      <w:pPr>
        <w:pStyle w:val="FootnoteText"/>
        <w:rPr>
          <w:rFonts w:ascii="Cambria" w:hAnsi="Cambria"/>
          <w:sz w:val="16"/>
          <w:szCs w:val="16"/>
          <w:lang w:val="es-US"/>
        </w:rPr>
      </w:pPr>
      <w:r w:rsidRPr="00DD1DDD">
        <w:rPr>
          <w:rStyle w:val="FootnoteReference"/>
          <w:rFonts w:ascii="Cambria" w:hAnsi="Cambria"/>
          <w:sz w:val="16"/>
          <w:szCs w:val="16"/>
        </w:rPr>
        <w:footnoteRef/>
      </w:r>
      <w:r w:rsidRPr="00DD1DDD">
        <w:rPr>
          <w:rFonts w:ascii="Cambria" w:hAnsi="Cambria"/>
          <w:sz w:val="16"/>
          <w:szCs w:val="16"/>
          <w:lang w:val="es-US"/>
        </w:rPr>
        <w:t xml:space="preserve"> El Grupo Interdisciplinario de Expertos Independientes (GIEI) Bolivia recibió apoyo financiero por parte de Estados Unidos por un valor de USD 180,000 en el año 2021. Esta contribución también se implementa bajo la modalidad de envío de desembolsos contra la ejecución financiera del proyecto.</w:t>
      </w:r>
    </w:p>
    <w:p w14:paraId="6B39772E" w14:textId="77777777" w:rsidR="0063014B" w:rsidRPr="00DD1DDD" w:rsidRDefault="0063014B" w:rsidP="000B2968">
      <w:pPr>
        <w:pStyle w:val="FootnoteText"/>
        <w:rPr>
          <w:lang w:val="es-US"/>
        </w:rPr>
      </w:pPr>
    </w:p>
  </w:footnote>
  <w:footnote w:id="4">
    <w:p w14:paraId="396C1A87" w14:textId="2A8A43C0" w:rsidR="000B2968" w:rsidRPr="00041E84" w:rsidRDefault="000B2968" w:rsidP="000B2968">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Esta tabla es un resumen del Reporte “Estados de Variación en el Saldo de los Fondos” por actividad y donante, publicado por el Departamento de Servicios Financieros de la SG/OEA al </w:t>
      </w:r>
      <w:r>
        <w:rPr>
          <w:rFonts w:ascii="Cambria" w:hAnsi="Cambria"/>
          <w:sz w:val="16"/>
          <w:szCs w:val="16"/>
          <w:lang w:val="es-CO"/>
        </w:rPr>
        <w:t>3</w:t>
      </w:r>
      <w:r w:rsidR="000626D7">
        <w:rPr>
          <w:rFonts w:ascii="Cambria" w:hAnsi="Cambria"/>
          <w:sz w:val="16"/>
          <w:szCs w:val="16"/>
          <w:lang w:val="es-CO"/>
        </w:rPr>
        <w:t>1</w:t>
      </w:r>
      <w:r>
        <w:rPr>
          <w:rFonts w:ascii="Cambria" w:hAnsi="Cambria"/>
          <w:sz w:val="16"/>
          <w:szCs w:val="16"/>
          <w:lang w:val="es-CO"/>
        </w:rPr>
        <w:t xml:space="preserve"> de </w:t>
      </w:r>
      <w:r w:rsidR="000626D7">
        <w:rPr>
          <w:rFonts w:ascii="Cambria" w:hAnsi="Cambria"/>
          <w:sz w:val="16"/>
          <w:szCs w:val="16"/>
          <w:lang w:val="es-CO"/>
        </w:rPr>
        <w:t>diciembre</w:t>
      </w:r>
      <w:r>
        <w:rPr>
          <w:rFonts w:ascii="Cambria" w:hAnsi="Cambria"/>
          <w:sz w:val="16"/>
          <w:szCs w:val="16"/>
          <w:lang w:val="es-CO"/>
        </w:rPr>
        <w:t xml:space="preserve"> 2021</w:t>
      </w:r>
      <w:r w:rsidRPr="00041E84">
        <w:rPr>
          <w:rFonts w:ascii="Cambria" w:hAnsi="Cambria"/>
          <w:sz w:val="16"/>
          <w:szCs w:val="16"/>
          <w:lang w:val="es-CO"/>
        </w:rPr>
        <w:t>.</w:t>
      </w:r>
    </w:p>
  </w:footnote>
  <w:footnote w:id="5">
    <w:p w14:paraId="43A34D49" w14:textId="62185185" w:rsidR="000E076C" w:rsidRPr="00041E84" w:rsidRDefault="000B2968" w:rsidP="001E439A">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Los saldos finales negativos se presentan dado que algunos convenios se implementan bajo la modalidad de envío de desembolsos contra la ejecución financiera del proyecto</w:t>
      </w:r>
      <w:r>
        <w:rPr>
          <w:rFonts w:ascii="Cambria" w:hAnsi="Cambria"/>
          <w:sz w:val="16"/>
          <w:szCs w:val="16"/>
          <w:lang w:val="es-CO"/>
        </w:rPr>
        <w:t>.</w:t>
      </w:r>
      <w:r w:rsidR="000E076C">
        <w:rPr>
          <w:rFonts w:ascii="Cambria" w:hAnsi="Cambria"/>
          <w:sz w:val="16"/>
          <w:szCs w:val="16"/>
          <w:lang w:val="es-CO"/>
        </w:rPr>
        <w:t xml:space="preserve">  </w:t>
      </w:r>
    </w:p>
  </w:footnote>
  <w:footnote w:id="6">
    <w:p w14:paraId="3C92C685" w14:textId="15E7363C" w:rsidR="0063014B" w:rsidRPr="001E439A" w:rsidRDefault="0063014B" w:rsidP="001E439A">
      <w:pPr>
        <w:pStyle w:val="FootnoteText"/>
        <w:spacing w:after="120"/>
        <w:ind w:firstLine="720"/>
        <w:jc w:val="both"/>
        <w:rPr>
          <w:rFonts w:ascii="Cambria" w:hAnsi="Cambria"/>
          <w:sz w:val="16"/>
          <w:szCs w:val="16"/>
          <w:lang w:val="es-CO"/>
        </w:rPr>
      </w:pPr>
      <w:r>
        <w:rPr>
          <w:rStyle w:val="FootnoteReference"/>
        </w:rPr>
        <w:footnoteRef/>
      </w:r>
      <w:r w:rsidRPr="00BA31BE">
        <w:rPr>
          <w:lang w:val="es-US"/>
        </w:rPr>
        <w:t xml:space="preserve"> </w:t>
      </w:r>
      <w:r w:rsidRPr="000E076C">
        <w:rPr>
          <w:rFonts w:ascii="Cambria" w:hAnsi="Cambria"/>
          <w:sz w:val="16"/>
          <w:szCs w:val="16"/>
          <w:lang w:val="es-CO"/>
        </w:rPr>
        <w:t xml:space="preserve">Esta tabla </w:t>
      </w:r>
      <w:r>
        <w:rPr>
          <w:rFonts w:ascii="Cambria" w:hAnsi="Cambria"/>
          <w:sz w:val="16"/>
          <w:szCs w:val="16"/>
          <w:lang w:val="es-CO"/>
        </w:rPr>
        <w:t xml:space="preserve">incluye </w:t>
      </w:r>
      <w:r w:rsidRPr="000E076C">
        <w:rPr>
          <w:rFonts w:ascii="Cambria" w:hAnsi="Cambria"/>
          <w:sz w:val="16"/>
          <w:szCs w:val="16"/>
          <w:lang w:val="es-CO"/>
        </w:rPr>
        <w:t>el Fondo Oliver Jackman</w:t>
      </w:r>
      <w:r>
        <w:rPr>
          <w:rFonts w:ascii="Cambria" w:hAnsi="Cambria"/>
          <w:sz w:val="16"/>
          <w:szCs w:val="16"/>
          <w:lang w:val="es-CO"/>
        </w:rPr>
        <w:t xml:space="preserve"> de la CIDH</w:t>
      </w:r>
      <w:r w:rsidRPr="000E076C">
        <w:rPr>
          <w:rFonts w:ascii="Cambria" w:hAnsi="Cambria"/>
          <w:sz w:val="16"/>
          <w:szCs w:val="16"/>
          <w:lang w:val="es-CO"/>
        </w:rPr>
        <w:t>.</w:t>
      </w:r>
      <w:r>
        <w:rPr>
          <w:rFonts w:ascii="Cambria" w:hAnsi="Cambria"/>
          <w:sz w:val="16"/>
          <w:szCs w:val="16"/>
          <w:lang w:val="es-CO"/>
        </w:rPr>
        <w:t xml:space="preserve"> </w:t>
      </w:r>
    </w:p>
  </w:footnote>
  <w:footnote w:id="7">
    <w:p w14:paraId="203A3AE9" w14:textId="73811F0E" w:rsidR="0063014B" w:rsidRDefault="0063014B" w:rsidP="0063014B">
      <w:pPr>
        <w:pStyle w:val="FootnoteText"/>
        <w:spacing w:after="120"/>
        <w:ind w:firstLine="720"/>
        <w:jc w:val="both"/>
        <w:rPr>
          <w:rFonts w:ascii="Cambria" w:hAnsi="Cambria"/>
          <w:sz w:val="16"/>
          <w:szCs w:val="16"/>
          <w:lang w:val="es-CO"/>
        </w:rPr>
      </w:pPr>
      <w:r>
        <w:rPr>
          <w:rStyle w:val="FootnoteReference"/>
        </w:rPr>
        <w:footnoteRef/>
      </w:r>
      <w:r w:rsidRPr="00BA31BE">
        <w:rPr>
          <w:lang w:val="es-US"/>
        </w:rPr>
        <w:t xml:space="preserve"> </w:t>
      </w:r>
      <w:r w:rsidRPr="000E076C">
        <w:rPr>
          <w:rFonts w:ascii="Cambria" w:hAnsi="Cambria"/>
          <w:sz w:val="16"/>
          <w:szCs w:val="16"/>
          <w:lang w:val="es-CO"/>
        </w:rPr>
        <w:t xml:space="preserve">La diferencia de $-194.13 entre </w:t>
      </w:r>
      <w:r>
        <w:rPr>
          <w:rFonts w:ascii="Cambria" w:hAnsi="Cambria"/>
          <w:sz w:val="16"/>
          <w:szCs w:val="16"/>
          <w:lang w:val="es-CO"/>
        </w:rPr>
        <w:t>el</w:t>
      </w:r>
      <w:r w:rsidRPr="000E076C">
        <w:rPr>
          <w:rFonts w:ascii="Cambria" w:hAnsi="Cambria"/>
          <w:sz w:val="16"/>
          <w:szCs w:val="16"/>
          <w:lang w:val="es-CO"/>
        </w:rPr>
        <w:t xml:space="preserve"> “</w:t>
      </w:r>
      <w:r w:rsidR="001E439A" w:rsidRPr="001E439A">
        <w:rPr>
          <w:rFonts w:ascii="Cambria" w:hAnsi="Cambria"/>
          <w:sz w:val="16"/>
          <w:szCs w:val="16"/>
          <w:lang w:val="es-CO"/>
        </w:rPr>
        <w:t>Informe de Variaciones en el Saldo de Fondo de Fondos Específicos por proyectos</w:t>
      </w:r>
      <w:r w:rsidRPr="000E076C">
        <w:rPr>
          <w:rFonts w:ascii="Cambria" w:hAnsi="Cambria"/>
          <w:sz w:val="16"/>
          <w:szCs w:val="16"/>
          <w:lang w:val="es-CO"/>
        </w:rPr>
        <w:t xml:space="preserve">” y la Tabla 1 de </w:t>
      </w:r>
      <w:r w:rsidRPr="0063014B">
        <w:rPr>
          <w:rFonts w:ascii="Cambria" w:hAnsi="Cambria"/>
          <w:sz w:val="16"/>
          <w:szCs w:val="16"/>
          <w:lang w:val="es-CO"/>
        </w:rPr>
        <w:t xml:space="preserve">Contribuciones de Fondos Recibidos por la </w:t>
      </w:r>
      <w:r w:rsidR="004A3E41">
        <w:rPr>
          <w:rFonts w:ascii="Cambria" w:hAnsi="Cambria"/>
          <w:sz w:val="16"/>
          <w:szCs w:val="16"/>
          <w:lang w:val="es-CO"/>
        </w:rPr>
        <w:t>SE/</w:t>
      </w:r>
      <w:r w:rsidRPr="0063014B">
        <w:rPr>
          <w:rFonts w:ascii="Cambria" w:hAnsi="Cambria"/>
          <w:sz w:val="16"/>
          <w:szCs w:val="16"/>
          <w:lang w:val="es-CO"/>
        </w:rPr>
        <w:t xml:space="preserve">CIDH </w:t>
      </w:r>
      <w:r w:rsidRPr="000E076C">
        <w:rPr>
          <w:rFonts w:ascii="Cambria" w:hAnsi="Cambria"/>
          <w:sz w:val="16"/>
          <w:szCs w:val="16"/>
          <w:lang w:val="es-CO"/>
        </w:rPr>
        <w:t xml:space="preserve">se </w:t>
      </w:r>
      <w:r>
        <w:rPr>
          <w:rFonts w:ascii="Cambria" w:hAnsi="Cambria"/>
          <w:sz w:val="16"/>
          <w:szCs w:val="16"/>
          <w:lang w:val="es-CO"/>
        </w:rPr>
        <w:t xml:space="preserve">presenta dado que dicho monto fue </w:t>
      </w:r>
      <w:r w:rsidRPr="000E076C">
        <w:rPr>
          <w:rFonts w:ascii="Cambria" w:hAnsi="Cambria"/>
          <w:sz w:val="16"/>
          <w:szCs w:val="16"/>
          <w:lang w:val="es-CO"/>
        </w:rPr>
        <w:t>retornado a la cuenta sin programar de</w:t>
      </w:r>
      <w:r>
        <w:rPr>
          <w:rFonts w:ascii="Cambria" w:hAnsi="Cambria"/>
          <w:sz w:val="16"/>
          <w:szCs w:val="16"/>
          <w:lang w:val="es-CO"/>
        </w:rPr>
        <w:t>l</w:t>
      </w:r>
      <w:r w:rsidRPr="000E076C">
        <w:rPr>
          <w:rFonts w:ascii="Cambria" w:hAnsi="Cambria"/>
          <w:sz w:val="16"/>
          <w:szCs w:val="16"/>
          <w:lang w:val="es-CO"/>
        </w:rPr>
        <w:t xml:space="preserve"> donante</w:t>
      </w:r>
      <w:r>
        <w:rPr>
          <w:rFonts w:ascii="Cambria" w:hAnsi="Cambria"/>
          <w:sz w:val="16"/>
          <w:szCs w:val="16"/>
          <w:lang w:val="es-CO"/>
        </w:rPr>
        <w:t>.</w:t>
      </w:r>
    </w:p>
    <w:p w14:paraId="029C095B" w14:textId="74F2B31D" w:rsidR="0063014B" w:rsidRPr="00BA31BE" w:rsidRDefault="0063014B">
      <w:pPr>
        <w:pStyle w:val="FootnoteText"/>
        <w:rPr>
          <w:lang w:val="es-US"/>
        </w:rPr>
      </w:pPr>
    </w:p>
  </w:footnote>
  <w:footnote w:id="8">
    <w:p w14:paraId="26E4C450" w14:textId="2C5BF2CD" w:rsidR="000B2968" w:rsidRPr="00041E84" w:rsidRDefault="000B2968" w:rsidP="000B2968">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La distribución incluye sólo gastos al 31 de diciembre de 202</w:t>
      </w:r>
      <w:r w:rsidR="00FC5490">
        <w:rPr>
          <w:rFonts w:ascii="Cambria" w:hAnsi="Cambria"/>
          <w:sz w:val="16"/>
          <w:szCs w:val="16"/>
          <w:lang w:val="es-CO"/>
        </w:rPr>
        <w:t>1</w:t>
      </w:r>
      <w:r w:rsidRPr="00041E84">
        <w:rPr>
          <w:rFonts w:ascii="Cambria" w:hAnsi="Cambria"/>
          <w:sz w:val="16"/>
          <w:szCs w:val="16"/>
          <w:lang w:val="es-CO"/>
        </w:rPr>
        <w:t>, los cuales fueron financiados con contribuciones recibidas durante el 202</w:t>
      </w:r>
      <w:r w:rsidR="00FC5490">
        <w:rPr>
          <w:rFonts w:ascii="Cambria" w:hAnsi="Cambria"/>
          <w:sz w:val="16"/>
          <w:szCs w:val="16"/>
          <w:lang w:val="es-CO"/>
        </w:rPr>
        <w:t>1</w:t>
      </w:r>
      <w:r w:rsidRPr="00041E84">
        <w:rPr>
          <w:rFonts w:ascii="Cambria" w:hAnsi="Cambria"/>
          <w:sz w:val="16"/>
          <w:szCs w:val="16"/>
          <w:lang w:val="es-CO"/>
        </w:rPr>
        <w:t xml:space="preserve"> y años anteriores (en el caso de fondos específicos).</w:t>
      </w:r>
    </w:p>
  </w:footnote>
  <w:footnote w:id="9">
    <w:p w14:paraId="314C0AE8" w14:textId="77777777" w:rsidR="000B2968" w:rsidRPr="00041E84" w:rsidRDefault="000B2968" w:rsidP="000B2968">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En salarios se incluyen costos de Personal/Staff.</w:t>
      </w:r>
    </w:p>
  </w:footnote>
  <w:footnote w:id="10">
    <w:p w14:paraId="4D4B2898" w14:textId="77777777" w:rsidR="000B2968" w:rsidRPr="00041E84" w:rsidRDefault="000B2968" w:rsidP="000B2968">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En Contratos por resultado se incluyen servicios de conferencias, honorarios, servicios especiales de los comisionados/as, interpretación, traducción, apoyo administrativo y profesional y consultores/as.</w:t>
      </w:r>
    </w:p>
  </w:footnote>
  <w:footnote w:id="11">
    <w:p w14:paraId="57611F8A" w14:textId="77777777" w:rsidR="000B2968" w:rsidRPr="00041E84" w:rsidRDefault="000B2968" w:rsidP="000B2968">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Otros costos incluyen renta de oficinas y equipos, pago de courier, otros servicios de conferencias, red de área local (LAN), teléfono, transporte y gastos de oficina.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6741B"/>
    <w:multiLevelType w:val="hybridMultilevel"/>
    <w:tmpl w:val="E3E8DB38"/>
    <w:lvl w:ilvl="0" w:tplc="C4BAC3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1EF42EA2"/>
    <w:multiLevelType w:val="hybridMultilevel"/>
    <w:tmpl w:val="36FE3668"/>
    <w:lvl w:ilvl="0" w:tplc="86D2BD20">
      <w:start w:val="1"/>
      <w:numFmt w:val="upperLetter"/>
      <w:pStyle w:val="Heading1"/>
      <w:lvlText w:val="%1."/>
      <w:lvlJc w:val="left"/>
      <w:pPr>
        <w:ind w:left="1211" w:hanging="360"/>
      </w:pPr>
      <w:rPr>
        <w:rFonts w:ascii="Cambria" w:eastAsia="Cambria" w:hAnsi="Cambria" w:cs="Cambria" w:hint="default"/>
        <w:b/>
        <w:bCs/>
        <w:color w:val="auto"/>
        <w:spacing w:val="-1"/>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A7800"/>
    <w:multiLevelType w:val="hybridMultilevel"/>
    <w:tmpl w:val="9A0C3F96"/>
    <w:lvl w:ilvl="0" w:tplc="449CA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32BD2C86"/>
    <w:multiLevelType w:val="hybridMultilevel"/>
    <w:tmpl w:val="4992B38E"/>
    <w:lvl w:ilvl="0" w:tplc="DF02F112">
      <w:start w:val="1"/>
      <w:numFmt w:val="decimal"/>
      <w:pStyle w:val="Heading2"/>
      <w:lvlText w:val="%1."/>
      <w:lvlJc w:val="left"/>
      <w:pPr>
        <w:ind w:left="1440" w:hanging="360"/>
      </w:pPr>
      <w:rPr>
        <w:rFonts w:hint="default"/>
        <w:b/>
        <w:bCs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15:restartNumberingAfterBreak="0">
    <w:nsid w:val="41785A01"/>
    <w:multiLevelType w:val="hybridMultilevel"/>
    <w:tmpl w:val="21EA6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A58A3"/>
    <w:multiLevelType w:val="hybridMultilevel"/>
    <w:tmpl w:val="C376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E7674D"/>
    <w:multiLevelType w:val="hybridMultilevel"/>
    <w:tmpl w:val="C376400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F7924"/>
    <w:multiLevelType w:val="hybridMultilevel"/>
    <w:tmpl w:val="540473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672364A2"/>
    <w:multiLevelType w:val="hybridMultilevel"/>
    <w:tmpl w:val="C50AAB46"/>
    <w:lvl w:ilvl="0" w:tplc="04090001">
      <w:start w:val="1"/>
      <w:numFmt w:val="bullet"/>
      <w:lvlText w:val=""/>
      <w:lvlJc w:val="left"/>
      <w:pPr>
        <w:ind w:left="720" w:hanging="360"/>
      </w:pPr>
      <w:rPr>
        <w:rFonts w:ascii="Symbol" w:hAnsi="Symbol" w:hint="default"/>
        <w:b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14300F"/>
    <w:multiLevelType w:val="hybridMultilevel"/>
    <w:tmpl w:val="D2F80A92"/>
    <w:lvl w:ilvl="0" w:tplc="EEAA7E82">
      <w:start w:val="1"/>
      <w:numFmt w:val="decimal"/>
      <w:pStyle w:val="paragraphs"/>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17" w15:restartNumberingAfterBreak="0">
    <w:nsid w:val="7F635860"/>
    <w:multiLevelType w:val="hybridMultilevel"/>
    <w:tmpl w:val="23E438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1088945">
    <w:abstractNumId w:val="8"/>
  </w:num>
  <w:num w:numId="2" w16cid:durableId="711272938">
    <w:abstractNumId w:val="16"/>
  </w:num>
  <w:num w:numId="3" w16cid:durableId="962803648">
    <w:abstractNumId w:val="11"/>
  </w:num>
  <w:num w:numId="4" w16cid:durableId="732234510">
    <w:abstractNumId w:val="3"/>
  </w:num>
  <w:num w:numId="5" w16cid:durableId="1995257646">
    <w:abstractNumId w:val="2"/>
  </w:num>
  <w:num w:numId="6" w16cid:durableId="955067576">
    <w:abstractNumId w:val="6"/>
  </w:num>
  <w:num w:numId="7" w16cid:durableId="1704398524">
    <w:abstractNumId w:val="0"/>
  </w:num>
  <w:num w:numId="8" w16cid:durableId="1727147116">
    <w:abstractNumId w:val="4"/>
  </w:num>
  <w:num w:numId="9" w16cid:durableId="744037612">
    <w:abstractNumId w:val="15"/>
  </w:num>
  <w:num w:numId="10" w16cid:durableId="697048569">
    <w:abstractNumId w:val="10"/>
  </w:num>
  <w:num w:numId="11" w16cid:durableId="1633095511">
    <w:abstractNumId w:val="17"/>
  </w:num>
  <w:num w:numId="12" w16cid:durableId="99185253">
    <w:abstractNumId w:val="12"/>
  </w:num>
  <w:num w:numId="13" w16cid:durableId="1507094327">
    <w:abstractNumId w:val="1"/>
  </w:num>
  <w:num w:numId="14" w16cid:durableId="602497656">
    <w:abstractNumId w:val="5"/>
  </w:num>
  <w:num w:numId="15" w16cid:durableId="1612277233">
    <w:abstractNumId w:val="9"/>
  </w:num>
  <w:num w:numId="16" w16cid:durableId="161942645">
    <w:abstractNumId w:val="13"/>
  </w:num>
  <w:num w:numId="17" w16cid:durableId="1777168161">
    <w:abstractNumId w:val="15"/>
  </w:num>
  <w:num w:numId="18" w16cid:durableId="1051539640">
    <w:abstractNumId w:val="15"/>
  </w:num>
  <w:num w:numId="19" w16cid:durableId="1420440409">
    <w:abstractNumId w:val="15"/>
  </w:num>
  <w:num w:numId="20" w16cid:durableId="614942279">
    <w:abstractNumId w:val="15"/>
  </w:num>
  <w:num w:numId="21" w16cid:durableId="976373674">
    <w:abstractNumId w:val="7"/>
  </w:num>
  <w:num w:numId="22" w16cid:durableId="1605767112">
    <w:abstractNumId w:val="7"/>
    <w:lvlOverride w:ilvl="0">
      <w:startOverride w:val="1"/>
    </w:lvlOverride>
  </w:num>
  <w:num w:numId="23" w16cid:durableId="1237324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1276"/>
    <w:rsid w:val="000211AD"/>
    <w:rsid w:val="000224BD"/>
    <w:rsid w:val="00034C43"/>
    <w:rsid w:val="00035D30"/>
    <w:rsid w:val="00045E5E"/>
    <w:rsid w:val="00047560"/>
    <w:rsid w:val="000510C2"/>
    <w:rsid w:val="000626D7"/>
    <w:rsid w:val="000901F0"/>
    <w:rsid w:val="000B2205"/>
    <w:rsid w:val="000B2968"/>
    <w:rsid w:val="000B5E1D"/>
    <w:rsid w:val="000C3236"/>
    <w:rsid w:val="000D1641"/>
    <w:rsid w:val="000D31EF"/>
    <w:rsid w:val="000E076C"/>
    <w:rsid w:val="00102684"/>
    <w:rsid w:val="00105B23"/>
    <w:rsid w:val="0011416D"/>
    <w:rsid w:val="0012500A"/>
    <w:rsid w:val="00181DA0"/>
    <w:rsid w:val="00183B26"/>
    <w:rsid w:val="001E439A"/>
    <w:rsid w:val="00201917"/>
    <w:rsid w:val="002248FB"/>
    <w:rsid w:val="00234E64"/>
    <w:rsid w:val="002611EE"/>
    <w:rsid w:val="002865BF"/>
    <w:rsid w:val="002A128B"/>
    <w:rsid w:val="002B4612"/>
    <w:rsid w:val="002D1C8D"/>
    <w:rsid w:val="002E3224"/>
    <w:rsid w:val="002F2D3A"/>
    <w:rsid w:val="002F3DCA"/>
    <w:rsid w:val="002F7D7D"/>
    <w:rsid w:val="00304E0E"/>
    <w:rsid w:val="00322720"/>
    <w:rsid w:val="00331B95"/>
    <w:rsid w:val="00367F16"/>
    <w:rsid w:val="00381B26"/>
    <w:rsid w:val="0038231C"/>
    <w:rsid w:val="003B1C51"/>
    <w:rsid w:val="003C0A6A"/>
    <w:rsid w:val="003C7550"/>
    <w:rsid w:val="003E2DD7"/>
    <w:rsid w:val="003F6C28"/>
    <w:rsid w:val="003F70DC"/>
    <w:rsid w:val="00410BE4"/>
    <w:rsid w:val="00435624"/>
    <w:rsid w:val="00453115"/>
    <w:rsid w:val="00456154"/>
    <w:rsid w:val="00457CDD"/>
    <w:rsid w:val="004758C9"/>
    <w:rsid w:val="0048723C"/>
    <w:rsid w:val="00494F79"/>
    <w:rsid w:val="004A3E41"/>
    <w:rsid w:val="004E6485"/>
    <w:rsid w:val="004E691E"/>
    <w:rsid w:val="004F5667"/>
    <w:rsid w:val="00500FDE"/>
    <w:rsid w:val="00522A47"/>
    <w:rsid w:val="00566CD0"/>
    <w:rsid w:val="00572E2B"/>
    <w:rsid w:val="005A6919"/>
    <w:rsid w:val="005C38AC"/>
    <w:rsid w:val="0063014B"/>
    <w:rsid w:val="00637ED3"/>
    <w:rsid w:val="006471CD"/>
    <w:rsid w:val="00651652"/>
    <w:rsid w:val="006638E5"/>
    <w:rsid w:val="00672733"/>
    <w:rsid w:val="006766B1"/>
    <w:rsid w:val="006B1F24"/>
    <w:rsid w:val="006C18CB"/>
    <w:rsid w:val="006D09DD"/>
    <w:rsid w:val="007127D5"/>
    <w:rsid w:val="00716EA7"/>
    <w:rsid w:val="00730B14"/>
    <w:rsid w:val="00737C8A"/>
    <w:rsid w:val="00772C3A"/>
    <w:rsid w:val="0079085F"/>
    <w:rsid w:val="007B7D30"/>
    <w:rsid w:val="007C4DCE"/>
    <w:rsid w:val="007F644E"/>
    <w:rsid w:val="00801AE0"/>
    <w:rsid w:val="00807200"/>
    <w:rsid w:val="008179FE"/>
    <w:rsid w:val="008463D3"/>
    <w:rsid w:val="00847A4D"/>
    <w:rsid w:val="008818B0"/>
    <w:rsid w:val="008861D6"/>
    <w:rsid w:val="008C59AE"/>
    <w:rsid w:val="008D4569"/>
    <w:rsid w:val="008F3266"/>
    <w:rsid w:val="00932B39"/>
    <w:rsid w:val="00966382"/>
    <w:rsid w:val="00A57582"/>
    <w:rsid w:val="00A610DA"/>
    <w:rsid w:val="00A84530"/>
    <w:rsid w:val="00A9573C"/>
    <w:rsid w:val="00B279C9"/>
    <w:rsid w:val="00B336D7"/>
    <w:rsid w:val="00B823E8"/>
    <w:rsid w:val="00BA31BE"/>
    <w:rsid w:val="00BD17B0"/>
    <w:rsid w:val="00BD45C9"/>
    <w:rsid w:val="00BF7A78"/>
    <w:rsid w:val="00C0424C"/>
    <w:rsid w:val="00C2217B"/>
    <w:rsid w:val="00C43721"/>
    <w:rsid w:val="00C81467"/>
    <w:rsid w:val="00CF7385"/>
    <w:rsid w:val="00D06795"/>
    <w:rsid w:val="00D219DA"/>
    <w:rsid w:val="00D56DC4"/>
    <w:rsid w:val="00D836A6"/>
    <w:rsid w:val="00DB1E3D"/>
    <w:rsid w:val="00DD7B82"/>
    <w:rsid w:val="00E042FE"/>
    <w:rsid w:val="00E1198F"/>
    <w:rsid w:val="00E51654"/>
    <w:rsid w:val="00E516AB"/>
    <w:rsid w:val="00E623B3"/>
    <w:rsid w:val="00E62B9B"/>
    <w:rsid w:val="00E8625C"/>
    <w:rsid w:val="00E86C1B"/>
    <w:rsid w:val="00E90CB3"/>
    <w:rsid w:val="00EA0262"/>
    <w:rsid w:val="00EA127A"/>
    <w:rsid w:val="00EC61E3"/>
    <w:rsid w:val="00ED0AAA"/>
    <w:rsid w:val="00ED1EBA"/>
    <w:rsid w:val="00EE5173"/>
    <w:rsid w:val="00F03775"/>
    <w:rsid w:val="00F11C16"/>
    <w:rsid w:val="00F17006"/>
    <w:rsid w:val="00F41E7E"/>
    <w:rsid w:val="00F5200C"/>
    <w:rsid w:val="00F60106"/>
    <w:rsid w:val="00F66849"/>
    <w:rsid w:val="00F835E0"/>
    <w:rsid w:val="00F90C35"/>
    <w:rsid w:val="00F92100"/>
    <w:rsid w:val="00F93D87"/>
    <w:rsid w:val="00F9479E"/>
    <w:rsid w:val="00FA7D67"/>
    <w:rsid w:val="00FC5490"/>
    <w:rsid w:val="00F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966382"/>
    <w:pPr>
      <w:numPr>
        <w:numId w:val="8"/>
      </w:numPr>
      <w:spacing w:before="240" w:after="240"/>
      <w:ind w:left="1440" w:hanging="720"/>
      <w:contextualSpacing w:val="0"/>
      <w:outlineLvl w:val="0"/>
    </w:pPr>
    <w:rPr>
      <w:rFonts w:ascii="Cambria" w:hAnsi="Cambria"/>
      <w:b/>
      <w:sz w:val="22"/>
      <w:szCs w:val="22"/>
      <w:lang w:val="es-ES_tradnl"/>
    </w:rPr>
  </w:style>
  <w:style w:type="paragraph" w:styleId="Heading2">
    <w:name w:val="heading 2"/>
    <w:basedOn w:val="paragraphs"/>
    <w:next w:val="Normal"/>
    <w:link w:val="Heading2Char"/>
    <w:uiPriority w:val="9"/>
    <w:unhideWhenUsed/>
    <w:qFormat/>
    <w:rsid w:val="00F5200C"/>
    <w:pPr>
      <w:numPr>
        <w:numId w:val="21"/>
      </w:numPr>
      <w:ind w:hanging="72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966382"/>
    <w:rPr>
      <w:rFonts w:ascii="Cambria" w:hAnsi="Cambria"/>
      <w:b/>
      <w:sz w:val="22"/>
      <w:szCs w:val="22"/>
      <w:lang w:val="es-ES_tradnl"/>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516AB"/>
    <w:rPr>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C81467"/>
  </w:style>
  <w:style w:type="paragraph" w:customStyle="1" w:styleId="paragraphs">
    <w:name w:val="paragraphs"/>
    <w:basedOn w:val="Normal"/>
    <w:link w:val="paragraphsChar"/>
    <w:qFormat/>
    <w:rsid w:val="00966382"/>
    <w:pPr>
      <w:numPr>
        <w:numId w:val="9"/>
      </w:numPr>
      <w:spacing w:after="240"/>
      <w:ind w:left="0" w:firstLine="720"/>
      <w:jc w:val="both"/>
    </w:pPr>
    <w:rPr>
      <w:rFonts w:ascii="Cambria" w:eastAsia="Calibri" w:hAnsi="Cambria" w:cs="Times New Roman"/>
      <w:sz w:val="20"/>
      <w:szCs w:val="20"/>
      <w:lang w:val="es-ES_tradnl"/>
    </w:rPr>
  </w:style>
  <w:style w:type="character" w:customStyle="1" w:styleId="paragraphsChar">
    <w:name w:val="paragraphs Char"/>
    <w:link w:val="paragraphs"/>
    <w:rsid w:val="00966382"/>
    <w:rPr>
      <w:rFonts w:ascii="Cambria" w:eastAsia="Calibri" w:hAnsi="Cambria" w:cs="Times New Roman"/>
      <w:sz w:val="20"/>
      <w:szCs w:val="20"/>
      <w:lang w:val="es-ES_tradnl"/>
    </w:rPr>
  </w:style>
  <w:style w:type="character" w:styleId="CommentReference">
    <w:name w:val="annotation reference"/>
    <w:basedOn w:val="DefaultParagraphFont"/>
    <w:uiPriority w:val="99"/>
    <w:semiHidden/>
    <w:unhideWhenUsed/>
    <w:rsid w:val="00C81467"/>
    <w:rPr>
      <w:sz w:val="16"/>
      <w:szCs w:val="16"/>
    </w:rPr>
  </w:style>
  <w:style w:type="paragraph" w:styleId="CommentText">
    <w:name w:val="annotation text"/>
    <w:basedOn w:val="Normal"/>
    <w:link w:val="CommentTextChar"/>
    <w:uiPriority w:val="99"/>
    <w:unhideWhenUsed/>
    <w:rsid w:val="00C81467"/>
    <w:rPr>
      <w:sz w:val="20"/>
      <w:szCs w:val="20"/>
    </w:rPr>
  </w:style>
  <w:style w:type="character" w:customStyle="1" w:styleId="CommentTextChar">
    <w:name w:val="Comment Text Char"/>
    <w:basedOn w:val="DefaultParagraphFont"/>
    <w:link w:val="CommentText"/>
    <w:uiPriority w:val="99"/>
    <w:rsid w:val="00C81467"/>
    <w:rPr>
      <w:sz w:val="20"/>
      <w:szCs w:val="20"/>
    </w:rPr>
  </w:style>
  <w:style w:type="paragraph" w:styleId="CommentSubject">
    <w:name w:val="annotation subject"/>
    <w:basedOn w:val="CommentText"/>
    <w:next w:val="CommentText"/>
    <w:link w:val="CommentSubjectChar"/>
    <w:uiPriority w:val="99"/>
    <w:semiHidden/>
    <w:unhideWhenUsed/>
    <w:rsid w:val="00201917"/>
    <w:rPr>
      <w:b/>
      <w:bCs/>
    </w:rPr>
  </w:style>
  <w:style w:type="character" w:customStyle="1" w:styleId="CommentSubjectChar">
    <w:name w:val="Comment Subject Char"/>
    <w:basedOn w:val="CommentTextChar"/>
    <w:link w:val="CommentSubject"/>
    <w:uiPriority w:val="99"/>
    <w:semiHidden/>
    <w:rsid w:val="00201917"/>
    <w:rPr>
      <w:b/>
      <w:bCs/>
      <w:sz w:val="20"/>
      <w:szCs w:val="20"/>
    </w:rPr>
  </w:style>
  <w:style w:type="table" w:customStyle="1" w:styleId="GridTable4-Accent11">
    <w:name w:val="Grid Table 4 - Accent 11"/>
    <w:basedOn w:val="TableNormal"/>
    <w:uiPriority w:val="49"/>
    <w:rsid w:val="00201917"/>
    <w:rPr>
      <w:rFonts w:eastAsia="Helvetica"/>
      <w:sz w:val="21"/>
      <w:szCs w:val="21"/>
      <w:lang w:val="es-US" w:eastAsia="es-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enhum">
    <w:name w:val="Nenhum"/>
    <w:rsid w:val="00E1198F"/>
  </w:style>
  <w:style w:type="paragraph" w:customStyle="1" w:styleId="Default">
    <w:name w:val="Default"/>
    <w:rsid w:val="000B2968"/>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0B2968"/>
    <w:pPr>
      <w:spacing w:after="160" w:line="240" w:lineRule="exact"/>
    </w:pPr>
    <w:rPr>
      <w:vertAlign w:val="superscript"/>
    </w:rPr>
  </w:style>
  <w:style w:type="table" w:styleId="GridTable4-Accent5">
    <w:name w:val="Grid Table 4 Accent 5"/>
    <w:basedOn w:val="TableNormal"/>
    <w:uiPriority w:val="49"/>
    <w:rsid w:val="000B2968"/>
    <w:rPr>
      <w:rFonts w:ascii="Calibri" w:eastAsia="Calibri" w:hAnsi="Calibri"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xxmsolistparagraph">
    <w:name w:val="x_xmsolistparagraph"/>
    <w:basedOn w:val="Normal"/>
    <w:rsid w:val="000B2968"/>
    <w:pPr>
      <w:spacing w:before="100" w:beforeAutospacing="1" w:after="100" w:afterAutospacing="1"/>
    </w:pPr>
    <w:rPr>
      <w:rFonts w:ascii="Calibri" w:eastAsia="MS Mincho" w:hAnsi="Calibri" w:cs="Calibri"/>
      <w:sz w:val="22"/>
      <w:szCs w:val="22"/>
    </w:rPr>
  </w:style>
  <w:style w:type="paragraph" w:customStyle="1" w:styleId="CorpoA">
    <w:name w:val="Corpo A"/>
    <w:rsid w:val="00F93D87"/>
    <w:pPr>
      <w:spacing w:after="200" w:line="276" w:lineRule="auto"/>
    </w:pPr>
    <w:rPr>
      <w:rFonts w:ascii="Calibri" w:eastAsia="Calibri" w:hAnsi="Calibri" w:cs="Calibri"/>
      <w:color w:val="000000"/>
      <w:sz w:val="22"/>
      <w:szCs w:val="22"/>
      <w:u w:color="000000"/>
      <w:lang w:val="es-ES_tradnl" w:eastAsia="es-US"/>
    </w:rPr>
  </w:style>
  <w:style w:type="paragraph" w:styleId="Revision">
    <w:name w:val="Revision"/>
    <w:hidden/>
    <w:uiPriority w:val="99"/>
    <w:semiHidden/>
    <w:rsid w:val="003C0A6A"/>
  </w:style>
  <w:style w:type="table" w:styleId="GridTable4-Accent1">
    <w:name w:val="Grid Table 4 Accent 1"/>
    <w:basedOn w:val="TableNormal"/>
    <w:uiPriority w:val="49"/>
    <w:rsid w:val="00A5758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F5200C"/>
    <w:rPr>
      <w:rFonts w:ascii="Cambria" w:eastAsia="Calibri" w:hAnsi="Cambria" w:cs="Times New Roman"/>
      <w:b/>
      <w:bCs/>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1419">
      <w:bodyDiv w:val="1"/>
      <w:marLeft w:val="0"/>
      <w:marRight w:val="0"/>
      <w:marTop w:val="0"/>
      <w:marBottom w:val="0"/>
      <w:divBdr>
        <w:top w:val="none" w:sz="0" w:space="0" w:color="auto"/>
        <w:left w:val="none" w:sz="0" w:space="0" w:color="auto"/>
        <w:bottom w:val="none" w:sz="0" w:space="0" w:color="auto"/>
        <w:right w:val="none" w:sz="0" w:space="0" w:color="auto"/>
      </w:divBdr>
    </w:div>
    <w:div w:id="486093123">
      <w:bodyDiv w:val="1"/>
      <w:marLeft w:val="0"/>
      <w:marRight w:val="0"/>
      <w:marTop w:val="0"/>
      <w:marBottom w:val="0"/>
      <w:divBdr>
        <w:top w:val="none" w:sz="0" w:space="0" w:color="auto"/>
        <w:left w:val="none" w:sz="0" w:space="0" w:color="auto"/>
        <w:bottom w:val="none" w:sz="0" w:space="0" w:color="auto"/>
        <w:right w:val="none" w:sz="0" w:space="0" w:color="auto"/>
      </w:divBdr>
    </w:div>
    <w:div w:id="519856269">
      <w:bodyDiv w:val="1"/>
      <w:marLeft w:val="0"/>
      <w:marRight w:val="0"/>
      <w:marTop w:val="0"/>
      <w:marBottom w:val="0"/>
      <w:divBdr>
        <w:top w:val="none" w:sz="0" w:space="0" w:color="auto"/>
        <w:left w:val="none" w:sz="0" w:space="0" w:color="auto"/>
        <w:bottom w:val="none" w:sz="0" w:space="0" w:color="auto"/>
        <w:right w:val="none" w:sz="0" w:space="0" w:color="auto"/>
      </w:divBdr>
    </w:div>
    <w:div w:id="618341912">
      <w:bodyDiv w:val="1"/>
      <w:marLeft w:val="0"/>
      <w:marRight w:val="0"/>
      <w:marTop w:val="0"/>
      <w:marBottom w:val="0"/>
      <w:divBdr>
        <w:top w:val="none" w:sz="0" w:space="0" w:color="auto"/>
        <w:left w:val="none" w:sz="0" w:space="0" w:color="auto"/>
        <w:bottom w:val="none" w:sz="0" w:space="0" w:color="auto"/>
        <w:right w:val="none" w:sz="0" w:space="0" w:color="auto"/>
      </w:divBdr>
    </w:div>
    <w:div w:id="719061625">
      <w:bodyDiv w:val="1"/>
      <w:marLeft w:val="0"/>
      <w:marRight w:val="0"/>
      <w:marTop w:val="0"/>
      <w:marBottom w:val="0"/>
      <w:divBdr>
        <w:top w:val="none" w:sz="0" w:space="0" w:color="auto"/>
        <w:left w:val="none" w:sz="0" w:space="0" w:color="auto"/>
        <w:bottom w:val="none" w:sz="0" w:space="0" w:color="auto"/>
        <w:right w:val="none" w:sz="0" w:space="0" w:color="auto"/>
      </w:divBdr>
    </w:div>
    <w:div w:id="1296641135">
      <w:bodyDiv w:val="1"/>
      <w:marLeft w:val="0"/>
      <w:marRight w:val="0"/>
      <w:marTop w:val="0"/>
      <w:marBottom w:val="0"/>
      <w:divBdr>
        <w:top w:val="none" w:sz="0" w:space="0" w:color="auto"/>
        <w:left w:val="none" w:sz="0" w:space="0" w:color="auto"/>
        <w:bottom w:val="none" w:sz="0" w:space="0" w:color="auto"/>
        <w:right w:val="none" w:sz="0" w:space="0" w:color="auto"/>
      </w:divBdr>
    </w:div>
    <w:div w:id="1445419463">
      <w:bodyDiv w:val="1"/>
      <w:marLeft w:val="0"/>
      <w:marRight w:val="0"/>
      <w:marTop w:val="0"/>
      <w:marBottom w:val="0"/>
      <w:divBdr>
        <w:top w:val="none" w:sz="0" w:space="0" w:color="auto"/>
        <w:left w:val="none" w:sz="0" w:space="0" w:color="auto"/>
        <w:bottom w:val="none" w:sz="0" w:space="0" w:color="auto"/>
        <w:right w:val="none" w:sz="0" w:space="0" w:color="auto"/>
      </w:divBdr>
    </w:div>
    <w:div w:id="1653021637">
      <w:bodyDiv w:val="1"/>
      <w:marLeft w:val="0"/>
      <w:marRight w:val="0"/>
      <w:marTop w:val="0"/>
      <w:marBottom w:val="0"/>
      <w:divBdr>
        <w:top w:val="none" w:sz="0" w:space="0" w:color="auto"/>
        <w:left w:val="none" w:sz="0" w:space="0" w:color="auto"/>
        <w:bottom w:val="none" w:sz="0" w:space="0" w:color="auto"/>
        <w:right w:val="none" w:sz="0" w:space="0" w:color="auto"/>
      </w:divBdr>
    </w:div>
    <w:div w:id="20440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irivas\Documents\INFORMES\EJECUCION%20ANUAL\DIC%202021\020422-CIDH%20Report%20Ejecucion%20al%2031-DEC-2021.Updated%20DFS%20Comments.FINAL%20FO0218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irivas\Documents\INFORMES\EJECUCION%20ANUAL\DIC%202021\020422-CIDH%20Report%20Ejecucion%20al%2031-DEC-2021.Updated%20DFS%20Comments.FINAL%20FO02182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irivas\Documents\INFORMES\EJECUCION%20ANUAL\DIC%202021\020422-CIDH%20Report%20Ejecucion%20al%2031-DEC-2021.Updated%20DFS%20Comments.FINAL%20FO02182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irivas\Documents\INFORMES\EJECUCION%20ANUAL\DIC%202021\020422-CIDH%20Report%20Ejecucion%20al%2031-DEC-2021.Updated%20DFS%20Comments.FINAL%20FO0218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775309958536132E-2"/>
          <c:y val="0.17538838374801949"/>
          <c:w val="0.71456022383567119"/>
          <c:h val="0.60065829111767133"/>
        </c:manualLayout>
      </c:layout>
      <c:pie3DChart>
        <c:varyColors val="1"/>
        <c:ser>
          <c:idx val="0"/>
          <c:order val="0"/>
          <c:explosion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30-4DFB-9426-8272B6205D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30-4DFB-9426-8272B6205D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30-4DFB-9426-8272B6205DE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30-4DFB-9426-8272B6205DE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30-4DFB-9426-8272B6205DED}"/>
              </c:ext>
            </c:extLst>
          </c:dPt>
          <c:dLbls>
            <c:dLbl>
              <c:idx val="0"/>
              <c:layout>
                <c:manualLayout>
                  <c:x val="-6.5309111516679036E-2"/>
                  <c:y val="-1.565308635466760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6922341943478703"/>
                      <c:h val="9.9830959320747745E-2"/>
                    </c:manualLayout>
                  </c15:layout>
                </c:ext>
                <c:ext xmlns:c16="http://schemas.microsoft.com/office/drawing/2014/chart" uri="{C3380CC4-5D6E-409C-BE32-E72D297353CC}">
                  <c16:uniqueId val="{00000001-7E30-4DFB-9426-8272B6205DED}"/>
                </c:ext>
              </c:extLst>
            </c:dLbl>
            <c:dLbl>
              <c:idx val="1"/>
              <c:layout>
                <c:manualLayout>
                  <c:x val="-4.6299569149302083E-2"/>
                  <c:y val="-2.5682926192965205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E30-4DFB-9426-8272B6205DED}"/>
                </c:ext>
              </c:extLst>
            </c:dLbl>
            <c:dLbl>
              <c:idx val="2"/>
              <c:layout>
                <c:manualLayout>
                  <c:x val="-4.0275077453900944E-2"/>
                  <c:y val="-6.276361892902293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642066950712415"/>
                      <c:h val="8.6088552788662231E-2"/>
                    </c:manualLayout>
                  </c15:layout>
                </c:ext>
                <c:ext xmlns:c16="http://schemas.microsoft.com/office/drawing/2014/chart" uri="{C3380CC4-5D6E-409C-BE32-E72D297353CC}">
                  <c16:uniqueId val="{00000005-7E30-4DFB-9426-8272B6205DED}"/>
                </c:ext>
              </c:extLst>
            </c:dLbl>
            <c:dLbl>
              <c:idx val="3"/>
              <c:layout>
                <c:manualLayout>
                  <c:x val="-3.9841088339451131E-2"/>
                  <c:y val="1.8261898633521081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E30-4DFB-9426-8272B6205DED}"/>
                </c:ext>
              </c:extLst>
            </c:dLbl>
            <c:dLbl>
              <c:idx val="4"/>
              <c:layout>
                <c:manualLayout>
                  <c:x val="0.19511582216364842"/>
                  <c:y val="-6.532331750280175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E30-4DFB-9426-8272B6205D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'Figura 1. FR 2021 OEA-CIDH'!$A$14:$A$18</c:f>
              <c:strCache>
                <c:ptCount val="5"/>
                <c:pt idx="0">
                  <c:v>Administración (1)</c:v>
                </c:pt>
                <c:pt idx="1">
                  <c:v>CIDH</c:v>
                </c:pt>
                <c:pt idx="2">
                  <c:v>Corte IDH</c:v>
                </c:pt>
                <c:pt idx="3">
                  <c:v>Infraestructura Basica y Costos Comunes</c:v>
                </c:pt>
                <c:pt idx="4">
                  <c:v>Otros Programas</c:v>
                </c:pt>
              </c:strCache>
            </c:strRef>
          </c:cat>
          <c:val>
            <c:numRef>
              <c:f>'Figura 1. FR 2021 OEA-CIDH'!$B$14:$B$18</c:f>
              <c:numCache>
                <c:formatCode>_("$"* #,##0.0_);_("$"* \(#,##0.0\);_("$"* "-"??_);_(@_)</c:formatCode>
                <c:ptCount val="5"/>
                <c:pt idx="0">
                  <c:v>9689.9086299999963</c:v>
                </c:pt>
                <c:pt idx="1">
                  <c:v>10074.83771</c:v>
                </c:pt>
                <c:pt idx="2">
                  <c:v>5024</c:v>
                </c:pt>
                <c:pt idx="3">
                  <c:v>10557.80277</c:v>
                </c:pt>
                <c:pt idx="4">
                  <c:v>43653.450890000036</c:v>
                </c:pt>
              </c:numCache>
            </c:numRef>
          </c:val>
          <c:extLst>
            <c:ext xmlns:c16="http://schemas.microsoft.com/office/drawing/2014/chart" uri="{C3380CC4-5D6E-409C-BE32-E72D297353CC}">
              <c16:uniqueId val="{0000000A-7E30-4DFB-9426-8272B6205DE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explosion val="5"/>
            <c:extLst>
              <c:ext xmlns:c16="http://schemas.microsoft.com/office/drawing/2014/chart" uri="{C3380CC4-5D6E-409C-BE32-E72D297353CC}">
                <c16:uniqueId val="{00000001-7415-415E-AACF-4405707C9E62}"/>
              </c:ext>
            </c:extLst>
          </c:dPt>
          <c:dLbls>
            <c:dLbl>
              <c:idx val="0"/>
              <c:layout>
                <c:manualLayout>
                  <c:x val="5.0768805721147205E-2"/>
                  <c:y val="-0.4733145480560749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415-415E-AACF-4405707C9E62}"/>
                </c:ext>
              </c:extLst>
            </c:dLbl>
            <c:dLbl>
              <c:idx val="1"/>
              <c:layout>
                <c:manualLayout>
                  <c:x val="-4.936338423284134E-2"/>
                  <c:y val="3.87317304400495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415-415E-AACF-4405707C9E62}"/>
                </c:ext>
              </c:extLst>
            </c:dLbl>
            <c:spPr>
              <a:noFill/>
              <a:ln>
                <a:noFill/>
              </a:ln>
              <a:effectLst/>
            </c:spPr>
            <c:dLblPos val="bestFit"/>
            <c:showLegendKey val="0"/>
            <c:showVal val="1"/>
            <c:showCatName val="1"/>
            <c:showSerName val="0"/>
            <c:showPercent val="1"/>
            <c:showBubbleSize val="0"/>
            <c:showLeaderLines val="0"/>
            <c:extLst>
              <c:ext xmlns:c15="http://schemas.microsoft.com/office/drawing/2012/chart" uri="{CE6537A1-D6FC-4f65-9D91-7224C49458BB}"/>
            </c:extLst>
          </c:dLbls>
          <c:cat>
            <c:strRef>
              <c:f>'Figura 2-Fondos recibidos DEC21'!$A$4:$B$4</c:f>
              <c:strCache>
                <c:ptCount val="2"/>
                <c:pt idx="0">
                  <c:v>Fondo Regular </c:v>
                </c:pt>
                <c:pt idx="1">
                  <c:v>Fondos Específicos</c:v>
                </c:pt>
              </c:strCache>
            </c:strRef>
          </c:cat>
          <c:val>
            <c:numRef>
              <c:f>'Figura 2-Fondos recibidos DEC21'!$A$5:$B$5</c:f>
              <c:numCache>
                <c:formatCode>_("$"* #,##0.0_);_("$"* \(#,##0.0\);_("$"* "-"??_);_(@_)</c:formatCode>
                <c:ptCount val="2"/>
                <c:pt idx="0">
                  <c:v>10074.837710000002</c:v>
                </c:pt>
                <c:pt idx="1">
                  <c:v>7252.9115299999994</c:v>
                </c:pt>
              </c:numCache>
            </c:numRef>
          </c:val>
          <c:extLst>
            <c:ext xmlns:c16="http://schemas.microsoft.com/office/drawing/2014/chart" uri="{C3380CC4-5D6E-409C-BE32-E72D297353CC}">
              <c16:uniqueId val="{00000003-7415-415E-AACF-4405707C9E62}"/>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3"/>
          <c:dPt>
            <c:idx val="1"/>
            <c:bubble3D val="0"/>
            <c:explosion val="8"/>
            <c:extLst>
              <c:ext xmlns:c16="http://schemas.microsoft.com/office/drawing/2014/chart" uri="{C3380CC4-5D6E-409C-BE32-E72D297353CC}">
                <c16:uniqueId val="{00000001-A557-4192-8EF5-A83FDADCACE7}"/>
              </c:ext>
            </c:extLst>
          </c:dPt>
          <c:dLbls>
            <c:dLbl>
              <c:idx val="0"/>
              <c:layout>
                <c:manualLayout>
                  <c:x val="-3.6192260145749902E-2"/>
                  <c:y val="-0.361730756459584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A557-4192-8EF5-A83FDADCACE7}"/>
                </c:ext>
              </c:extLst>
            </c:dLbl>
            <c:dLbl>
              <c:idx val="1"/>
              <c:layout>
                <c:manualLayout>
                  <c:x val="8.3333333333333332E-3"/>
                  <c:y val="-0.393518518518518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A557-4192-8EF5-A83FDADCACE7}"/>
                </c:ext>
              </c:extLst>
            </c:dLbl>
            <c:spPr>
              <a:noFill/>
              <a:ln>
                <a:noFill/>
              </a:ln>
              <a:effectLst/>
            </c:spPr>
            <c:dLblPos val="outEnd"/>
            <c:showLegendKey val="1"/>
            <c:showVal val="1"/>
            <c:showCatName val="1"/>
            <c:showSerName val="0"/>
            <c:showPercent val="1"/>
            <c:showBubbleSize val="0"/>
            <c:separator>
</c:separator>
            <c:showLeaderLines val="0"/>
            <c:extLst>
              <c:ext xmlns:c15="http://schemas.microsoft.com/office/drawing/2012/chart" uri="{CE6537A1-D6FC-4f65-9D91-7224C49458BB}"/>
            </c:extLst>
          </c:dLbls>
          <c:cat>
            <c:strRef>
              <c:f>'Figura 3-Gastos x S. Finance'!$A$14:$B$14</c:f>
              <c:strCache>
                <c:ptCount val="2"/>
                <c:pt idx="0">
                  <c:v>Fondo Regular</c:v>
                </c:pt>
                <c:pt idx="1">
                  <c:v>Fondo Específico</c:v>
                </c:pt>
              </c:strCache>
            </c:strRef>
          </c:cat>
          <c:val>
            <c:numRef>
              <c:f>'Figura 3-Gastos x S. Finance'!$A$15:$B$15</c:f>
              <c:numCache>
                <c:formatCode>_("$"* #,##0.0_);_("$"* \(#,##0.0\);_("$"* "-"??_);_(@_)</c:formatCode>
                <c:ptCount val="2"/>
                <c:pt idx="0">
                  <c:v>8958.7815500000033</c:v>
                </c:pt>
                <c:pt idx="1">
                  <c:v>8412.4595000000045</c:v>
                </c:pt>
              </c:numCache>
            </c:numRef>
          </c:val>
          <c:extLst>
            <c:ext xmlns:c16="http://schemas.microsoft.com/office/drawing/2014/chart" uri="{C3380CC4-5D6E-409C-BE32-E72D297353CC}">
              <c16:uniqueId val="{00000003-A557-4192-8EF5-A83FDADCACE7}"/>
            </c:ext>
          </c:extLst>
        </c:ser>
        <c:dLbls>
          <c:showLegendKey val="0"/>
          <c:showVal val="1"/>
          <c:showCatName val="1"/>
          <c:showSerName val="0"/>
          <c:showPercent val="0"/>
          <c:showBubbleSize val="0"/>
          <c:showLeaderLines val="0"/>
        </c:dLbls>
      </c:pie3DChart>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5187618537905839"/>
          <c:y val="4.7500279670152398E-2"/>
          <c:w val="0.72837162682448442"/>
          <c:h val="0.93685568961154653"/>
        </c:manualLayout>
      </c:layout>
      <c:pie3DChart>
        <c:varyColors val="1"/>
        <c:ser>
          <c:idx val="3"/>
          <c:order val="3"/>
          <c:spPr>
            <a:ln>
              <a:solidFill>
                <a:schemeClr val="accent1"/>
              </a:solidFill>
            </a:ln>
          </c:spPr>
          <c:dPt>
            <c:idx val="1"/>
            <c:bubble3D val="0"/>
            <c:extLst>
              <c:ext xmlns:c16="http://schemas.microsoft.com/office/drawing/2014/chart" uri="{C3380CC4-5D6E-409C-BE32-E72D297353CC}">
                <c16:uniqueId val="{00000000-D4A4-4872-AF0D-435AF4401418}"/>
              </c:ext>
            </c:extLst>
          </c:dPt>
          <c:dLbls>
            <c:spPr>
              <a:noFill/>
              <a:ln>
                <a:noFill/>
              </a:ln>
              <a:effectLst/>
            </c:spPr>
            <c:dLblPos val="bestFit"/>
            <c:showLegendKey val="1"/>
            <c:showVal val="1"/>
            <c:showCatName val="1"/>
            <c:showSerName val="0"/>
            <c:showPercent val="1"/>
            <c:showBubbleSize val="0"/>
            <c:separator>
</c:separator>
            <c:showLeaderLines val="1"/>
            <c:extLst>
              <c:ext xmlns:c15="http://schemas.microsoft.com/office/drawing/2012/chart" uri="{CE6537A1-D6FC-4f65-9D91-7224C49458BB}"/>
            </c:extLst>
          </c:dLbls>
          <c:cat>
            <c:strRef>
              <c:f>'Figure 4-OBJ Gasto'!$A$2:$A$10</c:f>
              <c:strCache>
                <c:ptCount val="9"/>
                <c:pt idx="0">
                  <c:v>Salarios</c:v>
                </c:pt>
                <c:pt idx="1">
                  <c:v>Contratos por resultado</c:v>
                </c:pt>
                <c:pt idx="2">
                  <c:v>Becas</c:v>
                </c:pt>
                <c:pt idx="3">
                  <c:v>Viajes</c:v>
                </c:pt>
                <c:pt idx="4">
                  <c:v>Documentos</c:v>
                </c:pt>
                <c:pt idx="5">
                  <c:v>Equipos y suministros</c:v>
                </c:pt>
                <c:pt idx="6">
                  <c:v>Edificio y Mantenimiento</c:v>
                </c:pt>
                <c:pt idx="7">
                  <c:v>Otros costos</c:v>
                </c:pt>
                <c:pt idx="8">
                  <c:v>Recuperación de costos indirectos (RCI)</c:v>
                </c:pt>
              </c:strCache>
            </c:strRef>
          </c:cat>
          <c:val>
            <c:numRef>
              <c:f>'Figure 4-OBJ Gasto'!$E$2:$E$10</c:f>
              <c:numCache>
                <c:formatCode>_(* #,##0.0_);_(* \(#,##0.0\);_(* "-"??_);_(@_)</c:formatCode>
                <c:ptCount val="9"/>
                <c:pt idx="0">
                  <c:v>7301.9134400000003</c:v>
                </c:pt>
                <c:pt idx="1">
                  <c:v>7681.3994599999996</c:v>
                </c:pt>
                <c:pt idx="2">
                  <c:v>174.4</c:v>
                </c:pt>
                <c:pt idx="3">
                  <c:v>415.49372000000011</c:v>
                </c:pt>
                <c:pt idx="4">
                  <c:v>4.0512300000000003</c:v>
                </c:pt>
                <c:pt idx="5">
                  <c:v>79.148200000000003</c:v>
                </c:pt>
                <c:pt idx="6">
                  <c:v>23.445340000000002</c:v>
                </c:pt>
                <c:pt idx="7">
                  <c:v>242.50294999999997</c:v>
                </c:pt>
                <c:pt idx="8">
                  <c:v>1448.8867100000002</c:v>
                </c:pt>
              </c:numCache>
            </c:numRef>
          </c:val>
          <c:extLst>
            <c:ext xmlns:c16="http://schemas.microsoft.com/office/drawing/2014/chart" uri="{C3380CC4-5D6E-409C-BE32-E72D297353CC}">
              <c16:uniqueId val="{00000001-D4A4-4872-AF0D-435AF4401418}"/>
            </c:ext>
          </c:extLst>
        </c:ser>
        <c:ser>
          <c:idx val="2"/>
          <c:order val="2"/>
          <c:cat>
            <c:strRef>
              <c:f>'Figure 4-OBJ Gasto'!$A$2:$A$10</c:f>
              <c:strCache>
                <c:ptCount val="9"/>
                <c:pt idx="0">
                  <c:v>Salarios</c:v>
                </c:pt>
                <c:pt idx="1">
                  <c:v>Contratos por resultado</c:v>
                </c:pt>
                <c:pt idx="2">
                  <c:v>Becas</c:v>
                </c:pt>
                <c:pt idx="3">
                  <c:v>Viajes</c:v>
                </c:pt>
                <c:pt idx="4">
                  <c:v>Documentos</c:v>
                </c:pt>
                <c:pt idx="5">
                  <c:v>Equipos y suministros</c:v>
                </c:pt>
                <c:pt idx="6">
                  <c:v>Edificio y Mantenimiento</c:v>
                </c:pt>
                <c:pt idx="7">
                  <c:v>Otros costos</c:v>
                </c:pt>
                <c:pt idx="8">
                  <c:v>Recuperación de costos indirectos (RCI)</c:v>
                </c:pt>
              </c:strCache>
            </c:strRef>
          </c:cat>
          <c:val>
            <c:numRef>
              <c:f>'Figure 4-OBJ Gasto'!$D$2:$D$10</c:f>
              <c:numCache>
                <c:formatCode>_(* #,##0.0_);_(* \(#,##0.0\);_(* "-"??_);_(@_)</c:formatCode>
                <c:ptCount val="9"/>
                <c:pt idx="0">
                  <c:v>7301913.4400000004</c:v>
                </c:pt>
                <c:pt idx="1">
                  <c:v>7681399.46</c:v>
                </c:pt>
                <c:pt idx="2">
                  <c:v>174400</c:v>
                </c:pt>
                <c:pt idx="3">
                  <c:v>415493.72000000009</c:v>
                </c:pt>
                <c:pt idx="4">
                  <c:v>4051.23</c:v>
                </c:pt>
                <c:pt idx="5">
                  <c:v>79148.2</c:v>
                </c:pt>
                <c:pt idx="6">
                  <c:v>23445.34</c:v>
                </c:pt>
                <c:pt idx="7">
                  <c:v>242502.94999999998</c:v>
                </c:pt>
                <c:pt idx="8">
                  <c:v>1448886.7100000002</c:v>
                </c:pt>
              </c:numCache>
            </c:numRef>
          </c:val>
          <c:extLst>
            <c:ext xmlns:c16="http://schemas.microsoft.com/office/drawing/2014/chart" uri="{C3380CC4-5D6E-409C-BE32-E72D297353CC}">
              <c16:uniqueId val="{00000002-D4A4-4872-AF0D-435AF4401418}"/>
            </c:ext>
          </c:extLst>
        </c:ser>
        <c:ser>
          <c:idx val="1"/>
          <c:order val="1"/>
          <c:cat>
            <c:strRef>
              <c:f>'Figure 4-OBJ Gasto'!$A$2:$A$10</c:f>
              <c:strCache>
                <c:ptCount val="9"/>
                <c:pt idx="0">
                  <c:v>Salarios</c:v>
                </c:pt>
                <c:pt idx="1">
                  <c:v>Contratos por resultado</c:v>
                </c:pt>
                <c:pt idx="2">
                  <c:v>Becas</c:v>
                </c:pt>
                <c:pt idx="3">
                  <c:v>Viajes</c:v>
                </c:pt>
                <c:pt idx="4">
                  <c:v>Documentos</c:v>
                </c:pt>
                <c:pt idx="5">
                  <c:v>Equipos y suministros</c:v>
                </c:pt>
                <c:pt idx="6">
                  <c:v>Edificio y Mantenimiento</c:v>
                </c:pt>
                <c:pt idx="7">
                  <c:v>Otros costos</c:v>
                </c:pt>
                <c:pt idx="8">
                  <c:v>Recuperación de costos indirectos (RCI)</c:v>
                </c:pt>
              </c:strCache>
            </c:strRef>
          </c:cat>
          <c:val>
            <c:numRef>
              <c:f>'Figure 4-OBJ Gasto'!$C$2:$C$10</c:f>
              <c:numCache>
                <c:formatCode>_(* #,##0.0_);_(* \(#,##0.0\);_(* "-"??_);_(@_)</c:formatCode>
                <c:ptCount val="9"/>
                <c:pt idx="0">
                  <c:v>1122346.83</c:v>
                </c:pt>
                <c:pt idx="1">
                  <c:v>5200025.84</c:v>
                </c:pt>
                <c:pt idx="2">
                  <c:v>174400</c:v>
                </c:pt>
                <c:pt idx="3">
                  <c:v>278185.1700000001</c:v>
                </c:pt>
                <c:pt idx="4">
                  <c:v>3298.58</c:v>
                </c:pt>
                <c:pt idx="5">
                  <c:v>17145.960000000003</c:v>
                </c:pt>
                <c:pt idx="6">
                  <c:v>23445.34</c:v>
                </c:pt>
                <c:pt idx="7">
                  <c:v>144725.06999999998</c:v>
                </c:pt>
                <c:pt idx="8">
                  <c:v>1448886.7100000002</c:v>
                </c:pt>
              </c:numCache>
            </c:numRef>
          </c:val>
          <c:extLst>
            <c:ext xmlns:c16="http://schemas.microsoft.com/office/drawing/2014/chart" uri="{C3380CC4-5D6E-409C-BE32-E72D297353CC}">
              <c16:uniqueId val="{00000003-D4A4-4872-AF0D-435AF4401418}"/>
            </c:ext>
          </c:extLst>
        </c:ser>
        <c:ser>
          <c:idx val="0"/>
          <c:order val="0"/>
          <c:cat>
            <c:strRef>
              <c:f>'Figure 4-OBJ Gasto'!$A$2:$A$10</c:f>
              <c:strCache>
                <c:ptCount val="9"/>
                <c:pt idx="0">
                  <c:v>Salarios</c:v>
                </c:pt>
                <c:pt idx="1">
                  <c:v>Contratos por resultado</c:v>
                </c:pt>
                <c:pt idx="2">
                  <c:v>Becas</c:v>
                </c:pt>
                <c:pt idx="3">
                  <c:v>Viajes</c:v>
                </c:pt>
                <c:pt idx="4">
                  <c:v>Documentos</c:v>
                </c:pt>
                <c:pt idx="5">
                  <c:v>Equipos y suministros</c:v>
                </c:pt>
                <c:pt idx="6">
                  <c:v>Edificio y Mantenimiento</c:v>
                </c:pt>
                <c:pt idx="7">
                  <c:v>Otros costos</c:v>
                </c:pt>
                <c:pt idx="8">
                  <c:v>Recuperación de costos indirectos (RCI)</c:v>
                </c:pt>
              </c:strCache>
            </c:strRef>
          </c:cat>
          <c:val>
            <c:numRef>
              <c:f>'Figure 4-OBJ Gasto'!$B$2:$B$10</c:f>
              <c:numCache>
                <c:formatCode>_(* #,##0.0_);_(* \(#,##0.0\);_(* "-"??_);_(@_)</c:formatCode>
                <c:ptCount val="9"/>
                <c:pt idx="0">
                  <c:v>6179566.6100000003</c:v>
                </c:pt>
                <c:pt idx="1">
                  <c:v>2481373.62</c:v>
                </c:pt>
                <c:pt idx="2">
                  <c:v>0</c:v>
                </c:pt>
                <c:pt idx="3">
                  <c:v>137308.54999999999</c:v>
                </c:pt>
                <c:pt idx="4">
                  <c:v>752.65</c:v>
                </c:pt>
                <c:pt idx="5">
                  <c:v>62002.239999999998</c:v>
                </c:pt>
                <c:pt idx="6">
                  <c:v>0</c:v>
                </c:pt>
                <c:pt idx="7">
                  <c:v>97777.88</c:v>
                </c:pt>
                <c:pt idx="8">
                  <c:v>0</c:v>
                </c:pt>
              </c:numCache>
            </c:numRef>
          </c:val>
          <c:extLst>
            <c:ext xmlns:c16="http://schemas.microsoft.com/office/drawing/2014/chart" uri="{C3380CC4-5D6E-409C-BE32-E72D297353CC}">
              <c16:uniqueId val="{00000004-D4A4-4872-AF0D-435AF4401418}"/>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txPr>
    <a:bodyPr/>
    <a:lstStyle/>
    <a:p>
      <a:pPr>
        <a:defRPr>
          <a:ln>
            <a:noFill/>
          </a:ln>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0.03908</cdr:x>
      <cdr:y>0.83232</cdr:y>
    </cdr:from>
    <cdr:to>
      <cdr:x>0.24877</cdr:x>
      <cdr:y>0.89361</cdr:y>
    </cdr:to>
    <cdr:pic>
      <cdr:nvPicPr>
        <cdr:cNvPr id="11" name="chart">
          <a:extLst xmlns:a="http://schemas.openxmlformats.org/drawingml/2006/main">
            <a:ext uri="{FF2B5EF4-FFF2-40B4-BE49-F238E27FC236}">
              <a16:creationId xmlns:a16="http://schemas.microsoft.com/office/drawing/2014/main" id="{B5E97AA8-6FE6-4A9D-A133-871843834B48}"/>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46529" y="4056528"/>
          <a:ext cx="1322947" cy="29873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0.73279</cdr:x>
      <cdr:y>0.82609</cdr:y>
    </cdr:from>
    <cdr:to>
      <cdr:x>1</cdr:x>
      <cdr:y>1</cdr:y>
    </cdr:to>
    <cdr:sp macro="" textlink="">
      <cdr:nvSpPr>
        <cdr:cNvPr id="2" name="TextBox 1"/>
        <cdr:cNvSpPr txBox="1"/>
      </cdr:nvSpPr>
      <cdr:spPr>
        <a:xfrm xmlns:a="http://schemas.openxmlformats.org/drawingml/2006/main">
          <a:off x="3448033" y="2352676"/>
          <a:ext cx="1257317" cy="495299"/>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s-CO" sz="1100" b="1"/>
            <a:t>Total: USD 17,327.7</a:t>
          </a:r>
        </a:p>
      </cdr:txBody>
    </cdr:sp>
  </cdr:relSizeAnchor>
</c:userShapes>
</file>

<file path=word/drawings/drawing3.xml><?xml version="1.0" encoding="utf-8"?>
<c:userShapes xmlns:c="http://schemas.openxmlformats.org/drawingml/2006/chart">
  <cdr:relSizeAnchor xmlns:cdr="http://schemas.openxmlformats.org/drawingml/2006/chartDrawing">
    <cdr:from>
      <cdr:x>0.60294</cdr:x>
      <cdr:y>0.84985</cdr:y>
    </cdr:from>
    <cdr:to>
      <cdr:x>1</cdr:x>
      <cdr:y>1</cdr:y>
    </cdr:to>
    <cdr:sp macro="" textlink="">
      <cdr:nvSpPr>
        <cdr:cNvPr id="3" name="TextBox 2"/>
        <cdr:cNvSpPr txBox="1"/>
      </cdr:nvSpPr>
      <cdr:spPr>
        <a:xfrm xmlns:a="http://schemas.openxmlformats.org/drawingml/2006/main">
          <a:off x="2716696" y="2840935"/>
          <a:ext cx="1789045" cy="501927"/>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O" sz="1100" b="1"/>
            <a:t>Total: USD 17, 371.2</a:t>
          </a:r>
        </a:p>
      </cdr:txBody>
    </cdr:sp>
  </cdr:relSizeAnchor>
</c:userShapes>
</file>

<file path=word/drawings/drawing4.xml><?xml version="1.0" encoding="utf-8"?>
<c:userShapes xmlns:c="http://schemas.openxmlformats.org/drawingml/2006/chart">
  <cdr:relSizeAnchor xmlns:cdr="http://schemas.openxmlformats.org/drawingml/2006/chartDrawing">
    <cdr:from>
      <cdr:x>0.77048</cdr:x>
      <cdr:y>0.90147</cdr:y>
    </cdr:from>
    <cdr:to>
      <cdr:x>0.93478</cdr:x>
      <cdr:y>0.97328</cdr:y>
    </cdr:to>
    <cdr:pic>
      <cdr:nvPicPr>
        <cdr:cNvPr id="2" name="chart">
          <a:extLst xmlns:a="http://schemas.openxmlformats.org/drawingml/2006/main">
            <a:ext uri="{FF2B5EF4-FFF2-40B4-BE49-F238E27FC236}">
              <a16:creationId xmlns:a16="http://schemas.microsoft.com/office/drawing/2014/main" id="{2D62C488-FECD-4DE4-95A4-5C7A914EC3B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346658" y="3749842"/>
          <a:ext cx="1353429" cy="29873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0ACCCC2B-A2D6-45C9-A228-109963733C6E}"/>
</file>

<file path=customXml/itemProps3.xml><?xml version="1.0" encoding="utf-8"?>
<ds:datastoreItem xmlns:ds="http://schemas.openxmlformats.org/officeDocument/2006/customXml" ds:itemID="{286DD3DC-8362-43CB-93AE-E1E66290536B}"/>
</file>

<file path=customXml/itemProps4.xml><?xml version="1.0" encoding="utf-8"?>
<ds:datastoreItem xmlns:ds="http://schemas.openxmlformats.org/officeDocument/2006/customXml" ds:itemID="{C2E297AE-84A7-474D-8F68-F893E405F610}"/>
</file>

<file path=docProps/app.xml><?xml version="1.0" encoding="utf-8"?>
<Properties xmlns="http://schemas.openxmlformats.org/officeDocument/2006/extended-properties" xmlns:vt="http://schemas.openxmlformats.org/officeDocument/2006/docPropsVTypes">
  <Template>Normal</Template>
  <TotalTime>0</TotalTime>
  <Pages>17</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Capítulo VI</dc:title>
  <dc:subject/>
  <dc:creator/>
  <cp:keywords/>
  <dc:description/>
  <cp:lastModifiedBy/>
  <cp:revision>1</cp:revision>
  <dcterms:created xsi:type="dcterms:W3CDTF">2022-03-09T19:36:00Z</dcterms:created>
  <dcterms:modified xsi:type="dcterms:W3CDTF">2022-05-03T21:48:00Z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