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3BCAD" w14:textId="77777777" w:rsidR="00926A24" w:rsidRPr="000F1527" w:rsidRDefault="00926A24" w:rsidP="00926A24">
      <w:pPr>
        <w:pStyle w:val="NoSpacing"/>
        <w:ind w:left="-720" w:right="-604"/>
        <w:jc w:val="center"/>
        <w:rPr>
          <w:rFonts w:ascii="Cambria" w:hAnsi="Cambria"/>
          <w:b/>
          <w:sz w:val="20"/>
          <w:szCs w:val="20"/>
          <w:lang w:val="es-ES"/>
        </w:rPr>
      </w:pPr>
    </w:p>
    <w:p w14:paraId="288A1FE0" w14:textId="77777777" w:rsidR="00926A24" w:rsidRPr="00896708" w:rsidRDefault="00926A24" w:rsidP="00926A24">
      <w:pPr>
        <w:pStyle w:val="NoSpacing"/>
        <w:ind w:left="-720" w:right="-604"/>
        <w:jc w:val="center"/>
        <w:rPr>
          <w:rFonts w:ascii="Cambria" w:hAnsi="Cambria"/>
          <w:b/>
          <w:sz w:val="20"/>
          <w:szCs w:val="20"/>
          <w:lang w:val="es-ES"/>
        </w:rPr>
      </w:pPr>
      <w:r w:rsidRPr="00896708">
        <w:rPr>
          <w:rFonts w:ascii="Cambria" w:hAnsi="Cambria"/>
          <w:b/>
          <w:sz w:val="20"/>
          <w:szCs w:val="20"/>
          <w:lang w:val="es-ES"/>
        </w:rPr>
        <w:t xml:space="preserve">FICHA DE SEGUIMIENTO DEL INFORME Nº </w:t>
      </w:r>
      <w:r w:rsidRPr="00896708">
        <w:rPr>
          <w:rFonts w:ascii="Cambria" w:hAnsi="Cambria" w:cs="Calibri"/>
          <w:b/>
          <w:bCs/>
          <w:sz w:val="20"/>
          <w:szCs w:val="20"/>
          <w:lang w:val="es-ES"/>
        </w:rPr>
        <w:t>117/09</w:t>
      </w:r>
    </w:p>
    <w:p w14:paraId="55F5A4D9" w14:textId="77777777" w:rsidR="00926A24" w:rsidRPr="00896708" w:rsidRDefault="00926A24" w:rsidP="00926A24">
      <w:pPr>
        <w:pStyle w:val="NoSpacing"/>
        <w:ind w:left="-720" w:right="-604"/>
        <w:jc w:val="center"/>
        <w:rPr>
          <w:rFonts w:ascii="Cambria" w:hAnsi="Cambria"/>
          <w:b/>
          <w:sz w:val="20"/>
          <w:szCs w:val="20"/>
          <w:lang w:val="es-ES"/>
        </w:rPr>
      </w:pPr>
      <w:r w:rsidRPr="00896708">
        <w:rPr>
          <w:rFonts w:ascii="Cambria" w:hAnsi="Cambria"/>
          <w:b/>
          <w:sz w:val="20"/>
          <w:szCs w:val="20"/>
          <w:lang w:val="es-ES"/>
        </w:rPr>
        <w:t>CASO 12.228</w:t>
      </w:r>
    </w:p>
    <w:p w14:paraId="4BC1F5D1" w14:textId="77777777" w:rsidR="00926A24" w:rsidRPr="00896708" w:rsidRDefault="00926A24" w:rsidP="00926A24">
      <w:pPr>
        <w:pStyle w:val="NoSpacing"/>
        <w:ind w:left="-720" w:right="-604"/>
        <w:jc w:val="center"/>
        <w:rPr>
          <w:rFonts w:ascii="Cambria" w:hAnsi="Cambria"/>
          <w:b/>
          <w:sz w:val="20"/>
          <w:szCs w:val="20"/>
          <w:lang w:val="es-ES"/>
        </w:rPr>
      </w:pPr>
      <w:r w:rsidRPr="00896708">
        <w:rPr>
          <w:rFonts w:ascii="Cambria" w:hAnsi="Cambria"/>
          <w:b/>
          <w:sz w:val="20"/>
          <w:szCs w:val="20"/>
          <w:lang w:val="es-ES"/>
        </w:rPr>
        <w:t>ALFONSO MARTÍN DEL CAMPO DODD</w:t>
      </w:r>
    </w:p>
    <w:p w14:paraId="6B003CB9" w14:textId="77777777" w:rsidR="00926A24" w:rsidRPr="00896708" w:rsidRDefault="00926A24" w:rsidP="00926A24">
      <w:pPr>
        <w:pStyle w:val="NoSpacing"/>
        <w:ind w:left="-720" w:right="-604"/>
        <w:jc w:val="center"/>
        <w:rPr>
          <w:rFonts w:ascii="Cambria" w:hAnsi="Cambria"/>
          <w:b/>
          <w:sz w:val="20"/>
          <w:szCs w:val="20"/>
          <w:lang w:val="es-ES"/>
        </w:rPr>
      </w:pPr>
      <w:r w:rsidRPr="00896708">
        <w:rPr>
          <w:rFonts w:ascii="Cambria" w:hAnsi="Cambria"/>
          <w:b/>
          <w:sz w:val="20"/>
          <w:szCs w:val="20"/>
          <w:lang w:val="es-ES"/>
        </w:rPr>
        <w:t>(México)</w:t>
      </w:r>
    </w:p>
    <w:p w14:paraId="03267155" w14:textId="77777777" w:rsidR="00926A24" w:rsidRPr="00896708" w:rsidRDefault="00926A24" w:rsidP="00926A24">
      <w:pPr>
        <w:pStyle w:val="NoSpacing"/>
        <w:jc w:val="center"/>
        <w:rPr>
          <w:rFonts w:ascii="Cambria" w:hAnsi="Cambria"/>
          <w:b/>
          <w:sz w:val="20"/>
          <w:szCs w:val="20"/>
          <w:lang w:val="es-ES"/>
        </w:rPr>
      </w:pPr>
    </w:p>
    <w:p w14:paraId="74D6818C" w14:textId="77777777" w:rsidR="00926A24" w:rsidRPr="00896708" w:rsidRDefault="00926A24" w:rsidP="00926A24">
      <w:pPr>
        <w:numPr>
          <w:ilvl w:val="0"/>
          <w:numId w:val="8"/>
        </w:numPr>
        <w:ind w:left="1440"/>
        <w:rPr>
          <w:rFonts w:ascii="Cambria" w:hAnsi="Cambria" w:cs="Calibri Light"/>
          <w:b/>
          <w:sz w:val="20"/>
          <w:szCs w:val="20"/>
          <w:lang w:val="es-US"/>
        </w:rPr>
      </w:pPr>
      <w:r w:rsidRPr="00896708">
        <w:rPr>
          <w:rFonts w:ascii="Cambria" w:hAnsi="Cambria" w:cs="Calibri Light"/>
          <w:b/>
          <w:sz w:val="20"/>
          <w:szCs w:val="20"/>
          <w:lang w:val="es-US"/>
        </w:rPr>
        <w:t xml:space="preserve">Resumen del caso </w:t>
      </w:r>
    </w:p>
    <w:p w14:paraId="6434D67D" w14:textId="77777777" w:rsidR="00926A24" w:rsidRPr="00896708" w:rsidRDefault="00926A24" w:rsidP="00926A24">
      <w:pPr>
        <w:ind w:left="1080"/>
        <w:rPr>
          <w:rFonts w:ascii="Cambria" w:hAnsi="Cambria" w:cs="Calibri Light"/>
          <w:b/>
          <w:sz w:val="20"/>
          <w:szCs w:val="20"/>
          <w:lang w:val="es-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350"/>
      </w:tblGrid>
      <w:tr w:rsidR="00926A24" w:rsidRPr="00896708" w14:paraId="32844E85" w14:textId="77777777" w:rsidTr="00AA3A3F">
        <w:trPr>
          <w:trHeight w:val="5552"/>
          <w:jc w:val="center"/>
        </w:trPr>
        <w:tc>
          <w:tcPr>
            <w:tcW w:w="9576" w:type="dxa"/>
            <w:shd w:val="clear" w:color="auto" w:fill="F2F2F2"/>
          </w:tcPr>
          <w:p w14:paraId="5A156947" w14:textId="77777777" w:rsidR="00926A24" w:rsidRPr="00896708" w:rsidRDefault="00926A24" w:rsidP="00AA3A3F">
            <w:pPr>
              <w:pStyle w:val="NoSpacing"/>
              <w:spacing w:before="120"/>
              <w:jc w:val="both"/>
              <w:rPr>
                <w:rFonts w:ascii="Cambria" w:hAnsi="Cambria"/>
                <w:sz w:val="20"/>
                <w:szCs w:val="20"/>
                <w:lang w:val="es-ES"/>
              </w:rPr>
            </w:pPr>
            <w:r w:rsidRPr="00896708">
              <w:rPr>
                <w:rFonts w:ascii="Cambria" w:hAnsi="Cambria"/>
                <w:b/>
                <w:sz w:val="20"/>
                <w:szCs w:val="20"/>
                <w:lang w:val="es-US"/>
              </w:rPr>
              <w:t xml:space="preserve">Víctima (s): </w:t>
            </w:r>
            <w:r w:rsidRPr="00896708">
              <w:rPr>
                <w:rFonts w:ascii="Cambria" w:hAnsi="Cambria"/>
                <w:sz w:val="20"/>
                <w:szCs w:val="20"/>
                <w:lang w:val="es-US"/>
              </w:rPr>
              <w:t xml:space="preserve">Alfonso Martín del Campo </w:t>
            </w:r>
            <w:proofErr w:type="spellStart"/>
            <w:r w:rsidRPr="00896708">
              <w:rPr>
                <w:rFonts w:ascii="Cambria" w:hAnsi="Cambria"/>
                <w:sz w:val="20"/>
                <w:szCs w:val="20"/>
                <w:lang w:val="es-US"/>
              </w:rPr>
              <w:t>Dodd</w:t>
            </w:r>
            <w:proofErr w:type="spellEnd"/>
          </w:p>
          <w:p w14:paraId="0274A9E7" w14:textId="77777777" w:rsidR="00926A24" w:rsidRPr="00896708" w:rsidRDefault="00926A24" w:rsidP="00AA3A3F">
            <w:pPr>
              <w:pStyle w:val="NoSpacing"/>
              <w:jc w:val="both"/>
              <w:rPr>
                <w:rFonts w:ascii="Cambria" w:hAnsi="Cambria"/>
                <w:sz w:val="20"/>
                <w:szCs w:val="20"/>
                <w:lang w:val="es-ES"/>
              </w:rPr>
            </w:pPr>
            <w:r w:rsidRPr="00896708">
              <w:rPr>
                <w:rFonts w:ascii="Cambria" w:hAnsi="Cambria"/>
                <w:b/>
                <w:sz w:val="20"/>
                <w:szCs w:val="20"/>
                <w:lang w:val="es-ES"/>
              </w:rPr>
              <w:t>Peticionario (s):</w:t>
            </w:r>
            <w:r w:rsidRPr="00896708">
              <w:rPr>
                <w:rFonts w:ascii="Cambria" w:hAnsi="Cambria"/>
                <w:sz w:val="20"/>
                <w:szCs w:val="20"/>
                <w:lang w:val="es-ES"/>
              </w:rPr>
              <w:t xml:space="preserve"> </w:t>
            </w:r>
            <w:r w:rsidRPr="00896708">
              <w:rPr>
                <w:rFonts w:ascii="Cambria" w:hAnsi="Cambria"/>
                <w:sz w:val="20"/>
                <w:szCs w:val="20"/>
                <w:lang w:val="es-ES_tradnl"/>
              </w:rPr>
              <w:t xml:space="preserve">Alfonso Martín del Campo </w:t>
            </w:r>
            <w:proofErr w:type="spellStart"/>
            <w:r w:rsidRPr="00896708">
              <w:rPr>
                <w:rFonts w:ascii="Cambria" w:hAnsi="Cambria"/>
                <w:sz w:val="20"/>
                <w:szCs w:val="20"/>
                <w:lang w:val="es-ES_tradnl"/>
              </w:rPr>
              <w:t>Dodd</w:t>
            </w:r>
            <w:proofErr w:type="spellEnd"/>
            <w:r w:rsidRPr="00896708">
              <w:rPr>
                <w:rFonts w:ascii="Cambria" w:hAnsi="Cambria"/>
                <w:sz w:val="20"/>
                <w:szCs w:val="20"/>
                <w:lang w:val="es-ES_tradnl"/>
              </w:rPr>
              <w:t>, Maria Elena Sara Piña Martín del Campo</w:t>
            </w:r>
          </w:p>
          <w:p w14:paraId="50A6C5FA" w14:textId="77777777" w:rsidR="00926A24" w:rsidRPr="00896708" w:rsidRDefault="00926A24" w:rsidP="00AA3A3F">
            <w:pPr>
              <w:pStyle w:val="NoSpacing"/>
              <w:jc w:val="both"/>
              <w:rPr>
                <w:rFonts w:ascii="Cambria" w:hAnsi="Cambria"/>
                <w:sz w:val="20"/>
                <w:szCs w:val="20"/>
                <w:lang w:val="es-ES"/>
              </w:rPr>
            </w:pPr>
            <w:r w:rsidRPr="00896708">
              <w:rPr>
                <w:rFonts w:ascii="Cambria" w:hAnsi="Cambria"/>
                <w:b/>
                <w:sz w:val="20"/>
                <w:szCs w:val="20"/>
                <w:lang w:val="es-ES"/>
              </w:rPr>
              <w:t>Estado:</w:t>
            </w:r>
            <w:r w:rsidRPr="00896708">
              <w:rPr>
                <w:rFonts w:ascii="Cambria" w:hAnsi="Cambria"/>
                <w:sz w:val="20"/>
                <w:szCs w:val="20"/>
                <w:lang w:val="es-ES"/>
              </w:rPr>
              <w:t xml:space="preserve"> México</w:t>
            </w:r>
          </w:p>
          <w:p w14:paraId="2905F778" w14:textId="77777777" w:rsidR="00926A24" w:rsidRPr="00896708" w:rsidRDefault="00926A24" w:rsidP="00AA3A3F">
            <w:pPr>
              <w:pStyle w:val="NoSpacing"/>
              <w:jc w:val="both"/>
              <w:rPr>
                <w:rFonts w:ascii="Cambria" w:hAnsi="Cambria"/>
                <w:sz w:val="20"/>
                <w:szCs w:val="20"/>
                <w:lang w:val="es-ES"/>
              </w:rPr>
            </w:pPr>
            <w:r w:rsidRPr="00896708">
              <w:rPr>
                <w:rFonts w:ascii="Cambria" w:hAnsi="Cambria"/>
                <w:b/>
                <w:sz w:val="20"/>
                <w:szCs w:val="20"/>
                <w:lang w:val="es-ES"/>
              </w:rPr>
              <w:t xml:space="preserve">Informe de Fondo Nº: </w:t>
            </w:r>
            <w:hyperlink r:id="rId8" w:history="1">
              <w:r w:rsidRPr="00896708">
                <w:rPr>
                  <w:rStyle w:val="Hyperlink"/>
                  <w:rFonts w:ascii="Cambria" w:hAnsi="Cambria"/>
                  <w:color w:val="auto"/>
                  <w:sz w:val="20"/>
                  <w:szCs w:val="20"/>
                  <w:lang w:val="es-ES"/>
                </w:rPr>
                <w:t>117/09</w:t>
              </w:r>
            </w:hyperlink>
            <w:r w:rsidRPr="00896708">
              <w:rPr>
                <w:rFonts w:ascii="Cambria" w:hAnsi="Cambria"/>
                <w:sz w:val="20"/>
                <w:szCs w:val="20"/>
                <w:lang w:val="es-ES"/>
              </w:rPr>
              <w:t>, publicado el 12 de noviembre de 2009</w:t>
            </w:r>
          </w:p>
          <w:p w14:paraId="64F3736F" w14:textId="77777777" w:rsidR="00926A24" w:rsidRPr="00896708" w:rsidRDefault="00926A24" w:rsidP="00AA3A3F">
            <w:pPr>
              <w:pStyle w:val="NoSpacing"/>
              <w:jc w:val="both"/>
              <w:rPr>
                <w:rFonts w:ascii="Cambria" w:hAnsi="Cambria"/>
                <w:sz w:val="20"/>
                <w:szCs w:val="20"/>
                <w:lang w:val="es-ES"/>
              </w:rPr>
            </w:pPr>
            <w:r w:rsidRPr="00896708">
              <w:rPr>
                <w:rFonts w:ascii="Cambria" w:hAnsi="Cambria"/>
                <w:b/>
                <w:sz w:val="20"/>
                <w:szCs w:val="20"/>
                <w:lang w:val="es-ES"/>
              </w:rPr>
              <w:t xml:space="preserve">Informe de Admisibilidad Nº: </w:t>
            </w:r>
            <w:hyperlink r:id="rId9" w:history="1">
              <w:r w:rsidRPr="00896708">
                <w:rPr>
                  <w:rStyle w:val="Hyperlink"/>
                  <w:rFonts w:ascii="Cambria" w:hAnsi="Cambria"/>
                  <w:color w:val="auto"/>
                  <w:sz w:val="20"/>
                  <w:szCs w:val="20"/>
                  <w:lang w:val="es-ES"/>
                </w:rPr>
                <w:t>81/01</w:t>
              </w:r>
            </w:hyperlink>
            <w:r w:rsidRPr="00896708">
              <w:rPr>
                <w:rFonts w:ascii="Cambria" w:hAnsi="Cambria"/>
                <w:sz w:val="20"/>
                <w:szCs w:val="20"/>
                <w:lang w:val="es-ES"/>
              </w:rPr>
              <w:t>, publicado el 10 de octubre de 2001</w:t>
            </w:r>
          </w:p>
          <w:p w14:paraId="6AA0560B" w14:textId="77777777" w:rsidR="00926A24" w:rsidRPr="00896708" w:rsidRDefault="00926A24" w:rsidP="00AA3A3F">
            <w:pPr>
              <w:pStyle w:val="NoSpacing"/>
              <w:spacing w:after="120"/>
              <w:jc w:val="both"/>
              <w:rPr>
                <w:rFonts w:ascii="Cambria" w:hAnsi="Cambria"/>
                <w:sz w:val="20"/>
                <w:szCs w:val="20"/>
                <w:lang w:val="es-ES"/>
              </w:rPr>
            </w:pPr>
            <w:r w:rsidRPr="00896708">
              <w:rPr>
                <w:rFonts w:ascii="Cambria" w:hAnsi="Cambria"/>
                <w:b/>
                <w:sz w:val="20"/>
                <w:szCs w:val="20"/>
                <w:lang w:val="es-ES"/>
              </w:rPr>
              <w:t>Temas:</w:t>
            </w:r>
            <w:r w:rsidRPr="00896708">
              <w:rPr>
                <w:rFonts w:ascii="Cambria" w:hAnsi="Cambria"/>
                <w:sz w:val="20"/>
                <w:szCs w:val="20"/>
                <w:lang w:val="es-ES"/>
              </w:rPr>
              <w:t xml:space="preserve"> Detención Arbitraria / Derecho a la Libertad Personal/ Derecho a la Integridad Personal / Tortura y otros Tratos Crueles, Inhumanos y/o Degradantes / Garantías Judiciales / Protección Judicial.  </w:t>
            </w:r>
          </w:p>
          <w:p w14:paraId="2411D357" w14:textId="77777777" w:rsidR="00926A24" w:rsidRPr="00896708" w:rsidRDefault="00926A24" w:rsidP="00AA3A3F">
            <w:pPr>
              <w:pStyle w:val="NoSpacing"/>
              <w:spacing w:after="120"/>
              <w:jc w:val="both"/>
              <w:rPr>
                <w:rFonts w:ascii="Cambria" w:hAnsi="Cambria"/>
                <w:sz w:val="20"/>
                <w:szCs w:val="20"/>
                <w:lang w:val="es-ES_tradnl"/>
              </w:rPr>
            </w:pPr>
            <w:r w:rsidRPr="00896708">
              <w:rPr>
                <w:rFonts w:ascii="Cambria" w:hAnsi="Cambria"/>
                <w:b/>
                <w:sz w:val="20"/>
                <w:szCs w:val="20"/>
                <w:lang w:val="es-US"/>
              </w:rPr>
              <w:t>Hechos:</w:t>
            </w:r>
            <w:r w:rsidRPr="00896708">
              <w:rPr>
                <w:rFonts w:ascii="Cambria" w:hAnsi="Cambria"/>
                <w:sz w:val="20"/>
                <w:szCs w:val="20"/>
                <w:lang w:val="es-US"/>
              </w:rPr>
              <w:t xml:space="preserve"> Los peticionarios</w:t>
            </w:r>
            <w:r w:rsidRPr="00896708">
              <w:rPr>
                <w:rFonts w:ascii="Cambria" w:hAnsi="Cambria"/>
                <w:sz w:val="20"/>
                <w:szCs w:val="20"/>
                <w:lang w:val="es-ES"/>
              </w:rPr>
              <w:t xml:space="preserve"> alegan responsabilidad del Estado Mexicano en razón de la </w:t>
            </w:r>
            <w:r w:rsidRPr="00896708">
              <w:rPr>
                <w:rFonts w:ascii="Cambria" w:hAnsi="Cambria"/>
                <w:sz w:val="20"/>
                <w:szCs w:val="20"/>
                <w:lang w:val="es-ES_tradnl"/>
              </w:rPr>
              <w:t xml:space="preserve">detención ilegal y tortura de </w:t>
            </w:r>
            <w:r w:rsidRPr="00896708">
              <w:rPr>
                <w:rFonts w:ascii="Cambria" w:hAnsi="Cambria"/>
                <w:sz w:val="20"/>
                <w:szCs w:val="20"/>
                <w:lang w:val="es-US"/>
              </w:rPr>
              <w:t xml:space="preserve">Alfonso Martín del Campo </w:t>
            </w:r>
            <w:proofErr w:type="spellStart"/>
            <w:r w:rsidRPr="00896708">
              <w:rPr>
                <w:rFonts w:ascii="Cambria" w:hAnsi="Cambria"/>
                <w:sz w:val="20"/>
                <w:szCs w:val="20"/>
                <w:lang w:val="es-US"/>
              </w:rPr>
              <w:t>Dodd</w:t>
            </w:r>
            <w:proofErr w:type="spellEnd"/>
            <w:r w:rsidRPr="00896708">
              <w:rPr>
                <w:rFonts w:ascii="Cambria" w:hAnsi="Cambria"/>
                <w:sz w:val="20"/>
                <w:szCs w:val="20"/>
                <w:lang w:val="es-ES_tradnl"/>
              </w:rPr>
              <w:t xml:space="preserve">, así como su posterior condena a 50 años de prisión en un juicio sin respeto de las normas del debido proceso, que incluye la utilización de una confesión obtenida bajo tortura en perjuicio de la víctima. </w:t>
            </w:r>
          </w:p>
          <w:p w14:paraId="5AE5874C" w14:textId="77777777" w:rsidR="00926A24" w:rsidRPr="00896708" w:rsidRDefault="00926A24" w:rsidP="00AA3A3F">
            <w:pPr>
              <w:pStyle w:val="NoSpacing"/>
              <w:spacing w:after="120"/>
              <w:jc w:val="both"/>
              <w:rPr>
                <w:rFonts w:ascii="Cambria" w:hAnsi="Cambria"/>
                <w:sz w:val="20"/>
                <w:szCs w:val="20"/>
                <w:lang w:val="es-ES_tradnl" w:eastAsia="pt-BR"/>
              </w:rPr>
            </w:pPr>
            <w:r w:rsidRPr="00896708">
              <w:rPr>
                <w:rFonts w:ascii="Cambria" w:hAnsi="Cambria"/>
                <w:b/>
                <w:sz w:val="20"/>
                <w:szCs w:val="20"/>
                <w:lang w:val="es-ES"/>
              </w:rPr>
              <w:t>Derechos violados:</w:t>
            </w:r>
            <w:r w:rsidRPr="00896708">
              <w:rPr>
                <w:rFonts w:ascii="Cambria" w:hAnsi="Cambria"/>
                <w:sz w:val="20"/>
                <w:szCs w:val="20"/>
                <w:lang w:val="es-ES"/>
              </w:rPr>
              <w:t xml:space="preserve"> La CIDH </w:t>
            </w:r>
            <w:r w:rsidRPr="00896708">
              <w:rPr>
                <w:rFonts w:ascii="Cambria" w:hAnsi="Cambria"/>
                <w:sz w:val="20"/>
                <w:szCs w:val="20"/>
                <w:lang w:val="es-ES_tradnl"/>
              </w:rPr>
              <w:t xml:space="preserve">concluyó que Alfonso Martín del Campo </w:t>
            </w:r>
            <w:proofErr w:type="spellStart"/>
            <w:r w:rsidRPr="00896708">
              <w:rPr>
                <w:rFonts w:ascii="Cambria" w:hAnsi="Cambria"/>
                <w:sz w:val="20"/>
                <w:szCs w:val="20"/>
                <w:lang w:val="es-ES_tradnl"/>
              </w:rPr>
              <w:t>Dodd</w:t>
            </w:r>
            <w:proofErr w:type="spellEnd"/>
            <w:r w:rsidRPr="00896708">
              <w:rPr>
                <w:rFonts w:ascii="Cambria" w:hAnsi="Cambria"/>
                <w:sz w:val="20"/>
                <w:szCs w:val="20"/>
                <w:lang w:val="es-ES_tradnl"/>
              </w:rPr>
              <w:t xml:space="preserve"> fue detenido arbitrariamente el 30 de mayo de 1992 y sometido a torturas y otros tratos crueles, inhumanos y degradantes por policías judiciales de la Ciudad de México, con el objeto de hacerle confesar el homicidio de su hermana Juana Patricia Martín del Campo </w:t>
            </w:r>
            <w:proofErr w:type="spellStart"/>
            <w:r w:rsidRPr="00896708">
              <w:rPr>
                <w:rFonts w:ascii="Cambria" w:hAnsi="Cambria"/>
                <w:sz w:val="20"/>
                <w:szCs w:val="20"/>
                <w:lang w:val="es-ES_tradnl"/>
              </w:rPr>
              <w:t>Dodd</w:t>
            </w:r>
            <w:proofErr w:type="spellEnd"/>
            <w:r w:rsidRPr="00896708">
              <w:rPr>
                <w:rFonts w:ascii="Cambria" w:hAnsi="Cambria"/>
                <w:sz w:val="20"/>
                <w:szCs w:val="20"/>
                <w:lang w:val="es-ES_tradnl"/>
              </w:rPr>
              <w:t xml:space="preserve"> y su cuñado Gerardo Zamudio Aldaba, cometido la noche anterior. Igualmente, la CIDH concluye que no se respetaron las garantías del debido proceso de Alfonso Martín del Campo </w:t>
            </w:r>
            <w:proofErr w:type="spellStart"/>
            <w:r w:rsidRPr="00896708">
              <w:rPr>
                <w:rFonts w:ascii="Cambria" w:hAnsi="Cambria"/>
                <w:sz w:val="20"/>
                <w:szCs w:val="20"/>
                <w:lang w:val="es-ES_tradnl"/>
              </w:rPr>
              <w:t>Dodd</w:t>
            </w:r>
            <w:proofErr w:type="spellEnd"/>
            <w:r w:rsidRPr="00896708">
              <w:rPr>
                <w:rFonts w:ascii="Cambria" w:hAnsi="Cambria"/>
                <w:sz w:val="20"/>
                <w:szCs w:val="20"/>
                <w:lang w:val="es-ES_tradnl"/>
              </w:rPr>
              <w:t xml:space="preserve">, en particular el derecho a la presunción de inocencia, en virtud del valor otorgado por distintos magistrados a su supuesta confesión obtenida bajo tortura.  Tampoco se garantizó a la víctima en el presente caso la protección de sus derechos fundamentales. Los hechos establecidos en el presente informe constituyen violaciones de los artículos 5, 7, 8(1), 8(2), 8(3) y 25 de la Convención Americana, así como de los artículos 6, 8 y 10 de la Convención Interamericana para prevenir y sancionar la </w:t>
            </w:r>
            <w:r w:rsidRPr="00896708">
              <w:rPr>
                <w:rFonts w:ascii="Cambria" w:hAnsi="Cambria"/>
                <w:sz w:val="20"/>
                <w:szCs w:val="20"/>
                <w:lang w:val="es-ES"/>
              </w:rPr>
              <w:t>tortura; todo ello en violación del deber de respeto y garantía consagrado en el artículo 1(1) de la Convención Americana.</w:t>
            </w:r>
            <w:r w:rsidRPr="00896708">
              <w:rPr>
                <w:rFonts w:ascii="Cambria" w:hAnsi="Cambria"/>
                <w:sz w:val="20"/>
                <w:szCs w:val="20"/>
                <w:lang w:val="es-ES_tradnl"/>
              </w:rPr>
              <w:t xml:space="preserve"> </w:t>
            </w:r>
          </w:p>
        </w:tc>
      </w:tr>
    </w:tbl>
    <w:p w14:paraId="18C50AFA" w14:textId="77777777" w:rsidR="00926A24" w:rsidRPr="00896708" w:rsidRDefault="00926A24" w:rsidP="00926A24">
      <w:pPr>
        <w:ind w:left="180"/>
        <w:rPr>
          <w:rFonts w:ascii="Cambria" w:hAnsi="Cambria"/>
          <w:sz w:val="20"/>
          <w:szCs w:val="20"/>
          <w:lang w:val="es-ES"/>
        </w:rPr>
      </w:pPr>
    </w:p>
    <w:p w14:paraId="5A42D74F" w14:textId="77777777" w:rsidR="00926A24" w:rsidRPr="00896708" w:rsidRDefault="00926A24" w:rsidP="00926A24">
      <w:pPr>
        <w:numPr>
          <w:ilvl w:val="0"/>
          <w:numId w:val="8"/>
        </w:numPr>
        <w:ind w:left="1440"/>
        <w:jc w:val="both"/>
        <w:rPr>
          <w:rFonts w:ascii="Cambria" w:hAnsi="Cambria" w:cs="Calibri Light"/>
          <w:b/>
          <w:sz w:val="20"/>
          <w:szCs w:val="20"/>
          <w:lang w:val="es-US"/>
        </w:rPr>
      </w:pPr>
      <w:r w:rsidRPr="00896708">
        <w:rPr>
          <w:rFonts w:ascii="Cambria" w:hAnsi="Cambria" w:cs="Calibri Light"/>
          <w:b/>
          <w:sz w:val="20"/>
          <w:szCs w:val="20"/>
          <w:lang w:val="es-US"/>
        </w:rPr>
        <w:t xml:space="preserve">Recomendaciones </w:t>
      </w:r>
    </w:p>
    <w:p w14:paraId="514ADE45" w14:textId="77777777" w:rsidR="00926A24" w:rsidRPr="00896708" w:rsidRDefault="00926A24" w:rsidP="00926A24">
      <w:pPr>
        <w:ind w:left="1080"/>
        <w:jc w:val="both"/>
        <w:rPr>
          <w:rFonts w:ascii="Cambria" w:hAnsi="Cambria" w:cs="Calibri Light"/>
          <w:b/>
          <w:lang w:val="es-US"/>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520"/>
      </w:tblGrid>
      <w:tr w:rsidR="00926A24" w:rsidRPr="00896708" w14:paraId="4EEB57FD" w14:textId="77777777" w:rsidTr="00AA3A3F">
        <w:tc>
          <w:tcPr>
            <w:tcW w:w="7020" w:type="dxa"/>
            <w:shd w:val="clear" w:color="auto" w:fill="auto"/>
            <w:vAlign w:val="center"/>
          </w:tcPr>
          <w:p w14:paraId="403DDE79" w14:textId="77777777" w:rsidR="00926A24" w:rsidRPr="00896708" w:rsidRDefault="00926A24" w:rsidP="00AA3A3F">
            <w:pPr>
              <w:jc w:val="center"/>
              <w:rPr>
                <w:rFonts w:ascii="Cambria" w:hAnsi="Cambria" w:cs="Calibri Light"/>
                <w:b/>
                <w:sz w:val="18"/>
                <w:szCs w:val="18"/>
                <w:lang w:val="es-US"/>
              </w:rPr>
            </w:pPr>
            <w:r w:rsidRPr="00896708">
              <w:rPr>
                <w:rFonts w:ascii="Cambria" w:hAnsi="Cambria" w:cs="Calibri Light"/>
                <w:b/>
                <w:sz w:val="18"/>
                <w:szCs w:val="18"/>
                <w:lang w:val="es-US"/>
              </w:rPr>
              <w:t>Recomendaciones</w:t>
            </w:r>
          </w:p>
        </w:tc>
        <w:tc>
          <w:tcPr>
            <w:tcW w:w="2520" w:type="dxa"/>
            <w:shd w:val="clear" w:color="auto" w:fill="auto"/>
            <w:vAlign w:val="center"/>
          </w:tcPr>
          <w:p w14:paraId="208CA6E5" w14:textId="1E02F2EA" w:rsidR="00926A24" w:rsidRPr="00896708" w:rsidRDefault="00926A24" w:rsidP="00AA3A3F">
            <w:pPr>
              <w:jc w:val="center"/>
              <w:rPr>
                <w:rFonts w:ascii="Cambria" w:hAnsi="Cambria" w:cs="Calibri Light"/>
                <w:b/>
                <w:color w:val="000000" w:themeColor="text1"/>
                <w:sz w:val="18"/>
                <w:szCs w:val="18"/>
                <w:lang w:val="es-US"/>
              </w:rPr>
            </w:pPr>
            <w:r w:rsidRPr="00896708">
              <w:rPr>
                <w:rFonts w:ascii="Cambria" w:hAnsi="Cambria" w:cs="Calibri Light"/>
                <w:b/>
                <w:color w:val="000000" w:themeColor="text1"/>
                <w:sz w:val="18"/>
                <w:szCs w:val="18"/>
                <w:lang w:val="es-US"/>
              </w:rPr>
              <w:t>Estado de cumplimiento en el 20</w:t>
            </w:r>
            <w:r w:rsidR="00B77D67" w:rsidRPr="00896708">
              <w:rPr>
                <w:rFonts w:ascii="Cambria" w:hAnsi="Cambria" w:cs="Calibri Light"/>
                <w:b/>
                <w:color w:val="000000" w:themeColor="text1"/>
                <w:sz w:val="18"/>
                <w:szCs w:val="18"/>
                <w:lang w:val="es-US"/>
              </w:rPr>
              <w:t>20</w:t>
            </w:r>
          </w:p>
        </w:tc>
      </w:tr>
      <w:tr w:rsidR="00926A24" w:rsidRPr="00896708" w14:paraId="4A76AF56" w14:textId="77777777" w:rsidTr="00AA3A3F">
        <w:trPr>
          <w:trHeight w:val="971"/>
        </w:trPr>
        <w:tc>
          <w:tcPr>
            <w:tcW w:w="7020" w:type="dxa"/>
            <w:shd w:val="clear" w:color="auto" w:fill="auto"/>
          </w:tcPr>
          <w:p w14:paraId="359B529D" w14:textId="77777777" w:rsidR="00926A24" w:rsidRPr="00896708" w:rsidRDefault="00926A24" w:rsidP="00AA3A3F">
            <w:pPr>
              <w:jc w:val="both"/>
              <w:rPr>
                <w:rFonts w:ascii="Cambria" w:hAnsi="Cambria"/>
                <w:sz w:val="18"/>
                <w:szCs w:val="18"/>
                <w:lang w:val="es-ES"/>
              </w:rPr>
            </w:pPr>
            <w:r w:rsidRPr="00896708">
              <w:rPr>
                <w:rFonts w:ascii="Cambria" w:hAnsi="Cambria"/>
                <w:sz w:val="18"/>
                <w:szCs w:val="18"/>
                <w:lang w:val="es-ES"/>
              </w:rPr>
              <w:t xml:space="preserve">1. Impulsar las medidas conducentes para anular la confesión obtenida bajo tortura en las instalaciones de la PGJDF el 30 de mayo de 1992 y de todas las actuaciones derivadas de ella; revisar la totalidad del proceso judicial contra la víctima en el presente caso; y disponer de inmediato la liberación de Alfonso Martín del Campo </w:t>
            </w:r>
            <w:proofErr w:type="spellStart"/>
            <w:r w:rsidRPr="00896708">
              <w:rPr>
                <w:rFonts w:ascii="Cambria" w:hAnsi="Cambria"/>
                <w:sz w:val="18"/>
                <w:szCs w:val="18"/>
                <w:lang w:val="es-ES"/>
              </w:rPr>
              <w:t>Dodd</w:t>
            </w:r>
            <w:proofErr w:type="spellEnd"/>
            <w:r w:rsidRPr="00896708">
              <w:rPr>
                <w:rFonts w:ascii="Cambria" w:hAnsi="Cambria"/>
                <w:sz w:val="18"/>
                <w:szCs w:val="18"/>
                <w:lang w:val="es-ES"/>
              </w:rPr>
              <w:t xml:space="preserve"> mientras se sustancian tales medidas.</w:t>
            </w:r>
          </w:p>
        </w:tc>
        <w:tc>
          <w:tcPr>
            <w:tcW w:w="2520" w:type="dxa"/>
            <w:shd w:val="clear" w:color="auto" w:fill="auto"/>
            <w:vAlign w:val="center"/>
          </w:tcPr>
          <w:p w14:paraId="22BD1260" w14:textId="77777777" w:rsidR="00926A24" w:rsidRPr="00896708" w:rsidRDefault="00926A24" w:rsidP="00AA3A3F">
            <w:pPr>
              <w:jc w:val="center"/>
              <w:rPr>
                <w:rFonts w:ascii="Cambria" w:hAnsi="Cambria"/>
                <w:color w:val="000000" w:themeColor="text1"/>
                <w:sz w:val="18"/>
                <w:szCs w:val="18"/>
                <w:lang w:val="es-ES"/>
              </w:rPr>
            </w:pPr>
            <w:r w:rsidRPr="00896708">
              <w:rPr>
                <w:rFonts w:ascii="Cambria" w:hAnsi="Cambria"/>
                <w:color w:val="000000" w:themeColor="text1"/>
                <w:sz w:val="18"/>
                <w:szCs w:val="18"/>
                <w:lang w:val="es-ES"/>
              </w:rPr>
              <w:t>Cumplimiento total</w:t>
            </w:r>
          </w:p>
        </w:tc>
      </w:tr>
      <w:tr w:rsidR="00926A24" w:rsidRPr="00896708" w14:paraId="6D9155E9" w14:textId="77777777" w:rsidTr="00AA3A3F">
        <w:tc>
          <w:tcPr>
            <w:tcW w:w="7020" w:type="dxa"/>
            <w:shd w:val="clear" w:color="auto" w:fill="auto"/>
          </w:tcPr>
          <w:p w14:paraId="46315480" w14:textId="77777777" w:rsidR="00926A24" w:rsidRPr="00896708" w:rsidRDefault="00926A24" w:rsidP="00AA3A3F">
            <w:pPr>
              <w:jc w:val="both"/>
              <w:rPr>
                <w:rFonts w:ascii="Cambria" w:hAnsi="Cambria"/>
                <w:sz w:val="18"/>
                <w:szCs w:val="18"/>
                <w:lang w:val="es-ES"/>
              </w:rPr>
            </w:pPr>
            <w:r w:rsidRPr="00896708">
              <w:rPr>
                <w:rFonts w:ascii="Cambria" w:hAnsi="Cambria"/>
                <w:sz w:val="18"/>
                <w:szCs w:val="18"/>
                <w:lang w:val="es-ES"/>
              </w:rPr>
              <w:t xml:space="preserve">2. Investigar de manera completa, imparcial y efectiva para determinar la responsabilidad de todos los autores de las violaciones a los derechos humanos en perjuicio de Alfonso Martín del Campo </w:t>
            </w:r>
            <w:proofErr w:type="spellStart"/>
            <w:r w:rsidRPr="00896708">
              <w:rPr>
                <w:rFonts w:ascii="Cambria" w:hAnsi="Cambria"/>
                <w:sz w:val="18"/>
                <w:szCs w:val="18"/>
                <w:lang w:val="es-ES"/>
              </w:rPr>
              <w:t>Dodd</w:t>
            </w:r>
            <w:proofErr w:type="spellEnd"/>
            <w:r w:rsidRPr="00896708">
              <w:rPr>
                <w:rFonts w:ascii="Cambria" w:hAnsi="Cambria"/>
                <w:sz w:val="18"/>
                <w:szCs w:val="18"/>
                <w:lang w:val="es-ES"/>
              </w:rPr>
              <w:t>.</w:t>
            </w:r>
          </w:p>
        </w:tc>
        <w:tc>
          <w:tcPr>
            <w:tcW w:w="2520" w:type="dxa"/>
            <w:shd w:val="clear" w:color="auto" w:fill="auto"/>
            <w:vAlign w:val="center"/>
          </w:tcPr>
          <w:p w14:paraId="6D839FAB" w14:textId="77777777" w:rsidR="00926A24" w:rsidRPr="00896708" w:rsidRDefault="00926A24" w:rsidP="00AA3A3F">
            <w:pPr>
              <w:jc w:val="center"/>
              <w:rPr>
                <w:rFonts w:ascii="Cambria" w:hAnsi="Cambria"/>
                <w:sz w:val="18"/>
                <w:szCs w:val="18"/>
                <w:lang w:val="es-ES"/>
              </w:rPr>
            </w:pPr>
            <w:r w:rsidRPr="00896708">
              <w:rPr>
                <w:rFonts w:ascii="Cambria" w:hAnsi="Cambria"/>
                <w:sz w:val="18"/>
                <w:szCs w:val="18"/>
                <w:lang w:val="es-ES"/>
              </w:rPr>
              <w:t>Pendiente de cumplimiento</w:t>
            </w:r>
          </w:p>
        </w:tc>
      </w:tr>
      <w:tr w:rsidR="00926A24" w:rsidRPr="00896708" w14:paraId="02ACCFE0" w14:textId="77777777" w:rsidTr="00AA3A3F">
        <w:tc>
          <w:tcPr>
            <w:tcW w:w="7020" w:type="dxa"/>
            <w:shd w:val="clear" w:color="auto" w:fill="auto"/>
          </w:tcPr>
          <w:p w14:paraId="7B99AFF8" w14:textId="77777777" w:rsidR="00926A24" w:rsidRPr="00896708" w:rsidRDefault="00926A24" w:rsidP="00AA3A3F">
            <w:pPr>
              <w:jc w:val="both"/>
              <w:rPr>
                <w:rFonts w:ascii="Cambria" w:hAnsi="Cambria"/>
                <w:sz w:val="18"/>
                <w:szCs w:val="18"/>
                <w:lang w:val="es-ES"/>
              </w:rPr>
            </w:pPr>
            <w:r w:rsidRPr="00896708">
              <w:rPr>
                <w:rFonts w:ascii="Cambria" w:hAnsi="Cambria"/>
                <w:sz w:val="18"/>
                <w:szCs w:val="18"/>
                <w:lang w:val="es-ES"/>
              </w:rPr>
              <w:t xml:space="preserve">3. Reparar adecuadamente a Alfonso Martín del Campo </w:t>
            </w:r>
            <w:proofErr w:type="spellStart"/>
            <w:r w:rsidRPr="00896708">
              <w:rPr>
                <w:rFonts w:ascii="Cambria" w:hAnsi="Cambria"/>
                <w:sz w:val="18"/>
                <w:szCs w:val="18"/>
                <w:lang w:val="es-ES"/>
              </w:rPr>
              <w:t>Dodd</w:t>
            </w:r>
            <w:proofErr w:type="spellEnd"/>
            <w:r w:rsidRPr="00896708">
              <w:rPr>
                <w:rFonts w:ascii="Cambria" w:hAnsi="Cambria"/>
                <w:sz w:val="18"/>
                <w:szCs w:val="18"/>
                <w:lang w:val="es-ES"/>
              </w:rPr>
              <w:t xml:space="preserve"> por las violaciones de los derechos humanos […] establecidas.</w:t>
            </w:r>
          </w:p>
        </w:tc>
        <w:tc>
          <w:tcPr>
            <w:tcW w:w="2520" w:type="dxa"/>
            <w:shd w:val="clear" w:color="auto" w:fill="auto"/>
            <w:vAlign w:val="center"/>
          </w:tcPr>
          <w:p w14:paraId="5200C5B0" w14:textId="77777777" w:rsidR="00926A24" w:rsidRPr="00896708" w:rsidRDefault="00926A24" w:rsidP="00AA3A3F">
            <w:pPr>
              <w:jc w:val="center"/>
              <w:rPr>
                <w:rFonts w:ascii="Cambria" w:hAnsi="Cambria"/>
                <w:sz w:val="18"/>
                <w:szCs w:val="18"/>
                <w:lang w:val="es-ES"/>
              </w:rPr>
            </w:pPr>
            <w:r w:rsidRPr="00896708">
              <w:rPr>
                <w:rFonts w:ascii="Cambria" w:hAnsi="Cambria"/>
                <w:sz w:val="18"/>
                <w:szCs w:val="18"/>
                <w:lang w:val="es-ES"/>
              </w:rPr>
              <w:t>Pendiente de cumplimiento</w:t>
            </w:r>
          </w:p>
        </w:tc>
      </w:tr>
    </w:tbl>
    <w:p w14:paraId="3AAF7D2C" w14:textId="77777777" w:rsidR="00926A24" w:rsidRPr="00896708" w:rsidRDefault="00926A24" w:rsidP="00926A24">
      <w:pPr>
        <w:jc w:val="both"/>
        <w:rPr>
          <w:rFonts w:ascii="Cambria" w:hAnsi="Cambria" w:cs="Calibri Light"/>
          <w:b/>
          <w:lang w:val="es-US"/>
        </w:rPr>
      </w:pPr>
    </w:p>
    <w:p w14:paraId="7961CEAF" w14:textId="77777777" w:rsidR="00926A24" w:rsidRPr="00896708" w:rsidRDefault="00926A24" w:rsidP="00926A24">
      <w:pPr>
        <w:pStyle w:val="ListParagraph"/>
        <w:numPr>
          <w:ilvl w:val="0"/>
          <w:numId w:val="8"/>
        </w:numPr>
        <w:ind w:left="1440"/>
        <w:jc w:val="both"/>
        <w:rPr>
          <w:rFonts w:ascii="Cambria" w:hAnsi="Cambria" w:cs="Calibri Light"/>
          <w:b/>
          <w:sz w:val="20"/>
          <w:szCs w:val="20"/>
          <w:lang w:val="es-ES_tradnl"/>
        </w:rPr>
      </w:pPr>
      <w:r w:rsidRPr="00896708">
        <w:rPr>
          <w:rFonts w:ascii="Cambria" w:hAnsi="Cambria"/>
          <w:b/>
          <w:sz w:val="20"/>
          <w:szCs w:val="20"/>
          <w:lang w:val="es-VE"/>
        </w:rPr>
        <w:t>Actividad Procesal</w:t>
      </w:r>
    </w:p>
    <w:p w14:paraId="38430E47" w14:textId="77777777" w:rsidR="00926A24" w:rsidRPr="00896708" w:rsidRDefault="00926A24" w:rsidP="00926A24">
      <w:pPr>
        <w:jc w:val="both"/>
        <w:rPr>
          <w:rFonts w:ascii="Cambria" w:hAnsi="Cambria" w:cs="Calibri Light"/>
          <w:sz w:val="20"/>
          <w:szCs w:val="20"/>
          <w:lang w:val="es-ES_tradnl"/>
        </w:rPr>
      </w:pPr>
    </w:p>
    <w:p w14:paraId="7F87999F" w14:textId="77777777" w:rsidR="00926A24" w:rsidRPr="00896708" w:rsidRDefault="00926A24" w:rsidP="00926A24">
      <w:pPr>
        <w:numPr>
          <w:ilvl w:val="0"/>
          <w:numId w:val="15"/>
        </w:numPr>
        <w:ind w:left="0" w:firstLine="720"/>
        <w:jc w:val="both"/>
        <w:rPr>
          <w:rFonts w:ascii="Cambria" w:hAnsi="Cambria" w:cs="Calibri Light"/>
          <w:sz w:val="20"/>
          <w:szCs w:val="20"/>
          <w:lang w:val="es-ES_tradnl"/>
        </w:rPr>
      </w:pPr>
      <w:r w:rsidRPr="00896708">
        <w:rPr>
          <w:rFonts w:ascii="Cambria" w:hAnsi="Cambria" w:cs="Calibri Light"/>
          <w:sz w:val="20"/>
          <w:lang w:val="es-ES_tradnl"/>
        </w:rPr>
        <w:t>El 29 de octubre de 2014 la CIDH sostuvo una reunión de trabajo con las partes en el marco del 153º Periodo de Sesiones, en seguimiento a las recomendaciones emitidas en el Informe de Fondo Nº 117/09.</w:t>
      </w:r>
    </w:p>
    <w:p w14:paraId="101D752E" w14:textId="77777777" w:rsidR="00926A24" w:rsidRPr="00896708" w:rsidRDefault="00926A24" w:rsidP="00926A24">
      <w:pPr>
        <w:ind w:left="720"/>
        <w:jc w:val="both"/>
        <w:rPr>
          <w:rFonts w:ascii="Cambria" w:hAnsi="Cambria" w:cs="Calibri Light"/>
          <w:sz w:val="20"/>
          <w:szCs w:val="20"/>
          <w:lang w:val="es-ES_tradnl"/>
        </w:rPr>
      </w:pPr>
    </w:p>
    <w:p w14:paraId="55252879" w14:textId="5CA6EB56" w:rsidR="00926A24" w:rsidRPr="00896708" w:rsidRDefault="00926A24" w:rsidP="00926A24">
      <w:pPr>
        <w:pStyle w:val="ListParagraph"/>
        <w:ind w:left="0" w:firstLine="720"/>
        <w:jc w:val="both"/>
        <w:rPr>
          <w:rFonts w:ascii="Cambria" w:hAnsi="Cambria"/>
          <w:color w:val="000000" w:themeColor="text1"/>
          <w:sz w:val="20"/>
          <w:szCs w:val="20"/>
          <w:lang w:val="es-ES"/>
        </w:rPr>
      </w:pPr>
      <w:r w:rsidRPr="00896708">
        <w:rPr>
          <w:rFonts w:ascii="Cambria" w:hAnsi="Cambria" w:cs="Calibri Light"/>
          <w:sz w:val="20"/>
          <w:szCs w:val="20"/>
          <w:lang w:val="es-ES"/>
        </w:rPr>
        <w:t xml:space="preserve">2. </w:t>
      </w:r>
      <w:r w:rsidRPr="00896708">
        <w:rPr>
          <w:rFonts w:ascii="Cambria" w:hAnsi="Cambria" w:cs="Calibri Light"/>
          <w:sz w:val="20"/>
          <w:szCs w:val="20"/>
          <w:lang w:val="es-ES"/>
        </w:rPr>
        <w:tab/>
        <w:t>Mediante comunicación del 29 de octubre de 2014, el Estado de México afirmó que tenía una diferencia de interpretación con la CIDH respecto de cómo deben entenderse sus facultades para publicar un informe de fondo, una vez que la Corte Interamericana ya ha determinado que no tiene jurisdicción sobre un caso. A juicio del Estado mexicano, si un caso es enviado a la Corte, independiente de si ésta se pronuncia sobre el fondo o no, la CIDH ya no podría publicar el informe de fondo, pues se atentaría contra la seguridad jurídica del Estado. Por lo anterior, el Estado de México en su comunicación concluyó que no rendirá más observaciones sobre este caso ante la CIDH</w:t>
      </w:r>
      <w:r w:rsidRPr="00896708">
        <w:rPr>
          <w:rStyle w:val="FootnoteReference"/>
          <w:rFonts w:ascii="Cambria" w:hAnsi="Cambria" w:cs="Cambria"/>
          <w:sz w:val="20"/>
          <w:szCs w:val="20"/>
          <w:lang w:val="es-ES" w:eastAsia="pt-BR"/>
        </w:rPr>
        <w:footnoteReference w:id="1"/>
      </w:r>
      <w:r w:rsidRPr="00896708">
        <w:rPr>
          <w:rStyle w:val="FootnoteReference"/>
          <w:rFonts w:ascii="Cambria" w:hAnsi="Cambria" w:cs="Cambria"/>
          <w:sz w:val="20"/>
          <w:szCs w:val="20"/>
          <w:lang w:val="es-ES" w:eastAsia="pt-BR"/>
        </w:rPr>
        <w:t>.</w:t>
      </w:r>
      <w:r w:rsidRPr="00896708">
        <w:rPr>
          <w:rFonts w:ascii="Cambria" w:hAnsi="Cambria" w:cs="Cambria"/>
          <w:sz w:val="20"/>
          <w:szCs w:val="20"/>
          <w:lang w:val="es-US" w:eastAsia="pt-BR"/>
        </w:rPr>
        <w:t>.</w:t>
      </w:r>
      <w:r w:rsidRPr="00896708">
        <w:rPr>
          <w:rFonts w:ascii="Cambria" w:hAnsi="Cambria"/>
          <w:sz w:val="20"/>
          <w:szCs w:val="20"/>
          <w:lang w:val="es-ES"/>
        </w:rPr>
        <w:t xml:space="preserve"> </w:t>
      </w:r>
    </w:p>
    <w:p w14:paraId="2E7A2542" w14:textId="77777777" w:rsidR="00926A24" w:rsidRPr="00896708" w:rsidRDefault="00926A24" w:rsidP="00926A24">
      <w:pPr>
        <w:jc w:val="both"/>
        <w:rPr>
          <w:rFonts w:ascii="Cambria" w:hAnsi="Cambria" w:cs="Calibri Light"/>
          <w:color w:val="000000" w:themeColor="text1"/>
          <w:sz w:val="20"/>
          <w:szCs w:val="20"/>
          <w:lang w:val="es-ES_tradnl"/>
        </w:rPr>
      </w:pPr>
    </w:p>
    <w:p w14:paraId="1EF422E8" w14:textId="63668AE7" w:rsidR="00926A24" w:rsidRPr="00896708" w:rsidRDefault="00926A24" w:rsidP="00926A24">
      <w:pPr>
        <w:numPr>
          <w:ilvl w:val="0"/>
          <w:numId w:val="18"/>
        </w:numPr>
        <w:ind w:left="0" w:firstLine="720"/>
        <w:jc w:val="both"/>
        <w:rPr>
          <w:rFonts w:ascii="Cambria" w:hAnsi="Cambria" w:cs="Calibri Light"/>
          <w:color w:val="000000" w:themeColor="text1"/>
          <w:sz w:val="20"/>
          <w:szCs w:val="20"/>
          <w:lang w:val="es-ES_tradnl"/>
        </w:rPr>
      </w:pPr>
      <w:r w:rsidRPr="00896708">
        <w:rPr>
          <w:rFonts w:ascii="Cambria" w:hAnsi="Cambria" w:cs="Calibri Light"/>
          <w:color w:val="000000" w:themeColor="text1"/>
          <w:sz w:val="20"/>
          <w:szCs w:val="20"/>
          <w:lang w:val="es-ES_tradnl"/>
        </w:rPr>
        <w:t xml:space="preserve">El </w:t>
      </w:r>
      <w:r w:rsidR="00B77D67" w:rsidRPr="00896708">
        <w:rPr>
          <w:rFonts w:ascii="Cambria" w:hAnsi="Cambria" w:cs="Calibri Light"/>
          <w:color w:val="000000" w:themeColor="text1"/>
          <w:sz w:val="20"/>
          <w:szCs w:val="20"/>
          <w:lang w:val="es-ES_tradnl"/>
        </w:rPr>
        <w:t>17</w:t>
      </w:r>
      <w:r w:rsidRPr="00896708">
        <w:rPr>
          <w:rFonts w:ascii="Cambria" w:hAnsi="Cambria" w:cs="Calibri Light"/>
          <w:color w:val="000000" w:themeColor="text1"/>
          <w:sz w:val="20"/>
          <w:szCs w:val="20"/>
          <w:lang w:val="es-ES_tradnl"/>
        </w:rPr>
        <w:t xml:space="preserve"> de </w:t>
      </w:r>
      <w:r w:rsidR="00B77D67" w:rsidRPr="00896708">
        <w:rPr>
          <w:rFonts w:ascii="Cambria" w:hAnsi="Cambria" w:cs="Calibri Light"/>
          <w:color w:val="000000" w:themeColor="text1"/>
          <w:sz w:val="20"/>
          <w:szCs w:val="20"/>
          <w:lang w:val="es-ES_tradnl"/>
        </w:rPr>
        <w:t>agosto</w:t>
      </w:r>
      <w:r w:rsidRPr="00896708">
        <w:rPr>
          <w:rFonts w:ascii="Cambria" w:hAnsi="Cambria" w:cs="Calibri Light"/>
          <w:color w:val="000000" w:themeColor="text1"/>
          <w:sz w:val="20"/>
          <w:szCs w:val="20"/>
          <w:lang w:val="es-ES_tradnl"/>
        </w:rPr>
        <w:t xml:space="preserve"> de </w:t>
      </w:r>
      <w:r w:rsidR="00B77D67" w:rsidRPr="00896708">
        <w:rPr>
          <w:rFonts w:ascii="Cambria" w:hAnsi="Cambria" w:cs="Calibri Light"/>
          <w:color w:val="000000" w:themeColor="text1"/>
          <w:sz w:val="20"/>
          <w:szCs w:val="20"/>
          <w:lang w:val="es-ES_tradnl"/>
        </w:rPr>
        <w:t>2020</w:t>
      </w:r>
      <w:r w:rsidRPr="00896708">
        <w:rPr>
          <w:rFonts w:ascii="Cambria" w:hAnsi="Cambria" w:cs="Calibri Light"/>
          <w:color w:val="000000" w:themeColor="text1"/>
          <w:sz w:val="20"/>
          <w:szCs w:val="20"/>
          <w:lang w:val="es-ES_tradnl"/>
        </w:rPr>
        <w:t xml:space="preserve"> la CIDH solicitó al Estado y a los </w:t>
      </w:r>
      <w:r w:rsidR="00B77D67" w:rsidRPr="00896708">
        <w:rPr>
          <w:rFonts w:ascii="Cambria" w:hAnsi="Cambria" w:cs="Calibri Light"/>
          <w:color w:val="000000" w:themeColor="text1"/>
          <w:sz w:val="20"/>
          <w:szCs w:val="20"/>
          <w:lang w:val="es-ES_tradnl"/>
        </w:rPr>
        <w:t>peticionarios información</w:t>
      </w:r>
      <w:r w:rsidRPr="00896708">
        <w:rPr>
          <w:rFonts w:ascii="Cambria" w:hAnsi="Cambria" w:cs="Calibri Light"/>
          <w:color w:val="000000" w:themeColor="text1"/>
          <w:sz w:val="20"/>
          <w:szCs w:val="20"/>
          <w:lang w:val="es-ES_tradnl"/>
        </w:rPr>
        <w:t xml:space="preserve"> actualizada sobre el cumplimiento</w:t>
      </w:r>
      <w:r w:rsidRPr="00896708">
        <w:rPr>
          <w:rFonts w:ascii="Cambria" w:hAnsi="Cambria" w:cs="Calibri Light"/>
          <w:color w:val="000000" w:themeColor="text1"/>
          <w:sz w:val="20"/>
          <w:szCs w:val="20"/>
          <w:lang w:val="es-ES"/>
        </w:rPr>
        <w:t xml:space="preserve"> de las recomendaciones emitidas en el Informe de Fondo Nº 117/09. </w:t>
      </w:r>
      <w:r w:rsidRPr="00896708">
        <w:rPr>
          <w:rFonts w:ascii="Cambria" w:hAnsi="Cambria"/>
          <w:color w:val="000000" w:themeColor="text1"/>
          <w:sz w:val="20"/>
          <w:szCs w:val="20"/>
          <w:lang w:val="es-ES_tradnl"/>
        </w:rPr>
        <w:t>A la fecha de cierre de este informe, la Comisión no había recibido dicha información de ninguna de las partes.</w:t>
      </w:r>
      <w:r w:rsidR="003E617F" w:rsidRPr="00896708">
        <w:rPr>
          <w:rFonts w:ascii="Cambria" w:hAnsi="Cambria" w:cs="Calibri Light"/>
          <w:color w:val="000000" w:themeColor="text1"/>
          <w:sz w:val="20"/>
          <w:szCs w:val="20"/>
          <w:lang w:val="es-US"/>
        </w:rPr>
        <w:t xml:space="preserve"> La Comisión observa que el Estado mexicano no ha presentado información sobre las medidas adoptadas para implementar las recomendaciones contenidas en el Informe de Fondo No. 117/09 a la CIDH desde el 2014.</w:t>
      </w:r>
    </w:p>
    <w:p w14:paraId="16EBCE2A" w14:textId="77777777" w:rsidR="00926A24" w:rsidRPr="00896708" w:rsidRDefault="00926A24" w:rsidP="00926A24">
      <w:pPr>
        <w:jc w:val="both"/>
        <w:rPr>
          <w:rFonts w:ascii="Cambria" w:hAnsi="Cambria" w:cs="Calibri Light"/>
          <w:sz w:val="20"/>
          <w:szCs w:val="20"/>
          <w:lang w:val="es-ES_tradnl"/>
        </w:rPr>
      </w:pPr>
    </w:p>
    <w:p w14:paraId="6F50D75A" w14:textId="77777777" w:rsidR="00926A24" w:rsidRPr="00896708" w:rsidRDefault="00926A24" w:rsidP="00926A24">
      <w:pPr>
        <w:pStyle w:val="ListParagraph"/>
        <w:numPr>
          <w:ilvl w:val="0"/>
          <w:numId w:val="8"/>
        </w:numPr>
        <w:ind w:left="1440"/>
        <w:jc w:val="both"/>
        <w:rPr>
          <w:rFonts w:ascii="Cambria" w:hAnsi="Cambria" w:cs="Calibri Light"/>
          <w:b/>
          <w:sz w:val="20"/>
          <w:szCs w:val="20"/>
          <w:lang w:val="es-ES_tradnl"/>
        </w:rPr>
      </w:pPr>
      <w:r w:rsidRPr="00896708">
        <w:rPr>
          <w:rFonts w:ascii="Cambria" w:hAnsi="Cambria" w:cs="Calibri Light"/>
          <w:b/>
          <w:sz w:val="20"/>
          <w:szCs w:val="20"/>
          <w:lang w:val="es-ES_tradnl"/>
        </w:rPr>
        <w:t>Análisis relativo a la información proporcionada</w:t>
      </w:r>
    </w:p>
    <w:p w14:paraId="6559D4E7" w14:textId="41F89A51" w:rsidR="00B77D67" w:rsidRPr="00896708" w:rsidRDefault="00B77D67" w:rsidP="003E617F">
      <w:pPr>
        <w:rPr>
          <w:rFonts w:ascii="Cambria" w:hAnsi="Cambria" w:cs="Calibri Light"/>
          <w:color w:val="000000" w:themeColor="text1"/>
          <w:sz w:val="20"/>
          <w:szCs w:val="20"/>
          <w:lang w:val="es-ES_tradnl"/>
        </w:rPr>
      </w:pPr>
      <w:bookmarkStart w:id="0" w:name="_Hlk57247496"/>
      <w:bookmarkStart w:id="1" w:name="_Hlk57232159"/>
    </w:p>
    <w:p w14:paraId="5805185E" w14:textId="123679CA" w:rsidR="00B77D67" w:rsidRPr="00896708" w:rsidRDefault="003E617F" w:rsidP="00B77D67">
      <w:pPr>
        <w:numPr>
          <w:ilvl w:val="0"/>
          <w:numId w:val="18"/>
        </w:numPr>
        <w:ind w:left="0" w:firstLine="810"/>
        <w:jc w:val="both"/>
        <w:rPr>
          <w:rFonts w:ascii="Cambria" w:hAnsi="Cambria" w:cs="Calibri Light"/>
          <w:color w:val="000000" w:themeColor="text1"/>
          <w:sz w:val="20"/>
          <w:szCs w:val="20"/>
          <w:lang w:val="es-US"/>
        </w:rPr>
      </w:pPr>
      <w:r w:rsidRPr="00896708">
        <w:rPr>
          <w:rFonts w:ascii="Cambria" w:hAnsi="Cambria" w:cs="Calibri Light"/>
          <w:color w:val="000000" w:themeColor="text1"/>
          <w:sz w:val="20"/>
          <w:szCs w:val="20"/>
          <w:lang w:val="es-ES_tradnl"/>
        </w:rPr>
        <w:t>Ante</w:t>
      </w:r>
      <w:r w:rsidR="00B77D67" w:rsidRPr="00896708">
        <w:rPr>
          <w:rFonts w:ascii="Cambria" w:hAnsi="Cambria" w:cs="Calibri Light"/>
          <w:color w:val="000000" w:themeColor="text1"/>
          <w:sz w:val="20"/>
          <w:szCs w:val="20"/>
          <w:lang w:val="es-ES_tradnl"/>
        </w:rPr>
        <w:t xml:space="preserve"> la ausencia de información actualizada sobre el nivel de cumplimiento de las recomendaciones, la CIDH reitera el análisis y las conclusiones realizadas en su Informe Anual 2019.</w:t>
      </w:r>
      <w:bookmarkEnd w:id="0"/>
      <w:bookmarkEnd w:id="1"/>
    </w:p>
    <w:p w14:paraId="047A6CFC" w14:textId="77777777" w:rsidR="00926A24" w:rsidRPr="00896708" w:rsidRDefault="00926A24" w:rsidP="00926A24">
      <w:pPr>
        <w:jc w:val="both"/>
        <w:rPr>
          <w:rFonts w:ascii="Cambria" w:hAnsi="Cambria" w:cs="Calibri Light"/>
          <w:sz w:val="20"/>
          <w:szCs w:val="20"/>
          <w:lang w:val="es-US"/>
        </w:rPr>
      </w:pPr>
    </w:p>
    <w:p w14:paraId="67B3AB87" w14:textId="77777777" w:rsidR="00926A24" w:rsidRPr="00896708" w:rsidRDefault="00926A24" w:rsidP="00926A24">
      <w:pPr>
        <w:pStyle w:val="ListParagraph"/>
        <w:numPr>
          <w:ilvl w:val="0"/>
          <w:numId w:val="8"/>
        </w:numPr>
        <w:ind w:left="1440"/>
        <w:jc w:val="both"/>
        <w:rPr>
          <w:rFonts w:ascii="Cambria" w:hAnsi="Cambria" w:cs="Calibri Light"/>
          <w:b/>
          <w:sz w:val="20"/>
          <w:szCs w:val="20"/>
          <w:lang w:val="es-ES_tradnl"/>
        </w:rPr>
      </w:pPr>
      <w:r w:rsidRPr="00896708">
        <w:rPr>
          <w:rFonts w:ascii="Cambria" w:hAnsi="Cambria" w:cs="Calibri Light"/>
          <w:b/>
          <w:sz w:val="20"/>
          <w:szCs w:val="20"/>
          <w:lang w:val="es-US"/>
        </w:rPr>
        <w:t>Análisis del cumplimiento de las recomendaciones</w:t>
      </w:r>
    </w:p>
    <w:p w14:paraId="309960CF" w14:textId="1FDA1ABF" w:rsidR="00926A24" w:rsidRPr="00896708" w:rsidRDefault="00926A24" w:rsidP="00475DCC">
      <w:pPr>
        <w:jc w:val="both"/>
        <w:rPr>
          <w:rFonts w:ascii="Cambria" w:hAnsi="Cambria" w:cs="Cambria"/>
          <w:sz w:val="20"/>
          <w:szCs w:val="20"/>
          <w:lang w:val="es-US" w:eastAsia="pt-BR"/>
        </w:rPr>
      </w:pPr>
    </w:p>
    <w:p w14:paraId="0723A4AB" w14:textId="6A3AD8C6" w:rsidR="00926A24" w:rsidRPr="00896708" w:rsidRDefault="00926A24" w:rsidP="00926A24">
      <w:pPr>
        <w:numPr>
          <w:ilvl w:val="0"/>
          <w:numId w:val="18"/>
        </w:numPr>
        <w:ind w:left="0" w:firstLine="810"/>
        <w:jc w:val="both"/>
        <w:rPr>
          <w:rFonts w:ascii="Cambria" w:hAnsi="Cambria" w:cs="Cambria"/>
          <w:color w:val="000000" w:themeColor="text1"/>
          <w:sz w:val="20"/>
          <w:szCs w:val="20"/>
          <w:lang w:val="es-US" w:eastAsia="pt-BR"/>
        </w:rPr>
      </w:pPr>
      <w:r w:rsidRPr="00896708">
        <w:rPr>
          <w:rFonts w:ascii="Cambria" w:hAnsi="Cambria" w:cs="Calibri Light"/>
          <w:b/>
          <w:sz w:val="20"/>
          <w:szCs w:val="20"/>
          <w:lang w:val="es-US"/>
        </w:rPr>
        <w:t>En relación con la segunda recomendación</w:t>
      </w:r>
      <w:r w:rsidR="00475DCC" w:rsidRPr="00896708">
        <w:rPr>
          <w:rFonts w:ascii="Cambria" w:hAnsi="Cambria" w:cs="Calibri Light"/>
          <w:b/>
          <w:sz w:val="20"/>
          <w:szCs w:val="20"/>
          <w:lang w:val="es-US"/>
        </w:rPr>
        <w:t>,</w:t>
      </w:r>
      <w:r w:rsidR="00683FDA" w:rsidRPr="00896708">
        <w:rPr>
          <w:rFonts w:ascii="Cambria" w:hAnsi="Cambria" w:cs="Calibri Light"/>
          <w:color w:val="FF0000"/>
          <w:sz w:val="20"/>
          <w:szCs w:val="20"/>
          <w:lang w:val="es-US"/>
        </w:rPr>
        <w:t xml:space="preserve"> </w:t>
      </w:r>
      <w:r w:rsidR="00683FDA" w:rsidRPr="00896708">
        <w:rPr>
          <w:rFonts w:ascii="Cambria" w:hAnsi="Cambria" w:cs="Calibri Light"/>
          <w:color w:val="000000" w:themeColor="text1"/>
          <w:sz w:val="20"/>
          <w:szCs w:val="20"/>
          <w:lang w:val="es-US"/>
        </w:rPr>
        <w:t xml:space="preserve">en 2020, ninguna de las partes </w:t>
      </w:r>
      <w:r w:rsidR="00537D1F" w:rsidRPr="00896708">
        <w:rPr>
          <w:rFonts w:ascii="Cambria" w:hAnsi="Cambria" w:cs="Calibri Light"/>
          <w:color w:val="000000" w:themeColor="text1"/>
          <w:sz w:val="20"/>
          <w:szCs w:val="20"/>
          <w:lang w:val="es-US"/>
        </w:rPr>
        <w:t>ha proporcionado</w:t>
      </w:r>
      <w:r w:rsidRPr="00896708">
        <w:rPr>
          <w:rFonts w:ascii="Cambria" w:hAnsi="Cambria" w:cs="Calibri Light"/>
          <w:color w:val="000000" w:themeColor="text1"/>
          <w:sz w:val="20"/>
          <w:szCs w:val="20"/>
          <w:lang w:val="es-US"/>
        </w:rPr>
        <w:t xml:space="preserve"> información actualizada sobre su cumplimiento. </w:t>
      </w:r>
    </w:p>
    <w:p w14:paraId="7D70E1D3" w14:textId="77777777" w:rsidR="00926A24" w:rsidRPr="00896708" w:rsidRDefault="00926A24" w:rsidP="00926A24">
      <w:pPr>
        <w:jc w:val="both"/>
        <w:rPr>
          <w:rFonts w:ascii="Cambria" w:hAnsi="Cambria" w:cs="Cambria"/>
          <w:sz w:val="20"/>
          <w:szCs w:val="20"/>
          <w:lang w:val="es-US" w:eastAsia="pt-BR"/>
        </w:rPr>
      </w:pPr>
    </w:p>
    <w:p w14:paraId="6E945436" w14:textId="00973749" w:rsidR="00926A24" w:rsidRPr="00896708" w:rsidRDefault="00683FDA" w:rsidP="00926A24">
      <w:pPr>
        <w:numPr>
          <w:ilvl w:val="0"/>
          <w:numId w:val="18"/>
        </w:numPr>
        <w:ind w:left="0" w:firstLine="810"/>
        <w:jc w:val="both"/>
        <w:rPr>
          <w:lang w:val="es-US" w:eastAsia="pt-BR"/>
        </w:rPr>
      </w:pPr>
      <w:r w:rsidRPr="00896708">
        <w:rPr>
          <w:rFonts w:ascii="Cambria" w:hAnsi="Cambria" w:cs="Calibri Light"/>
          <w:sz w:val="20"/>
          <w:szCs w:val="20"/>
          <w:lang w:val="es-ES"/>
        </w:rPr>
        <w:t>E</w:t>
      </w:r>
      <w:r w:rsidR="00926A24" w:rsidRPr="00896708">
        <w:rPr>
          <w:rFonts w:ascii="Cambria" w:hAnsi="Cambria" w:cs="Calibri Light"/>
          <w:sz w:val="20"/>
          <w:szCs w:val="20"/>
          <w:lang w:val="es-ES"/>
        </w:rPr>
        <w:t xml:space="preserve">n 2017, los representantes de las víctimas denunciaron nuevamente la absoluta inacción del Estado en lo que respecta a las investigaciones de las personas responsables de llevar a cabo la tortura y de desconocer las garantías judiciales de Alfonso Martín del Campo </w:t>
      </w:r>
      <w:proofErr w:type="spellStart"/>
      <w:r w:rsidR="00926A24" w:rsidRPr="00896708">
        <w:rPr>
          <w:rFonts w:ascii="Cambria" w:hAnsi="Cambria" w:cs="Calibri Light"/>
          <w:sz w:val="20"/>
          <w:szCs w:val="20"/>
          <w:lang w:val="es-ES"/>
        </w:rPr>
        <w:t>Dodd</w:t>
      </w:r>
      <w:proofErr w:type="spellEnd"/>
      <w:r w:rsidR="00926A24" w:rsidRPr="00896708">
        <w:rPr>
          <w:rStyle w:val="FootnoteReference"/>
          <w:rFonts w:ascii="Cambria" w:hAnsi="Cambria" w:cs="Cambria"/>
          <w:sz w:val="20"/>
          <w:szCs w:val="20"/>
          <w:lang w:val="es-ES" w:eastAsia="pt-BR"/>
        </w:rPr>
        <w:footnoteReference w:id="2"/>
      </w:r>
      <w:r w:rsidR="00926A24" w:rsidRPr="00896708">
        <w:rPr>
          <w:rFonts w:ascii="Cambria" w:hAnsi="Cambria" w:cs="Calibri Light"/>
          <w:sz w:val="20"/>
          <w:szCs w:val="20"/>
          <w:lang w:val="es-ES"/>
        </w:rPr>
        <w:t xml:space="preserve">. </w:t>
      </w:r>
      <w:r w:rsidR="00926A24" w:rsidRPr="00896708">
        <w:rPr>
          <w:rFonts w:ascii="Cambria" w:hAnsi="Cambria" w:cs="Cambria"/>
          <w:sz w:val="20"/>
          <w:szCs w:val="20"/>
          <w:lang w:val="es-US" w:eastAsia="pt-BR"/>
        </w:rPr>
        <w:t>En 2019, los peticionarios informaron que los responsables de las violaciones a los derechos humanos de la víctima no han sido investigados.</w:t>
      </w:r>
    </w:p>
    <w:p w14:paraId="4B6F7F7F" w14:textId="77777777" w:rsidR="00926A24" w:rsidRPr="00896708" w:rsidRDefault="00926A24" w:rsidP="00926A24">
      <w:pPr>
        <w:ind w:left="810"/>
        <w:jc w:val="both"/>
        <w:rPr>
          <w:rFonts w:ascii="Cambria" w:hAnsi="Cambria" w:cs="Cambria"/>
          <w:sz w:val="20"/>
          <w:szCs w:val="20"/>
          <w:lang w:val="es-US" w:eastAsia="pt-BR"/>
        </w:rPr>
      </w:pPr>
    </w:p>
    <w:p w14:paraId="0F7B09ED" w14:textId="0C3268AB" w:rsidR="00926A24" w:rsidRPr="00896708" w:rsidRDefault="00683FDA" w:rsidP="00926A24">
      <w:pPr>
        <w:numPr>
          <w:ilvl w:val="0"/>
          <w:numId w:val="18"/>
        </w:numPr>
        <w:ind w:left="0" w:firstLine="810"/>
        <w:jc w:val="both"/>
        <w:rPr>
          <w:rFonts w:ascii="Cambria" w:hAnsi="Cambria" w:cs="Cambria"/>
          <w:sz w:val="20"/>
          <w:szCs w:val="20"/>
          <w:lang w:val="es-US" w:eastAsia="pt-BR"/>
        </w:rPr>
      </w:pPr>
      <w:r w:rsidRPr="00896708">
        <w:rPr>
          <w:rFonts w:ascii="Cambria" w:hAnsi="Cambria" w:cs="Calibri Light"/>
          <w:sz w:val="20"/>
          <w:szCs w:val="20"/>
          <w:lang w:val="es-US"/>
        </w:rPr>
        <w:t xml:space="preserve">Dada la falta de información actualizada en 2020, </w:t>
      </w:r>
      <w:r w:rsidR="00926A24" w:rsidRPr="00896708">
        <w:rPr>
          <w:rFonts w:ascii="Cambria" w:hAnsi="Cambria" w:cs="Calibri Light"/>
          <w:sz w:val="20"/>
          <w:szCs w:val="20"/>
          <w:lang w:val="es-US"/>
        </w:rPr>
        <w:t xml:space="preserve">La CIDH solicita el Estado información detallada sobre las acciones que ha adoptado para investigar de manera completa, imparcial y efectiva las violaciones a los derechos humanos en perjuicio de </w:t>
      </w:r>
      <w:r w:rsidR="00926A24" w:rsidRPr="00896708">
        <w:rPr>
          <w:rFonts w:ascii="Cambria" w:hAnsi="Cambria"/>
          <w:sz w:val="20"/>
          <w:szCs w:val="20"/>
          <w:lang w:val="es-ES"/>
        </w:rPr>
        <w:t xml:space="preserve">Alfonso Martín del Campo </w:t>
      </w:r>
      <w:proofErr w:type="spellStart"/>
      <w:r w:rsidR="00926A24" w:rsidRPr="00896708">
        <w:rPr>
          <w:rFonts w:ascii="Cambria" w:hAnsi="Cambria"/>
          <w:sz w:val="20"/>
          <w:szCs w:val="20"/>
          <w:lang w:val="es-ES"/>
        </w:rPr>
        <w:t>Dodd</w:t>
      </w:r>
      <w:proofErr w:type="spellEnd"/>
      <w:r w:rsidR="00926A24" w:rsidRPr="00896708">
        <w:rPr>
          <w:rFonts w:ascii="Cambria" w:hAnsi="Cambria"/>
          <w:sz w:val="20"/>
          <w:szCs w:val="20"/>
          <w:lang w:val="es-ES"/>
        </w:rPr>
        <w:t xml:space="preserve">. Por lo tanto, </w:t>
      </w:r>
      <w:r w:rsidR="00926A24" w:rsidRPr="00896708">
        <w:rPr>
          <w:rFonts w:ascii="Cambria" w:hAnsi="Cambria" w:cs="Calibri Light"/>
          <w:sz w:val="20"/>
          <w:szCs w:val="20"/>
          <w:lang w:val="es-US"/>
        </w:rPr>
        <w:t>considera que la Recomendación 2 se encuentra pendiente de cumplimiento.</w:t>
      </w:r>
    </w:p>
    <w:p w14:paraId="7E3873F4" w14:textId="77777777" w:rsidR="00926A24" w:rsidRPr="00896708" w:rsidRDefault="00926A24" w:rsidP="00926A24">
      <w:pPr>
        <w:ind w:left="810"/>
        <w:jc w:val="both"/>
        <w:rPr>
          <w:rFonts w:ascii="Cambria" w:hAnsi="Cambria" w:cs="Cambria"/>
          <w:sz w:val="20"/>
          <w:szCs w:val="20"/>
          <w:lang w:val="es-US" w:eastAsia="pt-BR"/>
        </w:rPr>
      </w:pPr>
    </w:p>
    <w:p w14:paraId="56C553F2" w14:textId="3C10607A" w:rsidR="00926A24" w:rsidRPr="00896708" w:rsidRDefault="00926A24" w:rsidP="00926A24">
      <w:pPr>
        <w:numPr>
          <w:ilvl w:val="0"/>
          <w:numId w:val="18"/>
        </w:numPr>
        <w:spacing w:after="200"/>
        <w:ind w:left="0" w:firstLine="810"/>
        <w:jc w:val="both"/>
        <w:rPr>
          <w:rFonts w:ascii="Cambria" w:hAnsi="Cambria" w:cs="Calibri Light"/>
          <w:sz w:val="20"/>
          <w:szCs w:val="20"/>
          <w:lang w:val="es-ES"/>
        </w:rPr>
      </w:pPr>
      <w:r w:rsidRPr="00896708">
        <w:rPr>
          <w:rFonts w:ascii="Cambria" w:hAnsi="Cambria" w:cs="Calibri Light"/>
          <w:b/>
          <w:sz w:val="20"/>
          <w:szCs w:val="20"/>
          <w:lang w:val="es-US"/>
        </w:rPr>
        <w:t>En relación con la tercera recomendación</w:t>
      </w:r>
      <w:r w:rsidRPr="00896708">
        <w:rPr>
          <w:rFonts w:ascii="Cambria" w:hAnsi="Cambria" w:cs="Calibri Light"/>
          <w:sz w:val="20"/>
          <w:szCs w:val="20"/>
          <w:lang w:val="es-US"/>
        </w:rPr>
        <w:t xml:space="preserve">, </w:t>
      </w:r>
      <w:r w:rsidR="00683FDA" w:rsidRPr="00896708">
        <w:rPr>
          <w:rFonts w:ascii="Cambria" w:hAnsi="Cambria" w:cs="Calibri Light"/>
          <w:color w:val="000000" w:themeColor="text1"/>
          <w:sz w:val="20"/>
          <w:szCs w:val="20"/>
          <w:lang w:val="es-US"/>
        </w:rPr>
        <w:t xml:space="preserve">ninguna de las partes </w:t>
      </w:r>
      <w:r w:rsidR="00537D1F" w:rsidRPr="00896708">
        <w:rPr>
          <w:rFonts w:ascii="Cambria" w:hAnsi="Cambria" w:cs="Calibri Light"/>
          <w:color w:val="000000" w:themeColor="text1"/>
          <w:sz w:val="20"/>
          <w:szCs w:val="20"/>
          <w:lang w:val="es-US"/>
        </w:rPr>
        <w:t xml:space="preserve">ha presentado </w:t>
      </w:r>
      <w:r w:rsidR="00683FDA" w:rsidRPr="00896708">
        <w:rPr>
          <w:rFonts w:ascii="Cambria" w:hAnsi="Cambria" w:cs="Calibri Light"/>
          <w:color w:val="000000" w:themeColor="text1"/>
          <w:sz w:val="20"/>
          <w:szCs w:val="20"/>
          <w:lang w:val="es-US"/>
        </w:rPr>
        <w:t xml:space="preserve">información </w:t>
      </w:r>
      <w:r w:rsidR="00537D1F" w:rsidRPr="00896708">
        <w:rPr>
          <w:rFonts w:ascii="Cambria" w:hAnsi="Cambria" w:cs="Calibri Light"/>
          <w:color w:val="000000" w:themeColor="text1"/>
          <w:sz w:val="20"/>
          <w:szCs w:val="20"/>
          <w:lang w:val="es-US"/>
        </w:rPr>
        <w:t xml:space="preserve">actualizada </w:t>
      </w:r>
      <w:r w:rsidR="00683FDA" w:rsidRPr="00896708">
        <w:rPr>
          <w:rFonts w:ascii="Cambria" w:hAnsi="Cambria" w:cs="Calibri Light"/>
          <w:color w:val="000000" w:themeColor="text1"/>
          <w:sz w:val="20"/>
          <w:szCs w:val="20"/>
          <w:lang w:val="es-US"/>
        </w:rPr>
        <w:t xml:space="preserve">sobre las medidas adoptadas por el Estado </w:t>
      </w:r>
      <w:r w:rsidRPr="00896708">
        <w:rPr>
          <w:rFonts w:ascii="Cambria" w:hAnsi="Cambria" w:cs="Calibri Light"/>
          <w:color w:val="000000" w:themeColor="text1"/>
          <w:sz w:val="20"/>
          <w:szCs w:val="20"/>
          <w:lang w:val="es-US"/>
        </w:rPr>
        <w:t xml:space="preserve">sobre su cumplimiento. </w:t>
      </w:r>
    </w:p>
    <w:p w14:paraId="6B3251F0" w14:textId="77777777" w:rsidR="00926A24" w:rsidRPr="00896708" w:rsidRDefault="00926A24" w:rsidP="00926A24">
      <w:pPr>
        <w:numPr>
          <w:ilvl w:val="0"/>
          <w:numId w:val="18"/>
        </w:numPr>
        <w:spacing w:after="200"/>
        <w:ind w:left="0" w:firstLine="810"/>
        <w:jc w:val="both"/>
        <w:rPr>
          <w:rFonts w:ascii="Cambria" w:hAnsi="Cambria" w:cs="Calibri Light"/>
          <w:sz w:val="20"/>
          <w:szCs w:val="20"/>
          <w:lang w:val="es-ES"/>
        </w:rPr>
      </w:pPr>
      <w:r w:rsidRPr="00896708">
        <w:rPr>
          <w:rFonts w:ascii="Cambria" w:hAnsi="Cambria" w:cs="Calibri Light"/>
          <w:sz w:val="20"/>
          <w:szCs w:val="20"/>
          <w:lang w:val="es-US"/>
        </w:rPr>
        <w:t xml:space="preserve">Por su parte, durante 2018, los representantes de las víctimas informaron sobre las </w:t>
      </w:r>
      <w:r w:rsidRPr="00896708">
        <w:rPr>
          <w:rFonts w:ascii="Cambria" w:hAnsi="Cambria" w:cs="Calibri Light"/>
          <w:sz w:val="20"/>
          <w:szCs w:val="20"/>
          <w:lang w:val="es-ES"/>
        </w:rPr>
        <w:t xml:space="preserve">acciones administrativas y judiciales iniciadas para solicitar la reparación por el daño a raíz de la violación de los derechos humanos de Alfonso Martín del Campo </w:t>
      </w:r>
      <w:proofErr w:type="spellStart"/>
      <w:r w:rsidRPr="00896708">
        <w:rPr>
          <w:rFonts w:ascii="Cambria" w:hAnsi="Cambria" w:cs="Calibri Light"/>
          <w:sz w:val="20"/>
          <w:szCs w:val="20"/>
          <w:lang w:val="es-ES"/>
        </w:rPr>
        <w:t>Dodd</w:t>
      </w:r>
      <w:proofErr w:type="spellEnd"/>
      <w:r w:rsidRPr="00896708">
        <w:rPr>
          <w:rFonts w:ascii="Cambria" w:hAnsi="Cambria" w:cs="Calibri Light"/>
          <w:sz w:val="20"/>
          <w:szCs w:val="20"/>
          <w:lang w:val="es-ES"/>
        </w:rPr>
        <w:t xml:space="preserve">, en el marco de la reparación integral requerida al Estado mexicano por la CIDH. En particular, la CIDH tomó conocimiento de la sentencia de amparo emitida el 28 de febrero de 2018 que ordena a la Comisión Ejecutiva de Atención a Víctimas y al Director General del Registro Nacional de Víctimas tramitar el ingreso del peticionario dicho registro. En dicha fecha, la sentencia no habría causado estado. En 2019, los peticionarios informaron a la Comisión que durante 3 años han tratado de obtener reparación integral sin resultados. Señalaron que las solicitudes hechas para obtener reparación han sido impugnadas ante tribunales y que, aunque les han dado la razón, el Estado continúa sin reparar integralmente. Indicaron que, el 14 de enero de 2019, la Procuraduría General de Justicia del Distrito Federal (hoy Ciudad de México) les notificó un acuerdo en donde admitió a trámite la reclamación de reparación integral de daño, de acuerdo con la Ley de Responsabilidad Patrimonial de la Ciudad de México e informaron </w:t>
      </w:r>
      <w:r w:rsidRPr="00896708">
        <w:rPr>
          <w:rFonts w:ascii="Cambria" w:hAnsi="Cambria" w:cs="Calibri Light"/>
          <w:sz w:val="20"/>
          <w:szCs w:val="20"/>
          <w:lang w:val="es-ES"/>
        </w:rPr>
        <w:lastRenderedPageBreak/>
        <w:t>que, a la fecha, dicho trámite está en integración. Asimismo, los peticionarios informaron que, el 31 de julio de 2018, el Registro Nacional de Víctimas de la Comisión Ejecutiva de Atención a Víctimas registró a Alfonso Martín y a su hijo como víctimas y que, en la actualidad, el expediente está en integración para que el Comité Interdisciplinario Evaluador de la Comisión Ejecutiva de Atención a Víctimas emita una resolución sobre reparación integral.</w:t>
      </w:r>
    </w:p>
    <w:p w14:paraId="047E5B07" w14:textId="77777777" w:rsidR="00926A24" w:rsidRPr="00896708" w:rsidRDefault="00926A24" w:rsidP="00926A24">
      <w:pPr>
        <w:numPr>
          <w:ilvl w:val="0"/>
          <w:numId w:val="18"/>
        </w:numPr>
        <w:ind w:left="0" w:firstLine="806"/>
        <w:jc w:val="both"/>
        <w:rPr>
          <w:rFonts w:ascii="Cambria" w:hAnsi="Cambria" w:cs="Calibri Light"/>
          <w:sz w:val="20"/>
          <w:szCs w:val="20"/>
          <w:lang w:val="es-ES"/>
        </w:rPr>
      </w:pPr>
      <w:r w:rsidRPr="00896708">
        <w:rPr>
          <w:rFonts w:ascii="Cambria" w:hAnsi="Cambria" w:cs="Calibri Light"/>
          <w:sz w:val="20"/>
          <w:szCs w:val="20"/>
          <w:lang w:val="es-US"/>
        </w:rPr>
        <w:t xml:space="preserve">En virtud de la información recibida, la CIDH considera que la Recomendación 3 se encuentra pendiente de cumplimiento. La CIDH valora la información remitida por los peticionarios en cuanto a la integración del trámite de reclamación de reparación integral ante la Procuraduría </w:t>
      </w:r>
      <w:r w:rsidRPr="00896708">
        <w:rPr>
          <w:rFonts w:ascii="Cambria" w:hAnsi="Cambria" w:cs="Calibri Light"/>
          <w:sz w:val="20"/>
          <w:szCs w:val="20"/>
          <w:lang w:val="es-ES"/>
        </w:rPr>
        <w:t>General de Justicia del Distrito Federal y sobre su inclusión en el Registro Nacional de Víctimas con la finalidad de que se emita una resolución sobre reparación integral, por lo que solicita presentar información sobre cualquier avance obtenido al respecto</w:t>
      </w:r>
      <w:r w:rsidRPr="00896708">
        <w:rPr>
          <w:rFonts w:ascii="Cambria" w:hAnsi="Cambria" w:cs="Calibri Light"/>
          <w:sz w:val="20"/>
          <w:szCs w:val="20"/>
          <w:lang w:val="es-US"/>
        </w:rPr>
        <w:t xml:space="preserve">. Asimismo, la Comisión invita al Estado a adoptar las acciones tendientes a reparar adecuadamente a Alfonso Martín del Campo </w:t>
      </w:r>
      <w:proofErr w:type="spellStart"/>
      <w:r w:rsidRPr="00896708">
        <w:rPr>
          <w:rFonts w:ascii="Cambria" w:hAnsi="Cambria" w:cs="Calibri Light"/>
          <w:sz w:val="20"/>
          <w:szCs w:val="20"/>
          <w:lang w:val="es-US"/>
        </w:rPr>
        <w:t>Dodd</w:t>
      </w:r>
      <w:proofErr w:type="spellEnd"/>
      <w:r w:rsidRPr="00896708">
        <w:rPr>
          <w:rFonts w:ascii="Cambria" w:hAnsi="Cambria" w:cs="Calibri Light"/>
          <w:sz w:val="20"/>
          <w:szCs w:val="20"/>
          <w:lang w:val="es-US"/>
        </w:rPr>
        <w:t>, y a que presente, de manera detallada, información sobre dichas medidas. En consecuencia, la CIDH considera que la Recomendación 3 se encuentra pendiente de cumplimiento.</w:t>
      </w:r>
    </w:p>
    <w:p w14:paraId="7E76D250" w14:textId="77777777" w:rsidR="00926A24" w:rsidRPr="00896708" w:rsidRDefault="00926A24" w:rsidP="00926A24">
      <w:pPr>
        <w:rPr>
          <w:rFonts w:ascii="Cambria" w:hAnsi="Cambria"/>
          <w:sz w:val="20"/>
          <w:szCs w:val="20"/>
          <w:lang w:val="es-US"/>
        </w:rPr>
      </w:pPr>
    </w:p>
    <w:p w14:paraId="2F6F3ECD" w14:textId="77777777" w:rsidR="00926A24" w:rsidRPr="00896708" w:rsidRDefault="00926A24" w:rsidP="00926A24">
      <w:pPr>
        <w:pStyle w:val="ListParagraph"/>
        <w:numPr>
          <w:ilvl w:val="0"/>
          <w:numId w:val="8"/>
        </w:numPr>
        <w:ind w:left="1440"/>
        <w:jc w:val="both"/>
        <w:rPr>
          <w:rFonts w:ascii="Cambria" w:hAnsi="Cambria" w:cs="Calibri Light"/>
          <w:b/>
          <w:sz w:val="20"/>
          <w:szCs w:val="20"/>
          <w:lang w:val="es-US"/>
        </w:rPr>
      </w:pPr>
      <w:r w:rsidRPr="00896708">
        <w:rPr>
          <w:rFonts w:ascii="Cambria" w:hAnsi="Cambria" w:cs="Calibri Light"/>
          <w:b/>
          <w:sz w:val="20"/>
          <w:szCs w:val="20"/>
          <w:lang w:val="es-US"/>
        </w:rPr>
        <w:t xml:space="preserve">Nivel del cumplimiento del caso </w:t>
      </w:r>
    </w:p>
    <w:p w14:paraId="59C8FC23" w14:textId="77777777" w:rsidR="00926A24" w:rsidRPr="00896708" w:rsidRDefault="00926A24" w:rsidP="00926A24">
      <w:pPr>
        <w:jc w:val="both"/>
        <w:rPr>
          <w:rFonts w:ascii="Cambria" w:hAnsi="Cambria" w:cs="Calibri Light"/>
          <w:sz w:val="20"/>
          <w:szCs w:val="20"/>
          <w:lang w:val="es-US"/>
        </w:rPr>
      </w:pPr>
    </w:p>
    <w:p w14:paraId="0E7DB75D" w14:textId="77777777" w:rsidR="00926A24" w:rsidRPr="00896708" w:rsidRDefault="00926A24" w:rsidP="00926A24">
      <w:pPr>
        <w:numPr>
          <w:ilvl w:val="0"/>
          <w:numId w:val="18"/>
        </w:numPr>
        <w:ind w:left="0" w:firstLine="810"/>
        <w:jc w:val="both"/>
        <w:rPr>
          <w:rFonts w:ascii="Cambria" w:hAnsi="Cambria" w:cs="Calibri Light"/>
          <w:sz w:val="20"/>
          <w:szCs w:val="20"/>
          <w:lang w:val="es-US"/>
        </w:rPr>
      </w:pPr>
      <w:r w:rsidRPr="00896708">
        <w:rPr>
          <w:rFonts w:ascii="Cambria" w:hAnsi="Cambria" w:cs="Calibri Light"/>
          <w:sz w:val="20"/>
          <w:szCs w:val="20"/>
          <w:lang w:val="es-US"/>
        </w:rPr>
        <w:t>Por lo anterior, la Comisión concluye que el caso se encuentra en cumplimiento parcial. En consecuencia, la CIDH seguirá supervisando las Recomendaciones 2 y 3. En este sentido, la Comisión invita al Estado a proporcionar información actualizada y detallada sobre el avance en el cumplimiento de las recomendaciones emitidas en el Informe de Fondo Nº 117/09.</w:t>
      </w:r>
    </w:p>
    <w:p w14:paraId="07F02CCD" w14:textId="77777777" w:rsidR="00926A24" w:rsidRPr="00896708" w:rsidRDefault="00926A24" w:rsidP="00926A24">
      <w:pPr>
        <w:rPr>
          <w:rFonts w:ascii="Cambria" w:hAnsi="Cambria"/>
          <w:sz w:val="20"/>
          <w:szCs w:val="20"/>
          <w:lang w:val="es-US"/>
        </w:rPr>
      </w:pPr>
    </w:p>
    <w:p w14:paraId="23F368ED" w14:textId="77777777" w:rsidR="00926A24" w:rsidRPr="00896708" w:rsidRDefault="00926A24" w:rsidP="00926A24">
      <w:pPr>
        <w:pStyle w:val="ListParagraph"/>
        <w:numPr>
          <w:ilvl w:val="0"/>
          <w:numId w:val="8"/>
        </w:numPr>
        <w:ind w:left="1440"/>
        <w:jc w:val="both"/>
        <w:rPr>
          <w:rFonts w:ascii="Cambria" w:hAnsi="Cambria" w:cs="Calibri Light"/>
          <w:b/>
          <w:sz w:val="20"/>
          <w:szCs w:val="20"/>
          <w:lang w:val="es-US"/>
        </w:rPr>
      </w:pPr>
      <w:r w:rsidRPr="00896708">
        <w:rPr>
          <w:rFonts w:ascii="Cambria" w:hAnsi="Cambria" w:cs="Calibri Light"/>
          <w:b/>
          <w:sz w:val="20"/>
          <w:szCs w:val="20"/>
          <w:lang w:val="es-US"/>
        </w:rPr>
        <w:t xml:space="preserve">Resultados individuales y estructurales del caso </w:t>
      </w:r>
    </w:p>
    <w:p w14:paraId="4C0D0544" w14:textId="77777777" w:rsidR="00926A24" w:rsidRPr="00896708" w:rsidRDefault="00926A24" w:rsidP="00926A24">
      <w:pPr>
        <w:jc w:val="both"/>
        <w:rPr>
          <w:rFonts w:ascii="Cambria" w:hAnsi="Cambria" w:cs="Calibri Light"/>
          <w:b/>
          <w:sz w:val="20"/>
          <w:szCs w:val="20"/>
          <w:lang w:val="es-US"/>
        </w:rPr>
      </w:pPr>
    </w:p>
    <w:p w14:paraId="2A8FF23F" w14:textId="77777777" w:rsidR="00926A24" w:rsidRPr="00896708" w:rsidRDefault="00926A24" w:rsidP="00926A24">
      <w:pPr>
        <w:numPr>
          <w:ilvl w:val="0"/>
          <w:numId w:val="18"/>
        </w:numPr>
        <w:ind w:left="0" w:firstLine="720"/>
        <w:jc w:val="both"/>
        <w:rPr>
          <w:rFonts w:ascii="Cambria" w:hAnsi="Cambria" w:cs="Calibri Light"/>
          <w:sz w:val="20"/>
          <w:szCs w:val="20"/>
          <w:lang w:val="es-US"/>
        </w:rPr>
      </w:pPr>
      <w:r w:rsidRPr="00896708">
        <w:rPr>
          <w:rFonts w:ascii="Cambria" w:hAnsi="Cambria" w:cs="Calibri Light"/>
          <w:sz w:val="20"/>
          <w:szCs w:val="20"/>
          <w:lang w:val="es-US"/>
        </w:rPr>
        <w:t xml:space="preserve">En esta sección se destacan los resultados individuales y estructurales del caso informados por las partes. </w:t>
      </w:r>
    </w:p>
    <w:p w14:paraId="6F4D2DFB" w14:textId="77777777" w:rsidR="00926A24" w:rsidRPr="00896708" w:rsidRDefault="00926A24" w:rsidP="00926A24">
      <w:pPr>
        <w:jc w:val="both"/>
        <w:rPr>
          <w:rFonts w:ascii="Cambria" w:hAnsi="Cambria" w:cs="Calibri Light"/>
          <w:b/>
          <w:sz w:val="20"/>
          <w:szCs w:val="20"/>
          <w:lang w:val="es-US"/>
        </w:rPr>
      </w:pPr>
    </w:p>
    <w:p w14:paraId="7EE9E0E1" w14:textId="77777777" w:rsidR="00926A24" w:rsidRPr="00896708" w:rsidRDefault="00926A24" w:rsidP="00926A24">
      <w:pPr>
        <w:pStyle w:val="ListParagraph"/>
        <w:numPr>
          <w:ilvl w:val="0"/>
          <w:numId w:val="14"/>
        </w:numPr>
        <w:ind w:left="1440" w:hanging="720"/>
        <w:jc w:val="both"/>
        <w:rPr>
          <w:rFonts w:ascii="Cambria" w:hAnsi="Cambria" w:cs="Calibri Light"/>
          <w:b/>
          <w:sz w:val="20"/>
          <w:szCs w:val="20"/>
          <w:lang w:val="es-US"/>
        </w:rPr>
      </w:pPr>
      <w:r w:rsidRPr="00896708">
        <w:rPr>
          <w:rFonts w:ascii="Cambria" w:hAnsi="Cambria" w:cs="Calibri Light"/>
          <w:b/>
          <w:sz w:val="20"/>
          <w:szCs w:val="20"/>
          <w:lang w:val="es-US"/>
        </w:rPr>
        <w:t>Resultados individuales del caso</w:t>
      </w:r>
    </w:p>
    <w:p w14:paraId="6D650AC0" w14:textId="77777777" w:rsidR="00926A24" w:rsidRPr="00896708" w:rsidRDefault="00926A24" w:rsidP="00926A24">
      <w:pPr>
        <w:jc w:val="both"/>
        <w:rPr>
          <w:rFonts w:ascii="Cambria" w:hAnsi="Cambria" w:cs="Calibri Light"/>
          <w:b/>
          <w:sz w:val="20"/>
          <w:szCs w:val="20"/>
          <w:lang w:val="es-US"/>
        </w:rPr>
      </w:pPr>
    </w:p>
    <w:p w14:paraId="585A610F" w14:textId="77777777" w:rsidR="00926A24" w:rsidRPr="00896708" w:rsidRDefault="00926A24" w:rsidP="00926A24">
      <w:pPr>
        <w:jc w:val="both"/>
        <w:rPr>
          <w:rFonts w:ascii="Cambria" w:hAnsi="Cambria" w:cs="Calibri Light"/>
          <w:i/>
          <w:sz w:val="20"/>
          <w:szCs w:val="20"/>
          <w:lang w:val="es-ES_tradnl"/>
        </w:rPr>
      </w:pPr>
      <w:r w:rsidRPr="00896708">
        <w:rPr>
          <w:rFonts w:ascii="Cambria" w:hAnsi="Cambria" w:cs="Calibri Light"/>
          <w:i/>
          <w:sz w:val="20"/>
          <w:szCs w:val="20"/>
          <w:lang w:val="es-ES_tradnl"/>
        </w:rPr>
        <w:t>Medidas de restitución en el ejercicio del derecho</w:t>
      </w:r>
    </w:p>
    <w:p w14:paraId="1E4A594A" w14:textId="77777777" w:rsidR="00926A24" w:rsidRPr="00896708" w:rsidRDefault="00926A24" w:rsidP="00926A24">
      <w:pPr>
        <w:numPr>
          <w:ilvl w:val="0"/>
          <w:numId w:val="16"/>
        </w:numPr>
        <w:jc w:val="both"/>
        <w:rPr>
          <w:rFonts w:ascii="Cambria" w:hAnsi="Cambria" w:cs="Calibri Light"/>
          <w:sz w:val="20"/>
          <w:szCs w:val="20"/>
          <w:lang w:val="es-US"/>
        </w:rPr>
      </w:pPr>
      <w:r w:rsidRPr="00896708">
        <w:rPr>
          <w:rFonts w:ascii="Cambria" w:hAnsi="Cambria" w:cs="Calibri Light"/>
          <w:sz w:val="20"/>
          <w:szCs w:val="20"/>
          <w:lang w:val="es-ES"/>
        </w:rPr>
        <w:t xml:space="preserve">El 18 de marzo de 2015 la Suprema Corte de Justicia de la Nación ordenó la liberación de Alfonso Martin del Campo </w:t>
      </w:r>
      <w:proofErr w:type="spellStart"/>
      <w:r w:rsidRPr="00896708">
        <w:rPr>
          <w:rFonts w:ascii="Cambria" w:hAnsi="Cambria" w:cs="Calibri Light"/>
          <w:sz w:val="20"/>
          <w:szCs w:val="20"/>
          <w:lang w:val="es-ES"/>
        </w:rPr>
        <w:t>Dodd</w:t>
      </w:r>
      <w:proofErr w:type="spellEnd"/>
      <w:r w:rsidRPr="00896708">
        <w:rPr>
          <w:rFonts w:ascii="Cambria" w:hAnsi="Cambria" w:cs="Calibri Light"/>
          <w:sz w:val="20"/>
          <w:szCs w:val="20"/>
          <w:lang w:val="es-ES"/>
        </w:rPr>
        <w:t>.</w:t>
      </w:r>
      <w:r w:rsidRPr="00896708">
        <w:rPr>
          <w:rFonts w:ascii="Cambria" w:hAnsi="Cambria" w:cs="Calibri Light"/>
          <w:sz w:val="20"/>
          <w:szCs w:val="20"/>
          <w:lang w:val="es-US"/>
        </w:rPr>
        <w:t xml:space="preserve"> Los peticionarios</w:t>
      </w:r>
      <w:r w:rsidRPr="00896708">
        <w:rPr>
          <w:rFonts w:ascii="Cambria" w:hAnsi="Cambria" w:cs="Calibri Light"/>
          <w:sz w:val="20"/>
          <w:szCs w:val="20"/>
          <w:lang w:val="es-ES"/>
        </w:rPr>
        <w:t xml:space="preserve"> indicaron que la Suprema Corte de Justicia utilizó como fundamentos de su decisión los informes de la CIDH Nº 63/02, 33/09 y 117/09</w:t>
      </w:r>
    </w:p>
    <w:p w14:paraId="25502162" w14:textId="77777777" w:rsidR="00926A24" w:rsidRPr="00896708" w:rsidRDefault="00926A24" w:rsidP="00926A24">
      <w:pPr>
        <w:jc w:val="both"/>
        <w:rPr>
          <w:rFonts w:ascii="Cambria" w:hAnsi="Cambria" w:cs="Calibri Light"/>
          <w:i/>
          <w:sz w:val="20"/>
          <w:szCs w:val="20"/>
          <w:lang w:val="es-US"/>
        </w:rPr>
      </w:pPr>
    </w:p>
    <w:p w14:paraId="0E1D7A9B" w14:textId="77777777" w:rsidR="00926A24" w:rsidRPr="00896708" w:rsidRDefault="00926A24" w:rsidP="00926A24">
      <w:pPr>
        <w:jc w:val="both"/>
        <w:rPr>
          <w:rFonts w:ascii="Cambria" w:hAnsi="Cambria" w:cs="Calibri Light"/>
          <w:i/>
          <w:sz w:val="20"/>
          <w:szCs w:val="20"/>
          <w:lang w:val="es-US"/>
        </w:rPr>
      </w:pPr>
      <w:r w:rsidRPr="00896708">
        <w:rPr>
          <w:rFonts w:ascii="Cambria" w:hAnsi="Cambria" w:cs="Calibri Light"/>
          <w:i/>
          <w:sz w:val="20"/>
          <w:szCs w:val="20"/>
          <w:lang w:val="es-US"/>
        </w:rPr>
        <w:t>Medidas de compensación pecuniaria</w:t>
      </w:r>
    </w:p>
    <w:p w14:paraId="1BF54329" w14:textId="77777777" w:rsidR="00926A24" w:rsidRPr="00896708" w:rsidRDefault="00926A24" w:rsidP="00926A24">
      <w:pPr>
        <w:numPr>
          <w:ilvl w:val="0"/>
          <w:numId w:val="16"/>
        </w:numPr>
        <w:jc w:val="both"/>
        <w:rPr>
          <w:rFonts w:ascii="Cambria" w:hAnsi="Cambria" w:cs="Calibri Light"/>
          <w:sz w:val="20"/>
          <w:szCs w:val="20"/>
          <w:lang w:val="es-US"/>
        </w:rPr>
      </w:pPr>
      <w:r w:rsidRPr="00896708">
        <w:rPr>
          <w:rFonts w:ascii="Cambria" w:hAnsi="Cambria" w:cs="Calibri Light"/>
          <w:sz w:val="20"/>
          <w:szCs w:val="20"/>
          <w:lang w:val="es-US"/>
        </w:rPr>
        <w:t>Sentencia del Juzgado Quinto de Distrito del 28 de febrero de 2018 en el marco del juicio 579/2018 que ordena la inclusión de los familiares en el Registro Nacional de Víctimas.</w:t>
      </w:r>
    </w:p>
    <w:p w14:paraId="2B1E2DE0" w14:textId="77777777" w:rsidR="00926A24" w:rsidRPr="00896708" w:rsidRDefault="00926A24" w:rsidP="00926A24">
      <w:pPr>
        <w:numPr>
          <w:ilvl w:val="0"/>
          <w:numId w:val="16"/>
        </w:numPr>
        <w:jc w:val="both"/>
        <w:rPr>
          <w:rFonts w:ascii="Cambria" w:hAnsi="Cambria" w:cs="Calibri Light"/>
          <w:sz w:val="20"/>
          <w:szCs w:val="20"/>
          <w:lang w:val="es-US"/>
        </w:rPr>
      </w:pPr>
      <w:r w:rsidRPr="00896708">
        <w:rPr>
          <w:rFonts w:ascii="Cambria" w:hAnsi="Cambria" w:cs="Calibri Light"/>
          <w:sz w:val="20"/>
          <w:szCs w:val="20"/>
          <w:lang w:val="es-US"/>
        </w:rPr>
        <w:t xml:space="preserve">El 31 de julio de 2018, Alfonso Martín del Campo </w:t>
      </w:r>
      <w:proofErr w:type="spellStart"/>
      <w:r w:rsidRPr="00896708">
        <w:rPr>
          <w:rFonts w:ascii="Cambria" w:hAnsi="Cambria" w:cs="Calibri Light"/>
          <w:sz w:val="20"/>
          <w:szCs w:val="20"/>
          <w:lang w:val="es-US"/>
        </w:rPr>
        <w:t>Dodd</w:t>
      </w:r>
      <w:proofErr w:type="spellEnd"/>
      <w:r w:rsidRPr="00896708">
        <w:rPr>
          <w:rFonts w:ascii="Cambria" w:hAnsi="Cambria" w:cs="Calibri Light"/>
          <w:sz w:val="20"/>
          <w:szCs w:val="20"/>
          <w:lang w:val="es-US"/>
        </w:rPr>
        <w:t xml:space="preserve"> y su hijo fueron incluidos como víctimas en el Registro Nacional de Víctimas de la Comisión Ejecutiva de Atención a Víctimas.</w:t>
      </w:r>
    </w:p>
    <w:p w14:paraId="3FD2A3C5" w14:textId="77777777" w:rsidR="00926A24" w:rsidRPr="00896708" w:rsidRDefault="00926A24" w:rsidP="00926A24">
      <w:pPr>
        <w:ind w:left="720"/>
        <w:jc w:val="both"/>
        <w:rPr>
          <w:rFonts w:ascii="Cambria" w:hAnsi="Cambria" w:cs="Calibri Light"/>
          <w:sz w:val="20"/>
          <w:szCs w:val="20"/>
          <w:lang w:val="es-US"/>
        </w:rPr>
      </w:pPr>
    </w:p>
    <w:p w14:paraId="0EE19BA7" w14:textId="77777777" w:rsidR="00926A24" w:rsidRPr="00896708" w:rsidRDefault="00926A24" w:rsidP="00926A24">
      <w:pPr>
        <w:pStyle w:val="ListParagraph"/>
        <w:numPr>
          <w:ilvl w:val="0"/>
          <w:numId w:val="14"/>
        </w:numPr>
        <w:ind w:left="1440" w:hanging="720"/>
        <w:jc w:val="both"/>
        <w:rPr>
          <w:rFonts w:ascii="Cambria" w:hAnsi="Cambria" w:cs="Calibri Light"/>
          <w:b/>
          <w:sz w:val="20"/>
          <w:szCs w:val="20"/>
          <w:lang w:val="es-US"/>
        </w:rPr>
      </w:pPr>
      <w:r w:rsidRPr="00896708">
        <w:rPr>
          <w:rFonts w:ascii="Cambria" w:hAnsi="Cambria" w:cs="Calibri Light"/>
          <w:b/>
          <w:sz w:val="20"/>
          <w:szCs w:val="20"/>
          <w:lang w:val="es-US"/>
        </w:rPr>
        <w:t>Resultados estructurales del caso</w:t>
      </w:r>
    </w:p>
    <w:p w14:paraId="001D1C68" w14:textId="77777777" w:rsidR="00926A24" w:rsidRPr="00896708" w:rsidRDefault="00926A24" w:rsidP="00926A24">
      <w:pPr>
        <w:rPr>
          <w:sz w:val="20"/>
          <w:szCs w:val="20"/>
          <w:lang w:val="es-ES"/>
        </w:rPr>
      </w:pPr>
    </w:p>
    <w:p w14:paraId="77D760E0" w14:textId="77777777" w:rsidR="00926A24" w:rsidRPr="00896708" w:rsidRDefault="00926A24" w:rsidP="00926A24">
      <w:pPr>
        <w:numPr>
          <w:ilvl w:val="0"/>
          <w:numId w:val="17"/>
        </w:numPr>
        <w:jc w:val="both"/>
        <w:rPr>
          <w:rFonts w:ascii="Cambria" w:hAnsi="Cambria" w:cs="Cambria"/>
          <w:sz w:val="20"/>
          <w:szCs w:val="20"/>
          <w:lang w:val="es-ES" w:eastAsia="pt-BR"/>
        </w:rPr>
      </w:pPr>
      <w:r w:rsidRPr="00896708">
        <w:rPr>
          <w:rFonts w:ascii="Cambria" w:hAnsi="Cambria" w:cs="Cambria"/>
          <w:sz w:val="20"/>
          <w:szCs w:val="20"/>
          <w:lang w:val="es-ES" w:eastAsia="pt-BR"/>
        </w:rPr>
        <w:t xml:space="preserve">No hay resultados estructurales informados por las partes. </w:t>
      </w:r>
    </w:p>
    <w:p w14:paraId="1CAC59D4" w14:textId="77777777" w:rsidR="00926A24" w:rsidRPr="000F1527" w:rsidRDefault="00926A24" w:rsidP="00926A24">
      <w:pPr>
        <w:rPr>
          <w:rFonts w:ascii="Cambria" w:hAnsi="Cambria"/>
          <w:lang w:val="es-ES"/>
        </w:rPr>
      </w:pPr>
      <w:bookmarkStart w:id="2" w:name="_GoBack"/>
      <w:bookmarkEnd w:id="2"/>
    </w:p>
    <w:p w14:paraId="1AFEE3D3" w14:textId="77777777" w:rsidR="00926A24" w:rsidRPr="000F1527" w:rsidRDefault="00926A24" w:rsidP="00926A24">
      <w:pPr>
        <w:rPr>
          <w:lang w:val="es-ES"/>
        </w:rPr>
      </w:pPr>
    </w:p>
    <w:p w14:paraId="4C143A19" w14:textId="77777777" w:rsidR="00F54C38" w:rsidRPr="001B2555" w:rsidRDefault="00F54C38" w:rsidP="00F54C38">
      <w:pPr>
        <w:rPr>
          <w:rFonts w:ascii="Cambria" w:hAnsi="Cambria"/>
          <w:b/>
          <w:sz w:val="20"/>
          <w:szCs w:val="20"/>
          <w:lang w:val="es-ES"/>
        </w:rPr>
      </w:pPr>
    </w:p>
    <w:sectPr w:rsidR="00F54C38" w:rsidRPr="001B2555" w:rsidSect="00566CD0">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345CE" w14:textId="77777777" w:rsidR="001E7DB3" w:rsidRDefault="001E7DB3" w:rsidP="00672733">
      <w:r>
        <w:separator/>
      </w:r>
    </w:p>
  </w:endnote>
  <w:endnote w:type="continuationSeparator" w:id="0">
    <w:p w14:paraId="51F6F54B" w14:textId="77777777" w:rsidR="001E7DB3" w:rsidRDefault="001E7DB3" w:rsidP="0067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1E7DE" w14:textId="3E237E36" w:rsidR="00E516AB" w:rsidRPr="00E516AB" w:rsidRDefault="00E516AB">
    <w:pPr>
      <w:pStyle w:val="Footer"/>
      <w:tabs>
        <w:tab w:val="clear" w:pos="4680"/>
        <w:tab w:val="clear" w:pos="9360"/>
      </w:tabs>
      <w:jc w:val="center"/>
      <w:rPr>
        <w:caps/>
        <w:noProof/>
        <w:color w:val="000000" w:themeColor="text1"/>
        <w:sz w:val="20"/>
        <w:szCs w:val="20"/>
      </w:rPr>
    </w:pPr>
    <w:r w:rsidRPr="00E516AB">
      <w:rPr>
        <w:caps/>
        <w:color w:val="000000" w:themeColor="text1"/>
        <w:sz w:val="20"/>
        <w:szCs w:val="20"/>
      </w:rPr>
      <w:fldChar w:fldCharType="begin"/>
    </w:r>
    <w:r w:rsidRPr="00E516AB">
      <w:rPr>
        <w:caps/>
        <w:color w:val="000000" w:themeColor="text1"/>
        <w:sz w:val="20"/>
        <w:szCs w:val="20"/>
      </w:rPr>
      <w:instrText xml:space="preserve"> PAGE   \* MERGEFORMAT </w:instrText>
    </w:r>
    <w:r w:rsidRPr="00E516AB">
      <w:rPr>
        <w:caps/>
        <w:color w:val="000000" w:themeColor="text1"/>
        <w:sz w:val="20"/>
        <w:szCs w:val="20"/>
      </w:rPr>
      <w:fldChar w:fldCharType="separate"/>
    </w:r>
    <w:r w:rsidR="00896708">
      <w:rPr>
        <w:caps/>
        <w:noProof/>
        <w:color w:val="000000" w:themeColor="text1"/>
        <w:sz w:val="20"/>
        <w:szCs w:val="20"/>
      </w:rPr>
      <w:t>3</w:t>
    </w:r>
    <w:r w:rsidRPr="00E516AB">
      <w:rPr>
        <w:caps/>
        <w:noProof/>
        <w:color w:val="000000" w:themeColor="text1"/>
        <w:sz w:val="20"/>
        <w:szCs w:val="20"/>
      </w:rPr>
      <w:fldChar w:fldCharType="end"/>
    </w:r>
  </w:p>
  <w:p w14:paraId="51A13522" w14:textId="77777777" w:rsidR="00E516AB" w:rsidRDefault="00E5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49DE8" w14:textId="77777777" w:rsidR="001E7DB3" w:rsidRDefault="001E7DB3" w:rsidP="00672733">
      <w:r>
        <w:separator/>
      </w:r>
    </w:p>
  </w:footnote>
  <w:footnote w:type="continuationSeparator" w:id="0">
    <w:p w14:paraId="7C1CC17C" w14:textId="77777777" w:rsidR="001E7DB3" w:rsidRDefault="001E7DB3" w:rsidP="00672733">
      <w:r>
        <w:continuationSeparator/>
      </w:r>
    </w:p>
  </w:footnote>
  <w:footnote w:id="1">
    <w:p w14:paraId="3F76C5E8" w14:textId="77777777" w:rsidR="00926A24" w:rsidRPr="00B37FF7" w:rsidRDefault="00926A24" w:rsidP="00926A24">
      <w:pPr>
        <w:pStyle w:val="FootnoteText"/>
        <w:spacing w:after="120"/>
        <w:ind w:firstLine="720"/>
        <w:jc w:val="both"/>
        <w:rPr>
          <w:rFonts w:ascii="Cambria" w:hAnsi="Cambria"/>
          <w:sz w:val="16"/>
          <w:szCs w:val="16"/>
          <w:lang w:val="es-US"/>
        </w:rPr>
      </w:pPr>
      <w:r w:rsidRPr="008B6903">
        <w:rPr>
          <w:rStyle w:val="FootnoteReference"/>
          <w:rFonts w:ascii="Cambria" w:hAnsi="Cambria"/>
          <w:sz w:val="16"/>
          <w:szCs w:val="16"/>
        </w:rPr>
        <w:footnoteRef/>
      </w:r>
      <w:r w:rsidRPr="008B6903">
        <w:rPr>
          <w:rFonts w:ascii="Cambria" w:hAnsi="Cambria"/>
          <w:sz w:val="16"/>
          <w:szCs w:val="16"/>
          <w:lang w:val="es-ES"/>
        </w:rPr>
        <w:t xml:space="preserve"> </w:t>
      </w:r>
      <w:r w:rsidRPr="00B37FF7">
        <w:rPr>
          <w:rFonts w:ascii="Cambria" w:hAnsi="Cambria"/>
          <w:sz w:val="16"/>
          <w:szCs w:val="16"/>
          <w:lang w:val="es-ES"/>
        </w:rPr>
        <w:t>CIDH, I</w:t>
      </w:r>
      <w:hyperlink r:id="rId1" w:history="1">
        <w:r w:rsidRPr="00B37FF7">
          <w:rPr>
            <w:rStyle w:val="Hyperlink"/>
            <w:rFonts w:ascii="Cambria" w:hAnsi="Cambria"/>
            <w:color w:val="auto"/>
            <w:sz w:val="16"/>
            <w:szCs w:val="16"/>
            <w:lang w:val="es-ES"/>
          </w:rPr>
          <w:t>nforme Anual 2017, Capítulo II, Sección F: Estado del Cumplimiento de las Recomendaciones de la CIDH</w:t>
        </w:r>
      </w:hyperlink>
      <w:r w:rsidRPr="00B37FF7">
        <w:rPr>
          <w:rFonts w:ascii="Cambria" w:hAnsi="Cambria"/>
          <w:sz w:val="16"/>
          <w:szCs w:val="16"/>
          <w:lang w:val="es-ES"/>
        </w:rPr>
        <w:t>, párr. 1836.</w:t>
      </w:r>
    </w:p>
  </w:footnote>
  <w:footnote w:id="2">
    <w:p w14:paraId="0B610B7D" w14:textId="77777777" w:rsidR="00926A24" w:rsidRPr="008B6903" w:rsidRDefault="00926A24" w:rsidP="00926A24">
      <w:pPr>
        <w:pStyle w:val="FootnoteText"/>
        <w:spacing w:after="120"/>
        <w:ind w:firstLine="720"/>
        <w:jc w:val="both"/>
        <w:rPr>
          <w:sz w:val="16"/>
          <w:szCs w:val="16"/>
          <w:lang w:val="es-US"/>
        </w:rPr>
      </w:pPr>
      <w:r w:rsidRPr="00B37FF7">
        <w:rPr>
          <w:rStyle w:val="FootnoteReference"/>
          <w:rFonts w:ascii="Cambria" w:hAnsi="Cambria"/>
          <w:sz w:val="16"/>
          <w:szCs w:val="16"/>
        </w:rPr>
        <w:footnoteRef/>
      </w:r>
      <w:r w:rsidRPr="00B37FF7">
        <w:rPr>
          <w:rFonts w:ascii="Cambria" w:hAnsi="Cambria"/>
          <w:sz w:val="16"/>
          <w:szCs w:val="16"/>
          <w:lang w:val="es-ES"/>
        </w:rPr>
        <w:t xml:space="preserve"> CIDH, I</w:t>
      </w:r>
      <w:hyperlink r:id="rId2" w:history="1">
        <w:r w:rsidRPr="00B37FF7">
          <w:rPr>
            <w:rStyle w:val="Hyperlink"/>
            <w:rFonts w:ascii="Cambria" w:hAnsi="Cambria"/>
            <w:color w:val="auto"/>
            <w:sz w:val="16"/>
            <w:szCs w:val="16"/>
            <w:lang w:val="es-ES"/>
          </w:rPr>
          <w:t>nforme Anual 2017, Capítulo II, Sección F: Estado del Cumplimiento de las Recomendaciones de la CIDH</w:t>
        </w:r>
      </w:hyperlink>
      <w:r w:rsidRPr="00B37FF7">
        <w:rPr>
          <w:rFonts w:ascii="Cambria" w:hAnsi="Cambria"/>
          <w:sz w:val="16"/>
          <w:szCs w:val="16"/>
          <w:lang w:val="es-ES"/>
        </w:rPr>
        <w:t>, párr</w:t>
      </w:r>
      <w:r w:rsidRPr="008B6903">
        <w:rPr>
          <w:rFonts w:ascii="Cambria" w:hAnsi="Cambria"/>
          <w:sz w:val="16"/>
          <w:szCs w:val="16"/>
          <w:lang w:val="es-ES"/>
        </w:rPr>
        <w:t>. 1841.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2C92C" w14:textId="448F8406" w:rsidR="00566CD0" w:rsidRDefault="008463D3" w:rsidP="008463D3">
    <w:pPr>
      <w:pStyle w:val="Header"/>
      <w:jc w:val="center"/>
      <w:rPr>
        <w:rFonts w:ascii="Arial" w:hAnsi="Arial" w:cs="Arial"/>
        <w:color w:val="3B3838" w:themeColor="background2" w:themeShade="40"/>
        <w:sz w:val="28"/>
        <w:szCs w:val="28"/>
        <w:lang w:val="es-ES"/>
      </w:rPr>
    </w:pPr>
    <w:r>
      <w:rPr>
        <w:rFonts w:ascii="Arial" w:hAnsi="Arial" w:cs="Arial"/>
        <w:color w:val="3B3838" w:themeColor="background2" w:themeShade="40"/>
        <w:sz w:val="28"/>
        <w:szCs w:val="28"/>
        <w:lang w:val="es-ES"/>
      </w:rPr>
      <w:t xml:space="preserve">   </w:t>
    </w:r>
    <w:r w:rsidR="00566CD0" w:rsidRPr="00566CD0">
      <w:rPr>
        <w:rFonts w:ascii="Arial" w:hAnsi="Arial" w:cs="Arial"/>
        <w:noProof/>
        <w:color w:val="3B3838" w:themeColor="background2" w:themeShade="40"/>
        <w:sz w:val="28"/>
        <w:szCs w:val="28"/>
      </w:rPr>
      <w:drawing>
        <wp:inline distT="0" distB="0" distL="0" distR="0" wp14:anchorId="0246A2C5" wp14:editId="23EAB365">
          <wp:extent cx="3304467" cy="20002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41350" cy="220422"/>
                  </a:xfrm>
                  <a:prstGeom prst="rect">
                    <a:avLst/>
                  </a:prstGeom>
                </pic:spPr>
              </pic:pic>
            </a:graphicData>
          </a:graphic>
        </wp:inline>
      </w:drawing>
    </w:r>
  </w:p>
  <w:p w14:paraId="60E6F577" w14:textId="7E60D2C5" w:rsidR="00D56DC4" w:rsidRPr="00D56DC4" w:rsidRDefault="00D56DC4">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0288" behindDoc="0" locked="0" layoutInCell="1" allowOverlap="1" wp14:anchorId="3A98BB66" wp14:editId="10346C42">
              <wp:simplePos x="0" y="0"/>
              <wp:positionH relativeFrom="column">
                <wp:posOffset>-5610</wp:posOffset>
              </wp:positionH>
              <wp:positionV relativeFrom="paragraph">
                <wp:posOffset>167882</wp:posOffset>
              </wp:positionV>
              <wp:extent cx="6148358" cy="0"/>
              <wp:effectExtent l="0" t="0" r="11430" b="12700"/>
              <wp:wrapNone/>
              <wp:docPr id="2" name="Straight Connector 2"/>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AF49A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" strokecolor="#272727 [2749]" strokeweight="1.2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3F865" w14:textId="77777777" w:rsidR="00566CD0" w:rsidRPr="006B1F24" w:rsidRDefault="00566CD0" w:rsidP="00566CD0">
    <w:pPr>
      <w:pStyle w:val="Header"/>
      <w:rPr>
        <w:rFonts w:ascii="Arial" w:hAnsi="Arial" w:cs="Arial"/>
        <w:color w:val="3B3838" w:themeColor="background2" w:themeShade="40"/>
        <w:sz w:val="28"/>
        <w:szCs w:val="28"/>
        <w:lang w:val="es-ES"/>
      </w:rPr>
    </w:pPr>
    <w:r w:rsidRPr="006B1F24">
      <w:rPr>
        <w:noProof/>
        <w:sz w:val="28"/>
        <w:szCs w:val="28"/>
      </w:rPr>
      <w:drawing>
        <wp:anchor distT="0" distB="0" distL="114300" distR="114300" simplePos="0" relativeHeight="251665408" behindDoc="0" locked="0" layoutInCell="1" allowOverlap="1" wp14:anchorId="392F0462" wp14:editId="5BC7EB4E">
          <wp:simplePos x="0" y="0"/>
          <wp:positionH relativeFrom="column">
            <wp:posOffset>3610073</wp:posOffset>
          </wp:positionH>
          <wp:positionV relativeFrom="paragraph">
            <wp:posOffset>53975</wp:posOffset>
          </wp:positionV>
          <wp:extent cx="2296160" cy="409575"/>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96160" cy="409575"/>
                  </a:xfrm>
                  <a:prstGeom prst="rect">
                    <a:avLst/>
                  </a:prstGeom>
                </pic:spPr>
              </pic:pic>
            </a:graphicData>
          </a:graphic>
          <wp14:sizeRelH relativeFrom="page">
            <wp14:pctWidth>0</wp14:pctWidth>
          </wp14:sizeRelH>
          <wp14:sizeRelV relativeFrom="page">
            <wp14:pctHeight>0</wp14:pctHeight>
          </wp14:sizeRelV>
        </wp:anchor>
      </w:drawing>
    </w:r>
    <w:r w:rsidRPr="006B1F24">
      <w:rPr>
        <w:rFonts w:ascii="Arial" w:hAnsi="Arial" w:cs="Arial"/>
        <w:noProof/>
        <w:color w:val="3B3838" w:themeColor="background2" w:themeShade="40"/>
        <w:sz w:val="28"/>
        <w:szCs w:val="28"/>
      </w:rPr>
      <mc:AlternateContent>
        <mc:Choice Requires="wps">
          <w:drawing>
            <wp:anchor distT="0" distB="0" distL="114300" distR="114300" simplePos="0" relativeHeight="251663360" behindDoc="1" locked="0" layoutInCell="1" allowOverlap="1" wp14:anchorId="1F9B0906" wp14:editId="19B5DE0F">
              <wp:simplePos x="0" y="0"/>
              <wp:positionH relativeFrom="column">
                <wp:posOffset>824643</wp:posOffset>
              </wp:positionH>
              <wp:positionV relativeFrom="paragraph">
                <wp:posOffset>-101771</wp:posOffset>
              </wp:positionV>
              <wp:extent cx="1447332" cy="605918"/>
              <wp:effectExtent l="0" t="0" r="635" b="3810"/>
              <wp:wrapNone/>
              <wp:docPr id="4" name="Text Box 4"/>
              <wp:cNvGraphicFramePr/>
              <a:graphic xmlns:a="http://schemas.openxmlformats.org/drawingml/2006/main">
                <a:graphicData uri="http://schemas.microsoft.com/office/word/2010/wordprocessingShape">
                  <wps:wsp>
                    <wps:cNvSpPr txBox="1"/>
                    <wps:spPr>
                      <a:xfrm>
                        <a:off x="0" y="0"/>
                        <a:ext cx="1447332" cy="605918"/>
                      </a:xfrm>
                      <a:prstGeom prst="rect">
                        <a:avLst/>
                      </a:prstGeom>
                      <a:solidFill>
                        <a:schemeClr val="lt1"/>
                      </a:solidFill>
                      <a:ln w="6350">
                        <a:noFill/>
                      </a:ln>
                    </wps:spPr>
                    <wps:txbx>
                      <w:txbxContent>
                        <w:p w14:paraId="7A80083F" w14:textId="26CDE986" w:rsidR="00566CD0" w:rsidRPr="006B1F24" w:rsidRDefault="00566CD0" w:rsidP="00566CD0">
                          <w:pPr>
                            <w:rPr>
                              <w:rFonts w:ascii="Arial" w:hAnsi="Arial" w:cs="Arial"/>
                              <w:b/>
                              <w:bCs/>
                              <w:color w:val="767171" w:themeColor="background2" w:themeShade="80"/>
                              <w:sz w:val="76"/>
                              <w:szCs w:val="76"/>
                              <w:lang w:val="es-ES"/>
                            </w:rPr>
                          </w:pPr>
                          <w:r w:rsidRPr="006B1F24">
                            <w:rPr>
                              <w:rFonts w:ascii="Arial" w:hAnsi="Arial" w:cs="Arial"/>
                              <w:b/>
                              <w:bCs/>
                              <w:color w:val="767171" w:themeColor="background2" w:themeShade="80"/>
                              <w:sz w:val="76"/>
                              <w:szCs w:val="76"/>
                              <w:lang w:val="es-ES"/>
                            </w:rPr>
                            <w:t>20</w:t>
                          </w:r>
                          <w:r w:rsidR="00E042FE">
                            <w:rPr>
                              <w:rFonts w:ascii="Arial" w:hAnsi="Arial" w:cs="Arial"/>
                              <w:b/>
                              <w:bCs/>
                              <w:color w:val="767171" w:themeColor="background2" w:themeShade="80"/>
                              <w:sz w:val="76"/>
                              <w:szCs w:val="76"/>
                              <w:lang w:val="es-ES"/>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9B0906" id="_x0000_t202" coordsize="21600,21600" o:spt="202" path="m,l,21600r21600,l21600,xe">
              <v:stroke joinstyle="miter"/>
              <v:path gradientshapeok="t" o:connecttype="rect"/>
            </v:shapetype>
            <v:shape id="Text Box 4" o:spid="_x0000_s1026" type="#_x0000_t202" style="position:absolute;margin-left:64.95pt;margin-top:-8pt;width:113.95pt;height: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" fillcolor="white [3201]" stroked="f" strokeweight=".5pt">
              <v:textbox>
                <w:txbxContent>
                  <w:p w14:paraId="7A80083F" w14:textId="26CDE986" w:rsidR="00566CD0" w:rsidRPr="006B1F24" w:rsidRDefault="00566CD0" w:rsidP="00566CD0">
                    <w:pPr>
                      <w:rPr>
                        <w:rFonts w:ascii="Arial" w:hAnsi="Arial" w:cs="Arial"/>
                        <w:b/>
                        <w:bCs/>
                        <w:color w:val="767171" w:themeColor="background2" w:themeShade="80"/>
                        <w:sz w:val="76"/>
                        <w:szCs w:val="76"/>
                        <w:lang w:val="es-ES"/>
                      </w:rPr>
                    </w:pPr>
                    <w:r w:rsidRPr="006B1F24">
                      <w:rPr>
                        <w:rFonts w:ascii="Arial" w:hAnsi="Arial" w:cs="Arial"/>
                        <w:b/>
                        <w:bCs/>
                        <w:color w:val="767171" w:themeColor="background2" w:themeShade="80"/>
                        <w:sz w:val="76"/>
                        <w:szCs w:val="76"/>
                        <w:lang w:val="es-ES"/>
                      </w:rPr>
                      <w:t>20</w:t>
                    </w:r>
                    <w:r w:rsidR="00E042FE">
                      <w:rPr>
                        <w:rFonts w:ascii="Arial" w:hAnsi="Arial" w:cs="Arial"/>
                        <w:b/>
                        <w:bCs/>
                        <w:color w:val="767171" w:themeColor="background2" w:themeShade="80"/>
                        <w:sz w:val="76"/>
                        <w:szCs w:val="76"/>
                        <w:lang w:val="es-ES"/>
                      </w:rPr>
                      <w:t>20</w:t>
                    </w:r>
                  </w:p>
                </w:txbxContent>
              </v:textbox>
            </v:shape>
          </w:pict>
        </mc:Fallback>
      </mc:AlternateContent>
    </w:r>
    <w:r w:rsidRPr="006B1F24">
      <w:rPr>
        <w:rFonts w:ascii="Arial" w:hAnsi="Arial" w:cs="Arial"/>
        <w:color w:val="3B3838" w:themeColor="background2" w:themeShade="40"/>
        <w:sz w:val="28"/>
        <w:szCs w:val="28"/>
        <w:lang w:val="es-ES"/>
      </w:rPr>
      <w:t>INFORME</w:t>
    </w:r>
  </w:p>
  <w:p w14:paraId="434D4143" w14:textId="76C461F1" w:rsidR="00566CD0" w:rsidRPr="006B1F24" w:rsidRDefault="00566CD0" w:rsidP="008818B0">
    <w:pPr>
      <w:pStyle w:val="Header"/>
      <w:tabs>
        <w:tab w:val="clear" w:pos="4680"/>
        <w:tab w:val="clear" w:pos="9360"/>
        <w:tab w:val="left" w:pos="1925"/>
      </w:tabs>
      <w:rPr>
        <w:rFonts w:ascii="Arial" w:hAnsi="Arial" w:cs="Arial"/>
        <w:b/>
        <w:bCs/>
        <w:color w:val="404040" w:themeColor="text1" w:themeTint="BF"/>
        <w:sz w:val="38"/>
        <w:szCs w:val="38"/>
        <w:lang w:val="es-ES"/>
      </w:rPr>
    </w:pPr>
    <w:r w:rsidRPr="006B1F24">
      <w:rPr>
        <w:rFonts w:ascii="Arial" w:hAnsi="Arial" w:cs="Arial"/>
        <w:b/>
        <w:bCs/>
        <w:color w:val="404040" w:themeColor="text1" w:themeTint="BF"/>
        <w:sz w:val="38"/>
        <w:szCs w:val="38"/>
        <w:lang w:val="es-ES"/>
      </w:rPr>
      <w:t>ANUAL</w:t>
    </w:r>
    <w:r w:rsidR="008818B0">
      <w:rPr>
        <w:rFonts w:ascii="Arial" w:hAnsi="Arial" w:cs="Arial"/>
        <w:b/>
        <w:bCs/>
        <w:color w:val="404040" w:themeColor="text1" w:themeTint="BF"/>
        <w:sz w:val="38"/>
        <w:szCs w:val="38"/>
        <w:lang w:val="es-ES"/>
      </w:rPr>
      <w:tab/>
    </w:r>
  </w:p>
  <w:p w14:paraId="2AF194D7" w14:textId="36C35356" w:rsidR="00566CD0" w:rsidRPr="00566CD0" w:rsidRDefault="00566CD0">
    <w:pPr>
      <w:pStyle w:val="Header"/>
      <w:rPr>
        <w:rFonts w:ascii="Arial" w:hAnsi="Arial" w:cs="Arial"/>
        <w:b/>
        <w:bCs/>
        <w:color w:val="404040" w:themeColor="text1" w:themeTint="BF"/>
        <w:sz w:val="44"/>
        <w:szCs w:val="44"/>
        <w:lang w:val="es-ES"/>
      </w:rPr>
    </w:pPr>
    <w:r>
      <w:rPr>
        <w:rFonts w:ascii="Arial" w:hAnsi="Arial" w:cs="Arial"/>
        <w:b/>
        <w:bCs/>
        <w:noProof/>
        <w:color w:val="000000" w:themeColor="text1"/>
        <w:sz w:val="44"/>
        <w:szCs w:val="44"/>
      </w:rPr>
      <mc:AlternateContent>
        <mc:Choice Requires="wps">
          <w:drawing>
            <wp:anchor distT="0" distB="0" distL="114300" distR="114300" simplePos="0" relativeHeight="251664384" behindDoc="0" locked="0" layoutInCell="1" allowOverlap="1" wp14:anchorId="7114A5BC" wp14:editId="402717A8">
              <wp:simplePos x="0" y="0"/>
              <wp:positionH relativeFrom="column">
                <wp:posOffset>-5610</wp:posOffset>
              </wp:positionH>
              <wp:positionV relativeFrom="paragraph">
                <wp:posOffset>167882</wp:posOffset>
              </wp:positionV>
              <wp:extent cx="6148358" cy="0"/>
              <wp:effectExtent l="0" t="0" r="11430" b="12700"/>
              <wp:wrapNone/>
              <wp:docPr id="5" name="Straight Connector 5"/>
              <wp:cNvGraphicFramePr/>
              <a:graphic xmlns:a="http://schemas.openxmlformats.org/drawingml/2006/main">
                <a:graphicData uri="http://schemas.microsoft.com/office/word/2010/wordprocessingShape">
                  <wps:wsp>
                    <wps:cNvCnPr/>
                    <wps:spPr>
                      <a:xfrm>
                        <a:off x="0" y="0"/>
                        <a:ext cx="6148358" cy="0"/>
                      </a:xfrm>
                      <a:prstGeom prst="line">
                        <a:avLst/>
                      </a:prstGeom>
                      <a:ln w="15875">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39D982"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3.2pt" to="483.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" strokecolor="#272727 [2749]"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E1BD6"/>
    <w:multiLevelType w:val="hybridMultilevel"/>
    <w:tmpl w:val="AB042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D053E"/>
    <w:multiLevelType w:val="hybridMultilevel"/>
    <w:tmpl w:val="7AD6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14909"/>
    <w:multiLevelType w:val="hybridMultilevel"/>
    <w:tmpl w:val="6082D75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B2C1702"/>
    <w:multiLevelType w:val="hybridMultilevel"/>
    <w:tmpl w:val="B1989748"/>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5" w15:restartNumberingAfterBreak="0">
    <w:nsid w:val="25EE60B5"/>
    <w:multiLevelType w:val="hybridMultilevel"/>
    <w:tmpl w:val="B52627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6AD727E"/>
    <w:multiLevelType w:val="hybridMultilevel"/>
    <w:tmpl w:val="4D620182"/>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7" w15:restartNumberingAfterBreak="0">
    <w:nsid w:val="3C780D84"/>
    <w:multiLevelType w:val="hybridMultilevel"/>
    <w:tmpl w:val="8228A420"/>
    <w:lvl w:ilvl="0" w:tplc="02FA980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30208"/>
    <w:multiLevelType w:val="hybridMultilevel"/>
    <w:tmpl w:val="296EB4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9" w15:restartNumberingAfterBreak="0">
    <w:nsid w:val="427662E5"/>
    <w:multiLevelType w:val="hybridMultilevel"/>
    <w:tmpl w:val="79B4784A"/>
    <w:lvl w:ilvl="0" w:tplc="342CD320">
      <w:start w:val="1"/>
      <w:numFmt w:val="decimal"/>
      <w:lvlText w:val="%1."/>
      <w:lvlJc w:val="left"/>
      <w:pPr>
        <w:ind w:left="0" w:firstLine="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D23DB"/>
    <w:multiLevelType w:val="hybridMultilevel"/>
    <w:tmpl w:val="8D4C1CE2"/>
    <w:lvl w:ilvl="0" w:tplc="497EE42A">
      <w:start w:val="1"/>
      <w:numFmt w:val="decimal"/>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0D6F05"/>
    <w:multiLevelType w:val="hybridMultilevel"/>
    <w:tmpl w:val="BA7C9F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F3834D4"/>
    <w:multiLevelType w:val="hybridMultilevel"/>
    <w:tmpl w:val="E9AA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B3E93"/>
    <w:multiLevelType w:val="hybridMultilevel"/>
    <w:tmpl w:val="775A524C"/>
    <w:lvl w:ilvl="0" w:tplc="1946F216">
      <w:start w:val="3"/>
      <w:numFmt w:val="decimal"/>
      <w:lvlText w:val="%1."/>
      <w:lvlJc w:val="left"/>
      <w:pPr>
        <w:ind w:left="252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678D6036"/>
    <w:multiLevelType w:val="hybridMultilevel"/>
    <w:tmpl w:val="975E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4624A"/>
    <w:multiLevelType w:val="hybridMultilevel"/>
    <w:tmpl w:val="49C2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9B1B07"/>
    <w:multiLevelType w:val="hybridMultilevel"/>
    <w:tmpl w:val="787EE794"/>
    <w:lvl w:ilvl="0" w:tplc="41EA200E">
      <w:start w:val="1"/>
      <w:numFmt w:val="decimal"/>
      <w:lvlText w:val="%1."/>
      <w:lvlJc w:val="left"/>
      <w:pPr>
        <w:ind w:left="4754" w:hanging="360"/>
      </w:pPr>
      <w:rPr>
        <w:b w:val="0"/>
        <w:strike w:val="0"/>
        <w:color w:val="auto"/>
      </w:rPr>
    </w:lvl>
    <w:lvl w:ilvl="1" w:tplc="04090019">
      <w:start w:val="1"/>
      <w:numFmt w:val="lowerLetter"/>
      <w:lvlText w:val="%2."/>
      <w:lvlJc w:val="left"/>
      <w:pPr>
        <w:ind w:left="1636" w:hanging="360"/>
      </w:pPr>
    </w:lvl>
    <w:lvl w:ilvl="2" w:tplc="0409001B" w:tentative="1">
      <w:start w:val="1"/>
      <w:numFmt w:val="lowerRoman"/>
      <w:lvlText w:val="%3."/>
      <w:lvlJc w:val="right"/>
      <w:pPr>
        <w:ind w:left="6074" w:hanging="180"/>
      </w:pPr>
    </w:lvl>
    <w:lvl w:ilvl="3" w:tplc="0409000F" w:tentative="1">
      <w:start w:val="1"/>
      <w:numFmt w:val="decimal"/>
      <w:lvlText w:val="%4."/>
      <w:lvlJc w:val="left"/>
      <w:pPr>
        <w:ind w:left="6794" w:hanging="360"/>
      </w:pPr>
    </w:lvl>
    <w:lvl w:ilvl="4" w:tplc="04090019" w:tentative="1">
      <w:start w:val="1"/>
      <w:numFmt w:val="lowerLetter"/>
      <w:lvlText w:val="%5."/>
      <w:lvlJc w:val="left"/>
      <w:pPr>
        <w:ind w:left="7514" w:hanging="360"/>
      </w:pPr>
    </w:lvl>
    <w:lvl w:ilvl="5" w:tplc="0409001B" w:tentative="1">
      <w:start w:val="1"/>
      <w:numFmt w:val="lowerRoman"/>
      <w:lvlText w:val="%6."/>
      <w:lvlJc w:val="right"/>
      <w:pPr>
        <w:ind w:left="8234" w:hanging="180"/>
      </w:pPr>
    </w:lvl>
    <w:lvl w:ilvl="6" w:tplc="0409000F" w:tentative="1">
      <w:start w:val="1"/>
      <w:numFmt w:val="decimal"/>
      <w:lvlText w:val="%7."/>
      <w:lvlJc w:val="left"/>
      <w:pPr>
        <w:ind w:left="8954" w:hanging="360"/>
      </w:pPr>
    </w:lvl>
    <w:lvl w:ilvl="7" w:tplc="04090019" w:tentative="1">
      <w:start w:val="1"/>
      <w:numFmt w:val="lowerLetter"/>
      <w:lvlText w:val="%8."/>
      <w:lvlJc w:val="left"/>
      <w:pPr>
        <w:ind w:left="9674" w:hanging="360"/>
      </w:pPr>
    </w:lvl>
    <w:lvl w:ilvl="8" w:tplc="0409001B" w:tentative="1">
      <w:start w:val="1"/>
      <w:numFmt w:val="lowerRoman"/>
      <w:lvlText w:val="%9."/>
      <w:lvlJc w:val="right"/>
      <w:pPr>
        <w:ind w:left="10394" w:hanging="180"/>
      </w:pPr>
    </w:lvl>
  </w:abstractNum>
  <w:num w:numId="1">
    <w:abstractNumId w:val="8"/>
  </w:num>
  <w:num w:numId="2">
    <w:abstractNumId w:val="17"/>
  </w:num>
  <w:num w:numId="3">
    <w:abstractNumId w:val="12"/>
  </w:num>
  <w:num w:numId="4">
    <w:abstractNumId w:val="4"/>
  </w:num>
  <w:num w:numId="5">
    <w:abstractNumId w:val="3"/>
  </w:num>
  <w:num w:numId="6">
    <w:abstractNumId w:val="6"/>
  </w:num>
  <w:num w:numId="7">
    <w:abstractNumId w:val="0"/>
  </w:num>
  <w:num w:numId="8">
    <w:abstractNumId w:val="11"/>
  </w:num>
  <w:num w:numId="9">
    <w:abstractNumId w:val="9"/>
  </w:num>
  <w:num w:numId="10">
    <w:abstractNumId w:val="1"/>
  </w:num>
  <w:num w:numId="11">
    <w:abstractNumId w:val="16"/>
  </w:num>
  <w:num w:numId="12">
    <w:abstractNumId w:val="7"/>
  </w:num>
  <w:num w:numId="13">
    <w:abstractNumId w:val="1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733"/>
    <w:rsid w:val="00045E5E"/>
    <w:rsid w:val="000A797E"/>
    <w:rsid w:val="000B5E1D"/>
    <w:rsid w:val="000C5C4A"/>
    <w:rsid w:val="001C7AAF"/>
    <w:rsid w:val="001D4AA3"/>
    <w:rsid w:val="001E7DB3"/>
    <w:rsid w:val="00322720"/>
    <w:rsid w:val="003E617F"/>
    <w:rsid w:val="0043001C"/>
    <w:rsid w:val="00453115"/>
    <w:rsid w:val="00475DCC"/>
    <w:rsid w:val="0048723C"/>
    <w:rsid w:val="00537D1F"/>
    <w:rsid w:val="00566CD0"/>
    <w:rsid w:val="005A498B"/>
    <w:rsid w:val="00637ED3"/>
    <w:rsid w:val="006638E5"/>
    <w:rsid w:val="00672733"/>
    <w:rsid w:val="00683FDA"/>
    <w:rsid w:val="006B1F24"/>
    <w:rsid w:val="00750246"/>
    <w:rsid w:val="008463D3"/>
    <w:rsid w:val="008818B0"/>
    <w:rsid w:val="00896708"/>
    <w:rsid w:val="00926A24"/>
    <w:rsid w:val="00A31E02"/>
    <w:rsid w:val="00A52906"/>
    <w:rsid w:val="00A578F4"/>
    <w:rsid w:val="00B77D67"/>
    <w:rsid w:val="00B80C8B"/>
    <w:rsid w:val="00BB0D06"/>
    <w:rsid w:val="00D03375"/>
    <w:rsid w:val="00D56DC4"/>
    <w:rsid w:val="00E042FE"/>
    <w:rsid w:val="00E516AB"/>
    <w:rsid w:val="00E90CB3"/>
    <w:rsid w:val="00EF270C"/>
    <w:rsid w:val="00F5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75B2B5"/>
  <w15:chartTrackingRefBased/>
  <w15:docId w15:val="{90C71373-7FC8-954C-ADE4-56D64BFCB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1F2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733"/>
    <w:pPr>
      <w:tabs>
        <w:tab w:val="center" w:pos="4680"/>
        <w:tab w:val="right" w:pos="9360"/>
      </w:tabs>
    </w:pPr>
  </w:style>
  <w:style w:type="character" w:customStyle="1" w:styleId="HeaderChar">
    <w:name w:val="Header Char"/>
    <w:basedOn w:val="DefaultParagraphFont"/>
    <w:link w:val="Header"/>
    <w:uiPriority w:val="99"/>
    <w:rsid w:val="00672733"/>
  </w:style>
  <w:style w:type="paragraph" w:styleId="Footer">
    <w:name w:val="footer"/>
    <w:basedOn w:val="Normal"/>
    <w:link w:val="FooterChar"/>
    <w:uiPriority w:val="99"/>
    <w:unhideWhenUsed/>
    <w:rsid w:val="00672733"/>
    <w:pPr>
      <w:tabs>
        <w:tab w:val="center" w:pos="4680"/>
        <w:tab w:val="right" w:pos="9360"/>
      </w:tabs>
    </w:pPr>
  </w:style>
  <w:style w:type="character" w:customStyle="1" w:styleId="FooterChar">
    <w:name w:val="Footer Char"/>
    <w:basedOn w:val="DefaultParagraphFont"/>
    <w:link w:val="Footer"/>
    <w:uiPriority w:val="99"/>
    <w:rsid w:val="00672733"/>
  </w:style>
  <w:style w:type="paragraph" w:styleId="Title">
    <w:name w:val="Title"/>
    <w:basedOn w:val="Normal"/>
    <w:next w:val="Normal"/>
    <w:link w:val="TitleChar"/>
    <w:uiPriority w:val="10"/>
    <w:qFormat/>
    <w:rsid w:val="006B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F24"/>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B1F24"/>
    <w:rPr>
      <w:b/>
      <w:bCs/>
    </w:rPr>
  </w:style>
  <w:style w:type="character" w:customStyle="1" w:styleId="Heading1Char">
    <w:name w:val="Heading 1 Char"/>
    <w:basedOn w:val="DefaultParagraphFont"/>
    <w:link w:val="Heading1"/>
    <w:uiPriority w:val="9"/>
    <w:rsid w:val="006B1F24"/>
    <w:rPr>
      <w:rFonts w:asciiTheme="majorHAnsi" w:eastAsiaTheme="majorEastAsia" w:hAnsiTheme="majorHAnsi" w:cstheme="majorBidi"/>
      <w:color w:val="2F5496" w:themeColor="accent1" w:themeShade="BF"/>
      <w:sz w:val="32"/>
      <w:szCs w:val="32"/>
    </w:rPr>
  </w:style>
  <w:style w:type="paragraph" w:styleId="ListParagraph">
    <w:name w:val="List Paragraph"/>
    <w:aliases w:val="Párrafo de lista1,List Paragraph1,Colorful List - Accent 11,List Paragraph11"/>
    <w:basedOn w:val="Normal"/>
    <w:link w:val="ListParagraphChar"/>
    <w:uiPriority w:val="34"/>
    <w:qFormat/>
    <w:rsid w:val="00045E5E"/>
    <w:pPr>
      <w:ind w:left="720"/>
      <w:contextualSpacing/>
    </w:pPr>
  </w:style>
  <w:style w:type="paragraph" w:styleId="Subtitle">
    <w:name w:val="Subtitle"/>
    <w:basedOn w:val="Normal"/>
    <w:next w:val="Normal"/>
    <w:link w:val="SubtitleChar"/>
    <w:uiPriority w:val="11"/>
    <w:qFormat/>
    <w:rsid w:val="00045E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045E5E"/>
    <w:rPr>
      <w:rFonts w:eastAsiaTheme="minorEastAsia"/>
      <w:color w:val="5A5A5A" w:themeColor="text1" w:themeTint="A5"/>
      <w:spacing w:val="15"/>
      <w:sz w:val="22"/>
      <w:szCs w:val="22"/>
    </w:rPr>
  </w:style>
  <w:style w:type="table" w:styleId="TableGrid">
    <w:name w:val="Table Grid"/>
    <w:basedOn w:val="TableNormal"/>
    <w:uiPriority w:val="39"/>
    <w:rsid w:val="003227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3227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2272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2272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E516AB"/>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E516AB"/>
    <w:rPr>
      <w:sz w:val="20"/>
      <w:szCs w:val="20"/>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basedOn w:val="DefaultParagraphFont"/>
    <w:link w:val="Appelnotedebasde"/>
    <w:unhideWhenUsed/>
    <w:qFormat/>
    <w:rsid w:val="00E516AB"/>
    <w:rPr>
      <w:vertAlign w:val="superscript"/>
    </w:rPr>
  </w:style>
  <w:style w:type="paragraph" w:styleId="Caption">
    <w:name w:val="caption"/>
    <w:basedOn w:val="Normal"/>
    <w:next w:val="Normal"/>
    <w:uiPriority w:val="35"/>
    <w:unhideWhenUsed/>
    <w:qFormat/>
    <w:rsid w:val="00566CD0"/>
    <w:pPr>
      <w:spacing w:after="200"/>
    </w:pPr>
    <w:rPr>
      <w:i/>
      <w:iCs/>
      <w:color w:val="44546A" w:themeColor="text2"/>
      <w:sz w:val="18"/>
      <w:szCs w:val="18"/>
    </w:rPr>
  </w:style>
  <w:style w:type="paragraph" w:customStyle="1" w:styleId="Appelnotedebasde">
    <w:name w:val="Appel note de bas de..."/>
    <w:basedOn w:val="Normal"/>
    <w:link w:val="FootnoteReference"/>
    <w:uiPriority w:val="99"/>
    <w:rsid w:val="00750246"/>
    <w:pPr>
      <w:spacing w:after="160" w:line="240" w:lineRule="exact"/>
    </w:pPr>
    <w:rPr>
      <w:vertAlign w:val="superscript"/>
    </w:rPr>
  </w:style>
  <w:style w:type="character" w:styleId="Hyperlink">
    <w:name w:val="Hyperlink"/>
    <w:uiPriority w:val="99"/>
    <w:unhideWhenUsed/>
    <w:rsid w:val="00750246"/>
    <w:rPr>
      <w:color w:val="0563C1"/>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750246"/>
  </w:style>
  <w:style w:type="paragraph" w:styleId="NoSpacing">
    <w:name w:val="No Spacing"/>
    <w:link w:val="NoSpacingChar"/>
    <w:uiPriority w:val="1"/>
    <w:qFormat/>
    <w:rsid w:val="00F54C38"/>
    <w:rPr>
      <w:rFonts w:ascii="Calibri" w:eastAsia="Calibri" w:hAnsi="Calibri" w:cs="Times New Roman"/>
      <w:sz w:val="22"/>
      <w:szCs w:val="22"/>
      <w:lang w:val="pt-BR"/>
    </w:rPr>
  </w:style>
  <w:style w:type="character" w:customStyle="1" w:styleId="NoSpacingChar">
    <w:name w:val="No Spacing Char"/>
    <w:link w:val="NoSpacing"/>
    <w:uiPriority w:val="1"/>
    <w:rsid w:val="00926A24"/>
    <w:rPr>
      <w:rFonts w:ascii="Calibri" w:eastAsia="Calibri" w:hAnsi="Calibri" w:cs="Times New Roman"/>
      <w:sz w:val="22"/>
      <w:szCs w:val="22"/>
      <w:lang w:val="pt-BR"/>
    </w:rPr>
  </w:style>
  <w:style w:type="paragraph" w:styleId="BalloonText">
    <w:name w:val="Balloon Text"/>
    <w:basedOn w:val="Normal"/>
    <w:link w:val="BalloonTextChar"/>
    <w:uiPriority w:val="99"/>
    <w:semiHidden/>
    <w:unhideWhenUsed/>
    <w:rsid w:val="00B80C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C8B"/>
    <w:rPr>
      <w:rFonts w:ascii="Segoe UI" w:hAnsi="Segoe UI" w:cs="Segoe UI"/>
      <w:sz w:val="18"/>
      <w:szCs w:val="18"/>
    </w:rPr>
  </w:style>
  <w:style w:type="character" w:styleId="CommentReference">
    <w:name w:val="annotation reference"/>
    <w:basedOn w:val="DefaultParagraphFont"/>
    <w:uiPriority w:val="99"/>
    <w:semiHidden/>
    <w:unhideWhenUsed/>
    <w:rsid w:val="00B80C8B"/>
    <w:rPr>
      <w:sz w:val="16"/>
      <w:szCs w:val="16"/>
    </w:rPr>
  </w:style>
  <w:style w:type="paragraph" w:styleId="CommentText">
    <w:name w:val="annotation text"/>
    <w:basedOn w:val="Normal"/>
    <w:link w:val="CommentTextChar"/>
    <w:uiPriority w:val="99"/>
    <w:semiHidden/>
    <w:unhideWhenUsed/>
    <w:rsid w:val="00B80C8B"/>
    <w:rPr>
      <w:sz w:val="20"/>
      <w:szCs w:val="20"/>
    </w:rPr>
  </w:style>
  <w:style w:type="character" w:customStyle="1" w:styleId="CommentTextChar">
    <w:name w:val="Comment Text Char"/>
    <w:basedOn w:val="DefaultParagraphFont"/>
    <w:link w:val="CommentText"/>
    <w:uiPriority w:val="99"/>
    <w:semiHidden/>
    <w:rsid w:val="00B80C8B"/>
    <w:rPr>
      <w:sz w:val="20"/>
      <w:szCs w:val="20"/>
    </w:rPr>
  </w:style>
  <w:style w:type="paragraph" w:styleId="CommentSubject">
    <w:name w:val="annotation subject"/>
    <w:basedOn w:val="CommentText"/>
    <w:next w:val="CommentText"/>
    <w:link w:val="CommentSubjectChar"/>
    <w:uiPriority w:val="99"/>
    <w:semiHidden/>
    <w:unhideWhenUsed/>
    <w:rsid w:val="00B80C8B"/>
    <w:rPr>
      <w:b/>
      <w:bCs/>
    </w:rPr>
  </w:style>
  <w:style w:type="character" w:customStyle="1" w:styleId="CommentSubjectChar">
    <w:name w:val="Comment Subject Char"/>
    <w:basedOn w:val="CommentTextChar"/>
    <w:link w:val="CommentSubject"/>
    <w:uiPriority w:val="99"/>
    <w:semiHidden/>
    <w:rsid w:val="00B80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9sp/Mexico12228.sp.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dh.oas.org/annualrep/2001sp/Mexico12228.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docs/anual/2017/docs/IA2017cap.2-es.pdf" TargetMode="External"/><Relationship Id="rId1" Type="http://schemas.openxmlformats.org/officeDocument/2006/relationships/hyperlink" Target="http://www.oas.org/es/cidh/docs/anual/2017/docs/IA2017cap.2-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B5F32-D29D-4932-9EC8-7B435082F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jospofe24@estudiantec.cr</dc:creator>
  <cp:keywords/>
  <dc:description/>
  <cp:lastModifiedBy>Paez, Suzdal</cp:lastModifiedBy>
  <cp:revision>4</cp:revision>
  <dcterms:created xsi:type="dcterms:W3CDTF">2021-01-04T18:08:00Z</dcterms:created>
  <dcterms:modified xsi:type="dcterms:W3CDTF">2021-03-25T22:17:00Z</dcterms:modified>
</cp:coreProperties>
</file>