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43A19" w14:textId="77777777" w:rsidR="00F54C38" w:rsidRPr="001B2555" w:rsidRDefault="00F54C38" w:rsidP="00F54C38">
      <w:pPr>
        <w:rPr>
          <w:rFonts w:ascii="Cambria" w:hAnsi="Cambria"/>
          <w:b/>
          <w:sz w:val="20"/>
          <w:szCs w:val="20"/>
          <w:lang w:val="es-ES"/>
        </w:rPr>
      </w:pPr>
    </w:p>
    <w:p w14:paraId="3F05A8D3" w14:textId="77777777" w:rsidR="00F54C38" w:rsidRPr="00C95330" w:rsidRDefault="00F54C38" w:rsidP="00F54C38">
      <w:pPr>
        <w:jc w:val="center"/>
        <w:rPr>
          <w:rFonts w:ascii="Cambria" w:hAnsi="Cambria"/>
          <w:b/>
          <w:sz w:val="20"/>
          <w:szCs w:val="20"/>
          <w:lang w:val="es-ES"/>
        </w:rPr>
      </w:pPr>
      <w:r w:rsidRPr="00C95330">
        <w:rPr>
          <w:rFonts w:ascii="Cambria" w:hAnsi="Cambria"/>
          <w:b/>
          <w:sz w:val="20"/>
          <w:szCs w:val="20"/>
          <w:lang w:val="es-ES"/>
        </w:rPr>
        <w:t>FICHA DE SEGUIMIENTO DEL INFORME Nº 79/15</w:t>
      </w:r>
    </w:p>
    <w:p w14:paraId="572A7507" w14:textId="77777777" w:rsidR="00F54C38" w:rsidRPr="00C95330" w:rsidRDefault="00F54C38" w:rsidP="00F54C38">
      <w:pPr>
        <w:jc w:val="center"/>
        <w:rPr>
          <w:rFonts w:ascii="Cambria" w:hAnsi="Cambria"/>
          <w:b/>
          <w:sz w:val="20"/>
          <w:szCs w:val="20"/>
          <w:lang w:val="es-ES"/>
        </w:rPr>
      </w:pPr>
      <w:r w:rsidRPr="00C95330">
        <w:rPr>
          <w:rFonts w:ascii="Cambria" w:hAnsi="Cambria"/>
          <w:b/>
          <w:sz w:val="20"/>
          <w:szCs w:val="20"/>
          <w:lang w:val="es-ES"/>
        </w:rPr>
        <w:t>CASO 12.994</w:t>
      </w:r>
    </w:p>
    <w:p w14:paraId="12D8673C" w14:textId="77777777" w:rsidR="00F54C38" w:rsidRPr="00C95330" w:rsidRDefault="00F54C38" w:rsidP="00F54C38">
      <w:pPr>
        <w:jc w:val="center"/>
        <w:rPr>
          <w:rFonts w:ascii="Cambria" w:hAnsi="Cambria"/>
          <w:b/>
          <w:sz w:val="20"/>
          <w:szCs w:val="20"/>
          <w:lang w:val="es-ES"/>
        </w:rPr>
      </w:pPr>
      <w:r w:rsidRPr="00C95330">
        <w:rPr>
          <w:rFonts w:ascii="Cambria" w:hAnsi="Cambria"/>
          <w:b/>
          <w:sz w:val="20"/>
          <w:szCs w:val="20"/>
          <w:lang w:val="es-ES"/>
        </w:rPr>
        <w:t>BERNARDO ABAN TERCERO</w:t>
      </w:r>
    </w:p>
    <w:p w14:paraId="12FD2C89" w14:textId="77777777" w:rsidR="00F54C38" w:rsidRPr="00C95330" w:rsidRDefault="00F54C38" w:rsidP="00F54C38">
      <w:pPr>
        <w:jc w:val="center"/>
        <w:rPr>
          <w:rFonts w:ascii="Cambria" w:hAnsi="Cambria"/>
          <w:b/>
          <w:sz w:val="20"/>
          <w:szCs w:val="20"/>
          <w:lang w:val="es-ES"/>
        </w:rPr>
      </w:pPr>
      <w:r w:rsidRPr="00C95330">
        <w:rPr>
          <w:rFonts w:ascii="Cambria" w:hAnsi="Cambria"/>
          <w:b/>
          <w:sz w:val="20"/>
          <w:szCs w:val="20"/>
          <w:lang w:val="es-ES"/>
        </w:rPr>
        <w:t>(Estados Unidos)</w:t>
      </w:r>
    </w:p>
    <w:p w14:paraId="15A23F0A" w14:textId="77777777" w:rsidR="00F54C38" w:rsidRPr="00C95330" w:rsidRDefault="00F54C38" w:rsidP="00F54C38">
      <w:pPr>
        <w:jc w:val="center"/>
        <w:rPr>
          <w:rFonts w:ascii="Cambria" w:hAnsi="Cambria"/>
          <w:sz w:val="20"/>
          <w:szCs w:val="20"/>
          <w:lang w:val="es-ES"/>
        </w:rPr>
      </w:pPr>
    </w:p>
    <w:p w14:paraId="0C59301D" w14:textId="77777777" w:rsidR="00F54C38" w:rsidRPr="00C95330" w:rsidRDefault="00F54C38" w:rsidP="00F54C38">
      <w:pPr>
        <w:numPr>
          <w:ilvl w:val="0"/>
          <w:numId w:val="8"/>
        </w:numPr>
        <w:ind w:left="1440"/>
        <w:rPr>
          <w:rFonts w:ascii="Cambria" w:hAnsi="Cambria" w:cs="Calibri Light"/>
          <w:b/>
          <w:sz w:val="20"/>
          <w:szCs w:val="20"/>
          <w:lang w:val="es-ES"/>
        </w:rPr>
      </w:pPr>
      <w:r w:rsidRPr="00C95330">
        <w:rPr>
          <w:rFonts w:ascii="Cambria" w:hAnsi="Cambria" w:cs="Calibri Light"/>
          <w:b/>
          <w:sz w:val="20"/>
          <w:szCs w:val="20"/>
          <w:lang w:val="es-ES"/>
        </w:rPr>
        <w:t xml:space="preserve">Resumen del caso </w:t>
      </w:r>
    </w:p>
    <w:p w14:paraId="549774F7" w14:textId="77777777" w:rsidR="00F54C38" w:rsidRPr="00C95330" w:rsidRDefault="00F54C38" w:rsidP="00F54C38">
      <w:pPr>
        <w:ind w:left="1080"/>
        <w:rPr>
          <w:rFonts w:ascii="Cambria" w:hAnsi="Cambria" w:cs="Calibri Light"/>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F54C38" w:rsidRPr="00C95330" w14:paraId="0A706CEB" w14:textId="77777777" w:rsidTr="00AA3A3F">
        <w:trPr>
          <w:jc w:val="center"/>
        </w:trPr>
        <w:tc>
          <w:tcPr>
            <w:tcW w:w="9576" w:type="dxa"/>
            <w:shd w:val="clear" w:color="auto" w:fill="F2F2F2"/>
          </w:tcPr>
          <w:p w14:paraId="516F1CEB" w14:textId="77777777" w:rsidR="00F54C38" w:rsidRPr="00C95330" w:rsidRDefault="00F54C38" w:rsidP="00AA3A3F">
            <w:pPr>
              <w:pStyle w:val="NoSpacing"/>
              <w:spacing w:before="120"/>
              <w:jc w:val="both"/>
              <w:rPr>
                <w:rFonts w:ascii="Cambria" w:hAnsi="Cambria"/>
                <w:sz w:val="20"/>
                <w:szCs w:val="20"/>
                <w:lang w:val="es-ES"/>
              </w:rPr>
            </w:pPr>
            <w:r w:rsidRPr="00C95330">
              <w:rPr>
                <w:rFonts w:ascii="Cambria" w:hAnsi="Cambria"/>
                <w:b/>
                <w:sz w:val="20"/>
                <w:szCs w:val="20"/>
                <w:lang w:val="es-ES"/>
              </w:rPr>
              <w:t>Víctima (s):</w:t>
            </w:r>
            <w:r w:rsidRPr="00C95330">
              <w:rPr>
                <w:rFonts w:ascii="Cambria" w:hAnsi="Cambria"/>
                <w:sz w:val="20"/>
                <w:szCs w:val="20"/>
                <w:lang w:val="es-ES"/>
              </w:rPr>
              <w:t xml:space="preserve"> Bernardo </w:t>
            </w:r>
            <w:proofErr w:type="spellStart"/>
            <w:r w:rsidRPr="00C95330">
              <w:rPr>
                <w:rFonts w:ascii="Cambria" w:hAnsi="Cambria"/>
                <w:sz w:val="20"/>
                <w:szCs w:val="20"/>
                <w:lang w:val="es-ES"/>
              </w:rPr>
              <w:t>Aban</w:t>
            </w:r>
            <w:proofErr w:type="spellEnd"/>
            <w:r w:rsidRPr="00C95330">
              <w:rPr>
                <w:rFonts w:ascii="Cambria" w:hAnsi="Cambria"/>
                <w:sz w:val="20"/>
                <w:szCs w:val="20"/>
                <w:lang w:val="es-ES"/>
              </w:rPr>
              <w:t xml:space="preserve"> Tercero</w:t>
            </w:r>
          </w:p>
          <w:p w14:paraId="2EB54082" w14:textId="77777777" w:rsidR="00F54C38" w:rsidRPr="00C95330" w:rsidRDefault="00F54C38" w:rsidP="00AA3A3F">
            <w:pPr>
              <w:jc w:val="both"/>
              <w:rPr>
                <w:rFonts w:ascii="Cambria" w:hAnsi="Cambria"/>
                <w:sz w:val="20"/>
                <w:szCs w:val="20"/>
              </w:rPr>
            </w:pPr>
            <w:proofErr w:type="spellStart"/>
            <w:r w:rsidRPr="00C95330">
              <w:rPr>
                <w:rFonts w:ascii="Cambria" w:hAnsi="Cambria"/>
                <w:b/>
                <w:sz w:val="20"/>
                <w:szCs w:val="20"/>
              </w:rPr>
              <w:t>Peticionario</w:t>
            </w:r>
            <w:proofErr w:type="spellEnd"/>
            <w:r w:rsidRPr="00C95330">
              <w:rPr>
                <w:rFonts w:ascii="Cambria" w:hAnsi="Cambria"/>
                <w:b/>
                <w:sz w:val="20"/>
                <w:szCs w:val="20"/>
              </w:rPr>
              <w:t xml:space="preserve"> (s):</w:t>
            </w:r>
            <w:r w:rsidRPr="00C95330">
              <w:rPr>
                <w:rFonts w:ascii="Cambria" w:hAnsi="Cambria"/>
                <w:sz w:val="20"/>
                <w:szCs w:val="20"/>
              </w:rPr>
              <w:t xml:space="preserve"> Walter C. Long, </w:t>
            </w:r>
            <w:proofErr w:type="spellStart"/>
            <w:r w:rsidRPr="00C95330">
              <w:rPr>
                <w:rFonts w:ascii="Cambria" w:hAnsi="Cambria"/>
                <w:sz w:val="20"/>
                <w:szCs w:val="20"/>
              </w:rPr>
              <w:t>Cathryn</w:t>
            </w:r>
            <w:proofErr w:type="spellEnd"/>
            <w:r w:rsidRPr="00C95330">
              <w:rPr>
                <w:rFonts w:ascii="Cambria" w:hAnsi="Cambria"/>
                <w:sz w:val="20"/>
                <w:szCs w:val="20"/>
              </w:rPr>
              <w:t xml:space="preserve"> Crawford </w:t>
            </w:r>
          </w:p>
          <w:p w14:paraId="7A788C98" w14:textId="77777777" w:rsidR="00F54C38" w:rsidRPr="00C95330" w:rsidRDefault="00F54C38" w:rsidP="00AA3A3F">
            <w:pPr>
              <w:jc w:val="both"/>
              <w:rPr>
                <w:rFonts w:ascii="Cambria" w:hAnsi="Cambria"/>
                <w:sz w:val="20"/>
                <w:szCs w:val="20"/>
                <w:lang w:val="es-ES"/>
              </w:rPr>
            </w:pPr>
            <w:r w:rsidRPr="00C95330">
              <w:rPr>
                <w:rFonts w:ascii="Cambria" w:hAnsi="Cambria"/>
                <w:b/>
                <w:sz w:val="20"/>
                <w:szCs w:val="20"/>
                <w:lang w:val="es-ES"/>
              </w:rPr>
              <w:t xml:space="preserve">Estado: </w:t>
            </w:r>
            <w:r w:rsidRPr="00C95330">
              <w:rPr>
                <w:rFonts w:ascii="Cambria" w:hAnsi="Cambria"/>
                <w:sz w:val="20"/>
                <w:szCs w:val="20"/>
                <w:lang w:val="es-ES"/>
              </w:rPr>
              <w:t>Estados Unidos</w:t>
            </w:r>
          </w:p>
          <w:p w14:paraId="7DB6AD75" w14:textId="77777777" w:rsidR="00F54C38" w:rsidRPr="00C95330" w:rsidRDefault="00F54C38" w:rsidP="00AA3A3F">
            <w:pPr>
              <w:jc w:val="both"/>
              <w:rPr>
                <w:rFonts w:ascii="Cambria" w:hAnsi="Cambria"/>
                <w:sz w:val="20"/>
                <w:szCs w:val="20"/>
                <w:lang w:val="es-ES"/>
              </w:rPr>
            </w:pPr>
            <w:r w:rsidRPr="00C95330">
              <w:rPr>
                <w:rFonts w:ascii="Cambria" w:hAnsi="Cambria"/>
                <w:b/>
                <w:sz w:val="20"/>
                <w:szCs w:val="20"/>
                <w:lang w:val="es-ES"/>
              </w:rPr>
              <w:t xml:space="preserve">Informe de Fondo Nº: </w:t>
            </w:r>
            <w:hyperlink r:id="rId8" w:history="1">
              <w:r w:rsidRPr="00C95330">
                <w:rPr>
                  <w:rStyle w:val="Hyperlink"/>
                  <w:rFonts w:ascii="Cambria" w:hAnsi="Cambria"/>
                  <w:sz w:val="20"/>
                  <w:szCs w:val="20"/>
                  <w:lang w:val="es-ES"/>
                </w:rPr>
                <w:t>79/15,</w:t>
              </w:r>
            </w:hyperlink>
            <w:r w:rsidRPr="00C95330">
              <w:rPr>
                <w:rFonts w:ascii="Cambria" w:hAnsi="Cambria"/>
                <w:sz w:val="20"/>
                <w:szCs w:val="20"/>
                <w:lang w:val="es-ES"/>
              </w:rPr>
              <w:t xml:space="preserve"> publicado el 28 de octubre de 2015 (disponible en inglés) </w:t>
            </w:r>
          </w:p>
          <w:p w14:paraId="642966A6" w14:textId="77777777" w:rsidR="00F54C38" w:rsidRPr="00C95330" w:rsidRDefault="00F54C38" w:rsidP="00AA3A3F">
            <w:pPr>
              <w:jc w:val="both"/>
              <w:rPr>
                <w:rFonts w:ascii="Cambria" w:hAnsi="Cambria"/>
                <w:sz w:val="20"/>
                <w:szCs w:val="20"/>
                <w:lang w:val="es-ES"/>
              </w:rPr>
            </w:pPr>
            <w:r w:rsidRPr="00C95330">
              <w:rPr>
                <w:rFonts w:ascii="Cambria" w:hAnsi="Cambria"/>
                <w:b/>
                <w:sz w:val="20"/>
                <w:szCs w:val="20"/>
                <w:lang w:val="es-ES"/>
              </w:rPr>
              <w:t xml:space="preserve">Informe de Admisibilidad Nº: </w:t>
            </w:r>
            <w:hyperlink r:id="rId9" w:history="1">
              <w:r w:rsidRPr="00C95330">
                <w:rPr>
                  <w:rStyle w:val="Hyperlink"/>
                  <w:rFonts w:ascii="Cambria" w:hAnsi="Cambria"/>
                  <w:sz w:val="20"/>
                  <w:szCs w:val="20"/>
                  <w:lang w:val="es-ES"/>
                </w:rPr>
                <w:t>24/15,</w:t>
              </w:r>
            </w:hyperlink>
            <w:r w:rsidRPr="00C95330">
              <w:rPr>
                <w:rFonts w:ascii="Cambria" w:hAnsi="Cambria"/>
                <w:sz w:val="20"/>
                <w:szCs w:val="20"/>
                <w:lang w:val="es-ES"/>
              </w:rPr>
              <w:t xml:space="preserve"> adoptado el 29 de junio de 2015</w:t>
            </w:r>
          </w:p>
          <w:p w14:paraId="2353E5F8" w14:textId="77777777" w:rsidR="00F54C38" w:rsidRPr="00C95330" w:rsidRDefault="00F54C38" w:rsidP="00AA3A3F">
            <w:pPr>
              <w:jc w:val="both"/>
              <w:rPr>
                <w:rFonts w:ascii="Cambria" w:hAnsi="Cambria"/>
                <w:sz w:val="20"/>
                <w:szCs w:val="20"/>
                <w:lang w:val="es-ES"/>
              </w:rPr>
            </w:pPr>
            <w:r w:rsidRPr="00C95330">
              <w:rPr>
                <w:rFonts w:ascii="Cambria" w:hAnsi="Cambria"/>
                <w:b/>
                <w:sz w:val="20"/>
                <w:szCs w:val="20"/>
                <w:lang w:val="es-ES"/>
              </w:rPr>
              <w:t xml:space="preserve">Medidas cautelares: </w:t>
            </w:r>
            <w:hyperlink r:id="rId10" w:history="1">
              <w:r w:rsidRPr="00C95330">
                <w:rPr>
                  <w:rStyle w:val="Hyperlink"/>
                  <w:rFonts w:ascii="Cambria" w:hAnsi="Cambria"/>
                  <w:sz w:val="20"/>
                  <w:szCs w:val="20"/>
                  <w:lang w:val="es-ES"/>
                </w:rPr>
                <w:t>84/13</w:t>
              </w:r>
            </w:hyperlink>
            <w:r w:rsidRPr="00C95330">
              <w:rPr>
                <w:rFonts w:ascii="Cambria" w:hAnsi="Cambria"/>
                <w:sz w:val="20"/>
                <w:szCs w:val="20"/>
                <w:lang w:val="es-ES"/>
              </w:rPr>
              <w:t>, otorgadas el 4 de abril de 2013</w:t>
            </w:r>
            <w:r w:rsidRPr="00C95330">
              <w:rPr>
                <w:rFonts w:ascii="Cambria" w:hAnsi="Cambria"/>
                <w:b/>
                <w:sz w:val="20"/>
                <w:szCs w:val="20"/>
                <w:lang w:val="es-ES"/>
              </w:rPr>
              <w:t xml:space="preserve"> </w:t>
            </w:r>
          </w:p>
          <w:p w14:paraId="64AA11A4" w14:textId="77777777" w:rsidR="00F54C38" w:rsidRPr="00C95330" w:rsidRDefault="00F54C38" w:rsidP="00AA3A3F">
            <w:pPr>
              <w:spacing w:after="120"/>
              <w:jc w:val="both"/>
              <w:rPr>
                <w:rFonts w:ascii="Cambria" w:hAnsi="Cambria"/>
                <w:b/>
                <w:sz w:val="20"/>
                <w:szCs w:val="20"/>
                <w:lang w:val="es-ES"/>
              </w:rPr>
            </w:pPr>
            <w:r w:rsidRPr="00C95330">
              <w:rPr>
                <w:rFonts w:ascii="Cambria" w:hAnsi="Cambria"/>
                <w:b/>
                <w:sz w:val="20"/>
                <w:szCs w:val="20"/>
                <w:lang w:val="es-ES"/>
              </w:rPr>
              <w:t xml:space="preserve">Temas: </w:t>
            </w:r>
            <w:r w:rsidRPr="00C95330">
              <w:rPr>
                <w:rFonts w:ascii="Cambria" w:hAnsi="Cambria"/>
                <w:sz w:val="20"/>
                <w:szCs w:val="20"/>
                <w:lang w:val="es-ES"/>
              </w:rPr>
              <w:t>Pena de Muerte / Derecho a la Vida / Garantías Judiciales / Protección Judicial / Deber de Adoptar Medidas y Disposiciones de Derecho Interno / Notificación Consular o Información de Asistencia Consular / Derecho a la Libertad Personal.</w:t>
            </w:r>
          </w:p>
          <w:p w14:paraId="6B73A368" w14:textId="77777777" w:rsidR="00F54C38" w:rsidRPr="00C95330" w:rsidRDefault="00F54C38" w:rsidP="00AA3A3F">
            <w:pPr>
              <w:spacing w:after="120"/>
              <w:jc w:val="both"/>
              <w:rPr>
                <w:rFonts w:ascii="Cambria" w:hAnsi="Cambria"/>
                <w:b/>
                <w:sz w:val="20"/>
                <w:szCs w:val="20"/>
                <w:lang w:val="es-ES"/>
              </w:rPr>
            </w:pPr>
            <w:r w:rsidRPr="00C95330">
              <w:rPr>
                <w:rFonts w:ascii="Cambria" w:hAnsi="Cambria"/>
                <w:b/>
                <w:sz w:val="20"/>
                <w:szCs w:val="20"/>
                <w:lang w:val="es-ES"/>
              </w:rPr>
              <w:t xml:space="preserve">Hechos: </w:t>
            </w:r>
            <w:r w:rsidRPr="00C95330">
              <w:rPr>
                <w:rFonts w:ascii="Cambria" w:hAnsi="Cambria"/>
                <w:sz w:val="20"/>
                <w:szCs w:val="20"/>
                <w:lang w:val="es-ES"/>
              </w:rPr>
              <w:t>Este caso se refiere a</w:t>
            </w:r>
            <w:r w:rsidRPr="00C95330">
              <w:rPr>
                <w:rFonts w:ascii="Cambria" w:hAnsi="Cambria"/>
                <w:b/>
                <w:sz w:val="20"/>
                <w:szCs w:val="20"/>
                <w:lang w:val="es-ES"/>
              </w:rPr>
              <w:t xml:space="preserve"> </w:t>
            </w:r>
            <w:r w:rsidRPr="00C95330">
              <w:rPr>
                <w:rFonts w:ascii="Cambria" w:hAnsi="Cambria"/>
                <w:sz w:val="20"/>
                <w:szCs w:val="20"/>
                <w:lang w:val="es-ES"/>
              </w:rPr>
              <w:t xml:space="preserve">Bernardo </w:t>
            </w:r>
            <w:proofErr w:type="spellStart"/>
            <w:r w:rsidRPr="00C95330">
              <w:rPr>
                <w:rFonts w:ascii="Cambria" w:hAnsi="Cambria"/>
                <w:sz w:val="20"/>
                <w:szCs w:val="20"/>
                <w:lang w:val="es-ES"/>
              </w:rPr>
              <w:t>Aban</w:t>
            </w:r>
            <w:proofErr w:type="spellEnd"/>
            <w:r w:rsidRPr="00C95330">
              <w:rPr>
                <w:rFonts w:ascii="Cambria" w:hAnsi="Cambria"/>
                <w:sz w:val="20"/>
                <w:szCs w:val="20"/>
                <w:lang w:val="es-ES"/>
              </w:rPr>
              <w:t xml:space="preserve"> Tercero, un ciudadano nicaragüense, quien fue sentenciado a muerte el 19 de octubre de 2000 en Texas, Estados Unidos, en un proceso que violó sus derechos al debido proceso penal y a un juicio justo, incluido que el Estado se negó a notificar a las autoridades consulares nicaragüenses a pesar de las solicitudes del señor </w:t>
            </w:r>
            <w:proofErr w:type="spellStart"/>
            <w:r w:rsidRPr="00C95330">
              <w:rPr>
                <w:rFonts w:ascii="Cambria" w:hAnsi="Cambria"/>
                <w:sz w:val="20"/>
                <w:szCs w:val="20"/>
                <w:lang w:val="es-ES"/>
              </w:rPr>
              <w:t>Aban</w:t>
            </w:r>
            <w:proofErr w:type="spellEnd"/>
            <w:r w:rsidRPr="00C95330">
              <w:rPr>
                <w:rFonts w:ascii="Cambria" w:hAnsi="Cambria"/>
                <w:sz w:val="20"/>
                <w:szCs w:val="20"/>
                <w:lang w:val="es-ES"/>
              </w:rPr>
              <w:t xml:space="preserve"> Tercero y que el abogado designado de oficio fue ineficaz.</w:t>
            </w:r>
          </w:p>
          <w:p w14:paraId="4E50BD06" w14:textId="77777777" w:rsidR="00F54C38" w:rsidRPr="00C95330" w:rsidRDefault="00F54C38" w:rsidP="00AA3A3F">
            <w:pPr>
              <w:spacing w:after="120"/>
              <w:jc w:val="both"/>
              <w:rPr>
                <w:rFonts w:ascii="Cambria" w:hAnsi="Cambria"/>
                <w:b/>
                <w:sz w:val="20"/>
                <w:szCs w:val="20"/>
                <w:lang w:val="es-ES"/>
              </w:rPr>
            </w:pPr>
            <w:r w:rsidRPr="00C95330">
              <w:rPr>
                <w:rFonts w:ascii="Cambria" w:hAnsi="Cambria"/>
                <w:b/>
                <w:sz w:val="20"/>
                <w:szCs w:val="20"/>
                <w:lang w:val="es-ES"/>
              </w:rPr>
              <w:t xml:space="preserve">Derechos violados: </w:t>
            </w:r>
            <w:r w:rsidRPr="00C95330">
              <w:rPr>
                <w:rFonts w:ascii="Cambria" w:hAnsi="Cambria"/>
                <w:sz w:val="20"/>
                <w:szCs w:val="20"/>
                <w:lang w:val="es-ES"/>
              </w:rPr>
              <w:t xml:space="preserve">La CIDH concluyó que los Estados Unidos era responsable de la violación de los artículos XVIII (Derecho de justicia) y XXVI (Derecho a proceso regular) de la Declaración Americana en perjuicio de Bernardo </w:t>
            </w:r>
            <w:proofErr w:type="spellStart"/>
            <w:r w:rsidRPr="00C95330">
              <w:rPr>
                <w:rFonts w:ascii="Cambria" w:hAnsi="Cambria"/>
                <w:sz w:val="20"/>
                <w:szCs w:val="20"/>
                <w:lang w:val="es-ES"/>
              </w:rPr>
              <w:t>Aban</w:t>
            </w:r>
            <w:proofErr w:type="spellEnd"/>
            <w:r w:rsidRPr="00C95330">
              <w:rPr>
                <w:rFonts w:ascii="Cambria" w:hAnsi="Cambria"/>
                <w:sz w:val="20"/>
                <w:szCs w:val="20"/>
                <w:lang w:val="es-ES"/>
              </w:rPr>
              <w:t xml:space="preserve"> Tercero. Consecuentemente, de llevarse a cabo la ejecución del señor Tercero, el Estado sería también responsable por una seria e irreparable violación del derecho fundamental a la vida, protegido en el artículo I de la Declaración Americana. </w:t>
            </w:r>
          </w:p>
        </w:tc>
      </w:tr>
    </w:tbl>
    <w:p w14:paraId="160F2FC4" w14:textId="77777777" w:rsidR="00F54C38" w:rsidRPr="00C95330" w:rsidRDefault="00F54C38" w:rsidP="00F54C38">
      <w:pPr>
        <w:jc w:val="both"/>
        <w:rPr>
          <w:rFonts w:ascii="Cambria" w:hAnsi="Cambria"/>
          <w:sz w:val="20"/>
          <w:szCs w:val="20"/>
          <w:lang w:val="es-ES"/>
        </w:rPr>
      </w:pPr>
    </w:p>
    <w:p w14:paraId="5FA8351D" w14:textId="77777777" w:rsidR="00F54C38" w:rsidRPr="00C95330" w:rsidRDefault="00F54C38" w:rsidP="00F54C38">
      <w:pPr>
        <w:numPr>
          <w:ilvl w:val="0"/>
          <w:numId w:val="8"/>
        </w:numPr>
        <w:ind w:left="1440"/>
        <w:jc w:val="both"/>
        <w:rPr>
          <w:rFonts w:ascii="Cambria" w:hAnsi="Cambria" w:cs="Calibri Light"/>
          <w:b/>
          <w:color w:val="000000" w:themeColor="text1"/>
          <w:sz w:val="20"/>
          <w:szCs w:val="20"/>
          <w:lang w:val="es-ES"/>
        </w:rPr>
      </w:pPr>
      <w:r w:rsidRPr="00C95330">
        <w:rPr>
          <w:rFonts w:ascii="Cambria" w:hAnsi="Cambria" w:cs="Calibri Light"/>
          <w:b/>
          <w:sz w:val="20"/>
          <w:szCs w:val="20"/>
          <w:lang w:val="es-ES"/>
        </w:rPr>
        <w:t>Recomendaciones</w:t>
      </w:r>
    </w:p>
    <w:p w14:paraId="530A7B3E" w14:textId="77777777" w:rsidR="00F54C38" w:rsidRPr="00C95330" w:rsidRDefault="00F54C38" w:rsidP="00F54C38">
      <w:pPr>
        <w:ind w:left="1080"/>
        <w:jc w:val="both"/>
        <w:rPr>
          <w:rFonts w:ascii="Cambria" w:hAnsi="Cambria" w:cs="Calibri Light"/>
          <w:color w:val="000000" w:themeColor="text1"/>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222"/>
      </w:tblGrid>
      <w:tr w:rsidR="00AA1078" w:rsidRPr="00C95330" w14:paraId="11F161C5" w14:textId="77777777" w:rsidTr="00AA3A3F">
        <w:tc>
          <w:tcPr>
            <w:tcW w:w="7290" w:type="dxa"/>
            <w:shd w:val="clear" w:color="auto" w:fill="auto"/>
            <w:vAlign w:val="center"/>
          </w:tcPr>
          <w:p w14:paraId="5426CDF7" w14:textId="77777777" w:rsidR="00F54C38" w:rsidRPr="00C95330" w:rsidRDefault="00F54C38" w:rsidP="00AA3A3F">
            <w:pPr>
              <w:jc w:val="center"/>
              <w:rPr>
                <w:rFonts w:ascii="Cambria" w:hAnsi="Cambria" w:cs="Calibri Light"/>
                <w:b/>
                <w:color w:val="000000" w:themeColor="text1"/>
                <w:sz w:val="18"/>
                <w:szCs w:val="18"/>
                <w:lang w:val="es-ES"/>
              </w:rPr>
            </w:pPr>
            <w:r w:rsidRPr="00C95330">
              <w:rPr>
                <w:rFonts w:ascii="Cambria" w:hAnsi="Cambria" w:cs="Calibri Light"/>
                <w:b/>
                <w:color w:val="000000" w:themeColor="text1"/>
                <w:sz w:val="18"/>
                <w:szCs w:val="18"/>
                <w:lang w:val="es-ES"/>
              </w:rPr>
              <w:t>Recomendaciones</w:t>
            </w:r>
          </w:p>
        </w:tc>
        <w:tc>
          <w:tcPr>
            <w:tcW w:w="2250" w:type="dxa"/>
            <w:shd w:val="clear" w:color="auto" w:fill="auto"/>
            <w:vAlign w:val="center"/>
          </w:tcPr>
          <w:p w14:paraId="6FB871C4" w14:textId="732FFD94" w:rsidR="00F54C38" w:rsidRPr="00C95330" w:rsidRDefault="00F54C38" w:rsidP="00AA3A3F">
            <w:pPr>
              <w:jc w:val="center"/>
              <w:rPr>
                <w:rFonts w:ascii="Cambria" w:hAnsi="Cambria" w:cs="Calibri Light"/>
                <w:b/>
                <w:color w:val="000000" w:themeColor="text1"/>
                <w:sz w:val="18"/>
                <w:szCs w:val="18"/>
                <w:lang w:val="es-ES"/>
              </w:rPr>
            </w:pPr>
            <w:r w:rsidRPr="00C95330">
              <w:rPr>
                <w:rFonts w:ascii="Cambria" w:hAnsi="Cambria" w:cs="Calibri Light"/>
                <w:b/>
                <w:color w:val="000000" w:themeColor="text1"/>
                <w:sz w:val="18"/>
                <w:szCs w:val="18"/>
                <w:lang w:val="es-ES"/>
              </w:rPr>
              <w:t>Estado de cumplimiento en el 2020</w:t>
            </w:r>
          </w:p>
        </w:tc>
      </w:tr>
      <w:tr w:rsidR="00AA1078" w:rsidRPr="00C95330" w14:paraId="203F86BB" w14:textId="77777777" w:rsidTr="00AA3A3F">
        <w:tc>
          <w:tcPr>
            <w:tcW w:w="7290" w:type="dxa"/>
            <w:shd w:val="clear" w:color="auto" w:fill="auto"/>
            <w:vAlign w:val="center"/>
          </w:tcPr>
          <w:p w14:paraId="744075E4" w14:textId="77777777" w:rsidR="00F54C38" w:rsidRPr="00C95330" w:rsidRDefault="00F54C38" w:rsidP="00AA3A3F">
            <w:pPr>
              <w:jc w:val="both"/>
              <w:outlineLvl w:val="0"/>
              <w:rPr>
                <w:rFonts w:ascii="Cambria" w:eastAsia="MS Mincho" w:hAnsi="Cambria"/>
                <w:b/>
                <w:bCs/>
                <w:color w:val="000000" w:themeColor="text1"/>
                <w:sz w:val="18"/>
                <w:szCs w:val="18"/>
                <w:lang w:val="es-ES" w:eastAsia="es-ES_tradnl"/>
              </w:rPr>
            </w:pPr>
            <w:r w:rsidRPr="00C95330">
              <w:rPr>
                <w:rFonts w:ascii="Cambria" w:hAnsi="Cambria"/>
                <w:color w:val="000000" w:themeColor="text1"/>
                <w:sz w:val="18"/>
                <w:szCs w:val="18"/>
                <w:lang w:val="es-ES"/>
              </w:rPr>
              <w:t xml:space="preserve">1. Otorgue a Bernardo </w:t>
            </w:r>
            <w:proofErr w:type="spellStart"/>
            <w:r w:rsidRPr="00C95330">
              <w:rPr>
                <w:rFonts w:ascii="Cambria" w:hAnsi="Cambria"/>
                <w:color w:val="000000" w:themeColor="text1"/>
                <w:sz w:val="18"/>
                <w:szCs w:val="18"/>
                <w:lang w:val="es-ES"/>
              </w:rPr>
              <w:t>Aban</w:t>
            </w:r>
            <w:proofErr w:type="spellEnd"/>
            <w:r w:rsidRPr="00C95330">
              <w:rPr>
                <w:rFonts w:ascii="Cambria" w:hAnsi="Cambria"/>
                <w:color w:val="000000" w:themeColor="text1"/>
                <w:sz w:val="18"/>
                <w:szCs w:val="18"/>
                <w:lang w:val="es-ES"/>
              </w:rPr>
              <w:t xml:space="preserve"> Tercero una reparación efectiva, incluida una revisión de su juicio y sentencia, de conformidad con las garantías del debido proceso y de un juicio justo, consagradas en los artículos I, XVIII y XXVI de la Declaración Americana.</w:t>
            </w:r>
          </w:p>
        </w:tc>
        <w:tc>
          <w:tcPr>
            <w:tcW w:w="2250" w:type="dxa"/>
            <w:shd w:val="clear" w:color="auto" w:fill="auto"/>
            <w:vAlign w:val="center"/>
          </w:tcPr>
          <w:p w14:paraId="67F795ED" w14:textId="77777777" w:rsidR="00F54C38" w:rsidRPr="00C95330" w:rsidRDefault="00F54C38" w:rsidP="00AA3A3F">
            <w:pPr>
              <w:jc w:val="center"/>
              <w:outlineLvl w:val="0"/>
              <w:rPr>
                <w:rFonts w:ascii="Cambria" w:eastAsia="MS Mincho" w:hAnsi="Cambria"/>
                <w:b/>
                <w:bCs/>
                <w:color w:val="000000" w:themeColor="text1"/>
                <w:sz w:val="18"/>
                <w:szCs w:val="18"/>
                <w:lang w:val="es-ES" w:eastAsia="es-ES_tradnl"/>
              </w:rPr>
            </w:pPr>
            <w:r w:rsidRPr="00C95330">
              <w:rPr>
                <w:rFonts w:ascii="Cambria" w:hAnsi="Cambria"/>
                <w:color w:val="000000" w:themeColor="text1"/>
                <w:sz w:val="18"/>
                <w:szCs w:val="18"/>
                <w:lang w:val="es-ES"/>
              </w:rPr>
              <w:t>Cumplimiento parcial</w:t>
            </w:r>
          </w:p>
        </w:tc>
      </w:tr>
      <w:tr w:rsidR="00AA1078" w:rsidRPr="00C95330" w14:paraId="4966CB60" w14:textId="77777777" w:rsidTr="00AA3A3F">
        <w:tc>
          <w:tcPr>
            <w:tcW w:w="7290" w:type="dxa"/>
            <w:shd w:val="clear" w:color="auto" w:fill="auto"/>
            <w:vAlign w:val="center"/>
          </w:tcPr>
          <w:p w14:paraId="40208169" w14:textId="77777777" w:rsidR="00F54C38" w:rsidRPr="00C95330" w:rsidRDefault="00F54C38" w:rsidP="00AA3A3F">
            <w:pPr>
              <w:jc w:val="both"/>
              <w:outlineLvl w:val="0"/>
              <w:rPr>
                <w:rFonts w:ascii="Cambria" w:eastAsia="MS Mincho" w:hAnsi="Cambria"/>
                <w:b/>
                <w:bCs/>
                <w:color w:val="000000" w:themeColor="text1"/>
                <w:sz w:val="18"/>
                <w:szCs w:val="18"/>
                <w:lang w:val="es-ES" w:eastAsia="es-ES_tradnl"/>
              </w:rPr>
            </w:pPr>
            <w:r w:rsidRPr="00C95330">
              <w:rPr>
                <w:rFonts w:ascii="Cambria" w:hAnsi="Cambria"/>
                <w:color w:val="000000" w:themeColor="text1"/>
                <w:sz w:val="18"/>
                <w:szCs w:val="18"/>
                <w:lang w:val="es-ES"/>
              </w:rPr>
              <w:t>2. Revise sus leyes, procedimientos y prácticas a fin de garantizar que las personas acusadas de delitos capitales sean juzgadas y, de ser declaradas culpables, sean sentenciadas de conformidad con los derechos consagrados en la Declaración Americana, incluidos los artículos I, XVIII y XXVI de la misma.</w:t>
            </w:r>
          </w:p>
        </w:tc>
        <w:tc>
          <w:tcPr>
            <w:tcW w:w="2250" w:type="dxa"/>
            <w:shd w:val="clear" w:color="auto" w:fill="auto"/>
            <w:vAlign w:val="center"/>
          </w:tcPr>
          <w:p w14:paraId="3A116BF1" w14:textId="77777777" w:rsidR="00F54C38" w:rsidRPr="00C95330" w:rsidRDefault="00F54C38" w:rsidP="00AA3A3F">
            <w:pPr>
              <w:jc w:val="center"/>
              <w:rPr>
                <w:rFonts w:ascii="Cambria" w:hAnsi="Cambria"/>
                <w:color w:val="000000" w:themeColor="text1"/>
                <w:lang w:val="es-ES"/>
              </w:rPr>
            </w:pPr>
            <w:r w:rsidRPr="00C95330">
              <w:rPr>
                <w:rFonts w:ascii="Cambria" w:hAnsi="Cambria"/>
                <w:color w:val="000000" w:themeColor="text1"/>
                <w:sz w:val="18"/>
                <w:szCs w:val="18"/>
                <w:lang w:val="es-ES"/>
              </w:rPr>
              <w:t>Pendiente de cumplimiento</w:t>
            </w:r>
          </w:p>
        </w:tc>
      </w:tr>
      <w:tr w:rsidR="00F54C38" w:rsidRPr="00C95330" w14:paraId="1C477DC0" w14:textId="77777777" w:rsidTr="00AA3A3F">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0794FF04" w14:textId="77777777" w:rsidR="00F54C38" w:rsidRPr="00C95330" w:rsidRDefault="00F54C38" w:rsidP="00AA3A3F">
            <w:pPr>
              <w:jc w:val="both"/>
              <w:outlineLvl w:val="0"/>
              <w:rPr>
                <w:rFonts w:ascii="Cambria" w:hAnsi="Cambria"/>
                <w:sz w:val="18"/>
                <w:szCs w:val="18"/>
                <w:lang w:val="es-ES"/>
              </w:rPr>
            </w:pPr>
            <w:r w:rsidRPr="00C95330">
              <w:rPr>
                <w:rFonts w:ascii="Cambria" w:hAnsi="Cambria"/>
                <w:sz w:val="18"/>
                <w:szCs w:val="18"/>
                <w:lang w:val="es-ES"/>
              </w:rPr>
              <w:t xml:space="preserve">3. </w:t>
            </w:r>
            <w:r w:rsidRPr="00C95330">
              <w:rPr>
                <w:rFonts w:ascii="Cambria" w:hAnsi="Cambria" w:cs="Calibri"/>
                <w:sz w:val="18"/>
                <w:szCs w:val="18"/>
                <w:lang w:val="es-ES"/>
              </w:rPr>
              <w:t>Garantice que la asistencia letrada provista por el Estado en casos de pena de muerte sea eficaz, esté capacitada para desempeñarse en casos de pena capital y sea capaz de investigar cuidadosa y diligentemente todas las pruebas atenuantes.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A07E775" w14:textId="77777777" w:rsidR="00F54C38" w:rsidRPr="00C95330" w:rsidRDefault="00F54C38" w:rsidP="00AA3A3F">
            <w:pPr>
              <w:jc w:val="center"/>
              <w:rPr>
                <w:rFonts w:ascii="Cambria" w:hAnsi="Cambria"/>
                <w:lang w:val="es-ES"/>
              </w:rPr>
            </w:pPr>
            <w:r w:rsidRPr="00C95330">
              <w:rPr>
                <w:rFonts w:ascii="Cambria" w:hAnsi="Cambria"/>
                <w:sz w:val="18"/>
                <w:szCs w:val="18"/>
                <w:lang w:val="es-ES"/>
              </w:rPr>
              <w:t>Pendiente de cumplimiento</w:t>
            </w:r>
          </w:p>
        </w:tc>
      </w:tr>
      <w:tr w:rsidR="00F54C38" w:rsidRPr="00C95330" w14:paraId="385F4B33" w14:textId="77777777" w:rsidTr="00AA3A3F">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7DAFE72B" w14:textId="77777777" w:rsidR="00F54C38" w:rsidRPr="00C95330" w:rsidRDefault="00F54C38" w:rsidP="00AA3A3F">
            <w:pPr>
              <w:jc w:val="both"/>
              <w:outlineLvl w:val="0"/>
              <w:rPr>
                <w:rFonts w:ascii="Cambria" w:hAnsi="Cambria"/>
                <w:sz w:val="18"/>
                <w:szCs w:val="18"/>
                <w:lang w:val="es-ES"/>
              </w:rPr>
            </w:pPr>
            <w:r w:rsidRPr="00C95330">
              <w:rPr>
                <w:rFonts w:ascii="Cambria" w:hAnsi="Cambria"/>
                <w:sz w:val="18"/>
                <w:szCs w:val="18"/>
                <w:lang w:val="es-ES"/>
              </w:rPr>
              <w:t xml:space="preserve">4. </w:t>
            </w:r>
            <w:r w:rsidRPr="00C95330">
              <w:rPr>
                <w:rFonts w:ascii="Cambria" w:hAnsi="Cambria" w:cs="Calibri"/>
                <w:sz w:val="18"/>
                <w:szCs w:val="18"/>
                <w:lang w:val="es-ES"/>
              </w:rPr>
              <w:t>Garantice que cada ciudadano extranjero privado de su libertad sea informado, sin demora y de manera previa a su primera declaración, sobre su derecho a la asistencia consular y a requerir que las autoridades diplomáticas sean notificadas inmediatamente sobre el arresto o la detención.</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0445434" w14:textId="77777777" w:rsidR="00F54C38" w:rsidRPr="00C95330" w:rsidRDefault="00F54C38" w:rsidP="00AA3A3F">
            <w:pPr>
              <w:jc w:val="center"/>
              <w:rPr>
                <w:rFonts w:ascii="Cambria" w:hAnsi="Cambria"/>
                <w:lang w:val="es-ES"/>
              </w:rPr>
            </w:pPr>
            <w:r w:rsidRPr="00C95330">
              <w:rPr>
                <w:rFonts w:ascii="Cambria" w:hAnsi="Cambria"/>
                <w:sz w:val="18"/>
                <w:szCs w:val="18"/>
                <w:lang w:val="es-ES"/>
              </w:rPr>
              <w:t>Pendiente de cumplimiento</w:t>
            </w:r>
          </w:p>
        </w:tc>
      </w:tr>
      <w:tr w:rsidR="00F54C38" w:rsidRPr="00C95330" w14:paraId="0B1C3C87" w14:textId="77777777" w:rsidTr="00AA3A3F">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3AD4A41E" w14:textId="77777777" w:rsidR="00F54C38" w:rsidRPr="00C95330" w:rsidRDefault="00F54C38" w:rsidP="00AA3A3F">
            <w:pPr>
              <w:pStyle w:val="ListParagraph"/>
              <w:autoSpaceDE w:val="0"/>
              <w:autoSpaceDN w:val="0"/>
              <w:adjustRightInd w:val="0"/>
              <w:ind w:left="0"/>
              <w:jc w:val="both"/>
              <w:rPr>
                <w:rFonts w:ascii="Cambria" w:hAnsi="Cambria" w:cs="Calibri"/>
                <w:sz w:val="18"/>
                <w:szCs w:val="18"/>
                <w:lang w:val="es-ES"/>
              </w:rPr>
            </w:pPr>
            <w:r w:rsidRPr="00C95330">
              <w:rPr>
                <w:rFonts w:ascii="Cambria" w:hAnsi="Cambria"/>
                <w:sz w:val="18"/>
                <w:szCs w:val="18"/>
                <w:lang w:val="es-ES"/>
              </w:rPr>
              <w:t xml:space="preserve">5. </w:t>
            </w:r>
            <w:r w:rsidRPr="00C95330">
              <w:rPr>
                <w:rFonts w:ascii="Cambria" w:hAnsi="Cambria" w:cs="Calibri"/>
                <w:sz w:val="18"/>
                <w:szCs w:val="18"/>
                <w:lang w:val="es-ES"/>
              </w:rPr>
              <w:t>Impulsar la aprobación urgente del proyecto de “Ley para el Cumplimiento de la Notificación Consular” (“CNCA” por sus siglas en inglés), que se encuentra pendiente ante el Congreso de los Estados Unidos desde 2011.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AA8DC68" w14:textId="77777777" w:rsidR="00F54C38" w:rsidRPr="00C95330" w:rsidRDefault="00F54C38" w:rsidP="00AA3A3F">
            <w:pPr>
              <w:jc w:val="center"/>
              <w:rPr>
                <w:rFonts w:ascii="Cambria" w:hAnsi="Cambria"/>
                <w:lang w:val="es-ES"/>
              </w:rPr>
            </w:pPr>
            <w:r w:rsidRPr="00C95330">
              <w:rPr>
                <w:rFonts w:ascii="Cambria" w:hAnsi="Cambria"/>
                <w:sz w:val="18"/>
                <w:szCs w:val="18"/>
                <w:lang w:val="es-ES"/>
              </w:rPr>
              <w:t>Pendiente de cumplimiento</w:t>
            </w:r>
          </w:p>
        </w:tc>
      </w:tr>
      <w:tr w:rsidR="00F54C38" w:rsidRPr="00C95330" w14:paraId="54A6398E" w14:textId="77777777" w:rsidTr="00AA3A3F">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554ACA1A" w14:textId="77777777" w:rsidR="00F54C38" w:rsidRPr="00C95330" w:rsidRDefault="00F54C38" w:rsidP="00AA3A3F">
            <w:pPr>
              <w:pStyle w:val="ListParagraph"/>
              <w:autoSpaceDE w:val="0"/>
              <w:autoSpaceDN w:val="0"/>
              <w:adjustRightInd w:val="0"/>
              <w:ind w:left="0"/>
              <w:jc w:val="both"/>
              <w:rPr>
                <w:rFonts w:ascii="Cambria" w:hAnsi="Cambria" w:cs="Calibri"/>
                <w:sz w:val="18"/>
                <w:szCs w:val="18"/>
                <w:lang w:val="es-ES"/>
              </w:rPr>
            </w:pPr>
            <w:r w:rsidRPr="00C95330">
              <w:rPr>
                <w:rFonts w:ascii="Cambria" w:hAnsi="Cambria"/>
                <w:sz w:val="18"/>
                <w:szCs w:val="18"/>
                <w:lang w:val="es-ES"/>
              </w:rPr>
              <w:t xml:space="preserve">6. En consideración de las violaciones a la Declaración Americana declaradas por la CIDH en el presente caso y en otros casos relativos a la aplicación de la pena capital, la Comisión </w:t>
            </w:r>
            <w:r w:rsidRPr="00C95330">
              <w:rPr>
                <w:rFonts w:ascii="Cambria" w:hAnsi="Cambria"/>
                <w:sz w:val="18"/>
                <w:szCs w:val="18"/>
                <w:lang w:val="es-ES"/>
              </w:rPr>
              <w:lastRenderedPageBreak/>
              <w:t>Interamericana recomienda a Estados Unidos adoptar una moratoria de las ejecuciones de personas condenadas a la pena de muerte.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1383717" w14:textId="77777777" w:rsidR="00F54C38" w:rsidRPr="00C95330" w:rsidRDefault="00F54C38" w:rsidP="00AA3A3F">
            <w:pPr>
              <w:jc w:val="center"/>
              <w:rPr>
                <w:rFonts w:ascii="Cambria" w:hAnsi="Cambria"/>
                <w:lang w:val="es-ES"/>
              </w:rPr>
            </w:pPr>
            <w:r w:rsidRPr="00C95330">
              <w:rPr>
                <w:rFonts w:ascii="Cambria" w:hAnsi="Cambria"/>
                <w:sz w:val="18"/>
                <w:szCs w:val="18"/>
                <w:lang w:val="es-ES"/>
              </w:rPr>
              <w:lastRenderedPageBreak/>
              <w:t>Pendiente de cumplimiento</w:t>
            </w:r>
          </w:p>
        </w:tc>
      </w:tr>
    </w:tbl>
    <w:p w14:paraId="07FAF261" w14:textId="77777777" w:rsidR="00F54C38" w:rsidRPr="00C95330" w:rsidRDefault="00F54C38" w:rsidP="00F54C38">
      <w:pPr>
        <w:jc w:val="both"/>
        <w:rPr>
          <w:rFonts w:ascii="Cambria" w:hAnsi="Cambria" w:cs="Calibri Light"/>
          <w:sz w:val="20"/>
          <w:szCs w:val="20"/>
          <w:lang w:val="es-ES"/>
        </w:rPr>
      </w:pPr>
    </w:p>
    <w:p w14:paraId="41311508" w14:textId="77777777" w:rsidR="00F54C38" w:rsidRPr="00C95330" w:rsidRDefault="00F54C38" w:rsidP="00F54C38">
      <w:pPr>
        <w:jc w:val="both"/>
        <w:rPr>
          <w:rFonts w:ascii="Cambria" w:hAnsi="Cambria" w:cs="Calibri Light"/>
          <w:sz w:val="20"/>
          <w:szCs w:val="20"/>
          <w:lang w:val="es-ES"/>
        </w:rPr>
      </w:pPr>
    </w:p>
    <w:p w14:paraId="1300AAAD" w14:textId="77777777" w:rsidR="00F54C38" w:rsidRPr="00C95330" w:rsidRDefault="00F54C38" w:rsidP="00F54C38">
      <w:pPr>
        <w:pStyle w:val="ListParagraph"/>
        <w:numPr>
          <w:ilvl w:val="0"/>
          <w:numId w:val="8"/>
        </w:numPr>
        <w:ind w:left="1440"/>
        <w:jc w:val="both"/>
        <w:rPr>
          <w:rFonts w:ascii="Cambria" w:hAnsi="Cambria" w:cs="Calibri Light"/>
          <w:b/>
          <w:sz w:val="20"/>
          <w:szCs w:val="20"/>
          <w:lang w:val="es-ES"/>
        </w:rPr>
      </w:pPr>
      <w:r w:rsidRPr="00C95330">
        <w:rPr>
          <w:rFonts w:ascii="Cambria" w:hAnsi="Cambria"/>
          <w:b/>
          <w:sz w:val="20"/>
          <w:szCs w:val="20"/>
          <w:lang w:val="es-ES"/>
        </w:rPr>
        <w:t>Actividad Procesal</w:t>
      </w:r>
    </w:p>
    <w:p w14:paraId="1BA06F5D" w14:textId="77777777" w:rsidR="00F54C38" w:rsidRPr="00C95330" w:rsidRDefault="00F54C38" w:rsidP="00F54C38">
      <w:pPr>
        <w:jc w:val="both"/>
        <w:rPr>
          <w:rFonts w:ascii="Cambria" w:hAnsi="Cambria" w:cs="Calibri Light"/>
          <w:sz w:val="20"/>
          <w:szCs w:val="20"/>
          <w:lang w:val="es-ES"/>
        </w:rPr>
      </w:pPr>
    </w:p>
    <w:p w14:paraId="74DD0552" w14:textId="77777777" w:rsidR="00F54C38" w:rsidRPr="00C95330" w:rsidRDefault="00F54C38" w:rsidP="00F54C38">
      <w:pPr>
        <w:numPr>
          <w:ilvl w:val="0"/>
          <w:numId w:val="12"/>
        </w:numPr>
        <w:ind w:left="0" w:firstLine="720"/>
        <w:jc w:val="both"/>
        <w:rPr>
          <w:rFonts w:ascii="Cambria" w:hAnsi="Cambria" w:cs="Calibri Light"/>
          <w:color w:val="000000" w:themeColor="text1"/>
          <w:sz w:val="20"/>
          <w:szCs w:val="20"/>
          <w:lang w:val="es-ES"/>
        </w:rPr>
      </w:pPr>
      <w:r w:rsidRPr="00C95330">
        <w:rPr>
          <w:rFonts w:ascii="Cambria" w:hAnsi="Cambria" w:cs="Calibri Light"/>
          <w:sz w:val="20"/>
          <w:szCs w:val="20"/>
          <w:lang w:val="es-ES"/>
        </w:rPr>
        <w:t xml:space="preserve">El 19 de agosto de 2015, la Comisión emitió un comunicado de prensa instando a los Estados Unidos a suspender la ejecución de Bernardo </w:t>
      </w:r>
      <w:proofErr w:type="spellStart"/>
      <w:r w:rsidRPr="00C95330">
        <w:rPr>
          <w:rFonts w:ascii="Cambria" w:hAnsi="Cambria" w:cs="Calibri Light"/>
          <w:sz w:val="20"/>
          <w:szCs w:val="20"/>
          <w:lang w:val="es-ES"/>
        </w:rPr>
        <w:t>Aban</w:t>
      </w:r>
      <w:proofErr w:type="spellEnd"/>
      <w:r w:rsidRPr="00C95330">
        <w:rPr>
          <w:rFonts w:ascii="Cambria" w:hAnsi="Cambria" w:cs="Calibri Light"/>
          <w:sz w:val="20"/>
          <w:szCs w:val="20"/>
          <w:lang w:val="es-ES"/>
        </w:rPr>
        <w:t xml:space="preserve"> Tercero, la cual estuvo programada para el 26 de agosto de 2015 en el estado </w:t>
      </w:r>
      <w:r w:rsidRPr="00C95330">
        <w:rPr>
          <w:rFonts w:ascii="Cambria" w:hAnsi="Cambria" w:cs="Calibri Light"/>
          <w:color w:val="000000" w:themeColor="text1"/>
          <w:sz w:val="20"/>
          <w:szCs w:val="20"/>
          <w:lang w:val="es-ES"/>
        </w:rPr>
        <w:t>de Texas</w:t>
      </w:r>
      <w:r w:rsidRPr="00C95330">
        <w:rPr>
          <w:rStyle w:val="FootnoteReference"/>
          <w:rFonts w:ascii="Cambria" w:hAnsi="Cambria" w:cs="Calibri Light"/>
          <w:color w:val="000000" w:themeColor="text1"/>
          <w:sz w:val="20"/>
          <w:szCs w:val="20"/>
          <w:lang w:val="es-ES"/>
        </w:rPr>
        <w:footnoteReference w:id="1"/>
      </w:r>
      <w:r w:rsidRPr="00C95330">
        <w:rPr>
          <w:rFonts w:ascii="Cambria" w:hAnsi="Cambria" w:cs="Calibri Light"/>
          <w:color w:val="000000" w:themeColor="text1"/>
          <w:sz w:val="20"/>
          <w:szCs w:val="20"/>
          <w:lang w:val="es-ES"/>
        </w:rPr>
        <w:t>. Su ejecución fue posteriormente suspendida por la Corte de Apelaciones de lo Penal de Texas.</w:t>
      </w:r>
    </w:p>
    <w:p w14:paraId="5E220004" w14:textId="77777777" w:rsidR="00F54C38" w:rsidRPr="00C95330" w:rsidRDefault="00F54C38" w:rsidP="00F54C38">
      <w:pPr>
        <w:ind w:left="720"/>
        <w:jc w:val="both"/>
        <w:rPr>
          <w:rFonts w:ascii="Cambria" w:hAnsi="Cambria" w:cs="Calibri Light"/>
          <w:color w:val="000000" w:themeColor="text1"/>
          <w:sz w:val="20"/>
          <w:szCs w:val="20"/>
          <w:lang w:val="es-ES"/>
        </w:rPr>
      </w:pPr>
    </w:p>
    <w:p w14:paraId="59678294" w14:textId="42F07434" w:rsidR="00F54C38" w:rsidRPr="00C95330" w:rsidRDefault="00F54C38" w:rsidP="00F54C38">
      <w:pPr>
        <w:numPr>
          <w:ilvl w:val="0"/>
          <w:numId w:val="12"/>
        </w:numPr>
        <w:ind w:left="0" w:firstLine="720"/>
        <w:jc w:val="both"/>
        <w:rPr>
          <w:rFonts w:ascii="Cambria" w:hAnsi="Cambria" w:cs="Calibri Light"/>
          <w:color w:val="000000" w:themeColor="text1"/>
          <w:sz w:val="20"/>
          <w:szCs w:val="20"/>
          <w:lang w:val="es-ES"/>
        </w:rPr>
      </w:pPr>
      <w:r w:rsidRPr="00C95330">
        <w:rPr>
          <w:rFonts w:ascii="Cambria" w:hAnsi="Cambria" w:cs="Calibri Light"/>
          <w:color w:val="000000" w:themeColor="text1"/>
          <w:sz w:val="20"/>
          <w:szCs w:val="20"/>
          <w:lang w:val="es-ES"/>
        </w:rPr>
        <w:t xml:space="preserve">En 2020, la CIDH solicitó información actualizada al Estado sobre el cumplimiento de las recomendaciones el </w:t>
      </w:r>
      <w:r w:rsidR="00FD41F6" w:rsidRPr="00C95330">
        <w:rPr>
          <w:rFonts w:ascii="Cambria" w:hAnsi="Cambria" w:cs="Calibri Light"/>
          <w:color w:val="000000" w:themeColor="text1"/>
          <w:sz w:val="20"/>
          <w:szCs w:val="20"/>
          <w:lang w:val="es-ES"/>
        </w:rPr>
        <w:t>18 de agosto. E</w:t>
      </w:r>
      <w:r w:rsidRPr="00C95330">
        <w:rPr>
          <w:rFonts w:ascii="Cambria" w:hAnsi="Cambria" w:cs="Calibri Light"/>
          <w:color w:val="000000" w:themeColor="text1"/>
          <w:sz w:val="20"/>
          <w:szCs w:val="20"/>
          <w:lang w:val="es-ES"/>
        </w:rPr>
        <w:t>l Estado presentó dicha información el 16 de septiembre.</w:t>
      </w:r>
    </w:p>
    <w:p w14:paraId="73093B88" w14:textId="77777777" w:rsidR="00F54C38" w:rsidRPr="00C95330" w:rsidRDefault="00F54C38" w:rsidP="00F54C38">
      <w:pPr>
        <w:ind w:left="720"/>
        <w:jc w:val="both"/>
        <w:rPr>
          <w:rFonts w:ascii="Cambria" w:hAnsi="Cambria" w:cs="Calibri Light"/>
          <w:color w:val="000000" w:themeColor="text1"/>
          <w:sz w:val="20"/>
          <w:szCs w:val="20"/>
          <w:lang w:val="es-ES"/>
        </w:rPr>
      </w:pPr>
    </w:p>
    <w:p w14:paraId="443DD375" w14:textId="18913653" w:rsidR="00F54C38" w:rsidRPr="00C95330" w:rsidRDefault="00F54C38" w:rsidP="00F54C38">
      <w:pPr>
        <w:numPr>
          <w:ilvl w:val="0"/>
          <w:numId w:val="12"/>
        </w:numPr>
        <w:ind w:left="0" w:firstLine="720"/>
        <w:jc w:val="both"/>
        <w:rPr>
          <w:rFonts w:ascii="Cambria" w:hAnsi="Cambria" w:cs="Calibri Light"/>
          <w:color w:val="000000" w:themeColor="text1"/>
          <w:sz w:val="20"/>
          <w:szCs w:val="20"/>
          <w:lang w:val="es-ES"/>
        </w:rPr>
      </w:pPr>
      <w:r w:rsidRPr="00C95330">
        <w:rPr>
          <w:rFonts w:ascii="Cambria" w:hAnsi="Cambria" w:cs="Calibri Light"/>
          <w:color w:val="000000" w:themeColor="text1"/>
          <w:sz w:val="20"/>
          <w:szCs w:val="20"/>
          <w:lang w:val="es-ES"/>
        </w:rPr>
        <w:t xml:space="preserve">La CIDH solicitó información actualizada sobre el cumplimiento de las recomendaciones a los peticionarios el 18 de agosto de 2020. </w:t>
      </w:r>
      <w:r w:rsidRPr="00C95330">
        <w:rPr>
          <w:rFonts w:ascii="Cambria" w:hAnsi="Cambria"/>
          <w:color w:val="000000" w:themeColor="text1"/>
          <w:sz w:val="20"/>
          <w:szCs w:val="20"/>
          <w:lang w:val="es-ES"/>
        </w:rPr>
        <w:t>A la fecha de cierre de este informe, la Comisión no había recibido dicha información por parte de los peticionarios.</w:t>
      </w:r>
      <w:r w:rsidR="006F4C08" w:rsidRPr="00C95330">
        <w:rPr>
          <w:rFonts w:ascii="Cambria" w:hAnsi="Cambria" w:cs="Calibri Light"/>
          <w:color w:val="000000" w:themeColor="text1"/>
          <w:sz w:val="20"/>
          <w:szCs w:val="20"/>
          <w:lang w:val="es-ES"/>
        </w:rPr>
        <w:t xml:space="preserve"> Previamente, los peticionarios presentaron información a la CIDH en 2017. </w:t>
      </w:r>
    </w:p>
    <w:p w14:paraId="12E5FD82" w14:textId="77777777" w:rsidR="00F54C38" w:rsidRPr="00C95330" w:rsidRDefault="00F54C38" w:rsidP="00F54C38">
      <w:pPr>
        <w:jc w:val="both"/>
        <w:rPr>
          <w:rFonts w:ascii="Cambria" w:hAnsi="Cambria" w:cs="Calibri Light"/>
          <w:color w:val="000000" w:themeColor="text1"/>
          <w:sz w:val="20"/>
          <w:szCs w:val="20"/>
          <w:lang w:val="es-ES"/>
        </w:rPr>
      </w:pPr>
    </w:p>
    <w:p w14:paraId="1C3B1B14" w14:textId="77777777" w:rsidR="00F54C38" w:rsidRPr="00C95330" w:rsidRDefault="00F54C38" w:rsidP="00F54C38">
      <w:pPr>
        <w:pStyle w:val="ListParagraph"/>
        <w:numPr>
          <w:ilvl w:val="0"/>
          <w:numId w:val="8"/>
        </w:numPr>
        <w:ind w:left="1440"/>
        <w:jc w:val="both"/>
        <w:rPr>
          <w:rFonts w:ascii="Cambria" w:hAnsi="Cambria" w:cs="Calibri Light"/>
          <w:b/>
          <w:color w:val="000000" w:themeColor="text1"/>
          <w:sz w:val="20"/>
          <w:szCs w:val="20"/>
          <w:lang w:val="es-ES"/>
        </w:rPr>
      </w:pPr>
      <w:r w:rsidRPr="00C95330">
        <w:rPr>
          <w:rFonts w:ascii="Cambria" w:hAnsi="Cambria" w:cs="Calibri Light"/>
          <w:b/>
          <w:color w:val="000000" w:themeColor="text1"/>
          <w:sz w:val="20"/>
          <w:szCs w:val="20"/>
          <w:lang w:val="es-ES"/>
        </w:rPr>
        <w:t xml:space="preserve">Análisis relativo a </w:t>
      </w:r>
      <w:r w:rsidRPr="00C95330">
        <w:rPr>
          <w:rFonts w:ascii="Cambria" w:hAnsi="Cambria" w:cs="Calibri Light"/>
          <w:b/>
          <w:color w:val="000000" w:themeColor="text1"/>
          <w:sz w:val="20"/>
          <w:szCs w:val="20"/>
          <w:lang w:val="es-ES_tradnl"/>
        </w:rPr>
        <w:t xml:space="preserve">la </w:t>
      </w:r>
      <w:r w:rsidRPr="00C95330">
        <w:rPr>
          <w:rFonts w:ascii="Cambria" w:hAnsi="Cambria" w:cs="Calibri Light"/>
          <w:b/>
          <w:color w:val="000000" w:themeColor="text1"/>
          <w:sz w:val="20"/>
          <w:szCs w:val="20"/>
          <w:lang w:val="es-ES"/>
        </w:rPr>
        <w:t>información proporcionada</w:t>
      </w:r>
    </w:p>
    <w:p w14:paraId="228A803F" w14:textId="77777777" w:rsidR="00F54C38" w:rsidRPr="00C95330" w:rsidRDefault="00F54C38" w:rsidP="00F54C38">
      <w:pPr>
        <w:pStyle w:val="ListParagraph"/>
        <w:ind w:left="0"/>
        <w:jc w:val="both"/>
        <w:rPr>
          <w:rFonts w:ascii="Cambria" w:hAnsi="Cambria" w:cs="Calibri Light"/>
          <w:color w:val="000000" w:themeColor="text1"/>
          <w:sz w:val="20"/>
          <w:szCs w:val="20"/>
          <w:lang w:val="es-ES"/>
        </w:rPr>
      </w:pPr>
    </w:p>
    <w:p w14:paraId="3666AA48" w14:textId="10DC6DC2" w:rsidR="00F54C38" w:rsidRPr="00C95330" w:rsidRDefault="00F54C38" w:rsidP="00F54C38">
      <w:pPr>
        <w:pStyle w:val="ListParagraph"/>
        <w:numPr>
          <w:ilvl w:val="0"/>
          <w:numId w:val="12"/>
        </w:numPr>
        <w:ind w:left="0" w:firstLine="720"/>
        <w:jc w:val="both"/>
        <w:rPr>
          <w:rFonts w:ascii="Cambria" w:hAnsi="Cambria" w:cs="Calibri Light"/>
          <w:color w:val="000000" w:themeColor="text1"/>
          <w:sz w:val="20"/>
          <w:szCs w:val="20"/>
          <w:lang w:val="es-ES"/>
        </w:rPr>
      </w:pPr>
      <w:r w:rsidRPr="00C95330">
        <w:rPr>
          <w:rFonts w:ascii="Cambria" w:hAnsi="Cambria" w:cs="Calibri Light"/>
          <w:color w:val="000000" w:themeColor="text1"/>
          <w:sz w:val="20"/>
          <w:szCs w:val="20"/>
          <w:lang w:val="es-ES"/>
        </w:rPr>
        <w:t xml:space="preserve">La Comisión considera que la información proporcionada por el Estado en </w:t>
      </w:r>
      <w:r w:rsidR="00D03375" w:rsidRPr="00C95330">
        <w:rPr>
          <w:rFonts w:ascii="Cambria" w:hAnsi="Cambria" w:cs="Calibri Light"/>
          <w:color w:val="000000" w:themeColor="text1"/>
          <w:sz w:val="20"/>
          <w:szCs w:val="20"/>
          <w:lang w:val="es-ES"/>
        </w:rPr>
        <w:t>2020</w:t>
      </w:r>
      <w:r w:rsidRPr="00C95330">
        <w:rPr>
          <w:rFonts w:ascii="Cambria" w:hAnsi="Cambria" w:cs="Calibri Light"/>
          <w:color w:val="000000" w:themeColor="text1"/>
          <w:sz w:val="20"/>
          <w:szCs w:val="20"/>
          <w:lang w:val="es-ES"/>
        </w:rPr>
        <w:t xml:space="preserve"> no es relevante</w:t>
      </w:r>
      <w:r w:rsidR="00795B0C" w:rsidRPr="00C95330">
        <w:rPr>
          <w:rFonts w:ascii="Cambria" w:hAnsi="Cambria" w:cs="Calibri Light"/>
          <w:color w:val="000000" w:themeColor="text1"/>
          <w:sz w:val="20"/>
          <w:szCs w:val="20"/>
          <w:lang w:val="es-ES"/>
        </w:rPr>
        <w:t xml:space="preserve"> para actualizar el seguimiento del caso</w:t>
      </w:r>
      <w:r w:rsidRPr="00C95330">
        <w:rPr>
          <w:rFonts w:ascii="Cambria" w:hAnsi="Cambria" w:cs="Calibri Light"/>
          <w:color w:val="000000" w:themeColor="text1"/>
          <w:sz w:val="20"/>
          <w:szCs w:val="20"/>
          <w:lang w:val="es-ES"/>
        </w:rPr>
        <w:t xml:space="preserve">, puesto que es repetitiva de la información presentada en años anteriores sin contener información sobre medidas adoptadas </w:t>
      </w:r>
      <w:r w:rsidR="00795B0C" w:rsidRPr="00C95330">
        <w:rPr>
          <w:rFonts w:ascii="Cambria" w:hAnsi="Cambria" w:cs="Calibri Light"/>
          <w:color w:val="000000" w:themeColor="text1"/>
          <w:sz w:val="20"/>
          <w:szCs w:val="20"/>
          <w:lang w:val="es-ES"/>
        </w:rPr>
        <w:t xml:space="preserve">recientemente </w:t>
      </w:r>
      <w:r w:rsidRPr="00C95330">
        <w:rPr>
          <w:rFonts w:ascii="Cambria" w:hAnsi="Cambria" w:cs="Calibri Light"/>
          <w:color w:val="000000" w:themeColor="text1"/>
          <w:sz w:val="20"/>
          <w:szCs w:val="20"/>
          <w:lang w:val="es-ES"/>
        </w:rPr>
        <w:t xml:space="preserve">para cumplir con al menos una de las recomendaciones incluidas en el Informe de Fondo Nº 79/15. </w:t>
      </w:r>
    </w:p>
    <w:p w14:paraId="6FCAD96F" w14:textId="77777777" w:rsidR="00F54C38" w:rsidRPr="00C95330" w:rsidRDefault="00F54C38" w:rsidP="00F54C38">
      <w:pPr>
        <w:pStyle w:val="ListParagraph"/>
        <w:rPr>
          <w:rFonts w:ascii="Cambria" w:hAnsi="Cambria"/>
          <w:color w:val="000000" w:themeColor="text1"/>
          <w:sz w:val="20"/>
          <w:szCs w:val="20"/>
          <w:lang w:val="es-ES_tradnl"/>
        </w:rPr>
      </w:pPr>
    </w:p>
    <w:p w14:paraId="54045FC6" w14:textId="31B2CBA5" w:rsidR="00F54C38" w:rsidRPr="00C95330" w:rsidRDefault="006F4C08" w:rsidP="00F54C38">
      <w:pPr>
        <w:pStyle w:val="ListParagraph"/>
        <w:numPr>
          <w:ilvl w:val="0"/>
          <w:numId w:val="12"/>
        </w:numPr>
        <w:ind w:left="0" w:firstLine="720"/>
        <w:jc w:val="both"/>
        <w:rPr>
          <w:rFonts w:ascii="Cambria" w:hAnsi="Cambria" w:cs="Calibri Light"/>
          <w:color w:val="000000" w:themeColor="text1"/>
          <w:sz w:val="20"/>
          <w:szCs w:val="20"/>
          <w:lang w:val="es-ES"/>
        </w:rPr>
      </w:pPr>
      <w:r w:rsidRPr="00C95330">
        <w:rPr>
          <w:rFonts w:ascii="Cambria" w:hAnsi="Cambria"/>
          <w:color w:val="000000" w:themeColor="text1"/>
          <w:sz w:val="20"/>
          <w:szCs w:val="20"/>
          <w:lang w:val="es-ES_tradnl"/>
        </w:rPr>
        <w:t>Ante</w:t>
      </w:r>
      <w:r w:rsidR="00F54C38" w:rsidRPr="00C95330">
        <w:rPr>
          <w:rFonts w:ascii="Cambria" w:hAnsi="Cambria"/>
          <w:color w:val="000000" w:themeColor="text1"/>
          <w:sz w:val="20"/>
          <w:szCs w:val="20"/>
          <w:lang w:val="es-ES_tradnl"/>
        </w:rPr>
        <w:t xml:space="preserve"> la ausencia de información actualizada sobre el nivel de cumplimiento de las recomendaciones, la CIDH reitera, a continuación, el análisis del cumplimiento y las conclusiones realizadas en su Informe Anual </w:t>
      </w:r>
      <w:r w:rsidR="00D03375" w:rsidRPr="00C95330">
        <w:rPr>
          <w:rFonts w:ascii="Cambria" w:hAnsi="Cambria"/>
          <w:color w:val="000000" w:themeColor="text1"/>
          <w:sz w:val="20"/>
          <w:szCs w:val="20"/>
          <w:lang w:val="es-ES_tradnl"/>
        </w:rPr>
        <w:t>2019</w:t>
      </w:r>
      <w:r w:rsidR="00F54C38" w:rsidRPr="00C95330">
        <w:rPr>
          <w:rFonts w:ascii="Cambria" w:hAnsi="Cambria"/>
          <w:color w:val="000000" w:themeColor="text1"/>
          <w:sz w:val="20"/>
          <w:szCs w:val="20"/>
          <w:lang w:val="es-ES_tradnl"/>
        </w:rPr>
        <w:t>.</w:t>
      </w:r>
    </w:p>
    <w:p w14:paraId="46DB10DC" w14:textId="77777777" w:rsidR="00F54C38" w:rsidRPr="00C95330" w:rsidRDefault="00F54C38" w:rsidP="00F54C38">
      <w:pPr>
        <w:jc w:val="both"/>
        <w:rPr>
          <w:rFonts w:ascii="Cambria" w:hAnsi="Cambria" w:cs="Calibri Light"/>
          <w:sz w:val="20"/>
          <w:szCs w:val="20"/>
          <w:lang w:val="es-ES"/>
        </w:rPr>
      </w:pPr>
    </w:p>
    <w:p w14:paraId="5D22B145" w14:textId="77777777" w:rsidR="00F54C38" w:rsidRPr="00C95330" w:rsidRDefault="00F54C38" w:rsidP="00F54C38">
      <w:pPr>
        <w:pStyle w:val="ListParagraph"/>
        <w:numPr>
          <w:ilvl w:val="0"/>
          <w:numId w:val="8"/>
        </w:numPr>
        <w:ind w:left="1440"/>
        <w:jc w:val="both"/>
        <w:rPr>
          <w:rFonts w:ascii="Cambria" w:hAnsi="Cambria" w:cs="Calibri Light"/>
          <w:b/>
          <w:sz w:val="20"/>
          <w:szCs w:val="20"/>
          <w:lang w:val="es-ES"/>
        </w:rPr>
      </w:pPr>
      <w:r w:rsidRPr="00C95330">
        <w:rPr>
          <w:rFonts w:ascii="Cambria" w:hAnsi="Cambria" w:cs="Calibri Light"/>
          <w:b/>
          <w:sz w:val="20"/>
          <w:szCs w:val="20"/>
          <w:lang w:val="es-ES"/>
        </w:rPr>
        <w:t>Análisis del cumplimiento de las recomendaciones</w:t>
      </w:r>
    </w:p>
    <w:p w14:paraId="16F78CBE" w14:textId="77777777" w:rsidR="00F54C38" w:rsidRPr="00C95330" w:rsidRDefault="00F54C38" w:rsidP="00F54C38">
      <w:pPr>
        <w:pStyle w:val="ListParagraph"/>
        <w:jc w:val="both"/>
        <w:rPr>
          <w:rFonts w:ascii="Cambria" w:hAnsi="Cambria"/>
          <w:sz w:val="20"/>
          <w:szCs w:val="20"/>
          <w:lang w:val="es-ES"/>
        </w:rPr>
      </w:pPr>
    </w:p>
    <w:p w14:paraId="31DF2559" w14:textId="13BF9CDE" w:rsidR="00F54C38" w:rsidRPr="00C95330" w:rsidRDefault="00F54C38" w:rsidP="00F54C38">
      <w:pPr>
        <w:pStyle w:val="ListParagraph"/>
        <w:numPr>
          <w:ilvl w:val="0"/>
          <w:numId w:val="12"/>
        </w:numPr>
        <w:ind w:left="0" w:firstLine="720"/>
        <w:jc w:val="both"/>
        <w:rPr>
          <w:rFonts w:ascii="Cambria" w:hAnsi="Cambria"/>
          <w:sz w:val="20"/>
          <w:szCs w:val="20"/>
          <w:lang w:val="es-ES"/>
        </w:rPr>
      </w:pPr>
      <w:r w:rsidRPr="00C95330">
        <w:rPr>
          <w:rFonts w:ascii="Cambria" w:hAnsi="Cambria" w:cs="Calibri Light"/>
          <w:b/>
          <w:sz w:val="20"/>
          <w:szCs w:val="20"/>
          <w:lang w:val="es-ES"/>
        </w:rPr>
        <w:t>En relación con la primera recomendación</w:t>
      </w:r>
      <w:r w:rsidRPr="00C95330">
        <w:rPr>
          <w:rFonts w:ascii="Cambria" w:hAnsi="Cambria" w:cs="Calibri Light"/>
          <w:sz w:val="20"/>
          <w:szCs w:val="20"/>
          <w:lang w:val="es-ES"/>
        </w:rPr>
        <w:t>,</w:t>
      </w:r>
      <w:r w:rsidRPr="00C95330">
        <w:rPr>
          <w:rFonts w:ascii="Cambria" w:hAnsi="Cambria" w:cs="Calibri Light"/>
          <w:b/>
          <w:sz w:val="20"/>
          <w:szCs w:val="20"/>
          <w:lang w:val="es-ES"/>
        </w:rPr>
        <w:t xml:space="preserve"> </w:t>
      </w:r>
      <w:r w:rsidRPr="00C95330">
        <w:rPr>
          <w:rFonts w:ascii="Cambria" w:hAnsi="Cambria" w:cs="Calibri Light"/>
          <w:sz w:val="20"/>
          <w:szCs w:val="20"/>
          <w:lang w:val="es-ES"/>
        </w:rPr>
        <w:t xml:space="preserve">en 2015, el Estado informó que la Corte de Apelaciones de lo Penal de Texas concedió la solicitud de un recurso de habeas corpus a favor del señor </w:t>
      </w:r>
      <w:proofErr w:type="spellStart"/>
      <w:r w:rsidRPr="00C95330">
        <w:rPr>
          <w:rFonts w:ascii="Cambria" w:hAnsi="Cambria" w:cs="Calibri Light"/>
          <w:sz w:val="20"/>
          <w:szCs w:val="20"/>
          <w:lang w:val="es-ES"/>
        </w:rPr>
        <w:t>Aban</w:t>
      </w:r>
      <w:proofErr w:type="spellEnd"/>
      <w:r w:rsidRPr="00C95330">
        <w:rPr>
          <w:rFonts w:ascii="Cambria" w:hAnsi="Cambria" w:cs="Calibri Light"/>
          <w:sz w:val="20"/>
          <w:szCs w:val="20"/>
          <w:lang w:val="es-ES"/>
        </w:rPr>
        <w:t xml:space="preserve"> Tercero en el que alegó que se le había denegado el debido proceso debido a que el fiscal presuntamente presentó testimonio falso en su juicio. Por lo tanto, la ejecución del señor </w:t>
      </w:r>
      <w:proofErr w:type="spellStart"/>
      <w:r w:rsidRPr="00C95330">
        <w:rPr>
          <w:rFonts w:ascii="Cambria" w:hAnsi="Cambria" w:cs="Calibri Light"/>
          <w:sz w:val="20"/>
          <w:szCs w:val="20"/>
          <w:lang w:val="es-ES"/>
        </w:rPr>
        <w:t>Aban</w:t>
      </w:r>
      <w:proofErr w:type="spellEnd"/>
      <w:r w:rsidRPr="00C95330">
        <w:rPr>
          <w:rFonts w:ascii="Cambria" w:hAnsi="Cambria" w:cs="Calibri Light"/>
          <w:sz w:val="20"/>
          <w:szCs w:val="20"/>
          <w:lang w:val="es-ES"/>
        </w:rPr>
        <w:t xml:space="preserve"> Tercero, que estaba programada para el 26 de agosto de 2015, se suspendió y, según el Estado, la Corte de Texas remitió el caso a la corte de primera instancia para revisar el fondo de la demanda</w:t>
      </w:r>
      <w:r w:rsidRPr="00C95330">
        <w:rPr>
          <w:rStyle w:val="FootnoteReference"/>
          <w:rFonts w:ascii="Cambria" w:hAnsi="Cambria" w:cs="Calibri Light"/>
          <w:sz w:val="20"/>
          <w:szCs w:val="20"/>
          <w:lang w:val="es-ES"/>
        </w:rPr>
        <w:footnoteReference w:id="2"/>
      </w:r>
      <w:r w:rsidRPr="00C95330">
        <w:rPr>
          <w:rFonts w:ascii="Cambria" w:hAnsi="Cambria" w:cs="Calibri Light"/>
          <w:sz w:val="20"/>
          <w:szCs w:val="20"/>
          <w:lang w:val="es-ES"/>
        </w:rPr>
        <w:t xml:space="preserve">. </w:t>
      </w:r>
      <w:r w:rsidRPr="00C95330">
        <w:rPr>
          <w:rFonts w:ascii="Cambria" w:hAnsi="Cambria" w:cs="Calibri Light"/>
          <w:color w:val="000000" w:themeColor="text1"/>
          <w:sz w:val="20"/>
          <w:szCs w:val="20"/>
          <w:lang w:val="es-ES"/>
        </w:rPr>
        <w:t xml:space="preserve">En </w:t>
      </w:r>
      <w:r w:rsidR="0043001C" w:rsidRPr="00C95330">
        <w:rPr>
          <w:rFonts w:ascii="Cambria" w:hAnsi="Cambria" w:cs="Calibri Light"/>
          <w:color w:val="000000" w:themeColor="text1"/>
          <w:sz w:val="20"/>
          <w:szCs w:val="20"/>
          <w:lang w:val="es-ES"/>
        </w:rPr>
        <w:t>2020</w:t>
      </w:r>
      <w:r w:rsidRPr="00C95330">
        <w:rPr>
          <w:rFonts w:ascii="Cambria" w:hAnsi="Cambria" w:cs="Calibri Light"/>
          <w:color w:val="000000" w:themeColor="text1"/>
          <w:sz w:val="20"/>
          <w:szCs w:val="20"/>
          <w:lang w:val="es-ES"/>
        </w:rPr>
        <w:t>, el Estado reiteró sus respuestas anteriores sobre esta recomendación, sin citar esfuerzo alguno emprendido este año a fin de cumplirla</w:t>
      </w:r>
      <w:r w:rsidRPr="00C95330">
        <w:rPr>
          <w:rFonts w:ascii="Cambria" w:hAnsi="Cambria"/>
          <w:color w:val="000000" w:themeColor="text1"/>
          <w:sz w:val="20"/>
          <w:szCs w:val="20"/>
          <w:lang w:val="es-ES"/>
        </w:rPr>
        <w:t xml:space="preserve">. </w:t>
      </w:r>
    </w:p>
    <w:p w14:paraId="58A89661" w14:textId="77777777" w:rsidR="00F54C38" w:rsidRPr="00C95330" w:rsidRDefault="00F54C38" w:rsidP="00F54C38">
      <w:pPr>
        <w:pStyle w:val="ListParagraph"/>
        <w:jc w:val="both"/>
        <w:rPr>
          <w:rFonts w:ascii="Cambria" w:hAnsi="Cambria"/>
          <w:sz w:val="20"/>
          <w:szCs w:val="20"/>
          <w:lang w:val="es-ES"/>
        </w:rPr>
      </w:pPr>
    </w:p>
    <w:p w14:paraId="569DF947" w14:textId="14A5552F" w:rsidR="00F54C38" w:rsidRPr="00C95330" w:rsidRDefault="00F54C38" w:rsidP="00F54C38">
      <w:pPr>
        <w:pStyle w:val="ListParagraph"/>
        <w:numPr>
          <w:ilvl w:val="0"/>
          <w:numId w:val="12"/>
        </w:numPr>
        <w:ind w:left="0" w:firstLine="720"/>
        <w:jc w:val="both"/>
        <w:rPr>
          <w:rFonts w:ascii="Cambria" w:hAnsi="Cambria"/>
          <w:sz w:val="20"/>
          <w:szCs w:val="20"/>
          <w:lang w:val="es-ES"/>
        </w:rPr>
      </w:pPr>
      <w:r w:rsidRPr="00C95330">
        <w:rPr>
          <w:rFonts w:ascii="Cambria" w:hAnsi="Cambria" w:cs="Calibri Light"/>
          <w:sz w:val="20"/>
          <w:szCs w:val="20"/>
          <w:lang w:val="es-ES"/>
        </w:rPr>
        <w:t>En 2016, los peticionarios informaron que la Corte de Apelaciones de Texas suspendió la ejecución en agosto de 2016 y que existía una nueva audiencia agendada ante la Corte del Condado Harris para diciembre de 2016</w:t>
      </w:r>
      <w:r w:rsidRPr="00C95330">
        <w:rPr>
          <w:rStyle w:val="FootnoteReference"/>
          <w:rFonts w:ascii="Cambria" w:hAnsi="Cambria" w:cs="Calibri Light"/>
          <w:sz w:val="20"/>
          <w:szCs w:val="20"/>
          <w:lang w:val="es-ES"/>
        </w:rPr>
        <w:footnoteReference w:id="3"/>
      </w:r>
      <w:r w:rsidRPr="00C95330">
        <w:rPr>
          <w:rFonts w:ascii="Cambria" w:hAnsi="Cambria" w:cs="Calibri Light"/>
          <w:sz w:val="20"/>
          <w:szCs w:val="20"/>
          <w:lang w:val="es-ES"/>
        </w:rPr>
        <w:t>.</w:t>
      </w:r>
      <w:r w:rsidRPr="00C95330">
        <w:rPr>
          <w:rFonts w:ascii="Cambria" w:hAnsi="Cambria"/>
          <w:sz w:val="20"/>
          <w:szCs w:val="20"/>
          <w:lang w:val="es-ES"/>
        </w:rPr>
        <w:t xml:space="preserve"> En 2017, los peticionarios informaron que la Corte </w:t>
      </w:r>
      <w:r w:rsidRPr="00C95330">
        <w:rPr>
          <w:rFonts w:ascii="Cambria" w:hAnsi="Cambria" w:cs="Calibri Light"/>
          <w:sz w:val="20"/>
          <w:szCs w:val="20"/>
          <w:lang w:val="es-ES"/>
        </w:rPr>
        <w:t xml:space="preserve">de Apelaciones de Texas emitió su fallo </w:t>
      </w:r>
      <w:r w:rsidRPr="00C95330">
        <w:rPr>
          <w:rFonts w:ascii="Cambria" w:hAnsi="Cambria"/>
          <w:sz w:val="20"/>
          <w:szCs w:val="20"/>
          <w:lang w:val="es-ES"/>
        </w:rPr>
        <w:t>a través del cual negó el recurso de apelación y</w:t>
      </w:r>
      <w:r w:rsidR="00FD41F6" w:rsidRPr="00C95330">
        <w:rPr>
          <w:rFonts w:ascii="Cambria" w:hAnsi="Cambria"/>
          <w:sz w:val="20"/>
          <w:szCs w:val="20"/>
          <w:lang w:val="es-ES"/>
        </w:rPr>
        <w:t>,</w:t>
      </w:r>
      <w:r w:rsidRPr="00C95330">
        <w:rPr>
          <w:rFonts w:ascii="Cambria" w:hAnsi="Cambria"/>
          <w:sz w:val="20"/>
          <w:szCs w:val="20"/>
          <w:lang w:val="es-ES"/>
        </w:rPr>
        <w:t xml:space="preserve"> por tanto, levantó la suspensión de la ejecución. Los peticionarios informaron que, en aquel momento, no se había fijado una nueva fecha de ejecución</w:t>
      </w:r>
      <w:r w:rsidRPr="00C95330">
        <w:rPr>
          <w:rStyle w:val="FootnoteReference"/>
          <w:rFonts w:ascii="Cambria" w:hAnsi="Cambria"/>
          <w:sz w:val="20"/>
          <w:szCs w:val="20"/>
          <w:lang w:val="es-ES"/>
        </w:rPr>
        <w:footnoteReference w:id="4"/>
      </w:r>
      <w:r w:rsidRPr="00C95330">
        <w:rPr>
          <w:rFonts w:ascii="Cambria" w:hAnsi="Cambria"/>
          <w:sz w:val="20"/>
          <w:szCs w:val="20"/>
          <w:lang w:val="es-ES"/>
        </w:rPr>
        <w:t>.</w:t>
      </w:r>
    </w:p>
    <w:p w14:paraId="0571042B" w14:textId="77777777" w:rsidR="00F54C38" w:rsidRPr="00C95330" w:rsidRDefault="00F54C38" w:rsidP="00F54C38">
      <w:pPr>
        <w:pStyle w:val="ListParagraph"/>
        <w:rPr>
          <w:rFonts w:ascii="Cambria" w:hAnsi="Cambria"/>
          <w:sz w:val="20"/>
          <w:szCs w:val="20"/>
          <w:lang w:val="es-ES"/>
        </w:rPr>
      </w:pPr>
    </w:p>
    <w:p w14:paraId="5BB9A443" w14:textId="77777777" w:rsidR="00F54C38" w:rsidRPr="00C95330" w:rsidRDefault="00F54C38" w:rsidP="00F54C38">
      <w:pPr>
        <w:pStyle w:val="ListParagraph"/>
        <w:numPr>
          <w:ilvl w:val="0"/>
          <w:numId w:val="12"/>
        </w:numPr>
        <w:ind w:left="0" w:firstLine="720"/>
        <w:jc w:val="both"/>
        <w:rPr>
          <w:rFonts w:ascii="Cambria" w:hAnsi="Cambria"/>
          <w:sz w:val="20"/>
          <w:szCs w:val="20"/>
          <w:lang w:val="es-ES"/>
        </w:rPr>
      </w:pPr>
      <w:r w:rsidRPr="00C95330">
        <w:rPr>
          <w:rFonts w:ascii="Cambria" w:hAnsi="Cambria"/>
          <w:sz w:val="20"/>
          <w:szCs w:val="20"/>
          <w:lang w:val="es-ES"/>
        </w:rPr>
        <w:lastRenderedPageBreak/>
        <w:t xml:space="preserve">La Comisión observa que, después de la publicación del Informe de Fondo Nº 79/15, la sentencia del Sr. </w:t>
      </w:r>
      <w:proofErr w:type="spellStart"/>
      <w:r w:rsidRPr="00C95330">
        <w:rPr>
          <w:rFonts w:ascii="Cambria" w:hAnsi="Cambria"/>
          <w:sz w:val="20"/>
          <w:szCs w:val="20"/>
          <w:lang w:val="es-ES"/>
        </w:rPr>
        <w:t>Aban</w:t>
      </w:r>
      <w:proofErr w:type="spellEnd"/>
      <w:r w:rsidRPr="00C95330">
        <w:rPr>
          <w:rFonts w:ascii="Cambria" w:hAnsi="Cambria"/>
          <w:sz w:val="20"/>
          <w:szCs w:val="20"/>
          <w:lang w:val="es-ES"/>
        </w:rPr>
        <w:t xml:space="preserve"> Tercero fue revisada por </w:t>
      </w:r>
      <w:r w:rsidRPr="00C95330">
        <w:rPr>
          <w:rFonts w:ascii="Cambria" w:hAnsi="Cambria" w:cs="Calibri Light"/>
          <w:sz w:val="20"/>
          <w:szCs w:val="20"/>
          <w:lang w:val="es-ES"/>
        </w:rPr>
        <w:t xml:space="preserve">la Corte </w:t>
      </w:r>
      <w:r w:rsidRPr="00C95330">
        <w:rPr>
          <w:rFonts w:ascii="Cambria" w:hAnsi="Cambria"/>
          <w:sz w:val="20"/>
          <w:szCs w:val="20"/>
          <w:lang w:val="es-ES"/>
        </w:rPr>
        <w:t xml:space="preserve">de Apelaciones de lo Penal de Texas. Al mismo tiempo, la Comisión observa con preocupación la decisión de esta Corte de levantar la suspensión de la ejecución. La CIDH invita a las partes a presentar información actualizada sobre los procedimientos internos en el caso del Sr. </w:t>
      </w:r>
      <w:proofErr w:type="spellStart"/>
      <w:r w:rsidRPr="00C95330">
        <w:rPr>
          <w:rFonts w:ascii="Cambria" w:hAnsi="Cambria"/>
          <w:sz w:val="20"/>
          <w:szCs w:val="20"/>
          <w:lang w:val="es-ES"/>
        </w:rPr>
        <w:t>Aban</w:t>
      </w:r>
      <w:proofErr w:type="spellEnd"/>
      <w:r w:rsidRPr="00C95330">
        <w:rPr>
          <w:rFonts w:ascii="Cambria" w:hAnsi="Cambria"/>
          <w:sz w:val="20"/>
          <w:szCs w:val="20"/>
          <w:lang w:val="es-ES"/>
        </w:rPr>
        <w:t xml:space="preserve"> Tercero. Por lo anterior, la CIDH considera que la Recomendación 1 se encuentra parcialmente cumplida. </w:t>
      </w:r>
    </w:p>
    <w:p w14:paraId="7BDF727B" w14:textId="77777777" w:rsidR="00F54C38" w:rsidRPr="00C95330" w:rsidRDefault="00F54C38" w:rsidP="00F54C38">
      <w:pPr>
        <w:pStyle w:val="ListParagraph"/>
        <w:jc w:val="both"/>
        <w:rPr>
          <w:rFonts w:ascii="Cambria" w:hAnsi="Cambria" w:cs="Calibri Light"/>
          <w:sz w:val="20"/>
          <w:szCs w:val="20"/>
          <w:lang w:val="es-ES"/>
        </w:rPr>
      </w:pPr>
    </w:p>
    <w:p w14:paraId="4637D836" w14:textId="28941869" w:rsidR="00F54C38" w:rsidRPr="00C95330" w:rsidRDefault="00F54C38" w:rsidP="00F54C38">
      <w:pPr>
        <w:pStyle w:val="ListParagraph"/>
        <w:numPr>
          <w:ilvl w:val="0"/>
          <w:numId w:val="12"/>
        </w:numPr>
        <w:ind w:left="0" w:firstLine="720"/>
        <w:jc w:val="both"/>
        <w:rPr>
          <w:rFonts w:ascii="Cambria" w:hAnsi="Cambria" w:cs="Calibri Light"/>
          <w:sz w:val="20"/>
          <w:szCs w:val="20"/>
          <w:lang w:val="es-ES"/>
        </w:rPr>
      </w:pPr>
      <w:r w:rsidRPr="00C95330">
        <w:rPr>
          <w:rFonts w:ascii="Cambria" w:hAnsi="Cambria" w:cs="Calibri Light"/>
          <w:b/>
          <w:sz w:val="20"/>
          <w:szCs w:val="20"/>
          <w:lang w:val="es-ES"/>
        </w:rPr>
        <w:t>Respecto de la segunda y tercera recomendación</w:t>
      </w:r>
      <w:r w:rsidRPr="00C95330">
        <w:rPr>
          <w:rFonts w:ascii="Cambria" w:hAnsi="Cambria" w:cs="Calibri Light"/>
          <w:sz w:val="20"/>
          <w:szCs w:val="20"/>
          <w:lang w:val="es-ES"/>
        </w:rPr>
        <w:t xml:space="preserve">, </w:t>
      </w:r>
      <w:r w:rsidR="0043001C" w:rsidRPr="00C95330">
        <w:rPr>
          <w:rFonts w:ascii="Cambria" w:hAnsi="Cambria" w:cs="Calibri Light"/>
          <w:sz w:val="20"/>
          <w:szCs w:val="20"/>
          <w:lang w:val="es-ES"/>
        </w:rPr>
        <w:t>ninguna de las partes ha</w:t>
      </w:r>
      <w:r w:rsidRPr="00C95330">
        <w:rPr>
          <w:rFonts w:ascii="Cambria" w:hAnsi="Cambria" w:cs="Calibri Light"/>
          <w:sz w:val="20"/>
          <w:szCs w:val="20"/>
          <w:lang w:val="es-ES"/>
        </w:rPr>
        <w:t xml:space="preserve"> presentado información sobre las medidas adoptadas por el Estado para cumplir con dichas recomendaciones. </w:t>
      </w:r>
    </w:p>
    <w:p w14:paraId="676E6F73" w14:textId="77777777" w:rsidR="00F54C38" w:rsidRPr="00C95330" w:rsidRDefault="00F54C38" w:rsidP="00F54C38">
      <w:pPr>
        <w:pStyle w:val="ListParagraph"/>
        <w:rPr>
          <w:rFonts w:ascii="Cambria" w:hAnsi="Cambria" w:cs="Calibri Light"/>
          <w:sz w:val="20"/>
          <w:szCs w:val="20"/>
          <w:lang w:val="es-ES"/>
        </w:rPr>
      </w:pPr>
    </w:p>
    <w:p w14:paraId="12B674D5" w14:textId="77777777" w:rsidR="00F54C38" w:rsidRPr="00C95330" w:rsidRDefault="00F54C38" w:rsidP="00F54C38">
      <w:pPr>
        <w:pStyle w:val="ListParagraph"/>
        <w:numPr>
          <w:ilvl w:val="0"/>
          <w:numId w:val="12"/>
        </w:numPr>
        <w:ind w:left="0" w:firstLine="720"/>
        <w:jc w:val="both"/>
        <w:rPr>
          <w:rFonts w:ascii="Cambria" w:hAnsi="Cambria"/>
          <w:sz w:val="20"/>
          <w:szCs w:val="20"/>
          <w:lang w:val="es-ES"/>
        </w:rPr>
      </w:pPr>
      <w:r w:rsidRPr="00C95330">
        <w:rPr>
          <w:rFonts w:ascii="Cambria" w:hAnsi="Cambria"/>
          <w:sz w:val="20"/>
          <w:szCs w:val="20"/>
          <w:lang w:val="es-ES"/>
        </w:rPr>
        <w:t xml:space="preserve">Por lo anterior, la CIDH considera que la Recomendaciones 2 y 3 se encuentran pendientes de cumplimiento.  </w:t>
      </w:r>
    </w:p>
    <w:p w14:paraId="7CACD1FD" w14:textId="77777777" w:rsidR="00F54C38" w:rsidRPr="00C95330" w:rsidRDefault="00F54C38" w:rsidP="00F54C38">
      <w:pPr>
        <w:pStyle w:val="ListParagraph"/>
        <w:jc w:val="both"/>
        <w:rPr>
          <w:rFonts w:ascii="Cambria" w:hAnsi="Cambria" w:cs="Calibri Light"/>
          <w:sz w:val="20"/>
          <w:szCs w:val="20"/>
          <w:lang w:val="es-ES"/>
        </w:rPr>
      </w:pPr>
    </w:p>
    <w:p w14:paraId="0D00C31C" w14:textId="77777777" w:rsidR="00F54C38" w:rsidRPr="00C95330" w:rsidRDefault="00F54C38" w:rsidP="00F54C38">
      <w:pPr>
        <w:pStyle w:val="ListParagraph"/>
        <w:numPr>
          <w:ilvl w:val="0"/>
          <w:numId w:val="12"/>
        </w:numPr>
        <w:ind w:left="0" w:firstLine="720"/>
        <w:jc w:val="both"/>
        <w:rPr>
          <w:rFonts w:ascii="Cambria" w:hAnsi="Cambria" w:cs="Calibri Light"/>
          <w:sz w:val="20"/>
          <w:szCs w:val="20"/>
          <w:lang w:val="es-ES"/>
        </w:rPr>
      </w:pPr>
      <w:r w:rsidRPr="00C95330">
        <w:rPr>
          <w:rFonts w:ascii="Cambria" w:hAnsi="Cambria" w:cs="Calibri Light"/>
          <w:b/>
          <w:sz w:val="20"/>
          <w:szCs w:val="20"/>
          <w:lang w:val="es-ES"/>
        </w:rPr>
        <w:t>En relación con la cuarta recomendación</w:t>
      </w:r>
      <w:r w:rsidRPr="00C95330">
        <w:rPr>
          <w:rFonts w:ascii="Cambria" w:hAnsi="Cambria" w:cs="Calibri Light"/>
          <w:sz w:val="20"/>
          <w:szCs w:val="20"/>
          <w:lang w:val="es-ES"/>
        </w:rPr>
        <w:t xml:space="preserve">, en 2015, el Estado </w:t>
      </w:r>
      <w:r w:rsidRPr="00C95330">
        <w:rPr>
          <w:rFonts w:ascii="Cambria" w:hAnsi="Cambria"/>
          <w:sz w:val="20"/>
          <w:szCs w:val="20"/>
          <w:lang w:val="es-ES"/>
        </w:rPr>
        <w:t>reiteró que es parte en la Convención de Viena sobre Relaciones Consulares y que está plenamente comprometido a cumplir con sus obligaciones bajo dicho instrumento.</w:t>
      </w:r>
    </w:p>
    <w:p w14:paraId="7149C7BC" w14:textId="77777777" w:rsidR="00F54C38" w:rsidRPr="00C95330" w:rsidRDefault="00F54C38" w:rsidP="00F54C38">
      <w:pPr>
        <w:pStyle w:val="ListParagraph"/>
        <w:rPr>
          <w:rFonts w:ascii="Cambria" w:hAnsi="Cambria" w:cs="Calibri Light"/>
          <w:sz w:val="20"/>
          <w:szCs w:val="20"/>
          <w:lang w:val="es-ES"/>
        </w:rPr>
      </w:pPr>
    </w:p>
    <w:p w14:paraId="36806AD6" w14:textId="77777777" w:rsidR="00F54C38" w:rsidRPr="00C95330" w:rsidRDefault="00F54C38" w:rsidP="00F54C38">
      <w:pPr>
        <w:pStyle w:val="ListParagraph"/>
        <w:numPr>
          <w:ilvl w:val="0"/>
          <w:numId w:val="12"/>
        </w:numPr>
        <w:ind w:left="0" w:firstLine="720"/>
        <w:jc w:val="both"/>
        <w:rPr>
          <w:rFonts w:ascii="Cambria" w:hAnsi="Cambria" w:cs="Calibri Light"/>
          <w:sz w:val="20"/>
          <w:szCs w:val="20"/>
          <w:lang w:val="es-ES"/>
        </w:rPr>
      </w:pPr>
      <w:r w:rsidRPr="00C95330">
        <w:rPr>
          <w:rFonts w:ascii="Cambria" w:hAnsi="Cambria" w:cs="Calibri Light"/>
          <w:sz w:val="20"/>
          <w:szCs w:val="20"/>
          <w:lang w:val="es-ES"/>
        </w:rPr>
        <w:t xml:space="preserve">Los peticionarios no han presentado información sobre las medidas adoptadas por parte del Estado para cumplir con esta recomendación. </w:t>
      </w:r>
    </w:p>
    <w:p w14:paraId="778F712D" w14:textId="77777777" w:rsidR="00F54C38" w:rsidRPr="00C95330" w:rsidRDefault="00F54C38" w:rsidP="00F54C38">
      <w:pPr>
        <w:pStyle w:val="ListParagraph"/>
        <w:rPr>
          <w:rFonts w:ascii="Cambria" w:hAnsi="Cambria" w:cs="Calibri Light"/>
          <w:sz w:val="20"/>
          <w:szCs w:val="20"/>
          <w:lang w:val="es-ES"/>
        </w:rPr>
      </w:pPr>
    </w:p>
    <w:p w14:paraId="54F5B898" w14:textId="77777777" w:rsidR="00F54C38" w:rsidRPr="00C95330" w:rsidRDefault="00F54C38" w:rsidP="00F54C38">
      <w:pPr>
        <w:pStyle w:val="ListParagraph"/>
        <w:numPr>
          <w:ilvl w:val="0"/>
          <w:numId w:val="12"/>
        </w:numPr>
        <w:ind w:left="0" w:firstLine="720"/>
        <w:jc w:val="both"/>
        <w:rPr>
          <w:rFonts w:ascii="Cambria" w:hAnsi="Cambria" w:cs="Calibri Light"/>
          <w:sz w:val="20"/>
          <w:szCs w:val="20"/>
          <w:lang w:val="es-ES"/>
        </w:rPr>
      </w:pPr>
      <w:r w:rsidRPr="00C95330">
        <w:rPr>
          <w:rFonts w:ascii="Cambria" w:hAnsi="Cambria" w:cs="Calibri Light"/>
          <w:sz w:val="20"/>
          <w:szCs w:val="20"/>
          <w:lang w:val="es-ES"/>
        </w:rPr>
        <w:t xml:space="preserve">La Comisión valora el compromiso del Estado en cumplir las obligaciones asumidas en el marco de la Convención de Viena sobre Relaciones Consulares. Al mismo tiempo, la CIDH observa que el Estado no le ha proporcionado información actualizada sobre medidas adoptadas para garantizar </w:t>
      </w:r>
      <w:r w:rsidRPr="00C95330">
        <w:rPr>
          <w:rFonts w:ascii="Cambria" w:hAnsi="Cambria" w:cs="Calibri"/>
          <w:sz w:val="20"/>
          <w:szCs w:val="20"/>
          <w:lang w:val="es-ES"/>
        </w:rPr>
        <w:t>que cada ciudadano extranjero privado de su libertad es informado sobre su derecho a la información sobre asistencia consular y a requerir que las autoridades diplomáticas sean notificadas inmediatamente sobre el arresto o la detención.</w:t>
      </w:r>
      <w:r w:rsidRPr="00C95330">
        <w:rPr>
          <w:rFonts w:ascii="Cambria" w:hAnsi="Cambria" w:cs="Calibri Light"/>
          <w:sz w:val="20"/>
          <w:szCs w:val="20"/>
          <w:lang w:val="es-ES"/>
        </w:rPr>
        <w:t xml:space="preserve"> </w:t>
      </w:r>
      <w:r w:rsidRPr="00C95330">
        <w:rPr>
          <w:rFonts w:ascii="Cambria" w:hAnsi="Cambria"/>
          <w:sz w:val="20"/>
          <w:szCs w:val="20"/>
          <w:lang w:val="es-ES"/>
        </w:rPr>
        <w:t>Por lo anterior, la CIDH considera que la Recomendación 4 se encuentra pendiente de cumplimiento.</w:t>
      </w:r>
    </w:p>
    <w:p w14:paraId="71B772C3" w14:textId="77777777" w:rsidR="00F54C38" w:rsidRPr="00C95330" w:rsidRDefault="00F54C38" w:rsidP="00F54C38">
      <w:pPr>
        <w:pStyle w:val="ListParagraph"/>
        <w:rPr>
          <w:rFonts w:ascii="Cambria" w:hAnsi="Cambria"/>
          <w:sz w:val="20"/>
          <w:szCs w:val="20"/>
          <w:lang w:val="es-ES"/>
        </w:rPr>
      </w:pPr>
    </w:p>
    <w:p w14:paraId="25BA90FD" w14:textId="77777777" w:rsidR="00F54C38" w:rsidRPr="00C95330" w:rsidRDefault="00F54C38" w:rsidP="00F54C38">
      <w:pPr>
        <w:pStyle w:val="ListParagraph"/>
        <w:numPr>
          <w:ilvl w:val="0"/>
          <w:numId w:val="12"/>
        </w:numPr>
        <w:ind w:left="0" w:firstLine="720"/>
        <w:jc w:val="both"/>
        <w:rPr>
          <w:rFonts w:ascii="Cambria" w:hAnsi="Cambria" w:cs="Calibri Light"/>
          <w:sz w:val="20"/>
          <w:szCs w:val="20"/>
          <w:lang w:val="es-ES"/>
        </w:rPr>
      </w:pPr>
      <w:r w:rsidRPr="00C95330">
        <w:rPr>
          <w:rFonts w:ascii="Cambria" w:hAnsi="Cambria" w:cs="Calibri Light"/>
          <w:b/>
          <w:sz w:val="20"/>
          <w:szCs w:val="20"/>
          <w:lang w:val="es-ES"/>
        </w:rPr>
        <w:t>Respecto de la quinta y sexta recomendaciones</w:t>
      </w:r>
      <w:r w:rsidRPr="00C95330">
        <w:rPr>
          <w:rFonts w:ascii="Cambria" w:hAnsi="Cambria" w:cs="Calibri Light"/>
          <w:sz w:val="20"/>
          <w:szCs w:val="20"/>
          <w:lang w:val="es-ES"/>
        </w:rPr>
        <w:t>, ninguna de las partes ha presentado información sobre las medidas adoptadas por el Estado para cumplir con dichas recomendaciones.</w:t>
      </w:r>
    </w:p>
    <w:p w14:paraId="0158EDFD" w14:textId="77777777" w:rsidR="00F54C38" w:rsidRPr="00C95330" w:rsidRDefault="00F54C38" w:rsidP="00F54C38">
      <w:pPr>
        <w:pStyle w:val="ListParagraph"/>
        <w:rPr>
          <w:rFonts w:ascii="Cambria" w:hAnsi="Cambria" w:cs="Calibri Light"/>
          <w:sz w:val="20"/>
          <w:szCs w:val="20"/>
          <w:lang w:val="es-ES"/>
        </w:rPr>
      </w:pPr>
    </w:p>
    <w:p w14:paraId="4BAEBF9A" w14:textId="77777777" w:rsidR="00F54C38" w:rsidRPr="00C95330" w:rsidRDefault="00F54C38" w:rsidP="00F54C38">
      <w:pPr>
        <w:pStyle w:val="ListParagraph"/>
        <w:numPr>
          <w:ilvl w:val="0"/>
          <w:numId w:val="12"/>
        </w:numPr>
        <w:ind w:left="0" w:firstLine="720"/>
        <w:jc w:val="both"/>
        <w:rPr>
          <w:rFonts w:ascii="Cambria" w:hAnsi="Cambria"/>
          <w:sz w:val="20"/>
          <w:szCs w:val="20"/>
          <w:lang w:val="es-ES"/>
        </w:rPr>
      </w:pPr>
      <w:r w:rsidRPr="00C95330">
        <w:rPr>
          <w:rFonts w:ascii="Cambria" w:hAnsi="Cambria"/>
          <w:sz w:val="20"/>
          <w:szCs w:val="20"/>
          <w:lang w:val="es-ES"/>
        </w:rPr>
        <w:t xml:space="preserve">Por lo anterior, la CIDH considera que la Recomendaciones 5 y 6 se encuentran pendientes de cumplimiento.  </w:t>
      </w:r>
    </w:p>
    <w:p w14:paraId="09F955BC" w14:textId="77777777" w:rsidR="00F54C38" w:rsidRPr="00C95330" w:rsidRDefault="00F54C38" w:rsidP="00F54C38">
      <w:pPr>
        <w:pStyle w:val="ListParagraph"/>
        <w:ind w:left="1440"/>
        <w:jc w:val="both"/>
        <w:rPr>
          <w:rFonts w:ascii="Cambria" w:hAnsi="Cambria" w:cs="Calibri Light"/>
          <w:b/>
          <w:sz w:val="20"/>
          <w:szCs w:val="20"/>
          <w:lang w:val="es-ES"/>
        </w:rPr>
      </w:pPr>
    </w:p>
    <w:p w14:paraId="3D5AC39F" w14:textId="77777777" w:rsidR="00F54C38" w:rsidRPr="00C95330" w:rsidRDefault="00F54C38" w:rsidP="00F54C38">
      <w:pPr>
        <w:pStyle w:val="FootnoteText"/>
        <w:numPr>
          <w:ilvl w:val="0"/>
          <w:numId w:val="8"/>
        </w:numPr>
        <w:ind w:left="1440"/>
        <w:jc w:val="both"/>
        <w:rPr>
          <w:rFonts w:ascii="Cambria" w:hAnsi="Cambria" w:cs="Calibri Light"/>
          <w:b/>
          <w:lang w:val="es-ES"/>
        </w:rPr>
      </w:pPr>
      <w:r w:rsidRPr="00C95330">
        <w:rPr>
          <w:rFonts w:ascii="Cambria" w:hAnsi="Cambria" w:cs="Calibri Light"/>
          <w:b/>
          <w:lang w:val="es-ES"/>
        </w:rPr>
        <w:t>Nivel del cumplimiento del caso</w:t>
      </w:r>
    </w:p>
    <w:p w14:paraId="5E0F78B0" w14:textId="77777777" w:rsidR="00F54C38" w:rsidRPr="00C95330" w:rsidRDefault="00F54C38" w:rsidP="00F54C38">
      <w:pPr>
        <w:jc w:val="both"/>
        <w:rPr>
          <w:rFonts w:ascii="Cambria" w:hAnsi="Cambria" w:cs="Calibri Light"/>
          <w:sz w:val="20"/>
          <w:szCs w:val="20"/>
          <w:lang w:val="es-ES"/>
        </w:rPr>
      </w:pPr>
    </w:p>
    <w:p w14:paraId="1295CE2F" w14:textId="77777777" w:rsidR="00F54C38" w:rsidRPr="00C95330" w:rsidRDefault="00F54C38" w:rsidP="00F54C38">
      <w:pPr>
        <w:pStyle w:val="ListParagraph"/>
        <w:numPr>
          <w:ilvl w:val="0"/>
          <w:numId w:val="12"/>
        </w:numPr>
        <w:ind w:left="0" w:firstLine="720"/>
        <w:jc w:val="both"/>
        <w:rPr>
          <w:rFonts w:ascii="Cambria" w:hAnsi="Cambria" w:cs="Calibri Light"/>
          <w:sz w:val="20"/>
          <w:szCs w:val="20"/>
          <w:lang w:val="es-ES"/>
        </w:rPr>
      </w:pPr>
      <w:r w:rsidRPr="00C95330">
        <w:rPr>
          <w:rFonts w:ascii="Cambria" w:hAnsi="Cambria" w:cs="Calibri Light"/>
          <w:sz w:val="20"/>
          <w:szCs w:val="20"/>
          <w:lang w:val="es-ES"/>
        </w:rPr>
        <w:t xml:space="preserve">Por lo anterior, la Comisión concluye que el nivel de cumplimiento del caso es parcial. En consecuencia, la Comisión seguirá supervisando el cumplimiento de las Recomendaciones 1 a 6. </w:t>
      </w:r>
    </w:p>
    <w:p w14:paraId="1813972D" w14:textId="77777777" w:rsidR="00F54C38" w:rsidRPr="00C95330" w:rsidRDefault="00F54C38" w:rsidP="00F54C38">
      <w:pPr>
        <w:pStyle w:val="ListParagraph"/>
        <w:jc w:val="both"/>
        <w:rPr>
          <w:rFonts w:ascii="Cambria" w:hAnsi="Cambria" w:cs="Calibri Light"/>
          <w:sz w:val="20"/>
          <w:szCs w:val="20"/>
          <w:lang w:val="es-ES"/>
        </w:rPr>
      </w:pPr>
    </w:p>
    <w:p w14:paraId="429B525E" w14:textId="77777777" w:rsidR="00F54C38" w:rsidRPr="00C95330" w:rsidRDefault="00F54C38" w:rsidP="00F54C38">
      <w:pPr>
        <w:pStyle w:val="ListParagraph"/>
        <w:numPr>
          <w:ilvl w:val="0"/>
          <w:numId w:val="12"/>
        </w:numPr>
        <w:ind w:left="0" w:firstLine="720"/>
        <w:jc w:val="both"/>
        <w:rPr>
          <w:rFonts w:ascii="Cambria" w:hAnsi="Cambria" w:cs="Calibri Light"/>
          <w:sz w:val="20"/>
          <w:szCs w:val="20"/>
          <w:lang w:val="es-ES"/>
        </w:rPr>
      </w:pPr>
      <w:r w:rsidRPr="00C95330">
        <w:rPr>
          <w:rFonts w:ascii="Cambria" w:hAnsi="Cambria" w:cs="Calibri Light"/>
          <w:sz w:val="20"/>
          <w:szCs w:val="20"/>
          <w:lang w:val="es-ES"/>
        </w:rPr>
        <w:t xml:space="preserve">La Comisión insta al Estado a adoptar acciones para implementar las recomendaciones emitidas en el Informe de Fondo Nº 79/15, y a proporcionarle información detallada y actualizada sobre estas acciones. </w:t>
      </w:r>
      <w:r w:rsidRPr="00C95330">
        <w:rPr>
          <w:rFonts w:ascii="Cambria" w:hAnsi="Cambria"/>
          <w:sz w:val="20"/>
          <w:szCs w:val="20"/>
          <w:lang w:val="es-ES"/>
        </w:rPr>
        <w:t xml:space="preserve">La CIDH recuerda que de llevarse a cabo la ejecución del señor </w:t>
      </w:r>
      <w:proofErr w:type="spellStart"/>
      <w:r w:rsidRPr="00C95330">
        <w:rPr>
          <w:rFonts w:ascii="Cambria" w:hAnsi="Cambria"/>
          <w:sz w:val="20"/>
          <w:szCs w:val="20"/>
          <w:lang w:val="es-ES"/>
        </w:rPr>
        <w:t>Aban</w:t>
      </w:r>
      <w:proofErr w:type="spellEnd"/>
      <w:r w:rsidRPr="00C95330">
        <w:rPr>
          <w:rFonts w:ascii="Cambria" w:hAnsi="Cambria"/>
          <w:sz w:val="20"/>
          <w:szCs w:val="20"/>
          <w:lang w:val="es-ES"/>
        </w:rPr>
        <w:t xml:space="preserve"> Tercero, el Estado sería responsable por una seria e irreparable violación del derecho fundamental a la vida, protegido en el artículo I de la Declaración Americana</w:t>
      </w:r>
      <w:r w:rsidRPr="00C95330">
        <w:rPr>
          <w:rStyle w:val="FootnoteReference"/>
          <w:rFonts w:ascii="Cambria" w:hAnsi="Cambria"/>
          <w:sz w:val="20"/>
          <w:szCs w:val="20"/>
          <w:lang w:val="es-ES"/>
        </w:rPr>
        <w:footnoteReference w:id="5"/>
      </w:r>
      <w:r w:rsidRPr="00C95330">
        <w:rPr>
          <w:rFonts w:ascii="Cambria" w:hAnsi="Cambria"/>
          <w:sz w:val="20"/>
          <w:szCs w:val="20"/>
          <w:lang w:val="es-ES"/>
        </w:rPr>
        <w:t>.</w:t>
      </w:r>
      <w:r w:rsidRPr="00C95330">
        <w:rPr>
          <w:rFonts w:ascii="Cambria" w:hAnsi="Cambria" w:cs="Calibri Light"/>
          <w:sz w:val="20"/>
          <w:szCs w:val="20"/>
          <w:lang w:val="es-ES"/>
        </w:rPr>
        <w:t xml:space="preserve"> Al mismo tiempo, la CIDH invita a los peticionarios a presentar información sobre las medidas adoptadas por parte del Estado para cumplir con las recomendaciones de la Comisión.</w:t>
      </w:r>
    </w:p>
    <w:p w14:paraId="5BB3C2C1" w14:textId="77777777" w:rsidR="00F54C38" w:rsidRPr="00C95330" w:rsidRDefault="00F54C38" w:rsidP="00F54C38">
      <w:pPr>
        <w:pStyle w:val="ListParagraph"/>
        <w:ind w:left="0"/>
        <w:jc w:val="both"/>
        <w:rPr>
          <w:rFonts w:ascii="Cambria" w:hAnsi="Cambria" w:cs="Calibri Light"/>
          <w:sz w:val="20"/>
          <w:szCs w:val="20"/>
          <w:lang w:val="es-ES"/>
        </w:rPr>
      </w:pPr>
    </w:p>
    <w:p w14:paraId="1A434174" w14:textId="77777777" w:rsidR="00F54C38" w:rsidRPr="00C95330" w:rsidRDefault="00F54C38" w:rsidP="00F54C38">
      <w:pPr>
        <w:pStyle w:val="ListParagraph"/>
        <w:numPr>
          <w:ilvl w:val="0"/>
          <w:numId w:val="8"/>
        </w:numPr>
        <w:ind w:left="1440"/>
        <w:jc w:val="both"/>
        <w:rPr>
          <w:rFonts w:ascii="Cambria" w:hAnsi="Cambria"/>
          <w:b/>
          <w:sz w:val="20"/>
          <w:szCs w:val="20"/>
          <w:lang w:val="es-ES"/>
        </w:rPr>
      </w:pPr>
      <w:r w:rsidRPr="00C95330">
        <w:rPr>
          <w:rFonts w:ascii="Cambria" w:hAnsi="Cambria"/>
          <w:b/>
          <w:sz w:val="20"/>
          <w:szCs w:val="20"/>
          <w:lang w:val="es-ES"/>
        </w:rPr>
        <w:t>Resultados individuales y estructurales del caso</w:t>
      </w:r>
    </w:p>
    <w:p w14:paraId="2132C2BA" w14:textId="77777777" w:rsidR="00F54C38" w:rsidRPr="00C95330" w:rsidRDefault="00F54C38" w:rsidP="00F54C38">
      <w:pPr>
        <w:rPr>
          <w:rFonts w:ascii="Cambria" w:hAnsi="Cambria"/>
          <w:sz w:val="20"/>
          <w:szCs w:val="20"/>
          <w:lang w:val="es-ES"/>
        </w:rPr>
      </w:pPr>
    </w:p>
    <w:p w14:paraId="33652D44" w14:textId="215900B0" w:rsidR="00F54C38" w:rsidRPr="00C95330" w:rsidRDefault="00F54C38" w:rsidP="00F54C38">
      <w:pPr>
        <w:pStyle w:val="ListParagraph"/>
        <w:numPr>
          <w:ilvl w:val="0"/>
          <w:numId w:val="12"/>
        </w:numPr>
        <w:ind w:left="0" w:firstLine="720"/>
        <w:jc w:val="both"/>
        <w:rPr>
          <w:rFonts w:ascii="Cambria" w:hAnsi="Cambria" w:cs="Calibri Light"/>
          <w:sz w:val="20"/>
          <w:szCs w:val="20"/>
          <w:lang w:val="es-ES"/>
        </w:rPr>
      </w:pPr>
      <w:r w:rsidRPr="00C95330">
        <w:rPr>
          <w:rFonts w:ascii="Cambria" w:hAnsi="Cambria" w:cs="Calibri Light"/>
          <w:sz w:val="20"/>
          <w:szCs w:val="20"/>
          <w:lang w:val="es-ES"/>
        </w:rPr>
        <w:t xml:space="preserve">En esta sección se destacan los resultados individuales y estructurales del caso informados por las partes. </w:t>
      </w:r>
    </w:p>
    <w:p w14:paraId="6E7C2505" w14:textId="467E9653" w:rsidR="00AA1078" w:rsidRPr="00C95330" w:rsidRDefault="00AA1078" w:rsidP="00AA1078">
      <w:pPr>
        <w:pStyle w:val="ListParagraph"/>
        <w:jc w:val="both"/>
        <w:rPr>
          <w:rFonts w:ascii="Cambria" w:hAnsi="Cambria" w:cs="Calibri Light"/>
          <w:sz w:val="20"/>
          <w:szCs w:val="20"/>
          <w:lang w:val="es-ES"/>
        </w:rPr>
      </w:pPr>
    </w:p>
    <w:p w14:paraId="0159D7E1" w14:textId="77777777" w:rsidR="00AA1078" w:rsidRPr="00C95330" w:rsidRDefault="00AA1078" w:rsidP="00AA1078">
      <w:pPr>
        <w:pStyle w:val="ListParagraph"/>
        <w:jc w:val="both"/>
        <w:rPr>
          <w:rFonts w:ascii="Cambria" w:hAnsi="Cambria" w:cs="Calibri Light"/>
          <w:sz w:val="20"/>
          <w:szCs w:val="20"/>
          <w:lang w:val="es-ES"/>
        </w:rPr>
      </w:pPr>
    </w:p>
    <w:p w14:paraId="4B865F6C" w14:textId="77777777" w:rsidR="00F54C38" w:rsidRPr="00C95330" w:rsidRDefault="00F54C38" w:rsidP="00F54C38">
      <w:pPr>
        <w:jc w:val="both"/>
        <w:rPr>
          <w:rFonts w:ascii="Cambria" w:hAnsi="Cambria"/>
          <w:b/>
          <w:sz w:val="20"/>
          <w:szCs w:val="20"/>
          <w:lang w:val="es-ES"/>
        </w:rPr>
      </w:pPr>
    </w:p>
    <w:p w14:paraId="7D078447" w14:textId="77777777" w:rsidR="00F54C38" w:rsidRPr="00C95330" w:rsidRDefault="00F54C38" w:rsidP="00F54C38">
      <w:pPr>
        <w:pStyle w:val="ListParagraph"/>
        <w:numPr>
          <w:ilvl w:val="0"/>
          <w:numId w:val="10"/>
        </w:numPr>
        <w:ind w:left="1440" w:hanging="720"/>
        <w:jc w:val="both"/>
        <w:rPr>
          <w:rFonts w:ascii="Cambria" w:hAnsi="Cambria"/>
          <w:b/>
          <w:sz w:val="20"/>
          <w:szCs w:val="20"/>
          <w:lang w:val="es-ES"/>
        </w:rPr>
      </w:pPr>
      <w:r w:rsidRPr="00C95330">
        <w:rPr>
          <w:rFonts w:ascii="Cambria" w:hAnsi="Cambria"/>
          <w:b/>
          <w:sz w:val="20"/>
          <w:szCs w:val="20"/>
          <w:lang w:val="es-ES"/>
        </w:rPr>
        <w:lastRenderedPageBreak/>
        <w:t>Resultados individuales del caso</w:t>
      </w:r>
    </w:p>
    <w:p w14:paraId="246A9407" w14:textId="77777777" w:rsidR="00F54C38" w:rsidRPr="00C95330" w:rsidRDefault="00F54C38" w:rsidP="00F54C38">
      <w:pPr>
        <w:rPr>
          <w:rFonts w:ascii="Cambria" w:hAnsi="Cambria"/>
          <w:sz w:val="20"/>
          <w:szCs w:val="20"/>
          <w:lang w:val="es-ES"/>
        </w:rPr>
      </w:pPr>
    </w:p>
    <w:p w14:paraId="27BD8A51" w14:textId="77777777" w:rsidR="00F54C38" w:rsidRPr="00C95330" w:rsidRDefault="00F54C38" w:rsidP="00F54C38">
      <w:pPr>
        <w:jc w:val="both"/>
        <w:rPr>
          <w:rFonts w:ascii="Cambria" w:hAnsi="Cambria"/>
          <w:i/>
          <w:sz w:val="20"/>
          <w:szCs w:val="20"/>
          <w:lang w:val="es-ES"/>
        </w:rPr>
      </w:pPr>
      <w:r w:rsidRPr="00C95330">
        <w:rPr>
          <w:rFonts w:ascii="Cambria" w:hAnsi="Cambria"/>
          <w:i/>
          <w:sz w:val="20"/>
          <w:szCs w:val="20"/>
          <w:lang w:val="es-ES"/>
        </w:rPr>
        <w:t>Medidas de restitución en el ejercicio del derecho</w:t>
      </w:r>
    </w:p>
    <w:p w14:paraId="2D6FFAA0" w14:textId="77777777" w:rsidR="00F54C38" w:rsidRPr="00C95330" w:rsidRDefault="00F54C38" w:rsidP="00F54C38">
      <w:pPr>
        <w:numPr>
          <w:ilvl w:val="0"/>
          <w:numId w:val="13"/>
        </w:numPr>
        <w:jc w:val="both"/>
        <w:rPr>
          <w:rFonts w:ascii="Cambria" w:hAnsi="Cambria"/>
          <w:sz w:val="20"/>
          <w:szCs w:val="20"/>
          <w:lang w:val="es-ES"/>
        </w:rPr>
      </w:pPr>
      <w:r w:rsidRPr="00C95330">
        <w:rPr>
          <w:rFonts w:ascii="Cambria" w:hAnsi="Cambria" w:cs="Calibri Light"/>
          <w:sz w:val="20"/>
          <w:szCs w:val="20"/>
          <w:lang w:val="es-ES"/>
        </w:rPr>
        <w:t xml:space="preserve">La Corte de Apelaciones de lo Penal de Texas suspendió la ejecución del señor </w:t>
      </w:r>
      <w:proofErr w:type="spellStart"/>
      <w:r w:rsidRPr="00C95330">
        <w:rPr>
          <w:rFonts w:ascii="Cambria" w:hAnsi="Cambria" w:cs="Calibri Light"/>
          <w:sz w:val="20"/>
          <w:szCs w:val="20"/>
          <w:lang w:val="es-ES"/>
        </w:rPr>
        <w:t>Aban</w:t>
      </w:r>
      <w:proofErr w:type="spellEnd"/>
      <w:r w:rsidRPr="00C95330">
        <w:rPr>
          <w:rFonts w:ascii="Cambria" w:hAnsi="Cambria" w:cs="Calibri Light"/>
          <w:sz w:val="20"/>
          <w:szCs w:val="20"/>
          <w:lang w:val="es-ES"/>
        </w:rPr>
        <w:t xml:space="preserve"> Tercero programada para el 26 de agosto de 2015 y remitió el caso a la corte de primera instancia para revisar el fondo de la demanda.</w:t>
      </w:r>
    </w:p>
    <w:p w14:paraId="3BEEA49E" w14:textId="77777777" w:rsidR="00F54C38" w:rsidRPr="00C95330" w:rsidRDefault="00F54C38" w:rsidP="00F54C38">
      <w:pPr>
        <w:pStyle w:val="ListParagraph"/>
        <w:ind w:left="1440"/>
        <w:jc w:val="both"/>
        <w:rPr>
          <w:rFonts w:ascii="Cambria" w:hAnsi="Cambria"/>
          <w:b/>
          <w:sz w:val="20"/>
          <w:szCs w:val="20"/>
          <w:lang w:val="es-ES"/>
        </w:rPr>
      </w:pPr>
    </w:p>
    <w:p w14:paraId="4D2E08BB" w14:textId="77777777" w:rsidR="00F54C38" w:rsidRPr="00C95330" w:rsidRDefault="00F54C38" w:rsidP="00F54C38">
      <w:pPr>
        <w:pStyle w:val="ListParagraph"/>
        <w:numPr>
          <w:ilvl w:val="0"/>
          <w:numId w:val="10"/>
        </w:numPr>
        <w:ind w:left="1440" w:hanging="720"/>
        <w:jc w:val="both"/>
        <w:rPr>
          <w:rFonts w:ascii="Cambria" w:hAnsi="Cambria"/>
          <w:b/>
          <w:sz w:val="20"/>
          <w:szCs w:val="20"/>
          <w:lang w:val="es-ES"/>
        </w:rPr>
      </w:pPr>
      <w:r w:rsidRPr="00C95330">
        <w:rPr>
          <w:rFonts w:ascii="Cambria" w:hAnsi="Cambria"/>
          <w:b/>
          <w:sz w:val="20"/>
          <w:szCs w:val="20"/>
          <w:lang w:val="es-ES"/>
        </w:rPr>
        <w:t>Resultados estructurales del caso</w:t>
      </w:r>
    </w:p>
    <w:p w14:paraId="7A11C4C6" w14:textId="77777777" w:rsidR="00F54C38" w:rsidRPr="00C95330" w:rsidRDefault="00F54C38" w:rsidP="00F54C38">
      <w:pPr>
        <w:jc w:val="both"/>
        <w:rPr>
          <w:rFonts w:ascii="Cambria" w:hAnsi="Cambria"/>
          <w:sz w:val="20"/>
          <w:szCs w:val="20"/>
          <w:lang w:val="es-ES"/>
        </w:rPr>
      </w:pPr>
    </w:p>
    <w:p w14:paraId="16B6CDC7" w14:textId="77777777" w:rsidR="00F54C38" w:rsidRPr="00C95330" w:rsidRDefault="00F54C38" w:rsidP="00F54C38">
      <w:pPr>
        <w:pStyle w:val="ListParagraph"/>
        <w:numPr>
          <w:ilvl w:val="0"/>
          <w:numId w:val="11"/>
        </w:numPr>
        <w:jc w:val="both"/>
        <w:rPr>
          <w:rFonts w:ascii="Cambria" w:hAnsi="Cambria"/>
          <w:sz w:val="20"/>
          <w:szCs w:val="20"/>
          <w:lang w:val="es-ES"/>
        </w:rPr>
      </w:pPr>
      <w:r w:rsidRPr="00C95330">
        <w:rPr>
          <w:rFonts w:ascii="Cambria" w:hAnsi="Cambria"/>
          <w:sz w:val="20"/>
          <w:szCs w:val="20"/>
          <w:lang w:val="es-ES"/>
        </w:rPr>
        <w:t xml:space="preserve">No hay resultados estructurales informados por las partes. </w:t>
      </w:r>
    </w:p>
    <w:p w14:paraId="7E0109DB" w14:textId="77777777" w:rsidR="00F54C38" w:rsidRPr="001B2555" w:rsidRDefault="00F54C38" w:rsidP="00F54C38">
      <w:pPr>
        <w:jc w:val="both"/>
        <w:rPr>
          <w:rFonts w:ascii="Cambria" w:hAnsi="Cambria"/>
          <w:sz w:val="20"/>
          <w:szCs w:val="20"/>
          <w:lang w:val="es-ES"/>
        </w:rPr>
      </w:pPr>
      <w:bookmarkStart w:id="0" w:name="_GoBack"/>
      <w:bookmarkEnd w:id="0"/>
    </w:p>
    <w:p w14:paraId="08E40A1A" w14:textId="77777777" w:rsidR="00F54C38" w:rsidRPr="001B2555" w:rsidRDefault="00F54C38" w:rsidP="00F54C38">
      <w:pPr>
        <w:jc w:val="both"/>
        <w:rPr>
          <w:rFonts w:ascii="Cambria" w:hAnsi="Cambria"/>
          <w:sz w:val="20"/>
          <w:szCs w:val="20"/>
          <w:lang w:val="es-ES"/>
        </w:rPr>
      </w:pPr>
    </w:p>
    <w:p w14:paraId="2F643E85" w14:textId="77777777" w:rsidR="00F54C38" w:rsidRPr="001B2555" w:rsidRDefault="00F54C38" w:rsidP="00F54C38">
      <w:pPr>
        <w:rPr>
          <w:rFonts w:ascii="Cambria" w:hAnsi="Cambria"/>
          <w:sz w:val="20"/>
          <w:szCs w:val="20"/>
          <w:lang w:val="es-ES"/>
        </w:rPr>
      </w:pPr>
    </w:p>
    <w:p w14:paraId="33BF3B33" w14:textId="77777777" w:rsidR="00F54C38" w:rsidRPr="001B2555" w:rsidRDefault="00F54C38" w:rsidP="00F54C38">
      <w:pPr>
        <w:rPr>
          <w:rFonts w:ascii="Cambria" w:hAnsi="Cambria"/>
          <w:sz w:val="20"/>
          <w:szCs w:val="20"/>
          <w:lang w:val="es-ES"/>
        </w:rPr>
      </w:pPr>
    </w:p>
    <w:p w14:paraId="0D37F02B" w14:textId="77777777" w:rsidR="000C5C4A" w:rsidRPr="00F54C38" w:rsidRDefault="000C5C4A" w:rsidP="008463D3">
      <w:pPr>
        <w:jc w:val="center"/>
        <w:rPr>
          <w:sz w:val="20"/>
          <w:szCs w:val="20"/>
          <w:lang w:val="es-ES"/>
        </w:rPr>
      </w:pPr>
    </w:p>
    <w:sectPr w:rsidR="000C5C4A" w:rsidRPr="00F54C38" w:rsidSect="00566CD0">
      <w:headerReference w:type="default" r:id="rId11"/>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46053" w14:textId="77777777" w:rsidR="007B7D1C" w:rsidRDefault="007B7D1C" w:rsidP="00672733">
      <w:r>
        <w:separator/>
      </w:r>
    </w:p>
  </w:endnote>
  <w:endnote w:type="continuationSeparator" w:id="0">
    <w:p w14:paraId="6D42645F" w14:textId="77777777" w:rsidR="007B7D1C" w:rsidRDefault="007B7D1C"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E7DE" w14:textId="353F9697"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C95330">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492FA" w14:textId="77777777" w:rsidR="007B7D1C" w:rsidRDefault="007B7D1C" w:rsidP="00672733">
      <w:r>
        <w:separator/>
      </w:r>
    </w:p>
  </w:footnote>
  <w:footnote w:type="continuationSeparator" w:id="0">
    <w:p w14:paraId="5CD6218F" w14:textId="77777777" w:rsidR="007B7D1C" w:rsidRDefault="007B7D1C" w:rsidP="00672733">
      <w:r>
        <w:continuationSeparator/>
      </w:r>
    </w:p>
  </w:footnote>
  <w:footnote w:id="1">
    <w:p w14:paraId="4A4EE6EC" w14:textId="77777777" w:rsidR="00F54C38" w:rsidRPr="003A39BC" w:rsidRDefault="00F54C38" w:rsidP="00F54C38">
      <w:pPr>
        <w:pStyle w:val="FootnoteText"/>
        <w:spacing w:after="120"/>
        <w:ind w:firstLine="720"/>
        <w:jc w:val="both"/>
        <w:rPr>
          <w:rFonts w:ascii="Cambria" w:hAnsi="Cambria"/>
          <w:sz w:val="16"/>
          <w:szCs w:val="16"/>
          <w:lang w:val="es-ES"/>
        </w:rPr>
      </w:pPr>
      <w:r w:rsidRPr="003A39BC">
        <w:rPr>
          <w:rStyle w:val="FootnoteReference"/>
          <w:rFonts w:ascii="Cambria" w:hAnsi="Cambria"/>
          <w:sz w:val="16"/>
          <w:szCs w:val="16"/>
        </w:rPr>
        <w:footnoteRef/>
      </w:r>
      <w:r w:rsidRPr="003A39BC">
        <w:rPr>
          <w:rFonts w:ascii="Cambria" w:hAnsi="Cambria"/>
          <w:sz w:val="16"/>
          <w:szCs w:val="16"/>
          <w:lang w:val="es-ES"/>
        </w:rPr>
        <w:t xml:space="preserve"> CIDH, Comunicado de Prensa Nº 91/15 - </w:t>
      </w:r>
      <w:hyperlink r:id="rId1" w:history="1">
        <w:r w:rsidRPr="003A39BC">
          <w:rPr>
            <w:rStyle w:val="Hyperlink"/>
            <w:rFonts w:ascii="Cambria" w:hAnsi="Cambria"/>
            <w:sz w:val="16"/>
            <w:szCs w:val="16"/>
            <w:lang w:val="es-ES"/>
          </w:rPr>
          <w:t>CIDH concluye que Estados Unidos violó derech</w:t>
        </w:r>
        <w:r>
          <w:rPr>
            <w:rStyle w:val="Hyperlink"/>
            <w:rFonts w:ascii="Cambria" w:hAnsi="Cambria"/>
            <w:sz w:val="16"/>
            <w:szCs w:val="16"/>
            <w:lang w:val="es-ES"/>
          </w:rPr>
          <w:t xml:space="preserve">os fundamentales de Bernardo </w:t>
        </w:r>
        <w:proofErr w:type="spellStart"/>
        <w:r>
          <w:rPr>
            <w:rStyle w:val="Hyperlink"/>
            <w:rFonts w:ascii="Cambria" w:hAnsi="Cambria"/>
            <w:sz w:val="16"/>
            <w:szCs w:val="16"/>
            <w:lang w:val="es-ES"/>
          </w:rPr>
          <w:t>Aba</w:t>
        </w:r>
        <w:r w:rsidRPr="003A39BC">
          <w:rPr>
            <w:rStyle w:val="Hyperlink"/>
            <w:rFonts w:ascii="Cambria" w:hAnsi="Cambria"/>
            <w:sz w:val="16"/>
            <w:szCs w:val="16"/>
            <w:lang w:val="es-ES"/>
          </w:rPr>
          <w:t>n</w:t>
        </w:r>
        <w:proofErr w:type="spellEnd"/>
        <w:r w:rsidRPr="003A39BC">
          <w:rPr>
            <w:rStyle w:val="Hyperlink"/>
            <w:rFonts w:ascii="Cambria" w:hAnsi="Cambria"/>
            <w:sz w:val="16"/>
            <w:szCs w:val="16"/>
            <w:lang w:val="es-ES"/>
          </w:rPr>
          <w:t xml:space="preserve"> Tercero y requiere la suspensión de su ejecución</w:t>
        </w:r>
      </w:hyperlink>
      <w:r w:rsidRPr="003A39BC">
        <w:rPr>
          <w:rFonts w:ascii="Cambria" w:hAnsi="Cambria"/>
          <w:sz w:val="16"/>
          <w:szCs w:val="16"/>
          <w:lang w:val="es-ES"/>
        </w:rPr>
        <w:t xml:space="preserve">. Washington, D.C., 19 de agosto de 2015. </w:t>
      </w:r>
    </w:p>
  </w:footnote>
  <w:footnote w:id="2">
    <w:p w14:paraId="4FFDCBF1" w14:textId="77777777" w:rsidR="00F54C38" w:rsidRPr="003A39BC" w:rsidRDefault="00F54C38" w:rsidP="00F54C38">
      <w:pPr>
        <w:pStyle w:val="FootnoteText"/>
        <w:spacing w:after="120"/>
        <w:ind w:firstLine="720"/>
        <w:jc w:val="both"/>
        <w:rPr>
          <w:rFonts w:ascii="Cambria" w:hAnsi="Cambria"/>
          <w:sz w:val="16"/>
          <w:szCs w:val="16"/>
          <w:lang w:val="es-ES"/>
        </w:rPr>
      </w:pPr>
      <w:r w:rsidRPr="003A39BC">
        <w:rPr>
          <w:rStyle w:val="FootnoteReference"/>
          <w:rFonts w:ascii="Cambria" w:hAnsi="Cambria"/>
          <w:sz w:val="16"/>
          <w:szCs w:val="16"/>
        </w:rPr>
        <w:footnoteRef/>
      </w:r>
      <w:r w:rsidRPr="003A39BC">
        <w:rPr>
          <w:rFonts w:ascii="Cambria" w:hAnsi="Cambria"/>
          <w:sz w:val="16"/>
          <w:szCs w:val="16"/>
          <w:lang w:val="es-ES"/>
        </w:rPr>
        <w:t xml:space="preserve"> CIDH, </w:t>
      </w:r>
      <w:hyperlink r:id="rId2" w:history="1">
        <w:r w:rsidRPr="003A39BC">
          <w:rPr>
            <w:rStyle w:val="Hyperlink"/>
            <w:rFonts w:ascii="Cambria" w:hAnsi="Cambria"/>
            <w:sz w:val="16"/>
            <w:szCs w:val="16"/>
            <w:lang w:val="es-ES"/>
          </w:rPr>
          <w:t xml:space="preserve">Caso 12.994, Informe de Fondo Nº 79/15, Bernardo </w:t>
        </w:r>
        <w:proofErr w:type="spellStart"/>
        <w:r w:rsidRPr="003A39BC">
          <w:rPr>
            <w:rStyle w:val="Hyperlink"/>
            <w:rFonts w:ascii="Cambria" w:hAnsi="Cambria"/>
            <w:sz w:val="16"/>
            <w:szCs w:val="16"/>
            <w:lang w:val="es-ES"/>
          </w:rPr>
          <w:t>Aban</w:t>
        </w:r>
        <w:proofErr w:type="spellEnd"/>
        <w:r w:rsidRPr="003A39BC">
          <w:rPr>
            <w:rStyle w:val="Hyperlink"/>
            <w:rFonts w:ascii="Cambria" w:hAnsi="Cambria"/>
            <w:sz w:val="16"/>
            <w:szCs w:val="16"/>
            <w:lang w:val="es-ES"/>
          </w:rPr>
          <w:t xml:space="preserve"> Tercero (Estados Unidos)</w:t>
        </w:r>
      </w:hyperlink>
      <w:r w:rsidRPr="003A39BC">
        <w:rPr>
          <w:rFonts w:ascii="Cambria" w:hAnsi="Cambria"/>
          <w:sz w:val="16"/>
          <w:szCs w:val="16"/>
          <w:lang w:val="es-ES"/>
        </w:rPr>
        <w:t>, párr. 157.</w:t>
      </w:r>
    </w:p>
  </w:footnote>
  <w:footnote w:id="3">
    <w:p w14:paraId="5685BF15" w14:textId="77777777" w:rsidR="00F54C38" w:rsidRPr="003A39BC" w:rsidRDefault="00F54C38" w:rsidP="00F54C38">
      <w:pPr>
        <w:pStyle w:val="FootnoteText"/>
        <w:spacing w:after="120"/>
        <w:ind w:firstLine="720"/>
        <w:jc w:val="both"/>
        <w:rPr>
          <w:rFonts w:ascii="Cambria" w:hAnsi="Cambria"/>
          <w:sz w:val="16"/>
          <w:szCs w:val="16"/>
          <w:lang w:val="es-ES"/>
        </w:rPr>
      </w:pPr>
      <w:r w:rsidRPr="003A39BC">
        <w:rPr>
          <w:rStyle w:val="FootnoteReference"/>
          <w:rFonts w:ascii="Cambria" w:hAnsi="Cambria"/>
          <w:sz w:val="16"/>
          <w:szCs w:val="16"/>
        </w:rPr>
        <w:footnoteRef/>
      </w:r>
      <w:r w:rsidRPr="003A39BC">
        <w:rPr>
          <w:rFonts w:ascii="Cambria" w:hAnsi="Cambria"/>
          <w:sz w:val="16"/>
          <w:szCs w:val="16"/>
          <w:lang w:val="es-ES"/>
        </w:rPr>
        <w:t xml:space="preserve"> CIDH, Informe Anual 2017, </w:t>
      </w:r>
      <w:hyperlink r:id="rId3" w:history="1">
        <w:r w:rsidRPr="003A39BC">
          <w:rPr>
            <w:rStyle w:val="Hyperlink"/>
            <w:rFonts w:ascii="Cambria" w:hAnsi="Cambria"/>
            <w:sz w:val="16"/>
            <w:szCs w:val="16"/>
            <w:lang w:val="es-ES"/>
          </w:rPr>
          <w:t>Capítulo II, Sección F: Estado del cumplimiento de las recomendaciones de la CIDH</w:t>
        </w:r>
      </w:hyperlink>
      <w:r w:rsidRPr="003A39BC">
        <w:rPr>
          <w:rFonts w:ascii="Cambria" w:hAnsi="Cambria"/>
          <w:sz w:val="16"/>
          <w:szCs w:val="16"/>
          <w:lang w:val="es-ES"/>
        </w:rPr>
        <w:t xml:space="preserve">, párr. 1333. </w:t>
      </w:r>
    </w:p>
  </w:footnote>
  <w:footnote w:id="4">
    <w:p w14:paraId="64005CFF" w14:textId="77777777" w:rsidR="00F54C38" w:rsidRPr="0054390D" w:rsidRDefault="00F54C38" w:rsidP="00F54C38">
      <w:pPr>
        <w:pStyle w:val="FootnoteText"/>
        <w:spacing w:after="120"/>
        <w:ind w:firstLine="720"/>
        <w:jc w:val="both"/>
        <w:rPr>
          <w:lang w:val="es-ES"/>
        </w:rPr>
      </w:pPr>
      <w:r w:rsidRPr="003A39BC">
        <w:rPr>
          <w:rStyle w:val="FootnoteReference"/>
          <w:rFonts w:ascii="Cambria" w:hAnsi="Cambria"/>
          <w:sz w:val="16"/>
          <w:szCs w:val="16"/>
        </w:rPr>
        <w:footnoteRef/>
      </w:r>
      <w:r w:rsidRPr="003A39BC">
        <w:rPr>
          <w:rFonts w:ascii="Cambria" w:hAnsi="Cambria"/>
          <w:sz w:val="16"/>
          <w:szCs w:val="16"/>
          <w:lang w:val="es-ES"/>
        </w:rPr>
        <w:t xml:space="preserve"> CIDH, Informe Anual 2017, </w:t>
      </w:r>
      <w:hyperlink r:id="rId4" w:history="1">
        <w:r w:rsidRPr="003A39BC">
          <w:rPr>
            <w:rStyle w:val="Hyperlink"/>
            <w:rFonts w:ascii="Cambria" w:hAnsi="Cambria"/>
            <w:sz w:val="16"/>
            <w:szCs w:val="16"/>
            <w:lang w:val="es-ES"/>
          </w:rPr>
          <w:t>Capítulo II, Sección F: Estado del cumplimiento de las recomendaciones de la CIDH</w:t>
        </w:r>
      </w:hyperlink>
      <w:r w:rsidRPr="003A39BC">
        <w:rPr>
          <w:rFonts w:ascii="Cambria" w:hAnsi="Cambria"/>
          <w:sz w:val="16"/>
          <w:szCs w:val="16"/>
          <w:lang w:val="es-ES"/>
        </w:rPr>
        <w:t>, párr. 1337.</w:t>
      </w:r>
      <w:r>
        <w:rPr>
          <w:rFonts w:ascii="Cambria" w:hAnsi="Cambria"/>
          <w:sz w:val="16"/>
          <w:szCs w:val="16"/>
          <w:lang w:val="es-ES"/>
        </w:rPr>
        <w:t xml:space="preserve"> </w:t>
      </w:r>
    </w:p>
  </w:footnote>
  <w:footnote w:id="5">
    <w:p w14:paraId="7CFC90B4" w14:textId="77777777" w:rsidR="00F54C38" w:rsidRPr="00FE4A27" w:rsidRDefault="00F54C38" w:rsidP="00F54C38">
      <w:pPr>
        <w:pStyle w:val="FootnoteText"/>
        <w:spacing w:after="120"/>
        <w:jc w:val="both"/>
        <w:rPr>
          <w:rFonts w:ascii="Cambria" w:hAnsi="Cambria"/>
          <w:sz w:val="16"/>
          <w:szCs w:val="16"/>
          <w:lang w:val="es-ES"/>
        </w:rPr>
      </w:pPr>
      <w:r w:rsidRPr="00FE4A27">
        <w:rPr>
          <w:rStyle w:val="FootnoteReference"/>
          <w:rFonts w:ascii="Cambria" w:hAnsi="Cambria"/>
          <w:sz w:val="16"/>
          <w:szCs w:val="16"/>
        </w:rPr>
        <w:footnoteRef/>
      </w:r>
      <w:r w:rsidRPr="00FE4A27">
        <w:rPr>
          <w:rFonts w:ascii="Cambria" w:hAnsi="Cambria"/>
          <w:sz w:val="16"/>
          <w:szCs w:val="16"/>
          <w:lang w:val="es-ES"/>
        </w:rPr>
        <w:t xml:space="preserve"> CIDH, </w:t>
      </w:r>
      <w:hyperlink r:id="rId5" w:history="1">
        <w:r w:rsidRPr="00FE4A27">
          <w:rPr>
            <w:rStyle w:val="Hyperlink"/>
            <w:rFonts w:ascii="Cambria" w:hAnsi="Cambria"/>
            <w:sz w:val="16"/>
            <w:szCs w:val="16"/>
            <w:lang w:val="es-ES"/>
          </w:rPr>
          <w:t xml:space="preserve">Caso 12.994, Informe de Fondo Nº 79/15, Bernardo </w:t>
        </w:r>
        <w:proofErr w:type="spellStart"/>
        <w:r w:rsidRPr="00FE4A27">
          <w:rPr>
            <w:rStyle w:val="Hyperlink"/>
            <w:rFonts w:ascii="Cambria" w:hAnsi="Cambria"/>
            <w:sz w:val="16"/>
            <w:szCs w:val="16"/>
            <w:lang w:val="es-ES"/>
          </w:rPr>
          <w:t>Aban</w:t>
        </w:r>
        <w:proofErr w:type="spellEnd"/>
        <w:r w:rsidRPr="00FE4A27">
          <w:rPr>
            <w:rStyle w:val="Hyperlink"/>
            <w:rFonts w:ascii="Cambria" w:hAnsi="Cambria"/>
            <w:sz w:val="16"/>
            <w:szCs w:val="16"/>
            <w:lang w:val="es-ES"/>
          </w:rPr>
          <w:t xml:space="preserve"> Tercero (Estados Unidos)</w:t>
        </w:r>
      </w:hyperlink>
      <w:r w:rsidRPr="00FE4A27">
        <w:rPr>
          <w:rFonts w:ascii="Cambria" w:hAnsi="Cambria"/>
          <w:sz w:val="16"/>
          <w:szCs w:val="16"/>
          <w:lang w:val="es-ES"/>
        </w:rPr>
        <w:t>, párr. 160.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C92C" w14:textId="448F8406" w:rsidR="00566CD0" w:rsidRDefault="008463D3" w:rsidP="008463D3">
    <w:pPr>
      <w:pStyle w:val="Header"/>
      <w:jc w:val="center"/>
      <w:rPr>
        <w:rFonts w:ascii="Arial" w:hAnsi="Arial" w:cs="Arial"/>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r w:rsidR="00566CD0" w:rsidRPr="00566CD0">
      <w:rPr>
        <w:rFonts w:ascii="Arial" w:hAnsi="Arial" w:cs="Arial"/>
        <w:noProof/>
        <w:color w:val="3B3838" w:themeColor="background2" w:themeShade="40"/>
        <w:sz w:val="28"/>
        <w:szCs w:val="28"/>
      </w:rPr>
      <w:drawing>
        <wp:inline distT="0" distB="0" distL="0" distR="0" wp14:anchorId="0246A2C5" wp14:editId="23EAB365">
          <wp:extent cx="3304467" cy="200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41350" cy="220422"/>
                  </a:xfrm>
                  <a:prstGeom prst="rect">
                    <a:avLst/>
                  </a:prstGeom>
                </pic:spPr>
              </pic:pic>
            </a:graphicData>
          </a:graphic>
        </wp:inline>
      </w:drawing>
    </w:r>
  </w:p>
  <w:p w14:paraId="60E6F577" w14:textId="7E60D2C5"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10346C42">
              <wp:simplePos x="0" y="0"/>
              <wp:positionH relativeFrom="column">
                <wp:posOffset>-5610</wp:posOffset>
              </wp:positionH>
              <wp:positionV relativeFrom="paragraph">
                <wp:posOffset>167882</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AF49A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F865" w14:textId="77777777" w:rsidR="00566CD0" w:rsidRPr="006B1F24" w:rsidRDefault="00566CD0" w:rsidP="00566CD0">
    <w:pPr>
      <w:pStyle w:val="Header"/>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392F0462" wp14:editId="5BC7EB4E">
          <wp:simplePos x="0" y="0"/>
          <wp:positionH relativeFrom="column">
            <wp:posOffset>3610073</wp:posOffset>
          </wp:positionH>
          <wp:positionV relativeFrom="paragraph">
            <wp:posOffset>53975</wp:posOffset>
          </wp:positionV>
          <wp:extent cx="2296160" cy="409575"/>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1F9B0906" wp14:editId="19B5DE0F">
              <wp:simplePos x="0" y="0"/>
              <wp:positionH relativeFrom="column">
                <wp:posOffset>824643</wp:posOffset>
              </wp:positionH>
              <wp:positionV relativeFrom="paragraph">
                <wp:posOffset>-101771</wp:posOffset>
              </wp:positionV>
              <wp:extent cx="1447332" cy="605918"/>
              <wp:effectExtent l="0" t="0" r="635" b="3810"/>
              <wp:wrapNone/>
              <wp:docPr id="4" name="Text Box 4"/>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7A80083F" w14:textId="26CDE986" w:rsidR="00566CD0" w:rsidRPr="006B1F24" w:rsidRDefault="00566CD0" w:rsidP="00566CD0">
                          <w:pPr>
                            <w:rPr>
                              <w:rFonts w:ascii="Arial" w:hAnsi="Arial" w:cs="Arial"/>
                              <w:b/>
                              <w:bCs/>
                              <w:color w:val="767171" w:themeColor="background2" w:themeShade="80"/>
                              <w:sz w:val="76"/>
                              <w:szCs w:val="76"/>
                              <w:lang w:val="es-ES"/>
                            </w:rPr>
                          </w:pPr>
                          <w:r w:rsidRPr="006B1F24">
                            <w:rPr>
                              <w:rFonts w:ascii="Arial" w:hAnsi="Arial" w:cs="Arial"/>
                              <w:b/>
                              <w:bCs/>
                              <w:color w:val="767171" w:themeColor="background2" w:themeShade="80"/>
                              <w:sz w:val="76"/>
                              <w:szCs w:val="76"/>
                              <w:lang w:val="es-ES"/>
                            </w:rPr>
                            <w:t>20</w:t>
                          </w:r>
                          <w:r w:rsidR="00E042FE">
                            <w:rPr>
                              <w:rFonts w:ascii="Arial" w:hAnsi="Arial" w:cs="Arial"/>
                              <w:b/>
                              <w:bCs/>
                              <w:color w:val="767171" w:themeColor="background2" w:themeShade="80"/>
                              <w:sz w:val="76"/>
                              <w:szCs w:val="76"/>
                              <w:lang w:val="es-E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9B0906" id="_x0000_t202" coordsize="21600,21600" o:spt="202" path="m,l,21600r21600,l21600,xe">
              <v:stroke joinstyle="miter"/>
              <v:path gradientshapeok="t" o:connecttype="rect"/>
            </v:shapetype>
            <v:shape id="Text Box 4" o:spid="_x0000_s1026" type="#_x0000_t202" style="position:absolute;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" fillcolor="white [3201]" stroked="f" strokeweight=".5pt">
              <v:textbox>
                <w:txbxContent>
                  <w:p w14:paraId="7A80083F" w14:textId="26CDE986" w:rsidR="00566CD0" w:rsidRPr="006B1F24" w:rsidRDefault="00566CD0" w:rsidP="00566CD0">
                    <w:pPr>
                      <w:rPr>
                        <w:rFonts w:ascii="Arial" w:hAnsi="Arial" w:cs="Arial"/>
                        <w:b/>
                        <w:bCs/>
                        <w:color w:val="767171" w:themeColor="background2" w:themeShade="80"/>
                        <w:sz w:val="76"/>
                        <w:szCs w:val="76"/>
                        <w:lang w:val="es-ES"/>
                      </w:rPr>
                    </w:pPr>
                    <w:r w:rsidRPr="006B1F24">
                      <w:rPr>
                        <w:rFonts w:ascii="Arial" w:hAnsi="Arial" w:cs="Arial"/>
                        <w:b/>
                        <w:bCs/>
                        <w:color w:val="767171" w:themeColor="background2" w:themeShade="80"/>
                        <w:sz w:val="76"/>
                        <w:szCs w:val="76"/>
                        <w:lang w:val="es-ES"/>
                      </w:rPr>
                      <w:t>20</w:t>
                    </w:r>
                    <w:r w:rsidR="00E042FE">
                      <w:rPr>
                        <w:rFonts w:ascii="Arial" w:hAnsi="Arial" w:cs="Arial"/>
                        <w:b/>
                        <w:bCs/>
                        <w:color w:val="767171" w:themeColor="background2" w:themeShade="80"/>
                        <w:sz w:val="76"/>
                        <w:szCs w:val="76"/>
                        <w:lang w:val="es-ES"/>
                      </w:rPr>
                      <w:t>20</w:t>
                    </w:r>
                  </w:p>
                </w:txbxContent>
              </v:textbox>
            </v:shape>
          </w:pict>
        </mc:Fallback>
      </mc:AlternateContent>
    </w:r>
    <w:r w:rsidRPr="006B1F24">
      <w:rPr>
        <w:rFonts w:ascii="Arial" w:hAnsi="Arial" w:cs="Arial"/>
        <w:color w:val="3B3838" w:themeColor="background2" w:themeShade="40"/>
        <w:sz w:val="28"/>
        <w:szCs w:val="28"/>
        <w:lang w:val="es-ES"/>
      </w:rPr>
      <w:t>INFORME</w:t>
    </w:r>
  </w:p>
  <w:p w14:paraId="434D4143" w14:textId="76C461F1" w:rsidR="00566CD0" w:rsidRPr="006B1F24" w:rsidRDefault="00566CD0" w:rsidP="008818B0">
    <w:pPr>
      <w:pStyle w:val="Header"/>
      <w:tabs>
        <w:tab w:val="clear" w:pos="4680"/>
        <w:tab w:val="clear" w:pos="9360"/>
        <w:tab w:val="left" w:pos="1925"/>
      </w:tabs>
      <w:rPr>
        <w:rFonts w:ascii="Arial" w:hAnsi="Arial" w:cs="Arial"/>
        <w:b/>
        <w:bCs/>
        <w:color w:val="404040" w:themeColor="text1" w:themeTint="BF"/>
        <w:sz w:val="38"/>
        <w:szCs w:val="38"/>
        <w:lang w:val="es-ES"/>
      </w:rPr>
    </w:pPr>
    <w:r w:rsidRPr="006B1F24">
      <w:rPr>
        <w:rFonts w:ascii="Arial" w:hAnsi="Arial" w:cs="Arial"/>
        <w:b/>
        <w:bCs/>
        <w:color w:val="404040" w:themeColor="text1" w:themeTint="BF"/>
        <w:sz w:val="38"/>
        <w:szCs w:val="38"/>
        <w:lang w:val="es-ES"/>
      </w:rPr>
      <w:t>ANUAL</w:t>
    </w:r>
    <w:r w:rsidR="008818B0">
      <w:rPr>
        <w:rFonts w:ascii="Arial" w:hAnsi="Arial" w:cs="Arial"/>
        <w:b/>
        <w:bCs/>
        <w:color w:val="404040" w:themeColor="text1" w:themeTint="BF"/>
        <w:sz w:val="38"/>
        <w:szCs w:val="38"/>
        <w:lang w:val="es-ES"/>
      </w:rPr>
      <w:tab/>
    </w:r>
  </w:p>
  <w:p w14:paraId="2AF194D7" w14:textId="36C35356" w:rsidR="00566CD0" w:rsidRPr="00566CD0" w:rsidRDefault="00566CD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39D98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3C780D84"/>
    <w:multiLevelType w:val="hybridMultilevel"/>
    <w:tmpl w:val="8228A420"/>
    <w:lvl w:ilvl="0" w:tplc="02FA980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427662E5"/>
    <w:multiLevelType w:val="hybridMultilevel"/>
    <w:tmpl w:val="79B4784A"/>
    <w:lvl w:ilvl="0" w:tplc="342CD320">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8D6036"/>
    <w:multiLevelType w:val="hybridMultilevel"/>
    <w:tmpl w:val="975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abstractNumId w:val="6"/>
  </w:num>
  <w:num w:numId="2">
    <w:abstractNumId w:val="12"/>
  </w:num>
  <w:num w:numId="3">
    <w:abstractNumId w:val="9"/>
  </w:num>
  <w:num w:numId="4">
    <w:abstractNumId w:val="3"/>
  </w:num>
  <w:num w:numId="5">
    <w:abstractNumId w:val="2"/>
  </w:num>
  <w:num w:numId="6">
    <w:abstractNumId w:val="4"/>
  </w:num>
  <w:num w:numId="7">
    <w:abstractNumId w:val="0"/>
  </w:num>
  <w:num w:numId="8">
    <w:abstractNumId w:val="8"/>
  </w:num>
  <w:num w:numId="9">
    <w:abstractNumId w:val="7"/>
  </w:num>
  <w:num w:numId="10">
    <w:abstractNumId w:val="1"/>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33"/>
    <w:rsid w:val="00045E5E"/>
    <w:rsid w:val="000B5E1D"/>
    <w:rsid w:val="000C5C4A"/>
    <w:rsid w:val="001C7AAF"/>
    <w:rsid w:val="001D4AA3"/>
    <w:rsid w:val="002B1DA7"/>
    <w:rsid w:val="00322720"/>
    <w:rsid w:val="0043001C"/>
    <w:rsid w:val="00453115"/>
    <w:rsid w:val="0048723C"/>
    <w:rsid w:val="00566CD0"/>
    <w:rsid w:val="00637ED3"/>
    <w:rsid w:val="006638E5"/>
    <w:rsid w:val="00672733"/>
    <w:rsid w:val="006B1F24"/>
    <w:rsid w:val="006F4C08"/>
    <w:rsid w:val="00750246"/>
    <w:rsid w:val="00795B0C"/>
    <w:rsid w:val="007B7D1C"/>
    <w:rsid w:val="008463D3"/>
    <w:rsid w:val="008818B0"/>
    <w:rsid w:val="00A31E02"/>
    <w:rsid w:val="00AA1078"/>
    <w:rsid w:val="00B92695"/>
    <w:rsid w:val="00BB0D06"/>
    <w:rsid w:val="00C95330"/>
    <w:rsid w:val="00D03375"/>
    <w:rsid w:val="00D56DC4"/>
    <w:rsid w:val="00E042FE"/>
    <w:rsid w:val="00E516AB"/>
    <w:rsid w:val="00E87CA5"/>
    <w:rsid w:val="00E90CB3"/>
    <w:rsid w:val="00EB6C0F"/>
    <w:rsid w:val="00F1408B"/>
    <w:rsid w:val="00F54C38"/>
    <w:rsid w:val="00FD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75B2B5"/>
  <w15:chartTrackingRefBased/>
  <w15:docId w15:val="{90C71373-7FC8-954C-ADE4-56D64BFC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750246"/>
    <w:pPr>
      <w:spacing w:after="160" w:line="240" w:lineRule="exact"/>
    </w:pPr>
    <w:rPr>
      <w:vertAlign w:val="superscript"/>
    </w:rPr>
  </w:style>
  <w:style w:type="character" w:styleId="Hyperlink">
    <w:name w:val="Hyperlink"/>
    <w:uiPriority w:val="99"/>
    <w:unhideWhenUsed/>
    <w:rsid w:val="00750246"/>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750246"/>
  </w:style>
  <w:style w:type="paragraph" w:styleId="NoSpacing">
    <w:name w:val="No Spacing"/>
    <w:uiPriority w:val="1"/>
    <w:qFormat/>
    <w:rsid w:val="00F54C38"/>
    <w:rPr>
      <w:rFonts w:ascii="Calibri" w:eastAsia="Calibri" w:hAnsi="Calibri" w:cs="Times New Roman"/>
      <w:sz w:val="22"/>
      <w:szCs w:val="22"/>
      <w:lang w:val="pt-BR"/>
    </w:rPr>
  </w:style>
  <w:style w:type="character" w:styleId="CommentReference">
    <w:name w:val="annotation reference"/>
    <w:basedOn w:val="DefaultParagraphFont"/>
    <w:uiPriority w:val="99"/>
    <w:semiHidden/>
    <w:unhideWhenUsed/>
    <w:rsid w:val="00795B0C"/>
    <w:rPr>
      <w:sz w:val="16"/>
      <w:szCs w:val="16"/>
    </w:rPr>
  </w:style>
  <w:style w:type="paragraph" w:styleId="CommentText">
    <w:name w:val="annotation text"/>
    <w:basedOn w:val="Normal"/>
    <w:link w:val="CommentTextChar"/>
    <w:uiPriority w:val="99"/>
    <w:semiHidden/>
    <w:unhideWhenUsed/>
    <w:rsid w:val="00795B0C"/>
    <w:rPr>
      <w:sz w:val="20"/>
      <w:szCs w:val="20"/>
    </w:rPr>
  </w:style>
  <w:style w:type="character" w:customStyle="1" w:styleId="CommentTextChar">
    <w:name w:val="Comment Text Char"/>
    <w:basedOn w:val="DefaultParagraphFont"/>
    <w:link w:val="CommentText"/>
    <w:uiPriority w:val="99"/>
    <w:semiHidden/>
    <w:rsid w:val="00795B0C"/>
    <w:rPr>
      <w:sz w:val="20"/>
      <w:szCs w:val="20"/>
    </w:rPr>
  </w:style>
  <w:style w:type="paragraph" w:styleId="CommentSubject">
    <w:name w:val="annotation subject"/>
    <w:basedOn w:val="CommentText"/>
    <w:next w:val="CommentText"/>
    <w:link w:val="CommentSubjectChar"/>
    <w:uiPriority w:val="99"/>
    <w:semiHidden/>
    <w:unhideWhenUsed/>
    <w:rsid w:val="00795B0C"/>
    <w:rPr>
      <w:b/>
      <w:bCs/>
    </w:rPr>
  </w:style>
  <w:style w:type="character" w:customStyle="1" w:styleId="CommentSubjectChar">
    <w:name w:val="Comment Subject Char"/>
    <w:basedOn w:val="CommentTextChar"/>
    <w:link w:val="CommentSubject"/>
    <w:uiPriority w:val="99"/>
    <w:semiHidden/>
    <w:rsid w:val="00795B0C"/>
    <w:rPr>
      <w:b/>
      <w:bCs/>
      <w:sz w:val="20"/>
      <w:szCs w:val="20"/>
    </w:rPr>
  </w:style>
  <w:style w:type="paragraph" w:styleId="BalloonText">
    <w:name w:val="Balloon Text"/>
    <w:basedOn w:val="Normal"/>
    <w:link w:val="BalloonTextChar"/>
    <w:uiPriority w:val="99"/>
    <w:semiHidden/>
    <w:unhideWhenUsed/>
    <w:rsid w:val="00795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n/iachr/decisions/2015/USPU12994E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as.org/es/cidh/decisiones/cautelares.asp" TargetMode="External"/><Relationship Id="rId4" Type="http://schemas.openxmlformats.org/officeDocument/2006/relationships/settings" Target="settings.xml"/><Relationship Id="rId9" Type="http://schemas.openxmlformats.org/officeDocument/2006/relationships/hyperlink" Target="http://www.oas.org/es/cidh/decisiones/2015/USADM1752-09E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7/docs/IA2017cap.2-es.pdf" TargetMode="External"/><Relationship Id="rId2" Type="http://schemas.openxmlformats.org/officeDocument/2006/relationships/hyperlink" Target="http://www.oas.org/en/iachr/decisions/2015/USPU12994EN.pdf" TargetMode="External"/><Relationship Id="rId1" Type="http://schemas.openxmlformats.org/officeDocument/2006/relationships/hyperlink" Target="http://www.oas.org/es/cidh/prensa/Comunicados/2015/091.asp" TargetMode="External"/><Relationship Id="rId5" Type="http://schemas.openxmlformats.org/officeDocument/2006/relationships/hyperlink" Target="http://www.oas.org/en/iachr/decisions/2015/USPU12994EN.pdf" TargetMode="External"/><Relationship Id="rId4" Type="http://schemas.openxmlformats.org/officeDocument/2006/relationships/hyperlink" Target="http://www.oas.org/es/cidh/docs/anual/2017/docs/IA2017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4279-C174-43EC-BE64-FDB74E1B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jospofe24@estudiantec.cr</dc:creator>
  <cp:keywords/>
  <dc:description/>
  <cp:lastModifiedBy>Paez, Suzdal</cp:lastModifiedBy>
  <cp:revision>4</cp:revision>
  <dcterms:created xsi:type="dcterms:W3CDTF">2021-01-04T18:05:00Z</dcterms:created>
  <dcterms:modified xsi:type="dcterms:W3CDTF">2021-03-25T22:27:00Z</dcterms:modified>
</cp:coreProperties>
</file>