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9F7FC" w14:textId="77777777" w:rsidR="001A75B8" w:rsidRPr="00586A5B" w:rsidRDefault="001A75B8" w:rsidP="001A75B8">
      <w:pPr>
        <w:pStyle w:val="Header"/>
        <w:jc w:val="center"/>
        <w:rPr>
          <w:rFonts w:ascii="Cambria" w:hAnsi="Cambria"/>
          <w:b/>
          <w:sz w:val="20"/>
          <w:szCs w:val="20"/>
          <w:lang w:val="es-ES"/>
        </w:rPr>
      </w:pPr>
    </w:p>
    <w:p w14:paraId="1C9B42F5" w14:textId="77777777" w:rsidR="001A75B8" w:rsidRPr="0084041C" w:rsidRDefault="001A75B8" w:rsidP="001A75B8">
      <w:pPr>
        <w:pStyle w:val="Header"/>
        <w:jc w:val="center"/>
        <w:rPr>
          <w:rFonts w:ascii="Cambria" w:hAnsi="Cambria"/>
          <w:sz w:val="20"/>
          <w:szCs w:val="20"/>
          <w:lang w:val="es-ES"/>
        </w:rPr>
      </w:pPr>
      <w:r w:rsidRPr="0084041C">
        <w:rPr>
          <w:rFonts w:ascii="Cambria" w:hAnsi="Cambria"/>
          <w:b/>
          <w:sz w:val="20"/>
          <w:szCs w:val="20"/>
          <w:lang w:val="es-ES"/>
        </w:rPr>
        <w:t>FICHA DE SEGUIMIENTO DEL INFORME Nº 44/14</w:t>
      </w:r>
    </w:p>
    <w:p w14:paraId="0B6484A1" w14:textId="77777777" w:rsidR="001A75B8" w:rsidRPr="0084041C" w:rsidRDefault="001A75B8" w:rsidP="001A75B8">
      <w:pPr>
        <w:jc w:val="center"/>
        <w:rPr>
          <w:rFonts w:ascii="Cambria" w:hAnsi="Cambria"/>
          <w:b/>
          <w:sz w:val="20"/>
          <w:szCs w:val="20"/>
          <w:lang w:val="es-ES"/>
        </w:rPr>
      </w:pPr>
      <w:r w:rsidRPr="0084041C">
        <w:rPr>
          <w:rFonts w:ascii="Cambria" w:hAnsi="Cambria"/>
          <w:b/>
          <w:sz w:val="20"/>
          <w:szCs w:val="20"/>
          <w:lang w:val="es-ES"/>
        </w:rPr>
        <w:t>CASO 12.873</w:t>
      </w:r>
    </w:p>
    <w:p w14:paraId="2A40BCE0" w14:textId="77777777" w:rsidR="001A75B8" w:rsidRPr="0084041C" w:rsidRDefault="001A75B8" w:rsidP="001A75B8">
      <w:pPr>
        <w:jc w:val="center"/>
        <w:rPr>
          <w:rFonts w:ascii="Cambria" w:hAnsi="Cambria"/>
          <w:b/>
          <w:sz w:val="20"/>
          <w:szCs w:val="20"/>
          <w:lang w:val="es-ES"/>
        </w:rPr>
      </w:pPr>
      <w:r w:rsidRPr="0084041C">
        <w:rPr>
          <w:rFonts w:ascii="Cambria" w:hAnsi="Cambria"/>
          <w:b/>
          <w:sz w:val="20"/>
          <w:szCs w:val="20"/>
          <w:lang w:val="es-ES"/>
        </w:rPr>
        <w:t>EDGAR TAMAYO ARIAS</w:t>
      </w:r>
    </w:p>
    <w:p w14:paraId="109AB38C" w14:textId="77777777" w:rsidR="001A75B8" w:rsidRPr="0084041C" w:rsidRDefault="001A75B8" w:rsidP="001A75B8">
      <w:pPr>
        <w:jc w:val="center"/>
        <w:rPr>
          <w:rFonts w:ascii="Cambria" w:hAnsi="Cambria"/>
          <w:b/>
          <w:sz w:val="20"/>
          <w:szCs w:val="20"/>
          <w:lang w:val="es-ES"/>
        </w:rPr>
      </w:pPr>
      <w:r w:rsidRPr="0084041C">
        <w:rPr>
          <w:rFonts w:ascii="Cambria" w:hAnsi="Cambria"/>
          <w:b/>
          <w:sz w:val="20"/>
          <w:szCs w:val="20"/>
          <w:lang w:val="es-ES"/>
        </w:rPr>
        <w:t>(Estados Unidos)</w:t>
      </w:r>
    </w:p>
    <w:p w14:paraId="19E6B0FE" w14:textId="77777777" w:rsidR="001A75B8" w:rsidRPr="0084041C" w:rsidRDefault="001A75B8" w:rsidP="001A75B8">
      <w:pPr>
        <w:jc w:val="both"/>
        <w:rPr>
          <w:rFonts w:ascii="Cambria" w:hAnsi="Cambria"/>
          <w:sz w:val="20"/>
          <w:szCs w:val="20"/>
          <w:lang w:val="es-ES"/>
        </w:rPr>
      </w:pPr>
    </w:p>
    <w:p w14:paraId="4220BD6A" w14:textId="77777777" w:rsidR="001A75B8" w:rsidRPr="0084041C" w:rsidRDefault="001A75B8" w:rsidP="001A75B8">
      <w:pPr>
        <w:numPr>
          <w:ilvl w:val="0"/>
          <w:numId w:val="8"/>
        </w:numPr>
        <w:ind w:left="1440"/>
        <w:rPr>
          <w:rFonts w:ascii="Cambria" w:hAnsi="Cambria" w:cs="Calibri Light"/>
          <w:b/>
          <w:sz w:val="20"/>
          <w:szCs w:val="20"/>
          <w:lang w:val="es-ES"/>
        </w:rPr>
      </w:pPr>
      <w:r w:rsidRPr="0084041C">
        <w:rPr>
          <w:rFonts w:ascii="Cambria" w:hAnsi="Cambria" w:cs="Calibri Light"/>
          <w:b/>
          <w:sz w:val="20"/>
          <w:szCs w:val="20"/>
          <w:lang w:val="es-ES"/>
        </w:rPr>
        <w:t xml:space="preserve">Resumen del caso </w:t>
      </w:r>
    </w:p>
    <w:p w14:paraId="7D0F6DBC" w14:textId="77777777" w:rsidR="001A75B8" w:rsidRPr="0084041C" w:rsidRDefault="001A75B8" w:rsidP="001A75B8">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A75B8" w:rsidRPr="0084041C" w14:paraId="26BFD6D7" w14:textId="77777777" w:rsidTr="00AA3A3F">
        <w:trPr>
          <w:jc w:val="center"/>
        </w:trPr>
        <w:tc>
          <w:tcPr>
            <w:tcW w:w="9576" w:type="dxa"/>
            <w:shd w:val="clear" w:color="auto" w:fill="F2F2F2"/>
          </w:tcPr>
          <w:p w14:paraId="53F1CA85" w14:textId="77777777" w:rsidR="001A75B8" w:rsidRPr="0084041C" w:rsidRDefault="001A75B8" w:rsidP="00AA3A3F">
            <w:pPr>
              <w:spacing w:before="120"/>
              <w:jc w:val="both"/>
              <w:rPr>
                <w:rFonts w:ascii="Cambria" w:hAnsi="Cambria"/>
                <w:b/>
                <w:sz w:val="20"/>
                <w:szCs w:val="20"/>
                <w:lang w:val="es-ES"/>
              </w:rPr>
            </w:pPr>
            <w:r w:rsidRPr="0084041C">
              <w:rPr>
                <w:rFonts w:ascii="Cambria" w:hAnsi="Cambria"/>
                <w:b/>
                <w:sz w:val="20"/>
                <w:szCs w:val="20"/>
                <w:lang w:val="es-ES"/>
              </w:rPr>
              <w:t xml:space="preserve">Víctima (s): </w:t>
            </w:r>
            <w:r w:rsidRPr="0084041C">
              <w:rPr>
                <w:rFonts w:ascii="Cambria" w:hAnsi="Cambria"/>
                <w:sz w:val="20"/>
                <w:szCs w:val="20"/>
                <w:lang w:val="es-ES"/>
              </w:rPr>
              <w:t>Edgar Tamayo Arias</w:t>
            </w:r>
          </w:p>
          <w:p w14:paraId="7DF328A7" w14:textId="77777777" w:rsidR="001A75B8" w:rsidRPr="0084041C" w:rsidRDefault="001A75B8" w:rsidP="00AA3A3F">
            <w:pPr>
              <w:jc w:val="both"/>
              <w:rPr>
                <w:rFonts w:ascii="Cambria" w:hAnsi="Cambria"/>
                <w:b/>
                <w:sz w:val="20"/>
                <w:szCs w:val="20"/>
                <w:lang w:val="es-ES"/>
              </w:rPr>
            </w:pPr>
            <w:r w:rsidRPr="0084041C">
              <w:rPr>
                <w:rFonts w:ascii="Cambria" w:hAnsi="Cambria"/>
                <w:b/>
                <w:sz w:val="20"/>
                <w:szCs w:val="20"/>
                <w:lang w:val="es-ES"/>
              </w:rPr>
              <w:t>Peticionario (s):</w:t>
            </w:r>
            <w:r w:rsidRPr="0084041C">
              <w:rPr>
                <w:rFonts w:ascii="Cambria" w:hAnsi="Cambria"/>
                <w:sz w:val="20"/>
                <w:szCs w:val="20"/>
                <w:lang w:val="es-ES"/>
              </w:rPr>
              <w:t xml:space="preserve"> Sandra Babcock</w:t>
            </w:r>
          </w:p>
          <w:p w14:paraId="746B94C9" w14:textId="77777777" w:rsidR="001A75B8" w:rsidRPr="0084041C" w:rsidRDefault="001A75B8" w:rsidP="00AA3A3F">
            <w:pPr>
              <w:jc w:val="both"/>
              <w:rPr>
                <w:rFonts w:ascii="Cambria" w:hAnsi="Cambria"/>
                <w:sz w:val="20"/>
                <w:szCs w:val="20"/>
                <w:lang w:val="es-ES"/>
              </w:rPr>
            </w:pPr>
            <w:r w:rsidRPr="0084041C">
              <w:rPr>
                <w:rFonts w:ascii="Cambria" w:hAnsi="Cambria"/>
                <w:b/>
                <w:sz w:val="20"/>
                <w:szCs w:val="20"/>
                <w:lang w:val="es-ES"/>
              </w:rPr>
              <w:t xml:space="preserve">Estado: </w:t>
            </w:r>
            <w:r w:rsidRPr="0084041C">
              <w:rPr>
                <w:rFonts w:ascii="Cambria" w:hAnsi="Cambria"/>
                <w:sz w:val="20"/>
                <w:szCs w:val="20"/>
                <w:lang w:val="es-ES"/>
              </w:rPr>
              <w:t>Estados Unidos</w:t>
            </w:r>
          </w:p>
          <w:p w14:paraId="5E37E89D" w14:textId="77777777" w:rsidR="001A75B8" w:rsidRPr="0084041C" w:rsidRDefault="001A75B8" w:rsidP="00AA3A3F">
            <w:pPr>
              <w:jc w:val="both"/>
              <w:rPr>
                <w:rFonts w:ascii="Cambria" w:hAnsi="Cambria"/>
                <w:sz w:val="20"/>
                <w:szCs w:val="20"/>
                <w:lang w:val="es-ES"/>
              </w:rPr>
            </w:pPr>
            <w:r w:rsidRPr="0084041C">
              <w:rPr>
                <w:rFonts w:ascii="Cambria" w:hAnsi="Cambria"/>
                <w:b/>
                <w:sz w:val="20"/>
                <w:szCs w:val="20"/>
                <w:lang w:val="es-ES"/>
              </w:rPr>
              <w:t xml:space="preserve">Informe de Fondo Nº: </w:t>
            </w:r>
            <w:hyperlink r:id="rId8" w:history="1">
              <w:r w:rsidRPr="0084041C">
                <w:rPr>
                  <w:rStyle w:val="Hyperlink"/>
                  <w:rFonts w:ascii="Cambria" w:hAnsi="Cambria"/>
                  <w:sz w:val="20"/>
                  <w:szCs w:val="20"/>
                  <w:lang w:val="es-ES"/>
                </w:rPr>
                <w:t>44/14</w:t>
              </w:r>
            </w:hyperlink>
            <w:r w:rsidRPr="0084041C">
              <w:rPr>
                <w:rFonts w:ascii="Cambria" w:hAnsi="Cambria"/>
                <w:sz w:val="20"/>
                <w:szCs w:val="20"/>
                <w:lang w:val="es-ES"/>
              </w:rPr>
              <w:t>, publicado el 17 de julio de 2014</w:t>
            </w:r>
          </w:p>
          <w:p w14:paraId="21E3CA25" w14:textId="77777777" w:rsidR="001A75B8" w:rsidRPr="0084041C" w:rsidRDefault="001A75B8" w:rsidP="00AA3A3F">
            <w:pPr>
              <w:jc w:val="both"/>
              <w:rPr>
                <w:rFonts w:ascii="Cambria" w:hAnsi="Cambria"/>
                <w:sz w:val="20"/>
                <w:szCs w:val="20"/>
                <w:lang w:val="es-ES"/>
              </w:rPr>
            </w:pPr>
            <w:r w:rsidRPr="0084041C">
              <w:rPr>
                <w:rFonts w:ascii="Cambria" w:hAnsi="Cambria"/>
                <w:b/>
                <w:sz w:val="20"/>
                <w:szCs w:val="20"/>
                <w:lang w:val="es-ES"/>
              </w:rPr>
              <w:t xml:space="preserve">Informe de Admisibilidad Nº: </w:t>
            </w:r>
            <w:hyperlink r:id="rId9" w:history="1">
              <w:r w:rsidRPr="0084041C">
                <w:rPr>
                  <w:rStyle w:val="Hyperlink"/>
                  <w:rFonts w:ascii="Cambria" w:hAnsi="Cambria"/>
                  <w:sz w:val="20"/>
                  <w:szCs w:val="20"/>
                  <w:lang w:val="es-ES"/>
                </w:rPr>
                <w:t>73/12</w:t>
              </w:r>
            </w:hyperlink>
            <w:r w:rsidRPr="0084041C">
              <w:rPr>
                <w:rFonts w:ascii="Cambria" w:hAnsi="Cambria"/>
                <w:sz w:val="20"/>
                <w:szCs w:val="20"/>
                <w:lang w:val="es-ES"/>
              </w:rPr>
              <w:t>, publicado el 17 de julio de 2012</w:t>
            </w:r>
          </w:p>
          <w:p w14:paraId="3ACEB1A0" w14:textId="77777777" w:rsidR="001A75B8" w:rsidRPr="0084041C" w:rsidRDefault="001A75B8" w:rsidP="00AA3A3F">
            <w:pPr>
              <w:jc w:val="both"/>
              <w:rPr>
                <w:rFonts w:ascii="Cambria" w:hAnsi="Cambria"/>
                <w:b/>
                <w:sz w:val="20"/>
                <w:szCs w:val="20"/>
                <w:lang w:val="es-ES"/>
              </w:rPr>
            </w:pPr>
            <w:r w:rsidRPr="0084041C">
              <w:rPr>
                <w:rFonts w:ascii="Cambria" w:hAnsi="Cambria"/>
                <w:b/>
                <w:sz w:val="20"/>
                <w:szCs w:val="20"/>
                <w:lang w:val="es-ES"/>
              </w:rPr>
              <w:t xml:space="preserve">Medidas cautelares: </w:t>
            </w:r>
            <w:hyperlink r:id="rId10" w:anchor="tab2012" w:history="1">
              <w:r w:rsidRPr="0084041C">
                <w:rPr>
                  <w:rStyle w:val="Hyperlink"/>
                  <w:rFonts w:ascii="Cambria" w:hAnsi="Cambria"/>
                  <w:sz w:val="20"/>
                  <w:szCs w:val="20"/>
                  <w:lang w:val="es-ES"/>
                </w:rPr>
                <w:t>7/12</w:t>
              </w:r>
            </w:hyperlink>
            <w:r w:rsidRPr="0084041C">
              <w:rPr>
                <w:rFonts w:ascii="Cambria" w:hAnsi="Cambria"/>
                <w:sz w:val="20"/>
                <w:szCs w:val="20"/>
                <w:lang w:val="es-ES"/>
              </w:rPr>
              <w:t>, otorgadas el 18 de enero de 2012</w:t>
            </w:r>
          </w:p>
          <w:p w14:paraId="26812C35" w14:textId="77777777" w:rsidR="001A75B8" w:rsidRPr="0084041C" w:rsidRDefault="001A75B8" w:rsidP="00AA3A3F">
            <w:pPr>
              <w:spacing w:after="120"/>
              <w:jc w:val="both"/>
              <w:rPr>
                <w:rFonts w:ascii="Cambria" w:hAnsi="Cambria"/>
                <w:b/>
                <w:sz w:val="20"/>
                <w:szCs w:val="20"/>
                <w:lang w:val="es-ES"/>
              </w:rPr>
            </w:pPr>
            <w:r w:rsidRPr="0084041C">
              <w:rPr>
                <w:rFonts w:ascii="Cambria" w:hAnsi="Cambria"/>
                <w:b/>
                <w:sz w:val="20"/>
                <w:szCs w:val="20"/>
                <w:lang w:val="es-ES"/>
              </w:rPr>
              <w:t xml:space="preserve">Temas: </w:t>
            </w:r>
            <w:r w:rsidRPr="0084041C">
              <w:rPr>
                <w:rFonts w:ascii="Cambria" w:hAnsi="Cambria"/>
                <w:sz w:val="20"/>
                <w:szCs w:val="20"/>
                <w:lang w:val="es-ES"/>
              </w:rPr>
              <w:t>Pena de Muerte / Derecho a la Vida / Derecho a la Libertad Personal / Garantías Judiciales / Protección Judicial / Deber de Adoptar Medidas y Disposiciones de Derecho Interno / Notificación Consular o Información de Asistencia Consular / Condiciones de Detención / Derecho a la Integridad Personal / Tortura y otros Tratos Crueles, Inhumanos y/o Degradantes.</w:t>
            </w:r>
          </w:p>
          <w:p w14:paraId="4489A201" w14:textId="77777777" w:rsidR="001A75B8" w:rsidRPr="0084041C" w:rsidRDefault="001A75B8" w:rsidP="00AA3A3F">
            <w:pPr>
              <w:pStyle w:val="Default"/>
              <w:spacing w:after="120"/>
              <w:jc w:val="both"/>
              <w:rPr>
                <w:color w:val="auto"/>
                <w:sz w:val="20"/>
                <w:szCs w:val="20"/>
                <w:lang w:val="es-ES"/>
              </w:rPr>
            </w:pPr>
            <w:r w:rsidRPr="0084041C">
              <w:rPr>
                <w:b/>
                <w:color w:val="auto"/>
                <w:sz w:val="20"/>
                <w:szCs w:val="20"/>
                <w:lang w:val="es-ES"/>
              </w:rPr>
              <w:t xml:space="preserve">Hechos: </w:t>
            </w:r>
            <w:r w:rsidRPr="0084041C">
              <w:rPr>
                <w:color w:val="auto"/>
                <w:sz w:val="20"/>
                <w:szCs w:val="20"/>
                <w:lang w:val="es-ES"/>
              </w:rPr>
              <w:t xml:space="preserve">Este caso se refiere a las violaciones al debido proceso legal de las que fue víctima Edgar Tamayo Arias, ciudadano mexicano que fue condenado a muerte en el estado de Texas el 27 de octubre de 1994. Dichas violaciones consistieron en que no se informó al señor Tamayo Arias sobre el derecho a la notificación y acceso consulares, lo cual constituye una violación del artículo 36 de la Convención de Viena sobre Relaciones Consulares; en que el abogado designado de oficio fue ineficaz; en que se le negó al señor Tamayo Arias la oportunidad de presentar pruebas relativas a su discapacidad mental e intelectual; en que la inyección letal que se usa actualmente en Texas plantea un riesgo inaceptable de ocasionar un dolor y sufrimiento atroz, y en que el señor Tamayo Arias estuvo detenido en condiciones inhumanas. Edgar Tamayo Arias fue ejecutado el 22 de enero de 2014 en Texas. </w:t>
            </w:r>
          </w:p>
          <w:p w14:paraId="6F18D568" w14:textId="77777777" w:rsidR="001A75B8" w:rsidRPr="0084041C" w:rsidRDefault="001A75B8" w:rsidP="00AA3A3F">
            <w:pPr>
              <w:pStyle w:val="Default"/>
              <w:spacing w:after="120"/>
              <w:jc w:val="both"/>
              <w:rPr>
                <w:color w:val="auto"/>
                <w:lang w:val="es-ES"/>
              </w:rPr>
            </w:pPr>
            <w:r w:rsidRPr="0084041C">
              <w:rPr>
                <w:b/>
                <w:color w:val="auto"/>
                <w:sz w:val="20"/>
                <w:szCs w:val="20"/>
                <w:lang w:val="es-ES"/>
              </w:rPr>
              <w:t xml:space="preserve">Derechos violados: </w:t>
            </w:r>
            <w:r w:rsidRPr="0084041C">
              <w:rPr>
                <w:color w:val="auto"/>
                <w:sz w:val="20"/>
                <w:szCs w:val="20"/>
                <w:lang w:val="es-ES"/>
              </w:rPr>
              <w:t>La Comisión concluyó que los Estados Unidos fueron responsables de la violación del derecho a la vida, la libertad y la seguridad personales (artículo I), derecho a las garantías judiciales (artículo XVIII), el derecho de protección contra la detención arbitraria (Art. XXV) y el derecho al debido proceso legal (artículo XXVI) garantizados en la Declaración Americana, en relación con Edgar Tamayo Arias.</w:t>
            </w:r>
          </w:p>
        </w:tc>
      </w:tr>
    </w:tbl>
    <w:p w14:paraId="28A1CADA" w14:textId="77777777" w:rsidR="001A75B8" w:rsidRPr="0084041C" w:rsidRDefault="001A75B8" w:rsidP="001A75B8">
      <w:pPr>
        <w:ind w:left="180"/>
        <w:jc w:val="both"/>
        <w:rPr>
          <w:rFonts w:ascii="Cambria" w:hAnsi="Cambria"/>
          <w:sz w:val="20"/>
          <w:szCs w:val="20"/>
          <w:lang w:val="es-ES"/>
        </w:rPr>
      </w:pPr>
    </w:p>
    <w:p w14:paraId="61EFD161" w14:textId="77777777" w:rsidR="001A75B8" w:rsidRPr="0084041C" w:rsidRDefault="001A75B8" w:rsidP="001A75B8">
      <w:pPr>
        <w:numPr>
          <w:ilvl w:val="0"/>
          <w:numId w:val="8"/>
        </w:numPr>
        <w:ind w:left="1440"/>
        <w:jc w:val="both"/>
        <w:rPr>
          <w:rFonts w:ascii="Cambria" w:hAnsi="Cambria" w:cs="Calibri Light"/>
          <w:b/>
          <w:sz w:val="20"/>
          <w:szCs w:val="20"/>
          <w:lang w:val="es-ES"/>
        </w:rPr>
      </w:pPr>
      <w:r w:rsidRPr="0084041C">
        <w:rPr>
          <w:rFonts w:ascii="Cambria" w:hAnsi="Cambria" w:cs="Calibri Light"/>
          <w:b/>
          <w:sz w:val="20"/>
          <w:szCs w:val="20"/>
          <w:lang w:val="es-ES"/>
        </w:rPr>
        <w:t>Recomendaciones</w:t>
      </w:r>
    </w:p>
    <w:p w14:paraId="48405B51" w14:textId="77777777" w:rsidR="001A75B8" w:rsidRPr="0084041C" w:rsidRDefault="001A75B8" w:rsidP="001A75B8">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2226"/>
      </w:tblGrid>
      <w:tr w:rsidR="001A75B8" w:rsidRPr="0084041C" w14:paraId="5D316A67" w14:textId="77777777" w:rsidTr="00AA3A3F">
        <w:trPr>
          <w:trHeight w:val="170"/>
        </w:trPr>
        <w:tc>
          <w:tcPr>
            <w:tcW w:w="7290" w:type="dxa"/>
            <w:shd w:val="clear" w:color="auto" w:fill="auto"/>
            <w:vAlign w:val="center"/>
          </w:tcPr>
          <w:p w14:paraId="67FC0D89" w14:textId="77777777" w:rsidR="001A75B8" w:rsidRPr="0084041C" w:rsidRDefault="001A75B8" w:rsidP="00AA3A3F">
            <w:pPr>
              <w:jc w:val="center"/>
              <w:rPr>
                <w:rFonts w:ascii="Cambria" w:hAnsi="Cambria" w:cs="Calibri Light"/>
                <w:b/>
                <w:sz w:val="18"/>
                <w:szCs w:val="18"/>
                <w:lang w:val="es-ES"/>
              </w:rPr>
            </w:pPr>
            <w:r w:rsidRPr="0084041C">
              <w:rPr>
                <w:rFonts w:ascii="Cambria" w:hAnsi="Cambria" w:cs="Calibri Light"/>
                <w:b/>
                <w:sz w:val="18"/>
                <w:szCs w:val="18"/>
                <w:lang w:val="es-ES"/>
              </w:rPr>
              <w:t>Recomendaciones</w:t>
            </w:r>
          </w:p>
        </w:tc>
        <w:tc>
          <w:tcPr>
            <w:tcW w:w="2250" w:type="dxa"/>
            <w:shd w:val="clear" w:color="auto" w:fill="auto"/>
            <w:vAlign w:val="center"/>
          </w:tcPr>
          <w:p w14:paraId="4BA03C2D" w14:textId="2BF10AEE" w:rsidR="001A75B8" w:rsidRPr="0084041C" w:rsidRDefault="001A75B8" w:rsidP="00AA3A3F">
            <w:pPr>
              <w:jc w:val="center"/>
              <w:rPr>
                <w:rFonts w:ascii="Cambria" w:hAnsi="Cambria" w:cs="Calibri Light"/>
                <w:b/>
                <w:color w:val="000000" w:themeColor="text1"/>
                <w:sz w:val="18"/>
                <w:szCs w:val="18"/>
                <w:lang w:val="es-ES"/>
              </w:rPr>
            </w:pPr>
            <w:r w:rsidRPr="0084041C">
              <w:rPr>
                <w:rFonts w:ascii="Cambria" w:hAnsi="Cambria" w:cs="Calibri Light"/>
                <w:b/>
                <w:color w:val="000000" w:themeColor="text1"/>
                <w:sz w:val="18"/>
                <w:szCs w:val="18"/>
                <w:lang w:val="es-ES"/>
              </w:rPr>
              <w:t>Estado de cumplimiento en el 20</w:t>
            </w:r>
            <w:r w:rsidR="00753D7F" w:rsidRPr="0084041C">
              <w:rPr>
                <w:rFonts w:ascii="Cambria" w:hAnsi="Cambria" w:cs="Calibri Light"/>
                <w:b/>
                <w:color w:val="000000" w:themeColor="text1"/>
                <w:sz w:val="18"/>
                <w:szCs w:val="18"/>
                <w:lang w:val="es-ES"/>
              </w:rPr>
              <w:t>20</w:t>
            </w:r>
          </w:p>
        </w:tc>
      </w:tr>
      <w:tr w:rsidR="001A75B8" w:rsidRPr="0084041C" w14:paraId="23B7B15F" w14:textId="77777777" w:rsidTr="00AA3A3F">
        <w:tc>
          <w:tcPr>
            <w:tcW w:w="7290" w:type="dxa"/>
            <w:shd w:val="clear" w:color="auto" w:fill="auto"/>
          </w:tcPr>
          <w:p w14:paraId="4BCBEC60" w14:textId="77777777" w:rsidR="001A75B8" w:rsidRPr="0084041C" w:rsidRDefault="001A75B8" w:rsidP="001A75B8">
            <w:pPr>
              <w:pStyle w:val="ListParagraph"/>
              <w:numPr>
                <w:ilvl w:val="0"/>
                <w:numId w:val="13"/>
              </w:numPr>
              <w:tabs>
                <w:tab w:val="left" w:pos="165"/>
              </w:tabs>
              <w:ind w:left="0" w:firstLine="0"/>
              <w:jc w:val="both"/>
              <w:rPr>
                <w:rFonts w:ascii="Cambria" w:hAnsi="Cambria"/>
                <w:sz w:val="18"/>
                <w:szCs w:val="18"/>
                <w:bdr w:val="none" w:sz="0" w:space="0" w:color="auto" w:frame="1"/>
                <w:lang w:val="es-ES"/>
              </w:rPr>
            </w:pPr>
            <w:r w:rsidRPr="0084041C">
              <w:rPr>
                <w:rFonts w:ascii="Cambria" w:hAnsi="Cambria"/>
                <w:sz w:val="18"/>
                <w:szCs w:val="18"/>
                <w:lang w:val="es-ES"/>
              </w:rPr>
              <w:t>Brinde a Edgar Tamayo Arias una respuesta a nivel judicial que incluya la revisión de su juicio y condena de conformidad con las garantías del debido proceso y un juicio justo consagrado en los artículos I, XVIII y XXVI de la Declaración Americana</w:t>
            </w:r>
            <w:r w:rsidRPr="0084041C">
              <w:rPr>
                <w:rFonts w:ascii="Cambria" w:hAnsi="Cambria"/>
                <w:sz w:val="18"/>
                <w:szCs w:val="18"/>
                <w:bdr w:val="none" w:sz="0" w:space="0" w:color="auto" w:frame="1"/>
                <w:lang w:val="es-ES"/>
              </w:rPr>
              <w:t>.</w:t>
            </w:r>
          </w:p>
        </w:tc>
        <w:tc>
          <w:tcPr>
            <w:tcW w:w="2250" w:type="dxa"/>
            <w:shd w:val="clear" w:color="auto" w:fill="auto"/>
            <w:vAlign w:val="center"/>
          </w:tcPr>
          <w:p w14:paraId="6937FB7C" w14:textId="77777777" w:rsidR="001A75B8" w:rsidRPr="0084041C" w:rsidRDefault="001A75B8" w:rsidP="00AA3A3F">
            <w:pPr>
              <w:jc w:val="center"/>
              <w:rPr>
                <w:rFonts w:ascii="Cambria" w:hAnsi="Cambria"/>
                <w:color w:val="000000" w:themeColor="text1"/>
                <w:sz w:val="18"/>
                <w:szCs w:val="18"/>
                <w:lang w:val="es-ES"/>
              </w:rPr>
            </w:pPr>
            <w:r w:rsidRPr="0084041C">
              <w:rPr>
                <w:rFonts w:ascii="Cambria" w:hAnsi="Cambria"/>
                <w:color w:val="000000" w:themeColor="text1"/>
                <w:sz w:val="18"/>
                <w:szCs w:val="18"/>
                <w:lang w:val="es-ES"/>
              </w:rPr>
              <w:t>Incumplimiento</w:t>
            </w:r>
            <w:r w:rsidRPr="0084041C">
              <w:rPr>
                <w:rStyle w:val="FootnoteReference"/>
                <w:rFonts w:ascii="Cambria" w:hAnsi="Cambria"/>
                <w:color w:val="000000" w:themeColor="text1"/>
                <w:sz w:val="18"/>
                <w:szCs w:val="18"/>
                <w:lang w:val="es-ES"/>
              </w:rPr>
              <w:footnoteReference w:id="1"/>
            </w:r>
            <w:r w:rsidRPr="0084041C">
              <w:rPr>
                <w:rFonts w:ascii="Cambria" w:hAnsi="Cambria"/>
                <w:color w:val="000000" w:themeColor="text1"/>
                <w:sz w:val="18"/>
                <w:szCs w:val="18"/>
                <w:lang w:val="es-ES"/>
              </w:rPr>
              <w:t xml:space="preserve"> </w:t>
            </w:r>
          </w:p>
        </w:tc>
      </w:tr>
      <w:tr w:rsidR="001A75B8" w:rsidRPr="0084041C" w14:paraId="1BB71DC1" w14:textId="77777777" w:rsidTr="00AA3A3F">
        <w:tc>
          <w:tcPr>
            <w:tcW w:w="7290" w:type="dxa"/>
            <w:shd w:val="clear" w:color="auto" w:fill="auto"/>
          </w:tcPr>
          <w:p w14:paraId="591C3D83" w14:textId="77777777" w:rsidR="001A75B8" w:rsidRPr="0084041C" w:rsidRDefault="001A75B8" w:rsidP="001A75B8">
            <w:pPr>
              <w:pStyle w:val="ListParagraph"/>
              <w:numPr>
                <w:ilvl w:val="0"/>
                <w:numId w:val="13"/>
              </w:numPr>
              <w:tabs>
                <w:tab w:val="left" w:pos="165"/>
              </w:tabs>
              <w:ind w:left="0" w:firstLine="0"/>
              <w:jc w:val="both"/>
              <w:rPr>
                <w:rFonts w:ascii="Cambria" w:hAnsi="Cambria"/>
                <w:sz w:val="18"/>
                <w:szCs w:val="18"/>
                <w:bdr w:val="none" w:sz="0" w:space="0" w:color="auto" w:frame="1"/>
                <w:lang w:val="es-ES"/>
              </w:rPr>
            </w:pPr>
            <w:r w:rsidRPr="0084041C">
              <w:rPr>
                <w:rFonts w:ascii="Cambria" w:hAnsi="Cambria"/>
                <w:sz w:val="18"/>
                <w:szCs w:val="18"/>
                <w:lang w:val="es-ES"/>
              </w:rPr>
              <w:t>Otorgue reparaciones a la familia de Edgar Tamayo Arias como consecuencia de las violaciones establecidas en este informe</w:t>
            </w:r>
            <w:r w:rsidRPr="0084041C">
              <w:rPr>
                <w:rFonts w:ascii="Cambria" w:hAnsi="Cambria"/>
                <w:sz w:val="18"/>
                <w:szCs w:val="18"/>
                <w:bdr w:val="none" w:sz="0" w:space="0" w:color="auto" w:frame="1"/>
                <w:lang w:val="es-ES"/>
              </w:rPr>
              <w:t>.</w:t>
            </w:r>
          </w:p>
        </w:tc>
        <w:tc>
          <w:tcPr>
            <w:tcW w:w="2250" w:type="dxa"/>
            <w:shd w:val="clear" w:color="auto" w:fill="auto"/>
            <w:vAlign w:val="center"/>
          </w:tcPr>
          <w:p w14:paraId="2B70A6AE" w14:textId="77777777" w:rsidR="001A75B8" w:rsidRPr="0084041C" w:rsidRDefault="001A75B8" w:rsidP="00AA3A3F">
            <w:pPr>
              <w:jc w:val="center"/>
              <w:rPr>
                <w:rFonts w:ascii="Cambria" w:hAnsi="Cambria" w:cs="Calibri Light"/>
                <w:b/>
                <w:color w:val="000000" w:themeColor="text1"/>
                <w:sz w:val="18"/>
                <w:szCs w:val="18"/>
                <w:lang w:val="es-ES"/>
              </w:rPr>
            </w:pPr>
            <w:r w:rsidRPr="0084041C">
              <w:rPr>
                <w:rFonts w:ascii="Cambria" w:hAnsi="Cambria"/>
                <w:color w:val="000000" w:themeColor="text1"/>
                <w:sz w:val="18"/>
                <w:szCs w:val="18"/>
                <w:lang w:val="es-ES"/>
              </w:rPr>
              <w:t>Pendiente de cumplimiento</w:t>
            </w:r>
          </w:p>
        </w:tc>
      </w:tr>
      <w:tr w:rsidR="001A75B8" w:rsidRPr="0084041C" w14:paraId="450C0B93" w14:textId="77777777" w:rsidTr="00AA3A3F">
        <w:tc>
          <w:tcPr>
            <w:tcW w:w="7290" w:type="dxa"/>
            <w:shd w:val="clear" w:color="auto" w:fill="auto"/>
          </w:tcPr>
          <w:p w14:paraId="5AFD45F6" w14:textId="77777777" w:rsidR="001A75B8" w:rsidRPr="0084041C" w:rsidRDefault="001A75B8" w:rsidP="001A75B8">
            <w:pPr>
              <w:pStyle w:val="ListParagraph"/>
              <w:numPr>
                <w:ilvl w:val="0"/>
                <w:numId w:val="13"/>
              </w:numPr>
              <w:tabs>
                <w:tab w:val="left" w:pos="165"/>
              </w:tabs>
              <w:ind w:left="0" w:firstLine="0"/>
              <w:jc w:val="both"/>
              <w:rPr>
                <w:rFonts w:ascii="Cambria" w:hAnsi="Cambria"/>
                <w:sz w:val="18"/>
                <w:szCs w:val="18"/>
                <w:bdr w:val="none" w:sz="0" w:space="0" w:color="auto" w:frame="1"/>
                <w:lang w:val="es-ES"/>
              </w:rPr>
            </w:pPr>
            <w:r w:rsidRPr="0084041C">
              <w:rPr>
                <w:rFonts w:ascii="Cambria" w:hAnsi="Cambria"/>
                <w:sz w:val="18"/>
                <w:szCs w:val="18"/>
                <w:lang w:val="es-ES"/>
              </w:rPr>
              <w:t>Revise sus leyes, procedimientos y prácticas a fin de asegurar que las personas acusadas de crímenes capitales sean juzgadas y --en caso de ser encontradas culpables-- condenado de conformidad con los derechos establecidos en la Declaración Americana , incluidos los artículos I, XVIII, XXV y XXVI</w:t>
            </w:r>
            <w:r w:rsidRPr="0084041C">
              <w:rPr>
                <w:rFonts w:ascii="Cambria" w:hAnsi="Cambria"/>
                <w:sz w:val="18"/>
                <w:szCs w:val="18"/>
                <w:bdr w:val="none" w:sz="0" w:space="0" w:color="auto" w:frame="1"/>
                <w:lang w:val="es-ES"/>
              </w:rPr>
              <w:t>.</w:t>
            </w:r>
          </w:p>
        </w:tc>
        <w:tc>
          <w:tcPr>
            <w:tcW w:w="2250" w:type="dxa"/>
            <w:shd w:val="clear" w:color="auto" w:fill="auto"/>
            <w:vAlign w:val="center"/>
          </w:tcPr>
          <w:p w14:paraId="4171C7D5" w14:textId="77777777" w:rsidR="001A75B8" w:rsidRPr="0084041C" w:rsidRDefault="001A75B8" w:rsidP="00AA3A3F">
            <w:pPr>
              <w:jc w:val="center"/>
              <w:rPr>
                <w:rFonts w:ascii="Cambria" w:hAnsi="Cambria" w:cs="Calibri Light"/>
                <w:b/>
                <w:color w:val="000000" w:themeColor="text1"/>
                <w:sz w:val="18"/>
                <w:szCs w:val="18"/>
                <w:lang w:val="es-ES"/>
              </w:rPr>
            </w:pPr>
            <w:r w:rsidRPr="0084041C">
              <w:rPr>
                <w:rFonts w:ascii="Cambria" w:hAnsi="Cambria"/>
                <w:color w:val="000000" w:themeColor="text1"/>
                <w:sz w:val="18"/>
                <w:szCs w:val="18"/>
                <w:lang w:val="es-ES"/>
              </w:rPr>
              <w:t>Pendiente de cumplimiento</w:t>
            </w:r>
          </w:p>
        </w:tc>
      </w:tr>
      <w:tr w:rsidR="001A75B8" w:rsidRPr="0084041C" w14:paraId="4DC1E032" w14:textId="77777777" w:rsidTr="00AA3A3F">
        <w:tc>
          <w:tcPr>
            <w:tcW w:w="7290" w:type="dxa"/>
            <w:shd w:val="clear" w:color="auto" w:fill="auto"/>
          </w:tcPr>
          <w:p w14:paraId="7A24CE08" w14:textId="77777777" w:rsidR="001A75B8" w:rsidRPr="0084041C" w:rsidRDefault="001A75B8" w:rsidP="001A75B8">
            <w:pPr>
              <w:pStyle w:val="ListParagraph"/>
              <w:numPr>
                <w:ilvl w:val="0"/>
                <w:numId w:val="13"/>
              </w:numPr>
              <w:tabs>
                <w:tab w:val="left" w:pos="165"/>
              </w:tabs>
              <w:ind w:left="0" w:firstLine="0"/>
              <w:jc w:val="both"/>
              <w:rPr>
                <w:rFonts w:ascii="Cambria" w:hAnsi="Cambria"/>
                <w:sz w:val="18"/>
                <w:szCs w:val="18"/>
                <w:bdr w:val="none" w:sz="0" w:space="0" w:color="auto" w:frame="1"/>
                <w:lang w:val="es-ES"/>
              </w:rPr>
            </w:pPr>
            <w:r w:rsidRPr="0084041C">
              <w:rPr>
                <w:rFonts w:ascii="Cambria" w:hAnsi="Cambria"/>
                <w:sz w:val="18"/>
                <w:szCs w:val="18"/>
                <w:lang w:val="es-ES"/>
              </w:rPr>
              <w:t>Asegure que todo ciudadano extranjero privado de su libertad sea informado sin demora y antes de su primera declaración, de su derecho a la asistencia consular, y se solicite que las autoridades diplomáticas sean notificados inmediatamente de su arresto o detención</w:t>
            </w:r>
            <w:r w:rsidRPr="0084041C">
              <w:rPr>
                <w:rFonts w:ascii="Cambria" w:hAnsi="Cambria" w:cs="Arial"/>
                <w:sz w:val="18"/>
                <w:szCs w:val="18"/>
                <w:bdr w:val="none" w:sz="0" w:space="0" w:color="auto" w:frame="1"/>
                <w:lang w:val="es-ES"/>
              </w:rPr>
              <w:t>.</w:t>
            </w:r>
          </w:p>
        </w:tc>
        <w:tc>
          <w:tcPr>
            <w:tcW w:w="2250" w:type="dxa"/>
            <w:shd w:val="clear" w:color="auto" w:fill="auto"/>
            <w:vAlign w:val="center"/>
          </w:tcPr>
          <w:p w14:paraId="7100FB9E" w14:textId="77777777" w:rsidR="001A75B8" w:rsidRPr="0084041C" w:rsidRDefault="001A75B8" w:rsidP="00AA3A3F">
            <w:pPr>
              <w:jc w:val="center"/>
              <w:rPr>
                <w:rFonts w:ascii="Cambria" w:hAnsi="Cambria" w:cs="Calibri Light"/>
                <w:b/>
                <w:sz w:val="18"/>
                <w:szCs w:val="18"/>
                <w:lang w:val="es-ES"/>
              </w:rPr>
            </w:pPr>
            <w:r w:rsidRPr="0084041C">
              <w:rPr>
                <w:rFonts w:ascii="Cambria" w:hAnsi="Cambria"/>
                <w:sz w:val="18"/>
                <w:szCs w:val="18"/>
                <w:lang w:val="es-ES"/>
              </w:rPr>
              <w:t>Cumplimiento parcial</w:t>
            </w:r>
          </w:p>
        </w:tc>
      </w:tr>
      <w:tr w:rsidR="001A75B8" w:rsidRPr="0084041C" w14:paraId="66D24E3B" w14:textId="77777777" w:rsidTr="00AA3A3F">
        <w:tc>
          <w:tcPr>
            <w:tcW w:w="7290" w:type="dxa"/>
            <w:shd w:val="clear" w:color="auto" w:fill="auto"/>
          </w:tcPr>
          <w:p w14:paraId="21C2CB7D" w14:textId="77777777" w:rsidR="001A75B8" w:rsidRPr="0084041C" w:rsidRDefault="001A75B8" w:rsidP="001A75B8">
            <w:pPr>
              <w:pStyle w:val="ListParagraph"/>
              <w:numPr>
                <w:ilvl w:val="0"/>
                <w:numId w:val="13"/>
              </w:numPr>
              <w:tabs>
                <w:tab w:val="left" w:pos="165"/>
              </w:tabs>
              <w:ind w:left="0" w:firstLine="0"/>
              <w:jc w:val="both"/>
              <w:rPr>
                <w:rFonts w:ascii="Cambria" w:hAnsi="Cambria"/>
                <w:sz w:val="18"/>
                <w:szCs w:val="18"/>
                <w:bdr w:val="none" w:sz="0" w:space="0" w:color="auto" w:frame="1"/>
                <w:lang w:val="es-ES"/>
              </w:rPr>
            </w:pPr>
            <w:r w:rsidRPr="0084041C">
              <w:rPr>
                <w:rFonts w:ascii="Cambria" w:hAnsi="Cambria"/>
                <w:sz w:val="18"/>
                <w:szCs w:val="18"/>
                <w:lang w:val="es-ES"/>
              </w:rPr>
              <w:lastRenderedPageBreak/>
              <w:t>Impulse la adopción urgente de la "Ley de Cumplimiento de la Notificación Consular" ("CNCA"), que ha estado pendiente en el Congreso de los Estados Unidos desde 2011</w:t>
            </w:r>
            <w:r w:rsidRPr="0084041C">
              <w:rPr>
                <w:rFonts w:ascii="Cambria" w:hAnsi="Cambria" w:cs="Calibri"/>
                <w:sz w:val="18"/>
                <w:szCs w:val="18"/>
                <w:bdr w:val="none" w:sz="0" w:space="0" w:color="auto" w:frame="1"/>
                <w:lang w:val="es-ES"/>
              </w:rPr>
              <w:t>.</w:t>
            </w:r>
          </w:p>
        </w:tc>
        <w:tc>
          <w:tcPr>
            <w:tcW w:w="2250" w:type="dxa"/>
            <w:shd w:val="clear" w:color="auto" w:fill="auto"/>
            <w:vAlign w:val="center"/>
          </w:tcPr>
          <w:p w14:paraId="49052E69" w14:textId="77777777" w:rsidR="001A75B8" w:rsidRPr="0084041C" w:rsidRDefault="001A75B8" w:rsidP="00AA3A3F">
            <w:pPr>
              <w:jc w:val="center"/>
              <w:rPr>
                <w:rFonts w:ascii="Cambria" w:hAnsi="Cambria" w:cs="Calibri Light"/>
                <w:b/>
                <w:sz w:val="18"/>
                <w:szCs w:val="18"/>
                <w:lang w:val="es-ES"/>
              </w:rPr>
            </w:pPr>
            <w:r w:rsidRPr="0084041C">
              <w:rPr>
                <w:rFonts w:ascii="Cambria" w:hAnsi="Cambria"/>
                <w:sz w:val="18"/>
                <w:szCs w:val="18"/>
                <w:lang w:val="es-ES"/>
              </w:rPr>
              <w:t>Cumplimiento parcial</w:t>
            </w:r>
          </w:p>
        </w:tc>
      </w:tr>
      <w:tr w:rsidR="001A75B8" w:rsidRPr="0084041C" w14:paraId="774AFD9A" w14:textId="77777777" w:rsidTr="00AA3A3F">
        <w:tc>
          <w:tcPr>
            <w:tcW w:w="7290" w:type="dxa"/>
            <w:shd w:val="clear" w:color="auto" w:fill="auto"/>
          </w:tcPr>
          <w:p w14:paraId="2D101057" w14:textId="77777777" w:rsidR="001A75B8" w:rsidRPr="0084041C" w:rsidRDefault="001A75B8" w:rsidP="001A75B8">
            <w:pPr>
              <w:pStyle w:val="ListParagraph"/>
              <w:numPr>
                <w:ilvl w:val="0"/>
                <w:numId w:val="13"/>
              </w:numPr>
              <w:tabs>
                <w:tab w:val="left" w:pos="165"/>
              </w:tabs>
              <w:ind w:left="0" w:firstLine="0"/>
              <w:jc w:val="both"/>
              <w:rPr>
                <w:rFonts w:ascii="Cambria" w:hAnsi="Cambria"/>
                <w:sz w:val="18"/>
                <w:szCs w:val="18"/>
                <w:bdr w:val="none" w:sz="0" w:space="0" w:color="auto" w:frame="1"/>
                <w:lang w:val="es-ES"/>
              </w:rPr>
            </w:pPr>
            <w:r w:rsidRPr="0084041C">
              <w:rPr>
                <w:rFonts w:ascii="Cambria" w:hAnsi="Cambria"/>
                <w:sz w:val="18"/>
                <w:szCs w:val="18"/>
                <w:lang w:val="es-ES"/>
              </w:rPr>
              <w:t>Asegure que el asesoramiento legal proporcionado por el Estado en los casos de pena de muerte sea eficaz, debidamente capacitado para los casos de pena de muerte, y con capacidad de investigar a fondo y con diligencia todos los factores atenuantes</w:t>
            </w:r>
            <w:r w:rsidRPr="0084041C">
              <w:rPr>
                <w:rFonts w:ascii="Cambria" w:hAnsi="Cambria" w:cs="Calibri"/>
                <w:sz w:val="18"/>
                <w:szCs w:val="18"/>
                <w:bdr w:val="none" w:sz="0" w:space="0" w:color="auto" w:frame="1"/>
                <w:lang w:val="es-ES"/>
              </w:rPr>
              <w:t>.</w:t>
            </w:r>
          </w:p>
        </w:tc>
        <w:tc>
          <w:tcPr>
            <w:tcW w:w="2250" w:type="dxa"/>
            <w:shd w:val="clear" w:color="auto" w:fill="auto"/>
            <w:vAlign w:val="center"/>
          </w:tcPr>
          <w:p w14:paraId="5C4FAA74" w14:textId="77777777" w:rsidR="001A75B8" w:rsidRPr="0084041C" w:rsidRDefault="001A75B8" w:rsidP="00AA3A3F">
            <w:pPr>
              <w:jc w:val="center"/>
              <w:rPr>
                <w:rFonts w:ascii="Cambria" w:hAnsi="Cambria" w:cs="Calibri Light"/>
                <w:b/>
                <w:sz w:val="18"/>
                <w:szCs w:val="18"/>
                <w:lang w:val="es-ES"/>
              </w:rPr>
            </w:pPr>
            <w:r w:rsidRPr="0084041C">
              <w:rPr>
                <w:rFonts w:ascii="Cambria" w:hAnsi="Cambria"/>
                <w:sz w:val="18"/>
                <w:szCs w:val="18"/>
                <w:lang w:val="es-ES"/>
              </w:rPr>
              <w:t>Pendiente de cumplimiento</w:t>
            </w:r>
          </w:p>
        </w:tc>
      </w:tr>
      <w:tr w:rsidR="001A75B8" w:rsidRPr="0084041C" w14:paraId="4A76985C" w14:textId="77777777" w:rsidTr="00AA3A3F">
        <w:tc>
          <w:tcPr>
            <w:tcW w:w="7290" w:type="dxa"/>
            <w:shd w:val="clear" w:color="auto" w:fill="auto"/>
          </w:tcPr>
          <w:p w14:paraId="12EFF881" w14:textId="77777777" w:rsidR="001A75B8" w:rsidRPr="0084041C" w:rsidRDefault="001A75B8" w:rsidP="001A75B8">
            <w:pPr>
              <w:pStyle w:val="ListParagraph"/>
              <w:numPr>
                <w:ilvl w:val="0"/>
                <w:numId w:val="13"/>
              </w:numPr>
              <w:tabs>
                <w:tab w:val="left" w:pos="165"/>
              </w:tabs>
              <w:ind w:left="0" w:firstLine="0"/>
              <w:jc w:val="both"/>
              <w:rPr>
                <w:rFonts w:ascii="Cambria" w:hAnsi="Cambria"/>
                <w:sz w:val="18"/>
                <w:szCs w:val="18"/>
                <w:bdr w:val="none" w:sz="0" w:space="0" w:color="auto" w:frame="1"/>
                <w:lang w:val="es-ES"/>
              </w:rPr>
            </w:pPr>
            <w:r w:rsidRPr="0084041C">
              <w:rPr>
                <w:rFonts w:ascii="Cambria" w:hAnsi="Cambria"/>
                <w:sz w:val="18"/>
                <w:szCs w:val="18"/>
                <w:lang w:val="es-ES"/>
              </w:rPr>
              <w:t>Revise sus leyes, procedimientos y prácticas para asegurar que ninguna persona con una discapacidad mental o intelectual en el momento de la comisión del delito o de ejecución de la pena de muerte, sea condenada a muerte o ejecutada. El Estado debe también garantizar que toda persona acusada de un delito capital que solicite una evaluación independiente de su salud mental y que no tenga los medios para contratar los servicios de un experto independiente, pueda acceder a una evaluación de este tipo</w:t>
            </w:r>
            <w:r w:rsidRPr="0084041C">
              <w:rPr>
                <w:rFonts w:ascii="Cambria" w:hAnsi="Cambria"/>
                <w:sz w:val="18"/>
                <w:szCs w:val="18"/>
                <w:bdr w:val="none" w:sz="0" w:space="0" w:color="auto" w:frame="1"/>
                <w:lang w:val="es-ES"/>
              </w:rPr>
              <w:t>.</w:t>
            </w:r>
          </w:p>
        </w:tc>
        <w:tc>
          <w:tcPr>
            <w:tcW w:w="2250" w:type="dxa"/>
            <w:shd w:val="clear" w:color="auto" w:fill="auto"/>
            <w:vAlign w:val="center"/>
          </w:tcPr>
          <w:p w14:paraId="1B1D3492" w14:textId="77777777" w:rsidR="001A75B8" w:rsidRPr="0084041C" w:rsidRDefault="001A75B8" w:rsidP="00AA3A3F">
            <w:pPr>
              <w:jc w:val="center"/>
              <w:rPr>
                <w:rFonts w:ascii="Cambria" w:hAnsi="Cambria" w:cs="Calibri Light"/>
                <w:b/>
                <w:sz w:val="18"/>
                <w:szCs w:val="18"/>
                <w:lang w:val="es-ES"/>
              </w:rPr>
            </w:pPr>
            <w:r w:rsidRPr="0084041C">
              <w:rPr>
                <w:rFonts w:ascii="Cambria" w:hAnsi="Cambria"/>
                <w:sz w:val="18"/>
                <w:szCs w:val="18"/>
                <w:lang w:val="es-ES"/>
              </w:rPr>
              <w:t>Pendiente de cumplimiento</w:t>
            </w:r>
          </w:p>
        </w:tc>
      </w:tr>
      <w:tr w:rsidR="001A75B8" w:rsidRPr="0084041C" w14:paraId="5721DC5A" w14:textId="77777777" w:rsidTr="00AA3A3F">
        <w:tc>
          <w:tcPr>
            <w:tcW w:w="7290" w:type="dxa"/>
            <w:shd w:val="clear" w:color="auto" w:fill="auto"/>
          </w:tcPr>
          <w:p w14:paraId="42BFDAA9" w14:textId="77777777" w:rsidR="001A75B8" w:rsidRPr="0084041C" w:rsidRDefault="001A75B8" w:rsidP="001A75B8">
            <w:pPr>
              <w:pStyle w:val="ListParagraph"/>
              <w:numPr>
                <w:ilvl w:val="0"/>
                <w:numId w:val="13"/>
              </w:numPr>
              <w:tabs>
                <w:tab w:val="left" w:pos="165"/>
              </w:tabs>
              <w:ind w:left="0" w:firstLine="0"/>
              <w:jc w:val="both"/>
              <w:rPr>
                <w:rFonts w:ascii="Cambria" w:hAnsi="Cambria" w:cs="Calibri Light"/>
                <w:sz w:val="18"/>
                <w:szCs w:val="18"/>
                <w:lang w:val="es-ES"/>
              </w:rPr>
            </w:pPr>
            <w:r w:rsidRPr="0084041C">
              <w:rPr>
                <w:rFonts w:ascii="Cambria" w:hAnsi="Cambria"/>
                <w:sz w:val="18"/>
                <w:szCs w:val="18"/>
                <w:lang w:val="es-ES"/>
              </w:rPr>
              <w:t>Revise sus leyes, procedimientos y prácticas para asegurar que la incomunicación no se utilice como una forma de castigo impuesta por los tribunales en el caso de las personas condenadas a muerte. Asegurar que el aislamiento esté reservado sólo para las circunstancias más excepcionales, de conformidad con las normas internacionales</w:t>
            </w:r>
            <w:r w:rsidRPr="0084041C">
              <w:rPr>
                <w:rFonts w:ascii="Cambria" w:hAnsi="Cambria"/>
                <w:sz w:val="18"/>
                <w:szCs w:val="18"/>
                <w:bdr w:val="none" w:sz="0" w:space="0" w:color="auto" w:frame="1"/>
                <w:lang w:val="es-ES"/>
              </w:rPr>
              <w:t>.</w:t>
            </w:r>
          </w:p>
        </w:tc>
        <w:tc>
          <w:tcPr>
            <w:tcW w:w="2250" w:type="dxa"/>
            <w:shd w:val="clear" w:color="auto" w:fill="auto"/>
            <w:vAlign w:val="center"/>
          </w:tcPr>
          <w:p w14:paraId="55346C0C" w14:textId="77777777" w:rsidR="001A75B8" w:rsidRPr="0084041C" w:rsidRDefault="001A75B8" w:rsidP="00AA3A3F">
            <w:pPr>
              <w:jc w:val="center"/>
              <w:rPr>
                <w:rFonts w:ascii="Cambria" w:hAnsi="Cambria" w:cs="Calibri Light"/>
                <w:b/>
                <w:sz w:val="18"/>
                <w:szCs w:val="18"/>
                <w:lang w:val="es-ES"/>
              </w:rPr>
            </w:pPr>
            <w:r w:rsidRPr="0084041C">
              <w:rPr>
                <w:rFonts w:ascii="Cambria" w:hAnsi="Cambria"/>
                <w:sz w:val="18"/>
                <w:szCs w:val="18"/>
                <w:lang w:val="es-ES"/>
              </w:rPr>
              <w:t>Pendiente de cumplimiento</w:t>
            </w:r>
          </w:p>
        </w:tc>
      </w:tr>
      <w:tr w:rsidR="001A75B8" w:rsidRPr="0084041C" w14:paraId="55570EC8" w14:textId="77777777" w:rsidTr="00AA3A3F">
        <w:tc>
          <w:tcPr>
            <w:tcW w:w="7290" w:type="dxa"/>
            <w:shd w:val="clear" w:color="auto" w:fill="auto"/>
          </w:tcPr>
          <w:p w14:paraId="490F5A49" w14:textId="77777777" w:rsidR="001A75B8" w:rsidRPr="0084041C" w:rsidRDefault="001A75B8" w:rsidP="001A75B8">
            <w:pPr>
              <w:pStyle w:val="ListParagraph"/>
              <w:numPr>
                <w:ilvl w:val="0"/>
                <w:numId w:val="13"/>
              </w:numPr>
              <w:tabs>
                <w:tab w:val="left" w:pos="165"/>
              </w:tabs>
              <w:ind w:left="0" w:firstLine="0"/>
              <w:jc w:val="both"/>
              <w:rPr>
                <w:rFonts w:ascii="Cambria" w:hAnsi="Cambria"/>
                <w:sz w:val="18"/>
                <w:szCs w:val="18"/>
                <w:bdr w:val="none" w:sz="0" w:space="0" w:color="auto" w:frame="1"/>
                <w:lang w:val="es-ES"/>
              </w:rPr>
            </w:pPr>
            <w:r w:rsidRPr="0084041C">
              <w:rPr>
                <w:rFonts w:ascii="Cambria" w:hAnsi="Cambria"/>
                <w:sz w:val="18"/>
                <w:szCs w:val="18"/>
                <w:lang w:val="es-ES"/>
              </w:rPr>
              <w:t>Asegurar que las personas condenadas a muerte tengan la oportunidad de tener contacto con sus familiares y acceso a programas y actividades</w:t>
            </w:r>
            <w:r w:rsidRPr="0084041C">
              <w:rPr>
                <w:rFonts w:ascii="Cambria" w:hAnsi="Cambria" w:cs="Calibri"/>
                <w:sz w:val="18"/>
                <w:szCs w:val="18"/>
                <w:bdr w:val="none" w:sz="0" w:space="0" w:color="auto" w:frame="1"/>
                <w:lang w:val="es-ES"/>
              </w:rPr>
              <w:t>.</w:t>
            </w:r>
          </w:p>
        </w:tc>
        <w:tc>
          <w:tcPr>
            <w:tcW w:w="2250" w:type="dxa"/>
            <w:shd w:val="clear" w:color="auto" w:fill="auto"/>
            <w:vAlign w:val="center"/>
          </w:tcPr>
          <w:p w14:paraId="6D078A71" w14:textId="77777777" w:rsidR="001A75B8" w:rsidRPr="0084041C" w:rsidRDefault="001A75B8" w:rsidP="00AA3A3F">
            <w:pPr>
              <w:jc w:val="center"/>
              <w:rPr>
                <w:rFonts w:ascii="Cambria" w:hAnsi="Cambria" w:cs="Calibri Light"/>
                <w:b/>
                <w:sz w:val="18"/>
                <w:szCs w:val="18"/>
                <w:lang w:val="es-ES"/>
              </w:rPr>
            </w:pPr>
            <w:r w:rsidRPr="0084041C">
              <w:rPr>
                <w:rFonts w:ascii="Cambria" w:hAnsi="Cambria"/>
                <w:sz w:val="18"/>
                <w:szCs w:val="18"/>
                <w:lang w:val="es-ES"/>
              </w:rPr>
              <w:t>Pendiente de cumplimiento</w:t>
            </w:r>
          </w:p>
        </w:tc>
      </w:tr>
      <w:tr w:rsidR="001A75B8" w:rsidRPr="0084041C" w14:paraId="3AA4D6F6" w14:textId="77777777" w:rsidTr="00AA3A3F">
        <w:tc>
          <w:tcPr>
            <w:tcW w:w="7290" w:type="dxa"/>
            <w:shd w:val="clear" w:color="auto" w:fill="auto"/>
          </w:tcPr>
          <w:p w14:paraId="07DEE0B5" w14:textId="77777777" w:rsidR="001A75B8" w:rsidRPr="0084041C" w:rsidRDefault="001A75B8" w:rsidP="00AA3A3F">
            <w:pPr>
              <w:tabs>
                <w:tab w:val="left" w:pos="165"/>
              </w:tabs>
              <w:jc w:val="both"/>
              <w:rPr>
                <w:rFonts w:ascii="Cambria" w:hAnsi="Cambria" w:cs="Calibri Light"/>
                <w:sz w:val="18"/>
                <w:szCs w:val="18"/>
                <w:lang w:val="es-ES"/>
              </w:rPr>
            </w:pPr>
            <w:r w:rsidRPr="0084041C">
              <w:rPr>
                <w:rFonts w:ascii="Cambria" w:hAnsi="Cambria"/>
                <w:sz w:val="18"/>
                <w:szCs w:val="18"/>
                <w:lang w:val="es-ES"/>
              </w:rPr>
              <w:t>10. Asegurar que las personas condenadas a muerte tengan acceso a información, en tiempo y forma, en relación con los procedimientos precisos que han de seguirse para su ejecución, las drogas y las dosis que se utilizarán, y la composición del equipo de ejecución, así como la capacitación de sus miembros. El Estado debe también garantizar que las personas condenadas a muerte tengan la oportunidad de cuestionar ante los tribunales todos los aspectos del procedimiento de ejecución</w:t>
            </w:r>
            <w:r w:rsidRPr="0084041C">
              <w:rPr>
                <w:rFonts w:ascii="Cambria" w:hAnsi="Cambria" w:cs="Calibri"/>
                <w:sz w:val="18"/>
                <w:szCs w:val="18"/>
                <w:bdr w:val="none" w:sz="0" w:space="0" w:color="auto" w:frame="1"/>
                <w:lang w:val="es-ES"/>
              </w:rPr>
              <w:t>.</w:t>
            </w:r>
          </w:p>
        </w:tc>
        <w:tc>
          <w:tcPr>
            <w:tcW w:w="2250" w:type="dxa"/>
            <w:shd w:val="clear" w:color="auto" w:fill="auto"/>
            <w:vAlign w:val="center"/>
          </w:tcPr>
          <w:p w14:paraId="0C5F2F43" w14:textId="77777777" w:rsidR="001A75B8" w:rsidRPr="0084041C" w:rsidRDefault="001A75B8" w:rsidP="00AA3A3F">
            <w:pPr>
              <w:jc w:val="center"/>
              <w:rPr>
                <w:rFonts w:ascii="Cambria" w:hAnsi="Cambria" w:cs="Calibri Light"/>
                <w:b/>
                <w:sz w:val="18"/>
                <w:szCs w:val="18"/>
                <w:lang w:val="es-ES"/>
              </w:rPr>
            </w:pPr>
            <w:r w:rsidRPr="0084041C">
              <w:rPr>
                <w:rFonts w:ascii="Cambria" w:hAnsi="Cambria"/>
                <w:sz w:val="18"/>
                <w:szCs w:val="18"/>
                <w:lang w:val="es-ES"/>
              </w:rPr>
              <w:t>Pendiente de cumplimiento</w:t>
            </w:r>
          </w:p>
        </w:tc>
      </w:tr>
      <w:tr w:rsidR="001A75B8" w:rsidRPr="0084041C" w14:paraId="353D484F" w14:textId="77777777" w:rsidTr="00AA3A3F">
        <w:tc>
          <w:tcPr>
            <w:tcW w:w="7290" w:type="dxa"/>
            <w:shd w:val="clear" w:color="auto" w:fill="auto"/>
          </w:tcPr>
          <w:p w14:paraId="60D768FE" w14:textId="77777777" w:rsidR="001A75B8" w:rsidRPr="0084041C" w:rsidRDefault="001A75B8" w:rsidP="00AA3A3F">
            <w:pPr>
              <w:tabs>
                <w:tab w:val="left" w:pos="165"/>
              </w:tabs>
              <w:jc w:val="both"/>
              <w:rPr>
                <w:rFonts w:ascii="Cambria" w:hAnsi="Cambria"/>
                <w:sz w:val="18"/>
                <w:szCs w:val="18"/>
                <w:bdr w:val="none" w:sz="0" w:space="0" w:color="auto" w:frame="1"/>
                <w:lang w:val="es-ES"/>
              </w:rPr>
            </w:pPr>
            <w:r w:rsidRPr="0084041C">
              <w:rPr>
                <w:rFonts w:ascii="Cambria" w:hAnsi="Cambria"/>
                <w:sz w:val="18"/>
                <w:szCs w:val="18"/>
                <w:lang w:val="es-ES"/>
              </w:rPr>
              <w:t>11. Dadas las violaciones a la Declaración Americana de que la CIDH ha encontrado en el presente caso y en otros relacionados con la aplicación de la pena de muerte, la Comisión Interamericana también recomienda a los Estados Unidos adoptar una moratoria a las ejecuciones de personas condenadas a muerte</w:t>
            </w:r>
            <w:r w:rsidRPr="0084041C">
              <w:rPr>
                <w:rFonts w:ascii="Cambria" w:hAnsi="Cambria"/>
                <w:sz w:val="18"/>
                <w:szCs w:val="18"/>
                <w:bdr w:val="none" w:sz="0" w:space="0" w:color="auto" w:frame="1"/>
                <w:lang w:val="es-ES"/>
              </w:rPr>
              <w:t>.</w:t>
            </w:r>
          </w:p>
        </w:tc>
        <w:tc>
          <w:tcPr>
            <w:tcW w:w="2250" w:type="dxa"/>
            <w:shd w:val="clear" w:color="auto" w:fill="auto"/>
            <w:vAlign w:val="center"/>
          </w:tcPr>
          <w:p w14:paraId="42E3B902" w14:textId="77777777" w:rsidR="001A75B8" w:rsidRPr="0084041C" w:rsidRDefault="001A75B8" w:rsidP="00AA3A3F">
            <w:pPr>
              <w:jc w:val="center"/>
              <w:rPr>
                <w:rFonts w:ascii="Cambria" w:hAnsi="Cambria" w:cs="Calibri Light"/>
                <w:b/>
                <w:sz w:val="18"/>
                <w:szCs w:val="18"/>
                <w:lang w:val="es-ES"/>
              </w:rPr>
            </w:pPr>
            <w:r w:rsidRPr="0084041C">
              <w:rPr>
                <w:rFonts w:ascii="Cambria" w:hAnsi="Cambria"/>
                <w:sz w:val="18"/>
                <w:szCs w:val="18"/>
                <w:lang w:val="es-ES"/>
              </w:rPr>
              <w:t>Pendiente de cumplimiento</w:t>
            </w:r>
          </w:p>
        </w:tc>
      </w:tr>
    </w:tbl>
    <w:p w14:paraId="0B0BDC97" w14:textId="77777777" w:rsidR="001A75B8" w:rsidRPr="0084041C" w:rsidRDefault="001A75B8" w:rsidP="001A75B8">
      <w:pPr>
        <w:jc w:val="both"/>
        <w:rPr>
          <w:rFonts w:ascii="Cambria" w:hAnsi="Cambria" w:cs="Calibri Light"/>
          <w:sz w:val="20"/>
          <w:szCs w:val="20"/>
          <w:lang w:val="es-ES"/>
        </w:rPr>
      </w:pPr>
    </w:p>
    <w:p w14:paraId="611A30D2" w14:textId="77777777" w:rsidR="001A75B8" w:rsidRPr="0084041C" w:rsidRDefault="001A75B8" w:rsidP="001A75B8">
      <w:pPr>
        <w:pStyle w:val="ListParagraph"/>
        <w:numPr>
          <w:ilvl w:val="0"/>
          <w:numId w:val="8"/>
        </w:numPr>
        <w:ind w:left="1440"/>
        <w:jc w:val="both"/>
        <w:rPr>
          <w:rFonts w:ascii="Cambria" w:hAnsi="Cambria" w:cs="Calibri Light"/>
          <w:b/>
          <w:sz w:val="20"/>
          <w:szCs w:val="20"/>
          <w:lang w:val="es-ES"/>
        </w:rPr>
      </w:pPr>
      <w:r w:rsidRPr="0084041C">
        <w:rPr>
          <w:rFonts w:ascii="Cambria" w:hAnsi="Cambria"/>
          <w:b/>
          <w:sz w:val="20"/>
          <w:szCs w:val="20"/>
          <w:lang w:val="es-ES"/>
        </w:rPr>
        <w:t>Actividad Procesal</w:t>
      </w:r>
    </w:p>
    <w:p w14:paraId="44CFC952" w14:textId="77777777" w:rsidR="001A75B8" w:rsidRPr="0084041C" w:rsidRDefault="001A75B8" w:rsidP="001A75B8">
      <w:pPr>
        <w:jc w:val="both"/>
        <w:rPr>
          <w:rFonts w:ascii="Cambria" w:hAnsi="Cambria" w:cs="Calibri Light"/>
          <w:sz w:val="20"/>
          <w:szCs w:val="20"/>
          <w:lang w:val="es-ES"/>
        </w:rPr>
      </w:pPr>
    </w:p>
    <w:p w14:paraId="726B313E" w14:textId="77777777" w:rsidR="001A75B8" w:rsidRPr="0084041C" w:rsidRDefault="001A75B8" w:rsidP="001A75B8">
      <w:pPr>
        <w:pStyle w:val="ListParagraph"/>
        <w:numPr>
          <w:ilvl w:val="0"/>
          <w:numId w:val="12"/>
        </w:numPr>
        <w:autoSpaceDE w:val="0"/>
        <w:autoSpaceDN w:val="0"/>
        <w:adjustRightInd w:val="0"/>
        <w:jc w:val="both"/>
        <w:rPr>
          <w:rFonts w:ascii="Cambria" w:hAnsi="Cambria" w:cs="Cambria"/>
          <w:sz w:val="20"/>
          <w:szCs w:val="20"/>
          <w:lang w:val="es-ES"/>
        </w:rPr>
      </w:pPr>
      <w:r w:rsidRPr="0084041C">
        <w:rPr>
          <w:rFonts w:ascii="Cambria" w:hAnsi="Cambria" w:cs="Cambria"/>
          <w:sz w:val="20"/>
          <w:szCs w:val="20"/>
          <w:lang w:val="es-ES"/>
        </w:rPr>
        <w:t>El 15 de enero de 2014, la Comisión Interamericana aprobó el Informe Nº 1/14 sobre el fondo de este caso</w:t>
      </w:r>
      <w:r w:rsidRPr="0084041C">
        <w:rPr>
          <w:rStyle w:val="FootnoteReference"/>
          <w:rFonts w:ascii="Cambria" w:hAnsi="Cambria" w:cs="Cambria"/>
          <w:sz w:val="20"/>
          <w:szCs w:val="20"/>
          <w:lang w:val="es-ES"/>
        </w:rPr>
        <w:footnoteReference w:id="2"/>
      </w:r>
      <w:r w:rsidRPr="0084041C">
        <w:rPr>
          <w:rFonts w:ascii="Cambria" w:hAnsi="Cambria" w:cs="Calibri Light"/>
          <w:sz w:val="20"/>
          <w:szCs w:val="20"/>
          <w:lang w:val="es-ES"/>
        </w:rPr>
        <w:t xml:space="preserve">. </w:t>
      </w:r>
    </w:p>
    <w:p w14:paraId="154D0B4A" w14:textId="77777777" w:rsidR="001A75B8" w:rsidRPr="0084041C" w:rsidRDefault="001A75B8" w:rsidP="001A75B8">
      <w:pPr>
        <w:pStyle w:val="ListParagraph"/>
        <w:autoSpaceDE w:val="0"/>
        <w:autoSpaceDN w:val="0"/>
        <w:adjustRightInd w:val="0"/>
        <w:jc w:val="both"/>
        <w:rPr>
          <w:rFonts w:ascii="Cambria" w:hAnsi="Cambria" w:cs="Cambria"/>
          <w:sz w:val="20"/>
          <w:szCs w:val="20"/>
          <w:lang w:val="es-ES"/>
        </w:rPr>
      </w:pPr>
    </w:p>
    <w:p w14:paraId="47B6E1C9" w14:textId="72074AA5" w:rsidR="001A75B8" w:rsidRPr="0084041C" w:rsidRDefault="001A75B8" w:rsidP="001A75B8">
      <w:pPr>
        <w:pStyle w:val="ListParagraph"/>
        <w:numPr>
          <w:ilvl w:val="0"/>
          <w:numId w:val="12"/>
        </w:numPr>
        <w:autoSpaceDE w:val="0"/>
        <w:autoSpaceDN w:val="0"/>
        <w:adjustRightInd w:val="0"/>
        <w:jc w:val="both"/>
        <w:rPr>
          <w:rFonts w:ascii="Cambria" w:hAnsi="Cambria"/>
          <w:sz w:val="20"/>
          <w:szCs w:val="20"/>
          <w:lang w:val="es-ES"/>
        </w:rPr>
      </w:pPr>
      <w:r w:rsidRPr="0084041C">
        <w:rPr>
          <w:rFonts w:ascii="Cambria" w:hAnsi="Cambria"/>
          <w:sz w:val="20"/>
          <w:szCs w:val="20"/>
          <w:lang w:val="es-ES"/>
        </w:rPr>
        <w:t>El 17 de enero de 2014, la CIDH emitió un comunicado de prensa</w:t>
      </w:r>
      <w:r w:rsidRPr="0084041C">
        <w:rPr>
          <w:rStyle w:val="FootnoteReference"/>
          <w:rFonts w:ascii="Cambria" w:hAnsi="Cambria"/>
          <w:sz w:val="20"/>
          <w:szCs w:val="20"/>
          <w:lang w:val="es-ES"/>
        </w:rPr>
        <w:footnoteReference w:id="3"/>
      </w:r>
      <w:r w:rsidRPr="0084041C">
        <w:rPr>
          <w:rFonts w:ascii="Cambria" w:hAnsi="Cambria"/>
          <w:sz w:val="20"/>
          <w:szCs w:val="20"/>
          <w:lang w:val="es-ES"/>
        </w:rPr>
        <w:t xml:space="preserve"> en el que se incluyó su consideración conforme a la cual los Estados Unidos habían violado los derechos fundamentales del señor Tamayo y de acuerdo a la cual urgió al Estado a suspender la ejecución, la cual había sido programada para el 22 de enero de 2014 en el Estado de Texas</w:t>
      </w:r>
      <w:r w:rsidRPr="0084041C">
        <w:rPr>
          <w:rStyle w:val="FootnoteReference"/>
          <w:rFonts w:ascii="Cambria" w:hAnsi="Cambria" w:cs="Calibri Light"/>
          <w:sz w:val="20"/>
          <w:szCs w:val="20"/>
          <w:lang w:val="es-ES"/>
        </w:rPr>
        <w:footnoteReference w:id="4"/>
      </w:r>
      <w:r w:rsidRPr="0084041C">
        <w:rPr>
          <w:rFonts w:ascii="Cambria" w:hAnsi="Cambria"/>
          <w:sz w:val="20"/>
          <w:szCs w:val="20"/>
          <w:lang w:val="es-ES"/>
        </w:rPr>
        <w:t>.</w:t>
      </w:r>
      <w:r w:rsidRPr="0084041C">
        <w:rPr>
          <w:rFonts w:ascii="Cambria" w:hAnsi="Cambria" w:cs="Calibri Light"/>
          <w:sz w:val="20"/>
          <w:szCs w:val="20"/>
          <w:lang w:val="es-ES"/>
        </w:rPr>
        <w:t xml:space="preserve"> </w:t>
      </w:r>
    </w:p>
    <w:p w14:paraId="4F2C1566" w14:textId="77777777" w:rsidR="005B6F19" w:rsidRPr="0084041C" w:rsidRDefault="005B6F19" w:rsidP="005B6F19">
      <w:pPr>
        <w:pStyle w:val="ListParagraph"/>
        <w:rPr>
          <w:rFonts w:ascii="Cambria" w:hAnsi="Cambria"/>
          <w:sz w:val="20"/>
          <w:szCs w:val="20"/>
          <w:lang w:val="es-ES"/>
        </w:rPr>
      </w:pPr>
    </w:p>
    <w:p w14:paraId="1CC784EB" w14:textId="7EF8C063" w:rsidR="005B6F19" w:rsidRPr="0084041C" w:rsidRDefault="005B6F19" w:rsidP="005B6F19">
      <w:pPr>
        <w:pStyle w:val="ListParagraph"/>
        <w:numPr>
          <w:ilvl w:val="0"/>
          <w:numId w:val="12"/>
        </w:numPr>
        <w:autoSpaceDE w:val="0"/>
        <w:autoSpaceDN w:val="0"/>
        <w:adjustRightInd w:val="0"/>
        <w:jc w:val="both"/>
        <w:rPr>
          <w:rFonts w:ascii="Cambria" w:hAnsi="Cambria"/>
          <w:sz w:val="20"/>
          <w:szCs w:val="20"/>
          <w:lang w:val="es-ES"/>
        </w:rPr>
      </w:pPr>
      <w:r w:rsidRPr="0084041C">
        <w:rPr>
          <w:rFonts w:ascii="Cambria" w:hAnsi="Cambria"/>
          <w:sz w:val="20"/>
          <w:szCs w:val="20"/>
          <w:lang w:val="es-ES"/>
        </w:rPr>
        <w:t xml:space="preserve">El 15 de enero de 2014, la Comisión Interamericana aprobó el Informe Nº 1/14 sobre el fondo de este caso.   </w:t>
      </w:r>
    </w:p>
    <w:p w14:paraId="4E00B5EF" w14:textId="77777777" w:rsidR="001A75B8" w:rsidRPr="0084041C" w:rsidRDefault="001A75B8" w:rsidP="001A75B8">
      <w:pPr>
        <w:pStyle w:val="ListParagraph"/>
        <w:rPr>
          <w:rFonts w:ascii="Cambria" w:hAnsi="Cambria" w:cs="Cambria"/>
          <w:sz w:val="20"/>
          <w:szCs w:val="20"/>
          <w:lang w:val="es-ES"/>
        </w:rPr>
      </w:pPr>
    </w:p>
    <w:p w14:paraId="0C506A78" w14:textId="1A408F62" w:rsidR="001A75B8" w:rsidRPr="0084041C" w:rsidRDefault="001A75B8" w:rsidP="001A75B8">
      <w:pPr>
        <w:pStyle w:val="ListParagraph"/>
        <w:numPr>
          <w:ilvl w:val="0"/>
          <w:numId w:val="12"/>
        </w:numPr>
        <w:autoSpaceDE w:val="0"/>
        <w:autoSpaceDN w:val="0"/>
        <w:adjustRightInd w:val="0"/>
        <w:jc w:val="both"/>
        <w:rPr>
          <w:rFonts w:ascii="Cambria" w:hAnsi="Cambria"/>
          <w:sz w:val="20"/>
          <w:szCs w:val="20"/>
          <w:lang w:val="es-ES"/>
        </w:rPr>
      </w:pPr>
      <w:r w:rsidRPr="0084041C">
        <w:rPr>
          <w:rFonts w:ascii="Cambria" w:hAnsi="Cambria" w:cs="Cambria"/>
          <w:sz w:val="20"/>
          <w:szCs w:val="20"/>
          <w:lang w:val="es-ES"/>
        </w:rPr>
        <w:t>El 22 de enero de 2014, el señor Tamayo fue ejecutado en el estado de Texas. El 27 de enero de 2014, la CIDH emitió un comunicado de prensa</w:t>
      </w:r>
      <w:r w:rsidRPr="0084041C">
        <w:rPr>
          <w:rStyle w:val="FootnoteReference"/>
          <w:rFonts w:ascii="Cambria" w:hAnsi="Cambria" w:cs="Cambria"/>
          <w:sz w:val="20"/>
          <w:szCs w:val="20"/>
          <w:lang w:val="es-ES"/>
        </w:rPr>
        <w:footnoteReference w:id="5"/>
      </w:r>
      <w:r w:rsidRPr="0084041C">
        <w:rPr>
          <w:rFonts w:ascii="Cambria" w:hAnsi="Cambria" w:cs="Cambria"/>
          <w:sz w:val="20"/>
          <w:szCs w:val="20"/>
          <w:lang w:val="es-ES"/>
        </w:rPr>
        <w:t xml:space="preserve"> condenando la ejecución de la presunta víctima</w:t>
      </w:r>
      <w:r w:rsidRPr="0084041C">
        <w:rPr>
          <w:rStyle w:val="FootnoteReference"/>
          <w:rFonts w:ascii="Cambria" w:hAnsi="Cambria" w:cs="Cambria"/>
          <w:sz w:val="20"/>
          <w:szCs w:val="20"/>
          <w:lang w:val="es-ES"/>
        </w:rPr>
        <w:footnoteReference w:id="6"/>
      </w:r>
      <w:r w:rsidRPr="0084041C">
        <w:rPr>
          <w:rFonts w:ascii="Cambria" w:hAnsi="Cambria" w:cs="Cambria"/>
          <w:sz w:val="20"/>
          <w:szCs w:val="20"/>
          <w:lang w:val="es-ES"/>
        </w:rPr>
        <w:t>.</w:t>
      </w:r>
    </w:p>
    <w:p w14:paraId="04112C81" w14:textId="4D3DC14A" w:rsidR="001A75B8" w:rsidRPr="0084041C" w:rsidRDefault="001A75B8" w:rsidP="005B6F19">
      <w:pPr>
        <w:rPr>
          <w:rFonts w:ascii="Cambria" w:hAnsi="Cambria" w:cs="Calibri Light"/>
          <w:color w:val="000000" w:themeColor="text1"/>
          <w:sz w:val="20"/>
          <w:szCs w:val="20"/>
          <w:lang w:val="es-ES"/>
        </w:rPr>
      </w:pPr>
    </w:p>
    <w:p w14:paraId="21E4F91A" w14:textId="45D226DF" w:rsidR="001A75B8" w:rsidRPr="0084041C" w:rsidRDefault="001A75B8" w:rsidP="001A75B8">
      <w:pPr>
        <w:pStyle w:val="ListParagraph"/>
        <w:numPr>
          <w:ilvl w:val="0"/>
          <w:numId w:val="12"/>
        </w:numPr>
        <w:autoSpaceDE w:val="0"/>
        <w:autoSpaceDN w:val="0"/>
        <w:adjustRightInd w:val="0"/>
        <w:jc w:val="both"/>
        <w:rPr>
          <w:rFonts w:ascii="Cambria" w:hAnsi="Cambria"/>
          <w:color w:val="000000" w:themeColor="text1"/>
          <w:sz w:val="20"/>
          <w:szCs w:val="20"/>
          <w:lang w:val="es-ES"/>
        </w:rPr>
      </w:pPr>
      <w:r w:rsidRPr="0084041C">
        <w:rPr>
          <w:rFonts w:ascii="Cambria" w:hAnsi="Cambria" w:cs="Calibri Light"/>
          <w:color w:val="000000" w:themeColor="text1"/>
          <w:sz w:val="20"/>
          <w:szCs w:val="20"/>
          <w:lang w:val="es-ES"/>
        </w:rPr>
        <w:t>En 20</w:t>
      </w:r>
      <w:r w:rsidR="00753D7F" w:rsidRPr="0084041C">
        <w:rPr>
          <w:rFonts w:ascii="Cambria" w:hAnsi="Cambria" w:cs="Calibri Light"/>
          <w:color w:val="000000" w:themeColor="text1"/>
          <w:sz w:val="20"/>
          <w:szCs w:val="20"/>
          <w:lang w:val="es-ES"/>
        </w:rPr>
        <w:t>20</w:t>
      </w:r>
      <w:r w:rsidRPr="0084041C">
        <w:rPr>
          <w:rFonts w:ascii="Cambria" w:hAnsi="Cambria" w:cs="Calibri Light"/>
          <w:color w:val="000000" w:themeColor="text1"/>
          <w:sz w:val="20"/>
          <w:szCs w:val="20"/>
          <w:lang w:val="es-ES"/>
        </w:rPr>
        <w:t xml:space="preserve">, la CIDH solicitó información actualizada al Estado sobre el cumplimiento de las recomendaciones el </w:t>
      </w:r>
      <w:r w:rsidR="00753D7F" w:rsidRPr="0084041C">
        <w:rPr>
          <w:rFonts w:ascii="Cambria" w:hAnsi="Cambria" w:cs="Calibri Light"/>
          <w:color w:val="000000" w:themeColor="text1"/>
          <w:sz w:val="20"/>
          <w:szCs w:val="20"/>
          <w:lang w:val="es-ES"/>
        </w:rPr>
        <w:t>18</w:t>
      </w:r>
      <w:r w:rsidRPr="0084041C">
        <w:rPr>
          <w:rFonts w:ascii="Cambria" w:hAnsi="Cambria" w:cs="Calibri Light"/>
          <w:color w:val="000000" w:themeColor="text1"/>
          <w:sz w:val="20"/>
          <w:szCs w:val="20"/>
          <w:lang w:val="es-ES"/>
        </w:rPr>
        <w:t xml:space="preserve"> de </w:t>
      </w:r>
      <w:r w:rsidR="00753D7F" w:rsidRPr="0084041C">
        <w:rPr>
          <w:rFonts w:ascii="Cambria" w:hAnsi="Cambria" w:cs="Calibri Light"/>
          <w:color w:val="000000" w:themeColor="text1"/>
          <w:sz w:val="20"/>
          <w:szCs w:val="20"/>
          <w:lang w:val="es-ES"/>
        </w:rPr>
        <w:t>agosto</w:t>
      </w:r>
      <w:r w:rsidR="00357877" w:rsidRPr="0084041C">
        <w:rPr>
          <w:rFonts w:ascii="Cambria" w:hAnsi="Cambria" w:cs="Calibri Light"/>
          <w:color w:val="000000" w:themeColor="text1"/>
          <w:sz w:val="20"/>
          <w:szCs w:val="20"/>
          <w:lang w:val="es-ES"/>
        </w:rPr>
        <w:t>. E</w:t>
      </w:r>
      <w:r w:rsidRPr="0084041C">
        <w:rPr>
          <w:rFonts w:ascii="Cambria" w:hAnsi="Cambria" w:cs="Calibri Light"/>
          <w:color w:val="000000" w:themeColor="text1"/>
          <w:sz w:val="20"/>
          <w:szCs w:val="20"/>
          <w:lang w:val="es-ES"/>
        </w:rPr>
        <w:t xml:space="preserve">l Estado presentó dicha información el </w:t>
      </w:r>
      <w:r w:rsidR="00753D7F" w:rsidRPr="0084041C">
        <w:rPr>
          <w:rFonts w:ascii="Cambria" w:hAnsi="Cambria" w:cs="Calibri Light"/>
          <w:color w:val="000000" w:themeColor="text1"/>
          <w:sz w:val="20"/>
          <w:szCs w:val="20"/>
          <w:lang w:val="es-ES"/>
        </w:rPr>
        <w:t>16</w:t>
      </w:r>
      <w:r w:rsidRPr="0084041C">
        <w:rPr>
          <w:rFonts w:ascii="Cambria" w:hAnsi="Cambria" w:cs="Calibri Light"/>
          <w:color w:val="000000" w:themeColor="text1"/>
          <w:sz w:val="20"/>
          <w:szCs w:val="20"/>
          <w:lang w:val="es-ES"/>
        </w:rPr>
        <w:t xml:space="preserve"> de septiembre.</w:t>
      </w:r>
    </w:p>
    <w:p w14:paraId="683522AD" w14:textId="77777777" w:rsidR="001A75B8" w:rsidRPr="0084041C" w:rsidRDefault="001A75B8" w:rsidP="001A75B8">
      <w:pPr>
        <w:pStyle w:val="ListParagraph"/>
        <w:rPr>
          <w:rFonts w:ascii="Cambria" w:hAnsi="Cambria" w:cs="Calibri Light"/>
          <w:color w:val="000000" w:themeColor="text1"/>
          <w:sz w:val="20"/>
          <w:szCs w:val="20"/>
          <w:lang w:val="es-ES"/>
        </w:rPr>
      </w:pPr>
    </w:p>
    <w:p w14:paraId="59802495" w14:textId="1D5EB8A5" w:rsidR="001A75B8" w:rsidRPr="0084041C" w:rsidRDefault="001A75B8" w:rsidP="001A75B8">
      <w:pPr>
        <w:pStyle w:val="ListParagraph"/>
        <w:numPr>
          <w:ilvl w:val="0"/>
          <w:numId w:val="12"/>
        </w:numPr>
        <w:autoSpaceDE w:val="0"/>
        <w:autoSpaceDN w:val="0"/>
        <w:adjustRightInd w:val="0"/>
        <w:jc w:val="both"/>
        <w:rPr>
          <w:rFonts w:ascii="Cambria" w:hAnsi="Cambria"/>
          <w:color w:val="000000" w:themeColor="text1"/>
          <w:sz w:val="20"/>
          <w:szCs w:val="20"/>
          <w:lang w:val="es-ES"/>
        </w:rPr>
      </w:pPr>
      <w:r w:rsidRPr="0084041C">
        <w:rPr>
          <w:rFonts w:ascii="Cambria" w:hAnsi="Cambria" w:cs="Calibri Light"/>
          <w:color w:val="000000" w:themeColor="text1"/>
          <w:sz w:val="20"/>
          <w:szCs w:val="20"/>
          <w:lang w:val="es-ES"/>
        </w:rPr>
        <w:lastRenderedPageBreak/>
        <w:t xml:space="preserve">La CIDH solicitó información actualizada sobre el cumplimiento de las recomendaciones a los peticionarios el </w:t>
      </w:r>
      <w:r w:rsidR="00753D7F" w:rsidRPr="0084041C">
        <w:rPr>
          <w:rFonts w:ascii="Cambria" w:hAnsi="Cambria" w:cs="Calibri Light"/>
          <w:color w:val="000000" w:themeColor="text1"/>
          <w:sz w:val="20"/>
          <w:szCs w:val="20"/>
          <w:lang w:val="es-ES"/>
        </w:rPr>
        <w:t>18</w:t>
      </w:r>
      <w:r w:rsidRPr="0084041C">
        <w:rPr>
          <w:rFonts w:ascii="Cambria" w:hAnsi="Cambria" w:cs="Calibri Light"/>
          <w:color w:val="000000" w:themeColor="text1"/>
          <w:sz w:val="20"/>
          <w:szCs w:val="20"/>
          <w:lang w:val="es-ES"/>
        </w:rPr>
        <w:t xml:space="preserve"> de </w:t>
      </w:r>
      <w:r w:rsidR="00753D7F" w:rsidRPr="0084041C">
        <w:rPr>
          <w:rFonts w:ascii="Cambria" w:hAnsi="Cambria" w:cs="Calibri Light"/>
          <w:color w:val="000000" w:themeColor="text1"/>
          <w:sz w:val="20"/>
          <w:szCs w:val="20"/>
          <w:lang w:val="es-ES"/>
        </w:rPr>
        <w:t>agosto</w:t>
      </w:r>
      <w:r w:rsidRPr="0084041C">
        <w:rPr>
          <w:rFonts w:ascii="Cambria" w:hAnsi="Cambria" w:cs="Calibri Light"/>
          <w:color w:val="000000" w:themeColor="text1"/>
          <w:sz w:val="20"/>
          <w:szCs w:val="20"/>
          <w:lang w:val="es-ES"/>
        </w:rPr>
        <w:t xml:space="preserve"> de 20</w:t>
      </w:r>
      <w:r w:rsidR="00753D7F" w:rsidRPr="0084041C">
        <w:rPr>
          <w:rFonts w:ascii="Cambria" w:hAnsi="Cambria" w:cs="Calibri Light"/>
          <w:color w:val="000000" w:themeColor="text1"/>
          <w:sz w:val="20"/>
          <w:szCs w:val="20"/>
          <w:lang w:val="es-ES"/>
        </w:rPr>
        <w:t>20.</w:t>
      </w:r>
      <w:r w:rsidRPr="0084041C">
        <w:rPr>
          <w:rFonts w:ascii="Cambria" w:hAnsi="Cambria" w:cs="Calibri Light"/>
          <w:color w:val="000000" w:themeColor="text1"/>
          <w:sz w:val="20"/>
          <w:szCs w:val="20"/>
          <w:lang w:val="es-ES"/>
        </w:rPr>
        <w:t xml:space="preserve"> </w:t>
      </w:r>
      <w:r w:rsidRPr="0084041C">
        <w:rPr>
          <w:rFonts w:ascii="Cambria" w:hAnsi="Cambria"/>
          <w:color w:val="000000" w:themeColor="text1"/>
          <w:sz w:val="20"/>
          <w:szCs w:val="20"/>
          <w:lang w:val="es-ES"/>
        </w:rPr>
        <w:t>A la fecha de cierre de este informe, la Comisión no había recibido dicha información por parte de los peticionarios.</w:t>
      </w:r>
    </w:p>
    <w:p w14:paraId="05C18D94" w14:textId="74B5F150" w:rsidR="001A75B8" w:rsidRPr="0084041C" w:rsidRDefault="001A75B8" w:rsidP="001A75B8">
      <w:pPr>
        <w:autoSpaceDE w:val="0"/>
        <w:autoSpaceDN w:val="0"/>
        <w:adjustRightInd w:val="0"/>
        <w:jc w:val="both"/>
        <w:rPr>
          <w:rFonts w:ascii="Cambria" w:hAnsi="Cambria"/>
          <w:sz w:val="20"/>
          <w:szCs w:val="20"/>
          <w:lang w:val="es-ES"/>
        </w:rPr>
      </w:pPr>
    </w:p>
    <w:p w14:paraId="6D610F13" w14:textId="77777777" w:rsidR="001A75B8" w:rsidRPr="0084041C" w:rsidRDefault="001A75B8" w:rsidP="001A75B8">
      <w:pPr>
        <w:pStyle w:val="ListParagraph"/>
        <w:numPr>
          <w:ilvl w:val="0"/>
          <w:numId w:val="8"/>
        </w:numPr>
        <w:ind w:left="1440"/>
        <w:jc w:val="both"/>
        <w:rPr>
          <w:rFonts w:ascii="Cambria" w:hAnsi="Cambria" w:cs="Calibri Light"/>
          <w:b/>
          <w:sz w:val="20"/>
          <w:szCs w:val="20"/>
          <w:lang w:val="es-ES"/>
        </w:rPr>
      </w:pPr>
      <w:r w:rsidRPr="0084041C">
        <w:rPr>
          <w:rFonts w:ascii="Cambria" w:hAnsi="Cambria" w:cs="Calibri Light"/>
          <w:b/>
          <w:sz w:val="20"/>
          <w:szCs w:val="20"/>
          <w:lang w:val="es-ES"/>
        </w:rPr>
        <w:t>Análisis relativo a la información proporcionada</w:t>
      </w:r>
    </w:p>
    <w:p w14:paraId="3F8C4177" w14:textId="77777777" w:rsidR="001A75B8" w:rsidRPr="0084041C" w:rsidRDefault="001A75B8" w:rsidP="001A75B8">
      <w:pPr>
        <w:pStyle w:val="ListParagraph"/>
        <w:ind w:left="1440"/>
        <w:jc w:val="both"/>
        <w:rPr>
          <w:rFonts w:ascii="Cambria" w:hAnsi="Cambria" w:cs="Calibri Light"/>
          <w:b/>
          <w:sz w:val="20"/>
          <w:szCs w:val="20"/>
          <w:lang w:val="es-ES"/>
        </w:rPr>
      </w:pPr>
    </w:p>
    <w:p w14:paraId="02B84BEC" w14:textId="2C964296" w:rsidR="001A75B8" w:rsidRPr="0084041C" w:rsidRDefault="001A75B8" w:rsidP="001A75B8">
      <w:pPr>
        <w:pStyle w:val="ListParagraph"/>
        <w:numPr>
          <w:ilvl w:val="0"/>
          <w:numId w:val="12"/>
        </w:numPr>
        <w:jc w:val="both"/>
        <w:rPr>
          <w:rFonts w:ascii="Cambria" w:hAnsi="Cambria" w:cs="Calibri Light"/>
          <w:color w:val="000000" w:themeColor="text1"/>
          <w:sz w:val="20"/>
          <w:szCs w:val="20"/>
          <w:lang w:val="es-ES"/>
        </w:rPr>
      </w:pPr>
      <w:r w:rsidRPr="0084041C">
        <w:rPr>
          <w:rFonts w:ascii="Cambria" w:hAnsi="Cambria" w:cs="Calibri Light"/>
          <w:color w:val="000000" w:themeColor="text1"/>
          <w:sz w:val="20"/>
          <w:szCs w:val="20"/>
          <w:lang w:val="es-ES"/>
        </w:rPr>
        <w:t xml:space="preserve">La Comisión considera que la información proporcionada por el Estado en </w:t>
      </w:r>
      <w:r w:rsidR="00382897" w:rsidRPr="0084041C">
        <w:rPr>
          <w:rFonts w:ascii="Cambria" w:hAnsi="Cambria" w:cs="Calibri Light"/>
          <w:color w:val="000000" w:themeColor="text1"/>
          <w:sz w:val="20"/>
          <w:szCs w:val="20"/>
          <w:lang w:val="es-ES"/>
        </w:rPr>
        <w:t>2020</w:t>
      </w:r>
      <w:r w:rsidRPr="0084041C">
        <w:rPr>
          <w:rFonts w:ascii="Cambria" w:hAnsi="Cambria" w:cs="Calibri Light"/>
          <w:color w:val="000000" w:themeColor="text1"/>
          <w:sz w:val="20"/>
          <w:szCs w:val="20"/>
          <w:lang w:val="es-ES"/>
        </w:rPr>
        <w:t xml:space="preserve"> no es relevante</w:t>
      </w:r>
      <w:r w:rsidR="00631FC7" w:rsidRPr="0084041C">
        <w:rPr>
          <w:rFonts w:ascii="Cambria" w:hAnsi="Cambria" w:cs="Calibri Light"/>
          <w:color w:val="000000" w:themeColor="text1"/>
          <w:sz w:val="20"/>
          <w:szCs w:val="20"/>
          <w:lang w:val="es-ES"/>
        </w:rPr>
        <w:t xml:space="preserve"> para actualizar el seguimiento del caso</w:t>
      </w:r>
      <w:r w:rsidRPr="0084041C">
        <w:rPr>
          <w:rFonts w:ascii="Cambria" w:hAnsi="Cambria" w:cs="Calibri Light"/>
          <w:color w:val="000000" w:themeColor="text1"/>
          <w:sz w:val="20"/>
          <w:szCs w:val="20"/>
          <w:lang w:val="es-ES"/>
        </w:rPr>
        <w:t>, puesto que es repetitiva de la información presentada en años anteriores sin contener información sobre medidas adoptadas</w:t>
      </w:r>
      <w:r w:rsidR="00631FC7" w:rsidRPr="0084041C">
        <w:rPr>
          <w:rFonts w:ascii="Cambria" w:hAnsi="Cambria" w:cs="Calibri Light"/>
          <w:color w:val="000000" w:themeColor="text1"/>
          <w:sz w:val="20"/>
          <w:szCs w:val="20"/>
          <w:lang w:val="es-ES"/>
        </w:rPr>
        <w:t xml:space="preserve"> recientemente</w:t>
      </w:r>
      <w:r w:rsidRPr="0084041C">
        <w:rPr>
          <w:rFonts w:ascii="Cambria" w:hAnsi="Cambria" w:cs="Calibri Light"/>
          <w:color w:val="000000" w:themeColor="text1"/>
          <w:sz w:val="20"/>
          <w:szCs w:val="20"/>
          <w:lang w:val="es-ES"/>
        </w:rPr>
        <w:t xml:space="preserve"> para cumplir con al menos una de las recomendaciones incluidas en el Informe de Fondo Nº 44/14. Previamente, el Estado presentó una comunicación similar a la Comisión en 201</w:t>
      </w:r>
      <w:r w:rsidR="00382897" w:rsidRPr="0084041C">
        <w:rPr>
          <w:rFonts w:ascii="Cambria" w:hAnsi="Cambria" w:cs="Calibri Light"/>
          <w:color w:val="000000" w:themeColor="text1"/>
          <w:sz w:val="20"/>
          <w:szCs w:val="20"/>
          <w:lang w:val="es-ES"/>
        </w:rPr>
        <w:t>9</w:t>
      </w:r>
      <w:r w:rsidRPr="0084041C">
        <w:rPr>
          <w:rFonts w:ascii="Cambria" w:hAnsi="Cambria" w:cs="Calibri Light"/>
          <w:color w:val="000000" w:themeColor="text1"/>
          <w:sz w:val="20"/>
          <w:szCs w:val="20"/>
          <w:lang w:val="es-ES"/>
        </w:rPr>
        <w:t>.</w:t>
      </w:r>
    </w:p>
    <w:p w14:paraId="63723E8C" w14:textId="0637BA74" w:rsidR="001A75B8" w:rsidRPr="0084041C" w:rsidRDefault="001A75B8" w:rsidP="00E80338">
      <w:pPr>
        <w:rPr>
          <w:rFonts w:ascii="Cambria" w:hAnsi="Cambria"/>
          <w:sz w:val="20"/>
          <w:szCs w:val="20"/>
          <w:lang w:val="es-ES"/>
        </w:rPr>
      </w:pPr>
    </w:p>
    <w:p w14:paraId="30D670F4" w14:textId="4FD816BB" w:rsidR="001A75B8" w:rsidRPr="0084041C" w:rsidRDefault="00E80338" w:rsidP="001A75B8">
      <w:pPr>
        <w:pStyle w:val="ListParagraph"/>
        <w:numPr>
          <w:ilvl w:val="0"/>
          <w:numId w:val="12"/>
        </w:numPr>
        <w:jc w:val="both"/>
        <w:rPr>
          <w:rFonts w:ascii="Cambria" w:hAnsi="Cambria" w:cs="Calibri Light"/>
          <w:color w:val="000000" w:themeColor="text1"/>
          <w:sz w:val="20"/>
          <w:szCs w:val="20"/>
          <w:lang w:val="es-ES"/>
        </w:rPr>
      </w:pPr>
      <w:r w:rsidRPr="0084041C">
        <w:rPr>
          <w:rFonts w:ascii="Cambria" w:hAnsi="Cambria"/>
          <w:color w:val="000000" w:themeColor="text1"/>
          <w:sz w:val="20"/>
          <w:szCs w:val="20"/>
          <w:lang w:val="es-ES_tradnl"/>
        </w:rPr>
        <w:t>Ante</w:t>
      </w:r>
      <w:r w:rsidR="001A75B8" w:rsidRPr="0084041C">
        <w:rPr>
          <w:rFonts w:ascii="Cambria" w:hAnsi="Cambria"/>
          <w:color w:val="000000" w:themeColor="text1"/>
          <w:sz w:val="20"/>
          <w:szCs w:val="20"/>
          <w:lang w:val="es-ES_tradnl"/>
        </w:rPr>
        <w:t xml:space="preserve"> la ausencia de información actualizada sobre el nivel de cumplimiento de las recomendaciones, la CIDH reitera, a continuación, el análisis del cumplimiento y las conclusiones realizadas en su Informe Anual </w:t>
      </w:r>
      <w:r w:rsidR="00224CC4" w:rsidRPr="0084041C">
        <w:rPr>
          <w:rFonts w:ascii="Cambria" w:hAnsi="Cambria"/>
          <w:color w:val="000000" w:themeColor="text1"/>
          <w:sz w:val="20"/>
          <w:szCs w:val="20"/>
          <w:lang w:val="es-ES_tradnl"/>
        </w:rPr>
        <w:t>2019</w:t>
      </w:r>
      <w:r w:rsidR="001A75B8" w:rsidRPr="0084041C">
        <w:rPr>
          <w:rFonts w:ascii="Cambria" w:hAnsi="Cambria"/>
          <w:color w:val="000000" w:themeColor="text1"/>
          <w:sz w:val="20"/>
          <w:szCs w:val="20"/>
          <w:lang w:val="es-ES_tradnl"/>
        </w:rPr>
        <w:t>.</w:t>
      </w:r>
    </w:p>
    <w:p w14:paraId="2DB8104A" w14:textId="77777777" w:rsidR="001A75B8" w:rsidRPr="0084041C" w:rsidRDefault="001A75B8" w:rsidP="001A75B8">
      <w:pPr>
        <w:jc w:val="both"/>
        <w:rPr>
          <w:rFonts w:ascii="Cambria" w:hAnsi="Cambria" w:cs="Calibri Light"/>
          <w:sz w:val="20"/>
          <w:szCs w:val="20"/>
          <w:lang w:val="es-ES"/>
        </w:rPr>
      </w:pPr>
    </w:p>
    <w:p w14:paraId="0955C3F3" w14:textId="77777777" w:rsidR="001A75B8" w:rsidRPr="0084041C" w:rsidRDefault="001A75B8" w:rsidP="001A75B8">
      <w:pPr>
        <w:pStyle w:val="ListParagraph"/>
        <w:numPr>
          <w:ilvl w:val="0"/>
          <w:numId w:val="8"/>
        </w:numPr>
        <w:ind w:left="1440"/>
        <w:jc w:val="both"/>
        <w:rPr>
          <w:rFonts w:ascii="Cambria" w:hAnsi="Cambria" w:cs="Calibri Light"/>
          <w:b/>
          <w:sz w:val="20"/>
          <w:szCs w:val="20"/>
          <w:lang w:val="es-ES"/>
        </w:rPr>
      </w:pPr>
      <w:r w:rsidRPr="0084041C">
        <w:rPr>
          <w:rFonts w:ascii="Cambria" w:hAnsi="Cambria" w:cs="Calibri Light"/>
          <w:b/>
          <w:sz w:val="20"/>
          <w:szCs w:val="20"/>
          <w:lang w:val="es-ES"/>
        </w:rPr>
        <w:t>Análisis del cumplimiento de las recomendaciones</w:t>
      </w:r>
    </w:p>
    <w:p w14:paraId="3A4AE552" w14:textId="77777777" w:rsidR="001A75B8" w:rsidRPr="0084041C" w:rsidRDefault="001A75B8" w:rsidP="001A75B8">
      <w:pPr>
        <w:pStyle w:val="ListParagraph"/>
        <w:jc w:val="both"/>
        <w:rPr>
          <w:rFonts w:ascii="Cambria" w:hAnsi="Cambria" w:cs="Calibri Light"/>
          <w:sz w:val="20"/>
          <w:szCs w:val="20"/>
          <w:lang w:val="es-ES"/>
        </w:rPr>
      </w:pPr>
    </w:p>
    <w:p w14:paraId="664C3C6D" w14:textId="77777777" w:rsidR="001A75B8" w:rsidRPr="0084041C" w:rsidRDefault="001A75B8" w:rsidP="001A75B8">
      <w:pPr>
        <w:pStyle w:val="Default"/>
        <w:numPr>
          <w:ilvl w:val="0"/>
          <w:numId w:val="12"/>
        </w:numPr>
        <w:jc w:val="both"/>
        <w:rPr>
          <w:color w:val="auto"/>
          <w:lang w:val="es-ES"/>
        </w:rPr>
      </w:pPr>
      <w:r w:rsidRPr="0084041C">
        <w:rPr>
          <w:rFonts w:cs="Calibri Light"/>
          <w:color w:val="auto"/>
          <w:sz w:val="20"/>
          <w:szCs w:val="20"/>
          <w:lang w:val="es-ES"/>
        </w:rPr>
        <w:t>La Comisión señala que Edgar Tamayo Arias fue ejecutado mientras su petición se hallaba pendiente ante este órgano</w:t>
      </w:r>
      <w:r w:rsidRPr="0084041C">
        <w:rPr>
          <w:rStyle w:val="FootnoteReference"/>
          <w:rFonts w:cs="Calibri Light"/>
          <w:color w:val="auto"/>
          <w:sz w:val="20"/>
          <w:szCs w:val="20"/>
          <w:lang w:val="es-ES"/>
        </w:rPr>
        <w:footnoteReference w:id="7"/>
      </w:r>
      <w:r w:rsidRPr="0084041C">
        <w:rPr>
          <w:rFonts w:cs="Calibri Light"/>
          <w:color w:val="auto"/>
          <w:sz w:val="20"/>
          <w:szCs w:val="20"/>
          <w:lang w:val="es-ES"/>
        </w:rPr>
        <w:t xml:space="preserve">. </w:t>
      </w:r>
      <w:r w:rsidRPr="0084041C">
        <w:rPr>
          <w:color w:val="auto"/>
          <w:sz w:val="20"/>
          <w:szCs w:val="20"/>
          <w:lang w:val="es-ES"/>
        </w:rPr>
        <w:t>Al permitir que la ejecución del señor Tamayo Arias se llevara a cabo en estas circunstancias, la CIDH considera que Estados Unidos no actuó de conformidad con sus obligaciones fundamentales de derechos humanos como miembro de la Organización de los Estados Americanos</w:t>
      </w:r>
      <w:r w:rsidRPr="0084041C">
        <w:rPr>
          <w:rFonts w:cs="Calibri Light"/>
          <w:color w:val="auto"/>
          <w:sz w:val="20"/>
          <w:szCs w:val="20"/>
          <w:lang w:val="es-ES"/>
        </w:rPr>
        <w:t xml:space="preserve">. </w:t>
      </w:r>
      <w:r w:rsidRPr="0084041C">
        <w:rPr>
          <w:color w:val="auto"/>
          <w:sz w:val="20"/>
          <w:szCs w:val="20"/>
          <w:lang w:val="es-ES"/>
        </w:rPr>
        <w:t>La Comisión destaca asimismo que la ejecución constituye una forma particularmente grave de incumplimiento de las decisiones y de las recomendaciones contenidas en el Informe Nº 1/14</w:t>
      </w:r>
      <w:r w:rsidRPr="0084041C">
        <w:rPr>
          <w:rStyle w:val="FootnoteReference"/>
          <w:rFonts w:cs="Calibri Light"/>
          <w:color w:val="auto"/>
          <w:sz w:val="20"/>
          <w:szCs w:val="20"/>
          <w:lang w:val="es-ES"/>
        </w:rPr>
        <w:footnoteReference w:id="8"/>
      </w:r>
      <w:r w:rsidRPr="0084041C">
        <w:rPr>
          <w:rFonts w:cs="Calibri Light"/>
          <w:color w:val="auto"/>
          <w:sz w:val="20"/>
          <w:szCs w:val="20"/>
          <w:lang w:val="es-ES"/>
        </w:rPr>
        <w:t xml:space="preserve">. </w:t>
      </w:r>
    </w:p>
    <w:p w14:paraId="15B6FFEF" w14:textId="77777777" w:rsidR="001A75B8" w:rsidRPr="0084041C" w:rsidRDefault="001A75B8" w:rsidP="001A75B8">
      <w:pPr>
        <w:jc w:val="both"/>
        <w:rPr>
          <w:rFonts w:ascii="Cambria" w:hAnsi="Cambria" w:cs="Calibri Light"/>
          <w:sz w:val="20"/>
          <w:szCs w:val="20"/>
          <w:lang w:val="es-ES"/>
        </w:rPr>
      </w:pPr>
    </w:p>
    <w:p w14:paraId="2885419A" w14:textId="77777777" w:rsidR="001A75B8" w:rsidRPr="0084041C" w:rsidRDefault="001A75B8" w:rsidP="001A75B8">
      <w:pPr>
        <w:pStyle w:val="Default"/>
        <w:numPr>
          <w:ilvl w:val="0"/>
          <w:numId w:val="12"/>
        </w:numPr>
        <w:jc w:val="both"/>
        <w:rPr>
          <w:color w:val="auto"/>
          <w:lang w:val="es-ES"/>
        </w:rPr>
      </w:pPr>
      <w:r w:rsidRPr="0084041C">
        <w:rPr>
          <w:rFonts w:cs="Calibri Light"/>
          <w:b/>
          <w:color w:val="auto"/>
          <w:sz w:val="20"/>
          <w:szCs w:val="20"/>
          <w:lang w:val="es-ES"/>
        </w:rPr>
        <w:t>En relación con la primera recomendación</w:t>
      </w:r>
      <w:r w:rsidRPr="0084041C">
        <w:rPr>
          <w:rFonts w:cs="Calibri Light"/>
          <w:color w:val="auto"/>
          <w:sz w:val="20"/>
          <w:szCs w:val="20"/>
          <w:lang w:val="es-ES"/>
        </w:rPr>
        <w:t xml:space="preserve">, en 2014, </w:t>
      </w:r>
      <w:r w:rsidRPr="0084041C">
        <w:rPr>
          <w:color w:val="auto"/>
          <w:sz w:val="20"/>
          <w:szCs w:val="20"/>
          <w:lang w:val="es-ES"/>
        </w:rPr>
        <w:t>el Estado indicó que el Departamento de Estado transmitió inmediatamente el informe de la Comisión al Gobernador, al Procurador General y a la Junta de Perdones de Texas, respectivamente</w:t>
      </w:r>
      <w:r w:rsidRPr="0084041C">
        <w:rPr>
          <w:rStyle w:val="FootnoteReference"/>
          <w:color w:val="auto"/>
          <w:sz w:val="20"/>
          <w:szCs w:val="20"/>
          <w:lang w:val="es-ES"/>
        </w:rPr>
        <w:footnoteReference w:id="9"/>
      </w:r>
      <w:r w:rsidRPr="0084041C">
        <w:rPr>
          <w:rFonts w:cs="Calibri Light"/>
          <w:color w:val="auto"/>
          <w:sz w:val="20"/>
          <w:szCs w:val="20"/>
          <w:lang w:val="es-ES"/>
        </w:rPr>
        <w:t xml:space="preserve">. </w:t>
      </w:r>
    </w:p>
    <w:p w14:paraId="1B327941" w14:textId="77777777" w:rsidR="001A75B8" w:rsidRPr="0084041C" w:rsidRDefault="001A75B8" w:rsidP="001A75B8">
      <w:pPr>
        <w:pStyle w:val="Default"/>
        <w:jc w:val="both"/>
        <w:rPr>
          <w:color w:val="auto"/>
          <w:lang w:val="es-ES"/>
        </w:rPr>
      </w:pPr>
    </w:p>
    <w:p w14:paraId="6446F638" w14:textId="5CFB399B" w:rsidR="00202659" w:rsidRPr="0084041C" w:rsidRDefault="001A75B8" w:rsidP="00202659">
      <w:pPr>
        <w:pStyle w:val="Default"/>
        <w:numPr>
          <w:ilvl w:val="0"/>
          <w:numId w:val="12"/>
        </w:numPr>
        <w:jc w:val="both"/>
        <w:rPr>
          <w:color w:val="auto"/>
          <w:lang w:val="es-ES"/>
        </w:rPr>
      </w:pPr>
      <w:r w:rsidRPr="0084041C">
        <w:rPr>
          <w:rFonts w:cs="Calibri Light"/>
          <w:color w:val="auto"/>
          <w:sz w:val="20"/>
          <w:szCs w:val="20"/>
          <w:lang w:val="es-ES"/>
        </w:rPr>
        <w:t xml:space="preserve">En 2018, la peticionaria indicó que, hasta donde sabe, Estados Unidos no había ejecutado ningún esfuerzo para indemnizar a la familia del señor Tamayo. </w:t>
      </w:r>
    </w:p>
    <w:p w14:paraId="2D941F47" w14:textId="77777777" w:rsidR="001A75B8" w:rsidRPr="0084041C" w:rsidRDefault="001A75B8" w:rsidP="001A75B8">
      <w:pPr>
        <w:pStyle w:val="Default"/>
        <w:jc w:val="both"/>
        <w:rPr>
          <w:color w:val="auto"/>
          <w:lang w:val="es-ES"/>
        </w:rPr>
      </w:pPr>
    </w:p>
    <w:p w14:paraId="2680AA28" w14:textId="77777777" w:rsidR="001A75B8" w:rsidRPr="0084041C" w:rsidRDefault="001A75B8" w:rsidP="001A75B8">
      <w:pPr>
        <w:pStyle w:val="Default"/>
        <w:numPr>
          <w:ilvl w:val="0"/>
          <w:numId w:val="12"/>
        </w:numPr>
        <w:jc w:val="both"/>
        <w:rPr>
          <w:color w:val="auto"/>
          <w:lang w:val="es-ES"/>
        </w:rPr>
      </w:pPr>
      <w:r w:rsidRPr="0084041C">
        <w:rPr>
          <w:color w:val="auto"/>
          <w:sz w:val="20"/>
          <w:szCs w:val="20"/>
          <w:lang w:val="es-ES"/>
        </w:rPr>
        <w:t>L</w:t>
      </w:r>
      <w:r w:rsidRPr="0084041C">
        <w:rPr>
          <w:rFonts w:cs="Calibri Light"/>
          <w:color w:val="auto"/>
          <w:sz w:val="20"/>
          <w:szCs w:val="20"/>
          <w:lang w:val="es-ES"/>
        </w:rPr>
        <w:t>a Comisión le recuerda al Estado que, de conformidad con el derecho internacional, todo incumplimiento de una obligación internacional que ocasione un perjuicio genera el deber de repararlo de manera adecuada</w:t>
      </w:r>
      <w:r w:rsidRPr="0084041C">
        <w:rPr>
          <w:rStyle w:val="FootnoteReference"/>
          <w:color w:val="auto"/>
          <w:sz w:val="20"/>
          <w:szCs w:val="20"/>
          <w:lang w:val="es-ES"/>
        </w:rPr>
        <w:footnoteReference w:id="10"/>
      </w:r>
      <w:r w:rsidRPr="0084041C">
        <w:rPr>
          <w:rFonts w:cs="Calibri Light"/>
          <w:color w:val="auto"/>
          <w:sz w:val="20"/>
          <w:szCs w:val="20"/>
          <w:lang w:val="es-ES"/>
        </w:rPr>
        <w:t xml:space="preserve">. De acuerdo con la </w:t>
      </w:r>
      <w:r w:rsidRPr="0084041C">
        <w:rPr>
          <w:color w:val="auto"/>
          <w:sz w:val="20"/>
          <w:szCs w:val="20"/>
          <w:lang w:val="es-ES"/>
        </w:rPr>
        <w:t>jurisprudencia del sistema interamericano, las víctimas de violaciones de derechos humanos tienen derecho a recibir una indemnización adecuada por el daño sufrido, que debe consistir en medidas individuales para restaurar, indemnizar y rehabilitar a la víctima, así como medidas de satisfacción y garantías de no repetición</w:t>
      </w:r>
      <w:r w:rsidRPr="0084041C">
        <w:rPr>
          <w:rStyle w:val="FootnoteReference"/>
          <w:color w:val="auto"/>
          <w:sz w:val="20"/>
          <w:szCs w:val="20"/>
          <w:lang w:val="es-ES"/>
        </w:rPr>
        <w:footnoteReference w:id="11"/>
      </w:r>
      <w:r w:rsidRPr="0084041C">
        <w:rPr>
          <w:color w:val="auto"/>
          <w:sz w:val="20"/>
          <w:szCs w:val="20"/>
          <w:lang w:val="es-ES"/>
        </w:rPr>
        <w:t>. Asimismo, un Estado no puede recurrir a su derecho interno con el fin de modificar esta obligación o hacer caso omiso de ella</w:t>
      </w:r>
      <w:r w:rsidRPr="0084041C">
        <w:rPr>
          <w:rStyle w:val="FootnoteReference"/>
          <w:color w:val="auto"/>
          <w:sz w:val="20"/>
          <w:szCs w:val="20"/>
          <w:lang w:val="es-ES"/>
        </w:rPr>
        <w:footnoteReference w:id="12"/>
      </w:r>
      <w:r w:rsidRPr="0084041C">
        <w:rPr>
          <w:color w:val="auto"/>
          <w:sz w:val="20"/>
          <w:szCs w:val="20"/>
          <w:lang w:val="es-ES"/>
        </w:rPr>
        <w:t xml:space="preserve">. </w:t>
      </w:r>
      <w:r w:rsidRPr="0084041C">
        <w:rPr>
          <w:rFonts w:cs="Calibri Light"/>
          <w:color w:val="auto"/>
          <w:sz w:val="20"/>
          <w:szCs w:val="20"/>
          <w:lang w:val="es-ES"/>
        </w:rPr>
        <w:t>Por lo anterior, la CIDH considera que la Recomendación 1 se encuentra pendiente de cumplimiento.</w:t>
      </w:r>
    </w:p>
    <w:p w14:paraId="310C7F53" w14:textId="77777777" w:rsidR="001A75B8" w:rsidRPr="0084041C" w:rsidRDefault="001A75B8" w:rsidP="001A75B8">
      <w:pPr>
        <w:pStyle w:val="Default"/>
        <w:jc w:val="both"/>
        <w:rPr>
          <w:color w:val="auto"/>
          <w:lang w:val="es-ES"/>
        </w:rPr>
      </w:pPr>
    </w:p>
    <w:p w14:paraId="477D4EDF" w14:textId="77777777" w:rsidR="001A75B8" w:rsidRPr="0084041C" w:rsidRDefault="001A75B8" w:rsidP="001A75B8">
      <w:pPr>
        <w:pStyle w:val="Default"/>
        <w:numPr>
          <w:ilvl w:val="0"/>
          <w:numId w:val="12"/>
        </w:numPr>
        <w:jc w:val="both"/>
        <w:rPr>
          <w:color w:val="auto"/>
          <w:lang w:val="es-ES"/>
        </w:rPr>
      </w:pPr>
      <w:r w:rsidRPr="0084041C">
        <w:rPr>
          <w:b/>
          <w:color w:val="auto"/>
          <w:sz w:val="20"/>
          <w:szCs w:val="20"/>
          <w:lang w:val="es-ES"/>
        </w:rPr>
        <w:lastRenderedPageBreak/>
        <w:t>Respecto de la segunda recomendación</w:t>
      </w:r>
      <w:r w:rsidRPr="0084041C">
        <w:rPr>
          <w:rFonts w:cs="Calibri Light"/>
          <w:color w:val="auto"/>
          <w:sz w:val="20"/>
          <w:szCs w:val="20"/>
          <w:lang w:val="es-ES"/>
        </w:rPr>
        <w:t>, en 2016, el Estado afirmó que cada defensor criminal en el país es titular de la protección judicial brindada por la Constitución y las leyes de Estados Unidos, la cual protege los mismos derechos que son reconocidos por la Declaración Americana. El Estado señaló que, en Estados Unidos, el sistema federal y los sistemas estatales de justicia criminal confieren protecciones exhaustivas al debido proceso para asegurar que la pena de muerte se aplique en un marco de rigurosas salvaguardias procesales, después de varias instancias de revisión judicial.</w:t>
      </w:r>
    </w:p>
    <w:p w14:paraId="2D4791F0" w14:textId="77777777" w:rsidR="001A75B8" w:rsidRPr="0084041C" w:rsidRDefault="001A75B8" w:rsidP="001A75B8">
      <w:pPr>
        <w:pStyle w:val="ListParagraph"/>
        <w:jc w:val="both"/>
        <w:rPr>
          <w:rFonts w:ascii="Cambria" w:hAnsi="Cambria" w:cs="Calibri Light"/>
          <w:sz w:val="20"/>
          <w:szCs w:val="20"/>
          <w:lang w:val="es-ES"/>
        </w:rPr>
      </w:pPr>
    </w:p>
    <w:p w14:paraId="2DB65E42"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 xml:space="preserve">En 2018, la peticionaria informó que el Estado no había tomado medidas adecuadas para cumplir esta recomendación. </w:t>
      </w:r>
    </w:p>
    <w:p w14:paraId="484ADB0C" w14:textId="77777777" w:rsidR="001A75B8" w:rsidRPr="0084041C" w:rsidRDefault="001A75B8" w:rsidP="001A75B8">
      <w:pPr>
        <w:pStyle w:val="ListParagraph"/>
        <w:rPr>
          <w:rFonts w:ascii="Cambria" w:hAnsi="Cambria" w:cs="Calibri Light"/>
          <w:sz w:val="20"/>
          <w:szCs w:val="20"/>
          <w:lang w:val="es-ES"/>
        </w:rPr>
      </w:pPr>
    </w:p>
    <w:p w14:paraId="7AC249BA"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 xml:space="preserve">La Comisión observa que no ha recibido información detallada y actualizada sobre las medidas adoptadas por el Estado para cumplir con esta recomendación. Por lo anterior, la CIDH considera que la Recomendación 2 se encuentra pendiente de cumplimiento. </w:t>
      </w:r>
    </w:p>
    <w:p w14:paraId="0A9353C4" w14:textId="77777777" w:rsidR="001A75B8" w:rsidRPr="0084041C" w:rsidRDefault="001A75B8" w:rsidP="001A75B8">
      <w:pPr>
        <w:jc w:val="both"/>
        <w:rPr>
          <w:rFonts w:ascii="Cambria" w:hAnsi="Cambria" w:cs="Calibri Light"/>
          <w:sz w:val="20"/>
          <w:szCs w:val="20"/>
          <w:lang w:val="es-ES"/>
        </w:rPr>
      </w:pPr>
    </w:p>
    <w:p w14:paraId="51014EF5" w14:textId="77777777" w:rsidR="001A75B8" w:rsidRPr="0084041C" w:rsidRDefault="001A75B8" w:rsidP="001A75B8">
      <w:pPr>
        <w:pStyle w:val="Default"/>
        <w:numPr>
          <w:ilvl w:val="0"/>
          <w:numId w:val="12"/>
        </w:numPr>
        <w:jc w:val="both"/>
        <w:rPr>
          <w:color w:val="auto"/>
          <w:lang w:val="es-ES"/>
        </w:rPr>
      </w:pPr>
      <w:r w:rsidRPr="0084041C">
        <w:rPr>
          <w:rFonts w:cs="Calibri Light"/>
          <w:b/>
          <w:color w:val="auto"/>
          <w:sz w:val="20"/>
          <w:szCs w:val="20"/>
          <w:lang w:val="es-ES"/>
        </w:rPr>
        <w:t>En relación con la tercera recomendación</w:t>
      </w:r>
      <w:r w:rsidRPr="0084041C">
        <w:rPr>
          <w:rFonts w:cs="Calibri Light"/>
          <w:color w:val="auto"/>
          <w:sz w:val="20"/>
          <w:szCs w:val="20"/>
          <w:lang w:val="es-ES"/>
        </w:rPr>
        <w:t xml:space="preserve">, en 2014, </w:t>
      </w:r>
      <w:r w:rsidRPr="0084041C">
        <w:rPr>
          <w:color w:val="auto"/>
          <w:sz w:val="20"/>
          <w:szCs w:val="20"/>
          <w:lang w:val="es-ES"/>
        </w:rPr>
        <w:t>los Estados Unidos enfatizaron que el Departamento de Estado ha procurado, a través de una diversidad de medios, asegurar el cumplimiento interno de los requisitos de la Convención de Viena sobre Relaciones Consulares, mediante servicios de extensión, orientación y capacitación a personal policial, fiscales y jueces a nivel federal, estatal y local, sobre notificación y acceso consular</w:t>
      </w:r>
      <w:r w:rsidRPr="0084041C">
        <w:rPr>
          <w:rStyle w:val="FootnoteReference"/>
          <w:color w:val="auto"/>
          <w:sz w:val="20"/>
          <w:szCs w:val="20"/>
          <w:lang w:val="es-ES"/>
        </w:rPr>
        <w:footnoteReference w:id="13"/>
      </w:r>
      <w:r w:rsidRPr="0084041C">
        <w:rPr>
          <w:rFonts w:cs="Calibri Light"/>
          <w:color w:val="auto"/>
          <w:sz w:val="20"/>
          <w:szCs w:val="20"/>
          <w:lang w:val="es-ES"/>
        </w:rPr>
        <w:t xml:space="preserve">. </w:t>
      </w:r>
      <w:r w:rsidRPr="0084041C">
        <w:rPr>
          <w:color w:val="auto"/>
          <w:sz w:val="20"/>
          <w:szCs w:val="20"/>
          <w:lang w:val="es-ES"/>
        </w:rPr>
        <w:t xml:space="preserve">El manual del Departamento de Estado “Notificación y acceso consulares: Instrucciones para las fuerzas federales, estatales y locales y otros funcionarios con respecto a los ciudadanos extranjeros en Estados Unidos y los derechos de los funcionarios consulares a ayudarles” proporciona instrucciones a funcionarios policiales y penitenciarios sobre lo que se debe hacer cuando se detiene o arresta a un ciudadano extranjero, con el fin de cumplir las disposiciones de la Convención de Viena y los acuerdos consulares bilaterales. El manual contiene una lista de los países para los cuales se requiere notificación consular, incluso si el detenido no la solicita; modelos de declaraciones de notificación consular en inglés y en los 20 idiomas hablados más comúnmente por ciudadanos extranjeros en Estados Unidos; un modelo de “procedimiento operativo estándar” para la notificación y el acceso consulares que los departamentos de policía pueden adaptar y colocar en sus comisarías; modelos de fax para notificar a un consulado sobre un arresto o una detención, y modelos de carnés diplomáticos y consulares, a fin de que los funcionarios policiales y penitenciarios puedan reconocer las credenciales de los funcionarios extranjeros que acudan a sus instalaciones con fines consulares. </w:t>
      </w:r>
      <w:r w:rsidRPr="0084041C">
        <w:rPr>
          <w:color w:val="auto"/>
          <w:spacing w:val="-2"/>
          <w:sz w:val="20"/>
          <w:szCs w:val="20"/>
          <w:lang w:val="es-ES"/>
        </w:rPr>
        <w:t xml:space="preserve">El Estado afirmó que, desde 1998, el Departamento de Estado había distribuido más de 200.000 manuales y 1,5 millones de tarjetas de bolsillo a funcionarios federales, estatales y locales; organismos federales y estatales; oficinas de gobernadores y alcaldías; colegios de abogados; asociaciones penitenciarias y consulados extranjeros en Estados Unidos, entre otros, y había realizado casi </w:t>
      </w:r>
      <w:r w:rsidRPr="0084041C">
        <w:rPr>
          <w:rFonts w:cs="Calibri Light"/>
          <w:color w:val="auto"/>
          <w:sz w:val="20"/>
          <w:szCs w:val="20"/>
          <w:lang w:val="es-ES"/>
        </w:rPr>
        <w:t xml:space="preserve">600 sesiones de divulgación y capacitación sobre la notificación consular dirigidas a agentes de policía federales, estatales y locales, alumnos de escuelas de policía y funcionarios consulares que se desempeñaban en consulados extranjeros en el país. </w:t>
      </w:r>
      <w:r w:rsidRPr="0084041C">
        <w:rPr>
          <w:color w:val="auto"/>
          <w:sz w:val="20"/>
          <w:szCs w:val="20"/>
          <w:lang w:val="es-ES"/>
        </w:rPr>
        <w:t>El Estado informó que todas estas acciones están dirigidas a crear conciencia sobre la importancia de incrementar el cumplimiento de las obligaciones de notificación y acceso consulares, y sobre los mecanismos para que las supuestas violaciones a las mismas sean remediadas o resueltas. Además, como consecuencia de estos esfuerzos, el Estado sostiene que ciertos grupos nacionales correccionales y de aplicación de la ley requieren que los organismos cuenten con procedimientos de acceso y notificación consular con el fin de obtener acreditación. Por lo tanto, según el Estado, el acceso y la notificación consular se han convertido en normas profesionales habituales de los organismos policiales en todo el país</w:t>
      </w:r>
      <w:r w:rsidRPr="0084041C">
        <w:rPr>
          <w:rStyle w:val="FootnoteReference"/>
          <w:color w:val="auto"/>
          <w:sz w:val="20"/>
          <w:szCs w:val="20"/>
          <w:lang w:val="es-ES"/>
        </w:rPr>
        <w:footnoteReference w:id="14"/>
      </w:r>
      <w:r w:rsidRPr="0084041C">
        <w:rPr>
          <w:color w:val="auto"/>
          <w:sz w:val="20"/>
          <w:szCs w:val="20"/>
          <w:lang w:val="es-ES"/>
        </w:rPr>
        <w:t>.</w:t>
      </w:r>
      <w:r w:rsidRPr="0084041C">
        <w:rPr>
          <w:rFonts w:cs="Calibri Light"/>
          <w:color w:val="auto"/>
          <w:sz w:val="20"/>
          <w:szCs w:val="20"/>
          <w:lang w:val="es-ES"/>
        </w:rPr>
        <w:t xml:space="preserve"> </w:t>
      </w:r>
    </w:p>
    <w:p w14:paraId="3A3EF528" w14:textId="77777777" w:rsidR="001A75B8" w:rsidRPr="0084041C" w:rsidRDefault="001A75B8" w:rsidP="001A75B8">
      <w:pPr>
        <w:pStyle w:val="ListParagraph"/>
        <w:rPr>
          <w:rFonts w:ascii="Cambria" w:hAnsi="Cambria" w:cs="Calibri Light"/>
          <w:sz w:val="20"/>
          <w:szCs w:val="20"/>
          <w:lang w:val="es-ES"/>
        </w:rPr>
      </w:pPr>
    </w:p>
    <w:p w14:paraId="1C4FC571"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 xml:space="preserve">En 2018, la peticionaria informó que el Estado ha adoptado medidas para mejorar el cumplimiento del artículo 26 de la Convención de Viena sobre Relaciones Consulares, y que ha presentado informes de </w:t>
      </w:r>
      <w:r w:rsidRPr="0084041C">
        <w:rPr>
          <w:rFonts w:ascii="Cambria" w:hAnsi="Cambria" w:cs="Calibri Light"/>
          <w:i/>
          <w:sz w:val="20"/>
          <w:szCs w:val="20"/>
          <w:lang w:val="es-ES"/>
        </w:rPr>
        <w:t>amicus curiae</w:t>
      </w:r>
      <w:r w:rsidRPr="0084041C">
        <w:rPr>
          <w:rFonts w:ascii="Cambria" w:hAnsi="Cambria" w:cs="Calibri Light"/>
          <w:sz w:val="20"/>
          <w:szCs w:val="20"/>
          <w:lang w:val="es-ES"/>
        </w:rPr>
        <w:t xml:space="preserve"> con el fin de apoyar a ciudadanos mexicanos que buscan la revisión y reconsideración de sus condenas y sentencias de acuerdo con la decisión de la Corte Internacional de Justicia </w:t>
      </w:r>
      <w:r w:rsidRPr="0084041C">
        <w:rPr>
          <w:rFonts w:ascii="Cambria" w:hAnsi="Cambria" w:cs="Calibri Light"/>
          <w:sz w:val="20"/>
          <w:szCs w:val="20"/>
          <w:lang w:val="es-ES"/>
        </w:rPr>
        <w:lastRenderedPageBreak/>
        <w:t>(CIJ) en el caso Avena y otros nacionales mexicanos (México c. Estados Unidos de América)</w:t>
      </w:r>
      <w:r w:rsidRPr="0084041C">
        <w:rPr>
          <w:rStyle w:val="FootnoteReference"/>
          <w:rFonts w:ascii="Cambria" w:hAnsi="Cambria" w:cs="Calibri Light"/>
          <w:sz w:val="20"/>
          <w:szCs w:val="20"/>
          <w:lang w:val="es-ES"/>
        </w:rPr>
        <w:footnoteReference w:id="15"/>
      </w:r>
      <w:r w:rsidRPr="0084041C">
        <w:rPr>
          <w:rFonts w:ascii="Cambria" w:hAnsi="Cambria" w:cs="Calibri Light"/>
          <w:sz w:val="20"/>
          <w:szCs w:val="20"/>
          <w:lang w:val="es-ES"/>
        </w:rPr>
        <w:t>. La peticionaria indicó que los Estados Unidos también les ha escrito a las autoridades estatales para urgirlos a apoyar la revisión de las reclamaciones de la Convención de Viene hechas por ciudadanos mexicanos. Sin embargo, la peticionaria informó que seis ciudadanos mexicanos han sido ejecutados sin haber recibido la revisión judicial que ordenó la decisión de la CIJ en el caso Avena, incluyendo al ciudadano mexicano Roberto Moreno Ramos quien fue ejecutado el 14 de noviembre de 2018.</w:t>
      </w:r>
    </w:p>
    <w:p w14:paraId="3B564596" w14:textId="77777777" w:rsidR="001A75B8" w:rsidRPr="0084041C" w:rsidRDefault="001A75B8" w:rsidP="001A75B8">
      <w:pPr>
        <w:jc w:val="both"/>
        <w:rPr>
          <w:rFonts w:ascii="Cambria" w:hAnsi="Cambria" w:cs="Calibri Light"/>
          <w:sz w:val="20"/>
          <w:szCs w:val="20"/>
          <w:lang w:val="es-ES"/>
        </w:rPr>
      </w:pPr>
    </w:p>
    <w:p w14:paraId="77B8548B" w14:textId="77777777" w:rsidR="001A75B8" w:rsidRPr="0084041C" w:rsidRDefault="001A75B8" w:rsidP="001A75B8">
      <w:pPr>
        <w:pStyle w:val="Default"/>
        <w:numPr>
          <w:ilvl w:val="0"/>
          <w:numId w:val="12"/>
        </w:numPr>
        <w:jc w:val="both"/>
        <w:rPr>
          <w:rFonts w:cs="Calibri Light"/>
          <w:color w:val="auto"/>
          <w:sz w:val="20"/>
          <w:szCs w:val="20"/>
          <w:lang w:val="es-ES"/>
        </w:rPr>
      </w:pPr>
      <w:r w:rsidRPr="0084041C">
        <w:rPr>
          <w:color w:val="auto"/>
          <w:sz w:val="20"/>
          <w:szCs w:val="20"/>
          <w:lang w:val="es-ES"/>
        </w:rPr>
        <w:t>La Comisión valora el compromiso del Estado en cumplir las obligaciones asumidas en el marco de la Convención de Viena sobre Relaciones Consulares, y toma nota de ciertos esfuerzos del Gobierno Federal para asegurar la implementación del derecho a la información de asistencia y notificación consular</w:t>
      </w:r>
      <w:r w:rsidRPr="0084041C">
        <w:rPr>
          <w:rStyle w:val="FootnoteReference"/>
          <w:color w:val="auto"/>
          <w:sz w:val="20"/>
          <w:szCs w:val="20"/>
          <w:lang w:val="es-ES"/>
        </w:rPr>
        <w:footnoteReference w:id="16"/>
      </w:r>
      <w:r w:rsidRPr="0084041C">
        <w:rPr>
          <w:color w:val="auto"/>
          <w:sz w:val="20"/>
          <w:szCs w:val="20"/>
          <w:lang w:val="es-ES"/>
        </w:rPr>
        <w:t>.</w:t>
      </w:r>
      <w:r w:rsidRPr="0084041C">
        <w:rPr>
          <w:rFonts w:cs="Calibri Light"/>
          <w:color w:val="auto"/>
          <w:sz w:val="20"/>
          <w:szCs w:val="20"/>
          <w:lang w:val="es-ES"/>
        </w:rPr>
        <w:t xml:space="preserve"> Al mismo tiempo, la Comisión valora positivamente la información proporcionada por la peticionaria y observa con preocupación que, mientras el Estado ha adoptado medidas para mejorar el cumplimiento de la Convención de Viena, los derechos de ese instrumento de seis ciudadanos mexicanos hayan sido violados con ocasión de su ejecución, y sin que se les hubieran otorgado la revisión judicial de sus sentencias. Por lo anterior, la Comisión considera que la Recomendación 3 está parcialmente cumplida. </w:t>
      </w:r>
    </w:p>
    <w:p w14:paraId="75905C84" w14:textId="77777777" w:rsidR="001A75B8" w:rsidRPr="0084041C" w:rsidRDefault="001A75B8" w:rsidP="001A75B8">
      <w:pPr>
        <w:pStyle w:val="Default"/>
        <w:rPr>
          <w:rFonts w:cs="Calibri Light"/>
          <w:color w:val="auto"/>
          <w:sz w:val="20"/>
          <w:szCs w:val="20"/>
          <w:lang w:val="es-ES"/>
        </w:rPr>
      </w:pPr>
    </w:p>
    <w:p w14:paraId="3E3A3641" w14:textId="7E08A88B" w:rsidR="001A75B8" w:rsidRPr="0084041C" w:rsidRDefault="001A75B8" w:rsidP="005B6F19">
      <w:pPr>
        <w:pStyle w:val="Default"/>
        <w:numPr>
          <w:ilvl w:val="0"/>
          <w:numId w:val="12"/>
        </w:numPr>
        <w:jc w:val="both"/>
        <w:rPr>
          <w:color w:val="auto"/>
          <w:lang w:val="es-ES"/>
        </w:rPr>
      </w:pPr>
      <w:r w:rsidRPr="0084041C">
        <w:rPr>
          <w:b/>
          <w:color w:val="auto"/>
          <w:sz w:val="20"/>
          <w:szCs w:val="20"/>
          <w:lang w:val="es-ES"/>
        </w:rPr>
        <w:t>Respecto de la cuarta recomendación</w:t>
      </w:r>
      <w:r w:rsidRPr="0084041C">
        <w:rPr>
          <w:rFonts w:cs="Calibri Light"/>
          <w:color w:val="auto"/>
          <w:sz w:val="20"/>
          <w:szCs w:val="20"/>
          <w:lang w:val="es-ES"/>
        </w:rPr>
        <w:t xml:space="preserve">, en 2014, </w:t>
      </w:r>
      <w:r w:rsidRPr="0084041C">
        <w:rPr>
          <w:color w:val="auto"/>
          <w:sz w:val="20"/>
          <w:szCs w:val="20"/>
          <w:lang w:val="es-ES"/>
        </w:rPr>
        <w:t xml:space="preserve">el Estado indicó que los Departamentos de Estado y de Justicia han participado activamente con el Congreso de los Estados Unidos en la sanción de leyes para poner en práctica la decisión de la CIJ en el caso </w:t>
      </w:r>
      <w:r w:rsidRPr="0084041C">
        <w:rPr>
          <w:i/>
          <w:color w:val="auto"/>
          <w:sz w:val="20"/>
          <w:szCs w:val="20"/>
          <w:lang w:val="es-ES"/>
        </w:rPr>
        <w:t>Avena</w:t>
      </w:r>
      <w:r w:rsidRPr="0084041C">
        <w:rPr>
          <w:color w:val="auto"/>
          <w:sz w:val="20"/>
          <w:szCs w:val="20"/>
          <w:lang w:val="es-ES"/>
        </w:rPr>
        <w:t>, con inclusión de la Ley de Cumplimiento de la Notificación Consular</w:t>
      </w:r>
      <w:r w:rsidRPr="0084041C">
        <w:rPr>
          <w:rStyle w:val="FootnoteReference"/>
          <w:color w:val="auto"/>
          <w:sz w:val="20"/>
          <w:szCs w:val="20"/>
          <w:lang w:val="es-ES"/>
        </w:rPr>
        <w:footnoteReference w:id="17"/>
      </w:r>
      <w:r w:rsidRPr="0084041C">
        <w:rPr>
          <w:color w:val="auto"/>
          <w:sz w:val="20"/>
          <w:szCs w:val="20"/>
          <w:lang w:val="es-ES"/>
        </w:rPr>
        <w:t>.</w:t>
      </w:r>
      <w:r w:rsidR="005B6F19" w:rsidRPr="0084041C">
        <w:rPr>
          <w:color w:val="auto"/>
          <w:sz w:val="20"/>
          <w:szCs w:val="20"/>
          <w:lang w:val="es-ES"/>
        </w:rPr>
        <w:t xml:space="preserve"> En 2020, el Estado reiteró su posición anterior respecto a este Informe de Fondo, sin mencionar ningún esfuerzo realizado este año para cumplir con las recomendaciones de la CIDH.</w:t>
      </w:r>
    </w:p>
    <w:p w14:paraId="5A4030A8" w14:textId="77777777" w:rsidR="001A75B8" w:rsidRPr="0084041C" w:rsidRDefault="001A75B8" w:rsidP="001A75B8">
      <w:pPr>
        <w:jc w:val="both"/>
        <w:rPr>
          <w:rFonts w:ascii="Cambria" w:hAnsi="Cambria" w:cs="Calibri Light"/>
          <w:sz w:val="20"/>
          <w:szCs w:val="20"/>
          <w:lang w:val="es-ES"/>
        </w:rPr>
      </w:pPr>
    </w:p>
    <w:p w14:paraId="6B977D16"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En 2018, la peticionaria informó que mientras el Departamento de Estado apoyó la sanción del Acto de Cumplimiento de la Notificación consular, así como otra legislación dirigida a implementar el juzgamiento de la CIJ en el caso Avena, esta regulación finalmente no fue aprobada. La peticionaria además informó que los ciudadanos mexicanos siguen enfrentando su ejecución sin haber recibido la revisión y reconsideración a la cual tienen derecho de conformidad con el fallo de la CIJ en el caso Avena. La peticionaria solicitó que la CIDH instara al Estado a que promulgara leyes para poner en práctica la decisión en el caso Avena.</w:t>
      </w:r>
    </w:p>
    <w:p w14:paraId="2DA6AFF3" w14:textId="77777777" w:rsidR="001A75B8" w:rsidRPr="0084041C" w:rsidRDefault="001A75B8" w:rsidP="001A75B8">
      <w:pPr>
        <w:pStyle w:val="ListParagraph"/>
        <w:rPr>
          <w:rFonts w:ascii="Cambria" w:hAnsi="Cambria" w:cs="Calibri Light"/>
          <w:sz w:val="20"/>
          <w:szCs w:val="20"/>
          <w:lang w:val="es-ES"/>
        </w:rPr>
      </w:pPr>
    </w:p>
    <w:p w14:paraId="6EB8D9F6"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 xml:space="preserve">La Comisión lamenta que, a pesar de los esfuerzos adoptados por el Departamento de Estado y el Departamento de Justicia, el Acto de Cumplimiento de la Notificación consular no haya sido aprobado por el Congreso de los Estados Unidos. Por lo anterior, la Comisión considera que la Recomendación 4 está parcialmente cumplida.   </w:t>
      </w:r>
    </w:p>
    <w:p w14:paraId="448EA6A8" w14:textId="77777777" w:rsidR="001A75B8" w:rsidRPr="0084041C" w:rsidRDefault="001A75B8" w:rsidP="001A75B8">
      <w:pPr>
        <w:pStyle w:val="ListParagraph"/>
        <w:rPr>
          <w:rFonts w:ascii="Cambria" w:hAnsi="Cambria"/>
          <w:b/>
          <w:sz w:val="20"/>
          <w:szCs w:val="20"/>
          <w:lang w:val="es-ES"/>
        </w:rPr>
      </w:pPr>
    </w:p>
    <w:p w14:paraId="2F9C5146"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b/>
          <w:sz w:val="20"/>
          <w:szCs w:val="20"/>
          <w:lang w:val="es-ES"/>
        </w:rPr>
        <w:t>En relación con la quinta recomendación</w:t>
      </w:r>
      <w:r w:rsidRPr="0084041C">
        <w:rPr>
          <w:rFonts w:ascii="Cambria" w:hAnsi="Cambria" w:cs="Calibri Light"/>
          <w:sz w:val="20"/>
          <w:szCs w:val="20"/>
          <w:lang w:val="es-ES"/>
        </w:rPr>
        <w:t xml:space="preserve">, in 2014, el Estado </w:t>
      </w:r>
      <w:r w:rsidRPr="0084041C">
        <w:rPr>
          <w:rFonts w:cs="Calibri Light"/>
          <w:sz w:val="20"/>
          <w:szCs w:val="20"/>
          <w:lang w:val="es-ES"/>
        </w:rPr>
        <w:t>informó que</w:t>
      </w:r>
      <w:r w:rsidRPr="0084041C">
        <w:rPr>
          <w:rFonts w:ascii="Cambria" w:hAnsi="Cambria" w:cs="Calibri Light"/>
          <w:sz w:val="20"/>
          <w:szCs w:val="20"/>
          <w:lang w:val="es-ES"/>
        </w:rPr>
        <w:t xml:space="preserve"> </w:t>
      </w:r>
      <w:r w:rsidRPr="0084041C">
        <w:rPr>
          <w:rFonts w:ascii="Cambria" w:hAnsi="Cambria" w:cs="Cambria"/>
          <w:sz w:val="20"/>
          <w:szCs w:val="20"/>
          <w:lang w:val="es-ES"/>
        </w:rPr>
        <w:t>el derecho a representación letrada está garantizado en la Constitución de los Estados Unidos para los acusados de delitos en casos punibles con la pena de muerte, y cada jurisd</w:t>
      </w:r>
      <w:r w:rsidRPr="0084041C">
        <w:rPr>
          <w:rFonts w:ascii="Cambria" w:hAnsi="Cambria"/>
          <w:sz w:val="20"/>
          <w:szCs w:val="20"/>
          <w:lang w:val="es-ES"/>
        </w:rPr>
        <w:t>icción implementa esta garantía</w:t>
      </w:r>
      <w:r w:rsidRPr="0084041C">
        <w:rPr>
          <w:rStyle w:val="FootnoteReference"/>
          <w:rFonts w:ascii="Cambria" w:hAnsi="Cambria"/>
          <w:sz w:val="20"/>
          <w:szCs w:val="20"/>
          <w:lang w:val="es-ES"/>
        </w:rPr>
        <w:footnoteReference w:id="18"/>
      </w:r>
      <w:r w:rsidRPr="0084041C">
        <w:rPr>
          <w:rFonts w:ascii="Cambria" w:hAnsi="Cambria"/>
          <w:sz w:val="20"/>
          <w:szCs w:val="20"/>
          <w:lang w:val="es-ES"/>
        </w:rPr>
        <w:t>.</w:t>
      </w:r>
    </w:p>
    <w:p w14:paraId="1AE6C6E5" w14:textId="77777777" w:rsidR="001A75B8" w:rsidRPr="0084041C" w:rsidRDefault="001A75B8" w:rsidP="001A75B8">
      <w:pPr>
        <w:pStyle w:val="ListParagraph"/>
        <w:rPr>
          <w:rFonts w:ascii="Cambria" w:hAnsi="Cambria" w:cs="Calibri Light"/>
          <w:sz w:val="20"/>
          <w:szCs w:val="20"/>
          <w:lang w:val="es-ES"/>
        </w:rPr>
      </w:pPr>
    </w:p>
    <w:p w14:paraId="2268F837"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 xml:space="preserve">En 2018, la peticionaria informó que el Estado no había tomado medidas adecuadas para cumplir esta recomendación y señaló que muchas personas que enfrentaban la pena de muerte en Estados Unidos seguían privadas de asistencia letrada competente. </w:t>
      </w:r>
    </w:p>
    <w:p w14:paraId="30071239" w14:textId="77777777" w:rsidR="001A75B8" w:rsidRPr="0084041C" w:rsidRDefault="001A75B8" w:rsidP="001A75B8">
      <w:pPr>
        <w:pStyle w:val="ListParagraph"/>
        <w:rPr>
          <w:rFonts w:ascii="Cambria" w:hAnsi="Cambria" w:cs="Calibri Light"/>
          <w:sz w:val="20"/>
          <w:szCs w:val="20"/>
          <w:lang w:val="es-ES"/>
        </w:rPr>
      </w:pPr>
    </w:p>
    <w:p w14:paraId="1A52F00C"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 xml:space="preserve">La Comisión observa que no ha recibido información detallada y actualizada sobre las medidas adoptadas por el Estado para cumplir con esta recomendación. Por lo anterior, la Comisión considera que la Recomendación 5 sigue pendiente de cumplimiento. </w:t>
      </w:r>
    </w:p>
    <w:p w14:paraId="7ACFBFF1" w14:textId="77777777" w:rsidR="001A75B8" w:rsidRPr="0084041C" w:rsidRDefault="001A75B8" w:rsidP="001A75B8">
      <w:pPr>
        <w:jc w:val="both"/>
        <w:rPr>
          <w:rFonts w:ascii="Cambria" w:hAnsi="Cambria" w:cs="Calibri Light"/>
          <w:sz w:val="20"/>
          <w:szCs w:val="20"/>
          <w:lang w:val="es-ES"/>
        </w:rPr>
      </w:pPr>
    </w:p>
    <w:p w14:paraId="0F037A9D"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b/>
          <w:sz w:val="20"/>
          <w:szCs w:val="20"/>
          <w:lang w:val="es-ES"/>
        </w:rPr>
        <w:lastRenderedPageBreak/>
        <w:t>En relación con la sexta recomendación</w:t>
      </w:r>
      <w:r w:rsidRPr="0084041C">
        <w:rPr>
          <w:rFonts w:ascii="Cambria" w:hAnsi="Cambria" w:cs="Calibri Light"/>
          <w:sz w:val="20"/>
          <w:szCs w:val="20"/>
          <w:lang w:val="es-ES"/>
        </w:rPr>
        <w:t xml:space="preserve">, en 2016, el Estado informó que la Octava Enmienda de la Constitución de Estados Unidos prohíbe la ejecución de personas que tienen “una discapacidad mental grave o que están locas”. </w:t>
      </w:r>
      <w:r w:rsidRPr="0084041C">
        <w:rPr>
          <w:rStyle w:val="CharacterStyle1"/>
          <w:rFonts w:ascii="Cambria" w:hAnsi="Cambria"/>
          <w:sz w:val="20"/>
          <w:szCs w:val="20"/>
          <w:lang w:val="es-ES"/>
        </w:rPr>
        <w:t xml:space="preserve">El Estado indicó que, en los últimos años, la Corte Suprema de Estados Unidos había reducido, aún más, tanto la clase de personas a las cuales podía imponerse la pena de muerte como los tipos de delitos punibles con esta pena. Por ejemplo, no se podía imponer la pena de muerte a menores con disminución grave de sus facultades mentales. Además, </w:t>
      </w:r>
      <w:r w:rsidRPr="0084041C">
        <w:rPr>
          <w:rFonts w:ascii="Cambria" w:hAnsi="Cambria"/>
          <w:sz w:val="20"/>
          <w:szCs w:val="20"/>
          <w:lang w:val="es-ES"/>
        </w:rPr>
        <w:t>el Estado expresó que la prueba de tal defensa en los casos en que un acusado tiene un abogado designado por el tribunal sería parte de la preparación de la defensa financiada por el tribunal</w:t>
      </w:r>
      <w:r w:rsidRPr="0084041C">
        <w:rPr>
          <w:rFonts w:ascii="Cambria" w:hAnsi="Cambria" w:cs="Calibri Light"/>
          <w:sz w:val="20"/>
          <w:szCs w:val="20"/>
          <w:lang w:val="es-ES"/>
        </w:rPr>
        <w:t xml:space="preserve">. </w:t>
      </w:r>
    </w:p>
    <w:p w14:paraId="13838878" w14:textId="77777777" w:rsidR="001A75B8" w:rsidRPr="0084041C" w:rsidRDefault="001A75B8" w:rsidP="001A75B8">
      <w:pPr>
        <w:pStyle w:val="ListParagraph"/>
        <w:rPr>
          <w:rFonts w:ascii="Cambria" w:hAnsi="Cambria" w:cs="Calibri Light"/>
          <w:sz w:val="20"/>
          <w:szCs w:val="20"/>
          <w:lang w:val="es-ES"/>
        </w:rPr>
      </w:pPr>
    </w:p>
    <w:p w14:paraId="3817163F"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 xml:space="preserve">En 2018, la peticionaria informó que el Estado no había tomado medidas adecuadas para cumplir esta recomendación. La peticionaria señaló que se había ejecutado a personas con discapacidades intelectuales y enfermedades mentales después de la publicación del Informe de Fondo </w:t>
      </w:r>
      <w:r w:rsidRPr="0084041C">
        <w:rPr>
          <w:rFonts w:ascii="Cambria" w:hAnsi="Cambria"/>
          <w:sz w:val="20"/>
          <w:szCs w:val="20"/>
          <w:lang w:val="es-ES"/>
        </w:rPr>
        <w:t>Nº</w:t>
      </w:r>
      <w:r w:rsidRPr="0084041C">
        <w:rPr>
          <w:rFonts w:ascii="Cambria" w:hAnsi="Cambria" w:cs="Calibri Light"/>
          <w:sz w:val="20"/>
          <w:szCs w:val="20"/>
          <w:lang w:val="es-ES"/>
        </w:rPr>
        <w:t xml:space="preserve"> 44/14 de la Comisión. Al respecto, mencionó el ejemplo de Roberto Moreno Ramos, ejecutado por el estado de Texas el 14 de noviembre de 2018.</w:t>
      </w:r>
    </w:p>
    <w:p w14:paraId="68BD40A2" w14:textId="77777777" w:rsidR="001A75B8" w:rsidRPr="0084041C" w:rsidRDefault="001A75B8" w:rsidP="001A75B8">
      <w:pPr>
        <w:pStyle w:val="ListParagraph"/>
        <w:rPr>
          <w:rFonts w:ascii="Cambria" w:hAnsi="Cambria" w:cs="Calibri Light"/>
          <w:sz w:val="20"/>
          <w:szCs w:val="20"/>
          <w:lang w:val="es-ES"/>
        </w:rPr>
      </w:pPr>
    </w:p>
    <w:p w14:paraId="3F656736"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 xml:space="preserve">La Comisión recibe con beneplácito la información proporcionada por el Estado de que la Constitución de Estados Unidos prohíbe la ejecución de personas con discapacidades mentales e intelectuales. Al mismo tiempo, la CIDH observa con preocupación la información presentada por la peticionaria, según la cual en Estados Unidos se sigue ejecutando a personas con discapacidades mentales e intelectuales. Por lo anterior, la Comisión considera que la Recomendación 6 sigue pendiente de cumplimiento. </w:t>
      </w:r>
    </w:p>
    <w:p w14:paraId="30354CB9" w14:textId="77777777" w:rsidR="001A75B8" w:rsidRPr="0084041C" w:rsidRDefault="001A75B8" w:rsidP="001A75B8">
      <w:pPr>
        <w:pStyle w:val="ListParagraph"/>
        <w:jc w:val="both"/>
        <w:rPr>
          <w:rFonts w:ascii="Cambria" w:hAnsi="Cambria" w:cs="Calibri Light"/>
          <w:sz w:val="20"/>
          <w:szCs w:val="20"/>
          <w:lang w:val="es-ES"/>
        </w:rPr>
      </w:pPr>
    </w:p>
    <w:p w14:paraId="07CD2157" w14:textId="77777777" w:rsidR="001A75B8" w:rsidRPr="0084041C" w:rsidRDefault="001A75B8" w:rsidP="001A75B8">
      <w:pPr>
        <w:pStyle w:val="Default"/>
        <w:numPr>
          <w:ilvl w:val="0"/>
          <w:numId w:val="12"/>
        </w:numPr>
        <w:jc w:val="both"/>
        <w:rPr>
          <w:color w:val="auto"/>
          <w:lang w:val="es-ES"/>
        </w:rPr>
      </w:pPr>
      <w:r w:rsidRPr="0084041C">
        <w:rPr>
          <w:b/>
          <w:color w:val="auto"/>
          <w:sz w:val="20"/>
          <w:szCs w:val="20"/>
          <w:lang w:val="es-ES"/>
        </w:rPr>
        <w:t>En relación con la séptima recomendación</w:t>
      </w:r>
      <w:r w:rsidRPr="0084041C">
        <w:rPr>
          <w:rFonts w:cs="Calibri Light"/>
          <w:color w:val="auto"/>
          <w:sz w:val="20"/>
          <w:szCs w:val="20"/>
          <w:lang w:val="es-ES"/>
        </w:rPr>
        <w:t xml:space="preserve">, </w:t>
      </w:r>
      <w:r w:rsidRPr="0084041C">
        <w:rPr>
          <w:color w:val="auto"/>
          <w:sz w:val="20"/>
          <w:szCs w:val="20"/>
          <w:lang w:val="es-ES"/>
        </w:rPr>
        <w:t>el Estado indicó que la Constitución de los Estados Unidos prohíbe el uso del aislamiento solitario en forma que constituya castigo cruel e inusual y requiere que el Estado se mantenga comprometido a prevenir abusos en cuanto a las condiciones de detención, protegiendo a los presos de tales abusos y llevando a la justicia a quienes los cometan. Además, el Estado señaló que a nivel federal los reclusos no se ven privados de contacto humano, actividades recreativas, estimulación ambiental o atención de salud médica o mental. Con respecto a las instalaciones estatales y locales, informó que la División de Derechos Civiles procura incansablemente aplicar las salvaguardias contra el “abuso de aislamiento” a los niveles estatal y local. Por último, el Estado manifestó que la información acerca de los delitos por los cuales puede recurrirse a la pena de muerte varía por jurisdicciones, aunque todos deben cumplir con la prohibición constitucional sobre castigo cruel e inusual</w:t>
      </w:r>
      <w:r w:rsidRPr="0084041C">
        <w:rPr>
          <w:rStyle w:val="FootnoteReference"/>
          <w:color w:val="auto"/>
          <w:sz w:val="20"/>
          <w:szCs w:val="20"/>
          <w:lang w:val="es-ES"/>
        </w:rPr>
        <w:footnoteReference w:id="19"/>
      </w:r>
      <w:r w:rsidRPr="0084041C">
        <w:rPr>
          <w:color w:val="auto"/>
          <w:sz w:val="20"/>
          <w:szCs w:val="20"/>
          <w:lang w:val="es-ES"/>
        </w:rPr>
        <w:t>.</w:t>
      </w:r>
      <w:r w:rsidRPr="0084041C">
        <w:rPr>
          <w:rFonts w:cs="Calibri Light"/>
          <w:color w:val="auto"/>
          <w:sz w:val="20"/>
          <w:szCs w:val="20"/>
          <w:lang w:val="es-ES"/>
        </w:rPr>
        <w:t xml:space="preserve"> </w:t>
      </w:r>
    </w:p>
    <w:p w14:paraId="6384A8B2" w14:textId="77777777" w:rsidR="001A75B8" w:rsidRPr="0084041C" w:rsidRDefault="001A75B8" w:rsidP="001A75B8">
      <w:pPr>
        <w:jc w:val="both"/>
        <w:rPr>
          <w:rFonts w:ascii="Cambria" w:hAnsi="Cambria" w:cs="Calibri Light"/>
          <w:sz w:val="20"/>
          <w:szCs w:val="20"/>
          <w:lang w:val="es-ES"/>
        </w:rPr>
      </w:pPr>
    </w:p>
    <w:p w14:paraId="7348A74D"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En 2018, la peticionaria informó que el Estado no había tomado medidas adecuadas para cumplir esta recomendación y señaló que se seguía usando el confinamiento solitario en el corredor de la muerte de Texas y en muchos otros establecimientos penitenciarios del país.</w:t>
      </w:r>
    </w:p>
    <w:p w14:paraId="454731BA" w14:textId="77777777" w:rsidR="001A75B8" w:rsidRPr="0084041C" w:rsidRDefault="001A75B8" w:rsidP="001A75B8">
      <w:pPr>
        <w:jc w:val="both"/>
        <w:rPr>
          <w:rFonts w:ascii="Cambria" w:hAnsi="Cambria" w:cs="Calibri Light"/>
          <w:sz w:val="20"/>
          <w:szCs w:val="20"/>
          <w:lang w:val="es-ES"/>
        </w:rPr>
      </w:pPr>
    </w:p>
    <w:p w14:paraId="574B970B"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 xml:space="preserve">La Comisión valora positivamente la información remitida por el Estado en relación con que la Constitución de Estados Unidos prohíbe el uso del confinamiento solitario al punto de catalogarlo como un castigo cruel e inusual. Al mismo tiempo, la CIDH ve con preocupación la información presentada por la peticionaria que indica que el confinamiento solitario continúa usándose en el país para las personas sentenciadas a pena de muerte. Por consiguiente, la Comisión concluye que la recomendación 7 sigue pendiente de cumplimiento. </w:t>
      </w:r>
    </w:p>
    <w:p w14:paraId="09EE5F1C" w14:textId="77777777" w:rsidR="001A75B8" w:rsidRPr="0084041C" w:rsidRDefault="001A75B8" w:rsidP="001A75B8">
      <w:pPr>
        <w:jc w:val="both"/>
        <w:rPr>
          <w:rFonts w:ascii="Cambria" w:hAnsi="Cambria" w:cs="Calibri Light"/>
          <w:sz w:val="20"/>
          <w:szCs w:val="20"/>
          <w:lang w:val="es-ES"/>
        </w:rPr>
      </w:pPr>
    </w:p>
    <w:p w14:paraId="18C36E0C" w14:textId="77777777" w:rsidR="001A75B8" w:rsidRPr="0084041C" w:rsidRDefault="001A75B8" w:rsidP="001A75B8">
      <w:pPr>
        <w:pStyle w:val="Default"/>
        <w:numPr>
          <w:ilvl w:val="0"/>
          <w:numId w:val="12"/>
        </w:numPr>
        <w:jc w:val="both"/>
        <w:rPr>
          <w:color w:val="auto"/>
          <w:lang w:val="es-ES"/>
        </w:rPr>
      </w:pPr>
      <w:r w:rsidRPr="0084041C">
        <w:rPr>
          <w:rFonts w:cs="Calibri Light"/>
          <w:b/>
          <w:color w:val="auto"/>
          <w:sz w:val="20"/>
          <w:szCs w:val="20"/>
          <w:lang w:val="es-ES"/>
        </w:rPr>
        <w:t>En relación con la octava recomendación</w:t>
      </w:r>
      <w:r w:rsidRPr="0084041C">
        <w:rPr>
          <w:rFonts w:cs="Calibri Light"/>
          <w:color w:val="auto"/>
          <w:sz w:val="20"/>
          <w:szCs w:val="20"/>
          <w:lang w:val="es-ES"/>
        </w:rPr>
        <w:t xml:space="preserve">, en 2014, </w:t>
      </w:r>
      <w:r w:rsidRPr="0084041C">
        <w:rPr>
          <w:color w:val="auto"/>
          <w:sz w:val="20"/>
          <w:szCs w:val="20"/>
          <w:lang w:val="es-ES"/>
        </w:rPr>
        <w:t>el Estado informa que, a nivel federal, los reclusos de la Oficina de Prisiones tienen oportunidades de visitas, correspondencia, actividades recreativas, diversos niveles de interacción con otros reclusos, estimulación ambiental y atención de salud médica y mental</w:t>
      </w:r>
      <w:r w:rsidRPr="0084041C">
        <w:rPr>
          <w:rStyle w:val="FootnoteReference"/>
          <w:color w:val="auto"/>
          <w:sz w:val="20"/>
          <w:szCs w:val="20"/>
          <w:lang w:val="es-ES"/>
        </w:rPr>
        <w:footnoteReference w:id="20"/>
      </w:r>
      <w:r w:rsidRPr="0084041C">
        <w:rPr>
          <w:color w:val="auto"/>
          <w:sz w:val="20"/>
          <w:szCs w:val="20"/>
          <w:lang w:val="es-ES"/>
        </w:rPr>
        <w:t>.</w:t>
      </w:r>
      <w:r w:rsidRPr="0084041C">
        <w:rPr>
          <w:rFonts w:cs="Calibri Light"/>
          <w:color w:val="auto"/>
          <w:sz w:val="20"/>
          <w:szCs w:val="20"/>
          <w:lang w:val="es-ES"/>
        </w:rPr>
        <w:t xml:space="preserve"> </w:t>
      </w:r>
    </w:p>
    <w:p w14:paraId="1C6170AB" w14:textId="77777777" w:rsidR="001A75B8" w:rsidRPr="0084041C" w:rsidRDefault="001A75B8" w:rsidP="001A75B8">
      <w:pPr>
        <w:jc w:val="both"/>
        <w:rPr>
          <w:rFonts w:ascii="Cambria" w:hAnsi="Cambria" w:cs="Calibri Light"/>
          <w:sz w:val="20"/>
          <w:szCs w:val="20"/>
          <w:lang w:val="es-ES"/>
        </w:rPr>
      </w:pPr>
    </w:p>
    <w:p w14:paraId="612C0D56"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 xml:space="preserve">En 2018, la peticionaria informó que el Estado no había tomado medidas adecuadas para cumplir esta recomendación. la peticionaria señaló que, hasta donde conoce, Estados Unidos no había tomado </w:t>
      </w:r>
      <w:r w:rsidRPr="0084041C">
        <w:rPr>
          <w:rFonts w:ascii="Cambria" w:hAnsi="Cambria" w:cs="Calibri Light"/>
          <w:sz w:val="20"/>
          <w:szCs w:val="20"/>
          <w:lang w:val="es-ES"/>
        </w:rPr>
        <w:lastRenderedPageBreak/>
        <w:t>medidas para aumentar el acceso de los condenados a pena de muerte a visitas familiares y programas ni había instado a los estados a que lo hicieran.</w:t>
      </w:r>
    </w:p>
    <w:p w14:paraId="72088570" w14:textId="77777777" w:rsidR="001A75B8" w:rsidRPr="0084041C" w:rsidRDefault="001A75B8" w:rsidP="001A75B8">
      <w:pPr>
        <w:pStyle w:val="ListParagraph"/>
        <w:rPr>
          <w:rFonts w:ascii="Cambria" w:hAnsi="Cambria" w:cs="Calibri Light"/>
          <w:sz w:val="20"/>
          <w:szCs w:val="20"/>
          <w:lang w:val="es-ES"/>
        </w:rPr>
      </w:pPr>
    </w:p>
    <w:p w14:paraId="4BF41ACA"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 xml:space="preserve">La Comisión observa que no ha recibido información detallada y actualizada sobre las medidas adoptadas por el Estado para cumplir con esta recomendación. Por lo anterior, la Comisión considera que la Recomendación 8 sigue pendiente de cumplimiento. </w:t>
      </w:r>
    </w:p>
    <w:p w14:paraId="6EB49005" w14:textId="77777777" w:rsidR="001A75B8" w:rsidRPr="0084041C" w:rsidRDefault="001A75B8" w:rsidP="001A75B8">
      <w:pPr>
        <w:pStyle w:val="Default"/>
        <w:ind w:left="720"/>
        <w:jc w:val="both"/>
        <w:rPr>
          <w:color w:val="auto"/>
          <w:lang w:val="es-ES"/>
        </w:rPr>
      </w:pPr>
    </w:p>
    <w:p w14:paraId="20060B73" w14:textId="77777777" w:rsidR="001A75B8" w:rsidRPr="0084041C" w:rsidRDefault="001A75B8" w:rsidP="001A75B8">
      <w:pPr>
        <w:pStyle w:val="Default"/>
        <w:numPr>
          <w:ilvl w:val="0"/>
          <w:numId w:val="12"/>
        </w:numPr>
        <w:jc w:val="both"/>
        <w:rPr>
          <w:color w:val="auto"/>
          <w:lang w:val="es-ES"/>
        </w:rPr>
      </w:pPr>
      <w:r w:rsidRPr="0084041C">
        <w:rPr>
          <w:rFonts w:cs="Calibri Light"/>
          <w:b/>
          <w:color w:val="auto"/>
          <w:sz w:val="20"/>
          <w:szCs w:val="20"/>
          <w:lang w:val="es-ES"/>
        </w:rPr>
        <w:t>En relación con la novena recomendación</w:t>
      </w:r>
      <w:r w:rsidRPr="0084041C">
        <w:rPr>
          <w:rFonts w:cs="Calibri Light"/>
          <w:color w:val="auto"/>
          <w:sz w:val="20"/>
          <w:szCs w:val="20"/>
          <w:lang w:val="es-ES"/>
        </w:rPr>
        <w:t xml:space="preserve">, en 2014, el Estado informó que </w:t>
      </w:r>
      <w:r w:rsidRPr="0084041C">
        <w:rPr>
          <w:color w:val="auto"/>
          <w:sz w:val="20"/>
          <w:szCs w:val="20"/>
          <w:lang w:val="es-ES"/>
        </w:rPr>
        <w:t>los reclusos presentan en forma rutinaria acciones ante los tribunales de los Estados Unidos, impugnando las condiciones de su detención y los fundamentos para su encarcelación</w:t>
      </w:r>
      <w:r w:rsidRPr="0084041C">
        <w:rPr>
          <w:rStyle w:val="FootnoteReference"/>
          <w:color w:val="auto"/>
          <w:sz w:val="20"/>
          <w:szCs w:val="20"/>
          <w:lang w:val="es-ES"/>
        </w:rPr>
        <w:footnoteReference w:id="21"/>
      </w:r>
      <w:r w:rsidRPr="0084041C">
        <w:rPr>
          <w:color w:val="auto"/>
          <w:sz w:val="20"/>
          <w:szCs w:val="20"/>
          <w:lang w:val="es-ES"/>
        </w:rPr>
        <w:t>.</w:t>
      </w:r>
      <w:r w:rsidRPr="0084041C">
        <w:rPr>
          <w:rFonts w:cs="Calibri Light"/>
          <w:color w:val="auto"/>
          <w:sz w:val="20"/>
          <w:szCs w:val="20"/>
          <w:lang w:val="es-ES"/>
        </w:rPr>
        <w:t xml:space="preserve"> En 2016, el Estado señaló que la Octava Enmienda de la Constitución de Estados Unidos prohíbe el uso de métodos de ejecución que constituyan un castigo cruel e inusitado.</w:t>
      </w:r>
    </w:p>
    <w:p w14:paraId="22F20987" w14:textId="77777777" w:rsidR="001A75B8" w:rsidRPr="0084041C" w:rsidRDefault="001A75B8" w:rsidP="001A75B8">
      <w:pPr>
        <w:pStyle w:val="ListParagraph"/>
        <w:rPr>
          <w:rFonts w:ascii="Cambria" w:hAnsi="Cambria" w:cs="Calibri Light"/>
          <w:sz w:val="20"/>
          <w:szCs w:val="20"/>
          <w:lang w:val="es-ES"/>
        </w:rPr>
      </w:pPr>
    </w:p>
    <w:p w14:paraId="3A645636"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En 2018, la peticionaria informó que, con respecto a las inyecciones letales, los estados seguían obstaculizando los intentos de los presos de obtener información sobre las fuentes de los fármacos utilizados en ejecuciones y los protocolos empleados.</w:t>
      </w:r>
    </w:p>
    <w:p w14:paraId="364C2B1C" w14:textId="77777777" w:rsidR="001A75B8" w:rsidRPr="0084041C" w:rsidRDefault="001A75B8" w:rsidP="001A75B8">
      <w:pPr>
        <w:jc w:val="both"/>
        <w:rPr>
          <w:rFonts w:ascii="Cambria" w:hAnsi="Cambria" w:cs="Calibri Light"/>
          <w:sz w:val="20"/>
          <w:szCs w:val="20"/>
          <w:lang w:val="es-ES"/>
        </w:rPr>
      </w:pPr>
    </w:p>
    <w:p w14:paraId="231EB4AE"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 xml:space="preserve">La Comisión observa con preocupación la información presentada por la peticionaria conforme a la cual las personas condenadas a muerte enfrentan obstáculos para obtener información sobre la manera en que serán ejecutadas. Por lo anterior, la Comisión considera que la Recomendación 9 sigue pendiente de cumplimiento. </w:t>
      </w:r>
    </w:p>
    <w:p w14:paraId="6C063314" w14:textId="77777777" w:rsidR="001A75B8" w:rsidRPr="0084041C" w:rsidRDefault="001A75B8" w:rsidP="001A75B8">
      <w:pPr>
        <w:jc w:val="both"/>
        <w:rPr>
          <w:rFonts w:ascii="Cambria" w:hAnsi="Cambria" w:cs="Calibri Light"/>
          <w:sz w:val="20"/>
          <w:szCs w:val="20"/>
          <w:lang w:val="es-ES"/>
        </w:rPr>
      </w:pPr>
    </w:p>
    <w:p w14:paraId="44E26520" w14:textId="77777777" w:rsidR="001A75B8" w:rsidRPr="0084041C" w:rsidRDefault="001A75B8" w:rsidP="001A75B8">
      <w:pPr>
        <w:pStyle w:val="Default"/>
        <w:numPr>
          <w:ilvl w:val="0"/>
          <w:numId w:val="12"/>
        </w:numPr>
        <w:jc w:val="both"/>
        <w:rPr>
          <w:color w:val="auto"/>
          <w:lang w:val="es-ES"/>
        </w:rPr>
      </w:pPr>
      <w:r w:rsidRPr="0084041C">
        <w:rPr>
          <w:rFonts w:cs="Calibri Light"/>
          <w:b/>
          <w:color w:val="auto"/>
          <w:sz w:val="20"/>
          <w:szCs w:val="20"/>
          <w:lang w:val="es-ES"/>
        </w:rPr>
        <w:t>En relación con la décima recomendación</w:t>
      </w:r>
      <w:r w:rsidRPr="0084041C">
        <w:rPr>
          <w:rFonts w:cs="Calibri Light"/>
          <w:color w:val="auto"/>
          <w:sz w:val="20"/>
          <w:szCs w:val="20"/>
          <w:lang w:val="es-ES"/>
        </w:rPr>
        <w:t xml:space="preserve">, en 2014, </w:t>
      </w:r>
      <w:r w:rsidRPr="0084041C">
        <w:rPr>
          <w:color w:val="auto"/>
          <w:sz w:val="20"/>
          <w:szCs w:val="20"/>
          <w:lang w:val="es-ES"/>
        </w:rPr>
        <w:t>el Estado indicó que actualmente existe una moratoria sobre la pena de muerte en ciertas jurisdicciones de los Estados Unidos; sin embargo, ése no es el caso en otros estados, o a nivel del Gobierno Federal</w:t>
      </w:r>
      <w:r w:rsidRPr="0084041C">
        <w:rPr>
          <w:rStyle w:val="FootnoteReference"/>
          <w:color w:val="auto"/>
          <w:sz w:val="20"/>
          <w:szCs w:val="20"/>
          <w:lang w:val="es-ES"/>
        </w:rPr>
        <w:footnoteReference w:id="22"/>
      </w:r>
      <w:r w:rsidRPr="0084041C">
        <w:rPr>
          <w:color w:val="auto"/>
          <w:sz w:val="20"/>
          <w:szCs w:val="20"/>
          <w:lang w:val="es-ES"/>
        </w:rPr>
        <w:t>.</w:t>
      </w:r>
      <w:r w:rsidRPr="0084041C">
        <w:rPr>
          <w:rFonts w:cs="Calibri Light"/>
          <w:color w:val="auto"/>
          <w:sz w:val="20"/>
          <w:szCs w:val="20"/>
          <w:lang w:val="es-ES"/>
        </w:rPr>
        <w:t xml:space="preserve"> </w:t>
      </w:r>
      <w:r w:rsidRPr="0084041C">
        <w:rPr>
          <w:color w:val="auto"/>
          <w:sz w:val="20"/>
          <w:szCs w:val="20"/>
          <w:lang w:val="es-ES"/>
        </w:rPr>
        <w:t xml:space="preserve">En 2016, el Estado informó que el derecho internacional no prohibía la pena capital. Agregó que la Corte Suprema de Estados Unidos había confirmado el uso de la pena de muerte para los delitos más graves, siempre que se </w:t>
      </w:r>
      <w:r w:rsidRPr="0084041C">
        <w:rPr>
          <w:rStyle w:val="CharacterStyle1"/>
          <w:color w:val="auto"/>
          <w:sz w:val="20"/>
          <w:szCs w:val="20"/>
          <w:lang w:val="es-ES"/>
        </w:rPr>
        <w:t xml:space="preserve">aplicara de conformidad con las garantías procesales de la Constitución y otras leyes pertinentes. </w:t>
      </w:r>
      <w:r w:rsidRPr="0084041C">
        <w:rPr>
          <w:rStyle w:val="CharacterStyle1"/>
          <w:color w:val="auto"/>
          <w:spacing w:val="5"/>
          <w:sz w:val="20"/>
          <w:szCs w:val="20"/>
          <w:lang w:val="es-ES"/>
        </w:rPr>
        <w:t xml:space="preserve">El Estado informó que, en años recientes, </w:t>
      </w:r>
      <w:r w:rsidRPr="0084041C">
        <w:rPr>
          <w:color w:val="auto"/>
          <w:spacing w:val="-1"/>
          <w:sz w:val="20"/>
          <w:szCs w:val="20"/>
          <w:lang w:val="es-ES"/>
        </w:rPr>
        <w:t>la Corte Suprema de Estados Unidos había reducido aún más tanto la clase de personas a las cuales podía imponerse la pena de muerte como los tipos de delitos punibles con esta pena. Por ejemplo, no se podía imponer la pena de muerte a menores con disminución grave de sus facultades mentales.</w:t>
      </w:r>
    </w:p>
    <w:p w14:paraId="3C4E54F7" w14:textId="77777777" w:rsidR="001A75B8" w:rsidRPr="0084041C" w:rsidRDefault="001A75B8" w:rsidP="001A75B8">
      <w:pPr>
        <w:pStyle w:val="ListParagraph"/>
        <w:jc w:val="both"/>
        <w:rPr>
          <w:rFonts w:ascii="Cambria" w:hAnsi="Cambria" w:cs="Calibri Light"/>
          <w:sz w:val="20"/>
          <w:szCs w:val="20"/>
          <w:lang w:val="es-ES"/>
        </w:rPr>
      </w:pPr>
    </w:p>
    <w:p w14:paraId="241E677E"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En 2018, la peticionaria informó que el Estado no había tomado medidas para imponer una moratoria a las ejecuciones. La peticionaria exhortó a la CIDH a que reiterara su llamamiento a una moratoria nacional para las ejecuciones.</w:t>
      </w:r>
    </w:p>
    <w:p w14:paraId="3D75057F" w14:textId="77777777" w:rsidR="001A75B8" w:rsidRPr="0084041C" w:rsidRDefault="001A75B8" w:rsidP="001A75B8">
      <w:pPr>
        <w:pStyle w:val="ListParagraph"/>
        <w:rPr>
          <w:rFonts w:ascii="Cambria" w:hAnsi="Cambria" w:cs="Calibri Light"/>
          <w:sz w:val="20"/>
          <w:szCs w:val="20"/>
          <w:lang w:val="es-ES"/>
        </w:rPr>
      </w:pPr>
    </w:p>
    <w:p w14:paraId="4D609FDE"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Por lo anterior, la Comisión considera que la Recomendación 10 sigue pendiente de cumplimiento.</w:t>
      </w:r>
    </w:p>
    <w:p w14:paraId="0EE1F379" w14:textId="77777777" w:rsidR="001A75B8" w:rsidRPr="0084041C" w:rsidRDefault="001A75B8" w:rsidP="001A75B8">
      <w:pPr>
        <w:pStyle w:val="ListParagraph"/>
        <w:jc w:val="both"/>
        <w:rPr>
          <w:rFonts w:ascii="Cambria" w:hAnsi="Cambria" w:cs="Calibri Light"/>
          <w:sz w:val="20"/>
          <w:szCs w:val="20"/>
          <w:lang w:val="es-ES"/>
        </w:rPr>
      </w:pPr>
    </w:p>
    <w:p w14:paraId="0D462B0C" w14:textId="77777777" w:rsidR="001A75B8" w:rsidRPr="0084041C" w:rsidRDefault="001A75B8" w:rsidP="001A75B8">
      <w:pPr>
        <w:pStyle w:val="FootnoteText"/>
        <w:numPr>
          <w:ilvl w:val="0"/>
          <w:numId w:val="8"/>
        </w:numPr>
        <w:ind w:left="1440"/>
        <w:jc w:val="both"/>
        <w:rPr>
          <w:rFonts w:ascii="Cambria" w:hAnsi="Cambria" w:cs="Calibri Light"/>
          <w:b/>
          <w:lang w:val="es-ES"/>
        </w:rPr>
      </w:pPr>
      <w:r w:rsidRPr="0084041C">
        <w:rPr>
          <w:rFonts w:ascii="Cambria" w:hAnsi="Cambria" w:cs="Calibri Light"/>
          <w:b/>
          <w:lang w:val="es-ES"/>
        </w:rPr>
        <w:t>Nivel del cumplimiento del caso</w:t>
      </w:r>
    </w:p>
    <w:p w14:paraId="57EE26C7" w14:textId="77777777" w:rsidR="001A75B8" w:rsidRPr="0084041C" w:rsidRDefault="001A75B8" w:rsidP="001A75B8">
      <w:pPr>
        <w:jc w:val="both"/>
        <w:rPr>
          <w:rFonts w:ascii="Cambria" w:hAnsi="Cambria" w:cs="Calibri Light"/>
          <w:sz w:val="20"/>
          <w:szCs w:val="20"/>
          <w:lang w:val="es-ES"/>
        </w:rPr>
      </w:pPr>
    </w:p>
    <w:p w14:paraId="66527BB4"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Por lo anterior, la Comisión concluye que el nivel de cumplimiento del caso es parcial. En consecuencia, la Comisión seguirá supervisando el cumplimiento de todas las recomendaciones.</w:t>
      </w:r>
    </w:p>
    <w:p w14:paraId="05609950" w14:textId="77777777" w:rsidR="001A75B8" w:rsidRPr="0084041C" w:rsidRDefault="001A75B8" w:rsidP="001A75B8">
      <w:pPr>
        <w:pStyle w:val="ListParagraph"/>
        <w:jc w:val="both"/>
        <w:rPr>
          <w:rFonts w:ascii="Cambria" w:hAnsi="Cambria" w:cs="Calibri Light"/>
          <w:sz w:val="20"/>
          <w:szCs w:val="20"/>
          <w:lang w:val="es-ES"/>
        </w:rPr>
      </w:pPr>
    </w:p>
    <w:p w14:paraId="65E63B45"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t>La Comisión insta al Estado a que adopte las acciones para implementar las recomendaciones incluidas en el Informe de Fondo</w:t>
      </w:r>
      <w:r w:rsidRPr="0084041C">
        <w:rPr>
          <w:rFonts w:ascii="Cambria" w:hAnsi="Cambria"/>
          <w:b/>
          <w:sz w:val="20"/>
          <w:szCs w:val="20"/>
          <w:lang w:val="es-ES"/>
        </w:rPr>
        <w:t xml:space="preserve"> </w:t>
      </w:r>
      <w:r w:rsidRPr="0084041C">
        <w:rPr>
          <w:rFonts w:ascii="Cambria" w:hAnsi="Cambria"/>
          <w:sz w:val="20"/>
          <w:szCs w:val="20"/>
          <w:lang w:val="es-ES"/>
        </w:rPr>
        <w:t>Nº</w:t>
      </w:r>
      <w:r w:rsidRPr="0084041C">
        <w:rPr>
          <w:rFonts w:ascii="Cambria" w:hAnsi="Cambria" w:cs="Calibri Light"/>
          <w:sz w:val="20"/>
          <w:szCs w:val="20"/>
          <w:lang w:val="es-ES"/>
        </w:rPr>
        <w:t xml:space="preserve"> 44/14 y a que provea a la Comisión con información detallada y actualizada sobre estas acciones.</w:t>
      </w:r>
    </w:p>
    <w:p w14:paraId="4C7CC286" w14:textId="77777777" w:rsidR="001A75B8" w:rsidRPr="0084041C" w:rsidRDefault="001A75B8" w:rsidP="001A75B8">
      <w:pPr>
        <w:jc w:val="both"/>
        <w:rPr>
          <w:rFonts w:ascii="Cambria" w:hAnsi="Cambria"/>
          <w:sz w:val="20"/>
          <w:szCs w:val="20"/>
          <w:lang w:val="es-ES"/>
        </w:rPr>
      </w:pPr>
    </w:p>
    <w:p w14:paraId="693F5D34" w14:textId="77777777" w:rsidR="001A75B8" w:rsidRPr="0084041C" w:rsidRDefault="001A75B8" w:rsidP="001A75B8">
      <w:pPr>
        <w:pStyle w:val="ListParagraph"/>
        <w:numPr>
          <w:ilvl w:val="0"/>
          <w:numId w:val="8"/>
        </w:numPr>
        <w:ind w:left="1440"/>
        <w:jc w:val="both"/>
        <w:rPr>
          <w:rFonts w:ascii="Cambria" w:hAnsi="Cambria"/>
          <w:b/>
          <w:sz w:val="20"/>
          <w:szCs w:val="20"/>
          <w:lang w:val="es-ES"/>
        </w:rPr>
      </w:pPr>
      <w:r w:rsidRPr="0084041C">
        <w:rPr>
          <w:rFonts w:ascii="Cambria" w:hAnsi="Cambria"/>
          <w:b/>
          <w:sz w:val="20"/>
          <w:szCs w:val="20"/>
          <w:lang w:val="es-ES"/>
        </w:rPr>
        <w:t>Resultados individuales y estructurales del caso</w:t>
      </w:r>
    </w:p>
    <w:p w14:paraId="3EE77B84" w14:textId="77777777" w:rsidR="001A75B8" w:rsidRPr="0084041C" w:rsidRDefault="001A75B8" w:rsidP="001A75B8">
      <w:pPr>
        <w:pStyle w:val="ListParagraph"/>
        <w:ind w:left="1080"/>
        <w:jc w:val="both"/>
        <w:rPr>
          <w:rFonts w:ascii="Cambria" w:hAnsi="Cambria"/>
          <w:b/>
          <w:sz w:val="20"/>
          <w:szCs w:val="20"/>
          <w:lang w:val="es-ES"/>
        </w:rPr>
      </w:pPr>
    </w:p>
    <w:p w14:paraId="517A58CF" w14:textId="77777777" w:rsidR="001A75B8" w:rsidRPr="0084041C" w:rsidRDefault="001A75B8" w:rsidP="001A75B8">
      <w:pPr>
        <w:pStyle w:val="ListParagraph"/>
        <w:numPr>
          <w:ilvl w:val="0"/>
          <w:numId w:val="12"/>
        </w:numPr>
        <w:jc w:val="both"/>
        <w:rPr>
          <w:rFonts w:ascii="Cambria" w:hAnsi="Cambria" w:cs="Calibri Light"/>
          <w:sz w:val="20"/>
          <w:szCs w:val="20"/>
          <w:lang w:val="es-ES"/>
        </w:rPr>
      </w:pPr>
      <w:r w:rsidRPr="0084041C">
        <w:rPr>
          <w:rFonts w:ascii="Cambria" w:hAnsi="Cambria" w:cs="Calibri Light"/>
          <w:sz w:val="20"/>
          <w:szCs w:val="20"/>
          <w:lang w:val="es-ES"/>
        </w:rPr>
        <w:lastRenderedPageBreak/>
        <w:t xml:space="preserve">En esta sección se destacan los resultados individuales y estructurales del caso informados por las partes. </w:t>
      </w:r>
    </w:p>
    <w:p w14:paraId="5DADDF94" w14:textId="77777777" w:rsidR="001A75B8" w:rsidRPr="0084041C" w:rsidRDefault="001A75B8" w:rsidP="001A75B8">
      <w:pPr>
        <w:jc w:val="both"/>
        <w:rPr>
          <w:rFonts w:ascii="Cambria" w:hAnsi="Cambria"/>
          <w:b/>
          <w:sz w:val="20"/>
          <w:szCs w:val="20"/>
          <w:lang w:val="es-ES"/>
        </w:rPr>
      </w:pPr>
    </w:p>
    <w:p w14:paraId="72671D8F" w14:textId="77777777" w:rsidR="001A75B8" w:rsidRPr="0084041C" w:rsidRDefault="001A75B8" w:rsidP="001A75B8">
      <w:pPr>
        <w:pStyle w:val="ListParagraph"/>
        <w:numPr>
          <w:ilvl w:val="0"/>
          <w:numId w:val="10"/>
        </w:numPr>
        <w:ind w:left="1440" w:hanging="720"/>
        <w:jc w:val="both"/>
        <w:rPr>
          <w:rFonts w:ascii="Cambria" w:hAnsi="Cambria"/>
          <w:b/>
          <w:sz w:val="20"/>
          <w:szCs w:val="20"/>
          <w:lang w:val="es-ES"/>
        </w:rPr>
      </w:pPr>
      <w:r w:rsidRPr="0084041C">
        <w:rPr>
          <w:rFonts w:ascii="Cambria" w:hAnsi="Cambria"/>
          <w:b/>
          <w:sz w:val="20"/>
          <w:szCs w:val="20"/>
          <w:lang w:val="es-ES"/>
        </w:rPr>
        <w:t>Resultados individuales del caso</w:t>
      </w:r>
    </w:p>
    <w:p w14:paraId="78E5ED42" w14:textId="77777777" w:rsidR="001A75B8" w:rsidRPr="0084041C" w:rsidRDefault="001A75B8" w:rsidP="001A75B8">
      <w:pPr>
        <w:jc w:val="both"/>
        <w:rPr>
          <w:rFonts w:ascii="Cambria" w:hAnsi="Cambria"/>
          <w:b/>
          <w:sz w:val="20"/>
          <w:szCs w:val="20"/>
          <w:lang w:val="es-ES"/>
        </w:rPr>
      </w:pPr>
    </w:p>
    <w:p w14:paraId="27CBF5FD" w14:textId="77777777" w:rsidR="001A75B8" w:rsidRPr="0084041C" w:rsidRDefault="001A75B8" w:rsidP="001A75B8">
      <w:pPr>
        <w:pStyle w:val="ListParagraph"/>
        <w:numPr>
          <w:ilvl w:val="0"/>
          <w:numId w:val="11"/>
        </w:numPr>
        <w:jc w:val="both"/>
        <w:rPr>
          <w:rFonts w:ascii="Cambria" w:hAnsi="Cambria"/>
          <w:sz w:val="20"/>
          <w:szCs w:val="20"/>
          <w:lang w:val="es-ES"/>
        </w:rPr>
      </w:pPr>
      <w:r w:rsidRPr="0084041C">
        <w:rPr>
          <w:rFonts w:ascii="Cambria" w:hAnsi="Cambria" w:cs="Calibri Light"/>
          <w:sz w:val="20"/>
          <w:szCs w:val="20"/>
          <w:lang w:val="es-ES"/>
        </w:rPr>
        <w:t>No hay resultados individuales informados por las partes</w:t>
      </w:r>
      <w:r w:rsidRPr="0084041C">
        <w:rPr>
          <w:rFonts w:ascii="Cambria" w:hAnsi="Cambria"/>
          <w:sz w:val="20"/>
          <w:szCs w:val="20"/>
          <w:lang w:val="es-ES"/>
        </w:rPr>
        <w:t xml:space="preserve">. </w:t>
      </w:r>
    </w:p>
    <w:p w14:paraId="56A8ABDF" w14:textId="77777777" w:rsidR="001A75B8" w:rsidRPr="0084041C" w:rsidRDefault="001A75B8" w:rsidP="001A75B8">
      <w:pPr>
        <w:jc w:val="both"/>
        <w:rPr>
          <w:rFonts w:ascii="Cambria" w:hAnsi="Cambria"/>
          <w:sz w:val="20"/>
          <w:szCs w:val="20"/>
          <w:lang w:val="es-ES"/>
        </w:rPr>
      </w:pPr>
    </w:p>
    <w:p w14:paraId="1FD6765C" w14:textId="77777777" w:rsidR="001A75B8" w:rsidRPr="0084041C" w:rsidRDefault="001A75B8" w:rsidP="001A75B8">
      <w:pPr>
        <w:pStyle w:val="ListParagraph"/>
        <w:numPr>
          <w:ilvl w:val="0"/>
          <w:numId w:val="10"/>
        </w:numPr>
        <w:ind w:left="1440" w:hanging="720"/>
        <w:jc w:val="both"/>
        <w:rPr>
          <w:rFonts w:ascii="Cambria" w:hAnsi="Cambria"/>
          <w:b/>
          <w:sz w:val="20"/>
          <w:szCs w:val="20"/>
          <w:lang w:val="es-ES"/>
        </w:rPr>
      </w:pPr>
      <w:r w:rsidRPr="0084041C">
        <w:rPr>
          <w:rFonts w:ascii="Cambria" w:hAnsi="Cambria"/>
          <w:b/>
          <w:sz w:val="20"/>
          <w:szCs w:val="20"/>
          <w:lang w:val="es-ES"/>
        </w:rPr>
        <w:t>Resultados estructurales del caso</w:t>
      </w:r>
    </w:p>
    <w:p w14:paraId="018773EE" w14:textId="77777777" w:rsidR="001A75B8" w:rsidRPr="0084041C" w:rsidRDefault="001A75B8" w:rsidP="001A75B8">
      <w:pPr>
        <w:pStyle w:val="ListParagraph"/>
        <w:jc w:val="both"/>
        <w:rPr>
          <w:rFonts w:ascii="Cambria" w:hAnsi="Cambria"/>
          <w:b/>
          <w:sz w:val="20"/>
          <w:szCs w:val="20"/>
          <w:lang w:val="es-ES"/>
        </w:rPr>
      </w:pPr>
    </w:p>
    <w:p w14:paraId="44771008" w14:textId="77777777" w:rsidR="001A75B8" w:rsidRPr="0084041C" w:rsidRDefault="001A75B8" w:rsidP="001A75B8">
      <w:pPr>
        <w:jc w:val="both"/>
        <w:rPr>
          <w:rFonts w:ascii="Cambria" w:hAnsi="Cambria"/>
          <w:i/>
          <w:sz w:val="20"/>
          <w:szCs w:val="20"/>
          <w:lang w:val="es-ES"/>
        </w:rPr>
      </w:pPr>
      <w:r w:rsidRPr="0084041C">
        <w:rPr>
          <w:rFonts w:ascii="Cambria" w:hAnsi="Cambria"/>
          <w:i/>
          <w:sz w:val="20"/>
          <w:szCs w:val="20"/>
          <w:lang w:val="es-ES"/>
        </w:rPr>
        <w:t>Fortalecimiento institucional</w:t>
      </w:r>
    </w:p>
    <w:p w14:paraId="26AEE0F2" w14:textId="77777777" w:rsidR="001A75B8" w:rsidRPr="0084041C" w:rsidRDefault="001A75B8" w:rsidP="001A75B8">
      <w:pPr>
        <w:pStyle w:val="ListParagraph"/>
        <w:numPr>
          <w:ilvl w:val="0"/>
          <w:numId w:val="11"/>
        </w:numPr>
        <w:jc w:val="both"/>
        <w:rPr>
          <w:rFonts w:ascii="Cambria" w:hAnsi="Cambria"/>
          <w:sz w:val="20"/>
          <w:szCs w:val="20"/>
          <w:lang w:val="es-ES"/>
        </w:rPr>
      </w:pPr>
      <w:r w:rsidRPr="0084041C">
        <w:rPr>
          <w:rFonts w:ascii="Cambria" w:hAnsi="Cambria"/>
          <w:sz w:val="20"/>
          <w:szCs w:val="20"/>
          <w:lang w:val="es-ES"/>
        </w:rPr>
        <w:t>Publicación del Manual Consular</w:t>
      </w:r>
      <w:r w:rsidRPr="0084041C">
        <w:rPr>
          <w:rFonts w:ascii="Cambria" w:hAnsi="Cambria"/>
          <w:i/>
          <w:sz w:val="20"/>
          <w:szCs w:val="20"/>
          <w:lang w:val="es-ES"/>
        </w:rPr>
        <w:t xml:space="preserve"> “</w:t>
      </w:r>
      <w:r w:rsidRPr="0084041C">
        <w:rPr>
          <w:rFonts w:ascii="Cambria" w:hAnsi="Cambria"/>
          <w:sz w:val="20"/>
          <w:szCs w:val="20"/>
          <w:lang w:val="es-ES"/>
        </w:rPr>
        <w:t xml:space="preserve">Notificación y acceso consulares: Instrucciones para las fuerzas federales, estatales y locales y otros funcionarios con respecto a los ciudadanos extranjeros en Estados Unidos y los derechos de los funcionarios consulares a ayudarles”, que proporciona instrucciones a funcionarios policiales y penitenciarios sobre lo que se debe hacer cuando se detiene o arresta a un ciudadano extranjero, a fin de cumplir las disposiciones de la Convención de Viena y los acuerdos consulares bilaterales (última revisión: septiembre de 2018). </w:t>
      </w:r>
    </w:p>
    <w:p w14:paraId="1DF86148" w14:textId="77777777" w:rsidR="001A75B8" w:rsidRPr="0084041C" w:rsidRDefault="001A75B8" w:rsidP="001A75B8">
      <w:pPr>
        <w:pStyle w:val="ListParagraph"/>
        <w:numPr>
          <w:ilvl w:val="0"/>
          <w:numId w:val="11"/>
        </w:numPr>
        <w:jc w:val="both"/>
        <w:rPr>
          <w:rFonts w:ascii="Cambria" w:hAnsi="Cambria"/>
          <w:sz w:val="20"/>
          <w:szCs w:val="20"/>
          <w:lang w:val="es-ES"/>
        </w:rPr>
      </w:pPr>
      <w:r w:rsidRPr="0084041C">
        <w:rPr>
          <w:rFonts w:ascii="Cambria" w:hAnsi="Cambria"/>
          <w:sz w:val="20"/>
          <w:szCs w:val="20"/>
          <w:lang w:val="es-ES"/>
        </w:rPr>
        <w:t>Distribución del Manual Consular</w:t>
      </w:r>
      <w:r w:rsidRPr="0084041C">
        <w:rPr>
          <w:rFonts w:ascii="Cambria" w:hAnsi="Cambria"/>
          <w:i/>
          <w:sz w:val="20"/>
          <w:szCs w:val="20"/>
          <w:lang w:val="es-ES"/>
        </w:rPr>
        <w:t xml:space="preserve"> “</w:t>
      </w:r>
      <w:r w:rsidRPr="0084041C">
        <w:rPr>
          <w:rFonts w:ascii="Cambria" w:hAnsi="Cambria"/>
          <w:sz w:val="20"/>
          <w:szCs w:val="20"/>
          <w:lang w:val="es-ES"/>
        </w:rPr>
        <w:t>Notificación y acceso consulares: Instrucciones para las fuerzas federales, estatales y locales y otros funcionarios con respecto a los ciudadanos extranjeros en Estados Unidos y los derechos de los funcionarios consulares a ayudarles”</w:t>
      </w:r>
      <w:r w:rsidRPr="0084041C">
        <w:rPr>
          <w:rFonts w:ascii="Cambria" w:hAnsi="Cambria"/>
          <w:i/>
          <w:sz w:val="20"/>
          <w:szCs w:val="20"/>
          <w:lang w:val="es-ES"/>
        </w:rPr>
        <w:t xml:space="preserve"> </w:t>
      </w:r>
      <w:r w:rsidRPr="0084041C">
        <w:rPr>
          <w:rFonts w:ascii="Cambria" w:hAnsi="Cambria"/>
          <w:sz w:val="20"/>
          <w:szCs w:val="20"/>
          <w:lang w:val="es-ES"/>
        </w:rPr>
        <w:t xml:space="preserve">a </w:t>
      </w:r>
      <w:r w:rsidRPr="0084041C">
        <w:rPr>
          <w:rFonts w:ascii="Cambria" w:hAnsi="Cambria"/>
          <w:spacing w:val="-2"/>
          <w:sz w:val="20"/>
          <w:szCs w:val="20"/>
          <w:lang w:val="es-ES"/>
        </w:rPr>
        <w:t>funcionarios federales, estatales y locales; organismos federales y estatales; oficinas de gobernadores y alcaldías; colegios de abogados; asociaciones penitenciarias y consulados extranjeros en Estados Unidos, entre otros</w:t>
      </w:r>
      <w:r w:rsidRPr="0084041C">
        <w:rPr>
          <w:rFonts w:ascii="Cambria" w:hAnsi="Cambria"/>
          <w:sz w:val="20"/>
          <w:szCs w:val="20"/>
          <w:lang w:val="es-ES"/>
        </w:rPr>
        <w:t xml:space="preserve">. A 2014, el Estado </w:t>
      </w:r>
      <w:r w:rsidRPr="0084041C">
        <w:rPr>
          <w:rFonts w:ascii="Cambria" w:hAnsi="Cambria"/>
          <w:spacing w:val="-2"/>
          <w:sz w:val="20"/>
          <w:szCs w:val="20"/>
          <w:lang w:val="es-ES"/>
        </w:rPr>
        <w:t>había distribuido más de 200.000 manuales y 1,5 millones de tarjetas de bolsillo</w:t>
      </w:r>
      <w:r w:rsidRPr="0084041C">
        <w:rPr>
          <w:rFonts w:ascii="Cambria" w:hAnsi="Cambria"/>
          <w:sz w:val="20"/>
          <w:szCs w:val="20"/>
          <w:lang w:val="es-ES"/>
        </w:rPr>
        <w:t xml:space="preserve"> en todo el país.</w:t>
      </w:r>
    </w:p>
    <w:p w14:paraId="5CB8D7ED" w14:textId="77777777" w:rsidR="001A75B8" w:rsidRPr="0084041C" w:rsidRDefault="001A75B8" w:rsidP="001A75B8">
      <w:pPr>
        <w:pStyle w:val="ListParagraph"/>
        <w:numPr>
          <w:ilvl w:val="0"/>
          <w:numId w:val="11"/>
        </w:numPr>
        <w:jc w:val="both"/>
        <w:rPr>
          <w:rFonts w:ascii="Cambria" w:hAnsi="Cambria"/>
          <w:sz w:val="20"/>
          <w:szCs w:val="20"/>
          <w:lang w:val="es-ES"/>
        </w:rPr>
      </w:pPr>
      <w:r w:rsidRPr="0084041C">
        <w:rPr>
          <w:rFonts w:ascii="Cambria" w:hAnsi="Cambria"/>
          <w:sz w:val="20"/>
          <w:szCs w:val="20"/>
          <w:lang w:val="es-ES"/>
        </w:rPr>
        <w:t xml:space="preserve">De 1998 a 2014, </w:t>
      </w:r>
      <w:r w:rsidRPr="0084041C">
        <w:rPr>
          <w:rFonts w:ascii="Cambria" w:hAnsi="Cambria"/>
          <w:spacing w:val="-2"/>
          <w:sz w:val="20"/>
          <w:szCs w:val="20"/>
          <w:lang w:val="es-ES"/>
        </w:rPr>
        <w:t>el Departamento de Estado</w:t>
      </w:r>
      <w:r w:rsidRPr="0084041C">
        <w:rPr>
          <w:rFonts w:ascii="Cambria" w:hAnsi="Cambria"/>
          <w:sz w:val="20"/>
          <w:szCs w:val="20"/>
          <w:lang w:val="es-ES"/>
        </w:rPr>
        <w:t xml:space="preserve"> de Estados Unidos realizó casi </w:t>
      </w:r>
      <w:r w:rsidRPr="0084041C">
        <w:rPr>
          <w:rFonts w:ascii="Cambria" w:hAnsi="Cambria" w:cs="Calibri Light"/>
          <w:sz w:val="20"/>
          <w:szCs w:val="20"/>
          <w:lang w:val="es-ES"/>
        </w:rPr>
        <w:t>600 sesiones de divulgación y capacitación sobre la notificación consular dirigidas a agentes de policía federales, estatales y locales, alumnos de escuelas de policía y funcionarios consulares que se desempeñaban en consulados extranjeros en los Estados Unidos</w:t>
      </w:r>
      <w:r w:rsidRPr="0084041C">
        <w:rPr>
          <w:rFonts w:ascii="Cambria" w:hAnsi="Cambria"/>
          <w:sz w:val="20"/>
          <w:szCs w:val="20"/>
          <w:lang w:val="es-ES"/>
        </w:rPr>
        <w:t>.</w:t>
      </w:r>
    </w:p>
    <w:p w14:paraId="3A4097F5" w14:textId="77777777" w:rsidR="001A75B8" w:rsidRPr="0084041C" w:rsidRDefault="001A75B8" w:rsidP="001A75B8">
      <w:pPr>
        <w:pStyle w:val="ListParagraph"/>
        <w:numPr>
          <w:ilvl w:val="0"/>
          <w:numId w:val="11"/>
        </w:numPr>
        <w:jc w:val="both"/>
        <w:rPr>
          <w:rFonts w:ascii="Cambria" w:hAnsi="Cambria"/>
          <w:sz w:val="20"/>
          <w:szCs w:val="20"/>
          <w:lang w:val="es-ES"/>
        </w:rPr>
      </w:pPr>
      <w:r w:rsidRPr="0084041C">
        <w:rPr>
          <w:rFonts w:ascii="Cambria" w:hAnsi="Cambria"/>
          <w:sz w:val="20"/>
          <w:szCs w:val="20"/>
          <w:lang w:val="es-ES"/>
        </w:rPr>
        <w:t xml:space="preserve">Difusión de información sobre la notificación y el acceso consulares en medios sociales, como Facebook y Twitter.  </w:t>
      </w:r>
    </w:p>
    <w:p w14:paraId="0D37F02B" w14:textId="77777777" w:rsidR="000C5C4A" w:rsidRPr="001A75B8" w:rsidRDefault="000C5C4A" w:rsidP="008463D3">
      <w:pPr>
        <w:jc w:val="center"/>
        <w:rPr>
          <w:sz w:val="20"/>
          <w:szCs w:val="20"/>
          <w:lang w:val="es-ES"/>
        </w:rPr>
      </w:pPr>
      <w:bookmarkStart w:id="0" w:name="_GoBack"/>
      <w:bookmarkEnd w:id="0"/>
    </w:p>
    <w:sectPr w:rsidR="000C5C4A" w:rsidRPr="001A75B8" w:rsidSect="00566CD0">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184FD" w14:textId="77777777" w:rsidR="00472812" w:rsidRDefault="00472812" w:rsidP="00672733">
      <w:r>
        <w:separator/>
      </w:r>
    </w:p>
  </w:endnote>
  <w:endnote w:type="continuationSeparator" w:id="0">
    <w:p w14:paraId="257C2C3C" w14:textId="77777777" w:rsidR="00472812" w:rsidRDefault="0047281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0AF1E445"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84041C">
      <w:rPr>
        <w:caps/>
        <w:noProof/>
        <w:color w:val="000000" w:themeColor="text1"/>
        <w:sz w:val="20"/>
        <w:szCs w:val="20"/>
      </w:rPr>
      <w:t>3</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A39BF" w14:textId="77777777" w:rsidR="00472812" w:rsidRDefault="00472812" w:rsidP="00672733">
      <w:r>
        <w:separator/>
      </w:r>
    </w:p>
  </w:footnote>
  <w:footnote w:type="continuationSeparator" w:id="0">
    <w:p w14:paraId="68B0A6D7" w14:textId="77777777" w:rsidR="00472812" w:rsidRDefault="00472812" w:rsidP="00672733">
      <w:r>
        <w:continuationSeparator/>
      </w:r>
    </w:p>
  </w:footnote>
  <w:footnote w:id="1">
    <w:p w14:paraId="5B126B51" w14:textId="77777777" w:rsidR="001A75B8" w:rsidRPr="00FC2CEF" w:rsidRDefault="001A75B8" w:rsidP="001A75B8">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ES"/>
        </w:rPr>
        <w:t xml:space="preserve"> CIDH, </w:t>
      </w:r>
      <w:hyperlink r:id="rId1"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223.</w:t>
      </w:r>
    </w:p>
  </w:footnote>
  <w:footnote w:id="2">
    <w:p w14:paraId="6CABF00B" w14:textId="77777777" w:rsidR="001A75B8" w:rsidRPr="00FC2CEF" w:rsidRDefault="001A75B8" w:rsidP="001A75B8">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2"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párr. 194.</w:t>
      </w:r>
    </w:p>
  </w:footnote>
  <w:footnote w:id="3">
    <w:p w14:paraId="1B24CC3C" w14:textId="77777777" w:rsidR="001A75B8" w:rsidRPr="00FC2CEF" w:rsidRDefault="001A75B8" w:rsidP="001A75B8">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196.</w:t>
      </w:r>
    </w:p>
  </w:footnote>
  <w:footnote w:id="4">
    <w:p w14:paraId="6DBBE58C" w14:textId="77777777" w:rsidR="001A75B8" w:rsidRPr="00FC2CEF" w:rsidRDefault="001A75B8" w:rsidP="001A75B8">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CIDH, </w:t>
      </w:r>
      <w:hyperlink r:id="rId4" w:history="1">
        <w:r w:rsidRPr="00FC2CEF">
          <w:rPr>
            <w:rStyle w:val="Hyperlink"/>
            <w:rFonts w:ascii="Cambria" w:hAnsi="Cambria"/>
            <w:color w:val="000000"/>
            <w:sz w:val="16"/>
            <w:szCs w:val="16"/>
            <w:lang w:val="es-CO"/>
          </w:rPr>
          <w:t xml:space="preserve">Comunicado de Prensa Nº 2/14 - </w:t>
        </w:r>
        <w:r w:rsidRPr="00FC2CEF">
          <w:rPr>
            <w:rStyle w:val="Hyperlink"/>
            <w:rFonts w:ascii="Cambria" w:hAnsi="Cambria" w:cs="Tahoma"/>
            <w:color w:val="000000"/>
            <w:sz w:val="16"/>
            <w:szCs w:val="16"/>
            <w:lang w:val="es-CO"/>
          </w:rPr>
          <w:t>CIDH concluye que Estados Unidos violó derechos fundamentales de Tamayo y requiere la suspensión de su ejecución</w:t>
        </w:r>
      </w:hyperlink>
      <w:r w:rsidRPr="00FC2CEF">
        <w:rPr>
          <w:rFonts w:ascii="Cambria" w:hAnsi="Cambria"/>
          <w:color w:val="000000"/>
          <w:sz w:val="16"/>
          <w:szCs w:val="16"/>
          <w:lang w:val="es-CO"/>
        </w:rPr>
        <w:t xml:space="preserve">. Washington, D.C., 17 de enero de 2014. </w:t>
      </w:r>
    </w:p>
  </w:footnote>
  <w:footnote w:id="5">
    <w:p w14:paraId="5C621E33" w14:textId="77777777" w:rsidR="001A75B8" w:rsidRPr="00FC2CEF" w:rsidRDefault="001A75B8" w:rsidP="001A75B8">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5"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197.</w:t>
      </w:r>
    </w:p>
  </w:footnote>
  <w:footnote w:id="6">
    <w:p w14:paraId="3B2D6B8F" w14:textId="77777777" w:rsidR="001A75B8" w:rsidRPr="00FC2CEF" w:rsidRDefault="001A75B8" w:rsidP="001A75B8">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CIDH, </w:t>
      </w:r>
      <w:hyperlink r:id="rId6" w:history="1">
        <w:r w:rsidRPr="00FC2CEF">
          <w:rPr>
            <w:rStyle w:val="Hyperlink"/>
            <w:rFonts w:ascii="Cambria" w:hAnsi="Cambria"/>
            <w:color w:val="000000"/>
            <w:sz w:val="16"/>
            <w:szCs w:val="16"/>
            <w:lang w:val="es-CO"/>
          </w:rPr>
          <w:t xml:space="preserve">Comunicado de Prensa Nº 6/14 – </w:t>
        </w:r>
        <w:r w:rsidRPr="00FC2CEF">
          <w:rPr>
            <w:rStyle w:val="Hyperlink"/>
            <w:rFonts w:ascii="Cambria" w:hAnsi="Cambria" w:cs="Tahoma"/>
            <w:color w:val="000000"/>
            <w:sz w:val="16"/>
            <w:szCs w:val="16"/>
            <w:lang w:val="es-CO"/>
          </w:rPr>
          <w:t>CIDH condena ejecución de Edgar Tamayo Arias en Estados Unidos</w:t>
        </w:r>
      </w:hyperlink>
      <w:r w:rsidRPr="00FC2CEF">
        <w:rPr>
          <w:rFonts w:ascii="Cambria" w:hAnsi="Cambria"/>
          <w:color w:val="000000"/>
          <w:sz w:val="16"/>
          <w:szCs w:val="16"/>
          <w:lang w:val="es-CO"/>
        </w:rPr>
        <w:t>. Washington, D.C., 24 de enero de 2014.</w:t>
      </w:r>
    </w:p>
  </w:footnote>
  <w:footnote w:id="7">
    <w:p w14:paraId="58842F67" w14:textId="77777777" w:rsidR="001A75B8" w:rsidRPr="00FC2CEF" w:rsidRDefault="001A75B8" w:rsidP="001A75B8">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7"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w:t>
      </w:r>
      <w:r w:rsidRPr="00FC2CEF">
        <w:rPr>
          <w:rFonts w:ascii="Cambria" w:hAnsi="Cambria"/>
          <w:color w:val="000000"/>
          <w:sz w:val="16"/>
          <w:szCs w:val="16"/>
          <w:lang w:val="es-CO"/>
        </w:rPr>
        <w:t>para. 215.</w:t>
      </w:r>
    </w:p>
  </w:footnote>
  <w:footnote w:id="8">
    <w:p w14:paraId="621B762E" w14:textId="77777777" w:rsidR="001A75B8" w:rsidRPr="00FC2CEF" w:rsidRDefault="001A75B8" w:rsidP="001A75B8">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8"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w:t>
      </w:r>
      <w:r w:rsidRPr="00FC2CEF">
        <w:rPr>
          <w:rFonts w:ascii="Cambria" w:hAnsi="Cambria"/>
          <w:color w:val="000000"/>
          <w:sz w:val="16"/>
          <w:szCs w:val="16"/>
          <w:lang w:val="es-CO"/>
        </w:rPr>
        <w:t xml:space="preserve"> para. </w:t>
      </w:r>
      <w:r w:rsidRPr="00FC2CEF">
        <w:rPr>
          <w:rFonts w:ascii="Cambria" w:hAnsi="Cambria"/>
          <w:color w:val="000000"/>
          <w:sz w:val="16"/>
          <w:szCs w:val="16"/>
          <w:lang w:val="es-ES"/>
        </w:rPr>
        <w:t>223.</w:t>
      </w:r>
    </w:p>
  </w:footnote>
  <w:footnote w:id="9">
    <w:p w14:paraId="5291B4E7" w14:textId="77777777" w:rsidR="001A75B8" w:rsidRPr="00FC2CEF" w:rsidRDefault="001A75B8" w:rsidP="001A75B8">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9"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203.</w:t>
      </w:r>
    </w:p>
  </w:footnote>
  <w:footnote w:id="10">
    <w:p w14:paraId="3AD5D4DD" w14:textId="77777777" w:rsidR="001A75B8" w:rsidRPr="00FC2CEF" w:rsidRDefault="001A75B8" w:rsidP="001A75B8">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lang w:val="es-ES"/>
        </w:rPr>
        <w:footnoteRef/>
      </w:r>
      <w:r w:rsidRPr="00FC2CEF">
        <w:rPr>
          <w:rFonts w:ascii="Cambria" w:hAnsi="Cambria"/>
          <w:color w:val="000000"/>
          <w:sz w:val="16"/>
          <w:szCs w:val="16"/>
          <w:lang w:val="es-ES"/>
        </w:rPr>
        <w:t xml:space="preserve"> Corte IDH, </w:t>
      </w:r>
      <w:hyperlink r:id="rId10" w:history="1">
        <w:r w:rsidRPr="00FC2CEF">
          <w:rPr>
            <w:rStyle w:val="Hyperlink"/>
            <w:rFonts w:ascii="Cambria" w:hAnsi="Cambria"/>
            <w:color w:val="000000"/>
            <w:sz w:val="16"/>
            <w:szCs w:val="16"/>
            <w:lang w:val="es-ES"/>
          </w:rPr>
          <w:t xml:space="preserve">Caso La Cantuta Vs. Perú, </w:t>
        </w:r>
      </w:hyperlink>
      <w:hyperlink r:id="rId11" w:history="1">
        <w:r w:rsidRPr="00FC2CEF">
          <w:rPr>
            <w:rStyle w:val="Hyperlink"/>
            <w:rFonts w:ascii="Cambria" w:hAnsi="Cambria"/>
            <w:color w:val="000000"/>
            <w:sz w:val="16"/>
            <w:szCs w:val="16"/>
            <w:lang w:val="es-ES"/>
          </w:rPr>
          <w:t>Sentencia</w:t>
        </w:r>
      </w:hyperlink>
      <w:hyperlink r:id="rId12" w:history="1">
        <w:r w:rsidRPr="00FC2CEF">
          <w:rPr>
            <w:rStyle w:val="Hyperlink"/>
            <w:rFonts w:ascii="Cambria" w:hAnsi="Cambria"/>
            <w:color w:val="000000"/>
            <w:sz w:val="16"/>
            <w:szCs w:val="16"/>
            <w:lang w:val="es-ES"/>
          </w:rPr>
          <w:t xml:space="preserve"> </w:t>
        </w:r>
      </w:hyperlink>
      <w:hyperlink r:id="rId13" w:history="1">
        <w:r w:rsidRPr="00FC2CEF">
          <w:rPr>
            <w:rStyle w:val="Hyperlink"/>
            <w:rFonts w:ascii="Cambria" w:hAnsi="Cambria"/>
            <w:color w:val="000000"/>
            <w:sz w:val="16"/>
            <w:szCs w:val="16"/>
            <w:lang w:val="es-ES"/>
          </w:rPr>
          <w:t>de</w:t>
        </w:r>
      </w:hyperlink>
      <w:hyperlink r:id="rId14" w:history="1">
        <w:r w:rsidRPr="00FC2CEF">
          <w:rPr>
            <w:rStyle w:val="Hyperlink"/>
            <w:rFonts w:ascii="Cambria" w:hAnsi="Cambria"/>
            <w:color w:val="000000"/>
            <w:sz w:val="16"/>
            <w:szCs w:val="16"/>
            <w:lang w:val="es-ES"/>
          </w:rPr>
          <w:t xml:space="preserve"> </w:t>
        </w:r>
      </w:hyperlink>
      <w:hyperlink r:id="rId15" w:history="1">
        <w:r w:rsidRPr="00FC2CEF">
          <w:rPr>
            <w:rStyle w:val="Hyperlink"/>
            <w:rFonts w:ascii="Cambria" w:hAnsi="Cambria"/>
            <w:color w:val="000000"/>
            <w:sz w:val="16"/>
            <w:szCs w:val="16"/>
            <w:lang w:val="es-ES"/>
          </w:rPr>
          <w:t>29</w:t>
        </w:r>
      </w:hyperlink>
      <w:hyperlink r:id="rId16" w:history="1">
        <w:r w:rsidRPr="00FC2CEF">
          <w:rPr>
            <w:rStyle w:val="Hyperlink"/>
            <w:rFonts w:ascii="Cambria" w:hAnsi="Cambria"/>
            <w:color w:val="000000"/>
            <w:sz w:val="16"/>
            <w:szCs w:val="16"/>
            <w:lang w:val="es-ES"/>
          </w:rPr>
          <w:t xml:space="preserve"> </w:t>
        </w:r>
      </w:hyperlink>
      <w:hyperlink r:id="rId17" w:history="1">
        <w:r w:rsidRPr="00FC2CEF">
          <w:rPr>
            <w:rStyle w:val="Hyperlink"/>
            <w:rFonts w:ascii="Cambria" w:hAnsi="Cambria"/>
            <w:color w:val="000000"/>
            <w:sz w:val="16"/>
            <w:szCs w:val="16"/>
            <w:lang w:val="es-ES"/>
          </w:rPr>
          <w:t>de</w:t>
        </w:r>
      </w:hyperlink>
      <w:hyperlink r:id="rId18" w:history="1">
        <w:r w:rsidRPr="00FC2CEF">
          <w:rPr>
            <w:rStyle w:val="Hyperlink"/>
            <w:rFonts w:ascii="Cambria" w:hAnsi="Cambria"/>
            <w:color w:val="000000"/>
            <w:sz w:val="16"/>
            <w:szCs w:val="16"/>
            <w:lang w:val="es-ES"/>
          </w:rPr>
          <w:t xml:space="preserve"> </w:t>
        </w:r>
      </w:hyperlink>
      <w:hyperlink r:id="rId19" w:history="1">
        <w:r w:rsidRPr="00FC2CEF">
          <w:rPr>
            <w:rStyle w:val="Hyperlink"/>
            <w:rFonts w:ascii="Cambria" w:hAnsi="Cambria"/>
            <w:color w:val="000000"/>
            <w:sz w:val="16"/>
            <w:szCs w:val="16"/>
            <w:lang w:val="es-ES"/>
          </w:rPr>
          <w:t>noviembre</w:t>
        </w:r>
      </w:hyperlink>
      <w:hyperlink r:id="rId20" w:history="1">
        <w:r w:rsidRPr="00FC2CEF">
          <w:rPr>
            <w:rStyle w:val="Hyperlink"/>
            <w:rFonts w:ascii="Cambria" w:hAnsi="Cambria"/>
            <w:color w:val="000000"/>
            <w:sz w:val="16"/>
            <w:szCs w:val="16"/>
            <w:lang w:val="es-ES"/>
          </w:rPr>
          <w:t xml:space="preserve"> de 2006</w:t>
        </w:r>
      </w:hyperlink>
      <w:r w:rsidRPr="00FC2CEF">
        <w:rPr>
          <w:rFonts w:ascii="Cambria" w:hAnsi="Cambria"/>
          <w:color w:val="000000"/>
          <w:sz w:val="16"/>
          <w:szCs w:val="16"/>
          <w:lang w:val="es-ES"/>
        </w:rPr>
        <w:t xml:space="preserve">. Serie C No. 162, párrs. 199 y 200. </w:t>
      </w:r>
    </w:p>
  </w:footnote>
  <w:footnote w:id="11">
    <w:p w14:paraId="3853FF0C" w14:textId="77777777" w:rsidR="001A75B8" w:rsidRPr="00FC2CEF" w:rsidRDefault="001A75B8" w:rsidP="001A75B8">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lang w:val="es-ES"/>
        </w:rPr>
        <w:footnoteRef/>
      </w:r>
      <w:r w:rsidRPr="00FC2CEF">
        <w:rPr>
          <w:rFonts w:ascii="Cambria" w:hAnsi="Cambria"/>
          <w:color w:val="000000"/>
          <w:sz w:val="16"/>
          <w:szCs w:val="16"/>
          <w:lang w:val="es-ES"/>
        </w:rPr>
        <w:t xml:space="preserve"> CIDH, </w:t>
      </w:r>
      <w:hyperlink r:id="rId21" w:history="1">
        <w:r w:rsidRPr="00FC2CEF">
          <w:rPr>
            <w:rStyle w:val="Hyperlink"/>
            <w:rFonts w:ascii="Cambria" w:hAnsi="Cambria"/>
            <w:color w:val="000000"/>
            <w:sz w:val="16"/>
            <w:szCs w:val="16"/>
            <w:lang w:val="es-ES"/>
          </w:rPr>
          <w:t>Lineamientos principales para una política integral de reparaciones</w:t>
        </w:r>
      </w:hyperlink>
      <w:r w:rsidRPr="00FC2CEF">
        <w:rPr>
          <w:rFonts w:ascii="Cambria" w:hAnsi="Cambria"/>
          <w:color w:val="000000"/>
          <w:sz w:val="16"/>
          <w:szCs w:val="16"/>
          <w:lang w:val="es-ES"/>
        </w:rPr>
        <w:t xml:space="preserve">, 19 de febrero de 2008, OEA/Ser/L/V/II.131, doc. 1, párr. 1; Asamblea General de las Naciones Unidas, </w:t>
      </w:r>
      <w:hyperlink r:id="rId22" w:history="1">
        <w:r w:rsidRPr="00FC2CEF">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FC2CEF">
        <w:rPr>
          <w:rFonts w:ascii="Cambria" w:hAnsi="Cambria"/>
          <w:color w:val="000000"/>
          <w:sz w:val="16"/>
          <w:szCs w:val="16"/>
          <w:lang w:val="es-ES"/>
        </w:rPr>
        <w:t xml:space="preserve">, 16 de diciembre de 2005. A/RES/60/147. </w:t>
      </w:r>
    </w:p>
  </w:footnote>
  <w:footnote w:id="12">
    <w:p w14:paraId="096C4442" w14:textId="77777777" w:rsidR="001A75B8" w:rsidRPr="00FC2CEF" w:rsidRDefault="001A75B8" w:rsidP="001A75B8">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lang w:val="es-ES"/>
        </w:rPr>
        <w:footnoteRef/>
      </w:r>
      <w:r w:rsidRPr="00FC2CEF">
        <w:rPr>
          <w:rFonts w:ascii="Cambria" w:hAnsi="Cambria"/>
          <w:color w:val="000000"/>
          <w:sz w:val="16"/>
          <w:szCs w:val="16"/>
          <w:lang w:val="es-ES"/>
        </w:rPr>
        <w:t xml:space="preserve"> Corte IDH, </w:t>
      </w:r>
      <w:hyperlink r:id="rId23" w:history="1">
        <w:r w:rsidRPr="00FC2CEF">
          <w:rPr>
            <w:rStyle w:val="Hyperlink"/>
            <w:rFonts w:ascii="Cambria" w:hAnsi="Cambria"/>
            <w:color w:val="000000"/>
            <w:sz w:val="16"/>
            <w:szCs w:val="16"/>
            <w:lang w:val="es-ES"/>
          </w:rPr>
          <w:t xml:space="preserve">Caso La Cantuta Vs. Perú, </w:t>
        </w:r>
      </w:hyperlink>
      <w:hyperlink r:id="rId24" w:history="1">
        <w:r w:rsidRPr="00FC2CEF">
          <w:rPr>
            <w:rStyle w:val="Hyperlink"/>
            <w:rFonts w:ascii="Cambria" w:hAnsi="Cambria"/>
            <w:color w:val="000000"/>
            <w:sz w:val="16"/>
            <w:szCs w:val="16"/>
            <w:lang w:val="es-ES"/>
          </w:rPr>
          <w:t>Sentencia</w:t>
        </w:r>
      </w:hyperlink>
      <w:hyperlink r:id="rId25" w:history="1">
        <w:r w:rsidRPr="00FC2CEF">
          <w:rPr>
            <w:rStyle w:val="Hyperlink"/>
            <w:rFonts w:ascii="Cambria" w:hAnsi="Cambria"/>
            <w:color w:val="000000"/>
            <w:sz w:val="16"/>
            <w:szCs w:val="16"/>
            <w:lang w:val="es-ES"/>
          </w:rPr>
          <w:t xml:space="preserve"> </w:t>
        </w:r>
      </w:hyperlink>
      <w:hyperlink r:id="rId26" w:history="1">
        <w:r w:rsidRPr="00FC2CEF">
          <w:rPr>
            <w:rStyle w:val="Hyperlink"/>
            <w:rFonts w:ascii="Cambria" w:hAnsi="Cambria"/>
            <w:color w:val="000000"/>
            <w:sz w:val="16"/>
            <w:szCs w:val="16"/>
            <w:lang w:val="es-ES"/>
          </w:rPr>
          <w:t>de</w:t>
        </w:r>
      </w:hyperlink>
      <w:hyperlink r:id="rId27" w:history="1">
        <w:r w:rsidRPr="00FC2CEF">
          <w:rPr>
            <w:rStyle w:val="Hyperlink"/>
            <w:rFonts w:ascii="Cambria" w:hAnsi="Cambria"/>
            <w:color w:val="000000"/>
            <w:sz w:val="16"/>
            <w:szCs w:val="16"/>
            <w:lang w:val="es-ES"/>
          </w:rPr>
          <w:t xml:space="preserve"> </w:t>
        </w:r>
      </w:hyperlink>
      <w:hyperlink r:id="rId28" w:history="1">
        <w:r w:rsidRPr="00FC2CEF">
          <w:rPr>
            <w:rStyle w:val="Hyperlink"/>
            <w:rFonts w:ascii="Cambria" w:hAnsi="Cambria"/>
            <w:color w:val="000000"/>
            <w:sz w:val="16"/>
            <w:szCs w:val="16"/>
            <w:lang w:val="es-ES"/>
          </w:rPr>
          <w:t>29</w:t>
        </w:r>
      </w:hyperlink>
      <w:hyperlink r:id="rId29" w:history="1">
        <w:r w:rsidRPr="00FC2CEF">
          <w:rPr>
            <w:rStyle w:val="Hyperlink"/>
            <w:rFonts w:ascii="Cambria" w:hAnsi="Cambria"/>
            <w:color w:val="000000"/>
            <w:sz w:val="16"/>
            <w:szCs w:val="16"/>
            <w:lang w:val="es-ES"/>
          </w:rPr>
          <w:t xml:space="preserve"> </w:t>
        </w:r>
      </w:hyperlink>
      <w:hyperlink r:id="rId30" w:history="1">
        <w:r w:rsidRPr="00FC2CEF">
          <w:rPr>
            <w:rStyle w:val="Hyperlink"/>
            <w:rFonts w:ascii="Cambria" w:hAnsi="Cambria"/>
            <w:color w:val="000000"/>
            <w:sz w:val="16"/>
            <w:szCs w:val="16"/>
            <w:lang w:val="es-ES"/>
          </w:rPr>
          <w:t>de</w:t>
        </w:r>
      </w:hyperlink>
      <w:hyperlink r:id="rId31" w:history="1">
        <w:r w:rsidRPr="00FC2CEF">
          <w:rPr>
            <w:rStyle w:val="Hyperlink"/>
            <w:rFonts w:ascii="Cambria" w:hAnsi="Cambria"/>
            <w:color w:val="000000"/>
            <w:sz w:val="16"/>
            <w:szCs w:val="16"/>
            <w:lang w:val="es-ES"/>
          </w:rPr>
          <w:t xml:space="preserve"> </w:t>
        </w:r>
      </w:hyperlink>
      <w:hyperlink r:id="rId32" w:history="1">
        <w:r w:rsidRPr="00FC2CEF">
          <w:rPr>
            <w:rStyle w:val="Hyperlink"/>
            <w:rFonts w:ascii="Cambria" w:hAnsi="Cambria"/>
            <w:color w:val="000000"/>
            <w:sz w:val="16"/>
            <w:szCs w:val="16"/>
            <w:lang w:val="es-ES"/>
          </w:rPr>
          <w:t>noviembre</w:t>
        </w:r>
      </w:hyperlink>
      <w:hyperlink r:id="rId33" w:history="1">
        <w:r w:rsidRPr="00FC2CEF">
          <w:rPr>
            <w:rStyle w:val="Hyperlink"/>
            <w:rFonts w:ascii="Cambria" w:hAnsi="Cambria"/>
            <w:color w:val="000000"/>
            <w:sz w:val="16"/>
            <w:szCs w:val="16"/>
            <w:lang w:val="es-ES"/>
          </w:rPr>
          <w:t xml:space="preserve"> de 2006</w:t>
        </w:r>
      </w:hyperlink>
      <w:r w:rsidRPr="00FC2CEF">
        <w:rPr>
          <w:rFonts w:ascii="Cambria" w:hAnsi="Cambria"/>
          <w:color w:val="000000"/>
          <w:sz w:val="16"/>
          <w:szCs w:val="16"/>
          <w:lang w:val="es-ES"/>
        </w:rPr>
        <w:t xml:space="preserve">. </w:t>
      </w:r>
      <w:r w:rsidRPr="00FC2CEF">
        <w:rPr>
          <w:rFonts w:ascii="Cambria" w:hAnsi="Cambria"/>
          <w:color w:val="000000"/>
          <w:sz w:val="16"/>
          <w:szCs w:val="16"/>
          <w:lang w:val="es-CO"/>
        </w:rPr>
        <w:t>Serie C No. 162, párr. 200.</w:t>
      </w:r>
    </w:p>
  </w:footnote>
  <w:footnote w:id="13">
    <w:p w14:paraId="198343BD" w14:textId="77777777" w:rsidR="001A75B8" w:rsidRPr="00FC2CEF" w:rsidRDefault="001A75B8" w:rsidP="001A75B8">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4"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párr. 205.</w:t>
      </w:r>
    </w:p>
  </w:footnote>
  <w:footnote w:id="14">
    <w:p w14:paraId="5BCA6022" w14:textId="77777777" w:rsidR="001A75B8" w:rsidRPr="00FC2CEF" w:rsidRDefault="001A75B8" w:rsidP="001A75B8">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5"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párr. 205.</w:t>
      </w:r>
    </w:p>
  </w:footnote>
  <w:footnote w:id="15">
    <w:p w14:paraId="7DD6D436" w14:textId="77777777" w:rsidR="001A75B8" w:rsidRPr="00FC2CEF" w:rsidRDefault="001A75B8" w:rsidP="001A75B8">
      <w:pPr>
        <w:pStyle w:val="FootnoteText"/>
        <w:spacing w:after="120"/>
        <w:ind w:firstLine="720"/>
        <w:jc w:val="both"/>
        <w:rPr>
          <w:rFonts w:ascii="Cambria" w:hAnsi="Cambria" w:cs="Arial"/>
          <w:color w:val="000000"/>
          <w:sz w:val="16"/>
          <w:szCs w:val="16"/>
          <w:lang w:val="es-CO"/>
        </w:rPr>
      </w:pPr>
      <w:r w:rsidRPr="00FC2CEF">
        <w:rPr>
          <w:rStyle w:val="FootnoteReference"/>
          <w:rFonts w:ascii="Cambria" w:hAnsi="Cambria" w:cs="Arial"/>
          <w:color w:val="000000"/>
          <w:sz w:val="16"/>
          <w:szCs w:val="16"/>
        </w:rPr>
        <w:footnoteRef/>
      </w:r>
      <w:r w:rsidRPr="00FC2CEF">
        <w:rPr>
          <w:rFonts w:ascii="Cambria" w:hAnsi="Cambria" w:cs="Arial"/>
          <w:color w:val="000000"/>
          <w:sz w:val="16"/>
          <w:szCs w:val="16"/>
          <w:lang w:val="es-CO"/>
        </w:rPr>
        <w:t xml:space="preserve"> Corte Internacional de Justicia, </w:t>
      </w:r>
      <w:hyperlink r:id="rId36" w:history="1">
        <w:r w:rsidRPr="00FC2CEF">
          <w:rPr>
            <w:rStyle w:val="Hyperlink"/>
            <w:rFonts w:ascii="Cambria" w:hAnsi="Cambria" w:cs="Arial"/>
            <w:color w:val="000000"/>
            <w:sz w:val="16"/>
            <w:szCs w:val="16"/>
            <w:lang w:val="es-CO"/>
          </w:rPr>
          <w:t>Avena y otros nacionales mexicanos (Mexico c. Estados Unidos de América)</w:t>
        </w:r>
      </w:hyperlink>
      <w:r w:rsidRPr="00FC2CEF">
        <w:rPr>
          <w:rFonts w:ascii="Cambria" w:hAnsi="Cambria" w:cs="Arial"/>
          <w:color w:val="000000"/>
          <w:sz w:val="16"/>
          <w:szCs w:val="16"/>
          <w:lang w:val="es-CO"/>
        </w:rPr>
        <w:t>, Sentencia del 31 de marzo de 2004 (solo disponible en inglés y en francés).</w:t>
      </w:r>
    </w:p>
  </w:footnote>
  <w:footnote w:id="16">
    <w:p w14:paraId="35980FFB" w14:textId="77777777" w:rsidR="001A75B8" w:rsidRPr="00FC2CEF" w:rsidRDefault="001A75B8" w:rsidP="001A75B8">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7"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220.</w:t>
      </w:r>
    </w:p>
  </w:footnote>
  <w:footnote w:id="17">
    <w:p w14:paraId="25A9ED79" w14:textId="77777777" w:rsidR="001A75B8" w:rsidRPr="00FC2CEF" w:rsidRDefault="001A75B8" w:rsidP="001A75B8">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8"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206.</w:t>
      </w:r>
    </w:p>
  </w:footnote>
  <w:footnote w:id="18">
    <w:p w14:paraId="0307F3E8" w14:textId="77777777" w:rsidR="001A75B8" w:rsidRPr="00FC2CEF" w:rsidRDefault="001A75B8" w:rsidP="001A75B8">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9"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207.</w:t>
      </w:r>
    </w:p>
  </w:footnote>
  <w:footnote w:id="19">
    <w:p w14:paraId="6324C08E" w14:textId="77777777" w:rsidR="001A75B8" w:rsidRPr="00FC2CEF" w:rsidRDefault="001A75B8" w:rsidP="001A75B8">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40"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209.</w:t>
      </w:r>
    </w:p>
  </w:footnote>
  <w:footnote w:id="20">
    <w:p w14:paraId="13FBE70D" w14:textId="77777777" w:rsidR="001A75B8" w:rsidRPr="00FC2CEF" w:rsidRDefault="001A75B8" w:rsidP="001A75B8">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41"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210.</w:t>
      </w:r>
    </w:p>
  </w:footnote>
  <w:footnote w:id="21">
    <w:p w14:paraId="41DB9193" w14:textId="77777777" w:rsidR="001A75B8" w:rsidRPr="00FC2CEF" w:rsidRDefault="001A75B8" w:rsidP="001A75B8">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42"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211.</w:t>
      </w:r>
    </w:p>
  </w:footnote>
  <w:footnote w:id="22">
    <w:p w14:paraId="1F6C828E" w14:textId="77777777" w:rsidR="001A75B8" w:rsidRPr="00A55CF0" w:rsidRDefault="001A75B8" w:rsidP="001A75B8">
      <w:pPr>
        <w:pStyle w:val="FootnoteText"/>
        <w:spacing w:after="120"/>
        <w:ind w:firstLine="720"/>
        <w:jc w:val="both"/>
        <w:rPr>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43"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92294D"/>
    <w:multiLevelType w:val="hybridMultilevel"/>
    <w:tmpl w:val="785621E2"/>
    <w:lvl w:ilvl="0" w:tplc="051AEECE">
      <w:start w:val="1"/>
      <w:numFmt w:val="decimal"/>
      <w:lvlText w:val="%1."/>
      <w:lvlJc w:val="left"/>
      <w:pPr>
        <w:ind w:left="0" w:firstLine="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57E5"/>
    <w:multiLevelType w:val="hybridMultilevel"/>
    <w:tmpl w:val="1B1A2E4C"/>
    <w:lvl w:ilvl="0" w:tplc="6CC6615C">
      <w:start w:val="1"/>
      <w:numFmt w:val="decimal"/>
      <w:lvlText w:val="%1."/>
      <w:lvlJc w:val="left"/>
      <w:pPr>
        <w:ind w:left="720" w:hanging="360"/>
      </w:pPr>
      <w:rPr>
        <w:rFonts w:ascii="Cambria" w:hAnsi="Cambri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5"/>
  </w:num>
  <w:num w:numId="2">
    <w:abstractNumId w:val="12"/>
  </w:num>
  <w:num w:numId="3">
    <w:abstractNumId w:val="8"/>
  </w:num>
  <w:num w:numId="4">
    <w:abstractNumId w:val="3"/>
  </w:num>
  <w:num w:numId="5">
    <w:abstractNumId w:val="2"/>
  </w:num>
  <w:num w:numId="6">
    <w:abstractNumId w:val="4"/>
  </w:num>
  <w:num w:numId="7">
    <w:abstractNumId w:val="0"/>
  </w:num>
  <w:num w:numId="8">
    <w:abstractNumId w:val="7"/>
  </w:num>
  <w:num w:numId="9">
    <w:abstractNumId w:val="6"/>
  </w:num>
  <w:num w:numId="10">
    <w:abstractNumId w:val="1"/>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B5E1D"/>
    <w:rsid w:val="000C5C4A"/>
    <w:rsid w:val="001737D8"/>
    <w:rsid w:val="001A75B8"/>
    <w:rsid w:val="001C7AAF"/>
    <w:rsid w:val="001D4AA3"/>
    <w:rsid w:val="00202659"/>
    <w:rsid w:val="00224CC4"/>
    <w:rsid w:val="00322720"/>
    <w:rsid w:val="00357877"/>
    <w:rsid w:val="00382897"/>
    <w:rsid w:val="00453115"/>
    <w:rsid w:val="00472812"/>
    <w:rsid w:val="0048723C"/>
    <w:rsid w:val="00566CD0"/>
    <w:rsid w:val="005B6F19"/>
    <w:rsid w:val="00631FC7"/>
    <w:rsid w:val="00637ED3"/>
    <w:rsid w:val="006638E5"/>
    <w:rsid w:val="00672733"/>
    <w:rsid w:val="006B1F24"/>
    <w:rsid w:val="00750246"/>
    <w:rsid w:val="00753D7F"/>
    <w:rsid w:val="0084041C"/>
    <w:rsid w:val="008463D3"/>
    <w:rsid w:val="008818B0"/>
    <w:rsid w:val="00A31E02"/>
    <w:rsid w:val="00A63DC8"/>
    <w:rsid w:val="00BB0D06"/>
    <w:rsid w:val="00D56DC4"/>
    <w:rsid w:val="00DA3DFC"/>
    <w:rsid w:val="00E01080"/>
    <w:rsid w:val="00E042FE"/>
    <w:rsid w:val="00E516AB"/>
    <w:rsid w:val="00E80338"/>
    <w:rsid w:val="00E9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customStyle="1" w:styleId="Default">
    <w:name w:val="Default"/>
    <w:rsid w:val="001A75B8"/>
    <w:pPr>
      <w:autoSpaceDE w:val="0"/>
      <w:autoSpaceDN w:val="0"/>
      <w:adjustRightInd w:val="0"/>
    </w:pPr>
    <w:rPr>
      <w:rFonts w:ascii="Cambria" w:eastAsia="Calibri" w:hAnsi="Cambria" w:cs="Cambria"/>
      <w:color w:val="000000"/>
    </w:rPr>
  </w:style>
  <w:style w:type="character" w:customStyle="1" w:styleId="CharacterStyle1">
    <w:name w:val="Character Style 1"/>
    <w:uiPriority w:val="99"/>
    <w:rsid w:val="001A75B8"/>
    <w:rPr>
      <w:sz w:val="24"/>
      <w:szCs w:val="24"/>
    </w:rPr>
  </w:style>
  <w:style w:type="paragraph" w:styleId="BalloonText">
    <w:name w:val="Balloon Text"/>
    <w:basedOn w:val="Normal"/>
    <w:link w:val="BalloonTextChar"/>
    <w:uiPriority w:val="99"/>
    <w:semiHidden/>
    <w:unhideWhenUsed/>
    <w:rsid w:val="00173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D8"/>
    <w:rPr>
      <w:rFonts w:ascii="Segoe UI" w:hAnsi="Segoe UI" w:cs="Segoe UI"/>
      <w:sz w:val="18"/>
      <w:szCs w:val="18"/>
    </w:rPr>
  </w:style>
  <w:style w:type="character" w:styleId="CommentReference">
    <w:name w:val="annotation reference"/>
    <w:basedOn w:val="DefaultParagraphFont"/>
    <w:uiPriority w:val="99"/>
    <w:semiHidden/>
    <w:unhideWhenUsed/>
    <w:rsid w:val="00631FC7"/>
    <w:rPr>
      <w:sz w:val="16"/>
      <w:szCs w:val="16"/>
    </w:rPr>
  </w:style>
  <w:style w:type="paragraph" w:styleId="CommentText">
    <w:name w:val="annotation text"/>
    <w:basedOn w:val="Normal"/>
    <w:link w:val="CommentTextChar"/>
    <w:uiPriority w:val="99"/>
    <w:semiHidden/>
    <w:unhideWhenUsed/>
    <w:rsid w:val="00631FC7"/>
    <w:rPr>
      <w:sz w:val="20"/>
      <w:szCs w:val="20"/>
    </w:rPr>
  </w:style>
  <w:style w:type="character" w:customStyle="1" w:styleId="CommentTextChar">
    <w:name w:val="Comment Text Char"/>
    <w:basedOn w:val="DefaultParagraphFont"/>
    <w:link w:val="CommentText"/>
    <w:uiPriority w:val="99"/>
    <w:semiHidden/>
    <w:rsid w:val="00631FC7"/>
    <w:rPr>
      <w:sz w:val="20"/>
      <w:szCs w:val="20"/>
    </w:rPr>
  </w:style>
  <w:style w:type="paragraph" w:styleId="CommentSubject">
    <w:name w:val="annotation subject"/>
    <w:basedOn w:val="CommentText"/>
    <w:next w:val="CommentText"/>
    <w:link w:val="CommentSubjectChar"/>
    <w:uiPriority w:val="99"/>
    <w:semiHidden/>
    <w:unhideWhenUsed/>
    <w:rsid w:val="00631FC7"/>
    <w:rPr>
      <w:b/>
      <w:bCs/>
    </w:rPr>
  </w:style>
  <w:style w:type="character" w:customStyle="1" w:styleId="CommentSubjectChar">
    <w:name w:val="Comment Subject Char"/>
    <w:basedOn w:val="CommentTextChar"/>
    <w:link w:val="CommentSubject"/>
    <w:uiPriority w:val="99"/>
    <w:semiHidden/>
    <w:rsid w:val="00631F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4/USPU12873E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as.org/es/cidh/decisiones/cautelares.asp" TargetMode="External"/><Relationship Id="rId4" Type="http://schemas.openxmlformats.org/officeDocument/2006/relationships/settings" Target="settings.xml"/><Relationship Id="rId9" Type="http://schemas.openxmlformats.org/officeDocument/2006/relationships/hyperlink" Target="http://www.oas.org/es/cidh/decisiones/2012/USAD15-12ES.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corteidh.or.cr/docs/casos/articulos/seriec_162_esp.pdf" TargetMode="External"/><Relationship Id="rId18" Type="http://schemas.openxmlformats.org/officeDocument/2006/relationships/hyperlink" Target="http://www.corteidh.or.cr/docs/casos/articulos/seriec_162_esp.pdf" TargetMode="External"/><Relationship Id="rId26" Type="http://schemas.openxmlformats.org/officeDocument/2006/relationships/hyperlink" Target="http://www.corteidh.or.cr/docs/casos/articulos/seriec_162_esp.pdf" TargetMode="External"/><Relationship Id="rId39" Type="http://schemas.openxmlformats.org/officeDocument/2006/relationships/hyperlink" Target="http://www.oas.org/es/cidh/decisiones/2014/USPU12873ES.pdf" TargetMode="External"/><Relationship Id="rId21" Type="http://schemas.openxmlformats.org/officeDocument/2006/relationships/hyperlink" Target="http://www.cidh.org/pdf%20files/Lineamientos%20principales%20para%20una%20pol%C3%ADtica%20integral%20de%20reparaciones.pdf" TargetMode="External"/><Relationship Id="rId34" Type="http://schemas.openxmlformats.org/officeDocument/2006/relationships/hyperlink" Target="http://www.oas.org/es/cidh/decisiones/2014/USPU12873ES.pdf" TargetMode="External"/><Relationship Id="rId42" Type="http://schemas.openxmlformats.org/officeDocument/2006/relationships/hyperlink" Target="http://www.oas.org/es/cidh/decisiones/2014/USPU12873ES.pdf" TargetMode="External"/><Relationship Id="rId7" Type="http://schemas.openxmlformats.org/officeDocument/2006/relationships/hyperlink" Target="http://www.oas.org/es/cidh/decisiones/2014/USPU12873ES.pdf" TargetMode="External"/><Relationship Id="rId2" Type="http://schemas.openxmlformats.org/officeDocument/2006/relationships/hyperlink" Target="http://www.oas.org/es/cidh/decisiones/2014/USPU12873ES.pdf" TargetMode="External"/><Relationship Id="rId16" Type="http://schemas.openxmlformats.org/officeDocument/2006/relationships/hyperlink" Target="http://www.corteidh.or.cr/docs/casos/articulos/seriec_162_esp.pdf" TargetMode="External"/><Relationship Id="rId20" Type="http://schemas.openxmlformats.org/officeDocument/2006/relationships/hyperlink" Target="http://www.corteidh.or.cr/docs/casos/articulos/seriec_162_esp.pdf" TargetMode="External"/><Relationship Id="rId29" Type="http://schemas.openxmlformats.org/officeDocument/2006/relationships/hyperlink" Target="http://www.corteidh.or.cr/docs/casos/articulos/seriec_162_esp.pdf" TargetMode="External"/><Relationship Id="rId41" Type="http://schemas.openxmlformats.org/officeDocument/2006/relationships/hyperlink" Target="http://www.oas.org/es/cidh/decisiones/2014/USPU12873ES.pdf" TargetMode="External"/><Relationship Id="rId1" Type="http://schemas.openxmlformats.org/officeDocument/2006/relationships/hyperlink" Target="http://www.oas.org/es/cidh/decisiones/2014/USPU12873ES.pdf" TargetMode="External"/><Relationship Id="rId6" Type="http://schemas.openxmlformats.org/officeDocument/2006/relationships/hyperlink" Target="http://www.oas.org/es/cidh/prensa/comunicados/2014/006.asp" TargetMode="External"/><Relationship Id="rId11" Type="http://schemas.openxmlformats.org/officeDocument/2006/relationships/hyperlink" Target="http://www.corteidh.or.cr/docs/casos/articulos/seriec_162_esp.pdf" TargetMode="External"/><Relationship Id="rId24" Type="http://schemas.openxmlformats.org/officeDocument/2006/relationships/hyperlink" Target="http://www.corteidh.or.cr/docs/casos/articulos/seriec_162_esp.pdf" TargetMode="External"/><Relationship Id="rId32" Type="http://schemas.openxmlformats.org/officeDocument/2006/relationships/hyperlink" Target="http://www.corteidh.or.cr/docs/casos/articulos/seriec_162_esp.pdf" TargetMode="External"/><Relationship Id="rId37" Type="http://schemas.openxmlformats.org/officeDocument/2006/relationships/hyperlink" Target="http://www.oas.org/es/cidh/decisiones/2014/USPU12873ES.pdf" TargetMode="External"/><Relationship Id="rId40" Type="http://schemas.openxmlformats.org/officeDocument/2006/relationships/hyperlink" Target="http://www.oas.org/es/cidh/decisiones/2014/USPU12873ES.pdf" TargetMode="External"/><Relationship Id="rId5" Type="http://schemas.openxmlformats.org/officeDocument/2006/relationships/hyperlink" Target="http://www.oas.org/es/cidh/decisiones/2014/USPU12873ES.pdf" TargetMode="External"/><Relationship Id="rId15" Type="http://schemas.openxmlformats.org/officeDocument/2006/relationships/hyperlink" Target="http://www.corteidh.or.cr/docs/casos/articulos/seriec_162_esp.pdf" TargetMode="External"/><Relationship Id="rId23" Type="http://schemas.openxmlformats.org/officeDocument/2006/relationships/hyperlink" Target="http://www.corteidh.or.cr/docs/casos/articulos/seriec_162_esp.pdf" TargetMode="External"/><Relationship Id="rId28" Type="http://schemas.openxmlformats.org/officeDocument/2006/relationships/hyperlink" Target="http://www.corteidh.or.cr/docs/casos/articulos/seriec_162_esp.pdf" TargetMode="External"/><Relationship Id="rId36" Type="http://schemas.openxmlformats.org/officeDocument/2006/relationships/hyperlink" Target="https://www.icj-cij.org/en/case/128/judgments" TargetMode="External"/><Relationship Id="rId10" Type="http://schemas.openxmlformats.org/officeDocument/2006/relationships/hyperlink" Target="http://www.corteidh.or.cr/docs/casos/articulos/seriec_162_esp.pdf" TargetMode="External"/><Relationship Id="rId19" Type="http://schemas.openxmlformats.org/officeDocument/2006/relationships/hyperlink" Target="http://www.corteidh.or.cr/docs/casos/articulos/seriec_162_esp.pdf" TargetMode="External"/><Relationship Id="rId31" Type="http://schemas.openxmlformats.org/officeDocument/2006/relationships/hyperlink" Target="http://www.corteidh.or.cr/docs/casos/articulos/seriec_162_esp.pdf" TargetMode="External"/><Relationship Id="rId4" Type="http://schemas.openxmlformats.org/officeDocument/2006/relationships/hyperlink" Target="http://www.oas.org/es/cidh/prensa/comunicados/2014/002.asp" TargetMode="External"/><Relationship Id="rId9" Type="http://schemas.openxmlformats.org/officeDocument/2006/relationships/hyperlink" Target="http://www.oas.org/es/cidh/decisiones/2014/USPU12873ES.pdf" TargetMode="External"/><Relationship Id="rId14" Type="http://schemas.openxmlformats.org/officeDocument/2006/relationships/hyperlink" Target="http://www.corteidh.or.cr/docs/casos/articulos/seriec_162_esp.pdf" TargetMode="External"/><Relationship Id="rId22" Type="http://schemas.openxmlformats.org/officeDocument/2006/relationships/hyperlink" Target="https://www.ohchr.org/sp/professionalinterest/pages/remedyandreparation.aspx" TargetMode="External"/><Relationship Id="rId27" Type="http://schemas.openxmlformats.org/officeDocument/2006/relationships/hyperlink" Target="http://www.corteidh.or.cr/docs/casos/articulos/seriec_162_esp.pdf" TargetMode="External"/><Relationship Id="rId30" Type="http://schemas.openxmlformats.org/officeDocument/2006/relationships/hyperlink" Target="http://www.corteidh.or.cr/docs/casos/articulos/seriec_162_esp.pdf" TargetMode="External"/><Relationship Id="rId35" Type="http://schemas.openxmlformats.org/officeDocument/2006/relationships/hyperlink" Target="http://www.oas.org/es/cidh/decisiones/2014/USPU12873ES.pdf" TargetMode="External"/><Relationship Id="rId43" Type="http://schemas.openxmlformats.org/officeDocument/2006/relationships/hyperlink" Target="http://www.oas.org/es/cidh/decisiones/2014/USPU12873ES.pdf" TargetMode="External"/><Relationship Id="rId8" Type="http://schemas.openxmlformats.org/officeDocument/2006/relationships/hyperlink" Target="http://www.oas.org/es/cidh/decisiones/2014/USPU12873ES.pdf" TargetMode="External"/><Relationship Id="rId3" Type="http://schemas.openxmlformats.org/officeDocument/2006/relationships/hyperlink" Target="http://www.oas.org/es/cidh/decisiones/2014/USPU12873ES.pdf" TargetMode="External"/><Relationship Id="rId12" Type="http://schemas.openxmlformats.org/officeDocument/2006/relationships/hyperlink" Target="http://www.corteidh.or.cr/docs/casos/articulos/seriec_162_esp.pdf" TargetMode="External"/><Relationship Id="rId17" Type="http://schemas.openxmlformats.org/officeDocument/2006/relationships/hyperlink" Target="http://www.corteidh.or.cr/docs/casos/articulos/seriec_162_esp.pdf" TargetMode="External"/><Relationship Id="rId25" Type="http://schemas.openxmlformats.org/officeDocument/2006/relationships/hyperlink" Target="http://www.corteidh.or.cr/docs/casos/articulos/seriec_162_esp.pdf" TargetMode="External"/><Relationship Id="rId33" Type="http://schemas.openxmlformats.org/officeDocument/2006/relationships/hyperlink" Target="http://www.corteidh.or.cr/docs/casos/articulos/seriec_162_esp.pdf" TargetMode="External"/><Relationship Id="rId38" Type="http://schemas.openxmlformats.org/officeDocument/2006/relationships/hyperlink" Target="http://www.oas.org/es/cidh/decisiones/2014/USPU12873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2AB54-0B61-4D9E-81B9-52EDA4F8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5</cp:revision>
  <dcterms:created xsi:type="dcterms:W3CDTF">2021-01-04T18:01:00Z</dcterms:created>
  <dcterms:modified xsi:type="dcterms:W3CDTF">2021-03-25T22:27:00Z</dcterms:modified>
</cp:coreProperties>
</file>