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7B58" w14:textId="30EC2868" w:rsidR="002F5192" w:rsidRPr="00391BB0" w:rsidRDefault="002F5192" w:rsidP="00382A78">
      <w:pPr>
        <w:pStyle w:val="Header"/>
        <w:jc w:val="center"/>
        <w:rPr>
          <w:rFonts w:ascii="Cambria" w:hAnsi="Cambria"/>
          <w:snapToGrid w:val="0"/>
          <w:sz w:val="20"/>
          <w:szCs w:val="20"/>
          <w:lang w:val="es-ES"/>
        </w:rPr>
      </w:pPr>
      <w:r w:rsidRPr="00391BB0">
        <w:rPr>
          <w:rFonts w:ascii="Cambria" w:hAnsi="Cambria"/>
          <w:b/>
          <w:sz w:val="20"/>
          <w:szCs w:val="20"/>
          <w:lang w:val="es-ES"/>
        </w:rPr>
        <w:t>FICHA DE SEGUIMIENTO DEL INFORME Nº 11/15</w:t>
      </w:r>
    </w:p>
    <w:p w14:paraId="3BDAC911" w14:textId="77777777" w:rsidR="002F5192" w:rsidRPr="00391BB0" w:rsidRDefault="002F5192" w:rsidP="002F5192">
      <w:pPr>
        <w:jc w:val="center"/>
        <w:rPr>
          <w:rFonts w:ascii="Cambria" w:hAnsi="Cambria"/>
          <w:b/>
          <w:sz w:val="20"/>
          <w:szCs w:val="20"/>
          <w:lang w:val="es-ES"/>
        </w:rPr>
      </w:pPr>
      <w:r w:rsidRPr="00391BB0">
        <w:rPr>
          <w:rFonts w:ascii="Cambria" w:hAnsi="Cambria"/>
          <w:b/>
          <w:sz w:val="20"/>
          <w:szCs w:val="20"/>
          <w:lang w:val="es-ES"/>
        </w:rPr>
        <w:t>CASO 12.833</w:t>
      </w:r>
    </w:p>
    <w:p w14:paraId="536072CE" w14:textId="77777777" w:rsidR="002F5192" w:rsidRPr="00391BB0" w:rsidRDefault="002F5192" w:rsidP="002F5192">
      <w:pPr>
        <w:jc w:val="center"/>
        <w:rPr>
          <w:rFonts w:ascii="Cambria" w:hAnsi="Cambria"/>
          <w:b/>
          <w:sz w:val="20"/>
          <w:szCs w:val="20"/>
          <w:lang w:val="es-ES"/>
        </w:rPr>
      </w:pPr>
      <w:r w:rsidRPr="00391BB0">
        <w:rPr>
          <w:rFonts w:ascii="Cambria" w:hAnsi="Cambria"/>
          <w:b/>
          <w:bCs/>
          <w:sz w:val="20"/>
          <w:szCs w:val="20"/>
          <w:lang w:val="es-ES"/>
        </w:rPr>
        <w:t>FÉLIX ROCHA DÍAZ</w:t>
      </w:r>
    </w:p>
    <w:p w14:paraId="36213CAD" w14:textId="77777777" w:rsidR="002F5192" w:rsidRPr="00391BB0" w:rsidRDefault="002F5192" w:rsidP="002F5192">
      <w:pPr>
        <w:jc w:val="center"/>
        <w:rPr>
          <w:rFonts w:ascii="Cambria" w:hAnsi="Cambria"/>
          <w:b/>
          <w:sz w:val="20"/>
          <w:szCs w:val="20"/>
          <w:lang w:val="es-ES"/>
        </w:rPr>
      </w:pPr>
      <w:r w:rsidRPr="00391BB0">
        <w:rPr>
          <w:rFonts w:ascii="Cambria" w:hAnsi="Cambria"/>
          <w:b/>
          <w:sz w:val="20"/>
          <w:szCs w:val="20"/>
          <w:lang w:val="es-ES"/>
        </w:rPr>
        <w:t>(Estados Unidos)</w:t>
      </w:r>
    </w:p>
    <w:p w14:paraId="34218BA5" w14:textId="77777777" w:rsidR="002F5192" w:rsidRPr="00391BB0" w:rsidRDefault="002F5192" w:rsidP="002F5192">
      <w:pPr>
        <w:jc w:val="both"/>
        <w:rPr>
          <w:rFonts w:ascii="Cambria" w:hAnsi="Cambria"/>
          <w:sz w:val="20"/>
          <w:szCs w:val="20"/>
          <w:lang w:val="es-ES"/>
        </w:rPr>
      </w:pPr>
    </w:p>
    <w:p w14:paraId="05F707C5" w14:textId="77777777" w:rsidR="002F5192" w:rsidRPr="00391BB0" w:rsidRDefault="002F5192" w:rsidP="002F5192">
      <w:pPr>
        <w:numPr>
          <w:ilvl w:val="0"/>
          <w:numId w:val="8"/>
        </w:numPr>
        <w:ind w:left="1440"/>
        <w:rPr>
          <w:rFonts w:ascii="Cambria" w:hAnsi="Cambria" w:cs="Calibri Light"/>
          <w:b/>
          <w:sz w:val="20"/>
          <w:szCs w:val="20"/>
          <w:lang w:val="es-ES"/>
        </w:rPr>
      </w:pPr>
      <w:r w:rsidRPr="00391BB0">
        <w:rPr>
          <w:rFonts w:ascii="Cambria" w:hAnsi="Cambria" w:cs="Calibri Light"/>
          <w:b/>
          <w:sz w:val="20"/>
          <w:szCs w:val="20"/>
          <w:lang w:val="es-ES"/>
        </w:rPr>
        <w:t xml:space="preserve">Resumen del caso </w:t>
      </w:r>
    </w:p>
    <w:p w14:paraId="70F1C756" w14:textId="77777777" w:rsidR="002F5192" w:rsidRPr="00391BB0" w:rsidRDefault="002F5192" w:rsidP="002F5192">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F5192" w:rsidRPr="00391BB0" w14:paraId="576E0CBA" w14:textId="77777777" w:rsidTr="00AA3A3F">
        <w:trPr>
          <w:jc w:val="center"/>
        </w:trPr>
        <w:tc>
          <w:tcPr>
            <w:tcW w:w="9576" w:type="dxa"/>
            <w:shd w:val="clear" w:color="auto" w:fill="F2F2F2"/>
          </w:tcPr>
          <w:p w14:paraId="067925FB" w14:textId="77777777" w:rsidR="002F5192" w:rsidRPr="00391BB0" w:rsidRDefault="002F5192" w:rsidP="00AA3A3F">
            <w:pPr>
              <w:spacing w:before="120"/>
              <w:jc w:val="both"/>
              <w:rPr>
                <w:rFonts w:ascii="Cambria" w:hAnsi="Cambria"/>
                <w:b/>
                <w:sz w:val="20"/>
                <w:szCs w:val="20"/>
                <w:lang w:val="es-ES"/>
              </w:rPr>
            </w:pPr>
            <w:r w:rsidRPr="00391BB0">
              <w:rPr>
                <w:rFonts w:ascii="Cambria" w:hAnsi="Cambria"/>
                <w:b/>
                <w:sz w:val="20"/>
                <w:szCs w:val="20"/>
                <w:lang w:val="es-ES"/>
              </w:rPr>
              <w:t xml:space="preserve">Víctima (s): </w:t>
            </w:r>
            <w:r w:rsidRPr="00391BB0">
              <w:rPr>
                <w:rFonts w:ascii="Cambria" w:hAnsi="Cambria"/>
                <w:bCs/>
                <w:sz w:val="20"/>
                <w:szCs w:val="20"/>
                <w:lang w:val="es-ES"/>
              </w:rPr>
              <w:t>Félix Rocha Díaz</w:t>
            </w:r>
          </w:p>
          <w:p w14:paraId="70B2CBD9" w14:textId="77777777" w:rsidR="002F5192" w:rsidRPr="00391BB0" w:rsidRDefault="002F5192" w:rsidP="00AA3A3F">
            <w:pPr>
              <w:jc w:val="both"/>
              <w:rPr>
                <w:rFonts w:ascii="Cambria" w:hAnsi="Cambria"/>
                <w:b/>
                <w:sz w:val="20"/>
                <w:szCs w:val="20"/>
                <w:lang w:val="es-ES"/>
              </w:rPr>
            </w:pPr>
            <w:r w:rsidRPr="00391BB0">
              <w:rPr>
                <w:rFonts w:ascii="Cambria" w:hAnsi="Cambria"/>
                <w:b/>
                <w:sz w:val="20"/>
                <w:szCs w:val="20"/>
                <w:lang w:val="es-ES"/>
              </w:rPr>
              <w:t>Peticionario (s):</w:t>
            </w:r>
            <w:r w:rsidRPr="00391BB0">
              <w:rPr>
                <w:rFonts w:ascii="Cambria" w:hAnsi="Cambria"/>
                <w:sz w:val="20"/>
                <w:szCs w:val="20"/>
                <w:lang w:val="es-ES"/>
              </w:rPr>
              <w:t xml:space="preserve"> Sandra L. Babcock</w:t>
            </w:r>
          </w:p>
          <w:p w14:paraId="1643307B" w14:textId="77777777" w:rsidR="002F5192" w:rsidRPr="00391BB0" w:rsidRDefault="002F5192" w:rsidP="00AA3A3F">
            <w:pPr>
              <w:jc w:val="both"/>
              <w:rPr>
                <w:rFonts w:ascii="Cambria" w:hAnsi="Cambria"/>
                <w:sz w:val="20"/>
                <w:szCs w:val="20"/>
                <w:lang w:val="es-ES"/>
              </w:rPr>
            </w:pPr>
            <w:r w:rsidRPr="00391BB0">
              <w:rPr>
                <w:rFonts w:ascii="Cambria" w:hAnsi="Cambria"/>
                <w:b/>
                <w:sz w:val="20"/>
                <w:szCs w:val="20"/>
                <w:lang w:val="es-ES"/>
              </w:rPr>
              <w:t xml:space="preserve">Estado: </w:t>
            </w:r>
            <w:r w:rsidRPr="00391BB0">
              <w:rPr>
                <w:rFonts w:ascii="Cambria" w:hAnsi="Cambria"/>
                <w:sz w:val="20"/>
                <w:szCs w:val="20"/>
                <w:lang w:val="es-ES"/>
              </w:rPr>
              <w:t>Estados Unidos</w:t>
            </w:r>
          </w:p>
          <w:p w14:paraId="2AA7A0D9" w14:textId="77777777" w:rsidR="002F5192" w:rsidRPr="00391BB0" w:rsidRDefault="002F5192" w:rsidP="00AA3A3F">
            <w:pPr>
              <w:jc w:val="both"/>
              <w:rPr>
                <w:rFonts w:ascii="Cambria" w:hAnsi="Cambria"/>
                <w:sz w:val="20"/>
                <w:szCs w:val="20"/>
                <w:lang w:val="es-ES"/>
              </w:rPr>
            </w:pPr>
            <w:r w:rsidRPr="00391BB0">
              <w:rPr>
                <w:rFonts w:ascii="Cambria" w:hAnsi="Cambria"/>
                <w:b/>
                <w:sz w:val="20"/>
                <w:szCs w:val="20"/>
                <w:lang w:val="es-ES"/>
              </w:rPr>
              <w:t xml:space="preserve">Informe de Fondo Nº: </w:t>
            </w:r>
            <w:hyperlink r:id="rId8" w:history="1">
              <w:r w:rsidRPr="00391BB0">
                <w:rPr>
                  <w:rStyle w:val="Hyperlink"/>
                  <w:rFonts w:ascii="Cambria" w:hAnsi="Cambria"/>
                  <w:sz w:val="20"/>
                  <w:szCs w:val="20"/>
                  <w:lang w:val="es-ES"/>
                </w:rPr>
                <w:t>11/15</w:t>
              </w:r>
            </w:hyperlink>
            <w:r w:rsidRPr="00391BB0">
              <w:rPr>
                <w:rFonts w:ascii="Cambria" w:hAnsi="Cambria"/>
                <w:sz w:val="20"/>
                <w:szCs w:val="20"/>
                <w:lang w:val="es-ES"/>
              </w:rPr>
              <w:t>, publicado el 23 de marzo de 2015</w:t>
            </w:r>
          </w:p>
          <w:p w14:paraId="7BD26737" w14:textId="77777777" w:rsidR="002F5192" w:rsidRPr="00391BB0" w:rsidRDefault="002F5192" w:rsidP="00AA3A3F">
            <w:pPr>
              <w:jc w:val="both"/>
              <w:rPr>
                <w:rFonts w:ascii="Cambria" w:hAnsi="Cambria"/>
                <w:sz w:val="20"/>
                <w:szCs w:val="20"/>
                <w:lang w:val="es-ES"/>
              </w:rPr>
            </w:pPr>
            <w:r w:rsidRPr="00391BB0">
              <w:rPr>
                <w:rFonts w:ascii="Cambria" w:hAnsi="Cambria"/>
                <w:b/>
                <w:sz w:val="20"/>
                <w:szCs w:val="20"/>
                <w:lang w:val="es-ES"/>
              </w:rPr>
              <w:t xml:space="preserve">Informe de Admisibilidad Nº: </w:t>
            </w:r>
            <w:hyperlink r:id="rId9" w:history="1">
              <w:r w:rsidRPr="00391BB0">
                <w:rPr>
                  <w:rStyle w:val="Hyperlink"/>
                  <w:rFonts w:ascii="Cambria" w:hAnsi="Cambria"/>
                  <w:sz w:val="20"/>
                  <w:szCs w:val="20"/>
                  <w:lang w:val="es-ES"/>
                </w:rPr>
                <w:t>133/11</w:t>
              </w:r>
            </w:hyperlink>
            <w:r w:rsidRPr="00391BB0">
              <w:rPr>
                <w:rFonts w:ascii="Cambria" w:hAnsi="Cambria"/>
                <w:sz w:val="20"/>
                <w:szCs w:val="20"/>
                <w:lang w:val="es-ES"/>
              </w:rPr>
              <w:t>, publicado el 19 de octubre de 2011</w:t>
            </w:r>
          </w:p>
          <w:p w14:paraId="51CEA6A2" w14:textId="77777777" w:rsidR="002F5192" w:rsidRPr="00391BB0" w:rsidRDefault="002F5192" w:rsidP="00AA3A3F">
            <w:pPr>
              <w:jc w:val="both"/>
              <w:rPr>
                <w:rFonts w:ascii="Cambria" w:hAnsi="Cambria"/>
                <w:sz w:val="20"/>
                <w:szCs w:val="20"/>
                <w:lang w:val="es-ES"/>
              </w:rPr>
            </w:pPr>
            <w:r w:rsidRPr="00391BB0">
              <w:rPr>
                <w:rFonts w:ascii="Cambria" w:hAnsi="Cambria"/>
                <w:b/>
                <w:sz w:val="20"/>
                <w:szCs w:val="20"/>
                <w:lang w:val="es-ES"/>
              </w:rPr>
              <w:t>Medidas cautelares:</w:t>
            </w:r>
            <w:r w:rsidRPr="00391BB0">
              <w:rPr>
                <w:rFonts w:ascii="Cambria" w:hAnsi="Cambria"/>
                <w:sz w:val="20"/>
                <w:szCs w:val="20"/>
                <w:lang w:val="es-ES"/>
              </w:rPr>
              <w:t xml:space="preserve"> </w:t>
            </w:r>
            <w:hyperlink r:id="rId10" w:anchor="tab2011" w:history="1">
              <w:r w:rsidRPr="00391BB0">
                <w:rPr>
                  <w:rStyle w:val="Hyperlink"/>
                  <w:rFonts w:ascii="Cambria" w:hAnsi="Cambria"/>
                  <w:sz w:val="20"/>
                  <w:szCs w:val="20"/>
                  <w:lang w:val="es-ES"/>
                </w:rPr>
                <w:t>62/11</w:t>
              </w:r>
            </w:hyperlink>
            <w:r w:rsidRPr="00391BB0">
              <w:rPr>
                <w:rFonts w:ascii="Cambria" w:hAnsi="Cambria"/>
                <w:sz w:val="20"/>
                <w:szCs w:val="20"/>
                <w:lang w:val="es-ES"/>
              </w:rPr>
              <w:t xml:space="preserve">, otorgadas el 10 de marzo de 2011  </w:t>
            </w:r>
          </w:p>
          <w:p w14:paraId="7FDB8637" w14:textId="77777777" w:rsidR="002F5192" w:rsidRPr="00391BB0" w:rsidRDefault="002F5192" w:rsidP="00AA3A3F">
            <w:pPr>
              <w:spacing w:after="120"/>
              <w:jc w:val="both"/>
              <w:rPr>
                <w:rFonts w:ascii="Cambria" w:hAnsi="Cambria"/>
                <w:b/>
                <w:sz w:val="20"/>
                <w:szCs w:val="20"/>
                <w:lang w:val="es-ES"/>
              </w:rPr>
            </w:pPr>
            <w:r w:rsidRPr="00391BB0">
              <w:rPr>
                <w:rFonts w:ascii="Cambria" w:hAnsi="Cambria"/>
                <w:b/>
                <w:sz w:val="20"/>
                <w:szCs w:val="20"/>
                <w:lang w:val="es-ES"/>
              </w:rPr>
              <w:t xml:space="preserve">Temas: </w:t>
            </w:r>
            <w:r w:rsidRPr="00391BB0">
              <w:rPr>
                <w:rFonts w:ascii="Cambria" w:hAnsi="Cambria"/>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23B8E55E" w14:textId="77777777" w:rsidR="002F5192" w:rsidRPr="00391BB0" w:rsidRDefault="002F5192" w:rsidP="00AA3A3F">
            <w:pPr>
              <w:pStyle w:val="Default"/>
              <w:spacing w:after="120"/>
              <w:jc w:val="both"/>
              <w:rPr>
                <w:color w:val="auto"/>
                <w:sz w:val="20"/>
                <w:szCs w:val="20"/>
                <w:lang w:val="es-ES"/>
              </w:rPr>
            </w:pPr>
            <w:r w:rsidRPr="00391BB0">
              <w:rPr>
                <w:b/>
                <w:color w:val="auto"/>
                <w:sz w:val="20"/>
                <w:szCs w:val="20"/>
                <w:lang w:val="es-ES"/>
              </w:rPr>
              <w:t xml:space="preserve">Hechos: </w:t>
            </w:r>
            <w:r w:rsidRPr="00391BB0">
              <w:rPr>
                <w:color w:val="auto"/>
                <w:sz w:val="20"/>
                <w:szCs w:val="20"/>
                <w:lang w:val="es-ES"/>
              </w:rPr>
              <w:t xml:space="preserve">Este caso se refiere a violaciones al debido proceso legal de las que fue víctima Félix Rocha Díaz, ciudadano mexicano que ha sido privado de libertad y permanece en el corredor de la muerte en el estado de Texas desde 1998. Dichas violaciones consisten en que no se informó al señor Fierro sobre su derecho a la notificación y al acceso consular, lo cual constituye una violación del artículo 36 de la Convención de Viena sobre Relaciones Consulares; en que el abogado designado de oficio fue ineficaz; en que la inyección letal que se usa actualmente en Texas plantea un riesgo inaceptable de ocasionar un dolor y sufrimiento atroz, y en que el señor Rocha ha estado detenido en el corredor de la muerte de Texas desde 1998 en condiciones inhumanas. </w:t>
            </w:r>
          </w:p>
          <w:p w14:paraId="07440485" w14:textId="77777777" w:rsidR="002F5192" w:rsidRPr="00391BB0" w:rsidRDefault="002F5192" w:rsidP="00AA3A3F">
            <w:pPr>
              <w:pStyle w:val="Default"/>
              <w:spacing w:after="120"/>
              <w:jc w:val="both"/>
              <w:rPr>
                <w:color w:val="auto"/>
                <w:lang w:val="es-ES"/>
              </w:rPr>
            </w:pPr>
            <w:r w:rsidRPr="00391BB0">
              <w:rPr>
                <w:b/>
                <w:color w:val="auto"/>
                <w:sz w:val="20"/>
                <w:szCs w:val="20"/>
                <w:lang w:val="es-ES"/>
              </w:rPr>
              <w:t>Derechos violados:</w:t>
            </w:r>
            <w:r w:rsidRPr="00391BB0">
              <w:rPr>
                <w:color w:val="auto"/>
                <w:sz w:val="20"/>
                <w:szCs w:val="20"/>
                <w:lang w:val="es-ES"/>
              </w:rPr>
              <w:t xml:space="preserve"> La Comisión concluyó que Estados Unidos era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cometiendo una violación grave e irreparable al derecho a la vida reconocido en el Artículo I de la Declaración Americana. </w:t>
            </w:r>
          </w:p>
        </w:tc>
      </w:tr>
    </w:tbl>
    <w:p w14:paraId="33EB0E11" w14:textId="77777777" w:rsidR="002F5192" w:rsidRPr="00391BB0" w:rsidRDefault="002F5192" w:rsidP="002F5192">
      <w:pPr>
        <w:ind w:left="180"/>
        <w:jc w:val="both"/>
        <w:rPr>
          <w:rFonts w:ascii="Cambria" w:hAnsi="Cambria"/>
          <w:sz w:val="20"/>
          <w:szCs w:val="20"/>
          <w:lang w:val="es-ES"/>
        </w:rPr>
      </w:pPr>
    </w:p>
    <w:p w14:paraId="5B877B7D" w14:textId="77777777" w:rsidR="002F5192" w:rsidRPr="00391BB0" w:rsidRDefault="002F5192" w:rsidP="002F5192">
      <w:pPr>
        <w:numPr>
          <w:ilvl w:val="0"/>
          <w:numId w:val="8"/>
        </w:numPr>
        <w:ind w:left="1440"/>
        <w:jc w:val="both"/>
        <w:rPr>
          <w:rFonts w:ascii="Cambria" w:hAnsi="Cambria" w:cs="Calibri Light"/>
          <w:b/>
          <w:sz w:val="20"/>
          <w:szCs w:val="20"/>
          <w:lang w:val="es-ES"/>
        </w:rPr>
      </w:pPr>
      <w:r w:rsidRPr="00391BB0">
        <w:rPr>
          <w:rFonts w:ascii="Cambria" w:hAnsi="Cambria" w:cs="Calibri Light"/>
          <w:b/>
          <w:sz w:val="20"/>
          <w:szCs w:val="20"/>
          <w:lang w:val="es-ES"/>
        </w:rPr>
        <w:t>Recomendaciones</w:t>
      </w:r>
    </w:p>
    <w:p w14:paraId="77995807" w14:textId="77777777" w:rsidR="002F5192" w:rsidRPr="00391BB0" w:rsidRDefault="002F5192" w:rsidP="002F5192">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2F5192" w:rsidRPr="00391BB0" w14:paraId="10F60620" w14:textId="77777777" w:rsidTr="00AA3A3F">
        <w:tc>
          <w:tcPr>
            <w:tcW w:w="7320" w:type="dxa"/>
            <w:shd w:val="clear" w:color="auto" w:fill="auto"/>
            <w:vAlign w:val="center"/>
          </w:tcPr>
          <w:p w14:paraId="50D2FAC7" w14:textId="77777777" w:rsidR="002F5192" w:rsidRPr="00391BB0" w:rsidRDefault="002F5192" w:rsidP="00AA3A3F">
            <w:pPr>
              <w:jc w:val="center"/>
              <w:rPr>
                <w:rFonts w:ascii="Cambria" w:hAnsi="Cambria" w:cs="Calibri Light"/>
                <w:b/>
                <w:color w:val="000000" w:themeColor="text1"/>
                <w:sz w:val="18"/>
                <w:szCs w:val="18"/>
                <w:lang w:val="es-ES"/>
              </w:rPr>
            </w:pPr>
            <w:r w:rsidRPr="00391BB0">
              <w:rPr>
                <w:rFonts w:ascii="Cambria" w:hAnsi="Cambria" w:cs="Calibri Light"/>
                <w:b/>
                <w:color w:val="000000" w:themeColor="text1"/>
                <w:sz w:val="18"/>
                <w:szCs w:val="18"/>
                <w:lang w:val="es-ES"/>
              </w:rPr>
              <w:t>Recomendaciones</w:t>
            </w:r>
          </w:p>
        </w:tc>
        <w:tc>
          <w:tcPr>
            <w:tcW w:w="2220" w:type="dxa"/>
            <w:shd w:val="clear" w:color="auto" w:fill="auto"/>
            <w:vAlign w:val="center"/>
          </w:tcPr>
          <w:p w14:paraId="48EB9669" w14:textId="5FBB08BC" w:rsidR="002F5192" w:rsidRPr="00391BB0" w:rsidRDefault="002F5192" w:rsidP="00AA3A3F">
            <w:pPr>
              <w:jc w:val="center"/>
              <w:rPr>
                <w:rFonts w:ascii="Cambria" w:hAnsi="Cambria" w:cs="Calibri Light"/>
                <w:b/>
                <w:color w:val="000000" w:themeColor="text1"/>
                <w:sz w:val="18"/>
                <w:szCs w:val="18"/>
                <w:lang w:val="es-ES"/>
              </w:rPr>
            </w:pPr>
            <w:r w:rsidRPr="00391BB0">
              <w:rPr>
                <w:rFonts w:ascii="Cambria" w:hAnsi="Cambria" w:cs="Calibri Light"/>
                <w:b/>
                <w:color w:val="000000" w:themeColor="text1"/>
                <w:sz w:val="18"/>
                <w:szCs w:val="18"/>
                <w:lang w:val="es-ES"/>
              </w:rPr>
              <w:t>Estado de cumplimiento en el 20</w:t>
            </w:r>
            <w:r w:rsidR="00FE0300" w:rsidRPr="00391BB0">
              <w:rPr>
                <w:rFonts w:ascii="Cambria" w:hAnsi="Cambria" w:cs="Calibri Light"/>
                <w:b/>
                <w:color w:val="000000" w:themeColor="text1"/>
                <w:sz w:val="18"/>
                <w:szCs w:val="18"/>
                <w:lang w:val="es-ES"/>
              </w:rPr>
              <w:t>20</w:t>
            </w:r>
          </w:p>
        </w:tc>
      </w:tr>
      <w:tr w:rsidR="002F5192" w:rsidRPr="00391BB0" w14:paraId="51268A02" w14:textId="77777777" w:rsidTr="00AA3A3F">
        <w:tc>
          <w:tcPr>
            <w:tcW w:w="7320" w:type="dxa"/>
            <w:shd w:val="clear" w:color="auto" w:fill="auto"/>
          </w:tcPr>
          <w:p w14:paraId="4955B425" w14:textId="77777777" w:rsidR="002F5192" w:rsidRPr="00391BB0" w:rsidRDefault="002F5192" w:rsidP="00AA3A3F">
            <w:pPr>
              <w:jc w:val="both"/>
              <w:rPr>
                <w:rFonts w:ascii="Cambria" w:hAnsi="Cambria"/>
                <w:color w:val="000000" w:themeColor="text1"/>
                <w:sz w:val="18"/>
                <w:szCs w:val="18"/>
                <w:lang w:val="es-ES"/>
              </w:rPr>
            </w:pPr>
            <w:r w:rsidRPr="00391BB0">
              <w:rPr>
                <w:rFonts w:ascii="Cambria" w:hAnsi="Cambria"/>
                <w:color w:val="000000" w:themeColor="text1"/>
                <w:sz w:val="18"/>
                <w:szCs w:val="18"/>
                <w:lang w:val="es-ES"/>
              </w:rPr>
              <w:t xml:space="preserve">1. Garantizar al señor Félix Rocha Díaz un recurso efectivo, que incluya la revisión de su juicio de conformidad con las garantías del debido proceso consagradas en los artículos I, XVIII y XXVI de la Declaración Americana. </w:t>
            </w:r>
          </w:p>
        </w:tc>
        <w:tc>
          <w:tcPr>
            <w:tcW w:w="2220" w:type="dxa"/>
            <w:shd w:val="clear" w:color="auto" w:fill="auto"/>
            <w:vAlign w:val="center"/>
          </w:tcPr>
          <w:p w14:paraId="77ECC3F5" w14:textId="77777777" w:rsidR="002F5192" w:rsidRPr="00391BB0" w:rsidRDefault="002F5192" w:rsidP="00AA3A3F">
            <w:pPr>
              <w:jc w:val="center"/>
              <w:rPr>
                <w:rFonts w:ascii="Cambria" w:hAnsi="Cambria" w:cs="Calibri Light"/>
                <w:b/>
                <w:color w:val="000000" w:themeColor="text1"/>
                <w:sz w:val="18"/>
                <w:szCs w:val="18"/>
                <w:lang w:val="es-ES"/>
              </w:rPr>
            </w:pPr>
            <w:r w:rsidRPr="00391BB0">
              <w:rPr>
                <w:rFonts w:ascii="Cambria" w:hAnsi="Cambria"/>
                <w:color w:val="000000" w:themeColor="text1"/>
                <w:sz w:val="18"/>
                <w:szCs w:val="18"/>
                <w:lang w:val="es-ES"/>
              </w:rPr>
              <w:t>Pendiente de cumplimiento</w:t>
            </w:r>
          </w:p>
        </w:tc>
      </w:tr>
      <w:tr w:rsidR="002F5192" w:rsidRPr="00391BB0" w14:paraId="724B492B" w14:textId="77777777" w:rsidTr="00AA3A3F">
        <w:tc>
          <w:tcPr>
            <w:tcW w:w="7320" w:type="dxa"/>
            <w:shd w:val="clear" w:color="auto" w:fill="auto"/>
          </w:tcPr>
          <w:p w14:paraId="4E89603E" w14:textId="77777777" w:rsidR="002F5192" w:rsidRPr="00391BB0" w:rsidRDefault="002F5192" w:rsidP="00AA3A3F">
            <w:pPr>
              <w:jc w:val="both"/>
              <w:rPr>
                <w:rFonts w:ascii="Cambria" w:hAnsi="Cambria"/>
                <w:color w:val="000000" w:themeColor="text1"/>
                <w:sz w:val="18"/>
                <w:szCs w:val="18"/>
                <w:lang w:val="es-ES"/>
              </w:rPr>
            </w:pPr>
            <w:r w:rsidRPr="00391BB0">
              <w:rPr>
                <w:rFonts w:ascii="Cambria" w:hAnsi="Cambria"/>
                <w:color w:val="000000" w:themeColor="text1"/>
                <w:sz w:val="18"/>
                <w:szCs w:val="18"/>
                <w:lang w:val="es-ES"/>
              </w:rPr>
              <w:t xml:space="preserve">2. Revisar sus normas, procedimientos y prácticas 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tc>
        <w:tc>
          <w:tcPr>
            <w:tcW w:w="2220" w:type="dxa"/>
            <w:shd w:val="clear" w:color="auto" w:fill="auto"/>
            <w:vAlign w:val="center"/>
          </w:tcPr>
          <w:p w14:paraId="073E0B7C" w14:textId="77777777" w:rsidR="002F5192" w:rsidRPr="00391BB0" w:rsidRDefault="002F5192" w:rsidP="00AA3A3F">
            <w:pPr>
              <w:jc w:val="center"/>
              <w:rPr>
                <w:rFonts w:ascii="Cambria" w:hAnsi="Cambria" w:cs="Calibri Light"/>
                <w:b/>
                <w:color w:val="000000" w:themeColor="text1"/>
                <w:sz w:val="18"/>
                <w:szCs w:val="18"/>
                <w:lang w:val="es-ES"/>
              </w:rPr>
            </w:pPr>
            <w:r w:rsidRPr="00391BB0">
              <w:rPr>
                <w:rFonts w:ascii="Cambria" w:hAnsi="Cambria"/>
                <w:color w:val="000000" w:themeColor="text1"/>
                <w:sz w:val="18"/>
                <w:szCs w:val="18"/>
                <w:lang w:val="es-ES"/>
              </w:rPr>
              <w:t>Pendiente de cumplimiento</w:t>
            </w:r>
          </w:p>
        </w:tc>
      </w:tr>
      <w:tr w:rsidR="002F5192" w:rsidRPr="00391BB0" w14:paraId="658735AD" w14:textId="77777777" w:rsidTr="00AA3A3F">
        <w:tc>
          <w:tcPr>
            <w:tcW w:w="7320" w:type="dxa"/>
            <w:shd w:val="clear" w:color="auto" w:fill="auto"/>
          </w:tcPr>
          <w:p w14:paraId="4D42EE82" w14:textId="77777777" w:rsidR="002F5192" w:rsidRPr="00391BB0" w:rsidRDefault="002F5192" w:rsidP="00AA3A3F">
            <w:pPr>
              <w:jc w:val="both"/>
              <w:rPr>
                <w:rFonts w:ascii="Cambria" w:hAnsi="Cambria" w:cs="Calibri Light"/>
                <w:color w:val="000000" w:themeColor="text1"/>
                <w:sz w:val="18"/>
                <w:szCs w:val="18"/>
                <w:lang w:val="es-ES"/>
              </w:rPr>
            </w:pPr>
            <w:r w:rsidRPr="00391BB0">
              <w:rPr>
                <w:rFonts w:ascii="Cambria" w:hAnsi="Cambria" w:cs="Calibri"/>
                <w:color w:val="000000" w:themeColor="text1"/>
                <w:sz w:val="18"/>
                <w:szCs w:val="18"/>
                <w:lang w:val="es-ES"/>
              </w:rPr>
              <w:t xml:space="preserve">3. </w:t>
            </w:r>
            <w:r w:rsidRPr="00391BB0">
              <w:rPr>
                <w:rFonts w:ascii="Cambria" w:hAnsi="Cambria"/>
                <w:color w:val="000000" w:themeColor="text1"/>
                <w:sz w:val="18"/>
                <w:szCs w:val="18"/>
                <w:lang w:val="es-ES"/>
              </w:rPr>
              <w:t>Garantizar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r w:rsidRPr="00391BB0">
              <w:rPr>
                <w:rFonts w:ascii="Cambria" w:hAnsi="Cambria" w:cs="Calibri"/>
                <w:color w:val="000000" w:themeColor="text1"/>
                <w:sz w:val="18"/>
                <w:szCs w:val="18"/>
                <w:lang w:val="es-ES"/>
              </w:rPr>
              <w:t xml:space="preserve">.  </w:t>
            </w:r>
          </w:p>
        </w:tc>
        <w:tc>
          <w:tcPr>
            <w:tcW w:w="2220" w:type="dxa"/>
            <w:shd w:val="clear" w:color="auto" w:fill="auto"/>
            <w:vAlign w:val="center"/>
          </w:tcPr>
          <w:p w14:paraId="1BC4BCAF" w14:textId="77777777" w:rsidR="002F5192" w:rsidRPr="00391BB0" w:rsidRDefault="002F5192" w:rsidP="00AA3A3F">
            <w:pPr>
              <w:jc w:val="center"/>
              <w:rPr>
                <w:rFonts w:ascii="Cambria" w:hAnsi="Cambria" w:cs="Calibri Light"/>
                <w:b/>
                <w:color w:val="000000" w:themeColor="text1"/>
                <w:sz w:val="18"/>
                <w:szCs w:val="18"/>
                <w:lang w:val="es-ES"/>
              </w:rPr>
            </w:pPr>
            <w:r w:rsidRPr="00391BB0">
              <w:rPr>
                <w:rFonts w:ascii="Cambria" w:hAnsi="Cambria"/>
                <w:color w:val="000000" w:themeColor="text1"/>
                <w:sz w:val="18"/>
                <w:szCs w:val="18"/>
                <w:lang w:val="es-ES"/>
              </w:rPr>
              <w:t>Cumplimiento parcial</w:t>
            </w:r>
          </w:p>
        </w:tc>
      </w:tr>
      <w:tr w:rsidR="002F5192" w:rsidRPr="00391BB0" w14:paraId="03B067BC" w14:textId="77777777" w:rsidTr="00AA3A3F">
        <w:tc>
          <w:tcPr>
            <w:tcW w:w="7320" w:type="dxa"/>
            <w:shd w:val="clear" w:color="auto" w:fill="auto"/>
          </w:tcPr>
          <w:p w14:paraId="0F231F38" w14:textId="77777777" w:rsidR="002F5192" w:rsidRPr="00391BB0" w:rsidRDefault="002F5192" w:rsidP="00AA3A3F">
            <w:pPr>
              <w:autoSpaceDE w:val="0"/>
              <w:autoSpaceDN w:val="0"/>
              <w:adjustRightInd w:val="0"/>
              <w:jc w:val="both"/>
              <w:rPr>
                <w:rFonts w:ascii="Cambria" w:hAnsi="Cambria" w:cs="Calibri"/>
                <w:sz w:val="18"/>
                <w:szCs w:val="18"/>
                <w:lang w:val="es-ES"/>
              </w:rPr>
            </w:pPr>
            <w:r w:rsidRPr="00391BB0">
              <w:rPr>
                <w:rFonts w:ascii="Cambria" w:hAnsi="Cambria" w:cs="Calibri"/>
                <w:sz w:val="18"/>
                <w:szCs w:val="18"/>
                <w:lang w:val="es-ES"/>
              </w:rPr>
              <w:t xml:space="preserve">4. </w:t>
            </w:r>
            <w:r w:rsidRPr="00391BB0">
              <w:rPr>
                <w:rFonts w:ascii="Cambria" w:hAnsi="Cambria"/>
                <w:sz w:val="18"/>
                <w:szCs w:val="18"/>
                <w:lang w:val="es-ES"/>
              </w:rPr>
              <w:t>Impulsar la aprobación urgente del proyecto de “Ley para el Cumplimiento de la Notificación Consular” (“CNCA” por sus siglas en inglés), que se encuentra pendiente ante el Congreso de los Estados Unidos desde 2011</w:t>
            </w:r>
            <w:r w:rsidRPr="00391BB0">
              <w:rPr>
                <w:rFonts w:ascii="Cambria" w:hAnsi="Cambria" w:cs="Calibri"/>
                <w:sz w:val="18"/>
                <w:szCs w:val="18"/>
                <w:lang w:val="es-ES"/>
              </w:rPr>
              <w:t xml:space="preserve">. </w:t>
            </w:r>
          </w:p>
        </w:tc>
        <w:tc>
          <w:tcPr>
            <w:tcW w:w="2220" w:type="dxa"/>
            <w:shd w:val="clear" w:color="auto" w:fill="auto"/>
            <w:vAlign w:val="center"/>
          </w:tcPr>
          <w:p w14:paraId="51715400"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517D6390" w14:textId="77777777" w:rsidTr="00AA3A3F">
        <w:tc>
          <w:tcPr>
            <w:tcW w:w="7320" w:type="dxa"/>
            <w:shd w:val="clear" w:color="auto" w:fill="auto"/>
          </w:tcPr>
          <w:p w14:paraId="218841B5" w14:textId="77777777" w:rsidR="002F5192" w:rsidRPr="00391BB0" w:rsidRDefault="002F5192" w:rsidP="00AA3A3F">
            <w:pPr>
              <w:jc w:val="both"/>
              <w:rPr>
                <w:rFonts w:ascii="Cambria" w:hAnsi="Cambria" w:cs="Calibri"/>
                <w:sz w:val="18"/>
                <w:szCs w:val="18"/>
                <w:lang w:val="es-ES"/>
              </w:rPr>
            </w:pPr>
            <w:r w:rsidRPr="00391BB0">
              <w:rPr>
                <w:rFonts w:ascii="Cambria" w:hAnsi="Cambria" w:cs="Calibri"/>
                <w:sz w:val="18"/>
                <w:szCs w:val="18"/>
                <w:lang w:val="es-ES"/>
              </w:rPr>
              <w:lastRenderedPageBreak/>
              <w:t xml:space="preserve">5. </w:t>
            </w:r>
            <w:r w:rsidRPr="00391BB0">
              <w:rPr>
                <w:rFonts w:ascii="Cambria" w:hAnsi="Cambria"/>
                <w:sz w:val="18"/>
                <w:szCs w:val="18"/>
                <w:lang w:val="es-ES"/>
              </w:rPr>
              <w:t>Garantizar que la asistencia letrada provista por el Estado en los casos de pena de muerte sea efectiva, esté entrenada para actuar en casos de pena de muerte, y sea capaz de investigar de manera completa y diligente toda la evidencia atenuante</w:t>
            </w:r>
            <w:r w:rsidRPr="00391BB0">
              <w:rPr>
                <w:rFonts w:ascii="Cambria" w:hAnsi="Cambria" w:cs="Calibri"/>
                <w:sz w:val="18"/>
                <w:szCs w:val="18"/>
                <w:lang w:val="es-ES"/>
              </w:rPr>
              <w:t xml:space="preserve">. </w:t>
            </w:r>
          </w:p>
        </w:tc>
        <w:tc>
          <w:tcPr>
            <w:tcW w:w="2220" w:type="dxa"/>
            <w:shd w:val="clear" w:color="auto" w:fill="auto"/>
            <w:vAlign w:val="center"/>
          </w:tcPr>
          <w:p w14:paraId="034D8F41"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63236EED" w14:textId="77777777" w:rsidTr="00AA3A3F">
        <w:tc>
          <w:tcPr>
            <w:tcW w:w="7320" w:type="dxa"/>
            <w:shd w:val="clear" w:color="auto" w:fill="auto"/>
          </w:tcPr>
          <w:p w14:paraId="526178EF" w14:textId="77777777" w:rsidR="002F5192" w:rsidRPr="00391BB0" w:rsidRDefault="002F5192" w:rsidP="00AA3A3F">
            <w:pPr>
              <w:jc w:val="both"/>
              <w:rPr>
                <w:rFonts w:ascii="Cambria" w:hAnsi="Cambria" w:cs="Calibri"/>
                <w:sz w:val="18"/>
                <w:szCs w:val="18"/>
                <w:lang w:val="es-ES"/>
              </w:rPr>
            </w:pPr>
            <w:r w:rsidRPr="00391BB0">
              <w:rPr>
                <w:rFonts w:ascii="Cambria" w:hAnsi="Cambria" w:cs="Calibri"/>
                <w:sz w:val="18"/>
                <w:szCs w:val="18"/>
                <w:lang w:val="es-ES"/>
              </w:rPr>
              <w:t xml:space="preserve">6. </w:t>
            </w:r>
            <w:r w:rsidRPr="00391BB0">
              <w:rPr>
                <w:rFonts w:ascii="Cambria" w:hAnsi="Cambria"/>
                <w:sz w:val="18"/>
                <w:szCs w:val="18"/>
                <w:lang w:val="es-ES"/>
              </w:rPr>
              <w:t>Garantizar que las sustancias utilizadas en la inyección letal sean sometidas a aprobación y regulación gubernamental, que el personal a cargo de la ejecución obtenga capacitación médica adecuada y que los protocolos de la inyección letal estén disponibles al público</w:t>
            </w:r>
            <w:r w:rsidRPr="00391BB0">
              <w:rPr>
                <w:rFonts w:ascii="Cambria" w:hAnsi="Cambria" w:cs="Calibri"/>
                <w:sz w:val="18"/>
                <w:szCs w:val="18"/>
                <w:lang w:val="es-ES"/>
              </w:rPr>
              <w:t xml:space="preserve">. </w:t>
            </w:r>
          </w:p>
        </w:tc>
        <w:tc>
          <w:tcPr>
            <w:tcW w:w="2220" w:type="dxa"/>
            <w:shd w:val="clear" w:color="auto" w:fill="auto"/>
            <w:vAlign w:val="center"/>
          </w:tcPr>
          <w:p w14:paraId="00694FB4"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6DD06ADC" w14:textId="77777777" w:rsidTr="00AA3A3F">
        <w:tc>
          <w:tcPr>
            <w:tcW w:w="7320" w:type="dxa"/>
            <w:shd w:val="clear" w:color="auto" w:fill="auto"/>
          </w:tcPr>
          <w:p w14:paraId="61635F53" w14:textId="77777777" w:rsidR="002F5192" w:rsidRPr="00391BB0" w:rsidRDefault="002F5192" w:rsidP="00AA3A3F">
            <w:pPr>
              <w:jc w:val="both"/>
              <w:rPr>
                <w:rFonts w:ascii="Cambria" w:hAnsi="Cambria" w:cs="Calibri"/>
                <w:sz w:val="18"/>
                <w:szCs w:val="18"/>
                <w:lang w:val="es-ES"/>
              </w:rPr>
            </w:pPr>
            <w:r w:rsidRPr="00391BB0">
              <w:rPr>
                <w:rFonts w:ascii="Cambria" w:hAnsi="Cambria" w:cs="Calibri"/>
                <w:sz w:val="18"/>
                <w:szCs w:val="18"/>
                <w:lang w:val="es-ES"/>
              </w:rPr>
              <w:t xml:space="preserve">7. </w:t>
            </w:r>
            <w:r w:rsidRPr="00391BB0">
              <w:rPr>
                <w:rFonts w:ascii="Cambria" w:hAnsi="Cambria"/>
                <w:sz w:val="18"/>
                <w:szCs w:val="18"/>
                <w:lang w:val="es-ES"/>
              </w:rPr>
              <w:t>Garantizar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r w:rsidRPr="00391BB0">
              <w:rPr>
                <w:rFonts w:ascii="Cambria" w:hAnsi="Cambria" w:cs="Calibri"/>
                <w:sz w:val="18"/>
                <w:szCs w:val="18"/>
                <w:lang w:val="es-ES"/>
              </w:rPr>
              <w:t xml:space="preserve">. </w:t>
            </w:r>
          </w:p>
        </w:tc>
        <w:tc>
          <w:tcPr>
            <w:tcW w:w="2220" w:type="dxa"/>
            <w:shd w:val="clear" w:color="auto" w:fill="auto"/>
            <w:vAlign w:val="center"/>
          </w:tcPr>
          <w:p w14:paraId="3C4CEA97"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6A6E2AE4" w14:textId="77777777" w:rsidTr="00AA3A3F">
        <w:tc>
          <w:tcPr>
            <w:tcW w:w="7320" w:type="dxa"/>
            <w:shd w:val="clear" w:color="auto" w:fill="auto"/>
          </w:tcPr>
          <w:p w14:paraId="6FA0691D" w14:textId="77777777" w:rsidR="002F5192" w:rsidRPr="00391BB0" w:rsidRDefault="002F5192" w:rsidP="00AA3A3F">
            <w:pPr>
              <w:jc w:val="both"/>
              <w:rPr>
                <w:rFonts w:ascii="Cambria" w:hAnsi="Cambria" w:cs="Calibri"/>
                <w:sz w:val="18"/>
                <w:szCs w:val="18"/>
                <w:lang w:val="es-ES"/>
              </w:rPr>
            </w:pPr>
            <w:r w:rsidRPr="00391BB0">
              <w:rPr>
                <w:rFonts w:ascii="Cambria" w:hAnsi="Cambria" w:cs="Calibri"/>
                <w:sz w:val="18"/>
                <w:szCs w:val="18"/>
                <w:lang w:val="es-ES"/>
              </w:rPr>
              <w:t xml:space="preserve">8. </w:t>
            </w:r>
            <w:r w:rsidRPr="00391BB0">
              <w:rPr>
                <w:rFonts w:ascii="Cambria" w:hAnsi="Cambria"/>
                <w:sz w:val="18"/>
                <w:szCs w:val="18"/>
                <w:lang w:val="es-ES"/>
              </w:rPr>
              <w:t>Revisar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w:t>
            </w:r>
            <w:r w:rsidRPr="00391BB0">
              <w:rPr>
                <w:rFonts w:ascii="Cambria" w:hAnsi="Cambria" w:cs="Calibri"/>
                <w:sz w:val="18"/>
                <w:szCs w:val="18"/>
                <w:lang w:val="es-ES"/>
              </w:rPr>
              <w:t xml:space="preserve">. </w:t>
            </w:r>
          </w:p>
        </w:tc>
        <w:tc>
          <w:tcPr>
            <w:tcW w:w="2220" w:type="dxa"/>
            <w:shd w:val="clear" w:color="auto" w:fill="auto"/>
            <w:vAlign w:val="center"/>
          </w:tcPr>
          <w:p w14:paraId="77ED6CA7"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6F41EAF5" w14:textId="77777777" w:rsidTr="00AA3A3F">
        <w:tc>
          <w:tcPr>
            <w:tcW w:w="7320" w:type="dxa"/>
            <w:shd w:val="clear" w:color="auto" w:fill="auto"/>
          </w:tcPr>
          <w:p w14:paraId="1F706025" w14:textId="77777777" w:rsidR="002F5192" w:rsidRPr="00391BB0" w:rsidRDefault="002F5192" w:rsidP="00AA3A3F">
            <w:pPr>
              <w:jc w:val="both"/>
              <w:rPr>
                <w:rFonts w:ascii="Cambria" w:hAnsi="Cambria" w:cs="Calibri"/>
                <w:sz w:val="18"/>
                <w:szCs w:val="18"/>
                <w:lang w:val="es-ES"/>
              </w:rPr>
            </w:pPr>
            <w:r w:rsidRPr="00391BB0">
              <w:rPr>
                <w:rFonts w:ascii="Cambria" w:hAnsi="Cambria"/>
                <w:sz w:val="18"/>
                <w:szCs w:val="18"/>
                <w:lang w:val="es-ES"/>
              </w:rPr>
              <w:t xml:space="preserve">9. Garantizar que las personas sentenciadas a pena de muerte tengan la oportunidad de estar en contacto con los miembros de sus familias y tengan acceso a diversos programas y actividades. </w:t>
            </w:r>
          </w:p>
        </w:tc>
        <w:tc>
          <w:tcPr>
            <w:tcW w:w="2220" w:type="dxa"/>
            <w:shd w:val="clear" w:color="auto" w:fill="auto"/>
            <w:vAlign w:val="center"/>
          </w:tcPr>
          <w:p w14:paraId="352533D3"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r w:rsidR="002F5192" w:rsidRPr="00391BB0" w14:paraId="073DD182" w14:textId="77777777" w:rsidTr="00AA3A3F">
        <w:tc>
          <w:tcPr>
            <w:tcW w:w="7320" w:type="dxa"/>
            <w:shd w:val="clear" w:color="auto" w:fill="auto"/>
          </w:tcPr>
          <w:p w14:paraId="4EDFB9E1" w14:textId="77777777" w:rsidR="002F5192" w:rsidRPr="00391BB0" w:rsidRDefault="002F5192" w:rsidP="00AA3A3F">
            <w:pPr>
              <w:jc w:val="both"/>
              <w:rPr>
                <w:rFonts w:ascii="Cambria" w:hAnsi="Cambria" w:cs="Calibri"/>
                <w:sz w:val="18"/>
                <w:szCs w:val="18"/>
                <w:lang w:val="es-ES"/>
              </w:rPr>
            </w:pPr>
            <w:r w:rsidRPr="00391BB0">
              <w:rPr>
                <w:rFonts w:ascii="Cambria" w:hAnsi="Cambria"/>
                <w:sz w:val="18"/>
                <w:szCs w:val="18"/>
                <w:lang w:val="es-ES"/>
              </w:rPr>
              <w:t xml:space="preserve">10. 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  </w:t>
            </w:r>
          </w:p>
        </w:tc>
        <w:tc>
          <w:tcPr>
            <w:tcW w:w="2220" w:type="dxa"/>
            <w:shd w:val="clear" w:color="auto" w:fill="auto"/>
            <w:vAlign w:val="center"/>
          </w:tcPr>
          <w:p w14:paraId="77EAD6C2" w14:textId="77777777" w:rsidR="002F5192" w:rsidRPr="00391BB0" w:rsidRDefault="002F5192" w:rsidP="00AA3A3F">
            <w:pPr>
              <w:jc w:val="center"/>
              <w:rPr>
                <w:rFonts w:ascii="Cambria" w:hAnsi="Cambria" w:cs="Calibri Light"/>
                <w:b/>
                <w:sz w:val="18"/>
                <w:szCs w:val="18"/>
                <w:lang w:val="es-ES"/>
              </w:rPr>
            </w:pPr>
            <w:r w:rsidRPr="00391BB0">
              <w:rPr>
                <w:rFonts w:ascii="Cambria" w:hAnsi="Cambria"/>
                <w:sz w:val="18"/>
                <w:szCs w:val="18"/>
                <w:lang w:val="es-ES"/>
              </w:rPr>
              <w:t>Pendiente de cumplimiento</w:t>
            </w:r>
          </w:p>
        </w:tc>
      </w:tr>
    </w:tbl>
    <w:p w14:paraId="699B139C" w14:textId="77777777" w:rsidR="002F5192" w:rsidRPr="00391BB0" w:rsidRDefault="002F5192" w:rsidP="002F5192">
      <w:pPr>
        <w:jc w:val="both"/>
        <w:rPr>
          <w:rFonts w:ascii="Cambria" w:hAnsi="Cambria" w:cs="Calibri Light"/>
          <w:sz w:val="20"/>
          <w:szCs w:val="20"/>
          <w:lang w:val="es-ES"/>
        </w:rPr>
      </w:pPr>
    </w:p>
    <w:p w14:paraId="7D4C2807" w14:textId="77777777" w:rsidR="002F5192" w:rsidRPr="00391BB0" w:rsidRDefault="002F5192" w:rsidP="002F5192">
      <w:pPr>
        <w:pStyle w:val="ListParagraph"/>
        <w:numPr>
          <w:ilvl w:val="0"/>
          <w:numId w:val="8"/>
        </w:numPr>
        <w:ind w:left="1440"/>
        <w:jc w:val="both"/>
        <w:rPr>
          <w:rFonts w:ascii="Cambria" w:hAnsi="Cambria" w:cs="Calibri Light"/>
          <w:b/>
          <w:sz w:val="20"/>
          <w:szCs w:val="20"/>
          <w:lang w:val="es-ES"/>
        </w:rPr>
      </w:pPr>
      <w:r w:rsidRPr="00391BB0">
        <w:rPr>
          <w:rFonts w:ascii="Cambria" w:hAnsi="Cambria"/>
          <w:b/>
          <w:sz w:val="20"/>
          <w:szCs w:val="20"/>
          <w:lang w:val="es-ES"/>
        </w:rPr>
        <w:t>Actividad procesal</w:t>
      </w:r>
    </w:p>
    <w:p w14:paraId="6DA88502" w14:textId="77777777" w:rsidR="002F5192" w:rsidRPr="00391BB0" w:rsidRDefault="002F5192" w:rsidP="002F5192">
      <w:pPr>
        <w:jc w:val="both"/>
        <w:rPr>
          <w:rFonts w:ascii="Cambria" w:hAnsi="Cambria" w:cs="Calibri Light"/>
          <w:sz w:val="20"/>
          <w:szCs w:val="20"/>
          <w:lang w:val="es-ES"/>
        </w:rPr>
      </w:pPr>
    </w:p>
    <w:p w14:paraId="7503904A" w14:textId="78A57333" w:rsidR="002F5192" w:rsidRPr="00391BB0" w:rsidRDefault="002F5192" w:rsidP="002F5192">
      <w:pPr>
        <w:pStyle w:val="ListParagraph"/>
        <w:numPr>
          <w:ilvl w:val="0"/>
          <w:numId w:val="12"/>
        </w:numPr>
        <w:jc w:val="both"/>
        <w:rPr>
          <w:rFonts w:ascii="Cambria" w:hAnsi="Cambria" w:cs="Calibri Light"/>
          <w:color w:val="000000" w:themeColor="text1"/>
          <w:sz w:val="20"/>
          <w:szCs w:val="20"/>
          <w:lang w:val="es-ES"/>
        </w:rPr>
      </w:pPr>
      <w:r w:rsidRPr="00391BB0">
        <w:rPr>
          <w:rFonts w:ascii="Cambria" w:hAnsi="Cambria" w:cs="Calibri Light"/>
          <w:color w:val="000000" w:themeColor="text1"/>
          <w:sz w:val="20"/>
          <w:szCs w:val="20"/>
          <w:lang w:val="es-ES"/>
        </w:rPr>
        <w:t>En 20</w:t>
      </w:r>
      <w:r w:rsidR="00FE0300" w:rsidRPr="00391BB0">
        <w:rPr>
          <w:rFonts w:ascii="Cambria" w:hAnsi="Cambria" w:cs="Calibri Light"/>
          <w:color w:val="000000" w:themeColor="text1"/>
          <w:sz w:val="20"/>
          <w:szCs w:val="20"/>
          <w:lang w:val="es-ES"/>
        </w:rPr>
        <w:t>20</w:t>
      </w:r>
      <w:r w:rsidRPr="00391BB0">
        <w:rPr>
          <w:rFonts w:ascii="Cambria" w:hAnsi="Cambria" w:cs="Calibri Light"/>
          <w:color w:val="000000" w:themeColor="text1"/>
          <w:sz w:val="20"/>
          <w:szCs w:val="20"/>
          <w:lang w:val="es-ES"/>
        </w:rPr>
        <w:t xml:space="preserve">, la CIDH solicitó información actualizada al Estado sobre el cumplimiento de las recomendaciones el </w:t>
      </w:r>
      <w:r w:rsidR="00FE0300" w:rsidRPr="00391BB0">
        <w:rPr>
          <w:rFonts w:ascii="Cambria" w:hAnsi="Cambria" w:cs="Calibri Light"/>
          <w:color w:val="000000" w:themeColor="text1"/>
          <w:sz w:val="20"/>
          <w:szCs w:val="20"/>
          <w:lang w:val="es-ES"/>
        </w:rPr>
        <w:t>18</w:t>
      </w:r>
      <w:r w:rsidRPr="00391BB0">
        <w:rPr>
          <w:rFonts w:ascii="Cambria" w:hAnsi="Cambria" w:cs="Calibri Light"/>
          <w:color w:val="000000" w:themeColor="text1"/>
          <w:sz w:val="20"/>
          <w:szCs w:val="20"/>
          <w:lang w:val="es-ES"/>
        </w:rPr>
        <w:t xml:space="preserve"> de </w:t>
      </w:r>
      <w:r w:rsidR="00FE0300" w:rsidRPr="00391BB0">
        <w:rPr>
          <w:rFonts w:ascii="Cambria" w:hAnsi="Cambria" w:cs="Calibri Light"/>
          <w:color w:val="000000" w:themeColor="text1"/>
          <w:sz w:val="20"/>
          <w:szCs w:val="20"/>
          <w:lang w:val="es-ES"/>
        </w:rPr>
        <w:t>agosto</w:t>
      </w:r>
      <w:r w:rsidR="00065291" w:rsidRPr="00391BB0">
        <w:rPr>
          <w:rFonts w:ascii="Cambria" w:hAnsi="Cambria" w:cs="Calibri Light"/>
          <w:color w:val="000000" w:themeColor="text1"/>
          <w:sz w:val="20"/>
          <w:szCs w:val="20"/>
          <w:lang w:val="es-ES"/>
        </w:rPr>
        <w:t>. E</w:t>
      </w:r>
      <w:r w:rsidRPr="00391BB0">
        <w:rPr>
          <w:rFonts w:ascii="Cambria" w:hAnsi="Cambria" w:cs="Calibri Light"/>
          <w:color w:val="000000" w:themeColor="text1"/>
          <w:sz w:val="20"/>
          <w:szCs w:val="20"/>
          <w:lang w:val="es-ES"/>
        </w:rPr>
        <w:t xml:space="preserve">l Estado presentó dicha información el </w:t>
      </w:r>
      <w:r w:rsidR="00FE0300" w:rsidRPr="00391BB0">
        <w:rPr>
          <w:rFonts w:ascii="Cambria" w:hAnsi="Cambria" w:cs="Calibri Light"/>
          <w:color w:val="000000" w:themeColor="text1"/>
          <w:sz w:val="20"/>
          <w:szCs w:val="20"/>
          <w:lang w:val="es-ES"/>
        </w:rPr>
        <w:t>16</w:t>
      </w:r>
      <w:r w:rsidRPr="00391BB0">
        <w:rPr>
          <w:rFonts w:ascii="Cambria" w:hAnsi="Cambria" w:cs="Calibri Light"/>
          <w:color w:val="000000" w:themeColor="text1"/>
          <w:sz w:val="20"/>
          <w:szCs w:val="20"/>
          <w:lang w:val="es-ES"/>
        </w:rPr>
        <w:t xml:space="preserve"> de septiembre. </w:t>
      </w:r>
    </w:p>
    <w:p w14:paraId="24C35CBF" w14:textId="77777777" w:rsidR="002F5192" w:rsidRPr="00391BB0" w:rsidRDefault="002F5192" w:rsidP="002F5192">
      <w:pPr>
        <w:pStyle w:val="ListParagraph"/>
        <w:jc w:val="both"/>
        <w:rPr>
          <w:rFonts w:ascii="Cambria" w:hAnsi="Cambria" w:cs="Calibri Light"/>
          <w:color w:val="000000" w:themeColor="text1"/>
          <w:sz w:val="20"/>
          <w:szCs w:val="20"/>
          <w:lang w:val="es-ES"/>
        </w:rPr>
      </w:pPr>
    </w:p>
    <w:p w14:paraId="75C9DA95" w14:textId="47A9873E" w:rsidR="002F5192" w:rsidRPr="00391BB0" w:rsidRDefault="002F5192" w:rsidP="002F5192">
      <w:pPr>
        <w:pStyle w:val="ListParagraph"/>
        <w:numPr>
          <w:ilvl w:val="0"/>
          <w:numId w:val="12"/>
        </w:numPr>
        <w:jc w:val="both"/>
        <w:rPr>
          <w:rFonts w:ascii="Cambria" w:hAnsi="Cambria" w:cs="Calibri Light"/>
          <w:color w:val="000000" w:themeColor="text1"/>
          <w:sz w:val="20"/>
          <w:szCs w:val="20"/>
          <w:lang w:val="es-ES"/>
        </w:rPr>
      </w:pPr>
      <w:r w:rsidRPr="00391BB0">
        <w:rPr>
          <w:rFonts w:ascii="Cambria" w:hAnsi="Cambria" w:cs="Calibri Light"/>
          <w:color w:val="000000" w:themeColor="text1"/>
          <w:sz w:val="20"/>
          <w:szCs w:val="20"/>
          <w:lang w:val="es-ES"/>
        </w:rPr>
        <w:t xml:space="preserve">La CIDH solicitó </w:t>
      </w:r>
      <w:r w:rsidR="00065291" w:rsidRPr="00391BB0">
        <w:rPr>
          <w:rFonts w:ascii="Cambria" w:hAnsi="Cambria" w:cs="Calibri Light"/>
          <w:color w:val="000000" w:themeColor="text1"/>
          <w:sz w:val="20"/>
          <w:szCs w:val="20"/>
          <w:lang w:val="es-ES"/>
        </w:rPr>
        <w:t xml:space="preserve">a los peticionarios </w:t>
      </w:r>
      <w:r w:rsidRPr="00391BB0">
        <w:rPr>
          <w:rFonts w:ascii="Cambria" w:hAnsi="Cambria" w:cs="Calibri Light"/>
          <w:color w:val="000000" w:themeColor="text1"/>
          <w:sz w:val="20"/>
          <w:szCs w:val="20"/>
          <w:lang w:val="es-ES"/>
        </w:rPr>
        <w:t xml:space="preserve">información actualizada sobre el cumplimiento de las recomendaciones el </w:t>
      </w:r>
      <w:r w:rsidR="00FE0300" w:rsidRPr="00391BB0">
        <w:rPr>
          <w:rFonts w:ascii="Cambria" w:hAnsi="Cambria" w:cs="Calibri Light"/>
          <w:color w:val="000000" w:themeColor="text1"/>
          <w:sz w:val="20"/>
          <w:szCs w:val="20"/>
          <w:lang w:val="es-ES"/>
        </w:rPr>
        <w:t>18</w:t>
      </w:r>
      <w:r w:rsidRPr="00391BB0">
        <w:rPr>
          <w:rFonts w:ascii="Cambria" w:hAnsi="Cambria" w:cs="Calibri Light"/>
          <w:color w:val="000000" w:themeColor="text1"/>
          <w:sz w:val="20"/>
          <w:szCs w:val="20"/>
          <w:lang w:val="es-ES"/>
        </w:rPr>
        <w:t xml:space="preserve"> de </w:t>
      </w:r>
      <w:r w:rsidR="00FE0300" w:rsidRPr="00391BB0">
        <w:rPr>
          <w:rFonts w:ascii="Cambria" w:hAnsi="Cambria" w:cs="Calibri Light"/>
          <w:color w:val="000000" w:themeColor="text1"/>
          <w:sz w:val="20"/>
          <w:szCs w:val="20"/>
          <w:lang w:val="es-ES"/>
        </w:rPr>
        <w:t>agosto</w:t>
      </w:r>
      <w:r w:rsidRPr="00391BB0">
        <w:rPr>
          <w:rFonts w:ascii="Cambria" w:hAnsi="Cambria" w:cs="Calibri Light"/>
          <w:color w:val="000000" w:themeColor="text1"/>
          <w:sz w:val="20"/>
          <w:szCs w:val="20"/>
          <w:lang w:val="es-ES"/>
        </w:rPr>
        <w:t xml:space="preserve"> de 20</w:t>
      </w:r>
      <w:r w:rsidR="00FE0300" w:rsidRPr="00391BB0">
        <w:rPr>
          <w:rFonts w:ascii="Cambria" w:hAnsi="Cambria" w:cs="Calibri Light"/>
          <w:color w:val="000000" w:themeColor="text1"/>
          <w:sz w:val="20"/>
          <w:szCs w:val="20"/>
          <w:lang w:val="es-ES"/>
        </w:rPr>
        <w:t>20</w:t>
      </w:r>
      <w:r w:rsidRPr="00391BB0">
        <w:rPr>
          <w:rFonts w:ascii="Cambria" w:hAnsi="Cambria" w:cs="Calibri Light"/>
          <w:color w:val="000000" w:themeColor="text1"/>
          <w:sz w:val="20"/>
          <w:szCs w:val="20"/>
          <w:lang w:val="es-ES"/>
        </w:rPr>
        <w:t xml:space="preserve">. </w:t>
      </w:r>
      <w:r w:rsidRPr="00391BB0">
        <w:rPr>
          <w:rFonts w:ascii="Cambria" w:hAnsi="Cambria"/>
          <w:color w:val="000000" w:themeColor="text1"/>
          <w:sz w:val="20"/>
          <w:szCs w:val="20"/>
          <w:lang w:val="es-ES"/>
        </w:rPr>
        <w:t>A la fecha de cierre de este informe, la Comisión no había recibido dicha información por parte de los peticionarios.</w:t>
      </w:r>
      <w:r w:rsidRPr="00391BB0">
        <w:rPr>
          <w:rFonts w:ascii="Cambria" w:hAnsi="Cambria" w:cs="Calibri Light"/>
          <w:color w:val="000000" w:themeColor="text1"/>
          <w:sz w:val="20"/>
          <w:szCs w:val="20"/>
          <w:lang w:val="es-ES"/>
        </w:rPr>
        <w:t xml:space="preserve"> </w:t>
      </w:r>
      <w:r w:rsidR="00D0150A" w:rsidRPr="00391BB0">
        <w:rPr>
          <w:rFonts w:ascii="Cambria" w:hAnsi="Cambria" w:cs="Calibri Light"/>
          <w:color w:val="000000" w:themeColor="text1"/>
          <w:sz w:val="20"/>
          <w:szCs w:val="20"/>
          <w:lang w:val="es-ES"/>
        </w:rPr>
        <w:t xml:space="preserve">La CIDH nota que la peticionaria no ha presentado información a la Comisión sobre las medidas adoptadas por parte del Estado para implementar las recomendaciones emitidas en el Informe de Fondo </w:t>
      </w:r>
      <w:r w:rsidR="00D0150A" w:rsidRPr="00391BB0">
        <w:rPr>
          <w:rFonts w:ascii="Cambria" w:hAnsi="Cambria"/>
          <w:color w:val="000000" w:themeColor="text1"/>
          <w:sz w:val="20"/>
          <w:szCs w:val="20"/>
          <w:lang w:val="es-ES"/>
        </w:rPr>
        <w:t>Nº</w:t>
      </w:r>
      <w:r w:rsidR="00D0150A" w:rsidRPr="00391BB0">
        <w:rPr>
          <w:rFonts w:ascii="Cambria" w:hAnsi="Cambria" w:cs="Calibri Light"/>
          <w:color w:val="000000" w:themeColor="text1"/>
          <w:sz w:val="20"/>
          <w:szCs w:val="20"/>
          <w:lang w:val="es-ES"/>
        </w:rPr>
        <w:t xml:space="preserve"> 11/15 desde su publicación.  </w:t>
      </w:r>
    </w:p>
    <w:p w14:paraId="5BD3861B" w14:textId="77777777" w:rsidR="002F5192" w:rsidRPr="00391BB0" w:rsidRDefault="002F5192" w:rsidP="002F5192">
      <w:pPr>
        <w:jc w:val="both"/>
        <w:rPr>
          <w:rFonts w:ascii="Cambria" w:hAnsi="Cambria" w:cs="Calibri Light"/>
          <w:sz w:val="20"/>
          <w:szCs w:val="20"/>
          <w:lang w:val="es-ES"/>
        </w:rPr>
      </w:pPr>
    </w:p>
    <w:p w14:paraId="5CCC9CF0" w14:textId="77777777" w:rsidR="002F5192" w:rsidRPr="00391BB0" w:rsidRDefault="002F5192" w:rsidP="002F5192">
      <w:pPr>
        <w:pStyle w:val="ListParagraph"/>
        <w:numPr>
          <w:ilvl w:val="0"/>
          <w:numId w:val="8"/>
        </w:numPr>
        <w:ind w:left="1440"/>
        <w:jc w:val="both"/>
        <w:rPr>
          <w:rFonts w:ascii="Cambria" w:hAnsi="Cambria" w:cs="Calibri Light"/>
          <w:b/>
          <w:sz w:val="20"/>
          <w:szCs w:val="20"/>
          <w:lang w:val="es-ES"/>
        </w:rPr>
      </w:pPr>
      <w:r w:rsidRPr="00391BB0">
        <w:rPr>
          <w:rFonts w:ascii="Cambria" w:hAnsi="Cambria" w:cs="Calibri Light"/>
          <w:b/>
          <w:sz w:val="20"/>
          <w:szCs w:val="20"/>
          <w:lang w:val="es-ES"/>
        </w:rPr>
        <w:t>Análisis relativo a la información proporcionada</w:t>
      </w:r>
    </w:p>
    <w:p w14:paraId="30AD88F1" w14:textId="77777777" w:rsidR="002F5192" w:rsidRPr="00391BB0" w:rsidRDefault="002F5192" w:rsidP="002F5192">
      <w:pPr>
        <w:jc w:val="both"/>
        <w:rPr>
          <w:rFonts w:ascii="Cambria" w:hAnsi="Cambria" w:cs="Calibri Light"/>
          <w:color w:val="000000" w:themeColor="text1"/>
          <w:sz w:val="20"/>
          <w:szCs w:val="20"/>
          <w:lang w:val="es-ES"/>
        </w:rPr>
      </w:pPr>
    </w:p>
    <w:p w14:paraId="0C6B52A8" w14:textId="5B9D6C97" w:rsidR="002F5192" w:rsidRPr="00391BB0" w:rsidRDefault="002F5192" w:rsidP="002F5192">
      <w:pPr>
        <w:pStyle w:val="ListParagraph"/>
        <w:numPr>
          <w:ilvl w:val="0"/>
          <w:numId w:val="12"/>
        </w:numPr>
        <w:jc w:val="both"/>
        <w:rPr>
          <w:rFonts w:ascii="Cambria" w:hAnsi="Cambria" w:cs="Calibri Light"/>
          <w:color w:val="000000" w:themeColor="text1"/>
          <w:sz w:val="20"/>
          <w:szCs w:val="20"/>
          <w:lang w:val="es-ES"/>
        </w:rPr>
      </w:pPr>
      <w:r w:rsidRPr="00391BB0">
        <w:rPr>
          <w:rFonts w:ascii="Cambria" w:hAnsi="Cambria" w:cs="Calibri Light"/>
          <w:color w:val="000000" w:themeColor="text1"/>
          <w:sz w:val="20"/>
          <w:szCs w:val="20"/>
          <w:lang w:val="es-ES"/>
        </w:rPr>
        <w:t xml:space="preserve">La Comisión considera que la información proporcionada por el Estado en </w:t>
      </w:r>
      <w:r w:rsidR="00FE0300" w:rsidRPr="00391BB0">
        <w:rPr>
          <w:rFonts w:ascii="Cambria" w:hAnsi="Cambria" w:cs="Calibri Light"/>
          <w:color w:val="000000" w:themeColor="text1"/>
          <w:sz w:val="20"/>
          <w:szCs w:val="20"/>
          <w:lang w:val="es-ES"/>
        </w:rPr>
        <w:t>2020</w:t>
      </w:r>
      <w:r w:rsidRPr="00391BB0">
        <w:rPr>
          <w:rFonts w:ascii="Cambria" w:hAnsi="Cambria" w:cs="Calibri Light"/>
          <w:color w:val="000000" w:themeColor="text1"/>
          <w:sz w:val="20"/>
          <w:szCs w:val="20"/>
          <w:lang w:val="es-ES"/>
        </w:rPr>
        <w:t xml:space="preserve"> no es relevante</w:t>
      </w:r>
      <w:r w:rsidR="00197FD5" w:rsidRPr="00391BB0">
        <w:rPr>
          <w:rFonts w:ascii="Cambria" w:hAnsi="Cambria" w:cs="Calibri Light"/>
          <w:color w:val="000000" w:themeColor="text1"/>
          <w:sz w:val="20"/>
          <w:szCs w:val="20"/>
          <w:lang w:val="es-ES"/>
        </w:rPr>
        <w:t xml:space="preserve"> para actualizar el seguimiento del caso</w:t>
      </w:r>
      <w:r w:rsidRPr="00391BB0">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197FD5" w:rsidRPr="00391BB0">
        <w:rPr>
          <w:rFonts w:ascii="Cambria" w:hAnsi="Cambria" w:cs="Calibri Light"/>
          <w:color w:val="000000" w:themeColor="text1"/>
          <w:sz w:val="20"/>
          <w:szCs w:val="20"/>
          <w:lang w:val="es-ES"/>
        </w:rPr>
        <w:t xml:space="preserve"> recientemente</w:t>
      </w:r>
      <w:r w:rsidRPr="00391BB0">
        <w:rPr>
          <w:rFonts w:ascii="Cambria" w:hAnsi="Cambria" w:cs="Calibri Light"/>
          <w:color w:val="000000" w:themeColor="text1"/>
          <w:sz w:val="20"/>
          <w:szCs w:val="20"/>
          <w:lang w:val="es-ES"/>
        </w:rPr>
        <w:t xml:space="preserve"> para cumplir con al menos una de las recomendaciones incluidas en el Informe de Fondo Nº 11/15. </w:t>
      </w:r>
    </w:p>
    <w:p w14:paraId="158AF616" w14:textId="7594ADE8" w:rsidR="002F5192" w:rsidRPr="00391BB0" w:rsidRDefault="002F5192" w:rsidP="00D0150A">
      <w:pPr>
        <w:rPr>
          <w:rFonts w:ascii="Cambria" w:hAnsi="Cambria"/>
          <w:color w:val="000000" w:themeColor="text1"/>
          <w:sz w:val="20"/>
          <w:szCs w:val="20"/>
          <w:lang w:val="es-ES_tradnl"/>
        </w:rPr>
      </w:pPr>
    </w:p>
    <w:p w14:paraId="0F0F669D" w14:textId="2A77C17D" w:rsidR="002F5192" w:rsidRPr="00391BB0" w:rsidRDefault="00EC6F46" w:rsidP="002F5192">
      <w:pPr>
        <w:pStyle w:val="ListParagraph"/>
        <w:numPr>
          <w:ilvl w:val="0"/>
          <w:numId w:val="12"/>
        </w:numPr>
        <w:jc w:val="both"/>
        <w:rPr>
          <w:rFonts w:ascii="Cambria" w:hAnsi="Cambria" w:cs="Calibri Light"/>
          <w:color w:val="000000" w:themeColor="text1"/>
          <w:sz w:val="20"/>
          <w:szCs w:val="20"/>
          <w:lang w:val="es-ES"/>
        </w:rPr>
      </w:pPr>
      <w:r w:rsidRPr="00391BB0">
        <w:rPr>
          <w:rFonts w:ascii="Cambria" w:hAnsi="Cambria"/>
          <w:color w:val="000000" w:themeColor="text1"/>
          <w:sz w:val="20"/>
          <w:szCs w:val="20"/>
          <w:lang w:val="es-ES_tradnl"/>
        </w:rPr>
        <w:t>Por ende, a</w:t>
      </w:r>
      <w:r w:rsidR="002F5192" w:rsidRPr="00391BB0">
        <w:rPr>
          <w:rFonts w:ascii="Cambria" w:hAnsi="Cambria"/>
          <w:color w:val="000000" w:themeColor="text1"/>
          <w:sz w:val="20"/>
          <w:szCs w:val="20"/>
          <w:lang w:val="es-ES_tradnl"/>
        </w:rPr>
        <w:t>nte la ausencia de información actualizada sobre el nivel de cumplimiento de las recomendaciones, la CIDH reitera, a continuación, el análisis del cumplimiento y las conclusiones realizadas en su Informe Anual 201</w:t>
      </w:r>
      <w:r w:rsidR="00FE0300" w:rsidRPr="00391BB0">
        <w:rPr>
          <w:rFonts w:ascii="Cambria" w:hAnsi="Cambria"/>
          <w:color w:val="000000" w:themeColor="text1"/>
          <w:sz w:val="20"/>
          <w:szCs w:val="20"/>
          <w:lang w:val="es-ES_tradnl"/>
        </w:rPr>
        <w:t>9</w:t>
      </w:r>
      <w:r w:rsidR="002F5192" w:rsidRPr="00391BB0">
        <w:rPr>
          <w:rFonts w:ascii="Cambria" w:hAnsi="Cambria"/>
          <w:color w:val="000000" w:themeColor="text1"/>
          <w:sz w:val="20"/>
          <w:szCs w:val="20"/>
          <w:lang w:val="es-ES_tradnl"/>
        </w:rPr>
        <w:t>.</w:t>
      </w:r>
      <w:r w:rsidR="002F5192" w:rsidRPr="00391BB0">
        <w:rPr>
          <w:rFonts w:ascii="Cambria" w:hAnsi="Cambria" w:cs="Calibri Light"/>
          <w:color w:val="000000" w:themeColor="text1"/>
          <w:sz w:val="20"/>
          <w:szCs w:val="20"/>
          <w:lang w:val="es-ES"/>
        </w:rPr>
        <w:t xml:space="preserve"> </w:t>
      </w:r>
    </w:p>
    <w:p w14:paraId="5CE0467D" w14:textId="77777777" w:rsidR="002F5192" w:rsidRPr="00391BB0" w:rsidRDefault="002F5192" w:rsidP="002F5192">
      <w:pPr>
        <w:jc w:val="both"/>
        <w:rPr>
          <w:rFonts w:ascii="Cambria" w:hAnsi="Cambria" w:cs="Calibri Light"/>
          <w:sz w:val="20"/>
          <w:szCs w:val="20"/>
          <w:lang w:val="es-ES"/>
        </w:rPr>
      </w:pPr>
    </w:p>
    <w:p w14:paraId="22FCFEC1" w14:textId="77777777" w:rsidR="002F5192" w:rsidRPr="00391BB0" w:rsidRDefault="002F5192" w:rsidP="002F5192">
      <w:pPr>
        <w:pStyle w:val="ListParagraph"/>
        <w:numPr>
          <w:ilvl w:val="0"/>
          <w:numId w:val="8"/>
        </w:numPr>
        <w:ind w:left="1440"/>
        <w:jc w:val="both"/>
        <w:rPr>
          <w:rFonts w:ascii="Cambria" w:hAnsi="Cambria" w:cs="Calibri Light"/>
          <w:b/>
          <w:sz w:val="20"/>
          <w:szCs w:val="20"/>
          <w:lang w:val="es-ES"/>
        </w:rPr>
      </w:pPr>
      <w:r w:rsidRPr="00391BB0">
        <w:rPr>
          <w:rFonts w:ascii="Cambria" w:hAnsi="Cambria" w:cs="Calibri Light"/>
          <w:b/>
          <w:sz w:val="20"/>
          <w:szCs w:val="20"/>
          <w:lang w:val="es-ES"/>
        </w:rPr>
        <w:t xml:space="preserve">Análisis del cumplimiento de las recomendaciones </w:t>
      </w:r>
    </w:p>
    <w:p w14:paraId="5EC607AE" w14:textId="77777777" w:rsidR="002F5192" w:rsidRPr="00391BB0" w:rsidRDefault="002F5192" w:rsidP="002F5192">
      <w:pPr>
        <w:jc w:val="both"/>
        <w:rPr>
          <w:rFonts w:ascii="Cambria" w:hAnsi="Cambria" w:cs="Calibri Light"/>
          <w:sz w:val="20"/>
          <w:szCs w:val="20"/>
          <w:lang w:val="es-ES"/>
        </w:rPr>
      </w:pPr>
    </w:p>
    <w:p w14:paraId="6E2188AE"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b/>
          <w:sz w:val="20"/>
          <w:szCs w:val="20"/>
          <w:lang w:val="es-ES"/>
        </w:rPr>
        <w:t>En relación con la primera recomendación</w:t>
      </w:r>
      <w:r w:rsidRPr="00391BB0">
        <w:rPr>
          <w:rFonts w:ascii="Cambria" w:hAnsi="Cambria" w:cs="Calibri Light"/>
          <w:sz w:val="20"/>
          <w:szCs w:val="20"/>
          <w:lang w:val="es-ES"/>
        </w:rPr>
        <w:t xml:space="preserve">, ninguna de las partes ha remitido información sobre las acciones adoptadas por el Estado para cumplirla. </w:t>
      </w:r>
    </w:p>
    <w:p w14:paraId="17857FB0" w14:textId="77777777" w:rsidR="002F5192" w:rsidRPr="00391BB0" w:rsidRDefault="002F5192" w:rsidP="002F5192">
      <w:pPr>
        <w:pStyle w:val="ListParagraph"/>
        <w:jc w:val="both"/>
        <w:rPr>
          <w:rFonts w:ascii="Cambria" w:hAnsi="Cambria" w:cs="Calibri Light"/>
          <w:sz w:val="20"/>
          <w:szCs w:val="20"/>
          <w:lang w:val="es-ES"/>
        </w:rPr>
      </w:pPr>
    </w:p>
    <w:p w14:paraId="77803BCE"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 xml:space="preserve">La Comisión observa con preocupación que Félix Rocha Díaz ha estado detenido en el corredor de la muerte en el estado de Texas desde 1998 y que el Estado aún no ha adoptado acciones para otorgarle un recurso efectivo, incluyendo la revisión de su juicio. </w:t>
      </w:r>
      <w:r w:rsidRPr="00391BB0">
        <w:rPr>
          <w:rFonts w:ascii="Cambria" w:hAnsi="Cambria"/>
          <w:sz w:val="20"/>
          <w:szCs w:val="20"/>
          <w:lang w:val="es-ES"/>
        </w:rPr>
        <w:t xml:space="preserve">Por lo anterior, la Comisión considera que la Recomendación 1 se encuentra pendiente de cumplimiento. </w:t>
      </w:r>
    </w:p>
    <w:p w14:paraId="0D8348DF" w14:textId="77777777" w:rsidR="002F5192" w:rsidRPr="00391BB0" w:rsidRDefault="002F5192" w:rsidP="002F5192">
      <w:pPr>
        <w:pStyle w:val="ListParagraph"/>
        <w:rPr>
          <w:rFonts w:ascii="Cambria" w:hAnsi="Cambria" w:cs="Calibri Light"/>
          <w:sz w:val="20"/>
          <w:szCs w:val="20"/>
          <w:lang w:val="es-ES"/>
        </w:rPr>
      </w:pPr>
    </w:p>
    <w:p w14:paraId="008F5062"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lastRenderedPageBreak/>
        <w:t xml:space="preserve"> </w:t>
      </w:r>
      <w:r w:rsidRPr="00391BB0">
        <w:rPr>
          <w:rFonts w:ascii="Cambria" w:hAnsi="Cambria" w:cs="Calibri Light"/>
          <w:b/>
          <w:sz w:val="20"/>
          <w:szCs w:val="20"/>
          <w:lang w:val="es-ES"/>
        </w:rPr>
        <w:t>Respecto de la segunda recomendación</w:t>
      </w:r>
      <w:r w:rsidRPr="00391BB0">
        <w:rPr>
          <w:rFonts w:ascii="Cambria" w:hAnsi="Cambria" w:cs="Calibri Light"/>
          <w:sz w:val="20"/>
          <w:szCs w:val="20"/>
          <w:lang w:val="es-ES"/>
        </w:rPr>
        <w:t xml:space="preserve">, ninguna de las partes ha remitido información sobre las acciones adoptadas por el Estado para cumplirla. </w:t>
      </w:r>
    </w:p>
    <w:p w14:paraId="150B6A04" w14:textId="77777777" w:rsidR="002F5192" w:rsidRPr="00391BB0" w:rsidRDefault="002F5192" w:rsidP="002F5192">
      <w:pPr>
        <w:pStyle w:val="ListParagraph"/>
        <w:rPr>
          <w:rFonts w:ascii="Cambria" w:hAnsi="Cambria"/>
          <w:sz w:val="20"/>
          <w:szCs w:val="20"/>
          <w:lang w:val="es-ES"/>
        </w:rPr>
      </w:pPr>
    </w:p>
    <w:p w14:paraId="71EEC796"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sz w:val="20"/>
          <w:szCs w:val="20"/>
          <w:lang w:val="es-ES"/>
        </w:rPr>
        <w:t xml:space="preserve">Por lo anterior, la Comisión considera que la Recomendación se encuentra pendiente de cumplimiento.   </w:t>
      </w:r>
    </w:p>
    <w:p w14:paraId="706BAA4E" w14:textId="77777777" w:rsidR="002F5192" w:rsidRPr="00391BB0" w:rsidRDefault="002F5192" w:rsidP="002F5192">
      <w:pPr>
        <w:pStyle w:val="ListParagraph"/>
        <w:rPr>
          <w:rFonts w:ascii="Cambria" w:hAnsi="Cambria" w:cs="Calibri Light"/>
          <w:b/>
          <w:sz w:val="20"/>
          <w:szCs w:val="20"/>
          <w:lang w:val="es-ES"/>
        </w:rPr>
      </w:pPr>
    </w:p>
    <w:p w14:paraId="6D716EA4"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b/>
          <w:sz w:val="20"/>
          <w:szCs w:val="20"/>
          <w:lang w:val="es-ES"/>
        </w:rPr>
        <w:t>Respecto de la tercera recomendación</w:t>
      </w:r>
      <w:r w:rsidRPr="00391BB0">
        <w:rPr>
          <w:rFonts w:ascii="Cambria" w:hAnsi="Cambria" w:cs="Calibri Light"/>
          <w:sz w:val="20"/>
          <w:szCs w:val="20"/>
          <w:lang w:val="es-ES"/>
        </w:rPr>
        <w:t>, en 2015, el Estado informó que es parte de la Convención de Viena sobre Relaciones Consulares y que está completamente comprometido con cumplir las obligaciones establecidas en este instrumento para proveer notificación y acceso consular en los casos de ciudadanos extranjeros detenidos.</w:t>
      </w:r>
    </w:p>
    <w:p w14:paraId="33AE709B" w14:textId="77777777" w:rsidR="002F5192" w:rsidRPr="00391BB0" w:rsidRDefault="002F5192" w:rsidP="002F5192">
      <w:pPr>
        <w:pStyle w:val="ListParagraph"/>
        <w:rPr>
          <w:rFonts w:ascii="Cambria" w:hAnsi="Cambria" w:cs="Calibri Light"/>
          <w:sz w:val="20"/>
          <w:szCs w:val="20"/>
          <w:lang w:val="es-ES"/>
        </w:rPr>
      </w:pPr>
    </w:p>
    <w:p w14:paraId="4622BADB"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La peticionaria no ha presentado información sobre las acciones adoptadas por el Estado para cumplir con esta recomendación.</w:t>
      </w:r>
    </w:p>
    <w:p w14:paraId="3D674783" w14:textId="77777777" w:rsidR="002F5192" w:rsidRPr="00391BB0" w:rsidRDefault="002F5192" w:rsidP="002F5192">
      <w:pPr>
        <w:pStyle w:val="ListParagraph"/>
        <w:rPr>
          <w:rFonts w:ascii="Cambria" w:hAnsi="Cambria" w:cs="Calibri Light"/>
          <w:sz w:val="20"/>
          <w:szCs w:val="20"/>
          <w:lang w:val="es-ES"/>
        </w:rPr>
      </w:pPr>
    </w:p>
    <w:p w14:paraId="3E2F5245"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 xml:space="preserve">La Comisión valora el compromiso del Estado de cumplir las obligaciones asumidas en el marco de la Convención de Viena sobre Relaciones Consulares, mientras que nota, al mismo tiempo, que el Estado no ha presentado información detallada y actualizada sobre las acciones adoptadas para garantizar que cada extranjero privado de su libertad sea informado de su derecho a la información sobre asistencia consular. </w:t>
      </w:r>
      <w:r w:rsidRPr="00391BB0">
        <w:rPr>
          <w:rFonts w:ascii="Cambria" w:hAnsi="Cambria"/>
          <w:sz w:val="20"/>
          <w:szCs w:val="20"/>
          <w:lang w:val="es-ES"/>
        </w:rPr>
        <w:t>Por lo anterior, la Comisión considera que la Recomendación 3 se encuentra parcialmente cumplida.</w:t>
      </w:r>
    </w:p>
    <w:p w14:paraId="3873E733" w14:textId="77777777" w:rsidR="002F5192" w:rsidRPr="00391BB0" w:rsidRDefault="002F5192" w:rsidP="002F5192">
      <w:pPr>
        <w:pStyle w:val="ListParagraph"/>
        <w:rPr>
          <w:rFonts w:ascii="Cambria" w:hAnsi="Cambria" w:cs="Calibri Light"/>
          <w:sz w:val="20"/>
          <w:szCs w:val="20"/>
          <w:lang w:val="es-ES"/>
        </w:rPr>
      </w:pPr>
    </w:p>
    <w:p w14:paraId="517969F7"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b/>
          <w:sz w:val="20"/>
          <w:szCs w:val="20"/>
          <w:lang w:val="es-ES"/>
        </w:rPr>
        <w:t>Respecto de las recomendaciones 4, 5, 6, 7, 8, 9 y 10</w:t>
      </w:r>
      <w:r w:rsidRPr="00391BB0">
        <w:rPr>
          <w:rFonts w:ascii="Cambria" w:hAnsi="Cambria" w:cs="Calibri Light"/>
          <w:sz w:val="20"/>
          <w:szCs w:val="20"/>
          <w:lang w:val="es-ES"/>
        </w:rPr>
        <w:t xml:space="preserve">, ninguna de las partes ha remitido información sobre las acciones adoptadas por el Estado para cumplirlas. </w:t>
      </w:r>
    </w:p>
    <w:p w14:paraId="39E30BC9" w14:textId="77777777" w:rsidR="002F5192" w:rsidRPr="00391BB0" w:rsidRDefault="002F5192" w:rsidP="002F5192">
      <w:pPr>
        <w:pStyle w:val="ListParagraph"/>
        <w:rPr>
          <w:rFonts w:ascii="Cambria" w:hAnsi="Cambria" w:cs="Calibri Light"/>
          <w:sz w:val="20"/>
          <w:szCs w:val="20"/>
          <w:lang w:val="es-ES"/>
        </w:rPr>
      </w:pPr>
    </w:p>
    <w:p w14:paraId="5647FCCE" w14:textId="77777777" w:rsidR="002F5192" w:rsidRPr="00391BB0" w:rsidRDefault="002F5192" w:rsidP="002F5192">
      <w:pPr>
        <w:pStyle w:val="ListParagraph"/>
        <w:numPr>
          <w:ilvl w:val="0"/>
          <w:numId w:val="12"/>
        </w:numPr>
        <w:jc w:val="both"/>
        <w:rPr>
          <w:rFonts w:ascii="Cambria" w:hAnsi="Cambria" w:cs="Calibri Light"/>
          <w:b/>
          <w:sz w:val="20"/>
          <w:szCs w:val="20"/>
          <w:lang w:val="es-ES"/>
        </w:rPr>
      </w:pPr>
      <w:r w:rsidRPr="00391BB0">
        <w:rPr>
          <w:rFonts w:ascii="Cambria" w:hAnsi="Cambria"/>
          <w:sz w:val="20"/>
          <w:szCs w:val="20"/>
          <w:lang w:val="es-ES"/>
        </w:rPr>
        <w:t>Por lo anterior, la Comisión considera que las Recomendaciones 4 a 10 se encuentran pendientes de cumplimiento.</w:t>
      </w:r>
    </w:p>
    <w:p w14:paraId="22BA3C0F" w14:textId="77777777" w:rsidR="002F5192" w:rsidRPr="00391BB0" w:rsidRDefault="002F5192" w:rsidP="002F5192">
      <w:pPr>
        <w:jc w:val="both"/>
        <w:rPr>
          <w:rFonts w:ascii="Cambria" w:hAnsi="Cambria"/>
          <w:sz w:val="20"/>
          <w:szCs w:val="20"/>
          <w:lang w:val="es-ES"/>
        </w:rPr>
      </w:pPr>
    </w:p>
    <w:p w14:paraId="5D9EE164" w14:textId="77777777" w:rsidR="002F5192" w:rsidRPr="00391BB0" w:rsidRDefault="002F5192" w:rsidP="002F5192">
      <w:pPr>
        <w:pStyle w:val="ListParagraph"/>
        <w:numPr>
          <w:ilvl w:val="0"/>
          <w:numId w:val="8"/>
        </w:numPr>
        <w:ind w:left="1440"/>
        <w:jc w:val="both"/>
        <w:rPr>
          <w:rFonts w:ascii="Cambria" w:hAnsi="Cambria" w:cs="Calibri Light"/>
          <w:b/>
          <w:sz w:val="20"/>
          <w:szCs w:val="20"/>
          <w:lang w:val="es-ES"/>
        </w:rPr>
      </w:pPr>
      <w:r w:rsidRPr="00391BB0">
        <w:rPr>
          <w:rFonts w:ascii="Cambria" w:hAnsi="Cambria" w:cs="Calibri Light"/>
          <w:b/>
          <w:sz w:val="20"/>
          <w:szCs w:val="20"/>
          <w:lang w:val="es-ES"/>
        </w:rPr>
        <w:t xml:space="preserve">Nivel del cumplimiento del caso  </w:t>
      </w:r>
    </w:p>
    <w:p w14:paraId="3339A048" w14:textId="77777777" w:rsidR="002F5192" w:rsidRPr="00391BB0" w:rsidRDefault="002F5192" w:rsidP="002F5192">
      <w:pPr>
        <w:jc w:val="both"/>
        <w:rPr>
          <w:rFonts w:ascii="Cambria" w:hAnsi="Cambria" w:cs="Calibri Light"/>
          <w:sz w:val="20"/>
          <w:szCs w:val="20"/>
          <w:lang w:val="es-ES"/>
        </w:rPr>
      </w:pPr>
    </w:p>
    <w:p w14:paraId="44C6B3A9"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Por lo anterior, la Comisión concluye que el nivel de cumplimiento del caso es parcial. En consecuencia, la CIDH seguirá supervisando el cumplimiento de todas las recomendaciones.</w:t>
      </w:r>
    </w:p>
    <w:p w14:paraId="15E73B81" w14:textId="77777777" w:rsidR="002F5192" w:rsidRPr="00391BB0" w:rsidRDefault="002F5192" w:rsidP="002F5192">
      <w:pPr>
        <w:pStyle w:val="ListParagraph"/>
        <w:jc w:val="both"/>
        <w:rPr>
          <w:rFonts w:ascii="Cambria" w:hAnsi="Cambria" w:cs="Calibri Light"/>
          <w:sz w:val="20"/>
          <w:szCs w:val="20"/>
          <w:lang w:val="es-ES"/>
        </w:rPr>
      </w:pPr>
    </w:p>
    <w:p w14:paraId="62E286EC" w14:textId="77777777" w:rsidR="002F5192" w:rsidRPr="00391BB0" w:rsidRDefault="002F5192" w:rsidP="002F5192">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 xml:space="preserve">La Comisión insta al Estado a adoptar las acciones necesarias para implementar las recomendaciones emitidas en el Informe de Fondo </w:t>
      </w:r>
      <w:r w:rsidRPr="00391BB0">
        <w:rPr>
          <w:rFonts w:ascii="Cambria" w:hAnsi="Cambria"/>
          <w:sz w:val="20"/>
          <w:szCs w:val="20"/>
          <w:lang w:val="es-ES"/>
        </w:rPr>
        <w:t>Nº</w:t>
      </w:r>
      <w:r w:rsidRPr="00391BB0">
        <w:rPr>
          <w:rFonts w:ascii="Cambria" w:hAnsi="Cambria" w:cs="Calibri Light"/>
          <w:sz w:val="20"/>
          <w:szCs w:val="20"/>
          <w:lang w:val="es-ES"/>
        </w:rPr>
        <w:t xml:space="preserve"> 11/15 y a remitir a la Comisión información detallada y actualizada sobre estas acciones. La Comisión recuerda a</w:t>
      </w:r>
      <w:r w:rsidRPr="00391BB0">
        <w:rPr>
          <w:rFonts w:ascii="Cambria" w:hAnsi="Cambria"/>
          <w:sz w:val="20"/>
          <w:szCs w:val="20"/>
          <w:lang w:val="es-ES"/>
        </w:rPr>
        <w:t>l Estado que, si el señor Rocha fuese ejecutado, también se estaría cometiendo una violación grave e irreparable al derecho a la vida reconocido en el Artículo I de la Declaración Americana</w:t>
      </w:r>
      <w:r w:rsidRPr="00391BB0">
        <w:rPr>
          <w:rStyle w:val="FootnoteReference"/>
          <w:rFonts w:ascii="Cambria" w:hAnsi="Cambria"/>
          <w:sz w:val="20"/>
          <w:szCs w:val="20"/>
          <w:lang w:val="es-ES"/>
        </w:rPr>
        <w:footnoteReference w:id="1"/>
      </w:r>
      <w:r w:rsidRPr="00391BB0">
        <w:rPr>
          <w:rFonts w:ascii="Cambria" w:hAnsi="Cambria" w:cs="Calibri Light"/>
          <w:sz w:val="20"/>
          <w:szCs w:val="20"/>
          <w:lang w:val="es-ES"/>
        </w:rPr>
        <w:t>.</w:t>
      </w:r>
    </w:p>
    <w:p w14:paraId="275EFB61" w14:textId="77777777" w:rsidR="002F5192" w:rsidRPr="00391BB0" w:rsidRDefault="002F5192" w:rsidP="002F5192">
      <w:pPr>
        <w:jc w:val="both"/>
        <w:rPr>
          <w:rFonts w:ascii="Cambria" w:hAnsi="Cambria" w:cs="Calibri Light"/>
          <w:sz w:val="20"/>
          <w:szCs w:val="20"/>
          <w:lang w:val="es-ES"/>
        </w:rPr>
      </w:pPr>
    </w:p>
    <w:p w14:paraId="01DE8472" w14:textId="77777777" w:rsidR="002F5192" w:rsidRPr="00391BB0" w:rsidRDefault="002F5192" w:rsidP="002F5192">
      <w:pPr>
        <w:pStyle w:val="ListParagraph"/>
        <w:numPr>
          <w:ilvl w:val="0"/>
          <w:numId w:val="8"/>
        </w:numPr>
        <w:ind w:left="1440"/>
        <w:jc w:val="both"/>
        <w:rPr>
          <w:rFonts w:ascii="Cambria" w:hAnsi="Cambria"/>
          <w:b/>
          <w:sz w:val="20"/>
          <w:szCs w:val="20"/>
          <w:lang w:val="es-ES"/>
        </w:rPr>
      </w:pPr>
      <w:r w:rsidRPr="00391BB0">
        <w:rPr>
          <w:rFonts w:ascii="Cambria" w:hAnsi="Cambria"/>
          <w:b/>
          <w:sz w:val="20"/>
          <w:szCs w:val="20"/>
          <w:lang w:val="es-ES"/>
        </w:rPr>
        <w:t xml:space="preserve">Resultados individuales y estructurales del caso </w:t>
      </w:r>
    </w:p>
    <w:p w14:paraId="508BB279" w14:textId="77777777" w:rsidR="002F5192" w:rsidRPr="00391BB0" w:rsidRDefault="002F5192" w:rsidP="002F5192">
      <w:pPr>
        <w:jc w:val="both"/>
        <w:rPr>
          <w:rFonts w:ascii="Cambria" w:hAnsi="Cambria"/>
          <w:b/>
          <w:sz w:val="20"/>
          <w:szCs w:val="20"/>
          <w:lang w:val="es-ES"/>
        </w:rPr>
      </w:pPr>
    </w:p>
    <w:p w14:paraId="1A4ABA7B" w14:textId="77777777" w:rsidR="002F5192" w:rsidRPr="00391BB0" w:rsidRDefault="002F5192" w:rsidP="002F5192">
      <w:pPr>
        <w:pStyle w:val="ListParagraph"/>
        <w:numPr>
          <w:ilvl w:val="0"/>
          <w:numId w:val="12"/>
        </w:numPr>
        <w:jc w:val="both"/>
        <w:rPr>
          <w:rFonts w:ascii="Cambria" w:hAnsi="Cambria"/>
          <w:sz w:val="20"/>
          <w:szCs w:val="20"/>
          <w:lang w:val="es-ES"/>
        </w:rPr>
      </w:pPr>
      <w:r w:rsidRPr="00391BB0">
        <w:rPr>
          <w:rFonts w:ascii="Cambria" w:hAnsi="Cambria" w:cs="Calibri Light"/>
          <w:sz w:val="20"/>
          <w:szCs w:val="20"/>
          <w:lang w:val="es-ES"/>
        </w:rPr>
        <w:t>En esta sección se destacan los resultados individuales y estructurales del caso informados por las partes</w:t>
      </w:r>
      <w:r w:rsidRPr="00391BB0">
        <w:rPr>
          <w:rFonts w:ascii="Cambria" w:hAnsi="Cambria"/>
          <w:sz w:val="20"/>
          <w:szCs w:val="20"/>
          <w:lang w:val="es-ES"/>
        </w:rPr>
        <w:t xml:space="preserve">. </w:t>
      </w:r>
    </w:p>
    <w:p w14:paraId="3FE0C817" w14:textId="77777777" w:rsidR="002F5192" w:rsidRPr="00391BB0" w:rsidRDefault="002F5192" w:rsidP="002F5192">
      <w:pPr>
        <w:jc w:val="both"/>
        <w:rPr>
          <w:rFonts w:ascii="Cambria" w:hAnsi="Cambria"/>
          <w:b/>
          <w:sz w:val="20"/>
          <w:szCs w:val="20"/>
          <w:lang w:val="es-ES"/>
        </w:rPr>
      </w:pPr>
    </w:p>
    <w:p w14:paraId="2F054CFC" w14:textId="6BDB7BCA" w:rsidR="002F5192" w:rsidRPr="00391BB0" w:rsidRDefault="002F5192" w:rsidP="002F5192">
      <w:pPr>
        <w:pStyle w:val="ListParagraph"/>
        <w:numPr>
          <w:ilvl w:val="0"/>
          <w:numId w:val="10"/>
        </w:numPr>
        <w:ind w:left="1440" w:hanging="720"/>
        <w:jc w:val="both"/>
        <w:rPr>
          <w:rFonts w:ascii="Cambria" w:hAnsi="Cambria"/>
          <w:b/>
          <w:sz w:val="20"/>
          <w:szCs w:val="20"/>
          <w:lang w:val="es-ES"/>
        </w:rPr>
      </w:pPr>
      <w:r w:rsidRPr="00391BB0">
        <w:rPr>
          <w:rFonts w:ascii="Cambria" w:hAnsi="Cambria"/>
          <w:b/>
          <w:sz w:val="20"/>
          <w:szCs w:val="20"/>
          <w:lang w:val="es-ES"/>
        </w:rPr>
        <w:t>Resultados individuales del caso</w:t>
      </w:r>
    </w:p>
    <w:p w14:paraId="79671E55" w14:textId="77777777" w:rsidR="002F5192" w:rsidRPr="00391BB0" w:rsidRDefault="002F5192" w:rsidP="002F5192">
      <w:pPr>
        <w:pStyle w:val="ListParagraph"/>
        <w:numPr>
          <w:ilvl w:val="0"/>
          <w:numId w:val="11"/>
        </w:numPr>
        <w:jc w:val="both"/>
        <w:rPr>
          <w:rFonts w:ascii="Cambria" w:hAnsi="Cambria"/>
          <w:sz w:val="20"/>
          <w:szCs w:val="20"/>
          <w:lang w:val="es-ES"/>
        </w:rPr>
      </w:pPr>
      <w:r w:rsidRPr="00391BB0">
        <w:rPr>
          <w:rFonts w:ascii="Cambria" w:hAnsi="Cambria"/>
          <w:sz w:val="20"/>
          <w:szCs w:val="20"/>
          <w:lang w:val="es-ES"/>
        </w:rPr>
        <w:t xml:space="preserve">No hay resultados individuales informados por las partes.  </w:t>
      </w:r>
    </w:p>
    <w:p w14:paraId="0403AB54" w14:textId="77777777" w:rsidR="002F5192" w:rsidRPr="00391BB0" w:rsidRDefault="002F5192" w:rsidP="002F5192">
      <w:pPr>
        <w:jc w:val="both"/>
        <w:rPr>
          <w:rFonts w:ascii="Cambria" w:hAnsi="Cambria"/>
          <w:sz w:val="20"/>
          <w:szCs w:val="20"/>
          <w:lang w:val="es-ES"/>
        </w:rPr>
      </w:pPr>
    </w:p>
    <w:p w14:paraId="1BD06027" w14:textId="77777777" w:rsidR="002F5192" w:rsidRPr="00391BB0" w:rsidRDefault="002F5192" w:rsidP="002F5192">
      <w:pPr>
        <w:pStyle w:val="ListParagraph"/>
        <w:numPr>
          <w:ilvl w:val="0"/>
          <w:numId w:val="10"/>
        </w:numPr>
        <w:ind w:left="1440" w:hanging="720"/>
        <w:jc w:val="both"/>
        <w:rPr>
          <w:rFonts w:ascii="Cambria" w:hAnsi="Cambria"/>
          <w:b/>
          <w:sz w:val="20"/>
          <w:szCs w:val="20"/>
          <w:lang w:val="es-ES"/>
        </w:rPr>
      </w:pPr>
      <w:r w:rsidRPr="00391BB0">
        <w:rPr>
          <w:rFonts w:ascii="Cambria" w:hAnsi="Cambria"/>
          <w:b/>
          <w:sz w:val="20"/>
          <w:szCs w:val="20"/>
          <w:lang w:val="es-ES"/>
        </w:rPr>
        <w:t>Resultados estructurales del caso</w:t>
      </w:r>
    </w:p>
    <w:p w14:paraId="24057935" w14:textId="77777777" w:rsidR="002F5192" w:rsidRPr="00391BB0" w:rsidRDefault="002F5192" w:rsidP="002F5192">
      <w:pPr>
        <w:jc w:val="both"/>
        <w:rPr>
          <w:rFonts w:ascii="Cambria" w:hAnsi="Cambria"/>
          <w:sz w:val="20"/>
          <w:szCs w:val="20"/>
          <w:lang w:val="es-ES"/>
        </w:rPr>
      </w:pPr>
    </w:p>
    <w:p w14:paraId="0107B336" w14:textId="77777777" w:rsidR="002F5192" w:rsidRPr="00391BB0" w:rsidRDefault="002F5192" w:rsidP="002F5192">
      <w:pPr>
        <w:jc w:val="both"/>
        <w:rPr>
          <w:rFonts w:ascii="Cambria" w:hAnsi="Cambria"/>
          <w:i/>
          <w:sz w:val="20"/>
          <w:szCs w:val="20"/>
          <w:lang w:val="es-ES"/>
        </w:rPr>
      </w:pPr>
      <w:r w:rsidRPr="00391BB0">
        <w:rPr>
          <w:rFonts w:ascii="Cambria" w:hAnsi="Cambria"/>
          <w:i/>
          <w:sz w:val="20"/>
          <w:szCs w:val="20"/>
          <w:lang w:val="es-ES"/>
        </w:rPr>
        <w:t>Fortalecimiento institucional</w:t>
      </w:r>
    </w:p>
    <w:p w14:paraId="1F72C0A3" w14:textId="77777777" w:rsidR="002F5192" w:rsidRPr="00391BB0" w:rsidRDefault="002F5192" w:rsidP="002F5192">
      <w:pPr>
        <w:pStyle w:val="ListParagraph"/>
        <w:numPr>
          <w:ilvl w:val="0"/>
          <w:numId w:val="11"/>
        </w:numPr>
        <w:jc w:val="both"/>
        <w:rPr>
          <w:rFonts w:ascii="Cambria" w:hAnsi="Cambria"/>
          <w:sz w:val="20"/>
          <w:szCs w:val="20"/>
          <w:lang w:val="es-ES"/>
        </w:rPr>
      </w:pPr>
      <w:r w:rsidRPr="00391BB0">
        <w:rPr>
          <w:rFonts w:ascii="Cambria" w:hAnsi="Cambria"/>
          <w:sz w:val="20"/>
          <w:szCs w:val="20"/>
          <w:lang w:val="es-ES"/>
        </w:rPr>
        <w:t>Publicación del Manual Consular</w:t>
      </w:r>
      <w:r w:rsidRPr="00391BB0">
        <w:rPr>
          <w:rFonts w:ascii="Cambria" w:hAnsi="Cambria"/>
          <w:i/>
          <w:sz w:val="20"/>
          <w:szCs w:val="20"/>
          <w:lang w:val="es-ES"/>
        </w:rPr>
        <w:t xml:space="preserve"> “</w:t>
      </w:r>
      <w:r w:rsidRPr="00391BB0">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w:t>
      </w:r>
      <w:r w:rsidRPr="00391BB0">
        <w:rPr>
          <w:rFonts w:ascii="Cambria" w:hAnsi="Cambria"/>
          <w:sz w:val="20"/>
          <w:szCs w:val="20"/>
          <w:lang w:val="es-ES"/>
        </w:rPr>
        <w:lastRenderedPageBreak/>
        <w:t>ciudadano extranjero, a fin de cumplir las disposiciones de la Convención de Viena y los acuerdos consulares bilaterales (última revisión: septiembre de 2018).</w:t>
      </w:r>
      <w:bookmarkStart w:id="0" w:name="_GoBack"/>
      <w:bookmarkEnd w:id="0"/>
    </w:p>
    <w:sectPr w:rsidR="002F5192" w:rsidRPr="00391BB0"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EF74" w14:textId="77777777" w:rsidR="00E16EB3" w:rsidRDefault="00E16EB3" w:rsidP="00672733">
      <w:r>
        <w:separator/>
      </w:r>
    </w:p>
  </w:endnote>
  <w:endnote w:type="continuationSeparator" w:id="0">
    <w:p w14:paraId="79A4CD93" w14:textId="77777777" w:rsidR="00E16EB3" w:rsidRDefault="00E16EB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5DE29FDF"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391BB0">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4EA7" w14:textId="77777777" w:rsidR="00E16EB3" w:rsidRDefault="00E16EB3" w:rsidP="00672733">
      <w:r>
        <w:separator/>
      </w:r>
    </w:p>
  </w:footnote>
  <w:footnote w:type="continuationSeparator" w:id="0">
    <w:p w14:paraId="4ED23037" w14:textId="77777777" w:rsidR="00E16EB3" w:rsidRDefault="00E16EB3" w:rsidP="00672733">
      <w:r>
        <w:continuationSeparator/>
      </w:r>
    </w:p>
  </w:footnote>
  <w:footnote w:id="1">
    <w:p w14:paraId="1054F287" w14:textId="77777777" w:rsidR="002F5192" w:rsidRPr="00080CBA" w:rsidRDefault="002F5192" w:rsidP="002F5192">
      <w:pPr>
        <w:pStyle w:val="FootnoteText"/>
        <w:ind w:firstLine="720"/>
        <w:jc w:val="both"/>
        <w:rPr>
          <w:rFonts w:ascii="Cambria" w:hAnsi="Cambria"/>
          <w:sz w:val="16"/>
          <w:szCs w:val="16"/>
          <w:lang w:val="es-CO"/>
        </w:rPr>
      </w:pPr>
      <w:r w:rsidRPr="00080CBA">
        <w:rPr>
          <w:rStyle w:val="FootnoteReference"/>
          <w:rFonts w:ascii="Cambria" w:hAnsi="Cambria"/>
          <w:sz w:val="16"/>
          <w:szCs w:val="16"/>
        </w:rPr>
        <w:footnoteRef/>
      </w:r>
      <w:r w:rsidRPr="00080CBA">
        <w:rPr>
          <w:rFonts w:ascii="Cambria" w:hAnsi="Cambria"/>
          <w:sz w:val="16"/>
          <w:szCs w:val="16"/>
          <w:lang w:val="es-CO"/>
        </w:rPr>
        <w:t xml:space="preserve"> </w:t>
      </w:r>
      <w:r w:rsidRPr="005B7B3E">
        <w:rPr>
          <w:rFonts w:ascii="Cambria" w:hAnsi="Cambria"/>
          <w:sz w:val="16"/>
          <w:szCs w:val="16"/>
          <w:lang w:val="es-ES"/>
        </w:rPr>
        <w:t xml:space="preserve">CIDH, </w:t>
      </w:r>
      <w:hyperlink r:id="rId1" w:history="1">
        <w:r w:rsidRPr="005B7B3E">
          <w:rPr>
            <w:rStyle w:val="Hyperlink"/>
            <w:rFonts w:ascii="Cambria" w:hAnsi="Cambria"/>
            <w:sz w:val="16"/>
            <w:szCs w:val="16"/>
            <w:lang w:val="es-ES"/>
          </w:rPr>
          <w:t xml:space="preserve">Caso 12.833, Informe </w:t>
        </w:r>
        <w:r>
          <w:rPr>
            <w:rStyle w:val="Hyperlink"/>
            <w:rFonts w:ascii="Cambria" w:hAnsi="Cambria"/>
            <w:sz w:val="16"/>
            <w:szCs w:val="16"/>
            <w:lang w:val="es-ES"/>
          </w:rPr>
          <w:t>de Fondo Nº 11/15, Félix</w:t>
        </w:r>
        <w:r w:rsidRPr="005B7B3E">
          <w:rPr>
            <w:rStyle w:val="Hyperlink"/>
            <w:rFonts w:ascii="Cambria" w:hAnsi="Cambria"/>
            <w:sz w:val="16"/>
            <w:szCs w:val="16"/>
            <w:lang w:val="es-ES"/>
          </w:rPr>
          <w:t xml:space="preserve"> Rocha Díaz (Estados Unidos)</w:t>
        </w:r>
      </w:hyperlink>
      <w:r w:rsidRPr="005B7B3E">
        <w:rPr>
          <w:rFonts w:ascii="Cambria" w:hAnsi="Cambria"/>
          <w:sz w:val="16"/>
          <w:szCs w:val="16"/>
          <w:lang w:val="es-ES"/>
        </w:rPr>
        <w:t xml:space="preserve">, párr. 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1"/>
  </w:num>
  <w:num w:numId="3">
    <w:abstractNumId w:val="8"/>
  </w:num>
  <w:num w:numId="4">
    <w:abstractNumId w:val="3"/>
  </w:num>
  <w:num w:numId="5">
    <w:abstractNumId w:val="2"/>
  </w:num>
  <w:num w:numId="6">
    <w:abstractNumId w:val="4"/>
  </w:num>
  <w:num w:numId="7">
    <w:abstractNumId w:val="0"/>
  </w:num>
  <w:num w:numId="8">
    <w:abstractNumId w:val="7"/>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65291"/>
    <w:rsid w:val="000B5E1D"/>
    <w:rsid w:val="000C5C4A"/>
    <w:rsid w:val="00197FD5"/>
    <w:rsid w:val="001C7AAF"/>
    <w:rsid w:val="001D4AA3"/>
    <w:rsid w:val="002F5192"/>
    <w:rsid w:val="00322720"/>
    <w:rsid w:val="00382A78"/>
    <w:rsid w:val="00391BB0"/>
    <w:rsid w:val="00453115"/>
    <w:rsid w:val="0048723C"/>
    <w:rsid w:val="00566CD0"/>
    <w:rsid w:val="00637ED3"/>
    <w:rsid w:val="006638E5"/>
    <w:rsid w:val="00672733"/>
    <w:rsid w:val="006B1F24"/>
    <w:rsid w:val="00750246"/>
    <w:rsid w:val="008463D3"/>
    <w:rsid w:val="008818B0"/>
    <w:rsid w:val="00A31E02"/>
    <w:rsid w:val="00BB0D06"/>
    <w:rsid w:val="00D0150A"/>
    <w:rsid w:val="00D56DC4"/>
    <w:rsid w:val="00E042FE"/>
    <w:rsid w:val="00E16EB3"/>
    <w:rsid w:val="00E516AB"/>
    <w:rsid w:val="00E90CB3"/>
    <w:rsid w:val="00EC6F46"/>
    <w:rsid w:val="00FE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customStyle="1" w:styleId="Default">
    <w:name w:val="Default"/>
    <w:rsid w:val="002F5192"/>
    <w:pPr>
      <w:autoSpaceDE w:val="0"/>
      <w:autoSpaceDN w:val="0"/>
      <w:adjustRightInd w:val="0"/>
    </w:pPr>
    <w:rPr>
      <w:rFonts w:ascii="Cambria" w:eastAsia="Calibri" w:hAnsi="Cambria" w:cs="Cambria"/>
      <w:color w:val="000000"/>
    </w:rPr>
  </w:style>
  <w:style w:type="character" w:styleId="CommentReference">
    <w:name w:val="annotation reference"/>
    <w:basedOn w:val="DefaultParagraphFont"/>
    <w:uiPriority w:val="99"/>
    <w:semiHidden/>
    <w:unhideWhenUsed/>
    <w:rsid w:val="00197FD5"/>
    <w:rPr>
      <w:sz w:val="16"/>
      <w:szCs w:val="16"/>
    </w:rPr>
  </w:style>
  <w:style w:type="paragraph" w:styleId="CommentText">
    <w:name w:val="annotation text"/>
    <w:basedOn w:val="Normal"/>
    <w:link w:val="CommentTextChar"/>
    <w:uiPriority w:val="99"/>
    <w:semiHidden/>
    <w:unhideWhenUsed/>
    <w:rsid w:val="00197FD5"/>
    <w:rPr>
      <w:sz w:val="20"/>
      <w:szCs w:val="20"/>
    </w:rPr>
  </w:style>
  <w:style w:type="character" w:customStyle="1" w:styleId="CommentTextChar">
    <w:name w:val="Comment Text Char"/>
    <w:basedOn w:val="DefaultParagraphFont"/>
    <w:link w:val="CommentText"/>
    <w:uiPriority w:val="99"/>
    <w:semiHidden/>
    <w:rsid w:val="00197FD5"/>
    <w:rPr>
      <w:sz w:val="20"/>
      <w:szCs w:val="20"/>
    </w:rPr>
  </w:style>
  <w:style w:type="paragraph" w:styleId="CommentSubject">
    <w:name w:val="annotation subject"/>
    <w:basedOn w:val="CommentText"/>
    <w:next w:val="CommentText"/>
    <w:link w:val="CommentSubjectChar"/>
    <w:uiPriority w:val="99"/>
    <w:semiHidden/>
    <w:unhideWhenUsed/>
    <w:rsid w:val="00197FD5"/>
    <w:rPr>
      <w:b/>
      <w:bCs/>
    </w:rPr>
  </w:style>
  <w:style w:type="character" w:customStyle="1" w:styleId="CommentSubjectChar">
    <w:name w:val="Comment Subject Char"/>
    <w:basedOn w:val="CommentTextChar"/>
    <w:link w:val="CommentSubject"/>
    <w:uiPriority w:val="99"/>
    <w:semiHidden/>
    <w:rsid w:val="00197FD5"/>
    <w:rPr>
      <w:b/>
      <w:bCs/>
      <w:sz w:val="20"/>
      <w:szCs w:val="20"/>
    </w:rPr>
  </w:style>
  <w:style w:type="paragraph" w:styleId="BalloonText">
    <w:name w:val="Balloon Text"/>
    <w:basedOn w:val="Normal"/>
    <w:link w:val="BalloonTextChar"/>
    <w:uiPriority w:val="99"/>
    <w:semiHidden/>
    <w:unhideWhenUsed/>
    <w:rsid w:val="00197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5/USPU12833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1/EEUUAD259-11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5/USPU12833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D51E-BA80-4A4C-950B-2627708F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2021-01-04T17:53:00Z</dcterms:created>
  <dcterms:modified xsi:type="dcterms:W3CDTF">2021-03-25T22:26:00Z</dcterms:modified>
</cp:coreProperties>
</file>