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0B03" w14:textId="77777777" w:rsidR="00913973" w:rsidRPr="00961FDC" w:rsidRDefault="00913973" w:rsidP="00913973">
      <w:pPr>
        <w:pStyle w:val="NoSpacing"/>
        <w:jc w:val="center"/>
        <w:rPr>
          <w:rFonts w:ascii="Cambria" w:hAnsi="Cambria"/>
          <w:b/>
          <w:sz w:val="20"/>
          <w:szCs w:val="20"/>
          <w:lang w:val="es-ES"/>
        </w:rPr>
      </w:pPr>
      <w:r w:rsidRPr="00961FDC">
        <w:rPr>
          <w:rFonts w:ascii="Cambria" w:hAnsi="Cambria"/>
          <w:b/>
          <w:sz w:val="20"/>
          <w:szCs w:val="20"/>
          <w:lang w:val="es-ES"/>
        </w:rPr>
        <w:t>FICHA DE SEGUIMIENTO DEL INFORME Nº 52/01</w:t>
      </w:r>
    </w:p>
    <w:p w14:paraId="1A4E2C16" w14:textId="77777777" w:rsidR="00913973" w:rsidRPr="00961FDC" w:rsidRDefault="00913973" w:rsidP="00913973">
      <w:pPr>
        <w:pStyle w:val="NoSpacing"/>
        <w:jc w:val="center"/>
        <w:rPr>
          <w:rFonts w:ascii="Cambria" w:hAnsi="Cambria"/>
          <w:b/>
          <w:sz w:val="20"/>
          <w:szCs w:val="20"/>
          <w:lang w:val="es-ES"/>
        </w:rPr>
      </w:pPr>
      <w:r w:rsidRPr="00961FDC">
        <w:rPr>
          <w:rFonts w:ascii="Cambria" w:hAnsi="Cambria"/>
          <w:b/>
          <w:sz w:val="20"/>
          <w:szCs w:val="20"/>
          <w:lang w:val="es-ES"/>
        </w:rPr>
        <w:t>CASO 12.243</w:t>
      </w:r>
    </w:p>
    <w:p w14:paraId="43FE1219" w14:textId="77777777" w:rsidR="00913973" w:rsidRPr="00961FDC" w:rsidRDefault="00913973" w:rsidP="00913973">
      <w:pPr>
        <w:pStyle w:val="NoSpacing"/>
        <w:jc w:val="center"/>
        <w:rPr>
          <w:rFonts w:ascii="Cambria" w:hAnsi="Cambria"/>
          <w:b/>
          <w:sz w:val="20"/>
          <w:szCs w:val="20"/>
          <w:lang w:val="es-ES"/>
        </w:rPr>
      </w:pPr>
      <w:r w:rsidRPr="00961FDC">
        <w:rPr>
          <w:rFonts w:ascii="Cambria" w:hAnsi="Cambria"/>
          <w:b/>
          <w:sz w:val="20"/>
          <w:szCs w:val="20"/>
          <w:lang w:val="es-ES"/>
        </w:rPr>
        <w:t>JUAN RA</w:t>
      </w:r>
      <w:r w:rsidRPr="00961FDC">
        <w:rPr>
          <w:rFonts w:ascii="Cambria" w:hAnsi="Cambria"/>
          <w:b/>
          <w:sz w:val="20"/>
          <w:szCs w:val="20"/>
          <w:lang w:val="es-CO"/>
        </w:rPr>
        <w:t>Ú</w:t>
      </w:r>
      <w:r w:rsidRPr="00961FDC">
        <w:rPr>
          <w:rFonts w:ascii="Cambria" w:hAnsi="Cambria"/>
          <w:b/>
          <w:sz w:val="20"/>
          <w:szCs w:val="20"/>
          <w:lang w:val="es-ES"/>
        </w:rPr>
        <w:t>L GARZA</w:t>
      </w:r>
    </w:p>
    <w:p w14:paraId="05091537" w14:textId="77777777" w:rsidR="00913973" w:rsidRPr="00961FDC" w:rsidRDefault="00913973" w:rsidP="00913973">
      <w:pPr>
        <w:pStyle w:val="NoSpacing"/>
        <w:jc w:val="center"/>
        <w:rPr>
          <w:rFonts w:ascii="Cambria" w:hAnsi="Cambria"/>
          <w:b/>
          <w:sz w:val="20"/>
          <w:szCs w:val="20"/>
          <w:lang w:val="es-ES"/>
        </w:rPr>
      </w:pPr>
      <w:r w:rsidRPr="00961FDC">
        <w:rPr>
          <w:rFonts w:ascii="Cambria" w:hAnsi="Cambria"/>
          <w:b/>
          <w:sz w:val="20"/>
          <w:szCs w:val="20"/>
          <w:lang w:val="es-ES"/>
        </w:rPr>
        <w:t>(Estados Unidos)</w:t>
      </w:r>
    </w:p>
    <w:p w14:paraId="487F8113" w14:textId="77777777" w:rsidR="00913973" w:rsidRPr="00961FDC" w:rsidRDefault="00913973" w:rsidP="00913973">
      <w:pPr>
        <w:jc w:val="center"/>
        <w:rPr>
          <w:rFonts w:ascii="Cambria" w:hAnsi="Cambria"/>
          <w:sz w:val="20"/>
          <w:szCs w:val="20"/>
          <w:lang w:val="es-ES"/>
        </w:rPr>
      </w:pPr>
    </w:p>
    <w:p w14:paraId="5E87822E" w14:textId="77777777" w:rsidR="00913973" w:rsidRPr="00961FDC" w:rsidRDefault="00913973" w:rsidP="00913973">
      <w:pPr>
        <w:numPr>
          <w:ilvl w:val="0"/>
          <w:numId w:val="8"/>
        </w:numPr>
        <w:ind w:left="1440"/>
        <w:jc w:val="both"/>
        <w:rPr>
          <w:rFonts w:ascii="Cambria" w:hAnsi="Cambria" w:cs="Calibri Light"/>
          <w:b/>
          <w:sz w:val="20"/>
          <w:szCs w:val="20"/>
          <w:lang w:val="es-ES"/>
        </w:rPr>
      </w:pPr>
      <w:r w:rsidRPr="00961FDC">
        <w:rPr>
          <w:rFonts w:ascii="Cambria" w:hAnsi="Cambria" w:cs="Calibri Light"/>
          <w:b/>
          <w:sz w:val="20"/>
          <w:szCs w:val="20"/>
          <w:lang w:val="es-ES"/>
        </w:rPr>
        <w:t xml:space="preserve">Resumen del caso  </w:t>
      </w:r>
    </w:p>
    <w:p w14:paraId="0F99F51B" w14:textId="77777777" w:rsidR="00913973" w:rsidRPr="00961FDC" w:rsidRDefault="00913973" w:rsidP="00913973">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13973" w:rsidRPr="00961FDC" w14:paraId="3D361563" w14:textId="77777777" w:rsidTr="00E739A3">
        <w:trPr>
          <w:jc w:val="center"/>
        </w:trPr>
        <w:tc>
          <w:tcPr>
            <w:tcW w:w="9576" w:type="dxa"/>
            <w:shd w:val="clear" w:color="auto" w:fill="F2F2F2"/>
          </w:tcPr>
          <w:p w14:paraId="205CD0D9" w14:textId="77777777" w:rsidR="00913973" w:rsidRPr="00961FDC" w:rsidRDefault="00913973" w:rsidP="00E739A3">
            <w:pPr>
              <w:spacing w:before="120"/>
              <w:jc w:val="both"/>
              <w:rPr>
                <w:rFonts w:ascii="Cambria" w:hAnsi="Cambria"/>
                <w:b/>
                <w:sz w:val="20"/>
                <w:szCs w:val="20"/>
                <w:lang w:val="es-ES"/>
              </w:rPr>
            </w:pPr>
            <w:r w:rsidRPr="00961FDC">
              <w:rPr>
                <w:rFonts w:ascii="Cambria" w:hAnsi="Cambria"/>
                <w:b/>
                <w:sz w:val="20"/>
                <w:szCs w:val="20"/>
                <w:lang w:val="es-ES"/>
              </w:rPr>
              <w:t xml:space="preserve">Víctima (s): </w:t>
            </w:r>
            <w:r w:rsidRPr="00961FDC">
              <w:rPr>
                <w:rFonts w:ascii="Cambria" w:hAnsi="Cambria"/>
                <w:sz w:val="20"/>
                <w:szCs w:val="20"/>
                <w:lang w:val="es-ES"/>
              </w:rPr>
              <w:t>Juan Raúl Garza</w:t>
            </w:r>
          </w:p>
          <w:p w14:paraId="23C4C59D" w14:textId="77777777" w:rsidR="00913973" w:rsidRPr="00961FDC" w:rsidRDefault="00913973" w:rsidP="00E739A3">
            <w:pPr>
              <w:jc w:val="both"/>
              <w:rPr>
                <w:rFonts w:ascii="Cambria" w:hAnsi="Cambria"/>
                <w:b/>
                <w:sz w:val="20"/>
                <w:szCs w:val="20"/>
                <w:lang w:val="es-ES"/>
              </w:rPr>
            </w:pPr>
            <w:r w:rsidRPr="00961FDC">
              <w:rPr>
                <w:rFonts w:ascii="Cambria" w:hAnsi="Cambria"/>
                <w:b/>
                <w:sz w:val="20"/>
                <w:szCs w:val="20"/>
                <w:lang w:val="es-ES"/>
              </w:rPr>
              <w:t>Peticionario (s):</w:t>
            </w:r>
            <w:r w:rsidRPr="00961FDC">
              <w:rPr>
                <w:rFonts w:ascii="Cambria" w:hAnsi="Cambria"/>
                <w:sz w:val="20"/>
                <w:szCs w:val="20"/>
                <w:lang w:val="es-ES"/>
              </w:rPr>
              <w:t xml:space="preserve"> Hugh Southey</w:t>
            </w:r>
          </w:p>
          <w:p w14:paraId="4EDDD507" w14:textId="77777777" w:rsidR="00913973" w:rsidRPr="00961FDC" w:rsidRDefault="00913973" w:rsidP="00E739A3">
            <w:pPr>
              <w:jc w:val="both"/>
              <w:rPr>
                <w:rFonts w:ascii="Cambria" w:hAnsi="Cambria"/>
                <w:sz w:val="20"/>
                <w:szCs w:val="20"/>
                <w:lang w:val="es-ES"/>
              </w:rPr>
            </w:pPr>
            <w:r w:rsidRPr="00961FDC">
              <w:rPr>
                <w:rFonts w:ascii="Cambria" w:hAnsi="Cambria"/>
                <w:b/>
                <w:sz w:val="20"/>
                <w:szCs w:val="20"/>
                <w:lang w:val="es-ES"/>
              </w:rPr>
              <w:t xml:space="preserve">Estado: </w:t>
            </w:r>
            <w:r w:rsidRPr="00961FDC">
              <w:rPr>
                <w:rFonts w:ascii="Cambria" w:hAnsi="Cambria"/>
                <w:sz w:val="20"/>
                <w:szCs w:val="20"/>
                <w:lang w:val="es-ES"/>
              </w:rPr>
              <w:t>Estados Unidos</w:t>
            </w:r>
          </w:p>
          <w:p w14:paraId="2F4241D7" w14:textId="77777777" w:rsidR="00913973" w:rsidRPr="00961FDC" w:rsidRDefault="00913973" w:rsidP="00E739A3">
            <w:pPr>
              <w:jc w:val="both"/>
              <w:rPr>
                <w:rFonts w:ascii="Cambria" w:hAnsi="Cambria"/>
                <w:sz w:val="20"/>
                <w:szCs w:val="20"/>
                <w:lang w:val="es-ES"/>
              </w:rPr>
            </w:pPr>
            <w:r w:rsidRPr="00961FDC">
              <w:rPr>
                <w:rFonts w:ascii="Cambria" w:hAnsi="Cambria"/>
                <w:b/>
                <w:sz w:val="20"/>
                <w:szCs w:val="20"/>
                <w:lang w:val="es-ES"/>
              </w:rPr>
              <w:t xml:space="preserve">Informe de Fondo Nº: </w:t>
            </w:r>
            <w:hyperlink r:id="rId8" w:history="1">
              <w:r w:rsidRPr="00961FDC">
                <w:rPr>
                  <w:rStyle w:val="Hyperlink"/>
                  <w:rFonts w:ascii="Cambria" w:hAnsi="Cambria"/>
                  <w:sz w:val="20"/>
                  <w:szCs w:val="20"/>
                  <w:lang w:val="es-ES"/>
                </w:rPr>
                <w:t>52/01</w:t>
              </w:r>
            </w:hyperlink>
            <w:r w:rsidRPr="00961FDC">
              <w:rPr>
                <w:rFonts w:ascii="Cambria" w:hAnsi="Cambria"/>
                <w:sz w:val="20"/>
                <w:szCs w:val="20"/>
                <w:lang w:val="es-ES"/>
              </w:rPr>
              <w:t>, publicado el 4 de abril de 2001</w:t>
            </w:r>
          </w:p>
          <w:p w14:paraId="1BE495D9" w14:textId="77777777" w:rsidR="00913973" w:rsidRPr="00961FDC" w:rsidRDefault="00913973" w:rsidP="00E739A3">
            <w:pPr>
              <w:jc w:val="both"/>
              <w:rPr>
                <w:rFonts w:ascii="Cambria" w:hAnsi="Cambria"/>
                <w:b/>
                <w:sz w:val="20"/>
                <w:szCs w:val="20"/>
                <w:lang w:val="es-ES"/>
              </w:rPr>
            </w:pPr>
            <w:r w:rsidRPr="00961FDC">
              <w:rPr>
                <w:rFonts w:ascii="Cambria" w:hAnsi="Cambria"/>
                <w:b/>
                <w:sz w:val="20"/>
                <w:szCs w:val="20"/>
                <w:lang w:val="es-ES"/>
              </w:rPr>
              <w:t xml:space="preserve">Informe de Admisibilidad Nº: </w:t>
            </w:r>
            <w:r w:rsidRPr="00961FDC">
              <w:rPr>
                <w:rFonts w:ascii="Cambria" w:hAnsi="Cambria"/>
                <w:sz w:val="20"/>
                <w:szCs w:val="20"/>
                <w:lang w:val="es-ES"/>
              </w:rPr>
              <w:t>Analizado junto con el Informe de Fondo Nº 52/01</w:t>
            </w:r>
          </w:p>
          <w:p w14:paraId="2B5556E9" w14:textId="77777777" w:rsidR="00913973" w:rsidRPr="00961FDC" w:rsidRDefault="00913973" w:rsidP="00E739A3">
            <w:pPr>
              <w:jc w:val="both"/>
              <w:rPr>
                <w:rFonts w:ascii="Cambria" w:hAnsi="Cambria"/>
                <w:b/>
                <w:sz w:val="20"/>
                <w:szCs w:val="20"/>
                <w:lang w:val="es-ES"/>
              </w:rPr>
            </w:pPr>
            <w:r w:rsidRPr="00961FDC">
              <w:rPr>
                <w:rFonts w:ascii="Cambria" w:hAnsi="Cambria"/>
                <w:b/>
                <w:sz w:val="20"/>
                <w:szCs w:val="20"/>
                <w:lang w:val="es-ES"/>
              </w:rPr>
              <w:t xml:space="preserve">Medidas cautelares: </w:t>
            </w:r>
            <w:hyperlink r:id="rId9" w:history="1">
              <w:r w:rsidRPr="00961FDC">
                <w:rPr>
                  <w:rStyle w:val="Hyperlink"/>
                  <w:rFonts w:ascii="Cambria" w:hAnsi="Cambria"/>
                  <w:sz w:val="20"/>
                  <w:szCs w:val="20"/>
                  <w:lang w:val="es-ES"/>
                </w:rPr>
                <w:t>otorgadas el 27 de enero del 2000</w:t>
              </w:r>
            </w:hyperlink>
            <w:r w:rsidRPr="00961FDC">
              <w:rPr>
                <w:rFonts w:ascii="Cambria" w:hAnsi="Cambria"/>
                <w:b/>
                <w:sz w:val="20"/>
                <w:szCs w:val="20"/>
                <w:lang w:val="es-ES"/>
              </w:rPr>
              <w:t xml:space="preserve"> </w:t>
            </w:r>
          </w:p>
          <w:p w14:paraId="03F40183" w14:textId="77777777" w:rsidR="00913973" w:rsidRPr="00961FDC" w:rsidRDefault="00913973" w:rsidP="00E739A3">
            <w:pPr>
              <w:spacing w:after="120"/>
              <w:jc w:val="both"/>
              <w:rPr>
                <w:rFonts w:ascii="Cambria" w:hAnsi="Cambria"/>
                <w:sz w:val="20"/>
                <w:szCs w:val="20"/>
                <w:lang w:val="es-ES"/>
              </w:rPr>
            </w:pPr>
            <w:r w:rsidRPr="00961FDC">
              <w:rPr>
                <w:rFonts w:ascii="Cambria" w:hAnsi="Cambria"/>
                <w:b/>
                <w:sz w:val="20"/>
                <w:szCs w:val="20"/>
                <w:lang w:val="es-ES"/>
              </w:rPr>
              <w:t xml:space="preserve">Temas: </w:t>
            </w:r>
            <w:r w:rsidRPr="00961FDC">
              <w:rPr>
                <w:rFonts w:ascii="Cambria" w:hAnsi="Cambria"/>
                <w:sz w:val="20"/>
                <w:szCs w:val="20"/>
                <w:lang w:val="es-ES"/>
              </w:rPr>
              <w:t>Pena de Muerte / Derecho a la Vida / Garantías Judiciales / Protección Judicial / Deber de Adoptar Medidas y Disposiciones de Derecho Interno / Derecho a la Libertad Personal.</w:t>
            </w:r>
          </w:p>
          <w:p w14:paraId="42EAC266" w14:textId="77777777" w:rsidR="00913973" w:rsidRPr="00961FDC" w:rsidRDefault="00913973" w:rsidP="00E739A3">
            <w:pPr>
              <w:spacing w:after="120"/>
              <w:jc w:val="both"/>
              <w:rPr>
                <w:rFonts w:ascii="Cambria" w:hAnsi="Cambria"/>
                <w:sz w:val="20"/>
                <w:szCs w:val="20"/>
                <w:lang w:val="es-ES"/>
              </w:rPr>
            </w:pPr>
            <w:r w:rsidRPr="00961FDC">
              <w:rPr>
                <w:rFonts w:ascii="Cambria" w:hAnsi="Cambria"/>
                <w:b/>
                <w:sz w:val="20"/>
                <w:szCs w:val="20"/>
                <w:lang w:val="es-ES"/>
              </w:rPr>
              <w:t xml:space="preserve">Hechos: </w:t>
            </w:r>
            <w:r w:rsidRPr="00961FDC">
              <w:rPr>
                <w:rFonts w:ascii="Cambria" w:hAnsi="Cambria"/>
                <w:sz w:val="20"/>
                <w:szCs w:val="20"/>
                <w:lang w:val="es-ES"/>
              </w:rPr>
              <w:t>El caso se refiere a Juan Raúl Garza, ciudadano estadounidense que fue condenado a muerte por un jurado en el Tribunal de Distrito Sur de Texas, Estados Unidos, en un procedimiento violatorio de las garantías del debido proceso y del derecho a un juicio imparcial, debido a que parte de la condena se basó en delitos presuntamente cometidos en México, por los cuales nunca había sido acusado, juzgado o condenado.</w:t>
            </w:r>
          </w:p>
          <w:p w14:paraId="4330ABA8" w14:textId="77777777" w:rsidR="00913973" w:rsidRPr="00961FDC" w:rsidRDefault="00913973" w:rsidP="00E739A3">
            <w:pPr>
              <w:spacing w:after="120"/>
              <w:jc w:val="both"/>
              <w:rPr>
                <w:rFonts w:ascii="Cambria" w:hAnsi="Cambria"/>
                <w:b/>
                <w:sz w:val="20"/>
                <w:szCs w:val="20"/>
                <w:lang w:val="es-ES"/>
              </w:rPr>
            </w:pPr>
            <w:r w:rsidRPr="00961FDC">
              <w:rPr>
                <w:rFonts w:ascii="Cambria" w:hAnsi="Cambria"/>
                <w:b/>
                <w:sz w:val="20"/>
                <w:szCs w:val="20"/>
                <w:lang w:val="es-ES"/>
              </w:rPr>
              <w:t xml:space="preserve">Derechos violados: </w:t>
            </w:r>
            <w:r w:rsidRPr="00961FDC">
              <w:rPr>
                <w:rFonts w:ascii="Cambria" w:hAnsi="Cambria"/>
                <w:sz w:val="20"/>
                <w:szCs w:val="20"/>
                <w:lang w:val="es-ES"/>
              </w:rPr>
              <w:t>La Comisión concluyó que el Estado era responsable de la violación de los artículos I, XVIII y XXVI de la Declaración Americana por condenar a Juan Raúl Garza a la pena de muerte con violación de sus derechos al debido proceso y a un juicio justo. La Comisión también concluyó que Estados Unidos cometería una grave e irreparable violación del derecho fundamental a la vida, consagrado en el artículo I de la Declaración Americana, si procedía a la ejecución del Sr. Garza sobre la base de las actuaciones penales examinadas en el Informe de Fondo.</w:t>
            </w:r>
          </w:p>
        </w:tc>
      </w:tr>
    </w:tbl>
    <w:p w14:paraId="5EDF4A22" w14:textId="77777777" w:rsidR="00913973" w:rsidRPr="00961FDC" w:rsidRDefault="00913973" w:rsidP="00913973">
      <w:pPr>
        <w:tabs>
          <w:tab w:val="left" w:pos="2445"/>
        </w:tabs>
        <w:ind w:left="180"/>
        <w:jc w:val="both"/>
        <w:rPr>
          <w:rFonts w:ascii="Cambria" w:hAnsi="Cambria"/>
          <w:sz w:val="20"/>
          <w:szCs w:val="20"/>
          <w:lang w:val="es-ES"/>
        </w:rPr>
      </w:pPr>
      <w:r w:rsidRPr="00961FDC">
        <w:rPr>
          <w:rFonts w:ascii="Cambria" w:hAnsi="Cambria"/>
          <w:sz w:val="20"/>
          <w:szCs w:val="20"/>
          <w:lang w:val="es-ES"/>
        </w:rPr>
        <w:tab/>
      </w:r>
    </w:p>
    <w:p w14:paraId="372BEC05" w14:textId="77777777" w:rsidR="00913973" w:rsidRPr="00961FDC" w:rsidRDefault="00913973" w:rsidP="00913973">
      <w:pPr>
        <w:numPr>
          <w:ilvl w:val="0"/>
          <w:numId w:val="8"/>
        </w:numPr>
        <w:ind w:left="1440"/>
        <w:jc w:val="both"/>
        <w:rPr>
          <w:rFonts w:ascii="Cambria" w:hAnsi="Cambria" w:cs="Calibri Light"/>
          <w:b/>
          <w:sz w:val="20"/>
          <w:szCs w:val="20"/>
          <w:lang w:val="es-ES"/>
        </w:rPr>
      </w:pPr>
      <w:r w:rsidRPr="00961FDC">
        <w:rPr>
          <w:rFonts w:ascii="Cambria" w:hAnsi="Cambria" w:cs="Calibri Light"/>
          <w:b/>
          <w:sz w:val="20"/>
          <w:szCs w:val="20"/>
          <w:lang w:val="es-ES"/>
        </w:rPr>
        <w:t>Recomendaciones</w:t>
      </w:r>
    </w:p>
    <w:p w14:paraId="2B0A4459" w14:textId="77777777" w:rsidR="00913973" w:rsidRPr="00961FDC" w:rsidRDefault="00913973" w:rsidP="00913973">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2485"/>
      </w:tblGrid>
      <w:tr w:rsidR="00913973" w:rsidRPr="00961FDC" w14:paraId="3FE7C90B" w14:textId="77777777" w:rsidTr="00E739A3">
        <w:tc>
          <w:tcPr>
            <w:tcW w:w="7020" w:type="dxa"/>
            <w:shd w:val="clear" w:color="auto" w:fill="auto"/>
            <w:vAlign w:val="center"/>
          </w:tcPr>
          <w:p w14:paraId="43ECDD94" w14:textId="77777777" w:rsidR="00913973" w:rsidRPr="00961FDC" w:rsidRDefault="00913973" w:rsidP="00E739A3">
            <w:pPr>
              <w:jc w:val="center"/>
              <w:rPr>
                <w:rFonts w:ascii="Cambria" w:hAnsi="Cambria" w:cs="Calibri Light"/>
                <w:b/>
                <w:sz w:val="18"/>
                <w:szCs w:val="18"/>
                <w:lang w:val="es-ES"/>
              </w:rPr>
            </w:pPr>
            <w:r w:rsidRPr="00961FDC">
              <w:rPr>
                <w:rFonts w:ascii="Cambria" w:hAnsi="Cambria" w:cs="Calibri Light"/>
                <w:b/>
                <w:sz w:val="18"/>
                <w:szCs w:val="18"/>
                <w:lang w:val="es-ES"/>
              </w:rPr>
              <w:t>Recomendaciones</w:t>
            </w:r>
          </w:p>
        </w:tc>
        <w:tc>
          <w:tcPr>
            <w:tcW w:w="2520" w:type="dxa"/>
            <w:shd w:val="clear" w:color="auto" w:fill="auto"/>
            <w:vAlign w:val="center"/>
          </w:tcPr>
          <w:p w14:paraId="70FD4909" w14:textId="194F7BD4" w:rsidR="00913973" w:rsidRPr="00961FDC" w:rsidRDefault="00913973" w:rsidP="00E739A3">
            <w:pPr>
              <w:jc w:val="center"/>
              <w:rPr>
                <w:rFonts w:ascii="Cambria" w:hAnsi="Cambria" w:cs="Calibri Light"/>
                <w:b/>
                <w:color w:val="000000" w:themeColor="text1"/>
                <w:sz w:val="18"/>
                <w:szCs w:val="18"/>
                <w:lang w:val="es-ES"/>
              </w:rPr>
            </w:pPr>
            <w:r w:rsidRPr="00961FDC">
              <w:rPr>
                <w:rFonts w:ascii="Cambria" w:hAnsi="Cambria" w:cs="Calibri Light"/>
                <w:b/>
                <w:color w:val="000000" w:themeColor="text1"/>
                <w:sz w:val="18"/>
                <w:szCs w:val="18"/>
                <w:lang w:val="es-ES"/>
              </w:rPr>
              <w:t>Estado de cumplimiento en 20</w:t>
            </w:r>
            <w:r w:rsidR="002249FF" w:rsidRPr="00961FDC">
              <w:rPr>
                <w:rFonts w:ascii="Cambria" w:hAnsi="Cambria" w:cs="Calibri Light"/>
                <w:b/>
                <w:color w:val="000000" w:themeColor="text1"/>
                <w:sz w:val="18"/>
                <w:szCs w:val="18"/>
                <w:lang w:val="es-ES"/>
              </w:rPr>
              <w:t>20</w:t>
            </w:r>
          </w:p>
        </w:tc>
      </w:tr>
      <w:tr w:rsidR="00913973" w:rsidRPr="00961FDC" w14:paraId="0442EBDE" w14:textId="77777777" w:rsidTr="00E739A3">
        <w:trPr>
          <w:trHeight w:val="332"/>
        </w:trPr>
        <w:tc>
          <w:tcPr>
            <w:tcW w:w="7020" w:type="dxa"/>
            <w:shd w:val="clear" w:color="auto" w:fill="auto"/>
            <w:vAlign w:val="center"/>
          </w:tcPr>
          <w:p w14:paraId="3A187EB1" w14:textId="77777777" w:rsidR="00913973" w:rsidRPr="00961FDC" w:rsidRDefault="00913973" w:rsidP="00E739A3">
            <w:pPr>
              <w:rPr>
                <w:rFonts w:ascii="Cambria" w:hAnsi="Cambria"/>
                <w:sz w:val="18"/>
                <w:szCs w:val="18"/>
                <w:lang w:val="es-ES"/>
              </w:rPr>
            </w:pPr>
            <w:r w:rsidRPr="00961FDC">
              <w:rPr>
                <w:rFonts w:ascii="Cambria" w:hAnsi="Cambria" w:cs="Calibri Light"/>
                <w:sz w:val="18"/>
                <w:szCs w:val="18"/>
                <w:lang w:val="es-ES"/>
              </w:rPr>
              <w:t>1.</w:t>
            </w:r>
            <w:r w:rsidRPr="00961FDC">
              <w:rPr>
                <w:rFonts w:ascii="Cambria" w:hAnsi="Cambria"/>
                <w:sz w:val="18"/>
                <w:szCs w:val="18"/>
                <w:lang w:val="es-ES"/>
              </w:rPr>
              <w:t xml:space="preserve"> Otorgar al Sr. Garza una reparación efectiva, que incluya la conmutación de la sentencia.</w:t>
            </w:r>
          </w:p>
        </w:tc>
        <w:tc>
          <w:tcPr>
            <w:tcW w:w="2520" w:type="dxa"/>
            <w:shd w:val="clear" w:color="auto" w:fill="auto"/>
            <w:vAlign w:val="center"/>
          </w:tcPr>
          <w:p w14:paraId="58C12204" w14:textId="77777777" w:rsidR="00913973" w:rsidRPr="00961FDC" w:rsidRDefault="00913973" w:rsidP="00E739A3">
            <w:pPr>
              <w:jc w:val="center"/>
              <w:rPr>
                <w:rFonts w:ascii="Cambria" w:hAnsi="Cambria" w:cs="Calibri Light"/>
                <w:b/>
                <w:color w:val="000000" w:themeColor="text1"/>
                <w:sz w:val="18"/>
                <w:szCs w:val="18"/>
                <w:lang w:val="es-ES"/>
              </w:rPr>
            </w:pPr>
            <w:r w:rsidRPr="00961FDC">
              <w:rPr>
                <w:rFonts w:ascii="Cambria" w:hAnsi="Cambria"/>
                <w:color w:val="000000" w:themeColor="text1"/>
                <w:sz w:val="18"/>
                <w:szCs w:val="18"/>
                <w:lang w:val="es-ES"/>
              </w:rPr>
              <w:t>Incumplimiento</w:t>
            </w:r>
          </w:p>
        </w:tc>
      </w:tr>
      <w:tr w:rsidR="00913973" w:rsidRPr="00961FDC" w14:paraId="164EA8CC" w14:textId="77777777" w:rsidTr="00E739A3">
        <w:trPr>
          <w:trHeight w:val="1115"/>
        </w:trPr>
        <w:tc>
          <w:tcPr>
            <w:tcW w:w="7020" w:type="dxa"/>
            <w:shd w:val="clear" w:color="auto" w:fill="auto"/>
          </w:tcPr>
          <w:p w14:paraId="165F5328" w14:textId="77777777" w:rsidR="00913973" w:rsidRPr="00961FDC" w:rsidRDefault="00913973" w:rsidP="00E739A3">
            <w:pPr>
              <w:jc w:val="both"/>
              <w:rPr>
                <w:rFonts w:ascii="Cambria" w:hAnsi="Cambria"/>
                <w:sz w:val="18"/>
                <w:szCs w:val="18"/>
                <w:lang w:val="es-ES"/>
              </w:rPr>
            </w:pPr>
            <w:r w:rsidRPr="00961FDC">
              <w:rPr>
                <w:rFonts w:ascii="Cambria" w:hAnsi="Cambria" w:cs="Calibri Light"/>
                <w:sz w:val="18"/>
                <w:szCs w:val="18"/>
                <w:lang w:val="es-ES"/>
              </w:rPr>
              <w:t xml:space="preserve">2. </w:t>
            </w:r>
            <w:r w:rsidRPr="00961FDC">
              <w:rPr>
                <w:rFonts w:ascii="Cambria" w:hAnsi="Cambria"/>
                <w:sz w:val="18"/>
                <w:szCs w:val="18"/>
                <w:lang w:val="es-ES"/>
              </w:rPr>
              <w:t>Revisar las leyes, procedimientos y prácticas para asegurar que las personas acusadas de delitos punibles con la pena capital sean juzgadas y, de ser condenadas, sean sentenciadas de acuerdo con los derechos establecidos en la Declaración Americana, incluidos los artículos I, XVIII y XXVI de la misma y, en particular, mediante la prohibición de que se introduzcan pruebas de delitos no juzgados durante la etapa de formulación de la sentencia en juicios por delitos punibles con la pena capital.</w:t>
            </w:r>
          </w:p>
        </w:tc>
        <w:tc>
          <w:tcPr>
            <w:tcW w:w="2520" w:type="dxa"/>
            <w:shd w:val="clear" w:color="auto" w:fill="auto"/>
            <w:vAlign w:val="center"/>
          </w:tcPr>
          <w:p w14:paraId="6205DF26" w14:textId="77777777" w:rsidR="00913973" w:rsidRPr="00961FDC" w:rsidRDefault="00913973" w:rsidP="00E739A3">
            <w:pPr>
              <w:jc w:val="center"/>
              <w:rPr>
                <w:rFonts w:ascii="Cambria" w:hAnsi="Cambria" w:cs="Calibri Light"/>
                <w:b/>
                <w:color w:val="000000" w:themeColor="text1"/>
                <w:sz w:val="18"/>
                <w:szCs w:val="18"/>
                <w:lang w:val="es-ES"/>
              </w:rPr>
            </w:pPr>
            <w:r w:rsidRPr="00961FDC">
              <w:rPr>
                <w:rFonts w:ascii="Cambria" w:hAnsi="Cambria"/>
                <w:color w:val="000000" w:themeColor="text1"/>
                <w:sz w:val="18"/>
                <w:szCs w:val="18"/>
                <w:lang w:val="es-ES"/>
              </w:rPr>
              <w:t>Pendiente de cumplimiento</w:t>
            </w:r>
          </w:p>
        </w:tc>
      </w:tr>
    </w:tbl>
    <w:p w14:paraId="62AE547A" w14:textId="77777777" w:rsidR="00913973" w:rsidRPr="00961FDC" w:rsidRDefault="00913973" w:rsidP="00913973">
      <w:pPr>
        <w:jc w:val="both"/>
        <w:rPr>
          <w:rFonts w:ascii="Cambria" w:hAnsi="Cambria" w:cs="Calibri Light"/>
          <w:sz w:val="20"/>
          <w:szCs w:val="20"/>
          <w:lang w:val="es-ES"/>
        </w:rPr>
      </w:pPr>
    </w:p>
    <w:p w14:paraId="54EBB944" w14:textId="77777777" w:rsidR="00913973" w:rsidRPr="00961FDC" w:rsidRDefault="00913973" w:rsidP="00913973">
      <w:pPr>
        <w:pStyle w:val="ListParagraph"/>
        <w:numPr>
          <w:ilvl w:val="0"/>
          <w:numId w:val="8"/>
        </w:numPr>
        <w:ind w:left="1440"/>
        <w:jc w:val="both"/>
        <w:rPr>
          <w:rFonts w:ascii="Cambria" w:hAnsi="Cambria" w:cs="Calibri Light"/>
          <w:b/>
          <w:sz w:val="20"/>
          <w:szCs w:val="20"/>
          <w:lang w:val="es-ES"/>
        </w:rPr>
      </w:pPr>
      <w:r w:rsidRPr="00961FDC">
        <w:rPr>
          <w:rFonts w:ascii="Cambria" w:hAnsi="Cambria"/>
          <w:b/>
          <w:sz w:val="20"/>
          <w:szCs w:val="20"/>
          <w:lang w:val="es-ES"/>
        </w:rPr>
        <w:t xml:space="preserve">Actividad procesal </w:t>
      </w:r>
    </w:p>
    <w:p w14:paraId="722F4396" w14:textId="77777777" w:rsidR="00913973" w:rsidRPr="00961FDC" w:rsidRDefault="00913973" w:rsidP="00913973">
      <w:pPr>
        <w:jc w:val="both"/>
        <w:rPr>
          <w:rFonts w:ascii="Cambria" w:hAnsi="Cambria" w:cs="Calibri Light"/>
          <w:sz w:val="20"/>
          <w:szCs w:val="20"/>
          <w:lang w:val="es-ES"/>
        </w:rPr>
      </w:pPr>
    </w:p>
    <w:p w14:paraId="1A40C230" w14:textId="77777777" w:rsidR="00913973" w:rsidRPr="00961FDC" w:rsidRDefault="00913973" w:rsidP="00913973">
      <w:pPr>
        <w:pStyle w:val="ListParagraph"/>
        <w:numPr>
          <w:ilvl w:val="0"/>
          <w:numId w:val="9"/>
        </w:numPr>
        <w:jc w:val="both"/>
        <w:rPr>
          <w:rFonts w:ascii="Cambria" w:hAnsi="Cambria" w:cs="Calibri Light"/>
          <w:color w:val="000000" w:themeColor="text1"/>
          <w:sz w:val="20"/>
          <w:szCs w:val="20"/>
          <w:lang w:val="es-ES"/>
        </w:rPr>
      </w:pPr>
      <w:r w:rsidRPr="00961FDC">
        <w:rPr>
          <w:rFonts w:ascii="Cambria" w:hAnsi="Cambria" w:cs="Calibri Light"/>
          <w:color w:val="000000" w:themeColor="text1"/>
          <w:sz w:val="20"/>
          <w:szCs w:val="20"/>
          <w:lang w:val="es-ES"/>
        </w:rPr>
        <w:t>El 15 de junio de 2001, la Comisión publicó un Comunicado de Prensa instando al Estado a suspender la ejecución de Juan Raúl Garza.</w:t>
      </w:r>
      <w:r w:rsidRPr="00961FDC">
        <w:rPr>
          <w:rStyle w:val="FootnoteReference"/>
          <w:rFonts w:ascii="Cambria" w:hAnsi="Cambria" w:cs="Calibri Light"/>
          <w:color w:val="000000" w:themeColor="text1"/>
          <w:sz w:val="20"/>
          <w:szCs w:val="20"/>
          <w:lang w:val="es-ES"/>
        </w:rPr>
        <w:footnoteReference w:id="1"/>
      </w:r>
      <w:r w:rsidRPr="00961FDC">
        <w:rPr>
          <w:rFonts w:ascii="Cambria" w:hAnsi="Cambria" w:cs="Calibri Light"/>
          <w:color w:val="000000" w:themeColor="text1"/>
          <w:sz w:val="20"/>
          <w:szCs w:val="20"/>
          <w:lang w:val="es-ES"/>
        </w:rPr>
        <w:t xml:space="preserve"> La ejecución eventualmente se llevó a cabo en junio de 2001.</w:t>
      </w:r>
    </w:p>
    <w:p w14:paraId="4166661B" w14:textId="77777777" w:rsidR="00913973" w:rsidRPr="00961FDC" w:rsidRDefault="00913973" w:rsidP="00913973">
      <w:pPr>
        <w:pStyle w:val="ListParagraph"/>
        <w:jc w:val="both"/>
        <w:rPr>
          <w:rFonts w:ascii="Cambria" w:hAnsi="Cambria" w:cs="Calibri Light"/>
          <w:color w:val="000000" w:themeColor="text1"/>
          <w:sz w:val="20"/>
          <w:szCs w:val="20"/>
          <w:lang w:val="es-ES"/>
        </w:rPr>
      </w:pPr>
    </w:p>
    <w:p w14:paraId="1067FC45" w14:textId="0D8F1E21" w:rsidR="00913973" w:rsidRPr="00961FDC" w:rsidRDefault="00913973" w:rsidP="00913973">
      <w:pPr>
        <w:pStyle w:val="ListParagraph"/>
        <w:numPr>
          <w:ilvl w:val="0"/>
          <w:numId w:val="9"/>
        </w:numPr>
        <w:jc w:val="both"/>
        <w:rPr>
          <w:rFonts w:ascii="Cambria" w:hAnsi="Cambria" w:cs="Calibri Light"/>
          <w:color w:val="000000" w:themeColor="text1"/>
          <w:sz w:val="20"/>
          <w:szCs w:val="20"/>
          <w:lang w:val="es-ES"/>
        </w:rPr>
      </w:pPr>
      <w:r w:rsidRPr="00961FDC">
        <w:rPr>
          <w:rFonts w:ascii="Cambria" w:hAnsi="Cambria" w:cs="Calibri Light"/>
          <w:color w:val="000000" w:themeColor="text1"/>
          <w:sz w:val="20"/>
          <w:szCs w:val="20"/>
          <w:lang w:val="es-ES"/>
        </w:rPr>
        <w:t>En 20</w:t>
      </w:r>
      <w:r w:rsidR="002249FF" w:rsidRPr="00961FDC">
        <w:rPr>
          <w:rFonts w:ascii="Cambria" w:hAnsi="Cambria" w:cs="Calibri Light"/>
          <w:color w:val="000000" w:themeColor="text1"/>
          <w:sz w:val="20"/>
          <w:szCs w:val="20"/>
          <w:lang w:val="es-ES"/>
        </w:rPr>
        <w:t>20</w:t>
      </w:r>
      <w:r w:rsidRPr="00961FDC">
        <w:rPr>
          <w:rFonts w:ascii="Cambria" w:hAnsi="Cambria" w:cs="Calibri Light"/>
          <w:color w:val="000000" w:themeColor="text1"/>
          <w:sz w:val="20"/>
          <w:szCs w:val="20"/>
          <w:lang w:val="es-ES"/>
        </w:rPr>
        <w:t>, la CIDH solicitó al Estado información actualizada sobre el cumplimiento</w:t>
      </w:r>
      <w:r w:rsidR="006A75ED" w:rsidRPr="00961FDC">
        <w:rPr>
          <w:rFonts w:ascii="Cambria" w:hAnsi="Cambria" w:cs="Calibri Light"/>
          <w:color w:val="000000" w:themeColor="text1"/>
          <w:sz w:val="20"/>
          <w:szCs w:val="20"/>
          <w:lang w:val="es-ES"/>
        </w:rPr>
        <w:t xml:space="preserve"> de recomendaciones</w:t>
      </w:r>
      <w:r w:rsidRPr="00961FDC">
        <w:rPr>
          <w:rFonts w:ascii="Cambria" w:hAnsi="Cambria" w:cs="Calibri Light"/>
          <w:color w:val="000000" w:themeColor="text1"/>
          <w:sz w:val="20"/>
          <w:szCs w:val="20"/>
          <w:lang w:val="es-ES"/>
        </w:rPr>
        <w:t xml:space="preserve"> el 1</w:t>
      </w:r>
      <w:r w:rsidR="00AD2FB6" w:rsidRPr="00961FDC">
        <w:rPr>
          <w:rFonts w:ascii="Cambria" w:hAnsi="Cambria" w:cs="Calibri Light"/>
          <w:color w:val="000000" w:themeColor="text1"/>
          <w:sz w:val="20"/>
          <w:szCs w:val="20"/>
          <w:lang w:val="es-ES"/>
        </w:rPr>
        <w:t>7</w:t>
      </w:r>
      <w:r w:rsidRPr="00961FDC">
        <w:rPr>
          <w:rFonts w:ascii="Cambria" w:hAnsi="Cambria" w:cs="Calibri Light"/>
          <w:color w:val="000000" w:themeColor="text1"/>
          <w:sz w:val="20"/>
          <w:szCs w:val="20"/>
          <w:lang w:val="es-ES"/>
        </w:rPr>
        <w:t xml:space="preserve"> de </w:t>
      </w:r>
      <w:r w:rsidR="002249FF" w:rsidRPr="00961FDC">
        <w:rPr>
          <w:rFonts w:ascii="Cambria" w:hAnsi="Cambria" w:cs="Calibri Light"/>
          <w:color w:val="000000" w:themeColor="text1"/>
          <w:sz w:val="20"/>
          <w:szCs w:val="20"/>
          <w:lang w:val="es-ES"/>
        </w:rPr>
        <w:t>agosto</w:t>
      </w:r>
      <w:r w:rsidRPr="00961FDC">
        <w:rPr>
          <w:rFonts w:ascii="Cambria" w:hAnsi="Cambria" w:cs="Calibri Light"/>
          <w:color w:val="000000" w:themeColor="text1"/>
          <w:sz w:val="20"/>
          <w:szCs w:val="20"/>
          <w:lang w:val="es-ES"/>
        </w:rPr>
        <w:t>.</w:t>
      </w:r>
      <w:bookmarkStart w:id="0" w:name="_Hlk57239010"/>
      <w:r w:rsidRPr="00961FDC">
        <w:rPr>
          <w:rFonts w:ascii="Cambria" w:hAnsi="Cambria" w:cs="Calibri Light"/>
          <w:color w:val="000000" w:themeColor="text1"/>
          <w:sz w:val="20"/>
          <w:szCs w:val="20"/>
          <w:lang w:val="es-ES"/>
        </w:rPr>
        <w:t xml:space="preserve"> El Estado presentó dicha información el 1</w:t>
      </w:r>
      <w:r w:rsidR="002249FF" w:rsidRPr="00961FDC">
        <w:rPr>
          <w:rFonts w:ascii="Cambria" w:hAnsi="Cambria" w:cs="Calibri Light"/>
          <w:color w:val="000000" w:themeColor="text1"/>
          <w:sz w:val="20"/>
          <w:szCs w:val="20"/>
          <w:lang w:val="es-ES"/>
        </w:rPr>
        <w:t>6</w:t>
      </w:r>
      <w:r w:rsidRPr="00961FDC">
        <w:rPr>
          <w:rFonts w:ascii="Cambria" w:hAnsi="Cambria" w:cs="Calibri Light"/>
          <w:color w:val="000000" w:themeColor="text1"/>
          <w:sz w:val="20"/>
          <w:szCs w:val="20"/>
          <w:lang w:val="es-ES"/>
        </w:rPr>
        <w:t xml:space="preserve"> de septiembre.</w:t>
      </w:r>
      <w:bookmarkEnd w:id="0"/>
    </w:p>
    <w:p w14:paraId="00458A1C" w14:textId="77777777" w:rsidR="00913973" w:rsidRPr="00961FDC" w:rsidRDefault="00913973" w:rsidP="00913973">
      <w:pPr>
        <w:ind w:left="720"/>
        <w:jc w:val="both"/>
        <w:rPr>
          <w:rFonts w:ascii="Cambria" w:hAnsi="Cambria" w:cs="Calibri Light"/>
          <w:color w:val="000000" w:themeColor="text1"/>
          <w:sz w:val="20"/>
          <w:szCs w:val="20"/>
          <w:lang w:val="es-ES"/>
        </w:rPr>
      </w:pPr>
    </w:p>
    <w:p w14:paraId="06CFF9A4" w14:textId="0E48A292" w:rsidR="00913973" w:rsidRPr="00961FDC" w:rsidRDefault="00913973" w:rsidP="00913973">
      <w:pPr>
        <w:numPr>
          <w:ilvl w:val="0"/>
          <w:numId w:val="9"/>
        </w:numPr>
        <w:jc w:val="both"/>
        <w:rPr>
          <w:rFonts w:ascii="Cambria" w:hAnsi="Cambria" w:cs="Calibri Light"/>
          <w:color w:val="000000" w:themeColor="text1"/>
          <w:sz w:val="20"/>
          <w:szCs w:val="20"/>
          <w:lang w:val="es-ES"/>
        </w:rPr>
      </w:pPr>
      <w:bookmarkStart w:id="1" w:name="_Hlk57239069"/>
      <w:r w:rsidRPr="00961FDC">
        <w:rPr>
          <w:rFonts w:ascii="Cambria" w:hAnsi="Cambria" w:cs="Calibri Light"/>
          <w:color w:val="000000" w:themeColor="text1"/>
          <w:sz w:val="20"/>
          <w:szCs w:val="20"/>
          <w:lang w:val="es-ES"/>
        </w:rPr>
        <w:lastRenderedPageBreak/>
        <w:t xml:space="preserve">La CIDH </w:t>
      </w:r>
      <w:r w:rsidRPr="00961FDC">
        <w:rPr>
          <w:rFonts w:ascii="Cambria" w:hAnsi="Cambria"/>
          <w:color w:val="000000" w:themeColor="text1"/>
          <w:sz w:val="20"/>
          <w:szCs w:val="20"/>
          <w:lang w:val="es-ES"/>
        </w:rPr>
        <w:t xml:space="preserve">solicitó información actualizada al peticionario sobre el cumplimiento </w:t>
      </w:r>
      <w:r w:rsidR="006A75ED" w:rsidRPr="00961FDC">
        <w:rPr>
          <w:rFonts w:ascii="Cambria" w:hAnsi="Cambria"/>
          <w:color w:val="000000" w:themeColor="text1"/>
          <w:sz w:val="20"/>
          <w:szCs w:val="20"/>
          <w:lang w:val="es-ES"/>
        </w:rPr>
        <w:t xml:space="preserve">de recomendaciones </w:t>
      </w:r>
      <w:r w:rsidRPr="00961FDC">
        <w:rPr>
          <w:rFonts w:ascii="Cambria" w:hAnsi="Cambria"/>
          <w:color w:val="000000" w:themeColor="text1"/>
          <w:sz w:val="20"/>
          <w:szCs w:val="20"/>
          <w:lang w:val="es-ES"/>
        </w:rPr>
        <w:t xml:space="preserve">el </w:t>
      </w:r>
      <w:r w:rsidR="002249FF" w:rsidRPr="00961FDC">
        <w:rPr>
          <w:rFonts w:ascii="Cambria" w:hAnsi="Cambria"/>
          <w:color w:val="000000" w:themeColor="text1"/>
          <w:sz w:val="20"/>
          <w:szCs w:val="20"/>
          <w:lang w:val="es-ES"/>
        </w:rPr>
        <w:t>18</w:t>
      </w:r>
      <w:r w:rsidRPr="00961FDC">
        <w:rPr>
          <w:rFonts w:ascii="Cambria" w:hAnsi="Cambria"/>
          <w:color w:val="000000" w:themeColor="text1"/>
          <w:sz w:val="20"/>
          <w:szCs w:val="20"/>
          <w:lang w:val="es-ES"/>
        </w:rPr>
        <w:t xml:space="preserve"> de </w:t>
      </w:r>
      <w:r w:rsidR="002249FF" w:rsidRPr="00961FDC">
        <w:rPr>
          <w:rFonts w:ascii="Cambria" w:hAnsi="Cambria"/>
          <w:color w:val="000000" w:themeColor="text1"/>
          <w:sz w:val="20"/>
          <w:szCs w:val="20"/>
          <w:lang w:val="es-ES"/>
        </w:rPr>
        <w:t>agosto</w:t>
      </w:r>
      <w:r w:rsidRPr="00961FDC">
        <w:rPr>
          <w:rFonts w:ascii="Cambria" w:hAnsi="Cambria"/>
          <w:color w:val="000000" w:themeColor="text1"/>
          <w:sz w:val="20"/>
          <w:szCs w:val="20"/>
          <w:lang w:val="es-ES"/>
        </w:rPr>
        <w:t xml:space="preserve"> de 20</w:t>
      </w:r>
      <w:r w:rsidR="002249FF" w:rsidRPr="00961FDC">
        <w:rPr>
          <w:rFonts w:ascii="Cambria" w:hAnsi="Cambria"/>
          <w:color w:val="000000" w:themeColor="text1"/>
          <w:sz w:val="20"/>
          <w:szCs w:val="20"/>
          <w:lang w:val="es-ES"/>
        </w:rPr>
        <w:t>20</w:t>
      </w:r>
      <w:r w:rsidRPr="00961FDC">
        <w:rPr>
          <w:rFonts w:ascii="Cambria" w:hAnsi="Cambria"/>
          <w:color w:val="000000" w:themeColor="text1"/>
          <w:sz w:val="20"/>
          <w:szCs w:val="20"/>
          <w:lang w:val="es-ES"/>
        </w:rPr>
        <w:t xml:space="preserve">. </w:t>
      </w:r>
      <w:bookmarkStart w:id="2" w:name="_Hlk57247422"/>
      <w:r w:rsidR="00B60AE9" w:rsidRPr="00961FDC">
        <w:rPr>
          <w:rFonts w:ascii="Cambria" w:hAnsi="Cambria"/>
          <w:color w:val="000000" w:themeColor="text1"/>
          <w:sz w:val="20"/>
          <w:szCs w:val="20"/>
          <w:lang w:val="es-ES"/>
        </w:rPr>
        <w:t>El peticionario presentó dicha información el 28 de agosto</w:t>
      </w:r>
      <w:r w:rsidRPr="00961FDC">
        <w:rPr>
          <w:rFonts w:ascii="Cambria" w:hAnsi="Cambria"/>
          <w:color w:val="000000" w:themeColor="text1"/>
          <w:sz w:val="20"/>
          <w:szCs w:val="20"/>
          <w:lang w:val="es-ES"/>
        </w:rPr>
        <w:t xml:space="preserve">. </w:t>
      </w:r>
    </w:p>
    <w:bookmarkEnd w:id="1"/>
    <w:bookmarkEnd w:id="2"/>
    <w:p w14:paraId="73A8B529" w14:textId="77777777" w:rsidR="00913973" w:rsidRPr="00961FDC" w:rsidRDefault="00913973" w:rsidP="00913973">
      <w:pPr>
        <w:pStyle w:val="ListParagraph"/>
        <w:jc w:val="both"/>
        <w:rPr>
          <w:rFonts w:ascii="Cambria" w:hAnsi="Cambria" w:cs="Calibri Light"/>
          <w:sz w:val="20"/>
          <w:szCs w:val="20"/>
          <w:lang w:val="es-ES"/>
        </w:rPr>
      </w:pPr>
    </w:p>
    <w:p w14:paraId="2A3AD109" w14:textId="77777777" w:rsidR="00913973" w:rsidRPr="00961FDC" w:rsidRDefault="00913973" w:rsidP="00913973">
      <w:pPr>
        <w:pStyle w:val="ListParagraph"/>
        <w:numPr>
          <w:ilvl w:val="0"/>
          <w:numId w:val="8"/>
        </w:numPr>
        <w:ind w:left="1440"/>
        <w:jc w:val="both"/>
        <w:rPr>
          <w:rFonts w:ascii="Cambria" w:hAnsi="Cambria" w:cs="Calibri Light"/>
          <w:b/>
          <w:sz w:val="20"/>
          <w:szCs w:val="20"/>
          <w:lang w:val="es-ES"/>
        </w:rPr>
      </w:pPr>
      <w:r w:rsidRPr="00961FDC">
        <w:rPr>
          <w:rFonts w:ascii="Cambria" w:hAnsi="Cambria" w:cs="Calibri Light"/>
          <w:b/>
          <w:sz w:val="20"/>
          <w:szCs w:val="20"/>
          <w:lang w:val="es-ES"/>
        </w:rPr>
        <w:t>Análisis relativo a la información proporcionada</w:t>
      </w:r>
    </w:p>
    <w:p w14:paraId="2D72073C" w14:textId="77777777" w:rsidR="00913973" w:rsidRPr="00961FDC" w:rsidRDefault="00913973" w:rsidP="00913973">
      <w:pPr>
        <w:jc w:val="both"/>
        <w:rPr>
          <w:rFonts w:ascii="Cambria" w:hAnsi="Cambria" w:cs="Calibri Light"/>
          <w:sz w:val="20"/>
          <w:szCs w:val="20"/>
          <w:lang w:val="es-ES"/>
        </w:rPr>
      </w:pPr>
    </w:p>
    <w:p w14:paraId="0A8C4EC9" w14:textId="1D0DE58E" w:rsidR="00913973" w:rsidRPr="00961FDC" w:rsidRDefault="00913973" w:rsidP="00913973">
      <w:pPr>
        <w:pStyle w:val="ListParagraph"/>
        <w:numPr>
          <w:ilvl w:val="0"/>
          <w:numId w:val="9"/>
        </w:numPr>
        <w:jc w:val="both"/>
        <w:rPr>
          <w:rFonts w:ascii="Cambria" w:hAnsi="Cambria" w:cs="Calibri Light"/>
          <w:color w:val="000000" w:themeColor="text1"/>
          <w:sz w:val="20"/>
          <w:szCs w:val="20"/>
          <w:lang w:val="es-ES"/>
        </w:rPr>
      </w:pPr>
      <w:r w:rsidRPr="00961FDC">
        <w:rPr>
          <w:rFonts w:ascii="Cambria" w:hAnsi="Cambria" w:cs="Calibri Light"/>
          <w:color w:val="000000" w:themeColor="text1"/>
          <w:sz w:val="20"/>
          <w:szCs w:val="20"/>
          <w:lang w:val="es-ES"/>
        </w:rPr>
        <w:t xml:space="preserve">La Comisión considera que la información proporcionada por </w:t>
      </w:r>
      <w:r w:rsidR="00B60AE9" w:rsidRPr="00961FDC">
        <w:rPr>
          <w:rFonts w:ascii="Cambria" w:hAnsi="Cambria" w:cs="Calibri Light"/>
          <w:color w:val="000000" w:themeColor="text1"/>
          <w:sz w:val="20"/>
          <w:szCs w:val="20"/>
          <w:lang w:val="es-ES"/>
        </w:rPr>
        <w:t>las partes</w:t>
      </w:r>
      <w:r w:rsidRPr="00961FDC">
        <w:rPr>
          <w:rFonts w:ascii="Cambria" w:hAnsi="Cambria" w:cs="Calibri Light"/>
          <w:color w:val="000000" w:themeColor="text1"/>
          <w:sz w:val="20"/>
          <w:szCs w:val="20"/>
          <w:lang w:val="es-ES"/>
        </w:rPr>
        <w:t xml:space="preserve"> en 20</w:t>
      </w:r>
      <w:r w:rsidR="002249FF" w:rsidRPr="00961FDC">
        <w:rPr>
          <w:rFonts w:ascii="Cambria" w:hAnsi="Cambria" w:cs="Calibri Light"/>
          <w:color w:val="000000" w:themeColor="text1"/>
          <w:sz w:val="20"/>
          <w:szCs w:val="20"/>
          <w:lang w:val="es-ES"/>
        </w:rPr>
        <w:t>20</w:t>
      </w:r>
      <w:r w:rsidRPr="00961FDC">
        <w:rPr>
          <w:rFonts w:ascii="Cambria" w:hAnsi="Cambria" w:cs="Calibri Light"/>
          <w:color w:val="000000" w:themeColor="text1"/>
          <w:sz w:val="20"/>
          <w:szCs w:val="20"/>
          <w:lang w:val="es-ES"/>
        </w:rPr>
        <w:t xml:space="preserve"> no es relevante</w:t>
      </w:r>
      <w:r w:rsidR="00D21357" w:rsidRPr="00961FDC">
        <w:rPr>
          <w:rFonts w:ascii="Cambria" w:hAnsi="Cambria" w:cs="Calibri Light"/>
          <w:color w:val="000000" w:themeColor="text1"/>
          <w:sz w:val="20"/>
          <w:szCs w:val="20"/>
          <w:lang w:val="es-ES"/>
        </w:rPr>
        <w:t xml:space="preserve"> para actualizar el seguimiento del caso</w:t>
      </w:r>
      <w:r w:rsidRPr="00961FDC">
        <w:rPr>
          <w:rFonts w:ascii="Cambria" w:hAnsi="Cambria" w:cs="Calibri Light"/>
          <w:color w:val="000000" w:themeColor="text1"/>
          <w:sz w:val="20"/>
          <w:szCs w:val="20"/>
          <w:lang w:val="es-ES"/>
        </w:rPr>
        <w:t>, puesto que es repetitiva de la información presentada en años anteriores y no aporta datos relativos a medidas adoptadas</w:t>
      </w:r>
      <w:r w:rsidR="00D21357" w:rsidRPr="00961FDC">
        <w:rPr>
          <w:rFonts w:ascii="Cambria" w:hAnsi="Cambria" w:cs="Calibri Light"/>
          <w:color w:val="000000" w:themeColor="text1"/>
          <w:sz w:val="20"/>
          <w:szCs w:val="20"/>
          <w:lang w:val="es-ES"/>
        </w:rPr>
        <w:t xml:space="preserve"> recientemente</w:t>
      </w:r>
      <w:r w:rsidRPr="00961FDC">
        <w:rPr>
          <w:rFonts w:ascii="Cambria" w:hAnsi="Cambria" w:cs="Calibri Light"/>
          <w:color w:val="000000" w:themeColor="text1"/>
          <w:sz w:val="20"/>
          <w:szCs w:val="20"/>
          <w:lang w:val="es-ES"/>
        </w:rPr>
        <w:t xml:space="preserve"> para cumplir con al menos una de las recomendaciones incluidas en el Informe de Fondo Nº 52/01. </w:t>
      </w:r>
    </w:p>
    <w:p w14:paraId="43B71B28" w14:textId="77777777" w:rsidR="00913973" w:rsidRPr="00961FDC" w:rsidRDefault="00913973" w:rsidP="00913973">
      <w:pPr>
        <w:pStyle w:val="ListParagraph"/>
        <w:ind w:left="0"/>
        <w:jc w:val="both"/>
        <w:rPr>
          <w:rFonts w:ascii="Cambria" w:hAnsi="Cambria" w:cs="Calibri Light"/>
          <w:color w:val="000000" w:themeColor="text1"/>
          <w:sz w:val="20"/>
          <w:szCs w:val="20"/>
          <w:lang w:val="es-ES"/>
        </w:rPr>
      </w:pPr>
    </w:p>
    <w:p w14:paraId="6299B8D4" w14:textId="6A8CB0E8" w:rsidR="00913973" w:rsidRPr="00961FDC" w:rsidRDefault="00424DE0" w:rsidP="00913973">
      <w:pPr>
        <w:pStyle w:val="ListParagraph"/>
        <w:numPr>
          <w:ilvl w:val="0"/>
          <w:numId w:val="9"/>
        </w:numPr>
        <w:jc w:val="both"/>
        <w:rPr>
          <w:rFonts w:ascii="Cambria" w:hAnsi="Cambria" w:cs="Calibri Light"/>
          <w:color w:val="000000" w:themeColor="text1"/>
          <w:sz w:val="20"/>
          <w:szCs w:val="20"/>
          <w:lang w:val="es-ES"/>
        </w:rPr>
      </w:pPr>
      <w:bookmarkStart w:id="3" w:name="_Hlk57232072"/>
      <w:bookmarkStart w:id="4" w:name="_Hlk57247496"/>
      <w:r w:rsidRPr="00961FDC">
        <w:rPr>
          <w:rFonts w:ascii="Cambria" w:hAnsi="Cambria" w:cs="Calibri Light"/>
          <w:color w:val="000000" w:themeColor="text1"/>
          <w:sz w:val="20"/>
          <w:szCs w:val="20"/>
          <w:lang w:val="es-ES"/>
        </w:rPr>
        <w:t>En este sentido, la parte peticionaria</w:t>
      </w:r>
      <w:r w:rsidR="00913973" w:rsidRPr="00961FDC">
        <w:rPr>
          <w:rFonts w:ascii="Cambria" w:hAnsi="Cambria" w:cs="Calibri Light"/>
          <w:color w:val="000000" w:themeColor="text1"/>
          <w:sz w:val="20"/>
          <w:szCs w:val="20"/>
          <w:lang w:val="es-ES"/>
        </w:rPr>
        <w:t xml:space="preserve"> presentó </w:t>
      </w:r>
      <w:r w:rsidR="008A3BA8" w:rsidRPr="00961FDC">
        <w:rPr>
          <w:rFonts w:ascii="Cambria" w:hAnsi="Cambria" w:cs="Calibri Light"/>
          <w:color w:val="000000" w:themeColor="text1"/>
          <w:sz w:val="20"/>
          <w:szCs w:val="20"/>
          <w:lang w:val="es-ES"/>
        </w:rPr>
        <w:t>información en la que precisó que,</w:t>
      </w:r>
      <w:r w:rsidR="00B60AE9" w:rsidRPr="00961FDC">
        <w:rPr>
          <w:rFonts w:ascii="Cambria" w:hAnsi="Cambria" w:cs="Calibri Light"/>
          <w:color w:val="000000" w:themeColor="text1"/>
          <w:sz w:val="20"/>
          <w:szCs w:val="20"/>
          <w:lang w:val="es-ES"/>
        </w:rPr>
        <w:t xml:space="preserve"> a la fecha</w:t>
      </w:r>
      <w:r w:rsidR="008A3BA8" w:rsidRPr="00961FDC">
        <w:rPr>
          <w:rFonts w:ascii="Cambria" w:hAnsi="Cambria" w:cs="Calibri Light"/>
          <w:color w:val="000000" w:themeColor="text1"/>
          <w:sz w:val="20"/>
          <w:szCs w:val="20"/>
          <w:lang w:val="es-ES"/>
        </w:rPr>
        <w:t>,</w:t>
      </w:r>
      <w:r w:rsidR="00B60AE9" w:rsidRPr="00961FDC">
        <w:rPr>
          <w:rFonts w:ascii="Cambria" w:hAnsi="Cambria" w:cs="Calibri Light"/>
          <w:color w:val="000000" w:themeColor="text1"/>
          <w:sz w:val="20"/>
          <w:szCs w:val="20"/>
          <w:lang w:val="es-ES"/>
        </w:rPr>
        <w:t xml:space="preserve"> no han existido avances </w:t>
      </w:r>
      <w:r w:rsidR="00D21357" w:rsidRPr="00961FDC">
        <w:rPr>
          <w:rFonts w:ascii="Cambria" w:hAnsi="Cambria" w:cs="Calibri Light"/>
          <w:color w:val="000000" w:themeColor="text1"/>
          <w:sz w:val="20"/>
          <w:szCs w:val="20"/>
          <w:lang w:val="es-ES"/>
        </w:rPr>
        <w:t xml:space="preserve">por parte del Estado </w:t>
      </w:r>
      <w:r w:rsidR="00B60AE9" w:rsidRPr="00961FDC">
        <w:rPr>
          <w:rFonts w:ascii="Cambria" w:hAnsi="Cambria" w:cs="Calibri Light"/>
          <w:color w:val="000000" w:themeColor="text1"/>
          <w:sz w:val="20"/>
          <w:szCs w:val="20"/>
          <w:lang w:val="es-ES"/>
        </w:rPr>
        <w:t>en el cumplimiento de dichas recomendaciones.</w:t>
      </w:r>
    </w:p>
    <w:bookmarkEnd w:id="3"/>
    <w:p w14:paraId="3E547B0D" w14:textId="77777777" w:rsidR="00913973" w:rsidRPr="00961FDC" w:rsidRDefault="00913973" w:rsidP="00913973">
      <w:pPr>
        <w:pStyle w:val="ListParagraph"/>
        <w:rPr>
          <w:rFonts w:ascii="Cambria" w:hAnsi="Cambria" w:cs="Calibri Light"/>
          <w:color w:val="000000" w:themeColor="text1"/>
          <w:sz w:val="20"/>
          <w:szCs w:val="20"/>
          <w:lang w:val="es-ES"/>
        </w:rPr>
      </w:pPr>
    </w:p>
    <w:p w14:paraId="4A0179FD" w14:textId="5E5C12B8" w:rsidR="00913973" w:rsidRPr="00961FDC" w:rsidRDefault="00424DE0" w:rsidP="00913973">
      <w:pPr>
        <w:pStyle w:val="ListParagraph"/>
        <w:numPr>
          <w:ilvl w:val="0"/>
          <w:numId w:val="9"/>
        </w:numPr>
        <w:jc w:val="both"/>
        <w:rPr>
          <w:rFonts w:ascii="Cambria" w:hAnsi="Cambria" w:cs="Calibri Light"/>
          <w:color w:val="000000" w:themeColor="text1"/>
          <w:sz w:val="20"/>
          <w:szCs w:val="20"/>
          <w:lang w:val="es-ES"/>
        </w:rPr>
      </w:pPr>
      <w:bookmarkStart w:id="5" w:name="_Hlk57232159"/>
      <w:r w:rsidRPr="00961FDC">
        <w:rPr>
          <w:rFonts w:ascii="Cambria" w:hAnsi="Cambria" w:cs="Calibri Light"/>
          <w:color w:val="000000" w:themeColor="text1"/>
          <w:sz w:val="20"/>
          <w:szCs w:val="20"/>
          <w:lang w:val="es-ES_tradnl"/>
        </w:rPr>
        <w:t>Por ende, a</w:t>
      </w:r>
      <w:r w:rsidR="00913973" w:rsidRPr="00961FDC">
        <w:rPr>
          <w:rFonts w:ascii="Cambria" w:hAnsi="Cambria" w:cs="Calibri Light"/>
          <w:color w:val="000000" w:themeColor="text1"/>
          <w:sz w:val="20"/>
          <w:szCs w:val="20"/>
          <w:lang w:val="es-ES_tradnl"/>
        </w:rPr>
        <w:t>nte la ausencia de información actualizada sobre el nivel de cumplimiento de las recomendaciones, la CIDH reitera el análisis del cumplimiento y las conclusiones realizadas en su Informe Anual 201</w:t>
      </w:r>
      <w:r w:rsidR="00624EA0" w:rsidRPr="00961FDC">
        <w:rPr>
          <w:rFonts w:ascii="Cambria" w:hAnsi="Cambria" w:cs="Calibri Light"/>
          <w:color w:val="000000" w:themeColor="text1"/>
          <w:sz w:val="20"/>
          <w:szCs w:val="20"/>
          <w:lang w:val="es-ES_tradnl"/>
        </w:rPr>
        <w:t>9</w:t>
      </w:r>
      <w:r w:rsidR="00913973" w:rsidRPr="00961FDC">
        <w:rPr>
          <w:rFonts w:ascii="Cambria" w:hAnsi="Cambria" w:cs="Calibri Light"/>
          <w:color w:val="000000" w:themeColor="text1"/>
          <w:sz w:val="20"/>
          <w:szCs w:val="20"/>
          <w:lang w:val="es-ES_tradnl"/>
        </w:rPr>
        <w:t>.</w:t>
      </w:r>
    </w:p>
    <w:bookmarkEnd w:id="4"/>
    <w:bookmarkEnd w:id="5"/>
    <w:p w14:paraId="35B1B7B3" w14:textId="77777777" w:rsidR="00913973" w:rsidRPr="00961FDC" w:rsidRDefault="00913973" w:rsidP="00913973">
      <w:pPr>
        <w:jc w:val="both"/>
        <w:rPr>
          <w:rFonts w:ascii="Cambria" w:hAnsi="Cambria" w:cs="Calibri Light"/>
          <w:sz w:val="20"/>
          <w:szCs w:val="20"/>
          <w:lang w:val="es-ES"/>
        </w:rPr>
      </w:pPr>
    </w:p>
    <w:p w14:paraId="7DE1313B" w14:textId="77777777" w:rsidR="00913973" w:rsidRPr="00961FDC" w:rsidRDefault="00913973" w:rsidP="00913973">
      <w:pPr>
        <w:pStyle w:val="ListParagraph"/>
        <w:numPr>
          <w:ilvl w:val="0"/>
          <w:numId w:val="8"/>
        </w:numPr>
        <w:ind w:left="1440"/>
        <w:jc w:val="both"/>
        <w:rPr>
          <w:rFonts w:ascii="Cambria" w:hAnsi="Cambria" w:cs="Calibri Light"/>
          <w:b/>
          <w:sz w:val="20"/>
          <w:szCs w:val="20"/>
          <w:lang w:val="es-ES"/>
        </w:rPr>
      </w:pPr>
      <w:r w:rsidRPr="00961FDC">
        <w:rPr>
          <w:rFonts w:ascii="Cambria" w:hAnsi="Cambria" w:cs="Calibri Light"/>
          <w:b/>
          <w:sz w:val="20"/>
          <w:szCs w:val="20"/>
          <w:lang w:val="es-ES"/>
        </w:rPr>
        <w:t xml:space="preserve">Análisis del cumplimiento de las recomendaciones </w:t>
      </w:r>
    </w:p>
    <w:p w14:paraId="432A9128" w14:textId="77777777" w:rsidR="00913973" w:rsidRPr="00961FDC" w:rsidRDefault="00913973" w:rsidP="00913973">
      <w:pPr>
        <w:pStyle w:val="ListParagraph"/>
        <w:rPr>
          <w:rFonts w:ascii="Cambria" w:hAnsi="Cambria"/>
          <w:sz w:val="20"/>
          <w:szCs w:val="20"/>
          <w:lang w:val="es-ES"/>
        </w:rPr>
      </w:pPr>
    </w:p>
    <w:p w14:paraId="530F7496" w14:textId="77777777" w:rsidR="00913973" w:rsidRPr="00961FDC" w:rsidRDefault="00913973" w:rsidP="00913973">
      <w:pPr>
        <w:pStyle w:val="ListParagraph"/>
        <w:numPr>
          <w:ilvl w:val="0"/>
          <w:numId w:val="9"/>
        </w:numPr>
        <w:jc w:val="both"/>
        <w:rPr>
          <w:rFonts w:ascii="Cambria" w:hAnsi="Cambria"/>
          <w:sz w:val="20"/>
          <w:szCs w:val="20"/>
          <w:lang w:val="es-ES"/>
        </w:rPr>
      </w:pPr>
      <w:r w:rsidRPr="00961FDC">
        <w:rPr>
          <w:rFonts w:ascii="Cambria" w:hAnsi="Cambria"/>
          <w:b/>
          <w:sz w:val="20"/>
          <w:szCs w:val="20"/>
          <w:lang w:val="es-ES"/>
        </w:rPr>
        <w:t xml:space="preserve">En relación con la primera recomendación, </w:t>
      </w:r>
      <w:r w:rsidRPr="00961FDC">
        <w:rPr>
          <w:rFonts w:ascii="Cambria" w:hAnsi="Cambria"/>
          <w:sz w:val="20"/>
          <w:szCs w:val="20"/>
          <w:lang w:val="es-ES"/>
        </w:rPr>
        <w:t>el Estado reportó que el señor Juan Raúl Garza fue ejecutado el 19 de junio de 2001 en Indiana, Estados Unidos.</w:t>
      </w:r>
      <w:r w:rsidRPr="00961FDC">
        <w:rPr>
          <w:rStyle w:val="FootnoteReference"/>
          <w:rFonts w:ascii="Cambria" w:hAnsi="Cambria"/>
          <w:sz w:val="20"/>
          <w:szCs w:val="20"/>
          <w:lang w:val="es-ES"/>
        </w:rPr>
        <w:footnoteReference w:id="2"/>
      </w:r>
      <w:r w:rsidRPr="00961FDC">
        <w:rPr>
          <w:rFonts w:ascii="Cambria" w:hAnsi="Cambria"/>
          <w:sz w:val="20"/>
          <w:szCs w:val="20"/>
          <w:lang w:val="es-ES"/>
        </w:rPr>
        <w:t xml:space="preserve"> </w:t>
      </w:r>
    </w:p>
    <w:p w14:paraId="12F87C28" w14:textId="77777777" w:rsidR="00913973" w:rsidRPr="00961FDC" w:rsidRDefault="00913973" w:rsidP="00913973">
      <w:pPr>
        <w:pStyle w:val="ListParagraph"/>
        <w:jc w:val="both"/>
        <w:rPr>
          <w:rFonts w:ascii="Cambria" w:hAnsi="Cambria"/>
          <w:sz w:val="20"/>
          <w:szCs w:val="20"/>
          <w:lang w:val="es-ES"/>
        </w:rPr>
      </w:pPr>
    </w:p>
    <w:p w14:paraId="61BFBFF4" w14:textId="77777777" w:rsidR="00913973" w:rsidRPr="00961FDC" w:rsidRDefault="00913973" w:rsidP="00913973">
      <w:pPr>
        <w:pStyle w:val="ListParagraph"/>
        <w:numPr>
          <w:ilvl w:val="0"/>
          <w:numId w:val="9"/>
        </w:numPr>
        <w:jc w:val="both"/>
        <w:rPr>
          <w:rFonts w:ascii="Cambria" w:hAnsi="Cambria"/>
          <w:sz w:val="20"/>
          <w:szCs w:val="20"/>
          <w:lang w:val="es-ES"/>
        </w:rPr>
      </w:pPr>
      <w:r w:rsidRPr="00961FDC">
        <w:rPr>
          <w:rFonts w:ascii="Cambria" w:hAnsi="Cambria"/>
          <w:sz w:val="20"/>
          <w:szCs w:val="20"/>
          <w:lang w:val="es-ES"/>
        </w:rPr>
        <w:t>En 2018, el peticionario</w:t>
      </w:r>
      <w:r w:rsidRPr="00961FDC">
        <w:rPr>
          <w:rFonts w:ascii="Cambria" w:hAnsi="Cambria" w:cs="Calibri Light"/>
          <w:sz w:val="20"/>
          <w:szCs w:val="20"/>
          <w:lang w:val="es-ES"/>
        </w:rPr>
        <w:t xml:space="preserve"> informó que no se habían otorgado reparaciones en este caso</w:t>
      </w:r>
      <w:r w:rsidRPr="00961FDC">
        <w:rPr>
          <w:rFonts w:ascii="Cambria" w:hAnsi="Cambria"/>
          <w:sz w:val="20"/>
          <w:szCs w:val="20"/>
          <w:lang w:val="es-ES"/>
        </w:rPr>
        <w:t xml:space="preserve">. </w:t>
      </w:r>
    </w:p>
    <w:p w14:paraId="1433E10A" w14:textId="77777777" w:rsidR="00913973" w:rsidRPr="00961FDC" w:rsidRDefault="00913973" w:rsidP="00913973">
      <w:pPr>
        <w:pStyle w:val="ListParagraph"/>
        <w:rPr>
          <w:rFonts w:ascii="Cambria" w:hAnsi="Cambria" w:cs="Calibri Light"/>
          <w:sz w:val="20"/>
          <w:szCs w:val="20"/>
          <w:lang w:val="es-ES"/>
        </w:rPr>
      </w:pPr>
    </w:p>
    <w:p w14:paraId="254CF79A" w14:textId="77777777" w:rsidR="00913973" w:rsidRPr="00961FDC" w:rsidRDefault="00913973" w:rsidP="00913973">
      <w:pPr>
        <w:pStyle w:val="ListParagraph"/>
        <w:numPr>
          <w:ilvl w:val="0"/>
          <w:numId w:val="9"/>
        </w:numPr>
        <w:jc w:val="both"/>
        <w:rPr>
          <w:rFonts w:ascii="Cambria" w:hAnsi="Cambria"/>
          <w:color w:val="FF0000"/>
          <w:sz w:val="20"/>
          <w:szCs w:val="20"/>
          <w:lang w:val="es-ES"/>
        </w:rPr>
      </w:pPr>
      <w:r w:rsidRPr="00961FDC">
        <w:rPr>
          <w:rFonts w:ascii="Cambria" w:hAnsi="Cambria" w:cs="Calibri Light"/>
          <w:sz w:val="20"/>
          <w:szCs w:val="20"/>
          <w:lang w:val="es-ES"/>
        </w:rPr>
        <w:t xml:space="preserve">La Comisión reitera su condena respecto a la ejecución judicial de Juan Raúl Garza, la cual tuvo lugar el 19 de junio de 2001 en Indiana (Estados Unidos) en contravención de sus derechos fundamentales y de las recomendaciones formuladas por la Comisión en el Informe de Fondo No. 52/01, y de su solicitud de medidas cautelares. La CIDH lamenta que Estados Unidos y el estado de Indiana no hayan cumplido esta recomendación, acto que constituye una violación de las obligaciones internacionales en materia de derechos humanos asumidas por el Estado como parte de la Organización de los Estados Americanos (OEA), según la propia Carta de la OEA e instrumentos relacionados. </w:t>
      </w:r>
      <w:r w:rsidRPr="00961FDC">
        <w:rPr>
          <w:rFonts w:ascii="Cambria" w:hAnsi="Cambria" w:cs="Calibri Light"/>
          <w:color w:val="000000" w:themeColor="text1"/>
          <w:sz w:val="20"/>
          <w:szCs w:val="20"/>
          <w:lang w:val="es-ES"/>
        </w:rPr>
        <w:t>Por lo anterior, la Comisión concluye que el Estado incumplió la Recomendación 1.</w:t>
      </w:r>
    </w:p>
    <w:p w14:paraId="14C3A6EA" w14:textId="77777777" w:rsidR="00913973" w:rsidRPr="00961FDC" w:rsidRDefault="00913973" w:rsidP="00913973">
      <w:pPr>
        <w:pStyle w:val="ListParagraph"/>
        <w:jc w:val="both"/>
        <w:rPr>
          <w:rFonts w:ascii="Cambria" w:hAnsi="Cambria"/>
          <w:sz w:val="20"/>
          <w:szCs w:val="20"/>
          <w:lang w:val="es-ES"/>
        </w:rPr>
      </w:pPr>
    </w:p>
    <w:p w14:paraId="30E71BED" w14:textId="6BDE53D9" w:rsidR="00913973" w:rsidRPr="00961FDC" w:rsidRDefault="00913973" w:rsidP="00913973">
      <w:pPr>
        <w:pStyle w:val="ListParagraph"/>
        <w:numPr>
          <w:ilvl w:val="0"/>
          <w:numId w:val="9"/>
        </w:numPr>
        <w:jc w:val="both"/>
        <w:rPr>
          <w:rFonts w:ascii="Cambria" w:hAnsi="Cambria" w:cs="Calibri Light"/>
          <w:b/>
          <w:sz w:val="20"/>
          <w:szCs w:val="20"/>
          <w:lang w:val="es-ES"/>
        </w:rPr>
      </w:pPr>
      <w:r w:rsidRPr="00961FDC">
        <w:rPr>
          <w:rFonts w:ascii="Cambria" w:hAnsi="Cambria"/>
          <w:b/>
          <w:sz w:val="20"/>
          <w:szCs w:val="20"/>
          <w:lang w:val="es-ES"/>
        </w:rPr>
        <w:t xml:space="preserve">En relación con la segunda recomendación, </w:t>
      </w:r>
      <w:r w:rsidRPr="00961FDC">
        <w:rPr>
          <w:rFonts w:ascii="Cambria" w:hAnsi="Cambria"/>
          <w:sz w:val="20"/>
          <w:szCs w:val="20"/>
          <w:lang w:val="es-ES"/>
        </w:rPr>
        <w:t>e</w:t>
      </w:r>
      <w:r w:rsidRPr="00961FDC">
        <w:rPr>
          <w:rFonts w:ascii="Cambria" w:hAnsi="Cambria" w:cs="Calibri Light"/>
          <w:sz w:val="20"/>
          <w:szCs w:val="20"/>
          <w:lang w:val="es-ES"/>
        </w:rPr>
        <w:t>n 2005, el Estado indicó que no compartía y rechazaba las recomendaciones de la Comisión.</w:t>
      </w:r>
      <w:r w:rsidRPr="00961FDC">
        <w:rPr>
          <w:rStyle w:val="FootnoteReference"/>
          <w:rFonts w:ascii="Cambria" w:hAnsi="Cambria" w:cs="Calibri Light"/>
          <w:sz w:val="20"/>
          <w:szCs w:val="20"/>
          <w:lang w:val="es-ES"/>
        </w:rPr>
        <w:footnoteReference w:id="3"/>
      </w:r>
      <w:r w:rsidRPr="00961FDC">
        <w:rPr>
          <w:rFonts w:ascii="Cambria" w:hAnsi="Cambria" w:cs="Calibri Light"/>
          <w:sz w:val="20"/>
          <w:szCs w:val="20"/>
          <w:lang w:val="es-ES"/>
        </w:rPr>
        <w:t xml:space="preserve"> </w:t>
      </w:r>
      <w:r w:rsidRPr="00961FDC">
        <w:rPr>
          <w:rFonts w:ascii="Cambria" w:hAnsi="Cambria" w:cs="Calibri Light"/>
          <w:color w:val="000000" w:themeColor="text1"/>
          <w:sz w:val="20"/>
          <w:szCs w:val="20"/>
          <w:lang w:val="es-ES"/>
        </w:rPr>
        <w:t>En 20</w:t>
      </w:r>
      <w:r w:rsidR="002249FF" w:rsidRPr="00961FDC">
        <w:rPr>
          <w:rFonts w:ascii="Cambria" w:hAnsi="Cambria" w:cs="Calibri Light"/>
          <w:color w:val="000000" w:themeColor="text1"/>
          <w:sz w:val="20"/>
          <w:szCs w:val="20"/>
          <w:lang w:val="es-ES"/>
        </w:rPr>
        <w:t>20</w:t>
      </w:r>
      <w:r w:rsidRPr="00961FDC">
        <w:rPr>
          <w:rFonts w:ascii="Cambria" w:hAnsi="Cambria" w:cs="Calibri Light"/>
          <w:color w:val="000000" w:themeColor="text1"/>
          <w:sz w:val="20"/>
          <w:szCs w:val="20"/>
          <w:lang w:val="es-ES"/>
        </w:rPr>
        <w:t>, el Estado reiteró su posición sin presentar nueva información sobre acciones tomadas para dar cumplimiento a esta recomendación.</w:t>
      </w:r>
    </w:p>
    <w:p w14:paraId="2D27206D" w14:textId="77777777" w:rsidR="00913973" w:rsidRPr="00961FDC" w:rsidRDefault="00913973" w:rsidP="00913973">
      <w:pPr>
        <w:pStyle w:val="ListParagraph"/>
        <w:rPr>
          <w:rFonts w:ascii="Cambria" w:hAnsi="Cambria" w:cs="Calibri Light"/>
          <w:sz w:val="20"/>
          <w:szCs w:val="20"/>
          <w:lang w:val="es-ES"/>
        </w:rPr>
      </w:pPr>
    </w:p>
    <w:p w14:paraId="5113BA75" w14:textId="77777777" w:rsidR="00913973" w:rsidRPr="00961FDC" w:rsidRDefault="00913973" w:rsidP="00913973">
      <w:pPr>
        <w:pStyle w:val="ListParagraph"/>
        <w:numPr>
          <w:ilvl w:val="0"/>
          <w:numId w:val="9"/>
        </w:numPr>
        <w:jc w:val="both"/>
        <w:rPr>
          <w:rFonts w:ascii="Cambria" w:hAnsi="Cambria"/>
          <w:sz w:val="20"/>
          <w:szCs w:val="20"/>
          <w:lang w:val="es-ES"/>
        </w:rPr>
      </w:pPr>
      <w:r w:rsidRPr="00961FDC">
        <w:rPr>
          <w:rFonts w:ascii="Cambria" w:hAnsi="Cambria" w:cs="Calibri Light"/>
          <w:sz w:val="20"/>
          <w:szCs w:val="20"/>
          <w:lang w:val="es-ES"/>
        </w:rPr>
        <w:t>La Comisión observa con preocupación la posición del Estado sobre el desacuerdo y rechazo a las recomendaciones formuladas. Al respecto, l</w:t>
      </w:r>
      <w:r w:rsidRPr="00961FDC">
        <w:rPr>
          <w:rFonts w:ascii="Cambria" w:hAnsi="Cambria"/>
          <w:sz w:val="20"/>
          <w:szCs w:val="20"/>
          <w:lang w:val="es-ES"/>
        </w:rPr>
        <w:t>a CIDH recuerda que la Declaración Americana es reconocida como fuente de obligaciones jurídicas para los Estados Miembros de la OEA, en particular los Estados que no son partes de la Convención Americana sobre Derechos Humanos</w:t>
      </w:r>
      <w:r w:rsidRPr="00961FDC">
        <w:rPr>
          <w:rStyle w:val="FootnoteReference"/>
          <w:rFonts w:ascii="Cambria" w:hAnsi="Cambria"/>
          <w:sz w:val="20"/>
          <w:szCs w:val="20"/>
          <w:lang w:val="es-ES"/>
        </w:rPr>
        <w:footnoteReference w:id="4"/>
      </w:r>
      <w:r w:rsidRPr="00961FDC">
        <w:rPr>
          <w:rFonts w:ascii="Cambria" w:hAnsi="Cambria"/>
          <w:sz w:val="20"/>
          <w:szCs w:val="20"/>
          <w:lang w:val="es-ES"/>
        </w:rPr>
        <w:t>. De conformidad con el artículo 31(1) de la Convención de Viena sobre el Derecho de los Tratados, los Estados Miembros deben realizar un esfuerzo de buena fe para cumplir las recomendaciones de órganos supervisores tales como la Comisión Interamericana</w:t>
      </w:r>
      <w:r w:rsidRPr="00961FDC">
        <w:rPr>
          <w:rStyle w:val="FootnoteReference"/>
          <w:rFonts w:ascii="Cambria" w:hAnsi="Cambria"/>
          <w:sz w:val="20"/>
          <w:szCs w:val="20"/>
          <w:lang w:val="es-ES"/>
        </w:rPr>
        <w:footnoteReference w:id="5"/>
      </w:r>
      <w:r w:rsidRPr="00961FDC">
        <w:rPr>
          <w:rFonts w:ascii="Cambria" w:hAnsi="Cambria"/>
          <w:sz w:val="20"/>
          <w:szCs w:val="20"/>
          <w:lang w:val="es-ES"/>
        </w:rPr>
        <w:t xml:space="preserve">. </w:t>
      </w:r>
      <w:r w:rsidRPr="00961FDC">
        <w:rPr>
          <w:rFonts w:ascii="Cambria" w:hAnsi="Cambria"/>
          <w:color w:val="000000" w:themeColor="text1"/>
          <w:sz w:val="20"/>
          <w:szCs w:val="20"/>
          <w:lang w:val="es-ES"/>
        </w:rPr>
        <w:t xml:space="preserve">Por lo anterior, la Comisión concluye que la Recomendación 2 está pendiente de cumplimiento. </w:t>
      </w:r>
    </w:p>
    <w:p w14:paraId="7CE4F191" w14:textId="77777777" w:rsidR="00913973" w:rsidRPr="00961FDC" w:rsidRDefault="00913973" w:rsidP="00913973">
      <w:pPr>
        <w:pStyle w:val="ListParagraph"/>
        <w:jc w:val="both"/>
        <w:rPr>
          <w:rFonts w:ascii="Cambria" w:hAnsi="Cambria"/>
          <w:sz w:val="20"/>
          <w:szCs w:val="20"/>
          <w:lang w:val="es-ES"/>
        </w:rPr>
      </w:pPr>
    </w:p>
    <w:p w14:paraId="76144A6C" w14:textId="77777777" w:rsidR="00913973" w:rsidRPr="00961FDC" w:rsidRDefault="00913973" w:rsidP="00913973">
      <w:pPr>
        <w:pStyle w:val="ListParagraph"/>
        <w:numPr>
          <w:ilvl w:val="0"/>
          <w:numId w:val="8"/>
        </w:numPr>
        <w:ind w:left="1440"/>
        <w:jc w:val="both"/>
        <w:rPr>
          <w:rFonts w:ascii="Cambria" w:hAnsi="Cambria" w:cs="Calibri Light"/>
          <w:b/>
          <w:sz w:val="20"/>
          <w:szCs w:val="20"/>
          <w:lang w:val="es-ES"/>
        </w:rPr>
      </w:pPr>
      <w:r w:rsidRPr="00961FDC">
        <w:rPr>
          <w:rFonts w:ascii="Cambria" w:hAnsi="Cambria" w:cs="Calibri Light"/>
          <w:b/>
          <w:sz w:val="20"/>
          <w:szCs w:val="20"/>
          <w:lang w:val="es-ES"/>
        </w:rPr>
        <w:lastRenderedPageBreak/>
        <w:t>Nivel de cumplimiento del caso</w:t>
      </w:r>
    </w:p>
    <w:p w14:paraId="03781018" w14:textId="77777777" w:rsidR="00913973" w:rsidRPr="00961FDC" w:rsidRDefault="00913973" w:rsidP="00913973">
      <w:pPr>
        <w:jc w:val="both"/>
        <w:rPr>
          <w:rFonts w:ascii="Cambria" w:hAnsi="Cambria" w:cs="Calibri Light"/>
          <w:sz w:val="20"/>
          <w:szCs w:val="20"/>
          <w:lang w:val="es-ES"/>
        </w:rPr>
      </w:pPr>
    </w:p>
    <w:p w14:paraId="300E09C3" w14:textId="77777777" w:rsidR="00913973" w:rsidRPr="00961FDC" w:rsidRDefault="00913973" w:rsidP="00913973">
      <w:pPr>
        <w:pStyle w:val="ListParagraph"/>
        <w:ind w:left="0" w:firstLine="708"/>
        <w:jc w:val="both"/>
        <w:rPr>
          <w:rFonts w:ascii="Cambria" w:hAnsi="Cambria" w:cs="Calibri Light"/>
          <w:sz w:val="20"/>
          <w:szCs w:val="20"/>
          <w:lang w:val="es-ES"/>
        </w:rPr>
      </w:pPr>
      <w:r w:rsidRPr="00961FDC">
        <w:rPr>
          <w:rFonts w:ascii="Cambria" w:hAnsi="Cambria" w:cs="Calibri Light"/>
          <w:sz w:val="20"/>
          <w:szCs w:val="20"/>
          <w:lang w:val="es-ES"/>
        </w:rPr>
        <w:t xml:space="preserve">12. </w:t>
      </w:r>
      <w:r w:rsidRPr="00961FDC">
        <w:rPr>
          <w:rFonts w:ascii="Cambria" w:hAnsi="Cambria" w:cs="Calibri Light"/>
          <w:sz w:val="20"/>
          <w:szCs w:val="20"/>
          <w:lang w:val="es-ES"/>
        </w:rPr>
        <w:tab/>
        <w:t>En virtud de lo anterior, la Comisión concluye que el nivel de cumplimiento del caso es pendiente de cumplimiento. En consecuencia, la Comisión continuará supervisando el cumplimiento de la Recomendación 2.</w:t>
      </w:r>
    </w:p>
    <w:p w14:paraId="25995BA7" w14:textId="77777777" w:rsidR="00913973" w:rsidRPr="00961FDC" w:rsidRDefault="00913973" w:rsidP="00913973">
      <w:pPr>
        <w:jc w:val="both"/>
        <w:rPr>
          <w:rFonts w:ascii="Cambria" w:hAnsi="Cambria" w:cs="Calibri Light"/>
          <w:sz w:val="20"/>
          <w:szCs w:val="20"/>
          <w:lang w:val="es-ES"/>
        </w:rPr>
      </w:pPr>
    </w:p>
    <w:p w14:paraId="075DD908" w14:textId="77777777" w:rsidR="00913973" w:rsidRPr="00961FDC" w:rsidRDefault="00913973" w:rsidP="00913973">
      <w:pPr>
        <w:pStyle w:val="ListParagraph"/>
        <w:numPr>
          <w:ilvl w:val="0"/>
          <w:numId w:val="8"/>
        </w:numPr>
        <w:rPr>
          <w:rFonts w:ascii="Cambria" w:hAnsi="Cambria"/>
          <w:b/>
          <w:sz w:val="20"/>
          <w:szCs w:val="20"/>
          <w:lang w:val="es-ES"/>
        </w:rPr>
      </w:pPr>
      <w:r w:rsidRPr="00961FDC">
        <w:rPr>
          <w:rFonts w:ascii="Cambria" w:hAnsi="Cambria"/>
          <w:b/>
          <w:sz w:val="20"/>
          <w:szCs w:val="20"/>
          <w:lang w:val="es-ES"/>
        </w:rPr>
        <w:t xml:space="preserve">Resultados individuales y estructurales del caso </w:t>
      </w:r>
    </w:p>
    <w:p w14:paraId="365BC6B2" w14:textId="77777777" w:rsidR="00913973" w:rsidRPr="00961FDC" w:rsidRDefault="00913973" w:rsidP="00913973">
      <w:pPr>
        <w:jc w:val="both"/>
        <w:rPr>
          <w:rFonts w:ascii="Cambria" w:hAnsi="Cambria"/>
          <w:b/>
          <w:sz w:val="20"/>
          <w:szCs w:val="20"/>
          <w:lang w:val="es-ES"/>
        </w:rPr>
      </w:pPr>
    </w:p>
    <w:p w14:paraId="79E27CBE" w14:textId="77777777" w:rsidR="00913973" w:rsidRPr="002B489D" w:rsidRDefault="00913973" w:rsidP="00913973">
      <w:pPr>
        <w:pStyle w:val="ListParagraph"/>
        <w:ind w:left="0"/>
        <w:jc w:val="both"/>
        <w:rPr>
          <w:rFonts w:ascii="Cambria" w:hAnsi="Cambria"/>
          <w:sz w:val="20"/>
          <w:szCs w:val="20"/>
          <w:lang w:val="es-ES"/>
        </w:rPr>
      </w:pPr>
      <w:r w:rsidRPr="00961FDC">
        <w:rPr>
          <w:rFonts w:ascii="Cambria" w:hAnsi="Cambria"/>
          <w:sz w:val="20"/>
          <w:szCs w:val="20"/>
          <w:lang w:val="es-ES"/>
        </w:rPr>
        <w:t xml:space="preserve"> </w:t>
      </w:r>
      <w:r w:rsidRPr="00961FDC">
        <w:rPr>
          <w:rFonts w:ascii="Cambria" w:hAnsi="Cambria"/>
          <w:sz w:val="20"/>
          <w:szCs w:val="20"/>
          <w:lang w:val="es-ES"/>
        </w:rPr>
        <w:tab/>
        <w:t xml:space="preserve">13. </w:t>
      </w:r>
      <w:r w:rsidRPr="00961FDC">
        <w:rPr>
          <w:rFonts w:ascii="Cambria" w:hAnsi="Cambria"/>
          <w:sz w:val="20"/>
          <w:szCs w:val="20"/>
          <w:lang w:val="es-ES"/>
        </w:rPr>
        <w:tab/>
        <w:t>Dado que el caso sigue pendiente de cumplimiento, no existen resultados individuales o estructurales informados por las partes.</w:t>
      </w:r>
      <w:bookmarkStart w:id="6" w:name="_GoBack"/>
      <w:bookmarkEnd w:id="6"/>
    </w:p>
    <w:sectPr w:rsidR="00913973" w:rsidRPr="002B489D"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36C00" w14:textId="77777777" w:rsidR="00B6154C" w:rsidRDefault="00B6154C" w:rsidP="00672733">
      <w:r>
        <w:separator/>
      </w:r>
    </w:p>
  </w:endnote>
  <w:endnote w:type="continuationSeparator" w:id="0">
    <w:p w14:paraId="2BCFACBC" w14:textId="77777777" w:rsidR="00B6154C" w:rsidRDefault="00B6154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64F95E75"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61FDC">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5DB4" w14:textId="77777777" w:rsidR="00B6154C" w:rsidRDefault="00B6154C" w:rsidP="00672733">
      <w:r>
        <w:separator/>
      </w:r>
    </w:p>
  </w:footnote>
  <w:footnote w:type="continuationSeparator" w:id="0">
    <w:p w14:paraId="1D1BCB2B" w14:textId="77777777" w:rsidR="00B6154C" w:rsidRDefault="00B6154C" w:rsidP="00672733">
      <w:r>
        <w:continuationSeparator/>
      </w:r>
    </w:p>
  </w:footnote>
  <w:footnote w:id="1">
    <w:p w14:paraId="0FE8884A" w14:textId="77777777" w:rsidR="00913973" w:rsidRPr="00913973" w:rsidRDefault="00913973" w:rsidP="00913973">
      <w:pPr>
        <w:pStyle w:val="FootnoteText"/>
        <w:spacing w:after="120"/>
        <w:ind w:firstLine="706"/>
        <w:jc w:val="both"/>
        <w:rPr>
          <w:rFonts w:ascii="Cambria" w:hAnsi="Cambria"/>
          <w:sz w:val="16"/>
          <w:szCs w:val="16"/>
          <w:lang w:val="es-CO"/>
        </w:rPr>
      </w:pPr>
      <w:r w:rsidRPr="00695BA2">
        <w:rPr>
          <w:rStyle w:val="FootnoteReference"/>
          <w:rFonts w:ascii="Cambria" w:hAnsi="Cambria"/>
          <w:sz w:val="16"/>
          <w:szCs w:val="16"/>
        </w:rPr>
        <w:footnoteRef/>
      </w:r>
      <w:r w:rsidRPr="00695BA2">
        <w:rPr>
          <w:rFonts w:ascii="Cambria" w:hAnsi="Cambria"/>
          <w:sz w:val="16"/>
          <w:szCs w:val="16"/>
          <w:lang w:val="es-US"/>
        </w:rPr>
        <w:t xml:space="preserve"> CIDH, Comunicado de prensa </w:t>
      </w:r>
      <w:r>
        <w:rPr>
          <w:rFonts w:ascii="Cambria" w:hAnsi="Cambria"/>
          <w:sz w:val="16"/>
          <w:szCs w:val="16"/>
          <w:lang w:val="es-US"/>
        </w:rPr>
        <w:t xml:space="preserve">Nº </w:t>
      </w:r>
      <w:r w:rsidRPr="00695BA2">
        <w:rPr>
          <w:rFonts w:ascii="Cambria" w:hAnsi="Cambria"/>
          <w:sz w:val="16"/>
          <w:szCs w:val="16"/>
          <w:lang w:val="es-US"/>
        </w:rPr>
        <w:t xml:space="preserve">11/01 - </w:t>
      </w:r>
      <w:hyperlink r:id="rId1" w:history="1">
        <w:r w:rsidRPr="00695BA2">
          <w:rPr>
            <w:rStyle w:val="Hyperlink"/>
            <w:rFonts w:ascii="Cambria" w:hAnsi="Cambria"/>
            <w:sz w:val="16"/>
            <w:szCs w:val="16"/>
            <w:lang w:val="es-US"/>
          </w:rPr>
          <w:t>CIDH insta a los Estados Unidos a suspender la ejecución del condenado a muerte federal Juan Raúl Garza.</w:t>
        </w:r>
      </w:hyperlink>
      <w:r w:rsidRPr="00695BA2">
        <w:rPr>
          <w:rFonts w:ascii="Cambria" w:hAnsi="Cambria"/>
          <w:sz w:val="16"/>
          <w:szCs w:val="16"/>
          <w:lang w:val="es-US"/>
        </w:rPr>
        <w:t xml:space="preserve"> </w:t>
      </w:r>
      <w:r w:rsidRPr="00913973">
        <w:rPr>
          <w:rFonts w:ascii="Cambria" w:hAnsi="Cambria"/>
          <w:sz w:val="16"/>
          <w:szCs w:val="16"/>
          <w:lang w:val="es-CO"/>
        </w:rPr>
        <w:t xml:space="preserve">Washington DC, 15 de junio de 2001. </w:t>
      </w:r>
    </w:p>
  </w:footnote>
  <w:footnote w:id="2">
    <w:p w14:paraId="66C1480D" w14:textId="77777777" w:rsidR="00913973" w:rsidRPr="001A04E4" w:rsidRDefault="00913973" w:rsidP="00913973">
      <w:pPr>
        <w:pStyle w:val="FootnoteText"/>
        <w:spacing w:after="120"/>
        <w:ind w:firstLine="706"/>
        <w:jc w:val="both"/>
        <w:rPr>
          <w:rFonts w:ascii="Cambria" w:hAnsi="Cambria"/>
          <w:sz w:val="16"/>
          <w:szCs w:val="16"/>
          <w:lang w:val="es-US"/>
        </w:rPr>
      </w:pPr>
      <w:r w:rsidRPr="001A04E4">
        <w:rPr>
          <w:rStyle w:val="FootnoteReference"/>
          <w:rFonts w:ascii="Cambria" w:hAnsi="Cambria"/>
          <w:sz w:val="16"/>
          <w:szCs w:val="16"/>
        </w:rPr>
        <w:footnoteRef/>
      </w:r>
      <w:r w:rsidRPr="001A04E4">
        <w:rPr>
          <w:rFonts w:ascii="Cambria" w:hAnsi="Cambria"/>
          <w:sz w:val="16"/>
          <w:szCs w:val="16"/>
          <w:lang w:val="es-US"/>
        </w:rPr>
        <w:t xml:space="preserve"> CIDH, Informe Anual 2017, </w:t>
      </w:r>
      <w:hyperlink r:id="rId2" w:history="1">
        <w:r w:rsidRPr="001A04E4">
          <w:rPr>
            <w:rStyle w:val="Hyperlink"/>
            <w:rFonts w:ascii="Cambria" w:hAnsi="Cambria"/>
            <w:sz w:val="16"/>
            <w:szCs w:val="16"/>
            <w:lang w:val="es-US"/>
          </w:rPr>
          <w:t xml:space="preserve">Capítulo III. </w:t>
        </w:r>
        <w:r w:rsidRPr="001A04E4">
          <w:rPr>
            <w:rStyle w:val="Hyperlink"/>
            <w:rFonts w:ascii="Cambria" w:hAnsi="Cambria"/>
            <w:sz w:val="16"/>
            <w:szCs w:val="16"/>
            <w:lang w:val="es-MX"/>
          </w:rPr>
          <w:t>F. Estado</w:t>
        </w:r>
        <w:r w:rsidRPr="001A04E4">
          <w:rPr>
            <w:rStyle w:val="Hyperlink"/>
            <w:rFonts w:ascii="Cambria" w:hAnsi="Cambria"/>
            <w:sz w:val="16"/>
            <w:szCs w:val="16"/>
            <w:lang w:val="es-US"/>
          </w:rPr>
          <w:t xml:space="preserve"> del cumplimiento de las recomendaciones</w:t>
        </w:r>
        <w:r w:rsidRPr="001A04E4">
          <w:rPr>
            <w:rStyle w:val="Hyperlink"/>
            <w:rFonts w:ascii="Cambria" w:hAnsi="Cambria"/>
            <w:sz w:val="16"/>
            <w:szCs w:val="16"/>
            <w:lang w:val="es-MX"/>
          </w:rPr>
          <w:t>,</w:t>
        </w:r>
      </w:hyperlink>
      <w:r w:rsidRPr="001A04E4">
        <w:rPr>
          <w:rFonts w:ascii="Cambria" w:hAnsi="Cambria"/>
          <w:sz w:val="16"/>
          <w:szCs w:val="16"/>
          <w:lang w:val="es-MX"/>
        </w:rPr>
        <w:t xml:space="preserve"> párr. 1164.</w:t>
      </w:r>
    </w:p>
  </w:footnote>
  <w:footnote w:id="3">
    <w:p w14:paraId="1FF5FB28" w14:textId="77777777" w:rsidR="00913973" w:rsidRPr="001A04E4" w:rsidRDefault="00913973" w:rsidP="00913973">
      <w:pPr>
        <w:pStyle w:val="FootnoteText"/>
        <w:spacing w:after="120"/>
        <w:ind w:firstLine="706"/>
        <w:jc w:val="both"/>
        <w:rPr>
          <w:rFonts w:ascii="Cambria" w:hAnsi="Cambria"/>
          <w:sz w:val="16"/>
          <w:szCs w:val="16"/>
          <w:lang w:val="es-US"/>
        </w:rPr>
      </w:pPr>
      <w:r w:rsidRPr="001A04E4">
        <w:rPr>
          <w:rStyle w:val="FootnoteReference"/>
          <w:rFonts w:ascii="Cambria" w:hAnsi="Cambria"/>
          <w:sz w:val="16"/>
          <w:szCs w:val="16"/>
        </w:rPr>
        <w:footnoteRef/>
      </w:r>
      <w:r w:rsidRPr="001A04E4">
        <w:rPr>
          <w:rFonts w:ascii="Cambria" w:hAnsi="Cambria"/>
          <w:sz w:val="16"/>
          <w:szCs w:val="16"/>
          <w:lang w:val="es-US"/>
        </w:rPr>
        <w:t xml:space="preserve"> CIDH, Informe Anual 2015, </w:t>
      </w:r>
      <w:hyperlink r:id="rId3" w:history="1">
        <w:r w:rsidRPr="001A04E4">
          <w:rPr>
            <w:rStyle w:val="Hyperlink"/>
            <w:rFonts w:ascii="Cambria" w:hAnsi="Cambria"/>
            <w:sz w:val="16"/>
            <w:szCs w:val="16"/>
            <w:lang w:val="es-US"/>
          </w:rPr>
          <w:t xml:space="preserve">Capítulo III. </w:t>
        </w:r>
        <w:r w:rsidRPr="001A04E4">
          <w:rPr>
            <w:rStyle w:val="Hyperlink"/>
            <w:rFonts w:ascii="Cambria" w:hAnsi="Cambria"/>
            <w:sz w:val="16"/>
            <w:szCs w:val="16"/>
            <w:lang w:val="es-MX"/>
          </w:rPr>
          <w:t>D. Estado</w:t>
        </w:r>
        <w:r w:rsidRPr="001A04E4">
          <w:rPr>
            <w:rStyle w:val="Hyperlink"/>
            <w:rFonts w:ascii="Cambria" w:hAnsi="Cambria"/>
            <w:sz w:val="16"/>
            <w:szCs w:val="16"/>
            <w:lang w:val="es-US"/>
          </w:rPr>
          <w:t xml:space="preserve"> del cumplimiento de las recomendaciones</w:t>
        </w:r>
        <w:r w:rsidRPr="001A04E4">
          <w:rPr>
            <w:rStyle w:val="Hyperlink"/>
            <w:rFonts w:ascii="Cambria" w:hAnsi="Cambria"/>
            <w:sz w:val="16"/>
            <w:szCs w:val="16"/>
            <w:lang w:val="es-MX"/>
          </w:rPr>
          <w:t>,</w:t>
        </w:r>
      </w:hyperlink>
      <w:r w:rsidRPr="001A04E4">
        <w:rPr>
          <w:rFonts w:ascii="Cambria" w:hAnsi="Cambria"/>
          <w:sz w:val="16"/>
          <w:szCs w:val="16"/>
          <w:lang w:val="es-MX"/>
        </w:rPr>
        <w:t xml:space="preserve"> párr. 182.</w:t>
      </w:r>
    </w:p>
  </w:footnote>
  <w:footnote w:id="4">
    <w:p w14:paraId="3AB0FE9B" w14:textId="77777777" w:rsidR="00913973" w:rsidRPr="007862F6" w:rsidRDefault="00913973" w:rsidP="00913973">
      <w:pPr>
        <w:pStyle w:val="FootnoteText"/>
        <w:spacing w:after="120"/>
        <w:ind w:firstLine="706"/>
        <w:jc w:val="both"/>
        <w:rPr>
          <w:rFonts w:ascii="Cambria" w:hAnsi="Cambria"/>
          <w:sz w:val="16"/>
          <w:szCs w:val="16"/>
          <w:lang w:val="es-ES"/>
        </w:rPr>
      </w:pPr>
      <w:r w:rsidRPr="001A04E4">
        <w:rPr>
          <w:rStyle w:val="FootnoteReference"/>
          <w:rFonts w:ascii="Cambria" w:hAnsi="Cambria"/>
          <w:sz w:val="16"/>
          <w:szCs w:val="16"/>
          <w:lang w:val="es-ES"/>
        </w:rPr>
        <w:footnoteRef/>
      </w:r>
      <w:r w:rsidRPr="001A04E4">
        <w:rPr>
          <w:rFonts w:ascii="Cambria" w:hAnsi="Cambria"/>
          <w:sz w:val="16"/>
          <w:szCs w:val="16"/>
          <w:lang w:val="es-ES"/>
        </w:rPr>
        <w:t xml:space="preserve"> Corte IDH. </w:t>
      </w:r>
      <w:hyperlink r:id="rId4" w:history="1">
        <w:r w:rsidRPr="001A04E4">
          <w:rPr>
            <w:rStyle w:val="Hyperlink"/>
            <w:rFonts w:ascii="Cambria" w:hAnsi="Cambria"/>
            <w:sz w:val="16"/>
            <w:szCs w:val="16"/>
            <w:lang w:val="es-ES"/>
          </w:rPr>
          <w:t>Opinión Consultiva OC-10/89. Interpretación de la Declaración Americana de los Derechos y Deberes del Hombre en el marco del artículo 64 de la Convención Americana sobre Derechos Humanos</w:t>
        </w:r>
      </w:hyperlink>
      <w:r w:rsidRPr="001A04E4">
        <w:rPr>
          <w:rFonts w:ascii="Cambria" w:hAnsi="Cambria"/>
          <w:sz w:val="16"/>
          <w:szCs w:val="16"/>
          <w:lang w:val="es-ES"/>
        </w:rPr>
        <w:t>, 14 de julio de 1989, Ser. A No. 10 (1989), párrs. 35 a 45.</w:t>
      </w:r>
    </w:p>
  </w:footnote>
  <w:footnote w:id="5">
    <w:p w14:paraId="33244851" w14:textId="77777777" w:rsidR="00913973" w:rsidRPr="008A3BA8" w:rsidRDefault="00913973" w:rsidP="00913973">
      <w:pPr>
        <w:pStyle w:val="FootnoteText"/>
        <w:spacing w:after="120"/>
        <w:ind w:firstLine="706"/>
        <w:jc w:val="both"/>
        <w:rPr>
          <w:rFonts w:ascii="Cambria" w:hAnsi="Cambria"/>
          <w:sz w:val="16"/>
          <w:szCs w:val="16"/>
          <w:lang w:val="es-ES"/>
        </w:rPr>
      </w:pPr>
      <w:r w:rsidRPr="007862F6">
        <w:rPr>
          <w:rStyle w:val="FootnoteReference"/>
          <w:rFonts w:ascii="Cambria" w:hAnsi="Cambria"/>
          <w:sz w:val="16"/>
          <w:szCs w:val="16"/>
          <w:lang w:val="es-ES"/>
        </w:rPr>
        <w:footnoteRef/>
      </w:r>
      <w:r w:rsidRPr="007862F6">
        <w:rPr>
          <w:rFonts w:ascii="Cambria" w:hAnsi="Cambria"/>
          <w:sz w:val="16"/>
          <w:szCs w:val="16"/>
          <w:lang w:val="es-ES"/>
        </w:rPr>
        <w:t xml:space="preserve"> CIDH, </w:t>
      </w:r>
      <w:hyperlink r:id="rId5" w:history="1">
        <w:r w:rsidRPr="007862F6">
          <w:rPr>
            <w:rStyle w:val="Hyperlink"/>
            <w:rFonts w:ascii="Cambria" w:hAnsi="Cambria"/>
            <w:sz w:val="16"/>
            <w:szCs w:val="16"/>
            <w:lang w:val="es-ES"/>
          </w:rPr>
          <w:t>Caso 12.873, Informe de Fondo No. 44/14, Edgar Tamayo Arias</w:t>
        </w:r>
      </w:hyperlink>
      <w:r w:rsidRPr="007862F6">
        <w:rPr>
          <w:rStyle w:val="Hyperlink"/>
          <w:rFonts w:ascii="Cambria" w:hAnsi="Cambria"/>
          <w:sz w:val="16"/>
          <w:szCs w:val="16"/>
          <w:lang w:val="es-ES"/>
        </w:rPr>
        <w:t xml:space="preserve"> (Estados Unidos)</w:t>
      </w:r>
      <w:r w:rsidRPr="007862F6">
        <w:rPr>
          <w:rFonts w:ascii="Cambria" w:hAnsi="Cambria"/>
          <w:sz w:val="16"/>
          <w:szCs w:val="16"/>
          <w:lang w:val="es-ES"/>
        </w:rPr>
        <w:t xml:space="preserve">, párr. 214; CIDH, </w:t>
      </w:r>
      <w:hyperlink r:id="rId6" w:history="1">
        <w:r w:rsidRPr="007862F6">
          <w:rPr>
            <w:rStyle w:val="Hyperlink"/>
            <w:rFonts w:ascii="Cambria" w:hAnsi="Cambria"/>
            <w:sz w:val="16"/>
            <w:szCs w:val="16"/>
            <w:lang w:val="es-ES"/>
          </w:rPr>
          <w:t>Caso 12.626, Informe No. 80/11, Jessica Lenahan (Gonzales) y otros (Estados Unidos)</w:t>
        </w:r>
      </w:hyperlink>
      <w:r w:rsidRPr="007862F6">
        <w:rPr>
          <w:rFonts w:ascii="Cambria" w:hAnsi="Cambria"/>
          <w:sz w:val="16"/>
          <w:szCs w:val="16"/>
          <w:lang w:val="es-ES"/>
        </w:rPr>
        <w:t xml:space="preserve">, párrs. 115 a 120; CIDH, </w:t>
      </w:r>
      <w:hyperlink r:id="rId7" w:history="1">
        <w:r w:rsidRPr="007862F6">
          <w:rPr>
            <w:rStyle w:val="Hyperlink"/>
            <w:rFonts w:ascii="Cambria" w:hAnsi="Cambria"/>
            <w:sz w:val="16"/>
            <w:szCs w:val="16"/>
            <w:lang w:val="es-ES"/>
          </w:rPr>
          <w:t>Hacia el cierre de Guantánamo</w:t>
        </w:r>
      </w:hyperlink>
      <w:r w:rsidRPr="007862F6">
        <w:rPr>
          <w:rFonts w:ascii="Cambria" w:hAnsi="Cambria"/>
          <w:sz w:val="16"/>
          <w:szCs w:val="16"/>
          <w:lang w:val="es-ES"/>
        </w:rPr>
        <w:t xml:space="preserve">, 2015, párrs. 16 a 23; CIDH, </w:t>
      </w:r>
      <w:hyperlink r:id="rId8" w:history="1">
        <w:r w:rsidRPr="007862F6">
          <w:rPr>
            <w:rStyle w:val="Hyperlink"/>
            <w:rFonts w:ascii="Cambria" w:hAnsi="Cambria"/>
            <w:sz w:val="16"/>
            <w:szCs w:val="16"/>
            <w:lang w:val="es-ES"/>
          </w:rPr>
          <w:t>Caso 12.586, Informe No. 78/11, John Doe y otros (Canadá)</w:t>
        </w:r>
      </w:hyperlink>
      <w:r w:rsidRPr="007862F6">
        <w:rPr>
          <w:rFonts w:ascii="Cambria" w:hAnsi="Cambria"/>
          <w:sz w:val="16"/>
          <w:szCs w:val="16"/>
          <w:lang w:val="es-ES"/>
        </w:rPr>
        <w:t xml:space="preserve">, párr. </w:t>
      </w:r>
      <w:r w:rsidRPr="008A3BA8">
        <w:rPr>
          <w:rFonts w:ascii="Cambria" w:hAnsi="Cambria"/>
          <w:sz w:val="16"/>
          <w:szCs w:val="16"/>
          <w:lang w:val="es-ES"/>
        </w:rPr>
        <w:t>129.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4"/>
  </w:num>
  <w:num w:numId="2">
    <w:abstractNumId w:val="8"/>
  </w:num>
  <w:num w:numId="3">
    <w:abstractNumId w:val="7"/>
  </w:num>
  <w:num w:numId="4">
    <w:abstractNumId w:val="2"/>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0457B"/>
    <w:rsid w:val="00045E5E"/>
    <w:rsid w:val="000B5E1D"/>
    <w:rsid w:val="000C5C4A"/>
    <w:rsid w:val="001305C3"/>
    <w:rsid w:val="002249FF"/>
    <w:rsid w:val="00322720"/>
    <w:rsid w:val="00424DE0"/>
    <w:rsid w:val="00435834"/>
    <w:rsid w:val="00453115"/>
    <w:rsid w:val="0048723C"/>
    <w:rsid w:val="00566CD0"/>
    <w:rsid w:val="00624EA0"/>
    <w:rsid w:val="00637ED3"/>
    <w:rsid w:val="006638E5"/>
    <w:rsid w:val="00672733"/>
    <w:rsid w:val="006A75ED"/>
    <w:rsid w:val="006B1F24"/>
    <w:rsid w:val="00750246"/>
    <w:rsid w:val="008463D3"/>
    <w:rsid w:val="00871803"/>
    <w:rsid w:val="008818B0"/>
    <w:rsid w:val="008A3BA8"/>
    <w:rsid w:val="00913973"/>
    <w:rsid w:val="00961FDC"/>
    <w:rsid w:val="00A31E02"/>
    <w:rsid w:val="00AD2FB6"/>
    <w:rsid w:val="00B60AE9"/>
    <w:rsid w:val="00B6154C"/>
    <w:rsid w:val="00BB0D06"/>
    <w:rsid w:val="00C3520F"/>
    <w:rsid w:val="00D21357"/>
    <w:rsid w:val="00D56DC4"/>
    <w:rsid w:val="00E042FE"/>
    <w:rsid w:val="00E516AB"/>
    <w:rsid w:val="00E9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913973"/>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AD2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B6"/>
    <w:rPr>
      <w:rFonts w:ascii="Segoe UI" w:hAnsi="Segoe UI" w:cs="Segoe UI"/>
      <w:sz w:val="18"/>
      <w:szCs w:val="18"/>
    </w:rPr>
  </w:style>
  <w:style w:type="character" w:styleId="CommentReference">
    <w:name w:val="annotation reference"/>
    <w:basedOn w:val="DefaultParagraphFont"/>
    <w:uiPriority w:val="99"/>
    <w:semiHidden/>
    <w:unhideWhenUsed/>
    <w:rsid w:val="00D21357"/>
    <w:rPr>
      <w:sz w:val="16"/>
      <w:szCs w:val="16"/>
    </w:rPr>
  </w:style>
  <w:style w:type="paragraph" w:styleId="CommentText">
    <w:name w:val="annotation text"/>
    <w:basedOn w:val="Normal"/>
    <w:link w:val="CommentTextChar"/>
    <w:uiPriority w:val="99"/>
    <w:semiHidden/>
    <w:unhideWhenUsed/>
    <w:rsid w:val="00D21357"/>
    <w:rPr>
      <w:sz w:val="20"/>
      <w:szCs w:val="20"/>
    </w:rPr>
  </w:style>
  <w:style w:type="character" w:customStyle="1" w:styleId="CommentTextChar">
    <w:name w:val="Comment Text Char"/>
    <w:basedOn w:val="DefaultParagraphFont"/>
    <w:link w:val="CommentText"/>
    <w:uiPriority w:val="99"/>
    <w:semiHidden/>
    <w:rsid w:val="00D21357"/>
    <w:rPr>
      <w:sz w:val="20"/>
      <w:szCs w:val="20"/>
    </w:rPr>
  </w:style>
  <w:style w:type="paragraph" w:styleId="CommentSubject">
    <w:name w:val="annotation subject"/>
    <w:basedOn w:val="CommentText"/>
    <w:next w:val="CommentText"/>
    <w:link w:val="CommentSubjectChar"/>
    <w:uiPriority w:val="99"/>
    <w:semiHidden/>
    <w:unhideWhenUsed/>
    <w:rsid w:val="00D21357"/>
    <w:rPr>
      <w:b/>
      <w:bCs/>
    </w:rPr>
  </w:style>
  <w:style w:type="character" w:customStyle="1" w:styleId="CommentSubjectChar">
    <w:name w:val="Comment Subject Char"/>
    <w:basedOn w:val="CommentTextChar"/>
    <w:link w:val="CommentSubject"/>
    <w:uiPriority w:val="99"/>
    <w:semiHidden/>
    <w:rsid w:val="00D21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EEUU12.24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0.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decisiones/2011/CAPU12586ES.doc" TargetMode="External"/><Relationship Id="rId3" Type="http://schemas.openxmlformats.org/officeDocument/2006/relationships/hyperlink" Target="http://www.cidh.oas.org/annualrep/2005sp/cap.3e.htm" TargetMode="External"/><Relationship Id="rId7" Type="http://schemas.openxmlformats.org/officeDocument/2006/relationships/hyperlink" Target="http://www.oas.org/es/cidh/multimedia/guantanamo/guantanamo.html" TargetMode="External"/><Relationship Id="rId2" Type="http://schemas.openxmlformats.org/officeDocument/2006/relationships/hyperlink" Target="http://www.oas.org/es/cidh/docs/anual/2017/docs/IA2017cap.2-es.docx" TargetMode="External"/><Relationship Id="rId1" Type="http://schemas.openxmlformats.org/officeDocument/2006/relationships/hyperlink" Target="http://www.cidh.org/Comunicados/Spanish/2001/11-01.htm" TargetMode="External"/><Relationship Id="rId6" Type="http://schemas.openxmlformats.org/officeDocument/2006/relationships/hyperlink" Target="https://www.oas.org/es/cidh/decisiones/2011/uspu12626es.doc" TargetMode="External"/><Relationship Id="rId5" Type="http://schemas.openxmlformats.org/officeDocument/2006/relationships/hyperlink" Target="http://www.oas.org/es/cidh/decisiones/2014/uspu12873es.pdf" TargetMode="External"/><Relationship Id="rId4" Type="http://schemas.openxmlformats.org/officeDocument/2006/relationships/hyperlink" Target="https://www.acnur.org/fileadmin/Documentos/BDL/2002/126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19BA-EBF5-4459-81AF-C434CE80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4</cp:revision>
  <dcterms:created xsi:type="dcterms:W3CDTF">2021-01-04T17:30:00Z</dcterms:created>
  <dcterms:modified xsi:type="dcterms:W3CDTF">2021-03-25T22:21:00Z</dcterms:modified>
</cp:coreProperties>
</file>