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6CCFB" w14:textId="77777777" w:rsidR="00436B34" w:rsidRPr="0073755E" w:rsidRDefault="00436B34" w:rsidP="00436B34">
      <w:pPr>
        <w:pStyle w:val="NoSpacing"/>
        <w:jc w:val="center"/>
        <w:rPr>
          <w:rFonts w:ascii="Cambria" w:hAnsi="Cambria"/>
          <w:b/>
          <w:sz w:val="20"/>
          <w:szCs w:val="20"/>
          <w:lang w:val="es-ES"/>
        </w:rPr>
      </w:pPr>
      <w:r w:rsidRPr="0073755E">
        <w:rPr>
          <w:rFonts w:ascii="Cambria" w:hAnsi="Cambria"/>
          <w:b/>
          <w:sz w:val="20"/>
          <w:szCs w:val="20"/>
          <w:lang w:val="es-ES"/>
        </w:rPr>
        <w:t>FICHA DE SEGUIMIENTO DEL INFORME Nº 61/01</w:t>
      </w:r>
    </w:p>
    <w:p w14:paraId="7C12A587" w14:textId="77777777" w:rsidR="00436B34" w:rsidRPr="0073755E" w:rsidRDefault="00436B34" w:rsidP="00436B34">
      <w:pPr>
        <w:pStyle w:val="NoSpacing"/>
        <w:jc w:val="center"/>
        <w:rPr>
          <w:rFonts w:ascii="Cambria" w:hAnsi="Cambria"/>
          <w:b/>
          <w:sz w:val="20"/>
          <w:szCs w:val="20"/>
          <w:lang w:val="es-ES"/>
        </w:rPr>
      </w:pPr>
      <w:r w:rsidRPr="0073755E">
        <w:rPr>
          <w:rFonts w:ascii="Cambria" w:hAnsi="Cambria"/>
          <w:b/>
          <w:sz w:val="20"/>
          <w:szCs w:val="20"/>
          <w:lang w:val="es-ES"/>
        </w:rPr>
        <w:t>CASO 11.771</w:t>
      </w:r>
    </w:p>
    <w:p w14:paraId="72651EE8" w14:textId="77777777" w:rsidR="00436B34" w:rsidRPr="0073755E" w:rsidRDefault="00436B34" w:rsidP="00436B34">
      <w:pPr>
        <w:pStyle w:val="NoSpacing"/>
        <w:jc w:val="center"/>
        <w:rPr>
          <w:rFonts w:ascii="Cambria" w:hAnsi="Cambria"/>
          <w:b/>
          <w:sz w:val="20"/>
          <w:szCs w:val="20"/>
          <w:lang w:val="es-ES"/>
        </w:rPr>
      </w:pPr>
      <w:r w:rsidRPr="0073755E">
        <w:rPr>
          <w:rFonts w:ascii="Cambria" w:hAnsi="Cambria"/>
          <w:b/>
          <w:sz w:val="20"/>
          <w:szCs w:val="20"/>
          <w:lang w:val="es-ES"/>
        </w:rPr>
        <w:t>SAMUEL ALFONSO CATALÁN LINCOLEO</w:t>
      </w:r>
    </w:p>
    <w:p w14:paraId="2C5F95A8" w14:textId="77777777" w:rsidR="00436B34" w:rsidRPr="0073755E" w:rsidRDefault="00436B34" w:rsidP="00436B34">
      <w:pPr>
        <w:pStyle w:val="NoSpacing"/>
        <w:jc w:val="center"/>
        <w:rPr>
          <w:rFonts w:ascii="Cambria" w:hAnsi="Cambria"/>
          <w:b/>
          <w:sz w:val="20"/>
          <w:szCs w:val="20"/>
          <w:lang w:val="es-ES"/>
        </w:rPr>
      </w:pPr>
      <w:r w:rsidRPr="0073755E">
        <w:rPr>
          <w:rFonts w:ascii="Cambria" w:hAnsi="Cambria"/>
          <w:b/>
          <w:sz w:val="20"/>
          <w:szCs w:val="20"/>
          <w:lang w:val="es-ES"/>
        </w:rPr>
        <w:t>(Chile)</w:t>
      </w:r>
    </w:p>
    <w:p w14:paraId="69FD0CBE" w14:textId="77777777" w:rsidR="00436B34" w:rsidRPr="0073755E" w:rsidRDefault="00436B34" w:rsidP="00436B34">
      <w:pPr>
        <w:ind w:left="-450" w:right="-450"/>
        <w:jc w:val="center"/>
        <w:rPr>
          <w:rFonts w:ascii="Cambria" w:hAnsi="Cambria"/>
          <w:sz w:val="20"/>
          <w:szCs w:val="20"/>
          <w:lang w:val="es-ES"/>
        </w:rPr>
      </w:pPr>
    </w:p>
    <w:p w14:paraId="2BDED680" w14:textId="77777777" w:rsidR="00436B34" w:rsidRPr="0073755E" w:rsidRDefault="00436B34" w:rsidP="00436B34">
      <w:pPr>
        <w:numPr>
          <w:ilvl w:val="0"/>
          <w:numId w:val="8"/>
        </w:numPr>
        <w:ind w:left="1440"/>
        <w:rPr>
          <w:rFonts w:ascii="Cambria" w:hAnsi="Cambria" w:cs="Calibri Light"/>
          <w:b/>
          <w:sz w:val="20"/>
          <w:szCs w:val="20"/>
          <w:lang w:val="es-US"/>
        </w:rPr>
      </w:pPr>
      <w:r w:rsidRPr="0073755E">
        <w:rPr>
          <w:rFonts w:ascii="Cambria" w:hAnsi="Cambria" w:cs="Calibri Light"/>
          <w:b/>
          <w:sz w:val="20"/>
          <w:szCs w:val="20"/>
          <w:lang w:val="es-US"/>
        </w:rPr>
        <w:t xml:space="preserve">Resumen del caso </w:t>
      </w:r>
    </w:p>
    <w:p w14:paraId="1ED7C18C" w14:textId="77777777" w:rsidR="00436B34" w:rsidRPr="0073755E" w:rsidRDefault="00436B34" w:rsidP="00436B34">
      <w:pPr>
        <w:ind w:left="1080"/>
        <w:rPr>
          <w:rFonts w:ascii="Cambria" w:hAnsi="Cambria" w:cs="Calibri Light"/>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436B34" w:rsidRPr="0073755E" w14:paraId="0A47B6BC" w14:textId="77777777" w:rsidTr="003F6B75">
        <w:trPr>
          <w:jc w:val="center"/>
        </w:trPr>
        <w:tc>
          <w:tcPr>
            <w:tcW w:w="9576" w:type="dxa"/>
            <w:shd w:val="clear" w:color="auto" w:fill="F2F2F2"/>
          </w:tcPr>
          <w:p w14:paraId="5628D18E" w14:textId="77777777" w:rsidR="00436B34" w:rsidRPr="0073755E" w:rsidRDefault="00436B34" w:rsidP="003F6B75">
            <w:pPr>
              <w:pStyle w:val="NoSpacing"/>
              <w:spacing w:before="120"/>
              <w:jc w:val="both"/>
              <w:rPr>
                <w:rFonts w:ascii="Cambria" w:hAnsi="Cambria"/>
                <w:sz w:val="20"/>
                <w:szCs w:val="20"/>
                <w:lang w:val="es-ES"/>
              </w:rPr>
            </w:pPr>
            <w:r w:rsidRPr="0073755E">
              <w:rPr>
                <w:rFonts w:ascii="Cambria" w:hAnsi="Cambria"/>
                <w:b/>
                <w:sz w:val="20"/>
                <w:szCs w:val="20"/>
                <w:lang w:val="es-ES"/>
              </w:rPr>
              <w:t>Víctima (s):</w:t>
            </w:r>
            <w:r w:rsidRPr="0073755E">
              <w:rPr>
                <w:rFonts w:ascii="Cambria" w:hAnsi="Cambria"/>
                <w:sz w:val="20"/>
                <w:szCs w:val="20"/>
                <w:lang w:val="es-ES"/>
              </w:rPr>
              <w:t xml:space="preserve"> Samuel Alfonso Catalán </w:t>
            </w:r>
            <w:proofErr w:type="spellStart"/>
            <w:r w:rsidRPr="0073755E">
              <w:rPr>
                <w:rFonts w:ascii="Cambria" w:hAnsi="Cambria"/>
                <w:sz w:val="20"/>
                <w:szCs w:val="20"/>
                <w:lang w:val="es-ES"/>
              </w:rPr>
              <w:t>Lincoleo</w:t>
            </w:r>
            <w:proofErr w:type="spellEnd"/>
          </w:p>
          <w:p w14:paraId="76FC092D" w14:textId="77777777" w:rsidR="00436B34" w:rsidRPr="0073755E" w:rsidRDefault="00436B34" w:rsidP="003F6B75">
            <w:pPr>
              <w:pStyle w:val="NoSpacing"/>
              <w:jc w:val="both"/>
              <w:rPr>
                <w:rFonts w:ascii="Cambria" w:hAnsi="Cambria"/>
                <w:sz w:val="20"/>
                <w:szCs w:val="20"/>
              </w:rPr>
            </w:pPr>
            <w:r w:rsidRPr="0073755E">
              <w:rPr>
                <w:rFonts w:ascii="Cambria" w:hAnsi="Cambria"/>
                <w:b/>
                <w:sz w:val="20"/>
                <w:szCs w:val="20"/>
              </w:rPr>
              <w:t>Peticionario (s):</w:t>
            </w:r>
            <w:r w:rsidRPr="0073755E">
              <w:rPr>
                <w:rFonts w:ascii="Cambria" w:hAnsi="Cambria"/>
                <w:sz w:val="20"/>
                <w:szCs w:val="20"/>
              </w:rPr>
              <w:t xml:space="preserve"> Compromiso Cristiano por los Derechos Humanos (FASIC)</w:t>
            </w:r>
          </w:p>
          <w:p w14:paraId="3DF90653" w14:textId="77777777" w:rsidR="00436B34" w:rsidRPr="0073755E" w:rsidRDefault="00436B34" w:rsidP="003F6B75">
            <w:pPr>
              <w:pStyle w:val="NoSpacing"/>
              <w:jc w:val="both"/>
              <w:rPr>
                <w:rFonts w:ascii="Cambria" w:hAnsi="Cambria"/>
                <w:sz w:val="20"/>
                <w:szCs w:val="20"/>
                <w:lang w:val="es-VE"/>
              </w:rPr>
            </w:pPr>
            <w:r w:rsidRPr="0073755E">
              <w:rPr>
                <w:rFonts w:ascii="Cambria" w:hAnsi="Cambria"/>
                <w:b/>
                <w:sz w:val="20"/>
                <w:szCs w:val="20"/>
                <w:lang w:val="es-VE"/>
              </w:rPr>
              <w:t>Estado:</w:t>
            </w:r>
            <w:r w:rsidRPr="0073755E">
              <w:rPr>
                <w:rFonts w:ascii="Cambria" w:hAnsi="Cambria"/>
                <w:sz w:val="20"/>
                <w:szCs w:val="20"/>
                <w:lang w:val="es-VE"/>
              </w:rPr>
              <w:t xml:space="preserve"> Chile</w:t>
            </w:r>
          </w:p>
          <w:p w14:paraId="1574651D" w14:textId="77777777" w:rsidR="00436B34" w:rsidRPr="0073755E" w:rsidRDefault="00436B34" w:rsidP="003F6B75">
            <w:pPr>
              <w:pStyle w:val="NoSpacing"/>
              <w:jc w:val="both"/>
              <w:rPr>
                <w:rFonts w:ascii="Cambria" w:hAnsi="Cambria"/>
                <w:sz w:val="20"/>
                <w:szCs w:val="20"/>
                <w:lang w:val="es-VE"/>
              </w:rPr>
            </w:pPr>
            <w:r w:rsidRPr="0073755E">
              <w:rPr>
                <w:rFonts w:ascii="Cambria" w:hAnsi="Cambria"/>
                <w:b/>
                <w:sz w:val="20"/>
                <w:szCs w:val="20"/>
                <w:lang w:val="es-VE"/>
              </w:rPr>
              <w:t xml:space="preserve">Informe de Fondo Nº: </w:t>
            </w:r>
            <w:hyperlink r:id="rId8" w:history="1">
              <w:r w:rsidRPr="0073755E">
                <w:rPr>
                  <w:rStyle w:val="Hyperlink"/>
                  <w:rFonts w:ascii="Cambria" w:hAnsi="Cambria"/>
                  <w:sz w:val="20"/>
                  <w:szCs w:val="20"/>
                  <w:lang w:val="es-VE"/>
                </w:rPr>
                <w:t>61/01</w:t>
              </w:r>
            </w:hyperlink>
            <w:r w:rsidRPr="0073755E">
              <w:rPr>
                <w:rFonts w:ascii="Cambria" w:hAnsi="Cambria"/>
                <w:sz w:val="20"/>
                <w:szCs w:val="20"/>
                <w:lang w:val="es-VE"/>
              </w:rPr>
              <w:t xml:space="preserve">, publicado el 16 de abril de 2001 </w:t>
            </w:r>
          </w:p>
          <w:p w14:paraId="2D57BD89" w14:textId="77777777" w:rsidR="00436B34" w:rsidRPr="0073755E" w:rsidRDefault="00436B34" w:rsidP="003F6B75">
            <w:pPr>
              <w:pStyle w:val="NoSpacing"/>
              <w:jc w:val="both"/>
              <w:rPr>
                <w:rFonts w:ascii="Cambria" w:hAnsi="Cambria"/>
                <w:sz w:val="20"/>
                <w:szCs w:val="20"/>
                <w:lang w:val="es-VE"/>
              </w:rPr>
            </w:pPr>
            <w:r w:rsidRPr="0073755E">
              <w:rPr>
                <w:rFonts w:ascii="Cambria" w:hAnsi="Cambria"/>
                <w:b/>
                <w:sz w:val="20"/>
                <w:szCs w:val="20"/>
                <w:lang w:val="es-VE"/>
              </w:rPr>
              <w:t>Informe de Admisibilidad:</w:t>
            </w:r>
            <w:r w:rsidRPr="0073755E">
              <w:rPr>
                <w:rFonts w:ascii="Cambria" w:hAnsi="Cambria"/>
                <w:sz w:val="20"/>
                <w:szCs w:val="20"/>
                <w:lang w:val="es-VE"/>
              </w:rPr>
              <w:t xml:space="preserve"> Analizado junto con el Informe de Fondo Nº 61/01</w:t>
            </w:r>
          </w:p>
          <w:p w14:paraId="1A0F0CDC" w14:textId="77777777" w:rsidR="00436B34" w:rsidRPr="0073755E" w:rsidRDefault="00436B34" w:rsidP="003F6B75">
            <w:pPr>
              <w:pStyle w:val="NoSpacing"/>
              <w:spacing w:after="120"/>
              <w:jc w:val="both"/>
              <w:rPr>
                <w:rFonts w:ascii="Cambria" w:hAnsi="Cambria"/>
                <w:sz w:val="20"/>
                <w:szCs w:val="20"/>
                <w:lang w:val="es-VE"/>
              </w:rPr>
            </w:pPr>
            <w:r w:rsidRPr="0073755E">
              <w:rPr>
                <w:rFonts w:ascii="Cambria" w:hAnsi="Cambria"/>
                <w:b/>
                <w:sz w:val="20"/>
                <w:szCs w:val="20"/>
                <w:lang w:val="es-VE"/>
              </w:rPr>
              <w:t xml:space="preserve">Temas: </w:t>
            </w:r>
            <w:r w:rsidRPr="0073755E">
              <w:rPr>
                <w:rFonts w:ascii="Cambria" w:hAnsi="Cambria"/>
                <w:sz w:val="20"/>
                <w:szCs w:val="20"/>
                <w:lang w:val="es-VE"/>
              </w:rPr>
              <w:t>Derecho a la Vida / Derecho a la Integridad Personal / Derecho a la Libertad Personal / Garantías Judiciales / Protección Judicial / Desaparición Forzada / Memoria, Verdad y Justicia / Deber de Adoptar Medidas y Disposiciones de Derecho Interno.</w:t>
            </w:r>
          </w:p>
          <w:p w14:paraId="4E6D1077" w14:textId="77777777" w:rsidR="00436B34" w:rsidRPr="0073755E" w:rsidRDefault="00436B34" w:rsidP="003F6B75">
            <w:pPr>
              <w:pStyle w:val="NoSpacing"/>
              <w:spacing w:after="120"/>
              <w:jc w:val="both"/>
              <w:rPr>
                <w:rFonts w:ascii="Cambria" w:hAnsi="Cambria"/>
                <w:b/>
                <w:sz w:val="20"/>
                <w:szCs w:val="20"/>
                <w:lang w:val="es-ES"/>
              </w:rPr>
            </w:pPr>
            <w:r w:rsidRPr="0073755E">
              <w:rPr>
                <w:rFonts w:ascii="Cambria" w:hAnsi="Cambria"/>
                <w:b/>
                <w:sz w:val="20"/>
                <w:szCs w:val="20"/>
                <w:lang w:val="es-ES"/>
              </w:rPr>
              <w:t xml:space="preserve">Hechos: </w:t>
            </w:r>
            <w:r w:rsidRPr="0073755E">
              <w:rPr>
                <w:rFonts w:ascii="Cambria" w:eastAsia="MS Mincho" w:hAnsi="Cambria" w:cs="Calibri Light"/>
                <w:sz w:val="20"/>
                <w:szCs w:val="20"/>
                <w:lang w:val="es-CO"/>
              </w:rPr>
              <w:t xml:space="preserve">El caso se refiere a la desaparición forzada de Samuel Alfonso Catalán </w:t>
            </w:r>
            <w:proofErr w:type="spellStart"/>
            <w:r w:rsidRPr="0073755E">
              <w:rPr>
                <w:rFonts w:ascii="Cambria" w:eastAsia="MS Mincho" w:hAnsi="Cambria" w:cs="Calibri Light"/>
                <w:sz w:val="20"/>
                <w:szCs w:val="20"/>
                <w:lang w:val="es-CO"/>
              </w:rPr>
              <w:t>Lincoleo</w:t>
            </w:r>
            <w:proofErr w:type="spellEnd"/>
            <w:r w:rsidRPr="0073755E">
              <w:rPr>
                <w:rFonts w:ascii="Cambria" w:eastAsia="MS Mincho" w:hAnsi="Cambria" w:cs="Calibri Light"/>
                <w:sz w:val="20"/>
                <w:szCs w:val="20"/>
                <w:lang w:val="es-CO"/>
              </w:rPr>
              <w:t>, de 29 años de edad,</w:t>
            </w:r>
            <w:r w:rsidRPr="0073755E">
              <w:rPr>
                <w:rFonts w:ascii="Cambria" w:hAnsi="Cambria"/>
                <w:sz w:val="20"/>
                <w:szCs w:val="20"/>
                <w:lang w:val="es-CO"/>
              </w:rPr>
              <w:t xml:space="preserve"> un técnico agrícola con vinculaciones al Partido Comunista</w:t>
            </w:r>
            <w:r w:rsidRPr="0073755E">
              <w:rPr>
                <w:rFonts w:ascii="Cambria" w:eastAsia="MS Mincho" w:hAnsi="Cambria" w:cs="Calibri Light"/>
                <w:sz w:val="20"/>
                <w:szCs w:val="20"/>
                <w:lang w:val="es-CO"/>
              </w:rPr>
              <w:t xml:space="preserve">, el 27 de agosto de 1974 </w:t>
            </w:r>
            <w:r w:rsidRPr="0073755E">
              <w:rPr>
                <w:rFonts w:ascii="Cambria" w:hAnsi="Cambria"/>
                <w:sz w:val="20"/>
                <w:szCs w:val="20"/>
                <w:lang w:val="es-CO"/>
              </w:rPr>
              <w:t>a las 2 de la madrugada en su domicilio en la ciudad de Lautaro, Chile</w:t>
            </w:r>
            <w:r w:rsidRPr="0073755E">
              <w:rPr>
                <w:rFonts w:ascii="Cambria" w:eastAsia="MS Mincho" w:hAnsi="Cambria" w:cs="Calibri Light"/>
                <w:sz w:val="20"/>
                <w:szCs w:val="20"/>
                <w:lang w:val="es-CO"/>
              </w:rPr>
              <w:t xml:space="preserve">. </w:t>
            </w:r>
            <w:r w:rsidRPr="0073755E">
              <w:rPr>
                <w:rFonts w:ascii="Cambria" w:hAnsi="Cambria"/>
                <w:sz w:val="20"/>
                <w:szCs w:val="20"/>
                <w:lang w:val="es-CO"/>
              </w:rPr>
              <w:t>La detención fue efectuada por integrantes de Carabineros, militares y civiles</w:t>
            </w:r>
            <w:r w:rsidRPr="0073755E">
              <w:rPr>
                <w:rFonts w:ascii="Cambria" w:eastAsia="MS Mincho" w:hAnsi="Cambria" w:cs="Calibri Light"/>
                <w:sz w:val="20"/>
                <w:szCs w:val="20"/>
                <w:lang w:val="es-CO"/>
              </w:rPr>
              <w:t xml:space="preserve">. Los familiares acudieron a la justicia chilena en 1979 denunciando los hechos, pero el trámite fue archivado en octubre de 1981 por aplicación del Decreto-Ley 2.191 de 1978, que dispuso la amnistía por las violaciones cometidas desde el golpe de Estado de septiembre de 1973. En 1992, se intentó una nueva acción judicial, que culminó en noviembre de 1995 con el sobreseimiento definitivo por aplicación del Decreto-Ley de </w:t>
            </w:r>
            <w:proofErr w:type="spellStart"/>
            <w:r w:rsidRPr="0073755E">
              <w:rPr>
                <w:rFonts w:ascii="Cambria" w:eastAsia="MS Mincho" w:hAnsi="Cambria" w:cs="Calibri Light"/>
                <w:sz w:val="20"/>
                <w:szCs w:val="20"/>
                <w:lang w:val="es-CO"/>
              </w:rPr>
              <w:t>autoamnistía</w:t>
            </w:r>
            <w:proofErr w:type="spellEnd"/>
            <w:r w:rsidRPr="0073755E">
              <w:rPr>
                <w:rFonts w:ascii="Cambria" w:eastAsia="MS Mincho" w:hAnsi="Cambria" w:cs="Calibri Light"/>
                <w:sz w:val="20"/>
                <w:szCs w:val="20"/>
                <w:lang w:val="es-CO"/>
              </w:rPr>
              <w:t xml:space="preserve"> citado. Finalmente, la Corte Suprema de Justicia de Chile decidió un recurso de casación sobre el fondo del caso con su fallo de 16 de enero de 1997, que declaró la prescripción de la acción legal. </w:t>
            </w:r>
          </w:p>
          <w:p w14:paraId="491D7614" w14:textId="77777777" w:rsidR="00436B34" w:rsidRPr="0073755E" w:rsidRDefault="00436B34" w:rsidP="003F6B75">
            <w:pPr>
              <w:pStyle w:val="NoSpacing"/>
              <w:spacing w:after="120"/>
              <w:jc w:val="both"/>
              <w:rPr>
                <w:rFonts w:ascii="Cambria" w:hAnsi="Cambria"/>
                <w:sz w:val="20"/>
                <w:szCs w:val="20"/>
                <w:lang w:val="es-ES"/>
              </w:rPr>
            </w:pPr>
            <w:r w:rsidRPr="0073755E">
              <w:rPr>
                <w:rFonts w:ascii="Cambria" w:hAnsi="Cambria"/>
                <w:b/>
                <w:sz w:val="20"/>
                <w:szCs w:val="20"/>
                <w:lang w:val="es-ES"/>
              </w:rPr>
              <w:t>Derechos violados:</w:t>
            </w:r>
            <w:r w:rsidRPr="0073755E">
              <w:rPr>
                <w:rFonts w:ascii="Cambria" w:hAnsi="Cambria"/>
                <w:sz w:val="20"/>
                <w:szCs w:val="20"/>
                <w:lang w:val="es-ES"/>
              </w:rPr>
              <w:t xml:space="preserve"> </w:t>
            </w:r>
            <w:r w:rsidRPr="0073755E">
              <w:rPr>
                <w:rFonts w:ascii="Cambria" w:eastAsia="Times New Roman" w:hAnsi="Cambria"/>
                <w:sz w:val="20"/>
                <w:szCs w:val="20"/>
                <w:lang w:val="es-AR" w:eastAsia="pt-BR"/>
              </w:rPr>
              <w:t xml:space="preserve">La Comisión concluyó </w:t>
            </w:r>
            <w:r w:rsidRPr="0073755E">
              <w:rPr>
                <w:rFonts w:ascii="Cambria" w:hAnsi="Cambria"/>
                <w:sz w:val="20"/>
                <w:szCs w:val="20"/>
                <w:lang w:val="es-CO"/>
              </w:rPr>
              <w:t xml:space="preserve">que el Estado chileno violó, respecto a Samuel Alfonso Catalán </w:t>
            </w:r>
            <w:proofErr w:type="spellStart"/>
            <w:r w:rsidRPr="0073755E">
              <w:rPr>
                <w:rFonts w:ascii="Cambria" w:hAnsi="Cambria"/>
                <w:sz w:val="20"/>
                <w:szCs w:val="20"/>
                <w:lang w:val="es-CO"/>
              </w:rPr>
              <w:t>Lincoleo</w:t>
            </w:r>
            <w:proofErr w:type="spellEnd"/>
            <w:r w:rsidRPr="0073755E">
              <w:rPr>
                <w:rFonts w:ascii="Cambria" w:hAnsi="Cambria"/>
                <w:sz w:val="20"/>
                <w:szCs w:val="20"/>
                <w:lang w:val="es-CO"/>
              </w:rPr>
              <w:t xml:space="preserve">, los derechos a la libertad personal, a la vida, y a la seguridad personal, consagrados en el artículo I de la Declaración Americana y en los artículos 4, 5 y 7 de la Convención Americana. Igualmente, la CIDH concluyó que el Estado chileno violó en perjuicio de los familiares del señor </w:t>
            </w:r>
            <w:proofErr w:type="gramStart"/>
            <w:r w:rsidRPr="0073755E">
              <w:rPr>
                <w:rFonts w:ascii="Cambria" w:hAnsi="Cambria"/>
                <w:sz w:val="20"/>
                <w:szCs w:val="20"/>
                <w:lang w:val="es-CO"/>
              </w:rPr>
              <w:t>Catalán</w:t>
            </w:r>
            <w:proofErr w:type="gramEnd"/>
            <w:r w:rsidRPr="0073755E">
              <w:rPr>
                <w:rFonts w:ascii="Cambria" w:hAnsi="Cambria"/>
                <w:sz w:val="20"/>
                <w:szCs w:val="20"/>
                <w:lang w:val="es-CO"/>
              </w:rPr>
              <w:t xml:space="preserve"> </w:t>
            </w:r>
            <w:proofErr w:type="spellStart"/>
            <w:r w:rsidRPr="0073755E">
              <w:rPr>
                <w:rFonts w:ascii="Cambria" w:hAnsi="Cambria"/>
                <w:sz w:val="20"/>
                <w:szCs w:val="20"/>
                <w:lang w:val="es-CO"/>
              </w:rPr>
              <w:t>Lincoleo</w:t>
            </w:r>
            <w:proofErr w:type="spellEnd"/>
            <w:r w:rsidRPr="0073755E">
              <w:rPr>
                <w:rFonts w:ascii="Cambria" w:hAnsi="Cambria"/>
                <w:sz w:val="20"/>
                <w:szCs w:val="20"/>
                <w:lang w:val="es-CO"/>
              </w:rPr>
              <w:t xml:space="preserve"> los derechos consagrados en los artículos 8 y 25 de la Convención Americana, en concordancia con los artículos 1(1) y 2 del mismo instrumento. La Comisión Interamericana reiteró asimismo que el Decreto-Ley No. 2.191 de </w:t>
            </w:r>
            <w:proofErr w:type="spellStart"/>
            <w:r w:rsidRPr="0073755E">
              <w:rPr>
                <w:rFonts w:ascii="Cambria" w:hAnsi="Cambria"/>
                <w:sz w:val="20"/>
                <w:szCs w:val="20"/>
                <w:lang w:val="es-CO"/>
              </w:rPr>
              <w:t>autoamnistía</w:t>
            </w:r>
            <w:proofErr w:type="spellEnd"/>
            <w:r w:rsidRPr="0073755E">
              <w:rPr>
                <w:rFonts w:ascii="Cambria" w:hAnsi="Cambria"/>
                <w:sz w:val="20"/>
                <w:szCs w:val="20"/>
                <w:lang w:val="es-CO"/>
              </w:rPr>
              <w:t>, dictado en 1978 por el pasado régimen militar de Chile, es incompatible con los artículos 1, 2, 8 y 25 de la Convención Americana.</w:t>
            </w:r>
          </w:p>
        </w:tc>
      </w:tr>
    </w:tbl>
    <w:p w14:paraId="7C39F920" w14:textId="77777777" w:rsidR="00436B34" w:rsidRPr="0073755E" w:rsidRDefault="00436B34" w:rsidP="00436B34">
      <w:pPr>
        <w:ind w:left="180"/>
        <w:rPr>
          <w:rFonts w:ascii="Cambria" w:hAnsi="Cambria"/>
          <w:sz w:val="20"/>
          <w:szCs w:val="20"/>
          <w:lang w:val="es-ES"/>
        </w:rPr>
      </w:pPr>
    </w:p>
    <w:p w14:paraId="57172E9E" w14:textId="77777777" w:rsidR="00436B34" w:rsidRPr="0073755E" w:rsidRDefault="00436B34" w:rsidP="00436B34">
      <w:pPr>
        <w:numPr>
          <w:ilvl w:val="0"/>
          <w:numId w:val="8"/>
        </w:numPr>
        <w:ind w:left="1440"/>
        <w:jc w:val="both"/>
        <w:rPr>
          <w:rFonts w:ascii="Cambria" w:hAnsi="Cambria" w:cs="Calibri Light"/>
          <w:b/>
          <w:sz w:val="20"/>
          <w:szCs w:val="20"/>
          <w:lang w:val="es-US"/>
        </w:rPr>
      </w:pPr>
      <w:r w:rsidRPr="0073755E">
        <w:rPr>
          <w:rFonts w:ascii="Cambria" w:hAnsi="Cambria" w:cs="Calibri Light"/>
          <w:b/>
          <w:sz w:val="20"/>
          <w:szCs w:val="20"/>
          <w:lang w:val="es-US"/>
        </w:rPr>
        <w:t xml:space="preserve">Recomendaciones </w:t>
      </w:r>
    </w:p>
    <w:p w14:paraId="2F64561D" w14:textId="77777777" w:rsidR="00436B34" w:rsidRPr="0073755E" w:rsidRDefault="00436B34" w:rsidP="00436B34">
      <w:pPr>
        <w:ind w:left="1080"/>
        <w:jc w:val="both"/>
        <w:rPr>
          <w:rFonts w:ascii="Cambria" w:hAnsi="Cambria" w:cs="Calibri Light"/>
          <w:sz w:val="20"/>
          <w:szCs w:val="20"/>
          <w:lang w:val="es-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3"/>
        <w:gridCol w:w="2309"/>
      </w:tblGrid>
      <w:tr w:rsidR="00436B34" w:rsidRPr="0073755E" w14:paraId="2F39191D" w14:textId="77777777" w:rsidTr="003F6B75">
        <w:tc>
          <w:tcPr>
            <w:tcW w:w="7200" w:type="dxa"/>
            <w:shd w:val="clear" w:color="auto" w:fill="auto"/>
            <w:vAlign w:val="center"/>
          </w:tcPr>
          <w:p w14:paraId="374873E6" w14:textId="77777777" w:rsidR="00436B34" w:rsidRPr="0073755E" w:rsidRDefault="00436B34" w:rsidP="003F6B75">
            <w:pPr>
              <w:jc w:val="center"/>
              <w:rPr>
                <w:rFonts w:ascii="Cambria" w:hAnsi="Cambria" w:cs="Calibri Light"/>
                <w:b/>
                <w:sz w:val="18"/>
                <w:szCs w:val="18"/>
                <w:lang w:val="es-US"/>
              </w:rPr>
            </w:pPr>
            <w:r w:rsidRPr="0073755E">
              <w:rPr>
                <w:rFonts w:ascii="Cambria" w:hAnsi="Cambria" w:cs="Calibri Light"/>
                <w:b/>
                <w:sz w:val="18"/>
                <w:szCs w:val="18"/>
                <w:lang w:val="es-US"/>
              </w:rPr>
              <w:t>Recomendaciones</w:t>
            </w:r>
          </w:p>
        </w:tc>
        <w:tc>
          <w:tcPr>
            <w:tcW w:w="2340" w:type="dxa"/>
            <w:shd w:val="clear" w:color="auto" w:fill="auto"/>
            <w:vAlign w:val="center"/>
          </w:tcPr>
          <w:p w14:paraId="7192FE77" w14:textId="4DE1CD47" w:rsidR="00436B34" w:rsidRPr="0073755E" w:rsidRDefault="00436B34" w:rsidP="003F6B75">
            <w:pPr>
              <w:jc w:val="center"/>
              <w:rPr>
                <w:rFonts w:ascii="Cambria" w:hAnsi="Cambria" w:cs="Calibri Light"/>
                <w:b/>
                <w:sz w:val="18"/>
                <w:szCs w:val="18"/>
                <w:lang w:val="es-US"/>
              </w:rPr>
            </w:pPr>
            <w:r w:rsidRPr="0073755E">
              <w:rPr>
                <w:rFonts w:ascii="Cambria" w:hAnsi="Cambria" w:cs="Calibri Light"/>
                <w:b/>
                <w:sz w:val="18"/>
                <w:szCs w:val="18"/>
                <w:lang w:val="es-US"/>
              </w:rPr>
              <w:t xml:space="preserve">Estado de cumplimiento </w:t>
            </w:r>
            <w:r w:rsidRPr="0073755E">
              <w:rPr>
                <w:rFonts w:ascii="Cambria" w:hAnsi="Cambria" w:cs="Calibri Light"/>
                <w:b/>
                <w:color w:val="000000" w:themeColor="text1"/>
                <w:sz w:val="18"/>
                <w:szCs w:val="18"/>
                <w:lang w:val="es-US"/>
              </w:rPr>
              <w:t>en el 20</w:t>
            </w:r>
            <w:r w:rsidR="00253681" w:rsidRPr="0073755E">
              <w:rPr>
                <w:rFonts w:ascii="Cambria" w:hAnsi="Cambria" w:cs="Calibri Light"/>
                <w:b/>
                <w:color w:val="000000" w:themeColor="text1"/>
                <w:sz w:val="18"/>
                <w:szCs w:val="18"/>
                <w:lang w:val="es-US"/>
              </w:rPr>
              <w:t>20</w:t>
            </w:r>
          </w:p>
        </w:tc>
      </w:tr>
      <w:tr w:rsidR="00436B34" w:rsidRPr="0073755E" w14:paraId="49F8C67B" w14:textId="77777777" w:rsidTr="003F6B75">
        <w:tc>
          <w:tcPr>
            <w:tcW w:w="7200" w:type="dxa"/>
            <w:shd w:val="clear" w:color="auto" w:fill="auto"/>
            <w:vAlign w:val="center"/>
          </w:tcPr>
          <w:p w14:paraId="3C852701" w14:textId="77777777" w:rsidR="00436B34" w:rsidRPr="0073755E" w:rsidRDefault="00436B34" w:rsidP="003F6B75">
            <w:pPr>
              <w:tabs>
                <w:tab w:val="num" w:pos="1440"/>
              </w:tabs>
              <w:jc w:val="both"/>
              <w:rPr>
                <w:rFonts w:ascii="Cambria" w:hAnsi="Cambria" w:cs="Calibri"/>
                <w:sz w:val="18"/>
                <w:szCs w:val="18"/>
                <w:lang w:val="es-ES"/>
              </w:rPr>
            </w:pPr>
            <w:r w:rsidRPr="0073755E">
              <w:rPr>
                <w:rFonts w:ascii="Cambria" w:hAnsi="Cambria" w:cs="Calibri"/>
                <w:sz w:val="18"/>
                <w:szCs w:val="18"/>
                <w:lang w:val="es-ES"/>
              </w:rPr>
              <w:t xml:space="preserve">1. Establecer la responsabilidad por el asesinato de Samuel Alfonso Catalán </w:t>
            </w:r>
            <w:proofErr w:type="spellStart"/>
            <w:r w:rsidRPr="0073755E">
              <w:rPr>
                <w:rFonts w:ascii="Cambria" w:hAnsi="Cambria" w:cs="Calibri"/>
                <w:sz w:val="18"/>
                <w:szCs w:val="18"/>
                <w:lang w:val="es-ES"/>
              </w:rPr>
              <w:t>Lincoleo</w:t>
            </w:r>
            <w:proofErr w:type="spellEnd"/>
            <w:r w:rsidRPr="0073755E">
              <w:rPr>
                <w:rFonts w:ascii="Cambria" w:hAnsi="Cambria" w:cs="Calibri"/>
                <w:sz w:val="18"/>
                <w:szCs w:val="18"/>
                <w:lang w:val="es-ES"/>
              </w:rPr>
              <w:t xml:space="preserve"> mediante un debido proceso judicial, a fin de que sean efectivamente sancionados los culpables.</w:t>
            </w:r>
          </w:p>
        </w:tc>
        <w:tc>
          <w:tcPr>
            <w:tcW w:w="2340" w:type="dxa"/>
            <w:shd w:val="clear" w:color="auto" w:fill="auto"/>
            <w:vAlign w:val="center"/>
          </w:tcPr>
          <w:p w14:paraId="5B36376A" w14:textId="77777777" w:rsidR="00436B34" w:rsidRPr="0073755E" w:rsidRDefault="00436B34" w:rsidP="003F6B75">
            <w:pPr>
              <w:jc w:val="center"/>
              <w:rPr>
                <w:rFonts w:ascii="Cambria" w:hAnsi="Cambria" w:cs="Calibri"/>
                <w:sz w:val="18"/>
                <w:szCs w:val="18"/>
                <w:lang w:val="es-ES"/>
              </w:rPr>
            </w:pPr>
            <w:r w:rsidRPr="0073755E">
              <w:rPr>
                <w:rFonts w:ascii="Cambria" w:hAnsi="Cambria" w:cs="Calibri"/>
                <w:sz w:val="18"/>
                <w:szCs w:val="18"/>
                <w:lang w:val="es-ES"/>
              </w:rPr>
              <w:t>Pendiente de cumplimiento</w:t>
            </w:r>
          </w:p>
        </w:tc>
      </w:tr>
      <w:tr w:rsidR="00436B34" w:rsidRPr="0073755E" w14:paraId="7BD8A14B" w14:textId="77777777" w:rsidTr="003F6B75">
        <w:tc>
          <w:tcPr>
            <w:tcW w:w="7200" w:type="dxa"/>
            <w:shd w:val="clear" w:color="auto" w:fill="auto"/>
            <w:vAlign w:val="center"/>
          </w:tcPr>
          <w:p w14:paraId="67E348E1" w14:textId="77777777" w:rsidR="00436B34" w:rsidRPr="0073755E" w:rsidRDefault="00436B34" w:rsidP="003F6B75">
            <w:pPr>
              <w:tabs>
                <w:tab w:val="num" w:pos="1440"/>
              </w:tabs>
              <w:jc w:val="both"/>
              <w:rPr>
                <w:rFonts w:ascii="Cambria" w:hAnsi="Cambria" w:cs="Calibri"/>
                <w:sz w:val="18"/>
                <w:szCs w:val="18"/>
                <w:lang w:val="es-ES"/>
              </w:rPr>
            </w:pPr>
            <w:r w:rsidRPr="0073755E">
              <w:rPr>
                <w:rFonts w:ascii="Cambria" w:hAnsi="Cambria" w:cs="Calibri"/>
                <w:sz w:val="18"/>
                <w:szCs w:val="18"/>
                <w:lang w:val="es-ES"/>
              </w:rPr>
              <w:t>2. Adecuar su legislación interna a las disposiciones de la Convención Americana, para lo cual deberá dejar sin efecto el Decreto-Ley Nº 2.191 de 1978.</w:t>
            </w:r>
          </w:p>
        </w:tc>
        <w:tc>
          <w:tcPr>
            <w:tcW w:w="2340" w:type="dxa"/>
            <w:shd w:val="clear" w:color="auto" w:fill="auto"/>
            <w:vAlign w:val="center"/>
          </w:tcPr>
          <w:p w14:paraId="156FC4AB" w14:textId="77777777" w:rsidR="00436B34" w:rsidRPr="0073755E" w:rsidRDefault="00436B34" w:rsidP="003F6B75">
            <w:pPr>
              <w:jc w:val="center"/>
              <w:rPr>
                <w:rFonts w:ascii="Cambria" w:hAnsi="Cambria" w:cs="Calibri"/>
                <w:sz w:val="18"/>
                <w:szCs w:val="18"/>
                <w:lang w:val="es-ES"/>
              </w:rPr>
            </w:pPr>
            <w:r w:rsidRPr="0073755E">
              <w:rPr>
                <w:rFonts w:ascii="Cambria" w:hAnsi="Cambria" w:cs="Calibri"/>
                <w:sz w:val="18"/>
                <w:szCs w:val="18"/>
                <w:lang w:val="es-ES"/>
              </w:rPr>
              <w:t>Pendiente de cumplimiento</w:t>
            </w:r>
          </w:p>
        </w:tc>
      </w:tr>
      <w:tr w:rsidR="00436B34" w:rsidRPr="0073755E" w14:paraId="45B4BF02" w14:textId="77777777" w:rsidTr="003F6B75">
        <w:tc>
          <w:tcPr>
            <w:tcW w:w="7200" w:type="dxa"/>
            <w:shd w:val="clear" w:color="auto" w:fill="auto"/>
            <w:vAlign w:val="center"/>
          </w:tcPr>
          <w:p w14:paraId="40B0BDE5" w14:textId="77777777" w:rsidR="00436B34" w:rsidRPr="0073755E" w:rsidRDefault="00436B34" w:rsidP="003F6B75">
            <w:pPr>
              <w:tabs>
                <w:tab w:val="num" w:pos="1440"/>
              </w:tabs>
              <w:jc w:val="both"/>
              <w:rPr>
                <w:rFonts w:ascii="Cambria" w:hAnsi="Cambria" w:cs="Calibri"/>
                <w:sz w:val="18"/>
                <w:szCs w:val="18"/>
                <w:lang w:val="es-ES"/>
              </w:rPr>
            </w:pPr>
            <w:r w:rsidRPr="0073755E">
              <w:rPr>
                <w:rFonts w:ascii="Cambria" w:hAnsi="Cambria" w:cs="Calibri"/>
                <w:sz w:val="18"/>
                <w:szCs w:val="18"/>
                <w:lang w:val="es-ES"/>
              </w:rPr>
              <w:t>3. Adoptar las medidas necesarias para que los familiares de la víctima reciban una adecuada y oportuna reparación, que comprenda la plena satisfacción por las violaciones de los derechos humanos aquí establecidas, así como el pago de una justa indemnización compensatoria por los daños patrimoniales y extra patrimoniales, incluyendo el daño moral.</w:t>
            </w:r>
          </w:p>
        </w:tc>
        <w:tc>
          <w:tcPr>
            <w:tcW w:w="2340" w:type="dxa"/>
            <w:shd w:val="clear" w:color="auto" w:fill="auto"/>
            <w:vAlign w:val="center"/>
          </w:tcPr>
          <w:p w14:paraId="5771D993" w14:textId="77777777" w:rsidR="00436B34" w:rsidRPr="0073755E" w:rsidRDefault="00436B34" w:rsidP="003F6B75">
            <w:pPr>
              <w:jc w:val="center"/>
              <w:rPr>
                <w:rFonts w:ascii="Cambria" w:hAnsi="Cambria" w:cs="Calibri"/>
                <w:sz w:val="18"/>
                <w:szCs w:val="18"/>
                <w:lang w:val="es-ES"/>
              </w:rPr>
            </w:pPr>
            <w:r w:rsidRPr="0073755E">
              <w:rPr>
                <w:rFonts w:ascii="Cambria" w:hAnsi="Cambria" w:cs="Calibri"/>
                <w:sz w:val="18"/>
                <w:szCs w:val="18"/>
                <w:lang w:val="es-ES"/>
              </w:rPr>
              <w:t>Cumplimiento total</w:t>
            </w:r>
            <w:r w:rsidRPr="0073755E">
              <w:rPr>
                <w:rStyle w:val="FootnoteReference"/>
                <w:rFonts w:ascii="Cambria" w:hAnsi="Cambria" w:cs="Calibri"/>
                <w:sz w:val="18"/>
                <w:szCs w:val="18"/>
                <w:lang w:val="es-ES"/>
              </w:rPr>
              <w:footnoteReference w:id="1"/>
            </w:r>
          </w:p>
        </w:tc>
      </w:tr>
    </w:tbl>
    <w:p w14:paraId="4E5EC875" w14:textId="5706B4B4" w:rsidR="00436B34" w:rsidRPr="0073755E" w:rsidRDefault="00436B34" w:rsidP="00436B34">
      <w:pPr>
        <w:jc w:val="both"/>
        <w:rPr>
          <w:rFonts w:ascii="Cambria" w:hAnsi="Cambria" w:cs="Calibri Light"/>
          <w:b/>
          <w:sz w:val="20"/>
          <w:szCs w:val="20"/>
          <w:lang w:val="es-US"/>
        </w:rPr>
      </w:pPr>
    </w:p>
    <w:p w14:paraId="253D1416" w14:textId="77777777" w:rsidR="00436B34" w:rsidRPr="0073755E" w:rsidRDefault="00436B34" w:rsidP="00436B34">
      <w:pPr>
        <w:pStyle w:val="ListParagraph"/>
        <w:numPr>
          <w:ilvl w:val="0"/>
          <w:numId w:val="8"/>
        </w:numPr>
        <w:ind w:left="1440"/>
        <w:jc w:val="both"/>
        <w:rPr>
          <w:rFonts w:ascii="Cambria" w:hAnsi="Cambria" w:cs="Calibri Light"/>
          <w:b/>
          <w:sz w:val="20"/>
          <w:szCs w:val="20"/>
          <w:lang w:val="es-ES_tradnl"/>
        </w:rPr>
      </w:pPr>
      <w:r w:rsidRPr="0073755E">
        <w:rPr>
          <w:rFonts w:ascii="Cambria" w:hAnsi="Cambria"/>
          <w:b/>
          <w:sz w:val="20"/>
          <w:szCs w:val="20"/>
          <w:lang w:val="es-VE"/>
        </w:rPr>
        <w:lastRenderedPageBreak/>
        <w:t>Actividad Procesal</w:t>
      </w:r>
    </w:p>
    <w:p w14:paraId="333852D4" w14:textId="77777777" w:rsidR="00436B34" w:rsidRPr="0073755E" w:rsidRDefault="00436B34" w:rsidP="00436B34">
      <w:pPr>
        <w:jc w:val="both"/>
        <w:rPr>
          <w:rFonts w:ascii="Cambria" w:hAnsi="Cambria" w:cs="Calibri Light"/>
          <w:sz w:val="20"/>
          <w:szCs w:val="20"/>
          <w:lang w:val="es-ES_tradnl"/>
        </w:rPr>
      </w:pPr>
    </w:p>
    <w:p w14:paraId="12CE69C2" w14:textId="5548E034" w:rsidR="00436B34" w:rsidRPr="0073755E" w:rsidRDefault="00436B34" w:rsidP="00436B34">
      <w:pPr>
        <w:numPr>
          <w:ilvl w:val="0"/>
          <w:numId w:val="11"/>
        </w:numPr>
        <w:ind w:left="0" w:firstLine="720"/>
        <w:jc w:val="both"/>
        <w:rPr>
          <w:rFonts w:ascii="Cambria" w:hAnsi="Cambria" w:cs="Calibri Light"/>
          <w:color w:val="000000" w:themeColor="text1"/>
          <w:sz w:val="20"/>
          <w:szCs w:val="20"/>
          <w:lang w:val="es-ES_tradnl"/>
        </w:rPr>
      </w:pPr>
      <w:r w:rsidRPr="0073755E">
        <w:rPr>
          <w:rFonts w:ascii="Cambria" w:hAnsi="Cambria" w:cs="Calibri Light"/>
          <w:color w:val="000000" w:themeColor="text1"/>
          <w:sz w:val="20"/>
          <w:szCs w:val="20"/>
          <w:lang w:val="es-ES_tradnl"/>
        </w:rPr>
        <w:t>En 20</w:t>
      </w:r>
      <w:r w:rsidR="00253681" w:rsidRPr="0073755E">
        <w:rPr>
          <w:rFonts w:ascii="Cambria" w:hAnsi="Cambria" w:cs="Calibri Light"/>
          <w:color w:val="000000" w:themeColor="text1"/>
          <w:sz w:val="20"/>
          <w:szCs w:val="20"/>
          <w:lang w:val="es-ES_tradnl"/>
        </w:rPr>
        <w:t>20</w:t>
      </w:r>
      <w:r w:rsidRPr="0073755E">
        <w:rPr>
          <w:rFonts w:ascii="Cambria" w:hAnsi="Cambria" w:cs="Calibri Light"/>
          <w:color w:val="000000" w:themeColor="text1"/>
          <w:sz w:val="20"/>
          <w:szCs w:val="20"/>
          <w:lang w:val="es-ES_tradnl"/>
        </w:rPr>
        <w:t xml:space="preserve">, la CIDH solicitó información actualizada al Estado sobre el cumplimiento de las recomendaciones emitidas en el Informe de Fondo Nº 61/01 el </w:t>
      </w:r>
      <w:r w:rsidR="00FF2F47" w:rsidRPr="0073755E">
        <w:rPr>
          <w:rFonts w:ascii="Cambria" w:hAnsi="Cambria" w:cs="Calibri Light"/>
          <w:color w:val="000000" w:themeColor="text1"/>
          <w:sz w:val="20"/>
          <w:szCs w:val="20"/>
          <w:lang w:val="es-ES_tradnl"/>
        </w:rPr>
        <w:t>7</w:t>
      </w:r>
      <w:r w:rsidRPr="0073755E">
        <w:rPr>
          <w:rFonts w:ascii="Cambria" w:hAnsi="Cambria" w:cs="Calibri Light"/>
          <w:color w:val="000000" w:themeColor="text1"/>
          <w:sz w:val="20"/>
          <w:szCs w:val="20"/>
          <w:lang w:val="es-ES_tradnl"/>
        </w:rPr>
        <w:t xml:space="preserve"> de </w:t>
      </w:r>
      <w:r w:rsidR="00FF2F47" w:rsidRPr="0073755E">
        <w:rPr>
          <w:rFonts w:ascii="Cambria" w:hAnsi="Cambria" w:cs="Calibri Light"/>
          <w:color w:val="000000" w:themeColor="text1"/>
          <w:sz w:val="20"/>
          <w:szCs w:val="20"/>
          <w:lang w:val="es-ES_tradnl"/>
        </w:rPr>
        <w:t>agosto</w:t>
      </w:r>
      <w:r w:rsidRPr="0073755E">
        <w:rPr>
          <w:rFonts w:ascii="Cambria" w:hAnsi="Cambria" w:cs="Calibri Light"/>
          <w:color w:val="000000" w:themeColor="text1"/>
          <w:sz w:val="20"/>
          <w:szCs w:val="20"/>
          <w:lang w:val="es-ES_tradnl"/>
        </w:rPr>
        <w:t>. A la fecha de cierre de</w:t>
      </w:r>
      <w:r w:rsidR="00C23B19" w:rsidRPr="0073755E">
        <w:rPr>
          <w:rFonts w:ascii="Cambria" w:hAnsi="Cambria" w:cs="Calibri Light"/>
          <w:color w:val="000000" w:themeColor="text1"/>
          <w:sz w:val="20"/>
          <w:szCs w:val="20"/>
          <w:lang w:val="es-ES_tradnl"/>
        </w:rPr>
        <w:t>l presente</w:t>
      </w:r>
      <w:r w:rsidRPr="0073755E">
        <w:rPr>
          <w:rFonts w:ascii="Cambria" w:hAnsi="Cambria" w:cs="Calibri Light"/>
          <w:color w:val="000000" w:themeColor="text1"/>
          <w:sz w:val="20"/>
          <w:szCs w:val="20"/>
          <w:lang w:val="es-ES_tradnl"/>
        </w:rPr>
        <w:t xml:space="preserve"> informe, la Comisión no había recibido dicha información del Estado. </w:t>
      </w:r>
    </w:p>
    <w:p w14:paraId="13BBE9AE" w14:textId="77777777" w:rsidR="00436B34" w:rsidRPr="0073755E" w:rsidRDefault="00436B34" w:rsidP="00436B34">
      <w:pPr>
        <w:ind w:left="720"/>
        <w:jc w:val="both"/>
        <w:rPr>
          <w:rFonts w:ascii="Cambria" w:hAnsi="Cambria" w:cs="Calibri Light"/>
          <w:color w:val="000000" w:themeColor="text1"/>
          <w:sz w:val="20"/>
          <w:szCs w:val="20"/>
          <w:lang w:val="es-ES_tradnl"/>
        </w:rPr>
      </w:pPr>
    </w:p>
    <w:p w14:paraId="550DAD62" w14:textId="77777777" w:rsidR="00C23B19" w:rsidRPr="0073755E" w:rsidRDefault="00436B34" w:rsidP="00436B34">
      <w:pPr>
        <w:numPr>
          <w:ilvl w:val="0"/>
          <w:numId w:val="11"/>
        </w:numPr>
        <w:ind w:left="0" w:firstLine="720"/>
        <w:jc w:val="both"/>
        <w:rPr>
          <w:rFonts w:ascii="Cambria" w:hAnsi="Cambria" w:cs="Calibri Light"/>
          <w:color w:val="000000" w:themeColor="text1"/>
          <w:sz w:val="20"/>
          <w:szCs w:val="20"/>
          <w:lang w:val="es-ES_tradnl"/>
        </w:rPr>
      </w:pPr>
      <w:r w:rsidRPr="0073755E">
        <w:rPr>
          <w:rFonts w:ascii="Cambria" w:hAnsi="Cambria" w:cs="Calibri Light"/>
          <w:color w:val="000000" w:themeColor="text1"/>
          <w:sz w:val="20"/>
          <w:szCs w:val="20"/>
          <w:lang w:val="es-ES_tradnl"/>
        </w:rPr>
        <w:t>En 20</w:t>
      </w:r>
      <w:r w:rsidR="00253681" w:rsidRPr="0073755E">
        <w:rPr>
          <w:rFonts w:ascii="Cambria" w:hAnsi="Cambria" w:cs="Calibri Light"/>
          <w:color w:val="000000" w:themeColor="text1"/>
          <w:sz w:val="20"/>
          <w:szCs w:val="20"/>
          <w:lang w:val="es-ES_tradnl"/>
        </w:rPr>
        <w:t>20</w:t>
      </w:r>
      <w:r w:rsidRPr="0073755E">
        <w:rPr>
          <w:rFonts w:ascii="Cambria" w:hAnsi="Cambria" w:cs="Calibri Light"/>
          <w:color w:val="000000" w:themeColor="text1"/>
          <w:sz w:val="20"/>
          <w:szCs w:val="20"/>
          <w:lang w:val="es-ES_tradnl"/>
        </w:rPr>
        <w:t xml:space="preserve">, la CIDH solicitó información actualizada a los peticionarios sobre el cumplimiento de las recomendaciones emitidas en el Informe de Fondo Nº 61/01 el </w:t>
      </w:r>
      <w:r w:rsidR="00FF2F47" w:rsidRPr="0073755E">
        <w:rPr>
          <w:rFonts w:ascii="Cambria" w:hAnsi="Cambria" w:cs="Calibri Light"/>
          <w:color w:val="000000" w:themeColor="text1"/>
          <w:sz w:val="20"/>
          <w:szCs w:val="20"/>
          <w:lang w:val="es-ES_tradnl"/>
        </w:rPr>
        <w:t>7</w:t>
      </w:r>
      <w:r w:rsidRPr="0073755E">
        <w:rPr>
          <w:rFonts w:ascii="Cambria" w:hAnsi="Cambria" w:cs="Calibri Light"/>
          <w:color w:val="000000" w:themeColor="text1"/>
          <w:sz w:val="20"/>
          <w:szCs w:val="20"/>
          <w:lang w:val="es-ES_tradnl"/>
        </w:rPr>
        <w:t xml:space="preserve"> de </w:t>
      </w:r>
      <w:r w:rsidR="00FF2F47" w:rsidRPr="0073755E">
        <w:rPr>
          <w:rFonts w:ascii="Cambria" w:hAnsi="Cambria" w:cs="Calibri Light"/>
          <w:color w:val="000000" w:themeColor="text1"/>
          <w:sz w:val="20"/>
          <w:szCs w:val="20"/>
          <w:lang w:val="es-ES_tradnl"/>
        </w:rPr>
        <w:t>agosto</w:t>
      </w:r>
      <w:r w:rsidRPr="0073755E">
        <w:rPr>
          <w:rFonts w:ascii="Cambria" w:hAnsi="Cambria" w:cs="Calibri Light"/>
          <w:color w:val="000000" w:themeColor="text1"/>
          <w:sz w:val="20"/>
          <w:szCs w:val="20"/>
          <w:lang w:val="es-ES_tradnl"/>
        </w:rPr>
        <w:t>. A la fecha de cierre de este informe, la Comisión no había recibido dicha información de los peticionarios.</w:t>
      </w:r>
    </w:p>
    <w:p w14:paraId="6DDC3ED0" w14:textId="77777777" w:rsidR="00C23B19" w:rsidRPr="0073755E" w:rsidRDefault="00C23B19" w:rsidP="00C23B19">
      <w:pPr>
        <w:pStyle w:val="ListParagraph"/>
        <w:rPr>
          <w:rFonts w:ascii="Cambria" w:hAnsi="Cambria" w:cs="Calibri Light"/>
          <w:color w:val="000000" w:themeColor="text1"/>
          <w:sz w:val="20"/>
          <w:szCs w:val="20"/>
          <w:lang w:val="es-ES_tradnl"/>
        </w:rPr>
      </w:pPr>
    </w:p>
    <w:p w14:paraId="4E35224F" w14:textId="0506BC0F" w:rsidR="00436B34" w:rsidRPr="0073755E" w:rsidRDefault="00C23B19" w:rsidP="00436B34">
      <w:pPr>
        <w:numPr>
          <w:ilvl w:val="0"/>
          <w:numId w:val="11"/>
        </w:numPr>
        <w:ind w:left="0" w:firstLine="720"/>
        <w:jc w:val="both"/>
        <w:rPr>
          <w:rFonts w:ascii="Cambria" w:hAnsi="Cambria" w:cs="Calibri Light"/>
          <w:color w:val="000000" w:themeColor="text1"/>
          <w:sz w:val="20"/>
          <w:szCs w:val="20"/>
          <w:lang w:val="es-ES_tradnl"/>
        </w:rPr>
      </w:pPr>
      <w:r w:rsidRPr="0073755E">
        <w:rPr>
          <w:rFonts w:ascii="Cambria" w:hAnsi="Cambria" w:cs="Calibri Light"/>
          <w:color w:val="000000" w:themeColor="text1"/>
          <w:sz w:val="20"/>
          <w:szCs w:val="20"/>
          <w:lang w:val="es-ES_tradnl"/>
        </w:rPr>
        <w:t xml:space="preserve">La Comisión observa con preocupación que el Estado no ha presentado información a la CIDH desde el 2014 y los peticionarios desde la publicación del Informe de Fondo Nº 61/01. </w:t>
      </w:r>
    </w:p>
    <w:p w14:paraId="6E6948BD" w14:textId="4E083BAA" w:rsidR="00C23B19" w:rsidRPr="0073755E" w:rsidRDefault="00C23B19" w:rsidP="00C23B19">
      <w:pPr>
        <w:jc w:val="both"/>
        <w:rPr>
          <w:rFonts w:ascii="Cambria" w:hAnsi="Cambria" w:cs="Calibri Light"/>
          <w:color w:val="FF0000"/>
          <w:sz w:val="20"/>
          <w:szCs w:val="20"/>
          <w:lang w:val="es-ES_tradnl"/>
        </w:rPr>
      </w:pPr>
    </w:p>
    <w:p w14:paraId="67721EEB" w14:textId="77777777" w:rsidR="00436B34" w:rsidRPr="0073755E" w:rsidRDefault="00436B34" w:rsidP="00436B34">
      <w:pPr>
        <w:pStyle w:val="ListParagraph"/>
        <w:numPr>
          <w:ilvl w:val="0"/>
          <w:numId w:val="8"/>
        </w:numPr>
        <w:ind w:left="1440"/>
        <w:jc w:val="both"/>
        <w:rPr>
          <w:rFonts w:ascii="Cambria" w:hAnsi="Cambria" w:cs="Calibri Light"/>
          <w:b/>
          <w:sz w:val="20"/>
          <w:szCs w:val="20"/>
          <w:lang w:val="es-ES_tradnl"/>
        </w:rPr>
      </w:pPr>
      <w:r w:rsidRPr="0073755E">
        <w:rPr>
          <w:rFonts w:ascii="Cambria" w:hAnsi="Cambria" w:cs="Calibri Light"/>
          <w:b/>
          <w:sz w:val="20"/>
          <w:szCs w:val="20"/>
          <w:lang w:val="es-ES_tradnl"/>
        </w:rPr>
        <w:t>Análisis relativo a la información proporcionada</w:t>
      </w:r>
    </w:p>
    <w:p w14:paraId="2018FEA1" w14:textId="77777777" w:rsidR="00436B34" w:rsidRPr="0073755E" w:rsidRDefault="00436B34" w:rsidP="00436B34">
      <w:pPr>
        <w:jc w:val="both"/>
        <w:rPr>
          <w:rFonts w:ascii="Cambria" w:hAnsi="Cambria" w:cs="Calibri Light"/>
          <w:sz w:val="20"/>
          <w:szCs w:val="20"/>
          <w:lang w:val="es-ES_tradnl"/>
        </w:rPr>
      </w:pPr>
    </w:p>
    <w:p w14:paraId="79ED377C" w14:textId="49B9B64A" w:rsidR="00436B34" w:rsidRPr="0073755E" w:rsidRDefault="00436B34" w:rsidP="00436B34">
      <w:pPr>
        <w:numPr>
          <w:ilvl w:val="0"/>
          <w:numId w:val="11"/>
        </w:numPr>
        <w:ind w:left="0" w:firstLine="720"/>
        <w:jc w:val="both"/>
        <w:rPr>
          <w:rFonts w:ascii="Cambria" w:hAnsi="Cambria" w:cs="Calibri Light"/>
          <w:b/>
          <w:color w:val="000000" w:themeColor="text1"/>
          <w:sz w:val="20"/>
          <w:szCs w:val="20"/>
          <w:lang w:val="es-ES_tradnl"/>
        </w:rPr>
      </w:pPr>
      <w:r w:rsidRPr="0073755E">
        <w:rPr>
          <w:rFonts w:ascii="Cambria" w:hAnsi="Cambria" w:cs="Calibri Light"/>
          <w:color w:val="000000" w:themeColor="text1"/>
          <w:sz w:val="20"/>
          <w:szCs w:val="20"/>
          <w:lang w:val="es-ES_tradnl"/>
        </w:rPr>
        <w:t>En 20</w:t>
      </w:r>
      <w:r w:rsidR="00620D38" w:rsidRPr="0073755E">
        <w:rPr>
          <w:rFonts w:ascii="Cambria" w:hAnsi="Cambria" w:cs="Calibri Light"/>
          <w:color w:val="000000" w:themeColor="text1"/>
          <w:sz w:val="20"/>
          <w:szCs w:val="20"/>
          <w:lang w:val="es-ES_tradnl"/>
        </w:rPr>
        <w:t>20</w:t>
      </w:r>
      <w:r w:rsidRPr="0073755E">
        <w:rPr>
          <w:rFonts w:ascii="Cambria" w:hAnsi="Cambria" w:cs="Calibri Light"/>
          <w:color w:val="000000" w:themeColor="text1"/>
          <w:sz w:val="20"/>
          <w:szCs w:val="20"/>
          <w:lang w:val="es-ES_tradnl"/>
        </w:rPr>
        <w:t xml:space="preserve">, ninguna de las partes proporcionó información a la Comisión sobre las acciones adoptadas por el Estado para cumplir con las recomendaciones emitidas en el Informe de Fondo Nº 61/01. </w:t>
      </w:r>
    </w:p>
    <w:p w14:paraId="1C767773" w14:textId="77777777" w:rsidR="00436B34" w:rsidRPr="0073755E" w:rsidRDefault="00436B34" w:rsidP="00436B34">
      <w:pPr>
        <w:ind w:left="720"/>
        <w:jc w:val="both"/>
        <w:rPr>
          <w:rFonts w:ascii="Cambria" w:hAnsi="Cambria" w:cs="Calibri Light"/>
          <w:b/>
          <w:color w:val="000000" w:themeColor="text1"/>
          <w:sz w:val="20"/>
          <w:szCs w:val="20"/>
          <w:lang w:val="es-ES_tradnl"/>
        </w:rPr>
      </w:pPr>
    </w:p>
    <w:p w14:paraId="07D143BC" w14:textId="75A61996" w:rsidR="00436B34" w:rsidRPr="0073755E" w:rsidRDefault="00436B34" w:rsidP="00436B34">
      <w:pPr>
        <w:numPr>
          <w:ilvl w:val="0"/>
          <w:numId w:val="11"/>
        </w:numPr>
        <w:ind w:left="0" w:firstLine="720"/>
        <w:jc w:val="both"/>
        <w:rPr>
          <w:rFonts w:ascii="Cambria" w:hAnsi="Cambria" w:cs="Calibri Light"/>
          <w:b/>
          <w:color w:val="000000" w:themeColor="text1"/>
          <w:sz w:val="20"/>
          <w:szCs w:val="20"/>
          <w:lang w:val="es-ES_tradnl"/>
        </w:rPr>
      </w:pPr>
      <w:r w:rsidRPr="0073755E">
        <w:rPr>
          <w:rFonts w:ascii="Cambria" w:hAnsi="Cambria" w:cs="Calibri Light"/>
          <w:color w:val="000000" w:themeColor="text1"/>
          <w:sz w:val="20"/>
          <w:szCs w:val="20"/>
          <w:lang w:val="es-ES_tradnl"/>
        </w:rPr>
        <w:t>A</w:t>
      </w:r>
      <w:r w:rsidRPr="0073755E">
        <w:rPr>
          <w:rFonts w:ascii="Cambria" w:hAnsi="Cambria" w:cs="Tahoma"/>
          <w:color w:val="000000" w:themeColor="text1"/>
          <w:sz w:val="20"/>
          <w:szCs w:val="20"/>
          <w:lang w:val="es-ES_tradnl"/>
        </w:rPr>
        <w:t>nte la ausencia de información actualizada de ambas partes sobre el nivel de cumplimiento de las recomendaciones, la CIDH reitera, a continuación, el análisis del cumplimiento y las conclusiones realizadas en su Informe Anual 201</w:t>
      </w:r>
      <w:r w:rsidR="00F35D67" w:rsidRPr="0073755E">
        <w:rPr>
          <w:rFonts w:ascii="Cambria" w:hAnsi="Cambria" w:cs="Tahoma"/>
          <w:color w:val="000000" w:themeColor="text1"/>
          <w:sz w:val="20"/>
          <w:szCs w:val="20"/>
          <w:lang w:val="es-ES_tradnl"/>
        </w:rPr>
        <w:t>9</w:t>
      </w:r>
      <w:r w:rsidRPr="0073755E">
        <w:rPr>
          <w:rFonts w:ascii="Cambria" w:hAnsi="Cambria" w:cs="Tahoma"/>
          <w:color w:val="000000" w:themeColor="text1"/>
          <w:sz w:val="20"/>
          <w:szCs w:val="20"/>
          <w:lang w:val="es-ES_tradnl"/>
        </w:rPr>
        <w:t>.</w:t>
      </w:r>
    </w:p>
    <w:p w14:paraId="02202552" w14:textId="77777777" w:rsidR="00436B34" w:rsidRPr="0073755E" w:rsidRDefault="00436B34" w:rsidP="00436B34">
      <w:pPr>
        <w:jc w:val="both"/>
        <w:rPr>
          <w:rFonts w:ascii="Cambria" w:hAnsi="Cambria" w:cs="Calibri Light"/>
          <w:sz w:val="20"/>
          <w:szCs w:val="20"/>
          <w:lang w:val="es-ES_tradnl"/>
        </w:rPr>
      </w:pPr>
    </w:p>
    <w:p w14:paraId="264459BD" w14:textId="77777777" w:rsidR="00436B34" w:rsidRPr="0073755E" w:rsidRDefault="00436B34" w:rsidP="00436B34">
      <w:pPr>
        <w:pStyle w:val="ListParagraph"/>
        <w:numPr>
          <w:ilvl w:val="0"/>
          <w:numId w:val="8"/>
        </w:numPr>
        <w:ind w:left="1440"/>
        <w:jc w:val="both"/>
        <w:rPr>
          <w:rFonts w:ascii="Cambria" w:hAnsi="Cambria" w:cs="Calibri Light"/>
          <w:b/>
          <w:sz w:val="20"/>
          <w:szCs w:val="20"/>
          <w:lang w:val="es-ES_tradnl"/>
        </w:rPr>
      </w:pPr>
      <w:r w:rsidRPr="0073755E">
        <w:rPr>
          <w:rFonts w:ascii="Cambria" w:hAnsi="Cambria" w:cs="Calibri Light"/>
          <w:b/>
          <w:sz w:val="20"/>
          <w:szCs w:val="20"/>
          <w:lang w:val="es-US"/>
        </w:rPr>
        <w:t>Análisis del cumplimiento de las recomendaciones</w:t>
      </w:r>
    </w:p>
    <w:p w14:paraId="27335BD0" w14:textId="77777777" w:rsidR="00436B34" w:rsidRPr="0073755E" w:rsidRDefault="00436B34" w:rsidP="00436B34">
      <w:pPr>
        <w:jc w:val="both"/>
        <w:rPr>
          <w:rFonts w:ascii="Cambria" w:hAnsi="Cambria" w:cs="Calibri Light"/>
          <w:sz w:val="20"/>
          <w:szCs w:val="20"/>
          <w:lang w:val="es-US"/>
        </w:rPr>
      </w:pPr>
    </w:p>
    <w:p w14:paraId="78561539" w14:textId="77777777" w:rsidR="00436B34" w:rsidRPr="0073755E" w:rsidRDefault="00436B34" w:rsidP="00436B34">
      <w:pPr>
        <w:numPr>
          <w:ilvl w:val="0"/>
          <w:numId w:val="11"/>
        </w:numPr>
        <w:ind w:left="0" w:firstLine="720"/>
        <w:jc w:val="both"/>
        <w:rPr>
          <w:rFonts w:ascii="Cambria" w:hAnsi="Cambria" w:cs="Calibri Light"/>
          <w:sz w:val="20"/>
          <w:szCs w:val="20"/>
          <w:lang w:val="es-US"/>
        </w:rPr>
      </w:pPr>
      <w:r w:rsidRPr="0073755E">
        <w:rPr>
          <w:rFonts w:ascii="Cambria" w:hAnsi="Cambria" w:cs="Calibri Light"/>
          <w:b/>
          <w:sz w:val="20"/>
          <w:szCs w:val="20"/>
          <w:lang w:val="es-US"/>
        </w:rPr>
        <w:t>En relación con la primera recomendación</w:t>
      </w:r>
      <w:r w:rsidRPr="0073755E">
        <w:rPr>
          <w:rFonts w:ascii="Cambria" w:hAnsi="Cambria" w:cs="Calibri Light"/>
          <w:sz w:val="20"/>
          <w:szCs w:val="20"/>
          <w:lang w:val="es-US"/>
        </w:rPr>
        <w:t>, en 2009</w:t>
      </w:r>
      <w:r w:rsidRPr="0073755E">
        <w:rPr>
          <w:rFonts w:ascii="Cambria" w:hAnsi="Cambria"/>
          <w:sz w:val="20"/>
          <w:szCs w:val="20"/>
          <w:lang w:val="es-CR"/>
        </w:rPr>
        <w:t xml:space="preserve">, el Estado informó que, con fecha 29 de enero de 2001, se presentó, ante la Corte de Apelaciones de Santiago, querella contra el Sr. Augusto Pinochet Ugarte y otros, por los delitos de secuestro calificado, asociación ilícita e inhumación ilegal de personas, entre ellas, Samuel Catalán </w:t>
      </w:r>
      <w:proofErr w:type="spellStart"/>
      <w:r w:rsidRPr="0073755E">
        <w:rPr>
          <w:rFonts w:ascii="Cambria" w:hAnsi="Cambria"/>
          <w:sz w:val="20"/>
          <w:szCs w:val="20"/>
          <w:lang w:val="es-CR"/>
        </w:rPr>
        <w:t>Lincoleo</w:t>
      </w:r>
      <w:proofErr w:type="spellEnd"/>
      <w:r w:rsidRPr="0073755E">
        <w:rPr>
          <w:rFonts w:ascii="Cambria" w:hAnsi="Cambria"/>
          <w:sz w:val="20"/>
          <w:szCs w:val="20"/>
          <w:lang w:val="es-CR"/>
        </w:rPr>
        <w:t xml:space="preserve">, cuya causa quedó registrada bajo el Rol Nº 2182-98. </w:t>
      </w:r>
      <w:r w:rsidRPr="0073755E">
        <w:rPr>
          <w:rFonts w:ascii="Cambria" w:hAnsi="Cambria"/>
          <w:sz w:val="20"/>
          <w:szCs w:val="20"/>
          <w:lang w:val="es-ES"/>
        </w:rPr>
        <w:t>El 25 de agosto de 2003 se sobreseyó total y definitivamente la causa, con el fundamento de que el 4º. Juzgado Militar de Valdivia ya había declarado anteriormente la cosa juzgada por esos mismos hechos. El 31 de agosto de 2005, la Novena Sala de la Corte de Apelaciones de Santiago, al resolver el grado jurisdiccional de consulta, aprobó el sobreseimiento definitivo de la causa.</w:t>
      </w:r>
      <w:r w:rsidRPr="0073755E">
        <w:rPr>
          <w:rStyle w:val="FootnoteReference"/>
          <w:rFonts w:ascii="Cambria" w:hAnsi="Cambria"/>
          <w:sz w:val="20"/>
          <w:szCs w:val="20"/>
          <w:lang w:val="es-ES"/>
        </w:rPr>
        <w:footnoteReference w:id="2"/>
      </w:r>
      <w:r w:rsidRPr="0073755E">
        <w:rPr>
          <w:rFonts w:ascii="Cambria" w:hAnsi="Cambria"/>
          <w:sz w:val="20"/>
          <w:szCs w:val="20"/>
          <w:lang w:val="es-ES"/>
        </w:rPr>
        <w:t xml:space="preserve"> En 2010</w:t>
      </w:r>
      <w:r w:rsidRPr="0073755E">
        <w:rPr>
          <w:rFonts w:ascii="Cambria" w:hAnsi="Cambria"/>
          <w:sz w:val="20"/>
          <w:szCs w:val="20"/>
          <w:lang w:val="es-CR"/>
        </w:rPr>
        <w:t xml:space="preserve">, el Estado refirió que el Ministro en Visita Extraordinaria de la Corte de Apelaciones de Temuco, sustanció la causa Rol Nº 113.958 (Catalán </w:t>
      </w:r>
      <w:proofErr w:type="spellStart"/>
      <w:r w:rsidRPr="0073755E">
        <w:rPr>
          <w:rFonts w:ascii="Cambria" w:hAnsi="Cambria"/>
          <w:sz w:val="20"/>
          <w:szCs w:val="20"/>
          <w:lang w:val="es-CR"/>
        </w:rPr>
        <w:t>Lincoleo</w:t>
      </w:r>
      <w:proofErr w:type="spellEnd"/>
      <w:r w:rsidRPr="0073755E">
        <w:rPr>
          <w:rFonts w:ascii="Cambria" w:hAnsi="Cambria"/>
          <w:sz w:val="20"/>
          <w:szCs w:val="20"/>
          <w:lang w:val="es-CR"/>
        </w:rPr>
        <w:t xml:space="preserve">), la cual se encontraría en estado procesal de sumario, sin que nadie se encuentre sometido a proceso o en calidad de procesado. </w:t>
      </w:r>
      <w:r w:rsidRPr="0073755E">
        <w:rPr>
          <w:rFonts w:ascii="Cambria" w:hAnsi="Cambria"/>
          <w:sz w:val="20"/>
          <w:szCs w:val="20"/>
          <w:lang w:val="es-ES"/>
        </w:rPr>
        <w:t>El Estado reportó que estarían aún pendientes diligencias de investigación a ser realizadas. En subsiguientes comunicaciones de fechas 17 de enero de 2012, 10 de enero de 2013, y 9 de enero de 2014 el Estado reiteró la información anterior, indicando que el proceso aún se encontraría en etapa sumarial, subsistiendo las diligencias pendientes de ser realizadas y sin que se haya imputado a las personas presuntamente responsables por los hechos.</w:t>
      </w:r>
      <w:r w:rsidRPr="0073755E">
        <w:rPr>
          <w:rStyle w:val="FootnoteReference"/>
          <w:rFonts w:ascii="Cambria" w:hAnsi="Cambria"/>
          <w:sz w:val="20"/>
          <w:szCs w:val="20"/>
          <w:lang w:val="es-ES"/>
        </w:rPr>
        <w:footnoteReference w:id="3"/>
      </w:r>
      <w:r w:rsidRPr="0073755E">
        <w:rPr>
          <w:rFonts w:ascii="Cambria" w:hAnsi="Cambria"/>
          <w:sz w:val="20"/>
          <w:szCs w:val="20"/>
          <w:lang w:val="es-ES"/>
        </w:rPr>
        <w:t xml:space="preserve"> </w:t>
      </w:r>
    </w:p>
    <w:p w14:paraId="197923AB" w14:textId="77777777" w:rsidR="00436B34" w:rsidRPr="0073755E" w:rsidRDefault="00436B34" w:rsidP="00436B34">
      <w:pPr>
        <w:ind w:left="720"/>
        <w:jc w:val="both"/>
        <w:rPr>
          <w:rFonts w:ascii="Cambria" w:hAnsi="Cambria" w:cs="Calibri Light"/>
          <w:sz w:val="20"/>
          <w:szCs w:val="20"/>
          <w:lang w:val="es-US"/>
        </w:rPr>
      </w:pPr>
    </w:p>
    <w:p w14:paraId="575A299E" w14:textId="77777777" w:rsidR="00436B34" w:rsidRPr="0073755E" w:rsidRDefault="00436B34" w:rsidP="00436B34">
      <w:pPr>
        <w:numPr>
          <w:ilvl w:val="0"/>
          <w:numId w:val="11"/>
        </w:numPr>
        <w:ind w:left="0" w:firstLine="720"/>
        <w:jc w:val="both"/>
        <w:rPr>
          <w:rFonts w:ascii="Cambria" w:hAnsi="Cambria" w:cs="Calibri Light"/>
          <w:sz w:val="20"/>
          <w:szCs w:val="20"/>
          <w:lang w:val="es-US"/>
        </w:rPr>
      </w:pPr>
      <w:r w:rsidRPr="0073755E">
        <w:rPr>
          <w:rFonts w:ascii="Cambria" w:hAnsi="Cambria"/>
          <w:sz w:val="20"/>
          <w:szCs w:val="20"/>
          <w:lang w:val="es-ES"/>
        </w:rPr>
        <w:t xml:space="preserve">Los peticionarios no han proporcionado información sobre medidas adoptadas por el Estado para cumplir con esta recomendación. </w:t>
      </w:r>
    </w:p>
    <w:p w14:paraId="38FB6BB7" w14:textId="77777777" w:rsidR="00436B34" w:rsidRPr="0073755E" w:rsidRDefault="00436B34" w:rsidP="00436B34">
      <w:pPr>
        <w:ind w:left="720"/>
        <w:jc w:val="both"/>
        <w:rPr>
          <w:rFonts w:ascii="Cambria" w:hAnsi="Cambria" w:cs="Calibri Light"/>
          <w:sz w:val="20"/>
          <w:szCs w:val="20"/>
          <w:lang w:val="es-US"/>
        </w:rPr>
      </w:pPr>
    </w:p>
    <w:p w14:paraId="206012BD" w14:textId="77777777" w:rsidR="00436B34" w:rsidRPr="0073755E" w:rsidRDefault="00436B34" w:rsidP="00436B34">
      <w:pPr>
        <w:numPr>
          <w:ilvl w:val="0"/>
          <w:numId w:val="11"/>
        </w:numPr>
        <w:ind w:left="0" w:firstLine="720"/>
        <w:jc w:val="both"/>
        <w:rPr>
          <w:rFonts w:ascii="Cambria" w:hAnsi="Cambria" w:cs="Calibri Light"/>
          <w:color w:val="FF0000"/>
          <w:sz w:val="20"/>
          <w:szCs w:val="20"/>
          <w:lang w:val="es-US"/>
        </w:rPr>
      </w:pPr>
      <w:r w:rsidRPr="0073755E">
        <w:rPr>
          <w:rFonts w:ascii="Cambria" w:hAnsi="Cambria"/>
          <w:sz w:val="20"/>
          <w:szCs w:val="20"/>
          <w:lang w:val="es-CR"/>
        </w:rPr>
        <w:t>La Comisión observa con preocupación que esta recomendación no ha sido atendida, y que a pesar del tiempo transcurrido la causa Rol Nº 113.958 permanece en la etapa del sumario sin que haya persona alguna procesada.</w:t>
      </w:r>
      <w:r w:rsidRPr="0073755E">
        <w:rPr>
          <w:rStyle w:val="FootnoteReference"/>
          <w:rFonts w:ascii="Cambria" w:hAnsi="Cambria"/>
          <w:sz w:val="20"/>
          <w:szCs w:val="20"/>
          <w:lang w:val="es-CR"/>
        </w:rPr>
        <w:footnoteReference w:id="4"/>
      </w:r>
      <w:r w:rsidRPr="0073755E">
        <w:rPr>
          <w:rFonts w:ascii="Cambria" w:hAnsi="Cambria"/>
          <w:sz w:val="20"/>
          <w:szCs w:val="20"/>
          <w:lang w:val="es-CR"/>
        </w:rPr>
        <w:t xml:space="preserve"> En este contexto, la CIDH recuerda que el deber de investigar debe cumplirse con seriedad y no como una simple formalidad condenada de antemano a ser infructuosa, y debe tener un sentido y ser asumida por los Estados como un deber jurídico propio y no como una simple gestión de intereses particulares, que dependa de la iniciativa procesal de la víctima o de sus familiares o de la aportación privada de elementos </w:t>
      </w:r>
      <w:r w:rsidRPr="0073755E">
        <w:rPr>
          <w:rFonts w:ascii="Cambria" w:hAnsi="Cambria"/>
          <w:sz w:val="20"/>
          <w:szCs w:val="20"/>
          <w:lang w:val="es-CR"/>
        </w:rPr>
        <w:lastRenderedPageBreak/>
        <w:t>probatorios, sin que la autoridad pública busque efectivamente la verdad</w:t>
      </w:r>
      <w:r w:rsidRPr="0073755E">
        <w:rPr>
          <w:rStyle w:val="FootnoteReference"/>
          <w:rFonts w:ascii="Cambria" w:hAnsi="Cambria"/>
          <w:sz w:val="20"/>
          <w:szCs w:val="20"/>
          <w:lang w:val="es-CR"/>
        </w:rPr>
        <w:footnoteReference w:id="5"/>
      </w:r>
      <w:r w:rsidRPr="0073755E">
        <w:rPr>
          <w:rFonts w:ascii="Cambria" w:hAnsi="Cambria"/>
          <w:sz w:val="20"/>
          <w:szCs w:val="20"/>
          <w:lang w:val="es-CR"/>
        </w:rPr>
        <w:t>.</w:t>
      </w:r>
      <w:r w:rsidRPr="0073755E">
        <w:rPr>
          <w:rFonts w:ascii="Cambria" w:hAnsi="Cambria" w:cs="Calibri Light"/>
          <w:sz w:val="20"/>
          <w:szCs w:val="20"/>
          <w:lang w:val="es-US"/>
        </w:rPr>
        <w:t xml:space="preserve"> </w:t>
      </w:r>
      <w:r w:rsidRPr="0073755E">
        <w:rPr>
          <w:rFonts w:ascii="Cambria" w:hAnsi="Cambria"/>
          <w:sz w:val="20"/>
          <w:szCs w:val="20"/>
          <w:lang w:val="es-CR"/>
        </w:rPr>
        <w:t xml:space="preserve">La Comisión insta al Estado </w:t>
      </w:r>
      <w:r w:rsidRPr="0073755E">
        <w:rPr>
          <w:rFonts w:ascii="Cambria" w:hAnsi="Cambria"/>
          <w:sz w:val="20"/>
          <w:szCs w:val="20"/>
          <w:lang w:val="es-ES"/>
        </w:rPr>
        <w:t>a brindar información específica sobre las diligencias pendientes en la causa Rol Nº 113.958 y las acciones que ha realizado para impulsar el avance de esta investigación</w:t>
      </w:r>
      <w:r w:rsidRPr="0073755E">
        <w:rPr>
          <w:rStyle w:val="FootnoteReference"/>
          <w:rFonts w:ascii="Cambria" w:hAnsi="Cambria"/>
          <w:sz w:val="20"/>
          <w:szCs w:val="20"/>
          <w:lang w:val="es-ES"/>
        </w:rPr>
        <w:footnoteReference w:id="6"/>
      </w:r>
      <w:r w:rsidRPr="0073755E">
        <w:rPr>
          <w:rFonts w:ascii="Cambria" w:hAnsi="Cambria"/>
          <w:sz w:val="20"/>
          <w:szCs w:val="20"/>
          <w:lang w:val="es-ES"/>
        </w:rPr>
        <w:t xml:space="preserve">. </w:t>
      </w:r>
      <w:r w:rsidRPr="0073755E">
        <w:rPr>
          <w:rFonts w:ascii="Cambria" w:hAnsi="Cambria" w:cs="Calibri Light"/>
          <w:color w:val="000000" w:themeColor="text1"/>
          <w:sz w:val="20"/>
          <w:szCs w:val="20"/>
          <w:lang w:val="es-US"/>
        </w:rPr>
        <w:t>Por lo anterior, la CIDH considera que la Recomendación 1 se encuentra pendiente de cumplimiento.</w:t>
      </w:r>
    </w:p>
    <w:p w14:paraId="20BBAC89" w14:textId="77777777" w:rsidR="00436B34" w:rsidRPr="0073755E" w:rsidRDefault="00436B34" w:rsidP="00436B34">
      <w:pPr>
        <w:ind w:left="720"/>
        <w:jc w:val="both"/>
        <w:rPr>
          <w:rFonts w:ascii="Cambria" w:hAnsi="Cambria" w:cs="Calibri Light"/>
          <w:sz w:val="20"/>
          <w:szCs w:val="20"/>
          <w:lang w:val="es-US"/>
        </w:rPr>
      </w:pPr>
    </w:p>
    <w:p w14:paraId="5AD6CF5F" w14:textId="77777777" w:rsidR="00436B34" w:rsidRPr="0073755E" w:rsidRDefault="00436B34" w:rsidP="00436B34">
      <w:pPr>
        <w:numPr>
          <w:ilvl w:val="0"/>
          <w:numId w:val="11"/>
        </w:numPr>
        <w:ind w:left="0" w:firstLine="720"/>
        <w:jc w:val="both"/>
        <w:rPr>
          <w:rFonts w:ascii="Cambria" w:hAnsi="Cambria" w:cs="Calibri Light"/>
          <w:sz w:val="20"/>
          <w:szCs w:val="20"/>
          <w:lang w:val="es-US"/>
        </w:rPr>
      </w:pPr>
      <w:r w:rsidRPr="0073755E">
        <w:rPr>
          <w:rFonts w:ascii="Cambria" w:hAnsi="Cambria" w:cs="Calibri Light"/>
          <w:b/>
          <w:sz w:val="20"/>
          <w:szCs w:val="20"/>
          <w:lang w:val="es-US"/>
        </w:rPr>
        <w:t>Respecto de la segunda recomendación</w:t>
      </w:r>
      <w:r w:rsidRPr="0073755E">
        <w:rPr>
          <w:rFonts w:ascii="Cambria" w:hAnsi="Cambria" w:cs="Calibri Light"/>
          <w:sz w:val="20"/>
          <w:szCs w:val="20"/>
          <w:lang w:val="es-US"/>
        </w:rPr>
        <w:t xml:space="preserve">, en 2010, el Estado informó que, después de haber estudiado </w:t>
      </w:r>
      <w:r w:rsidRPr="0073755E">
        <w:rPr>
          <w:rFonts w:ascii="Cambria" w:hAnsi="Cambria"/>
          <w:sz w:val="20"/>
          <w:szCs w:val="20"/>
          <w:lang w:val="es-ES"/>
        </w:rPr>
        <w:t xml:space="preserve">diversas alternativas, se determinó la más viable la emisión de una ley interpretativa del artículo 93 del Código Penal, la cual buscaba armonizar la no aplicación del DL 2191, de Amnistía, con las instituciones de cosa juzgada y el principio </w:t>
      </w:r>
      <w:r w:rsidRPr="0073755E">
        <w:rPr>
          <w:rFonts w:ascii="Cambria" w:hAnsi="Cambria"/>
          <w:i/>
          <w:sz w:val="20"/>
          <w:szCs w:val="20"/>
          <w:lang w:val="es-ES"/>
        </w:rPr>
        <w:t>non bis in ídem</w:t>
      </w:r>
      <w:r w:rsidRPr="0073755E">
        <w:rPr>
          <w:rFonts w:ascii="Cambria" w:hAnsi="Cambria"/>
          <w:sz w:val="20"/>
          <w:szCs w:val="20"/>
          <w:lang w:val="es-ES"/>
        </w:rPr>
        <w:t>, en virtud de lo cual se presentó dos proyectos de leyes: a) ley interpretativa que adecua la legislación penal chilena a los tratados internacionales en materia de derechos humanos, iniciativa legal que, en aquel momento, se encontraba en segundo trámite constitucional en el Senado; y, b) modificación que establece un nuevo canal de revisión en caso de violaciones de derechos humanos, proyecto que, en aquel momento, se encontraba en primer trámite constitucional</w:t>
      </w:r>
      <w:r w:rsidRPr="0073755E">
        <w:rPr>
          <w:rStyle w:val="FootnoteReference"/>
          <w:rFonts w:ascii="Cambria" w:hAnsi="Cambria"/>
          <w:sz w:val="20"/>
          <w:szCs w:val="20"/>
          <w:lang w:val="es-ES"/>
        </w:rPr>
        <w:footnoteReference w:id="7"/>
      </w:r>
      <w:r w:rsidRPr="0073755E">
        <w:rPr>
          <w:rFonts w:ascii="Cambria" w:hAnsi="Cambria"/>
          <w:sz w:val="20"/>
          <w:szCs w:val="20"/>
          <w:lang w:val="es-ES"/>
        </w:rPr>
        <w:t xml:space="preserve">. </w:t>
      </w:r>
      <w:r w:rsidRPr="0073755E">
        <w:rPr>
          <w:rFonts w:ascii="Cambria" w:hAnsi="Cambria"/>
          <w:sz w:val="20"/>
          <w:szCs w:val="20"/>
          <w:lang w:val="es-CR"/>
        </w:rPr>
        <w:t xml:space="preserve">El 30 de diciembre de 2010, el Estado informó que el proyecto legislativo, </w:t>
      </w:r>
      <w:r w:rsidRPr="0073755E">
        <w:rPr>
          <w:rFonts w:ascii="Cambria" w:hAnsi="Cambria"/>
          <w:sz w:val="20"/>
          <w:szCs w:val="20"/>
          <w:lang w:val="es-ES"/>
        </w:rPr>
        <w:t>por medio del cual se busca excluir de la extinción de responsabilidad penal a los crímenes de lesa humanidad y de guerra contemplados en los instrumentos internacionales ratificados por Chile,</w:t>
      </w:r>
      <w:r w:rsidRPr="0073755E">
        <w:rPr>
          <w:rFonts w:ascii="Cambria" w:hAnsi="Cambria"/>
          <w:sz w:val="20"/>
          <w:szCs w:val="20"/>
          <w:lang w:val="es-CR"/>
        </w:rPr>
        <w:t xml:space="preserve"> se encontraba en segundo trámite constitucional en el Senado, al que fue remitido el 6 de mayo de 2009. </w:t>
      </w:r>
      <w:r w:rsidRPr="0073755E">
        <w:rPr>
          <w:rFonts w:ascii="Cambria" w:hAnsi="Cambria"/>
          <w:sz w:val="20"/>
          <w:szCs w:val="20"/>
          <w:lang w:val="es-ES"/>
        </w:rPr>
        <w:t>Informó que se habría presentado otro proyecto de ley tendente a establecer un nuevo canal de revisión en caso de violaciones a los derechos humanos, el cual, en aquel momento, se encontraba en primer trámite constitucional</w:t>
      </w:r>
      <w:r w:rsidRPr="0073755E">
        <w:rPr>
          <w:rStyle w:val="FootnoteReference"/>
          <w:rFonts w:ascii="Cambria" w:hAnsi="Cambria"/>
          <w:sz w:val="20"/>
          <w:szCs w:val="20"/>
          <w:lang w:val="es-ES"/>
        </w:rPr>
        <w:footnoteReference w:id="8"/>
      </w:r>
      <w:r w:rsidRPr="0073755E">
        <w:rPr>
          <w:rFonts w:ascii="Cambria" w:hAnsi="Cambria"/>
          <w:sz w:val="20"/>
          <w:szCs w:val="20"/>
          <w:lang w:val="es-ES"/>
        </w:rPr>
        <w:t xml:space="preserve">. En 2014, el Estado informó que no ha habido mayores avances en relación con el proyecto de ley </w:t>
      </w:r>
      <w:r w:rsidRPr="0073755E">
        <w:rPr>
          <w:rFonts w:ascii="Cambria" w:hAnsi="Cambria" w:cs="Calibri Light"/>
          <w:sz w:val="20"/>
          <w:szCs w:val="20"/>
          <w:lang w:val="es-US"/>
        </w:rPr>
        <w:t>sobre la interpretación del artículo 93 del Código Penal, que continuaba ante el Senado, donde fue remitido desde el 6 de mayo de 2009</w:t>
      </w:r>
      <w:r w:rsidRPr="0073755E">
        <w:rPr>
          <w:rStyle w:val="FootnoteReference"/>
          <w:rFonts w:ascii="Cambria" w:hAnsi="Cambria" w:cs="Calibri Light"/>
          <w:sz w:val="20"/>
          <w:szCs w:val="20"/>
          <w:lang w:val="es-US"/>
        </w:rPr>
        <w:footnoteReference w:id="9"/>
      </w:r>
      <w:r w:rsidRPr="0073755E">
        <w:rPr>
          <w:rFonts w:ascii="Cambria" w:hAnsi="Cambria" w:cs="Calibri Light"/>
          <w:sz w:val="20"/>
          <w:szCs w:val="20"/>
          <w:lang w:val="es-US"/>
        </w:rPr>
        <w:t>.</w:t>
      </w:r>
      <w:r w:rsidRPr="0073755E">
        <w:rPr>
          <w:rFonts w:ascii="Cambria" w:hAnsi="Cambria"/>
          <w:sz w:val="20"/>
          <w:szCs w:val="20"/>
          <w:lang w:val="es-ES"/>
        </w:rPr>
        <w:t xml:space="preserve"> </w:t>
      </w:r>
    </w:p>
    <w:p w14:paraId="7DDE53EA" w14:textId="77777777" w:rsidR="00436B34" w:rsidRPr="0073755E" w:rsidRDefault="00436B34" w:rsidP="00436B34">
      <w:pPr>
        <w:ind w:left="720"/>
        <w:jc w:val="both"/>
        <w:rPr>
          <w:rFonts w:ascii="Cambria" w:hAnsi="Cambria" w:cs="Calibri Light"/>
          <w:sz w:val="20"/>
          <w:szCs w:val="20"/>
          <w:lang w:val="es-US"/>
        </w:rPr>
      </w:pPr>
    </w:p>
    <w:p w14:paraId="55462122" w14:textId="77777777" w:rsidR="00436B34" w:rsidRPr="0073755E" w:rsidRDefault="00436B34" w:rsidP="00436B34">
      <w:pPr>
        <w:numPr>
          <w:ilvl w:val="0"/>
          <w:numId w:val="11"/>
        </w:numPr>
        <w:ind w:left="0" w:firstLine="720"/>
        <w:jc w:val="both"/>
        <w:rPr>
          <w:rFonts w:ascii="Cambria" w:hAnsi="Cambria" w:cs="Calibri Light"/>
          <w:sz w:val="20"/>
          <w:szCs w:val="20"/>
          <w:lang w:val="es-US"/>
        </w:rPr>
      </w:pPr>
      <w:r w:rsidRPr="0073755E">
        <w:rPr>
          <w:rFonts w:ascii="Cambria" w:hAnsi="Cambria"/>
          <w:sz w:val="20"/>
          <w:szCs w:val="20"/>
          <w:lang w:val="es-ES"/>
        </w:rPr>
        <w:t xml:space="preserve">Los peticionarios no han proporcionado información sobre medidas adoptadas por el Estado para cumplir con esta recomendación. </w:t>
      </w:r>
    </w:p>
    <w:p w14:paraId="7E71E931" w14:textId="77777777" w:rsidR="00436B34" w:rsidRPr="0073755E" w:rsidRDefault="00436B34" w:rsidP="00436B34">
      <w:pPr>
        <w:ind w:left="720"/>
        <w:jc w:val="both"/>
        <w:rPr>
          <w:rFonts w:ascii="Cambria" w:hAnsi="Cambria" w:cs="Calibri Light"/>
          <w:sz w:val="20"/>
          <w:szCs w:val="20"/>
          <w:lang w:val="es-US"/>
        </w:rPr>
      </w:pPr>
    </w:p>
    <w:p w14:paraId="730C06D1" w14:textId="44796A9A" w:rsidR="00436B34" w:rsidRPr="0073755E" w:rsidRDefault="00436B34" w:rsidP="00436B34">
      <w:pPr>
        <w:numPr>
          <w:ilvl w:val="0"/>
          <w:numId w:val="11"/>
        </w:numPr>
        <w:ind w:left="0" w:firstLine="720"/>
        <w:jc w:val="both"/>
        <w:rPr>
          <w:rFonts w:ascii="Cambria" w:hAnsi="Cambria" w:cs="Calibri Light"/>
          <w:color w:val="000000" w:themeColor="text1"/>
          <w:sz w:val="20"/>
          <w:szCs w:val="20"/>
          <w:lang w:val="es-US"/>
        </w:rPr>
      </w:pPr>
      <w:r w:rsidRPr="0073755E">
        <w:rPr>
          <w:rFonts w:ascii="Cambria" w:hAnsi="Cambria" w:cs="Calibri Light"/>
          <w:sz w:val="20"/>
          <w:szCs w:val="20"/>
          <w:lang w:val="es-US"/>
        </w:rPr>
        <w:t xml:space="preserve">La Comisión reitera </w:t>
      </w:r>
      <w:r w:rsidRPr="0073755E">
        <w:rPr>
          <w:rFonts w:ascii="Cambria" w:hAnsi="Cambria"/>
          <w:sz w:val="20"/>
          <w:szCs w:val="20"/>
          <w:lang w:val="es-ES"/>
        </w:rPr>
        <w:t>que, a pesar de los esfuerzos realizados por parte del Estado para adecuar su legislación a la Convención Americana, no se ha registrado avances en los trámites constitucionales de los proyectos de ley presentados por el Ejecutivo al Congreso desde 2009. Dado que la adecuación de la legislación interna a la Convención Americana requiere del concurso de todos Poderes Públicos del Estado chileno, se insta al poder legislativo a dar cumplimiento a esta recomendación</w:t>
      </w:r>
      <w:r w:rsidRPr="0073755E">
        <w:rPr>
          <w:rStyle w:val="FootnoteReference"/>
          <w:rFonts w:ascii="Cambria" w:hAnsi="Cambria"/>
          <w:sz w:val="20"/>
          <w:szCs w:val="20"/>
          <w:lang w:val="es-ES"/>
        </w:rPr>
        <w:footnoteReference w:id="10"/>
      </w:r>
      <w:r w:rsidRPr="0073755E">
        <w:rPr>
          <w:rFonts w:ascii="Cambria" w:hAnsi="Cambria"/>
          <w:sz w:val="20"/>
          <w:szCs w:val="20"/>
          <w:lang w:val="es-ES"/>
        </w:rPr>
        <w:t>. Además, la CIDH insta al Estado a proporcionar información actualizada y detallada sobre el estado actual de los dos proyectos de ley</w:t>
      </w:r>
      <w:r w:rsidRPr="0073755E">
        <w:rPr>
          <w:rFonts w:ascii="Cambria" w:hAnsi="Cambria"/>
          <w:color w:val="000000" w:themeColor="text1"/>
          <w:sz w:val="20"/>
          <w:szCs w:val="20"/>
          <w:lang w:val="es-ES"/>
        </w:rPr>
        <w:t xml:space="preserve">. </w:t>
      </w:r>
      <w:r w:rsidRPr="0073755E">
        <w:rPr>
          <w:rFonts w:ascii="Cambria" w:hAnsi="Cambria" w:cs="Calibri Light"/>
          <w:color w:val="000000" w:themeColor="text1"/>
          <w:sz w:val="20"/>
          <w:szCs w:val="20"/>
          <w:lang w:val="es-US"/>
        </w:rPr>
        <w:t>Por lo anterior, la CIDH considera que la Recomendación 2 se encuentra pendiente de cumplimiento.</w:t>
      </w:r>
    </w:p>
    <w:p w14:paraId="2F6E703F" w14:textId="77777777" w:rsidR="00436B34" w:rsidRPr="0073755E" w:rsidRDefault="00436B34" w:rsidP="00436B34">
      <w:pPr>
        <w:rPr>
          <w:rFonts w:ascii="Cambria" w:hAnsi="Cambria"/>
          <w:color w:val="FF0000"/>
          <w:sz w:val="20"/>
          <w:szCs w:val="20"/>
          <w:lang w:val="es-US"/>
        </w:rPr>
      </w:pPr>
    </w:p>
    <w:p w14:paraId="3AD4DF27" w14:textId="77777777" w:rsidR="00436B34" w:rsidRPr="0073755E" w:rsidRDefault="00436B34" w:rsidP="00436B34">
      <w:pPr>
        <w:pStyle w:val="ListParagraph"/>
        <w:numPr>
          <w:ilvl w:val="0"/>
          <w:numId w:val="8"/>
        </w:numPr>
        <w:ind w:left="1440"/>
        <w:jc w:val="both"/>
        <w:rPr>
          <w:rFonts w:ascii="Cambria" w:hAnsi="Cambria" w:cs="Calibri Light"/>
          <w:b/>
          <w:sz w:val="20"/>
          <w:szCs w:val="20"/>
          <w:lang w:val="es-US"/>
        </w:rPr>
      </w:pPr>
      <w:r w:rsidRPr="0073755E">
        <w:rPr>
          <w:rFonts w:ascii="Cambria" w:hAnsi="Cambria" w:cs="Calibri Light"/>
          <w:b/>
          <w:sz w:val="20"/>
          <w:szCs w:val="20"/>
          <w:lang w:val="es-US"/>
        </w:rPr>
        <w:t xml:space="preserve">Nivel del cumplimiento del caso </w:t>
      </w:r>
    </w:p>
    <w:p w14:paraId="1381B2D6" w14:textId="77777777" w:rsidR="00436B34" w:rsidRPr="0073755E" w:rsidRDefault="00436B34" w:rsidP="00436B34">
      <w:pPr>
        <w:jc w:val="both"/>
        <w:rPr>
          <w:rFonts w:ascii="Cambria" w:hAnsi="Cambria" w:cs="Calibri Light"/>
          <w:sz w:val="20"/>
          <w:szCs w:val="20"/>
          <w:lang w:val="es-US"/>
        </w:rPr>
      </w:pPr>
    </w:p>
    <w:p w14:paraId="71B68325" w14:textId="77777777" w:rsidR="00436B34" w:rsidRPr="0073755E" w:rsidRDefault="00436B34" w:rsidP="00436B34">
      <w:pPr>
        <w:numPr>
          <w:ilvl w:val="0"/>
          <w:numId w:val="11"/>
        </w:numPr>
        <w:ind w:left="0" w:firstLine="720"/>
        <w:jc w:val="both"/>
        <w:rPr>
          <w:rFonts w:ascii="Cambria" w:hAnsi="Cambria" w:cs="Calibri Light"/>
          <w:color w:val="FF0000"/>
          <w:sz w:val="20"/>
          <w:szCs w:val="20"/>
          <w:lang w:val="es-US"/>
        </w:rPr>
      </w:pPr>
      <w:r w:rsidRPr="0073755E">
        <w:rPr>
          <w:rFonts w:ascii="Cambria" w:hAnsi="Cambria" w:cs="Calibri Light"/>
          <w:sz w:val="20"/>
          <w:szCs w:val="20"/>
          <w:lang w:val="es-US"/>
        </w:rPr>
        <w:t xml:space="preserve">Por lo anterior, la Comisión concluye que el nivel de cumplimiento del caso es </w:t>
      </w:r>
      <w:r w:rsidRPr="0073755E">
        <w:rPr>
          <w:rFonts w:ascii="Cambria" w:hAnsi="Cambria" w:cs="Calibri Light"/>
          <w:color w:val="000000" w:themeColor="text1"/>
          <w:sz w:val="20"/>
          <w:szCs w:val="20"/>
          <w:lang w:val="es-US"/>
        </w:rPr>
        <w:t xml:space="preserve">parcial. En consecuencia, la CIDH seguirá supervisando el cumplimiento las recomendaciones 1 y 2. </w:t>
      </w:r>
    </w:p>
    <w:p w14:paraId="01D2269E" w14:textId="77777777" w:rsidR="00436B34" w:rsidRPr="0073755E" w:rsidRDefault="00436B34" w:rsidP="00436B34">
      <w:pPr>
        <w:ind w:left="720"/>
        <w:jc w:val="both"/>
        <w:rPr>
          <w:rFonts w:ascii="Cambria" w:hAnsi="Cambria" w:cs="Calibri Light"/>
          <w:sz w:val="20"/>
          <w:szCs w:val="20"/>
          <w:lang w:val="es-US"/>
        </w:rPr>
      </w:pPr>
    </w:p>
    <w:p w14:paraId="76203EC2" w14:textId="7A07C20E" w:rsidR="00436B34" w:rsidRPr="0073755E" w:rsidRDefault="00436B34" w:rsidP="00436B34">
      <w:pPr>
        <w:numPr>
          <w:ilvl w:val="0"/>
          <w:numId w:val="11"/>
        </w:numPr>
        <w:ind w:left="0" w:firstLine="720"/>
        <w:jc w:val="both"/>
        <w:rPr>
          <w:rFonts w:ascii="Cambria" w:hAnsi="Cambria" w:cs="Calibri Light"/>
          <w:sz w:val="20"/>
          <w:szCs w:val="20"/>
          <w:lang w:val="es-US"/>
        </w:rPr>
      </w:pPr>
      <w:r w:rsidRPr="0073755E">
        <w:rPr>
          <w:rFonts w:ascii="Cambria" w:hAnsi="Cambria" w:cs="Calibri Light"/>
          <w:sz w:val="20"/>
          <w:szCs w:val="20"/>
          <w:lang w:val="es-US"/>
        </w:rPr>
        <w:t xml:space="preserve">La CIDH nota que no cuenta con información actualizada de los peticionarios sobre las medidas adoptadas por el Estado para cumplir con las recomendaciones emitidas en el Informe de Fondo Nº 61/01 y les invita a suministrar dicha información.      </w:t>
      </w:r>
    </w:p>
    <w:p w14:paraId="4E147DA2" w14:textId="77777777" w:rsidR="00436B34" w:rsidRPr="0073755E" w:rsidRDefault="00436B34" w:rsidP="00436B34">
      <w:pPr>
        <w:jc w:val="both"/>
        <w:rPr>
          <w:rFonts w:ascii="Cambria" w:hAnsi="Cambria" w:cs="Calibri Light"/>
          <w:sz w:val="20"/>
          <w:szCs w:val="20"/>
          <w:lang w:val="es-US"/>
        </w:rPr>
      </w:pPr>
    </w:p>
    <w:p w14:paraId="032482A7" w14:textId="77777777" w:rsidR="00436B34" w:rsidRPr="0073755E" w:rsidRDefault="00436B34" w:rsidP="00436B34">
      <w:pPr>
        <w:pStyle w:val="ListParagraph"/>
        <w:numPr>
          <w:ilvl w:val="0"/>
          <w:numId w:val="8"/>
        </w:numPr>
        <w:ind w:left="1440"/>
        <w:jc w:val="both"/>
        <w:rPr>
          <w:rFonts w:ascii="Cambria" w:hAnsi="Cambria" w:cs="Calibri Light"/>
          <w:b/>
          <w:sz w:val="20"/>
          <w:szCs w:val="20"/>
          <w:lang w:val="es-US"/>
        </w:rPr>
      </w:pPr>
      <w:r w:rsidRPr="0073755E">
        <w:rPr>
          <w:rFonts w:ascii="Cambria" w:hAnsi="Cambria" w:cs="Calibri Light"/>
          <w:b/>
          <w:sz w:val="20"/>
          <w:szCs w:val="20"/>
          <w:lang w:val="es-US"/>
        </w:rPr>
        <w:t xml:space="preserve">Resultados individuales y estructurales del caso </w:t>
      </w:r>
    </w:p>
    <w:p w14:paraId="2AB4E922" w14:textId="77777777" w:rsidR="00436B34" w:rsidRPr="0073755E" w:rsidRDefault="00436B34" w:rsidP="00436B34">
      <w:pPr>
        <w:jc w:val="both"/>
        <w:rPr>
          <w:rFonts w:ascii="Cambria" w:hAnsi="Cambria" w:cs="Calibri Light"/>
          <w:sz w:val="20"/>
          <w:szCs w:val="20"/>
          <w:lang w:val="es-US"/>
        </w:rPr>
      </w:pPr>
    </w:p>
    <w:p w14:paraId="79607420" w14:textId="77777777" w:rsidR="00436B34" w:rsidRPr="0073755E" w:rsidRDefault="00436B34" w:rsidP="00436B34">
      <w:pPr>
        <w:numPr>
          <w:ilvl w:val="0"/>
          <w:numId w:val="11"/>
        </w:numPr>
        <w:ind w:left="0" w:firstLine="720"/>
        <w:jc w:val="both"/>
        <w:rPr>
          <w:rFonts w:ascii="Cambria" w:hAnsi="Cambria" w:cs="Calibri Light"/>
          <w:sz w:val="20"/>
          <w:szCs w:val="20"/>
          <w:lang w:val="es-US"/>
        </w:rPr>
      </w:pPr>
      <w:r w:rsidRPr="0073755E">
        <w:rPr>
          <w:rFonts w:ascii="Cambria" w:hAnsi="Cambria" w:cs="Calibri Light"/>
          <w:sz w:val="20"/>
          <w:szCs w:val="20"/>
          <w:lang w:val="es-US"/>
        </w:rPr>
        <w:lastRenderedPageBreak/>
        <w:t xml:space="preserve">En esta sección se destacan los resultados individuales y estructurales del caso informados por las partes. </w:t>
      </w:r>
    </w:p>
    <w:p w14:paraId="0453D801" w14:textId="77777777" w:rsidR="00436B34" w:rsidRPr="0073755E" w:rsidRDefault="00436B34" w:rsidP="00436B34">
      <w:pPr>
        <w:ind w:left="720"/>
        <w:jc w:val="both"/>
        <w:rPr>
          <w:rFonts w:ascii="Cambria" w:hAnsi="Cambria" w:cs="Calibri Light"/>
          <w:sz w:val="20"/>
          <w:szCs w:val="20"/>
          <w:lang w:val="es-US"/>
        </w:rPr>
      </w:pPr>
    </w:p>
    <w:p w14:paraId="1F9252E4" w14:textId="77777777" w:rsidR="00436B34" w:rsidRPr="0073755E" w:rsidRDefault="00436B34" w:rsidP="00436B34">
      <w:pPr>
        <w:pStyle w:val="ListParagraph"/>
        <w:numPr>
          <w:ilvl w:val="0"/>
          <w:numId w:val="9"/>
        </w:numPr>
        <w:ind w:left="1440" w:hanging="720"/>
        <w:jc w:val="both"/>
        <w:rPr>
          <w:rFonts w:ascii="Cambria" w:hAnsi="Cambria" w:cs="Calibri Light"/>
          <w:b/>
          <w:sz w:val="20"/>
          <w:szCs w:val="20"/>
          <w:lang w:val="es-US"/>
        </w:rPr>
      </w:pPr>
      <w:r w:rsidRPr="0073755E">
        <w:rPr>
          <w:rFonts w:ascii="Cambria" w:hAnsi="Cambria" w:cs="Calibri Light"/>
          <w:b/>
          <w:sz w:val="20"/>
          <w:szCs w:val="20"/>
          <w:lang w:val="es-US"/>
        </w:rPr>
        <w:t>Resultados individuales del caso</w:t>
      </w:r>
    </w:p>
    <w:p w14:paraId="4B82B4F7" w14:textId="77777777" w:rsidR="00436B34" w:rsidRPr="0073755E" w:rsidRDefault="00436B34" w:rsidP="00436B34">
      <w:pPr>
        <w:jc w:val="both"/>
        <w:rPr>
          <w:rFonts w:ascii="Cambria" w:hAnsi="Cambria" w:cs="Calibri Light"/>
          <w:b/>
          <w:sz w:val="20"/>
          <w:szCs w:val="20"/>
          <w:lang w:val="es-US"/>
        </w:rPr>
      </w:pPr>
    </w:p>
    <w:p w14:paraId="70655426" w14:textId="77777777" w:rsidR="00436B34" w:rsidRPr="0073755E" w:rsidRDefault="00436B34" w:rsidP="00436B34">
      <w:pPr>
        <w:jc w:val="both"/>
        <w:rPr>
          <w:rFonts w:ascii="Cambria" w:hAnsi="Cambria" w:cs="Calibri Light"/>
          <w:i/>
          <w:sz w:val="20"/>
          <w:szCs w:val="20"/>
          <w:lang w:val="es-US"/>
        </w:rPr>
      </w:pPr>
      <w:r w:rsidRPr="0073755E">
        <w:rPr>
          <w:rFonts w:ascii="Cambria" w:hAnsi="Cambria" w:cs="Calibri Light"/>
          <w:i/>
          <w:sz w:val="20"/>
          <w:szCs w:val="20"/>
          <w:lang w:val="es-US"/>
        </w:rPr>
        <w:t>Medidas de compensación pecuniaria</w:t>
      </w:r>
    </w:p>
    <w:p w14:paraId="7A5A2FA3" w14:textId="77777777" w:rsidR="00436B34" w:rsidRPr="0073755E" w:rsidRDefault="00436B34" w:rsidP="00436B34">
      <w:pPr>
        <w:pStyle w:val="ListParagraph"/>
        <w:numPr>
          <w:ilvl w:val="0"/>
          <w:numId w:val="10"/>
        </w:numPr>
        <w:jc w:val="both"/>
        <w:rPr>
          <w:rFonts w:ascii="Cambria" w:hAnsi="Cambria" w:cs="Calibri Light"/>
          <w:sz w:val="20"/>
          <w:szCs w:val="20"/>
          <w:lang w:val="es-US"/>
        </w:rPr>
      </w:pPr>
      <w:r w:rsidRPr="0073755E">
        <w:rPr>
          <w:rFonts w:ascii="Cambria" w:hAnsi="Cambria" w:cs="Calibri Light"/>
          <w:sz w:val="20"/>
          <w:szCs w:val="20"/>
          <w:lang w:val="es-US"/>
        </w:rPr>
        <w:t xml:space="preserve">Entrega de reparaciones económicas a favor </w:t>
      </w:r>
      <w:r w:rsidRPr="0073755E">
        <w:rPr>
          <w:rFonts w:ascii="Cambria" w:eastAsia="Times New Roman" w:hAnsi="Cambria"/>
          <w:sz w:val="20"/>
          <w:szCs w:val="20"/>
          <w:lang w:val="es-ES_tradnl"/>
        </w:rPr>
        <w:t xml:space="preserve">de los familiares del señor Samuel Alfonso Catalán </w:t>
      </w:r>
      <w:proofErr w:type="spellStart"/>
      <w:r w:rsidRPr="0073755E">
        <w:rPr>
          <w:rFonts w:ascii="Cambria" w:eastAsia="Times New Roman" w:hAnsi="Cambria"/>
          <w:sz w:val="20"/>
          <w:szCs w:val="20"/>
          <w:lang w:val="es-ES_tradnl"/>
        </w:rPr>
        <w:t>Lincoleo</w:t>
      </w:r>
      <w:proofErr w:type="spellEnd"/>
      <w:r w:rsidRPr="0073755E">
        <w:rPr>
          <w:rFonts w:ascii="Cambria" w:eastAsia="Times New Roman" w:hAnsi="Cambria"/>
          <w:sz w:val="20"/>
          <w:szCs w:val="20"/>
          <w:lang w:val="es-ES_tradnl"/>
        </w:rPr>
        <w:t xml:space="preserve">: Sofía </w:t>
      </w:r>
      <w:proofErr w:type="spellStart"/>
      <w:r w:rsidRPr="0073755E">
        <w:rPr>
          <w:rFonts w:ascii="Cambria" w:eastAsia="Times New Roman" w:hAnsi="Cambria"/>
          <w:sz w:val="20"/>
          <w:szCs w:val="20"/>
          <w:lang w:val="es-ES_tradnl"/>
        </w:rPr>
        <w:t>Lincoleo</w:t>
      </w:r>
      <w:proofErr w:type="spellEnd"/>
      <w:r w:rsidRPr="0073755E">
        <w:rPr>
          <w:rFonts w:ascii="Cambria" w:eastAsia="Times New Roman" w:hAnsi="Cambria"/>
          <w:sz w:val="20"/>
          <w:szCs w:val="20"/>
          <w:lang w:val="es-ES_tradnl"/>
        </w:rPr>
        <w:t xml:space="preserve"> Montero (madre), </w:t>
      </w:r>
      <w:proofErr w:type="spellStart"/>
      <w:r w:rsidRPr="0073755E">
        <w:rPr>
          <w:rFonts w:ascii="Cambria" w:eastAsia="Times New Roman" w:hAnsi="Cambria"/>
          <w:sz w:val="20"/>
          <w:szCs w:val="20"/>
          <w:lang w:val="es-ES_tradnl"/>
        </w:rPr>
        <w:t>Adrina</w:t>
      </w:r>
      <w:proofErr w:type="spellEnd"/>
      <w:r w:rsidRPr="0073755E">
        <w:rPr>
          <w:rFonts w:ascii="Cambria" w:eastAsia="Times New Roman" w:hAnsi="Cambria"/>
          <w:sz w:val="20"/>
          <w:szCs w:val="20"/>
          <w:lang w:val="es-ES_tradnl"/>
        </w:rPr>
        <w:t xml:space="preserve"> del Carmen Albarrán </w:t>
      </w:r>
      <w:proofErr w:type="spellStart"/>
      <w:r w:rsidRPr="0073755E">
        <w:rPr>
          <w:rFonts w:ascii="Cambria" w:eastAsia="Times New Roman" w:hAnsi="Cambria"/>
          <w:sz w:val="20"/>
          <w:szCs w:val="20"/>
          <w:lang w:val="es-ES_tradnl"/>
        </w:rPr>
        <w:t>Contres</w:t>
      </w:r>
      <w:proofErr w:type="spellEnd"/>
      <w:r w:rsidRPr="0073755E">
        <w:rPr>
          <w:rFonts w:ascii="Cambria" w:eastAsia="Times New Roman" w:hAnsi="Cambria"/>
          <w:sz w:val="20"/>
          <w:szCs w:val="20"/>
          <w:lang w:val="es-ES_tradnl"/>
        </w:rPr>
        <w:t xml:space="preserve"> y Gabriela Isidoro </w:t>
      </w:r>
      <w:proofErr w:type="spellStart"/>
      <w:r w:rsidRPr="0073755E">
        <w:rPr>
          <w:rFonts w:ascii="Cambria" w:eastAsia="Times New Roman" w:hAnsi="Cambria"/>
          <w:sz w:val="20"/>
          <w:szCs w:val="20"/>
          <w:lang w:val="es-ES_tradnl"/>
        </w:rPr>
        <w:t>Bucarey</w:t>
      </w:r>
      <w:proofErr w:type="spellEnd"/>
      <w:r w:rsidRPr="0073755E">
        <w:rPr>
          <w:rFonts w:ascii="Cambria" w:eastAsia="Times New Roman" w:hAnsi="Cambria"/>
          <w:sz w:val="20"/>
          <w:szCs w:val="20"/>
          <w:lang w:val="es-ES_tradnl"/>
        </w:rPr>
        <w:t xml:space="preserve"> </w:t>
      </w:r>
      <w:proofErr w:type="spellStart"/>
      <w:r w:rsidRPr="0073755E">
        <w:rPr>
          <w:rFonts w:ascii="Cambria" w:eastAsia="Times New Roman" w:hAnsi="Cambria"/>
          <w:sz w:val="20"/>
          <w:szCs w:val="20"/>
          <w:lang w:val="es-ES_tradnl"/>
        </w:rPr>
        <w:t>Molinet</w:t>
      </w:r>
      <w:proofErr w:type="spellEnd"/>
      <w:r w:rsidRPr="0073755E">
        <w:rPr>
          <w:rFonts w:ascii="Cambria" w:eastAsia="Times New Roman" w:hAnsi="Cambria"/>
          <w:sz w:val="20"/>
          <w:szCs w:val="20"/>
          <w:lang w:val="es-ES_tradnl"/>
        </w:rPr>
        <w:t xml:space="preserve"> (madres de sus hijos), Samuel Miguel Catalán Albarrán (hijo), Elena del Carmen Catalán </w:t>
      </w:r>
      <w:proofErr w:type="spellStart"/>
      <w:r w:rsidRPr="0073755E">
        <w:rPr>
          <w:rFonts w:ascii="Cambria" w:eastAsia="Times New Roman" w:hAnsi="Cambria"/>
          <w:sz w:val="20"/>
          <w:szCs w:val="20"/>
          <w:lang w:val="es-ES_tradnl"/>
        </w:rPr>
        <w:t>Bucarey</w:t>
      </w:r>
      <w:proofErr w:type="spellEnd"/>
      <w:r w:rsidRPr="0073755E">
        <w:rPr>
          <w:rFonts w:ascii="Cambria" w:eastAsia="Times New Roman" w:hAnsi="Cambria"/>
          <w:sz w:val="20"/>
          <w:szCs w:val="20"/>
          <w:lang w:val="es-ES_tradnl"/>
        </w:rPr>
        <w:t xml:space="preserve"> (hija) y los ocho hermanos del señor </w:t>
      </w:r>
      <w:proofErr w:type="gramStart"/>
      <w:r w:rsidRPr="0073755E">
        <w:rPr>
          <w:rFonts w:ascii="Cambria" w:eastAsia="Times New Roman" w:hAnsi="Cambria"/>
          <w:sz w:val="20"/>
          <w:szCs w:val="20"/>
          <w:lang w:val="es-ES_tradnl"/>
        </w:rPr>
        <w:t>Catalán</w:t>
      </w:r>
      <w:proofErr w:type="gramEnd"/>
      <w:r w:rsidRPr="0073755E">
        <w:rPr>
          <w:rFonts w:ascii="Cambria" w:eastAsia="Times New Roman" w:hAnsi="Cambria"/>
          <w:sz w:val="20"/>
          <w:szCs w:val="20"/>
          <w:lang w:val="es-ES_tradnl"/>
        </w:rPr>
        <w:t xml:space="preserve"> </w:t>
      </w:r>
      <w:proofErr w:type="spellStart"/>
      <w:r w:rsidRPr="0073755E">
        <w:rPr>
          <w:rFonts w:ascii="Cambria" w:eastAsia="Times New Roman" w:hAnsi="Cambria"/>
          <w:sz w:val="20"/>
          <w:szCs w:val="20"/>
          <w:lang w:val="es-ES_tradnl"/>
        </w:rPr>
        <w:t>Lincoleo</w:t>
      </w:r>
      <w:proofErr w:type="spellEnd"/>
      <w:r w:rsidRPr="0073755E">
        <w:rPr>
          <w:rFonts w:ascii="Cambria" w:eastAsia="Times New Roman" w:hAnsi="Cambria"/>
          <w:sz w:val="20"/>
          <w:szCs w:val="20"/>
          <w:lang w:val="es-ES_tradnl"/>
        </w:rPr>
        <w:t xml:space="preserve">, incluyendo la pensión de reparación de carácter vitalicio establecida por la Ley 19.123 y el bono de reparación de la Ley 19.980. El monto total de las reparaciones percibidas por los familiares de la víctima hasta diciembre de 2007 era de $113.804,00 USD. </w:t>
      </w:r>
    </w:p>
    <w:p w14:paraId="70E2678A" w14:textId="77777777" w:rsidR="00436B34" w:rsidRPr="0073755E" w:rsidRDefault="00436B34" w:rsidP="00436B34">
      <w:pPr>
        <w:pStyle w:val="ListParagraph"/>
        <w:ind w:left="0"/>
        <w:jc w:val="both"/>
        <w:rPr>
          <w:rFonts w:ascii="Cambria" w:eastAsia="Times New Roman" w:hAnsi="Cambria"/>
          <w:sz w:val="20"/>
          <w:szCs w:val="20"/>
          <w:lang w:val="es-CR"/>
        </w:rPr>
      </w:pPr>
    </w:p>
    <w:p w14:paraId="38AB058E" w14:textId="77777777" w:rsidR="00436B34" w:rsidRPr="0073755E" w:rsidRDefault="00436B34" w:rsidP="00436B34">
      <w:pPr>
        <w:jc w:val="both"/>
        <w:rPr>
          <w:rFonts w:ascii="Cambria" w:hAnsi="Cambria"/>
          <w:i/>
          <w:sz w:val="20"/>
          <w:szCs w:val="20"/>
          <w:lang w:val="es-ES_tradnl"/>
        </w:rPr>
      </w:pPr>
      <w:r w:rsidRPr="0073755E">
        <w:rPr>
          <w:rFonts w:ascii="Cambria" w:hAnsi="Cambria"/>
          <w:i/>
          <w:sz w:val="20"/>
          <w:szCs w:val="20"/>
          <w:lang w:val="es-ES_tradnl"/>
        </w:rPr>
        <w:t xml:space="preserve">Medidas de rehabilitación </w:t>
      </w:r>
    </w:p>
    <w:p w14:paraId="1400EC22" w14:textId="77777777" w:rsidR="00436B34" w:rsidRPr="0073755E" w:rsidRDefault="00436B34" w:rsidP="00436B34">
      <w:pPr>
        <w:pStyle w:val="ListParagraph"/>
        <w:numPr>
          <w:ilvl w:val="0"/>
          <w:numId w:val="10"/>
        </w:numPr>
        <w:jc w:val="both"/>
        <w:rPr>
          <w:rFonts w:ascii="Cambria" w:hAnsi="Cambria" w:cs="Calibri Light"/>
          <w:sz w:val="20"/>
          <w:szCs w:val="20"/>
          <w:lang w:val="es-US"/>
        </w:rPr>
      </w:pPr>
      <w:r w:rsidRPr="0073755E">
        <w:rPr>
          <w:rFonts w:ascii="Cambria" w:hAnsi="Cambria" w:cs="Calibri Light"/>
          <w:sz w:val="20"/>
          <w:szCs w:val="20"/>
          <w:lang w:val="es-US"/>
        </w:rPr>
        <w:t xml:space="preserve">Entrega de beneficios educacionales a favor de los hijos de la víctima, </w:t>
      </w:r>
      <w:r w:rsidRPr="0073755E">
        <w:rPr>
          <w:rFonts w:ascii="Cambria" w:eastAsia="Times New Roman" w:hAnsi="Cambria"/>
          <w:sz w:val="20"/>
          <w:szCs w:val="20"/>
          <w:lang w:val="es-ES_tradnl"/>
        </w:rPr>
        <w:t xml:space="preserve">Samuel Miguel Catalán Albarrán y Elena del Carmen Catalán </w:t>
      </w:r>
      <w:proofErr w:type="spellStart"/>
      <w:r w:rsidRPr="0073755E">
        <w:rPr>
          <w:rFonts w:ascii="Cambria" w:eastAsia="Times New Roman" w:hAnsi="Cambria"/>
          <w:sz w:val="20"/>
          <w:szCs w:val="20"/>
          <w:lang w:val="es-ES_tradnl"/>
        </w:rPr>
        <w:t>Bucarey</w:t>
      </w:r>
      <w:proofErr w:type="spellEnd"/>
      <w:r w:rsidRPr="0073755E">
        <w:rPr>
          <w:rFonts w:ascii="Cambria" w:eastAsia="Times New Roman" w:hAnsi="Cambria"/>
          <w:sz w:val="20"/>
          <w:szCs w:val="20"/>
          <w:lang w:val="es-ES_tradnl"/>
        </w:rPr>
        <w:t xml:space="preserve">. </w:t>
      </w:r>
    </w:p>
    <w:p w14:paraId="026F9C23" w14:textId="77777777" w:rsidR="00436B34" w:rsidRPr="0073755E" w:rsidRDefault="00436B34" w:rsidP="00436B34">
      <w:pPr>
        <w:pStyle w:val="ListParagraph"/>
        <w:ind w:left="0"/>
        <w:jc w:val="both"/>
        <w:rPr>
          <w:rFonts w:ascii="Cambria" w:hAnsi="Cambria" w:cs="Calibri Light"/>
          <w:sz w:val="20"/>
          <w:szCs w:val="20"/>
          <w:lang w:val="es-US"/>
        </w:rPr>
      </w:pPr>
    </w:p>
    <w:p w14:paraId="0EC59EA5" w14:textId="77777777" w:rsidR="00436B34" w:rsidRPr="0073755E" w:rsidRDefault="00436B34" w:rsidP="00436B34">
      <w:pPr>
        <w:jc w:val="both"/>
        <w:rPr>
          <w:rFonts w:ascii="Cambria" w:hAnsi="Cambria" w:cs="Calibri Light"/>
          <w:i/>
          <w:sz w:val="20"/>
          <w:szCs w:val="20"/>
          <w:lang w:val="es-US"/>
        </w:rPr>
      </w:pPr>
      <w:r w:rsidRPr="0073755E">
        <w:rPr>
          <w:rFonts w:ascii="Cambria" w:hAnsi="Cambria"/>
          <w:i/>
          <w:sz w:val="20"/>
          <w:szCs w:val="20"/>
          <w:lang w:val="es-ES_tradnl"/>
        </w:rPr>
        <w:t xml:space="preserve">Medidas de satisfacción </w:t>
      </w:r>
    </w:p>
    <w:p w14:paraId="4E63CEB3" w14:textId="77777777" w:rsidR="00436B34" w:rsidRPr="0073755E" w:rsidRDefault="00436B34" w:rsidP="00436B34">
      <w:pPr>
        <w:pStyle w:val="ListParagraph"/>
        <w:numPr>
          <w:ilvl w:val="0"/>
          <w:numId w:val="10"/>
        </w:numPr>
        <w:jc w:val="both"/>
        <w:rPr>
          <w:rFonts w:ascii="Cambria" w:hAnsi="Cambria" w:cs="Calibri Light"/>
          <w:sz w:val="20"/>
          <w:szCs w:val="20"/>
          <w:lang w:val="es-US"/>
        </w:rPr>
      </w:pPr>
      <w:r w:rsidRPr="0073755E">
        <w:rPr>
          <w:rFonts w:ascii="Cambria" w:eastAsia="Times New Roman" w:hAnsi="Cambria"/>
          <w:sz w:val="20"/>
          <w:szCs w:val="20"/>
          <w:lang w:val="es-ES_tradnl"/>
        </w:rPr>
        <w:t xml:space="preserve">El nombre de Samuel Alfonso Catalán </w:t>
      </w:r>
      <w:proofErr w:type="spellStart"/>
      <w:r w:rsidRPr="0073755E">
        <w:rPr>
          <w:rFonts w:ascii="Cambria" w:eastAsia="Times New Roman" w:hAnsi="Cambria"/>
          <w:sz w:val="20"/>
          <w:szCs w:val="20"/>
          <w:lang w:val="es-ES_tradnl"/>
        </w:rPr>
        <w:t>Lincoleo</w:t>
      </w:r>
      <w:proofErr w:type="spellEnd"/>
      <w:r w:rsidRPr="0073755E">
        <w:rPr>
          <w:rFonts w:ascii="Cambria" w:eastAsia="Times New Roman" w:hAnsi="Cambria"/>
          <w:sz w:val="20"/>
          <w:szCs w:val="20"/>
          <w:lang w:val="es-ES_tradnl"/>
        </w:rPr>
        <w:t xml:space="preserve"> fue incluido en la lista de más de 3.000 víctimas de violaciones de derechos humanos entre septiembre de 1973 y marzo de 1990, que se encuentra emplazada en el Memorial del Cementerio General de Santiago de Chile, descrito como “el principal hito de la política de construcción de memoriales y la obra más importante erigida en el país de conservación de la memoria histórica y de reivindicación del buen nombre y la dignidad de las víctimas”. </w:t>
      </w:r>
    </w:p>
    <w:p w14:paraId="65FD80B1" w14:textId="77777777" w:rsidR="00436B34" w:rsidRPr="0073755E" w:rsidRDefault="00436B34" w:rsidP="00436B34">
      <w:pPr>
        <w:jc w:val="both"/>
        <w:rPr>
          <w:rFonts w:ascii="Cambria" w:hAnsi="Cambria" w:cs="Calibri Light"/>
          <w:sz w:val="20"/>
          <w:szCs w:val="20"/>
          <w:lang w:val="es-CR"/>
        </w:rPr>
      </w:pPr>
    </w:p>
    <w:p w14:paraId="493EF412" w14:textId="77777777" w:rsidR="00436B34" w:rsidRPr="0073755E" w:rsidRDefault="00436B34" w:rsidP="00436B34">
      <w:pPr>
        <w:pStyle w:val="ListParagraph"/>
        <w:numPr>
          <w:ilvl w:val="0"/>
          <w:numId w:val="9"/>
        </w:numPr>
        <w:ind w:left="1440" w:hanging="720"/>
        <w:jc w:val="both"/>
        <w:rPr>
          <w:rFonts w:ascii="Cambria" w:hAnsi="Cambria" w:cs="Calibri Light"/>
          <w:b/>
          <w:sz w:val="20"/>
          <w:szCs w:val="20"/>
          <w:lang w:val="es-US"/>
        </w:rPr>
      </w:pPr>
      <w:r w:rsidRPr="0073755E">
        <w:rPr>
          <w:rFonts w:ascii="Cambria" w:hAnsi="Cambria" w:cs="Calibri Light"/>
          <w:b/>
          <w:sz w:val="20"/>
          <w:szCs w:val="20"/>
          <w:lang w:val="es-US"/>
        </w:rPr>
        <w:t>Resultados estructurales del caso</w:t>
      </w:r>
    </w:p>
    <w:p w14:paraId="0F26345A" w14:textId="77777777" w:rsidR="00436B34" w:rsidRPr="0073755E" w:rsidRDefault="00436B34" w:rsidP="00436B34">
      <w:pPr>
        <w:rPr>
          <w:rFonts w:ascii="Cambria" w:hAnsi="Cambria"/>
          <w:sz w:val="20"/>
          <w:szCs w:val="20"/>
          <w:lang w:val="es-ES"/>
        </w:rPr>
      </w:pPr>
    </w:p>
    <w:p w14:paraId="47B3240E" w14:textId="77777777" w:rsidR="00436B34" w:rsidRPr="0073755E" w:rsidRDefault="00436B34" w:rsidP="00436B34">
      <w:pPr>
        <w:pStyle w:val="ListParagraph"/>
        <w:numPr>
          <w:ilvl w:val="0"/>
          <w:numId w:val="10"/>
        </w:numPr>
        <w:jc w:val="both"/>
        <w:rPr>
          <w:rFonts w:ascii="Cambria" w:hAnsi="Cambria" w:cs="Calibri Light"/>
          <w:sz w:val="20"/>
          <w:szCs w:val="20"/>
          <w:lang w:val="es-US"/>
        </w:rPr>
      </w:pPr>
      <w:r w:rsidRPr="0073755E">
        <w:rPr>
          <w:rFonts w:ascii="Cambria" w:hAnsi="Cambria" w:cs="Calibri Light"/>
          <w:sz w:val="20"/>
          <w:szCs w:val="20"/>
          <w:lang w:val="es-US"/>
        </w:rPr>
        <w:t xml:space="preserve">No hay resultados estructurales informados por las partes. </w:t>
      </w:r>
      <w:bookmarkStart w:id="0" w:name="_GoBack"/>
      <w:bookmarkEnd w:id="0"/>
    </w:p>
    <w:sectPr w:rsidR="00436B34" w:rsidRPr="0073755E" w:rsidSect="00566CD0">
      <w:headerReference w:type="default" r:id="rId9"/>
      <w:foot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C89E0" w14:textId="77777777" w:rsidR="00AE73B5" w:rsidRDefault="00AE73B5" w:rsidP="00672733">
      <w:r>
        <w:separator/>
      </w:r>
    </w:p>
  </w:endnote>
  <w:endnote w:type="continuationSeparator" w:id="0">
    <w:p w14:paraId="7F99BAEC" w14:textId="77777777" w:rsidR="00AE73B5" w:rsidRDefault="00AE73B5"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E7DE" w14:textId="6A307DB5"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73755E">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DB27F" w14:textId="77777777" w:rsidR="00AE73B5" w:rsidRDefault="00AE73B5" w:rsidP="00672733">
      <w:r>
        <w:separator/>
      </w:r>
    </w:p>
  </w:footnote>
  <w:footnote w:type="continuationSeparator" w:id="0">
    <w:p w14:paraId="15E41A60" w14:textId="77777777" w:rsidR="00AE73B5" w:rsidRDefault="00AE73B5" w:rsidP="00672733">
      <w:r>
        <w:continuationSeparator/>
      </w:r>
    </w:p>
  </w:footnote>
  <w:footnote w:id="1">
    <w:p w14:paraId="1277903F" w14:textId="77777777" w:rsidR="00436B34" w:rsidRPr="00F267B1" w:rsidRDefault="00436B34" w:rsidP="00436B34">
      <w:pPr>
        <w:pStyle w:val="FootnoteText"/>
        <w:spacing w:after="120"/>
        <w:ind w:firstLine="720"/>
        <w:jc w:val="both"/>
        <w:rPr>
          <w:rFonts w:ascii="Cambria" w:hAnsi="Cambria"/>
          <w:sz w:val="16"/>
          <w:szCs w:val="16"/>
          <w:lang w:val="es-ES"/>
        </w:rPr>
      </w:pPr>
      <w:r w:rsidRPr="00F267B1">
        <w:rPr>
          <w:rStyle w:val="FootnoteReference"/>
          <w:rFonts w:ascii="Cambria" w:hAnsi="Cambria"/>
          <w:sz w:val="16"/>
          <w:szCs w:val="16"/>
          <w:lang w:val="es-ES"/>
        </w:rPr>
        <w:footnoteRef/>
      </w:r>
      <w:r w:rsidRPr="00F267B1">
        <w:rPr>
          <w:rFonts w:ascii="Cambria" w:hAnsi="Cambria"/>
          <w:sz w:val="16"/>
          <w:szCs w:val="16"/>
          <w:lang w:val="es-ES"/>
        </w:rPr>
        <w:t xml:space="preserve"> CIDH, Informe Anual 2009, Capítulo III, </w:t>
      </w:r>
      <w:hyperlink r:id="rId1" w:history="1">
        <w:r w:rsidRPr="00F267B1">
          <w:rPr>
            <w:rStyle w:val="Hyperlink"/>
            <w:rFonts w:ascii="Cambria" w:hAnsi="Cambria"/>
            <w:sz w:val="16"/>
            <w:szCs w:val="16"/>
            <w:lang w:val="es-ES"/>
          </w:rPr>
          <w:t>Sección D: Estado del cumplimiento de las recomendaciones de la CIDH</w:t>
        </w:r>
      </w:hyperlink>
      <w:r w:rsidRPr="00F267B1">
        <w:rPr>
          <w:rFonts w:ascii="Cambria" w:hAnsi="Cambria"/>
          <w:sz w:val="16"/>
          <w:szCs w:val="16"/>
          <w:lang w:val="es-ES"/>
        </w:rPr>
        <w:t xml:space="preserve">, párr. 206. </w:t>
      </w:r>
    </w:p>
  </w:footnote>
  <w:footnote w:id="2">
    <w:p w14:paraId="0FE56B73" w14:textId="77777777" w:rsidR="00436B34" w:rsidRPr="003F32A9" w:rsidRDefault="00436B34" w:rsidP="00436B34">
      <w:pPr>
        <w:pStyle w:val="FootnoteText"/>
        <w:spacing w:after="120"/>
        <w:ind w:firstLine="720"/>
        <w:jc w:val="both"/>
        <w:rPr>
          <w:rFonts w:ascii="Cambria" w:hAnsi="Cambria"/>
          <w:sz w:val="16"/>
          <w:szCs w:val="16"/>
          <w:lang w:val="es-ES"/>
        </w:rPr>
      </w:pPr>
      <w:r w:rsidRPr="003F32A9">
        <w:rPr>
          <w:rStyle w:val="FootnoteReference"/>
          <w:rFonts w:ascii="Cambria" w:hAnsi="Cambria"/>
          <w:sz w:val="16"/>
          <w:szCs w:val="16"/>
        </w:rPr>
        <w:footnoteRef/>
      </w:r>
      <w:r w:rsidRPr="003F32A9">
        <w:rPr>
          <w:rFonts w:ascii="Cambria" w:hAnsi="Cambria"/>
          <w:sz w:val="16"/>
          <w:szCs w:val="16"/>
          <w:lang w:val="es-ES"/>
        </w:rPr>
        <w:t xml:space="preserve"> CIDH, Informe Anual 2017, </w:t>
      </w:r>
      <w:hyperlink r:id="rId2" w:history="1">
        <w:r w:rsidRPr="003F32A9">
          <w:rPr>
            <w:rStyle w:val="Hyperlink"/>
            <w:rFonts w:ascii="Cambria" w:hAnsi="Cambria"/>
            <w:sz w:val="16"/>
            <w:szCs w:val="16"/>
            <w:lang w:val="es-ES"/>
          </w:rPr>
          <w:t>Capítulo II, Sección F: Estado del cumplimiento de las recomendaciones de la CIDH</w:t>
        </w:r>
      </w:hyperlink>
      <w:r w:rsidRPr="003F32A9">
        <w:rPr>
          <w:rFonts w:ascii="Cambria" w:hAnsi="Cambria"/>
          <w:sz w:val="16"/>
          <w:szCs w:val="16"/>
          <w:lang w:val="es-ES"/>
        </w:rPr>
        <w:t xml:space="preserve">, párr. 518.  </w:t>
      </w:r>
    </w:p>
  </w:footnote>
  <w:footnote w:id="3">
    <w:p w14:paraId="6F57D4D8" w14:textId="77777777" w:rsidR="00436B34" w:rsidRPr="003F32A9" w:rsidRDefault="00436B34" w:rsidP="00436B34">
      <w:pPr>
        <w:pStyle w:val="FootnoteText"/>
        <w:spacing w:after="120"/>
        <w:ind w:firstLine="720"/>
        <w:jc w:val="both"/>
        <w:rPr>
          <w:rFonts w:ascii="Cambria" w:hAnsi="Cambria"/>
          <w:sz w:val="16"/>
          <w:szCs w:val="16"/>
          <w:lang w:val="es-ES"/>
        </w:rPr>
      </w:pPr>
      <w:r w:rsidRPr="003F32A9">
        <w:rPr>
          <w:rStyle w:val="FootnoteReference"/>
          <w:rFonts w:ascii="Cambria" w:hAnsi="Cambria"/>
          <w:sz w:val="16"/>
          <w:szCs w:val="16"/>
        </w:rPr>
        <w:footnoteRef/>
      </w:r>
      <w:r w:rsidRPr="003F32A9">
        <w:rPr>
          <w:rFonts w:ascii="Cambria" w:hAnsi="Cambria"/>
          <w:sz w:val="16"/>
          <w:szCs w:val="16"/>
          <w:lang w:val="es-ES"/>
        </w:rPr>
        <w:t xml:space="preserve"> CIDH, Informe Anual 2017, </w:t>
      </w:r>
      <w:hyperlink r:id="rId3" w:history="1">
        <w:r w:rsidRPr="003F32A9">
          <w:rPr>
            <w:rStyle w:val="Hyperlink"/>
            <w:rFonts w:ascii="Cambria" w:hAnsi="Cambria"/>
            <w:sz w:val="16"/>
            <w:szCs w:val="16"/>
            <w:lang w:val="es-ES"/>
          </w:rPr>
          <w:t>Capítulo II, Sección F: Estado del cumplimiento de las recomendaciones de la CIDH</w:t>
        </w:r>
      </w:hyperlink>
      <w:r w:rsidRPr="003F32A9">
        <w:rPr>
          <w:rFonts w:ascii="Cambria" w:hAnsi="Cambria"/>
          <w:sz w:val="16"/>
          <w:szCs w:val="16"/>
          <w:lang w:val="es-ES"/>
        </w:rPr>
        <w:t xml:space="preserve">, párr. 519.  </w:t>
      </w:r>
    </w:p>
  </w:footnote>
  <w:footnote w:id="4">
    <w:p w14:paraId="178D59E8" w14:textId="77777777" w:rsidR="00436B34" w:rsidRPr="00436B34" w:rsidRDefault="00436B34" w:rsidP="00436B34">
      <w:pPr>
        <w:pStyle w:val="FootnoteText"/>
        <w:spacing w:after="120"/>
        <w:ind w:firstLine="720"/>
        <w:jc w:val="both"/>
        <w:rPr>
          <w:rFonts w:ascii="Cambria" w:hAnsi="Cambria"/>
          <w:sz w:val="16"/>
          <w:szCs w:val="16"/>
          <w:lang w:val="es-CO"/>
        </w:rPr>
      </w:pPr>
      <w:r w:rsidRPr="003F32A9">
        <w:rPr>
          <w:rStyle w:val="FootnoteReference"/>
          <w:rFonts w:ascii="Cambria" w:hAnsi="Cambria"/>
          <w:sz w:val="16"/>
          <w:szCs w:val="16"/>
        </w:rPr>
        <w:footnoteRef/>
      </w:r>
      <w:r w:rsidRPr="003F32A9">
        <w:rPr>
          <w:rFonts w:ascii="Cambria" w:hAnsi="Cambria"/>
          <w:sz w:val="16"/>
          <w:szCs w:val="16"/>
          <w:lang w:val="es-ES"/>
        </w:rPr>
        <w:t xml:space="preserve"> CIDH, Informe Anual 2017, </w:t>
      </w:r>
      <w:hyperlink r:id="rId4" w:history="1">
        <w:r w:rsidRPr="003F32A9">
          <w:rPr>
            <w:rStyle w:val="Hyperlink"/>
            <w:rFonts w:ascii="Cambria" w:hAnsi="Cambria"/>
            <w:sz w:val="16"/>
            <w:szCs w:val="16"/>
            <w:lang w:val="es-ES"/>
          </w:rPr>
          <w:t>Capítulo II, Sección F: Estado del cumplimiento de las recomendaciones de la CIDH</w:t>
        </w:r>
      </w:hyperlink>
      <w:r w:rsidRPr="003F32A9">
        <w:rPr>
          <w:rFonts w:ascii="Cambria" w:hAnsi="Cambria"/>
          <w:sz w:val="16"/>
          <w:szCs w:val="16"/>
          <w:lang w:val="es-ES"/>
        </w:rPr>
        <w:t xml:space="preserve">, párr. 522.  </w:t>
      </w:r>
    </w:p>
  </w:footnote>
  <w:footnote w:id="5">
    <w:p w14:paraId="24BEE170" w14:textId="77777777" w:rsidR="00436B34" w:rsidRPr="003F32A9" w:rsidRDefault="00436B34" w:rsidP="00436B34">
      <w:pPr>
        <w:pStyle w:val="FootnoteText"/>
        <w:spacing w:after="120"/>
        <w:ind w:firstLine="720"/>
        <w:jc w:val="both"/>
        <w:rPr>
          <w:rFonts w:ascii="Cambria" w:hAnsi="Cambria"/>
          <w:sz w:val="16"/>
          <w:szCs w:val="16"/>
          <w:lang w:val="es-US"/>
        </w:rPr>
      </w:pPr>
      <w:r w:rsidRPr="003F32A9">
        <w:rPr>
          <w:rStyle w:val="FootnoteReference"/>
          <w:rFonts w:ascii="Cambria" w:hAnsi="Cambria"/>
          <w:sz w:val="16"/>
          <w:szCs w:val="16"/>
        </w:rPr>
        <w:footnoteRef/>
      </w:r>
      <w:r w:rsidRPr="003F32A9">
        <w:rPr>
          <w:rFonts w:ascii="Cambria" w:hAnsi="Cambria"/>
          <w:sz w:val="16"/>
          <w:szCs w:val="16"/>
          <w:lang w:val="es-ES"/>
        </w:rPr>
        <w:t xml:space="preserve"> </w:t>
      </w:r>
      <w:r w:rsidRPr="003F32A9">
        <w:rPr>
          <w:rFonts w:ascii="Cambria" w:hAnsi="Cambria"/>
          <w:sz w:val="16"/>
          <w:szCs w:val="16"/>
          <w:lang w:val="es-US"/>
        </w:rPr>
        <w:t xml:space="preserve">Corte IDH. </w:t>
      </w:r>
      <w:hyperlink r:id="rId5" w:history="1">
        <w:r>
          <w:rPr>
            <w:rStyle w:val="Hyperlink"/>
            <w:rFonts w:ascii="Cambria" w:hAnsi="Cambria"/>
            <w:sz w:val="16"/>
            <w:szCs w:val="16"/>
            <w:lang w:val="es-US"/>
          </w:rPr>
          <w:t>Caso Albán Cornejo y otros</w:t>
        </w:r>
        <w:r w:rsidRPr="003F32A9">
          <w:rPr>
            <w:rStyle w:val="Hyperlink"/>
            <w:rFonts w:ascii="Cambria" w:hAnsi="Cambria"/>
            <w:sz w:val="16"/>
            <w:szCs w:val="16"/>
            <w:lang w:val="es-US"/>
          </w:rPr>
          <w:t xml:space="preserve"> Vs. Ecuador, Sentencia de 22 de noviembre de 2007</w:t>
        </w:r>
      </w:hyperlink>
      <w:r w:rsidRPr="003F32A9">
        <w:rPr>
          <w:rFonts w:ascii="Cambria" w:hAnsi="Cambria"/>
          <w:sz w:val="16"/>
          <w:szCs w:val="16"/>
          <w:lang w:val="es-US"/>
        </w:rPr>
        <w:t>. Serie C No. 171, párr.</w:t>
      </w:r>
      <w:r w:rsidRPr="003F32A9">
        <w:rPr>
          <w:rFonts w:ascii="Cambria" w:hAnsi="Cambria"/>
          <w:sz w:val="16"/>
          <w:szCs w:val="16"/>
          <w:lang w:val="es-ES"/>
        </w:rPr>
        <w:t xml:space="preserve"> </w:t>
      </w:r>
      <w:r w:rsidRPr="003F32A9">
        <w:rPr>
          <w:rFonts w:ascii="Cambria" w:hAnsi="Cambria"/>
          <w:sz w:val="16"/>
          <w:szCs w:val="16"/>
          <w:lang w:val="es-US"/>
        </w:rPr>
        <w:t>62.</w:t>
      </w:r>
    </w:p>
  </w:footnote>
  <w:footnote w:id="6">
    <w:p w14:paraId="49DB5C74" w14:textId="77777777" w:rsidR="00436B34" w:rsidRPr="00436B34" w:rsidRDefault="00436B34" w:rsidP="00436B34">
      <w:pPr>
        <w:pStyle w:val="FootnoteText"/>
        <w:spacing w:after="120"/>
        <w:ind w:firstLine="720"/>
        <w:jc w:val="both"/>
        <w:rPr>
          <w:lang w:val="es-CO"/>
        </w:rPr>
      </w:pPr>
      <w:r w:rsidRPr="003F32A9">
        <w:rPr>
          <w:rStyle w:val="FootnoteReference"/>
          <w:rFonts w:ascii="Cambria" w:hAnsi="Cambria"/>
          <w:sz w:val="16"/>
          <w:szCs w:val="16"/>
        </w:rPr>
        <w:footnoteRef/>
      </w:r>
      <w:r w:rsidRPr="003F32A9">
        <w:rPr>
          <w:rFonts w:ascii="Cambria" w:hAnsi="Cambria"/>
          <w:sz w:val="16"/>
          <w:szCs w:val="16"/>
          <w:lang w:val="es-ES"/>
        </w:rPr>
        <w:t xml:space="preserve"> CIDH, Informe Anual 2017, </w:t>
      </w:r>
      <w:hyperlink r:id="rId6" w:history="1">
        <w:r w:rsidRPr="003F32A9">
          <w:rPr>
            <w:rStyle w:val="Hyperlink"/>
            <w:rFonts w:ascii="Cambria" w:hAnsi="Cambria"/>
            <w:sz w:val="16"/>
            <w:szCs w:val="16"/>
            <w:lang w:val="es-ES"/>
          </w:rPr>
          <w:t>Capítulo II, Sección F: Estado del cumplimiento de las recomendaciones de la CIDH</w:t>
        </w:r>
      </w:hyperlink>
      <w:r w:rsidRPr="003F32A9">
        <w:rPr>
          <w:rFonts w:ascii="Cambria" w:hAnsi="Cambria"/>
          <w:sz w:val="16"/>
          <w:szCs w:val="16"/>
          <w:lang w:val="es-ES"/>
        </w:rPr>
        <w:t xml:space="preserve">, párr. 522.  </w:t>
      </w:r>
    </w:p>
  </w:footnote>
  <w:footnote w:id="7">
    <w:p w14:paraId="7F76B503" w14:textId="77777777" w:rsidR="00436B34" w:rsidRPr="008B55B2" w:rsidRDefault="00436B34" w:rsidP="00436B34">
      <w:pPr>
        <w:pStyle w:val="FootnoteText"/>
        <w:spacing w:after="120"/>
        <w:ind w:firstLine="720"/>
        <w:jc w:val="both"/>
        <w:rPr>
          <w:rFonts w:ascii="Cambria" w:hAnsi="Cambria"/>
          <w:sz w:val="16"/>
          <w:szCs w:val="16"/>
          <w:lang w:val="es-ES"/>
        </w:rPr>
      </w:pPr>
      <w:r w:rsidRPr="008B55B2">
        <w:rPr>
          <w:rStyle w:val="FootnoteReference"/>
          <w:rFonts w:ascii="Cambria" w:hAnsi="Cambria"/>
          <w:sz w:val="16"/>
          <w:szCs w:val="16"/>
        </w:rPr>
        <w:footnoteRef/>
      </w:r>
      <w:r w:rsidRPr="008B55B2">
        <w:rPr>
          <w:rFonts w:ascii="Cambria" w:hAnsi="Cambria"/>
          <w:sz w:val="16"/>
          <w:szCs w:val="16"/>
          <w:lang w:val="es-ES"/>
        </w:rPr>
        <w:t xml:space="preserve"> </w:t>
      </w:r>
      <w:r>
        <w:rPr>
          <w:rFonts w:ascii="Cambria" w:hAnsi="Cambria"/>
          <w:sz w:val="16"/>
          <w:szCs w:val="16"/>
          <w:lang w:val="es-ES"/>
        </w:rPr>
        <w:t>CIDH</w:t>
      </w:r>
      <w:r w:rsidRPr="008B55B2">
        <w:rPr>
          <w:rFonts w:ascii="Cambria" w:hAnsi="Cambria"/>
          <w:sz w:val="16"/>
          <w:szCs w:val="16"/>
          <w:lang w:val="es-ES"/>
        </w:rPr>
        <w:t xml:space="preserve">, </w:t>
      </w:r>
      <w:r>
        <w:rPr>
          <w:rFonts w:ascii="Cambria" w:hAnsi="Cambria"/>
          <w:sz w:val="16"/>
          <w:szCs w:val="16"/>
          <w:lang w:val="es-ES"/>
        </w:rPr>
        <w:t xml:space="preserve">Informe Anual </w:t>
      </w:r>
      <w:r w:rsidRPr="008B55B2">
        <w:rPr>
          <w:rFonts w:ascii="Cambria" w:hAnsi="Cambria"/>
          <w:sz w:val="16"/>
          <w:szCs w:val="16"/>
          <w:lang w:val="es-ES"/>
        </w:rPr>
        <w:t>2010</w:t>
      </w:r>
      <w:r>
        <w:rPr>
          <w:rFonts w:ascii="Cambria" w:hAnsi="Cambria"/>
          <w:sz w:val="16"/>
          <w:szCs w:val="16"/>
          <w:lang w:val="es-ES"/>
        </w:rPr>
        <w:t>,</w:t>
      </w:r>
      <w:r w:rsidRPr="008B55B2">
        <w:rPr>
          <w:rFonts w:ascii="Cambria" w:hAnsi="Cambria"/>
          <w:sz w:val="16"/>
          <w:szCs w:val="16"/>
          <w:lang w:val="es-ES"/>
        </w:rPr>
        <w:t xml:space="preserve"> </w:t>
      </w:r>
      <w:hyperlink r:id="rId7" w:history="1">
        <w:r w:rsidRPr="008B55B2">
          <w:rPr>
            <w:rStyle w:val="Hyperlink"/>
            <w:rFonts w:ascii="Cambria" w:hAnsi="Cambria"/>
            <w:sz w:val="16"/>
            <w:szCs w:val="16"/>
            <w:lang w:val="es-ES"/>
          </w:rPr>
          <w:t>C</w:t>
        </w:r>
        <w:r>
          <w:rPr>
            <w:rStyle w:val="Hyperlink"/>
            <w:rFonts w:ascii="Cambria" w:hAnsi="Cambria"/>
            <w:sz w:val="16"/>
            <w:szCs w:val="16"/>
            <w:lang w:val="es-ES"/>
          </w:rPr>
          <w:t xml:space="preserve">apítulo </w:t>
        </w:r>
        <w:r w:rsidRPr="008B55B2">
          <w:rPr>
            <w:rStyle w:val="Hyperlink"/>
            <w:rFonts w:ascii="Cambria" w:hAnsi="Cambria"/>
            <w:sz w:val="16"/>
            <w:szCs w:val="16"/>
            <w:lang w:val="es-ES"/>
          </w:rPr>
          <w:t>III,</w:t>
        </w:r>
        <w:r>
          <w:rPr>
            <w:rStyle w:val="Hyperlink"/>
            <w:rFonts w:ascii="Cambria" w:hAnsi="Cambria"/>
            <w:sz w:val="16"/>
            <w:szCs w:val="16"/>
            <w:lang w:val="es-ES"/>
          </w:rPr>
          <w:t xml:space="preserve"> Sección </w:t>
        </w:r>
        <w:r w:rsidRPr="008B55B2">
          <w:rPr>
            <w:rStyle w:val="Hyperlink"/>
            <w:rFonts w:ascii="Cambria" w:hAnsi="Cambria"/>
            <w:sz w:val="16"/>
            <w:szCs w:val="16"/>
            <w:lang w:val="es-ES"/>
          </w:rPr>
          <w:t>D: Estado del cumplimiento de las recomendaciones de la CIDH</w:t>
        </w:r>
      </w:hyperlink>
      <w:r w:rsidRPr="008B55B2">
        <w:rPr>
          <w:rFonts w:ascii="Cambria" w:hAnsi="Cambria"/>
          <w:sz w:val="16"/>
          <w:szCs w:val="16"/>
          <w:lang w:val="es-ES"/>
        </w:rPr>
        <w:t xml:space="preserve">, para. 284. </w:t>
      </w:r>
    </w:p>
  </w:footnote>
  <w:footnote w:id="8">
    <w:p w14:paraId="080B435B" w14:textId="77777777" w:rsidR="00436B34" w:rsidRPr="008B55B2" w:rsidRDefault="00436B34" w:rsidP="00436B34">
      <w:pPr>
        <w:pStyle w:val="FootnoteText"/>
        <w:spacing w:after="120"/>
        <w:ind w:firstLine="720"/>
        <w:jc w:val="both"/>
        <w:rPr>
          <w:rFonts w:ascii="Cambria" w:hAnsi="Cambria"/>
          <w:sz w:val="16"/>
          <w:szCs w:val="16"/>
          <w:lang w:val="es-ES"/>
        </w:rPr>
      </w:pPr>
      <w:r w:rsidRPr="008B55B2">
        <w:rPr>
          <w:rStyle w:val="FootnoteReference"/>
          <w:rFonts w:ascii="Cambria" w:hAnsi="Cambria"/>
          <w:sz w:val="16"/>
          <w:szCs w:val="16"/>
        </w:rPr>
        <w:footnoteRef/>
      </w:r>
      <w:r w:rsidRPr="008B55B2">
        <w:rPr>
          <w:rFonts w:ascii="Cambria" w:hAnsi="Cambria"/>
          <w:sz w:val="16"/>
          <w:szCs w:val="16"/>
          <w:lang w:val="es-ES"/>
        </w:rPr>
        <w:t xml:space="preserve"> CIDH, Informe Anual 2017, </w:t>
      </w:r>
      <w:hyperlink r:id="rId8" w:history="1">
        <w:r w:rsidRPr="008B55B2">
          <w:rPr>
            <w:rStyle w:val="Hyperlink"/>
            <w:rFonts w:ascii="Cambria" w:hAnsi="Cambria"/>
            <w:sz w:val="16"/>
            <w:szCs w:val="16"/>
            <w:lang w:val="es-ES"/>
          </w:rPr>
          <w:t>Capítulo II, Sección F: Estado del cumplimiento de las recomendaciones de la CIDH</w:t>
        </w:r>
      </w:hyperlink>
      <w:r w:rsidRPr="008B55B2">
        <w:rPr>
          <w:rFonts w:ascii="Cambria" w:hAnsi="Cambria"/>
          <w:sz w:val="16"/>
          <w:szCs w:val="16"/>
          <w:lang w:val="es-ES"/>
        </w:rPr>
        <w:t xml:space="preserve">, párr. 521.  </w:t>
      </w:r>
    </w:p>
  </w:footnote>
  <w:footnote w:id="9">
    <w:p w14:paraId="3323B8ED" w14:textId="77777777" w:rsidR="00436B34" w:rsidRPr="00436B34" w:rsidRDefault="00436B34" w:rsidP="00436B34">
      <w:pPr>
        <w:pStyle w:val="FootnoteText"/>
        <w:spacing w:after="120"/>
        <w:ind w:firstLine="720"/>
        <w:jc w:val="both"/>
        <w:rPr>
          <w:rFonts w:ascii="Cambria" w:hAnsi="Cambria"/>
          <w:sz w:val="16"/>
          <w:szCs w:val="16"/>
          <w:lang w:val="es-CO"/>
        </w:rPr>
      </w:pPr>
      <w:r w:rsidRPr="008B55B2">
        <w:rPr>
          <w:rStyle w:val="FootnoteReference"/>
          <w:rFonts w:ascii="Cambria" w:hAnsi="Cambria"/>
          <w:sz w:val="16"/>
          <w:szCs w:val="16"/>
        </w:rPr>
        <w:footnoteRef/>
      </w:r>
      <w:r w:rsidRPr="008B55B2">
        <w:rPr>
          <w:rFonts w:ascii="Cambria" w:hAnsi="Cambria"/>
          <w:sz w:val="16"/>
          <w:szCs w:val="16"/>
          <w:lang w:val="es-ES"/>
        </w:rPr>
        <w:t xml:space="preserve"> CIDH, Informe Anual 2017, </w:t>
      </w:r>
      <w:hyperlink r:id="rId9" w:history="1">
        <w:r w:rsidRPr="008B55B2">
          <w:rPr>
            <w:rStyle w:val="Hyperlink"/>
            <w:rFonts w:ascii="Cambria" w:hAnsi="Cambria"/>
            <w:sz w:val="16"/>
            <w:szCs w:val="16"/>
            <w:lang w:val="es-ES"/>
          </w:rPr>
          <w:t>Capítulo II, Sección F: Estado del cumplimiento de las recomendaciones de la CIDH</w:t>
        </w:r>
      </w:hyperlink>
      <w:r w:rsidRPr="008B55B2">
        <w:rPr>
          <w:rFonts w:ascii="Cambria" w:hAnsi="Cambria"/>
          <w:sz w:val="16"/>
          <w:szCs w:val="16"/>
          <w:lang w:val="es-ES"/>
        </w:rPr>
        <w:t xml:space="preserve">, párr. 539.  </w:t>
      </w:r>
    </w:p>
  </w:footnote>
  <w:footnote w:id="10">
    <w:p w14:paraId="7C7A1EC8" w14:textId="77777777" w:rsidR="00436B34" w:rsidRDefault="00436B34" w:rsidP="00436B34">
      <w:pPr>
        <w:pStyle w:val="FootnoteText"/>
        <w:spacing w:after="120"/>
        <w:ind w:firstLine="720"/>
        <w:jc w:val="both"/>
      </w:pPr>
      <w:r w:rsidRPr="008B55B2">
        <w:rPr>
          <w:rStyle w:val="FootnoteReference"/>
          <w:rFonts w:ascii="Cambria" w:hAnsi="Cambria"/>
          <w:sz w:val="16"/>
          <w:szCs w:val="16"/>
        </w:rPr>
        <w:footnoteRef/>
      </w:r>
      <w:r w:rsidRPr="008B55B2">
        <w:rPr>
          <w:rFonts w:ascii="Cambria" w:hAnsi="Cambria"/>
          <w:sz w:val="16"/>
          <w:szCs w:val="16"/>
          <w:lang w:val="es-ES"/>
        </w:rPr>
        <w:t xml:space="preserve"> CIDH, Informe Anual 2017, </w:t>
      </w:r>
      <w:hyperlink r:id="rId10" w:history="1">
        <w:r w:rsidRPr="008B55B2">
          <w:rPr>
            <w:rStyle w:val="Hyperlink"/>
            <w:rFonts w:ascii="Cambria" w:hAnsi="Cambria"/>
            <w:sz w:val="16"/>
            <w:szCs w:val="16"/>
            <w:lang w:val="es-ES"/>
          </w:rPr>
          <w:t>Capítulo II, Sección F: Estado del cumplimiento de las recomendaciones de la CIDH</w:t>
        </w:r>
      </w:hyperlink>
      <w:r w:rsidRPr="008B55B2">
        <w:rPr>
          <w:rFonts w:ascii="Cambria" w:hAnsi="Cambria"/>
          <w:sz w:val="16"/>
          <w:szCs w:val="16"/>
          <w:lang w:val="es-ES"/>
        </w:rPr>
        <w:t>, párr. 522.</w:t>
      </w:r>
      <w:r>
        <w:rPr>
          <w:lang w:val="es-ES"/>
        </w:rPr>
        <w:t xml:space="preserve"> </w:t>
      </w:r>
      <w:r w:rsidRPr="00495E17">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C92C" w14:textId="448F8406" w:rsidR="00566CD0" w:rsidRDefault="008463D3" w:rsidP="008463D3">
    <w:pPr>
      <w:pStyle w:val="Header"/>
      <w:jc w:val="center"/>
      <w:rPr>
        <w:rFonts w:ascii="Arial" w:hAnsi="Arial" w:cs="Arial"/>
        <w:color w:val="3B3838" w:themeColor="background2" w:themeShade="40"/>
        <w:sz w:val="28"/>
        <w:szCs w:val="28"/>
        <w:lang w:val="es-ES"/>
      </w:rPr>
    </w:pPr>
    <w:r>
      <w:rPr>
        <w:rFonts w:ascii="Arial" w:hAnsi="Arial" w:cs="Arial"/>
        <w:color w:val="3B3838" w:themeColor="background2" w:themeShade="40"/>
        <w:sz w:val="28"/>
        <w:szCs w:val="28"/>
        <w:lang w:val="es-ES"/>
      </w:rPr>
      <w:t xml:space="preserve">   </w:t>
    </w:r>
    <w:r w:rsidR="00566CD0" w:rsidRPr="00566CD0">
      <w:rPr>
        <w:rFonts w:ascii="Arial" w:hAnsi="Arial" w:cs="Arial"/>
        <w:noProof/>
        <w:color w:val="3B3838" w:themeColor="background2" w:themeShade="40"/>
        <w:sz w:val="28"/>
        <w:szCs w:val="28"/>
      </w:rPr>
      <w:drawing>
        <wp:inline distT="0" distB="0" distL="0" distR="0" wp14:anchorId="0246A2C5" wp14:editId="23EAB365">
          <wp:extent cx="3304467" cy="2000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641350" cy="220422"/>
                  </a:xfrm>
                  <a:prstGeom prst="rect">
                    <a:avLst/>
                  </a:prstGeom>
                </pic:spPr>
              </pic:pic>
            </a:graphicData>
          </a:graphic>
        </wp:inline>
      </w:drawing>
    </w:r>
  </w:p>
  <w:p w14:paraId="60E6F577" w14:textId="7E60D2C5"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10346C42">
              <wp:simplePos x="0" y="0"/>
              <wp:positionH relativeFrom="column">
                <wp:posOffset>-5610</wp:posOffset>
              </wp:positionH>
              <wp:positionV relativeFrom="paragraph">
                <wp:posOffset>167882</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32AF49A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F865" w14:textId="77777777" w:rsidR="00566CD0" w:rsidRPr="006B1F24" w:rsidRDefault="00566CD0" w:rsidP="00566CD0">
    <w:pPr>
      <w:pStyle w:val="Header"/>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65408" behindDoc="0" locked="0" layoutInCell="1" allowOverlap="1" wp14:anchorId="392F0462" wp14:editId="5BC7EB4E">
          <wp:simplePos x="0" y="0"/>
          <wp:positionH relativeFrom="column">
            <wp:posOffset>3610073</wp:posOffset>
          </wp:positionH>
          <wp:positionV relativeFrom="paragraph">
            <wp:posOffset>53975</wp:posOffset>
          </wp:positionV>
          <wp:extent cx="2296160" cy="409575"/>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6160" cy="409575"/>
                  </a:xfrm>
                  <a:prstGeom prst="rect">
                    <a:avLst/>
                  </a:prstGeom>
                </pic:spPr>
              </pic:pic>
            </a:graphicData>
          </a:graphic>
          <wp14:sizeRelH relativeFrom="page">
            <wp14:pctWidth>0</wp14:pctWidth>
          </wp14:sizeRelH>
          <wp14:sizeRelV relativeFrom="page">
            <wp14:pctHeight>0</wp14:pctHeight>
          </wp14:sizeRelV>
        </wp:anchor>
      </w:drawing>
    </w:r>
    <w:r w:rsidRPr="006B1F24">
      <w:rPr>
        <w:rFonts w:ascii="Arial" w:hAnsi="Arial" w:cs="Arial"/>
        <w:noProof/>
        <w:color w:val="3B3838" w:themeColor="background2" w:themeShade="40"/>
        <w:sz w:val="28"/>
        <w:szCs w:val="28"/>
      </w:rPr>
      <mc:AlternateContent>
        <mc:Choice Requires="wps">
          <w:drawing>
            <wp:anchor distT="0" distB="0" distL="114300" distR="114300" simplePos="0" relativeHeight="251663360" behindDoc="1" locked="0" layoutInCell="1" allowOverlap="1" wp14:anchorId="1F9B0906" wp14:editId="19B5DE0F">
              <wp:simplePos x="0" y="0"/>
              <wp:positionH relativeFrom="column">
                <wp:posOffset>824643</wp:posOffset>
              </wp:positionH>
              <wp:positionV relativeFrom="paragraph">
                <wp:posOffset>-101771</wp:posOffset>
              </wp:positionV>
              <wp:extent cx="1447332" cy="605918"/>
              <wp:effectExtent l="0" t="0" r="635" b="3810"/>
              <wp:wrapNone/>
              <wp:docPr id="4" name="Text Box 4"/>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7A80083F" w14:textId="26CDE986" w:rsidR="00566CD0" w:rsidRPr="006B1F24" w:rsidRDefault="00566CD0" w:rsidP="00566CD0">
                          <w:pPr>
                            <w:rPr>
                              <w:rFonts w:ascii="Arial" w:hAnsi="Arial" w:cs="Arial"/>
                              <w:b/>
                              <w:bCs/>
                              <w:color w:val="767171" w:themeColor="background2" w:themeShade="80"/>
                              <w:sz w:val="76"/>
                              <w:szCs w:val="76"/>
                              <w:lang w:val="es-ES"/>
                            </w:rPr>
                          </w:pPr>
                          <w:r w:rsidRPr="006B1F24">
                            <w:rPr>
                              <w:rFonts w:ascii="Arial" w:hAnsi="Arial" w:cs="Arial"/>
                              <w:b/>
                              <w:bCs/>
                              <w:color w:val="767171" w:themeColor="background2" w:themeShade="80"/>
                              <w:sz w:val="76"/>
                              <w:szCs w:val="76"/>
                              <w:lang w:val="es-ES"/>
                            </w:rPr>
                            <w:t>20</w:t>
                          </w:r>
                          <w:r w:rsidR="00E042FE">
                            <w:rPr>
                              <w:rFonts w:ascii="Arial" w:hAnsi="Arial" w:cs="Arial"/>
                              <w:b/>
                              <w:bCs/>
                              <w:color w:val="767171" w:themeColor="background2" w:themeShade="80"/>
                              <w:sz w:val="76"/>
                              <w:szCs w:val="76"/>
                              <w:lang w:val="es-E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B0906" id="_x0000_t202" coordsize="21600,21600" o:spt="202" path="m,l,21600r21600,l21600,xe">
              <v:stroke joinstyle="miter"/>
              <v:path gradientshapeok="t" o:connecttype="rect"/>
            </v:shapetype>
            <v:shape id="Text Box 4" o:spid="_x0000_s1026" type="#_x0000_t202" style="position:absolute;margin-left:64.95pt;margin-top:-8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" fillcolor="white [3201]" stroked="f" strokeweight=".5pt">
              <v:textbox>
                <w:txbxContent>
                  <w:p w14:paraId="7A80083F" w14:textId="26CDE986" w:rsidR="00566CD0" w:rsidRPr="006B1F24" w:rsidRDefault="00566CD0" w:rsidP="00566CD0">
                    <w:pPr>
                      <w:rPr>
                        <w:rFonts w:ascii="Arial" w:hAnsi="Arial" w:cs="Arial"/>
                        <w:b/>
                        <w:bCs/>
                        <w:color w:val="767171" w:themeColor="background2" w:themeShade="80"/>
                        <w:sz w:val="76"/>
                        <w:szCs w:val="76"/>
                        <w:lang w:val="es-ES"/>
                      </w:rPr>
                    </w:pPr>
                    <w:r w:rsidRPr="006B1F24">
                      <w:rPr>
                        <w:rFonts w:ascii="Arial" w:hAnsi="Arial" w:cs="Arial"/>
                        <w:b/>
                        <w:bCs/>
                        <w:color w:val="767171" w:themeColor="background2" w:themeShade="80"/>
                        <w:sz w:val="76"/>
                        <w:szCs w:val="76"/>
                        <w:lang w:val="es-ES"/>
                      </w:rPr>
                      <w:t>20</w:t>
                    </w:r>
                    <w:r w:rsidR="00E042FE">
                      <w:rPr>
                        <w:rFonts w:ascii="Arial" w:hAnsi="Arial" w:cs="Arial"/>
                        <w:b/>
                        <w:bCs/>
                        <w:color w:val="767171" w:themeColor="background2" w:themeShade="80"/>
                        <w:sz w:val="76"/>
                        <w:szCs w:val="76"/>
                        <w:lang w:val="es-ES"/>
                      </w:rPr>
                      <w:t>20</w:t>
                    </w:r>
                  </w:p>
                </w:txbxContent>
              </v:textbox>
            </v:shape>
          </w:pict>
        </mc:Fallback>
      </mc:AlternateContent>
    </w:r>
    <w:r w:rsidRPr="006B1F24">
      <w:rPr>
        <w:rFonts w:ascii="Arial" w:hAnsi="Arial" w:cs="Arial"/>
        <w:color w:val="3B3838" w:themeColor="background2" w:themeShade="40"/>
        <w:sz w:val="28"/>
        <w:szCs w:val="28"/>
        <w:lang w:val="es-ES"/>
      </w:rPr>
      <w:t>INFORME</w:t>
    </w:r>
  </w:p>
  <w:p w14:paraId="434D4143" w14:textId="76C461F1" w:rsidR="00566CD0" w:rsidRPr="006B1F24" w:rsidRDefault="00566CD0" w:rsidP="008818B0">
    <w:pPr>
      <w:pStyle w:val="Header"/>
      <w:tabs>
        <w:tab w:val="clear" w:pos="4680"/>
        <w:tab w:val="clear" w:pos="9360"/>
        <w:tab w:val="left" w:pos="1925"/>
      </w:tabs>
      <w:rPr>
        <w:rFonts w:ascii="Arial" w:hAnsi="Arial" w:cs="Arial"/>
        <w:b/>
        <w:bCs/>
        <w:color w:val="404040" w:themeColor="text1" w:themeTint="BF"/>
        <w:sz w:val="38"/>
        <w:szCs w:val="38"/>
        <w:lang w:val="es-ES"/>
      </w:rPr>
    </w:pPr>
    <w:r w:rsidRPr="006B1F24">
      <w:rPr>
        <w:rFonts w:ascii="Arial" w:hAnsi="Arial" w:cs="Arial"/>
        <w:b/>
        <w:bCs/>
        <w:color w:val="404040" w:themeColor="text1" w:themeTint="BF"/>
        <w:sz w:val="38"/>
        <w:szCs w:val="38"/>
        <w:lang w:val="es-ES"/>
      </w:rPr>
      <w:t>ANUAL</w:t>
    </w:r>
    <w:r w:rsidR="008818B0">
      <w:rPr>
        <w:rFonts w:ascii="Arial" w:hAnsi="Arial" w:cs="Arial"/>
        <w:b/>
        <w:bCs/>
        <w:color w:val="404040" w:themeColor="text1" w:themeTint="BF"/>
        <w:sz w:val="38"/>
        <w:szCs w:val="38"/>
        <w:lang w:val="es-ES"/>
      </w:rPr>
      <w:tab/>
    </w:r>
  </w:p>
  <w:p w14:paraId="2AF194D7" w14:textId="36C35356" w:rsidR="00566CD0" w:rsidRPr="00566CD0" w:rsidRDefault="00566CD0">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3839D98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575E59"/>
    <w:multiLevelType w:val="hybridMultilevel"/>
    <w:tmpl w:val="EC7C1830"/>
    <w:lvl w:ilvl="0" w:tplc="4A864CD6">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4B7C6B"/>
    <w:multiLevelType w:val="hybridMultilevel"/>
    <w:tmpl w:val="72745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5"/>
  </w:num>
  <w:num w:numId="2">
    <w:abstractNumId w:val="10"/>
  </w:num>
  <w:num w:numId="3">
    <w:abstractNumId w:val="7"/>
  </w:num>
  <w:num w:numId="4">
    <w:abstractNumId w:val="2"/>
  </w:num>
  <w:num w:numId="5">
    <w:abstractNumId w:val="1"/>
  </w:num>
  <w:num w:numId="6">
    <w:abstractNumId w:val="4"/>
  </w:num>
  <w:num w:numId="7">
    <w:abstractNumId w:val="0"/>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33"/>
    <w:rsid w:val="00045E5E"/>
    <w:rsid w:val="00094D51"/>
    <w:rsid w:val="000A3EFD"/>
    <w:rsid w:val="000B5E1D"/>
    <w:rsid w:val="000C5C4A"/>
    <w:rsid w:val="000E3A9D"/>
    <w:rsid w:val="00253681"/>
    <w:rsid w:val="00322720"/>
    <w:rsid w:val="00436B34"/>
    <w:rsid w:val="00453115"/>
    <w:rsid w:val="0048723C"/>
    <w:rsid w:val="00566CD0"/>
    <w:rsid w:val="005E3121"/>
    <w:rsid w:val="00620D38"/>
    <w:rsid w:val="00637ED3"/>
    <w:rsid w:val="006638E5"/>
    <w:rsid w:val="00672733"/>
    <w:rsid w:val="006B1F24"/>
    <w:rsid w:val="0073755E"/>
    <w:rsid w:val="008463D3"/>
    <w:rsid w:val="008818B0"/>
    <w:rsid w:val="00A212E8"/>
    <w:rsid w:val="00AE73B5"/>
    <w:rsid w:val="00BB0D06"/>
    <w:rsid w:val="00BF621B"/>
    <w:rsid w:val="00C23B19"/>
    <w:rsid w:val="00C35247"/>
    <w:rsid w:val="00D56DC4"/>
    <w:rsid w:val="00D747E2"/>
    <w:rsid w:val="00E042FE"/>
    <w:rsid w:val="00E516AB"/>
    <w:rsid w:val="00E90CB3"/>
    <w:rsid w:val="00F35D67"/>
    <w:rsid w:val="00FF2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75B2B5"/>
  <w15:chartTrackingRefBased/>
  <w15:docId w15:val="{90C71373-7FC8-954C-ADE4-56D64BFC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436B34"/>
    <w:pPr>
      <w:spacing w:after="160" w:line="240" w:lineRule="exact"/>
    </w:pPr>
    <w:rPr>
      <w:vertAlign w:val="superscript"/>
    </w:rPr>
  </w:style>
  <w:style w:type="character" w:styleId="Hyperlink">
    <w:name w:val="Hyperlink"/>
    <w:uiPriority w:val="99"/>
    <w:unhideWhenUsed/>
    <w:rsid w:val="00436B34"/>
    <w:rPr>
      <w:color w:val="0000FF"/>
      <w:u w:val="single"/>
    </w:rPr>
  </w:style>
  <w:style w:type="paragraph" w:styleId="NoSpacing">
    <w:name w:val="No Spacing"/>
    <w:uiPriority w:val="1"/>
    <w:qFormat/>
    <w:rsid w:val="00436B34"/>
    <w:rPr>
      <w:rFonts w:ascii="Calibri" w:eastAsia="Calibri" w:hAnsi="Calibri" w:cs="Times New Roman"/>
      <w:sz w:val="22"/>
      <w:szCs w:val="22"/>
      <w:lang w:val="pt-BR"/>
    </w:rPr>
  </w:style>
  <w:style w:type="paragraph" w:styleId="BalloonText">
    <w:name w:val="Balloon Text"/>
    <w:basedOn w:val="Normal"/>
    <w:link w:val="BalloonTextChar"/>
    <w:uiPriority w:val="99"/>
    <w:semiHidden/>
    <w:unhideWhenUsed/>
    <w:rsid w:val="00C35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247"/>
    <w:rPr>
      <w:rFonts w:ascii="Segoe UI" w:hAnsi="Segoe UI" w:cs="Segoe UI"/>
      <w:sz w:val="18"/>
      <w:szCs w:val="18"/>
    </w:rPr>
  </w:style>
  <w:style w:type="character" w:styleId="CommentReference">
    <w:name w:val="annotation reference"/>
    <w:basedOn w:val="DefaultParagraphFont"/>
    <w:uiPriority w:val="99"/>
    <w:semiHidden/>
    <w:unhideWhenUsed/>
    <w:rsid w:val="000A3EFD"/>
    <w:rPr>
      <w:sz w:val="16"/>
      <w:szCs w:val="16"/>
    </w:rPr>
  </w:style>
  <w:style w:type="paragraph" w:styleId="CommentText">
    <w:name w:val="annotation text"/>
    <w:basedOn w:val="Normal"/>
    <w:link w:val="CommentTextChar"/>
    <w:uiPriority w:val="99"/>
    <w:semiHidden/>
    <w:unhideWhenUsed/>
    <w:rsid w:val="000A3EFD"/>
    <w:rPr>
      <w:sz w:val="20"/>
      <w:szCs w:val="20"/>
    </w:rPr>
  </w:style>
  <w:style w:type="character" w:customStyle="1" w:styleId="CommentTextChar">
    <w:name w:val="Comment Text Char"/>
    <w:basedOn w:val="DefaultParagraphFont"/>
    <w:link w:val="CommentText"/>
    <w:uiPriority w:val="99"/>
    <w:semiHidden/>
    <w:rsid w:val="000A3EFD"/>
    <w:rPr>
      <w:sz w:val="20"/>
      <w:szCs w:val="20"/>
    </w:rPr>
  </w:style>
  <w:style w:type="paragraph" w:styleId="CommentSubject">
    <w:name w:val="annotation subject"/>
    <w:basedOn w:val="CommentText"/>
    <w:next w:val="CommentText"/>
    <w:link w:val="CommentSubjectChar"/>
    <w:uiPriority w:val="99"/>
    <w:semiHidden/>
    <w:unhideWhenUsed/>
    <w:rsid w:val="000A3EFD"/>
    <w:rPr>
      <w:b/>
      <w:bCs/>
    </w:rPr>
  </w:style>
  <w:style w:type="character" w:customStyle="1" w:styleId="CommentSubjectChar">
    <w:name w:val="Comment Subject Char"/>
    <w:basedOn w:val="CommentTextChar"/>
    <w:link w:val="CommentSubject"/>
    <w:uiPriority w:val="99"/>
    <w:semiHidden/>
    <w:rsid w:val="000A3E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0sp/CapituloIII/Fondo/Chile11.77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ocs/anual/2017/docs/IA2017cap.2-es.pdf" TargetMode="External"/><Relationship Id="rId3" Type="http://schemas.openxmlformats.org/officeDocument/2006/relationships/hyperlink" Target="http://www.oas.org/es/cidh/docs/anual/2017/docs/IA2017cap.2-es.pdf" TargetMode="External"/><Relationship Id="rId7" Type="http://schemas.openxmlformats.org/officeDocument/2006/relationships/hyperlink" Target="http://www.cidh.oas.org/annualrep/2010sp/CAP.III.D.doc" TargetMode="External"/><Relationship Id="rId2" Type="http://schemas.openxmlformats.org/officeDocument/2006/relationships/hyperlink" Target="http://www.oas.org/es/cidh/docs/anual/2017/docs/IA2017cap.2-es.pdf" TargetMode="External"/><Relationship Id="rId1" Type="http://schemas.openxmlformats.org/officeDocument/2006/relationships/hyperlink" Target="http://www.cidh.oas.org/annualrep/2009sp/cap.3d.09.sp.htm" TargetMode="External"/><Relationship Id="rId6" Type="http://schemas.openxmlformats.org/officeDocument/2006/relationships/hyperlink" Target="http://www.oas.org/es/cidh/docs/anual/2017/docs/IA2017cap.2-es.pdf" TargetMode="External"/><Relationship Id="rId5" Type="http://schemas.openxmlformats.org/officeDocument/2006/relationships/hyperlink" Target="http://www.corteidh.or.cr/docs/casos/articulos/seriec_171_esp.pdf" TargetMode="External"/><Relationship Id="rId10" Type="http://schemas.openxmlformats.org/officeDocument/2006/relationships/hyperlink" Target="http://www.oas.org/es/cidh/docs/anual/2017/docs/IA2017cap.2-es.pdf" TargetMode="External"/><Relationship Id="rId4" Type="http://schemas.openxmlformats.org/officeDocument/2006/relationships/hyperlink" Target="http://www.oas.org/es/cidh/docs/anual/2017/docs/IA2017cap.2-es.pdf" TargetMode="External"/><Relationship Id="rId9" Type="http://schemas.openxmlformats.org/officeDocument/2006/relationships/hyperlink" Target="http://www.oas.org/es/cidh/docs/anual/2017/docs/IA2017cap.2-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70F75-BFB0-448F-B786-15C35646D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jospofe24@estudiantec.cr</dc:creator>
  <cp:keywords/>
  <dc:description/>
  <cp:lastModifiedBy>Paez, Suzdal</cp:lastModifiedBy>
  <cp:revision>5</cp:revision>
  <dcterms:created xsi:type="dcterms:W3CDTF">2021-01-04T17:11:00Z</dcterms:created>
  <dcterms:modified xsi:type="dcterms:W3CDTF">2021-03-25T22:45:00Z</dcterms:modified>
</cp:coreProperties>
</file>