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924AE" w14:textId="77777777" w:rsidR="008E74BF" w:rsidRDefault="008E74BF" w:rsidP="00BB56C4">
      <w:pPr>
        <w:pStyle w:val="Header"/>
        <w:jc w:val="center"/>
        <w:rPr>
          <w:rFonts w:ascii="Cambria" w:hAnsi="Cambria"/>
          <w:b/>
          <w:szCs w:val="20"/>
          <w:lang w:val="es-ES"/>
        </w:rPr>
      </w:pPr>
    </w:p>
    <w:p w14:paraId="2E5107CB" w14:textId="77777777" w:rsidR="00BB56C4" w:rsidRPr="006666A5" w:rsidRDefault="009969F9" w:rsidP="00BB56C4">
      <w:pPr>
        <w:pStyle w:val="Header"/>
        <w:jc w:val="center"/>
        <w:rPr>
          <w:rFonts w:ascii="Cambria" w:hAnsi="Cambria"/>
          <w:szCs w:val="20"/>
          <w:lang w:val="es-ES"/>
        </w:rPr>
      </w:pPr>
      <w:r w:rsidRPr="006666A5">
        <w:rPr>
          <w:rFonts w:ascii="Cambria" w:hAnsi="Cambria"/>
          <w:b/>
          <w:szCs w:val="20"/>
          <w:lang w:val="es-ES"/>
        </w:rPr>
        <w:t>FICHA DE SEGUIMIENTO DEL INFORME Nº 78/07</w:t>
      </w:r>
    </w:p>
    <w:p w14:paraId="75A4D5C1" w14:textId="77777777" w:rsidR="00BB56C4" w:rsidRPr="006666A5" w:rsidRDefault="002E3D31" w:rsidP="00BB56C4">
      <w:pPr>
        <w:spacing w:after="0" w:line="240" w:lineRule="auto"/>
        <w:jc w:val="center"/>
        <w:rPr>
          <w:rFonts w:ascii="Cambria" w:hAnsi="Cambria"/>
          <w:b/>
          <w:szCs w:val="20"/>
          <w:lang w:val="es-ES"/>
        </w:rPr>
      </w:pPr>
      <w:r w:rsidRPr="006666A5">
        <w:rPr>
          <w:rFonts w:ascii="Cambria" w:hAnsi="Cambria"/>
          <w:b/>
          <w:szCs w:val="20"/>
          <w:lang w:val="es-ES"/>
        </w:rPr>
        <w:t>CASO 12.265</w:t>
      </w:r>
    </w:p>
    <w:p w14:paraId="4FA9333D" w14:textId="77777777" w:rsidR="00BB56C4" w:rsidRPr="006666A5" w:rsidRDefault="002E3D31" w:rsidP="00BB56C4">
      <w:pPr>
        <w:spacing w:after="0" w:line="240" w:lineRule="auto"/>
        <w:jc w:val="center"/>
        <w:rPr>
          <w:rFonts w:ascii="Cambria" w:hAnsi="Cambria"/>
          <w:b/>
          <w:szCs w:val="20"/>
          <w:lang w:val="es-ES"/>
        </w:rPr>
      </w:pPr>
      <w:r w:rsidRPr="006666A5">
        <w:rPr>
          <w:rFonts w:ascii="Cambria" w:hAnsi="Cambria"/>
          <w:b/>
          <w:szCs w:val="20"/>
          <w:lang w:val="es-ES"/>
        </w:rPr>
        <w:t>CHAD ROGER GOODMAN</w:t>
      </w:r>
    </w:p>
    <w:p w14:paraId="291F9B2E" w14:textId="77777777" w:rsidR="00BB56C4" w:rsidRPr="006666A5" w:rsidRDefault="00BB56C4" w:rsidP="00BB56C4">
      <w:pPr>
        <w:spacing w:after="0" w:line="240" w:lineRule="auto"/>
        <w:jc w:val="center"/>
        <w:rPr>
          <w:rFonts w:ascii="Cambria" w:hAnsi="Cambria"/>
          <w:b/>
          <w:szCs w:val="20"/>
          <w:lang w:val="es-ES"/>
        </w:rPr>
      </w:pPr>
      <w:r w:rsidRPr="006666A5">
        <w:rPr>
          <w:rFonts w:ascii="Cambria" w:hAnsi="Cambria"/>
          <w:b/>
          <w:szCs w:val="20"/>
          <w:lang w:val="es-ES"/>
        </w:rPr>
        <w:t>(</w:t>
      </w:r>
      <w:r w:rsidR="007D2FC4" w:rsidRPr="006666A5">
        <w:rPr>
          <w:rFonts w:ascii="Cambria" w:hAnsi="Cambria"/>
          <w:b/>
          <w:szCs w:val="20"/>
          <w:lang w:val="es-ES"/>
        </w:rPr>
        <w:t xml:space="preserve">Las </w:t>
      </w:r>
      <w:r w:rsidRPr="006666A5">
        <w:rPr>
          <w:rFonts w:ascii="Cambria" w:hAnsi="Cambria"/>
          <w:b/>
          <w:szCs w:val="20"/>
          <w:lang w:val="es-ES"/>
        </w:rPr>
        <w:t>Bahamas</w:t>
      </w:r>
      <w:r w:rsidR="007D2FC4" w:rsidRPr="006666A5">
        <w:rPr>
          <w:rFonts w:ascii="Cambria" w:hAnsi="Cambria"/>
          <w:b/>
          <w:szCs w:val="20"/>
          <w:lang w:val="es-ES"/>
        </w:rPr>
        <w:t xml:space="preserve"> (Commonwealth de)</w:t>
      </w:r>
      <w:r w:rsidRPr="006666A5">
        <w:rPr>
          <w:rFonts w:ascii="Cambria" w:hAnsi="Cambria"/>
          <w:b/>
          <w:szCs w:val="20"/>
          <w:lang w:val="es-ES"/>
        </w:rPr>
        <w:t>)</w:t>
      </w:r>
    </w:p>
    <w:p w14:paraId="3C90FC64" w14:textId="77777777" w:rsidR="00BB56C4" w:rsidRPr="006666A5" w:rsidRDefault="00BB56C4" w:rsidP="00BB56C4">
      <w:pPr>
        <w:spacing w:after="0" w:line="240" w:lineRule="auto"/>
        <w:jc w:val="center"/>
        <w:rPr>
          <w:rFonts w:ascii="Cambria" w:hAnsi="Cambria"/>
          <w:sz w:val="20"/>
          <w:szCs w:val="20"/>
          <w:lang w:val="es-ES"/>
        </w:rPr>
      </w:pPr>
    </w:p>
    <w:p w14:paraId="212F6983" w14:textId="77777777" w:rsidR="00BB56C4" w:rsidRPr="006666A5" w:rsidRDefault="00BB56C4" w:rsidP="009969F9">
      <w:pPr>
        <w:pStyle w:val="NoSpacing"/>
        <w:numPr>
          <w:ilvl w:val="0"/>
          <w:numId w:val="18"/>
        </w:numPr>
        <w:ind w:left="1440" w:hanging="720"/>
        <w:jc w:val="both"/>
        <w:rPr>
          <w:rFonts w:ascii="Cambria" w:hAnsi="Cambria" w:cs="Calibri Light"/>
          <w:b/>
          <w:sz w:val="20"/>
          <w:szCs w:val="20"/>
          <w:lang w:val="es-ES"/>
        </w:rPr>
      </w:pPr>
      <w:r w:rsidRPr="006666A5">
        <w:rPr>
          <w:rFonts w:ascii="Cambria" w:hAnsi="Cambria" w:cs="Calibri Light"/>
          <w:b/>
          <w:sz w:val="20"/>
          <w:szCs w:val="20"/>
          <w:lang w:val="es-ES"/>
        </w:rPr>
        <w:t xml:space="preserve">Resumen del caso </w:t>
      </w:r>
    </w:p>
    <w:p w14:paraId="32EF909F" w14:textId="77777777" w:rsidR="00BB56C4" w:rsidRPr="006666A5" w:rsidRDefault="00BB56C4" w:rsidP="00BB56C4">
      <w:pPr>
        <w:spacing w:after="0" w:line="240" w:lineRule="auto"/>
        <w:ind w:left="1080"/>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BB56C4" w:rsidRPr="006666A5" w14:paraId="7B717212" w14:textId="77777777" w:rsidTr="00382204">
        <w:trPr>
          <w:trHeight w:val="4715"/>
          <w:jc w:val="center"/>
        </w:trPr>
        <w:tc>
          <w:tcPr>
            <w:tcW w:w="9576" w:type="dxa"/>
            <w:shd w:val="clear" w:color="auto" w:fill="F2F2F2"/>
          </w:tcPr>
          <w:p w14:paraId="2B8BE8EC" w14:textId="77777777" w:rsidR="00BB56C4" w:rsidRPr="006666A5" w:rsidRDefault="00BB56C4" w:rsidP="009969F9">
            <w:pPr>
              <w:spacing w:before="120" w:after="0" w:line="240" w:lineRule="auto"/>
              <w:jc w:val="both"/>
              <w:rPr>
                <w:rFonts w:ascii="Cambria" w:hAnsi="Cambria"/>
                <w:b/>
                <w:sz w:val="20"/>
                <w:szCs w:val="20"/>
                <w:lang w:val="es-ES"/>
              </w:rPr>
            </w:pPr>
            <w:r w:rsidRPr="006666A5">
              <w:rPr>
                <w:rFonts w:ascii="Cambria" w:hAnsi="Cambria"/>
                <w:b/>
                <w:sz w:val="20"/>
                <w:szCs w:val="20"/>
                <w:lang w:val="es-ES"/>
              </w:rPr>
              <w:t xml:space="preserve">Víctima (s): </w:t>
            </w:r>
            <w:r w:rsidRPr="006666A5">
              <w:rPr>
                <w:rFonts w:ascii="Cambria" w:hAnsi="Cambria"/>
                <w:sz w:val="20"/>
                <w:szCs w:val="20"/>
                <w:lang w:val="es-ES"/>
              </w:rPr>
              <w:t>Chad Roger Goodman</w:t>
            </w:r>
          </w:p>
          <w:p w14:paraId="31737250" w14:textId="77777777" w:rsidR="00BB56C4" w:rsidRPr="006666A5" w:rsidRDefault="00BB56C4" w:rsidP="002005E0">
            <w:pPr>
              <w:spacing w:after="0" w:line="240" w:lineRule="auto"/>
              <w:ind w:left="-23"/>
              <w:jc w:val="both"/>
              <w:rPr>
                <w:rFonts w:ascii="Cambria" w:hAnsi="Cambria"/>
                <w:sz w:val="20"/>
                <w:szCs w:val="20"/>
                <w:lang w:val="es-ES"/>
              </w:rPr>
            </w:pPr>
            <w:r w:rsidRPr="006666A5">
              <w:rPr>
                <w:rFonts w:ascii="Cambria" w:hAnsi="Cambria"/>
                <w:b/>
                <w:sz w:val="20"/>
                <w:szCs w:val="20"/>
                <w:lang w:val="es-ES"/>
              </w:rPr>
              <w:t xml:space="preserve">Peticionario (s): </w:t>
            </w:r>
            <w:r w:rsidRPr="006666A5">
              <w:rPr>
                <w:rFonts w:ascii="Cambria" w:hAnsi="Cambria"/>
                <w:sz w:val="20"/>
                <w:szCs w:val="20"/>
                <w:lang w:val="es-ES"/>
              </w:rPr>
              <w:t xml:space="preserve">Richard </w:t>
            </w:r>
            <w:proofErr w:type="spellStart"/>
            <w:r w:rsidRPr="006666A5">
              <w:rPr>
                <w:rFonts w:ascii="Cambria" w:hAnsi="Cambria"/>
                <w:sz w:val="20"/>
                <w:szCs w:val="20"/>
                <w:lang w:val="es-ES"/>
              </w:rPr>
              <w:t>Sallybanks</w:t>
            </w:r>
            <w:proofErr w:type="spellEnd"/>
          </w:p>
          <w:p w14:paraId="34F532F7" w14:textId="77777777" w:rsidR="00BB56C4" w:rsidRPr="006666A5" w:rsidRDefault="00BB56C4" w:rsidP="002005E0">
            <w:pPr>
              <w:spacing w:after="0" w:line="240" w:lineRule="auto"/>
              <w:ind w:left="-23"/>
              <w:jc w:val="both"/>
              <w:rPr>
                <w:rFonts w:ascii="Cambria" w:hAnsi="Cambria"/>
                <w:sz w:val="20"/>
                <w:szCs w:val="20"/>
                <w:lang w:val="es-ES"/>
              </w:rPr>
            </w:pPr>
            <w:r w:rsidRPr="006666A5">
              <w:rPr>
                <w:rFonts w:ascii="Cambria" w:hAnsi="Cambria"/>
                <w:b/>
                <w:sz w:val="20"/>
                <w:szCs w:val="20"/>
                <w:lang w:val="es-ES"/>
              </w:rPr>
              <w:t xml:space="preserve">Estado: </w:t>
            </w:r>
            <w:r w:rsidR="007D2FC4" w:rsidRPr="006666A5">
              <w:rPr>
                <w:rFonts w:ascii="Cambria" w:hAnsi="Cambria"/>
                <w:sz w:val="20"/>
                <w:szCs w:val="20"/>
                <w:lang w:val="es-ES"/>
              </w:rPr>
              <w:t>Las</w:t>
            </w:r>
            <w:r w:rsidRPr="006666A5">
              <w:rPr>
                <w:rFonts w:ascii="Cambria" w:hAnsi="Cambria" w:cstheme="minorHAnsi"/>
                <w:b/>
                <w:sz w:val="20"/>
                <w:szCs w:val="20"/>
                <w:lang w:val="es-ES"/>
              </w:rPr>
              <w:t xml:space="preserve"> </w:t>
            </w:r>
            <w:r w:rsidRPr="006666A5">
              <w:rPr>
                <w:rFonts w:ascii="Cambria" w:hAnsi="Cambria" w:cstheme="minorHAnsi"/>
                <w:sz w:val="20"/>
                <w:szCs w:val="20"/>
                <w:lang w:val="es-ES"/>
              </w:rPr>
              <w:t xml:space="preserve">Bahamas (Commonwealth </w:t>
            </w:r>
            <w:r w:rsidR="007D2FC4" w:rsidRPr="006666A5">
              <w:rPr>
                <w:rFonts w:ascii="Cambria" w:hAnsi="Cambria" w:cstheme="minorHAnsi"/>
                <w:sz w:val="20"/>
                <w:szCs w:val="20"/>
                <w:lang w:val="es-ES"/>
              </w:rPr>
              <w:t>de</w:t>
            </w:r>
            <w:r w:rsidRPr="006666A5">
              <w:rPr>
                <w:rFonts w:ascii="Cambria" w:hAnsi="Cambria" w:cstheme="minorHAnsi"/>
                <w:sz w:val="20"/>
                <w:szCs w:val="20"/>
                <w:lang w:val="es-ES"/>
              </w:rPr>
              <w:t>)</w:t>
            </w:r>
          </w:p>
          <w:p w14:paraId="3DB107A5" w14:textId="77777777" w:rsidR="00BB56C4" w:rsidRPr="006666A5" w:rsidRDefault="003C1898" w:rsidP="002005E0">
            <w:pPr>
              <w:spacing w:after="0" w:line="240" w:lineRule="auto"/>
              <w:ind w:left="-23"/>
              <w:jc w:val="both"/>
              <w:rPr>
                <w:rFonts w:ascii="Cambria" w:hAnsi="Cambria"/>
                <w:sz w:val="20"/>
                <w:szCs w:val="20"/>
                <w:lang w:val="es-ES"/>
              </w:rPr>
            </w:pPr>
            <w:r w:rsidRPr="006666A5">
              <w:rPr>
                <w:rFonts w:ascii="Cambria" w:hAnsi="Cambria"/>
                <w:b/>
                <w:sz w:val="20"/>
                <w:szCs w:val="20"/>
                <w:lang w:val="es-ES"/>
              </w:rPr>
              <w:t>Informe de Fondo Nº</w:t>
            </w:r>
            <w:r w:rsidR="00BB56C4" w:rsidRPr="006666A5">
              <w:rPr>
                <w:rFonts w:ascii="Cambria" w:hAnsi="Cambria"/>
                <w:b/>
                <w:sz w:val="20"/>
                <w:szCs w:val="20"/>
                <w:lang w:val="es-ES"/>
              </w:rPr>
              <w:t xml:space="preserve">: </w:t>
            </w:r>
            <w:hyperlink r:id="rId8" w:history="1">
              <w:r w:rsidR="00BB56C4" w:rsidRPr="006666A5">
                <w:rPr>
                  <w:rStyle w:val="Hyperlink"/>
                  <w:rFonts w:ascii="Cambria" w:hAnsi="Cambria"/>
                  <w:sz w:val="20"/>
                  <w:szCs w:val="20"/>
                  <w:lang w:val="es-ES"/>
                </w:rPr>
                <w:t>78/07</w:t>
              </w:r>
            </w:hyperlink>
            <w:r w:rsidR="00BB56C4" w:rsidRPr="006666A5">
              <w:rPr>
                <w:rFonts w:ascii="Cambria" w:hAnsi="Cambria"/>
                <w:sz w:val="20"/>
                <w:szCs w:val="20"/>
                <w:lang w:val="es-ES"/>
              </w:rPr>
              <w:t>, publicado en 15 de octubre de 2007</w:t>
            </w:r>
          </w:p>
          <w:p w14:paraId="4B7F1D95" w14:textId="77777777" w:rsidR="00BB56C4" w:rsidRPr="006666A5" w:rsidRDefault="00BB56C4" w:rsidP="002005E0">
            <w:pPr>
              <w:spacing w:after="0" w:line="240" w:lineRule="auto"/>
              <w:ind w:left="-23"/>
              <w:jc w:val="both"/>
              <w:rPr>
                <w:rFonts w:ascii="Cambria" w:hAnsi="Cambria"/>
                <w:sz w:val="20"/>
                <w:szCs w:val="20"/>
                <w:lang w:val="es-ES"/>
              </w:rPr>
            </w:pPr>
            <w:r w:rsidRPr="006666A5">
              <w:rPr>
                <w:rFonts w:ascii="Cambria" w:hAnsi="Cambria"/>
                <w:b/>
                <w:sz w:val="20"/>
                <w:szCs w:val="20"/>
                <w:lang w:val="es-ES"/>
              </w:rPr>
              <w:t xml:space="preserve">Informe de Admisibilidad: </w:t>
            </w:r>
            <w:r w:rsidRPr="006666A5">
              <w:rPr>
                <w:rFonts w:ascii="Cambria" w:hAnsi="Cambria"/>
                <w:sz w:val="20"/>
                <w:szCs w:val="20"/>
                <w:lang w:val="es-ES"/>
              </w:rPr>
              <w:t>Analizado junto con el Informe de Fondo Nº.</w:t>
            </w:r>
            <w:r w:rsidRPr="006666A5">
              <w:rPr>
                <w:rFonts w:ascii="Cambria" w:hAnsi="Cambria"/>
                <w:b/>
                <w:sz w:val="20"/>
                <w:szCs w:val="20"/>
                <w:lang w:val="es-ES"/>
              </w:rPr>
              <w:t xml:space="preserve"> </w:t>
            </w:r>
            <w:r w:rsidRPr="006666A5">
              <w:rPr>
                <w:rFonts w:ascii="Cambria" w:hAnsi="Cambria"/>
                <w:sz w:val="20"/>
                <w:szCs w:val="20"/>
                <w:lang w:val="es-ES"/>
              </w:rPr>
              <w:t>78/07</w:t>
            </w:r>
          </w:p>
          <w:p w14:paraId="669EB265" w14:textId="77777777" w:rsidR="00BB56C4" w:rsidRPr="006666A5" w:rsidRDefault="00BB56C4" w:rsidP="002005E0">
            <w:pPr>
              <w:spacing w:after="120" w:line="240" w:lineRule="auto"/>
              <w:ind w:left="-29"/>
              <w:jc w:val="both"/>
              <w:rPr>
                <w:rFonts w:ascii="Cambria" w:hAnsi="Cambria"/>
                <w:sz w:val="20"/>
                <w:szCs w:val="20"/>
                <w:lang w:val="es-ES"/>
              </w:rPr>
            </w:pPr>
            <w:r w:rsidRPr="006666A5">
              <w:rPr>
                <w:rFonts w:ascii="Cambria" w:hAnsi="Cambria"/>
                <w:b/>
                <w:sz w:val="20"/>
                <w:szCs w:val="20"/>
                <w:lang w:val="es-ES"/>
              </w:rPr>
              <w:t>Temas:</w:t>
            </w:r>
            <w:r w:rsidRPr="006666A5">
              <w:rPr>
                <w:rFonts w:ascii="Cambria" w:hAnsi="Cambria"/>
                <w:sz w:val="20"/>
                <w:szCs w:val="20"/>
                <w:lang w:val="es-ES"/>
              </w:rPr>
              <w:t xml:space="preserve"> </w:t>
            </w:r>
            <w:r w:rsidR="00A47664" w:rsidRPr="006666A5">
              <w:rPr>
                <w:rFonts w:ascii="Cambria" w:eastAsia="Times New Roman" w:hAnsi="Cambria"/>
                <w:color w:val="000000"/>
                <w:sz w:val="20"/>
                <w:szCs w:val="20"/>
                <w:lang w:val="es-MX" w:eastAsia="es-MX"/>
              </w:rPr>
              <w:t>Deber de Adoptar Medidas y Disposiciones de Derecho Interno</w:t>
            </w:r>
            <w:r w:rsidR="00A47664" w:rsidRPr="006666A5">
              <w:rPr>
                <w:rFonts w:ascii="Cambria" w:hAnsi="Cambria" w:cstheme="minorHAnsi"/>
                <w:color w:val="000000" w:themeColor="text1"/>
                <w:sz w:val="20"/>
                <w:szCs w:val="20"/>
                <w:lang w:val="es-ES"/>
              </w:rPr>
              <w:t xml:space="preserve"> / Derecho a la Vida / Derecho a la Integridad Personal / Derecho a la Libertad Personal / Garantías Judiciales / Protección Judicial / Pena de Muerte / Condiciones de Detención / </w:t>
            </w:r>
            <w:r w:rsidR="00A47664" w:rsidRPr="006666A5">
              <w:rPr>
                <w:rFonts w:ascii="Cambria" w:eastAsia="Times New Roman" w:hAnsi="Cambria"/>
                <w:color w:val="000000"/>
                <w:sz w:val="20"/>
                <w:szCs w:val="20"/>
                <w:lang w:val="es-MX" w:eastAsia="es-MX"/>
              </w:rPr>
              <w:t>Tortura, Tratos Crueles, Inhumanos y/o Degradantes / Detención Arbitraria</w:t>
            </w:r>
          </w:p>
          <w:p w14:paraId="712EC1A7" w14:textId="77777777" w:rsidR="00BB56C4" w:rsidRPr="006666A5" w:rsidRDefault="00BB56C4" w:rsidP="002005E0">
            <w:pPr>
              <w:spacing w:after="120" w:line="240" w:lineRule="auto"/>
              <w:ind w:left="-29"/>
              <w:jc w:val="both"/>
              <w:rPr>
                <w:rFonts w:ascii="Cambria" w:hAnsi="Cambria"/>
                <w:sz w:val="20"/>
                <w:szCs w:val="20"/>
                <w:lang w:val="es-ES"/>
              </w:rPr>
            </w:pPr>
            <w:r w:rsidRPr="006666A5">
              <w:rPr>
                <w:rFonts w:ascii="Cambria" w:hAnsi="Cambria"/>
                <w:b/>
                <w:sz w:val="20"/>
                <w:szCs w:val="20"/>
                <w:lang w:val="es-ES"/>
              </w:rPr>
              <w:t xml:space="preserve">Hechos: </w:t>
            </w:r>
            <w:r w:rsidRPr="006666A5">
              <w:rPr>
                <w:rFonts w:ascii="Cambria" w:hAnsi="Cambria"/>
                <w:sz w:val="20"/>
                <w:szCs w:val="20"/>
                <w:lang w:val="es-ES"/>
              </w:rPr>
              <w:t>El caso se refiere al</w:t>
            </w:r>
            <w:r w:rsidRPr="006666A5">
              <w:rPr>
                <w:rFonts w:ascii="Cambria" w:hAnsi="Cambria"/>
                <w:color w:val="000000"/>
                <w:sz w:val="20"/>
                <w:szCs w:val="20"/>
                <w:lang w:val="es-ES"/>
              </w:rPr>
              <w:t xml:space="preserve"> señor Goodman quien fue condenado por el Estado de</w:t>
            </w:r>
            <w:r w:rsidR="002B12D9" w:rsidRPr="006666A5">
              <w:rPr>
                <w:rFonts w:ascii="Cambria" w:hAnsi="Cambria"/>
                <w:color w:val="000000"/>
                <w:sz w:val="20"/>
                <w:szCs w:val="20"/>
                <w:lang w:val="es-ES"/>
              </w:rPr>
              <w:t xml:space="preserve"> Bahamas por</w:t>
            </w:r>
            <w:r w:rsidRPr="006666A5">
              <w:rPr>
                <w:rFonts w:ascii="Cambria" w:hAnsi="Cambria"/>
                <w:color w:val="000000"/>
                <w:sz w:val="20"/>
                <w:szCs w:val="20"/>
                <w:lang w:val="es-ES"/>
              </w:rPr>
              <w:t xml:space="preserve"> homicidio, secuestro y robo a mano armada</w:t>
            </w:r>
            <w:r w:rsidR="002B12D9" w:rsidRPr="006666A5">
              <w:rPr>
                <w:rFonts w:ascii="Cambria" w:hAnsi="Cambria"/>
                <w:color w:val="000000"/>
                <w:sz w:val="20"/>
                <w:szCs w:val="20"/>
                <w:lang w:val="es-ES"/>
              </w:rPr>
              <w:t>;</w:t>
            </w:r>
            <w:r w:rsidRPr="006666A5">
              <w:rPr>
                <w:rFonts w:ascii="Cambria" w:hAnsi="Cambria"/>
                <w:color w:val="000000"/>
                <w:sz w:val="20"/>
                <w:szCs w:val="20"/>
                <w:lang w:val="es-ES"/>
              </w:rPr>
              <w:t xml:space="preserve"> fue sentenciado a pena de muerte por homicidio, en concurrencia con penas de prisión de 10 años por secuestro y 15 años por robo a mano armada</w:t>
            </w:r>
            <w:r w:rsidRPr="006666A5">
              <w:rPr>
                <w:rFonts w:ascii="Verdana" w:hAnsi="Verdana"/>
                <w:color w:val="000000"/>
                <w:sz w:val="20"/>
                <w:szCs w:val="20"/>
                <w:lang w:val="es-ES"/>
              </w:rPr>
              <w:t>.</w:t>
            </w:r>
          </w:p>
          <w:p w14:paraId="29C81244" w14:textId="77777777" w:rsidR="00BB56C4" w:rsidRPr="006666A5" w:rsidRDefault="00BB56C4" w:rsidP="002005E0">
            <w:pPr>
              <w:spacing w:after="120" w:line="240" w:lineRule="auto"/>
              <w:ind w:left="-29"/>
              <w:jc w:val="both"/>
              <w:rPr>
                <w:rFonts w:ascii="Cambria" w:hAnsi="Cambria"/>
                <w:sz w:val="20"/>
                <w:szCs w:val="20"/>
                <w:lang w:val="es-ES"/>
              </w:rPr>
            </w:pPr>
            <w:r w:rsidRPr="006666A5">
              <w:rPr>
                <w:rFonts w:ascii="Cambria" w:hAnsi="Cambria"/>
                <w:b/>
                <w:sz w:val="20"/>
                <w:szCs w:val="20"/>
                <w:lang w:val="es-ES"/>
              </w:rPr>
              <w:t xml:space="preserve">Derechos violados: </w:t>
            </w:r>
            <w:r w:rsidRPr="006666A5">
              <w:rPr>
                <w:rFonts w:ascii="Cambria" w:hAnsi="Cambria"/>
                <w:sz w:val="20"/>
                <w:szCs w:val="20"/>
                <w:lang w:val="es-ES"/>
              </w:rPr>
              <w:t xml:space="preserve">La Comisión concluyó que el Estado era responsable: a) de la violación de los artículos I, XXV y XXVI de la Declaración Americana por haber sentenciado al señor Goodman a una pena de muerte obligatoria; b) de la violación del derecho del señor Goodman consagrado en los artículos I, XXV y XXVI de la Declaración Americana, por no otorgar al señor Goodman un recurso efectivo para solicitar la amnistía, el indulto o la conmutación de la sentencia; c) de la violación del derecho del señor Goodman a ser juzgado sin demora injustificada, de acuerdo con el artículo XXV de la Declaración Americana; d) de la violación del derecho del señor Goodman a un tratamiento humano, conforme a los artículos XXV y XXVI de la Declaración Americana, en particular, su derecho a no ser objeto de un castigo cruel, degradante o inusual. </w:t>
            </w:r>
          </w:p>
        </w:tc>
      </w:tr>
    </w:tbl>
    <w:p w14:paraId="4A3225A8" w14:textId="77777777" w:rsidR="00BB56C4" w:rsidRPr="006666A5" w:rsidRDefault="00BB56C4" w:rsidP="00BB56C4">
      <w:pPr>
        <w:spacing w:after="0" w:line="240" w:lineRule="auto"/>
        <w:ind w:left="180"/>
        <w:rPr>
          <w:rFonts w:ascii="Cambria" w:hAnsi="Cambria"/>
          <w:sz w:val="20"/>
          <w:szCs w:val="20"/>
          <w:lang w:val="es-ES"/>
        </w:rPr>
      </w:pPr>
    </w:p>
    <w:p w14:paraId="00DB8776" w14:textId="77777777" w:rsidR="00BB56C4" w:rsidRPr="006666A5" w:rsidRDefault="009A2EED" w:rsidP="009969F9">
      <w:pPr>
        <w:numPr>
          <w:ilvl w:val="0"/>
          <w:numId w:val="18"/>
        </w:numPr>
        <w:spacing w:after="0" w:line="240" w:lineRule="auto"/>
        <w:ind w:firstLine="0"/>
        <w:jc w:val="both"/>
        <w:rPr>
          <w:rFonts w:ascii="Cambria" w:hAnsi="Cambria" w:cs="Calibri Light"/>
          <w:b/>
          <w:sz w:val="20"/>
          <w:szCs w:val="20"/>
          <w:lang w:val="es-ES"/>
        </w:rPr>
      </w:pPr>
      <w:r w:rsidRPr="006666A5">
        <w:rPr>
          <w:rFonts w:ascii="Cambria" w:hAnsi="Cambria" w:cs="Calibri Light"/>
          <w:b/>
          <w:sz w:val="20"/>
          <w:szCs w:val="20"/>
          <w:lang w:val="es-ES"/>
        </w:rPr>
        <w:t>Recom</w:t>
      </w:r>
      <w:r w:rsidR="00BB56C4" w:rsidRPr="006666A5">
        <w:rPr>
          <w:rFonts w:ascii="Cambria" w:hAnsi="Cambria" w:cs="Calibri Light"/>
          <w:b/>
          <w:sz w:val="20"/>
          <w:szCs w:val="20"/>
          <w:lang w:val="es-ES"/>
        </w:rPr>
        <w:t>enda</w:t>
      </w:r>
      <w:r w:rsidRPr="006666A5">
        <w:rPr>
          <w:rFonts w:ascii="Cambria" w:hAnsi="Cambria" w:cs="Calibri Light"/>
          <w:b/>
          <w:sz w:val="20"/>
          <w:szCs w:val="20"/>
          <w:lang w:val="es-ES"/>
        </w:rPr>
        <w:t xml:space="preserve">ciones </w:t>
      </w:r>
    </w:p>
    <w:p w14:paraId="00E85CCA" w14:textId="77777777" w:rsidR="00BB56C4" w:rsidRPr="006666A5" w:rsidRDefault="00BB56C4" w:rsidP="00BB56C4">
      <w:pPr>
        <w:spacing w:after="0" w:line="240" w:lineRule="auto"/>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1"/>
        <w:gridCol w:w="2481"/>
      </w:tblGrid>
      <w:tr w:rsidR="00BB56C4" w:rsidRPr="006666A5" w14:paraId="588406C4" w14:textId="77777777" w:rsidTr="002005E0">
        <w:tc>
          <w:tcPr>
            <w:tcW w:w="7020" w:type="dxa"/>
            <w:shd w:val="clear" w:color="auto" w:fill="auto"/>
          </w:tcPr>
          <w:p w14:paraId="6D3C5738" w14:textId="77777777" w:rsidR="00BB56C4" w:rsidRPr="006666A5" w:rsidRDefault="009A2EED" w:rsidP="009A2EED">
            <w:pPr>
              <w:spacing w:after="0" w:line="240" w:lineRule="auto"/>
              <w:ind w:left="316"/>
              <w:jc w:val="center"/>
              <w:rPr>
                <w:rFonts w:ascii="Cambria" w:hAnsi="Cambria" w:cs="Calibri Light"/>
                <w:b/>
                <w:sz w:val="18"/>
                <w:szCs w:val="18"/>
                <w:lang w:val="es-ES"/>
              </w:rPr>
            </w:pPr>
            <w:r w:rsidRPr="006666A5">
              <w:rPr>
                <w:rFonts w:ascii="Cambria" w:hAnsi="Cambria" w:cs="Calibri Light"/>
                <w:b/>
                <w:sz w:val="18"/>
                <w:szCs w:val="18"/>
                <w:lang w:val="es-ES"/>
              </w:rPr>
              <w:t>Recomendaciones</w:t>
            </w:r>
          </w:p>
        </w:tc>
        <w:tc>
          <w:tcPr>
            <w:tcW w:w="2520" w:type="dxa"/>
            <w:shd w:val="clear" w:color="auto" w:fill="auto"/>
          </w:tcPr>
          <w:p w14:paraId="3EEB00A1" w14:textId="5EF6082E" w:rsidR="00BB56C4" w:rsidRPr="006666A5" w:rsidRDefault="009A2EED" w:rsidP="009A2EED">
            <w:pPr>
              <w:spacing w:after="0" w:line="240" w:lineRule="auto"/>
              <w:jc w:val="center"/>
              <w:rPr>
                <w:rFonts w:ascii="Cambria" w:hAnsi="Cambria" w:cs="Calibri Light"/>
                <w:b/>
                <w:sz w:val="18"/>
                <w:szCs w:val="18"/>
                <w:lang w:val="es-ES"/>
              </w:rPr>
            </w:pPr>
            <w:r w:rsidRPr="006666A5">
              <w:rPr>
                <w:rFonts w:ascii="Cambria" w:hAnsi="Cambria" w:cs="Calibri Light"/>
                <w:b/>
                <w:sz w:val="18"/>
                <w:szCs w:val="18"/>
                <w:lang w:val="es-ES"/>
              </w:rPr>
              <w:t>E</w:t>
            </w:r>
            <w:r w:rsidR="003069AE" w:rsidRPr="006666A5">
              <w:rPr>
                <w:rFonts w:ascii="Cambria" w:hAnsi="Cambria" w:cs="Calibri Light"/>
                <w:b/>
                <w:sz w:val="18"/>
                <w:szCs w:val="18"/>
                <w:lang w:val="es-ES"/>
              </w:rPr>
              <w:t>stado de cumplimiento en el 2</w:t>
            </w:r>
            <w:r w:rsidR="003069AE" w:rsidRPr="006666A5">
              <w:rPr>
                <w:rFonts w:ascii="Cambria" w:hAnsi="Cambria" w:cs="Calibri Light"/>
                <w:b/>
                <w:color w:val="000000" w:themeColor="text1"/>
                <w:sz w:val="18"/>
                <w:szCs w:val="18"/>
                <w:lang w:val="es-ES"/>
              </w:rPr>
              <w:t>0</w:t>
            </w:r>
            <w:r w:rsidR="00CA451B" w:rsidRPr="006666A5">
              <w:rPr>
                <w:rFonts w:ascii="Cambria" w:hAnsi="Cambria" w:cs="Calibri Light"/>
                <w:b/>
                <w:color w:val="000000" w:themeColor="text1"/>
                <w:sz w:val="18"/>
                <w:szCs w:val="18"/>
                <w:lang w:val="es-ES"/>
              </w:rPr>
              <w:t>20</w:t>
            </w:r>
          </w:p>
        </w:tc>
      </w:tr>
      <w:tr w:rsidR="00BB56C4" w:rsidRPr="006666A5" w14:paraId="130AC0E7" w14:textId="77777777" w:rsidTr="002005E0">
        <w:tc>
          <w:tcPr>
            <w:tcW w:w="7020" w:type="dxa"/>
            <w:shd w:val="clear" w:color="auto" w:fill="auto"/>
            <w:vAlign w:val="center"/>
          </w:tcPr>
          <w:p w14:paraId="5C0464B8" w14:textId="77777777" w:rsidR="00BB56C4" w:rsidRPr="006666A5" w:rsidRDefault="00BB56C4" w:rsidP="002005E0">
            <w:pPr>
              <w:spacing w:after="0" w:line="240" w:lineRule="auto"/>
              <w:jc w:val="both"/>
              <w:rPr>
                <w:rFonts w:ascii="Cambria" w:hAnsi="Cambria" w:cs="Calibri Light"/>
                <w:sz w:val="18"/>
                <w:szCs w:val="18"/>
                <w:lang w:val="es-ES"/>
              </w:rPr>
            </w:pPr>
            <w:r w:rsidRPr="006666A5">
              <w:rPr>
                <w:rFonts w:ascii="Cambria" w:hAnsi="Cambria"/>
                <w:sz w:val="18"/>
                <w:szCs w:val="18"/>
                <w:lang w:val="es-ES"/>
              </w:rPr>
              <w:t xml:space="preserve">1. </w:t>
            </w:r>
            <w:r w:rsidRPr="006666A5">
              <w:rPr>
                <w:rFonts w:ascii="Cambria" w:hAnsi="Cambria"/>
                <w:color w:val="000000"/>
                <w:sz w:val="18"/>
                <w:szCs w:val="18"/>
                <w:lang w:val="es-ES"/>
              </w:rPr>
              <w:t> Otorgue al señor Goodman una reparación efectiva que incluya la conmutación de la sentencia y una indemnización por la violación de los artículos I, XI, XVIII, XXIV, XXV y XXVI de la Declaración Americana.</w:t>
            </w:r>
          </w:p>
        </w:tc>
        <w:tc>
          <w:tcPr>
            <w:tcW w:w="2520" w:type="dxa"/>
            <w:shd w:val="clear" w:color="auto" w:fill="auto"/>
            <w:vAlign w:val="center"/>
          </w:tcPr>
          <w:p w14:paraId="2F98C6AE" w14:textId="77777777" w:rsidR="00BB56C4" w:rsidRPr="006666A5" w:rsidRDefault="00BA4BE2" w:rsidP="00BA4BE2">
            <w:pPr>
              <w:spacing w:after="0" w:line="240" w:lineRule="auto"/>
              <w:jc w:val="center"/>
              <w:rPr>
                <w:rFonts w:ascii="Cambria" w:hAnsi="Cambria" w:cs="Calibri Light"/>
                <w:b/>
                <w:sz w:val="18"/>
                <w:szCs w:val="18"/>
                <w:lang w:val="es-ES"/>
              </w:rPr>
            </w:pPr>
            <w:r w:rsidRPr="006666A5">
              <w:rPr>
                <w:rFonts w:ascii="Cambria" w:hAnsi="Cambria" w:cs="Calibri"/>
                <w:sz w:val="18"/>
                <w:szCs w:val="18"/>
                <w:lang w:val="es-ES"/>
              </w:rPr>
              <w:t>C</w:t>
            </w:r>
            <w:r w:rsidR="00BB56C4" w:rsidRPr="006666A5">
              <w:rPr>
                <w:rFonts w:ascii="Cambria" w:hAnsi="Cambria" w:cs="Calibri"/>
                <w:sz w:val="18"/>
                <w:szCs w:val="18"/>
                <w:lang w:val="es-ES"/>
              </w:rPr>
              <w:t>umplimiento</w:t>
            </w:r>
            <w:r w:rsidRPr="006666A5">
              <w:rPr>
                <w:rFonts w:ascii="Cambria" w:hAnsi="Cambria" w:cs="Calibri"/>
                <w:sz w:val="18"/>
                <w:szCs w:val="18"/>
                <w:lang w:val="es-ES"/>
              </w:rPr>
              <w:t xml:space="preserve"> Parcial</w:t>
            </w:r>
          </w:p>
        </w:tc>
      </w:tr>
      <w:tr w:rsidR="00BB56C4" w:rsidRPr="006666A5" w14:paraId="59335416" w14:textId="77777777" w:rsidTr="002005E0">
        <w:tc>
          <w:tcPr>
            <w:tcW w:w="7020" w:type="dxa"/>
            <w:shd w:val="clear" w:color="auto" w:fill="auto"/>
            <w:vAlign w:val="center"/>
          </w:tcPr>
          <w:p w14:paraId="1E972088" w14:textId="77777777" w:rsidR="00BB56C4" w:rsidRPr="006666A5" w:rsidRDefault="00BB56C4" w:rsidP="002005E0">
            <w:pPr>
              <w:spacing w:after="0" w:line="240" w:lineRule="auto"/>
              <w:jc w:val="both"/>
              <w:rPr>
                <w:rFonts w:ascii="Cambria" w:hAnsi="Cambria" w:cs="Calibri Light"/>
                <w:sz w:val="18"/>
                <w:szCs w:val="18"/>
                <w:lang w:val="es-ES"/>
              </w:rPr>
            </w:pPr>
            <w:r w:rsidRPr="006666A5">
              <w:rPr>
                <w:rFonts w:ascii="Cambria" w:hAnsi="Cambria"/>
                <w:sz w:val="18"/>
                <w:szCs w:val="18"/>
                <w:lang w:val="es-ES"/>
              </w:rPr>
              <w:t xml:space="preserve">2. </w:t>
            </w:r>
            <w:r w:rsidRPr="006666A5">
              <w:rPr>
                <w:rFonts w:ascii="Cambria" w:hAnsi="Cambria"/>
                <w:color w:val="000000"/>
                <w:sz w:val="18"/>
                <w:szCs w:val="18"/>
                <w:lang w:val="es-ES"/>
              </w:rPr>
              <w:t> Adopte las medidas legislativas y de otra índole que sean necesarias para garantizar que la pena de muerte sea impuesta en cumplimiento de los derechos y libertades garantizadas por la Declaración Americana, incluidos y en particular, los artículos I, XXV y XXVI, y asegure que ninguna persona sea sentenciada a muerte por una ley de sentencia obligatoria en Bahamas.</w:t>
            </w:r>
          </w:p>
        </w:tc>
        <w:tc>
          <w:tcPr>
            <w:tcW w:w="2520" w:type="dxa"/>
            <w:shd w:val="clear" w:color="auto" w:fill="auto"/>
            <w:vAlign w:val="center"/>
          </w:tcPr>
          <w:p w14:paraId="26C7C73E" w14:textId="77777777" w:rsidR="00BB56C4" w:rsidRPr="006666A5" w:rsidRDefault="00BB56C4" w:rsidP="002005E0">
            <w:pPr>
              <w:spacing w:after="0" w:line="240" w:lineRule="auto"/>
              <w:jc w:val="center"/>
              <w:rPr>
                <w:rFonts w:ascii="Cambria" w:hAnsi="Cambria" w:cs="Calibri Light"/>
                <w:b/>
                <w:sz w:val="18"/>
                <w:szCs w:val="18"/>
                <w:lang w:val="es-ES"/>
              </w:rPr>
            </w:pPr>
            <w:r w:rsidRPr="006666A5">
              <w:rPr>
                <w:rFonts w:ascii="Cambria" w:hAnsi="Cambria" w:cs="Calibri"/>
                <w:sz w:val="18"/>
                <w:szCs w:val="18"/>
                <w:lang w:val="es-ES"/>
              </w:rPr>
              <w:t>Pendiente de cumplimiento</w:t>
            </w:r>
          </w:p>
        </w:tc>
      </w:tr>
      <w:tr w:rsidR="00BB56C4" w:rsidRPr="006666A5" w14:paraId="3854069C" w14:textId="77777777" w:rsidTr="002005E0">
        <w:tc>
          <w:tcPr>
            <w:tcW w:w="7020" w:type="dxa"/>
            <w:shd w:val="clear" w:color="auto" w:fill="auto"/>
            <w:vAlign w:val="center"/>
          </w:tcPr>
          <w:p w14:paraId="212DC389" w14:textId="77777777" w:rsidR="00BB56C4" w:rsidRPr="006666A5" w:rsidRDefault="00BB56C4" w:rsidP="002005E0">
            <w:pPr>
              <w:spacing w:after="0" w:line="240" w:lineRule="auto"/>
              <w:jc w:val="both"/>
              <w:rPr>
                <w:rFonts w:ascii="Cambria" w:hAnsi="Cambria" w:cs="Calibri Light"/>
                <w:sz w:val="18"/>
                <w:szCs w:val="18"/>
                <w:lang w:val="es-ES"/>
              </w:rPr>
            </w:pPr>
            <w:r w:rsidRPr="006666A5">
              <w:rPr>
                <w:rFonts w:ascii="Cambria" w:hAnsi="Cambria"/>
                <w:sz w:val="18"/>
                <w:szCs w:val="18"/>
                <w:lang w:val="es-ES"/>
              </w:rPr>
              <w:t xml:space="preserve">3. </w:t>
            </w:r>
            <w:r w:rsidRPr="006666A5">
              <w:rPr>
                <w:rFonts w:ascii="Cambria" w:hAnsi="Cambria"/>
                <w:color w:val="000000"/>
                <w:sz w:val="18"/>
                <w:szCs w:val="18"/>
                <w:lang w:val="es-ES"/>
              </w:rPr>
              <w:t>Adopte las medidas legislativas y de otra índole que sean necesarias para garantizar la vigencia en Bahamas del derecho consagrado en el artículo XXV de la Declaración Americana a ser juzgado sin demora injustificada.</w:t>
            </w:r>
          </w:p>
        </w:tc>
        <w:tc>
          <w:tcPr>
            <w:tcW w:w="2520" w:type="dxa"/>
            <w:shd w:val="clear" w:color="auto" w:fill="auto"/>
            <w:vAlign w:val="center"/>
          </w:tcPr>
          <w:p w14:paraId="73B315B0" w14:textId="77777777" w:rsidR="00BB56C4" w:rsidRPr="006666A5" w:rsidRDefault="00BB56C4" w:rsidP="002005E0">
            <w:pPr>
              <w:spacing w:after="0" w:line="240" w:lineRule="auto"/>
              <w:jc w:val="center"/>
              <w:rPr>
                <w:rFonts w:ascii="Cambria" w:hAnsi="Cambria" w:cs="Calibri Light"/>
                <w:b/>
                <w:sz w:val="18"/>
                <w:szCs w:val="18"/>
                <w:lang w:val="es-ES"/>
              </w:rPr>
            </w:pPr>
            <w:r w:rsidRPr="006666A5">
              <w:rPr>
                <w:rFonts w:ascii="Cambria" w:hAnsi="Cambria" w:cs="Calibri"/>
                <w:sz w:val="18"/>
                <w:szCs w:val="18"/>
                <w:lang w:val="es-ES"/>
              </w:rPr>
              <w:t>Pendiente de cumplimiento</w:t>
            </w:r>
          </w:p>
        </w:tc>
      </w:tr>
      <w:tr w:rsidR="00BB56C4" w:rsidRPr="006666A5" w14:paraId="2224401B" w14:textId="77777777" w:rsidTr="002005E0">
        <w:tc>
          <w:tcPr>
            <w:tcW w:w="7020" w:type="dxa"/>
            <w:shd w:val="clear" w:color="auto" w:fill="auto"/>
            <w:vAlign w:val="center"/>
          </w:tcPr>
          <w:p w14:paraId="0A8E6A50" w14:textId="77777777" w:rsidR="00BB56C4" w:rsidRPr="006666A5" w:rsidRDefault="00BB56C4" w:rsidP="002005E0">
            <w:pPr>
              <w:spacing w:after="0" w:line="240" w:lineRule="auto"/>
              <w:jc w:val="both"/>
              <w:rPr>
                <w:rFonts w:ascii="Cambria" w:hAnsi="Cambria" w:cs="Calibri Light"/>
                <w:sz w:val="18"/>
                <w:szCs w:val="18"/>
                <w:lang w:val="es-ES"/>
              </w:rPr>
            </w:pPr>
            <w:r w:rsidRPr="006666A5">
              <w:rPr>
                <w:rFonts w:ascii="Cambria" w:hAnsi="Cambria"/>
                <w:sz w:val="18"/>
                <w:szCs w:val="18"/>
                <w:lang w:val="es-ES"/>
              </w:rPr>
              <w:t xml:space="preserve">4. </w:t>
            </w:r>
            <w:r w:rsidRPr="006666A5">
              <w:rPr>
                <w:rFonts w:ascii="Cambria" w:hAnsi="Cambria"/>
                <w:color w:val="000000"/>
                <w:sz w:val="18"/>
                <w:szCs w:val="18"/>
                <w:lang w:val="es-ES"/>
              </w:rPr>
              <w:t> Adopte las medidas legislativas y de otra índole que sean necesarias para asegurar la vigencia en Bahamas del derecho a un trato humano y del derecho a no ser objeto de un castigo cruel, degradante o inusual, dispuesto en los artículos XI, XXV y XXVI de la Declaración Americana, en relación con las condiciones de detención</w:t>
            </w:r>
          </w:p>
        </w:tc>
        <w:tc>
          <w:tcPr>
            <w:tcW w:w="2520" w:type="dxa"/>
            <w:shd w:val="clear" w:color="auto" w:fill="auto"/>
            <w:vAlign w:val="center"/>
          </w:tcPr>
          <w:p w14:paraId="14913829" w14:textId="77777777" w:rsidR="00BB56C4" w:rsidRPr="006666A5" w:rsidRDefault="00BB56C4" w:rsidP="002005E0">
            <w:pPr>
              <w:spacing w:after="0" w:line="240" w:lineRule="auto"/>
              <w:jc w:val="center"/>
              <w:rPr>
                <w:rFonts w:ascii="Cambria" w:hAnsi="Cambria" w:cs="Calibri Light"/>
                <w:b/>
                <w:sz w:val="18"/>
                <w:szCs w:val="18"/>
                <w:lang w:val="es-ES"/>
              </w:rPr>
            </w:pPr>
            <w:r w:rsidRPr="006666A5">
              <w:rPr>
                <w:rFonts w:ascii="Cambria" w:hAnsi="Cambria" w:cs="Calibri"/>
                <w:sz w:val="18"/>
                <w:szCs w:val="18"/>
                <w:lang w:val="es-ES"/>
              </w:rPr>
              <w:t>Pendiente de cumplimiento</w:t>
            </w:r>
          </w:p>
        </w:tc>
      </w:tr>
    </w:tbl>
    <w:p w14:paraId="63BC2306" w14:textId="17DDA007" w:rsidR="00BB56C4" w:rsidRPr="006666A5" w:rsidRDefault="00BB56C4" w:rsidP="00BB56C4">
      <w:pPr>
        <w:spacing w:after="0" w:line="240" w:lineRule="auto"/>
        <w:jc w:val="both"/>
        <w:rPr>
          <w:rFonts w:ascii="Cambria" w:hAnsi="Cambria" w:cs="Calibri Light"/>
          <w:sz w:val="20"/>
          <w:szCs w:val="20"/>
          <w:lang w:val="es-ES"/>
        </w:rPr>
      </w:pPr>
    </w:p>
    <w:p w14:paraId="2C50E62A" w14:textId="369AA6E2" w:rsidR="00EB4C81" w:rsidRPr="006666A5" w:rsidRDefault="00EB4C81" w:rsidP="00BB56C4">
      <w:pPr>
        <w:spacing w:after="0" w:line="240" w:lineRule="auto"/>
        <w:jc w:val="both"/>
        <w:rPr>
          <w:rFonts w:ascii="Cambria" w:hAnsi="Cambria" w:cs="Calibri Light"/>
          <w:sz w:val="20"/>
          <w:szCs w:val="20"/>
          <w:lang w:val="es-ES"/>
        </w:rPr>
      </w:pPr>
    </w:p>
    <w:p w14:paraId="00FB8567" w14:textId="77777777" w:rsidR="00EB4C81" w:rsidRPr="006666A5" w:rsidRDefault="00EB4C81" w:rsidP="00BB56C4">
      <w:pPr>
        <w:spacing w:after="0" w:line="240" w:lineRule="auto"/>
        <w:jc w:val="both"/>
        <w:rPr>
          <w:rFonts w:ascii="Cambria" w:hAnsi="Cambria" w:cs="Calibri Light"/>
          <w:sz w:val="20"/>
          <w:szCs w:val="20"/>
          <w:lang w:val="es-ES"/>
        </w:rPr>
      </w:pPr>
    </w:p>
    <w:p w14:paraId="43988781" w14:textId="77777777" w:rsidR="00BB56C4" w:rsidRPr="006666A5" w:rsidRDefault="00BB56C4" w:rsidP="009969F9">
      <w:pPr>
        <w:pStyle w:val="ListParagraph"/>
        <w:numPr>
          <w:ilvl w:val="0"/>
          <w:numId w:val="18"/>
        </w:numPr>
        <w:spacing w:after="0" w:line="240" w:lineRule="auto"/>
        <w:ind w:firstLine="0"/>
        <w:jc w:val="both"/>
        <w:rPr>
          <w:rFonts w:ascii="Cambria" w:hAnsi="Cambria" w:cs="Calibri Light"/>
          <w:b/>
          <w:sz w:val="20"/>
          <w:szCs w:val="20"/>
          <w:lang w:val="es-ES"/>
        </w:rPr>
      </w:pPr>
      <w:r w:rsidRPr="006666A5">
        <w:rPr>
          <w:rFonts w:ascii="Cambria" w:hAnsi="Cambria"/>
          <w:b/>
          <w:sz w:val="20"/>
          <w:szCs w:val="20"/>
          <w:lang w:val="es-ES"/>
        </w:rPr>
        <w:lastRenderedPageBreak/>
        <w:t>Actividad Procesal</w:t>
      </w:r>
    </w:p>
    <w:p w14:paraId="4D933009" w14:textId="77777777" w:rsidR="00BB56C4" w:rsidRPr="006666A5" w:rsidRDefault="00BB56C4" w:rsidP="00BB56C4">
      <w:pPr>
        <w:pStyle w:val="ListParagraph"/>
        <w:spacing w:after="0" w:line="240" w:lineRule="auto"/>
        <w:jc w:val="both"/>
        <w:rPr>
          <w:rFonts w:ascii="Cambria" w:hAnsi="Cambria" w:cs="Calibri Light"/>
          <w:color w:val="FF0000"/>
          <w:sz w:val="20"/>
          <w:szCs w:val="20"/>
          <w:lang w:val="es-ES"/>
        </w:rPr>
      </w:pPr>
    </w:p>
    <w:p w14:paraId="22A6B0BF" w14:textId="0E02D902" w:rsidR="004C528C" w:rsidRPr="006666A5" w:rsidRDefault="004C528C" w:rsidP="004C528C">
      <w:pPr>
        <w:pStyle w:val="ListParagraph"/>
        <w:numPr>
          <w:ilvl w:val="0"/>
          <w:numId w:val="12"/>
        </w:numPr>
        <w:spacing w:after="0" w:line="240" w:lineRule="auto"/>
        <w:ind w:left="0" w:firstLine="634"/>
        <w:jc w:val="both"/>
        <w:rPr>
          <w:rFonts w:ascii="Cambria" w:hAnsi="Cambria" w:cs="Calibri Light"/>
          <w:color w:val="000000" w:themeColor="text1"/>
          <w:sz w:val="20"/>
          <w:szCs w:val="20"/>
          <w:lang w:val="es-ES"/>
        </w:rPr>
      </w:pPr>
      <w:r w:rsidRPr="006666A5">
        <w:rPr>
          <w:rFonts w:ascii="Cambria" w:hAnsi="Cambria" w:cs="Calibri Light"/>
          <w:color w:val="000000" w:themeColor="text1"/>
          <w:sz w:val="20"/>
          <w:szCs w:val="20"/>
          <w:lang w:val="es-ES"/>
        </w:rPr>
        <w:t>En 20</w:t>
      </w:r>
      <w:r w:rsidR="00A1205F" w:rsidRPr="006666A5">
        <w:rPr>
          <w:rFonts w:ascii="Cambria" w:hAnsi="Cambria" w:cs="Calibri Light"/>
          <w:color w:val="000000" w:themeColor="text1"/>
          <w:sz w:val="20"/>
          <w:szCs w:val="20"/>
          <w:lang w:val="es-ES"/>
        </w:rPr>
        <w:t>20</w:t>
      </w:r>
      <w:r w:rsidRPr="006666A5">
        <w:rPr>
          <w:rFonts w:ascii="Cambria" w:hAnsi="Cambria" w:cs="Calibri Light"/>
          <w:color w:val="000000" w:themeColor="text1"/>
          <w:sz w:val="20"/>
          <w:szCs w:val="20"/>
          <w:lang w:val="es-ES"/>
        </w:rPr>
        <w:t xml:space="preserve">, la CIDH solicitó información actualizada sobre el cumplimiento de las recomendaciones el </w:t>
      </w:r>
      <w:r w:rsidR="00A1205F" w:rsidRPr="006666A5">
        <w:rPr>
          <w:rFonts w:ascii="Cambria" w:hAnsi="Cambria" w:cs="Calibri Light"/>
          <w:color w:val="000000" w:themeColor="text1"/>
          <w:sz w:val="20"/>
          <w:szCs w:val="20"/>
          <w:lang w:val="es-ES"/>
        </w:rPr>
        <w:t>14</w:t>
      </w:r>
      <w:r w:rsidRPr="006666A5">
        <w:rPr>
          <w:rFonts w:ascii="Cambria" w:hAnsi="Cambria" w:cs="Calibri Light"/>
          <w:color w:val="000000" w:themeColor="text1"/>
          <w:sz w:val="20"/>
          <w:szCs w:val="20"/>
          <w:lang w:val="es-ES"/>
        </w:rPr>
        <w:t xml:space="preserve"> de </w:t>
      </w:r>
      <w:r w:rsidR="00A1205F" w:rsidRPr="006666A5">
        <w:rPr>
          <w:rFonts w:ascii="Cambria" w:hAnsi="Cambria" w:cs="Calibri Light"/>
          <w:color w:val="000000" w:themeColor="text1"/>
          <w:sz w:val="20"/>
          <w:szCs w:val="20"/>
          <w:lang w:val="es-ES"/>
        </w:rPr>
        <w:t>agosto</w:t>
      </w:r>
      <w:r w:rsidR="00EB4C81" w:rsidRPr="006666A5">
        <w:rPr>
          <w:rFonts w:ascii="Cambria" w:hAnsi="Cambria" w:cs="Calibri Light"/>
          <w:color w:val="000000" w:themeColor="text1"/>
          <w:sz w:val="20"/>
          <w:szCs w:val="20"/>
          <w:lang w:val="es-ES"/>
        </w:rPr>
        <w:t xml:space="preserve"> y a los peticionarios los días 14 y 19 de agosto</w:t>
      </w:r>
      <w:r w:rsidRPr="006666A5">
        <w:rPr>
          <w:rFonts w:ascii="Cambria" w:hAnsi="Cambria" w:cs="Calibri Light"/>
          <w:color w:val="000000" w:themeColor="text1"/>
          <w:sz w:val="20"/>
          <w:szCs w:val="20"/>
          <w:lang w:val="es-ES"/>
        </w:rPr>
        <w:t xml:space="preserve">. A la fecha de cierre de este informe, </w:t>
      </w:r>
      <w:r w:rsidRPr="006666A5">
        <w:rPr>
          <w:rFonts w:ascii="Cambria" w:hAnsi="Cambria"/>
          <w:color w:val="000000" w:themeColor="text1"/>
          <w:sz w:val="20"/>
          <w:szCs w:val="20"/>
          <w:lang w:val="es-ES_tradnl"/>
        </w:rPr>
        <w:t>la Comisión no había recibido dicha información de ninguna de las partes.</w:t>
      </w:r>
      <w:r w:rsidR="0053548F" w:rsidRPr="006666A5">
        <w:rPr>
          <w:rFonts w:ascii="Cambria" w:hAnsi="Cambria"/>
          <w:color w:val="000000" w:themeColor="text1"/>
          <w:sz w:val="20"/>
          <w:szCs w:val="20"/>
          <w:lang w:val="es-ES_tradnl"/>
        </w:rPr>
        <w:t xml:space="preserve"> </w:t>
      </w:r>
      <w:r w:rsidR="0053548F" w:rsidRPr="006666A5">
        <w:rPr>
          <w:rFonts w:ascii="Cambria" w:hAnsi="Cambria" w:cs="Calibri Light"/>
          <w:color w:val="000000" w:themeColor="text1"/>
          <w:sz w:val="20"/>
          <w:szCs w:val="20"/>
          <w:lang w:val="es-ES"/>
        </w:rPr>
        <w:t>La Comisión observa con preocupación que el Estado no ha presentado a la CIDH información sobre las medidas adoptadas para implementar las recomendaciones contenidas en el Informe de Fondo No. 78/07 desde 2012 y los peticionarios desde el 2007.</w:t>
      </w:r>
    </w:p>
    <w:p w14:paraId="6FD7634E" w14:textId="77777777" w:rsidR="004C528C" w:rsidRPr="006666A5" w:rsidRDefault="004C528C" w:rsidP="004C528C">
      <w:pPr>
        <w:spacing w:after="0" w:line="240" w:lineRule="auto"/>
        <w:jc w:val="both"/>
        <w:rPr>
          <w:rFonts w:ascii="Cambria" w:hAnsi="Cambria" w:cs="Calibri Light"/>
          <w:sz w:val="20"/>
          <w:szCs w:val="20"/>
          <w:lang w:val="es-ES"/>
        </w:rPr>
      </w:pPr>
    </w:p>
    <w:p w14:paraId="350991F6" w14:textId="77777777" w:rsidR="00BB56C4" w:rsidRPr="006666A5" w:rsidRDefault="00503E3B" w:rsidP="009969F9">
      <w:pPr>
        <w:pStyle w:val="ListParagraph"/>
        <w:numPr>
          <w:ilvl w:val="0"/>
          <w:numId w:val="18"/>
        </w:numPr>
        <w:spacing w:after="0" w:line="240" w:lineRule="auto"/>
        <w:ind w:firstLine="0"/>
        <w:jc w:val="both"/>
        <w:rPr>
          <w:rFonts w:ascii="Cambria" w:hAnsi="Cambria" w:cs="Calibri Light"/>
          <w:b/>
          <w:sz w:val="20"/>
          <w:szCs w:val="20"/>
          <w:lang w:val="es-ES"/>
        </w:rPr>
      </w:pPr>
      <w:r w:rsidRPr="006666A5">
        <w:rPr>
          <w:rFonts w:ascii="Cambria" w:hAnsi="Cambria" w:cs="Calibri Light"/>
          <w:b/>
          <w:sz w:val="20"/>
          <w:szCs w:val="20"/>
          <w:lang w:val="es-ES"/>
        </w:rPr>
        <w:t>Análisis relativo</w:t>
      </w:r>
      <w:r w:rsidR="00BB56C4" w:rsidRPr="006666A5">
        <w:rPr>
          <w:rFonts w:ascii="Cambria" w:hAnsi="Cambria" w:cs="Calibri Light"/>
          <w:b/>
          <w:sz w:val="20"/>
          <w:szCs w:val="20"/>
          <w:lang w:val="es-ES"/>
        </w:rPr>
        <w:t xml:space="preserve"> a </w:t>
      </w:r>
      <w:r w:rsidR="007F670C" w:rsidRPr="006666A5">
        <w:rPr>
          <w:rFonts w:ascii="Cambria" w:hAnsi="Cambria" w:cs="Calibri Light"/>
          <w:b/>
          <w:sz w:val="20"/>
          <w:szCs w:val="20"/>
          <w:lang w:val="es-ES"/>
        </w:rPr>
        <w:t xml:space="preserve">la </w:t>
      </w:r>
      <w:r w:rsidR="00BB56C4" w:rsidRPr="006666A5">
        <w:rPr>
          <w:rFonts w:ascii="Cambria" w:hAnsi="Cambria" w:cs="Calibri Light"/>
          <w:b/>
          <w:sz w:val="20"/>
          <w:szCs w:val="20"/>
          <w:lang w:val="es-ES"/>
        </w:rPr>
        <w:t>información proporcionada</w:t>
      </w:r>
    </w:p>
    <w:p w14:paraId="4B315020" w14:textId="77777777" w:rsidR="00BB56C4" w:rsidRPr="006666A5" w:rsidRDefault="00BB56C4" w:rsidP="00BB56C4">
      <w:pPr>
        <w:spacing w:after="0" w:line="240" w:lineRule="auto"/>
        <w:jc w:val="both"/>
        <w:rPr>
          <w:rFonts w:ascii="Cambria" w:hAnsi="Cambria" w:cs="Calibri Light"/>
          <w:color w:val="FF0000"/>
          <w:sz w:val="20"/>
          <w:szCs w:val="20"/>
          <w:lang w:val="es-ES"/>
        </w:rPr>
      </w:pPr>
    </w:p>
    <w:p w14:paraId="3DDBB996" w14:textId="3F21C8DD" w:rsidR="004C528C" w:rsidRPr="006666A5" w:rsidRDefault="004C528C" w:rsidP="00E626AB">
      <w:pPr>
        <w:pStyle w:val="ListParagraph"/>
        <w:numPr>
          <w:ilvl w:val="0"/>
          <w:numId w:val="12"/>
        </w:numPr>
        <w:spacing w:after="0" w:line="240" w:lineRule="auto"/>
        <w:ind w:left="0" w:firstLine="720"/>
        <w:jc w:val="both"/>
        <w:rPr>
          <w:rFonts w:ascii="Cambria" w:hAnsi="Cambria" w:cs="Calibri Light"/>
          <w:color w:val="000000" w:themeColor="text1"/>
          <w:sz w:val="20"/>
          <w:szCs w:val="20"/>
          <w:lang w:val="es-ES"/>
        </w:rPr>
      </w:pPr>
      <w:r w:rsidRPr="006666A5">
        <w:rPr>
          <w:rFonts w:ascii="Cambria" w:hAnsi="Cambria" w:cs="Calibri Light"/>
          <w:sz w:val="20"/>
          <w:szCs w:val="20"/>
          <w:lang w:val="es-ES"/>
        </w:rPr>
        <w:t xml:space="preserve">En </w:t>
      </w:r>
      <w:r w:rsidRPr="006666A5">
        <w:rPr>
          <w:rFonts w:ascii="Cambria" w:hAnsi="Cambria" w:cs="Calibri Light"/>
          <w:color w:val="000000" w:themeColor="text1"/>
          <w:sz w:val="20"/>
          <w:szCs w:val="20"/>
          <w:lang w:val="es-ES"/>
        </w:rPr>
        <w:t>20</w:t>
      </w:r>
      <w:r w:rsidR="00A1205F" w:rsidRPr="006666A5">
        <w:rPr>
          <w:rFonts w:ascii="Cambria" w:hAnsi="Cambria" w:cs="Calibri Light"/>
          <w:color w:val="000000" w:themeColor="text1"/>
          <w:sz w:val="20"/>
          <w:szCs w:val="20"/>
          <w:lang w:val="es-ES"/>
        </w:rPr>
        <w:t>20</w:t>
      </w:r>
      <w:r w:rsidRPr="006666A5">
        <w:rPr>
          <w:rFonts w:ascii="Cambria" w:hAnsi="Cambria" w:cs="Calibri Light"/>
          <w:color w:val="000000" w:themeColor="text1"/>
          <w:sz w:val="20"/>
          <w:szCs w:val="20"/>
          <w:lang w:val="es-ES"/>
        </w:rPr>
        <w:t xml:space="preserve">, ninguna de las partes proporcionó información a la Comisión sobre las acciones adoptadas por el Estado para cumplir con las recomendaciones emitidas en el Informe de Fondo Nº 78/07. </w:t>
      </w:r>
    </w:p>
    <w:p w14:paraId="316B80CA" w14:textId="77777777" w:rsidR="00E626AB" w:rsidRPr="006666A5" w:rsidRDefault="00E626AB" w:rsidP="00E626AB">
      <w:pPr>
        <w:pStyle w:val="ListParagraph"/>
        <w:spacing w:after="0" w:line="240" w:lineRule="auto"/>
        <w:jc w:val="both"/>
        <w:rPr>
          <w:rFonts w:ascii="Cambria" w:hAnsi="Cambria" w:cs="Calibri Light"/>
          <w:color w:val="000000" w:themeColor="text1"/>
          <w:sz w:val="20"/>
          <w:szCs w:val="20"/>
          <w:lang w:val="es-ES"/>
        </w:rPr>
      </w:pPr>
    </w:p>
    <w:p w14:paraId="0438A24C" w14:textId="498068FE" w:rsidR="00E626AB" w:rsidRPr="006666A5" w:rsidRDefault="0053548F" w:rsidP="00E626AB">
      <w:pPr>
        <w:pStyle w:val="ListParagraph"/>
        <w:numPr>
          <w:ilvl w:val="0"/>
          <w:numId w:val="12"/>
        </w:numPr>
        <w:spacing w:after="0" w:line="240" w:lineRule="auto"/>
        <w:ind w:left="0" w:firstLine="720"/>
        <w:jc w:val="both"/>
        <w:rPr>
          <w:rFonts w:ascii="Cambria" w:hAnsi="Cambria" w:cs="Calibri Light"/>
          <w:color w:val="000000" w:themeColor="text1"/>
          <w:sz w:val="20"/>
          <w:szCs w:val="20"/>
          <w:lang w:val="es-ES"/>
        </w:rPr>
      </w:pPr>
      <w:r w:rsidRPr="006666A5">
        <w:rPr>
          <w:rFonts w:ascii="Cambria" w:hAnsi="Cambria" w:cs="Calibri Light"/>
          <w:color w:val="000000" w:themeColor="text1"/>
          <w:sz w:val="20"/>
          <w:szCs w:val="20"/>
          <w:lang w:val="es-ES"/>
        </w:rPr>
        <w:t>Por ende</w:t>
      </w:r>
      <w:r w:rsidR="00E626AB" w:rsidRPr="006666A5">
        <w:rPr>
          <w:rFonts w:ascii="Cambria" w:hAnsi="Cambria" w:cs="Calibri Light"/>
          <w:color w:val="000000" w:themeColor="text1"/>
          <w:sz w:val="20"/>
          <w:szCs w:val="20"/>
          <w:lang w:val="es-ES"/>
        </w:rPr>
        <w:t>, ante la ausencia de información actualizada sobre el nivel de cumplimiento de las recomendaciones, la CIDH reitera, a continuación, el análisis del cumplimiento y las conclusiones realizadas en su Informe Anual 201</w:t>
      </w:r>
      <w:r w:rsidR="00A1205F" w:rsidRPr="006666A5">
        <w:rPr>
          <w:rFonts w:ascii="Cambria" w:hAnsi="Cambria" w:cs="Calibri Light"/>
          <w:color w:val="000000" w:themeColor="text1"/>
          <w:sz w:val="20"/>
          <w:szCs w:val="20"/>
          <w:lang w:val="es-ES"/>
        </w:rPr>
        <w:t>9</w:t>
      </w:r>
      <w:r w:rsidR="00E626AB" w:rsidRPr="006666A5">
        <w:rPr>
          <w:rFonts w:ascii="Cambria" w:hAnsi="Cambria" w:cs="Calibri Light"/>
          <w:color w:val="000000" w:themeColor="text1"/>
          <w:sz w:val="20"/>
          <w:szCs w:val="20"/>
          <w:lang w:val="es-ES"/>
        </w:rPr>
        <w:t>.</w:t>
      </w:r>
    </w:p>
    <w:p w14:paraId="0BB6FA14" w14:textId="77777777" w:rsidR="00BB56C4" w:rsidRPr="006666A5" w:rsidRDefault="004C528C" w:rsidP="004C528C">
      <w:pPr>
        <w:spacing w:after="0" w:line="240" w:lineRule="auto"/>
        <w:jc w:val="both"/>
        <w:rPr>
          <w:rFonts w:ascii="Cambria" w:hAnsi="Cambria" w:cs="Calibri Light"/>
          <w:b/>
          <w:color w:val="FF0000"/>
          <w:sz w:val="20"/>
          <w:szCs w:val="20"/>
          <w:lang w:val="es-ES_tradnl"/>
        </w:rPr>
      </w:pPr>
      <w:r w:rsidRPr="006666A5">
        <w:rPr>
          <w:rFonts w:ascii="Cambria" w:hAnsi="Cambria" w:cs="Calibri Light"/>
          <w:color w:val="FF0000"/>
          <w:sz w:val="20"/>
          <w:szCs w:val="20"/>
          <w:lang w:val="es-ES_tradnl"/>
        </w:rPr>
        <w:t xml:space="preserve">  </w:t>
      </w:r>
    </w:p>
    <w:p w14:paraId="05A49B26" w14:textId="77777777" w:rsidR="00BB56C4" w:rsidRPr="006666A5" w:rsidRDefault="00BB56C4" w:rsidP="009969F9">
      <w:pPr>
        <w:pStyle w:val="ListParagraph"/>
        <w:numPr>
          <w:ilvl w:val="0"/>
          <w:numId w:val="18"/>
        </w:numPr>
        <w:shd w:val="clear" w:color="auto" w:fill="FFFFFF" w:themeFill="background1"/>
        <w:spacing w:after="0" w:line="240" w:lineRule="auto"/>
        <w:ind w:firstLine="0"/>
        <w:jc w:val="both"/>
        <w:rPr>
          <w:rFonts w:ascii="Cambria" w:hAnsi="Cambria" w:cs="Calibri Light"/>
          <w:sz w:val="20"/>
          <w:szCs w:val="20"/>
          <w:lang w:val="es-ES"/>
        </w:rPr>
      </w:pPr>
      <w:r w:rsidRPr="006666A5">
        <w:rPr>
          <w:rFonts w:ascii="Cambria" w:hAnsi="Cambria" w:cs="Calibri Light"/>
          <w:b/>
          <w:sz w:val="20"/>
          <w:szCs w:val="20"/>
          <w:lang w:val="es-ES"/>
        </w:rPr>
        <w:t>Análisis del cumplimiento de las recomendaciones</w:t>
      </w:r>
    </w:p>
    <w:p w14:paraId="16E0B808" w14:textId="77777777" w:rsidR="00BB56C4" w:rsidRPr="006666A5" w:rsidRDefault="00BB56C4" w:rsidP="00BB56C4">
      <w:pPr>
        <w:spacing w:after="0" w:line="240" w:lineRule="auto"/>
        <w:jc w:val="both"/>
        <w:rPr>
          <w:rFonts w:ascii="Cambria" w:hAnsi="Cambria" w:cs="Calibri Light"/>
          <w:sz w:val="20"/>
          <w:szCs w:val="20"/>
          <w:lang w:val="es-ES"/>
        </w:rPr>
      </w:pPr>
    </w:p>
    <w:p w14:paraId="4600B95D" w14:textId="21ECBE0B" w:rsidR="00BB56C4" w:rsidRPr="006666A5" w:rsidRDefault="00922B34" w:rsidP="00BB56C4">
      <w:pPr>
        <w:pStyle w:val="ListParagraph"/>
        <w:numPr>
          <w:ilvl w:val="0"/>
          <w:numId w:val="12"/>
        </w:numPr>
        <w:shd w:val="clear" w:color="auto" w:fill="FFFFFF" w:themeFill="background1"/>
        <w:spacing w:after="0" w:line="240" w:lineRule="auto"/>
        <w:ind w:left="0" w:firstLine="720"/>
        <w:jc w:val="both"/>
        <w:rPr>
          <w:rFonts w:ascii="Cambria" w:hAnsi="Cambria" w:cs="Calibri Light"/>
          <w:sz w:val="20"/>
          <w:szCs w:val="20"/>
          <w:lang w:val="es-ES"/>
        </w:rPr>
      </w:pPr>
      <w:r w:rsidRPr="006666A5">
        <w:rPr>
          <w:rFonts w:ascii="Cambria" w:hAnsi="Cambria" w:cs="Calibri Light"/>
          <w:b/>
          <w:sz w:val="20"/>
          <w:szCs w:val="20"/>
          <w:lang w:val="es-ES"/>
        </w:rPr>
        <w:t xml:space="preserve">Con respecto a la primera recomendación, </w:t>
      </w:r>
      <w:r w:rsidRPr="006666A5">
        <w:rPr>
          <w:rFonts w:ascii="Cambria" w:hAnsi="Cambria" w:cs="Calibri Light"/>
          <w:sz w:val="20"/>
          <w:szCs w:val="20"/>
          <w:lang w:val="es-ES"/>
        </w:rPr>
        <w:t>el 10 de abril de 2012 el Estado inform</w:t>
      </w:r>
      <w:r w:rsidR="00E75A18" w:rsidRPr="006666A5">
        <w:rPr>
          <w:rFonts w:ascii="Cambria" w:hAnsi="Cambria" w:cs="Calibri Light"/>
          <w:sz w:val="20"/>
          <w:szCs w:val="20"/>
          <w:lang w:val="es-ES"/>
        </w:rPr>
        <w:t>ó</w:t>
      </w:r>
      <w:r w:rsidRPr="006666A5">
        <w:rPr>
          <w:rFonts w:ascii="Cambria" w:hAnsi="Cambria" w:cs="Calibri Light"/>
          <w:sz w:val="20"/>
          <w:szCs w:val="20"/>
          <w:lang w:val="es-ES"/>
        </w:rPr>
        <w:t xml:space="preserve"> que el 23 de octubre de </w:t>
      </w:r>
      <w:r w:rsidR="00BB56C4" w:rsidRPr="006666A5">
        <w:rPr>
          <w:rFonts w:ascii="Cambria" w:hAnsi="Cambria" w:cs="Calibri Light"/>
          <w:sz w:val="20"/>
          <w:szCs w:val="20"/>
          <w:lang w:val="es-ES"/>
        </w:rPr>
        <w:t xml:space="preserve">2008, </w:t>
      </w:r>
      <w:r w:rsidRPr="006666A5">
        <w:rPr>
          <w:rFonts w:ascii="Cambria" w:hAnsi="Cambria" w:cs="Calibri Light"/>
          <w:sz w:val="20"/>
          <w:szCs w:val="20"/>
          <w:lang w:val="es-ES"/>
        </w:rPr>
        <w:t>el señor</w:t>
      </w:r>
      <w:r w:rsidR="00BB56C4" w:rsidRPr="006666A5">
        <w:rPr>
          <w:rFonts w:ascii="Cambria" w:hAnsi="Cambria" w:cs="Calibri Light"/>
          <w:sz w:val="20"/>
          <w:szCs w:val="20"/>
          <w:lang w:val="es-ES"/>
        </w:rPr>
        <w:t xml:space="preserve"> Goodman </w:t>
      </w:r>
      <w:r w:rsidRPr="006666A5">
        <w:rPr>
          <w:rFonts w:ascii="Cambria" w:hAnsi="Cambria" w:cs="Calibri Light"/>
          <w:sz w:val="20"/>
          <w:szCs w:val="20"/>
          <w:lang w:val="es-ES"/>
        </w:rPr>
        <w:t>fue sentenciado nuevamente a 50 años de prisión. Sin embargo, el Esta</w:t>
      </w:r>
      <w:r w:rsidR="00E75A18" w:rsidRPr="006666A5">
        <w:rPr>
          <w:rFonts w:ascii="Cambria" w:hAnsi="Cambria" w:cs="Calibri Light"/>
          <w:sz w:val="20"/>
          <w:szCs w:val="20"/>
          <w:lang w:val="es-ES"/>
        </w:rPr>
        <w:t>d</w:t>
      </w:r>
      <w:r w:rsidRPr="006666A5">
        <w:rPr>
          <w:rFonts w:ascii="Cambria" w:hAnsi="Cambria" w:cs="Calibri Light"/>
          <w:sz w:val="20"/>
          <w:szCs w:val="20"/>
          <w:lang w:val="es-ES"/>
        </w:rPr>
        <w:t xml:space="preserve">o no presentó ninguna información sobre la disposición </w:t>
      </w:r>
      <w:r w:rsidR="0036721A" w:rsidRPr="006666A5">
        <w:rPr>
          <w:rFonts w:ascii="Cambria" w:hAnsi="Cambria" w:cs="Calibri Light"/>
          <w:sz w:val="20"/>
          <w:szCs w:val="20"/>
          <w:lang w:val="es-ES"/>
        </w:rPr>
        <w:t xml:space="preserve">para </w:t>
      </w:r>
      <w:r w:rsidR="00E75A18" w:rsidRPr="006666A5">
        <w:rPr>
          <w:rFonts w:ascii="Cambria" w:hAnsi="Cambria" w:cs="Calibri Light"/>
          <w:sz w:val="20"/>
          <w:szCs w:val="20"/>
          <w:lang w:val="es-ES"/>
        </w:rPr>
        <w:t>indemnizar</w:t>
      </w:r>
      <w:r w:rsidR="002B12D9" w:rsidRPr="006666A5">
        <w:rPr>
          <w:rFonts w:ascii="Cambria" w:hAnsi="Cambria" w:cs="Calibri Light"/>
          <w:sz w:val="20"/>
          <w:szCs w:val="20"/>
          <w:lang w:val="es-ES"/>
        </w:rPr>
        <w:t xml:space="preserve"> a </w:t>
      </w:r>
      <w:r w:rsidR="0036721A" w:rsidRPr="006666A5">
        <w:rPr>
          <w:rFonts w:ascii="Cambria" w:hAnsi="Cambria" w:cs="Calibri Light"/>
          <w:sz w:val="20"/>
          <w:szCs w:val="20"/>
          <w:lang w:val="es-ES"/>
        </w:rPr>
        <w:t xml:space="preserve">la víctima por las violaciones de los artículos </w:t>
      </w:r>
      <w:r w:rsidR="00BB56C4" w:rsidRPr="006666A5">
        <w:rPr>
          <w:rFonts w:ascii="Cambria" w:hAnsi="Cambria" w:cs="Calibri Light"/>
          <w:sz w:val="20"/>
          <w:szCs w:val="20"/>
          <w:lang w:val="es-ES"/>
        </w:rPr>
        <w:t xml:space="preserve">I, XVIII, XXIV, XXV, </w:t>
      </w:r>
      <w:r w:rsidR="0036721A" w:rsidRPr="006666A5">
        <w:rPr>
          <w:rFonts w:ascii="Cambria" w:hAnsi="Cambria" w:cs="Calibri Light"/>
          <w:sz w:val="20"/>
          <w:szCs w:val="20"/>
          <w:lang w:val="es-ES"/>
        </w:rPr>
        <w:t>y</w:t>
      </w:r>
      <w:r w:rsidR="00BB56C4" w:rsidRPr="006666A5">
        <w:rPr>
          <w:rFonts w:ascii="Cambria" w:hAnsi="Cambria" w:cs="Calibri Light"/>
          <w:sz w:val="20"/>
          <w:szCs w:val="20"/>
          <w:lang w:val="es-ES"/>
        </w:rPr>
        <w:t xml:space="preserve"> XXVI </w:t>
      </w:r>
      <w:r w:rsidR="0036721A" w:rsidRPr="006666A5">
        <w:rPr>
          <w:rFonts w:ascii="Cambria" w:hAnsi="Cambria" w:cs="Calibri Light"/>
          <w:sz w:val="20"/>
          <w:szCs w:val="20"/>
          <w:lang w:val="es-ES"/>
        </w:rPr>
        <w:t>de la Declaración Americana</w:t>
      </w:r>
      <w:r w:rsidR="00BB56C4" w:rsidRPr="006666A5">
        <w:rPr>
          <w:rFonts w:ascii="Cambria" w:hAnsi="Cambria" w:cs="Calibri Light"/>
          <w:sz w:val="20"/>
          <w:szCs w:val="20"/>
          <w:lang w:val="es-ES"/>
        </w:rPr>
        <w:t xml:space="preserve">. </w:t>
      </w:r>
      <w:r w:rsidR="0036721A" w:rsidRPr="006666A5">
        <w:rPr>
          <w:rFonts w:ascii="Cambria" w:hAnsi="Cambria" w:cs="Calibri Light"/>
          <w:sz w:val="20"/>
          <w:szCs w:val="20"/>
          <w:lang w:val="es-ES"/>
        </w:rPr>
        <w:t>Por lo anterior, la Comisión considera que la Recomendación 1 ha sido cumplida en forma parcial</w:t>
      </w:r>
      <w:r w:rsidR="00BB56C4" w:rsidRPr="006666A5">
        <w:rPr>
          <w:rFonts w:ascii="Cambria" w:hAnsi="Cambria" w:cs="Calibri Light"/>
          <w:sz w:val="20"/>
          <w:szCs w:val="20"/>
          <w:lang w:val="es-ES"/>
        </w:rPr>
        <w:t>.</w:t>
      </w:r>
    </w:p>
    <w:p w14:paraId="24D3EFF1" w14:textId="77777777" w:rsidR="00BB56C4" w:rsidRPr="006666A5" w:rsidRDefault="00BB56C4" w:rsidP="00BB56C4">
      <w:pPr>
        <w:pStyle w:val="ListParagraph"/>
        <w:shd w:val="clear" w:color="auto" w:fill="FFFFFF" w:themeFill="background1"/>
        <w:spacing w:after="0" w:line="240" w:lineRule="auto"/>
        <w:ind w:left="0" w:firstLine="720"/>
        <w:jc w:val="both"/>
        <w:rPr>
          <w:rFonts w:ascii="Cambria" w:hAnsi="Cambria" w:cs="Calibri Light"/>
          <w:sz w:val="20"/>
          <w:szCs w:val="20"/>
          <w:lang w:val="es-ES"/>
        </w:rPr>
      </w:pPr>
    </w:p>
    <w:p w14:paraId="71A8AB24" w14:textId="77777777" w:rsidR="00BB56C4" w:rsidRPr="006666A5" w:rsidRDefault="003A4926" w:rsidP="00BB56C4">
      <w:pPr>
        <w:pStyle w:val="ListParagraph"/>
        <w:numPr>
          <w:ilvl w:val="0"/>
          <w:numId w:val="12"/>
        </w:numPr>
        <w:shd w:val="clear" w:color="auto" w:fill="FFFFFF" w:themeFill="background1"/>
        <w:spacing w:after="0" w:line="240" w:lineRule="auto"/>
        <w:ind w:left="0" w:firstLine="720"/>
        <w:jc w:val="both"/>
        <w:rPr>
          <w:rFonts w:ascii="Cambria" w:hAnsi="Cambria" w:cs="Calibri Light"/>
          <w:sz w:val="20"/>
          <w:szCs w:val="20"/>
          <w:lang w:val="es-ES"/>
        </w:rPr>
      </w:pPr>
      <w:r w:rsidRPr="006666A5">
        <w:rPr>
          <w:rFonts w:ascii="Cambria" w:hAnsi="Cambria" w:cs="Calibri Light"/>
          <w:b/>
          <w:sz w:val="20"/>
          <w:szCs w:val="20"/>
          <w:lang w:val="es-ES"/>
        </w:rPr>
        <w:t>Con respecto a las recomendaciones 2, 3 y 4</w:t>
      </w:r>
      <w:r w:rsidR="00BB56C4" w:rsidRPr="006666A5">
        <w:rPr>
          <w:rFonts w:ascii="Cambria" w:hAnsi="Cambria" w:cs="Calibri Light"/>
          <w:b/>
          <w:sz w:val="20"/>
          <w:szCs w:val="20"/>
          <w:lang w:val="es-ES"/>
        </w:rPr>
        <w:t xml:space="preserve">, </w:t>
      </w:r>
      <w:r w:rsidRPr="006666A5">
        <w:rPr>
          <w:rFonts w:ascii="Cambria" w:hAnsi="Cambria" w:cs="Calibri Light"/>
          <w:sz w:val="20"/>
          <w:szCs w:val="20"/>
          <w:lang w:val="es-ES"/>
        </w:rPr>
        <w:t>las partes no han presentado ninguna informaci</w:t>
      </w:r>
      <w:r w:rsidR="00A53DAF" w:rsidRPr="006666A5">
        <w:rPr>
          <w:rFonts w:ascii="Cambria" w:hAnsi="Cambria" w:cs="Calibri Light"/>
          <w:sz w:val="20"/>
          <w:szCs w:val="20"/>
          <w:lang w:val="es-ES"/>
        </w:rPr>
        <w:t>ó</w:t>
      </w:r>
      <w:r w:rsidRPr="006666A5">
        <w:rPr>
          <w:rFonts w:ascii="Cambria" w:hAnsi="Cambria" w:cs="Calibri Light"/>
          <w:sz w:val="20"/>
          <w:szCs w:val="20"/>
          <w:lang w:val="es-ES"/>
        </w:rPr>
        <w:t>n sobre las me</w:t>
      </w:r>
      <w:r w:rsidR="00A53DAF" w:rsidRPr="006666A5">
        <w:rPr>
          <w:rFonts w:ascii="Cambria" w:hAnsi="Cambria" w:cs="Calibri Light"/>
          <w:sz w:val="20"/>
          <w:szCs w:val="20"/>
          <w:lang w:val="es-ES"/>
        </w:rPr>
        <w:t>d</w:t>
      </w:r>
      <w:r w:rsidRPr="006666A5">
        <w:rPr>
          <w:rFonts w:ascii="Cambria" w:hAnsi="Cambria" w:cs="Calibri Light"/>
          <w:sz w:val="20"/>
          <w:szCs w:val="20"/>
          <w:lang w:val="es-ES"/>
        </w:rPr>
        <w:t>idas adoptada</w:t>
      </w:r>
      <w:r w:rsidR="00A53DAF" w:rsidRPr="006666A5">
        <w:rPr>
          <w:rFonts w:ascii="Cambria" w:hAnsi="Cambria" w:cs="Calibri Light"/>
          <w:sz w:val="20"/>
          <w:szCs w:val="20"/>
          <w:lang w:val="es-ES"/>
        </w:rPr>
        <w:t>s</w:t>
      </w:r>
      <w:r w:rsidRPr="006666A5">
        <w:rPr>
          <w:rFonts w:ascii="Cambria" w:hAnsi="Cambria" w:cs="Calibri Light"/>
          <w:sz w:val="20"/>
          <w:szCs w:val="20"/>
          <w:lang w:val="es-ES"/>
        </w:rPr>
        <w:t xml:space="preserve"> por Bahamas para implementar estas recomendaciones desde la publicaci</w:t>
      </w:r>
      <w:r w:rsidR="00A53DAF" w:rsidRPr="006666A5">
        <w:rPr>
          <w:rFonts w:ascii="Cambria" w:hAnsi="Cambria" w:cs="Calibri Light"/>
          <w:sz w:val="20"/>
          <w:szCs w:val="20"/>
          <w:lang w:val="es-ES"/>
        </w:rPr>
        <w:t>ón</w:t>
      </w:r>
      <w:r w:rsidRPr="006666A5">
        <w:rPr>
          <w:rFonts w:ascii="Cambria" w:hAnsi="Cambria" w:cs="Calibri Light"/>
          <w:sz w:val="20"/>
          <w:szCs w:val="20"/>
          <w:lang w:val="es-ES"/>
        </w:rPr>
        <w:t xml:space="preserve"> del </w:t>
      </w:r>
      <w:r w:rsidR="002B12D9" w:rsidRPr="006666A5">
        <w:rPr>
          <w:rFonts w:ascii="Cambria" w:hAnsi="Cambria" w:cs="Calibri Light"/>
          <w:sz w:val="20"/>
          <w:szCs w:val="20"/>
          <w:lang w:val="es-ES"/>
        </w:rPr>
        <w:t>Informe d Fondo No. 78/07</w:t>
      </w:r>
      <w:r w:rsidRPr="006666A5">
        <w:rPr>
          <w:rFonts w:ascii="Cambria" w:hAnsi="Cambria" w:cs="Calibri Light"/>
          <w:sz w:val="20"/>
          <w:szCs w:val="20"/>
          <w:lang w:val="es-ES"/>
        </w:rPr>
        <w:t xml:space="preserve"> en </w:t>
      </w:r>
      <w:r w:rsidR="00BB56C4" w:rsidRPr="006666A5">
        <w:rPr>
          <w:rFonts w:ascii="Cambria" w:hAnsi="Cambria" w:cs="Calibri Light"/>
          <w:sz w:val="20"/>
          <w:szCs w:val="20"/>
          <w:lang w:val="es-ES"/>
        </w:rPr>
        <w:t xml:space="preserve">2007. </w:t>
      </w:r>
      <w:r w:rsidRPr="006666A5">
        <w:rPr>
          <w:rFonts w:ascii="Cambria" w:hAnsi="Cambria" w:cs="Calibri Light"/>
          <w:sz w:val="20"/>
          <w:szCs w:val="20"/>
          <w:lang w:val="es-ES"/>
        </w:rPr>
        <w:t>Por lo anterior, la Comisión considera que el cumplimiento de las Recomendaciones 2, 3 y 4 está pendiente</w:t>
      </w:r>
      <w:r w:rsidR="00BB56C4" w:rsidRPr="006666A5">
        <w:rPr>
          <w:rFonts w:ascii="Cambria" w:hAnsi="Cambria" w:cs="Calibri Light"/>
          <w:sz w:val="20"/>
          <w:szCs w:val="20"/>
          <w:lang w:val="es-ES"/>
        </w:rPr>
        <w:t>.</w:t>
      </w:r>
    </w:p>
    <w:p w14:paraId="6EBA85ED" w14:textId="77777777" w:rsidR="00BB56C4" w:rsidRPr="006666A5" w:rsidRDefault="00BB56C4" w:rsidP="00BB56C4">
      <w:pPr>
        <w:pStyle w:val="ListParagraph"/>
        <w:shd w:val="clear" w:color="auto" w:fill="FFFFFF" w:themeFill="background1"/>
        <w:spacing w:after="0" w:line="240" w:lineRule="auto"/>
        <w:jc w:val="both"/>
        <w:rPr>
          <w:rFonts w:ascii="Cambria" w:hAnsi="Cambria" w:cs="Calibri Light"/>
          <w:sz w:val="20"/>
          <w:szCs w:val="20"/>
          <w:lang w:val="es-ES"/>
        </w:rPr>
      </w:pPr>
    </w:p>
    <w:p w14:paraId="04B0CD10" w14:textId="77777777" w:rsidR="00BB56C4" w:rsidRPr="006666A5" w:rsidRDefault="00BB56C4" w:rsidP="009969F9">
      <w:pPr>
        <w:pStyle w:val="ListParagraph"/>
        <w:numPr>
          <w:ilvl w:val="0"/>
          <w:numId w:val="18"/>
        </w:numPr>
        <w:shd w:val="clear" w:color="auto" w:fill="FFFFFF" w:themeFill="background1"/>
        <w:spacing w:after="0" w:line="240" w:lineRule="auto"/>
        <w:ind w:firstLine="0"/>
        <w:jc w:val="both"/>
        <w:rPr>
          <w:rFonts w:ascii="Cambria" w:hAnsi="Cambria" w:cs="Calibri Light"/>
          <w:sz w:val="20"/>
          <w:szCs w:val="20"/>
          <w:lang w:val="es-ES"/>
        </w:rPr>
      </w:pPr>
      <w:r w:rsidRPr="006666A5">
        <w:rPr>
          <w:rFonts w:ascii="Cambria" w:hAnsi="Cambria" w:cs="Calibri Light"/>
          <w:b/>
          <w:sz w:val="20"/>
          <w:szCs w:val="20"/>
          <w:lang w:val="es-ES"/>
        </w:rPr>
        <w:t>Nivel del cumplimiento del caso</w:t>
      </w:r>
    </w:p>
    <w:p w14:paraId="0DB78AF3" w14:textId="77777777" w:rsidR="00BB56C4" w:rsidRPr="006666A5" w:rsidRDefault="00BB56C4" w:rsidP="00BB56C4">
      <w:pPr>
        <w:pStyle w:val="ListParagraph"/>
        <w:shd w:val="clear" w:color="auto" w:fill="FFFFFF" w:themeFill="background1"/>
        <w:spacing w:after="0" w:line="240" w:lineRule="auto"/>
        <w:jc w:val="both"/>
        <w:rPr>
          <w:rFonts w:ascii="Cambria" w:hAnsi="Cambria" w:cs="Calibri Light"/>
          <w:sz w:val="20"/>
          <w:szCs w:val="20"/>
          <w:lang w:val="es-ES"/>
        </w:rPr>
      </w:pPr>
    </w:p>
    <w:p w14:paraId="555A3F3A" w14:textId="77777777" w:rsidR="00BB56C4" w:rsidRPr="006666A5" w:rsidRDefault="00A53DAF" w:rsidP="00BB56C4">
      <w:pPr>
        <w:pStyle w:val="ListParagraph"/>
        <w:numPr>
          <w:ilvl w:val="0"/>
          <w:numId w:val="12"/>
        </w:numPr>
        <w:spacing w:after="0" w:line="240" w:lineRule="auto"/>
        <w:ind w:left="90" w:firstLine="720"/>
        <w:jc w:val="both"/>
        <w:rPr>
          <w:rFonts w:ascii="Cambria" w:hAnsi="Cambria" w:cs="Calibri Light"/>
          <w:sz w:val="20"/>
          <w:szCs w:val="20"/>
          <w:lang w:val="es-ES"/>
        </w:rPr>
      </w:pPr>
      <w:r w:rsidRPr="006666A5">
        <w:rPr>
          <w:rFonts w:ascii="Cambria" w:hAnsi="Cambria" w:cs="Calibri Light"/>
          <w:sz w:val="20"/>
          <w:szCs w:val="20"/>
          <w:lang w:val="es-ES"/>
        </w:rPr>
        <w:t>Con base en lo precedente, la CIDH concluye que el nivel</w:t>
      </w:r>
      <w:r w:rsidR="00F63E95" w:rsidRPr="006666A5">
        <w:rPr>
          <w:rFonts w:ascii="Cambria" w:hAnsi="Cambria" w:cs="Calibri Light"/>
          <w:sz w:val="20"/>
          <w:szCs w:val="20"/>
          <w:lang w:val="es-ES"/>
        </w:rPr>
        <w:t xml:space="preserve"> </w:t>
      </w:r>
      <w:r w:rsidRPr="006666A5">
        <w:rPr>
          <w:rFonts w:ascii="Cambria" w:hAnsi="Cambria" w:cs="Calibri Light"/>
          <w:sz w:val="20"/>
          <w:szCs w:val="20"/>
          <w:lang w:val="es-ES"/>
        </w:rPr>
        <w:t>de cumplimiento en este caso es parcial. En consecuencia, la Comisión continuará supervisando el cumplimiento de las Recomen</w:t>
      </w:r>
      <w:r w:rsidR="00F63E95" w:rsidRPr="006666A5">
        <w:rPr>
          <w:rFonts w:ascii="Cambria" w:hAnsi="Cambria" w:cs="Calibri Light"/>
          <w:sz w:val="20"/>
          <w:szCs w:val="20"/>
          <w:lang w:val="es-ES"/>
        </w:rPr>
        <w:t>d</w:t>
      </w:r>
      <w:r w:rsidRPr="006666A5">
        <w:rPr>
          <w:rFonts w:ascii="Cambria" w:hAnsi="Cambria" w:cs="Calibri Light"/>
          <w:sz w:val="20"/>
          <w:szCs w:val="20"/>
          <w:lang w:val="es-ES"/>
        </w:rPr>
        <w:t xml:space="preserve">aciones </w:t>
      </w:r>
      <w:r w:rsidR="00BB56C4" w:rsidRPr="006666A5">
        <w:rPr>
          <w:rFonts w:ascii="Cambria" w:hAnsi="Cambria" w:cs="Calibri Light"/>
          <w:sz w:val="20"/>
          <w:szCs w:val="20"/>
          <w:lang w:val="es-ES"/>
        </w:rPr>
        <w:t xml:space="preserve">1, 2, 3 </w:t>
      </w:r>
      <w:r w:rsidRPr="006666A5">
        <w:rPr>
          <w:rFonts w:ascii="Cambria" w:hAnsi="Cambria" w:cs="Calibri Light"/>
          <w:sz w:val="20"/>
          <w:szCs w:val="20"/>
          <w:lang w:val="es-ES"/>
        </w:rPr>
        <w:t>y</w:t>
      </w:r>
      <w:r w:rsidR="00BB56C4" w:rsidRPr="006666A5">
        <w:rPr>
          <w:rFonts w:ascii="Cambria" w:hAnsi="Cambria" w:cs="Calibri Light"/>
          <w:sz w:val="20"/>
          <w:szCs w:val="20"/>
          <w:lang w:val="es-ES"/>
        </w:rPr>
        <w:t xml:space="preserve"> 4.</w:t>
      </w:r>
    </w:p>
    <w:p w14:paraId="023881B2" w14:textId="77777777" w:rsidR="00BB56C4" w:rsidRPr="006666A5" w:rsidRDefault="00BB56C4" w:rsidP="00BB56C4">
      <w:pPr>
        <w:pStyle w:val="ListParagraph"/>
        <w:spacing w:after="0" w:line="240" w:lineRule="auto"/>
        <w:ind w:left="810"/>
        <w:jc w:val="both"/>
        <w:rPr>
          <w:rFonts w:ascii="Cambria" w:hAnsi="Cambria" w:cs="Calibri Light"/>
          <w:sz w:val="20"/>
          <w:szCs w:val="20"/>
          <w:lang w:val="es-ES"/>
        </w:rPr>
      </w:pPr>
    </w:p>
    <w:p w14:paraId="4CD4332D" w14:textId="77777777" w:rsidR="00BB56C4" w:rsidRPr="006666A5" w:rsidRDefault="002D2490" w:rsidP="00BB56C4">
      <w:pPr>
        <w:pStyle w:val="ListParagraph"/>
        <w:numPr>
          <w:ilvl w:val="0"/>
          <w:numId w:val="12"/>
        </w:numPr>
        <w:spacing w:after="0" w:line="240" w:lineRule="auto"/>
        <w:ind w:left="90" w:firstLine="720"/>
        <w:jc w:val="both"/>
        <w:rPr>
          <w:rFonts w:ascii="Cambria" w:hAnsi="Cambria" w:cs="Calibri Light"/>
          <w:sz w:val="20"/>
          <w:szCs w:val="20"/>
          <w:lang w:val="es-ES"/>
        </w:rPr>
      </w:pPr>
      <w:r w:rsidRPr="006666A5">
        <w:rPr>
          <w:rFonts w:ascii="Cambria" w:hAnsi="Cambria" w:cs="Calibri Light"/>
          <w:sz w:val="20"/>
          <w:szCs w:val="20"/>
          <w:lang w:val="es-ES"/>
        </w:rPr>
        <w:t xml:space="preserve">La Comisión </w:t>
      </w:r>
      <w:r w:rsidR="003952B2" w:rsidRPr="006666A5">
        <w:rPr>
          <w:rFonts w:ascii="Cambria" w:hAnsi="Cambria" w:cs="Calibri Light"/>
          <w:sz w:val="20"/>
          <w:szCs w:val="20"/>
          <w:lang w:val="es-ES"/>
        </w:rPr>
        <w:t>llama</w:t>
      </w:r>
      <w:r w:rsidRPr="006666A5">
        <w:rPr>
          <w:rFonts w:ascii="Cambria" w:hAnsi="Cambria" w:cs="Calibri Light"/>
          <w:sz w:val="20"/>
          <w:szCs w:val="20"/>
          <w:lang w:val="es-ES"/>
        </w:rPr>
        <w:t xml:space="preserve"> a las partes a que suministren información detallada sobre las medidas adoptadas por el Estado con respecto a las recomendaciones mencionadas.</w:t>
      </w:r>
    </w:p>
    <w:p w14:paraId="03BC10F5" w14:textId="77777777" w:rsidR="00BB56C4" w:rsidRPr="006666A5" w:rsidRDefault="00BB56C4" w:rsidP="00BB56C4">
      <w:pPr>
        <w:spacing w:after="0" w:line="240" w:lineRule="auto"/>
        <w:rPr>
          <w:rFonts w:ascii="Cambria" w:hAnsi="Cambria"/>
          <w:sz w:val="20"/>
          <w:szCs w:val="20"/>
          <w:lang w:val="es-ES"/>
        </w:rPr>
      </w:pPr>
    </w:p>
    <w:p w14:paraId="60E335AF" w14:textId="77777777" w:rsidR="00BB56C4" w:rsidRPr="006666A5" w:rsidRDefault="00BB56C4" w:rsidP="009969F9">
      <w:pPr>
        <w:pStyle w:val="ListParagraph"/>
        <w:numPr>
          <w:ilvl w:val="0"/>
          <w:numId w:val="18"/>
        </w:numPr>
        <w:spacing w:after="0" w:line="240" w:lineRule="auto"/>
        <w:ind w:firstLine="0"/>
        <w:jc w:val="both"/>
        <w:rPr>
          <w:rFonts w:ascii="Cambria" w:hAnsi="Cambria" w:cs="Calibri Light"/>
          <w:b/>
          <w:sz w:val="20"/>
          <w:szCs w:val="20"/>
          <w:lang w:val="es-ES"/>
        </w:rPr>
      </w:pPr>
      <w:r w:rsidRPr="006666A5">
        <w:rPr>
          <w:rFonts w:ascii="Cambria" w:hAnsi="Cambria" w:cs="Calibri Light"/>
          <w:b/>
          <w:sz w:val="20"/>
          <w:szCs w:val="20"/>
          <w:lang w:val="es-ES"/>
        </w:rPr>
        <w:t xml:space="preserve">Resultados individuales y estructurales del caso </w:t>
      </w:r>
    </w:p>
    <w:p w14:paraId="078F5AA3" w14:textId="77777777" w:rsidR="00BB56C4" w:rsidRPr="006666A5" w:rsidRDefault="00BB56C4" w:rsidP="00BB56C4">
      <w:pPr>
        <w:spacing w:after="0" w:line="240" w:lineRule="auto"/>
        <w:rPr>
          <w:rFonts w:ascii="Cambria" w:hAnsi="Cambria"/>
          <w:b/>
          <w:sz w:val="20"/>
          <w:szCs w:val="20"/>
          <w:lang w:val="es-ES"/>
        </w:rPr>
      </w:pPr>
    </w:p>
    <w:p w14:paraId="2194CD73" w14:textId="77777777" w:rsidR="00BB56C4" w:rsidRPr="006666A5" w:rsidRDefault="002D2490" w:rsidP="00BB56C4">
      <w:pPr>
        <w:pStyle w:val="ListParagraph"/>
        <w:numPr>
          <w:ilvl w:val="0"/>
          <w:numId w:val="12"/>
        </w:numPr>
        <w:spacing w:after="0" w:line="240" w:lineRule="auto"/>
        <w:ind w:left="0" w:firstLine="720"/>
        <w:jc w:val="both"/>
        <w:rPr>
          <w:rFonts w:ascii="Cambria" w:hAnsi="Cambria"/>
          <w:sz w:val="20"/>
          <w:szCs w:val="20"/>
          <w:lang w:val="es-ES"/>
        </w:rPr>
      </w:pPr>
      <w:r w:rsidRPr="006666A5">
        <w:rPr>
          <w:rFonts w:ascii="Cambria" w:hAnsi="Cambria"/>
          <w:sz w:val="20"/>
          <w:szCs w:val="20"/>
          <w:lang w:val="es-ES"/>
        </w:rPr>
        <w:t>En esta sección se destacan los resultados individuales y estructurales del caso que han sido informados por las parte</w:t>
      </w:r>
      <w:r w:rsidR="005F06F5" w:rsidRPr="006666A5">
        <w:rPr>
          <w:rFonts w:ascii="Cambria" w:hAnsi="Cambria"/>
          <w:sz w:val="20"/>
          <w:szCs w:val="20"/>
          <w:lang w:val="es-ES"/>
        </w:rPr>
        <w:t>s.</w:t>
      </w:r>
      <w:r w:rsidR="00BB56C4" w:rsidRPr="006666A5">
        <w:rPr>
          <w:rFonts w:ascii="Cambria" w:hAnsi="Cambria"/>
          <w:sz w:val="20"/>
          <w:szCs w:val="20"/>
          <w:lang w:val="es-ES"/>
        </w:rPr>
        <w:t xml:space="preserve"> </w:t>
      </w:r>
    </w:p>
    <w:p w14:paraId="649A6B06" w14:textId="77777777" w:rsidR="00BB56C4" w:rsidRPr="006666A5" w:rsidRDefault="00BB56C4" w:rsidP="00BB56C4">
      <w:pPr>
        <w:pStyle w:val="ListParagraph"/>
        <w:spacing w:after="0" w:line="240" w:lineRule="auto"/>
        <w:jc w:val="both"/>
        <w:rPr>
          <w:rFonts w:ascii="Cambria" w:hAnsi="Cambria"/>
          <w:sz w:val="20"/>
          <w:szCs w:val="20"/>
          <w:lang w:val="es-ES"/>
        </w:rPr>
      </w:pPr>
    </w:p>
    <w:p w14:paraId="1308B281" w14:textId="77777777" w:rsidR="00BB56C4" w:rsidRPr="006666A5" w:rsidRDefault="00BB56C4" w:rsidP="009969F9">
      <w:pPr>
        <w:pStyle w:val="ListParagraph"/>
        <w:numPr>
          <w:ilvl w:val="0"/>
          <w:numId w:val="20"/>
        </w:numPr>
        <w:spacing w:after="0" w:line="240" w:lineRule="auto"/>
        <w:ind w:firstLine="0"/>
        <w:jc w:val="both"/>
        <w:rPr>
          <w:rFonts w:ascii="Cambria" w:hAnsi="Cambria" w:cs="Calibri Light"/>
          <w:b/>
          <w:sz w:val="20"/>
          <w:szCs w:val="20"/>
          <w:lang w:val="es-ES"/>
        </w:rPr>
      </w:pPr>
      <w:r w:rsidRPr="006666A5">
        <w:rPr>
          <w:rFonts w:ascii="Cambria" w:hAnsi="Cambria" w:cs="Calibri Light"/>
          <w:b/>
          <w:sz w:val="20"/>
          <w:szCs w:val="20"/>
          <w:lang w:val="es-ES"/>
        </w:rPr>
        <w:t>Resultados individuales del caso</w:t>
      </w:r>
    </w:p>
    <w:p w14:paraId="4FB4B2DD" w14:textId="77777777" w:rsidR="00BB56C4" w:rsidRPr="006666A5" w:rsidRDefault="00BB56C4" w:rsidP="00BB56C4">
      <w:pPr>
        <w:spacing w:after="0" w:line="240" w:lineRule="auto"/>
        <w:rPr>
          <w:rFonts w:ascii="Cambria" w:hAnsi="Cambria"/>
          <w:b/>
          <w:sz w:val="20"/>
          <w:szCs w:val="20"/>
          <w:lang w:val="es-ES"/>
        </w:rPr>
      </w:pPr>
    </w:p>
    <w:p w14:paraId="623EA45F" w14:textId="77777777" w:rsidR="002B12D9" w:rsidRPr="006666A5" w:rsidRDefault="00BB56C4" w:rsidP="00BB56C4">
      <w:pPr>
        <w:spacing w:after="0" w:line="240" w:lineRule="auto"/>
        <w:rPr>
          <w:rFonts w:ascii="Cambria" w:hAnsi="Cambria"/>
          <w:i/>
          <w:sz w:val="20"/>
          <w:szCs w:val="20"/>
          <w:lang w:val="es-ES"/>
        </w:rPr>
      </w:pPr>
      <w:r w:rsidRPr="006666A5">
        <w:rPr>
          <w:rFonts w:ascii="Cambria" w:hAnsi="Cambria"/>
          <w:i/>
          <w:sz w:val="20"/>
          <w:szCs w:val="20"/>
          <w:lang w:val="es-ES"/>
        </w:rPr>
        <w:t>Medida de restitución en el ejercicio del derecho</w:t>
      </w:r>
    </w:p>
    <w:p w14:paraId="1834B36B" w14:textId="77777777" w:rsidR="00BB56C4" w:rsidRPr="006666A5" w:rsidRDefault="005F06F5" w:rsidP="00BB56C4">
      <w:pPr>
        <w:pStyle w:val="ListParagraph"/>
        <w:numPr>
          <w:ilvl w:val="0"/>
          <w:numId w:val="32"/>
        </w:numPr>
        <w:spacing w:after="0" w:line="240" w:lineRule="auto"/>
        <w:rPr>
          <w:rFonts w:ascii="Cambria" w:hAnsi="Cambria"/>
          <w:sz w:val="20"/>
          <w:szCs w:val="20"/>
          <w:lang w:val="es-ES"/>
        </w:rPr>
      </w:pPr>
      <w:r w:rsidRPr="006666A5">
        <w:rPr>
          <w:rFonts w:ascii="Cambria" w:hAnsi="Cambria"/>
          <w:sz w:val="20"/>
          <w:szCs w:val="20"/>
          <w:lang w:val="es-ES"/>
        </w:rPr>
        <w:t>El 23 de octubre de 2008 el señor Goodman fue sentenciado nuevamente a 50 años de prisión</w:t>
      </w:r>
      <w:r w:rsidR="00BB56C4" w:rsidRPr="006666A5">
        <w:rPr>
          <w:rFonts w:ascii="Cambria" w:hAnsi="Cambria"/>
          <w:sz w:val="20"/>
          <w:szCs w:val="20"/>
          <w:lang w:val="es-ES"/>
        </w:rPr>
        <w:t>.</w:t>
      </w:r>
    </w:p>
    <w:p w14:paraId="38D3E0B8" w14:textId="77777777" w:rsidR="00BB56C4" w:rsidRPr="006666A5" w:rsidRDefault="00BB56C4" w:rsidP="00BB56C4">
      <w:pPr>
        <w:pStyle w:val="ListParagraph"/>
        <w:spacing w:after="0" w:line="240" w:lineRule="auto"/>
        <w:rPr>
          <w:rFonts w:ascii="Cambria" w:hAnsi="Cambria"/>
          <w:sz w:val="20"/>
          <w:szCs w:val="20"/>
          <w:lang w:val="es-ES"/>
        </w:rPr>
      </w:pPr>
    </w:p>
    <w:p w14:paraId="3360CC4F" w14:textId="77777777" w:rsidR="00BB56C4" w:rsidRPr="006666A5" w:rsidRDefault="00BB56C4" w:rsidP="009969F9">
      <w:pPr>
        <w:pStyle w:val="ListParagraph"/>
        <w:numPr>
          <w:ilvl w:val="0"/>
          <w:numId w:val="20"/>
        </w:numPr>
        <w:spacing w:after="0" w:line="240" w:lineRule="auto"/>
        <w:ind w:firstLine="0"/>
        <w:jc w:val="both"/>
        <w:rPr>
          <w:rFonts w:ascii="Cambria" w:hAnsi="Cambria" w:cs="Calibri Light"/>
          <w:b/>
          <w:sz w:val="20"/>
          <w:szCs w:val="20"/>
          <w:lang w:val="es-ES"/>
        </w:rPr>
      </w:pPr>
      <w:r w:rsidRPr="006666A5">
        <w:rPr>
          <w:rFonts w:ascii="Cambria" w:hAnsi="Cambria" w:cs="Calibri Light"/>
          <w:b/>
          <w:sz w:val="20"/>
          <w:szCs w:val="20"/>
          <w:lang w:val="es-ES"/>
        </w:rPr>
        <w:t>Resultados estructurales del caso</w:t>
      </w:r>
    </w:p>
    <w:p w14:paraId="238AC7E5" w14:textId="77777777" w:rsidR="00BB56C4" w:rsidRPr="006666A5" w:rsidRDefault="00BB56C4" w:rsidP="00BB56C4">
      <w:pPr>
        <w:spacing w:after="0" w:line="240" w:lineRule="auto"/>
        <w:rPr>
          <w:rFonts w:ascii="Cambria" w:hAnsi="Cambria"/>
          <w:sz w:val="20"/>
          <w:szCs w:val="20"/>
          <w:lang w:val="es-ES"/>
        </w:rPr>
      </w:pPr>
    </w:p>
    <w:p w14:paraId="1E2363D3" w14:textId="77777777" w:rsidR="00BB56C4" w:rsidRPr="006666A5" w:rsidRDefault="00BB56C4" w:rsidP="00BB56C4">
      <w:pPr>
        <w:pStyle w:val="ListParagraph"/>
        <w:numPr>
          <w:ilvl w:val="0"/>
          <w:numId w:val="21"/>
        </w:numPr>
        <w:spacing w:after="0" w:line="240" w:lineRule="auto"/>
        <w:rPr>
          <w:rFonts w:ascii="Cambria" w:hAnsi="Cambria"/>
          <w:sz w:val="20"/>
          <w:szCs w:val="20"/>
          <w:lang w:val="es-ES"/>
        </w:rPr>
      </w:pPr>
      <w:r w:rsidRPr="006666A5">
        <w:rPr>
          <w:rFonts w:ascii="Cambria" w:hAnsi="Cambria"/>
          <w:sz w:val="20"/>
          <w:szCs w:val="20"/>
          <w:lang w:val="es-ES"/>
        </w:rPr>
        <w:t xml:space="preserve">No hay resultados estructurales informados por las partes. </w:t>
      </w:r>
    </w:p>
    <w:p w14:paraId="38F19DBA" w14:textId="77777777" w:rsidR="00B144E0" w:rsidRPr="009A2EED" w:rsidRDefault="00B144E0" w:rsidP="00207922">
      <w:pPr>
        <w:autoSpaceDE w:val="0"/>
        <w:autoSpaceDN w:val="0"/>
        <w:adjustRightInd w:val="0"/>
        <w:spacing w:after="0" w:line="240" w:lineRule="auto"/>
        <w:rPr>
          <w:rFonts w:ascii="Cambria" w:hAnsi="Cambria"/>
          <w:sz w:val="20"/>
          <w:szCs w:val="20"/>
          <w:lang w:val="es-ES"/>
        </w:rPr>
      </w:pPr>
      <w:bookmarkStart w:id="0" w:name="_GoBack"/>
      <w:bookmarkEnd w:id="0"/>
    </w:p>
    <w:sectPr w:rsidR="00B144E0" w:rsidRPr="009A2EED" w:rsidSect="009969F9">
      <w:headerReference w:type="default" r:id="rId9"/>
      <w:footerReference w:type="default" r:id="rId10"/>
      <w:headerReference w:type="first" r:id="rId11"/>
      <w:pgSz w:w="12240" w:h="15840"/>
      <w:pgMar w:top="1440" w:right="1440" w:bottom="1440" w:left="1440" w:header="720" w:footer="72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265A13" w16cid:durableId="2353AF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461F3" w14:textId="77777777" w:rsidR="00206693" w:rsidRDefault="00206693" w:rsidP="007B15E0">
      <w:pPr>
        <w:spacing w:after="0" w:line="240" w:lineRule="auto"/>
      </w:pPr>
      <w:r>
        <w:separator/>
      </w:r>
    </w:p>
  </w:endnote>
  <w:endnote w:type="continuationSeparator" w:id="0">
    <w:p w14:paraId="5E3BE71A" w14:textId="77777777" w:rsidR="00206693" w:rsidRDefault="00206693" w:rsidP="007B1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964791"/>
      <w:docPartObj>
        <w:docPartGallery w:val="Page Numbers (Bottom of Page)"/>
        <w:docPartUnique/>
      </w:docPartObj>
    </w:sdtPr>
    <w:sdtEndPr>
      <w:rPr>
        <w:noProof/>
        <w:sz w:val="16"/>
        <w:szCs w:val="16"/>
      </w:rPr>
    </w:sdtEndPr>
    <w:sdtContent>
      <w:p w14:paraId="20E425CC" w14:textId="79F5645C" w:rsidR="005818F5" w:rsidRPr="00594FE3" w:rsidRDefault="005818F5">
        <w:pPr>
          <w:pStyle w:val="Footer"/>
          <w:jc w:val="center"/>
          <w:rPr>
            <w:sz w:val="16"/>
            <w:szCs w:val="16"/>
          </w:rPr>
        </w:pPr>
        <w:r w:rsidRPr="00594FE3">
          <w:rPr>
            <w:sz w:val="16"/>
            <w:szCs w:val="16"/>
          </w:rPr>
          <w:fldChar w:fldCharType="begin"/>
        </w:r>
        <w:r w:rsidRPr="00594FE3">
          <w:rPr>
            <w:sz w:val="16"/>
            <w:szCs w:val="16"/>
          </w:rPr>
          <w:instrText xml:space="preserve"> PAGE   \* MERGEFORMAT </w:instrText>
        </w:r>
        <w:r w:rsidRPr="00594FE3">
          <w:rPr>
            <w:sz w:val="16"/>
            <w:szCs w:val="16"/>
          </w:rPr>
          <w:fldChar w:fldCharType="separate"/>
        </w:r>
        <w:r w:rsidR="006666A5">
          <w:rPr>
            <w:noProof/>
            <w:sz w:val="16"/>
            <w:szCs w:val="16"/>
          </w:rPr>
          <w:t>2</w:t>
        </w:r>
        <w:r w:rsidRPr="00594FE3">
          <w:rPr>
            <w:noProof/>
            <w:sz w:val="16"/>
            <w:szCs w:val="16"/>
          </w:rPr>
          <w:fldChar w:fldCharType="end"/>
        </w:r>
      </w:p>
    </w:sdtContent>
  </w:sdt>
  <w:p w14:paraId="6B8AB5AF" w14:textId="77777777" w:rsidR="005818F5" w:rsidRDefault="00581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1F503" w14:textId="77777777" w:rsidR="00206693" w:rsidRDefault="00206693" w:rsidP="007B15E0">
      <w:pPr>
        <w:spacing w:after="0" w:line="240" w:lineRule="auto"/>
      </w:pPr>
      <w:r>
        <w:separator/>
      </w:r>
    </w:p>
  </w:footnote>
  <w:footnote w:type="continuationSeparator" w:id="0">
    <w:p w14:paraId="283F81AA" w14:textId="77777777" w:rsidR="00206693" w:rsidRDefault="00206693" w:rsidP="007B15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D46A7" w14:textId="77777777" w:rsidR="005818F5" w:rsidRDefault="005818F5" w:rsidP="00594FE3">
    <w:pPr>
      <w:pStyle w:val="Header"/>
      <w:jc w:val="center"/>
    </w:pPr>
    <w:r>
      <w:rPr>
        <w:noProof/>
      </w:rPr>
      <w:drawing>
        <wp:anchor distT="0" distB="0" distL="114300" distR="114300" simplePos="0" relativeHeight="251659264" behindDoc="1" locked="0" layoutInCell="1" allowOverlap="1" wp14:anchorId="24065010" wp14:editId="213A2FE2">
          <wp:simplePos x="0" y="0"/>
          <wp:positionH relativeFrom="column">
            <wp:posOffset>1795780</wp:posOffset>
          </wp:positionH>
          <wp:positionV relativeFrom="paragraph">
            <wp:posOffset>-20955</wp:posOffset>
          </wp:positionV>
          <wp:extent cx="2296795" cy="116840"/>
          <wp:effectExtent l="0" t="0" r="8255" b="0"/>
          <wp:wrapSquare wrapText="bothSides"/>
          <wp:docPr id="6" name="Picture 6"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795" cy="116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C29A4" w14:textId="77777777" w:rsidR="005818F5" w:rsidRPr="00F17462" w:rsidRDefault="006666A5" w:rsidP="00594FE3">
    <w:pPr>
      <w:spacing w:after="0" w:line="240" w:lineRule="auto"/>
      <w:jc w:val="center"/>
      <w:rPr>
        <w:rFonts w:ascii="Cambria" w:hAnsi="Cambria"/>
        <w:b/>
      </w:rPr>
    </w:pPr>
    <w:r>
      <w:pict w14:anchorId="504BC22C">
        <v:rect id="_x0000_i1025" style="width:0;height:1.5pt" o:hralign="center" o:hrstd="t" o:hr="t" fillcolor="#a0a0a0" stroked="f"/>
      </w:pict>
    </w:r>
  </w:p>
  <w:p w14:paraId="0EB66288" w14:textId="77777777" w:rsidR="005818F5" w:rsidRDefault="00581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3D58" w14:textId="59340327" w:rsidR="005F7859" w:rsidRDefault="005F7859" w:rsidP="005F7859">
    <w:pPr>
      <w:pStyle w:val="Header"/>
      <w:rPr>
        <w:rFonts w:ascii="Arial" w:hAnsi="Arial" w:cs="Arial"/>
        <w:color w:val="3B3838" w:themeColor="background2" w:themeShade="40"/>
        <w:sz w:val="28"/>
        <w:szCs w:val="28"/>
        <w:lang w:val="es-ES"/>
      </w:rPr>
    </w:pPr>
    <w:r>
      <w:rPr>
        <w:noProof/>
      </w:rPr>
      <w:drawing>
        <wp:anchor distT="0" distB="0" distL="114300" distR="114300" simplePos="0" relativeHeight="251662336" behindDoc="0" locked="0" layoutInCell="1" allowOverlap="1" wp14:anchorId="5C927829" wp14:editId="510C1FFD">
          <wp:simplePos x="0" y="0"/>
          <wp:positionH relativeFrom="column">
            <wp:posOffset>3609975</wp:posOffset>
          </wp:positionH>
          <wp:positionV relativeFrom="paragraph">
            <wp:posOffset>53975</wp:posOffset>
          </wp:positionV>
          <wp:extent cx="2296160" cy="409575"/>
          <wp:effectExtent l="0" t="0" r="889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160" cy="4095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7A1896CE" wp14:editId="6306365F">
              <wp:simplePos x="0" y="0"/>
              <wp:positionH relativeFrom="column">
                <wp:posOffset>824865</wp:posOffset>
              </wp:positionH>
              <wp:positionV relativeFrom="paragraph">
                <wp:posOffset>-101600</wp:posOffset>
              </wp:positionV>
              <wp:extent cx="1447165" cy="605790"/>
              <wp:effectExtent l="0" t="0" r="635" b="3810"/>
              <wp:wrapNone/>
              <wp:docPr id="1" name="Text Box 1"/>
              <wp:cNvGraphicFramePr/>
              <a:graphic xmlns:a="http://schemas.openxmlformats.org/drawingml/2006/main">
                <a:graphicData uri="http://schemas.microsoft.com/office/word/2010/wordprocessingShape">
                  <wps:wsp>
                    <wps:cNvSpPr txBox="1"/>
                    <wps:spPr>
                      <a:xfrm>
                        <a:off x="0" y="0"/>
                        <a:ext cx="1447165" cy="605790"/>
                      </a:xfrm>
                      <a:prstGeom prst="rect">
                        <a:avLst/>
                      </a:prstGeom>
                      <a:solidFill>
                        <a:schemeClr val="lt1"/>
                      </a:solidFill>
                      <a:ln w="6350">
                        <a:noFill/>
                      </a:ln>
                    </wps:spPr>
                    <wps:txbx>
                      <w:txbxContent>
                        <w:p w14:paraId="1C5E5BD8" w14:textId="77777777" w:rsidR="005F7859" w:rsidRDefault="005F7859" w:rsidP="005F7859">
                          <w:pPr>
                            <w:rPr>
                              <w:rFonts w:ascii="Arial" w:hAnsi="Arial" w:cs="Arial"/>
                              <w:b/>
                              <w:bCs/>
                              <w:color w:val="767171" w:themeColor="background2" w:themeShade="80"/>
                              <w:sz w:val="76"/>
                              <w:szCs w:val="76"/>
                              <w:lang w:val="es-ES"/>
                            </w:rPr>
                          </w:pPr>
                          <w:r>
                            <w:rPr>
                              <w:rFonts w:ascii="Arial" w:hAnsi="Arial" w:cs="Arial"/>
                              <w:b/>
                              <w:bCs/>
                              <w:color w:val="767171" w:themeColor="background2" w:themeShade="80"/>
                              <w:sz w:val="76"/>
                              <w:szCs w:val="76"/>
                              <w:lang w:val="es-ES"/>
                            </w:rP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A1896CE" id="_x0000_t202" coordsize="21600,21600" o:spt="202" path="m,l,21600r21600,l21600,xe">
              <v:stroke joinstyle="miter"/>
              <v:path gradientshapeok="t" o:connecttype="rect"/>
            </v:shapetype>
            <v:shape id="Text Box 1" o:spid="_x0000_s1026" type="#_x0000_t202" style="position:absolute;margin-left:64.95pt;margin-top:-8pt;width:113.95pt;height:4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" fillcolor="white [3201]" stroked="f" strokeweight=".5pt">
              <v:textbox>
                <w:txbxContent>
                  <w:p w14:paraId="1C5E5BD8" w14:textId="77777777" w:rsidR="005F7859" w:rsidRDefault="005F7859" w:rsidP="005F7859">
                    <w:pPr>
                      <w:rPr>
                        <w:rFonts w:ascii="Arial" w:hAnsi="Arial" w:cs="Arial"/>
                        <w:b/>
                        <w:bCs/>
                        <w:color w:val="767171" w:themeColor="background2" w:themeShade="80"/>
                        <w:sz w:val="76"/>
                        <w:szCs w:val="76"/>
                        <w:lang w:val="es-ES"/>
                      </w:rPr>
                    </w:pPr>
                    <w:r>
                      <w:rPr>
                        <w:rFonts w:ascii="Arial" w:hAnsi="Arial" w:cs="Arial"/>
                        <w:b/>
                        <w:bCs/>
                        <w:color w:val="767171" w:themeColor="background2" w:themeShade="80"/>
                        <w:sz w:val="76"/>
                        <w:szCs w:val="76"/>
                        <w:lang w:val="es-ES"/>
                      </w:rPr>
                      <w:t>2020</w:t>
                    </w:r>
                  </w:p>
                </w:txbxContent>
              </v:textbox>
            </v:shape>
          </w:pict>
        </mc:Fallback>
      </mc:AlternateContent>
    </w:r>
    <w:r>
      <w:rPr>
        <w:rFonts w:ascii="Arial" w:hAnsi="Arial" w:cs="Arial"/>
        <w:color w:val="3B3838" w:themeColor="background2" w:themeShade="40"/>
        <w:sz w:val="28"/>
        <w:szCs w:val="28"/>
        <w:lang w:val="es-ES"/>
      </w:rPr>
      <w:t>INFORME</w:t>
    </w:r>
  </w:p>
  <w:p w14:paraId="7D744397" w14:textId="77777777" w:rsidR="005F7859" w:rsidRDefault="005F7859" w:rsidP="005F7859">
    <w:pPr>
      <w:pStyle w:val="Header"/>
      <w:tabs>
        <w:tab w:val="left" w:pos="1925"/>
      </w:tabs>
      <w:rPr>
        <w:rFonts w:ascii="Arial" w:hAnsi="Arial" w:cs="Arial"/>
        <w:b/>
        <w:bCs/>
        <w:color w:val="404040" w:themeColor="text1" w:themeTint="BF"/>
        <w:sz w:val="38"/>
        <w:szCs w:val="38"/>
        <w:lang w:val="es-ES"/>
      </w:rPr>
    </w:pPr>
    <w:r>
      <w:rPr>
        <w:rFonts w:ascii="Arial" w:hAnsi="Arial" w:cs="Arial"/>
        <w:b/>
        <w:bCs/>
        <w:color w:val="404040" w:themeColor="text1" w:themeTint="BF"/>
        <w:sz w:val="38"/>
        <w:szCs w:val="38"/>
        <w:lang w:val="es-ES"/>
      </w:rPr>
      <w:t>ANUAL</w:t>
    </w:r>
    <w:r>
      <w:rPr>
        <w:rFonts w:ascii="Arial" w:hAnsi="Arial" w:cs="Arial"/>
        <w:b/>
        <w:bCs/>
        <w:color w:val="404040" w:themeColor="text1" w:themeTint="BF"/>
        <w:sz w:val="38"/>
        <w:szCs w:val="38"/>
        <w:lang w:val="es-ES"/>
      </w:rPr>
      <w:tab/>
    </w:r>
  </w:p>
  <w:p w14:paraId="2C9BF9D7" w14:textId="77777777" w:rsidR="00F80539" w:rsidRDefault="00F80539" w:rsidP="00F80539">
    <w:pPr>
      <w:pStyle w:val="Header"/>
    </w:pPr>
  </w:p>
  <w:p w14:paraId="76CC7482" w14:textId="77777777" w:rsidR="005818F5" w:rsidRPr="00F80539" w:rsidRDefault="006666A5" w:rsidP="00F80539">
    <w:pPr>
      <w:tabs>
        <w:tab w:val="center" w:pos="4680"/>
        <w:tab w:val="right" w:pos="9360"/>
      </w:tabs>
      <w:spacing w:after="0" w:line="240" w:lineRule="auto"/>
      <w:jc w:val="center"/>
    </w:pPr>
    <w:r>
      <w:pict w14:anchorId="66A13E10">
        <v:rect id="_x0000_i1026" style="width:468pt;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463"/>
    <w:multiLevelType w:val="hybridMultilevel"/>
    <w:tmpl w:val="EC2AC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F6840"/>
    <w:multiLevelType w:val="hybridMultilevel"/>
    <w:tmpl w:val="509018EA"/>
    <w:lvl w:ilvl="0" w:tplc="1D70DBA2">
      <w:start w:val="1"/>
      <w:numFmt w:val="decimal"/>
      <w:lvlText w:val="%1."/>
      <w:lvlJc w:val="left"/>
      <w:pPr>
        <w:tabs>
          <w:tab w:val="num" w:pos="720"/>
        </w:tabs>
        <w:ind w:left="0" w:firstLine="720"/>
      </w:pPr>
      <w:rPr>
        <w:rFonts w:cs="Times New Roman" w:hint="default"/>
        <w:b w:val="0"/>
        <w:i w:val="0"/>
        <w:strike w:val="0"/>
        <w:sz w:val="20"/>
        <w:szCs w:val="20"/>
      </w:rPr>
    </w:lvl>
    <w:lvl w:ilvl="1" w:tplc="04090005">
      <w:start w:val="1"/>
      <w:numFmt w:val="bullet"/>
      <w:lvlText w:val=""/>
      <w:lvlJc w:val="left"/>
      <w:pPr>
        <w:tabs>
          <w:tab w:val="num" w:pos="1440"/>
        </w:tabs>
        <w:ind w:left="1440" w:hanging="360"/>
      </w:pPr>
      <w:rPr>
        <w:rFonts w:ascii="Wingdings" w:hAnsi="Wingdings" w:hint="default"/>
      </w:rPr>
    </w:lvl>
    <w:lvl w:ilvl="2" w:tplc="E16A2C48">
      <w:start w:val="1"/>
      <w:numFmt w:val="decimal"/>
      <w:lvlText w:val="%3."/>
      <w:lvlJc w:val="left"/>
      <w:pPr>
        <w:tabs>
          <w:tab w:val="num" w:pos="1980"/>
        </w:tabs>
        <w:ind w:left="1260" w:firstLine="720"/>
      </w:pPr>
      <w:rPr>
        <w:rFonts w:hint="default"/>
        <w:b w:val="0"/>
        <w:i w:val="0"/>
        <w:sz w:val="20"/>
        <w:szCs w:val="20"/>
      </w:rPr>
    </w:lvl>
    <w:lvl w:ilvl="3" w:tplc="FA309624">
      <w:start w:val="1"/>
      <w:numFmt w:val="decimal"/>
      <w:lvlText w:val="%4."/>
      <w:lvlJc w:val="left"/>
      <w:pPr>
        <w:tabs>
          <w:tab w:val="num" w:pos="720"/>
        </w:tabs>
        <w:ind w:left="0" w:firstLine="720"/>
      </w:pPr>
      <w:rPr>
        <w:rFonts w:ascii="Univers" w:hAnsi="Univers" w:hint="default"/>
        <w:b w:val="0"/>
        <w:i w:val="0"/>
        <w:sz w:val="20"/>
        <w:szCs w:val="20"/>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84EDE"/>
    <w:multiLevelType w:val="hybridMultilevel"/>
    <w:tmpl w:val="A12E0462"/>
    <w:lvl w:ilvl="0" w:tplc="CAD003B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552C4"/>
    <w:multiLevelType w:val="hybridMultilevel"/>
    <w:tmpl w:val="E144834E"/>
    <w:lvl w:ilvl="0" w:tplc="C61A4F7E">
      <w:start w:val="1"/>
      <w:numFmt w:val="decimal"/>
      <w:lvlText w:val="%1."/>
      <w:lvlJc w:val="left"/>
      <w:pPr>
        <w:ind w:left="1437" w:hanging="360"/>
      </w:pPr>
      <w:rPr>
        <w:rFonts w:ascii="Cambria" w:eastAsia="Calibri" w:hAnsi="Cambria" w:cs="Calibri Light" w:hint="default"/>
        <w:b w:val="0"/>
        <w:sz w:val="20"/>
        <w:szCs w:val="20"/>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5" w15:restartNumberingAfterBreak="0">
    <w:nsid w:val="14D2671C"/>
    <w:multiLevelType w:val="hybridMultilevel"/>
    <w:tmpl w:val="08E0CE9E"/>
    <w:lvl w:ilvl="0" w:tplc="FFC49C5C">
      <w:start w:val="1"/>
      <w:numFmt w:val="decimal"/>
      <w:lvlText w:val="%1-"/>
      <w:lvlJc w:val="left"/>
      <w:pPr>
        <w:ind w:left="720" w:hanging="360"/>
      </w:pPr>
      <w:rPr>
        <w:rFonts w:ascii="Verdana" w:hAnsi="Verdana" w:cstheme="minorBid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A3A85"/>
    <w:multiLevelType w:val="hybridMultilevel"/>
    <w:tmpl w:val="61205FA2"/>
    <w:lvl w:ilvl="0" w:tplc="5994D6DA">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06297"/>
    <w:multiLevelType w:val="hybridMultilevel"/>
    <w:tmpl w:val="32CE52FE"/>
    <w:lvl w:ilvl="0" w:tplc="6E52A56A">
      <w:start w:val="1"/>
      <w:numFmt w:val="decimal"/>
      <w:lvlText w:val="%1."/>
      <w:lvlJc w:val="left"/>
      <w:pPr>
        <w:ind w:left="1437" w:hanging="360"/>
      </w:pPr>
      <w:rPr>
        <w:rFonts w:ascii="Cambria" w:eastAsia="Calibri" w:hAnsi="Cambria" w:cs="Calibri Light" w:hint="default"/>
        <w:b w:val="0"/>
        <w:sz w:val="22"/>
        <w:szCs w:val="22"/>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8" w15:restartNumberingAfterBreak="0">
    <w:nsid w:val="1D945DE1"/>
    <w:multiLevelType w:val="hybridMultilevel"/>
    <w:tmpl w:val="4A90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048B5"/>
    <w:multiLevelType w:val="hybridMultilevel"/>
    <w:tmpl w:val="FE20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F4882"/>
    <w:multiLevelType w:val="hybridMultilevel"/>
    <w:tmpl w:val="F19C73CC"/>
    <w:lvl w:ilvl="0" w:tplc="8A8A558C">
      <w:start w:val="9"/>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05901"/>
    <w:multiLevelType w:val="hybridMultilevel"/>
    <w:tmpl w:val="6FD6D0B2"/>
    <w:lvl w:ilvl="0" w:tplc="8F38C9D4">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E60B5"/>
    <w:multiLevelType w:val="hybridMultilevel"/>
    <w:tmpl w:val="B52627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B3D75D5"/>
    <w:multiLevelType w:val="hybridMultilevel"/>
    <w:tmpl w:val="CACA6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524BF"/>
    <w:multiLevelType w:val="hybridMultilevel"/>
    <w:tmpl w:val="D690FF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D551B0"/>
    <w:multiLevelType w:val="hybridMultilevel"/>
    <w:tmpl w:val="D690F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182ADF"/>
    <w:multiLevelType w:val="hybridMultilevel"/>
    <w:tmpl w:val="8A08FA04"/>
    <w:lvl w:ilvl="0" w:tplc="F10C0E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522C2F"/>
    <w:multiLevelType w:val="hybridMultilevel"/>
    <w:tmpl w:val="700271CC"/>
    <w:lvl w:ilvl="0" w:tplc="70EC6EF0">
      <w:start w:val="1"/>
      <w:numFmt w:val="decimal"/>
      <w:lvlText w:val="%1."/>
      <w:lvlJc w:val="left"/>
      <w:pPr>
        <w:ind w:left="720" w:hanging="360"/>
      </w:pPr>
      <w:rPr>
        <w:rFonts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51AFA"/>
    <w:multiLevelType w:val="hybridMultilevel"/>
    <w:tmpl w:val="4C42D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A053A3"/>
    <w:multiLevelType w:val="hybridMultilevel"/>
    <w:tmpl w:val="CB20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67AA8"/>
    <w:multiLevelType w:val="hybridMultilevel"/>
    <w:tmpl w:val="BA3E6216"/>
    <w:lvl w:ilvl="0" w:tplc="890AC77E">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8804BF"/>
    <w:multiLevelType w:val="hybridMultilevel"/>
    <w:tmpl w:val="946C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1023AD"/>
    <w:multiLevelType w:val="hybridMultilevel"/>
    <w:tmpl w:val="C8FABDD2"/>
    <w:lvl w:ilvl="0" w:tplc="57B096B2">
      <w:start w:val="32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E3759C"/>
    <w:multiLevelType w:val="hybridMultilevel"/>
    <w:tmpl w:val="CEBECEC0"/>
    <w:lvl w:ilvl="0" w:tplc="0F6E6E00">
      <w:start w:val="44"/>
      <w:numFmt w:val="decimal"/>
      <w:lvlText w:val="%1."/>
      <w:lvlJc w:val="left"/>
      <w:pPr>
        <w:tabs>
          <w:tab w:val="num" w:pos="630"/>
        </w:tabs>
        <w:ind w:left="0" w:firstLine="720"/>
      </w:pPr>
      <w:rPr>
        <w:rFonts w:hint="default"/>
        <w:b w:val="0"/>
        <w:i w:val="0"/>
        <w:strike w:val="0"/>
        <w:color w:val="auto"/>
        <w:sz w:val="20"/>
        <w:szCs w:val="20"/>
      </w:rPr>
    </w:lvl>
    <w:lvl w:ilvl="1" w:tplc="04090005">
      <w:start w:val="1"/>
      <w:numFmt w:val="bullet"/>
      <w:lvlText w:val=""/>
      <w:lvlJc w:val="left"/>
      <w:pPr>
        <w:tabs>
          <w:tab w:val="num" w:pos="1440"/>
        </w:tabs>
        <w:ind w:left="1440" w:hanging="360"/>
      </w:pPr>
      <w:rPr>
        <w:rFonts w:ascii="Wingdings" w:hAnsi="Wingdings" w:hint="default"/>
        <w:b w:val="0"/>
        <w:i w:val="0"/>
        <w:color w:val="auto"/>
        <w:sz w:val="20"/>
        <w:szCs w:val="20"/>
      </w:rPr>
    </w:lvl>
    <w:lvl w:ilvl="2" w:tplc="0409001B">
      <w:start w:val="1"/>
      <w:numFmt w:val="lowerRoman"/>
      <w:lvlText w:val="%3."/>
      <w:lvlJc w:val="right"/>
      <w:pPr>
        <w:tabs>
          <w:tab w:val="num" w:pos="2160"/>
        </w:tabs>
        <w:ind w:left="2160" w:hanging="180"/>
      </w:pPr>
    </w:lvl>
    <w:lvl w:ilvl="3" w:tplc="FDE86004">
      <w:start w:val="1"/>
      <w:numFmt w:val="decimal"/>
      <w:lvlText w:val="%4."/>
      <w:lvlJc w:val="left"/>
      <w:pPr>
        <w:tabs>
          <w:tab w:val="num" w:pos="2520"/>
        </w:tabs>
        <w:ind w:left="1800" w:firstLine="720"/>
      </w:pPr>
      <w:rPr>
        <w:rFonts w:hint="default"/>
        <w:b w:val="0"/>
        <w:i w:val="0"/>
        <w:strike w:val="0"/>
        <w:color w:val="auto"/>
        <w:sz w:val="20"/>
        <w:szCs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AE6C34"/>
    <w:multiLevelType w:val="hybridMultilevel"/>
    <w:tmpl w:val="B0649F7C"/>
    <w:lvl w:ilvl="0" w:tplc="7286DC1C">
      <w:start w:val="235"/>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D65CB7"/>
    <w:multiLevelType w:val="hybridMultilevel"/>
    <w:tmpl w:val="67B4E5C0"/>
    <w:lvl w:ilvl="0" w:tplc="E68E6754">
      <w:start w:val="198"/>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27414BC"/>
    <w:multiLevelType w:val="hybridMultilevel"/>
    <w:tmpl w:val="6670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E00A47"/>
    <w:multiLevelType w:val="hybridMultilevel"/>
    <w:tmpl w:val="9C4C874E"/>
    <w:lvl w:ilvl="0" w:tplc="9ED01596">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693BC7"/>
    <w:multiLevelType w:val="hybridMultilevel"/>
    <w:tmpl w:val="86527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2"/>
  </w:num>
  <w:num w:numId="4">
    <w:abstractNumId w:val="30"/>
  </w:num>
  <w:num w:numId="5">
    <w:abstractNumId w:val="1"/>
  </w:num>
  <w:num w:numId="6">
    <w:abstractNumId w:val="23"/>
  </w:num>
  <w:num w:numId="7">
    <w:abstractNumId w:val="24"/>
  </w:num>
  <w:num w:numId="8">
    <w:abstractNumId w:val="25"/>
  </w:num>
  <w:num w:numId="9">
    <w:abstractNumId w:val="26"/>
  </w:num>
  <w:num w:numId="10">
    <w:abstractNumId w:val="17"/>
  </w:num>
  <w:num w:numId="11">
    <w:abstractNumId w:val="14"/>
  </w:num>
  <w:num w:numId="12">
    <w:abstractNumId w:val="4"/>
  </w:num>
  <w:num w:numId="13">
    <w:abstractNumId w:val="15"/>
  </w:num>
  <w:num w:numId="14">
    <w:abstractNumId w:val="20"/>
  </w:num>
  <w:num w:numId="15">
    <w:abstractNumId w:val="18"/>
  </w:num>
  <w:num w:numId="16">
    <w:abstractNumId w:val="6"/>
  </w:num>
  <w:num w:numId="17">
    <w:abstractNumId w:val="7"/>
  </w:num>
  <w:num w:numId="18">
    <w:abstractNumId w:val="29"/>
  </w:num>
  <w:num w:numId="19">
    <w:abstractNumId w:val="1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0"/>
  </w:num>
  <w:num w:numId="23">
    <w:abstractNumId w:val="31"/>
  </w:num>
  <w:num w:numId="24">
    <w:abstractNumId w:val="28"/>
  </w:num>
  <w:num w:numId="25">
    <w:abstractNumId w:val="16"/>
  </w:num>
  <w:num w:numId="26">
    <w:abstractNumId w:val="3"/>
  </w:num>
  <w:num w:numId="27">
    <w:abstractNumId w:val="21"/>
  </w:num>
  <w:num w:numId="28">
    <w:abstractNumId w:val="22"/>
  </w:num>
  <w:num w:numId="29">
    <w:abstractNumId w:val="11"/>
  </w:num>
  <w:num w:numId="30">
    <w:abstractNumId w:val="10"/>
  </w:num>
  <w:num w:numId="31">
    <w:abstractNumId w:val="8"/>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hyphenationZone w:val="425"/>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34D"/>
    <w:rsid w:val="00000823"/>
    <w:rsid w:val="000019EF"/>
    <w:rsid w:val="000105E2"/>
    <w:rsid w:val="00010D7D"/>
    <w:rsid w:val="000208BD"/>
    <w:rsid w:val="00027FA3"/>
    <w:rsid w:val="00037C0A"/>
    <w:rsid w:val="0004139E"/>
    <w:rsid w:val="00043872"/>
    <w:rsid w:val="00046E4E"/>
    <w:rsid w:val="000507B2"/>
    <w:rsid w:val="00052627"/>
    <w:rsid w:val="00067A77"/>
    <w:rsid w:val="00076298"/>
    <w:rsid w:val="000823BF"/>
    <w:rsid w:val="00083B2B"/>
    <w:rsid w:val="000A6167"/>
    <w:rsid w:val="000A638D"/>
    <w:rsid w:val="000A7817"/>
    <w:rsid w:val="000B2B43"/>
    <w:rsid w:val="000B31A2"/>
    <w:rsid w:val="000C0F1A"/>
    <w:rsid w:val="000C2753"/>
    <w:rsid w:val="000C5C85"/>
    <w:rsid w:val="000D165B"/>
    <w:rsid w:val="000D6083"/>
    <w:rsid w:val="000E0541"/>
    <w:rsid w:val="000E0AD2"/>
    <w:rsid w:val="000E2952"/>
    <w:rsid w:val="000E5EAF"/>
    <w:rsid w:val="000E7806"/>
    <w:rsid w:val="001007D0"/>
    <w:rsid w:val="0010125B"/>
    <w:rsid w:val="0010319A"/>
    <w:rsid w:val="001031C8"/>
    <w:rsid w:val="00105A2A"/>
    <w:rsid w:val="00106B9F"/>
    <w:rsid w:val="00106CB6"/>
    <w:rsid w:val="001162CB"/>
    <w:rsid w:val="00121DC4"/>
    <w:rsid w:val="00124B0D"/>
    <w:rsid w:val="0012554E"/>
    <w:rsid w:val="001449D7"/>
    <w:rsid w:val="00147131"/>
    <w:rsid w:val="00147493"/>
    <w:rsid w:val="001504BB"/>
    <w:rsid w:val="0015686A"/>
    <w:rsid w:val="001759C1"/>
    <w:rsid w:val="001760BA"/>
    <w:rsid w:val="00176E57"/>
    <w:rsid w:val="0018434D"/>
    <w:rsid w:val="0019188A"/>
    <w:rsid w:val="00193311"/>
    <w:rsid w:val="00195BD5"/>
    <w:rsid w:val="001A1812"/>
    <w:rsid w:val="001B6B90"/>
    <w:rsid w:val="001B704C"/>
    <w:rsid w:val="001C115D"/>
    <w:rsid w:val="001E4A88"/>
    <w:rsid w:val="001F3FB0"/>
    <w:rsid w:val="001F657C"/>
    <w:rsid w:val="0020031E"/>
    <w:rsid w:val="002005E0"/>
    <w:rsid w:val="00201F26"/>
    <w:rsid w:val="00203E47"/>
    <w:rsid w:val="00206693"/>
    <w:rsid w:val="00207922"/>
    <w:rsid w:val="002156DC"/>
    <w:rsid w:val="002160C0"/>
    <w:rsid w:val="00224EDC"/>
    <w:rsid w:val="00231AC2"/>
    <w:rsid w:val="00234C3B"/>
    <w:rsid w:val="00235297"/>
    <w:rsid w:val="0024645A"/>
    <w:rsid w:val="002465DA"/>
    <w:rsid w:val="0024773B"/>
    <w:rsid w:val="00256CEC"/>
    <w:rsid w:val="002667FA"/>
    <w:rsid w:val="00272E0C"/>
    <w:rsid w:val="00275418"/>
    <w:rsid w:val="002856E7"/>
    <w:rsid w:val="0028678F"/>
    <w:rsid w:val="00287012"/>
    <w:rsid w:val="00291089"/>
    <w:rsid w:val="0029224B"/>
    <w:rsid w:val="00296A3D"/>
    <w:rsid w:val="002A2901"/>
    <w:rsid w:val="002A5153"/>
    <w:rsid w:val="002A67C8"/>
    <w:rsid w:val="002B12D9"/>
    <w:rsid w:val="002B2949"/>
    <w:rsid w:val="002C1DBB"/>
    <w:rsid w:val="002D2200"/>
    <w:rsid w:val="002D2490"/>
    <w:rsid w:val="002D3A69"/>
    <w:rsid w:val="002E04B2"/>
    <w:rsid w:val="002E27BB"/>
    <w:rsid w:val="002E3D31"/>
    <w:rsid w:val="002E6370"/>
    <w:rsid w:val="002F0D2F"/>
    <w:rsid w:val="002F21C5"/>
    <w:rsid w:val="002F70F2"/>
    <w:rsid w:val="00303A21"/>
    <w:rsid w:val="003069AE"/>
    <w:rsid w:val="00312310"/>
    <w:rsid w:val="003151FE"/>
    <w:rsid w:val="003250A4"/>
    <w:rsid w:val="003272C4"/>
    <w:rsid w:val="00334B16"/>
    <w:rsid w:val="003455B5"/>
    <w:rsid w:val="00350C0E"/>
    <w:rsid w:val="0035540A"/>
    <w:rsid w:val="003571CE"/>
    <w:rsid w:val="0036198E"/>
    <w:rsid w:val="003624D8"/>
    <w:rsid w:val="0036660E"/>
    <w:rsid w:val="0036721A"/>
    <w:rsid w:val="00367FC8"/>
    <w:rsid w:val="00371B8A"/>
    <w:rsid w:val="00372935"/>
    <w:rsid w:val="003820A6"/>
    <w:rsid w:val="00382204"/>
    <w:rsid w:val="003917D2"/>
    <w:rsid w:val="00391EDC"/>
    <w:rsid w:val="003936F0"/>
    <w:rsid w:val="003952B2"/>
    <w:rsid w:val="00397989"/>
    <w:rsid w:val="003A028B"/>
    <w:rsid w:val="003A4926"/>
    <w:rsid w:val="003A5479"/>
    <w:rsid w:val="003C1898"/>
    <w:rsid w:val="003C78A1"/>
    <w:rsid w:val="003D4EAB"/>
    <w:rsid w:val="003D69FA"/>
    <w:rsid w:val="003D6CC4"/>
    <w:rsid w:val="003E24A8"/>
    <w:rsid w:val="003E2929"/>
    <w:rsid w:val="003E50B8"/>
    <w:rsid w:val="003F147F"/>
    <w:rsid w:val="003F37F4"/>
    <w:rsid w:val="003F610D"/>
    <w:rsid w:val="003F662D"/>
    <w:rsid w:val="004008D3"/>
    <w:rsid w:val="0040675A"/>
    <w:rsid w:val="004263F4"/>
    <w:rsid w:val="00430A46"/>
    <w:rsid w:val="004325E4"/>
    <w:rsid w:val="00436600"/>
    <w:rsid w:val="00437A45"/>
    <w:rsid w:val="00440C84"/>
    <w:rsid w:val="00445E2E"/>
    <w:rsid w:val="00446166"/>
    <w:rsid w:val="00456CA3"/>
    <w:rsid w:val="0046200E"/>
    <w:rsid w:val="00462967"/>
    <w:rsid w:val="00472178"/>
    <w:rsid w:val="004730A3"/>
    <w:rsid w:val="00473BA4"/>
    <w:rsid w:val="004810AB"/>
    <w:rsid w:val="00482AB4"/>
    <w:rsid w:val="00495DD0"/>
    <w:rsid w:val="004A1613"/>
    <w:rsid w:val="004A1C31"/>
    <w:rsid w:val="004A2B1F"/>
    <w:rsid w:val="004A2FFF"/>
    <w:rsid w:val="004A3824"/>
    <w:rsid w:val="004A40CF"/>
    <w:rsid w:val="004A6837"/>
    <w:rsid w:val="004A77BF"/>
    <w:rsid w:val="004B145C"/>
    <w:rsid w:val="004B59C9"/>
    <w:rsid w:val="004B62C5"/>
    <w:rsid w:val="004B68E4"/>
    <w:rsid w:val="004B6B23"/>
    <w:rsid w:val="004C0A9B"/>
    <w:rsid w:val="004C11A7"/>
    <w:rsid w:val="004C2966"/>
    <w:rsid w:val="004C2F2A"/>
    <w:rsid w:val="004C4E4B"/>
    <w:rsid w:val="004C528C"/>
    <w:rsid w:val="004C5894"/>
    <w:rsid w:val="004D10AA"/>
    <w:rsid w:val="004E4B65"/>
    <w:rsid w:val="004E611E"/>
    <w:rsid w:val="004F3114"/>
    <w:rsid w:val="004F596A"/>
    <w:rsid w:val="00501FA9"/>
    <w:rsid w:val="00503E3B"/>
    <w:rsid w:val="0050413C"/>
    <w:rsid w:val="00505EAB"/>
    <w:rsid w:val="005061CE"/>
    <w:rsid w:val="00512C07"/>
    <w:rsid w:val="005138D8"/>
    <w:rsid w:val="005157B7"/>
    <w:rsid w:val="0052132E"/>
    <w:rsid w:val="00521FE0"/>
    <w:rsid w:val="00522ECF"/>
    <w:rsid w:val="0053548F"/>
    <w:rsid w:val="005401D5"/>
    <w:rsid w:val="005409CB"/>
    <w:rsid w:val="005421DC"/>
    <w:rsid w:val="005622BE"/>
    <w:rsid w:val="00562570"/>
    <w:rsid w:val="00566512"/>
    <w:rsid w:val="00572FE6"/>
    <w:rsid w:val="005803F5"/>
    <w:rsid w:val="005818F5"/>
    <w:rsid w:val="00581FA1"/>
    <w:rsid w:val="00582E14"/>
    <w:rsid w:val="00584DDA"/>
    <w:rsid w:val="00591815"/>
    <w:rsid w:val="005928CC"/>
    <w:rsid w:val="00594FE3"/>
    <w:rsid w:val="005A5360"/>
    <w:rsid w:val="005B2B05"/>
    <w:rsid w:val="005B5263"/>
    <w:rsid w:val="005B616A"/>
    <w:rsid w:val="005D3B59"/>
    <w:rsid w:val="005D685A"/>
    <w:rsid w:val="005E7475"/>
    <w:rsid w:val="005F06F5"/>
    <w:rsid w:val="005F2936"/>
    <w:rsid w:val="005F3DF9"/>
    <w:rsid w:val="005F74CB"/>
    <w:rsid w:val="005F7859"/>
    <w:rsid w:val="00601491"/>
    <w:rsid w:val="006029C3"/>
    <w:rsid w:val="006122B6"/>
    <w:rsid w:val="006147F5"/>
    <w:rsid w:val="00625F2C"/>
    <w:rsid w:val="00630EF3"/>
    <w:rsid w:val="00634AB3"/>
    <w:rsid w:val="00635858"/>
    <w:rsid w:val="00641554"/>
    <w:rsid w:val="0064196A"/>
    <w:rsid w:val="00642C61"/>
    <w:rsid w:val="006455C0"/>
    <w:rsid w:val="006666A5"/>
    <w:rsid w:val="00667A6C"/>
    <w:rsid w:val="00674765"/>
    <w:rsid w:val="00676015"/>
    <w:rsid w:val="0067651C"/>
    <w:rsid w:val="00680BC6"/>
    <w:rsid w:val="00687F7B"/>
    <w:rsid w:val="006911D6"/>
    <w:rsid w:val="00693302"/>
    <w:rsid w:val="006944C9"/>
    <w:rsid w:val="0069494F"/>
    <w:rsid w:val="00697C56"/>
    <w:rsid w:val="006A1B27"/>
    <w:rsid w:val="006C5092"/>
    <w:rsid w:val="006C79DE"/>
    <w:rsid w:val="006D5934"/>
    <w:rsid w:val="006D66B5"/>
    <w:rsid w:val="006F20E2"/>
    <w:rsid w:val="006F3B19"/>
    <w:rsid w:val="0071068F"/>
    <w:rsid w:val="00722265"/>
    <w:rsid w:val="00733832"/>
    <w:rsid w:val="00741BD5"/>
    <w:rsid w:val="0074203F"/>
    <w:rsid w:val="007548AC"/>
    <w:rsid w:val="007548C2"/>
    <w:rsid w:val="00760CAE"/>
    <w:rsid w:val="00776D45"/>
    <w:rsid w:val="007807D5"/>
    <w:rsid w:val="00784362"/>
    <w:rsid w:val="00787F4C"/>
    <w:rsid w:val="00795EEB"/>
    <w:rsid w:val="00797031"/>
    <w:rsid w:val="007A0AE0"/>
    <w:rsid w:val="007A1626"/>
    <w:rsid w:val="007A47DB"/>
    <w:rsid w:val="007A5299"/>
    <w:rsid w:val="007A770E"/>
    <w:rsid w:val="007B15E0"/>
    <w:rsid w:val="007B55D6"/>
    <w:rsid w:val="007C2F3E"/>
    <w:rsid w:val="007C3277"/>
    <w:rsid w:val="007C386D"/>
    <w:rsid w:val="007C585C"/>
    <w:rsid w:val="007D1739"/>
    <w:rsid w:val="007D2FC4"/>
    <w:rsid w:val="007D430D"/>
    <w:rsid w:val="007D57AB"/>
    <w:rsid w:val="007D64D4"/>
    <w:rsid w:val="007E2255"/>
    <w:rsid w:val="007E2EC7"/>
    <w:rsid w:val="007F17EE"/>
    <w:rsid w:val="007F670C"/>
    <w:rsid w:val="008047F4"/>
    <w:rsid w:val="00804D77"/>
    <w:rsid w:val="00805D0D"/>
    <w:rsid w:val="00806DE7"/>
    <w:rsid w:val="008109AC"/>
    <w:rsid w:val="00815E11"/>
    <w:rsid w:val="00816180"/>
    <w:rsid w:val="008165C2"/>
    <w:rsid w:val="0082033D"/>
    <w:rsid w:val="00826DF1"/>
    <w:rsid w:val="00835E9E"/>
    <w:rsid w:val="00842302"/>
    <w:rsid w:val="00845F3F"/>
    <w:rsid w:val="00851133"/>
    <w:rsid w:val="00854261"/>
    <w:rsid w:val="008549E5"/>
    <w:rsid w:val="00857090"/>
    <w:rsid w:val="0086023A"/>
    <w:rsid w:val="00862C26"/>
    <w:rsid w:val="00864126"/>
    <w:rsid w:val="008644BF"/>
    <w:rsid w:val="008665E5"/>
    <w:rsid w:val="008731F6"/>
    <w:rsid w:val="0087629A"/>
    <w:rsid w:val="00884ECA"/>
    <w:rsid w:val="008A3C4E"/>
    <w:rsid w:val="008A688C"/>
    <w:rsid w:val="008C255B"/>
    <w:rsid w:val="008C4A04"/>
    <w:rsid w:val="008C51C1"/>
    <w:rsid w:val="008C6F28"/>
    <w:rsid w:val="008D0BF2"/>
    <w:rsid w:val="008D7730"/>
    <w:rsid w:val="008D78CE"/>
    <w:rsid w:val="008E180A"/>
    <w:rsid w:val="008E27AC"/>
    <w:rsid w:val="008E5D4A"/>
    <w:rsid w:val="008E6708"/>
    <w:rsid w:val="008E74BF"/>
    <w:rsid w:val="008F159D"/>
    <w:rsid w:val="008F2CC9"/>
    <w:rsid w:val="009065FE"/>
    <w:rsid w:val="00922B34"/>
    <w:rsid w:val="009237C0"/>
    <w:rsid w:val="00930EA7"/>
    <w:rsid w:val="00931BFE"/>
    <w:rsid w:val="00960A4E"/>
    <w:rsid w:val="009714CF"/>
    <w:rsid w:val="00986C78"/>
    <w:rsid w:val="00990B8B"/>
    <w:rsid w:val="009969F9"/>
    <w:rsid w:val="009A1813"/>
    <w:rsid w:val="009A1CD5"/>
    <w:rsid w:val="009A2EED"/>
    <w:rsid w:val="009A3E21"/>
    <w:rsid w:val="009A52D6"/>
    <w:rsid w:val="009A7096"/>
    <w:rsid w:val="009B26FF"/>
    <w:rsid w:val="009B3229"/>
    <w:rsid w:val="009B4B7E"/>
    <w:rsid w:val="009C0B79"/>
    <w:rsid w:val="009C6916"/>
    <w:rsid w:val="009D3368"/>
    <w:rsid w:val="009F3C88"/>
    <w:rsid w:val="009F6A4D"/>
    <w:rsid w:val="00A1205F"/>
    <w:rsid w:val="00A13B14"/>
    <w:rsid w:val="00A26C13"/>
    <w:rsid w:val="00A34B32"/>
    <w:rsid w:val="00A37F5B"/>
    <w:rsid w:val="00A42227"/>
    <w:rsid w:val="00A47664"/>
    <w:rsid w:val="00A47974"/>
    <w:rsid w:val="00A5135C"/>
    <w:rsid w:val="00A53DAF"/>
    <w:rsid w:val="00A5445D"/>
    <w:rsid w:val="00A5562F"/>
    <w:rsid w:val="00A55ED9"/>
    <w:rsid w:val="00A66701"/>
    <w:rsid w:val="00A700F0"/>
    <w:rsid w:val="00A71D06"/>
    <w:rsid w:val="00A73955"/>
    <w:rsid w:val="00A91FC4"/>
    <w:rsid w:val="00A94C21"/>
    <w:rsid w:val="00A94D10"/>
    <w:rsid w:val="00A95F39"/>
    <w:rsid w:val="00AA0913"/>
    <w:rsid w:val="00AA17F8"/>
    <w:rsid w:val="00AB2989"/>
    <w:rsid w:val="00AB6CAA"/>
    <w:rsid w:val="00AB6EBB"/>
    <w:rsid w:val="00AD42A5"/>
    <w:rsid w:val="00AE21D8"/>
    <w:rsid w:val="00AE48FD"/>
    <w:rsid w:val="00AE7D71"/>
    <w:rsid w:val="00AF141E"/>
    <w:rsid w:val="00AF279F"/>
    <w:rsid w:val="00AF4359"/>
    <w:rsid w:val="00B033FC"/>
    <w:rsid w:val="00B03E7E"/>
    <w:rsid w:val="00B12168"/>
    <w:rsid w:val="00B144E0"/>
    <w:rsid w:val="00B243FC"/>
    <w:rsid w:val="00B26E4A"/>
    <w:rsid w:val="00B36444"/>
    <w:rsid w:val="00B4725D"/>
    <w:rsid w:val="00B53870"/>
    <w:rsid w:val="00B54D15"/>
    <w:rsid w:val="00B579B7"/>
    <w:rsid w:val="00B60EE3"/>
    <w:rsid w:val="00B719E1"/>
    <w:rsid w:val="00B71FE1"/>
    <w:rsid w:val="00B72A88"/>
    <w:rsid w:val="00B80B96"/>
    <w:rsid w:val="00B81C34"/>
    <w:rsid w:val="00B84AF5"/>
    <w:rsid w:val="00B92BD9"/>
    <w:rsid w:val="00B92C84"/>
    <w:rsid w:val="00B97925"/>
    <w:rsid w:val="00BA2F04"/>
    <w:rsid w:val="00BA4BE2"/>
    <w:rsid w:val="00BA66A7"/>
    <w:rsid w:val="00BB56C4"/>
    <w:rsid w:val="00BE199A"/>
    <w:rsid w:val="00BE3DC4"/>
    <w:rsid w:val="00BF4335"/>
    <w:rsid w:val="00BF4AB2"/>
    <w:rsid w:val="00BF4B42"/>
    <w:rsid w:val="00C00A2E"/>
    <w:rsid w:val="00C12A43"/>
    <w:rsid w:val="00C1461A"/>
    <w:rsid w:val="00C20670"/>
    <w:rsid w:val="00C2616D"/>
    <w:rsid w:val="00C267BD"/>
    <w:rsid w:val="00C30742"/>
    <w:rsid w:val="00C308AF"/>
    <w:rsid w:val="00C33871"/>
    <w:rsid w:val="00C4012C"/>
    <w:rsid w:val="00C41B14"/>
    <w:rsid w:val="00C53C46"/>
    <w:rsid w:val="00C53D0B"/>
    <w:rsid w:val="00C615C8"/>
    <w:rsid w:val="00C7206E"/>
    <w:rsid w:val="00C80CF4"/>
    <w:rsid w:val="00C81120"/>
    <w:rsid w:val="00C86186"/>
    <w:rsid w:val="00C86B20"/>
    <w:rsid w:val="00C900AD"/>
    <w:rsid w:val="00C92A76"/>
    <w:rsid w:val="00C949DC"/>
    <w:rsid w:val="00CA451B"/>
    <w:rsid w:val="00CA4AEC"/>
    <w:rsid w:val="00CA4DB8"/>
    <w:rsid w:val="00CB20FB"/>
    <w:rsid w:val="00CB49F9"/>
    <w:rsid w:val="00CC430B"/>
    <w:rsid w:val="00CC785D"/>
    <w:rsid w:val="00CE5C6C"/>
    <w:rsid w:val="00CF006C"/>
    <w:rsid w:val="00CF3F6E"/>
    <w:rsid w:val="00CF53A7"/>
    <w:rsid w:val="00D043F4"/>
    <w:rsid w:val="00D12042"/>
    <w:rsid w:val="00D15DFF"/>
    <w:rsid w:val="00D17F89"/>
    <w:rsid w:val="00D259B8"/>
    <w:rsid w:val="00D26E78"/>
    <w:rsid w:val="00D34E24"/>
    <w:rsid w:val="00D4044A"/>
    <w:rsid w:val="00D43714"/>
    <w:rsid w:val="00D450DF"/>
    <w:rsid w:val="00D52122"/>
    <w:rsid w:val="00D53326"/>
    <w:rsid w:val="00D6160A"/>
    <w:rsid w:val="00D63D9B"/>
    <w:rsid w:val="00D659F6"/>
    <w:rsid w:val="00D66116"/>
    <w:rsid w:val="00D66A72"/>
    <w:rsid w:val="00D67D9E"/>
    <w:rsid w:val="00D74F83"/>
    <w:rsid w:val="00D774B5"/>
    <w:rsid w:val="00D81358"/>
    <w:rsid w:val="00D85897"/>
    <w:rsid w:val="00D93ED3"/>
    <w:rsid w:val="00D9422C"/>
    <w:rsid w:val="00DA03BE"/>
    <w:rsid w:val="00DA2F5E"/>
    <w:rsid w:val="00DA62E7"/>
    <w:rsid w:val="00DB0B5E"/>
    <w:rsid w:val="00DB32DA"/>
    <w:rsid w:val="00DC158A"/>
    <w:rsid w:val="00DD300D"/>
    <w:rsid w:val="00DE55B6"/>
    <w:rsid w:val="00DE7161"/>
    <w:rsid w:val="00E00878"/>
    <w:rsid w:val="00E020CD"/>
    <w:rsid w:val="00E148F4"/>
    <w:rsid w:val="00E15564"/>
    <w:rsid w:val="00E17DF8"/>
    <w:rsid w:val="00E4040B"/>
    <w:rsid w:val="00E42F47"/>
    <w:rsid w:val="00E45179"/>
    <w:rsid w:val="00E50854"/>
    <w:rsid w:val="00E52DC5"/>
    <w:rsid w:val="00E53385"/>
    <w:rsid w:val="00E626AB"/>
    <w:rsid w:val="00E65905"/>
    <w:rsid w:val="00E66D9E"/>
    <w:rsid w:val="00E6768C"/>
    <w:rsid w:val="00E72C34"/>
    <w:rsid w:val="00E734F6"/>
    <w:rsid w:val="00E75A18"/>
    <w:rsid w:val="00E82269"/>
    <w:rsid w:val="00E84061"/>
    <w:rsid w:val="00E84FD4"/>
    <w:rsid w:val="00E87E69"/>
    <w:rsid w:val="00E91610"/>
    <w:rsid w:val="00E93362"/>
    <w:rsid w:val="00EB41A5"/>
    <w:rsid w:val="00EB41B7"/>
    <w:rsid w:val="00EB4AD8"/>
    <w:rsid w:val="00EB4C81"/>
    <w:rsid w:val="00EB54F1"/>
    <w:rsid w:val="00EC3771"/>
    <w:rsid w:val="00EC3E5A"/>
    <w:rsid w:val="00EC41AF"/>
    <w:rsid w:val="00EC4841"/>
    <w:rsid w:val="00EC5776"/>
    <w:rsid w:val="00ED62D4"/>
    <w:rsid w:val="00EE23F9"/>
    <w:rsid w:val="00EE4AEF"/>
    <w:rsid w:val="00EE4E77"/>
    <w:rsid w:val="00EE5B84"/>
    <w:rsid w:val="00EF2DAE"/>
    <w:rsid w:val="00EF3561"/>
    <w:rsid w:val="00EF3FA6"/>
    <w:rsid w:val="00F050B7"/>
    <w:rsid w:val="00F116A1"/>
    <w:rsid w:val="00F12373"/>
    <w:rsid w:val="00F13E7F"/>
    <w:rsid w:val="00F147EF"/>
    <w:rsid w:val="00F1793E"/>
    <w:rsid w:val="00F2573C"/>
    <w:rsid w:val="00F257E6"/>
    <w:rsid w:val="00F26A78"/>
    <w:rsid w:val="00F30856"/>
    <w:rsid w:val="00F31058"/>
    <w:rsid w:val="00F34314"/>
    <w:rsid w:val="00F346C3"/>
    <w:rsid w:val="00F50E9E"/>
    <w:rsid w:val="00F5419A"/>
    <w:rsid w:val="00F546B4"/>
    <w:rsid w:val="00F57722"/>
    <w:rsid w:val="00F63941"/>
    <w:rsid w:val="00F63E95"/>
    <w:rsid w:val="00F7089E"/>
    <w:rsid w:val="00F71E59"/>
    <w:rsid w:val="00F80539"/>
    <w:rsid w:val="00F808D4"/>
    <w:rsid w:val="00F87A53"/>
    <w:rsid w:val="00F91D0F"/>
    <w:rsid w:val="00F94168"/>
    <w:rsid w:val="00FA222D"/>
    <w:rsid w:val="00FA2231"/>
    <w:rsid w:val="00FA26F0"/>
    <w:rsid w:val="00FA321C"/>
    <w:rsid w:val="00FA471F"/>
    <w:rsid w:val="00FB0E4F"/>
    <w:rsid w:val="00FB2A45"/>
    <w:rsid w:val="00FC447B"/>
    <w:rsid w:val="00FC78AE"/>
    <w:rsid w:val="00FE29D4"/>
    <w:rsid w:val="00FE4B5B"/>
    <w:rsid w:val="00FF71E2"/>
    <w:rsid w:val="00FF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171E2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7B15E0"/>
    <w:pPr>
      <w:spacing w:after="0" w:line="240" w:lineRule="auto"/>
    </w:pPr>
    <w:rPr>
      <w:rFonts w:ascii="Times New Roman" w:eastAsia="Calibri" w:hAnsi="Times New Roman"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7B15E0"/>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7B15E0"/>
    <w:rPr>
      <w:vertAlign w:val="superscript"/>
    </w:rPr>
  </w:style>
  <w:style w:type="paragraph" w:customStyle="1" w:styleId="Appelnotedebasde">
    <w:name w:val="Appel note de bas de..."/>
    <w:basedOn w:val="Normal"/>
    <w:link w:val="FootnoteReference"/>
    <w:rsid w:val="007B15E0"/>
    <w:pPr>
      <w:spacing w:line="240" w:lineRule="exact"/>
    </w:pPr>
    <w:rPr>
      <w:vertAlign w:val="superscript"/>
    </w:rPr>
  </w:style>
  <w:style w:type="paragraph" w:styleId="ListParagraph">
    <w:name w:val="List Paragraph"/>
    <w:aliases w:val="Párrafo de lista1,List Paragraph1,Colorful List - Accent 11,List Paragraph11"/>
    <w:basedOn w:val="Normal"/>
    <w:link w:val="ListParagraphChar"/>
    <w:uiPriority w:val="34"/>
    <w:qFormat/>
    <w:rsid w:val="007B15E0"/>
    <w:pPr>
      <w:spacing w:after="200" w:line="276" w:lineRule="auto"/>
      <w:ind w:left="720"/>
      <w:contextualSpacing/>
    </w:pPr>
    <w:rPr>
      <w:rFonts w:ascii="Calibri" w:eastAsia="Calibri" w:hAnsi="Calibri" w:cs="Times New Roman"/>
    </w:rPr>
  </w:style>
  <w:style w:type="paragraph" w:styleId="BodyTextIndent2">
    <w:name w:val="Body Text Indent 2"/>
    <w:basedOn w:val="Normal"/>
    <w:link w:val="BodyTextIndent2Char"/>
    <w:uiPriority w:val="99"/>
    <w:semiHidden/>
    <w:unhideWhenUsed/>
    <w:rsid w:val="007B15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7B15E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15E0"/>
    <w:rPr>
      <w:color w:val="0563C1" w:themeColor="hyperlink"/>
      <w:u w:val="single"/>
    </w:rPr>
  </w:style>
  <w:style w:type="character" w:styleId="FollowedHyperlink">
    <w:name w:val="FollowedHyperlink"/>
    <w:basedOn w:val="DefaultParagraphFont"/>
    <w:uiPriority w:val="99"/>
    <w:semiHidden/>
    <w:unhideWhenUsed/>
    <w:rsid w:val="000E5EAF"/>
    <w:rPr>
      <w:color w:val="954F72" w:themeColor="followedHyperlink"/>
      <w:u w:val="single"/>
    </w:rPr>
  </w:style>
  <w:style w:type="paragraph" w:styleId="Header">
    <w:name w:val="header"/>
    <w:basedOn w:val="Normal"/>
    <w:link w:val="HeaderChar"/>
    <w:uiPriority w:val="99"/>
    <w:unhideWhenUsed/>
    <w:rsid w:val="00D63D9B"/>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63D9B"/>
    <w:rPr>
      <w:rFonts w:ascii="Calibri" w:eastAsia="Calibri" w:hAnsi="Calibri" w:cs="Times New Roman"/>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B144E0"/>
    <w:rPr>
      <w:rFonts w:ascii="Calibri" w:eastAsia="Calibri" w:hAnsi="Calibri" w:cs="Times New Roman"/>
    </w:rPr>
  </w:style>
  <w:style w:type="paragraph" w:customStyle="1" w:styleId="Default">
    <w:name w:val="Default"/>
    <w:rsid w:val="00B144E0"/>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4A7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7BF"/>
    <w:rPr>
      <w:rFonts w:ascii="Segoe UI" w:hAnsi="Segoe UI" w:cs="Segoe UI"/>
      <w:sz w:val="18"/>
      <w:szCs w:val="18"/>
    </w:rPr>
  </w:style>
  <w:style w:type="character" w:styleId="CommentReference">
    <w:name w:val="annotation reference"/>
    <w:basedOn w:val="DefaultParagraphFont"/>
    <w:uiPriority w:val="99"/>
    <w:semiHidden/>
    <w:unhideWhenUsed/>
    <w:rsid w:val="002D3A69"/>
    <w:rPr>
      <w:sz w:val="16"/>
      <w:szCs w:val="16"/>
    </w:rPr>
  </w:style>
  <w:style w:type="paragraph" w:styleId="CommentText">
    <w:name w:val="annotation text"/>
    <w:basedOn w:val="Normal"/>
    <w:link w:val="CommentTextChar"/>
    <w:uiPriority w:val="99"/>
    <w:semiHidden/>
    <w:unhideWhenUsed/>
    <w:rsid w:val="002D3A69"/>
    <w:pPr>
      <w:spacing w:line="240" w:lineRule="auto"/>
    </w:pPr>
    <w:rPr>
      <w:sz w:val="20"/>
      <w:szCs w:val="20"/>
    </w:rPr>
  </w:style>
  <w:style w:type="character" w:customStyle="1" w:styleId="CommentTextChar">
    <w:name w:val="Comment Text Char"/>
    <w:basedOn w:val="DefaultParagraphFont"/>
    <w:link w:val="CommentText"/>
    <w:uiPriority w:val="99"/>
    <w:semiHidden/>
    <w:rsid w:val="002D3A69"/>
    <w:rPr>
      <w:sz w:val="20"/>
      <w:szCs w:val="20"/>
    </w:rPr>
  </w:style>
  <w:style w:type="paragraph" w:styleId="CommentSubject">
    <w:name w:val="annotation subject"/>
    <w:basedOn w:val="CommentText"/>
    <w:next w:val="CommentText"/>
    <w:link w:val="CommentSubjectChar"/>
    <w:uiPriority w:val="99"/>
    <w:semiHidden/>
    <w:unhideWhenUsed/>
    <w:rsid w:val="002D3A69"/>
    <w:rPr>
      <w:b/>
      <w:bCs/>
    </w:rPr>
  </w:style>
  <w:style w:type="character" w:customStyle="1" w:styleId="CommentSubjectChar">
    <w:name w:val="Comment Subject Char"/>
    <w:basedOn w:val="CommentTextChar"/>
    <w:link w:val="CommentSubject"/>
    <w:uiPriority w:val="99"/>
    <w:semiHidden/>
    <w:rsid w:val="002D3A69"/>
    <w:rPr>
      <w:b/>
      <w:bCs/>
      <w:sz w:val="20"/>
      <w:szCs w:val="20"/>
    </w:rPr>
  </w:style>
  <w:style w:type="paragraph" w:styleId="Footer">
    <w:name w:val="footer"/>
    <w:basedOn w:val="Normal"/>
    <w:link w:val="FooterChar"/>
    <w:uiPriority w:val="99"/>
    <w:unhideWhenUsed/>
    <w:rsid w:val="00594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FE3"/>
  </w:style>
  <w:style w:type="paragraph" w:styleId="NoSpacing">
    <w:name w:val="No Spacing"/>
    <w:uiPriority w:val="1"/>
    <w:qFormat/>
    <w:rsid w:val="005622BE"/>
    <w:pPr>
      <w:spacing w:after="0" w:line="240" w:lineRule="auto"/>
    </w:pPr>
    <w:rPr>
      <w:rFonts w:ascii="Calibri" w:eastAsia="Calibri" w:hAnsi="Calibri" w:cs="Times New Roman"/>
      <w:lang w:val="pt-BR"/>
    </w:rPr>
  </w:style>
  <w:style w:type="paragraph" w:styleId="BodyTextIndent">
    <w:name w:val="Body Text Indent"/>
    <w:basedOn w:val="Normal"/>
    <w:link w:val="BodyTextIndentChar"/>
    <w:uiPriority w:val="99"/>
    <w:semiHidden/>
    <w:unhideWhenUsed/>
    <w:rsid w:val="00371B8A"/>
    <w:pPr>
      <w:spacing w:after="120"/>
      <w:ind w:left="360"/>
    </w:pPr>
  </w:style>
  <w:style w:type="character" w:customStyle="1" w:styleId="BodyTextIndentChar">
    <w:name w:val="Body Text Indent Char"/>
    <w:basedOn w:val="DefaultParagraphFont"/>
    <w:link w:val="BodyTextIndent"/>
    <w:uiPriority w:val="99"/>
    <w:semiHidden/>
    <w:rsid w:val="00371B8A"/>
  </w:style>
  <w:style w:type="paragraph" w:styleId="EndnoteText">
    <w:name w:val="endnote text"/>
    <w:basedOn w:val="Normal"/>
    <w:link w:val="EndnoteTextChar"/>
    <w:semiHidden/>
    <w:rsid w:val="00371B8A"/>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customStyle="1" w:styleId="EndnoteTextChar">
    <w:name w:val="Endnote Text Char"/>
    <w:basedOn w:val="DefaultParagraphFont"/>
    <w:link w:val="EndnoteText"/>
    <w:semiHidden/>
    <w:rsid w:val="00371B8A"/>
    <w:rPr>
      <w:rFonts w:ascii="Times New Roman" w:eastAsia="Times New Roman" w:hAnsi="Times New Roman" w:cs="Times New Roman"/>
      <w:sz w:val="24"/>
      <w:szCs w:val="24"/>
      <w:lang w:val="pt-BR" w:eastAsia="pt-BR"/>
    </w:rPr>
  </w:style>
  <w:style w:type="paragraph" w:styleId="BodyText2">
    <w:name w:val="Body Text 2"/>
    <w:basedOn w:val="Normal"/>
    <w:link w:val="BodyText2Char"/>
    <w:uiPriority w:val="99"/>
    <w:semiHidden/>
    <w:unhideWhenUsed/>
    <w:rsid w:val="00371B8A"/>
    <w:pPr>
      <w:spacing w:after="120" w:line="480" w:lineRule="auto"/>
    </w:pPr>
  </w:style>
  <w:style w:type="character" w:customStyle="1" w:styleId="BodyText2Char">
    <w:name w:val="Body Text 2 Char"/>
    <w:basedOn w:val="DefaultParagraphFont"/>
    <w:link w:val="BodyText2"/>
    <w:uiPriority w:val="99"/>
    <w:semiHidden/>
    <w:rsid w:val="00371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275848">
      <w:bodyDiv w:val="1"/>
      <w:marLeft w:val="0"/>
      <w:marRight w:val="0"/>
      <w:marTop w:val="0"/>
      <w:marBottom w:val="0"/>
      <w:divBdr>
        <w:top w:val="none" w:sz="0" w:space="0" w:color="auto"/>
        <w:left w:val="none" w:sz="0" w:space="0" w:color="auto"/>
        <w:bottom w:val="none" w:sz="0" w:space="0" w:color="auto"/>
        <w:right w:val="none" w:sz="0" w:space="0" w:color="auto"/>
      </w:divBdr>
    </w:div>
    <w:div w:id="1666319136">
      <w:bodyDiv w:val="1"/>
      <w:marLeft w:val="0"/>
      <w:marRight w:val="0"/>
      <w:marTop w:val="0"/>
      <w:marBottom w:val="0"/>
      <w:divBdr>
        <w:top w:val="none" w:sz="0" w:space="0" w:color="auto"/>
        <w:left w:val="none" w:sz="0" w:space="0" w:color="auto"/>
        <w:bottom w:val="none" w:sz="0" w:space="0" w:color="auto"/>
        <w:right w:val="none" w:sz="0" w:space="0" w:color="auto"/>
      </w:divBdr>
    </w:div>
    <w:div w:id="18872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dh.oas.org/annualrep/2007sp/Bahamas12265sp.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0135A-EF0F-42FB-B72F-D4C8092E2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2020-10-30T01:36:00Z</dcterms:created>
  <dcterms:modified xsi:type="dcterms:W3CDTF">2021-03-25T22:51:00Z</dcterms:modified>
</cp:coreProperties>
</file>