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2BD8E" w14:textId="77777777" w:rsidR="00155075" w:rsidRPr="005E5E00" w:rsidRDefault="00155075" w:rsidP="00155075">
      <w:pPr>
        <w:rPr>
          <w:rFonts w:ascii="Cambria" w:hAnsi="Cambria"/>
          <w:b/>
          <w:sz w:val="32"/>
          <w:szCs w:val="32"/>
          <w:lang w:val="es-US"/>
        </w:rPr>
      </w:pPr>
      <w:bookmarkStart w:id="0" w:name="_Toc369533055"/>
      <w:bookmarkStart w:id="1" w:name="_Toc369658544"/>
      <w:bookmarkStart w:id="2" w:name="_Toc369658602"/>
      <w:bookmarkStart w:id="3" w:name="_Toc369658798"/>
      <w:bookmarkStart w:id="4" w:name="_GoBack"/>
      <w:bookmarkEnd w:id="4"/>
    </w:p>
    <w:p w14:paraId="0EEE9F45" w14:textId="77777777" w:rsidR="00155075" w:rsidRPr="005E5E00" w:rsidRDefault="00155075" w:rsidP="00155075">
      <w:pPr>
        <w:jc w:val="center"/>
        <w:rPr>
          <w:rFonts w:ascii="Cambria" w:hAnsi="Cambria"/>
          <w:b/>
          <w:sz w:val="32"/>
          <w:szCs w:val="32"/>
          <w:lang w:val="pt-BR"/>
        </w:rPr>
      </w:pPr>
      <w:r w:rsidRPr="005E5E00">
        <w:rPr>
          <w:rFonts w:ascii="Cambria" w:hAnsi="Cambria"/>
          <w:b/>
          <w:sz w:val="32"/>
          <w:szCs w:val="32"/>
          <w:lang w:val="pt-BR"/>
        </w:rPr>
        <w:t xml:space="preserve">CAPÍTULO IV. B </w:t>
      </w:r>
    </w:p>
    <w:p w14:paraId="7360D3C2" w14:textId="77777777" w:rsidR="00155075" w:rsidRPr="005E5E00" w:rsidRDefault="00155075" w:rsidP="00155075">
      <w:pPr>
        <w:jc w:val="center"/>
        <w:rPr>
          <w:rFonts w:ascii="Cambria" w:hAnsi="Cambria"/>
          <w:b/>
          <w:bCs/>
          <w:sz w:val="32"/>
          <w:szCs w:val="32"/>
          <w:lang w:val="es-ES"/>
        </w:rPr>
      </w:pPr>
      <w:r w:rsidRPr="005E5E00">
        <w:rPr>
          <w:rFonts w:ascii="Cambria" w:hAnsi="Cambria"/>
          <w:b/>
          <w:bCs/>
          <w:sz w:val="32"/>
          <w:szCs w:val="32"/>
          <w:lang w:val="es-ES"/>
        </w:rPr>
        <w:t>VENEZUELA</w:t>
      </w:r>
    </w:p>
    <w:p w14:paraId="55C9C705" w14:textId="77777777" w:rsidR="00914691" w:rsidRDefault="00914691" w:rsidP="00914691">
      <w:pPr>
        <w:rPr>
          <w:rFonts w:asciiTheme="majorHAnsi" w:hAnsiTheme="majorHAnsi"/>
          <w:sz w:val="20"/>
          <w:szCs w:val="20"/>
          <w:lang w:val="es-ES"/>
        </w:rPr>
      </w:pPr>
    </w:p>
    <w:p w14:paraId="2FD4D355" w14:textId="77777777" w:rsidR="005E5E00" w:rsidRPr="00FC4534" w:rsidRDefault="005E5E00" w:rsidP="00914691">
      <w:pPr>
        <w:rPr>
          <w:rFonts w:asciiTheme="majorHAnsi" w:hAnsiTheme="majorHAnsi"/>
          <w:sz w:val="20"/>
          <w:szCs w:val="20"/>
          <w:lang w:val="es-ES"/>
        </w:rPr>
      </w:pPr>
    </w:p>
    <w:p w14:paraId="2A94A2FD" w14:textId="13BB51D0" w:rsidR="004839F6" w:rsidRPr="00844B59" w:rsidRDefault="004839F6" w:rsidP="00844B5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eastAsia="Times New Roman" w:hAnsiTheme="majorHAnsi"/>
        </w:rPr>
      </w:pPr>
      <w:r w:rsidRPr="00FC4534">
        <w:rPr>
          <w:rFonts w:asciiTheme="majorHAnsi" w:eastAsia="Times New Roman" w:hAnsiTheme="majorHAnsi"/>
          <w:sz w:val="20"/>
          <w:szCs w:val="20"/>
          <w:lang w:val="es-ES"/>
        </w:rPr>
        <w:t xml:space="preserve">La Comision Interamericana de Derechos Humanos (en adelante “la Comision Interamericana”, “la Comisión” o “CIDH) decidió </w:t>
      </w:r>
      <w:r w:rsidRPr="00FC4534">
        <w:rPr>
          <w:rFonts w:asciiTheme="majorHAnsi" w:eastAsia="Times New Roman" w:hAnsiTheme="majorHAnsi"/>
          <w:sz w:val="20"/>
          <w:szCs w:val="20"/>
          <w:lang w:val="es-AR"/>
        </w:rPr>
        <w:t>la incorporación de Venezuela en el Capítulo IVB de su Informe Anual para 2017 de conformidad con el artículo 59 de su Reglam</w:t>
      </w:r>
      <w:r w:rsidR="001577C3" w:rsidRPr="00FC4534">
        <w:rPr>
          <w:rFonts w:asciiTheme="majorHAnsi" w:eastAsia="Times New Roman" w:hAnsiTheme="majorHAnsi"/>
          <w:sz w:val="20"/>
          <w:szCs w:val="20"/>
          <w:lang w:val="es-AR"/>
        </w:rPr>
        <w:t>ento. La</w:t>
      </w:r>
      <w:r w:rsidRPr="00FC4534">
        <w:rPr>
          <w:rFonts w:asciiTheme="majorHAnsi" w:eastAsia="Times New Roman" w:hAnsiTheme="majorHAnsi"/>
          <w:sz w:val="20"/>
          <w:szCs w:val="20"/>
          <w:lang w:val="es-AR"/>
        </w:rPr>
        <w:t xml:space="preserve"> Comisión considera que la situación de Venezuela se enmarca en los</w:t>
      </w:r>
      <w:r w:rsidRPr="00FC4534">
        <w:rPr>
          <w:rFonts w:asciiTheme="majorHAnsi" w:hAnsiTheme="majorHAnsi"/>
          <w:sz w:val="20"/>
          <w:szCs w:val="20"/>
          <w:lang w:val="es-PE"/>
        </w:rPr>
        <w:t xml:space="preserve"> incisos 6.a.i; 6.a.ii; 6.b; y 6.d.i de dicho artículo</w:t>
      </w:r>
      <w:r w:rsidR="00844B59">
        <w:rPr>
          <w:rFonts w:asciiTheme="majorHAnsi" w:hAnsiTheme="majorHAnsi"/>
          <w:sz w:val="20"/>
          <w:szCs w:val="20"/>
          <w:lang w:val="es-PE"/>
        </w:rPr>
        <w:t>.</w:t>
      </w:r>
    </w:p>
    <w:p w14:paraId="78093175" w14:textId="77777777" w:rsidR="00844B59" w:rsidRDefault="00844B59" w:rsidP="00844B5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eastAsia="Times New Roman" w:hAnsiTheme="majorHAnsi"/>
        </w:rPr>
      </w:pPr>
    </w:p>
    <w:p w14:paraId="5DBC404A" w14:textId="43E5C1C4" w:rsidR="004839F6" w:rsidRPr="00FC4534" w:rsidRDefault="004839F6" w:rsidP="0091469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eastAsia="Times New Roman" w:hAnsiTheme="majorHAnsi"/>
          <w:sz w:val="20"/>
          <w:szCs w:val="20"/>
        </w:rPr>
      </w:pPr>
      <w:r w:rsidRPr="00FC4534">
        <w:rPr>
          <w:rFonts w:asciiTheme="majorHAnsi" w:eastAsia="Times New Roman" w:hAnsiTheme="majorHAnsi"/>
          <w:sz w:val="20"/>
          <w:szCs w:val="20"/>
        </w:rPr>
        <w:t xml:space="preserve">En razón de que la Comision aprobó su Informe </w:t>
      </w:r>
      <w:r w:rsidRPr="00FC4534">
        <w:rPr>
          <w:rFonts w:asciiTheme="majorHAnsi" w:hAnsiTheme="majorHAnsi"/>
          <w:i/>
          <w:sz w:val="20"/>
          <w:szCs w:val="20"/>
          <w:lang w:val="es-PE"/>
        </w:rPr>
        <w:t xml:space="preserve">Institucionalidad Democrática, Estado de Derecho y Derechos Humanos en Venezuela, </w:t>
      </w:r>
      <w:r w:rsidRPr="00FC4534">
        <w:rPr>
          <w:rFonts w:asciiTheme="majorHAnsi" w:hAnsiTheme="majorHAnsi"/>
          <w:sz w:val="20"/>
          <w:szCs w:val="20"/>
          <w:lang w:val="es-PE"/>
        </w:rPr>
        <w:t>a continuación incluye el Resumen Ejecutivo de dicho informe.</w:t>
      </w:r>
    </w:p>
    <w:p w14:paraId="60474E53" w14:textId="77777777" w:rsidR="004839F6" w:rsidRPr="004839F6" w:rsidRDefault="004839F6" w:rsidP="004839F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eastAsia="Times New Roman" w:hAnsiTheme="majorHAnsi"/>
        </w:rPr>
      </w:pPr>
    </w:p>
    <w:p w14:paraId="38E5010E" w14:textId="054AF160" w:rsidR="00914691" w:rsidRPr="009F54A5" w:rsidRDefault="00914691" w:rsidP="0091469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eastAsia="Times New Roman" w:hAnsiTheme="majorHAnsi"/>
        </w:rPr>
      </w:pPr>
      <w:r w:rsidRPr="009F54A5">
        <w:rPr>
          <w:rFonts w:asciiTheme="majorHAnsi" w:hAnsiTheme="majorHAnsi"/>
          <w:sz w:val="20"/>
          <w:szCs w:val="20"/>
          <w:lang w:val="es-PE"/>
        </w:rPr>
        <w:t>La Comisión Interameri</w:t>
      </w:r>
      <w:r w:rsidR="00107E42">
        <w:rPr>
          <w:rFonts w:asciiTheme="majorHAnsi" w:hAnsiTheme="majorHAnsi"/>
          <w:sz w:val="20"/>
          <w:szCs w:val="20"/>
          <w:lang w:val="es-PE"/>
        </w:rPr>
        <w:t xml:space="preserve">cana de Derechos Humanos </w:t>
      </w:r>
      <w:r w:rsidRPr="009F54A5">
        <w:rPr>
          <w:rFonts w:asciiTheme="majorHAnsi" w:hAnsiTheme="majorHAnsi"/>
          <w:sz w:val="20"/>
          <w:szCs w:val="20"/>
          <w:lang w:val="es-PE"/>
        </w:rPr>
        <w:t>presenta su</w:t>
      </w:r>
      <w:r w:rsidRPr="009F54A5">
        <w:rPr>
          <w:rFonts w:asciiTheme="majorHAnsi" w:hAnsiTheme="majorHAnsi"/>
          <w:i/>
          <w:sz w:val="20"/>
          <w:szCs w:val="20"/>
          <w:lang w:val="es-PE"/>
        </w:rPr>
        <w:t xml:space="preserve"> </w:t>
      </w:r>
      <w:r w:rsidRPr="009F54A5">
        <w:rPr>
          <w:rFonts w:asciiTheme="majorHAnsi" w:hAnsiTheme="majorHAnsi"/>
          <w:sz w:val="20"/>
          <w:szCs w:val="20"/>
          <w:lang w:val="es-PE"/>
        </w:rPr>
        <w:t xml:space="preserve">informe de país </w:t>
      </w:r>
      <w:r w:rsidRPr="009F54A5">
        <w:rPr>
          <w:rFonts w:asciiTheme="majorHAnsi" w:hAnsiTheme="majorHAnsi"/>
          <w:i/>
          <w:sz w:val="20"/>
          <w:szCs w:val="20"/>
          <w:lang w:val="es-PE"/>
        </w:rPr>
        <w:t>Institucionalidad Democrática, Estado de Derecho y Derechos Humanos en Venezuela</w:t>
      </w:r>
      <w:r w:rsidRPr="009F54A5">
        <w:rPr>
          <w:rFonts w:asciiTheme="majorHAnsi" w:hAnsiTheme="majorHAnsi"/>
          <w:sz w:val="20"/>
          <w:szCs w:val="20"/>
          <w:lang w:val="es-PE"/>
        </w:rPr>
        <w:t xml:space="preserve">, tercer informe sobre </w:t>
      </w:r>
      <w:r w:rsidRPr="009F54A5">
        <w:rPr>
          <w:rFonts w:asciiTheme="majorHAnsi" w:hAnsiTheme="majorHAnsi"/>
          <w:sz w:val="20"/>
          <w:szCs w:val="20"/>
          <w:lang w:val="es-ES"/>
        </w:rPr>
        <w:t xml:space="preserve">la situación de los </w:t>
      </w:r>
      <w:r w:rsidRPr="009F54A5">
        <w:rPr>
          <w:rFonts w:asciiTheme="majorHAnsi" w:eastAsia="Cambria" w:hAnsiTheme="majorHAnsi" w:cs="Cambria"/>
          <w:sz w:val="20"/>
          <w:szCs w:val="20"/>
          <w:lang w:val="es-ES"/>
        </w:rPr>
        <w:t>derechos</w:t>
      </w:r>
      <w:r w:rsidRPr="009F54A5">
        <w:rPr>
          <w:rFonts w:asciiTheme="majorHAnsi" w:hAnsiTheme="majorHAnsi"/>
          <w:sz w:val="20"/>
          <w:szCs w:val="20"/>
          <w:lang w:val="es-ES"/>
        </w:rPr>
        <w:t xml:space="preserve"> humanos de la República Bolivariana de Venezuela (Venezuela). La decisión de elaborar el presente informe se relaciona con el serio deterioro de la vigencia de los derechos humanos, y la grave crisis política, económica y social que atraviesa el país en los últimos dos años y en especial en el 2017.</w:t>
      </w:r>
    </w:p>
    <w:p w14:paraId="446641B0" w14:textId="77777777" w:rsidR="00914691" w:rsidRPr="009F54A5" w:rsidRDefault="00914691" w:rsidP="009146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libri" w:hAnsiTheme="majorHAnsi" w:cs="Calibri"/>
          <w:sz w:val="20"/>
          <w:szCs w:val="20"/>
          <w:u w:color="000000"/>
          <w:lang w:val="es-ES" w:eastAsia="es-PE"/>
        </w:rPr>
      </w:pPr>
    </w:p>
    <w:p w14:paraId="21F2E158" w14:textId="77777777" w:rsidR="00914691" w:rsidRPr="009F54A5" w:rsidRDefault="00914691" w:rsidP="0091469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hAnsiTheme="majorHAnsi"/>
          <w:sz w:val="20"/>
          <w:szCs w:val="20"/>
          <w:lang w:val="es-ES"/>
        </w:rPr>
      </w:pPr>
      <w:r w:rsidRPr="009F54A5">
        <w:rPr>
          <w:rFonts w:asciiTheme="majorHAnsi" w:hAnsiTheme="majorHAnsi"/>
          <w:sz w:val="20"/>
          <w:szCs w:val="20"/>
          <w:lang w:val="es-PE"/>
        </w:rPr>
        <w:t>En</w:t>
      </w:r>
      <w:r w:rsidRPr="009F54A5">
        <w:rPr>
          <w:rFonts w:asciiTheme="majorHAnsi" w:hAnsiTheme="majorHAnsi"/>
          <w:sz w:val="20"/>
          <w:szCs w:val="20"/>
          <w:lang w:val="es-ES"/>
        </w:rPr>
        <w:t xml:space="preserve"> el presente informe, la Comisión Interamericana aborda la situación de los derechos humanos en Venezuela, analizando el impacto que ha tenido en ellos el importante debilitamiento de la institucionalidad democrática, así como el alarmante incremento de la represión, violencia e inseguridad ciudadana. En este contexto, examina la situación de los derechos políticos, la libertad de expresión, la protesta social, y los derechos económicos, sociales</w:t>
      </w:r>
      <w:r w:rsidR="00C73716" w:rsidRPr="009F54A5">
        <w:rPr>
          <w:rFonts w:asciiTheme="majorHAnsi" w:hAnsiTheme="majorHAnsi"/>
          <w:sz w:val="20"/>
          <w:szCs w:val="20"/>
          <w:lang w:val="es-ES"/>
        </w:rPr>
        <w:t>,</w:t>
      </w:r>
      <w:r w:rsidRPr="009F54A5">
        <w:rPr>
          <w:rFonts w:asciiTheme="majorHAnsi" w:hAnsiTheme="majorHAnsi"/>
          <w:sz w:val="20"/>
          <w:szCs w:val="20"/>
          <w:lang w:val="es-ES"/>
        </w:rPr>
        <w:t xml:space="preserve"> culturales</w:t>
      </w:r>
      <w:r w:rsidR="00C73716" w:rsidRPr="009F54A5">
        <w:rPr>
          <w:rFonts w:asciiTheme="majorHAnsi" w:hAnsiTheme="majorHAnsi"/>
          <w:sz w:val="20"/>
          <w:szCs w:val="20"/>
          <w:lang w:val="es-ES"/>
        </w:rPr>
        <w:t xml:space="preserve"> y ambientales</w:t>
      </w:r>
      <w:r w:rsidRPr="009F54A5">
        <w:rPr>
          <w:rFonts w:asciiTheme="majorHAnsi" w:hAnsiTheme="majorHAnsi"/>
          <w:sz w:val="20"/>
          <w:szCs w:val="20"/>
          <w:lang w:val="es-ES"/>
        </w:rPr>
        <w:t xml:space="preserve">. De manera transversal, la CIDH analiza las afectaciones específicas que personas, grupos y colectivos enfrentan por su condición de mayor riesgo, y discriminación y exclusión históricas, tales como mujeres; niñas, niños y adolescentes (NNA); </w:t>
      </w:r>
      <w:r w:rsidR="00C73716" w:rsidRPr="009F54A5">
        <w:rPr>
          <w:rFonts w:asciiTheme="majorHAnsi" w:hAnsiTheme="majorHAnsi"/>
          <w:sz w:val="20"/>
          <w:szCs w:val="20"/>
          <w:lang w:val="es-ES"/>
        </w:rPr>
        <w:t xml:space="preserve">personas </w:t>
      </w:r>
      <w:r w:rsidRPr="009F54A5">
        <w:rPr>
          <w:rFonts w:asciiTheme="majorHAnsi" w:hAnsiTheme="majorHAnsi"/>
          <w:sz w:val="20"/>
          <w:szCs w:val="20"/>
          <w:lang w:val="es-ES"/>
        </w:rPr>
        <w:t>adult</w:t>
      </w:r>
      <w:r w:rsidR="00C73716" w:rsidRPr="009F54A5">
        <w:rPr>
          <w:rFonts w:asciiTheme="majorHAnsi" w:hAnsiTheme="majorHAnsi"/>
          <w:sz w:val="20"/>
          <w:szCs w:val="20"/>
          <w:lang w:val="es-ES"/>
        </w:rPr>
        <w:t>a</w:t>
      </w:r>
      <w:r w:rsidRPr="009F54A5">
        <w:rPr>
          <w:rFonts w:asciiTheme="majorHAnsi" w:hAnsiTheme="majorHAnsi"/>
          <w:sz w:val="20"/>
          <w:szCs w:val="20"/>
          <w:lang w:val="es-ES"/>
        </w:rPr>
        <w:t>s mayores; defensores y defensoras de derechos humanos; personas privadas de libertad; migrantes, refugiados y personas en similar situación; entre otros. A partir de ello, brinda recomendaciones al Estado para mejorar la protección y garantía de los derechos humanos.</w:t>
      </w:r>
    </w:p>
    <w:p w14:paraId="7DBBAFBA" w14:textId="77777777" w:rsidR="00914691" w:rsidRPr="009F54A5" w:rsidRDefault="00914691" w:rsidP="009146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libri" w:hAnsiTheme="majorHAnsi" w:cs="Calibri"/>
          <w:color w:val="000000"/>
          <w:sz w:val="20"/>
          <w:szCs w:val="20"/>
          <w:u w:color="000000"/>
          <w:lang w:val="es-ES" w:eastAsia="es-PE"/>
        </w:rPr>
      </w:pPr>
    </w:p>
    <w:p w14:paraId="24516CB5" w14:textId="77777777" w:rsidR="00914691" w:rsidRPr="009F54A5" w:rsidRDefault="00914691" w:rsidP="0091469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hAnsiTheme="majorHAnsi"/>
          <w:sz w:val="20"/>
          <w:szCs w:val="20"/>
          <w:lang w:val="es-PE"/>
        </w:rPr>
      </w:pPr>
      <w:r w:rsidRPr="009F54A5">
        <w:rPr>
          <w:rFonts w:asciiTheme="majorHAnsi" w:hAnsiTheme="majorHAnsi"/>
          <w:sz w:val="20"/>
          <w:szCs w:val="20"/>
          <w:lang w:val="es-PE"/>
        </w:rPr>
        <w:t>El análisis de la situación de los derechos humanos en el Estado venezolano, se realiza a partir de la información recibida a través de sus diversos mecanismos de protección durante los últimos dos años, con énfasis en el 2017. Además, con ocasión de la elaboración del informe, la CIDH solicitó información tanto a organizaciones de la sociedad civil como al Estado, la</w:t>
      </w:r>
      <w:r w:rsidR="00035991" w:rsidRPr="009F54A5">
        <w:rPr>
          <w:rFonts w:asciiTheme="majorHAnsi" w:hAnsiTheme="majorHAnsi"/>
          <w:sz w:val="20"/>
          <w:szCs w:val="20"/>
          <w:lang w:val="es-PE"/>
        </w:rPr>
        <w:t>s</w:t>
      </w:r>
      <w:r w:rsidRPr="009F54A5">
        <w:rPr>
          <w:rFonts w:asciiTheme="majorHAnsi" w:hAnsiTheme="majorHAnsi"/>
          <w:sz w:val="20"/>
          <w:szCs w:val="20"/>
          <w:lang w:val="es-PE"/>
        </w:rPr>
        <w:t xml:space="preserve"> cual</w:t>
      </w:r>
      <w:r w:rsidR="00035991" w:rsidRPr="009F54A5">
        <w:rPr>
          <w:rFonts w:asciiTheme="majorHAnsi" w:hAnsiTheme="majorHAnsi"/>
          <w:sz w:val="20"/>
          <w:szCs w:val="20"/>
          <w:lang w:val="es-PE"/>
        </w:rPr>
        <w:t>es son</w:t>
      </w:r>
      <w:r w:rsidRPr="009F54A5">
        <w:rPr>
          <w:rFonts w:asciiTheme="majorHAnsi" w:hAnsiTheme="majorHAnsi"/>
          <w:sz w:val="20"/>
          <w:szCs w:val="20"/>
          <w:lang w:val="es-PE"/>
        </w:rPr>
        <w:t xml:space="preserve"> fuente</w:t>
      </w:r>
      <w:r w:rsidR="00035991" w:rsidRPr="009F54A5">
        <w:rPr>
          <w:rFonts w:asciiTheme="majorHAnsi" w:hAnsiTheme="majorHAnsi"/>
          <w:sz w:val="20"/>
          <w:szCs w:val="20"/>
          <w:lang w:val="es-PE"/>
        </w:rPr>
        <w:t>s</w:t>
      </w:r>
      <w:r w:rsidRPr="009F54A5">
        <w:rPr>
          <w:rFonts w:asciiTheme="majorHAnsi" w:hAnsiTheme="majorHAnsi"/>
          <w:sz w:val="20"/>
          <w:szCs w:val="20"/>
          <w:lang w:val="es-PE"/>
        </w:rPr>
        <w:t xml:space="preserve"> fundamental</w:t>
      </w:r>
      <w:r w:rsidR="00035991" w:rsidRPr="009F54A5">
        <w:rPr>
          <w:rFonts w:asciiTheme="majorHAnsi" w:hAnsiTheme="majorHAnsi"/>
          <w:sz w:val="20"/>
          <w:szCs w:val="20"/>
          <w:lang w:val="es-PE"/>
        </w:rPr>
        <w:t>es</w:t>
      </w:r>
      <w:r w:rsidRPr="009F54A5">
        <w:rPr>
          <w:rFonts w:asciiTheme="majorHAnsi" w:hAnsiTheme="majorHAnsi"/>
          <w:sz w:val="20"/>
          <w:szCs w:val="20"/>
          <w:lang w:val="es-PE"/>
        </w:rPr>
        <w:t xml:space="preserve"> para este informe. Esta información le permite a la CIDH conocer la situación de derechos humanos, la misma que es analizada con base en las obligaciones internacionales aplicables a Venezuela</w:t>
      </w:r>
      <w:r w:rsidRPr="009F54A5">
        <w:rPr>
          <w:rFonts w:asciiTheme="majorHAnsi" w:hAnsiTheme="majorHAnsi"/>
          <w:sz w:val="20"/>
          <w:szCs w:val="20"/>
          <w:vertAlign w:val="superscript"/>
          <w:lang w:val="es-PE"/>
        </w:rPr>
        <w:footnoteReference w:id="1"/>
      </w:r>
      <w:r w:rsidRPr="009F54A5">
        <w:rPr>
          <w:rFonts w:asciiTheme="majorHAnsi" w:hAnsiTheme="majorHAnsi"/>
          <w:sz w:val="20"/>
          <w:szCs w:val="20"/>
          <w:lang w:val="es-PE"/>
        </w:rPr>
        <w:t>.</w:t>
      </w:r>
      <w:r w:rsidRPr="009F54A5">
        <w:rPr>
          <w:rFonts w:asciiTheme="majorHAnsi" w:hAnsiTheme="majorHAnsi"/>
          <w:sz w:val="20"/>
          <w:szCs w:val="20"/>
          <w:lang w:val="es-ES"/>
        </w:rPr>
        <w:t xml:space="preserve"> E</w:t>
      </w:r>
      <w:r w:rsidRPr="009F54A5">
        <w:rPr>
          <w:rFonts w:asciiTheme="majorHAnsi" w:hAnsiTheme="majorHAnsi"/>
          <w:sz w:val="20"/>
          <w:szCs w:val="20"/>
          <w:lang w:val="es-PE"/>
        </w:rPr>
        <w:t xml:space="preserve">l presente informe consta de los siguientes cuatro ejes principales, que representan las preocupaciones centrales de la CIDH respecto de Venezuela: (i) institucionalidad democrática; </w:t>
      </w:r>
      <w:r w:rsidR="00DA3BB7" w:rsidRPr="009F54A5">
        <w:rPr>
          <w:rFonts w:asciiTheme="majorHAnsi" w:hAnsiTheme="majorHAnsi"/>
          <w:sz w:val="20"/>
          <w:szCs w:val="20"/>
          <w:lang w:val="es-PE"/>
        </w:rPr>
        <w:t xml:space="preserve">(ii) protesta social y libertad de expresión; </w:t>
      </w:r>
      <w:r w:rsidRPr="009F54A5">
        <w:rPr>
          <w:rFonts w:asciiTheme="majorHAnsi" w:hAnsiTheme="majorHAnsi"/>
          <w:sz w:val="20"/>
          <w:szCs w:val="20"/>
          <w:lang w:val="es-PE"/>
        </w:rPr>
        <w:t>(ii</w:t>
      </w:r>
      <w:r w:rsidR="00DA3BB7" w:rsidRPr="009F54A5">
        <w:rPr>
          <w:rFonts w:asciiTheme="majorHAnsi" w:hAnsiTheme="majorHAnsi"/>
          <w:sz w:val="20"/>
          <w:szCs w:val="20"/>
          <w:lang w:val="es-PE"/>
        </w:rPr>
        <w:t>i</w:t>
      </w:r>
      <w:r w:rsidRPr="009F54A5">
        <w:rPr>
          <w:rFonts w:asciiTheme="majorHAnsi" w:hAnsiTheme="majorHAnsi"/>
          <w:sz w:val="20"/>
          <w:szCs w:val="20"/>
          <w:lang w:val="es-PE"/>
        </w:rPr>
        <w:t xml:space="preserve">) violencia y seguridad ciudadana; y (iv) derechos económicos sociales, culturales y ambientales (DESCA). </w:t>
      </w:r>
    </w:p>
    <w:p w14:paraId="62C4123A" w14:textId="77777777" w:rsidR="00914691" w:rsidRPr="009F54A5" w:rsidRDefault="00914691" w:rsidP="0091469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cs="Calibri"/>
          <w:color w:val="000000"/>
          <w:sz w:val="20"/>
          <w:szCs w:val="20"/>
          <w:u w:color="000000"/>
          <w:lang w:val="es-PE" w:eastAsia="es-PE"/>
        </w:rPr>
      </w:pPr>
    </w:p>
    <w:p w14:paraId="16FC16EF" w14:textId="56361990" w:rsidR="00914691" w:rsidRPr="009F54A5" w:rsidRDefault="00914691" w:rsidP="0091469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hAnsiTheme="majorHAnsi"/>
          <w:sz w:val="20"/>
          <w:szCs w:val="20"/>
          <w:lang w:val="es-PE"/>
        </w:rPr>
      </w:pPr>
      <w:r w:rsidRPr="009F54A5">
        <w:rPr>
          <w:rFonts w:asciiTheme="majorHAnsi" w:hAnsiTheme="majorHAnsi"/>
          <w:sz w:val="20"/>
          <w:szCs w:val="20"/>
          <w:lang w:val="es-PE"/>
        </w:rPr>
        <w:t xml:space="preserve">El presente informe refleja la indivisibilidad e interdependencia que existe entre las afectaciones registradas en Venezuela a los derechos civiles, políticos, económicos, sociales, culturales y ambientales. Tales derechos </w:t>
      </w:r>
      <w:r w:rsidRPr="009F54A5">
        <w:rPr>
          <w:rFonts w:asciiTheme="majorHAnsi" w:eastAsia="Times New Roman" w:hAnsiTheme="majorHAnsi"/>
          <w:sz w:val="20"/>
          <w:szCs w:val="20"/>
          <w:lang w:val="es-AR"/>
        </w:rPr>
        <w:t>constituyen</w:t>
      </w:r>
      <w:r w:rsidRPr="009F54A5">
        <w:rPr>
          <w:rFonts w:asciiTheme="majorHAnsi" w:hAnsiTheme="majorHAnsi"/>
          <w:sz w:val="20"/>
          <w:szCs w:val="20"/>
          <w:lang w:val="es-PE"/>
        </w:rPr>
        <w:t xml:space="preserve"> un todo indisoluble, por lo que si bien los DESCA son abordados en el informe de manera separada, la CIDH recuerda que la vigencia efectiva de la democracia en todo Estado, </w:t>
      </w:r>
      <w:r w:rsidRPr="009F54A5">
        <w:rPr>
          <w:rFonts w:asciiTheme="majorHAnsi" w:hAnsiTheme="majorHAnsi"/>
          <w:sz w:val="20"/>
          <w:szCs w:val="20"/>
          <w:lang w:val="es-PE"/>
        </w:rPr>
        <w:lastRenderedPageBreak/>
        <w:t xml:space="preserve">requiere como presupuesto indispensable el ejercicio pleno de todos los derechos y libertades fundamentales de sus </w:t>
      </w:r>
      <w:r w:rsidRPr="009F54A5">
        <w:rPr>
          <w:rFonts w:asciiTheme="majorHAnsi" w:hAnsiTheme="majorHAnsi" w:cs="Arial"/>
          <w:sz w:val="20"/>
          <w:szCs w:val="20"/>
          <w:lang w:val="es-PE"/>
        </w:rPr>
        <w:t>habitantes</w:t>
      </w:r>
      <w:r w:rsidR="0067541B" w:rsidRPr="009F54A5">
        <w:rPr>
          <w:rFonts w:asciiTheme="majorHAnsi" w:hAnsiTheme="majorHAnsi"/>
          <w:sz w:val="20"/>
          <w:szCs w:val="20"/>
          <w:lang w:val="es-PE"/>
        </w:rPr>
        <w:t>.</w:t>
      </w:r>
    </w:p>
    <w:p w14:paraId="60089CD3" w14:textId="77777777" w:rsidR="00914691" w:rsidRPr="009F54A5" w:rsidRDefault="00914691" w:rsidP="009146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Times New Roman" w:hAnsiTheme="majorHAnsi" w:cs="Calibri"/>
          <w:color w:val="000000"/>
          <w:u w:color="000000"/>
          <w:lang w:val="es-PE" w:eastAsia="es-PE"/>
        </w:rPr>
      </w:pPr>
    </w:p>
    <w:p w14:paraId="457527DD" w14:textId="77777777" w:rsidR="00FC30D3" w:rsidRPr="009F54A5" w:rsidRDefault="00914691" w:rsidP="00FC30D3">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eastAsia="Times New Roman" w:hAnsiTheme="majorHAnsi"/>
        </w:rPr>
      </w:pPr>
      <w:r w:rsidRPr="009F54A5">
        <w:rPr>
          <w:rFonts w:asciiTheme="majorHAnsi" w:eastAsia="Times New Roman" w:hAnsiTheme="majorHAnsi"/>
          <w:sz w:val="20"/>
          <w:szCs w:val="20"/>
          <w:lang w:val="es-AR"/>
        </w:rPr>
        <w:t>Este año, la CIDH decidió la incorporación de Venezuela en el Capítulo IV</w:t>
      </w:r>
      <w:r w:rsidR="006E5A59" w:rsidRPr="009F54A5">
        <w:rPr>
          <w:rFonts w:asciiTheme="majorHAnsi" w:eastAsia="Times New Roman" w:hAnsiTheme="majorHAnsi"/>
          <w:sz w:val="20"/>
          <w:szCs w:val="20"/>
          <w:lang w:val="es-AR"/>
        </w:rPr>
        <w:t>B</w:t>
      </w:r>
      <w:r w:rsidRPr="009F54A5">
        <w:rPr>
          <w:rFonts w:asciiTheme="majorHAnsi" w:eastAsia="Times New Roman" w:hAnsiTheme="majorHAnsi"/>
          <w:sz w:val="20"/>
          <w:szCs w:val="20"/>
          <w:lang w:val="es-AR"/>
        </w:rPr>
        <w:t xml:space="preserve"> de su Informe Anual para 2017 de conformidad con el artículo </w:t>
      </w:r>
      <w:r w:rsidR="00EC24F8" w:rsidRPr="009F54A5">
        <w:rPr>
          <w:rFonts w:asciiTheme="majorHAnsi" w:eastAsia="Times New Roman" w:hAnsiTheme="majorHAnsi"/>
          <w:sz w:val="20"/>
          <w:szCs w:val="20"/>
          <w:lang w:val="es-AR"/>
        </w:rPr>
        <w:t xml:space="preserve">59 </w:t>
      </w:r>
      <w:r w:rsidRPr="009F54A5">
        <w:rPr>
          <w:rFonts w:asciiTheme="majorHAnsi" w:eastAsia="Times New Roman" w:hAnsiTheme="majorHAnsi"/>
          <w:sz w:val="20"/>
          <w:szCs w:val="20"/>
          <w:lang w:val="es-AR"/>
        </w:rPr>
        <w:t>de su Reglamento</w:t>
      </w:r>
      <w:bookmarkStart w:id="5" w:name="_ftnref570"/>
      <w:bookmarkEnd w:id="5"/>
      <w:r w:rsidRPr="009F54A5">
        <w:rPr>
          <w:rFonts w:asciiTheme="majorHAnsi" w:eastAsia="Times New Roman" w:hAnsiTheme="majorHAnsi"/>
          <w:sz w:val="20"/>
          <w:szCs w:val="20"/>
          <w:lang w:val="es-AR"/>
        </w:rPr>
        <w:t xml:space="preserve">. Conforme a lo anterior, la Comisión considera que la situación de Venezuela se enmarca en </w:t>
      </w:r>
      <w:r w:rsidR="00EC24F8" w:rsidRPr="009F54A5">
        <w:rPr>
          <w:rFonts w:asciiTheme="majorHAnsi" w:eastAsia="Times New Roman" w:hAnsiTheme="majorHAnsi"/>
          <w:sz w:val="20"/>
          <w:szCs w:val="20"/>
          <w:lang w:val="es-AR"/>
        </w:rPr>
        <w:t>los</w:t>
      </w:r>
      <w:r w:rsidRPr="009F54A5">
        <w:rPr>
          <w:rFonts w:asciiTheme="majorHAnsi" w:hAnsiTheme="majorHAnsi"/>
          <w:sz w:val="20"/>
          <w:szCs w:val="20"/>
          <w:lang w:val="es-PE"/>
        </w:rPr>
        <w:t xml:space="preserve"> incisos 6.a.i; 6.a.i</w:t>
      </w:r>
      <w:r w:rsidR="00EC24F8" w:rsidRPr="009F54A5">
        <w:rPr>
          <w:rFonts w:asciiTheme="majorHAnsi" w:hAnsiTheme="majorHAnsi"/>
          <w:sz w:val="20"/>
          <w:szCs w:val="20"/>
          <w:lang w:val="es-PE"/>
        </w:rPr>
        <w:t>i; 6.b; y 6.d.i de dicho artículo</w:t>
      </w:r>
      <w:r w:rsidRPr="009F54A5">
        <w:rPr>
          <w:rFonts w:asciiTheme="majorHAnsi" w:hAnsiTheme="majorHAnsi"/>
          <w:sz w:val="20"/>
          <w:szCs w:val="20"/>
          <w:lang w:val="es-PE"/>
        </w:rPr>
        <w:t>, el cual establece los siguientes criterios</w:t>
      </w:r>
      <w:r w:rsidRPr="009F54A5">
        <w:rPr>
          <w:rFonts w:asciiTheme="majorHAnsi" w:eastAsia="Times New Roman" w:hAnsiTheme="majorHAnsi"/>
          <w:sz w:val="20"/>
          <w:szCs w:val="20"/>
          <w:lang w:val="es-AR"/>
        </w:rPr>
        <w:t>:</w:t>
      </w:r>
      <w:bookmarkStart w:id="6" w:name="_Toc496292366"/>
      <w:bookmarkStart w:id="7" w:name="_Toc497458279"/>
      <w:bookmarkStart w:id="8" w:name="_Toc497649698"/>
      <w:bookmarkStart w:id="9" w:name="_Toc497733332"/>
      <w:bookmarkStart w:id="10" w:name="_Toc373315241"/>
    </w:p>
    <w:p w14:paraId="3A8721A0" w14:textId="77777777" w:rsidR="00FC30D3" w:rsidRPr="009F54A5" w:rsidRDefault="00FC30D3" w:rsidP="00FC30D3">
      <w:pPr>
        <w:rPr>
          <w:rFonts w:asciiTheme="majorHAnsi" w:eastAsia="Times New Roman" w:hAnsiTheme="majorHAnsi" w:cs="Tahoma"/>
          <w:sz w:val="20"/>
          <w:szCs w:val="20"/>
          <w:lang w:val="es-ES"/>
        </w:rPr>
      </w:pPr>
    </w:p>
    <w:p w14:paraId="6D21D6E2"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r w:rsidRPr="000E57D2">
        <w:rPr>
          <w:rFonts w:asciiTheme="majorHAnsi" w:eastAsia="Times New Roman" w:hAnsiTheme="majorHAnsi"/>
          <w:sz w:val="20"/>
          <w:szCs w:val="20"/>
          <w:bdr w:val="none" w:sz="0" w:space="0" w:color="auto"/>
          <w:lang w:val="es-AR"/>
        </w:rPr>
        <w:t xml:space="preserve">a. una violación grave de los elementos fundamentales y las instituciones de la democracia representativa previstos en la Carta Democrática Interamericana, que son medios esenciales para la realización de los derechos humanos, entre ellos: </w:t>
      </w:r>
    </w:p>
    <w:p w14:paraId="463D7B2F"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p>
    <w:p w14:paraId="3FABA73F"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r w:rsidRPr="000E57D2">
        <w:rPr>
          <w:rFonts w:asciiTheme="majorHAnsi" w:eastAsia="Times New Roman" w:hAnsiTheme="majorHAnsi"/>
          <w:sz w:val="20"/>
          <w:szCs w:val="20"/>
          <w:bdr w:val="none" w:sz="0" w:space="0" w:color="auto"/>
          <w:lang w:val="es-AR"/>
        </w:rPr>
        <w:t xml:space="preserve">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 </w:t>
      </w:r>
    </w:p>
    <w:p w14:paraId="373BE850"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p>
    <w:p w14:paraId="104C2965"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r w:rsidRPr="000E57D2">
        <w:rPr>
          <w:rFonts w:asciiTheme="majorHAnsi" w:eastAsia="Times New Roman" w:hAnsiTheme="majorHAnsi"/>
          <w:sz w:val="20"/>
          <w:szCs w:val="20"/>
          <w:bdr w:val="none" w:sz="0" w:space="0" w:color="auto"/>
          <w:lang w:val="es-AR"/>
        </w:rPr>
        <w:t>ii. si se hubiera producido una alteración del orden constitucional que afecte gravemente el orden democrático; […]</w:t>
      </w:r>
    </w:p>
    <w:p w14:paraId="54DCC37C"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p>
    <w:p w14:paraId="344443F0"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r w:rsidRPr="000E57D2">
        <w:rPr>
          <w:rFonts w:asciiTheme="majorHAnsi" w:eastAsia="Times New Roman" w:hAnsiTheme="majorHAnsi"/>
          <w:sz w:val="20"/>
          <w:szCs w:val="20"/>
          <w:bdr w:val="none" w:sz="0" w:space="0" w:color="auto"/>
          <w:lang w:val="es-AR"/>
        </w:rPr>
        <w:t xml:space="preserve"> b. 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 […] situaciones coyunturales o estructurales, que estén presentes en Estados que por diversas razones enfrenten situaciones que afecten seria y gravemente el goce y disfrute de los derechos fundamentales, consagrados en la Convención Americana o en la Declaración Americana. Este criterio incluye, por ejemplo: situaciones graves de violencia que dificultan el funcionamiento adecuado del Estado de Derecho; graves crisis institucionales; procesos de reforma institucional con graves incidencias negativas para los derechos humanos; u omisiones graves en la adopción de disposiciones necesarias para hacer efectivos los derechos fundamentales. </w:t>
      </w:r>
    </w:p>
    <w:p w14:paraId="39EF2A80"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273E41F3"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r w:rsidRPr="000E57D2">
        <w:rPr>
          <w:rFonts w:asciiTheme="majorHAnsi" w:eastAsia="Times New Roman" w:hAnsiTheme="majorHAnsi"/>
          <w:sz w:val="20"/>
          <w:szCs w:val="20"/>
          <w:bdr w:val="none" w:sz="0" w:space="0" w:color="auto"/>
          <w:lang w:val="es-AR"/>
        </w:rPr>
        <w:t xml:space="preserve">d gravemente el goce y disfrute de los derechos fundamentales consagrados en la Declaración Americana, la Convención Americana o los demás instrumentos de derechos humanos aplicables. Entre otros factores a ponderar, estarán los siguientes: </w:t>
      </w:r>
    </w:p>
    <w:p w14:paraId="1A74CBC4"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p>
    <w:p w14:paraId="0DB9D26E" w14:textId="77777777" w:rsidR="00FC30D3" w:rsidRPr="000E57D2" w:rsidRDefault="00FC30D3" w:rsidP="00FC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AR"/>
        </w:rPr>
      </w:pPr>
      <w:r w:rsidRPr="000E57D2">
        <w:rPr>
          <w:rFonts w:asciiTheme="majorHAnsi" w:eastAsia="Times New Roman" w:hAnsiTheme="majorHAnsi"/>
          <w:sz w:val="20"/>
          <w:szCs w:val="20"/>
          <w:bdr w:val="none" w:sz="0" w:space="0" w:color="auto"/>
          <w:lang w:val="es-AR"/>
        </w:rPr>
        <w:t>i. graves crisis institucionales que infrinjan el disfrute de derechos humanos; […]</w:t>
      </w:r>
    </w:p>
    <w:p w14:paraId="2CCA9097" w14:textId="77777777" w:rsidR="00FC30D3" w:rsidRPr="000E57D2" w:rsidRDefault="00FC30D3" w:rsidP="00FC30D3">
      <w:pPr>
        <w:rPr>
          <w:rFonts w:asciiTheme="majorHAnsi" w:eastAsia="Times New Roman" w:hAnsiTheme="majorHAnsi" w:cs="Tahoma"/>
          <w:sz w:val="20"/>
          <w:szCs w:val="20"/>
          <w:lang w:val="es-ES"/>
        </w:rPr>
      </w:pPr>
    </w:p>
    <w:p w14:paraId="7219C765" w14:textId="33DFD8DF" w:rsidR="00B9005B" w:rsidRPr="009F54A5" w:rsidRDefault="00FC30D3" w:rsidP="0067541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eastAsia="Times New Roman" w:hAnsiTheme="majorHAnsi" w:cs="Times New Roman"/>
          <w:sz w:val="20"/>
          <w:szCs w:val="20"/>
        </w:rPr>
      </w:pPr>
      <w:r w:rsidRPr="009F54A5">
        <w:rPr>
          <w:rFonts w:asciiTheme="majorHAnsi" w:eastAsia="Times New Roman" w:hAnsiTheme="majorHAnsi" w:cs="Times New Roman"/>
          <w:sz w:val="20"/>
          <w:szCs w:val="20"/>
          <w:lang w:val="es-ES"/>
        </w:rPr>
        <w:t xml:space="preserve">El 21 de noviembre de 2017, la CIDH transmitió al Estado una copia del borrador preliminar de este informe de acuerdo con el artículo </w:t>
      </w:r>
      <w:r w:rsidR="004F41A4" w:rsidRPr="009F54A5">
        <w:rPr>
          <w:rFonts w:asciiTheme="majorHAnsi" w:eastAsia="Times New Roman" w:hAnsiTheme="majorHAnsi" w:cs="Times New Roman"/>
          <w:sz w:val="20"/>
          <w:szCs w:val="20"/>
          <w:lang w:val="es-ES"/>
        </w:rPr>
        <w:t>60</w:t>
      </w:r>
      <w:r w:rsidRPr="009F54A5">
        <w:rPr>
          <w:rFonts w:asciiTheme="majorHAnsi" w:eastAsia="Times New Roman" w:hAnsiTheme="majorHAnsi" w:cs="Times New Roman"/>
          <w:sz w:val="20"/>
          <w:szCs w:val="20"/>
          <w:lang w:val="es-ES"/>
        </w:rPr>
        <w:t xml:space="preserve"> inciso</w:t>
      </w:r>
      <w:r w:rsidR="004F41A4" w:rsidRPr="009F54A5">
        <w:rPr>
          <w:rFonts w:asciiTheme="majorHAnsi" w:eastAsia="Times New Roman" w:hAnsiTheme="majorHAnsi" w:cs="Times New Roman"/>
          <w:sz w:val="20"/>
          <w:szCs w:val="20"/>
          <w:lang w:val="es-ES"/>
        </w:rPr>
        <w:t xml:space="preserve"> a</w:t>
      </w:r>
      <w:r w:rsidRPr="009F54A5">
        <w:rPr>
          <w:rFonts w:asciiTheme="majorHAnsi" w:eastAsia="Times New Roman" w:hAnsiTheme="majorHAnsi" w:cs="Times New Roman"/>
          <w:sz w:val="20"/>
          <w:szCs w:val="20"/>
          <w:lang w:val="es-ES"/>
        </w:rPr>
        <w:t xml:space="preserve"> de su Reglamento, y le solicitó que remitiera sus observaciones dentro de</w:t>
      </w:r>
      <w:r w:rsidR="004F41A4" w:rsidRPr="009F54A5">
        <w:rPr>
          <w:rFonts w:asciiTheme="majorHAnsi" w:eastAsia="Times New Roman" w:hAnsiTheme="majorHAnsi" w:cs="Times New Roman"/>
          <w:sz w:val="20"/>
          <w:szCs w:val="20"/>
          <w:lang w:val="es-ES"/>
        </w:rPr>
        <w:t xml:space="preserve"> un</w:t>
      </w:r>
      <w:r w:rsidRPr="009F54A5">
        <w:rPr>
          <w:rFonts w:asciiTheme="majorHAnsi" w:eastAsia="Times New Roman" w:hAnsiTheme="majorHAnsi" w:cs="Times New Roman"/>
          <w:sz w:val="20"/>
          <w:szCs w:val="20"/>
          <w:lang w:val="es-ES"/>
        </w:rPr>
        <w:t xml:space="preserve"> plazo</w:t>
      </w:r>
      <w:r w:rsidR="004F41A4" w:rsidRPr="009F54A5">
        <w:rPr>
          <w:rFonts w:asciiTheme="majorHAnsi" w:eastAsia="Times New Roman" w:hAnsiTheme="majorHAnsi" w:cs="Times New Roman"/>
          <w:sz w:val="20"/>
          <w:szCs w:val="20"/>
          <w:lang w:val="es-ES"/>
        </w:rPr>
        <w:t xml:space="preserve"> improrrogable</w:t>
      </w:r>
      <w:r w:rsidRPr="009F54A5">
        <w:rPr>
          <w:rFonts w:asciiTheme="majorHAnsi" w:eastAsia="Times New Roman" w:hAnsiTheme="majorHAnsi" w:cs="Times New Roman"/>
          <w:sz w:val="20"/>
          <w:szCs w:val="20"/>
          <w:lang w:val="es-ES"/>
        </w:rPr>
        <w:t xml:space="preserve"> de un mes.</w:t>
      </w:r>
      <w:r w:rsidR="004F41A4" w:rsidRPr="009F54A5">
        <w:rPr>
          <w:rFonts w:asciiTheme="majorHAnsi" w:eastAsia="Times New Roman" w:hAnsiTheme="majorHAnsi" w:cs="Times New Roman"/>
          <w:sz w:val="20"/>
          <w:szCs w:val="20"/>
          <w:lang w:val="es-ES"/>
        </w:rPr>
        <w:t xml:space="preserve"> La CIDH también informó en dicha comunicación al Estado de la inclusión del resumen ejecutivo del informe en el Capítulo IV.B del Informe Anual de 2017, aprobado</w:t>
      </w:r>
      <w:r w:rsidRPr="009F54A5">
        <w:rPr>
          <w:rFonts w:asciiTheme="majorHAnsi" w:eastAsia="Times New Roman" w:hAnsiTheme="majorHAnsi" w:cs="Times New Roman"/>
          <w:sz w:val="20"/>
          <w:szCs w:val="20"/>
          <w:lang w:val="es-ES"/>
        </w:rPr>
        <w:t xml:space="preserve"> </w:t>
      </w:r>
      <w:r w:rsidR="004F41A4" w:rsidRPr="009F54A5">
        <w:rPr>
          <w:rFonts w:asciiTheme="majorHAnsi" w:eastAsia="Times New Roman" w:hAnsiTheme="majorHAnsi" w:cs="Times New Roman"/>
          <w:sz w:val="20"/>
          <w:szCs w:val="20"/>
          <w:lang w:val="es-ES"/>
        </w:rPr>
        <w:t xml:space="preserve">por la CIDH de conformidad con los artículos 59.7 y 59.10 de su Reglamento. </w:t>
      </w:r>
      <w:r w:rsidRPr="009F54A5">
        <w:rPr>
          <w:rFonts w:asciiTheme="majorHAnsi" w:eastAsia="Times New Roman" w:hAnsiTheme="majorHAnsi" w:cs="Times New Roman"/>
          <w:sz w:val="20"/>
          <w:szCs w:val="20"/>
          <w:lang w:val="es-ES"/>
        </w:rPr>
        <w:t xml:space="preserve"> </w:t>
      </w:r>
    </w:p>
    <w:p w14:paraId="62036606" w14:textId="77777777" w:rsidR="00B9005B" w:rsidRPr="009F54A5" w:rsidRDefault="00B9005B" w:rsidP="0067541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eastAsia="Times New Roman" w:hAnsiTheme="majorHAnsi" w:cs="Times New Roman"/>
          <w:sz w:val="20"/>
          <w:szCs w:val="20"/>
        </w:rPr>
      </w:pPr>
    </w:p>
    <w:p w14:paraId="376DE998" w14:textId="0F9956CB" w:rsidR="005F542B" w:rsidRPr="009F54A5" w:rsidRDefault="00FC30D3" w:rsidP="0067541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eastAsia="Times New Roman" w:hAnsiTheme="majorHAnsi" w:cs="Times New Roman"/>
          <w:sz w:val="20"/>
          <w:szCs w:val="20"/>
        </w:rPr>
      </w:pPr>
      <w:r w:rsidRPr="009F54A5">
        <w:rPr>
          <w:rFonts w:asciiTheme="majorHAnsi" w:eastAsia="Times New Roman" w:hAnsiTheme="majorHAnsi" w:cs="Times New Roman"/>
          <w:sz w:val="20"/>
          <w:szCs w:val="20"/>
          <w:lang w:val="es-ES"/>
        </w:rPr>
        <w:t xml:space="preserve">El Estado presentó su respuesta el </w:t>
      </w:r>
      <w:r w:rsidR="004F41A4" w:rsidRPr="009F54A5">
        <w:rPr>
          <w:rFonts w:asciiTheme="majorHAnsi" w:eastAsia="Times New Roman" w:hAnsiTheme="majorHAnsi" w:cs="Times New Roman"/>
          <w:sz w:val="20"/>
          <w:szCs w:val="20"/>
          <w:lang w:val="es-ES"/>
        </w:rPr>
        <w:t>21</w:t>
      </w:r>
      <w:r w:rsidRPr="009F54A5">
        <w:rPr>
          <w:rFonts w:asciiTheme="majorHAnsi" w:eastAsia="Times New Roman" w:hAnsiTheme="majorHAnsi" w:cs="Times New Roman"/>
          <w:sz w:val="20"/>
          <w:szCs w:val="20"/>
          <w:lang w:val="es-ES"/>
        </w:rPr>
        <w:t xml:space="preserve"> de </w:t>
      </w:r>
      <w:r w:rsidR="004F41A4" w:rsidRPr="009F54A5">
        <w:rPr>
          <w:rFonts w:asciiTheme="majorHAnsi" w:eastAsia="Times New Roman" w:hAnsiTheme="majorHAnsi" w:cs="Times New Roman"/>
          <w:sz w:val="20"/>
          <w:szCs w:val="20"/>
          <w:lang w:val="es-ES"/>
        </w:rPr>
        <w:t>diciembre</w:t>
      </w:r>
      <w:r w:rsidRPr="009F54A5">
        <w:rPr>
          <w:rFonts w:asciiTheme="majorHAnsi" w:eastAsia="Times New Roman" w:hAnsiTheme="majorHAnsi" w:cs="Times New Roman"/>
          <w:sz w:val="20"/>
          <w:szCs w:val="20"/>
          <w:lang w:val="es-ES"/>
        </w:rPr>
        <w:t xml:space="preserve"> de 2017</w:t>
      </w:r>
      <w:r w:rsidRPr="009F54A5">
        <w:rPr>
          <w:rStyle w:val="FootnoteReference"/>
          <w:rFonts w:asciiTheme="majorHAnsi" w:hAnsiTheme="majorHAnsi" w:cs="Times New Roman"/>
          <w:sz w:val="20"/>
          <w:szCs w:val="20"/>
        </w:rPr>
        <w:footnoteReference w:id="2"/>
      </w:r>
      <w:r w:rsidRPr="009F54A5">
        <w:rPr>
          <w:rFonts w:asciiTheme="majorHAnsi" w:eastAsia="Times New Roman" w:hAnsiTheme="majorHAnsi" w:cs="Times New Roman"/>
          <w:sz w:val="20"/>
          <w:szCs w:val="20"/>
          <w:lang w:val="es-ES"/>
        </w:rPr>
        <w:t xml:space="preserve">, </w:t>
      </w:r>
      <w:r w:rsidRPr="009F54A5">
        <w:rPr>
          <w:rFonts w:asciiTheme="majorHAnsi" w:hAnsiTheme="majorHAnsi" w:cs="Times New Roman"/>
          <w:sz w:val="20"/>
          <w:szCs w:val="20"/>
        </w:rPr>
        <w:t xml:space="preserve">en la cual expresa </w:t>
      </w:r>
      <w:r w:rsidR="004F41A4" w:rsidRPr="009F54A5">
        <w:rPr>
          <w:rFonts w:asciiTheme="majorHAnsi" w:hAnsiTheme="majorHAnsi" w:cs="Times New Roman"/>
          <w:sz w:val="20"/>
          <w:szCs w:val="20"/>
        </w:rPr>
        <w:t xml:space="preserve">“que el proyecto de Informe de País presenta una visión selectiva y altamente parcializada sobre la verdadera </w:t>
      </w:r>
      <w:r w:rsidR="0067541B" w:rsidRPr="009F54A5">
        <w:rPr>
          <w:rFonts w:asciiTheme="majorHAnsi" w:hAnsiTheme="majorHAnsi" w:cs="Times New Roman"/>
          <w:sz w:val="20"/>
          <w:szCs w:val="20"/>
        </w:rPr>
        <w:t>situación</w:t>
      </w:r>
      <w:r w:rsidR="004F41A4" w:rsidRPr="009F54A5">
        <w:rPr>
          <w:rFonts w:asciiTheme="majorHAnsi" w:hAnsiTheme="majorHAnsi" w:cs="Times New Roman"/>
          <w:sz w:val="20"/>
          <w:szCs w:val="20"/>
        </w:rPr>
        <w:t xml:space="preserve"> de derechos humanos de la República Bolivariana de Venezuela, que contradice los principios que deben regir el tratamiento de los asuntos de derechos humanos”</w:t>
      </w:r>
      <w:r w:rsidR="004F41A4" w:rsidRPr="009F54A5">
        <w:rPr>
          <w:rStyle w:val="FootnoteReference"/>
          <w:rFonts w:asciiTheme="majorHAnsi" w:hAnsiTheme="majorHAnsi" w:cs="Times New Roman"/>
          <w:sz w:val="20"/>
          <w:szCs w:val="20"/>
        </w:rPr>
        <w:footnoteReference w:id="3"/>
      </w:r>
      <w:r w:rsidR="004F41A4" w:rsidRPr="009F54A5">
        <w:rPr>
          <w:rFonts w:asciiTheme="majorHAnsi" w:hAnsiTheme="majorHAnsi" w:cs="Times New Roman"/>
          <w:sz w:val="20"/>
          <w:szCs w:val="20"/>
        </w:rPr>
        <w:t>. El Estado considera que “en gran</w:t>
      </w:r>
      <w:r w:rsidR="004F41A4" w:rsidRPr="009F54A5">
        <w:rPr>
          <w:rFonts w:asciiTheme="majorHAnsi" w:eastAsia="Times New Roman" w:hAnsiTheme="majorHAnsi" w:cs="Times New Roman"/>
          <w:sz w:val="20"/>
          <w:szCs w:val="20"/>
        </w:rPr>
        <w:t xml:space="preserve"> parte, </w:t>
      </w:r>
      <w:r w:rsidR="004F41A4" w:rsidRPr="009F54A5">
        <w:rPr>
          <w:rFonts w:asciiTheme="majorHAnsi" w:eastAsia="Times New Roman" w:hAnsiTheme="majorHAnsi" w:cs="Times New Roman"/>
          <w:sz w:val="20"/>
          <w:szCs w:val="20"/>
        </w:rPr>
        <w:lastRenderedPageBreak/>
        <w:t>esta distorsionada visión del proyecto de Informe es el resultado de las importantes debilidades presentes en la metodología utilizada para su elaboración</w:t>
      </w:r>
      <w:r w:rsidR="00F6099E" w:rsidRPr="009F54A5">
        <w:rPr>
          <w:rFonts w:asciiTheme="majorHAnsi" w:eastAsia="Times New Roman" w:hAnsiTheme="majorHAnsi" w:cs="Times New Roman"/>
          <w:sz w:val="20"/>
          <w:szCs w:val="20"/>
        </w:rPr>
        <w:t xml:space="preserve">” y que “en este proyecto </w:t>
      </w:r>
      <w:r w:rsidR="004F41A4" w:rsidRPr="009F54A5">
        <w:rPr>
          <w:rFonts w:asciiTheme="majorHAnsi" w:eastAsia="Times New Roman" w:hAnsiTheme="majorHAnsi" w:cs="Times New Roman"/>
          <w:sz w:val="20"/>
          <w:szCs w:val="20"/>
        </w:rPr>
        <w:t>se privilegian excesivamente las fuentes carentes de objetividad y se excluye casi en su totalidad la información oficial, a pesar de toda la documentación y elementos aportados por el Estado a la Comisión durante este año 2017, a través de los diversos mecanismos disponibles</w:t>
      </w:r>
      <w:r w:rsidR="00F6099E" w:rsidRPr="009F54A5">
        <w:rPr>
          <w:rFonts w:asciiTheme="majorHAnsi" w:eastAsia="Times New Roman" w:hAnsiTheme="majorHAnsi" w:cs="Times New Roman"/>
          <w:sz w:val="20"/>
          <w:szCs w:val="20"/>
        </w:rPr>
        <w:t>”</w:t>
      </w:r>
      <w:r w:rsidR="00F6099E" w:rsidRPr="009F54A5">
        <w:rPr>
          <w:rStyle w:val="FootnoteReference"/>
          <w:rFonts w:asciiTheme="majorHAnsi" w:eastAsia="Times New Roman" w:hAnsiTheme="majorHAnsi" w:cs="Times New Roman"/>
          <w:sz w:val="20"/>
          <w:szCs w:val="20"/>
        </w:rPr>
        <w:footnoteReference w:id="4"/>
      </w:r>
      <w:r w:rsidR="0067541B" w:rsidRPr="009F54A5">
        <w:rPr>
          <w:rFonts w:asciiTheme="majorHAnsi" w:eastAsia="Times New Roman" w:hAnsiTheme="majorHAnsi" w:cs="Times New Roman"/>
          <w:sz w:val="20"/>
          <w:szCs w:val="20"/>
        </w:rPr>
        <w:t>.</w:t>
      </w:r>
    </w:p>
    <w:p w14:paraId="0EA737E6" w14:textId="77777777" w:rsidR="005F542B" w:rsidRPr="009F54A5" w:rsidRDefault="005F542B" w:rsidP="0067541B">
      <w:pPr>
        <w:pStyle w:val="ListParagraph"/>
        <w:spacing w:after="0" w:line="240" w:lineRule="auto"/>
        <w:rPr>
          <w:rFonts w:asciiTheme="majorHAnsi" w:eastAsia="Times New Roman" w:hAnsiTheme="majorHAnsi" w:cs="Times New Roman"/>
          <w:sz w:val="20"/>
          <w:szCs w:val="20"/>
        </w:rPr>
      </w:pPr>
    </w:p>
    <w:p w14:paraId="40183790" w14:textId="77777777" w:rsidR="003A2151" w:rsidRPr="009F54A5" w:rsidRDefault="00B9005B" w:rsidP="0067541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eastAsia="Times New Roman" w:hAnsiTheme="majorHAnsi" w:cs="Times New Roman"/>
          <w:sz w:val="20"/>
          <w:szCs w:val="20"/>
        </w:rPr>
      </w:pPr>
      <w:r w:rsidRPr="009F54A5">
        <w:rPr>
          <w:rFonts w:asciiTheme="majorHAnsi" w:eastAsia="Times New Roman" w:hAnsiTheme="majorHAnsi" w:cs="Times New Roman"/>
          <w:sz w:val="20"/>
          <w:szCs w:val="20"/>
        </w:rPr>
        <w:t>El Estado a su vez considera que “</w:t>
      </w:r>
      <w:r w:rsidR="004F41A4" w:rsidRPr="009F54A5">
        <w:rPr>
          <w:rFonts w:asciiTheme="majorHAnsi" w:eastAsia="Times New Roman" w:hAnsiTheme="majorHAnsi"/>
          <w:sz w:val="20"/>
          <w:szCs w:val="20"/>
        </w:rPr>
        <w:t>no están dadas las condiciones exigidas por la normativa interamericana para que Venezuela sea incluida dentro del Capítulo IV.B del Informe Anual de la CIDH. Por ello, el Gobierno venezolano rechaza su incorporación dentro del citado capítulo y toma nota del ofrecimiento realizado por la Comisión</w:t>
      </w:r>
      <w:r w:rsidRPr="009F54A5">
        <w:rPr>
          <w:rFonts w:asciiTheme="majorHAnsi" w:eastAsia="Times New Roman" w:hAnsiTheme="majorHAnsi"/>
          <w:sz w:val="20"/>
          <w:szCs w:val="20"/>
        </w:rPr>
        <w:t xml:space="preserve"> [para la realización de una visita al país]</w:t>
      </w:r>
      <w:r w:rsidR="004F41A4" w:rsidRPr="009F54A5">
        <w:rPr>
          <w:rFonts w:asciiTheme="majorHAnsi" w:eastAsia="Times New Roman" w:hAnsiTheme="majorHAnsi"/>
          <w:sz w:val="20"/>
          <w:szCs w:val="20"/>
        </w:rPr>
        <w:t>, pero destaca que no resulta posible aceptar ningún mecanismo que lleve al Estado venezolano a convalidar su arbitraria inclusión en el mencionado Capítulo IV.B del Informe Anual 2017</w:t>
      </w:r>
      <w:r w:rsidRPr="009F54A5">
        <w:rPr>
          <w:rFonts w:asciiTheme="majorHAnsi" w:eastAsia="Times New Roman" w:hAnsiTheme="majorHAnsi"/>
          <w:sz w:val="20"/>
          <w:szCs w:val="20"/>
        </w:rPr>
        <w:t>”</w:t>
      </w:r>
      <w:r w:rsidR="00B54A3D" w:rsidRPr="009F54A5">
        <w:rPr>
          <w:rStyle w:val="FootnoteReference"/>
          <w:rFonts w:asciiTheme="majorHAnsi" w:eastAsia="Times New Roman" w:hAnsiTheme="majorHAnsi"/>
          <w:sz w:val="20"/>
          <w:szCs w:val="20"/>
        </w:rPr>
        <w:footnoteReference w:id="5"/>
      </w:r>
      <w:r w:rsidR="004F41A4" w:rsidRPr="009F54A5">
        <w:rPr>
          <w:rFonts w:asciiTheme="majorHAnsi" w:eastAsia="Times New Roman" w:hAnsiTheme="majorHAnsi"/>
          <w:sz w:val="20"/>
          <w:szCs w:val="20"/>
        </w:rPr>
        <w:t>.</w:t>
      </w:r>
      <w:r w:rsidRPr="009F54A5">
        <w:rPr>
          <w:rFonts w:asciiTheme="majorHAnsi" w:eastAsia="Times New Roman" w:hAnsiTheme="majorHAnsi"/>
          <w:sz w:val="20"/>
          <w:szCs w:val="20"/>
        </w:rPr>
        <w:t xml:space="preserve"> Por otra parte, el Estado</w:t>
      </w:r>
      <w:r w:rsidR="005F542B" w:rsidRPr="009F54A5">
        <w:rPr>
          <w:rFonts w:asciiTheme="majorHAnsi" w:eastAsia="Times New Roman" w:hAnsiTheme="majorHAnsi"/>
          <w:sz w:val="20"/>
          <w:szCs w:val="20"/>
        </w:rPr>
        <w:t xml:space="preserve"> ratificó su disposición “de sostener un diálogo constructivo con la CIDH a los fines de seguir avanzando en el cumplimiento de sus obligaciones internacionales, con base en el estricto respeto de los principios que deben regir el tratamiento de los asuntos de derechos humanos, incluyendo los principios de universalidad, objetividad, imparcialidad y no selectividad”</w:t>
      </w:r>
      <w:r w:rsidR="00B54A3D" w:rsidRPr="009F54A5">
        <w:rPr>
          <w:rStyle w:val="FootnoteReference"/>
          <w:rFonts w:asciiTheme="majorHAnsi" w:eastAsia="Times New Roman" w:hAnsiTheme="majorHAnsi"/>
          <w:sz w:val="20"/>
          <w:szCs w:val="20"/>
        </w:rPr>
        <w:footnoteReference w:id="6"/>
      </w:r>
      <w:r w:rsidR="005F542B" w:rsidRPr="009F54A5">
        <w:rPr>
          <w:rFonts w:asciiTheme="majorHAnsi" w:eastAsia="Times New Roman" w:hAnsiTheme="majorHAnsi"/>
          <w:sz w:val="20"/>
          <w:szCs w:val="20"/>
        </w:rPr>
        <w:t>.</w:t>
      </w:r>
    </w:p>
    <w:p w14:paraId="7C187450" w14:textId="77777777" w:rsidR="003A2151" w:rsidRPr="009F54A5" w:rsidRDefault="003A2151" w:rsidP="0067541B">
      <w:pPr>
        <w:rPr>
          <w:rFonts w:asciiTheme="majorHAnsi" w:eastAsia="Times New Roman" w:hAnsiTheme="majorHAnsi"/>
          <w:sz w:val="20"/>
          <w:szCs w:val="20"/>
          <w:lang w:val="es-AR"/>
        </w:rPr>
      </w:pPr>
    </w:p>
    <w:p w14:paraId="51331B92" w14:textId="77777777" w:rsidR="003A2151" w:rsidRPr="009F54A5" w:rsidRDefault="003A2151" w:rsidP="0067541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eastAsia="Times New Roman" w:hAnsiTheme="majorHAnsi" w:cs="Times New Roman"/>
          <w:sz w:val="20"/>
          <w:szCs w:val="20"/>
        </w:rPr>
      </w:pPr>
      <w:r w:rsidRPr="009F54A5">
        <w:rPr>
          <w:rFonts w:asciiTheme="majorHAnsi" w:eastAsia="Times New Roman" w:hAnsiTheme="majorHAnsi" w:cs="Times New Roman"/>
          <w:sz w:val="20"/>
          <w:szCs w:val="20"/>
        </w:rPr>
        <w:t>El Estado concluye destacando que:</w:t>
      </w:r>
    </w:p>
    <w:p w14:paraId="30B58948" w14:textId="77777777" w:rsidR="003A2151" w:rsidRPr="009F54A5" w:rsidRDefault="003A2151" w:rsidP="0067541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u w:color="000000"/>
          <w:lang w:val="es-AR"/>
        </w:rPr>
      </w:pPr>
    </w:p>
    <w:p w14:paraId="3F604F72" w14:textId="77777777" w:rsidR="003A2151" w:rsidRPr="002756C0" w:rsidRDefault="003A2151" w:rsidP="0067541B">
      <w:pPr>
        <w:pBdr>
          <w:top w:val="none" w:sz="0" w:space="0" w:color="auto"/>
          <w:left w:val="none" w:sz="0" w:space="0" w:color="auto"/>
          <w:bottom w:val="none" w:sz="0" w:space="0" w:color="auto"/>
          <w:right w:val="none" w:sz="0" w:space="0" w:color="auto"/>
          <w:between w:val="none" w:sz="0" w:space="0" w:color="auto"/>
          <w:bar w:val="none" w:sz="0" w:color="auto"/>
        </w:pBdr>
        <w:ind w:left="708" w:right="776"/>
        <w:contextualSpacing/>
        <w:jc w:val="both"/>
        <w:rPr>
          <w:rFonts w:asciiTheme="majorHAnsi" w:eastAsia="Times New Roman" w:hAnsiTheme="majorHAnsi"/>
          <w:sz w:val="20"/>
          <w:szCs w:val="20"/>
          <w:lang w:val="es-AR"/>
        </w:rPr>
      </w:pPr>
      <w:r w:rsidRPr="002756C0">
        <w:rPr>
          <w:rFonts w:asciiTheme="majorHAnsi" w:eastAsia="Times New Roman" w:hAnsiTheme="majorHAnsi"/>
          <w:sz w:val="20"/>
          <w:szCs w:val="20"/>
          <w:lang w:val="es-AR"/>
        </w:rPr>
        <w:t>La República Bolivariana de Venezuela es un Estado Constitucional democrático y social, de Derecho y de Justicia, caracterizado por una vibrante democracia participativa y protagónica que asume el respeto y garantía de los derechos humanos como valor fundamental. Al igual que el resto de los países de la región, en materia de derechos humanos Venezuela tiene fortalezas y desafíos. No obstante, ningún análisis objetivo y no selectivo lleva a concluir que la situación de derechos humanos de República Bolivariana de Venezuela merezca una atención distinta al resto de los Estados partes de la Organización de Estados Americanos</w:t>
      </w:r>
      <w:r w:rsidRPr="002756C0">
        <w:rPr>
          <w:rStyle w:val="FootnoteReference"/>
          <w:rFonts w:asciiTheme="majorHAnsi" w:eastAsia="Times New Roman" w:hAnsiTheme="majorHAnsi"/>
          <w:sz w:val="20"/>
          <w:szCs w:val="20"/>
        </w:rPr>
        <w:footnoteReference w:id="7"/>
      </w:r>
      <w:r w:rsidRPr="002756C0">
        <w:rPr>
          <w:rFonts w:asciiTheme="majorHAnsi" w:eastAsia="Times New Roman" w:hAnsiTheme="majorHAnsi"/>
          <w:sz w:val="20"/>
          <w:szCs w:val="20"/>
          <w:lang w:val="es-AR"/>
        </w:rPr>
        <w:t xml:space="preserve">.   </w:t>
      </w:r>
    </w:p>
    <w:p w14:paraId="6CD49C68" w14:textId="77777777" w:rsidR="004F41A4" w:rsidRPr="009F54A5" w:rsidRDefault="004F41A4" w:rsidP="0067541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lang w:val="es-AR"/>
        </w:rPr>
      </w:pPr>
    </w:p>
    <w:p w14:paraId="33813360" w14:textId="64E99AE7" w:rsidR="00FC30D3" w:rsidRPr="009F54A5" w:rsidRDefault="00B9005B" w:rsidP="0067541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eastAsia="Times New Roman" w:hAnsiTheme="majorHAnsi"/>
        </w:rPr>
      </w:pPr>
      <w:r w:rsidRPr="009F54A5">
        <w:rPr>
          <w:rFonts w:asciiTheme="majorHAnsi" w:hAnsiTheme="majorHAnsi" w:cs="Cambria"/>
          <w:sz w:val="20"/>
          <w:szCs w:val="20"/>
        </w:rPr>
        <w:t xml:space="preserve">Las </w:t>
      </w:r>
      <w:r w:rsidR="00FC30D3" w:rsidRPr="009F54A5">
        <w:rPr>
          <w:rFonts w:asciiTheme="majorHAnsi" w:hAnsiTheme="majorHAnsi" w:cs="Cambria"/>
          <w:sz w:val="20"/>
          <w:szCs w:val="20"/>
        </w:rPr>
        <w:t>observaciones</w:t>
      </w:r>
      <w:r w:rsidRPr="009F54A5">
        <w:rPr>
          <w:rFonts w:asciiTheme="majorHAnsi" w:hAnsiTheme="majorHAnsi" w:cs="Cambria"/>
          <w:sz w:val="20"/>
          <w:szCs w:val="20"/>
        </w:rPr>
        <w:t xml:space="preserve"> del Estado</w:t>
      </w:r>
      <w:r w:rsidR="00FC30D3" w:rsidRPr="009F54A5">
        <w:rPr>
          <w:rFonts w:asciiTheme="majorHAnsi" w:hAnsiTheme="majorHAnsi" w:cs="Cambria"/>
          <w:sz w:val="20"/>
          <w:szCs w:val="20"/>
        </w:rPr>
        <w:t xml:space="preserve"> han sido incluidas en el presente </w:t>
      </w:r>
      <w:r w:rsidR="004F41A4" w:rsidRPr="009F54A5">
        <w:rPr>
          <w:rFonts w:asciiTheme="majorHAnsi" w:hAnsiTheme="majorHAnsi" w:cs="Cambria"/>
          <w:sz w:val="20"/>
          <w:szCs w:val="20"/>
        </w:rPr>
        <w:t>informe</w:t>
      </w:r>
      <w:r w:rsidR="00FC30D3" w:rsidRPr="009F54A5">
        <w:rPr>
          <w:rFonts w:asciiTheme="majorHAnsi" w:hAnsiTheme="majorHAnsi" w:cs="Cambria"/>
          <w:sz w:val="20"/>
          <w:szCs w:val="20"/>
        </w:rPr>
        <w:t xml:space="preserve"> en la medida de lo pertinente.  La Comisión aprobó este </w:t>
      </w:r>
      <w:r w:rsidR="004F41A4" w:rsidRPr="009F54A5">
        <w:rPr>
          <w:rFonts w:asciiTheme="majorHAnsi" w:hAnsiTheme="majorHAnsi" w:cs="Cambria"/>
          <w:sz w:val="20"/>
          <w:szCs w:val="20"/>
        </w:rPr>
        <w:t xml:space="preserve">informe el </w:t>
      </w:r>
      <w:r w:rsidR="0016316B" w:rsidRPr="009F54A5">
        <w:rPr>
          <w:rFonts w:asciiTheme="majorHAnsi" w:hAnsiTheme="majorHAnsi" w:cs="Cambria"/>
          <w:sz w:val="20"/>
          <w:szCs w:val="20"/>
        </w:rPr>
        <w:t>31</w:t>
      </w:r>
      <w:r w:rsidRPr="009F54A5">
        <w:rPr>
          <w:rFonts w:asciiTheme="majorHAnsi" w:hAnsiTheme="majorHAnsi" w:cs="Cambria"/>
          <w:sz w:val="20"/>
          <w:szCs w:val="20"/>
        </w:rPr>
        <w:t xml:space="preserve"> diciembre de 2017</w:t>
      </w:r>
      <w:r w:rsidR="00FC30D3" w:rsidRPr="009F54A5">
        <w:rPr>
          <w:rFonts w:asciiTheme="majorHAnsi" w:hAnsiTheme="majorHAnsi" w:cs="Cambria"/>
          <w:sz w:val="20"/>
          <w:szCs w:val="20"/>
        </w:rPr>
        <w:t>.</w:t>
      </w:r>
    </w:p>
    <w:p w14:paraId="7E9CAB6F" w14:textId="77777777" w:rsidR="00FC30D3" w:rsidRPr="009F54A5" w:rsidRDefault="00FC30D3" w:rsidP="0067541B"/>
    <w:p w14:paraId="5B69BF0D" w14:textId="77777777" w:rsidR="008F2E49" w:rsidRPr="009F54A5" w:rsidRDefault="008F2E49" w:rsidP="0067541B">
      <w:pPr>
        <w:pStyle w:val="Heading2"/>
        <w:spacing w:before="0"/>
        <w:ind w:left="708"/>
        <w:rPr>
          <w:i/>
          <w:color w:val="auto"/>
          <w:sz w:val="20"/>
          <w:szCs w:val="20"/>
          <w:lang w:val="es-ES"/>
        </w:rPr>
      </w:pPr>
      <w:bookmarkStart w:id="14" w:name="_Toc503361004"/>
      <w:r w:rsidRPr="009F54A5">
        <w:rPr>
          <w:i/>
          <w:color w:val="auto"/>
          <w:sz w:val="20"/>
          <w:szCs w:val="20"/>
          <w:lang w:val="es-ES"/>
        </w:rPr>
        <w:t>Institucionalidad democrática</w:t>
      </w:r>
      <w:bookmarkEnd w:id="6"/>
      <w:bookmarkEnd w:id="7"/>
      <w:bookmarkEnd w:id="8"/>
      <w:bookmarkEnd w:id="9"/>
      <w:bookmarkEnd w:id="10"/>
      <w:bookmarkEnd w:id="14"/>
    </w:p>
    <w:p w14:paraId="02D34E23" w14:textId="77777777" w:rsidR="008F2E49" w:rsidRPr="009F54A5" w:rsidRDefault="008F2E49" w:rsidP="0067541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olor w:val="auto"/>
          <w:sz w:val="20"/>
          <w:szCs w:val="20"/>
          <w:lang w:val="es-ES"/>
        </w:rPr>
      </w:pPr>
    </w:p>
    <w:p w14:paraId="7F694437" w14:textId="08A36744" w:rsidR="007F27ED" w:rsidRPr="009F54A5" w:rsidRDefault="0085683B" w:rsidP="0067541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20"/>
        <w:contextualSpacing/>
        <w:jc w:val="both"/>
        <w:rPr>
          <w:rFonts w:asciiTheme="majorHAnsi" w:hAnsiTheme="majorHAnsi"/>
          <w:color w:val="auto"/>
          <w:sz w:val="20"/>
          <w:szCs w:val="20"/>
        </w:rPr>
      </w:pPr>
      <w:r w:rsidRPr="009F54A5">
        <w:rPr>
          <w:rFonts w:asciiTheme="majorHAnsi" w:hAnsiTheme="majorHAnsi"/>
          <w:sz w:val="20"/>
          <w:szCs w:val="20"/>
          <w:lang w:val="es-ES"/>
        </w:rPr>
        <w:t>Desde</w:t>
      </w:r>
      <w:r w:rsidRPr="009F54A5">
        <w:rPr>
          <w:rFonts w:asciiTheme="majorHAnsi" w:hAnsiTheme="majorHAnsi"/>
          <w:sz w:val="20"/>
          <w:szCs w:val="20"/>
          <w:lang w:val="es-PE"/>
        </w:rPr>
        <w:t xml:space="preserve"> hace varios años, </w:t>
      </w:r>
      <w:r w:rsidRPr="009F54A5">
        <w:rPr>
          <w:rFonts w:asciiTheme="majorHAnsi" w:hAnsiTheme="majorHAnsi"/>
          <w:sz w:val="20"/>
          <w:szCs w:val="20"/>
          <w:lang w:val="es-ES"/>
        </w:rPr>
        <w:t>l</w:t>
      </w:r>
      <w:r w:rsidR="00D82135" w:rsidRPr="009F54A5">
        <w:rPr>
          <w:rFonts w:asciiTheme="majorHAnsi" w:hAnsiTheme="majorHAnsi"/>
          <w:sz w:val="20"/>
          <w:szCs w:val="20"/>
          <w:lang w:val="es-ES"/>
        </w:rPr>
        <w:t>a CIDH ha venido observando un paulatino deterioro en</w:t>
      </w:r>
      <w:r w:rsidR="008F2E49" w:rsidRPr="009F54A5">
        <w:rPr>
          <w:rFonts w:asciiTheme="majorHAnsi" w:hAnsiTheme="majorHAnsi"/>
          <w:sz w:val="20"/>
          <w:szCs w:val="20"/>
          <w:lang w:val="es-ES"/>
        </w:rPr>
        <w:t xml:space="preserve"> la institucionalidad democrática y la situación de derechos humanos en Venezuela </w:t>
      </w:r>
      <w:r w:rsidRPr="009F54A5">
        <w:rPr>
          <w:rFonts w:asciiTheme="majorHAnsi" w:hAnsiTheme="majorHAnsi"/>
          <w:sz w:val="20"/>
          <w:szCs w:val="20"/>
          <w:lang w:val="es-PE"/>
        </w:rPr>
        <w:t xml:space="preserve">que se ha profundizado e intensificado significativamente a partir del 2015. Como analiza la CIDH en el presente informe, se trata de una problemática </w:t>
      </w:r>
      <w:r w:rsidR="00CF427A" w:rsidRPr="009F54A5">
        <w:rPr>
          <w:rFonts w:asciiTheme="majorHAnsi" w:hAnsiTheme="majorHAnsi"/>
          <w:sz w:val="20"/>
          <w:szCs w:val="20"/>
          <w:lang w:val="es-PE"/>
        </w:rPr>
        <w:t xml:space="preserve">compleja </w:t>
      </w:r>
      <w:r w:rsidRPr="009F54A5">
        <w:rPr>
          <w:rFonts w:asciiTheme="majorHAnsi" w:hAnsiTheme="majorHAnsi"/>
          <w:sz w:val="20"/>
          <w:szCs w:val="20"/>
          <w:lang w:val="es-PE"/>
        </w:rPr>
        <w:t xml:space="preserve">que tiene sus raíces en la injerencia del Poder Ejecutivo en los otros poderes públicos. </w:t>
      </w:r>
      <w:r w:rsidR="007F27ED" w:rsidRPr="009F54A5">
        <w:rPr>
          <w:rFonts w:asciiTheme="majorHAnsi" w:hAnsiTheme="majorHAnsi"/>
          <w:sz w:val="20"/>
          <w:szCs w:val="20"/>
          <w:lang w:val="es-PE"/>
        </w:rPr>
        <w:t>Esta inobservancia de</w:t>
      </w:r>
      <w:r w:rsidR="00E40345" w:rsidRPr="009F54A5">
        <w:rPr>
          <w:rFonts w:asciiTheme="majorHAnsi" w:hAnsiTheme="majorHAnsi"/>
          <w:sz w:val="20"/>
          <w:szCs w:val="20"/>
          <w:lang w:val="es-PE"/>
        </w:rPr>
        <w:t xml:space="preserve">l principio de separación de poderes se refleja de manera particularmente grave en la preocupante actuación del Poder Judicial, </w:t>
      </w:r>
      <w:r w:rsidR="00B26A64" w:rsidRPr="009F54A5">
        <w:rPr>
          <w:rFonts w:asciiTheme="majorHAnsi" w:hAnsiTheme="majorHAnsi"/>
          <w:sz w:val="20"/>
          <w:szCs w:val="20"/>
          <w:lang w:val="es-PE"/>
        </w:rPr>
        <w:t>en especial en los dos últimos años</w:t>
      </w:r>
      <w:r w:rsidRPr="009F54A5">
        <w:rPr>
          <w:rFonts w:asciiTheme="majorHAnsi" w:hAnsiTheme="majorHAnsi"/>
          <w:sz w:val="20"/>
          <w:szCs w:val="20"/>
          <w:lang w:val="es-PE"/>
        </w:rPr>
        <w:t xml:space="preserve">. </w:t>
      </w:r>
      <w:r w:rsidR="00B26A64" w:rsidRPr="009F54A5">
        <w:rPr>
          <w:rFonts w:asciiTheme="majorHAnsi" w:hAnsiTheme="majorHAnsi"/>
          <w:sz w:val="20"/>
          <w:szCs w:val="20"/>
          <w:lang w:val="es-PE"/>
        </w:rPr>
        <w:t xml:space="preserve">En efecto, </w:t>
      </w:r>
      <w:r w:rsidR="00CF427A" w:rsidRPr="009F54A5">
        <w:rPr>
          <w:rFonts w:asciiTheme="majorHAnsi" w:hAnsiTheme="majorHAnsi"/>
          <w:sz w:val="20"/>
          <w:szCs w:val="20"/>
          <w:lang w:val="es-PE"/>
        </w:rPr>
        <w:t xml:space="preserve">el agravamiento de la crisis reciente en Venezuela se relaciona estrechamente con </w:t>
      </w:r>
      <w:r w:rsidR="008F2E49" w:rsidRPr="009F54A5">
        <w:rPr>
          <w:rFonts w:asciiTheme="majorHAnsi" w:hAnsiTheme="majorHAnsi"/>
          <w:sz w:val="20"/>
          <w:szCs w:val="20"/>
          <w:lang w:val="es-ES"/>
        </w:rPr>
        <w:t>una serie</w:t>
      </w:r>
      <w:r w:rsidR="008F2E49" w:rsidRPr="009F54A5">
        <w:rPr>
          <w:rFonts w:asciiTheme="majorHAnsi" w:hAnsiTheme="majorHAnsi"/>
          <w:sz w:val="20"/>
          <w:szCs w:val="20"/>
          <w:lang w:val="es-PE"/>
        </w:rPr>
        <w:t xml:space="preserve"> de decisiones adoptadas por el Tribunal Supremo de Justicia (TSJ), que representaron injerencias en la Asamblea Nacional (AN) y afectaron el principio de separación de poderes. </w:t>
      </w:r>
      <w:r w:rsidR="00B26A64" w:rsidRPr="009F54A5">
        <w:rPr>
          <w:rFonts w:asciiTheme="majorHAnsi" w:hAnsiTheme="majorHAnsi"/>
          <w:sz w:val="20"/>
          <w:szCs w:val="20"/>
          <w:lang w:val="es-PE"/>
        </w:rPr>
        <w:t>Esta situación se agravó e</w:t>
      </w:r>
      <w:r w:rsidR="008F2E49" w:rsidRPr="009F54A5">
        <w:rPr>
          <w:rFonts w:asciiTheme="majorHAnsi" w:hAnsiTheme="majorHAnsi"/>
          <w:sz w:val="20"/>
          <w:szCs w:val="20"/>
          <w:lang w:val="es-PE"/>
        </w:rPr>
        <w:t xml:space="preserve">n el </w:t>
      </w:r>
      <w:r w:rsidR="00B26A64" w:rsidRPr="009F54A5">
        <w:rPr>
          <w:rFonts w:asciiTheme="majorHAnsi" w:hAnsiTheme="majorHAnsi"/>
          <w:sz w:val="20"/>
          <w:szCs w:val="20"/>
          <w:lang w:val="es-PE"/>
        </w:rPr>
        <w:t>2017 al punto de producirse</w:t>
      </w:r>
      <w:r w:rsidR="008F2E49" w:rsidRPr="009F54A5">
        <w:rPr>
          <w:rFonts w:asciiTheme="majorHAnsi" w:hAnsiTheme="majorHAnsi"/>
          <w:sz w:val="20"/>
          <w:szCs w:val="20"/>
          <w:lang w:val="es-PE"/>
        </w:rPr>
        <w:t xml:space="preserve"> </w:t>
      </w:r>
      <w:r w:rsidR="00B26A64" w:rsidRPr="009F54A5">
        <w:rPr>
          <w:rFonts w:asciiTheme="majorHAnsi" w:hAnsiTheme="majorHAnsi"/>
          <w:sz w:val="20"/>
          <w:szCs w:val="20"/>
          <w:lang w:val="es-PE"/>
        </w:rPr>
        <w:t>una</w:t>
      </w:r>
      <w:r w:rsidR="004E1495" w:rsidRPr="009F54A5">
        <w:rPr>
          <w:rFonts w:asciiTheme="majorHAnsi" w:hAnsiTheme="majorHAnsi"/>
          <w:sz w:val="20"/>
          <w:szCs w:val="20"/>
          <w:lang w:val="es-PE"/>
        </w:rPr>
        <w:t xml:space="preserve"> </w:t>
      </w:r>
      <w:r w:rsidR="00E1113C" w:rsidRPr="009F54A5">
        <w:rPr>
          <w:rFonts w:asciiTheme="majorHAnsi" w:hAnsiTheme="majorHAnsi"/>
          <w:sz w:val="20"/>
          <w:szCs w:val="20"/>
          <w:lang w:val="es-PE"/>
        </w:rPr>
        <w:t>alteración</w:t>
      </w:r>
      <w:r w:rsidR="008F2E49" w:rsidRPr="009F54A5">
        <w:rPr>
          <w:rFonts w:asciiTheme="majorHAnsi" w:hAnsiTheme="majorHAnsi"/>
          <w:sz w:val="20"/>
          <w:szCs w:val="20"/>
          <w:lang w:val="es-PE"/>
        </w:rPr>
        <w:t xml:space="preserve"> del orden constituci</w:t>
      </w:r>
      <w:r w:rsidR="00E1113C" w:rsidRPr="009F54A5">
        <w:rPr>
          <w:rFonts w:asciiTheme="majorHAnsi" w:hAnsiTheme="majorHAnsi"/>
          <w:sz w:val="20"/>
          <w:szCs w:val="20"/>
          <w:lang w:val="es-PE"/>
        </w:rPr>
        <w:t>onal</w:t>
      </w:r>
      <w:r w:rsidR="008F2E49" w:rsidRPr="009F54A5">
        <w:rPr>
          <w:rFonts w:asciiTheme="majorHAnsi" w:hAnsiTheme="majorHAnsi"/>
          <w:sz w:val="20"/>
          <w:szCs w:val="20"/>
          <w:lang w:val="es-PE"/>
        </w:rPr>
        <w:t xml:space="preserve"> con las Sentencias Nº 155 y 156 emitidas por el TSJ el 28 y 29 de marzo, respectivamente, en las cuales levantó las inmunidades parlamentarias a los diputados de la AN, estableció que sus actos constituyen “traición a la patria”, otorgó al Poder Ejecutivo amplios poderes </w:t>
      </w:r>
      <w:r w:rsidR="008F2E49" w:rsidRPr="009F54A5">
        <w:rPr>
          <w:rFonts w:asciiTheme="majorHAnsi" w:hAnsiTheme="majorHAnsi"/>
          <w:sz w:val="20"/>
          <w:szCs w:val="20"/>
          <w:lang w:val="es-PE"/>
        </w:rPr>
        <w:lastRenderedPageBreak/>
        <w:t xml:space="preserve">discrecionales, y se arrogó competencias del Poder Legislativo. </w:t>
      </w:r>
      <w:r w:rsidR="007F27ED" w:rsidRPr="009F54A5">
        <w:rPr>
          <w:rFonts w:asciiTheme="majorHAnsi" w:hAnsiTheme="majorHAnsi"/>
          <w:sz w:val="20"/>
          <w:szCs w:val="20"/>
          <w:lang w:val="es-PE"/>
        </w:rPr>
        <w:t>Como señaló la CIDH en su momento, t</w:t>
      </w:r>
      <w:r w:rsidR="008F2E49" w:rsidRPr="009F54A5">
        <w:rPr>
          <w:rFonts w:asciiTheme="majorHAnsi" w:hAnsiTheme="majorHAnsi"/>
          <w:sz w:val="20"/>
          <w:szCs w:val="20"/>
          <w:lang w:val="es-PE"/>
        </w:rPr>
        <w:t xml:space="preserve">ales medidas constituyeron una usurpación de las funciones del Poder Legislativo por parte de los Poderes Judicial y Ejecutivo, así como una anulación </w:t>
      </w:r>
      <w:r w:rsidR="008F2E49" w:rsidRPr="009F54A5">
        <w:rPr>
          <w:rFonts w:asciiTheme="majorHAnsi" w:hAnsiTheme="majorHAnsi"/>
          <w:i/>
          <w:sz w:val="20"/>
          <w:szCs w:val="20"/>
          <w:lang w:val="es-PE"/>
        </w:rPr>
        <w:t>de facto</w:t>
      </w:r>
      <w:r w:rsidR="008F2E49" w:rsidRPr="009F54A5">
        <w:rPr>
          <w:rFonts w:asciiTheme="majorHAnsi" w:hAnsiTheme="majorHAnsi"/>
          <w:sz w:val="20"/>
          <w:szCs w:val="20"/>
          <w:lang w:val="es-PE"/>
        </w:rPr>
        <w:t xml:space="preserve"> del voto popular mediante el cual fueron elegidos los diputados</w:t>
      </w:r>
      <w:r w:rsidR="00247A39" w:rsidRPr="009F54A5">
        <w:rPr>
          <w:rFonts w:asciiTheme="majorHAnsi" w:hAnsiTheme="majorHAnsi"/>
          <w:sz w:val="20"/>
          <w:szCs w:val="20"/>
          <w:vertAlign w:val="superscript"/>
        </w:rPr>
        <w:footnoteReference w:id="8"/>
      </w:r>
      <w:r w:rsidR="008F2E49" w:rsidRPr="009F54A5">
        <w:rPr>
          <w:rFonts w:asciiTheme="majorHAnsi" w:hAnsiTheme="majorHAnsi"/>
          <w:sz w:val="20"/>
          <w:szCs w:val="20"/>
          <w:lang w:val="es-PE"/>
        </w:rPr>
        <w:t xml:space="preserve">. </w:t>
      </w:r>
    </w:p>
    <w:p w14:paraId="046AF855" w14:textId="77777777" w:rsidR="007F27ED" w:rsidRPr="009F54A5" w:rsidRDefault="007F27ED" w:rsidP="007F27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olor w:val="auto"/>
          <w:sz w:val="20"/>
          <w:szCs w:val="20"/>
        </w:rPr>
      </w:pPr>
    </w:p>
    <w:p w14:paraId="16C59326" w14:textId="7E9A8E20" w:rsidR="00077D47" w:rsidRPr="009F54A5" w:rsidRDefault="008F2E49" w:rsidP="00077D4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000000" w:themeColor="text1"/>
          <w:sz w:val="20"/>
          <w:szCs w:val="20"/>
          <w:lang w:val="es-PE"/>
        </w:rPr>
      </w:pPr>
      <w:r w:rsidRPr="009F54A5">
        <w:rPr>
          <w:rFonts w:asciiTheme="majorHAnsi" w:hAnsiTheme="majorHAnsi"/>
          <w:color w:val="auto"/>
          <w:sz w:val="20"/>
          <w:szCs w:val="20"/>
          <w:lang w:val="es-PE"/>
        </w:rPr>
        <w:t xml:space="preserve">La </w:t>
      </w:r>
      <w:r w:rsidR="00E1113C" w:rsidRPr="009F54A5">
        <w:rPr>
          <w:rFonts w:asciiTheme="majorHAnsi" w:hAnsiTheme="majorHAnsi"/>
          <w:color w:val="auto"/>
          <w:sz w:val="20"/>
          <w:szCs w:val="20"/>
          <w:lang w:val="es-PE"/>
        </w:rPr>
        <w:t>alteración</w:t>
      </w:r>
      <w:r w:rsidRPr="009F54A5">
        <w:rPr>
          <w:rFonts w:asciiTheme="majorHAnsi" w:hAnsiTheme="majorHAnsi"/>
          <w:color w:val="auto"/>
          <w:sz w:val="20"/>
          <w:szCs w:val="20"/>
          <w:lang w:val="es-PE"/>
        </w:rPr>
        <w:t xml:space="preserve"> del orden constitucional en Venezuela fue posible por una serie de factores que determinan que el país present</w:t>
      </w:r>
      <w:r w:rsidR="0067541B" w:rsidRPr="009F54A5">
        <w:rPr>
          <w:rFonts w:asciiTheme="majorHAnsi" w:hAnsiTheme="majorHAnsi"/>
          <w:color w:val="auto"/>
          <w:sz w:val="20"/>
          <w:szCs w:val="20"/>
          <w:lang w:val="es-PE"/>
        </w:rPr>
        <w:t>e</w:t>
      </w:r>
      <w:r w:rsidRPr="009F54A5">
        <w:rPr>
          <w:rFonts w:asciiTheme="majorHAnsi" w:hAnsiTheme="majorHAnsi"/>
          <w:color w:val="auto"/>
          <w:sz w:val="20"/>
          <w:szCs w:val="20"/>
          <w:lang w:val="es-PE"/>
        </w:rPr>
        <w:t xml:space="preserve">, en general, serias deficiencias en su </w:t>
      </w:r>
      <w:r w:rsidR="00905AE5" w:rsidRPr="009F54A5">
        <w:rPr>
          <w:rFonts w:asciiTheme="majorHAnsi" w:hAnsiTheme="majorHAnsi"/>
          <w:color w:val="auto"/>
          <w:sz w:val="20"/>
          <w:szCs w:val="20"/>
          <w:lang w:val="es-PE"/>
        </w:rPr>
        <w:t>institucionalidad democrática.</w:t>
      </w:r>
      <w:r w:rsidR="006F61C6" w:rsidRPr="009F54A5">
        <w:rPr>
          <w:rFonts w:asciiTheme="majorHAnsi" w:hAnsiTheme="majorHAnsi"/>
          <w:color w:val="auto"/>
          <w:sz w:val="20"/>
          <w:szCs w:val="20"/>
          <w:lang w:val="es-PE"/>
        </w:rPr>
        <w:t xml:space="preserve"> </w:t>
      </w:r>
      <w:r w:rsidR="00B26A64" w:rsidRPr="009F54A5">
        <w:rPr>
          <w:rFonts w:asciiTheme="majorHAnsi" w:hAnsiTheme="majorHAnsi"/>
          <w:color w:val="auto"/>
          <w:sz w:val="20"/>
          <w:szCs w:val="20"/>
          <w:lang w:val="es-PE"/>
        </w:rPr>
        <w:t>La</w:t>
      </w:r>
      <w:r w:rsidRPr="009F54A5">
        <w:rPr>
          <w:rFonts w:asciiTheme="majorHAnsi" w:hAnsiTheme="majorHAnsi" w:cs="Arial"/>
          <w:color w:val="auto"/>
          <w:sz w:val="20"/>
          <w:szCs w:val="20"/>
          <w:lang w:val="es-PE"/>
        </w:rPr>
        <w:t xml:space="preserve"> falta de in</w:t>
      </w:r>
      <w:r w:rsidR="00B26A64" w:rsidRPr="009F54A5">
        <w:rPr>
          <w:rFonts w:asciiTheme="majorHAnsi" w:hAnsiTheme="majorHAnsi" w:cs="Arial"/>
          <w:color w:val="auto"/>
          <w:sz w:val="20"/>
          <w:szCs w:val="20"/>
          <w:lang w:val="es-PE"/>
        </w:rPr>
        <w:t xml:space="preserve">dependencia del Poder Judicial </w:t>
      </w:r>
      <w:r w:rsidRPr="009F54A5">
        <w:rPr>
          <w:rFonts w:asciiTheme="majorHAnsi" w:hAnsiTheme="majorHAnsi" w:cs="Arial"/>
          <w:color w:val="auto"/>
          <w:sz w:val="20"/>
          <w:szCs w:val="20"/>
          <w:lang w:val="es-PE"/>
        </w:rPr>
        <w:t>es</w:t>
      </w:r>
      <w:r w:rsidR="00B26A64" w:rsidRPr="009F54A5">
        <w:rPr>
          <w:rFonts w:asciiTheme="majorHAnsi" w:hAnsiTheme="majorHAnsi" w:cs="Arial"/>
          <w:color w:val="auto"/>
          <w:sz w:val="20"/>
          <w:szCs w:val="20"/>
          <w:lang w:val="es-PE"/>
        </w:rPr>
        <w:t>,</w:t>
      </w:r>
      <w:r w:rsidRPr="009F54A5">
        <w:rPr>
          <w:rFonts w:asciiTheme="majorHAnsi" w:hAnsiTheme="majorHAnsi" w:cs="Arial"/>
          <w:color w:val="auto"/>
          <w:sz w:val="20"/>
          <w:szCs w:val="20"/>
          <w:lang w:val="es-PE"/>
        </w:rPr>
        <w:t xml:space="preserve"> en opinión de la CIDH</w:t>
      </w:r>
      <w:r w:rsidR="00B26A64" w:rsidRPr="009F54A5">
        <w:rPr>
          <w:rFonts w:asciiTheme="majorHAnsi" w:hAnsiTheme="majorHAnsi" w:cs="Arial"/>
          <w:color w:val="auto"/>
          <w:sz w:val="20"/>
          <w:szCs w:val="20"/>
          <w:lang w:val="es-PE"/>
        </w:rPr>
        <w:t>,</w:t>
      </w:r>
      <w:r w:rsidRPr="009F54A5">
        <w:rPr>
          <w:rFonts w:asciiTheme="majorHAnsi" w:hAnsiTheme="majorHAnsi" w:cs="Arial"/>
          <w:color w:val="auto"/>
          <w:sz w:val="20"/>
          <w:szCs w:val="20"/>
          <w:lang w:val="es-PE"/>
        </w:rPr>
        <w:t xml:space="preserve"> un elemento </w:t>
      </w:r>
      <w:r w:rsidR="00C82B86" w:rsidRPr="009F54A5">
        <w:rPr>
          <w:rFonts w:asciiTheme="majorHAnsi" w:hAnsiTheme="majorHAnsi" w:cs="Arial"/>
          <w:color w:val="auto"/>
          <w:sz w:val="20"/>
          <w:szCs w:val="20"/>
          <w:lang w:val="es-PE"/>
        </w:rPr>
        <w:t>que</w:t>
      </w:r>
      <w:r w:rsidR="00B26A64" w:rsidRPr="009F54A5">
        <w:rPr>
          <w:rFonts w:asciiTheme="majorHAnsi" w:hAnsiTheme="majorHAnsi" w:cs="Arial"/>
          <w:color w:val="auto"/>
          <w:sz w:val="20"/>
          <w:szCs w:val="20"/>
          <w:lang w:val="es-PE"/>
        </w:rPr>
        <w:t xml:space="preserve"> </w:t>
      </w:r>
      <w:r w:rsidR="00C82B86" w:rsidRPr="009F54A5">
        <w:rPr>
          <w:rFonts w:asciiTheme="majorHAnsi" w:hAnsiTheme="majorHAnsi" w:cs="Arial"/>
          <w:color w:val="auto"/>
          <w:sz w:val="20"/>
          <w:szCs w:val="20"/>
          <w:lang w:val="es-PE"/>
        </w:rPr>
        <w:t>incide de manera determinante</w:t>
      </w:r>
      <w:r w:rsidRPr="009F54A5">
        <w:rPr>
          <w:rFonts w:asciiTheme="majorHAnsi" w:hAnsiTheme="majorHAnsi" w:cs="Arial"/>
          <w:color w:val="auto"/>
          <w:sz w:val="20"/>
          <w:szCs w:val="20"/>
          <w:lang w:val="es-PE"/>
        </w:rPr>
        <w:t xml:space="preserve"> tanto </w:t>
      </w:r>
      <w:r w:rsidR="006F61C6" w:rsidRPr="009F54A5">
        <w:rPr>
          <w:rFonts w:asciiTheme="majorHAnsi" w:hAnsiTheme="majorHAnsi" w:cs="Arial"/>
          <w:color w:val="auto"/>
          <w:sz w:val="20"/>
          <w:szCs w:val="20"/>
          <w:lang w:val="es-PE"/>
        </w:rPr>
        <w:t xml:space="preserve">en </w:t>
      </w:r>
      <w:r w:rsidRPr="009F54A5">
        <w:rPr>
          <w:rFonts w:asciiTheme="majorHAnsi" w:hAnsiTheme="majorHAnsi" w:cs="Arial"/>
          <w:color w:val="auto"/>
          <w:sz w:val="20"/>
          <w:szCs w:val="20"/>
          <w:lang w:val="es-PE"/>
        </w:rPr>
        <w:t>la injerencia del Poder Ejecutivo en el Judicial</w:t>
      </w:r>
      <w:r w:rsidR="004440BC" w:rsidRPr="009F54A5">
        <w:rPr>
          <w:rFonts w:asciiTheme="majorHAnsi" w:hAnsiTheme="majorHAnsi" w:cs="Arial"/>
          <w:color w:val="auto"/>
          <w:sz w:val="20"/>
          <w:szCs w:val="20"/>
          <w:lang w:val="es-PE"/>
        </w:rPr>
        <w:t xml:space="preserve">, </w:t>
      </w:r>
      <w:r w:rsidRPr="009F54A5">
        <w:rPr>
          <w:rFonts w:asciiTheme="majorHAnsi" w:hAnsiTheme="majorHAnsi" w:cs="Arial"/>
          <w:color w:val="auto"/>
          <w:sz w:val="20"/>
          <w:szCs w:val="20"/>
          <w:lang w:val="es-PE"/>
        </w:rPr>
        <w:t xml:space="preserve">como </w:t>
      </w:r>
      <w:r w:rsidR="006F61C6" w:rsidRPr="009F54A5">
        <w:rPr>
          <w:rFonts w:asciiTheme="majorHAnsi" w:hAnsiTheme="majorHAnsi" w:cs="Arial"/>
          <w:color w:val="auto"/>
          <w:sz w:val="20"/>
          <w:szCs w:val="20"/>
          <w:lang w:val="es-PE"/>
        </w:rPr>
        <w:t xml:space="preserve">en </w:t>
      </w:r>
      <w:r w:rsidRPr="009F54A5">
        <w:rPr>
          <w:rFonts w:asciiTheme="majorHAnsi" w:hAnsiTheme="majorHAnsi" w:cs="Arial"/>
          <w:color w:val="auto"/>
          <w:sz w:val="20"/>
          <w:szCs w:val="20"/>
          <w:lang w:val="es-PE"/>
        </w:rPr>
        <w:t xml:space="preserve">la de este último en el Legislativo. </w:t>
      </w:r>
      <w:r w:rsidR="00C82B86" w:rsidRPr="009F54A5">
        <w:rPr>
          <w:rFonts w:asciiTheme="majorHAnsi" w:hAnsiTheme="majorHAnsi" w:cs="Arial"/>
          <w:sz w:val="20"/>
          <w:szCs w:val="20"/>
          <w:lang w:val="es-PE"/>
        </w:rPr>
        <w:t xml:space="preserve">A su vez, un factor importante en la falta de independencia son los </w:t>
      </w:r>
      <w:r w:rsidRPr="009F54A5">
        <w:rPr>
          <w:rFonts w:asciiTheme="majorHAnsi" w:eastAsia="Times New Roman" w:hAnsiTheme="majorHAnsi" w:cs="Tahoma"/>
          <w:color w:val="000000" w:themeColor="text1"/>
          <w:sz w:val="20"/>
          <w:szCs w:val="20"/>
          <w:shd w:val="clear" w:color="auto" w:fill="FFFFFF"/>
          <w:lang w:val="es-PE"/>
        </w:rPr>
        <w:t>procesos inadecuados de elección y la ausencia de garantías de permanencia en el cargo de ma</w:t>
      </w:r>
      <w:r w:rsidR="002114A8" w:rsidRPr="009F54A5">
        <w:rPr>
          <w:rFonts w:asciiTheme="majorHAnsi" w:eastAsia="Times New Roman" w:hAnsiTheme="majorHAnsi" w:cs="Tahoma"/>
          <w:color w:val="000000" w:themeColor="text1"/>
          <w:sz w:val="20"/>
          <w:szCs w:val="20"/>
          <w:shd w:val="clear" w:color="auto" w:fill="FFFFFF"/>
          <w:lang w:val="es-PE"/>
        </w:rPr>
        <w:t>gistrados y magistradas del TSJ</w:t>
      </w:r>
      <w:r w:rsidR="004440BC" w:rsidRPr="009F54A5">
        <w:rPr>
          <w:rFonts w:asciiTheme="majorHAnsi" w:eastAsia="Times New Roman" w:hAnsiTheme="majorHAnsi" w:cs="Tahoma"/>
          <w:color w:val="000000" w:themeColor="text1"/>
          <w:sz w:val="20"/>
          <w:szCs w:val="20"/>
          <w:shd w:val="clear" w:color="auto" w:fill="FFFFFF"/>
          <w:lang w:val="es-PE"/>
        </w:rPr>
        <w:t>, como se observa en este informe</w:t>
      </w:r>
      <w:r w:rsidRPr="009F54A5">
        <w:rPr>
          <w:rFonts w:asciiTheme="majorHAnsi" w:eastAsia="Times New Roman" w:hAnsiTheme="majorHAnsi" w:cs="Tahoma"/>
          <w:color w:val="000000" w:themeColor="text1"/>
          <w:sz w:val="20"/>
          <w:szCs w:val="20"/>
          <w:shd w:val="clear" w:color="auto" w:fill="FFFFFF"/>
          <w:lang w:val="es-PE"/>
        </w:rPr>
        <w:t xml:space="preserve">. </w:t>
      </w:r>
      <w:r w:rsidR="004440BC" w:rsidRPr="009F54A5">
        <w:rPr>
          <w:rFonts w:asciiTheme="majorHAnsi" w:eastAsia="Times New Roman" w:hAnsiTheme="majorHAnsi" w:cs="Tahoma"/>
          <w:color w:val="000000" w:themeColor="text1"/>
          <w:sz w:val="20"/>
          <w:szCs w:val="20"/>
          <w:shd w:val="clear" w:color="auto" w:fill="FFFFFF"/>
          <w:lang w:val="es-PE"/>
        </w:rPr>
        <w:t>Es por ello que</w:t>
      </w:r>
      <w:r w:rsidR="002114A8" w:rsidRPr="009F54A5">
        <w:rPr>
          <w:rFonts w:asciiTheme="majorHAnsi" w:eastAsia="Times New Roman" w:hAnsiTheme="majorHAnsi" w:cs="Tahoma"/>
          <w:color w:val="000000" w:themeColor="text1"/>
          <w:sz w:val="20"/>
          <w:szCs w:val="20"/>
          <w:shd w:val="clear" w:color="auto" w:fill="FFFFFF"/>
          <w:lang w:val="es-PE"/>
        </w:rPr>
        <w:t xml:space="preserve"> l</w:t>
      </w:r>
      <w:r w:rsidRPr="009F54A5">
        <w:rPr>
          <w:rFonts w:asciiTheme="majorHAnsi" w:hAnsiTheme="majorHAnsi"/>
          <w:color w:val="000000" w:themeColor="text1"/>
          <w:sz w:val="20"/>
          <w:szCs w:val="20"/>
          <w:lang w:val="es-PE"/>
        </w:rPr>
        <w:t xml:space="preserve">a Comisión considera necesario </w:t>
      </w:r>
      <w:r w:rsidR="00077D47" w:rsidRPr="009F54A5">
        <w:rPr>
          <w:rFonts w:asciiTheme="majorHAnsi" w:hAnsiTheme="majorHAnsi"/>
          <w:color w:val="000000" w:themeColor="text1"/>
          <w:sz w:val="20"/>
          <w:szCs w:val="20"/>
          <w:lang w:val="es-PE"/>
        </w:rPr>
        <w:t xml:space="preserve">que se adopten medidas para </w:t>
      </w:r>
      <w:r w:rsidRPr="009F54A5">
        <w:rPr>
          <w:rFonts w:asciiTheme="majorHAnsi" w:hAnsiTheme="majorHAnsi"/>
          <w:color w:val="000000" w:themeColor="text1"/>
          <w:sz w:val="20"/>
          <w:szCs w:val="20"/>
          <w:lang w:val="es-PE"/>
        </w:rPr>
        <w:t xml:space="preserve">evitar </w:t>
      </w:r>
      <w:r w:rsidR="00077D47" w:rsidRPr="009F54A5">
        <w:rPr>
          <w:rFonts w:asciiTheme="majorHAnsi" w:hAnsiTheme="majorHAnsi"/>
          <w:color w:val="000000" w:themeColor="text1"/>
          <w:sz w:val="20"/>
          <w:szCs w:val="20"/>
          <w:lang w:val="es-PE"/>
        </w:rPr>
        <w:t xml:space="preserve">riesgos </w:t>
      </w:r>
      <w:r w:rsidR="002114A8" w:rsidRPr="009F54A5">
        <w:rPr>
          <w:rFonts w:asciiTheme="majorHAnsi" w:hAnsiTheme="majorHAnsi"/>
          <w:color w:val="000000" w:themeColor="text1"/>
          <w:sz w:val="20"/>
          <w:szCs w:val="20"/>
          <w:lang w:val="es-PE"/>
        </w:rPr>
        <w:t>a</w:t>
      </w:r>
      <w:r w:rsidR="00077D47" w:rsidRPr="009F54A5">
        <w:rPr>
          <w:rFonts w:asciiTheme="majorHAnsi" w:hAnsiTheme="majorHAnsi"/>
          <w:color w:val="000000" w:themeColor="text1"/>
          <w:sz w:val="20"/>
          <w:szCs w:val="20"/>
          <w:lang w:val="es-PE"/>
        </w:rPr>
        <w:t xml:space="preserve"> la independencia judicial </w:t>
      </w:r>
      <w:r w:rsidR="002114A8" w:rsidRPr="009F54A5">
        <w:rPr>
          <w:rFonts w:asciiTheme="majorHAnsi" w:hAnsiTheme="majorHAnsi"/>
          <w:color w:val="000000" w:themeColor="text1"/>
          <w:sz w:val="20"/>
          <w:szCs w:val="20"/>
          <w:lang w:val="es-PE"/>
        </w:rPr>
        <w:t xml:space="preserve">en </w:t>
      </w:r>
      <w:r w:rsidR="004440BC" w:rsidRPr="009F54A5">
        <w:rPr>
          <w:rFonts w:asciiTheme="majorHAnsi" w:hAnsiTheme="majorHAnsi"/>
          <w:color w:val="000000" w:themeColor="text1"/>
          <w:sz w:val="20"/>
          <w:szCs w:val="20"/>
          <w:lang w:val="es-PE"/>
        </w:rPr>
        <w:t xml:space="preserve">la elección, </w:t>
      </w:r>
      <w:r w:rsidR="002114A8" w:rsidRPr="009F54A5">
        <w:rPr>
          <w:rFonts w:asciiTheme="majorHAnsi" w:hAnsiTheme="majorHAnsi"/>
          <w:color w:val="000000" w:themeColor="text1"/>
          <w:sz w:val="20"/>
          <w:szCs w:val="20"/>
          <w:lang w:val="es-PE"/>
        </w:rPr>
        <w:t>nombramiento</w:t>
      </w:r>
      <w:r w:rsidR="004440BC" w:rsidRPr="009F54A5">
        <w:rPr>
          <w:rFonts w:asciiTheme="majorHAnsi" w:hAnsiTheme="majorHAnsi"/>
          <w:color w:val="000000" w:themeColor="text1"/>
          <w:sz w:val="20"/>
          <w:szCs w:val="20"/>
          <w:lang w:val="es-PE"/>
        </w:rPr>
        <w:t xml:space="preserve"> y permanencia</w:t>
      </w:r>
      <w:r w:rsidR="002114A8" w:rsidRPr="009F54A5">
        <w:rPr>
          <w:rFonts w:asciiTheme="majorHAnsi" w:hAnsiTheme="majorHAnsi"/>
          <w:color w:val="000000" w:themeColor="text1"/>
          <w:sz w:val="20"/>
          <w:szCs w:val="20"/>
          <w:lang w:val="es-PE"/>
        </w:rPr>
        <w:t xml:space="preserve"> de los miembros de la </w:t>
      </w:r>
      <w:r w:rsidR="002114A8" w:rsidRPr="009F54A5">
        <w:rPr>
          <w:rFonts w:asciiTheme="majorHAnsi" w:eastAsia="Times New Roman" w:hAnsiTheme="majorHAnsi" w:cs="Tahoma"/>
          <w:color w:val="000000" w:themeColor="text1"/>
          <w:sz w:val="20"/>
          <w:szCs w:val="20"/>
          <w:shd w:val="clear" w:color="auto" w:fill="FFFFFF"/>
          <w:lang w:val="es-PE"/>
        </w:rPr>
        <w:t>máxima instancia judicial en Venezuela</w:t>
      </w:r>
      <w:r w:rsidR="002114A8" w:rsidRPr="009F54A5">
        <w:rPr>
          <w:rFonts w:asciiTheme="majorHAnsi" w:hAnsiTheme="majorHAnsi"/>
          <w:color w:val="000000" w:themeColor="text1"/>
          <w:sz w:val="20"/>
          <w:szCs w:val="20"/>
          <w:lang w:val="es-PE"/>
        </w:rPr>
        <w:t xml:space="preserve">. </w:t>
      </w:r>
      <w:r w:rsidRPr="009F54A5">
        <w:rPr>
          <w:rFonts w:asciiTheme="majorHAnsi" w:hAnsiTheme="majorHAnsi"/>
          <w:sz w:val="20"/>
          <w:szCs w:val="20"/>
          <w:lang w:val="es-PE"/>
        </w:rPr>
        <w:t>En particular, debe asegurarse que en los procesos de nombramiento se cumpla con la difusión previa de las convocatorias, plazos y procedimientos; la garantía de acceso igualitario e incluyente de candidatos; una amplia participación de la sociedad civil</w:t>
      </w:r>
      <w:r w:rsidR="001F01B0" w:rsidRPr="009F54A5">
        <w:rPr>
          <w:rFonts w:asciiTheme="majorHAnsi" w:hAnsiTheme="majorHAnsi"/>
          <w:sz w:val="20"/>
          <w:szCs w:val="20"/>
          <w:lang w:val="es-PE"/>
        </w:rPr>
        <w:t>;</w:t>
      </w:r>
      <w:r w:rsidRPr="009F54A5">
        <w:rPr>
          <w:rFonts w:asciiTheme="majorHAnsi" w:hAnsiTheme="majorHAnsi"/>
          <w:sz w:val="20"/>
          <w:szCs w:val="20"/>
          <w:lang w:val="es-PE"/>
        </w:rPr>
        <w:t xml:space="preserve"> y la calificación con base en el mérito y capacidades profesionales, y no afinidades políticas.</w:t>
      </w:r>
    </w:p>
    <w:p w14:paraId="34AACA1C" w14:textId="77777777" w:rsidR="00077D47" w:rsidRPr="009F54A5" w:rsidRDefault="00077D47" w:rsidP="00077D4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000000" w:themeColor="text1"/>
          <w:sz w:val="20"/>
          <w:szCs w:val="20"/>
          <w:lang w:val="es-PE"/>
        </w:rPr>
      </w:pPr>
    </w:p>
    <w:p w14:paraId="17185B95" w14:textId="77777777" w:rsidR="008F2E49"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000000" w:themeColor="text1"/>
          <w:sz w:val="20"/>
          <w:szCs w:val="20"/>
          <w:lang w:val="es-PE"/>
        </w:rPr>
      </w:pPr>
      <w:r w:rsidRPr="009F54A5">
        <w:rPr>
          <w:rFonts w:asciiTheme="majorHAnsi" w:hAnsiTheme="majorHAnsi" w:cs="Arial"/>
          <w:color w:val="auto"/>
          <w:sz w:val="20"/>
          <w:szCs w:val="20"/>
          <w:lang w:val="es-PE"/>
        </w:rPr>
        <w:t xml:space="preserve">Otro elemento que la CIDH considera </w:t>
      </w:r>
      <w:r w:rsidR="00C82B86" w:rsidRPr="009F54A5">
        <w:rPr>
          <w:rFonts w:asciiTheme="majorHAnsi" w:hAnsiTheme="majorHAnsi" w:cs="Arial"/>
          <w:color w:val="auto"/>
          <w:sz w:val="20"/>
          <w:szCs w:val="20"/>
          <w:lang w:val="es-PE"/>
        </w:rPr>
        <w:t>causa</w:t>
      </w:r>
      <w:r w:rsidRPr="009F54A5">
        <w:rPr>
          <w:rFonts w:asciiTheme="majorHAnsi" w:hAnsiTheme="majorHAnsi" w:cs="Arial"/>
          <w:color w:val="auto"/>
          <w:sz w:val="20"/>
          <w:szCs w:val="20"/>
          <w:lang w:val="es-PE"/>
        </w:rPr>
        <w:t xml:space="preserve">, en general, la falta de independencia del Poder Judicial en Venezuela </w:t>
      </w:r>
      <w:r w:rsidRPr="009F54A5">
        <w:rPr>
          <w:rFonts w:asciiTheme="majorHAnsi" w:hAnsiTheme="majorHAnsi" w:cs="Arial"/>
          <w:sz w:val="20"/>
          <w:szCs w:val="20"/>
          <w:lang w:val="es-PE"/>
        </w:rPr>
        <w:t>es</w:t>
      </w:r>
      <w:r w:rsidRPr="009F54A5">
        <w:rPr>
          <w:rFonts w:asciiTheme="majorHAnsi" w:hAnsiTheme="majorHAnsi" w:cs="Arial"/>
          <w:color w:val="auto"/>
          <w:sz w:val="20"/>
          <w:szCs w:val="20"/>
          <w:lang w:val="es-PE"/>
        </w:rPr>
        <w:t xml:space="preserve"> la alta provi</w:t>
      </w:r>
      <w:r w:rsidRPr="009F54A5">
        <w:rPr>
          <w:rFonts w:asciiTheme="majorHAnsi" w:hAnsiTheme="majorHAnsi" w:cs="Arial"/>
          <w:sz w:val="20"/>
          <w:szCs w:val="20"/>
          <w:lang w:val="es-PE"/>
        </w:rPr>
        <w:t xml:space="preserve">sionalidad de las y los jueces. Ante ello, el Estado requiere adoptar </w:t>
      </w:r>
      <w:r w:rsidRPr="009F54A5">
        <w:rPr>
          <w:rFonts w:asciiTheme="majorHAnsi" w:eastAsia="Times New Roman" w:hAnsiTheme="majorHAnsi" w:cs="Tahoma"/>
          <w:color w:val="auto"/>
          <w:sz w:val="20"/>
          <w:szCs w:val="20"/>
          <w:shd w:val="clear" w:color="auto" w:fill="FFFFFF"/>
          <w:lang w:val="es-PE"/>
        </w:rPr>
        <w:t>medidas urgentes y decididas para aumentar</w:t>
      </w:r>
      <w:r w:rsidRPr="009F54A5">
        <w:rPr>
          <w:rFonts w:asciiTheme="majorHAnsi" w:eastAsia="Times New Roman" w:hAnsiTheme="majorHAnsi" w:cs="Tahoma"/>
          <w:sz w:val="20"/>
          <w:szCs w:val="20"/>
          <w:shd w:val="clear" w:color="auto" w:fill="FFFFFF"/>
          <w:lang w:val="es-PE"/>
        </w:rPr>
        <w:t xml:space="preserve"> significativamente</w:t>
      </w:r>
      <w:r w:rsidRPr="009F54A5">
        <w:rPr>
          <w:rFonts w:asciiTheme="majorHAnsi" w:eastAsia="Times New Roman" w:hAnsiTheme="majorHAnsi" w:cs="Tahoma"/>
          <w:color w:val="auto"/>
          <w:sz w:val="20"/>
          <w:szCs w:val="20"/>
          <w:shd w:val="clear" w:color="auto" w:fill="FFFFFF"/>
          <w:lang w:val="es-PE"/>
        </w:rPr>
        <w:t xml:space="preserve"> el </w:t>
      </w:r>
      <w:r w:rsidRPr="009F54A5">
        <w:rPr>
          <w:rFonts w:asciiTheme="majorHAnsi" w:eastAsia="Times New Roman" w:hAnsiTheme="majorHAnsi" w:cs="Tahoma"/>
          <w:sz w:val="20"/>
          <w:szCs w:val="20"/>
          <w:shd w:val="clear" w:color="auto" w:fill="FFFFFF"/>
          <w:lang w:val="es-PE"/>
        </w:rPr>
        <w:t xml:space="preserve">número de jueces </w:t>
      </w:r>
      <w:r w:rsidRPr="009F54A5">
        <w:rPr>
          <w:rFonts w:asciiTheme="majorHAnsi" w:eastAsia="Times New Roman" w:hAnsiTheme="majorHAnsi" w:cs="Tahoma"/>
          <w:color w:val="auto"/>
          <w:sz w:val="20"/>
          <w:szCs w:val="20"/>
          <w:shd w:val="clear" w:color="auto" w:fill="FFFFFF"/>
          <w:lang w:val="es-PE"/>
        </w:rPr>
        <w:t>titulares</w:t>
      </w:r>
      <w:r w:rsidRPr="009F54A5">
        <w:rPr>
          <w:rFonts w:asciiTheme="majorHAnsi" w:eastAsia="Times New Roman" w:hAnsiTheme="majorHAnsi" w:cs="Tahoma"/>
          <w:sz w:val="20"/>
          <w:szCs w:val="20"/>
          <w:shd w:val="clear" w:color="auto" w:fill="FFFFFF"/>
          <w:lang w:val="es-PE"/>
        </w:rPr>
        <w:t xml:space="preserve"> y asegurar que,</w:t>
      </w:r>
      <w:r w:rsidRPr="009F54A5">
        <w:rPr>
          <w:rFonts w:asciiTheme="majorHAnsi" w:eastAsia="Times New Roman" w:hAnsiTheme="majorHAnsi" w:cs="Tahoma"/>
          <w:color w:val="auto"/>
          <w:sz w:val="20"/>
          <w:szCs w:val="20"/>
          <w:shd w:val="clear" w:color="auto" w:fill="FFFFFF"/>
          <w:lang w:val="es-PE"/>
        </w:rPr>
        <w:t xml:space="preserve"> incluso teniendo carácter provisorio, los jueces no sean removidos </w:t>
      </w:r>
      <w:r w:rsidRPr="009F54A5">
        <w:rPr>
          <w:rFonts w:asciiTheme="majorHAnsi" w:eastAsia="Times New Roman" w:hAnsiTheme="majorHAnsi" w:cs="Tahoma"/>
          <w:sz w:val="20"/>
          <w:szCs w:val="20"/>
          <w:shd w:val="clear" w:color="auto" w:fill="FFFFFF"/>
          <w:lang w:val="es-PE"/>
        </w:rPr>
        <w:t>sino a través de</w:t>
      </w:r>
      <w:r w:rsidRPr="009F54A5">
        <w:rPr>
          <w:rFonts w:asciiTheme="majorHAnsi" w:eastAsia="Times New Roman" w:hAnsiTheme="majorHAnsi" w:cs="Tahoma"/>
          <w:color w:val="auto"/>
          <w:sz w:val="20"/>
          <w:szCs w:val="20"/>
          <w:shd w:val="clear" w:color="auto" w:fill="FFFFFF"/>
          <w:lang w:val="es-PE"/>
        </w:rPr>
        <w:t xml:space="preserve"> </w:t>
      </w:r>
      <w:r w:rsidRPr="009F54A5">
        <w:rPr>
          <w:rFonts w:asciiTheme="majorHAnsi" w:hAnsiTheme="majorHAnsi"/>
          <w:color w:val="auto"/>
          <w:sz w:val="20"/>
          <w:szCs w:val="20"/>
          <w:lang w:val="es-PE"/>
        </w:rPr>
        <w:t>un proceso disciplinario o acto administrativo, estrictamente respetuoso de las garantías del debido proceso y especialmente, el deber de debida motivación</w:t>
      </w:r>
      <w:r w:rsidR="00C82B86" w:rsidRPr="009F54A5">
        <w:rPr>
          <w:rFonts w:asciiTheme="majorHAnsi" w:hAnsiTheme="majorHAnsi"/>
          <w:color w:val="auto"/>
          <w:sz w:val="20"/>
          <w:szCs w:val="20"/>
          <w:lang w:val="es-PE"/>
        </w:rPr>
        <w:t xml:space="preserve"> y acceso a revisión judicial</w:t>
      </w:r>
      <w:r w:rsidRPr="009F54A5">
        <w:rPr>
          <w:rFonts w:asciiTheme="majorHAnsi" w:hAnsiTheme="majorHAnsi"/>
          <w:color w:val="auto"/>
          <w:sz w:val="20"/>
          <w:szCs w:val="20"/>
          <w:lang w:val="es-PE"/>
        </w:rPr>
        <w:t xml:space="preserve">. </w:t>
      </w:r>
      <w:r w:rsidRPr="009F54A5">
        <w:rPr>
          <w:rFonts w:asciiTheme="majorHAnsi" w:hAnsiTheme="majorHAnsi" w:cs="Arial"/>
          <w:sz w:val="20"/>
          <w:szCs w:val="20"/>
          <w:lang w:val="es-PE"/>
        </w:rPr>
        <w:t xml:space="preserve">Además, ante las denuncias de </w:t>
      </w:r>
      <w:r w:rsidRPr="009F54A5">
        <w:rPr>
          <w:rFonts w:asciiTheme="majorHAnsi" w:hAnsiTheme="majorHAnsi"/>
          <w:color w:val="000000" w:themeColor="text1"/>
          <w:sz w:val="20"/>
          <w:szCs w:val="20"/>
          <w:lang w:val="es-PE"/>
        </w:rPr>
        <w:t>actos de hostigamiento y amenaza contra jueces y juezas con el fin de presionarlos indebidamente en la toma de decisiones, la Comisión llama al Estado a abstenerse</w:t>
      </w:r>
      <w:r w:rsidRPr="009F54A5">
        <w:rPr>
          <w:rFonts w:asciiTheme="majorHAnsi" w:hAnsiTheme="majorHAnsi"/>
          <w:sz w:val="20"/>
          <w:szCs w:val="20"/>
          <w:lang w:val="es-PE"/>
        </w:rPr>
        <w:t xml:space="preserve"> de realizar cualquier acto de hostigamiento o intimidación, o cualquier acción que </w:t>
      </w:r>
      <w:r w:rsidRPr="009F54A5">
        <w:rPr>
          <w:rFonts w:asciiTheme="majorHAnsi" w:hAnsiTheme="majorHAnsi"/>
          <w:color w:val="000000" w:themeColor="text1"/>
          <w:sz w:val="20"/>
          <w:szCs w:val="20"/>
          <w:lang w:val="es-PE"/>
        </w:rPr>
        <w:t>implique</w:t>
      </w:r>
      <w:r w:rsidRPr="009F54A5">
        <w:rPr>
          <w:rFonts w:asciiTheme="majorHAnsi" w:hAnsiTheme="majorHAnsi"/>
          <w:sz w:val="20"/>
          <w:szCs w:val="20"/>
          <w:lang w:val="es-PE"/>
        </w:rPr>
        <w:t xml:space="preserve"> una amenaza o presión, directa o indirecta, en el ejercicio de la función judicial.</w:t>
      </w:r>
      <w:r w:rsidR="00077D47" w:rsidRPr="009F54A5">
        <w:rPr>
          <w:rFonts w:asciiTheme="majorHAnsi" w:hAnsiTheme="majorHAnsi"/>
          <w:sz w:val="20"/>
          <w:szCs w:val="20"/>
          <w:lang w:val="es-PE"/>
        </w:rPr>
        <w:t xml:space="preserve"> </w:t>
      </w:r>
      <w:r w:rsidR="004440BC" w:rsidRPr="009F54A5">
        <w:rPr>
          <w:rFonts w:asciiTheme="majorHAnsi" w:hAnsiTheme="majorHAnsi"/>
          <w:sz w:val="20"/>
          <w:szCs w:val="20"/>
          <w:lang w:val="es-PE"/>
        </w:rPr>
        <w:t>R</w:t>
      </w:r>
      <w:r w:rsidR="00077D47" w:rsidRPr="009F54A5">
        <w:rPr>
          <w:rFonts w:asciiTheme="majorHAnsi" w:hAnsiTheme="majorHAnsi"/>
          <w:sz w:val="20"/>
          <w:szCs w:val="20"/>
          <w:lang w:val="es-PE"/>
        </w:rPr>
        <w:t>eitera</w:t>
      </w:r>
      <w:r w:rsidR="004440BC" w:rsidRPr="009F54A5">
        <w:rPr>
          <w:rFonts w:asciiTheme="majorHAnsi" w:hAnsiTheme="majorHAnsi"/>
          <w:sz w:val="20"/>
          <w:szCs w:val="20"/>
          <w:lang w:val="es-PE"/>
        </w:rPr>
        <w:t xml:space="preserve"> además</w:t>
      </w:r>
      <w:r w:rsidR="00077D47" w:rsidRPr="009F54A5">
        <w:rPr>
          <w:rFonts w:asciiTheme="majorHAnsi" w:hAnsiTheme="majorHAnsi"/>
          <w:sz w:val="20"/>
          <w:szCs w:val="20"/>
          <w:lang w:val="es-PE"/>
        </w:rPr>
        <w:t xml:space="preserve"> el deber del Estado de investigar, juzgar y sancionar a los responsables de tales actos.</w:t>
      </w:r>
    </w:p>
    <w:p w14:paraId="1C7E1A94" w14:textId="77777777" w:rsidR="008F2E49" w:rsidRPr="009F54A5" w:rsidRDefault="008F2E49" w:rsidP="008F2E49">
      <w:pPr>
        <w:pStyle w:val="NoSpacing"/>
        <w:rPr>
          <w:rFonts w:asciiTheme="majorHAnsi" w:hAnsiTheme="majorHAnsi"/>
          <w:sz w:val="20"/>
          <w:szCs w:val="20"/>
          <w:lang w:val="es-PE"/>
        </w:rPr>
      </w:pPr>
    </w:p>
    <w:p w14:paraId="2CCE6321" w14:textId="380FD59D" w:rsidR="00905AE5" w:rsidRPr="009F54A5" w:rsidRDefault="00905AE5"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lang w:val="es-PE"/>
        </w:rPr>
      </w:pPr>
      <w:r w:rsidRPr="009F54A5">
        <w:rPr>
          <w:rFonts w:asciiTheme="majorHAnsi" w:hAnsiTheme="majorHAnsi"/>
          <w:sz w:val="20"/>
          <w:szCs w:val="20"/>
          <w:lang w:val="es-PE"/>
        </w:rPr>
        <w:t>En cuanto a la AN, la Comisión observa que s</w:t>
      </w:r>
      <w:r w:rsidR="008F2E49" w:rsidRPr="009F54A5">
        <w:rPr>
          <w:rFonts w:asciiTheme="majorHAnsi" w:hAnsiTheme="majorHAnsi"/>
          <w:color w:val="000000" w:themeColor="text1"/>
          <w:sz w:val="20"/>
          <w:szCs w:val="20"/>
          <w:lang w:val="es-PE"/>
        </w:rPr>
        <w:t xml:space="preserve">i bien algunas de </w:t>
      </w:r>
      <w:r w:rsidRPr="009F54A5">
        <w:rPr>
          <w:rFonts w:asciiTheme="majorHAnsi" w:hAnsiTheme="majorHAnsi"/>
          <w:color w:val="000000" w:themeColor="text1"/>
          <w:sz w:val="20"/>
          <w:szCs w:val="20"/>
          <w:lang w:val="es-PE"/>
        </w:rPr>
        <w:t>l</w:t>
      </w:r>
      <w:r w:rsidR="008F2E49" w:rsidRPr="009F54A5">
        <w:rPr>
          <w:rFonts w:asciiTheme="majorHAnsi" w:hAnsiTheme="majorHAnsi"/>
          <w:color w:val="000000" w:themeColor="text1"/>
          <w:sz w:val="20"/>
          <w:szCs w:val="20"/>
          <w:lang w:val="es-PE"/>
        </w:rPr>
        <w:t>as</w:t>
      </w:r>
      <w:r w:rsidRPr="009F54A5">
        <w:rPr>
          <w:rFonts w:asciiTheme="majorHAnsi" w:hAnsiTheme="majorHAnsi"/>
          <w:color w:val="000000" w:themeColor="text1"/>
          <w:sz w:val="20"/>
          <w:szCs w:val="20"/>
          <w:lang w:val="es-PE"/>
        </w:rPr>
        <w:t xml:space="preserve"> referidas</w:t>
      </w:r>
      <w:r w:rsidR="008F2E49" w:rsidRPr="009F54A5">
        <w:rPr>
          <w:rFonts w:asciiTheme="majorHAnsi" w:hAnsiTheme="majorHAnsi"/>
          <w:color w:val="000000" w:themeColor="text1"/>
          <w:sz w:val="20"/>
          <w:szCs w:val="20"/>
          <w:lang w:val="es-PE"/>
        </w:rPr>
        <w:t xml:space="preserve"> medidas</w:t>
      </w:r>
      <w:r w:rsidRPr="009F54A5">
        <w:rPr>
          <w:rFonts w:asciiTheme="majorHAnsi" w:hAnsiTheme="majorHAnsi"/>
          <w:color w:val="000000" w:themeColor="text1"/>
          <w:sz w:val="20"/>
          <w:szCs w:val="20"/>
          <w:lang w:val="es-PE"/>
        </w:rPr>
        <w:t xml:space="preserve"> dictadas por el TSJ</w:t>
      </w:r>
      <w:r w:rsidR="008F2E49" w:rsidRPr="009F54A5">
        <w:rPr>
          <w:rFonts w:asciiTheme="majorHAnsi" w:hAnsiTheme="majorHAnsi"/>
          <w:color w:val="000000" w:themeColor="text1"/>
          <w:sz w:val="20"/>
          <w:szCs w:val="20"/>
          <w:lang w:val="es-PE"/>
        </w:rPr>
        <w:t xml:space="preserve"> fueron posteriormente revocadas, </w:t>
      </w:r>
      <w:r w:rsidR="008F2E49" w:rsidRPr="009F54A5">
        <w:rPr>
          <w:rFonts w:asciiTheme="majorHAnsi" w:hAnsiTheme="majorHAnsi"/>
          <w:sz w:val="20"/>
          <w:szCs w:val="20"/>
          <w:lang w:val="es-PE"/>
        </w:rPr>
        <w:t>continúan</w:t>
      </w:r>
      <w:r w:rsidR="0067541B" w:rsidRPr="009F54A5">
        <w:rPr>
          <w:rFonts w:asciiTheme="majorHAnsi" w:hAnsiTheme="majorHAnsi"/>
          <w:sz w:val="20"/>
          <w:szCs w:val="20"/>
          <w:lang w:val="es-PE"/>
        </w:rPr>
        <w:t xml:space="preserve"> existiendo a la fecha </w:t>
      </w:r>
      <w:r w:rsidR="008F2E49" w:rsidRPr="009F54A5">
        <w:rPr>
          <w:rFonts w:asciiTheme="majorHAnsi" w:hAnsiTheme="majorHAnsi"/>
          <w:sz w:val="20"/>
          <w:szCs w:val="20"/>
          <w:lang w:val="es-PE"/>
        </w:rPr>
        <w:t xml:space="preserve">serios elementos de injerencia sobre </w:t>
      </w:r>
      <w:r w:rsidRPr="009F54A5">
        <w:rPr>
          <w:rFonts w:asciiTheme="majorHAnsi" w:hAnsiTheme="majorHAnsi"/>
          <w:sz w:val="20"/>
          <w:szCs w:val="20"/>
          <w:lang w:val="es-PE"/>
        </w:rPr>
        <w:t>el Poder Legislativo</w:t>
      </w:r>
      <w:r w:rsidR="008F2E49" w:rsidRPr="009F54A5">
        <w:rPr>
          <w:rFonts w:asciiTheme="majorHAnsi" w:hAnsiTheme="majorHAnsi"/>
          <w:sz w:val="20"/>
          <w:szCs w:val="20"/>
          <w:lang w:val="es-PE"/>
        </w:rPr>
        <w:t xml:space="preserve"> y obstáculos para el ejercicio </w:t>
      </w:r>
      <w:r w:rsidR="008F2E49" w:rsidRPr="009F54A5">
        <w:rPr>
          <w:rFonts w:asciiTheme="majorHAnsi" w:hAnsiTheme="majorHAnsi"/>
          <w:color w:val="000000" w:themeColor="text1"/>
          <w:sz w:val="20"/>
          <w:szCs w:val="20"/>
          <w:lang w:val="es-PE"/>
        </w:rPr>
        <w:t xml:space="preserve">de sus funciones constitucionales, como el mantenimiento de la condición de desacato; la permanencia de la calificación de “traición a la patria” a las acciones de los diputados de la AN; y el mantenimiento de la autoridad del Presidente de la República para constituir empresas mixtas sin autorización del parlamento y modificar leyes. </w:t>
      </w:r>
      <w:r w:rsidR="008F2E49" w:rsidRPr="009F54A5">
        <w:rPr>
          <w:rFonts w:asciiTheme="majorHAnsi" w:hAnsiTheme="majorHAnsi"/>
          <w:sz w:val="20"/>
          <w:szCs w:val="20"/>
          <w:lang w:val="es-PE"/>
        </w:rPr>
        <w:t xml:space="preserve">En ese sentido, la Comisión llama al Estado a adoptar medidas </w:t>
      </w:r>
      <w:r w:rsidR="000432C6" w:rsidRPr="009F54A5">
        <w:rPr>
          <w:rFonts w:asciiTheme="majorHAnsi" w:hAnsiTheme="majorHAnsi"/>
          <w:sz w:val="20"/>
          <w:szCs w:val="20"/>
          <w:lang w:val="es-PE"/>
        </w:rPr>
        <w:t xml:space="preserve">inmediatas y </w:t>
      </w:r>
      <w:r w:rsidR="008F2E49" w:rsidRPr="009F54A5">
        <w:rPr>
          <w:rFonts w:asciiTheme="majorHAnsi" w:hAnsiTheme="majorHAnsi"/>
          <w:sz w:val="20"/>
          <w:szCs w:val="20"/>
          <w:lang w:val="es-PE"/>
        </w:rPr>
        <w:t xml:space="preserve">decididas para </w:t>
      </w:r>
      <w:r w:rsidR="006653FC" w:rsidRPr="009F54A5">
        <w:rPr>
          <w:rFonts w:asciiTheme="majorHAnsi" w:hAnsiTheme="majorHAnsi"/>
          <w:sz w:val="20"/>
          <w:szCs w:val="20"/>
          <w:lang w:val="es-PE"/>
        </w:rPr>
        <w:t xml:space="preserve">reestablecer el orden constitucional, y </w:t>
      </w:r>
      <w:r w:rsidR="008F2E49" w:rsidRPr="009F54A5">
        <w:rPr>
          <w:rFonts w:asciiTheme="majorHAnsi" w:hAnsiTheme="majorHAnsi"/>
          <w:sz w:val="20"/>
          <w:szCs w:val="20"/>
          <w:lang w:val="es-PE"/>
        </w:rPr>
        <w:t xml:space="preserve">garantizar la separación de poderes y el ejercicio adecuado de las funciones establecidas constitucionalmente </w:t>
      </w:r>
      <w:r w:rsidR="0067541B" w:rsidRPr="009F54A5">
        <w:rPr>
          <w:rFonts w:asciiTheme="majorHAnsi" w:hAnsiTheme="majorHAnsi"/>
          <w:sz w:val="20"/>
          <w:szCs w:val="20"/>
          <w:lang w:val="es-PE"/>
        </w:rPr>
        <w:t>a</w:t>
      </w:r>
      <w:r w:rsidR="008F2E49" w:rsidRPr="009F54A5">
        <w:rPr>
          <w:rFonts w:asciiTheme="majorHAnsi" w:hAnsiTheme="majorHAnsi"/>
          <w:sz w:val="20"/>
          <w:szCs w:val="20"/>
          <w:lang w:val="es-PE"/>
        </w:rPr>
        <w:t xml:space="preserve"> la </w:t>
      </w:r>
      <w:r w:rsidR="004440BC" w:rsidRPr="009F54A5">
        <w:rPr>
          <w:rFonts w:asciiTheme="majorHAnsi" w:hAnsiTheme="majorHAnsi"/>
          <w:sz w:val="20"/>
          <w:szCs w:val="20"/>
          <w:lang w:val="es-PE"/>
        </w:rPr>
        <w:t>AN</w:t>
      </w:r>
      <w:r w:rsidR="008F2E49" w:rsidRPr="009F54A5">
        <w:rPr>
          <w:rFonts w:asciiTheme="majorHAnsi" w:hAnsiTheme="majorHAnsi"/>
          <w:sz w:val="20"/>
          <w:szCs w:val="20"/>
          <w:lang w:val="es-PE"/>
        </w:rPr>
        <w:t xml:space="preserve">, incluyendo el levantamiento de las medidas señaladas. </w:t>
      </w:r>
    </w:p>
    <w:p w14:paraId="04BDA7C8" w14:textId="77777777" w:rsidR="00905AE5" w:rsidRPr="009F54A5" w:rsidRDefault="00905AE5" w:rsidP="004440BC">
      <w:pPr>
        <w:rPr>
          <w:rFonts w:asciiTheme="majorHAnsi" w:eastAsia="Times New Roman" w:hAnsiTheme="majorHAnsi"/>
          <w:sz w:val="20"/>
          <w:szCs w:val="20"/>
          <w:lang w:val="es-PE"/>
        </w:rPr>
      </w:pPr>
    </w:p>
    <w:p w14:paraId="7ADA5F5F" w14:textId="77777777" w:rsidR="002140A5" w:rsidRPr="009F54A5" w:rsidRDefault="008F2E49" w:rsidP="002140A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sz w:val="20"/>
          <w:szCs w:val="20"/>
          <w:lang w:val="es-PE"/>
        </w:rPr>
      </w:pPr>
      <w:r w:rsidRPr="009F54A5">
        <w:rPr>
          <w:rFonts w:asciiTheme="majorHAnsi" w:eastAsia="Times New Roman" w:hAnsiTheme="majorHAnsi"/>
          <w:sz w:val="20"/>
          <w:szCs w:val="20"/>
          <w:lang w:val="es-PE"/>
        </w:rPr>
        <w:t>E</w:t>
      </w:r>
      <w:r w:rsidRPr="009F54A5">
        <w:rPr>
          <w:rFonts w:asciiTheme="majorHAnsi" w:eastAsia="Times New Roman" w:hAnsiTheme="majorHAnsi" w:cs="Tahoma"/>
          <w:color w:val="auto"/>
          <w:sz w:val="20"/>
          <w:szCs w:val="20"/>
          <w:shd w:val="clear" w:color="auto" w:fill="FFFFFF"/>
          <w:lang w:val="es-PE"/>
        </w:rPr>
        <w:t>n ese contexto, el Presidente Nicolás Maduro convocó a una Asamblea Nacional Constituyente</w:t>
      </w:r>
      <w:r w:rsidR="005765D6" w:rsidRPr="009F54A5">
        <w:rPr>
          <w:rFonts w:asciiTheme="majorHAnsi" w:eastAsia="Times New Roman" w:hAnsiTheme="majorHAnsi" w:cs="Tahoma"/>
          <w:color w:val="auto"/>
          <w:sz w:val="20"/>
          <w:szCs w:val="20"/>
          <w:shd w:val="clear" w:color="auto" w:fill="FFFFFF"/>
          <w:lang w:val="es-PE"/>
        </w:rPr>
        <w:t xml:space="preserve"> (ANC)</w:t>
      </w:r>
      <w:r w:rsidRPr="009F54A5">
        <w:rPr>
          <w:rFonts w:asciiTheme="majorHAnsi" w:eastAsia="Times New Roman" w:hAnsiTheme="majorHAnsi" w:cs="Tahoma"/>
          <w:color w:val="auto"/>
          <w:sz w:val="20"/>
          <w:szCs w:val="20"/>
          <w:shd w:val="clear" w:color="auto" w:fill="FFFFFF"/>
          <w:lang w:val="es-PE"/>
        </w:rPr>
        <w:t>, criticada tanto en su origen</w:t>
      </w:r>
      <w:r w:rsidR="004440BC" w:rsidRPr="009F54A5">
        <w:rPr>
          <w:rFonts w:asciiTheme="majorHAnsi" w:eastAsia="Times New Roman" w:hAnsiTheme="majorHAnsi" w:cs="Tahoma"/>
          <w:color w:val="auto"/>
          <w:sz w:val="20"/>
          <w:szCs w:val="20"/>
          <w:shd w:val="clear" w:color="auto" w:fill="FFFFFF"/>
          <w:lang w:val="es-PE"/>
        </w:rPr>
        <w:t xml:space="preserve"> y conformación,</w:t>
      </w:r>
      <w:r w:rsidRPr="009F54A5">
        <w:rPr>
          <w:rFonts w:asciiTheme="majorHAnsi" w:eastAsia="Times New Roman" w:hAnsiTheme="majorHAnsi" w:cs="Tahoma"/>
          <w:color w:val="auto"/>
          <w:sz w:val="20"/>
          <w:szCs w:val="20"/>
          <w:shd w:val="clear" w:color="auto" w:fill="FFFFFF"/>
          <w:lang w:val="es-PE"/>
        </w:rPr>
        <w:t xml:space="preserve"> como en las medidas que tomó una vez instalada, las cuales excedieron su naturaleza y violaron el principio de separación de poderes. </w:t>
      </w:r>
      <w:r w:rsidR="00905AE5" w:rsidRPr="009F54A5">
        <w:rPr>
          <w:rFonts w:asciiTheme="majorHAnsi" w:eastAsia="Times New Roman" w:hAnsiTheme="majorHAnsi" w:cs="Tahoma"/>
          <w:sz w:val="20"/>
          <w:szCs w:val="20"/>
          <w:shd w:val="clear" w:color="auto" w:fill="FFFFFF"/>
          <w:lang w:val="es-PE"/>
        </w:rPr>
        <w:t>Al respecto, la Com</w:t>
      </w:r>
      <w:r w:rsidR="005765D6" w:rsidRPr="009F54A5">
        <w:rPr>
          <w:rFonts w:asciiTheme="majorHAnsi" w:eastAsia="Times New Roman" w:hAnsiTheme="majorHAnsi" w:cs="Tahoma"/>
          <w:sz w:val="20"/>
          <w:szCs w:val="20"/>
          <w:shd w:val="clear" w:color="auto" w:fill="FFFFFF"/>
          <w:lang w:val="es-PE"/>
        </w:rPr>
        <w:t xml:space="preserve">isión considera fundamental </w:t>
      </w:r>
      <w:r w:rsidR="00685761" w:rsidRPr="009F54A5">
        <w:rPr>
          <w:rFonts w:asciiTheme="majorHAnsi" w:eastAsia="Times New Roman" w:hAnsiTheme="majorHAnsi" w:cs="Tahoma"/>
          <w:sz w:val="20"/>
          <w:szCs w:val="20"/>
          <w:shd w:val="clear" w:color="auto" w:fill="FFFFFF"/>
          <w:lang w:val="es-PE"/>
        </w:rPr>
        <w:t xml:space="preserve">recordar que, como se observa en este informe, la propia Constitución venezolana y la legislación aplicable establecen que el funcionamiento de dicha Asamblea se rige por ciertos </w:t>
      </w:r>
      <w:r w:rsidR="005765D6" w:rsidRPr="009F54A5">
        <w:rPr>
          <w:rFonts w:asciiTheme="majorHAnsi" w:hAnsiTheme="majorHAnsi"/>
          <w:sz w:val="20"/>
          <w:szCs w:val="20"/>
          <w:lang w:val="es-PE"/>
        </w:rPr>
        <w:t xml:space="preserve">límites </w:t>
      </w:r>
      <w:r w:rsidR="00685761" w:rsidRPr="009F54A5">
        <w:rPr>
          <w:rFonts w:asciiTheme="majorHAnsi" w:hAnsiTheme="majorHAnsi"/>
          <w:sz w:val="20"/>
          <w:szCs w:val="20"/>
          <w:lang w:val="es-PE"/>
        </w:rPr>
        <w:t xml:space="preserve">dados por </w:t>
      </w:r>
      <w:r w:rsidR="005765D6" w:rsidRPr="009F54A5">
        <w:rPr>
          <w:rFonts w:asciiTheme="majorHAnsi" w:hAnsiTheme="majorHAnsi"/>
          <w:sz w:val="20"/>
          <w:szCs w:val="20"/>
          <w:lang w:val="es-PE"/>
        </w:rPr>
        <w:t xml:space="preserve">valores y principios de </w:t>
      </w:r>
      <w:r w:rsidR="00685761" w:rsidRPr="009F54A5">
        <w:rPr>
          <w:rFonts w:asciiTheme="majorHAnsi" w:hAnsiTheme="majorHAnsi"/>
          <w:sz w:val="20"/>
          <w:szCs w:val="20"/>
          <w:lang w:val="es-PE"/>
        </w:rPr>
        <w:t>la</w:t>
      </w:r>
      <w:r w:rsidR="005765D6" w:rsidRPr="009F54A5">
        <w:rPr>
          <w:rFonts w:asciiTheme="majorHAnsi" w:hAnsiTheme="majorHAnsi"/>
          <w:sz w:val="20"/>
          <w:szCs w:val="20"/>
          <w:lang w:val="es-PE"/>
        </w:rPr>
        <w:t xml:space="preserve"> historia republicana</w:t>
      </w:r>
      <w:r w:rsidR="00685761" w:rsidRPr="009F54A5">
        <w:rPr>
          <w:rFonts w:asciiTheme="majorHAnsi" w:hAnsiTheme="majorHAnsi"/>
          <w:sz w:val="20"/>
          <w:szCs w:val="20"/>
          <w:lang w:val="es-PE"/>
        </w:rPr>
        <w:t xml:space="preserve"> de Venezuela</w:t>
      </w:r>
      <w:r w:rsidR="005765D6" w:rsidRPr="009F54A5">
        <w:rPr>
          <w:rFonts w:asciiTheme="majorHAnsi" w:hAnsiTheme="majorHAnsi"/>
          <w:sz w:val="20"/>
          <w:szCs w:val="20"/>
          <w:lang w:val="es-PE"/>
        </w:rPr>
        <w:t xml:space="preserve">, así como </w:t>
      </w:r>
      <w:r w:rsidR="00685761" w:rsidRPr="009F54A5">
        <w:rPr>
          <w:rFonts w:asciiTheme="majorHAnsi" w:hAnsiTheme="majorHAnsi"/>
          <w:sz w:val="20"/>
          <w:szCs w:val="20"/>
          <w:lang w:val="es-PE"/>
        </w:rPr>
        <w:t xml:space="preserve">por </w:t>
      </w:r>
      <w:r w:rsidR="005765D6" w:rsidRPr="009F54A5">
        <w:rPr>
          <w:rFonts w:asciiTheme="majorHAnsi" w:hAnsiTheme="majorHAnsi"/>
          <w:sz w:val="20"/>
          <w:szCs w:val="20"/>
          <w:lang w:val="es-PE"/>
        </w:rPr>
        <w:t>el cumplimiento de los tratados internacionales, acuerdos y compromisos válidamente suscritos por la República</w:t>
      </w:r>
      <w:r w:rsidR="000432C6" w:rsidRPr="009F54A5">
        <w:rPr>
          <w:rFonts w:asciiTheme="majorHAnsi" w:hAnsiTheme="majorHAnsi"/>
          <w:sz w:val="20"/>
          <w:szCs w:val="20"/>
          <w:lang w:val="es-PE"/>
        </w:rPr>
        <w:t>. En atención a ello y a los principios fundamentales plasmados en la Carta Democrática Interamericana</w:t>
      </w:r>
      <w:r w:rsidR="00685761" w:rsidRPr="009F54A5">
        <w:rPr>
          <w:rFonts w:asciiTheme="majorHAnsi" w:hAnsiTheme="majorHAnsi"/>
          <w:sz w:val="20"/>
          <w:szCs w:val="20"/>
          <w:lang w:val="es-PE"/>
        </w:rPr>
        <w:t xml:space="preserve">, la Comisión hace un llamado a </w:t>
      </w:r>
      <w:r w:rsidR="00905AE5" w:rsidRPr="009F54A5">
        <w:rPr>
          <w:rFonts w:asciiTheme="majorHAnsi" w:hAnsiTheme="majorHAnsi"/>
          <w:sz w:val="20"/>
          <w:szCs w:val="20"/>
          <w:lang w:val="es-PE"/>
        </w:rPr>
        <w:t>revert</w:t>
      </w:r>
      <w:r w:rsidR="00685761" w:rsidRPr="009F54A5">
        <w:rPr>
          <w:rFonts w:asciiTheme="majorHAnsi" w:hAnsiTheme="majorHAnsi"/>
          <w:sz w:val="20"/>
          <w:szCs w:val="20"/>
          <w:lang w:val="es-PE"/>
        </w:rPr>
        <w:t>ir</w:t>
      </w:r>
      <w:r w:rsidR="00905AE5" w:rsidRPr="009F54A5">
        <w:rPr>
          <w:rFonts w:asciiTheme="majorHAnsi" w:hAnsiTheme="majorHAnsi"/>
          <w:sz w:val="20"/>
          <w:szCs w:val="20"/>
          <w:lang w:val="es-PE"/>
        </w:rPr>
        <w:t xml:space="preserve"> las medidas </w:t>
      </w:r>
      <w:r w:rsidR="00905AE5" w:rsidRPr="009F54A5">
        <w:rPr>
          <w:rFonts w:asciiTheme="majorHAnsi" w:hAnsiTheme="majorHAnsi" w:cs="Tahoma"/>
          <w:sz w:val="20"/>
          <w:szCs w:val="20"/>
          <w:shd w:val="clear" w:color="auto" w:fill="FFFFFF"/>
          <w:lang w:val="es-PE"/>
        </w:rPr>
        <w:t xml:space="preserve">que exceden las competencias de un órgano constituyente, y afectan la separación de poderes y la democracia representativa; </w:t>
      </w:r>
      <w:r w:rsidR="00685761" w:rsidRPr="009F54A5">
        <w:rPr>
          <w:rFonts w:asciiTheme="majorHAnsi" w:hAnsiTheme="majorHAnsi" w:cs="Tahoma"/>
          <w:sz w:val="20"/>
          <w:szCs w:val="20"/>
          <w:shd w:val="clear" w:color="auto" w:fill="FFFFFF"/>
          <w:lang w:val="es-PE"/>
        </w:rPr>
        <w:t xml:space="preserve">y a </w:t>
      </w:r>
      <w:r w:rsidR="00905AE5" w:rsidRPr="009F54A5">
        <w:rPr>
          <w:rFonts w:asciiTheme="majorHAnsi" w:hAnsiTheme="majorHAnsi"/>
          <w:sz w:val="20"/>
          <w:szCs w:val="20"/>
          <w:lang w:val="es-PE"/>
        </w:rPr>
        <w:t>abstenerse de adoptar decisiones que extralimiten tales competencias</w:t>
      </w:r>
      <w:r w:rsidR="00685761" w:rsidRPr="009F54A5">
        <w:rPr>
          <w:rFonts w:asciiTheme="majorHAnsi" w:hAnsiTheme="majorHAnsi"/>
          <w:sz w:val="20"/>
          <w:szCs w:val="20"/>
          <w:lang w:val="es-PE"/>
        </w:rPr>
        <w:t>.</w:t>
      </w:r>
    </w:p>
    <w:p w14:paraId="2689B6CD" w14:textId="77777777" w:rsidR="002140A5" w:rsidRPr="009F54A5" w:rsidRDefault="002140A5" w:rsidP="002140A5">
      <w:pPr>
        <w:rPr>
          <w:rFonts w:asciiTheme="majorHAnsi" w:hAnsiTheme="majorHAnsi"/>
          <w:color w:val="000000" w:themeColor="text1"/>
          <w:sz w:val="20"/>
          <w:szCs w:val="20"/>
          <w:lang w:val="es-PE"/>
        </w:rPr>
      </w:pPr>
    </w:p>
    <w:p w14:paraId="4400AA0C" w14:textId="77777777" w:rsidR="000A58A5" w:rsidRPr="009F54A5" w:rsidRDefault="00A87E83"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lang w:val="es-PE"/>
        </w:rPr>
      </w:pPr>
      <w:r w:rsidRPr="009F54A5">
        <w:rPr>
          <w:rFonts w:asciiTheme="majorHAnsi" w:eastAsia="Times New Roman" w:hAnsiTheme="majorHAnsi" w:cs="Tahoma"/>
          <w:color w:val="auto"/>
          <w:sz w:val="20"/>
          <w:szCs w:val="20"/>
          <w:shd w:val="clear" w:color="auto" w:fill="FFFFFF"/>
          <w:lang w:val="es-PE"/>
        </w:rPr>
        <w:lastRenderedPageBreak/>
        <w:t>Las injerencias del Poder Judicial y Ejecutivo en el Legislativo han</w:t>
      </w:r>
      <w:r w:rsidR="008F2E49" w:rsidRPr="009F54A5">
        <w:rPr>
          <w:rFonts w:asciiTheme="majorHAnsi" w:eastAsia="Times New Roman" w:hAnsiTheme="majorHAnsi" w:cs="Tahoma"/>
          <w:color w:val="auto"/>
          <w:sz w:val="20"/>
          <w:szCs w:val="20"/>
          <w:shd w:val="clear" w:color="auto" w:fill="FFFFFF"/>
          <w:lang w:val="es-PE"/>
        </w:rPr>
        <w:t xml:space="preserve"> ido acompañad</w:t>
      </w:r>
      <w:r w:rsidRPr="009F54A5">
        <w:rPr>
          <w:rFonts w:asciiTheme="majorHAnsi" w:eastAsia="Times New Roman" w:hAnsiTheme="majorHAnsi" w:cs="Tahoma"/>
          <w:color w:val="auto"/>
          <w:sz w:val="20"/>
          <w:szCs w:val="20"/>
          <w:shd w:val="clear" w:color="auto" w:fill="FFFFFF"/>
          <w:lang w:val="es-PE"/>
        </w:rPr>
        <w:t>as</w:t>
      </w:r>
      <w:r w:rsidR="008F2E49" w:rsidRPr="009F54A5">
        <w:rPr>
          <w:rFonts w:asciiTheme="majorHAnsi" w:eastAsia="Times New Roman" w:hAnsiTheme="majorHAnsi" w:cs="Tahoma"/>
          <w:color w:val="auto"/>
          <w:sz w:val="20"/>
          <w:szCs w:val="20"/>
          <w:shd w:val="clear" w:color="auto" w:fill="FFFFFF"/>
          <w:lang w:val="es-PE"/>
        </w:rPr>
        <w:t xml:space="preserve"> de la falta de independencia y un inadecuado ejercicio de las funciones de órganos constitucionales</w:t>
      </w:r>
      <w:r w:rsidRPr="009F54A5">
        <w:rPr>
          <w:rFonts w:asciiTheme="majorHAnsi" w:eastAsia="Times New Roman" w:hAnsiTheme="majorHAnsi" w:cs="Tahoma"/>
          <w:color w:val="auto"/>
          <w:sz w:val="20"/>
          <w:szCs w:val="20"/>
          <w:shd w:val="clear" w:color="auto" w:fill="FFFFFF"/>
          <w:lang w:val="es-PE"/>
        </w:rPr>
        <w:t xml:space="preserve"> esenciales para </w:t>
      </w:r>
      <w:r w:rsidR="00C43AA2" w:rsidRPr="009F54A5">
        <w:rPr>
          <w:rFonts w:asciiTheme="majorHAnsi" w:eastAsia="Times New Roman" w:hAnsiTheme="majorHAnsi" w:cs="Tahoma"/>
          <w:color w:val="auto"/>
          <w:sz w:val="20"/>
          <w:szCs w:val="20"/>
          <w:shd w:val="clear" w:color="auto" w:fill="FFFFFF"/>
          <w:lang w:val="es-PE"/>
        </w:rPr>
        <w:t>la vigencia de la democracia,</w:t>
      </w:r>
      <w:r w:rsidR="008F2E49" w:rsidRPr="009F54A5">
        <w:rPr>
          <w:rFonts w:asciiTheme="majorHAnsi" w:eastAsia="Times New Roman" w:hAnsiTheme="majorHAnsi" w:cs="Tahoma"/>
          <w:color w:val="auto"/>
          <w:sz w:val="20"/>
          <w:szCs w:val="20"/>
          <w:shd w:val="clear" w:color="auto" w:fill="FFFFFF"/>
          <w:lang w:val="es-PE"/>
        </w:rPr>
        <w:t xml:space="preserve"> </w:t>
      </w:r>
      <w:r w:rsidR="008F2E49" w:rsidRPr="009F54A5">
        <w:rPr>
          <w:rFonts w:asciiTheme="majorHAnsi" w:hAnsiTheme="majorHAnsi" w:cs="Arial"/>
          <w:color w:val="auto"/>
          <w:sz w:val="20"/>
          <w:szCs w:val="20"/>
          <w:lang w:val="es-PE"/>
        </w:rPr>
        <w:t>como</w:t>
      </w:r>
      <w:r w:rsidR="008F2E49" w:rsidRPr="009F54A5">
        <w:rPr>
          <w:rFonts w:asciiTheme="majorHAnsi" w:eastAsia="Times New Roman" w:hAnsiTheme="majorHAnsi" w:cs="Tahoma"/>
          <w:color w:val="auto"/>
          <w:sz w:val="20"/>
          <w:szCs w:val="20"/>
          <w:shd w:val="clear" w:color="auto" w:fill="FFFFFF"/>
          <w:lang w:val="es-PE"/>
        </w:rPr>
        <w:t xml:space="preserve"> el Consejo </w:t>
      </w:r>
      <w:r w:rsidR="008F2E49" w:rsidRPr="009F54A5">
        <w:rPr>
          <w:rFonts w:asciiTheme="majorHAnsi" w:hAnsiTheme="majorHAnsi"/>
          <w:color w:val="auto"/>
          <w:sz w:val="20"/>
          <w:szCs w:val="20"/>
          <w:lang w:val="es-PE"/>
        </w:rPr>
        <w:t>Nacional</w:t>
      </w:r>
      <w:r w:rsidR="008F2E49" w:rsidRPr="009F54A5">
        <w:rPr>
          <w:rFonts w:asciiTheme="majorHAnsi" w:eastAsia="Times New Roman" w:hAnsiTheme="majorHAnsi" w:cs="Tahoma"/>
          <w:color w:val="auto"/>
          <w:sz w:val="20"/>
          <w:szCs w:val="20"/>
          <w:shd w:val="clear" w:color="auto" w:fill="FFFFFF"/>
          <w:lang w:val="es-PE"/>
        </w:rPr>
        <w:t xml:space="preserve"> Elect</w:t>
      </w:r>
      <w:r w:rsidR="000432C6" w:rsidRPr="009F54A5">
        <w:rPr>
          <w:rFonts w:asciiTheme="majorHAnsi" w:eastAsia="Times New Roman" w:hAnsiTheme="majorHAnsi" w:cs="Tahoma"/>
          <w:color w:val="auto"/>
          <w:sz w:val="20"/>
          <w:szCs w:val="20"/>
          <w:shd w:val="clear" w:color="auto" w:fill="FFFFFF"/>
          <w:lang w:val="es-PE"/>
        </w:rPr>
        <w:t>oral</w:t>
      </w:r>
      <w:r w:rsidR="00D07851" w:rsidRPr="009F54A5">
        <w:rPr>
          <w:rFonts w:asciiTheme="majorHAnsi" w:eastAsia="Times New Roman" w:hAnsiTheme="majorHAnsi" w:cs="Tahoma"/>
          <w:color w:val="auto"/>
          <w:sz w:val="20"/>
          <w:szCs w:val="20"/>
          <w:shd w:val="clear" w:color="auto" w:fill="FFFFFF"/>
          <w:lang w:val="es-PE"/>
        </w:rPr>
        <w:t xml:space="preserve"> (CNE)</w:t>
      </w:r>
      <w:r w:rsidR="000432C6" w:rsidRPr="009F54A5">
        <w:rPr>
          <w:rFonts w:asciiTheme="majorHAnsi" w:eastAsia="Times New Roman" w:hAnsiTheme="majorHAnsi" w:cs="Tahoma"/>
          <w:color w:val="auto"/>
          <w:sz w:val="20"/>
          <w:szCs w:val="20"/>
          <w:shd w:val="clear" w:color="auto" w:fill="FFFFFF"/>
          <w:lang w:val="es-PE"/>
        </w:rPr>
        <w:t>, el Ministerio Público</w:t>
      </w:r>
      <w:r w:rsidR="00D07851" w:rsidRPr="009F54A5">
        <w:rPr>
          <w:rFonts w:asciiTheme="majorHAnsi" w:eastAsia="Times New Roman" w:hAnsiTheme="majorHAnsi" w:cs="Tahoma"/>
          <w:color w:val="auto"/>
          <w:sz w:val="20"/>
          <w:szCs w:val="20"/>
          <w:shd w:val="clear" w:color="auto" w:fill="FFFFFF"/>
          <w:lang w:val="es-PE"/>
        </w:rPr>
        <w:t xml:space="preserve"> (MP)</w:t>
      </w:r>
      <w:r w:rsidR="000432C6" w:rsidRPr="009F54A5">
        <w:rPr>
          <w:rFonts w:asciiTheme="majorHAnsi" w:eastAsia="Times New Roman" w:hAnsiTheme="majorHAnsi" w:cs="Tahoma"/>
          <w:color w:val="auto"/>
          <w:sz w:val="20"/>
          <w:szCs w:val="20"/>
          <w:shd w:val="clear" w:color="auto" w:fill="FFFFFF"/>
          <w:lang w:val="es-PE"/>
        </w:rPr>
        <w:t xml:space="preserve"> y la Defensoría del Pueblo</w:t>
      </w:r>
      <w:r w:rsidR="00D07851" w:rsidRPr="009F54A5">
        <w:rPr>
          <w:rFonts w:asciiTheme="majorHAnsi" w:eastAsia="Times New Roman" w:hAnsiTheme="majorHAnsi" w:cs="Tahoma"/>
          <w:color w:val="auto"/>
          <w:sz w:val="20"/>
          <w:szCs w:val="20"/>
          <w:shd w:val="clear" w:color="auto" w:fill="FFFFFF"/>
          <w:lang w:val="es-PE"/>
        </w:rPr>
        <w:t xml:space="preserve"> (DP)</w:t>
      </w:r>
      <w:r w:rsidR="008F2E49" w:rsidRPr="009F54A5">
        <w:rPr>
          <w:rFonts w:asciiTheme="majorHAnsi" w:eastAsia="Times New Roman" w:hAnsiTheme="majorHAnsi" w:cs="Tahoma"/>
          <w:color w:val="auto"/>
          <w:sz w:val="20"/>
          <w:szCs w:val="20"/>
          <w:shd w:val="clear" w:color="auto" w:fill="FFFFFF"/>
          <w:lang w:val="es-PE"/>
        </w:rPr>
        <w:t xml:space="preserve">. </w:t>
      </w:r>
      <w:r w:rsidR="00E33ABC" w:rsidRPr="009F54A5">
        <w:rPr>
          <w:rFonts w:asciiTheme="majorHAnsi" w:eastAsia="Times New Roman" w:hAnsiTheme="majorHAnsi" w:cs="Tahoma"/>
          <w:color w:val="auto"/>
          <w:sz w:val="20"/>
          <w:szCs w:val="20"/>
          <w:shd w:val="clear" w:color="auto" w:fill="FFFFFF"/>
          <w:lang w:val="es-PE"/>
        </w:rPr>
        <w:t xml:space="preserve">Por ello, la Comisión considera fundamental tomar </w:t>
      </w:r>
      <w:r w:rsidR="008669A1" w:rsidRPr="009F54A5">
        <w:rPr>
          <w:rFonts w:asciiTheme="majorHAnsi" w:eastAsia="Times New Roman" w:hAnsiTheme="majorHAnsi" w:cs="Tahoma"/>
          <w:color w:val="auto"/>
          <w:sz w:val="20"/>
          <w:szCs w:val="20"/>
          <w:shd w:val="clear" w:color="auto" w:fill="FFFFFF"/>
          <w:lang w:val="es-PE"/>
        </w:rPr>
        <w:t>acciones decididas</w:t>
      </w:r>
      <w:r w:rsidR="00E33ABC" w:rsidRPr="009F54A5">
        <w:rPr>
          <w:rFonts w:asciiTheme="majorHAnsi" w:eastAsia="Times New Roman" w:hAnsiTheme="majorHAnsi" w:cs="Tahoma"/>
          <w:color w:val="auto"/>
          <w:sz w:val="20"/>
          <w:szCs w:val="20"/>
          <w:shd w:val="clear" w:color="auto" w:fill="FFFFFF"/>
          <w:lang w:val="es-PE"/>
        </w:rPr>
        <w:t xml:space="preserve"> para asegurar que estos órganos se conduzcan </w:t>
      </w:r>
      <w:r w:rsidR="00E33ABC" w:rsidRPr="009F54A5">
        <w:rPr>
          <w:rFonts w:asciiTheme="majorHAnsi" w:hAnsiTheme="majorHAnsi"/>
          <w:sz w:val="20"/>
          <w:szCs w:val="20"/>
          <w:lang w:val="es-PE"/>
        </w:rPr>
        <w:t xml:space="preserve">sin interferencias </w:t>
      </w:r>
      <w:r w:rsidR="008669A1" w:rsidRPr="009F54A5">
        <w:rPr>
          <w:rFonts w:asciiTheme="majorHAnsi" w:hAnsiTheme="majorHAnsi"/>
          <w:sz w:val="20"/>
          <w:szCs w:val="20"/>
          <w:lang w:val="es-PE"/>
        </w:rPr>
        <w:t xml:space="preserve">o influencias </w:t>
      </w:r>
      <w:r w:rsidR="00E33ABC" w:rsidRPr="009F54A5">
        <w:rPr>
          <w:rFonts w:asciiTheme="majorHAnsi" w:hAnsiTheme="majorHAnsi"/>
          <w:sz w:val="20"/>
          <w:szCs w:val="20"/>
          <w:lang w:val="es-PE"/>
        </w:rPr>
        <w:t xml:space="preserve">indebidas de naturaleza política, </w:t>
      </w:r>
      <w:r w:rsidR="008669A1" w:rsidRPr="009F54A5">
        <w:rPr>
          <w:rFonts w:asciiTheme="majorHAnsi" w:hAnsiTheme="majorHAnsi"/>
          <w:sz w:val="20"/>
          <w:szCs w:val="20"/>
          <w:lang w:val="es-PE"/>
        </w:rPr>
        <w:t xml:space="preserve">y </w:t>
      </w:r>
      <w:r w:rsidR="00E33ABC" w:rsidRPr="009F54A5">
        <w:rPr>
          <w:rFonts w:asciiTheme="majorHAnsi" w:hAnsiTheme="majorHAnsi"/>
          <w:sz w:val="20"/>
          <w:szCs w:val="20"/>
          <w:lang w:val="es-PE"/>
        </w:rPr>
        <w:t>cumpl</w:t>
      </w:r>
      <w:r w:rsidR="008669A1" w:rsidRPr="009F54A5">
        <w:rPr>
          <w:rFonts w:asciiTheme="majorHAnsi" w:hAnsiTheme="majorHAnsi"/>
          <w:sz w:val="20"/>
          <w:szCs w:val="20"/>
          <w:lang w:val="es-PE"/>
        </w:rPr>
        <w:t>an</w:t>
      </w:r>
      <w:r w:rsidR="00E33ABC" w:rsidRPr="009F54A5">
        <w:rPr>
          <w:rFonts w:asciiTheme="majorHAnsi" w:hAnsiTheme="majorHAnsi"/>
          <w:sz w:val="20"/>
          <w:szCs w:val="20"/>
          <w:lang w:val="es-PE"/>
        </w:rPr>
        <w:t xml:space="preserve"> a cabalidad su mandato</w:t>
      </w:r>
      <w:r w:rsidR="008669A1" w:rsidRPr="009F54A5">
        <w:rPr>
          <w:rFonts w:asciiTheme="majorHAnsi" w:hAnsiTheme="majorHAnsi"/>
          <w:sz w:val="20"/>
          <w:szCs w:val="20"/>
          <w:lang w:val="es-PE"/>
        </w:rPr>
        <w:t xml:space="preserve"> constitucional</w:t>
      </w:r>
      <w:r w:rsidR="00D07851" w:rsidRPr="009F54A5">
        <w:rPr>
          <w:rFonts w:asciiTheme="majorHAnsi" w:hAnsiTheme="majorHAnsi"/>
          <w:sz w:val="20"/>
          <w:szCs w:val="20"/>
          <w:lang w:val="es-PE"/>
        </w:rPr>
        <w:t xml:space="preserve">, clave para </w:t>
      </w:r>
      <w:r w:rsidR="00AC19E8" w:rsidRPr="009F54A5">
        <w:rPr>
          <w:rFonts w:asciiTheme="majorHAnsi" w:hAnsiTheme="majorHAnsi"/>
          <w:sz w:val="20"/>
          <w:szCs w:val="20"/>
          <w:lang w:val="es-PE"/>
        </w:rPr>
        <w:t>la vigencia de</w:t>
      </w:r>
      <w:r w:rsidR="00D07851" w:rsidRPr="009F54A5">
        <w:rPr>
          <w:rFonts w:asciiTheme="majorHAnsi" w:hAnsiTheme="majorHAnsi"/>
          <w:sz w:val="20"/>
          <w:szCs w:val="20"/>
          <w:lang w:val="es-PE"/>
        </w:rPr>
        <w:t>l Estado Democrático de Derecho</w:t>
      </w:r>
      <w:r w:rsidR="00AC19E8" w:rsidRPr="009F54A5">
        <w:rPr>
          <w:rFonts w:asciiTheme="majorHAnsi" w:hAnsiTheme="majorHAnsi"/>
          <w:sz w:val="20"/>
          <w:szCs w:val="20"/>
          <w:lang w:val="es-PE"/>
        </w:rPr>
        <w:t xml:space="preserve"> en Venezuela</w:t>
      </w:r>
      <w:r w:rsidR="00BB3547" w:rsidRPr="009F54A5">
        <w:rPr>
          <w:rFonts w:asciiTheme="majorHAnsi" w:hAnsiTheme="majorHAnsi"/>
          <w:sz w:val="20"/>
          <w:szCs w:val="20"/>
          <w:lang w:val="es-PE"/>
        </w:rPr>
        <w:t>.</w:t>
      </w:r>
    </w:p>
    <w:p w14:paraId="68885730" w14:textId="77777777" w:rsidR="000A58A5" w:rsidRPr="009F54A5" w:rsidRDefault="000A58A5" w:rsidP="000A58A5">
      <w:pPr>
        <w:rPr>
          <w:rFonts w:asciiTheme="majorHAnsi" w:eastAsia="Times New Roman" w:hAnsiTheme="majorHAnsi" w:cs="Arial"/>
          <w:sz w:val="20"/>
          <w:szCs w:val="20"/>
          <w:lang w:val="es-ES"/>
        </w:rPr>
      </w:pPr>
    </w:p>
    <w:p w14:paraId="5185BB8E" w14:textId="77777777" w:rsidR="000A58A5" w:rsidRPr="009F54A5" w:rsidRDefault="0080528E" w:rsidP="000A58A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lang w:val="es-PE"/>
        </w:rPr>
      </w:pPr>
      <w:r w:rsidRPr="009F54A5">
        <w:rPr>
          <w:rFonts w:asciiTheme="majorHAnsi" w:eastAsia="Times New Roman" w:hAnsiTheme="majorHAnsi" w:cs="Arial"/>
          <w:color w:val="auto"/>
          <w:sz w:val="20"/>
          <w:szCs w:val="20"/>
          <w:lang w:val="es-ES"/>
        </w:rPr>
        <w:t>La CIDH advierte que l</w:t>
      </w:r>
      <w:r w:rsidR="008F2E49" w:rsidRPr="009F54A5">
        <w:rPr>
          <w:rFonts w:asciiTheme="majorHAnsi" w:eastAsia="Times New Roman" w:hAnsiTheme="majorHAnsi" w:cs="Arial"/>
          <w:color w:val="auto"/>
          <w:sz w:val="20"/>
          <w:szCs w:val="20"/>
          <w:lang w:val="es-ES"/>
        </w:rPr>
        <w:t>as denuncias de altos niveles de corrupción en el país, permean aún más la débil institucionalidad estatal</w:t>
      </w:r>
      <w:r w:rsidR="008F2E49" w:rsidRPr="009F54A5">
        <w:rPr>
          <w:rFonts w:asciiTheme="majorHAnsi" w:hAnsiTheme="majorHAnsi"/>
          <w:color w:val="auto"/>
          <w:sz w:val="20"/>
          <w:szCs w:val="20"/>
          <w:lang w:val="es-PE"/>
        </w:rPr>
        <w:t>.</w:t>
      </w:r>
      <w:r w:rsidR="000A58A5" w:rsidRPr="009F54A5">
        <w:rPr>
          <w:rFonts w:asciiTheme="majorHAnsi" w:hAnsiTheme="majorHAnsi"/>
          <w:color w:val="auto"/>
          <w:sz w:val="20"/>
          <w:szCs w:val="20"/>
          <w:lang w:val="es-PE"/>
        </w:rPr>
        <w:t xml:space="preserve"> Dado que l</w:t>
      </w:r>
      <w:r w:rsidR="000A58A5" w:rsidRPr="009F54A5">
        <w:rPr>
          <w:rFonts w:asciiTheme="majorHAnsi" w:hAnsiTheme="majorHAnsi"/>
          <w:color w:val="auto"/>
          <w:sz w:val="20"/>
          <w:szCs w:val="20"/>
          <w:lang w:val="es-ES"/>
        </w:rPr>
        <w:t xml:space="preserve">a impunidad impulsa y perpetúa actos de corrupción, se requiere </w:t>
      </w:r>
      <w:r w:rsidR="000A58A5" w:rsidRPr="009F54A5">
        <w:rPr>
          <w:rFonts w:asciiTheme="majorHAnsi" w:hAnsiTheme="majorHAnsi" w:cs="Arial"/>
          <w:color w:val="auto"/>
          <w:sz w:val="20"/>
          <w:szCs w:val="20"/>
          <w:lang w:val="es-ES"/>
        </w:rPr>
        <w:t>asegurar que los actos denunciados sean investigados de manera independiente e imparcial, sin demora y sin influencias ni discriminación con base en la pertenencia a determinados partidos políticos o en los cargos ocupados por los investigados.</w:t>
      </w:r>
      <w:r w:rsidR="000A58A5" w:rsidRPr="009F54A5">
        <w:rPr>
          <w:rFonts w:asciiTheme="majorHAnsi" w:hAnsiTheme="majorHAnsi"/>
          <w:color w:val="auto"/>
          <w:sz w:val="20"/>
          <w:szCs w:val="20"/>
          <w:lang w:val="es-ES"/>
        </w:rPr>
        <w:t xml:space="preserve"> Es necesario también adoptar </w:t>
      </w:r>
      <w:r w:rsidR="000A58A5" w:rsidRPr="009F54A5">
        <w:rPr>
          <w:rFonts w:asciiTheme="majorHAnsi" w:hAnsiTheme="majorHAnsi" w:cs="Arial"/>
          <w:color w:val="auto"/>
          <w:sz w:val="20"/>
          <w:szCs w:val="20"/>
          <w:lang w:val="es-ES"/>
        </w:rPr>
        <w:t xml:space="preserve">medidas preventivas, entre las que se encuentra </w:t>
      </w:r>
      <w:r w:rsidR="000A58A5" w:rsidRPr="009F54A5">
        <w:rPr>
          <w:rFonts w:asciiTheme="majorHAnsi" w:hAnsiTheme="majorHAnsi"/>
          <w:color w:val="auto"/>
          <w:sz w:val="20"/>
          <w:szCs w:val="20"/>
          <w:lang w:val="es-ES"/>
        </w:rPr>
        <w:t>gobernar con base en los principios de publicidad, transparencia y responsabilidad pública efectiva.</w:t>
      </w:r>
    </w:p>
    <w:p w14:paraId="12791EBD" w14:textId="77777777" w:rsidR="00390F12" w:rsidRPr="009F54A5" w:rsidRDefault="00390F12" w:rsidP="00C43AA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contextualSpacing/>
        <w:jc w:val="both"/>
        <w:rPr>
          <w:rFonts w:asciiTheme="majorHAnsi" w:hAnsiTheme="majorHAnsi"/>
          <w:color w:val="auto"/>
          <w:sz w:val="20"/>
          <w:szCs w:val="20"/>
          <w:lang w:val="es-ES"/>
        </w:rPr>
      </w:pPr>
    </w:p>
    <w:p w14:paraId="60DEEC92" w14:textId="3FEDC8C4" w:rsidR="006521D3" w:rsidRPr="009F54A5" w:rsidRDefault="00C43AA2" w:rsidP="00674313">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rPr>
        <w:t>Los</w:t>
      </w:r>
      <w:r w:rsidRPr="009F54A5">
        <w:rPr>
          <w:rFonts w:asciiTheme="majorHAnsi" w:eastAsia="Times New Roman" w:hAnsiTheme="majorHAnsi" w:cs="Tahoma"/>
          <w:color w:val="auto"/>
          <w:sz w:val="20"/>
          <w:szCs w:val="20"/>
          <w:shd w:val="clear" w:color="auto" w:fill="FFFFFF"/>
          <w:lang w:val="es-PE"/>
        </w:rPr>
        <w:t xml:space="preserve"> problemas en materia de institucionalidad democrática anteriormente descritos han tenido</w:t>
      </w:r>
      <w:r w:rsidR="008F2E49" w:rsidRPr="009F54A5">
        <w:rPr>
          <w:rFonts w:asciiTheme="majorHAnsi" w:eastAsia="Times New Roman" w:hAnsiTheme="majorHAnsi" w:cs="Tahoma"/>
          <w:color w:val="auto"/>
          <w:sz w:val="20"/>
          <w:szCs w:val="20"/>
          <w:shd w:val="clear" w:color="auto" w:fill="FFFFFF"/>
          <w:lang w:val="es-PE"/>
        </w:rPr>
        <w:t xml:space="preserve"> como </w:t>
      </w:r>
      <w:r w:rsidR="008F2E49" w:rsidRPr="009F54A5">
        <w:rPr>
          <w:rFonts w:asciiTheme="majorHAnsi" w:hAnsiTheme="majorHAnsi"/>
          <w:color w:val="auto"/>
          <w:sz w:val="20"/>
          <w:szCs w:val="20"/>
        </w:rPr>
        <w:t>consecuencia</w:t>
      </w:r>
      <w:r w:rsidR="008F2E49" w:rsidRPr="009F54A5">
        <w:rPr>
          <w:rFonts w:asciiTheme="majorHAnsi" w:eastAsia="Times New Roman" w:hAnsiTheme="majorHAnsi" w:cs="Tahoma"/>
          <w:color w:val="auto"/>
          <w:sz w:val="20"/>
          <w:szCs w:val="20"/>
          <w:shd w:val="clear" w:color="auto" w:fill="FFFFFF"/>
          <w:lang w:val="es-PE"/>
        </w:rPr>
        <w:t xml:space="preserve"> la existencia de un contexto de impunidad y un impacto </w:t>
      </w:r>
      <w:r w:rsidR="00B95D36" w:rsidRPr="009F54A5">
        <w:rPr>
          <w:rFonts w:asciiTheme="majorHAnsi" w:eastAsia="Times New Roman" w:hAnsiTheme="majorHAnsi" w:cs="Tahoma"/>
          <w:color w:val="auto"/>
          <w:sz w:val="20"/>
          <w:szCs w:val="20"/>
          <w:shd w:val="clear" w:color="auto" w:fill="FFFFFF"/>
          <w:lang w:val="es-PE"/>
        </w:rPr>
        <w:t>profundo</w:t>
      </w:r>
      <w:r w:rsidR="008F2E49" w:rsidRPr="009F54A5">
        <w:rPr>
          <w:rFonts w:asciiTheme="majorHAnsi" w:eastAsia="Times New Roman" w:hAnsiTheme="majorHAnsi" w:cs="Tahoma"/>
          <w:color w:val="auto"/>
          <w:sz w:val="20"/>
          <w:szCs w:val="20"/>
          <w:shd w:val="clear" w:color="auto" w:fill="FFFFFF"/>
          <w:lang w:val="es-PE"/>
        </w:rPr>
        <w:t xml:space="preserve"> en el ejercicio de derechos humanos fundamentales para el régimen democrático, como son los derechos políticos.</w:t>
      </w:r>
      <w:r w:rsidRPr="009F54A5">
        <w:rPr>
          <w:rFonts w:asciiTheme="majorHAnsi" w:eastAsia="Times New Roman" w:hAnsiTheme="majorHAnsi" w:cs="Tahoma"/>
          <w:color w:val="auto"/>
          <w:sz w:val="20"/>
          <w:szCs w:val="20"/>
          <w:shd w:val="clear" w:color="auto" w:fill="FFFFFF"/>
          <w:lang w:val="es-PE"/>
        </w:rPr>
        <w:t xml:space="preserve"> </w:t>
      </w:r>
      <w:r w:rsidR="008F2E49" w:rsidRPr="009F54A5">
        <w:rPr>
          <w:rFonts w:asciiTheme="majorHAnsi" w:hAnsiTheme="majorHAnsi"/>
          <w:color w:val="auto"/>
          <w:sz w:val="20"/>
          <w:szCs w:val="20"/>
        </w:rPr>
        <w:t xml:space="preserve">Es de particular preocupación para la CIDH la situación de </w:t>
      </w:r>
      <w:r w:rsidR="00E35D18" w:rsidRPr="009F54A5">
        <w:rPr>
          <w:rFonts w:asciiTheme="majorHAnsi" w:hAnsiTheme="majorHAnsi"/>
          <w:color w:val="auto"/>
          <w:sz w:val="20"/>
          <w:szCs w:val="20"/>
        </w:rPr>
        <w:t>estos derechos</w:t>
      </w:r>
      <w:r w:rsidR="008F2E49" w:rsidRPr="009F54A5">
        <w:rPr>
          <w:rFonts w:asciiTheme="majorHAnsi" w:hAnsiTheme="majorHAnsi"/>
          <w:color w:val="auto"/>
          <w:sz w:val="20"/>
          <w:szCs w:val="20"/>
        </w:rPr>
        <w:t xml:space="preserve"> en Venezuela, cuyo ejercicio se ha visto restringido seriamente a</w:t>
      </w:r>
      <w:r w:rsidR="00711543" w:rsidRPr="009F54A5">
        <w:rPr>
          <w:rFonts w:asciiTheme="majorHAnsi" w:hAnsiTheme="majorHAnsi"/>
          <w:color w:val="auto"/>
          <w:sz w:val="20"/>
          <w:szCs w:val="20"/>
        </w:rPr>
        <w:t xml:space="preserve"> través de múltiples obstáculos. Entre los más recientes se encuentran la </w:t>
      </w:r>
      <w:r w:rsidR="008F2E49" w:rsidRPr="009F54A5">
        <w:rPr>
          <w:rFonts w:asciiTheme="majorHAnsi" w:hAnsiTheme="majorHAnsi"/>
          <w:color w:val="auto"/>
          <w:sz w:val="20"/>
          <w:szCs w:val="20"/>
        </w:rPr>
        <w:t xml:space="preserve">suspensión del </w:t>
      </w:r>
      <w:r w:rsidR="00E35D18" w:rsidRPr="009F54A5">
        <w:rPr>
          <w:rFonts w:asciiTheme="majorHAnsi" w:hAnsiTheme="majorHAnsi"/>
          <w:color w:val="auto"/>
          <w:sz w:val="20"/>
          <w:szCs w:val="20"/>
        </w:rPr>
        <w:t xml:space="preserve">proceso de </w:t>
      </w:r>
      <w:r w:rsidR="008F2E49" w:rsidRPr="009F54A5">
        <w:rPr>
          <w:rFonts w:asciiTheme="majorHAnsi" w:hAnsiTheme="majorHAnsi"/>
          <w:color w:val="auto"/>
          <w:sz w:val="20"/>
          <w:szCs w:val="20"/>
        </w:rPr>
        <w:t>referéndum revocatorio</w:t>
      </w:r>
      <w:r w:rsidR="00711543" w:rsidRPr="009F54A5">
        <w:rPr>
          <w:rFonts w:asciiTheme="majorHAnsi" w:hAnsiTheme="majorHAnsi"/>
          <w:color w:val="auto"/>
          <w:sz w:val="20"/>
          <w:szCs w:val="20"/>
        </w:rPr>
        <w:t xml:space="preserve"> al Presidente de la República</w:t>
      </w:r>
      <w:r w:rsidR="008F2E49" w:rsidRPr="009F54A5">
        <w:rPr>
          <w:rFonts w:asciiTheme="majorHAnsi" w:hAnsiTheme="majorHAnsi"/>
          <w:color w:val="auto"/>
          <w:sz w:val="20"/>
          <w:szCs w:val="20"/>
        </w:rPr>
        <w:t xml:space="preserve">, la prolongada suspensión de elecciones municipales y </w:t>
      </w:r>
      <w:r w:rsidR="008F2E49" w:rsidRPr="009F54A5">
        <w:rPr>
          <w:rFonts w:asciiTheme="majorHAnsi" w:eastAsia="Times New Roman" w:hAnsiTheme="majorHAnsi" w:cs="Tahoma"/>
          <w:color w:val="auto"/>
          <w:sz w:val="20"/>
          <w:szCs w:val="20"/>
          <w:shd w:val="clear" w:color="auto" w:fill="FFFFFF"/>
          <w:lang w:val="es-PE"/>
        </w:rPr>
        <w:t>regionales</w:t>
      </w:r>
      <w:r w:rsidR="008F2E49" w:rsidRPr="009F54A5">
        <w:rPr>
          <w:rFonts w:asciiTheme="majorHAnsi" w:hAnsiTheme="majorHAnsi"/>
          <w:color w:val="auto"/>
          <w:sz w:val="20"/>
          <w:szCs w:val="20"/>
        </w:rPr>
        <w:t>, y los recientes graves cuestionamientos sobre ventajismo y fraude en las elecciones regionales</w:t>
      </w:r>
      <w:r w:rsidR="000E6066" w:rsidRPr="009F54A5">
        <w:rPr>
          <w:rFonts w:asciiTheme="majorHAnsi" w:hAnsiTheme="majorHAnsi"/>
          <w:color w:val="auto"/>
          <w:sz w:val="20"/>
          <w:szCs w:val="20"/>
        </w:rPr>
        <w:t xml:space="preserve"> del 15 de octubre de 2017</w:t>
      </w:r>
      <w:r w:rsidR="008F2E49" w:rsidRPr="009F54A5">
        <w:rPr>
          <w:rFonts w:asciiTheme="majorHAnsi" w:hAnsiTheme="majorHAnsi"/>
          <w:color w:val="auto"/>
          <w:sz w:val="20"/>
          <w:szCs w:val="20"/>
        </w:rPr>
        <w:t xml:space="preserve">. </w:t>
      </w:r>
    </w:p>
    <w:p w14:paraId="2321FCE1" w14:textId="77777777" w:rsidR="00674313" w:rsidRPr="009F54A5" w:rsidRDefault="00674313" w:rsidP="0067431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14:paraId="63268C75" w14:textId="77777777" w:rsidR="008F2E49" w:rsidRPr="009F54A5" w:rsidRDefault="008F2E49" w:rsidP="00C6150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rPr>
        <w:t>En Venez</w:t>
      </w:r>
      <w:r w:rsidR="00287916" w:rsidRPr="009F54A5">
        <w:rPr>
          <w:rFonts w:asciiTheme="majorHAnsi" w:hAnsiTheme="majorHAnsi"/>
          <w:color w:val="auto"/>
          <w:sz w:val="20"/>
          <w:szCs w:val="20"/>
        </w:rPr>
        <w:t>uela, quienes disienten con el G</w:t>
      </w:r>
      <w:r w:rsidRPr="009F54A5">
        <w:rPr>
          <w:rFonts w:asciiTheme="majorHAnsi" w:hAnsiTheme="majorHAnsi"/>
          <w:color w:val="auto"/>
          <w:sz w:val="20"/>
          <w:szCs w:val="20"/>
        </w:rPr>
        <w:t xml:space="preserve">obierno sufren serias represalias, como </w:t>
      </w:r>
      <w:r w:rsidR="00B225AD" w:rsidRPr="009F54A5">
        <w:rPr>
          <w:rFonts w:asciiTheme="majorHAnsi" w:hAnsiTheme="majorHAnsi"/>
          <w:color w:val="auto"/>
          <w:sz w:val="20"/>
          <w:szCs w:val="20"/>
        </w:rPr>
        <w:t xml:space="preserve">se constata en las frecuentes </w:t>
      </w:r>
      <w:r w:rsidRPr="009F54A5">
        <w:rPr>
          <w:rFonts w:asciiTheme="majorHAnsi" w:hAnsiTheme="majorHAnsi"/>
          <w:color w:val="auto"/>
          <w:sz w:val="20"/>
          <w:szCs w:val="20"/>
        </w:rPr>
        <w:t xml:space="preserve">detenciones y destituciones a alcaldes, gobernadores, diputados y </w:t>
      </w:r>
      <w:r w:rsidR="00C6150C" w:rsidRPr="009F54A5">
        <w:rPr>
          <w:rFonts w:asciiTheme="majorHAnsi" w:hAnsiTheme="majorHAnsi"/>
          <w:color w:val="auto"/>
          <w:sz w:val="20"/>
          <w:szCs w:val="20"/>
        </w:rPr>
        <w:t>opositores</w:t>
      </w:r>
      <w:r w:rsidRPr="009F54A5">
        <w:rPr>
          <w:rFonts w:asciiTheme="majorHAnsi" w:hAnsiTheme="majorHAnsi"/>
          <w:color w:val="auto"/>
          <w:sz w:val="20"/>
          <w:szCs w:val="20"/>
        </w:rPr>
        <w:t xml:space="preserve"> en general. Entre los casos </w:t>
      </w:r>
      <w:r w:rsidR="00C6150C" w:rsidRPr="009F54A5">
        <w:rPr>
          <w:rFonts w:asciiTheme="majorHAnsi" w:hAnsiTheme="majorHAnsi"/>
          <w:color w:val="auto"/>
          <w:sz w:val="20"/>
          <w:szCs w:val="20"/>
        </w:rPr>
        <w:t>emblemáticos</w:t>
      </w:r>
      <w:r w:rsidRPr="009F54A5">
        <w:rPr>
          <w:rFonts w:asciiTheme="majorHAnsi" w:hAnsiTheme="majorHAnsi"/>
          <w:color w:val="auto"/>
          <w:sz w:val="20"/>
          <w:szCs w:val="20"/>
        </w:rPr>
        <w:t xml:space="preserve">, </w:t>
      </w:r>
      <w:r w:rsidR="00B225AD" w:rsidRPr="009F54A5">
        <w:rPr>
          <w:rFonts w:asciiTheme="majorHAnsi" w:hAnsiTheme="majorHAnsi"/>
          <w:color w:val="auto"/>
          <w:sz w:val="20"/>
          <w:szCs w:val="20"/>
        </w:rPr>
        <w:t xml:space="preserve">la CIDH destaca los preocupantes actos cometidos contra </w:t>
      </w:r>
      <w:r w:rsidRPr="009F54A5">
        <w:rPr>
          <w:rFonts w:asciiTheme="majorHAnsi" w:hAnsiTheme="majorHAnsi"/>
          <w:color w:val="auto"/>
          <w:sz w:val="20"/>
          <w:szCs w:val="20"/>
        </w:rPr>
        <w:t xml:space="preserve">Henrique Capriles, Antonio Ledezma y Leopoldo López. </w:t>
      </w:r>
      <w:r w:rsidRPr="009F54A5">
        <w:rPr>
          <w:rFonts w:asciiTheme="majorHAnsi" w:hAnsiTheme="majorHAnsi"/>
          <w:sz w:val="20"/>
          <w:szCs w:val="20"/>
          <w:lang w:val="es-PE"/>
        </w:rPr>
        <w:t>En vista de ello, la Comisión reitera que se requiere de manera prioritaria garantizar el pleno ejercicio de los derechos políticos de toda autoridad</w:t>
      </w:r>
      <w:r w:rsidR="00C6150C" w:rsidRPr="009F54A5">
        <w:rPr>
          <w:rFonts w:asciiTheme="majorHAnsi" w:hAnsiTheme="majorHAnsi"/>
          <w:sz w:val="20"/>
          <w:szCs w:val="20"/>
          <w:lang w:val="es-PE"/>
        </w:rPr>
        <w:t xml:space="preserve"> y de los habitantes en Venezuela</w:t>
      </w:r>
      <w:r w:rsidRPr="009F54A5">
        <w:rPr>
          <w:rFonts w:asciiTheme="majorHAnsi" w:hAnsiTheme="majorHAnsi"/>
          <w:sz w:val="20"/>
          <w:szCs w:val="20"/>
          <w:lang w:val="es-PE"/>
        </w:rPr>
        <w:t xml:space="preserve">, independientemente de su afinidad política; y abstenerse de realizar cualquier acto de hostigamiento, intimidación o criminalización de la disidencia política. </w:t>
      </w:r>
    </w:p>
    <w:p w14:paraId="58E7422A" w14:textId="77777777" w:rsidR="006D5137" w:rsidRPr="009F54A5" w:rsidRDefault="006D5137" w:rsidP="00AD758E">
      <w:pPr>
        <w:pStyle w:val="NoSpacing"/>
        <w:rPr>
          <w:rFonts w:asciiTheme="majorHAnsi" w:hAnsiTheme="majorHAnsi"/>
          <w:sz w:val="20"/>
          <w:szCs w:val="20"/>
          <w:lang w:val="es-PE"/>
        </w:rPr>
      </w:pPr>
      <w:bookmarkStart w:id="15" w:name="_VIOLENCIA_Y_SEGURIDAD"/>
      <w:bookmarkEnd w:id="15"/>
    </w:p>
    <w:p w14:paraId="3AE2210C" w14:textId="77777777" w:rsidR="008F2E49" w:rsidRPr="009F54A5" w:rsidRDefault="000A56BD" w:rsidP="008F2E49">
      <w:pPr>
        <w:pStyle w:val="Heading2"/>
        <w:spacing w:before="0"/>
        <w:ind w:left="708"/>
        <w:rPr>
          <w:lang w:val="es-PE"/>
        </w:rPr>
      </w:pPr>
      <w:bookmarkStart w:id="16" w:name="_Toc496292368"/>
      <w:bookmarkStart w:id="17" w:name="_Toc497458281"/>
      <w:bookmarkStart w:id="18" w:name="_Toc497649700"/>
      <w:bookmarkStart w:id="19" w:name="_Toc497733334"/>
      <w:bookmarkStart w:id="20" w:name="_Toc373315243"/>
      <w:bookmarkStart w:id="21" w:name="_Toc503361005"/>
      <w:r w:rsidRPr="009F54A5">
        <w:rPr>
          <w:i/>
          <w:color w:val="auto"/>
          <w:sz w:val="20"/>
          <w:szCs w:val="20"/>
          <w:lang w:val="es-ES"/>
        </w:rPr>
        <w:t>P</w:t>
      </w:r>
      <w:r w:rsidR="008F2E49" w:rsidRPr="009F54A5">
        <w:rPr>
          <w:i/>
          <w:color w:val="auto"/>
          <w:sz w:val="20"/>
          <w:szCs w:val="20"/>
          <w:lang w:val="es-ES"/>
        </w:rPr>
        <w:t>rotesta social</w:t>
      </w:r>
      <w:bookmarkEnd w:id="16"/>
      <w:bookmarkEnd w:id="17"/>
      <w:r w:rsidRPr="009F54A5">
        <w:rPr>
          <w:i/>
          <w:color w:val="auto"/>
          <w:sz w:val="20"/>
          <w:szCs w:val="20"/>
          <w:lang w:val="es-ES"/>
        </w:rPr>
        <w:t xml:space="preserve"> y libertad de expresión</w:t>
      </w:r>
      <w:bookmarkEnd w:id="18"/>
      <w:bookmarkEnd w:id="19"/>
      <w:bookmarkEnd w:id="20"/>
      <w:bookmarkEnd w:id="21"/>
    </w:p>
    <w:p w14:paraId="101A9065" w14:textId="77777777" w:rsidR="008F2E49" w:rsidRPr="009F54A5" w:rsidRDefault="008F2E49" w:rsidP="008F2E49">
      <w:pPr>
        <w:pStyle w:val="NoSpacing"/>
        <w:jc w:val="both"/>
        <w:rPr>
          <w:rFonts w:asciiTheme="majorHAnsi" w:hAnsiTheme="majorHAnsi"/>
          <w:sz w:val="20"/>
          <w:szCs w:val="20"/>
          <w:lang w:val="es-PE"/>
        </w:rPr>
      </w:pPr>
    </w:p>
    <w:p w14:paraId="66222DA8" w14:textId="03C6163F" w:rsidR="008F2E49"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s="Arial"/>
          <w:sz w:val="20"/>
          <w:szCs w:val="20"/>
          <w:lang w:val="es-PE"/>
        </w:rPr>
      </w:pPr>
      <w:r w:rsidRPr="009F54A5">
        <w:rPr>
          <w:rFonts w:asciiTheme="majorHAnsi" w:hAnsiTheme="majorHAnsi"/>
          <w:color w:val="auto"/>
          <w:sz w:val="20"/>
          <w:szCs w:val="20"/>
        </w:rPr>
        <w:t>Como consecuencia de la crisis política, económica y social</w:t>
      </w:r>
      <w:r w:rsidR="000A56BD" w:rsidRPr="009F54A5">
        <w:rPr>
          <w:rFonts w:asciiTheme="majorHAnsi" w:hAnsiTheme="majorHAnsi"/>
          <w:color w:val="auto"/>
          <w:sz w:val="20"/>
          <w:szCs w:val="20"/>
        </w:rPr>
        <w:t xml:space="preserve"> en Venezuela</w:t>
      </w:r>
      <w:r w:rsidRPr="009F54A5">
        <w:rPr>
          <w:rFonts w:asciiTheme="majorHAnsi" w:hAnsiTheme="majorHAnsi"/>
          <w:color w:val="auto"/>
          <w:sz w:val="20"/>
          <w:szCs w:val="20"/>
        </w:rPr>
        <w:t xml:space="preserve">, </w:t>
      </w:r>
      <w:r w:rsidRPr="009F54A5">
        <w:rPr>
          <w:rFonts w:asciiTheme="majorHAnsi" w:hAnsiTheme="majorHAnsi"/>
          <w:color w:val="auto"/>
          <w:sz w:val="20"/>
          <w:szCs w:val="20"/>
          <w:lang w:val="es-PE"/>
        </w:rPr>
        <w:t>miles de personas se movilizaron</w:t>
      </w:r>
      <w:r w:rsidR="00713266" w:rsidRPr="009F54A5">
        <w:rPr>
          <w:rFonts w:asciiTheme="majorHAnsi" w:hAnsiTheme="majorHAnsi"/>
          <w:color w:val="auto"/>
          <w:sz w:val="20"/>
          <w:szCs w:val="20"/>
          <w:lang w:val="es-PE"/>
        </w:rPr>
        <w:t>, especialmente e</w:t>
      </w:r>
      <w:r w:rsidR="00713266" w:rsidRPr="009F54A5">
        <w:rPr>
          <w:rFonts w:asciiTheme="majorHAnsi" w:hAnsiTheme="majorHAnsi"/>
          <w:sz w:val="20"/>
          <w:szCs w:val="20"/>
        </w:rPr>
        <w:t>ntre el 1° de abril y e</w:t>
      </w:r>
      <w:r w:rsidR="00713266" w:rsidRPr="009F54A5">
        <w:rPr>
          <w:rFonts w:asciiTheme="majorHAnsi" w:hAnsiTheme="majorHAnsi"/>
          <w:sz w:val="20"/>
          <w:szCs w:val="20"/>
          <w:lang w:val="es-PE"/>
        </w:rPr>
        <w:t xml:space="preserve">l 31 de julio de 2017, </w:t>
      </w:r>
      <w:r w:rsidRPr="009F54A5">
        <w:rPr>
          <w:rFonts w:asciiTheme="majorHAnsi" w:hAnsiTheme="majorHAnsi"/>
          <w:color w:val="auto"/>
          <w:sz w:val="20"/>
          <w:szCs w:val="20"/>
          <w:lang w:val="es-PE"/>
        </w:rPr>
        <w:t xml:space="preserve">en varias ciudades del país en rechazo al </w:t>
      </w:r>
      <w:r w:rsidR="00100A8C" w:rsidRPr="009F54A5">
        <w:rPr>
          <w:rFonts w:asciiTheme="majorHAnsi" w:hAnsiTheme="majorHAnsi"/>
          <w:color w:val="auto"/>
          <w:sz w:val="20"/>
          <w:szCs w:val="20"/>
          <w:lang w:val="es-PE"/>
        </w:rPr>
        <w:t>Gobierno</w:t>
      </w:r>
      <w:r w:rsidRPr="009F54A5">
        <w:rPr>
          <w:rFonts w:asciiTheme="majorHAnsi" w:hAnsiTheme="majorHAnsi"/>
          <w:color w:val="auto"/>
          <w:sz w:val="20"/>
          <w:szCs w:val="20"/>
          <w:lang w:val="es-PE"/>
        </w:rPr>
        <w:t xml:space="preserve"> del Presidente Maduro y las decisiones del TSJ, así como en exigencia de mejores condiciones de vida frente a la alarmante escasez de alimentos, medicinas y otros bienes esenciales</w:t>
      </w:r>
      <w:r w:rsidRPr="009F54A5">
        <w:rPr>
          <w:rFonts w:asciiTheme="majorHAnsi" w:hAnsiTheme="majorHAnsi"/>
          <w:color w:val="auto"/>
          <w:sz w:val="20"/>
          <w:szCs w:val="20"/>
        </w:rPr>
        <w:t xml:space="preserve">. En este contexto, la Comisión identificó la existencia de serias restricciones y </w:t>
      </w:r>
      <w:r w:rsidR="000E6066" w:rsidRPr="009F54A5">
        <w:rPr>
          <w:rFonts w:asciiTheme="majorHAnsi" w:hAnsiTheme="majorHAnsi"/>
          <w:color w:val="auto"/>
          <w:sz w:val="20"/>
          <w:szCs w:val="20"/>
        </w:rPr>
        <w:t>actos</w:t>
      </w:r>
      <w:r w:rsidRPr="009F54A5">
        <w:rPr>
          <w:rFonts w:asciiTheme="majorHAnsi" w:hAnsiTheme="majorHAnsi"/>
          <w:color w:val="auto"/>
          <w:sz w:val="20"/>
          <w:szCs w:val="20"/>
        </w:rPr>
        <w:t xml:space="preserve"> estatales que afectaron gravemente el ejercicio del derecho a la protesta social</w:t>
      </w:r>
      <w:r w:rsidR="000A56BD" w:rsidRPr="009F54A5">
        <w:rPr>
          <w:rFonts w:asciiTheme="majorHAnsi" w:hAnsiTheme="majorHAnsi"/>
          <w:color w:val="auto"/>
          <w:sz w:val="20"/>
          <w:szCs w:val="20"/>
        </w:rPr>
        <w:t xml:space="preserve"> y libertad de expresión, lo que la llevan a afirmar la existencia de </w:t>
      </w:r>
      <w:r w:rsidRPr="009F54A5">
        <w:rPr>
          <w:rFonts w:asciiTheme="majorHAnsi" w:hAnsiTheme="majorHAnsi" w:cs="Arial"/>
          <w:sz w:val="20"/>
          <w:szCs w:val="20"/>
          <w:lang w:val="es-PE"/>
        </w:rPr>
        <w:t xml:space="preserve">un </w:t>
      </w:r>
      <w:r w:rsidR="000B7064" w:rsidRPr="009F54A5">
        <w:rPr>
          <w:rFonts w:asciiTheme="majorHAnsi" w:hAnsiTheme="majorHAnsi" w:cs="Arial"/>
          <w:sz w:val="20"/>
          <w:szCs w:val="20"/>
          <w:lang w:val="es-PE"/>
        </w:rPr>
        <w:t xml:space="preserve">serio </w:t>
      </w:r>
      <w:r w:rsidRPr="009F54A5">
        <w:rPr>
          <w:rFonts w:asciiTheme="majorHAnsi" w:hAnsiTheme="majorHAnsi" w:cs="Arial"/>
          <w:sz w:val="20"/>
          <w:szCs w:val="20"/>
          <w:lang w:val="es-PE"/>
        </w:rPr>
        <w:t>deterioro en la vigencia de estos derechos.</w:t>
      </w:r>
    </w:p>
    <w:p w14:paraId="483E845C" w14:textId="77777777" w:rsidR="008F2E49" w:rsidRPr="009F54A5" w:rsidRDefault="008F2E49" w:rsidP="008F2E49">
      <w:pPr>
        <w:pStyle w:val="NoSpacing"/>
        <w:jc w:val="both"/>
        <w:rPr>
          <w:rFonts w:asciiTheme="majorHAnsi" w:hAnsiTheme="majorHAnsi"/>
          <w:sz w:val="20"/>
          <w:szCs w:val="20"/>
          <w:lang w:val="es-PE"/>
        </w:rPr>
      </w:pPr>
    </w:p>
    <w:p w14:paraId="2168A0B4" w14:textId="60F7633D" w:rsidR="008F2E49"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lang w:val="es-PE"/>
        </w:rPr>
      </w:pPr>
      <w:r w:rsidRPr="009F54A5">
        <w:rPr>
          <w:rFonts w:asciiTheme="majorHAnsi" w:eastAsia="Times New Roman" w:hAnsiTheme="majorHAnsi" w:cs="Tahoma"/>
          <w:sz w:val="20"/>
          <w:szCs w:val="20"/>
          <w:shd w:val="clear" w:color="auto" w:fill="FFFFFF"/>
          <w:lang w:val="es-PE"/>
        </w:rPr>
        <w:t xml:space="preserve">Respecto de la </w:t>
      </w:r>
      <w:r w:rsidRPr="009F54A5">
        <w:rPr>
          <w:rFonts w:asciiTheme="majorHAnsi" w:hAnsiTheme="majorHAnsi" w:cs="Arial"/>
          <w:color w:val="auto"/>
          <w:sz w:val="20"/>
          <w:szCs w:val="20"/>
          <w:lang w:val="es-PE"/>
        </w:rPr>
        <w:t>protesta</w:t>
      </w:r>
      <w:r w:rsidRPr="009F54A5">
        <w:rPr>
          <w:rFonts w:asciiTheme="majorHAnsi" w:eastAsia="Times New Roman" w:hAnsiTheme="majorHAnsi" w:cs="Tahoma"/>
          <w:sz w:val="20"/>
          <w:szCs w:val="20"/>
          <w:shd w:val="clear" w:color="auto" w:fill="FFFFFF"/>
          <w:lang w:val="es-PE"/>
        </w:rPr>
        <w:t xml:space="preserve"> social, </w:t>
      </w:r>
      <w:r w:rsidRPr="009F54A5">
        <w:rPr>
          <w:rFonts w:asciiTheme="majorHAnsi" w:hAnsiTheme="majorHAnsi"/>
          <w:color w:val="auto"/>
          <w:sz w:val="20"/>
          <w:szCs w:val="20"/>
          <w:lang w:val="es-PE"/>
        </w:rPr>
        <w:t xml:space="preserve">la CIDH observa la permanencia de un marco normativo incompatible con los estándares interamericanos al mantener la exigencia de autorización previa para la realización de manifestaciones, así como el establecimiento de prohibiciones absolutas al ejercicio de este derecho. Se registró, además, un uso excesivo de armas de fuego directamente contra manifestantes, así como el uso indiscriminado de bombas lacrimógenas. Estas acciones represivas tuvieron un mayor impacto en </w:t>
      </w:r>
      <w:r w:rsidR="0095148E" w:rsidRPr="009F54A5">
        <w:rPr>
          <w:rFonts w:asciiTheme="majorHAnsi" w:hAnsiTheme="majorHAnsi"/>
          <w:color w:val="auto"/>
          <w:sz w:val="20"/>
          <w:szCs w:val="20"/>
          <w:lang w:val="es-PE"/>
        </w:rPr>
        <w:t>NNA</w:t>
      </w:r>
      <w:r w:rsidRPr="009F54A5">
        <w:rPr>
          <w:rFonts w:asciiTheme="majorHAnsi" w:hAnsiTheme="majorHAnsi"/>
          <w:color w:val="auto"/>
          <w:sz w:val="20"/>
          <w:szCs w:val="20"/>
          <w:lang w:val="es-PE"/>
        </w:rPr>
        <w:t>, mujeres y adultos mayores. Además, en las tareas de control de manifestaciones participaron miembros de las fuerzas armadas, a pesar de que, como ya ha señalado la CIDH a Venezuela, en un sistema democrático es fundamental la separación clara y precisa entre la seguridad interior como función de la policía y la defensa nacional como función de las fuerzas armadas, ya que s</w:t>
      </w:r>
      <w:r w:rsidR="00B3779D" w:rsidRPr="009F54A5">
        <w:rPr>
          <w:rFonts w:asciiTheme="majorHAnsi" w:hAnsiTheme="majorHAnsi"/>
          <w:color w:val="auto"/>
          <w:sz w:val="20"/>
          <w:szCs w:val="20"/>
          <w:lang w:val="es-PE"/>
        </w:rPr>
        <w:t>e trata de dos instituciones su</w:t>
      </w:r>
      <w:r w:rsidRPr="009F54A5">
        <w:rPr>
          <w:rFonts w:asciiTheme="majorHAnsi" w:hAnsiTheme="majorHAnsi"/>
          <w:color w:val="auto"/>
          <w:sz w:val="20"/>
          <w:szCs w:val="20"/>
          <w:lang w:val="es-PE"/>
        </w:rPr>
        <w:t xml:space="preserve">stancialmente diferentes en cuanto a los fines para los cuales fueron creadas, y en cuanto a su entrenamiento y preparación. </w:t>
      </w:r>
      <w:r w:rsidRPr="009F54A5">
        <w:rPr>
          <w:rFonts w:asciiTheme="majorHAnsi" w:eastAsia="Times New Roman" w:hAnsiTheme="majorHAnsi" w:cs="Tahoma"/>
          <w:sz w:val="20"/>
          <w:szCs w:val="20"/>
          <w:shd w:val="clear" w:color="auto" w:fill="FFFFFF"/>
          <w:lang w:val="es-PE"/>
        </w:rPr>
        <w:t>En atención a ello, el Estado debe c</w:t>
      </w:r>
      <w:r w:rsidRPr="009F54A5">
        <w:rPr>
          <w:rFonts w:asciiTheme="majorHAnsi" w:hAnsiTheme="majorHAnsi"/>
          <w:sz w:val="20"/>
          <w:szCs w:val="20"/>
          <w:lang w:val="es-PE"/>
        </w:rPr>
        <w:t xml:space="preserve">esar la obstaculización del ejercicio legítimo del derecho a la protesta y frenar el uso de la fuerza contra los manifestantes; realizar capacitaciones en materia de uso de la fuerza a los </w:t>
      </w:r>
      <w:r w:rsidRPr="009F54A5">
        <w:rPr>
          <w:rFonts w:asciiTheme="majorHAnsi" w:hAnsiTheme="majorHAnsi"/>
          <w:sz w:val="20"/>
          <w:szCs w:val="20"/>
          <w:lang w:val="es-PE"/>
        </w:rPr>
        <w:lastRenderedPageBreak/>
        <w:t>funcionarios encargados de tareas se seguridad; abstenerse de involucrar cualquier otro cuerpo de seguridad distinto al policial en estas actividades</w:t>
      </w:r>
      <w:r w:rsidR="00B3779D" w:rsidRPr="009F54A5">
        <w:rPr>
          <w:rFonts w:asciiTheme="majorHAnsi" w:hAnsiTheme="majorHAnsi"/>
          <w:sz w:val="20"/>
          <w:szCs w:val="20"/>
          <w:lang w:val="es-PE"/>
        </w:rPr>
        <w:t>;</w:t>
      </w:r>
      <w:r w:rsidRPr="009F54A5">
        <w:rPr>
          <w:rFonts w:asciiTheme="majorHAnsi" w:hAnsiTheme="majorHAnsi"/>
          <w:sz w:val="20"/>
          <w:szCs w:val="20"/>
          <w:lang w:val="es-PE"/>
        </w:rPr>
        <w:t xml:space="preserve"> y adoptar medidas normativas para excluir el uso de armas de fuego en protestas sociales.</w:t>
      </w:r>
    </w:p>
    <w:p w14:paraId="45E9E6B7" w14:textId="77777777" w:rsidR="008F2E49" w:rsidRPr="009F54A5" w:rsidRDefault="008F2E49" w:rsidP="008F2E49">
      <w:pPr>
        <w:pStyle w:val="NoSpacing"/>
        <w:jc w:val="both"/>
        <w:rPr>
          <w:rFonts w:asciiTheme="majorHAnsi" w:hAnsiTheme="majorHAnsi" w:cs="Arial"/>
          <w:sz w:val="20"/>
          <w:szCs w:val="20"/>
          <w:lang w:val="es-ES_tradnl"/>
        </w:rPr>
      </w:pPr>
    </w:p>
    <w:p w14:paraId="3944E5B4" w14:textId="0BD3EE9C" w:rsidR="008F2E49"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lang w:val="es-PE"/>
        </w:rPr>
      </w:pPr>
      <w:r w:rsidRPr="009F54A5">
        <w:rPr>
          <w:rFonts w:asciiTheme="majorHAnsi" w:eastAsia="Times New Roman" w:hAnsiTheme="majorHAnsi" w:cs="Tahoma"/>
          <w:sz w:val="20"/>
          <w:szCs w:val="20"/>
          <w:shd w:val="clear" w:color="auto" w:fill="FFFFFF"/>
          <w:lang w:val="es-PE"/>
        </w:rPr>
        <w:t xml:space="preserve">Es inaceptable para la CIDH el número de personas muertas y detenciones producidas en el marco de operativos para reprimirlas arbitrariamente. </w:t>
      </w:r>
      <w:r w:rsidRPr="009F54A5">
        <w:rPr>
          <w:rFonts w:asciiTheme="majorHAnsi" w:hAnsiTheme="majorHAnsi"/>
          <w:color w:val="auto"/>
          <w:sz w:val="20"/>
          <w:szCs w:val="20"/>
        </w:rPr>
        <w:t>Miles de personas fueron detenidas por manifestar</w:t>
      </w:r>
      <w:r w:rsidR="001E59A1" w:rsidRPr="009F54A5">
        <w:rPr>
          <w:rFonts w:asciiTheme="majorHAnsi" w:hAnsiTheme="majorHAnsi"/>
          <w:color w:val="auto"/>
          <w:sz w:val="20"/>
          <w:szCs w:val="20"/>
        </w:rPr>
        <w:t>se</w:t>
      </w:r>
      <w:r w:rsidRPr="009F54A5">
        <w:rPr>
          <w:rFonts w:asciiTheme="majorHAnsi" w:hAnsiTheme="majorHAnsi"/>
          <w:color w:val="auto"/>
          <w:sz w:val="20"/>
          <w:szCs w:val="20"/>
        </w:rPr>
        <w:t xml:space="preserve"> públicamente. </w:t>
      </w:r>
      <w:r w:rsidRPr="009F54A5">
        <w:rPr>
          <w:rFonts w:asciiTheme="majorHAnsi" w:hAnsiTheme="majorHAnsi"/>
          <w:color w:val="auto"/>
          <w:sz w:val="20"/>
          <w:szCs w:val="20"/>
          <w:lang w:val="es-PE"/>
        </w:rPr>
        <w:t>La mayoría de estas detenciones se realizaron sin orden judicial ni flagrancia, de camino, durante o luego de una manifestación, o incluso sin participar en ellas, por el simple hecho de ser consideradas como partidarias de la oposición. Resulta alarmante para la Comisión Interamericana que personas detenidas hayan sido sometidas a actos de tortura, otros malos</w:t>
      </w:r>
      <w:r w:rsidR="000B7064" w:rsidRPr="009F54A5">
        <w:rPr>
          <w:rFonts w:asciiTheme="majorHAnsi" w:hAnsiTheme="majorHAnsi"/>
          <w:color w:val="auto"/>
          <w:sz w:val="20"/>
          <w:szCs w:val="20"/>
          <w:lang w:val="es-PE"/>
        </w:rPr>
        <w:t xml:space="preserve"> tratos</w:t>
      </w:r>
      <w:r w:rsidRPr="009F54A5">
        <w:rPr>
          <w:rFonts w:asciiTheme="majorHAnsi" w:hAnsiTheme="majorHAnsi"/>
          <w:color w:val="auto"/>
          <w:sz w:val="20"/>
          <w:szCs w:val="20"/>
          <w:lang w:val="es-PE"/>
        </w:rPr>
        <w:t xml:space="preserve"> y </w:t>
      </w:r>
      <w:r w:rsidRPr="009F54A5">
        <w:rPr>
          <w:rFonts w:asciiTheme="majorHAnsi" w:hAnsiTheme="majorHAnsi"/>
          <w:sz w:val="20"/>
          <w:szCs w:val="20"/>
          <w:lang w:val="es-PE"/>
        </w:rPr>
        <w:t xml:space="preserve">violencia sexual. El Estado debe </w:t>
      </w:r>
      <w:r w:rsidR="00B3779D" w:rsidRPr="009F54A5">
        <w:rPr>
          <w:rFonts w:asciiTheme="majorHAnsi" w:hAnsiTheme="majorHAnsi"/>
          <w:sz w:val="20"/>
          <w:szCs w:val="20"/>
          <w:lang w:val="es-PE"/>
        </w:rPr>
        <w:t>llevar a cabo</w:t>
      </w:r>
      <w:r w:rsidRPr="009F54A5">
        <w:rPr>
          <w:rFonts w:asciiTheme="majorHAnsi" w:hAnsiTheme="majorHAnsi"/>
          <w:sz w:val="20"/>
          <w:szCs w:val="20"/>
          <w:lang w:val="es-PE"/>
        </w:rPr>
        <w:t xml:space="preserve"> con estricto apego a la debida diligencia y garantías del debido proceso, investigaciones</w:t>
      </w:r>
      <w:r w:rsidR="001E59A1" w:rsidRPr="009F54A5">
        <w:rPr>
          <w:rFonts w:asciiTheme="majorHAnsi" w:hAnsiTheme="majorHAnsi"/>
          <w:sz w:val="20"/>
          <w:szCs w:val="20"/>
          <w:lang w:val="es-PE"/>
        </w:rPr>
        <w:t xml:space="preserve"> serias</w:t>
      </w:r>
      <w:r w:rsidRPr="009F54A5">
        <w:rPr>
          <w:rFonts w:asciiTheme="majorHAnsi" w:hAnsiTheme="majorHAnsi"/>
          <w:sz w:val="20"/>
          <w:szCs w:val="20"/>
          <w:lang w:val="es-PE"/>
        </w:rPr>
        <w:t xml:space="preserve"> que permitan conducir en un plazo razonable, a la determinación de responsabilidades y en su caso, la aplicación de sanciones.</w:t>
      </w:r>
    </w:p>
    <w:p w14:paraId="232D0176" w14:textId="77777777" w:rsidR="008F2E49" w:rsidRPr="009F54A5" w:rsidRDefault="008F2E49" w:rsidP="008F2E49">
      <w:pPr>
        <w:pStyle w:val="NoSpacing"/>
        <w:jc w:val="both"/>
        <w:rPr>
          <w:rFonts w:asciiTheme="majorHAnsi" w:hAnsiTheme="majorHAnsi"/>
          <w:sz w:val="20"/>
          <w:szCs w:val="20"/>
          <w:lang w:val="es-PE"/>
        </w:rPr>
      </w:pPr>
    </w:p>
    <w:p w14:paraId="109DC1E5" w14:textId="0FF2AEA2" w:rsidR="0007436A"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lang w:val="es-PE"/>
        </w:rPr>
      </w:pPr>
      <w:r w:rsidRPr="009F54A5">
        <w:rPr>
          <w:rFonts w:asciiTheme="majorHAnsi" w:hAnsiTheme="majorHAnsi"/>
          <w:color w:val="auto"/>
          <w:sz w:val="20"/>
          <w:szCs w:val="20"/>
        </w:rPr>
        <w:t>Preocupa también la adopción de medidas con el objetivo de desincentivar a la participación en protestas y castigar a quienes participan de éstas. Desde las más altas autoridades de gobierno, se han llevado a cabo declaraciones de estigmatización y hostigamiento en perjuicio de quienes participan en las manifestaciones, líderes políticos de la oposición e, incluso, defensores de derechos humanos. Quienes ejercen legítimamente la</w:t>
      </w:r>
      <w:r w:rsidRPr="009F54A5">
        <w:rPr>
          <w:rFonts w:asciiTheme="majorHAnsi" w:hAnsiTheme="majorHAnsi"/>
          <w:color w:val="auto"/>
          <w:sz w:val="20"/>
          <w:szCs w:val="20"/>
          <w:lang w:val="es-PE"/>
        </w:rPr>
        <w:t xml:space="preserve"> movilización y protesta social, han sido también criminaliz</w:t>
      </w:r>
      <w:r w:rsidR="0052595C" w:rsidRPr="009F54A5">
        <w:rPr>
          <w:rFonts w:asciiTheme="majorHAnsi" w:hAnsiTheme="majorHAnsi"/>
          <w:color w:val="auto"/>
          <w:sz w:val="20"/>
          <w:szCs w:val="20"/>
          <w:lang w:val="es-PE"/>
        </w:rPr>
        <w:t xml:space="preserve">ados a través del inicio </w:t>
      </w:r>
      <w:r w:rsidRPr="009F54A5">
        <w:rPr>
          <w:rFonts w:asciiTheme="majorHAnsi" w:hAnsiTheme="majorHAnsi"/>
          <w:color w:val="auto"/>
          <w:sz w:val="20"/>
          <w:szCs w:val="20"/>
          <w:lang w:val="es-PE"/>
        </w:rPr>
        <w:t>de investigaciones y/o procesos judic</w:t>
      </w:r>
      <w:r w:rsidR="0052595C" w:rsidRPr="009F54A5">
        <w:rPr>
          <w:rFonts w:asciiTheme="majorHAnsi" w:hAnsiTheme="majorHAnsi"/>
          <w:color w:val="auto"/>
          <w:sz w:val="20"/>
          <w:szCs w:val="20"/>
          <w:lang w:val="es-PE"/>
        </w:rPr>
        <w:t>iales con base en delitos ambigu</w:t>
      </w:r>
      <w:r w:rsidRPr="009F54A5">
        <w:rPr>
          <w:rFonts w:asciiTheme="majorHAnsi" w:hAnsiTheme="majorHAnsi"/>
          <w:color w:val="auto"/>
          <w:sz w:val="20"/>
          <w:szCs w:val="20"/>
          <w:lang w:val="es-PE"/>
        </w:rPr>
        <w:t xml:space="preserve">os, lo cual resulta </w:t>
      </w:r>
      <w:r w:rsidR="0007436A" w:rsidRPr="009F54A5">
        <w:rPr>
          <w:rFonts w:asciiTheme="majorHAnsi" w:hAnsiTheme="majorHAnsi"/>
          <w:color w:val="auto"/>
          <w:sz w:val="20"/>
          <w:szCs w:val="20"/>
          <w:lang w:val="es-PE"/>
        </w:rPr>
        <w:t>contrario</w:t>
      </w:r>
      <w:r w:rsidRPr="009F54A5">
        <w:rPr>
          <w:rFonts w:asciiTheme="majorHAnsi" w:hAnsiTheme="majorHAnsi"/>
          <w:color w:val="auto"/>
          <w:sz w:val="20"/>
          <w:szCs w:val="20"/>
          <w:lang w:val="es-PE"/>
        </w:rPr>
        <w:t xml:space="preserve"> con una sociedad democrática donde las personas tienen el derecho de manifestar su opinión pacíficamente</w:t>
      </w:r>
      <w:r w:rsidR="001E59A1" w:rsidRPr="009F54A5">
        <w:rPr>
          <w:rFonts w:asciiTheme="majorHAnsi" w:hAnsiTheme="majorHAnsi"/>
          <w:color w:val="auto"/>
          <w:sz w:val="20"/>
          <w:szCs w:val="20"/>
          <w:lang w:val="es-PE"/>
        </w:rPr>
        <w:t>, sin miedo a ningún tipo de represalia</w:t>
      </w:r>
      <w:r w:rsidRPr="009F54A5">
        <w:rPr>
          <w:rFonts w:asciiTheme="majorHAnsi" w:hAnsiTheme="majorHAnsi"/>
          <w:color w:val="auto"/>
          <w:sz w:val="20"/>
          <w:szCs w:val="20"/>
          <w:lang w:val="es-PE"/>
        </w:rPr>
        <w:t xml:space="preserve">. </w:t>
      </w:r>
    </w:p>
    <w:p w14:paraId="0F24203F" w14:textId="77777777" w:rsidR="0007436A" w:rsidRPr="009F54A5" w:rsidRDefault="0007436A" w:rsidP="0007436A">
      <w:pPr>
        <w:pStyle w:val="NoSpacing"/>
        <w:jc w:val="both"/>
        <w:rPr>
          <w:rFonts w:asciiTheme="majorHAnsi" w:hAnsiTheme="majorHAnsi"/>
          <w:sz w:val="20"/>
          <w:szCs w:val="20"/>
          <w:lang w:val="es-PE"/>
        </w:rPr>
      </w:pPr>
    </w:p>
    <w:p w14:paraId="77F5D13F" w14:textId="77777777" w:rsidR="001E59A1"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0" w:firstLine="567"/>
        <w:contextualSpacing/>
        <w:jc w:val="both"/>
        <w:rPr>
          <w:rFonts w:asciiTheme="majorHAnsi" w:hAnsiTheme="majorHAnsi"/>
          <w:sz w:val="20"/>
          <w:szCs w:val="20"/>
          <w:lang w:val="es-PE"/>
        </w:rPr>
      </w:pPr>
      <w:r w:rsidRPr="009F54A5">
        <w:rPr>
          <w:rFonts w:asciiTheme="majorHAnsi" w:hAnsiTheme="majorHAnsi"/>
          <w:color w:val="auto"/>
          <w:sz w:val="20"/>
          <w:szCs w:val="20"/>
          <w:lang w:val="es-PE"/>
        </w:rPr>
        <w:t xml:space="preserve">Es particularmente preocupante para la CIDH que decenas de civiles detenidos en el marco de las manifestaciones estarían siendo procesados y/o juzgados en la jurisdicción penal militar, </w:t>
      </w:r>
      <w:r w:rsidR="000B7064" w:rsidRPr="009F54A5">
        <w:rPr>
          <w:rFonts w:asciiTheme="majorHAnsi" w:hAnsiTheme="majorHAnsi"/>
          <w:color w:val="auto"/>
          <w:sz w:val="20"/>
          <w:szCs w:val="20"/>
          <w:lang w:val="es-PE"/>
        </w:rPr>
        <w:t>la cual no cumple</w:t>
      </w:r>
      <w:r w:rsidRPr="009F54A5">
        <w:rPr>
          <w:rFonts w:asciiTheme="majorHAnsi" w:hAnsiTheme="majorHAnsi"/>
          <w:color w:val="auto"/>
          <w:sz w:val="20"/>
          <w:szCs w:val="20"/>
          <w:lang w:val="es-PE"/>
        </w:rPr>
        <w:t xml:space="preserve"> con el requisito de independencia </w:t>
      </w:r>
      <w:r w:rsidR="006D2252" w:rsidRPr="009F54A5">
        <w:rPr>
          <w:rFonts w:asciiTheme="majorHAnsi" w:hAnsiTheme="majorHAnsi"/>
          <w:color w:val="auto"/>
          <w:sz w:val="20"/>
          <w:szCs w:val="20"/>
          <w:lang w:val="es-PE"/>
        </w:rPr>
        <w:t xml:space="preserve">e imparcialidad. Además, </w:t>
      </w:r>
      <w:r w:rsidRPr="009F54A5">
        <w:rPr>
          <w:rFonts w:asciiTheme="majorHAnsi" w:hAnsiTheme="majorHAnsi"/>
          <w:color w:val="auto"/>
          <w:sz w:val="20"/>
          <w:szCs w:val="20"/>
          <w:lang w:val="es-PE"/>
        </w:rPr>
        <w:t>se imputarían los delitos de “traición a la patria”, “rebelión” y “ataque al centinela”, en contravenc</w:t>
      </w:r>
      <w:r w:rsidR="0007436A" w:rsidRPr="009F54A5">
        <w:rPr>
          <w:rFonts w:asciiTheme="majorHAnsi" w:hAnsiTheme="majorHAnsi"/>
          <w:color w:val="auto"/>
          <w:sz w:val="20"/>
          <w:szCs w:val="20"/>
          <w:lang w:val="es-PE"/>
        </w:rPr>
        <w:t>ión del principio de legalidad. Resulta prioritario t</w:t>
      </w:r>
      <w:r w:rsidR="0007436A" w:rsidRPr="009F54A5">
        <w:rPr>
          <w:rFonts w:asciiTheme="majorHAnsi" w:eastAsia="Cambria" w:hAnsiTheme="majorHAnsi" w:cstheme="minorHAnsi"/>
          <w:sz w:val="20"/>
          <w:szCs w:val="20"/>
          <w:lang w:val="es-PE"/>
        </w:rPr>
        <w:t>omar las medidas necesarias, incluyendo</w:t>
      </w:r>
      <w:r w:rsidR="00006FC0" w:rsidRPr="009F54A5">
        <w:rPr>
          <w:rFonts w:asciiTheme="majorHAnsi" w:eastAsia="Cambria" w:hAnsiTheme="majorHAnsi" w:cstheme="minorHAnsi"/>
          <w:sz w:val="20"/>
          <w:szCs w:val="20"/>
          <w:lang w:val="es-PE"/>
        </w:rPr>
        <w:t xml:space="preserve"> las</w:t>
      </w:r>
      <w:r w:rsidR="0007436A" w:rsidRPr="009F54A5">
        <w:rPr>
          <w:rFonts w:asciiTheme="majorHAnsi" w:eastAsia="Cambria" w:hAnsiTheme="majorHAnsi" w:cstheme="minorHAnsi"/>
          <w:sz w:val="20"/>
          <w:szCs w:val="20"/>
          <w:lang w:val="es-PE"/>
        </w:rPr>
        <w:t xml:space="preserve"> de índole legislativa, para que personas civiles no sean investigadas, procesadas y/o juzgadas por la jurisdicción penal militar y de ser el caso, reconducir procesos en curso a la vía ordinaria.</w:t>
      </w:r>
    </w:p>
    <w:p w14:paraId="2C695F37" w14:textId="77777777" w:rsidR="001E59A1" w:rsidRPr="009F54A5" w:rsidRDefault="001E59A1" w:rsidP="001E59A1">
      <w:pPr>
        <w:rPr>
          <w:rFonts w:asciiTheme="majorHAnsi" w:eastAsia="Times New Roman" w:hAnsiTheme="majorHAnsi"/>
          <w:sz w:val="20"/>
          <w:szCs w:val="20"/>
          <w:lang w:val="es-PE"/>
        </w:rPr>
      </w:pPr>
    </w:p>
    <w:p w14:paraId="34B890E0" w14:textId="77777777" w:rsidR="001E59A1" w:rsidRPr="009F54A5" w:rsidRDefault="001E59A1"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0" w:firstLine="567"/>
        <w:contextualSpacing/>
        <w:jc w:val="both"/>
        <w:rPr>
          <w:rFonts w:asciiTheme="majorHAnsi" w:hAnsiTheme="majorHAnsi"/>
          <w:sz w:val="20"/>
          <w:szCs w:val="20"/>
          <w:lang w:val="es-PE"/>
        </w:rPr>
      </w:pPr>
      <w:r w:rsidRPr="009F54A5">
        <w:rPr>
          <w:rFonts w:asciiTheme="majorHAnsi" w:eastAsia="Times New Roman" w:hAnsiTheme="majorHAnsi"/>
          <w:sz w:val="20"/>
          <w:szCs w:val="20"/>
          <w:lang w:val="es-PE"/>
        </w:rPr>
        <w:t xml:space="preserve">En cuanto al derecho a la libertad de expresión, se documentan </w:t>
      </w:r>
      <w:r w:rsidRPr="009F54A5">
        <w:rPr>
          <w:rFonts w:asciiTheme="majorHAnsi" w:hAnsiTheme="majorHAnsi"/>
          <w:sz w:val="20"/>
          <w:szCs w:val="20"/>
          <w:lang w:val="es-ES"/>
        </w:rPr>
        <w:t>severas restricciones a este derecho, que incluyen censura y cierre de medios de comunicación, ataques a periodistas, y en general patrones de hostigamiento y criminalización de quienes emiten opiniones políticas o difunden información que no encuentra aprobación estatal. Estas medidas no responden a un marco normativo compatible con las obligaciones internacionales adquiridas por el Estado venezolano en esta materia y en la práctica, han estado dirigidas al silenciamiento de las voces críticas del actual Gobierno. Su impacto en la democracia venezolana es evidente y merece atención prioritaria.</w:t>
      </w:r>
    </w:p>
    <w:p w14:paraId="279A9F6B" w14:textId="77777777" w:rsidR="00EF6402" w:rsidRPr="009F54A5" w:rsidRDefault="00EF6402" w:rsidP="00CC260C">
      <w:pPr>
        <w:rPr>
          <w:lang w:val="es-PE"/>
        </w:rPr>
      </w:pPr>
      <w:bookmarkStart w:id="22" w:name="_Toc496292367"/>
      <w:bookmarkStart w:id="23" w:name="_Toc497458280"/>
      <w:bookmarkStart w:id="24" w:name="_Toc497649699"/>
      <w:bookmarkStart w:id="25" w:name="_Toc497733333"/>
      <w:bookmarkStart w:id="26" w:name="_Toc373315242"/>
    </w:p>
    <w:p w14:paraId="71E28EA1" w14:textId="4F9B8260" w:rsidR="00EF6402" w:rsidRPr="009F54A5" w:rsidRDefault="00EF6402" w:rsidP="0005064C">
      <w:pPr>
        <w:pStyle w:val="Heading2"/>
        <w:spacing w:before="0"/>
        <w:ind w:left="708"/>
        <w:rPr>
          <w:color w:val="auto"/>
        </w:rPr>
      </w:pPr>
      <w:bookmarkStart w:id="27" w:name="_Toc503361006"/>
      <w:r w:rsidRPr="009F54A5">
        <w:rPr>
          <w:i/>
          <w:color w:val="auto"/>
          <w:sz w:val="20"/>
          <w:szCs w:val="20"/>
          <w:lang w:val="es-ES"/>
        </w:rPr>
        <w:t>Violencia y seguridad</w:t>
      </w:r>
      <w:r w:rsidR="0005064C" w:rsidRPr="009F54A5">
        <w:rPr>
          <w:i/>
          <w:color w:val="auto"/>
          <w:sz w:val="20"/>
          <w:szCs w:val="20"/>
          <w:lang w:val="es-ES"/>
        </w:rPr>
        <w:t xml:space="preserve"> </w:t>
      </w:r>
      <w:r w:rsidRPr="009F54A5">
        <w:rPr>
          <w:i/>
          <w:color w:val="auto"/>
          <w:sz w:val="20"/>
          <w:szCs w:val="20"/>
          <w:lang w:val="es-ES"/>
        </w:rPr>
        <w:t xml:space="preserve"> ciudadana</w:t>
      </w:r>
      <w:bookmarkEnd w:id="22"/>
      <w:bookmarkEnd w:id="23"/>
      <w:bookmarkEnd w:id="24"/>
      <w:bookmarkEnd w:id="25"/>
      <w:bookmarkEnd w:id="26"/>
      <w:bookmarkEnd w:id="27"/>
    </w:p>
    <w:p w14:paraId="1B86B0A0" w14:textId="77777777" w:rsidR="00EF6402" w:rsidRPr="009F54A5" w:rsidRDefault="00EF6402" w:rsidP="00EF6402">
      <w:pPr>
        <w:pStyle w:val="NoSpacing"/>
        <w:rPr>
          <w:rFonts w:asciiTheme="majorHAnsi" w:hAnsiTheme="majorHAnsi"/>
          <w:sz w:val="20"/>
          <w:szCs w:val="20"/>
          <w:lang w:val="es-PE"/>
        </w:rPr>
      </w:pPr>
    </w:p>
    <w:p w14:paraId="1932A09A" w14:textId="13C7E95F" w:rsidR="00EF6402" w:rsidRPr="009F54A5" w:rsidRDefault="00EF6402" w:rsidP="00EF640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630"/>
        <w:contextualSpacing/>
        <w:jc w:val="both"/>
        <w:rPr>
          <w:rFonts w:asciiTheme="majorHAnsi" w:eastAsia="Times New Roman" w:hAnsiTheme="majorHAnsi" w:cs="Tahoma"/>
          <w:color w:val="auto"/>
          <w:sz w:val="20"/>
          <w:szCs w:val="20"/>
          <w:shd w:val="clear" w:color="auto" w:fill="FFFFFF"/>
          <w:lang w:val="es-PE"/>
        </w:rPr>
      </w:pPr>
      <w:r w:rsidRPr="009F54A5">
        <w:rPr>
          <w:rFonts w:asciiTheme="majorHAnsi" w:hAnsiTheme="majorHAnsi"/>
          <w:color w:val="auto"/>
          <w:sz w:val="20"/>
          <w:szCs w:val="20"/>
          <w:lang w:val="es-PE"/>
        </w:rPr>
        <w:t>La violencia y criminalidad han ido en aumento en los últimos años</w:t>
      </w:r>
      <w:r w:rsidRPr="009F54A5">
        <w:rPr>
          <w:rFonts w:asciiTheme="majorHAnsi" w:eastAsia="Times New Roman" w:hAnsiTheme="majorHAnsi" w:cs="Tahoma"/>
          <w:color w:val="auto"/>
          <w:sz w:val="20"/>
          <w:szCs w:val="20"/>
          <w:shd w:val="clear" w:color="auto" w:fill="FFFFFF"/>
          <w:lang w:val="es-PE"/>
        </w:rPr>
        <w:t>, lo que ha afectado la vida diaria de toda la población y ha tenido un impacto mayor en personas, grupos y colectivos históricamente discriminados y en mayor riesgo de vulneraci</w:t>
      </w:r>
      <w:r w:rsidR="0005064C" w:rsidRPr="009F54A5">
        <w:rPr>
          <w:rFonts w:asciiTheme="majorHAnsi" w:eastAsia="Times New Roman" w:hAnsiTheme="majorHAnsi" w:cs="Tahoma"/>
          <w:color w:val="auto"/>
          <w:sz w:val="20"/>
          <w:szCs w:val="20"/>
          <w:shd w:val="clear" w:color="auto" w:fill="FFFFFF"/>
          <w:lang w:val="es-PE"/>
        </w:rPr>
        <w:t>ón de derechos como las mujeres, los NNA</w:t>
      </w:r>
      <w:r w:rsidRPr="009F54A5">
        <w:rPr>
          <w:rFonts w:asciiTheme="majorHAnsi" w:eastAsia="Times New Roman" w:hAnsiTheme="majorHAnsi" w:cs="Tahoma"/>
          <w:color w:val="auto"/>
          <w:sz w:val="20"/>
          <w:szCs w:val="20"/>
          <w:shd w:val="clear" w:color="auto" w:fill="FFFFFF"/>
          <w:lang w:val="es-PE"/>
        </w:rPr>
        <w:t xml:space="preserve"> y las personas adultas mayores. P</w:t>
      </w:r>
      <w:r w:rsidRPr="009F54A5">
        <w:rPr>
          <w:rFonts w:asciiTheme="majorHAnsi" w:hAnsiTheme="majorHAnsi"/>
          <w:color w:val="auto"/>
          <w:sz w:val="20"/>
          <w:szCs w:val="20"/>
          <w:lang w:val="es-PE"/>
        </w:rPr>
        <w:t xml:space="preserve">reocupa a la CIDH que </w:t>
      </w:r>
      <w:r w:rsidRPr="009F54A5">
        <w:rPr>
          <w:rFonts w:asciiTheme="majorHAnsi" w:eastAsia="Times New Roman" w:hAnsiTheme="majorHAnsi" w:cs="Tahoma"/>
          <w:color w:val="auto"/>
          <w:sz w:val="20"/>
          <w:szCs w:val="20"/>
          <w:shd w:val="clear" w:color="auto" w:fill="FFFFFF"/>
          <w:lang w:val="es-PE"/>
        </w:rPr>
        <w:t xml:space="preserve">la respuesta estatal ante este fenómeno ha estado </w:t>
      </w:r>
      <w:r w:rsidRPr="009F54A5">
        <w:rPr>
          <w:rFonts w:asciiTheme="majorHAnsi" w:hAnsiTheme="majorHAnsi"/>
          <w:color w:val="auto"/>
          <w:sz w:val="20"/>
          <w:szCs w:val="20"/>
          <w:lang w:val="es-PE"/>
        </w:rPr>
        <w:t>marcada por la militarización de la seguridad ciudadana y el involucramiento de civiles en tareas de seguridad, en particular a través de la implementación de la Operación Liberación del Pueblo (OLP) y el Plan Zamora (PZ).</w:t>
      </w:r>
      <w:r w:rsidR="00894ECF" w:rsidRPr="009F54A5">
        <w:rPr>
          <w:rFonts w:asciiTheme="majorHAnsi" w:hAnsiTheme="majorHAnsi"/>
          <w:color w:val="auto"/>
          <w:sz w:val="20"/>
          <w:szCs w:val="20"/>
          <w:lang w:val="es-PE"/>
        </w:rPr>
        <w:t xml:space="preserve"> Según la información recibida,</w:t>
      </w:r>
      <w:r w:rsidRPr="009F54A5">
        <w:rPr>
          <w:rFonts w:asciiTheme="majorHAnsi" w:hAnsiTheme="majorHAnsi"/>
          <w:color w:val="auto"/>
          <w:sz w:val="20"/>
          <w:szCs w:val="20"/>
          <w:lang w:val="es-PE"/>
        </w:rPr>
        <w:t xml:space="preserve"> </w:t>
      </w:r>
      <w:r w:rsidR="00894ECF" w:rsidRPr="009F54A5">
        <w:rPr>
          <w:rFonts w:asciiTheme="majorHAnsi" w:hAnsiTheme="majorHAnsi"/>
          <w:color w:val="auto"/>
          <w:sz w:val="20"/>
          <w:szCs w:val="20"/>
          <w:lang w:val="es-PE"/>
        </w:rPr>
        <w:t>e</w:t>
      </w:r>
      <w:r w:rsidRPr="009F54A5">
        <w:rPr>
          <w:rFonts w:asciiTheme="majorHAnsi" w:hAnsiTheme="majorHAnsi"/>
          <w:color w:val="auto"/>
          <w:sz w:val="20"/>
          <w:szCs w:val="20"/>
          <w:lang w:val="es-PE"/>
        </w:rPr>
        <w:t>llo ha</w:t>
      </w:r>
      <w:r w:rsidR="00894ECF" w:rsidRPr="009F54A5">
        <w:rPr>
          <w:rFonts w:asciiTheme="majorHAnsi" w:hAnsiTheme="majorHAnsi"/>
          <w:color w:val="auto"/>
          <w:sz w:val="20"/>
          <w:szCs w:val="20"/>
          <w:lang w:val="es-PE"/>
        </w:rPr>
        <w:t>bría</w:t>
      </w:r>
      <w:r w:rsidRPr="009F54A5">
        <w:rPr>
          <w:rFonts w:asciiTheme="majorHAnsi" w:hAnsiTheme="majorHAnsi"/>
          <w:color w:val="auto"/>
          <w:sz w:val="20"/>
          <w:szCs w:val="20"/>
          <w:lang w:val="es-PE"/>
        </w:rPr>
        <w:t xml:space="preserve"> impactado en </w:t>
      </w:r>
      <w:r w:rsidRPr="009F54A5">
        <w:rPr>
          <w:rFonts w:asciiTheme="majorHAnsi" w:hAnsiTheme="majorHAnsi"/>
          <w:color w:val="auto"/>
          <w:sz w:val="20"/>
          <w:szCs w:val="20"/>
          <w:lang w:val="es-ES"/>
        </w:rPr>
        <w:t>el aumento sostenido de las ejecuciones extrajudiciales, registrándose en 2015, 37% más casos que el 2014; y en 2016, 70% más que el año anterior</w:t>
      </w:r>
      <w:r w:rsidRPr="009F54A5">
        <w:rPr>
          <w:rStyle w:val="FootnoteReference"/>
          <w:rFonts w:asciiTheme="majorHAnsi" w:hAnsiTheme="majorHAnsi"/>
          <w:color w:val="auto"/>
          <w:sz w:val="20"/>
          <w:szCs w:val="20"/>
          <w:lang w:val="es-ES"/>
        </w:rPr>
        <w:footnoteReference w:id="9"/>
      </w:r>
      <w:r w:rsidRPr="009F54A5">
        <w:rPr>
          <w:rFonts w:asciiTheme="majorHAnsi" w:hAnsiTheme="majorHAnsi"/>
          <w:color w:val="auto"/>
          <w:sz w:val="20"/>
          <w:szCs w:val="20"/>
          <w:lang w:val="es-ES"/>
        </w:rPr>
        <w:t xml:space="preserve">. </w:t>
      </w:r>
      <w:r w:rsidR="00E27465" w:rsidRPr="009F54A5">
        <w:rPr>
          <w:rFonts w:asciiTheme="majorHAnsi" w:hAnsiTheme="majorHAnsi" w:cs="Tahoma"/>
          <w:sz w:val="20"/>
          <w:szCs w:val="20"/>
          <w:lang w:val="es-PE"/>
        </w:rPr>
        <w:t>Otra fuente estimó que en 2017 Venezuela registró 89 muertes violentas por casa 100.000 habitantes y un total de 26.616 fallecidos en todo el territorio nacional</w:t>
      </w:r>
      <w:r w:rsidR="00E27465" w:rsidRPr="009F54A5">
        <w:rPr>
          <w:rStyle w:val="FootnoteReference"/>
          <w:rFonts w:asciiTheme="majorHAnsi" w:hAnsiTheme="majorHAnsi" w:cs="Tahoma"/>
          <w:sz w:val="20"/>
          <w:szCs w:val="20"/>
          <w:lang w:val="es-PE"/>
        </w:rPr>
        <w:footnoteReference w:id="10"/>
      </w:r>
      <w:r w:rsidR="00E27465" w:rsidRPr="009F54A5">
        <w:rPr>
          <w:rFonts w:asciiTheme="majorHAnsi" w:hAnsiTheme="majorHAnsi" w:cs="Tahoma"/>
          <w:sz w:val="20"/>
          <w:szCs w:val="20"/>
          <w:lang w:val="es-PE"/>
        </w:rPr>
        <w:t xml:space="preserve">. </w:t>
      </w:r>
      <w:r w:rsidR="00894ECF" w:rsidRPr="009F54A5">
        <w:rPr>
          <w:rFonts w:asciiTheme="majorHAnsi" w:hAnsiTheme="majorHAnsi"/>
          <w:color w:val="auto"/>
          <w:sz w:val="20"/>
          <w:szCs w:val="20"/>
          <w:lang w:val="es-ES"/>
        </w:rPr>
        <w:t>De otro lado, de acuerdo a</w:t>
      </w:r>
      <w:r w:rsidRPr="009F54A5">
        <w:rPr>
          <w:rFonts w:asciiTheme="majorHAnsi" w:eastAsia="Times New Roman" w:hAnsiTheme="majorHAnsi" w:cs="Tahoma"/>
          <w:color w:val="auto"/>
          <w:sz w:val="20"/>
          <w:szCs w:val="20"/>
          <w:shd w:val="clear" w:color="auto" w:fill="FFFFFF"/>
          <w:lang w:val="es-PE"/>
        </w:rPr>
        <w:t xml:space="preserve"> cifras oficiales, en el 2016 se produjeron </w:t>
      </w:r>
      <w:r w:rsidRPr="009F54A5">
        <w:rPr>
          <w:rFonts w:asciiTheme="majorHAnsi" w:eastAsia="Times New Roman" w:hAnsiTheme="majorHAnsi" w:cs="Tahoma"/>
          <w:color w:val="auto"/>
          <w:sz w:val="20"/>
          <w:szCs w:val="20"/>
          <w:shd w:val="clear" w:color="auto" w:fill="FFFFFF"/>
          <w:lang w:val="es-PE"/>
        </w:rPr>
        <w:lastRenderedPageBreak/>
        <w:t xml:space="preserve">21.752 </w:t>
      </w:r>
      <w:r w:rsidRPr="009F54A5">
        <w:rPr>
          <w:rFonts w:asciiTheme="majorHAnsi" w:eastAsia="Times New Roman" w:hAnsiTheme="majorHAnsi" w:cs="Tahoma"/>
          <w:color w:val="auto"/>
          <w:sz w:val="20"/>
          <w:szCs w:val="20"/>
          <w:shd w:val="clear" w:color="auto" w:fill="FFFFFF"/>
          <w:lang w:val="es-ES"/>
        </w:rPr>
        <w:t>homicidios dolosos o intencionales, alcanzándose una tasa de 70,1 muertes violentas por cada cien mil habitantes</w:t>
      </w:r>
      <w:r w:rsidRPr="009F54A5">
        <w:rPr>
          <w:rFonts w:asciiTheme="majorHAnsi" w:eastAsia="Times New Roman" w:hAnsiTheme="majorHAnsi" w:cs="Tahoma"/>
          <w:color w:val="auto"/>
          <w:sz w:val="20"/>
          <w:szCs w:val="20"/>
          <w:shd w:val="clear" w:color="auto" w:fill="FFFFFF"/>
          <w:vertAlign w:val="superscript"/>
          <w:lang w:val="es-ES"/>
        </w:rPr>
        <w:footnoteReference w:id="11"/>
      </w:r>
      <w:r w:rsidRPr="009F54A5">
        <w:rPr>
          <w:rFonts w:asciiTheme="majorHAnsi" w:eastAsia="Times New Roman" w:hAnsiTheme="majorHAnsi" w:cs="Tahoma"/>
          <w:color w:val="auto"/>
          <w:sz w:val="20"/>
          <w:szCs w:val="20"/>
          <w:shd w:val="clear" w:color="auto" w:fill="FFFFFF"/>
          <w:lang w:val="es-PE"/>
        </w:rPr>
        <w:t>.</w:t>
      </w:r>
    </w:p>
    <w:p w14:paraId="4647E972" w14:textId="77777777" w:rsidR="00EF6402" w:rsidRPr="009F54A5" w:rsidRDefault="00EF6402" w:rsidP="00EF640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contextualSpacing/>
        <w:jc w:val="both"/>
        <w:rPr>
          <w:rFonts w:asciiTheme="majorHAnsi" w:eastAsia="Times New Roman" w:hAnsiTheme="majorHAnsi" w:cs="Tahoma"/>
          <w:color w:val="auto"/>
          <w:sz w:val="20"/>
          <w:szCs w:val="20"/>
          <w:shd w:val="clear" w:color="auto" w:fill="FFFFFF"/>
          <w:lang w:val="es-PE"/>
        </w:rPr>
      </w:pPr>
    </w:p>
    <w:p w14:paraId="4FD3886A" w14:textId="7B22A6E5" w:rsidR="00EF6402" w:rsidRPr="009F54A5" w:rsidRDefault="00EF6402" w:rsidP="00EF640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eastAsia="Times New Roman" w:hAnsiTheme="majorHAnsi" w:cs="Tahoma"/>
          <w:color w:val="auto"/>
          <w:sz w:val="20"/>
          <w:szCs w:val="20"/>
          <w:shd w:val="clear" w:color="auto" w:fill="FFFFFF"/>
          <w:lang w:val="es-PE"/>
        </w:rPr>
      </w:pPr>
      <w:r w:rsidRPr="009F54A5">
        <w:rPr>
          <w:rFonts w:asciiTheme="majorHAnsi" w:hAnsiTheme="majorHAnsi" w:cstheme="minorHAnsi"/>
          <w:color w:val="auto"/>
          <w:sz w:val="20"/>
          <w:szCs w:val="20"/>
          <w:lang w:val="es-ES"/>
        </w:rPr>
        <w:t>La Comisión considera indispensable y prioritario</w:t>
      </w:r>
      <w:r w:rsidRPr="009F54A5">
        <w:rPr>
          <w:rFonts w:asciiTheme="majorHAnsi" w:hAnsiTheme="majorHAnsi" w:cstheme="minorHAnsi"/>
          <w:color w:val="auto"/>
          <w:sz w:val="20"/>
          <w:szCs w:val="20"/>
          <w:lang w:val="es-PE"/>
        </w:rPr>
        <w:t xml:space="preserve"> eliminar la participación de las fuerzas armadas en las actividades de seguridad ciudadana, que son de competencia de los cuerpos policiales. Asimismo, se deben adoptar medidas para asegurar que el uso de la fuerza letal se dé en estricto cumplimiento de los principios de excepcionalidad, legalidad. necesidad, proporcionalidad, no discriminación y rendición de cuentas. En opinión de la CIDH, es fundamental también adoptar una perspectiva de derechos humanos en la seguridad ciudadana, enfoque que supone partir de que se trata de ciudadanos que hay que proteger y no de enemigos que hay que combatir.</w:t>
      </w:r>
    </w:p>
    <w:p w14:paraId="012527B9" w14:textId="77777777" w:rsidR="00EF6402" w:rsidRPr="009F54A5" w:rsidRDefault="00EF6402" w:rsidP="00EF6402">
      <w:pPr>
        <w:pStyle w:val="NoSpacing"/>
        <w:rPr>
          <w:rFonts w:asciiTheme="majorHAnsi" w:eastAsia="Cambria" w:hAnsiTheme="majorHAnsi" w:cstheme="minorHAnsi"/>
          <w:sz w:val="20"/>
          <w:szCs w:val="20"/>
          <w:lang w:val="es-PE"/>
        </w:rPr>
      </w:pPr>
    </w:p>
    <w:p w14:paraId="09719630" w14:textId="3AAFA19C" w:rsidR="00EF6402" w:rsidRPr="009F54A5" w:rsidRDefault="00EF6402" w:rsidP="00EF640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eastAsia="Times New Roman" w:hAnsiTheme="majorHAnsi" w:cs="Tahoma"/>
          <w:color w:val="auto"/>
          <w:sz w:val="20"/>
          <w:szCs w:val="20"/>
          <w:shd w:val="clear" w:color="auto" w:fill="FFFFFF"/>
          <w:lang w:val="es-PE"/>
        </w:rPr>
      </w:pPr>
      <w:r w:rsidRPr="009F54A5">
        <w:rPr>
          <w:rFonts w:asciiTheme="majorHAnsi" w:eastAsia="Cambria" w:hAnsiTheme="majorHAnsi" w:cstheme="minorHAnsi"/>
          <w:color w:val="auto"/>
          <w:sz w:val="20"/>
          <w:szCs w:val="20"/>
          <w:lang w:val="es-PE"/>
        </w:rPr>
        <w:t xml:space="preserve">A diferencia de lo realizado por el Estado venezolano, la CIDH reitera que no deben ser incorporados civiles en ningún tipo de estrategia de seguridad interna, así como tampoco debe desvirtuarse el rol de la sociedad en relación con la seguridad de la nación. El Estado debe cumplir </w:t>
      </w:r>
      <w:r w:rsidRPr="009F54A5">
        <w:rPr>
          <w:rFonts w:asciiTheme="majorHAnsi" w:hAnsiTheme="majorHAnsi"/>
          <w:color w:val="auto"/>
          <w:sz w:val="20"/>
          <w:szCs w:val="20"/>
        </w:rPr>
        <w:t xml:space="preserve">lo anterior teniendo en cuenta el deber de actuar con debida diligencia </w:t>
      </w:r>
      <w:r w:rsidRPr="009F54A5">
        <w:rPr>
          <w:rFonts w:asciiTheme="majorHAnsi" w:eastAsia="Cambria" w:hAnsiTheme="majorHAnsi" w:cstheme="minorHAnsi"/>
          <w:color w:val="auto"/>
          <w:sz w:val="20"/>
          <w:szCs w:val="20"/>
          <w:lang w:val="es-PE"/>
        </w:rPr>
        <w:t xml:space="preserve">para prevenir </w:t>
      </w:r>
      <w:r w:rsidRPr="009F54A5">
        <w:rPr>
          <w:rFonts w:asciiTheme="majorHAnsi" w:hAnsiTheme="majorHAnsi"/>
          <w:color w:val="auto"/>
          <w:sz w:val="20"/>
          <w:szCs w:val="20"/>
        </w:rPr>
        <w:t>vulneraciones de derechos humanos</w:t>
      </w:r>
      <w:r w:rsidRPr="009F54A5">
        <w:rPr>
          <w:rFonts w:asciiTheme="majorHAnsi" w:eastAsia="Cambria" w:hAnsiTheme="majorHAnsi" w:cstheme="minorHAnsi"/>
          <w:color w:val="auto"/>
          <w:sz w:val="20"/>
          <w:szCs w:val="20"/>
          <w:lang w:val="es-PE"/>
        </w:rPr>
        <w:t>. Igualmente, debe investigar</w:t>
      </w:r>
      <w:r w:rsidR="00F55C9F" w:rsidRPr="009F54A5">
        <w:rPr>
          <w:rFonts w:asciiTheme="majorHAnsi" w:eastAsia="Cambria" w:hAnsiTheme="majorHAnsi" w:cstheme="minorHAnsi"/>
          <w:color w:val="auto"/>
          <w:sz w:val="20"/>
          <w:szCs w:val="20"/>
          <w:lang w:val="es-PE"/>
        </w:rPr>
        <w:t>,</w:t>
      </w:r>
      <w:r w:rsidRPr="009F54A5">
        <w:rPr>
          <w:rFonts w:asciiTheme="majorHAnsi" w:eastAsia="Cambria" w:hAnsiTheme="majorHAnsi" w:cstheme="minorHAnsi"/>
          <w:color w:val="auto"/>
          <w:sz w:val="20"/>
          <w:szCs w:val="20"/>
          <w:lang w:val="es-PE"/>
        </w:rPr>
        <w:t xml:space="preserve"> y en su caso, sancionar y reparar los actos violentos que hayan cometido. </w:t>
      </w:r>
    </w:p>
    <w:p w14:paraId="659B68D5" w14:textId="77777777" w:rsidR="001E59A1" w:rsidRDefault="001E59A1" w:rsidP="008F2E49">
      <w:pPr>
        <w:pStyle w:val="NoSpacing"/>
        <w:jc w:val="both"/>
        <w:rPr>
          <w:rFonts w:asciiTheme="majorHAnsi" w:hAnsiTheme="majorHAnsi"/>
          <w:sz w:val="20"/>
          <w:szCs w:val="20"/>
          <w:lang w:val="es-PE"/>
        </w:rPr>
      </w:pPr>
    </w:p>
    <w:p w14:paraId="16119DF8" w14:textId="32326A96" w:rsidR="008F2E49" w:rsidRPr="009F54A5" w:rsidRDefault="008F2E49" w:rsidP="008F2E49">
      <w:pPr>
        <w:pStyle w:val="Heading2"/>
        <w:spacing w:before="0"/>
        <w:ind w:left="708"/>
        <w:rPr>
          <w:lang w:val="es-PE"/>
        </w:rPr>
      </w:pPr>
      <w:bookmarkStart w:id="28" w:name="_Toc496292369"/>
      <w:bookmarkStart w:id="29" w:name="_Toc497458282"/>
      <w:bookmarkStart w:id="30" w:name="_Toc497649701"/>
      <w:bookmarkStart w:id="31" w:name="_Toc497733335"/>
      <w:bookmarkStart w:id="32" w:name="_Toc373315244"/>
      <w:bookmarkStart w:id="33" w:name="_Toc503361007"/>
      <w:r w:rsidRPr="009F54A5">
        <w:rPr>
          <w:i/>
          <w:color w:val="auto"/>
          <w:sz w:val="20"/>
          <w:szCs w:val="20"/>
          <w:lang w:val="es-ES"/>
        </w:rPr>
        <w:t>Pobreza, y derechos económicos, sociales</w:t>
      </w:r>
      <w:r w:rsidR="00782F03" w:rsidRPr="009F54A5">
        <w:rPr>
          <w:i/>
          <w:color w:val="auto"/>
          <w:sz w:val="20"/>
          <w:szCs w:val="20"/>
          <w:lang w:val="es-ES"/>
        </w:rPr>
        <w:t>,</w:t>
      </w:r>
      <w:r w:rsidR="002F332E" w:rsidRPr="009F54A5">
        <w:rPr>
          <w:i/>
          <w:color w:val="auto"/>
          <w:sz w:val="20"/>
          <w:szCs w:val="20"/>
          <w:lang w:val="es-ES"/>
        </w:rPr>
        <w:t xml:space="preserve"> </w:t>
      </w:r>
      <w:r w:rsidRPr="009F54A5">
        <w:rPr>
          <w:i/>
          <w:color w:val="auto"/>
          <w:sz w:val="20"/>
          <w:szCs w:val="20"/>
          <w:lang w:val="es-ES"/>
        </w:rPr>
        <w:t>culturales</w:t>
      </w:r>
      <w:bookmarkEnd w:id="28"/>
      <w:bookmarkEnd w:id="29"/>
      <w:bookmarkEnd w:id="30"/>
      <w:bookmarkEnd w:id="31"/>
      <w:bookmarkEnd w:id="32"/>
      <w:r w:rsidR="00782F03" w:rsidRPr="009F54A5">
        <w:rPr>
          <w:i/>
          <w:color w:val="auto"/>
          <w:sz w:val="20"/>
          <w:szCs w:val="20"/>
          <w:lang w:val="es-ES"/>
        </w:rPr>
        <w:t xml:space="preserve"> y ambientales</w:t>
      </w:r>
      <w:bookmarkEnd w:id="33"/>
      <w:r w:rsidRPr="009F54A5">
        <w:rPr>
          <w:lang w:val="es-PE"/>
        </w:rPr>
        <w:tab/>
      </w:r>
    </w:p>
    <w:p w14:paraId="3CE5E226" w14:textId="77777777" w:rsidR="0071758F" w:rsidRPr="009F54A5" w:rsidRDefault="0071758F" w:rsidP="0071758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lang w:val="es-PE"/>
        </w:rPr>
      </w:pPr>
    </w:p>
    <w:p w14:paraId="5A21A857" w14:textId="2C2836B9" w:rsidR="003B76E4" w:rsidRPr="009F54A5" w:rsidRDefault="003B76E4" w:rsidP="003B76E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sz w:val="20"/>
          <w:szCs w:val="20"/>
          <w:lang w:val="es-PE"/>
        </w:rPr>
      </w:pPr>
      <w:r w:rsidRPr="009F54A5">
        <w:rPr>
          <w:rFonts w:asciiTheme="majorHAnsi" w:hAnsiTheme="majorHAnsi"/>
          <w:color w:val="auto"/>
          <w:sz w:val="20"/>
          <w:szCs w:val="20"/>
        </w:rPr>
        <w:t xml:space="preserve">Además de una crisis política, se presenta en la actualidad en Venezuela una </w:t>
      </w:r>
      <w:r w:rsidR="008923E3" w:rsidRPr="009F54A5">
        <w:rPr>
          <w:rFonts w:asciiTheme="majorHAnsi" w:hAnsiTheme="majorHAnsi"/>
          <w:color w:val="auto"/>
          <w:sz w:val="20"/>
          <w:szCs w:val="20"/>
        </w:rPr>
        <w:t xml:space="preserve">grave </w:t>
      </w:r>
      <w:r w:rsidRPr="009F54A5">
        <w:rPr>
          <w:rFonts w:asciiTheme="majorHAnsi" w:hAnsiTheme="majorHAnsi"/>
          <w:color w:val="auto"/>
          <w:sz w:val="20"/>
          <w:szCs w:val="20"/>
        </w:rPr>
        <w:t xml:space="preserve">crisis </w:t>
      </w:r>
      <w:r w:rsidR="008923E3" w:rsidRPr="009F54A5">
        <w:rPr>
          <w:rFonts w:asciiTheme="majorHAnsi" w:hAnsiTheme="majorHAnsi"/>
          <w:color w:val="auto"/>
          <w:sz w:val="20"/>
          <w:szCs w:val="20"/>
        </w:rPr>
        <w:t>económica y social</w:t>
      </w:r>
      <w:r w:rsidRPr="009F54A5">
        <w:rPr>
          <w:rFonts w:asciiTheme="majorHAnsi" w:hAnsiTheme="majorHAnsi"/>
          <w:color w:val="auto"/>
          <w:sz w:val="20"/>
          <w:szCs w:val="20"/>
        </w:rPr>
        <w:t xml:space="preserve">, caracterizada por el desabastecimiento generalizado de alimentos, medicamentos, tratamiento, material e insumo médico, entre otros. Precisamente </w:t>
      </w:r>
      <w:r w:rsidRPr="009F54A5">
        <w:rPr>
          <w:rFonts w:asciiTheme="majorHAnsi" w:hAnsiTheme="majorHAnsi"/>
          <w:sz w:val="20"/>
          <w:szCs w:val="20"/>
          <w:lang w:val="es-PE"/>
        </w:rPr>
        <w:t>en 2015 se registró un alza de 180,9% en los precios y en abril de 2016 el 80% de la población enfrentaba escasez de alimentos</w:t>
      </w:r>
      <w:r w:rsidRPr="009F54A5">
        <w:rPr>
          <w:rStyle w:val="FootnoteReference"/>
          <w:rFonts w:asciiTheme="majorHAnsi" w:hAnsiTheme="majorHAnsi"/>
          <w:sz w:val="20"/>
          <w:szCs w:val="20"/>
          <w:lang w:val="es-PE"/>
        </w:rPr>
        <w:footnoteReference w:id="12"/>
      </w:r>
      <w:r w:rsidRPr="009F54A5">
        <w:rPr>
          <w:rFonts w:asciiTheme="majorHAnsi" w:hAnsiTheme="majorHAnsi"/>
          <w:sz w:val="20"/>
          <w:szCs w:val="20"/>
          <w:lang w:val="es-PE"/>
        </w:rPr>
        <w:t xml:space="preserve">. </w:t>
      </w:r>
      <w:r w:rsidRPr="009F54A5">
        <w:rPr>
          <w:rFonts w:asciiTheme="majorHAnsi" w:hAnsiTheme="majorHAnsi"/>
          <w:color w:val="auto"/>
          <w:sz w:val="20"/>
          <w:szCs w:val="20"/>
        </w:rPr>
        <w:t xml:space="preserve">Esta situación ha provocado alarmantes índices de </w:t>
      </w:r>
      <w:r w:rsidRPr="009F54A5">
        <w:rPr>
          <w:rFonts w:asciiTheme="majorHAnsi" w:hAnsiTheme="majorHAnsi"/>
          <w:sz w:val="20"/>
          <w:szCs w:val="20"/>
          <w:lang w:val="es-UY"/>
        </w:rPr>
        <w:t>pobreza</w:t>
      </w:r>
      <w:r w:rsidRPr="009F54A5">
        <w:rPr>
          <w:rFonts w:asciiTheme="majorHAnsi" w:hAnsiTheme="majorHAnsi"/>
          <w:color w:val="auto"/>
          <w:sz w:val="20"/>
          <w:szCs w:val="20"/>
        </w:rPr>
        <w:t xml:space="preserve"> y pobreza extrema; así como serias dificultades para el goce de lo</w:t>
      </w:r>
      <w:r w:rsidR="00782F03" w:rsidRPr="009F54A5">
        <w:rPr>
          <w:rFonts w:asciiTheme="majorHAnsi" w:hAnsiTheme="majorHAnsi"/>
          <w:color w:val="auto"/>
          <w:sz w:val="20"/>
          <w:szCs w:val="20"/>
        </w:rPr>
        <w:t xml:space="preserve">s derechos económicos, sociales, </w:t>
      </w:r>
      <w:r w:rsidRPr="009F54A5">
        <w:rPr>
          <w:rFonts w:asciiTheme="majorHAnsi" w:hAnsiTheme="majorHAnsi"/>
          <w:color w:val="auto"/>
          <w:sz w:val="20"/>
          <w:szCs w:val="20"/>
        </w:rPr>
        <w:t xml:space="preserve">culturales </w:t>
      </w:r>
      <w:r w:rsidR="00782F03" w:rsidRPr="009F54A5">
        <w:rPr>
          <w:rFonts w:asciiTheme="majorHAnsi" w:hAnsiTheme="majorHAnsi"/>
          <w:color w:val="auto"/>
          <w:sz w:val="20"/>
          <w:szCs w:val="20"/>
        </w:rPr>
        <w:t xml:space="preserve">y ambientales </w:t>
      </w:r>
      <w:r w:rsidRPr="009F54A5">
        <w:rPr>
          <w:rFonts w:asciiTheme="majorHAnsi" w:hAnsiTheme="majorHAnsi"/>
          <w:color w:val="auto"/>
          <w:sz w:val="20"/>
          <w:szCs w:val="20"/>
        </w:rPr>
        <w:t xml:space="preserve">de la población, tales como la alimentación, salud, educación y vivienda. El impacto ha sido mayor sobre grupos en situación de exclusión y discriminación histórica como NNA, mujeres, personas adultas mayores y pueblos indígenas. </w:t>
      </w:r>
      <w:r w:rsidR="00BD25BA" w:rsidRPr="009F54A5">
        <w:rPr>
          <w:rFonts w:asciiTheme="majorHAnsi" w:hAnsiTheme="majorHAnsi"/>
          <w:color w:val="auto"/>
          <w:sz w:val="20"/>
          <w:szCs w:val="20"/>
        </w:rPr>
        <w:t xml:space="preserve"> </w:t>
      </w:r>
    </w:p>
    <w:p w14:paraId="5843F7F5" w14:textId="77777777" w:rsidR="003B76E4" w:rsidRPr="009F54A5" w:rsidRDefault="003B76E4" w:rsidP="003B76E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PE"/>
        </w:rPr>
      </w:pPr>
    </w:p>
    <w:p w14:paraId="428C507D" w14:textId="1DC813C0" w:rsidR="003B76E4" w:rsidRPr="009F54A5" w:rsidRDefault="003B76E4" w:rsidP="003B76E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rPr>
        <w:t xml:space="preserve">Para </w:t>
      </w:r>
      <w:r w:rsidRPr="009F54A5">
        <w:rPr>
          <w:rFonts w:asciiTheme="majorHAnsi" w:hAnsiTheme="majorHAnsi"/>
          <w:color w:val="auto"/>
          <w:sz w:val="20"/>
          <w:szCs w:val="20"/>
          <w:lang w:val="es-PE"/>
        </w:rPr>
        <w:t>hacer</w:t>
      </w:r>
      <w:r w:rsidRPr="009F54A5">
        <w:rPr>
          <w:rFonts w:asciiTheme="majorHAnsi" w:hAnsiTheme="majorHAnsi"/>
          <w:color w:val="auto"/>
          <w:sz w:val="20"/>
          <w:szCs w:val="20"/>
        </w:rPr>
        <w:t xml:space="preserve"> frente a esta situación, el Estado ha dictado una serie de decretos que declaran el estado de excepción y de emergencia económica. Estos han sido prorrogados sucesivamente, provocando en la práctica que las medidas contenidas en ellos sean indefinidas. Además, </w:t>
      </w:r>
      <w:r w:rsidR="00782F03" w:rsidRPr="009F54A5">
        <w:rPr>
          <w:rFonts w:asciiTheme="majorHAnsi" w:hAnsiTheme="majorHAnsi"/>
          <w:color w:val="auto"/>
          <w:sz w:val="20"/>
          <w:szCs w:val="20"/>
        </w:rPr>
        <w:t xml:space="preserve">se </w:t>
      </w:r>
      <w:r w:rsidRPr="009F54A5">
        <w:rPr>
          <w:rFonts w:asciiTheme="majorHAnsi" w:hAnsiTheme="majorHAnsi"/>
          <w:color w:val="auto"/>
          <w:sz w:val="20"/>
          <w:szCs w:val="20"/>
        </w:rPr>
        <w:t>han establecido medidas que amplían las facultades del Poder Ejecutivo, dentro de las cuales preocupan particularmente la militarización de actividades como la distribución de alimentos. Al respecto, la Comisión urge al Estado a intensificar</w:t>
      </w:r>
      <w:r w:rsidRPr="009F54A5">
        <w:rPr>
          <w:rFonts w:asciiTheme="majorHAnsi" w:hAnsiTheme="majorHAnsi"/>
          <w:sz w:val="20"/>
          <w:szCs w:val="20"/>
          <w:lang w:val="es-ES"/>
        </w:rPr>
        <w:t xml:space="preserve"> medidas dirigidas </w:t>
      </w:r>
      <w:r w:rsidRPr="009F54A5">
        <w:rPr>
          <w:rFonts w:asciiTheme="majorHAnsi" w:hAnsiTheme="majorHAnsi"/>
          <w:sz w:val="20"/>
          <w:szCs w:val="20"/>
          <w:lang w:val="es-PE"/>
        </w:rPr>
        <w:t>a reducir la situación de pobreza y pobreza extrema, así como adoptar todas las medidas necesarias para asegurar que los recursos disponibles se utilicen prioritariamente en evitar retrocesos en el disfrute de los DESCA, asegurando el acceso de toda la población sin discriminación.</w:t>
      </w:r>
    </w:p>
    <w:p w14:paraId="1BF8A720" w14:textId="77777777" w:rsidR="003B76E4" w:rsidRPr="009F54A5" w:rsidRDefault="003B76E4" w:rsidP="003B76E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lang w:val="es-PE"/>
        </w:rPr>
      </w:pPr>
    </w:p>
    <w:p w14:paraId="2D3036B1" w14:textId="64F64858" w:rsidR="003B76E4" w:rsidRPr="009F54A5" w:rsidRDefault="003B76E4" w:rsidP="003B76E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s="Arial"/>
          <w:sz w:val="20"/>
          <w:szCs w:val="20"/>
          <w:lang w:val="es-PE"/>
        </w:rPr>
        <w:t xml:space="preserve">Como consecuencia de la grave </w:t>
      </w:r>
      <w:r w:rsidRPr="009F54A5">
        <w:rPr>
          <w:rFonts w:asciiTheme="majorHAnsi" w:hAnsiTheme="majorHAnsi"/>
          <w:sz w:val="20"/>
          <w:szCs w:val="20"/>
        </w:rPr>
        <w:t>crisis</w:t>
      </w:r>
      <w:r w:rsidR="00A07A14" w:rsidRPr="009F54A5">
        <w:rPr>
          <w:rFonts w:asciiTheme="majorHAnsi" w:hAnsiTheme="majorHAnsi" w:cs="Arial"/>
          <w:sz w:val="20"/>
          <w:szCs w:val="20"/>
          <w:lang w:val="es-PE"/>
        </w:rPr>
        <w:t xml:space="preserve"> económica y social</w:t>
      </w:r>
      <w:r w:rsidRPr="009F54A5">
        <w:rPr>
          <w:rFonts w:asciiTheme="majorHAnsi" w:hAnsiTheme="majorHAnsi" w:cs="Arial"/>
          <w:sz w:val="20"/>
          <w:szCs w:val="20"/>
          <w:lang w:val="es-PE"/>
        </w:rPr>
        <w:t xml:space="preserve">, han surgido brotes de enfermedades y otras afectaciones a la </w:t>
      </w:r>
      <w:r w:rsidRPr="009F54A5">
        <w:rPr>
          <w:rFonts w:asciiTheme="majorHAnsi" w:hAnsiTheme="majorHAnsi"/>
          <w:color w:val="auto"/>
          <w:sz w:val="20"/>
          <w:szCs w:val="20"/>
          <w:lang w:val="es-PE"/>
        </w:rPr>
        <w:t>salud</w:t>
      </w:r>
      <w:r w:rsidRPr="009F54A5">
        <w:rPr>
          <w:rFonts w:asciiTheme="majorHAnsi" w:hAnsiTheme="majorHAnsi" w:cs="Arial"/>
          <w:sz w:val="20"/>
          <w:szCs w:val="20"/>
          <w:lang w:val="es-PE"/>
        </w:rPr>
        <w:t>, en cuyo contexto resulta preocupante</w:t>
      </w:r>
      <w:r w:rsidRPr="009F54A5">
        <w:rPr>
          <w:rFonts w:asciiTheme="majorHAnsi" w:hAnsiTheme="majorHAnsi"/>
          <w:color w:val="auto"/>
          <w:sz w:val="20"/>
          <w:szCs w:val="20"/>
          <w:lang w:val="es-PE"/>
        </w:rPr>
        <w:t xml:space="preserve"> la escasez de medicamentos, materiales, insumos y tratamiento médico, y el impacto particular en las mujeres embarazadas, NNA</w:t>
      </w:r>
      <w:r w:rsidR="00782F03" w:rsidRPr="009F54A5">
        <w:rPr>
          <w:rFonts w:asciiTheme="majorHAnsi" w:hAnsiTheme="majorHAnsi"/>
          <w:color w:val="auto"/>
          <w:sz w:val="20"/>
          <w:szCs w:val="20"/>
          <w:lang w:val="es-PE"/>
        </w:rPr>
        <w:t xml:space="preserve">, </w:t>
      </w:r>
      <w:r w:rsidR="006B7EDA" w:rsidRPr="009F54A5">
        <w:rPr>
          <w:rFonts w:asciiTheme="majorHAnsi" w:hAnsiTheme="majorHAnsi"/>
          <w:color w:val="auto"/>
          <w:sz w:val="20"/>
          <w:szCs w:val="20"/>
          <w:lang w:val="es-PE"/>
        </w:rPr>
        <w:t>personas adultas mayores</w:t>
      </w:r>
      <w:r w:rsidR="006B7EDA" w:rsidRPr="009F54A5">
        <w:rPr>
          <w:rFonts w:asciiTheme="majorHAnsi" w:hAnsiTheme="majorHAnsi"/>
          <w:sz w:val="20"/>
          <w:szCs w:val="20"/>
        </w:rPr>
        <w:t xml:space="preserve">, y </w:t>
      </w:r>
      <w:r w:rsidR="00782F03" w:rsidRPr="009F54A5">
        <w:rPr>
          <w:rFonts w:asciiTheme="majorHAnsi" w:hAnsiTheme="majorHAnsi"/>
          <w:sz w:val="20"/>
          <w:szCs w:val="20"/>
        </w:rPr>
        <w:t>personas viviendo con enfermedades graves, crónicas o</w:t>
      </w:r>
      <w:r w:rsidR="006B7EDA" w:rsidRPr="009F54A5">
        <w:rPr>
          <w:rFonts w:asciiTheme="majorHAnsi" w:hAnsiTheme="majorHAnsi"/>
          <w:sz w:val="20"/>
          <w:szCs w:val="20"/>
        </w:rPr>
        <w:t xml:space="preserve"> con</w:t>
      </w:r>
      <w:r w:rsidR="00782F03" w:rsidRPr="009F54A5">
        <w:rPr>
          <w:rFonts w:asciiTheme="majorHAnsi" w:hAnsiTheme="majorHAnsi"/>
          <w:sz w:val="20"/>
          <w:szCs w:val="20"/>
        </w:rPr>
        <w:t xml:space="preserve"> el </w:t>
      </w:r>
      <w:r w:rsidR="006B7EDA" w:rsidRPr="009F54A5">
        <w:rPr>
          <w:rFonts w:asciiTheme="majorHAnsi" w:hAnsiTheme="majorHAnsi"/>
          <w:sz w:val="20"/>
          <w:szCs w:val="20"/>
        </w:rPr>
        <w:t xml:space="preserve">virus de inmunodeficiencia humana </w:t>
      </w:r>
      <w:r w:rsidR="00782F03" w:rsidRPr="009F54A5">
        <w:rPr>
          <w:rFonts w:asciiTheme="majorHAnsi" w:hAnsiTheme="majorHAnsi"/>
          <w:sz w:val="20"/>
          <w:szCs w:val="20"/>
        </w:rPr>
        <w:t xml:space="preserve">(VIH) </w:t>
      </w:r>
      <w:r w:rsidR="006B7EDA" w:rsidRPr="009F54A5">
        <w:rPr>
          <w:rFonts w:asciiTheme="majorHAnsi" w:hAnsiTheme="majorHAnsi"/>
          <w:sz w:val="20"/>
          <w:szCs w:val="20"/>
        </w:rPr>
        <w:t>y/</w:t>
      </w:r>
      <w:r w:rsidR="00782F03" w:rsidRPr="009F54A5">
        <w:rPr>
          <w:rFonts w:asciiTheme="majorHAnsi" w:hAnsiTheme="majorHAnsi"/>
          <w:sz w:val="20"/>
          <w:szCs w:val="20"/>
        </w:rPr>
        <w:t xml:space="preserve">o el </w:t>
      </w:r>
      <w:r w:rsidR="006B7EDA" w:rsidRPr="009F54A5">
        <w:rPr>
          <w:rFonts w:asciiTheme="majorHAnsi" w:hAnsiTheme="majorHAnsi"/>
          <w:sz w:val="20"/>
          <w:szCs w:val="20"/>
        </w:rPr>
        <w:t>síndrome de inmunodeficiencia adquirida (SIDA)</w:t>
      </w:r>
      <w:r w:rsidRPr="009F54A5">
        <w:rPr>
          <w:rFonts w:asciiTheme="majorHAnsi" w:hAnsiTheme="majorHAnsi"/>
          <w:color w:val="auto"/>
          <w:sz w:val="20"/>
          <w:szCs w:val="20"/>
          <w:lang w:val="es-PE"/>
        </w:rPr>
        <w:t xml:space="preserve">. Al mismo tiempo, se han incrementado las tasas de mortalidad infantil y materna, así como los casos de epidemias. </w:t>
      </w:r>
      <w:r w:rsidRPr="009F54A5">
        <w:rPr>
          <w:rFonts w:asciiTheme="majorHAnsi" w:hAnsiTheme="majorHAnsi" w:cs="Arial"/>
          <w:sz w:val="20"/>
          <w:szCs w:val="20"/>
          <w:lang w:val="es-PE"/>
        </w:rPr>
        <w:t xml:space="preserve">Frente a este escenario, el Estado no ha brindado, en general, un acceso a la atención médica necesaria. La Comisión reitera la necesidad de que el Estado </w:t>
      </w:r>
      <w:r w:rsidRPr="009F54A5">
        <w:rPr>
          <w:rFonts w:asciiTheme="majorHAnsi" w:hAnsiTheme="majorHAnsi"/>
          <w:sz w:val="20"/>
          <w:szCs w:val="20"/>
          <w:lang w:val="es-ES"/>
        </w:rPr>
        <w:t>garantice la disponibilidad y calidad de los servicios de salud, a través de personal médico capacitado, medicamentos y equipo hospitalario adecuado.</w:t>
      </w:r>
      <w:r w:rsidRPr="009F54A5">
        <w:rPr>
          <w:rFonts w:asciiTheme="majorHAnsi" w:hAnsiTheme="majorHAnsi"/>
          <w:color w:val="auto"/>
          <w:sz w:val="20"/>
          <w:szCs w:val="20"/>
        </w:rPr>
        <w:t xml:space="preserve"> En particular, deberán adoptarse medidas para combatir las altas tasas de mortalidad materna.</w:t>
      </w:r>
    </w:p>
    <w:p w14:paraId="2DAEE364" w14:textId="77777777" w:rsidR="000E6066" w:rsidRPr="009F54A5" w:rsidRDefault="000E6066" w:rsidP="008F2E49">
      <w:pPr>
        <w:jc w:val="both"/>
        <w:rPr>
          <w:rFonts w:asciiTheme="majorHAnsi" w:hAnsiTheme="majorHAnsi"/>
          <w:sz w:val="20"/>
          <w:szCs w:val="20"/>
          <w:lang w:val="es-PE"/>
        </w:rPr>
      </w:pPr>
    </w:p>
    <w:p w14:paraId="29564AEC" w14:textId="77777777" w:rsidR="000E6066"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rPr>
        <w:t xml:space="preserve">En relación </w:t>
      </w:r>
      <w:r w:rsidR="00782F03" w:rsidRPr="009F54A5">
        <w:rPr>
          <w:rFonts w:asciiTheme="majorHAnsi" w:hAnsiTheme="majorHAnsi"/>
          <w:color w:val="auto"/>
          <w:sz w:val="20"/>
          <w:szCs w:val="20"/>
        </w:rPr>
        <w:t>con el</w:t>
      </w:r>
      <w:r w:rsidRPr="009F54A5">
        <w:rPr>
          <w:rFonts w:asciiTheme="majorHAnsi" w:hAnsiTheme="majorHAnsi"/>
          <w:color w:val="auto"/>
          <w:sz w:val="20"/>
          <w:szCs w:val="20"/>
        </w:rPr>
        <w:t xml:space="preserve"> derecho a la alimentación, se observa que en los últimos años la tasa de escasez y desabastecimiento se ha incrementado a niveles críticos. Esta situación ha tenido como consecuencia una preocupante pérdida de peso </w:t>
      </w:r>
      <w:r w:rsidR="000B7064" w:rsidRPr="009F54A5">
        <w:rPr>
          <w:rFonts w:asciiTheme="majorHAnsi" w:hAnsiTheme="majorHAnsi"/>
          <w:color w:val="auto"/>
          <w:sz w:val="20"/>
          <w:szCs w:val="20"/>
        </w:rPr>
        <w:t>de muchas personas</w:t>
      </w:r>
      <w:r w:rsidRPr="009F54A5">
        <w:rPr>
          <w:rFonts w:asciiTheme="majorHAnsi" w:hAnsiTheme="majorHAnsi"/>
          <w:color w:val="auto"/>
          <w:sz w:val="20"/>
          <w:szCs w:val="20"/>
        </w:rPr>
        <w:t xml:space="preserve">, </w:t>
      </w:r>
      <w:r w:rsidR="0090655B" w:rsidRPr="009F54A5">
        <w:rPr>
          <w:rFonts w:asciiTheme="majorHAnsi" w:hAnsiTheme="majorHAnsi"/>
          <w:color w:val="auto"/>
          <w:sz w:val="20"/>
          <w:szCs w:val="20"/>
        </w:rPr>
        <w:t>problemas</w:t>
      </w:r>
      <w:r w:rsidRPr="009F54A5">
        <w:rPr>
          <w:rFonts w:asciiTheme="majorHAnsi" w:hAnsiTheme="majorHAnsi"/>
          <w:color w:val="auto"/>
          <w:sz w:val="20"/>
          <w:szCs w:val="20"/>
        </w:rPr>
        <w:t xml:space="preserve"> de desnutrición que incluso </w:t>
      </w:r>
      <w:r w:rsidRPr="009F54A5">
        <w:rPr>
          <w:rFonts w:asciiTheme="majorHAnsi" w:hAnsiTheme="majorHAnsi"/>
          <w:color w:val="auto"/>
          <w:sz w:val="20"/>
          <w:szCs w:val="20"/>
        </w:rPr>
        <w:lastRenderedPageBreak/>
        <w:t xml:space="preserve">han provocado muertes y, en general, la falta de acceso a alimentos. Para hacer frente a esta situación, el Estado ha creado medidas como los Comités Locales de Abastecimiento y Producción, que son saludados por la Comisión. Sin embargo, </w:t>
      </w:r>
      <w:r w:rsidR="0071758F" w:rsidRPr="009F54A5">
        <w:rPr>
          <w:rFonts w:asciiTheme="majorHAnsi" w:hAnsiTheme="majorHAnsi"/>
          <w:color w:val="auto"/>
          <w:sz w:val="20"/>
          <w:szCs w:val="20"/>
        </w:rPr>
        <w:t xml:space="preserve">según la información recibida, </w:t>
      </w:r>
      <w:r w:rsidRPr="009F54A5">
        <w:rPr>
          <w:rFonts w:asciiTheme="majorHAnsi" w:hAnsiTheme="majorHAnsi"/>
          <w:color w:val="auto"/>
          <w:sz w:val="20"/>
          <w:szCs w:val="20"/>
        </w:rPr>
        <w:t xml:space="preserve">estos programas </w:t>
      </w:r>
      <w:r w:rsidR="0090655B" w:rsidRPr="009F54A5">
        <w:rPr>
          <w:rFonts w:asciiTheme="majorHAnsi" w:hAnsiTheme="majorHAnsi"/>
          <w:color w:val="auto"/>
          <w:sz w:val="20"/>
          <w:szCs w:val="20"/>
        </w:rPr>
        <w:t>no priorizan</w:t>
      </w:r>
      <w:r w:rsidRPr="009F54A5">
        <w:rPr>
          <w:rFonts w:asciiTheme="majorHAnsi" w:hAnsiTheme="majorHAnsi"/>
          <w:color w:val="auto"/>
          <w:sz w:val="20"/>
          <w:szCs w:val="20"/>
        </w:rPr>
        <w:t xml:space="preserve"> su atención a grupos en situación de </w:t>
      </w:r>
      <w:r w:rsidR="003A1E3D" w:rsidRPr="009F54A5">
        <w:rPr>
          <w:rFonts w:asciiTheme="majorHAnsi" w:hAnsiTheme="majorHAnsi"/>
          <w:color w:val="auto"/>
          <w:sz w:val="20"/>
          <w:szCs w:val="20"/>
        </w:rPr>
        <w:t>exclusión y discriminación histórica,</w:t>
      </w:r>
      <w:r w:rsidRPr="009F54A5">
        <w:rPr>
          <w:rFonts w:asciiTheme="majorHAnsi" w:hAnsiTheme="majorHAnsi"/>
          <w:color w:val="auto"/>
          <w:sz w:val="20"/>
          <w:szCs w:val="20"/>
        </w:rPr>
        <w:t xml:space="preserve"> y </w:t>
      </w:r>
      <w:r w:rsidR="0090655B" w:rsidRPr="009F54A5">
        <w:rPr>
          <w:rFonts w:asciiTheme="majorHAnsi" w:hAnsiTheme="majorHAnsi"/>
          <w:color w:val="auto"/>
          <w:sz w:val="20"/>
          <w:szCs w:val="20"/>
        </w:rPr>
        <w:t>se han presentado denuncias sobre la aplicación de criterios discriminatorios con base</w:t>
      </w:r>
      <w:r w:rsidRPr="009F54A5">
        <w:rPr>
          <w:rFonts w:asciiTheme="majorHAnsi" w:hAnsiTheme="majorHAnsi"/>
          <w:color w:val="auto"/>
          <w:sz w:val="20"/>
          <w:szCs w:val="20"/>
        </w:rPr>
        <w:t xml:space="preserve"> en motivos políticos. </w:t>
      </w:r>
      <w:r w:rsidR="004A38E0" w:rsidRPr="009F54A5">
        <w:rPr>
          <w:rFonts w:asciiTheme="majorHAnsi" w:hAnsiTheme="majorHAnsi"/>
          <w:color w:val="auto"/>
          <w:sz w:val="20"/>
          <w:szCs w:val="20"/>
        </w:rPr>
        <w:t>El Estado debe garantizar el acceso a</w:t>
      </w:r>
      <w:r w:rsidR="004A38E0" w:rsidRPr="009F54A5">
        <w:rPr>
          <w:rFonts w:asciiTheme="majorHAnsi" w:hAnsiTheme="majorHAnsi"/>
          <w:sz w:val="20"/>
          <w:szCs w:val="20"/>
          <w:lang w:val="es-PE"/>
        </w:rPr>
        <w:t xml:space="preserve">l derecho a la alimentación, </w:t>
      </w:r>
      <w:r w:rsidR="00782F03" w:rsidRPr="009F54A5">
        <w:rPr>
          <w:rFonts w:asciiTheme="majorHAnsi" w:hAnsiTheme="majorHAnsi"/>
          <w:sz w:val="20"/>
          <w:szCs w:val="20"/>
          <w:lang w:val="es-PE"/>
        </w:rPr>
        <w:t>con</w:t>
      </w:r>
      <w:r w:rsidR="004A38E0" w:rsidRPr="009F54A5">
        <w:rPr>
          <w:rFonts w:asciiTheme="majorHAnsi" w:hAnsiTheme="majorHAnsi"/>
          <w:sz w:val="20"/>
          <w:szCs w:val="20"/>
          <w:lang w:val="es-PE"/>
        </w:rPr>
        <w:t xml:space="preserve"> base </w:t>
      </w:r>
      <w:r w:rsidR="00782F03" w:rsidRPr="009F54A5">
        <w:rPr>
          <w:rFonts w:asciiTheme="majorHAnsi" w:hAnsiTheme="majorHAnsi"/>
          <w:sz w:val="20"/>
          <w:szCs w:val="20"/>
          <w:lang w:val="es-PE"/>
        </w:rPr>
        <w:t>en</w:t>
      </w:r>
      <w:r w:rsidR="004A38E0" w:rsidRPr="009F54A5">
        <w:rPr>
          <w:rFonts w:asciiTheme="majorHAnsi" w:hAnsiTheme="majorHAnsi"/>
          <w:sz w:val="20"/>
          <w:szCs w:val="20"/>
          <w:lang w:val="es-PE"/>
        </w:rPr>
        <w:t xml:space="preserve"> criterios objetivos, y con particular énfasis en personas y poblaciones </w:t>
      </w:r>
      <w:r w:rsidR="00986287" w:rsidRPr="009F54A5">
        <w:rPr>
          <w:rFonts w:asciiTheme="majorHAnsi" w:hAnsiTheme="majorHAnsi"/>
          <w:sz w:val="20"/>
          <w:szCs w:val="20"/>
          <w:lang w:val="es-PE"/>
        </w:rPr>
        <w:t>históricamente excluidas o discriminadas</w:t>
      </w:r>
      <w:r w:rsidR="004A38E0" w:rsidRPr="009F54A5">
        <w:rPr>
          <w:rFonts w:asciiTheme="majorHAnsi" w:hAnsiTheme="majorHAnsi"/>
          <w:sz w:val="20"/>
          <w:szCs w:val="20"/>
          <w:lang w:val="es-PE"/>
        </w:rPr>
        <w:t xml:space="preserve">, como </w:t>
      </w:r>
      <w:r w:rsidR="0095148E" w:rsidRPr="009F54A5">
        <w:rPr>
          <w:rFonts w:asciiTheme="majorHAnsi" w:hAnsiTheme="majorHAnsi"/>
          <w:sz w:val="20"/>
          <w:szCs w:val="20"/>
          <w:lang w:val="es-PE"/>
        </w:rPr>
        <w:t>NNA</w:t>
      </w:r>
      <w:r w:rsidR="004A38E0" w:rsidRPr="009F54A5">
        <w:rPr>
          <w:rFonts w:asciiTheme="majorHAnsi" w:hAnsiTheme="majorHAnsi"/>
          <w:sz w:val="20"/>
          <w:szCs w:val="20"/>
          <w:lang w:val="es-PE"/>
        </w:rPr>
        <w:t>, personas con discapacidad o personas adultas mayores.</w:t>
      </w:r>
    </w:p>
    <w:p w14:paraId="6E85002C" w14:textId="77777777" w:rsidR="000E6066" w:rsidRPr="009F54A5" w:rsidRDefault="000E6066" w:rsidP="000E606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contextualSpacing/>
        <w:jc w:val="both"/>
        <w:rPr>
          <w:rFonts w:asciiTheme="majorHAnsi" w:hAnsiTheme="majorHAnsi"/>
          <w:color w:val="auto"/>
          <w:sz w:val="20"/>
          <w:szCs w:val="20"/>
        </w:rPr>
      </w:pPr>
    </w:p>
    <w:p w14:paraId="7F6479EA" w14:textId="77777777" w:rsidR="000E6066" w:rsidRPr="009F54A5" w:rsidRDefault="000E6066"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lang w:val="es-PE"/>
        </w:rPr>
        <w:t xml:space="preserve">El ejercicio del derecho a la educación </w:t>
      </w:r>
      <w:r w:rsidR="002B3D06" w:rsidRPr="009F54A5">
        <w:rPr>
          <w:rFonts w:asciiTheme="majorHAnsi" w:hAnsiTheme="majorHAnsi"/>
          <w:color w:val="auto"/>
          <w:sz w:val="20"/>
          <w:szCs w:val="20"/>
          <w:lang w:val="es-PE"/>
        </w:rPr>
        <w:t xml:space="preserve">también </w:t>
      </w:r>
      <w:r w:rsidRPr="009F54A5">
        <w:rPr>
          <w:rFonts w:asciiTheme="majorHAnsi" w:hAnsiTheme="majorHAnsi"/>
          <w:color w:val="auto"/>
          <w:sz w:val="20"/>
          <w:szCs w:val="20"/>
          <w:lang w:val="es-PE"/>
        </w:rPr>
        <w:t>se ha visto afectado por la crisis que atraviesa el país, en especial en el caso de NNA, cuya tasa de ausentismo se ha incrementado debido a problemas en el acceso a la alimentación, el transporte y la seguridad ciudadana.</w:t>
      </w:r>
      <w:r w:rsidR="004A38E0" w:rsidRPr="009F54A5">
        <w:rPr>
          <w:rFonts w:asciiTheme="majorHAnsi" w:hAnsiTheme="majorHAnsi"/>
          <w:color w:val="auto"/>
          <w:sz w:val="20"/>
          <w:szCs w:val="20"/>
          <w:lang w:val="es-PE"/>
        </w:rPr>
        <w:t xml:space="preserve"> Otras</w:t>
      </w:r>
      <w:r w:rsidR="004A38E0" w:rsidRPr="009F54A5">
        <w:rPr>
          <w:rFonts w:asciiTheme="majorHAnsi" w:hAnsiTheme="majorHAnsi"/>
          <w:sz w:val="20"/>
          <w:szCs w:val="20"/>
          <w:lang w:val="es-PE"/>
        </w:rPr>
        <w:t xml:space="preserve"> dificultades que han impactado en el goce de este derecho han sido los problemas con el servicio de agua y el servicio eléctrico. </w:t>
      </w:r>
      <w:r w:rsidR="002B3D06" w:rsidRPr="009F54A5">
        <w:rPr>
          <w:rFonts w:asciiTheme="majorHAnsi" w:hAnsiTheme="majorHAnsi"/>
          <w:sz w:val="20"/>
          <w:szCs w:val="20"/>
          <w:lang w:val="es-PE"/>
        </w:rPr>
        <w:t>Al respecto</w:t>
      </w:r>
      <w:r w:rsidR="004A38E0" w:rsidRPr="009F54A5">
        <w:rPr>
          <w:rFonts w:asciiTheme="majorHAnsi" w:hAnsiTheme="majorHAnsi"/>
          <w:sz w:val="20"/>
          <w:szCs w:val="20"/>
          <w:lang w:val="es-PE"/>
        </w:rPr>
        <w:t xml:space="preserve">, </w:t>
      </w:r>
      <w:r w:rsidR="002B3D06" w:rsidRPr="009F54A5">
        <w:rPr>
          <w:rFonts w:asciiTheme="majorHAnsi" w:hAnsiTheme="majorHAnsi"/>
          <w:sz w:val="20"/>
          <w:szCs w:val="20"/>
          <w:lang w:val="es-PE"/>
        </w:rPr>
        <w:t>la CIDH enfatiza que e</w:t>
      </w:r>
      <w:r w:rsidR="004A38E0" w:rsidRPr="009F54A5">
        <w:rPr>
          <w:rFonts w:asciiTheme="majorHAnsi" w:hAnsiTheme="majorHAnsi"/>
          <w:color w:val="auto"/>
          <w:sz w:val="20"/>
          <w:szCs w:val="20"/>
          <w:lang w:val="es-PE"/>
        </w:rPr>
        <w:t xml:space="preserve">l Estado debe destinar los recursos necesarios para </w:t>
      </w:r>
      <w:r w:rsidR="004A38E0" w:rsidRPr="009F54A5">
        <w:rPr>
          <w:rFonts w:asciiTheme="majorHAnsi" w:hAnsiTheme="majorHAnsi"/>
          <w:sz w:val="20"/>
          <w:szCs w:val="20"/>
          <w:lang w:val="es-PE"/>
        </w:rPr>
        <w:t>asegurar una educación de calidad, universal, gratuita, accesible y adaptada</w:t>
      </w:r>
      <w:r w:rsidR="002B3D06" w:rsidRPr="009F54A5">
        <w:rPr>
          <w:rFonts w:asciiTheme="majorHAnsi" w:hAnsiTheme="majorHAnsi"/>
          <w:sz w:val="20"/>
          <w:szCs w:val="20"/>
          <w:lang w:val="es-PE"/>
        </w:rPr>
        <w:t>;</w:t>
      </w:r>
      <w:r w:rsidR="004A38E0" w:rsidRPr="009F54A5">
        <w:rPr>
          <w:rFonts w:asciiTheme="majorHAnsi" w:hAnsiTheme="majorHAnsi"/>
          <w:sz w:val="20"/>
          <w:szCs w:val="20"/>
          <w:lang w:val="es-PE"/>
        </w:rPr>
        <w:t xml:space="preserve"> y que se desarrolle en ambientes seguros</w:t>
      </w:r>
      <w:r w:rsidR="002B3D06" w:rsidRPr="009F54A5">
        <w:rPr>
          <w:rFonts w:asciiTheme="majorHAnsi" w:hAnsiTheme="majorHAnsi"/>
          <w:sz w:val="20"/>
          <w:szCs w:val="20"/>
          <w:lang w:val="es-PE"/>
        </w:rPr>
        <w:t>,</w:t>
      </w:r>
      <w:r w:rsidR="004A38E0" w:rsidRPr="009F54A5">
        <w:rPr>
          <w:rFonts w:asciiTheme="majorHAnsi" w:hAnsiTheme="majorHAnsi"/>
          <w:sz w:val="20"/>
          <w:szCs w:val="20"/>
          <w:lang w:val="es-PE"/>
        </w:rPr>
        <w:t xml:space="preserve"> y libres de violencia y discriminación</w:t>
      </w:r>
      <w:r w:rsidR="002B3D06" w:rsidRPr="009F54A5">
        <w:rPr>
          <w:rFonts w:asciiTheme="majorHAnsi" w:hAnsiTheme="majorHAnsi"/>
          <w:sz w:val="20"/>
          <w:szCs w:val="20"/>
          <w:lang w:val="es-PE"/>
        </w:rPr>
        <w:t>.</w:t>
      </w:r>
    </w:p>
    <w:p w14:paraId="4CA5EF6E" w14:textId="77777777" w:rsidR="000E6066" w:rsidRPr="009F54A5" w:rsidRDefault="000E6066" w:rsidP="008F2E49">
      <w:pPr>
        <w:jc w:val="both"/>
        <w:rPr>
          <w:rFonts w:asciiTheme="majorHAnsi" w:hAnsiTheme="majorHAnsi"/>
          <w:sz w:val="20"/>
          <w:szCs w:val="20"/>
          <w:lang w:val="es-PE"/>
        </w:rPr>
      </w:pPr>
    </w:p>
    <w:p w14:paraId="14DF3EAF" w14:textId="6A756C9F" w:rsidR="009F51C0" w:rsidRPr="009F54A5" w:rsidRDefault="008F2E49" w:rsidP="009F51C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0" w:firstLine="567"/>
        <w:contextualSpacing/>
        <w:jc w:val="both"/>
        <w:rPr>
          <w:rFonts w:asciiTheme="majorHAnsi" w:hAnsiTheme="majorHAnsi"/>
          <w:sz w:val="20"/>
          <w:szCs w:val="20"/>
          <w:lang w:val="es-PE"/>
        </w:rPr>
      </w:pPr>
      <w:r w:rsidRPr="009F54A5">
        <w:rPr>
          <w:rFonts w:asciiTheme="majorHAnsi" w:hAnsiTheme="majorHAnsi"/>
          <w:color w:val="auto"/>
          <w:sz w:val="20"/>
          <w:szCs w:val="20"/>
        </w:rPr>
        <w:t xml:space="preserve">Finalmente, observa que si bien la creación de programas sociales pueden haber tenido un impacto positivo en el ejercicio del derecho a la vivienda de </w:t>
      </w:r>
      <w:r w:rsidR="00782F03" w:rsidRPr="009F54A5">
        <w:rPr>
          <w:rFonts w:asciiTheme="majorHAnsi" w:hAnsiTheme="majorHAnsi"/>
          <w:color w:val="auto"/>
          <w:sz w:val="20"/>
          <w:szCs w:val="20"/>
        </w:rPr>
        <w:t xml:space="preserve">algunos </w:t>
      </w:r>
      <w:r w:rsidRPr="009F54A5">
        <w:rPr>
          <w:rFonts w:asciiTheme="majorHAnsi" w:hAnsiTheme="majorHAnsi"/>
          <w:color w:val="auto"/>
          <w:sz w:val="20"/>
          <w:szCs w:val="20"/>
        </w:rPr>
        <w:t xml:space="preserve">sectores de la población, existen serias denuncias que aminoran estos avances, como la falta de formalización de los títulos de propiedad, así como las numerosas denuncias de allanamiento, destrucción e incluso incendios de viviendas en el marco de la </w:t>
      </w:r>
      <w:r w:rsidR="00782F03" w:rsidRPr="009F54A5">
        <w:rPr>
          <w:rFonts w:asciiTheme="majorHAnsi" w:hAnsiTheme="majorHAnsi"/>
          <w:color w:val="auto"/>
          <w:sz w:val="20"/>
          <w:szCs w:val="20"/>
        </w:rPr>
        <w:t xml:space="preserve">OLP. </w:t>
      </w:r>
      <w:r w:rsidR="00962E97" w:rsidRPr="009F54A5">
        <w:rPr>
          <w:rFonts w:asciiTheme="majorHAnsi" w:hAnsiTheme="majorHAnsi"/>
          <w:color w:val="auto"/>
          <w:sz w:val="20"/>
          <w:szCs w:val="20"/>
        </w:rPr>
        <w:t xml:space="preserve">En vista de ello, </w:t>
      </w:r>
      <w:r w:rsidR="00FB4FC7" w:rsidRPr="009F54A5">
        <w:rPr>
          <w:rFonts w:asciiTheme="majorHAnsi" w:hAnsiTheme="majorHAnsi"/>
          <w:color w:val="auto"/>
          <w:sz w:val="20"/>
          <w:szCs w:val="20"/>
        </w:rPr>
        <w:t>el Estado requiere</w:t>
      </w:r>
      <w:r w:rsidR="00962E97" w:rsidRPr="009F54A5">
        <w:rPr>
          <w:rFonts w:asciiTheme="majorHAnsi" w:hAnsiTheme="majorHAnsi"/>
          <w:color w:val="auto"/>
          <w:sz w:val="20"/>
          <w:szCs w:val="20"/>
        </w:rPr>
        <w:t xml:space="preserve"> </w:t>
      </w:r>
      <w:r w:rsidR="009F51C0" w:rsidRPr="009F54A5">
        <w:rPr>
          <w:rFonts w:asciiTheme="majorHAnsi" w:hAnsiTheme="majorHAnsi"/>
          <w:color w:val="auto"/>
          <w:sz w:val="20"/>
          <w:szCs w:val="20"/>
        </w:rPr>
        <w:t xml:space="preserve">adoptar medidas decididas para </w:t>
      </w:r>
      <w:r w:rsidR="009F51C0" w:rsidRPr="009F54A5">
        <w:rPr>
          <w:rFonts w:asciiTheme="majorHAnsi" w:hAnsiTheme="majorHAnsi"/>
          <w:sz w:val="20"/>
          <w:szCs w:val="20"/>
          <w:lang w:val="es-PE"/>
        </w:rPr>
        <w:t>garantizar la seguridad jurídica de la tenencia de viviendas y abstenerse de interferir, de cualquier modo, en el derecho a la vivienda en el marco de operativos.</w:t>
      </w:r>
    </w:p>
    <w:p w14:paraId="53746C61" w14:textId="77777777" w:rsidR="009F51C0" w:rsidRPr="009F54A5" w:rsidRDefault="009F51C0" w:rsidP="008F2E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contextualSpacing/>
        <w:jc w:val="both"/>
        <w:rPr>
          <w:rFonts w:asciiTheme="majorHAnsi" w:hAnsiTheme="majorHAnsi"/>
          <w:color w:val="auto"/>
          <w:sz w:val="20"/>
          <w:szCs w:val="20"/>
          <w:lang w:val="es-PE"/>
        </w:rPr>
      </w:pPr>
    </w:p>
    <w:p w14:paraId="346EB6E8" w14:textId="77777777" w:rsidR="00B24056" w:rsidRPr="009F54A5" w:rsidRDefault="00FB4FC7" w:rsidP="00B2405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0" w:firstLine="567"/>
        <w:contextualSpacing/>
        <w:jc w:val="both"/>
        <w:rPr>
          <w:rFonts w:asciiTheme="majorHAnsi" w:hAnsiTheme="majorHAnsi"/>
          <w:sz w:val="20"/>
          <w:szCs w:val="20"/>
          <w:lang w:val="es-PE"/>
        </w:rPr>
      </w:pPr>
      <w:r w:rsidRPr="009F54A5">
        <w:rPr>
          <w:rFonts w:asciiTheme="majorHAnsi" w:hAnsiTheme="majorHAnsi"/>
          <w:sz w:val="20"/>
          <w:szCs w:val="20"/>
          <w:lang w:val="es-PE"/>
        </w:rPr>
        <w:t>En términos generales</w:t>
      </w:r>
      <w:r w:rsidR="00097A7D" w:rsidRPr="009F54A5">
        <w:rPr>
          <w:rFonts w:asciiTheme="majorHAnsi" w:hAnsiTheme="majorHAnsi"/>
          <w:sz w:val="20"/>
          <w:szCs w:val="20"/>
          <w:lang w:val="es-PE"/>
        </w:rPr>
        <w:t xml:space="preserve">, </w:t>
      </w:r>
      <w:r w:rsidRPr="009F54A5">
        <w:rPr>
          <w:rFonts w:asciiTheme="majorHAnsi" w:hAnsiTheme="majorHAnsi"/>
          <w:sz w:val="20"/>
          <w:szCs w:val="20"/>
          <w:lang w:val="es-PE"/>
        </w:rPr>
        <w:t xml:space="preserve">la CIDH llama al Estado a </w:t>
      </w:r>
      <w:r w:rsidR="00B24056" w:rsidRPr="009F54A5">
        <w:rPr>
          <w:rFonts w:asciiTheme="majorHAnsi" w:hAnsiTheme="majorHAnsi"/>
          <w:sz w:val="20"/>
          <w:szCs w:val="20"/>
          <w:lang w:val="es-PE"/>
        </w:rPr>
        <w:t>intensificar</w:t>
      </w:r>
      <w:r w:rsidR="00B24056" w:rsidRPr="009F54A5">
        <w:rPr>
          <w:rFonts w:asciiTheme="majorHAnsi" w:hAnsiTheme="majorHAnsi"/>
          <w:sz w:val="20"/>
          <w:szCs w:val="20"/>
          <w:lang w:val="es-ES"/>
        </w:rPr>
        <w:t xml:space="preserve"> las medidas </w:t>
      </w:r>
      <w:r w:rsidR="00B24056" w:rsidRPr="009F54A5">
        <w:rPr>
          <w:rFonts w:asciiTheme="majorHAnsi" w:hAnsiTheme="majorHAnsi"/>
          <w:sz w:val="20"/>
          <w:szCs w:val="20"/>
          <w:lang w:val="es-PE"/>
        </w:rPr>
        <w:t xml:space="preserve">para reducir la situación de pobreza y pobreza extrema, y evitar impactos en el ejercicio de </w:t>
      </w:r>
      <w:r w:rsidRPr="009F54A5">
        <w:rPr>
          <w:rFonts w:asciiTheme="majorHAnsi" w:hAnsiTheme="majorHAnsi"/>
          <w:sz w:val="20"/>
          <w:szCs w:val="20"/>
          <w:lang w:val="es-ES"/>
        </w:rPr>
        <w:t>los DESC</w:t>
      </w:r>
      <w:r w:rsidR="00782F03" w:rsidRPr="009F54A5">
        <w:rPr>
          <w:rFonts w:asciiTheme="majorHAnsi" w:hAnsiTheme="majorHAnsi"/>
          <w:sz w:val="20"/>
          <w:szCs w:val="20"/>
          <w:lang w:val="es-ES"/>
        </w:rPr>
        <w:t>A</w:t>
      </w:r>
      <w:r w:rsidR="00B24056" w:rsidRPr="009F54A5">
        <w:rPr>
          <w:rFonts w:asciiTheme="majorHAnsi" w:hAnsiTheme="majorHAnsi"/>
          <w:sz w:val="20"/>
          <w:szCs w:val="20"/>
          <w:lang w:val="es-ES"/>
        </w:rPr>
        <w:t>, asegurando que las mismas se enfoquen en garantizar el goce pleno de estos derechos sin discriminación, generando condiciones de igualdad real. En particular, el Estado debe abstenerse</w:t>
      </w:r>
      <w:r w:rsidR="00B24056" w:rsidRPr="009F54A5">
        <w:rPr>
          <w:rFonts w:asciiTheme="majorHAnsi" w:hAnsiTheme="majorHAnsi"/>
          <w:sz w:val="20"/>
          <w:szCs w:val="20"/>
          <w:lang w:val="es-PE"/>
        </w:rPr>
        <w:t xml:space="preserve"> de realizar cualquier acto que suponga un trato distinto por razones de opinión política en el ejercicio de estos derechos, e investigar seriamente las denuncias realizadas en este sentido. Asimismo, resulta fundamental que los recursos disponibles se utilicen de manera prioritaria en personas, grupos y colectivos que se encuentran en situación de </w:t>
      </w:r>
      <w:r w:rsidR="003A1E3D" w:rsidRPr="009F54A5">
        <w:rPr>
          <w:rFonts w:asciiTheme="majorHAnsi" w:hAnsiTheme="majorHAnsi"/>
          <w:sz w:val="20"/>
          <w:szCs w:val="20"/>
          <w:lang w:val="es-PE"/>
        </w:rPr>
        <w:t xml:space="preserve">exclusión </w:t>
      </w:r>
      <w:r w:rsidR="00782F03" w:rsidRPr="009F54A5">
        <w:rPr>
          <w:rFonts w:asciiTheme="majorHAnsi" w:hAnsiTheme="majorHAnsi"/>
          <w:sz w:val="20"/>
          <w:szCs w:val="20"/>
          <w:lang w:val="es-PE"/>
        </w:rPr>
        <w:t xml:space="preserve">o de </w:t>
      </w:r>
      <w:r w:rsidR="003A1E3D" w:rsidRPr="009F54A5">
        <w:rPr>
          <w:rFonts w:asciiTheme="majorHAnsi" w:hAnsiTheme="majorHAnsi"/>
          <w:sz w:val="20"/>
          <w:szCs w:val="20"/>
          <w:lang w:val="es-PE"/>
        </w:rPr>
        <w:t>discriminación histórica</w:t>
      </w:r>
      <w:r w:rsidR="00B24056" w:rsidRPr="009F54A5">
        <w:rPr>
          <w:rFonts w:asciiTheme="majorHAnsi" w:hAnsiTheme="majorHAnsi"/>
          <w:sz w:val="20"/>
          <w:szCs w:val="20"/>
          <w:lang w:val="es-PE"/>
        </w:rPr>
        <w:t>.</w:t>
      </w:r>
    </w:p>
    <w:p w14:paraId="166BAAD1" w14:textId="77777777" w:rsidR="008F2E49" w:rsidRPr="009F54A5" w:rsidRDefault="008F2E49" w:rsidP="008F2E49">
      <w:pPr>
        <w:pStyle w:val="NoSpacing"/>
        <w:jc w:val="both"/>
        <w:rPr>
          <w:rFonts w:asciiTheme="majorHAnsi" w:hAnsiTheme="majorHAnsi"/>
          <w:sz w:val="20"/>
          <w:szCs w:val="20"/>
          <w:lang w:val="es-PE"/>
        </w:rPr>
      </w:pPr>
    </w:p>
    <w:p w14:paraId="3B84C0CF" w14:textId="77777777" w:rsidR="008F2E49" w:rsidRPr="009F54A5" w:rsidRDefault="008F2E49" w:rsidP="00986287">
      <w:pPr>
        <w:pStyle w:val="Heading2"/>
        <w:spacing w:before="0"/>
        <w:ind w:left="708"/>
        <w:jc w:val="both"/>
        <w:rPr>
          <w:i/>
          <w:color w:val="auto"/>
          <w:sz w:val="20"/>
          <w:szCs w:val="20"/>
          <w:lang w:val="es-ES"/>
        </w:rPr>
      </w:pPr>
      <w:bookmarkStart w:id="34" w:name="_Toc496292370"/>
      <w:bookmarkStart w:id="35" w:name="_Toc497458283"/>
      <w:bookmarkStart w:id="36" w:name="_Toc497649702"/>
      <w:bookmarkStart w:id="37" w:name="_Toc497733336"/>
      <w:bookmarkStart w:id="38" w:name="_Toc373315245"/>
      <w:bookmarkStart w:id="39" w:name="_Toc503361008"/>
      <w:r w:rsidRPr="009F54A5">
        <w:rPr>
          <w:i/>
          <w:color w:val="auto"/>
          <w:sz w:val="20"/>
          <w:szCs w:val="20"/>
          <w:lang w:val="es-ES"/>
        </w:rPr>
        <w:t xml:space="preserve">Personas, grupos y colectivos en situación de </w:t>
      </w:r>
      <w:r w:rsidR="002E6E18" w:rsidRPr="009F54A5">
        <w:rPr>
          <w:i/>
          <w:color w:val="auto"/>
          <w:sz w:val="20"/>
          <w:szCs w:val="20"/>
          <w:lang w:val="es-ES"/>
        </w:rPr>
        <w:t>mayor riesgo</w:t>
      </w:r>
      <w:r w:rsidR="00986287" w:rsidRPr="009F54A5">
        <w:rPr>
          <w:i/>
          <w:color w:val="auto"/>
          <w:sz w:val="20"/>
          <w:szCs w:val="20"/>
          <w:lang w:val="es-ES"/>
        </w:rPr>
        <w:t>,</w:t>
      </w:r>
      <w:r w:rsidR="002E6E18" w:rsidRPr="009F54A5">
        <w:rPr>
          <w:i/>
          <w:color w:val="auto"/>
          <w:sz w:val="20"/>
          <w:szCs w:val="20"/>
          <w:lang w:val="es-ES"/>
        </w:rPr>
        <w:t xml:space="preserve"> </w:t>
      </w:r>
      <w:bookmarkEnd w:id="34"/>
      <w:bookmarkEnd w:id="35"/>
      <w:r w:rsidR="00986287" w:rsidRPr="009F54A5">
        <w:rPr>
          <w:i/>
          <w:color w:val="auto"/>
          <w:sz w:val="20"/>
          <w:szCs w:val="20"/>
          <w:lang w:val="es-ES"/>
        </w:rPr>
        <w:t>y excluidas históricamente</w:t>
      </w:r>
      <w:bookmarkEnd w:id="36"/>
      <w:bookmarkEnd w:id="37"/>
      <w:bookmarkEnd w:id="38"/>
      <w:bookmarkEnd w:id="39"/>
    </w:p>
    <w:p w14:paraId="6EE59778" w14:textId="77777777" w:rsidR="008F2E49" w:rsidRPr="009F54A5" w:rsidRDefault="008F2E49" w:rsidP="008F2E4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PE"/>
        </w:rPr>
      </w:pPr>
    </w:p>
    <w:p w14:paraId="78F0C15D" w14:textId="77777777" w:rsidR="008F2E49" w:rsidRPr="009F54A5" w:rsidRDefault="00DE604A"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rPr>
        <w:t xml:space="preserve">Teniendo en cuenta la </w:t>
      </w:r>
      <w:r w:rsidR="00DD2590" w:rsidRPr="009F54A5">
        <w:rPr>
          <w:rFonts w:asciiTheme="majorHAnsi" w:hAnsiTheme="majorHAnsi"/>
          <w:color w:val="auto"/>
          <w:sz w:val="20"/>
          <w:szCs w:val="20"/>
        </w:rPr>
        <w:t>grave crisis económica y social</w:t>
      </w:r>
      <w:r w:rsidRPr="009F54A5">
        <w:rPr>
          <w:rFonts w:asciiTheme="majorHAnsi" w:hAnsiTheme="majorHAnsi"/>
          <w:color w:val="auto"/>
          <w:sz w:val="20"/>
          <w:szCs w:val="20"/>
        </w:rPr>
        <w:t xml:space="preserve"> que atraviesa el país, la Comisión analiza su especial impacto en los </w:t>
      </w:r>
      <w:r w:rsidR="008F2E49" w:rsidRPr="009F54A5">
        <w:rPr>
          <w:rFonts w:asciiTheme="majorHAnsi" w:hAnsiTheme="majorHAnsi"/>
          <w:color w:val="auto"/>
          <w:sz w:val="20"/>
          <w:szCs w:val="20"/>
        </w:rPr>
        <w:t xml:space="preserve">derechos humanos de </w:t>
      </w:r>
      <w:r w:rsidR="008F2E49" w:rsidRPr="009F54A5">
        <w:rPr>
          <w:rFonts w:asciiTheme="majorHAnsi" w:hAnsiTheme="majorHAnsi"/>
          <w:color w:val="auto"/>
          <w:sz w:val="20"/>
          <w:szCs w:val="20"/>
          <w:lang w:val="es-PE"/>
        </w:rPr>
        <w:t xml:space="preserve">personas, grupos y colectivos en situación de </w:t>
      </w:r>
      <w:r w:rsidR="002E6E18" w:rsidRPr="009F54A5">
        <w:rPr>
          <w:rFonts w:asciiTheme="majorHAnsi" w:hAnsiTheme="majorHAnsi"/>
          <w:color w:val="auto"/>
          <w:sz w:val="20"/>
          <w:szCs w:val="20"/>
          <w:lang w:val="es-PE"/>
        </w:rPr>
        <w:t>mayor riesgo</w:t>
      </w:r>
      <w:r w:rsidR="000B7064" w:rsidRPr="009F54A5">
        <w:rPr>
          <w:rFonts w:asciiTheme="majorHAnsi" w:hAnsiTheme="majorHAnsi"/>
          <w:color w:val="auto"/>
          <w:sz w:val="20"/>
          <w:szCs w:val="20"/>
          <w:lang w:val="es-PE"/>
        </w:rPr>
        <w:t>,</w:t>
      </w:r>
      <w:r w:rsidR="002E6E18" w:rsidRPr="009F54A5">
        <w:rPr>
          <w:rFonts w:asciiTheme="majorHAnsi" w:hAnsiTheme="majorHAnsi"/>
          <w:color w:val="auto"/>
          <w:sz w:val="20"/>
          <w:szCs w:val="20"/>
          <w:lang w:val="es-PE"/>
        </w:rPr>
        <w:t xml:space="preserve"> y</w:t>
      </w:r>
      <w:r w:rsidR="000B7064" w:rsidRPr="009F54A5">
        <w:rPr>
          <w:rFonts w:asciiTheme="majorHAnsi" w:hAnsiTheme="majorHAnsi"/>
          <w:color w:val="auto"/>
          <w:sz w:val="20"/>
          <w:szCs w:val="20"/>
          <w:lang w:val="es-PE"/>
        </w:rPr>
        <w:t xml:space="preserve"> discriminación y</w:t>
      </w:r>
      <w:r w:rsidR="002E6E18" w:rsidRPr="009F54A5">
        <w:rPr>
          <w:rFonts w:asciiTheme="majorHAnsi" w:hAnsiTheme="majorHAnsi"/>
          <w:color w:val="auto"/>
          <w:sz w:val="20"/>
          <w:szCs w:val="20"/>
          <w:lang w:val="es-PE"/>
        </w:rPr>
        <w:t xml:space="preserve"> </w:t>
      </w:r>
      <w:r w:rsidR="000B7064" w:rsidRPr="009F54A5">
        <w:rPr>
          <w:rFonts w:asciiTheme="majorHAnsi" w:hAnsiTheme="majorHAnsi"/>
          <w:color w:val="auto"/>
          <w:sz w:val="20"/>
          <w:szCs w:val="20"/>
          <w:lang w:val="es-PE"/>
        </w:rPr>
        <w:t>exclusión históricas</w:t>
      </w:r>
      <w:r w:rsidR="008F2E49" w:rsidRPr="009F54A5">
        <w:rPr>
          <w:rFonts w:asciiTheme="majorHAnsi" w:hAnsiTheme="majorHAnsi"/>
          <w:color w:val="auto"/>
          <w:sz w:val="20"/>
          <w:szCs w:val="20"/>
          <w:lang w:val="es-PE"/>
        </w:rPr>
        <w:t xml:space="preserve"> de forma transversal a lo largo del informe. Con relación a las mujeres, la CIDH expresa su preocupación por los </w:t>
      </w:r>
      <w:r w:rsidR="008F2E49" w:rsidRPr="009F54A5">
        <w:rPr>
          <w:rFonts w:asciiTheme="majorHAnsi" w:hAnsiTheme="majorHAnsi"/>
          <w:color w:val="auto"/>
          <w:sz w:val="20"/>
          <w:szCs w:val="20"/>
        </w:rPr>
        <w:t>altos</w:t>
      </w:r>
      <w:r w:rsidR="008F2E49" w:rsidRPr="009F54A5">
        <w:rPr>
          <w:rFonts w:asciiTheme="majorHAnsi" w:hAnsiTheme="majorHAnsi"/>
          <w:color w:val="auto"/>
          <w:sz w:val="20"/>
          <w:szCs w:val="20"/>
          <w:lang w:val="es-PE"/>
        </w:rPr>
        <w:t xml:space="preserve"> </w:t>
      </w:r>
      <w:r w:rsidR="000B7064" w:rsidRPr="009F54A5">
        <w:rPr>
          <w:rFonts w:asciiTheme="majorHAnsi" w:hAnsiTheme="majorHAnsi"/>
          <w:color w:val="auto"/>
          <w:sz w:val="20"/>
          <w:szCs w:val="20"/>
          <w:lang w:val="es-PE"/>
        </w:rPr>
        <w:t xml:space="preserve">índices de violencia de género </w:t>
      </w:r>
      <w:r w:rsidR="008F2E49" w:rsidRPr="009F54A5">
        <w:rPr>
          <w:rFonts w:asciiTheme="majorHAnsi" w:hAnsiTheme="majorHAnsi"/>
          <w:color w:val="auto"/>
          <w:sz w:val="20"/>
          <w:szCs w:val="20"/>
          <w:lang w:val="es-PE"/>
        </w:rPr>
        <w:t xml:space="preserve">y </w:t>
      </w:r>
      <w:r w:rsidR="00CC0D33" w:rsidRPr="009F54A5">
        <w:rPr>
          <w:rFonts w:asciiTheme="majorHAnsi" w:hAnsiTheme="majorHAnsi"/>
          <w:color w:val="auto"/>
          <w:sz w:val="20"/>
          <w:szCs w:val="20"/>
          <w:lang w:val="es-PE"/>
        </w:rPr>
        <w:t>trata de personas (</w:t>
      </w:r>
      <w:hyperlink w:anchor="_Situación_general" w:history="1">
        <w:r w:rsidR="00CC0D33" w:rsidRPr="009F54A5">
          <w:rPr>
            <w:rStyle w:val="Hyperlink"/>
            <w:rFonts w:asciiTheme="majorHAnsi" w:hAnsiTheme="majorHAnsi"/>
            <w:sz w:val="20"/>
            <w:szCs w:val="20"/>
            <w:lang w:val="es-PE"/>
          </w:rPr>
          <w:t>C</w:t>
        </w:r>
        <w:r w:rsidR="00BD6172" w:rsidRPr="009F54A5">
          <w:rPr>
            <w:rStyle w:val="Hyperlink"/>
            <w:rFonts w:asciiTheme="majorHAnsi" w:hAnsiTheme="majorHAnsi"/>
            <w:sz w:val="20"/>
            <w:szCs w:val="20"/>
            <w:lang w:val="es-PE"/>
          </w:rPr>
          <w:t>apítulo IV</w:t>
        </w:r>
        <w:r w:rsidR="008F2E49" w:rsidRPr="009F54A5">
          <w:rPr>
            <w:rStyle w:val="Hyperlink"/>
            <w:rFonts w:asciiTheme="majorHAnsi" w:hAnsiTheme="majorHAnsi"/>
            <w:sz w:val="20"/>
            <w:szCs w:val="20"/>
            <w:lang w:val="es-PE"/>
          </w:rPr>
          <w:t>.A</w:t>
        </w:r>
      </w:hyperlink>
      <w:r w:rsidR="008F2E49" w:rsidRPr="009F54A5">
        <w:rPr>
          <w:rFonts w:asciiTheme="majorHAnsi" w:hAnsiTheme="majorHAnsi"/>
          <w:color w:val="auto"/>
          <w:sz w:val="20"/>
          <w:szCs w:val="20"/>
          <w:lang w:val="es-PE"/>
        </w:rPr>
        <w:t>); el impacto específico que han tenido en ellas los planes estatales de seguridad</w:t>
      </w:r>
      <w:r w:rsidR="00236386" w:rsidRPr="009F54A5">
        <w:rPr>
          <w:rFonts w:asciiTheme="majorHAnsi" w:hAnsiTheme="majorHAnsi"/>
          <w:color w:val="auto"/>
          <w:sz w:val="20"/>
          <w:szCs w:val="20"/>
          <w:lang w:val="es-PE"/>
        </w:rPr>
        <w:t xml:space="preserve"> ciudadana</w:t>
      </w:r>
      <w:r w:rsidR="008F2E49" w:rsidRPr="009F54A5">
        <w:rPr>
          <w:rFonts w:asciiTheme="majorHAnsi" w:hAnsiTheme="majorHAnsi"/>
          <w:color w:val="auto"/>
          <w:sz w:val="20"/>
          <w:szCs w:val="20"/>
          <w:lang w:val="es-PE"/>
        </w:rPr>
        <w:t xml:space="preserve"> (</w:t>
      </w:r>
      <w:hyperlink w:anchor="_Respuesta_estatal_ante" w:history="1">
        <w:r w:rsidR="00CC0D33" w:rsidRPr="009F54A5">
          <w:rPr>
            <w:rStyle w:val="Hyperlink"/>
            <w:rFonts w:asciiTheme="majorHAnsi" w:hAnsiTheme="majorHAnsi"/>
            <w:sz w:val="20"/>
            <w:szCs w:val="20"/>
            <w:lang w:val="es-PE"/>
          </w:rPr>
          <w:t xml:space="preserve">Capítulo </w:t>
        </w:r>
        <w:r w:rsidR="00B34D9C" w:rsidRPr="009F54A5">
          <w:rPr>
            <w:rStyle w:val="Hyperlink"/>
            <w:rFonts w:asciiTheme="majorHAnsi" w:hAnsiTheme="majorHAnsi"/>
            <w:sz w:val="20"/>
            <w:szCs w:val="20"/>
            <w:lang w:val="es-PE"/>
          </w:rPr>
          <w:t>IV</w:t>
        </w:r>
        <w:r w:rsidR="008F2E49" w:rsidRPr="009F54A5">
          <w:rPr>
            <w:rStyle w:val="Hyperlink"/>
            <w:rFonts w:asciiTheme="majorHAnsi" w:hAnsiTheme="majorHAnsi"/>
            <w:sz w:val="20"/>
            <w:szCs w:val="20"/>
            <w:lang w:val="es-PE"/>
          </w:rPr>
          <w:t>.B.1</w:t>
        </w:r>
      </w:hyperlink>
      <w:r w:rsidR="008F2E49" w:rsidRPr="009F54A5">
        <w:rPr>
          <w:rFonts w:asciiTheme="majorHAnsi" w:hAnsiTheme="majorHAnsi"/>
          <w:color w:val="auto"/>
          <w:sz w:val="20"/>
          <w:szCs w:val="20"/>
          <w:lang w:val="es-PE"/>
        </w:rPr>
        <w:t>) y la represión de las protestas sociales (</w:t>
      </w:r>
      <w:hyperlink w:anchor="_Uso__excesivo" w:history="1">
        <w:r w:rsidR="00B34D9C" w:rsidRPr="009F54A5">
          <w:rPr>
            <w:rStyle w:val="Hyperlink"/>
            <w:rFonts w:asciiTheme="majorHAnsi" w:hAnsiTheme="majorHAnsi"/>
            <w:sz w:val="20"/>
            <w:szCs w:val="20"/>
            <w:lang w:val="es-PE"/>
          </w:rPr>
          <w:t>Capítulo III</w:t>
        </w:r>
        <w:r w:rsidR="00CC0D33" w:rsidRPr="009F54A5">
          <w:rPr>
            <w:rStyle w:val="Hyperlink"/>
            <w:rFonts w:asciiTheme="majorHAnsi" w:hAnsiTheme="majorHAnsi"/>
            <w:sz w:val="20"/>
            <w:szCs w:val="20"/>
            <w:lang w:val="es-PE"/>
          </w:rPr>
          <w:t>.A</w:t>
        </w:r>
        <w:r w:rsidR="008F2E49" w:rsidRPr="009F54A5">
          <w:rPr>
            <w:rStyle w:val="Hyperlink"/>
            <w:rFonts w:asciiTheme="majorHAnsi" w:hAnsiTheme="majorHAnsi"/>
            <w:sz w:val="20"/>
            <w:szCs w:val="20"/>
            <w:lang w:val="es-PE"/>
          </w:rPr>
          <w:t>.2</w:t>
        </w:r>
      </w:hyperlink>
      <w:r w:rsidR="008F2E49" w:rsidRPr="009F54A5">
        <w:rPr>
          <w:rFonts w:asciiTheme="majorHAnsi" w:hAnsiTheme="majorHAnsi"/>
          <w:color w:val="auto"/>
          <w:sz w:val="20"/>
          <w:szCs w:val="20"/>
          <w:lang w:val="es-PE"/>
        </w:rPr>
        <w:t xml:space="preserve"> y </w:t>
      </w:r>
      <w:hyperlink w:anchor="_Detenciones_arbitrarias,_actos" w:history="1">
        <w:r w:rsidR="008F2E49" w:rsidRPr="009F54A5">
          <w:rPr>
            <w:rStyle w:val="Hyperlink"/>
            <w:rFonts w:asciiTheme="majorHAnsi" w:hAnsiTheme="majorHAnsi"/>
            <w:sz w:val="20"/>
            <w:szCs w:val="20"/>
            <w:lang w:val="es-PE"/>
          </w:rPr>
          <w:t>4</w:t>
        </w:r>
      </w:hyperlink>
      <w:r w:rsidR="008F2E49" w:rsidRPr="009F54A5">
        <w:rPr>
          <w:rFonts w:asciiTheme="majorHAnsi" w:hAnsiTheme="majorHAnsi"/>
          <w:color w:val="auto"/>
          <w:sz w:val="20"/>
          <w:szCs w:val="20"/>
          <w:lang w:val="es-PE"/>
        </w:rPr>
        <w:t>); así como el impacto diferenciado y más grave de la crisis económica, en particular en lo relativo a la escasez de alimentos, y el acceso a tratamientos de salud y derechos sexuales y reproductivos (</w:t>
      </w:r>
      <w:hyperlink w:anchor="_Alimentación" w:history="1">
        <w:r w:rsidR="00CC0D33" w:rsidRPr="009F54A5">
          <w:rPr>
            <w:rStyle w:val="Hyperlink"/>
            <w:rFonts w:asciiTheme="majorHAnsi" w:hAnsiTheme="majorHAnsi"/>
            <w:sz w:val="20"/>
            <w:szCs w:val="20"/>
            <w:lang w:val="es-PE"/>
          </w:rPr>
          <w:t>C</w:t>
        </w:r>
        <w:r w:rsidR="008F2E49" w:rsidRPr="009F54A5">
          <w:rPr>
            <w:rStyle w:val="Hyperlink"/>
            <w:rFonts w:asciiTheme="majorHAnsi" w:hAnsiTheme="majorHAnsi"/>
            <w:sz w:val="20"/>
            <w:szCs w:val="20"/>
            <w:lang w:val="es-PE"/>
          </w:rPr>
          <w:t>apítulo V.B</w:t>
        </w:r>
      </w:hyperlink>
      <w:r w:rsidR="008F2E49" w:rsidRPr="009F54A5">
        <w:rPr>
          <w:rFonts w:asciiTheme="majorHAnsi" w:hAnsiTheme="majorHAnsi"/>
          <w:color w:val="auto"/>
          <w:sz w:val="20"/>
          <w:szCs w:val="20"/>
          <w:lang w:val="es-PE"/>
        </w:rPr>
        <w:t xml:space="preserve"> y </w:t>
      </w:r>
      <w:hyperlink w:anchor="_Salud" w:history="1">
        <w:r w:rsidR="008F2E49" w:rsidRPr="009F54A5">
          <w:rPr>
            <w:rStyle w:val="Hyperlink"/>
            <w:rFonts w:asciiTheme="majorHAnsi" w:hAnsiTheme="majorHAnsi"/>
            <w:sz w:val="20"/>
            <w:szCs w:val="20"/>
            <w:lang w:val="es-PE"/>
          </w:rPr>
          <w:t>C</w:t>
        </w:r>
      </w:hyperlink>
      <w:r w:rsidR="008F2E49" w:rsidRPr="009F54A5">
        <w:rPr>
          <w:rFonts w:asciiTheme="majorHAnsi" w:hAnsiTheme="majorHAnsi"/>
          <w:color w:val="auto"/>
          <w:sz w:val="20"/>
          <w:szCs w:val="20"/>
          <w:lang w:val="es-PE"/>
        </w:rPr>
        <w:t>).</w:t>
      </w:r>
    </w:p>
    <w:p w14:paraId="473706D8" w14:textId="77777777" w:rsidR="008F2E49" w:rsidRPr="009F54A5" w:rsidRDefault="008F2E49" w:rsidP="008F2E49">
      <w:pPr>
        <w:pStyle w:val="ListParagraph"/>
        <w:spacing w:after="0" w:line="240" w:lineRule="auto"/>
        <w:jc w:val="both"/>
        <w:rPr>
          <w:rFonts w:asciiTheme="majorHAnsi" w:hAnsiTheme="majorHAnsi"/>
          <w:color w:val="auto"/>
          <w:sz w:val="20"/>
          <w:szCs w:val="20"/>
        </w:rPr>
      </w:pPr>
    </w:p>
    <w:p w14:paraId="250E6243" w14:textId="77777777" w:rsidR="008F2E49"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rPr>
        <w:t xml:space="preserve">Respecto a los </w:t>
      </w:r>
      <w:r w:rsidR="00F41D6E" w:rsidRPr="009F54A5">
        <w:rPr>
          <w:rFonts w:asciiTheme="majorHAnsi" w:hAnsiTheme="majorHAnsi"/>
          <w:color w:val="auto"/>
          <w:sz w:val="20"/>
          <w:szCs w:val="20"/>
        </w:rPr>
        <w:t>NNA</w:t>
      </w:r>
      <w:r w:rsidRPr="009F54A5">
        <w:rPr>
          <w:rFonts w:asciiTheme="majorHAnsi" w:hAnsiTheme="majorHAnsi"/>
          <w:color w:val="auto"/>
          <w:sz w:val="20"/>
          <w:szCs w:val="20"/>
        </w:rPr>
        <w:t>, la CIDH aborda el particular impacto de la violencia e inseguridad ciudadana (</w:t>
      </w:r>
      <w:hyperlink w:anchor="_Situación_general" w:history="1">
        <w:r w:rsidR="00CC0D33" w:rsidRPr="009F54A5">
          <w:rPr>
            <w:rStyle w:val="Hyperlink"/>
            <w:rFonts w:asciiTheme="majorHAnsi" w:hAnsiTheme="majorHAnsi"/>
            <w:sz w:val="20"/>
            <w:szCs w:val="20"/>
            <w:lang w:val="es-PE"/>
          </w:rPr>
          <w:t>C</w:t>
        </w:r>
        <w:r w:rsidR="00B34D9C" w:rsidRPr="009F54A5">
          <w:rPr>
            <w:rStyle w:val="Hyperlink"/>
            <w:rFonts w:asciiTheme="majorHAnsi" w:hAnsiTheme="majorHAnsi"/>
            <w:sz w:val="20"/>
            <w:szCs w:val="20"/>
            <w:lang w:val="es-PE"/>
          </w:rPr>
          <w:t>apítulo IV</w:t>
        </w:r>
        <w:r w:rsidRPr="009F54A5">
          <w:rPr>
            <w:rStyle w:val="Hyperlink"/>
            <w:rFonts w:asciiTheme="majorHAnsi" w:hAnsiTheme="majorHAnsi"/>
            <w:sz w:val="20"/>
            <w:szCs w:val="20"/>
            <w:lang w:val="es-PE"/>
          </w:rPr>
          <w:t>.A</w:t>
        </w:r>
      </w:hyperlink>
      <w:r w:rsidRPr="009F54A5">
        <w:rPr>
          <w:rFonts w:asciiTheme="majorHAnsi" w:hAnsiTheme="majorHAnsi"/>
          <w:color w:val="auto"/>
          <w:sz w:val="20"/>
          <w:szCs w:val="20"/>
        </w:rPr>
        <w:t>), así como las afectaciones al derecho a la vida e integridad producto de planes de seguridad (</w:t>
      </w:r>
      <w:hyperlink w:anchor="_Respuesta_estatal_ante" w:history="1">
        <w:r w:rsidR="00CC0D33" w:rsidRPr="009F54A5">
          <w:rPr>
            <w:rStyle w:val="Hyperlink"/>
            <w:rFonts w:asciiTheme="majorHAnsi" w:hAnsiTheme="majorHAnsi"/>
            <w:sz w:val="20"/>
            <w:szCs w:val="20"/>
          </w:rPr>
          <w:t>C</w:t>
        </w:r>
        <w:r w:rsidRPr="009F54A5">
          <w:rPr>
            <w:rStyle w:val="Hyperlink"/>
            <w:rFonts w:asciiTheme="majorHAnsi" w:hAnsiTheme="majorHAnsi"/>
            <w:sz w:val="20"/>
            <w:szCs w:val="20"/>
            <w:lang w:val="es-PE"/>
          </w:rPr>
          <w:t>apítulo I</w:t>
        </w:r>
        <w:r w:rsidR="00B34D9C" w:rsidRPr="009F54A5">
          <w:rPr>
            <w:rStyle w:val="Hyperlink"/>
            <w:rFonts w:asciiTheme="majorHAnsi" w:hAnsiTheme="majorHAnsi"/>
            <w:sz w:val="20"/>
            <w:szCs w:val="20"/>
            <w:lang w:val="es-PE"/>
          </w:rPr>
          <w:t>V</w:t>
        </w:r>
        <w:r w:rsidRPr="009F54A5">
          <w:rPr>
            <w:rStyle w:val="Hyperlink"/>
            <w:rFonts w:asciiTheme="majorHAnsi" w:hAnsiTheme="majorHAnsi"/>
            <w:sz w:val="20"/>
            <w:szCs w:val="20"/>
            <w:lang w:val="es-PE"/>
          </w:rPr>
          <w:t>.B.</w:t>
        </w:r>
      </w:hyperlink>
      <w:r w:rsidRPr="009F54A5">
        <w:rPr>
          <w:rFonts w:asciiTheme="majorHAnsi" w:hAnsiTheme="majorHAnsi"/>
          <w:color w:val="auto"/>
          <w:sz w:val="20"/>
          <w:szCs w:val="20"/>
        </w:rPr>
        <w:t>) y la represión de protestas sociales (</w:t>
      </w:r>
      <w:hyperlink w:anchor="_Uso__excesivo" w:history="1">
        <w:r w:rsidR="00CC0D33" w:rsidRPr="009F54A5">
          <w:rPr>
            <w:rStyle w:val="Hyperlink"/>
            <w:rFonts w:asciiTheme="majorHAnsi" w:hAnsiTheme="majorHAnsi"/>
            <w:sz w:val="20"/>
            <w:szCs w:val="20"/>
          </w:rPr>
          <w:t>C</w:t>
        </w:r>
        <w:r w:rsidR="00B34D9C" w:rsidRPr="009F54A5">
          <w:rPr>
            <w:rStyle w:val="Hyperlink"/>
            <w:rFonts w:asciiTheme="majorHAnsi" w:hAnsiTheme="majorHAnsi"/>
            <w:sz w:val="20"/>
            <w:szCs w:val="20"/>
            <w:lang w:val="es-PE"/>
          </w:rPr>
          <w:t>apítulo III</w:t>
        </w:r>
        <w:r w:rsidR="00CC0D33" w:rsidRPr="009F54A5">
          <w:rPr>
            <w:rStyle w:val="Hyperlink"/>
            <w:rFonts w:asciiTheme="majorHAnsi" w:hAnsiTheme="majorHAnsi"/>
            <w:sz w:val="20"/>
            <w:szCs w:val="20"/>
            <w:lang w:val="es-PE"/>
          </w:rPr>
          <w:t>.A</w:t>
        </w:r>
        <w:r w:rsidRPr="009F54A5">
          <w:rPr>
            <w:rStyle w:val="Hyperlink"/>
            <w:rFonts w:asciiTheme="majorHAnsi" w:hAnsiTheme="majorHAnsi"/>
            <w:sz w:val="20"/>
            <w:szCs w:val="20"/>
            <w:lang w:val="es-PE"/>
          </w:rPr>
          <w:t>.2</w:t>
        </w:r>
      </w:hyperlink>
      <w:r w:rsidRPr="009F54A5">
        <w:rPr>
          <w:rFonts w:asciiTheme="majorHAnsi" w:hAnsiTheme="majorHAnsi"/>
          <w:color w:val="auto"/>
          <w:sz w:val="20"/>
          <w:szCs w:val="20"/>
        </w:rPr>
        <w:t xml:space="preserve">). Asimismo, expresa su preocupación por la regulación sobre </w:t>
      </w:r>
      <w:r w:rsidR="0095148E" w:rsidRPr="009F54A5">
        <w:rPr>
          <w:rFonts w:asciiTheme="majorHAnsi" w:hAnsiTheme="majorHAnsi"/>
          <w:color w:val="auto"/>
          <w:sz w:val="20"/>
          <w:szCs w:val="20"/>
        </w:rPr>
        <w:t>NNA</w:t>
      </w:r>
      <w:r w:rsidRPr="009F54A5">
        <w:rPr>
          <w:rFonts w:asciiTheme="majorHAnsi" w:hAnsiTheme="majorHAnsi"/>
          <w:color w:val="auto"/>
          <w:sz w:val="20"/>
          <w:szCs w:val="20"/>
        </w:rPr>
        <w:t xml:space="preserve"> en conflicto con la ley penal (</w:t>
      </w:r>
      <w:hyperlink w:anchor="_Situación__de" w:history="1">
        <w:r w:rsidR="00CC0D33" w:rsidRPr="009F54A5">
          <w:rPr>
            <w:rStyle w:val="Hyperlink"/>
            <w:rFonts w:asciiTheme="majorHAnsi" w:hAnsiTheme="majorHAnsi"/>
            <w:sz w:val="20"/>
            <w:szCs w:val="20"/>
            <w:lang w:val="es-PE"/>
          </w:rPr>
          <w:t>C</w:t>
        </w:r>
        <w:r w:rsidRPr="009F54A5">
          <w:rPr>
            <w:rStyle w:val="Hyperlink"/>
            <w:rFonts w:asciiTheme="majorHAnsi" w:hAnsiTheme="majorHAnsi"/>
            <w:sz w:val="20"/>
            <w:szCs w:val="20"/>
            <w:lang w:val="es-PE"/>
          </w:rPr>
          <w:t xml:space="preserve">apítulo </w:t>
        </w:r>
        <w:r w:rsidR="00B34D9C" w:rsidRPr="009F54A5">
          <w:rPr>
            <w:rStyle w:val="Hyperlink"/>
            <w:rFonts w:asciiTheme="majorHAnsi" w:hAnsiTheme="majorHAnsi"/>
            <w:sz w:val="20"/>
            <w:szCs w:val="20"/>
          </w:rPr>
          <w:t>IV</w:t>
        </w:r>
        <w:r w:rsidR="00CC0D33" w:rsidRPr="009F54A5">
          <w:rPr>
            <w:rStyle w:val="Hyperlink"/>
            <w:rFonts w:asciiTheme="majorHAnsi" w:hAnsiTheme="majorHAnsi"/>
            <w:sz w:val="20"/>
            <w:szCs w:val="20"/>
          </w:rPr>
          <w:t>.C</w:t>
        </w:r>
      </w:hyperlink>
      <w:r w:rsidRPr="009F54A5">
        <w:rPr>
          <w:rFonts w:asciiTheme="majorHAnsi" w:hAnsiTheme="majorHAnsi"/>
          <w:color w:val="auto"/>
          <w:sz w:val="20"/>
          <w:szCs w:val="20"/>
        </w:rPr>
        <w:t>) y el impacto del deterioro de la situación económica en el goce de los derechos a la alimentación, salud y educación (</w:t>
      </w:r>
      <w:hyperlink w:anchor="_Alimentación" w:history="1">
        <w:r w:rsidR="00CC0D33" w:rsidRPr="009F54A5">
          <w:rPr>
            <w:rStyle w:val="Hyperlink"/>
            <w:rFonts w:asciiTheme="majorHAnsi" w:hAnsiTheme="majorHAnsi"/>
            <w:sz w:val="20"/>
            <w:szCs w:val="20"/>
            <w:lang w:val="es-PE"/>
          </w:rPr>
          <w:t>C</w:t>
        </w:r>
        <w:r w:rsidRPr="009F54A5">
          <w:rPr>
            <w:rStyle w:val="Hyperlink"/>
            <w:rFonts w:asciiTheme="majorHAnsi" w:hAnsiTheme="majorHAnsi"/>
            <w:sz w:val="20"/>
            <w:szCs w:val="20"/>
            <w:lang w:val="es-PE"/>
          </w:rPr>
          <w:t>apítulo V.B</w:t>
        </w:r>
      </w:hyperlink>
      <w:r w:rsidRPr="009F54A5">
        <w:rPr>
          <w:rFonts w:asciiTheme="majorHAnsi" w:hAnsiTheme="majorHAnsi"/>
          <w:color w:val="auto"/>
          <w:sz w:val="20"/>
          <w:szCs w:val="20"/>
          <w:lang w:val="es-PE"/>
        </w:rPr>
        <w:t xml:space="preserve">, </w:t>
      </w:r>
      <w:hyperlink w:anchor="_Salud" w:history="1">
        <w:r w:rsidRPr="009F54A5">
          <w:rPr>
            <w:rStyle w:val="Hyperlink"/>
            <w:rFonts w:asciiTheme="majorHAnsi" w:hAnsiTheme="majorHAnsi"/>
            <w:sz w:val="20"/>
            <w:szCs w:val="20"/>
            <w:lang w:val="es-PE"/>
          </w:rPr>
          <w:t>C</w:t>
        </w:r>
      </w:hyperlink>
      <w:r w:rsidRPr="009F54A5">
        <w:rPr>
          <w:rFonts w:asciiTheme="majorHAnsi" w:hAnsiTheme="majorHAnsi"/>
          <w:color w:val="auto"/>
          <w:sz w:val="20"/>
          <w:szCs w:val="20"/>
          <w:lang w:val="es-PE"/>
        </w:rPr>
        <w:t xml:space="preserve"> y </w:t>
      </w:r>
      <w:hyperlink w:anchor="_Educación" w:history="1">
        <w:r w:rsidRPr="009F54A5">
          <w:rPr>
            <w:rStyle w:val="Hyperlink"/>
            <w:rFonts w:asciiTheme="majorHAnsi" w:hAnsiTheme="majorHAnsi"/>
            <w:sz w:val="20"/>
            <w:szCs w:val="20"/>
            <w:lang w:val="es-PE"/>
          </w:rPr>
          <w:t>D</w:t>
        </w:r>
      </w:hyperlink>
      <w:r w:rsidRPr="009F54A5">
        <w:rPr>
          <w:rFonts w:asciiTheme="majorHAnsi" w:hAnsiTheme="majorHAnsi"/>
          <w:color w:val="auto"/>
          <w:sz w:val="20"/>
          <w:szCs w:val="20"/>
        </w:rPr>
        <w:t>).</w:t>
      </w:r>
      <w:r w:rsidR="00584A63" w:rsidRPr="009F54A5">
        <w:rPr>
          <w:rFonts w:asciiTheme="majorHAnsi" w:hAnsiTheme="majorHAnsi"/>
          <w:color w:val="auto"/>
          <w:sz w:val="20"/>
          <w:szCs w:val="20"/>
        </w:rPr>
        <w:t xml:space="preserve"> La CIDH se pronuncia también sobre el impacto en personas adultas mayores </w:t>
      </w:r>
      <w:r w:rsidR="00CC0D33" w:rsidRPr="009F54A5">
        <w:rPr>
          <w:rFonts w:asciiTheme="majorHAnsi" w:hAnsiTheme="majorHAnsi"/>
          <w:color w:val="auto"/>
          <w:sz w:val="20"/>
          <w:szCs w:val="20"/>
        </w:rPr>
        <w:t>de la inseguridad ciudadana (</w:t>
      </w:r>
      <w:hyperlink w:anchor="_Situación_general" w:history="1">
        <w:r w:rsidR="00B34D9C" w:rsidRPr="009F54A5">
          <w:rPr>
            <w:rStyle w:val="Hyperlink"/>
            <w:rFonts w:asciiTheme="majorHAnsi" w:hAnsiTheme="majorHAnsi"/>
            <w:sz w:val="20"/>
            <w:szCs w:val="20"/>
            <w:lang w:val="es-PE"/>
          </w:rPr>
          <w:t>Capítulo IV</w:t>
        </w:r>
        <w:r w:rsidR="00CC0D33" w:rsidRPr="009F54A5">
          <w:rPr>
            <w:rStyle w:val="Hyperlink"/>
            <w:rFonts w:asciiTheme="majorHAnsi" w:hAnsiTheme="majorHAnsi"/>
            <w:sz w:val="20"/>
            <w:szCs w:val="20"/>
            <w:lang w:val="es-PE"/>
          </w:rPr>
          <w:t>.A</w:t>
        </w:r>
      </w:hyperlink>
      <w:r w:rsidR="00CC0D33" w:rsidRPr="009F54A5">
        <w:rPr>
          <w:rFonts w:asciiTheme="majorHAnsi" w:hAnsiTheme="majorHAnsi"/>
          <w:color w:val="auto"/>
          <w:sz w:val="20"/>
          <w:szCs w:val="20"/>
        </w:rPr>
        <w:t xml:space="preserve">), y </w:t>
      </w:r>
      <w:r w:rsidR="00584A63" w:rsidRPr="009F54A5">
        <w:rPr>
          <w:rFonts w:asciiTheme="majorHAnsi" w:hAnsiTheme="majorHAnsi"/>
          <w:color w:val="auto"/>
          <w:sz w:val="20"/>
          <w:szCs w:val="20"/>
        </w:rPr>
        <w:t>del uso de la fuerza en el contexto de la represión de las protestas (</w:t>
      </w:r>
      <w:hyperlink w:anchor="_Uso__excesivo" w:history="1">
        <w:r w:rsidR="00B34D9C" w:rsidRPr="009F54A5">
          <w:rPr>
            <w:rStyle w:val="Hyperlink"/>
            <w:rFonts w:asciiTheme="majorHAnsi" w:hAnsiTheme="majorHAnsi"/>
            <w:sz w:val="20"/>
            <w:szCs w:val="20"/>
            <w:lang w:val="es-PE"/>
          </w:rPr>
          <w:t>Capítulo III</w:t>
        </w:r>
        <w:r w:rsidR="00CC0D33" w:rsidRPr="009F54A5">
          <w:rPr>
            <w:rStyle w:val="Hyperlink"/>
            <w:rFonts w:asciiTheme="majorHAnsi" w:hAnsiTheme="majorHAnsi"/>
            <w:sz w:val="20"/>
            <w:szCs w:val="20"/>
            <w:lang w:val="es-PE"/>
          </w:rPr>
          <w:t>.A</w:t>
        </w:r>
        <w:r w:rsidR="00584A63" w:rsidRPr="009F54A5">
          <w:rPr>
            <w:rStyle w:val="Hyperlink"/>
            <w:rFonts w:asciiTheme="majorHAnsi" w:hAnsiTheme="majorHAnsi"/>
            <w:sz w:val="20"/>
            <w:szCs w:val="20"/>
            <w:lang w:val="es-PE"/>
          </w:rPr>
          <w:t>.2</w:t>
        </w:r>
      </w:hyperlink>
      <w:r w:rsidR="00584A63" w:rsidRPr="009F54A5">
        <w:rPr>
          <w:rFonts w:asciiTheme="majorHAnsi" w:hAnsiTheme="majorHAnsi"/>
          <w:color w:val="auto"/>
          <w:sz w:val="20"/>
          <w:szCs w:val="20"/>
        </w:rPr>
        <w:t>), así como de la escasez de alimentos que se vive en el país (</w:t>
      </w:r>
      <w:hyperlink w:anchor="_Alimentación" w:history="1">
        <w:r w:rsidR="00CC0D33" w:rsidRPr="009F54A5">
          <w:rPr>
            <w:rStyle w:val="Hyperlink"/>
            <w:rFonts w:asciiTheme="majorHAnsi" w:hAnsiTheme="majorHAnsi"/>
            <w:sz w:val="20"/>
            <w:szCs w:val="20"/>
            <w:lang w:val="es-PE"/>
          </w:rPr>
          <w:t>C</w:t>
        </w:r>
        <w:r w:rsidR="00584A63" w:rsidRPr="009F54A5">
          <w:rPr>
            <w:rStyle w:val="Hyperlink"/>
            <w:rFonts w:asciiTheme="majorHAnsi" w:hAnsiTheme="majorHAnsi"/>
            <w:sz w:val="20"/>
            <w:szCs w:val="20"/>
            <w:lang w:val="es-PE"/>
          </w:rPr>
          <w:t>apítulo V.B</w:t>
        </w:r>
      </w:hyperlink>
      <w:r w:rsidR="00584A63" w:rsidRPr="009F54A5">
        <w:rPr>
          <w:rFonts w:asciiTheme="majorHAnsi" w:hAnsiTheme="majorHAnsi"/>
          <w:color w:val="auto"/>
          <w:sz w:val="20"/>
          <w:szCs w:val="20"/>
        </w:rPr>
        <w:t>).</w:t>
      </w:r>
      <w:r w:rsidR="00CC0D33" w:rsidRPr="009F54A5">
        <w:rPr>
          <w:rFonts w:asciiTheme="majorHAnsi" w:hAnsiTheme="majorHAnsi"/>
          <w:color w:val="auto"/>
          <w:sz w:val="20"/>
          <w:szCs w:val="20"/>
        </w:rPr>
        <w:t xml:space="preserve"> Igualmente, la Comisión considera el impacto de la crisis en pueblos indígenas, en particular en los índices de desnutrición y acceso a alimentos (</w:t>
      </w:r>
      <w:hyperlink w:anchor="_Alimentación" w:history="1">
        <w:r w:rsidR="00CC0D33" w:rsidRPr="009F54A5">
          <w:rPr>
            <w:rStyle w:val="Hyperlink"/>
            <w:rFonts w:asciiTheme="majorHAnsi" w:hAnsiTheme="majorHAnsi"/>
            <w:sz w:val="20"/>
            <w:szCs w:val="20"/>
          </w:rPr>
          <w:t>Capítulo V.B</w:t>
        </w:r>
      </w:hyperlink>
      <w:r w:rsidR="00CC0D33" w:rsidRPr="009F54A5">
        <w:rPr>
          <w:rFonts w:asciiTheme="majorHAnsi" w:hAnsiTheme="majorHAnsi"/>
          <w:color w:val="auto"/>
          <w:sz w:val="20"/>
          <w:szCs w:val="20"/>
        </w:rPr>
        <w:t>).</w:t>
      </w:r>
    </w:p>
    <w:p w14:paraId="33DC7D5B" w14:textId="77777777" w:rsidR="008F2E49" w:rsidRPr="009F54A5" w:rsidRDefault="008F2E49" w:rsidP="008F2E49">
      <w:pPr>
        <w:pStyle w:val="ListParagraph"/>
        <w:spacing w:after="0" w:line="240" w:lineRule="auto"/>
        <w:jc w:val="both"/>
        <w:rPr>
          <w:rFonts w:asciiTheme="majorHAnsi" w:hAnsiTheme="majorHAnsi"/>
          <w:color w:val="auto"/>
          <w:sz w:val="20"/>
          <w:szCs w:val="20"/>
        </w:rPr>
      </w:pPr>
    </w:p>
    <w:p w14:paraId="2CC1DDCF" w14:textId="77777777" w:rsidR="008F2E49"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rPr>
        <w:lastRenderedPageBreak/>
        <w:t>En relación a las personas privadas de libertad, la Comisión expresa su alarma por las denuncias de detenciones arbitrarias en el marco de las estrategias de seguridad ciudadana (</w:t>
      </w:r>
      <w:hyperlink w:anchor="_Preocupaciones_generales:_militariz" w:history="1">
        <w:r w:rsidR="00CC0D33" w:rsidRPr="009F54A5">
          <w:rPr>
            <w:rStyle w:val="Hyperlink"/>
            <w:rFonts w:asciiTheme="majorHAnsi" w:hAnsiTheme="majorHAnsi"/>
            <w:sz w:val="20"/>
            <w:szCs w:val="20"/>
            <w:lang w:val="es-PE"/>
          </w:rPr>
          <w:t>C</w:t>
        </w:r>
        <w:r w:rsidR="00B34D9C" w:rsidRPr="009F54A5">
          <w:rPr>
            <w:rStyle w:val="Hyperlink"/>
            <w:rFonts w:asciiTheme="majorHAnsi" w:hAnsiTheme="majorHAnsi"/>
            <w:sz w:val="20"/>
            <w:szCs w:val="20"/>
            <w:lang w:val="es-PE"/>
          </w:rPr>
          <w:t>apítulo IV</w:t>
        </w:r>
        <w:r w:rsidRPr="009F54A5">
          <w:rPr>
            <w:rStyle w:val="Hyperlink"/>
            <w:rFonts w:asciiTheme="majorHAnsi" w:hAnsiTheme="majorHAnsi"/>
            <w:sz w:val="20"/>
            <w:szCs w:val="20"/>
            <w:lang w:val="es-PE"/>
          </w:rPr>
          <w:t>.B.1</w:t>
        </w:r>
      </w:hyperlink>
      <w:r w:rsidRPr="009F54A5">
        <w:rPr>
          <w:rFonts w:asciiTheme="majorHAnsi" w:hAnsiTheme="majorHAnsi"/>
          <w:color w:val="auto"/>
          <w:sz w:val="20"/>
          <w:szCs w:val="20"/>
          <w:lang w:val="es-PE"/>
        </w:rPr>
        <w:t xml:space="preserve"> y </w:t>
      </w:r>
      <w:hyperlink w:anchor="_Operativos,_planes_y" w:history="1">
        <w:r w:rsidRPr="009F54A5">
          <w:rPr>
            <w:rStyle w:val="Hyperlink"/>
            <w:rFonts w:asciiTheme="majorHAnsi" w:hAnsiTheme="majorHAnsi"/>
            <w:sz w:val="20"/>
            <w:szCs w:val="20"/>
            <w:lang w:val="es-PE"/>
          </w:rPr>
          <w:t>2</w:t>
        </w:r>
      </w:hyperlink>
      <w:r w:rsidRPr="009F54A5">
        <w:rPr>
          <w:rFonts w:asciiTheme="majorHAnsi" w:hAnsiTheme="majorHAnsi"/>
          <w:color w:val="auto"/>
          <w:sz w:val="20"/>
          <w:szCs w:val="20"/>
        </w:rPr>
        <w:t>); las denuncias de detenciones arbitrarias de manifestantes y su posterior sometimiento a actos de tortura y tratos crueles, inhumanos y degradantes, incluyendo violación sexual (</w:t>
      </w:r>
      <w:hyperlink w:anchor="_Detenciones_arbitrarias,_actos" w:history="1">
        <w:r w:rsidR="00B34D9C" w:rsidRPr="009F54A5">
          <w:rPr>
            <w:rStyle w:val="Hyperlink"/>
            <w:rFonts w:asciiTheme="majorHAnsi" w:hAnsiTheme="majorHAnsi"/>
            <w:sz w:val="20"/>
            <w:szCs w:val="20"/>
            <w:lang w:val="es-PE"/>
          </w:rPr>
          <w:t>Capítulo III</w:t>
        </w:r>
        <w:r w:rsidR="00CC0D33" w:rsidRPr="009F54A5">
          <w:rPr>
            <w:rStyle w:val="Hyperlink"/>
            <w:rFonts w:asciiTheme="majorHAnsi" w:hAnsiTheme="majorHAnsi"/>
            <w:sz w:val="20"/>
            <w:szCs w:val="20"/>
            <w:lang w:val="es-PE"/>
          </w:rPr>
          <w:t>.A</w:t>
        </w:r>
        <w:r w:rsidRPr="009F54A5">
          <w:rPr>
            <w:rStyle w:val="Hyperlink"/>
            <w:rFonts w:asciiTheme="majorHAnsi" w:hAnsiTheme="majorHAnsi"/>
            <w:sz w:val="20"/>
            <w:szCs w:val="20"/>
            <w:lang w:val="es-PE"/>
          </w:rPr>
          <w:t>.4</w:t>
        </w:r>
      </w:hyperlink>
      <w:r w:rsidRPr="009F54A5">
        <w:rPr>
          <w:rFonts w:asciiTheme="majorHAnsi" w:hAnsiTheme="majorHAnsi"/>
          <w:color w:val="auto"/>
          <w:sz w:val="20"/>
          <w:szCs w:val="20"/>
        </w:rPr>
        <w:t>); y, en particular, sobre la situación de violencia en los centros de detención y el deterioro de las condiciones carcelarias, caracterizadas por el hacinamiento, escasez de alimentos y falta de atención médica (</w:t>
      </w:r>
      <w:hyperlink w:anchor="_Situación__de" w:history="1">
        <w:r w:rsidR="00CC0D33" w:rsidRPr="009F54A5">
          <w:rPr>
            <w:rStyle w:val="Hyperlink"/>
            <w:rFonts w:asciiTheme="majorHAnsi" w:hAnsiTheme="majorHAnsi"/>
            <w:sz w:val="20"/>
            <w:szCs w:val="20"/>
          </w:rPr>
          <w:t>C</w:t>
        </w:r>
        <w:r w:rsidR="00B34D9C" w:rsidRPr="009F54A5">
          <w:rPr>
            <w:rStyle w:val="Hyperlink"/>
            <w:rFonts w:asciiTheme="majorHAnsi" w:hAnsiTheme="majorHAnsi"/>
            <w:sz w:val="20"/>
            <w:szCs w:val="20"/>
            <w:lang w:val="es-PE"/>
          </w:rPr>
          <w:t>apítulo IV</w:t>
        </w:r>
        <w:r w:rsidRPr="009F54A5">
          <w:rPr>
            <w:rStyle w:val="Hyperlink"/>
            <w:rFonts w:asciiTheme="majorHAnsi" w:hAnsiTheme="majorHAnsi"/>
            <w:sz w:val="20"/>
            <w:szCs w:val="20"/>
            <w:lang w:val="es-PE"/>
          </w:rPr>
          <w:t>.C</w:t>
        </w:r>
      </w:hyperlink>
      <w:r w:rsidRPr="009F54A5">
        <w:rPr>
          <w:rFonts w:asciiTheme="majorHAnsi" w:hAnsiTheme="majorHAnsi"/>
          <w:color w:val="auto"/>
          <w:sz w:val="20"/>
          <w:szCs w:val="20"/>
          <w:lang w:val="es-PE"/>
        </w:rPr>
        <w:t xml:space="preserve">, </w:t>
      </w:r>
      <w:hyperlink w:anchor="_Alimentación" w:history="1">
        <w:r w:rsidRPr="009F54A5">
          <w:rPr>
            <w:rStyle w:val="Hyperlink"/>
            <w:rFonts w:asciiTheme="majorHAnsi" w:hAnsiTheme="majorHAnsi"/>
            <w:sz w:val="20"/>
            <w:szCs w:val="20"/>
            <w:lang w:val="es-PE"/>
          </w:rPr>
          <w:t>V.B</w:t>
        </w:r>
      </w:hyperlink>
      <w:r w:rsidRPr="009F54A5">
        <w:rPr>
          <w:rFonts w:asciiTheme="majorHAnsi" w:hAnsiTheme="majorHAnsi"/>
          <w:color w:val="auto"/>
          <w:sz w:val="20"/>
          <w:szCs w:val="20"/>
          <w:lang w:val="es-PE"/>
        </w:rPr>
        <w:t xml:space="preserve"> y </w:t>
      </w:r>
      <w:hyperlink w:anchor="_Salud" w:history="1">
        <w:r w:rsidRPr="009F54A5">
          <w:rPr>
            <w:rStyle w:val="Hyperlink"/>
            <w:rFonts w:asciiTheme="majorHAnsi" w:hAnsiTheme="majorHAnsi"/>
            <w:sz w:val="20"/>
            <w:szCs w:val="20"/>
            <w:lang w:val="es-PE"/>
          </w:rPr>
          <w:t>C</w:t>
        </w:r>
      </w:hyperlink>
      <w:r w:rsidRPr="009F54A5">
        <w:rPr>
          <w:rFonts w:asciiTheme="majorHAnsi" w:hAnsiTheme="majorHAnsi"/>
          <w:color w:val="auto"/>
          <w:sz w:val="20"/>
          <w:szCs w:val="20"/>
        </w:rPr>
        <w:t>).</w:t>
      </w:r>
    </w:p>
    <w:p w14:paraId="24670832" w14:textId="77777777" w:rsidR="008F2E49" w:rsidRPr="009F54A5" w:rsidRDefault="008F2E49" w:rsidP="008F2E49">
      <w:pPr>
        <w:pStyle w:val="ListParagraph"/>
        <w:spacing w:after="0" w:line="240" w:lineRule="auto"/>
        <w:jc w:val="both"/>
        <w:rPr>
          <w:rFonts w:asciiTheme="majorHAnsi" w:hAnsiTheme="majorHAnsi"/>
          <w:color w:val="auto"/>
          <w:sz w:val="20"/>
          <w:szCs w:val="20"/>
        </w:rPr>
      </w:pPr>
    </w:p>
    <w:p w14:paraId="1FB23045" w14:textId="77777777" w:rsidR="00584A63"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lang w:val="es-PE"/>
        </w:rPr>
        <w:t xml:space="preserve">En </w:t>
      </w:r>
      <w:r w:rsidRPr="009F54A5">
        <w:rPr>
          <w:rFonts w:asciiTheme="majorHAnsi" w:hAnsiTheme="majorHAnsi"/>
          <w:color w:val="auto"/>
          <w:sz w:val="20"/>
          <w:szCs w:val="20"/>
        </w:rPr>
        <w:t>cuanto</w:t>
      </w:r>
      <w:r w:rsidRPr="009F54A5">
        <w:rPr>
          <w:rFonts w:asciiTheme="majorHAnsi" w:hAnsiTheme="majorHAnsi"/>
          <w:color w:val="auto"/>
          <w:sz w:val="20"/>
          <w:szCs w:val="20"/>
          <w:lang w:val="es-PE"/>
        </w:rPr>
        <w:t xml:space="preserve"> a la situación de defensores y defensoras de derechos humanos, </w:t>
      </w:r>
      <w:r w:rsidR="003C7C23" w:rsidRPr="009F54A5">
        <w:rPr>
          <w:rFonts w:asciiTheme="majorHAnsi" w:hAnsiTheme="majorHAnsi"/>
          <w:color w:val="auto"/>
          <w:sz w:val="20"/>
          <w:szCs w:val="20"/>
        </w:rPr>
        <w:t>la CIDH</w:t>
      </w:r>
      <w:r w:rsidRPr="009F54A5">
        <w:rPr>
          <w:rFonts w:asciiTheme="majorHAnsi" w:hAnsiTheme="majorHAnsi"/>
          <w:color w:val="auto"/>
          <w:sz w:val="20"/>
          <w:szCs w:val="20"/>
        </w:rPr>
        <w:t xml:space="preserve"> rechaza </w:t>
      </w:r>
      <w:r w:rsidR="003C7C23" w:rsidRPr="009F54A5">
        <w:rPr>
          <w:rFonts w:asciiTheme="majorHAnsi" w:hAnsiTheme="majorHAnsi"/>
          <w:color w:val="auto"/>
          <w:sz w:val="20"/>
          <w:szCs w:val="20"/>
        </w:rPr>
        <w:t xml:space="preserve">los múltiples actos de </w:t>
      </w:r>
      <w:r w:rsidRPr="009F54A5">
        <w:rPr>
          <w:rFonts w:asciiTheme="majorHAnsi" w:hAnsiTheme="majorHAnsi"/>
          <w:color w:val="auto"/>
          <w:sz w:val="20"/>
          <w:szCs w:val="20"/>
        </w:rPr>
        <w:t xml:space="preserve">amenazas, hostigamiento y criminalización </w:t>
      </w:r>
      <w:r w:rsidR="003C7C23" w:rsidRPr="009F54A5">
        <w:rPr>
          <w:rFonts w:asciiTheme="majorHAnsi" w:hAnsiTheme="majorHAnsi"/>
          <w:color w:val="auto"/>
          <w:sz w:val="20"/>
          <w:szCs w:val="20"/>
        </w:rPr>
        <w:t>que sufren</w:t>
      </w:r>
      <w:r w:rsidRPr="009F54A5">
        <w:rPr>
          <w:rFonts w:asciiTheme="majorHAnsi" w:hAnsiTheme="majorHAnsi"/>
          <w:color w:val="auto"/>
          <w:sz w:val="20"/>
          <w:szCs w:val="20"/>
        </w:rPr>
        <w:t xml:space="preserve"> por denunciar la situación de los derechos humanos en Venezuela, así como por ejercer la representación de personas detenidas por razón de su postura política o por su participación en las manifestaciones (</w:t>
      </w:r>
      <w:hyperlink w:anchor="_Detenciones_arbitrarias,_actos" w:history="1">
        <w:r w:rsidR="00B34D9C" w:rsidRPr="009F54A5">
          <w:rPr>
            <w:rStyle w:val="Hyperlink"/>
            <w:rFonts w:asciiTheme="majorHAnsi" w:hAnsiTheme="majorHAnsi"/>
            <w:sz w:val="20"/>
            <w:szCs w:val="20"/>
            <w:lang w:val="es-PE"/>
          </w:rPr>
          <w:t>Capítulo III</w:t>
        </w:r>
        <w:r w:rsidR="00CC0D33" w:rsidRPr="009F54A5">
          <w:rPr>
            <w:rStyle w:val="Hyperlink"/>
            <w:rFonts w:asciiTheme="majorHAnsi" w:hAnsiTheme="majorHAnsi"/>
            <w:sz w:val="20"/>
            <w:szCs w:val="20"/>
            <w:lang w:val="es-PE"/>
          </w:rPr>
          <w:t>.A.3</w:t>
        </w:r>
      </w:hyperlink>
      <w:r w:rsidR="00CC0D33" w:rsidRPr="009F54A5">
        <w:rPr>
          <w:rFonts w:asciiTheme="majorHAnsi" w:hAnsiTheme="majorHAnsi"/>
          <w:color w:val="auto"/>
          <w:sz w:val="20"/>
          <w:szCs w:val="20"/>
          <w:lang w:val="es-PE"/>
        </w:rPr>
        <w:t xml:space="preserve"> y </w:t>
      </w:r>
      <w:hyperlink w:anchor="_Detenciones_arbitrarias,_actos" w:history="1">
        <w:r w:rsidR="00CC0D33" w:rsidRPr="009F54A5">
          <w:rPr>
            <w:rStyle w:val="Hyperlink"/>
            <w:rFonts w:asciiTheme="majorHAnsi" w:hAnsiTheme="majorHAnsi"/>
            <w:sz w:val="20"/>
            <w:szCs w:val="20"/>
            <w:lang w:val="es-PE"/>
          </w:rPr>
          <w:t>4</w:t>
        </w:r>
      </w:hyperlink>
      <w:r w:rsidRPr="009F54A5">
        <w:rPr>
          <w:rFonts w:asciiTheme="majorHAnsi" w:hAnsiTheme="majorHAnsi"/>
          <w:color w:val="auto"/>
          <w:sz w:val="20"/>
          <w:szCs w:val="20"/>
        </w:rPr>
        <w:t xml:space="preserve">). </w:t>
      </w:r>
      <w:r w:rsidR="003C7C23" w:rsidRPr="009F54A5">
        <w:rPr>
          <w:rFonts w:asciiTheme="majorHAnsi" w:hAnsiTheme="majorHAnsi"/>
          <w:color w:val="auto"/>
          <w:sz w:val="20"/>
          <w:szCs w:val="20"/>
        </w:rPr>
        <w:t xml:space="preserve">Asimismo, </w:t>
      </w:r>
      <w:r w:rsidR="003C7C23" w:rsidRPr="009F54A5">
        <w:rPr>
          <w:rFonts w:asciiTheme="majorHAnsi" w:hAnsiTheme="majorHAnsi"/>
          <w:color w:val="auto"/>
          <w:sz w:val="20"/>
          <w:szCs w:val="20"/>
          <w:lang w:val="es-PE"/>
        </w:rPr>
        <w:t xml:space="preserve">la Comisión expresa su </w:t>
      </w:r>
      <w:r w:rsidR="003C7C23" w:rsidRPr="009F54A5">
        <w:rPr>
          <w:rFonts w:asciiTheme="majorHAnsi" w:hAnsiTheme="majorHAnsi"/>
          <w:color w:val="auto"/>
          <w:sz w:val="20"/>
          <w:szCs w:val="20"/>
        </w:rPr>
        <w:t>preocupación</w:t>
      </w:r>
      <w:r w:rsidR="003C7C23" w:rsidRPr="009F54A5">
        <w:rPr>
          <w:rFonts w:asciiTheme="majorHAnsi" w:hAnsiTheme="majorHAnsi"/>
          <w:color w:val="auto"/>
          <w:sz w:val="20"/>
          <w:szCs w:val="20"/>
          <w:lang w:val="es-PE"/>
        </w:rPr>
        <w:t xml:space="preserve"> por el hostigamiento y persecución de la disidencia política en Venezuela (</w:t>
      </w:r>
      <w:hyperlink w:anchor="_Situación_de_la" w:history="1">
        <w:r w:rsidR="003C7C23" w:rsidRPr="009F54A5">
          <w:rPr>
            <w:rStyle w:val="Hyperlink"/>
            <w:rFonts w:asciiTheme="majorHAnsi" w:hAnsiTheme="majorHAnsi"/>
            <w:sz w:val="20"/>
            <w:szCs w:val="20"/>
            <w:lang w:val="es-PE"/>
          </w:rPr>
          <w:t>Capítulo II.B.2</w:t>
        </w:r>
      </w:hyperlink>
      <w:r w:rsidR="003C7C23" w:rsidRPr="009F54A5">
        <w:rPr>
          <w:rFonts w:asciiTheme="majorHAnsi" w:hAnsiTheme="majorHAnsi"/>
          <w:color w:val="auto"/>
          <w:sz w:val="20"/>
          <w:szCs w:val="20"/>
          <w:lang w:val="es-PE"/>
        </w:rPr>
        <w:t>)</w:t>
      </w:r>
      <w:r w:rsidR="003C7C23" w:rsidRPr="009F54A5">
        <w:rPr>
          <w:rFonts w:asciiTheme="majorHAnsi" w:hAnsiTheme="majorHAnsi"/>
          <w:color w:val="auto"/>
          <w:sz w:val="20"/>
          <w:szCs w:val="20"/>
        </w:rPr>
        <w:t>.</w:t>
      </w:r>
    </w:p>
    <w:p w14:paraId="11F29332" w14:textId="77777777" w:rsidR="008F2E49" w:rsidRPr="009F54A5" w:rsidRDefault="008F2E49" w:rsidP="008F2E49">
      <w:pPr>
        <w:pStyle w:val="ListParagraph"/>
        <w:spacing w:after="0" w:line="240" w:lineRule="auto"/>
        <w:jc w:val="both"/>
        <w:rPr>
          <w:rFonts w:asciiTheme="majorHAnsi" w:hAnsiTheme="majorHAnsi"/>
          <w:color w:val="auto"/>
          <w:sz w:val="20"/>
          <w:szCs w:val="20"/>
          <w:lang w:val="es-ES"/>
        </w:rPr>
      </w:pPr>
    </w:p>
    <w:p w14:paraId="2205AD9F" w14:textId="464779FC" w:rsidR="008F2E49"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rPr>
      </w:pPr>
      <w:r w:rsidRPr="009F54A5">
        <w:rPr>
          <w:rFonts w:asciiTheme="majorHAnsi" w:hAnsiTheme="majorHAnsi"/>
          <w:color w:val="auto"/>
          <w:sz w:val="20"/>
          <w:szCs w:val="20"/>
          <w:lang w:val="es-ES"/>
        </w:rPr>
        <w:t xml:space="preserve">Con relación a personas migrantes, refugiados y otras en situación similar a la de los refugiados, la CIDH reitera su preocupación por el gran número de personas venezolanas que se han visto forzadas a migrar a otros países de la región en los últimos años por múltiples causas, entre las que destacan </w:t>
      </w:r>
      <w:r w:rsidRPr="009F54A5">
        <w:rPr>
          <w:rFonts w:asciiTheme="majorHAnsi" w:hAnsiTheme="majorHAnsi"/>
          <w:color w:val="auto"/>
          <w:sz w:val="20"/>
          <w:szCs w:val="20"/>
        </w:rPr>
        <w:t>la</w:t>
      </w:r>
      <w:r w:rsidRPr="009F54A5">
        <w:rPr>
          <w:rFonts w:asciiTheme="majorHAnsi" w:hAnsiTheme="majorHAnsi"/>
          <w:color w:val="auto"/>
          <w:sz w:val="20"/>
          <w:szCs w:val="20"/>
          <w:lang w:val="es-ES"/>
        </w:rPr>
        <w:t xml:space="preserve"> migración forzada como mecanismo de supervivencia como consecuencia de la grave crisis </w:t>
      </w:r>
      <w:r w:rsidR="003072FF" w:rsidRPr="009F54A5">
        <w:rPr>
          <w:rFonts w:asciiTheme="majorHAnsi" w:hAnsiTheme="majorHAnsi"/>
          <w:color w:val="auto"/>
          <w:sz w:val="20"/>
          <w:szCs w:val="20"/>
          <w:lang w:val="es-ES"/>
        </w:rPr>
        <w:t xml:space="preserve">situación </w:t>
      </w:r>
      <w:r w:rsidRPr="009F54A5">
        <w:rPr>
          <w:rFonts w:asciiTheme="majorHAnsi" w:hAnsiTheme="majorHAnsi"/>
          <w:color w:val="auto"/>
          <w:sz w:val="20"/>
          <w:szCs w:val="20"/>
          <w:lang w:val="es-ES"/>
        </w:rPr>
        <w:t>que afecta al país, en particular a los efectos que vienen ocasionando la escasez de alimentos, medicamentos y tratamientos médicos (</w:t>
      </w:r>
      <w:hyperlink w:anchor="_Derechos_económicos,_sociales," w:history="1">
        <w:r w:rsidR="00CC0D33" w:rsidRPr="009F54A5">
          <w:rPr>
            <w:rStyle w:val="Hyperlink"/>
            <w:rFonts w:asciiTheme="majorHAnsi" w:hAnsiTheme="majorHAnsi"/>
            <w:sz w:val="20"/>
            <w:szCs w:val="20"/>
            <w:lang w:val="es-PE"/>
          </w:rPr>
          <w:t>C</w:t>
        </w:r>
        <w:r w:rsidRPr="009F54A5">
          <w:rPr>
            <w:rStyle w:val="Hyperlink"/>
            <w:rFonts w:asciiTheme="majorHAnsi" w:hAnsiTheme="majorHAnsi"/>
            <w:sz w:val="20"/>
            <w:szCs w:val="20"/>
            <w:lang w:val="es-PE"/>
          </w:rPr>
          <w:t>apítulo V</w:t>
        </w:r>
      </w:hyperlink>
      <w:r w:rsidRPr="009F54A5">
        <w:rPr>
          <w:rFonts w:asciiTheme="majorHAnsi" w:hAnsiTheme="majorHAnsi"/>
          <w:color w:val="auto"/>
          <w:sz w:val="20"/>
          <w:szCs w:val="20"/>
          <w:lang w:val="es-PE"/>
        </w:rPr>
        <w:t>)</w:t>
      </w:r>
      <w:r w:rsidR="00CC0D33" w:rsidRPr="009F54A5">
        <w:rPr>
          <w:rFonts w:asciiTheme="majorHAnsi" w:hAnsiTheme="majorHAnsi"/>
          <w:color w:val="auto"/>
          <w:sz w:val="20"/>
          <w:szCs w:val="20"/>
          <w:lang w:val="es-ES"/>
        </w:rPr>
        <w:t xml:space="preserve"> y</w:t>
      </w:r>
      <w:r w:rsidRPr="009F54A5">
        <w:rPr>
          <w:rFonts w:asciiTheme="majorHAnsi" w:hAnsiTheme="majorHAnsi"/>
          <w:color w:val="auto"/>
          <w:sz w:val="20"/>
          <w:szCs w:val="20"/>
          <w:lang w:val="es-ES"/>
        </w:rPr>
        <w:t xml:space="preserve"> la violencia e inseguridad (</w:t>
      </w:r>
      <w:hyperlink w:anchor="_Situación_general" w:history="1">
        <w:r w:rsidR="00CC0D33" w:rsidRPr="009F54A5">
          <w:rPr>
            <w:rStyle w:val="Hyperlink"/>
            <w:rFonts w:asciiTheme="majorHAnsi" w:hAnsiTheme="majorHAnsi"/>
            <w:sz w:val="20"/>
            <w:szCs w:val="20"/>
            <w:lang w:val="es-PE"/>
          </w:rPr>
          <w:t>C</w:t>
        </w:r>
        <w:r w:rsidR="00B34D9C" w:rsidRPr="009F54A5">
          <w:rPr>
            <w:rStyle w:val="Hyperlink"/>
            <w:rFonts w:asciiTheme="majorHAnsi" w:hAnsiTheme="majorHAnsi"/>
            <w:sz w:val="20"/>
            <w:szCs w:val="20"/>
            <w:lang w:val="es-PE"/>
          </w:rPr>
          <w:t>apítulo IV</w:t>
        </w:r>
        <w:r w:rsidR="00CC0D33" w:rsidRPr="009F54A5">
          <w:rPr>
            <w:rStyle w:val="Hyperlink"/>
            <w:rFonts w:asciiTheme="majorHAnsi" w:hAnsiTheme="majorHAnsi"/>
            <w:sz w:val="20"/>
            <w:szCs w:val="20"/>
            <w:lang w:val="es-PE"/>
          </w:rPr>
          <w:t>.A</w:t>
        </w:r>
      </w:hyperlink>
      <w:r w:rsidRPr="009F54A5">
        <w:rPr>
          <w:rFonts w:asciiTheme="majorHAnsi" w:hAnsiTheme="majorHAnsi"/>
          <w:color w:val="auto"/>
          <w:sz w:val="20"/>
          <w:szCs w:val="20"/>
          <w:lang w:val="es-PE"/>
        </w:rPr>
        <w:t>)</w:t>
      </w:r>
      <w:r w:rsidRPr="009F54A5">
        <w:rPr>
          <w:rFonts w:asciiTheme="majorHAnsi" w:hAnsiTheme="majorHAnsi"/>
          <w:color w:val="auto"/>
          <w:sz w:val="20"/>
          <w:szCs w:val="20"/>
          <w:lang w:val="es-ES"/>
        </w:rPr>
        <w:t xml:space="preserve">. </w:t>
      </w:r>
      <w:r w:rsidR="003C7C23" w:rsidRPr="009F54A5">
        <w:rPr>
          <w:rFonts w:asciiTheme="majorHAnsi" w:hAnsiTheme="majorHAnsi"/>
          <w:color w:val="auto"/>
          <w:sz w:val="20"/>
          <w:szCs w:val="20"/>
          <w:lang w:val="es-PE"/>
        </w:rPr>
        <w:t>Igualmente</w:t>
      </w:r>
      <w:r w:rsidRPr="009F54A5">
        <w:rPr>
          <w:rFonts w:asciiTheme="majorHAnsi" w:hAnsiTheme="majorHAnsi"/>
          <w:color w:val="auto"/>
          <w:sz w:val="20"/>
          <w:szCs w:val="20"/>
          <w:lang w:val="es-PE"/>
        </w:rPr>
        <w:t xml:space="preserve">, </w:t>
      </w:r>
      <w:r w:rsidR="00786B4A" w:rsidRPr="009F54A5">
        <w:rPr>
          <w:rFonts w:asciiTheme="majorHAnsi" w:hAnsiTheme="majorHAnsi"/>
          <w:color w:val="auto"/>
          <w:sz w:val="20"/>
          <w:szCs w:val="20"/>
          <w:lang w:val="es-PE"/>
        </w:rPr>
        <w:t>se</w:t>
      </w:r>
      <w:r w:rsidRPr="009F54A5">
        <w:rPr>
          <w:rFonts w:asciiTheme="majorHAnsi" w:hAnsiTheme="majorHAnsi"/>
          <w:color w:val="auto"/>
          <w:sz w:val="20"/>
          <w:szCs w:val="20"/>
          <w:lang w:val="es-PE"/>
        </w:rPr>
        <w:t xml:space="preserve"> </w:t>
      </w:r>
      <w:r w:rsidRPr="009F54A5">
        <w:rPr>
          <w:rFonts w:asciiTheme="majorHAnsi" w:hAnsiTheme="majorHAnsi"/>
          <w:color w:val="auto"/>
          <w:sz w:val="20"/>
          <w:szCs w:val="20"/>
          <w:lang w:val="es-ES"/>
        </w:rPr>
        <w:t>reconoce</w:t>
      </w:r>
      <w:r w:rsidR="00786B4A" w:rsidRPr="009F54A5">
        <w:rPr>
          <w:rFonts w:asciiTheme="majorHAnsi" w:hAnsiTheme="majorHAnsi"/>
          <w:color w:val="auto"/>
          <w:sz w:val="20"/>
          <w:szCs w:val="20"/>
          <w:lang w:val="es-ES"/>
        </w:rPr>
        <w:t>n</w:t>
      </w:r>
      <w:r w:rsidRPr="009F54A5">
        <w:rPr>
          <w:rFonts w:asciiTheme="majorHAnsi" w:hAnsiTheme="majorHAnsi"/>
          <w:color w:val="auto"/>
          <w:sz w:val="20"/>
          <w:szCs w:val="20"/>
          <w:lang w:val="es-ES"/>
        </w:rPr>
        <w:t xml:space="preserve"> los esfuerzos de algunos países de la región para brindar protección a las personas migrantes venezolanas.</w:t>
      </w:r>
    </w:p>
    <w:p w14:paraId="4EE2790A" w14:textId="77777777" w:rsidR="008F2E49" w:rsidRPr="009F54A5" w:rsidRDefault="008F2E49" w:rsidP="008F2E49">
      <w:pPr>
        <w:pStyle w:val="NoSpacing"/>
        <w:jc w:val="both"/>
        <w:rPr>
          <w:rFonts w:asciiTheme="majorHAnsi" w:hAnsiTheme="majorHAnsi"/>
          <w:sz w:val="20"/>
          <w:szCs w:val="20"/>
          <w:lang w:val="es-ES_tradnl"/>
        </w:rPr>
      </w:pPr>
    </w:p>
    <w:p w14:paraId="614A4B06" w14:textId="77777777" w:rsidR="008F2E49" w:rsidRPr="009F54A5" w:rsidRDefault="008F2E49" w:rsidP="008F2E4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contextualSpacing/>
        <w:jc w:val="both"/>
        <w:rPr>
          <w:rFonts w:asciiTheme="majorHAnsi" w:hAnsiTheme="majorHAnsi"/>
          <w:color w:val="auto"/>
          <w:sz w:val="20"/>
          <w:szCs w:val="20"/>
          <w:lang w:val="es-PE"/>
        </w:rPr>
      </w:pPr>
      <w:r w:rsidRPr="009F54A5">
        <w:rPr>
          <w:rFonts w:asciiTheme="majorHAnsi" w:hAnsiTheme="majorHAnsi"/>
          <w:color w:val="auto"/>
          <w:sz w:val="20"/>
          <w:szCs w:val="20"/>
          <w:lang w:val="es-ES"/>
        </w:rPr>
        <w:t xml:space="preserve">La Comisión Interamericana reitera su ofrecimiento </w:t>
      </w:r>
      <w:r w:rsidR="00786B4A" w:rsidRPr="009F54A5">
        <w:rPr>
          <w:rFonts w:asciiTheme="majorHAnsi" w:hAnsiTheme="majorHAnsi"/>
          <w:color w:val="auto"/>
          <w:sz w:val="20"/>
          <w:szCs w:val="20"/>
          <w:lang w:val="es-ES"/>
        </w:rPr>
        <w:t>a</w:t>
      </w:r>
      <w:r w:rsidRPr="009F54A5">
        <w:rPr>
          <w:rFonts w:asciiTheme="majorHAnsi" w:hAnsiTheme="majorHAnsi"/>
          <w:color w:val="auto"/>
          <w:sz w:val="20"/>
          <w:szCs w:val="20"/>
          <w:lang w:val="es-ES"/>
        </w:rPr>
        <w:t xml:space="preserve"> colaborar con el </w:t>
      </w:r>
      <w:r w:rsidR="00786B4A" w:rsidRPr="009F54A5">
        <w:rPr>
          <w:rFonts w:asciiTheme="majorHAnsi" w:hAnsiTheme="majorHAnsi"/>
          <w:color w:val="auto"/>
          <w:sz w:val="20"/>
          <w:szCs w:val="20"/>
          <w:lang w:val="es-ES"/>
        </w:rPr>
        <w:t>Estado</w:t>
      </w:r>
      <w:r w:rsidRPr="009F54A5">
        <w:rPr>
          <w:rFonts w:asciiTheme="majorHAnsi" w:hAnsiTheme="majorHAnsi"/>
          <w:color w:val="auto"/>
          <w:sz w:val="20"/>
          <w:szCs w:val="20"/>
          <w:lang w:val="es-ES"/>
        </w:rPr>
        <w:t>, así como con la sociedad venezolana en su conjunto, a fin de dar cumplimiento efectivo a las recomendaciones contenidas en el presente informe</w:t>
      </w:r>
      <w:r w:rsidR="00144BCB" w:rsidRPr="009F54A5">
        <w:rPr>
          <w:rFonts w:asciiTheme="majorHAnsi" w:hAnsiTheme="majorHAnsi"/>
          <w:color w:val="auto"/>
          <w:sz w:val="20"/>
          <w:szCs w:val="20"/>
          <w:lang w:val="es-ES"/>
        </w:rPr>
        <w:t>,</w:t>
      </w:r>
      <w:r w:rsidRPr="009F54A5">
        <w:rPr>
          <w:rFonts w:asciiTheme="majorHAnsi" w:hAnsiTheme="majorHAnsi"/>
          <w:color w:val="auto"/>
          <w:sz w:val="20"/>
          <w:szCs w:val="20"/>
          <w:lang w:val="es-ES"/>
        </w:rPr>
        <w:t xml:space="preserve"> y contribuir </w:t>
      </w:r>
      <w:r w:rsidRPr="009F54A5">
        <w:rPr>
          <w:rFonts w:asciiTheme="majorHAnsi" w:hAnsiTheme="majorHAnsi"/>
          <w:color w:val="auto"/>
          <w:sz w:val="20"/>
          <w:szCs w:val="20"/>
        </w:rPr>
        <w:t>así</w:t>
      </w:r>
      <w:r w:rsidRPr="009F54A5">
        <w:rPr>
          <w:rFonts w:asciiTheme="majorHAnsi" w:hAnsiTheme="majorHAnsi"/>
          <w:color w:val="auto"/>
          <w:sz w:val="20"/>
          <w:szCs w:val="20"/>
          <w:lang w:val="es-ES"/>
        </w:rPr>
        <w:t xml:space="preserve"> al fortalecimiento de la defensa y protección de los derechos humanos en un contexto democrático en Venezuela.</w:t>
      </w:r>
      <w:r w:rsidR="00241F13" w:rsidRPr="009F54A5">
        <w:rPr>
          <w:rFonts w:asciiTheme="majorHAnsi" w:hAnsiTheme="majorHAnsi"/>
          <w:color w:val="auto"/>
          <w:sz w:val="20"/>
          <w:szCs w:val="20"/>
          <w:lang w:val="es-ES"/>
        </w:rPr>
        <w:t xml:space="preserve">  La CIDH a su vez reitera su interés y disposición de visitar el país. </w:t>
      </w:r>
    </w:p>
    <w:bookmarkEnd w:id="0"/>
    <w:bookmarkEnd w:id="1"/>
    <w:bookmarkEnd w:id="2"/>
    <w:bookmarkEnd w:id="3"/>
    <w:p w14:paraId="42F31BFC" w14:textId="77777777" w:rsidR="00236E25" w:rsidRPr="009F54A5" w:rsidRDefault="00236E25" w:rsidP="00236E25">
      <w:pPr>
        <w:jc w:val="both"/>
        <w:rPr>
          <w:rFonts w:asciiTheme="majorHAnsi" w:eastAsia="Times New Roman" w:hAnsiTheme="majorHAnsi" w:cs="Arial"/>
          <w:sz w:val="20"/>
          <w:szCs w:val="20"/>
          <w:lang w:val="es-PE"/>
        </w:rPr>
      </w:pPr>
    </w:p>
    <w:p w14:paraId="120AC7D1" w14:textId="77777777" w:rsidR="00CF0B87" w:rsidRPr="009F54A5" w:rsidRDefault="00CF0B87" w:rsidP="00CF0B87">
      <w:pPr>
        <w:jc w:val="both"/>
        <w:rPr>
          <w:rFonts w:asciiTheme="majorHAnsi" w:hAnsiTheme="majorHAnsi"/>
          <w:sz w:val="20"/>
          <w:szCs w:val="20"/>
          <w:lang w:val="es-PE"/>
        </w:rPr>
      </w:pPr>
    </w:p>
    <w:sectPr w:rsidR="00CF0B87" w:rsidRPr="009F54A5" w:rsidSect="00144991">
      <w:headerReference w:type="default" r:id="rId9"/>
      <w:footerReference w:type="default" r:id="rId10"/>
      <w:headerReference w:type="first" r:id="rId11"/>
      <w:type w:val="oddPage"/>
      <w:pgSz w:w="12240" w:h="15840"/>
      <w:pgMar w:top="1440" w:right="1440" w:bottom="1440" w:left="1440" w:header="708" w:footer="708" w:gutter="0"/>
      <w:pgNumType w:start="691"/>
      <w:cols w:space="720"/>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F572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33544" w14:textId="77777777" w:rsidR="00454F78" w:rsidRDefault="00454F78">
      <w:r>
        <w:separator/>
      </w:r>
    </w:p>
  </w:endnote>
  <w:endnote w:type="continuationSeparator" w:id="0">
    <w:p w14:paraId="0492F4A2" w14:textId="77777777" w:rsidR="00454F78" w:rsidRDefault="0045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98746"/>
      <w:docPartObj>
        <w:docPartGallery w:val="Page Numbers (Bottom of Page)"/>
        <w:docPartUnique/>
      </w:docPartObj>
    </w:sdtPr>
    <w:sdtEndPr>
      <w:rPr>
        <w:rFonts w:asciiTheme="minorHAnsi" w:hAnsiTheme="minorHAnsi"/>
        <w:noProof/>
        <w:sz w:val="16"/>
        <w:szCs w:val="16"/>
      </w:rPr>
    </w:sdtEndPr>
    <w:sdtContent>
      <w:p w14:paraId="1409665E" w14:textId="77777777" w:rsidR="004839F6" w:rsidRPr="003E7EEF" w:rsidRDefault="004839F6" w:rsidP="00033D1D">
        <w:pPr>
          <w:pStyle w:val="Footer"/>
          <w:jc w:val="center"/>
          <w:rPr>
            <w:rFonts w:asciiTheme="minorHAnsi" w:hAnsiTheme="minorHAnsi"/>
            <w:sz w:val="16"/>
            <w:szCs w:val="16"/>
          </w:rPr>
        </w:pPr>
        <w:r w:rsidRPr="003E7EEF">
          <w:rPr>
            <w:rFonts w:asciiTheme="minorHAnsi" w:hAnsiTheme="minorHAnsi"/>
            <w:sz w:val="16"/>
            <w:szCs w:val="16"/>
          </w:rPr>
          <w:fldChar w:fldCharType="begin"/>
        </w:r>
        <w:r w:rsidRPr="003E7EEF">
          <w:rPr>
            <w:rFonts w:asciiTheme="minorHAnsi" w:hAnsiTheme="minorHAnsi"/>
            <w:sz w:val="16"/>
            <w:szCs w:val="16"/>
          </w:rPr>
          <w:instrText xml:space="preserve"> PAGE   \* MERGEFORMAT </w:instrText>
        </w:r>
        <w:r w:rsidRPr="003E7EEF">
          <w:rPr>
            <w:rFonts w:asciiTheme="minorHAnsi" w:hAnsiTheme="minorHAnsi"/>
            <w:sz w:val="16"/>
            <w:szCs w:val="16"/>
          </w:rPr>
          <w:fldChar w:fldCharType="separate"/>
        </w:r>
        <w:r w:rsidR="007B1EC7">
          <w:rPr>
            <w:rFonts w:asciiTheme="minorHAnsi" w:hAnsiTheme="minorHAnsi"/>
            <w:noProof/>
            <w:sz w:val="16"/>
            <w:szCs w:val="16"/>
          </w:rPr>
          <w:t>699</w:t>
        </w:r>
        <w:r w:rsidRPr="003E7EEF">
          <w:rPr>
            <w:rFonts w:asciiTheme="minorHAnsi" w:hAnsiTheme="minorHAnsi"/>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AE3F4" w14:textId="77777777" w:rsidR="00454F78" w:rsidRDefault="00454F78">
      <w:r>
        <w:separator/>
      </w:r>
    </w:p>
  </w:footnote>
  <w:footnote w:type="continuationSeparator" w:id="0">
    <w:p w14:paraId="3910A15A" w14:textId="77777777" w:rsidR="00454F78" w:rsidRDefault="00454F78">
      <w:r>
        <w:continuationSeparator/>
      </w:r>
    </w:p>
  </w:footnote>
  <w:footnote w:id="1">
    <w:p w14:paraId="22BC050C" w14:textId="45E71058" w:rsidR="004839F6" w:rsidRPr="0060577E" w:rsidRDefault="004839F6" w:rsidP="0060577E">
      <w:pPr>
        <w:pStyle w:val="FootnoteText"/>
        <w:spacing w:after="120"/>
        <w:ind w:firstLine="720"/>
        <w:jc w:val="both"/>
        <w:rPr>
          <w:rFonts w:asciiTheme="majorHAnsi" w:hAnsiTheme="majorHAnsi"/>
          <w:sz w:val="16"/>
          <w:szCs w:val="16"/>
          <w:lang w:val="es-PE"/>
        </w:rPr>
      </w:pPr>
      <w:r w:rsidRPr="0060577E">
        <w:rPr>
          <w:rStyle w:val="FootnoteReference"/>
          <w:rFonts w:asciiTheme="majorHAnsi" w:hAnsiTheme="majorHAnsi"/>
          <w:sz w:val="16"/>
          <w:szCs w:val="16"/>
        </w:rPr>
        <w:footnoteRef/>
      </w:r>
      <w:r w:rsidRPr="0060577E">
        <w:rPr>
          <w:rFonts w:asciiTheme="majorHAnsi" w:hAnsiTheme="majorHAnsi"/>
          <w:sz w:val="16"/>
          <w:szCs w:val="16"/>
        </w:rPr>
        <w:t xml:space="preserve"> </w:t>
      </w:r>
      <w:r w:rsidRPr="0060577E">
        <w:rPr>
          <w:rFonts w:asciiTheme="majorHAnsi" w:hAnsiTheme="majorHAnsi"/>
          <w:sz w:val="16"/>
          <w:szCs w:val="16"/>
          <w:lang w:val="es-PE"/>
        </w:rPr>
        <w:t>En concreto, la Comisión basa su análisis en las obligaciones contenidas en la Declaración Americana de los Derechos y Deberes del Hombre, y la Carta de la Organización de los Estados Americanos. Igualmente, tiene en cuenta, en lo pertinente, otros tratados interamericanos de derechos humanos de los que Venezuela es Estado parte, tales como la Convención Interamericana para Prevenir y Sancionar la Tortura; la Convención Interamericana para Prevenir, Sancionar y Erradicar la Violencia contra la Mujer o Convención Belém Do Pará; la Convención Interamericana sobre Desaparición Forzada de Personas y la Convención Interamericana para la Eliminación de todas las Formas de Discriminación contra las Personas con Discapacidad. Considera también en su análisis la Carta Democrática Interamericana.</w:t>
      </w:r>
    </w:p>
  </w:footnote>
  <w:footnote w:id="2">
    <w:p w14:paraId="6864FED9" w14:textId="18CA3490" w:rsidR="004839F6" w:rsidRPr="0060577E" w:rsidRDefault="004839F6" w:rsidP="0060577E">
      <w:pPr>
        <w:spacing w:after="120"/>
        <w:ind w:firstLine="720"/>
        <w:jc w:val="both"/>
        <w:rPr>
          <w:rFonts w:asciiTheme="majorHAnsi" w:hAnsiTheme="majorHAnsi"/>
          <w:sz w:val="16"/>
          <w:szCs w:val="16"/>
          <w:lang w:val="es-AR"/>
        </w:rPr>
      </w:pPr>
      <w:r w:rsidRPr="0060577E">
        <w:rPr>
          <w:rFonts w:asciiTheme="majorHAnsi" w:hAnsiTheme="majorHAnsi"/>
          <w:sz w:val="16"/>
          <w:szCs w:val="16"/>
          <w:vertAlign w:val="superscript"/>
          <w:lang w:val="es-AR"/>
        </w:rPr>
        <w:footnoteRef/>
      </w:r>
      <w:r w:rsidRPr="0060577E">
        <w:rPr>
          <w:rFonts w:asciiTheme="majorHAnsi" w:hAnsiTheme="majorHAnsi"/>
          <w:sz w:val="16"/>
          <w:szCs w:val="16"/>
          <w:lang w:val="es-AR"/>
        </w:rPr>
        <w:t xml:space="preserve">  República Bolivariana de Venezuela, Ministerio de Poder Popular para Relaciones Exteriores, </w:t>
      </w:r>
      <w:hyperlink r:id="rId1" w:history="1">
        <w:r w:rsidRPr="007B1EC7">
          <w:rPr>
            <w:rStyle w:val="Hyperlink"/>
            <w:rFonts w:asciiTheme="majorHAnsi" w:hAnsiTheme="majorHAnsi"/>
            <w:sz w:val="16"/>
            <w:szCs w:val="16"/>
            <w:lang w:val="es-AR"/>
          </w:rPr>
          <w:t>Nota AGEV/2017-000300, Observaciones proyecto informe de país</w:t>
        </w:r>
      </w:hyperlink>
      <w:r w:rsidRPr="0060577E">
        <w:rPr>
          <w:rFonts w:asciiTheme="majorHAnsi" w:hAnsiTheme="majorHAnsi"/>
          <w:sz w:val="16"/>
          <w:szCs w:val="16"/>
          <w:lang w:val="es-AR"/>
        </w:rPr>
        <w:t>, 21 de diciembre de 2017.</w:t>
      </w:r>
    </w:p>
  </w:footnote>
  <w:footnote w:id="3">
    <w:p w14:paraId="449FD005" w14:textId="0DC41154" w:rsidR="004839F6" w:rsidRPr="0060577E" w:rsidRDefault="004839F6" w:rsidP="0060577E">
      <w:pPr>
        <w:spacing w:after="120"/>
        <w:ind w:firstLine="720"/>
        <w:jc w:val="both"/>
        <w:rPr>
          <w:rFonts w:asciiTheme="majorHAnsi" w:hAnsiTheme="majorHAnsi"/>
          <w:sz w:val="16"/>
          <w:szCs w:val="16"/>
          <w:lang w:val="es-ES_tradnl"/>
        </w:rPr>
      </w:pPr>
      <w:r w:rsidRPr="0060577E">
        <w:rPr>
          <w:rStyle w:val="FootnoteReference"/>
          <w:rFonts w:asciiTheme="majorHAnsi" w:hAnsiTheme="majorHAnsi"/>
          <w:sz w:val="16"/>
          <w:szCs w:val="16"/>
        </w:rPr>
        <w:footnoteRef/>
      </w:r>
      <w:r w:rsidRPr="0060577E">
        <w:rPr>
          <w:rFonts w:asciiTheme="majorHAnsi" w:hAnsiTheme="majorHAnsi"/>
          <w:sz w:val="16"/>
          <w:szCs w:val="16"/>
          <w:lang w:val="es-ES_tradnl"/>
        </w:rPr>
        <w:t xml:space="preserve"> </w:t>
      </w:r>
      <w:bookmarkStart w:id="11" w:name="_Hlk501700771"/>
      <w:r w:rsidRPr="0060577E">
        <w:rPr>
          <w:rFonts w:asciiTheme="majorHAnsi" w:hAnsiTheme="majorHAnsi"/>
          <w:sz w:val="16"/>
          <w:szCs w:val="16"/>
          <w:lang w:val="es-ES_tradnl"/>
        </w:rPr>
        <w:t xml:space="preserve">República Bolivariana de Venezuela, Ministerio de Poder Popular para Relaciones Exteriores, </w:t>
      </w:r>
      <w:hyperlink r:id="rId2" w:history="1">
        <w:r w:rsidRPr="007B1EC7">
          <w:rPr>
            <w:rStyle w:val="Hyperlink"/>
            <w:rFonts w:asciiTheme="majorHAnsi" w:hAnsiTheme="majorHAnsi"/>
            <w:sz w:val="16"/>
            <w:szCs w:val="16"/>
            <w:lang w:val="es-ES_tradnl"/>
          </w:rPr>
          <w:t>Nota AGEV/2017-000300, Observaciones proyecto informe de país</w:t>
        </w:r>
      </w:hyperlink>
      <w:r w:rsidRPr="0060577E">
        <w:rPr>
          <w:rFonts w:asciiTheme="majorHAnsi" w:hAnsiTheme="majorHAnsi"/>
          <w:sz w:val="16"/>
          <w:szCs w:val="16"/>
          <w:lang w:val="es-ES_tradnl"/>
        </w:rPr>
        <w:t>, 21 de diciembre de 2017, párr. 4.</w:t>
      </w:r>
    </w:p>
    <w:bookmarkEnd w:id="11"/>
  </w:footnote>
  <w:footnote w:id="4">
    <w:p w14:paraId="5B2425B4" w14:textId="5CDEAAC8" w:rsidR="004839F6" w:rsidRPr="0060577E" w:rsidRDefault="004839F6" w:rsidP="0060577E">
      <w:pPr>
        <w:spacing w:after="120"/>
        <w:ind w:firstLine="720"/>
        <w:jc w:val="both"/>
        <w:rPr>
          <w:rFonts w:asciiTheme="majorHAnsi" w:hAnsiTheme="majorHAnsi"/>
          <w:sz w:val="16"/>
          <w:szCs w:val="16"/>
          <w:lang w:val="es-ES_tradnl"/>
        </w:rPr>
      </w:pPr>
      <w:r w:rsidRPr="0060577E">
        <w:rPr>
          <w:rStyle w:val="FootnoteReference"/>
          <w:rFonts w:asciiTheme="majorHAnsi" w:hAnsiTheme="majorHAnsi"/>
          <w:sz w:val="16"/>
          <w:szCs w:val="16"/>
        </w:rPr>
        <w:footnoteRef/>
      </w:r>
      <w:r w:rsidRPr="0060577E">
        <w:rPr>
          <w:rFonts w:asciiTheme="majorHAnsi" w:hAnsiTheme="majorHAnsi"/>
          <w:sz w:val="16"/>
          <w:szCs w:val="16"/>
          <w:lang w:val="es-ES_tradnl"/>
        </w:rPr>
        <w:t xml:space="preserve"> </w:t>
      </w:r>
      <w:bookmarkStart w:id="12" w:name="_Hlk501701608"/>
      <w:r w:rsidRPr="0060577E">
        <w:rPr>
          <w:rFonts w:asciiTheme="majorHAnsi" w:hAnsiTheme="majorHAnsi"/>
          <w:sz w:val="16"/>
          <w:szCs w:val="16"/>
          <w:lang w:val="es-ES_tradnl"/>
        </w:rPr>
        <w:t xml:space="preserve">República Bolivariana de Venezuela, Ministerio de Poder Popular para Relaciones Exteriores, </w:t>
      </w:r>
      <w:hyperlink r:id="rId3" w:history="1">
        <w:r w:rsidRPr="007B1EC7">
          <w:rPr>
            <w:rStyle w:val="Hyperlink"/>
            <w:rFonts w:asciiTheme="majorHAnsi" w:hAnsiTheme="majorHAnsi"/>
            <w:sz w:val="16"/>
            <w:szCs w:val="16"/>
            <w:lang w:val="es-ES_tradnl"/>
          </w:rPr>
          <w:t>Nota AGEV/2017-000300, Observaciones proyecto informe de país</w:t>
        </w:r>
      </w:hyperlink>
      <w:r w:rsidRPr="0060577E">
        <w:rPr>
          <w:rFonts w:asciiTheme="majorHAnsi" w:hAnsiTheme="majorHAnsi"/>
          <w:sz w:val="16"/>
          <w:szCs w:val="16"/>
          <w:lang w:val="es-ES_tradnl"/>
        </w:rPr>
        <w:t>, 21 de diciembre de 2017, párr. 5.</w:t>
      </w:r>
      <w:bookmarkEnd w:id="12"/>
    </w:p>
  </w:footnote>
  <w:footnote w:id="5">
    <w:p w14:paraId="3AE4FBDE" w14:textId="1B8ACC81" w:rsidR="004839F6" w:rsidRPr="0060577E" w:rsidRDefault="004839F6" w:rsidP="0060577E">
      <w:pPr>
        <w:spacing w:after="120"/>
        <w:ind w:firstLine="720"/>
        <w:jc w:val="both"/>
        <w:rPr>
          <w:rFonts w:asciiTheme="majorHAnsi" w:hAnsiTheme="majorHAnsi"/>
          <w:sz w:val="16"/>
          <w:szCs w:val="16"/>
          <w:lang w:val="es-ES_tradnl"/>
        </w:rPr>
      </w:pPr>
      <w:r w:rsidRPr="0060577E">
        <w:rPr>
          <w:rStyle w:val="FootnoteReference"/>
          <w:rFonts w:asciiTheme="majorHAnsi" w:hAnsiTheme="majorHAnsi"/>
          <w:sz w:val="16"/>
          <w:szCs w:val="16"/>
        </w:rPr>
        <w:footnoteRef/>
      </w:r>
      <w:r w:rsidRPr="0060577E">
        <w:rPr>
          <w:rFonts w:asciiTheme="majorHAnsi" w:hAnsiTheme="majorHAnsi"/>
          <w:sz w:val="16"/>
          <w:szCs w:val="16"/>
          <w:lang w:val="es-ES_tradnl"/>
        </w:rPr>
        <w:t xml:space="preserve"> República Bolivariana de Venezuela, Ministerio de Poder Popular para Relaciones Exteriores, </w:t>
      </w:r>
      <w:hyperlink r:id="rId4" w:history="1">
        <w:r w:rsidRPr="007B1EC7">
          <w:rPr>
            <w:rStyle w:val="Hyperlink"/>
            <w:rFonts w:asciiTheme="majorHAnsi" w:hAnsiTheme="majorHAnsi"/>
            <w:sz w:val="16"/>
            <w:szCs w:val="16"/>
            <w:lang w:val="es-ES_tradnl"/>
          </w:rPr>
          <w:t>Nota AGEV/2017-000300, Observaciones proyecto informe de país</w:t>
        </w:r>
      </w:hyperlink>
      <w:r w:rsidRPr="0060577E">
        <w:rPr>
          <w:rFonts w:asciiTheme="majorHAnsi" w:hAnsiTheme="majorHAnsi"/>
          <w:sz w:val="16"/>
          <w:szCs w:val="16"/>
          <w:lang w:val="es-ES_tradnl"/>
        </w:rPr>
        <w:t>, 21 de diciembre de 2017, párr. 6.</w:t>
      </w:r>
    </w:p>
  </w:footnote>
  <w:footnote w:id="6">
    <w:p w14:paraId="648ED905" w14:textId="5FBE7ED1" w:rsidR="004839F6" w:rsidRPr="0060577E" w:rsidRDefault="004839F6" w:rsidP="0060577E">
      <w:pPr>
        <w:spacing w:after="120"/>
        <w:ind w:firstLine="720"/>
        <w:jc w:val="both"/>
        <w:rPr>
          <w:rFonts w:asciiTheme="majorHAnsi" w:hAnsiTheme="majorHAnsi"/>
          <w:sz w:val="16"/>
          <w:szCs w:val="16"/>
          <w:lang w:val="es-ES_tradnl"/>
        </w:rPr>
      </w:pPr>
      <w:r w:rsidRPr="0060577E">
        <w:rPr>
          <w:rStyle w:val="FootnoteReference"/>
          <w:rFonts w:asciiTheme="majorHAnsi" w:hAnsiTheme="majorHAnsi"/>
          <w:sz w:val="16"/>
          <w:szCs w:val="16"/>
        </w:rPr>
        <w:footnoteRef/>
      </w:r>
      <w:r w:rsidRPr="0060577E">
        <w:rPr>
          <w:rFonts w:asciiTheme="majorHAnsi" w:hAnsiTheme="majorHAnsi"/>
          <w:sz w:val="16"/>
          <w:szCs w:val="16"/>
          <w:lang w:val="es-ES_tradnl"/>
        </w:rPr>
        <w:t xml:space="preserve"> </w:t>
      </w:r>
      <w:bookmarkStart w:id="13" w:name="_Hlk501719103"/>
      <w:r w:rsidRPr="0060577E">
        <w:rPr>
          <w:rFonts w:asciiTheme="majorHAnsi" w:hAnsiTheme="majorHAnsi"/>
          <w:sz w:val="16"/>
          <w:szCs w:val="16"/>
          <w:lang w:val="es-ES_tradnl"/>
        </w:rPr>
        <w:t xml:space="preserve">República Bolivariana de Venezuela, Ministerio de Poder Popular para Relaciones Exteriores, </w:t>
      </w:r>
      <w:hyperlink r:id="rId5" w:history="1">
        <w:r w:rsidRPr="007B1EC7">
          <w:rPr>
            <w:rStyle w:val="Hyperlink"/>
            <w:rFonts w:asciiTheme="majorHAnsi" w:hAnsiTheme="majorHAnsi"/>
            <w:sz w:val="16"/>
            <w:szCs w:val="16"/>
            <w:lang w:val="es-ES_tradnl"/>
          </w:rPr>
          <w:t>Nota AGEV/2017-000300, Observaciones proyecto informe de país</w:t>
        </w:r>
      </w:hyperlink>
      <w:r w:rsidRPr="0060577E">
        <w:rPr>
          <w:rFonts w:asciiTheme="majorHAnsi" w:hAnsiTheme="majorHAnsi"/>
          <w:sz w:val="16"/>
          <w:szCs w:val="16"/>
          <w:lang w:val="es-ES_tradnl"/>
        </w:rPr>
        <w:t>, 21 de diciembre de 2017, párr. 7.</w:t>
      </w:r>
      <w:bookmarkEnd w:id="13"/>
    </w:p>
  </w:footnote>
  <w:footnote w:id="7">
    <w:p w14:paraId="5728740D" w14:textId="7DC9BAC7" w:rsidR="004839F6" w:rsidRPr="0060577E" w:rsidRDefault="004839F6" w:rsidP="0060577E">
      <w:pPr>
        <w:pStyle w:val="FootnoteText"/>
        <w:spacing w:after="120"/>
        <w:ind w:firstLine="720"/>
        <w:jc w:val="both"/>
        <w:rPr>
          <w:rFonts w:asciiTheme="majorHAnsi" w:hAnsiTheme="majorHAnsi"/>
          <w:sz w:val="16"/>
          <w:szCs w:val="16"/>
          <w:lang w:val="es-AR"/>
        </w:rPr>
      </w:pPr>
      <w:r w:rsidRPr="0060577E">
        <w:rPr>
          <w:rStyle w:val="FootnoteReference"/>
          <w:rFonts w:asciiTheme="majorHAnsi" w:hAnsiTheme="majorHAnsi"/>
          <w:sz w:val="16"/>
          <w:szCs w:val="16"/>
        </w:rPr>
        <w:footnoteRef/>
      </w:r>
      <w:r w:rsidRPr="0060577E">
        <w:rPr>
          <w:rFonts w:asciiTheme="majorHAnsi" w:hAnsiTheme="majorHAnsi"/>
          <w:sz w:val="16"/>
          <w:szCs w:val="16"/>
        </w:rPr>
        <w:t xml:space="preserve"> República Bolivariana de Venezuela, Ministerio de Poder Popular para Relaciones Exteriores, </w:t>
      </w:r>
      <w:hyperlink r:id="rId6" w:history="1">
        <w:r w:rsidRPr="007B1EC7">
          <w:rPr>
            <w:rStyle w:val="Hyperlink"/>
            <w:rFonts w:asciiTheme="majorHAnsi" w:hAnsiTheme="majorHAnsi"/>
            <w:sz w:val="16"/>
            <w:szCs w:val="16"/>
          </w:rPr>
          <w:t>Nota AGEV/2017-000300, Observaciones proyecto informe de país</w:t>
        </w:r>
      </w:hyperlink>
      <w:r w:rsidRPr="0060577E">
        <w:rPr>
          <w:rFonts w:asciiTheme="majorHAnsi" w:hAnsiTheme="majorHAnsi"/>
          <w:sz w:val="16"/>
          <w:szCs w:val="16"/>
        </w:rPr>
        <w:t>, 21 de diciembre de 2017, párr. 103.</w:t>
      </w:r>
    </w:p>
  </w:footnote>
  <w:footnote w:id="8">
    <w:p w14:paraId="796B3EE8" w14:textId="77777777" w:rsidR="004839F6" w:rsidRPr="0060577E" w:rsidRDefault="004839F6" w:rsidP="0060577E">
      <w:pPr>
        <w:spacing w:after="120"/>
        <w:ind w:firstLine="720"/>
        <w:jc w:val="both"/>
        <w:rPr>
          <w:rFonts w:asciiTheme="majorHAnsi" w:hAnsiTheme="majorHAnsi"/>
          <w:sz w:val="16"/>
          <w:szCs w:val="16"/>
          <w:lang w:val="es-ES_tradnl"/>
        </w:rPr>
      </w:pPr>
      <w:r w:rsidRPr="0060577E">
        <w:rPr>
          <w:rStyle w:val="FootnoteReference"/>
          <w:rFonts w:asciiTheme="majorHAnsi" w:hAnsiTheme="majorHAnsi"/>
          <w:sz w:val="16"/>
          <w:szCs w:val="16"/>
        </w:rPr>
        <w:footnoteRef/>
      </w:r>
      <w:r w:rsidRPr="0060577E">
        <w:rPr>
          <w:rFonts w:asciiTheme="majorHAnsi" w:hAnsiTheme="majorHAnsi"/>
          <w:sz w:val="16"/>
          <w:szCs w:val="16"/>
          <w:lang w:val="es-ES_tradnl"/>
        </w:rPr>
        <w:t xml:space="preserve"> CIDH, Comunicado de Prensa No. 041/17, </w:t>
      </w:r>
      <w:hyperlink r:id="rId7" w:history="1">
        <w:r w:rsidRPr="0060577E">
          <w:rPr>
            <w:rStyle w:val="Hyperlink"/>
            <w:rFonts w:asciiTheme="majorHAnsi" w:hAnsiTheme="majorHAnsi"/>
            <w:sz w:val="16"/>
            <w:szCs w:val="16"/>
            <w:lang w:val="es-PE"/>
          </w:rPr>
          <w:t>CIDH condena decisiones del Tribunal Supremo de Justicia y la alteración del orden constitucional y democrático en Venezuela</w:t>
        </w:r>
      </w:hyperlink>
      <w:r w:rsidRPr="0060577E">
        <w:rPr>
          <w:rFonts w:asciiTheme="majorHAnsi" w:hAnsiTheme="majorHAnsi"/>
          <w:sz w:val="16"/>
          <w:szCs w:val="16"/>
          <w:lang w:val="es-ES_tradnl"/>
        </w:rPr>
        <w:t>, 31 de marzo de 2017.</w:t>
      </w:r>
    </w:p>
  </w:footnote>
  <w:footnote w:id="9">
    <w:p w14:paraId="69E008D3" w14:textId="77777777" w:rsidR="004839F6" w:rsidRPr="0060577E" w:rsidRDefault="004839F6" w:rsidP="0060577E">
      <w:pPr>
        <w:pStyle w:val="FootnoteText"/>
        <w:spacing w:after="120"/>
        <w:ind w:firstLine="720"/>
        <w:jc w:val="both"/>
        <w:rPr>
          <w:rFonts w:asciiTheme="majorHAnsi" w:hAnsiTheme="majorHAnsi"/>
          <w:sz w:val="16"/>
          <w:szCs w:val="16"/>
        </w:rPr>
      </w:pPr>
      <w:r w:rsidRPr="0060577E">
        <w:rPr>
          <w:rStyle w:val="FootnoteReference"/>
          <w:rFonts w:asciiTheme="majorHAnsi" w:hAnsiTheme="majorHAnsi"/>
          <w:sz w:val="16"/>
          <w:szCs w:val="16"/>
        </w:rPr>
        <w:footnoteRef/>
      </w:r>
      <w:r w:rsidRPr="0060577E">
        <w:rPr>
          <w:rFonts w:asciiTheme="majorHAnsi" w:hAnsiTheme="majorHAnsi"/>
          <w:sz w:val="16"/>
          <w:szCs w:val="16"/>
        </w:rPr>
        <w:t xml:space="preserve"> COFAVIC, Ejecuciones extrajudiciales, 40 historias de 6385 vidas ignoradas 2012-2017,</w:t>
      </w:r>
      <w:r w:rsidRPr="0060577E">
        <w:rPr>
          <w:rFonts w:asciiTheme="majorHAnsi" w:hAnsiTheme="majorHAnsi"/>
          <w:i/>
          <w:sz w:val="16"/>
          <w:szCs w:val="16"/>
        </w:rPr>
        <w:t xml:space="preserve"> </w:t>
      </w:r>
      <w:r w:rsidRPr="0060577E">
        <w:rPr>
          <w:rFonts w:asciiTheme="majorHAnsi" w:hAnsiTheme="majorHAnsi"/>
          <w:sz w:val="16"/>
          <w:szCs w:val="16"/>
        </w:rPr>
        <w:t>2017, págs. 39-40.</w:t>
      </w:r>
    </w:p>
  </w:footnote>
  <w:footnote w:id="10">
    <w:p w14:paraId="20966302" w14:textId="77777777" w:rsidR="004839F6" w:rsidRPr="0060577E" w:rsidRDefault="004839F6" w:rsidP="0060577E">
      <w:pPr>
        <w:pStyle w:val="FootnoteText"/>
        <w:spacing w:after="120"/>
        <w:ind w:firstLine="720"/>
        <w:jc w:val="both"/>
        <w:rPr>
          <w:rFonts w:asciiTheme="majorHAnsi" w:hAnsiTheme="majorHAnsi"/>
          <w:sz w:val="16"/>
          <w:szCs w:val="16"/>
        </w:rPr>
      </w:pPr>
      <w:r w:rsidRPr="0060577E">
        <w:rPr>
          <w:rFonts w:asciiTheme="majorHAnsi" w:hAnsiTheme="majorHAnsi"/>
          <w:sz w:val="16"/>
          <w:szCs w:val="16"/>
          <w:vertAlign w:val="superscript"/>
        </w:rPr>
        <w:footnoteRef/>
      </w:r>
      <w:r w:rsidRPr="0060577E">
        <w:rPr>
          <w:rFonts w:asciiTheme="majorHAnsi" w:hAnsiTheme="majorHAnsi"/>
          <w:sz w:val="16"/>
          <w:szCs w:val="16"/>
        </w:rPr>
        <w:t xml:space="preserve"> OVV, </w:t>
      </w:r>
      <w:hyperlink r:id="rId8" w:history="1">
        <w:r w:rsidRPr="0060577E">
          <w:rPr>
            <w:rStyle w:val="Hyperlink"/>
            <w:rFonts w:asciiTheme="majorHAnsi" w:hAnsiTheme="majorHAnsi"/>
            <w:sz w:val="16"/>
            <w:szCs w:val="16"/>
          </w:rPr>
          <w:t>Informe OVV de violencia 2017</w:t>
        </w:r>
      </w:hyperlink>
      <w:r w:rsidRPr="0060577E">
        <w:rPr>
          <w:rFonts w:asciiTheme="majorHAnsi" w:hAnsiTheme="majorHAnsi"/>
          <w:sz w:val="16"/>
          <w:szCs w:val="16"/>
        </w:rPr>
        <w:t>, 28 de diciembre de 2017.</w:t>
      </w:r>
    </w:p>
  </w:footnote>
  <w:footnote w:id="11">
    <w:p w14:paraId="52BF7E63" w14:textId="49B1B282" w:rsidR="004839F6" w:rsidRPr="0060577E" w:rsidRDefault="004839F6" w:rsidP="006057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20"/>
        <w:jc w:val="both"/>
        <w:rPr>
          <w:rFonts w:asciiTheme="majorHAnsi" w:eastAsiaTheme="minorHAnsi" w:hAnsiTheme="majorHAnsi" w:cs="Calibri"/>
          <w:color w:val="000000"/>
          <w:sz w:val="16"/>
          <w:szCs w:val="16"/>
          <w:bdr w:val="none" w:sz="0" w:space="0" w:color="auto"/>
          <w:lang w:val="es-PE"/>
        </w:rPr>
      </w:pPr>
      <w:r w:rsidRPr="0060577E">
        <w:rPr>
          <w:rStyle w:val="FootnoteReference"/>
          <w:rFonts w:asciiTheme="majorHAnsi" w:hAnsiTheme="majorHAnsi"/>
          <w:sz w:val="16"/>
          <w:szCs w:val="16"/>
        </w:rPr>
        <w:footnoteRef/>
      </w:r>
      <w:r w:rsidRPr="0060577E">
        <w:rPr>
          <w:rFonts w:asciiTheme="majorHAnsi" w:hAnsiTheme="majorHAnsi"/>
          <w:sz w:val="16"/>
          <w:szCs w:val="16"/>
          <w:lang w:val="es-PE"/>
        </w:rPr>
        <w:t xml:space="preserve"> Ministerio Público, </w:t>
      </w:r>
      <w:hyperlink r:id="rId9" w:history="1">
        <w:r w:rsidRPr="0060577E">
          <w:rPr>
            <w:rStyle w:val="Hyperlink"/>
            <w:rFonts w:asciiTheme="majorHAnsi" w:eastAsiaTheme="minorHAnsi" w:hAnsiTheme="majorHAnsi"/>
            <w:color w:val="0000FF"/>
            <w:sz w:val="16"/>
            <w:szCs w:val="16"/>
            <w:bdr w:val="none" w:sz="0" w:space="0" w:color="auto"/>
            <w:lang w:val="es-PE"/>
          </w:rPr>
          <w:t>Informe de gestión correspondiente a 2016</w:t>
        </w:r>
      </w:hyperlink>
      <w:r w:rsidRPr="0060577E">
        <w:rPr>
          <w:rFonts w:asciiTheme="majorHAnsi" w:eastAsiaTheme="minorHAnsi" w:hAnsiTheme="majorHAnsi" w:cs="Calibri"/>
          <w:color w:val="000000"/>
          <w:sz w:val="16"/>
          <w:szCs w:val="16"/>
          <w:bdr w:val="none" w:sz="0" w:space="0" w:color="auto"/>
          <w:lang w:val="es-PE"/>
        </w:rPr>
        <w:t>,</w:t>
      </w:r>
      <w:r w:rsidRPr="0060577E">
        <w:rPr>
          <w:rFonts w:asciiTheme="majorHAnsi" w:eastAsiaTheme="minorHAnsi" w:hAnsiTheme="majorHAnsi" w:cs="Calibri"/>
          <w:i/>
          <w:color w:val="000000"/>
          <w:sz w:val="16"/>
          <w:szCs w:val="16"/>
          <w:bdr w:val="none" w:sz="0" w:space="0" w:color="auto"/>
          <w:lang w:val="es-PE"/>
        </w:rPr>
        <w:t xml:space="preserve"> </w:t>
      </w:r>
      <w:r w:rsidRPr="0060577E">
        <w:rPr>
          <w:rFonts w:asciiTheme="majorHAnsi" w:eastAsiaTheme="minorHAnsi" w:hAnsiTheme="majorHAnsi" w:cs="Calibri"/>
          <w:color w:val="000000"/>
          <w:sz w:val="16"/>
          <w:szCs w:val="16"/>
          <w:bdr w:val="none" w:sz="0" w:space="0" w:color="auto"/>
          <w:lang w:val="es-PE"/>
        </w:rPr>
        <w:t>31 de marzo de 2</w:t>
      </w:r>
      <w:r w:rsidRPr="0060577E">
        <w:rPr>
          <w:rFonts w:asciiTheme="majorHAnsi" w:eastAsiaTheme="minorHAnsi" w:hAnsiTheme="majorHAnsi" w:cs="Calibri"/>
          <w:color w:val="000000"/>
          <w:sz w:val="16"/>
          <w:szCs w:val="16"/>
          <w:bdr w:val="none" w:sz="0" w:space="0" w:color="auto"/>
          <w:lang w:val="es-PE"/>
        </w:rPr>
        <w:tab/>
        <w:t>017.</w:t>
      </w:r>
    </w:p>
  </w:footnote>
  <w:footnote w:id="12">
    <w:p w14:paraId="17607FD9" w14:textId="77777777" w:rsidR="004839F6" w:rsidRPr="0060577E" w:rsidRDefault="004839F6" w:rsidP="0060577E">
      <w:pPr>
        <w:spacing w:after="120"/>
        <w:ind w:firstLine="720"/>
        <w:jc w:val="both"/>
        <w:rPr>
          <w:rFonts w:asciiTheme="majorHAnsi" w:hAnsiTheme="majorHAnsi"/>
          <w:sz w:val="16"/>
          <w:szCs w:val="16"/>
          <w:lang w:val="es-PE"/>
        </w:rPr>
      </w:pPr>
      <w:r w:rsidRPr="0060577E">
        <w:rPr>
          <w:rStyle w:val="FootnoteReference"/>
          <w:rFonts w:asciiTheme="majorHAnsi" w:hAnsiTheme="majorHAnsi"/>
          <w:sz w:val="16"/>
          <w:szCs w:val="16"/>
        </w:rPr>
        <w:footnoteRef/>
      </w:r>
      <w:r w:rsidRPr="0060577E">
        <w:rPr>
          <w:rFonts w:asciiTheme="majorHAnsi" w:hAnsiTheme="majorHAnsi"/>
          <w:sz w:val="16"/>
          <w:szCs w:val="16"/>
          <w:lang w:val="es-PE"/>
        </w:rPr>
        <w:t xml:space="preserve"> Analítica, </w:t>
      </w:r>
      <w:hyperlink r:id="rId10" w:history="1">
        <w:r w:rsidRPr="0060577E">
          <w:rPr>
            <w:rStyle w:val="Hyperlink"/>
            <w:rFonts w:asciiTheme="majorHAnsi" w:hAnsiTheme="majorHAnsi"/>
            <w:sz w:val="16"/>
            <w:szCs w:val="16"/>
            <w:lang w:val="es-PE" w:eastAsia="es-ES"/>
          </w:rPr>
          <w:t>Escasez de alimentos básicos en el país supera el 80%, según Datanálisis</w:t>
        </w:r>
      </w:hyperlink>
      <w:r w:rsidRPr="0060577E">
        <w:rPr>
          <w:rFonts w:asciiTheme="majorHAnsi" w:hAnsiTheme="majorHAnsi"/>
          <w:sz w:val="16"/>
          <w:szCs w:val="16"/>
          <w:lang w:val="es-PE"/>
        </w:rPr>
        <w:t>, 27 de mayo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5826" w14:textId="3E6C97C1" w:rsidR="005E5E00" w:rsidRPr="0058688A" w:rsidRDefault="005E5E00" w:rsidP="005E5E00">
    <w:pPr>
      <w:pStyle w:val="Header"/>
      <w:jc w:val="center"/>
      <w:rPr>
        <w:lang w:val="es-ES_tradnl"/>
      </w:rPr>
    </w:pPr>
    <w:r>
      <w:rPr>
        <w:noProof/>
      </w:rPr>
      <w:drawing>
        <wp:inline distT="0" distB="0" distL="0" distR="0" wp14:anchorId="155F4053" wp14:editId="64E84A05">
          <wp:extent cx="2289810" cy="124460"/>
          <wp:effectExtent l="0" t="0" r="0" b="8890"/>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24460"/>
                  </a:xfrm>
                  <a:prstGeom prst="rect">
                    <a:avLst/>
                  </a:prstGeom>
                  <a:noFill/>
                  <a:ln>
                    <a:noFill/>
                  </a:ln>
                </pic:spPr>
              </pic:pic>
            </a:graphicData>
          </a:graphic>
        </wp:inline>
      </w:drawing>
    </w:r>
  </w:p>
  <w:p w14:paraId="63995B52" w14:textId="67069D34" w:rsidR="005E5E00" w:rsidRDefault="00454F78">
    <w:pPr>
      <w:pStyle w:val="Header"/>
    </w:pPr>
    <w:r>
      <w:pict w14:anchorId="02338008">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3BBF" w14:textId="7E4CFEA0" w:rsidR="005E5E00" w:rsidRDefault="005E5E00" w:rsidP="005E5E00">
    <w:pPr>
      <w:pStyle w:val="Header"/>
    </w:pPr>
    <w:r>
      <w:rPr>
        <w:noProof/>
        <w:bdr w:val="none" w:sz="0" w:space="0" w:color="auto"/>
      </w:rPr>
      <w:drawing>
        <wp:anchor distT="0" distB="0" distL="114300" distR="114300" simplePos="0" relativeHeight="251660288" behindDoc="1" locked="0" layoutInCell="1" allowOverlap="1" wp14:anchorId="77EA1918" wp14:editId="000C98C2">
          <wp:simplePos x="0" y="0"/>
          <wp:positionH relativeFrom="column">
            <wp:posOffset>-85725</wp:posOffset>
          </wp:positionH>
          <wp:positionV relativeFrom="paragraph">
            <wp:posOffset>-23495</wp:posOffset>
          </wp:positionV>
          <wp:extent cx="1876425" cy="409575"/>
          <wp:effectExtent l="0" t="0" r="9525" b="9525"/>
          <wp:wrapThrough wrapText="bothSides">
            <wp:wrapPolygon edited="0">
              <wp:start x="0" y="0"/>
              <wp:lineTo x="0" y="21098"/>
              <wp:lineTo x="21490" y="21098"/>
              <wp:lineTo x="21490" y="0"/>
              <wp:lineTo x="0" y="0"/>
            </wp:wrapPolygon>
          </wp:wrapThrough>
          <wp:docPr id="5" name="Picture 5" descr="IA2017-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2017-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59264" behindDoc="1" locked="0" layoutInCell="1" allowOverlap="1" wp14:anchorId="6AD1B5B6" wp14:editId="40E25E1A">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4" name="Picture 4"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3E00E" w14:textId="77777777" w:rsidR="005E5E00" w:rsidRDefault="005E5E00" w:rsidP="005E5E00">
    <w:pPr>
      <w:pStyle w:val="Header"/>
    </w:pPr>
  </w:p>
  <w:p w14:paraId="23CD7CC9" w14:textId="6AD12A26" w:rsidR="005E5E00" w:rsidRDefault="00454F78">
    <w:pPr>
      <w:pStyle w:val="Header"/>
    </w:pPr>
    <w:r>
      <w:pict w14:anchorId="0A34FB09">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CCB"/>
    <w:multiLevelType w:val="hybridMultilevel"/>
    <w:tmpl w:val="F934FB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8E1F6B"/>
    <w:multiLevelType w:val="hybridMultilevel"/>
    <w:tmpl w:val="9D9AC864"/>
    <w:lvl w:ilvl="0" w:tplc="280A0011">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5CC1679"/>
    <w:multiLevelType w:val="hybridMultilevel"/>
    <w:tmpl w:val="B922D02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72F3E09"/>
    <w:multiLevelType w:val="hybridMultilevel"/>
    <w:tmpl w:val="45DC646E"/>
    <w:lvl w:ilvl="0" w:tplc="CB1811A4">
      <w:start w:val="1"/>
      <w:numFmt w:val="upperLetter"/>
      <w:lvlText w:val="%1."/>
      <w:lvlJc w:val="left"/>
      <w:pPr>
        <w:ind w:left="720" w:hanging="360"/>
      </w:pPr>
      <w:rPr>
        <w:rFonts w:ascii="Cambria" w:hAnsi="Cambria" w:hint="default"/>
        <w:b/>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8136991"/>
    <w:multiLevelType w:val="hybridMultilevel"/>
    <w:tmpl w:val="073AAAD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81B1B90"/>
    <w:multiLevelType w:val="hybridMultilevel"/>
    <w:tmpl w:val="E236DBAC"/>
    <w:lvl w:ilvl="0" w:tplc="1032C6E6">
      <w:start w:val="1"/>
      <w:numFmt w:val="decimal"/>
      <w:lvlText w:val="%1."/>
      <w:lvlJc w:val="left"/>
      <w:pPr>
        <w:ind w:left="1080" w:hanging="360"/>
      </w:pPr>
      <w:rPr>
        <w:rFonts w:ascii="Cambria" w:hAnsi="Cambria" w:hint="default"/>
        <w:b/>
        <w:i w:val="0"/>
        <w:sz w:val="20"/>
        <w:lang w:val="es-E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96C1328"/>
    <w:multiLevelType w:val="multilevel"/>
    <w:tmpl w:val="1996F3C6"/>
    <w:styleLink w:val="Lista51"/>
    <w:lvl w:ilvl="0">
      <w:start w:val="1"/>
      <w:numFmt w:val="decimal"/>
      <w:lvlText w:val="%1."/>
      <w:lvlJc w:val="left"/>
      <w:rPr>
        <w:rFonts w:ascii="Cambria" w:eastAsia="Cambria" w:hAnsi="Cambria" w:cs="Cambria"/>
        <w:position w:val="0"/>
        <w:lang w:val="es-ES_tradnl"/>
      </w:rPr>
    </w:lvl>
    <w:lvl w:ilvl="1">
      <w:start w:val="1"/>
      <w:numFmt w:val="upperLetter"/>
      <w:lvlText w:val="%2."/>
      <w:lvlJc w:val="left"/>
      <w:rPr>
        <w:rFonts w:ascii="Times New Roman" w:eastAsia="Times New Roman" w:hAnsi="Times New Roman" w:cs="Times New Roman"/>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7">
    <w:nsid w:val="0A830288"/>
    <w:multiLevelType w:val="hybridMultilevel"/>
    <w:tmpl w:val="B4CA2D52"/>
    <w:lvl w:ilvl="0" w:tplc="00FC02D2">
      <w:start w:val="13"/>
      <w:numFmt w:val="decimal"/>
      <w:lvlText w:val="%1."/>
      <w:lvlJc w:val="left"/>
      <w:pPr>
        <w:ind w:left="720" w:hanging="360"/>
      </w:pPr>
      <w:rPr>
        <w:rFonts w:ascii="Cambria" w:hAnsi="Cambria" w:hint="default"/>
        <w:b w:val="0"/>
        <w:i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6D52EF"/>
    <w:multiLevelType w:val="hybridMultilevel"/>
    <w:tmpl w:val="3AA67A9A"/>
    <w:lvl w:ilvl="0" w:tplc="F6803FBE">
      <w:start w:val="1"/>
      <w:numFmt w:val="decimal"/>
      <w:lvlText w:val="%1."/>
      <w:lvlJc w:val="left"/>
      <w:pPr>
        <w:ind w:left="1778" w:hanging="360"/>
      </w:pPr>
      <w:rPr>
        <w:rFonts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D10512C"/>
    <w:multiLevelType w:val="hybridMultilevel"/>
    <w:tmpl w:val="80A83B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D5B11DA"/>
    <w:multiLevelType w:val="multilevel"/>
    <w:tmpl w:val="FBA6C994"/>
    <w:styleLink w:val="List0"/>
    <w:lvl w:ilvl="0">
      <w:start w:val="1"/>
      <w:numFmt w:val="upperLetter"/>
      <w:lvlText w:val="%1."/>
      <w:lvlJc w:val="left"/>
      <w:rPr>
        <w:rFonts w:ascii="Times New Roman" w:eastAsia="Times New Roman" w:hAnsi="Times New Roman" w:cs="Times New Roman"/>
        <w:position w:val="0"/>
        <w:lang w:val="es-ES_tradnl"/>
      </w:rPr>
    </w:lvl>
    <w:lvl w:ilvl="1">
      <w:start w:val="1"/>
      <w:numFmt w:val="decimal"/>
      <w:lvlText w:val="%2."/>
      <w:lvlJc w:val="left"/>
      <w:rPr>
        <w:rFonts w:ascii="Cambria" w:eastAsia="Cambria" w:hAnsi="Cambria" w:cs="Cambria"/>
        <w:position w:val="0"/>
        <w:lang w:val="es-ES_tradnl"/>
      </w:rPr>
    </w:lvl>
    <w:lvl w:ilvl="2">
      <w:start w:val="1"/>
      <w:numFmt w:val="lowerLetter"/>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11">
    <w:nsid w:val="0ED704D7"/>
    <w:multiLevelType w:val="hybridMultilevel"/>
    <w:tmpl w:val="44668E7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FFB363A"/>
    <w:multiLevelType w:val="hybridMultilevel"/>
    <w:tmpl w:val="3AA67A9A"/>
    <w:lvl w:ilvl="0" w:tplc="F6803FBE">
      <w:start w:val="1"/>
      <w:numFmt w:val="decimal"/>
      <w:lvlText w:val="%1."/>
      <w:lvlJc w:val="left"/>
      <w:pPr>
        <w:ind w:left="1778"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1DF421A"/>
    <w:multiLevelType w:val="hybridMultilevel"/>
    <w:tmpl w:val="48E029D6"/>
    <w:lvl w:ilvl="0" w:tplc="16FAE722">
      <w:start w:val="1"/>
      <w:numFmt w:val="decimal"/>
      <w:lvlText w:val="%1."/>
      <w:lvlJc w:val="left"/>
      <w:pPr>
        <w:tabs>
          <w:tab w:val="num" w:pos="360"/>
        </w:tabs>
        <w:ind w:left="-360" w:firstLine="72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767BE4"/>
    <w:multiLevelType w:val="hybridMultilevel"/>
    <w:tmpl w:val="0ABE7D5C"/>
    <w:lvl w:ilvl="0" w:tplc="B09CFC32">
      <w:start w:val="5"/>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6F31CBF"/>
    <w:multiLevelType w:val="hybridMultilevel"/>
    <w:tmpl w:val="0A4C5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18BE6A73"/>
    <w:multiLevelType w:val="hybridMultilevel"/>
    <w:tmpl w:val="270C5E0C"/>
    <w:lvl w:ilvl="0" w:tplc="C644D3A4">
      <w:start w:val="1"/>
      <w:numFmt w:val="decimal"/>
      <w:lvlText w:val="%1."/>
      <w:lvlJc w:val="left"/>
      <w:pPr>
        <w:tabs>
          <w:tab w:val="num" w:pos="852"/>
        </w:tabs>
        <w:ind w:left="132" w:firstLine="720"/>
      </w:pPr>
      <w:rPr>
        <w:rFonts w:ascii="Cambria" w:eastAsia="Calibri" w:hAnsi="Cambria" w:cs="Arial" w:hint="default"/>
        <w:b w:val="0"/>
        <w:i w:val="0"/>
        <w:color w:val="808080"/>
        <w:sz w:val="20"/>
        <w:szCs w:val="20"/>
      </w:rPr>
    </w:lvl>
    <w:lvl w:ilvl="1" w:tplc="D7E297E4">
      <w:start w:val="1"/>
      <w:numFmt w:val="bullet"/>
      <w:lvlText w:val="­"/>
      <w:lvlJc w:val="left"/>
      <w:pPr>
        <w:tabs>
          <w:tab w:val="num" w:pos="1080"/>
        </w:tabs>
        <w:ind w:left="1440" w:hanging="360"/>
      </w:pPr>
      <w:rPr>
        <w:rFonts w:ascii="Courier New" w:hAnsi="Courier New" w:hint="default"/>
        <w:sz w:val="22"/>
      </w:rPr>
    </w:lvl>
    <w:lvl w:ilvl="2" w:tplc="0C8CD0DE">
      <w:start w:val="1"/>
      <w:numFmt w:val="lowerLetter"/>
      <w:lvlText w:val="%3."/>
      <w:lvlJc w:val="left"/>
      <w:pPr>
        <w:tabs>
          <w:tab w:val="num" w:pos="3420"/>
        </w:tabs>
        <w:ind w:left="3420" w:hanging="1440"/>
      </w:pPr>
      <w:rPr>
        <w:rFonts w:hint="default"/>
      </w:rPr>
    </w:lvl>
    <w:lvl w:ilvl="3" w:tplc="3E14DA86">
      <w:start w:val="1"/>
      <w:numFmt w:val="bullet"/>
      <w:lvlText w:val="-"/>
      <w:lvlJc w:val="left"/>
      <w:pPr>
        <w:tabs>
          <w:tab w:val="num" w:pos="3960"/>
        </w:tabs>
        <w:ind w:left="3960" w:hanging="1440"/>
      </w:pPr>
      <w:rPr>
        <w:rFonts w:ascii="Calibri" w:eastAsia="Times New Roman" w:hAnsi="Calibri"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7E413F"/>
    <w:multiLevelType w:val="multilevel"/>
    <w:tmpl w:val="A0B8426E"/>
    <w:styleLink w:val="List1"/>
    <w:lvl w:ilvl="0">
      <w:start w:val="1"/>
      <w:numFmt w:val="decimal"/>
      <w:lvlText w:val="%1."/>
      <w:lvlJc w:val="left"/>
      <w:rPr>
        <w:rFonts w:ascii="Times New Roman" w:eastAsia="Times New Roman" w:hAnsi="Times New Roman" w:cs="Times New Roman"/>
        <w:position w:val="0"/>
        <w:lang w:val="es-ES_tradnl"/>
      </w:rPr>
    </w:lvl>
    <w:lvl w:ilvl="1">
      <w:start w:val="1"/>
      <w:numFmt w:val="upperLetter"/>
      <w:lvlText w:val="%2."/>
      <w:lvlJc w:val="left"/>
      <w:rPr>
        <w:rFonts w:ascii="Cambria" w:eastAsia="Cambria" w:hAnsi="Cambria" w:cs="Cambria"/>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18">
    <w:nsid w:val="21480DA4"/>
    <w:multiLevelType w:val="hybridMultilevel"/>
    <w:tmpl w:val="C52CCB40"/>
    <w:lvl w:ilvl="0" w:tplc="32DA57F4">
      <w:start w:val="1"/>
      <w:numFmt w:val="decimal"/>
      <w:lvlText w:val="%1)"/>
      <w:lvlJc w:val="left"/>
      <w:pPr>
        <w:ind w:left="720" w:hanging="360"/>
      </w:pPr>
      <w:rPr>
        <w:rFonts w:asciiTheme="minorHAnsi" w:eastAsiaTheme="minorEastAsia" w:hAnsiTheme="minorHAnsi"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4377BAE"/>
    <w:multiLevelType w:val="multilevel"/>
    <w:tmpl w:val="44640F04"/>
    <w:styleLink w:val="Lista21"/>
    <w:lvl w:ilvl="0">
      <w:start w:val="1"/>
      <w:numFmt w:val="upperLetter"/>
      <w:lvlText w:val="%1."/>
      <w:lvlJc w:val="left"/>
      <w:rPr>
        <w:rFonts w:ascii="Cambria" w:eastAsia="Cambria" w:hAnsi="Cambria" w:cs="Cambria"/>
        <w:position w:val="0"/>
        <w:lang w:val="es-ES_tradnl"/>
      </w:rPr>
    </w:lvl>
    <w:lvl w:ilvl="1">
      <w:start w:val="1"/>
      <w:numFmt w:val="decimal"/>
      <w:lvlText w:val="%2."/>
      <w:lvlJc w:val="left"/>
      <w:rPr>
        <w:rFonts w:ascii="Times New Roman" w:eastAsia="Times New Roman" w:hAnsi="Times New Roman" w:cs="Times New Roman"/>
        <w:position w:val="0"/>
        <w:lang w:val="es-ES_tradnl"/>
      </w:rPr>
    </w:lvl>
    <w:lvl w:ilvl="2">
      <w:start w:val="1"/>
      <w:numFmt w:val="lowerLetter"/>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20">
    <w:nsid w:val="2CC9553D"/>
    <w:multiLevelType w:val="hybridMultilevel"/>
    <w:tmpl w:val="6C381B5C"/>
    <w:lvl w:ilvl="0" w:tplc="5FEC3C0E">
      <w:start w:val="1"/>
      <w:numFmt w:val="decimal"/>
      <w:lvlText w:val="%1."/>
      <w:lvlJc w:val="left"/>
      <w:pPr>
        <w:ind w:left="720" w:hanging="360"/>
      </w:pPr>
      <w:rPr>
        <w:rFonts w:ascii="Cambria" w:hAnsi="Cambria" w:cs="Calibri" w:hint="default"/>
        <w:b/>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2D363572"/>
    <w:multiLevelType w:val="hybridMultilevel"/>
    <w:tmpl w:val="0B646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0F27992"/>
    <w:multiLevelType w:val="multilevel"/>
    <w:tmpl w:val="7622811E"/>
    <w:styleLink w:val="List7"/>
    <w:lvl w:ilvl="0">
      <w:start w:val="1"/>
      <w:numFmt w:val="decimal"/>
      <w:lvlText w:val="%1."/>
      <w:lvlJc w:val="left"/>
      <w:rPr>
        <w:rFonts w:ascii="Cambria" w:eastAsia="Cambria" w:hAnsi="Cambria" w:cs="Cambria"/>
        <w:position w:val="0"/>
      </w:rPr>
    </w:lvl>
    <w:lvl w:ilvl="1">
      <w:start w:val="1"/>
      <w:numFmt w:val="upperLetter"/>
      <w:lvlText w:val="%2."/>
      <w:lvlJc w:val="left"/>
      <w:rPr>
        <w:rFonts w:ascii="Times New Roman" w:eastAsia="Times New Roman" w:hAnsi="Times New Roman" w:cs="Times New Roman"/>
        <w:position w:val="0"/>
      </w:rPr>
    </w:lvl>
    <w:lvl w:ilvl="2">
      <w:start w:val="1"/>
      <w:numFmt w:val="lowerRoman"/>
      <w:lvlText w:val="%3."/>
      <w:lvlJc w:val="left"/>
      <w:rPr>
        <w:rFonts w:ascii="Cambria" w:eastAsia="Cambria" w:hAnsi="Cambria" w:cs="Cambria"/>
        <w:position w:val="0"/>
      </w:rPr>
    </w:lvl>
    <w:lvl w:ilvl="3">
      <w:start w:val="1"/>
      <w:numFmt w:val="decimal"/>
      <w:lvlText w:val="%4."/>
      <w:lvlJc w:val="left"/>
      <w:rPr>
        <w:rFonts w:ascii="Cambria" w:eastAsia="Cambria" w:hAnsi="Cambria" w:cs="Cambria"/>
        <w:position w:val="0"/>
      </w:rPr>
    </w:lvl>
    <w:lvl w:ilvl="4">
      <w:start w:val="1"/>
      <w:numFmt w:val="lowerLetter"/>
      <w:lvlText w:val="%5."/>
      <w:lvlJc w:val="left"/>
      <w:rPr>
        <w:rFonts w:ascii="Cambria" w:eastAsia="Cambria" w:hAnsi="Cambria" w:cs="Cambria"/>
        <w:position w:val="0"/>
      </w:rPr>
    </w:lvl>
    <w:lvl w:ilvl="5">
      <w:start w:val="1"/>
      <w:numFmt w:val="lowerRoman"/>
      <w:lvlText w:val="%6."/>
      <w:lvlJc w:val="left"/>
      <w:rPr>
        <w:rFonts w:ascii="Cambria" w:eastAsia="Cambria" w:hAnsi="Cambria" w:cs="Cambria"/>
        <w:position w:val="0"/>
      </w:rPr>
    </w:lvl>
    <w:lvl w:ilvl="6">
      <w:start w:val="1"/>
      <w:numFmt w:val="decimal"/>
      <w:lvlText w:val="%7."/>
      <w:lvlJc w:val="left"/>
      <w:rPr>
        <w:rFonts w:ascii="Cambria" w:eastAsia="Cambria" w:hAnsi="Cambria" w:cs="Cambria"/>
        <w:position w:val="0"/>
      </w:rPr>
    </w:lvl>
    <w:lvl w:ilvl="7">
      <w:start w:val="1"/>
      <w:numFmt w:val="lowerLetter"/>
      <w:lvlText w:val="%8."/>
      <w:lvlJc w:val="left"/>
      <w:rPr>
        <w:rFonts w:ascii="Cambria" w:eastAsia="Cambria" w:hAnsi="Cambria" w:cs="Cambria"/>
        <w:position w:val="0"/>
      </w:rPr>
    </w:lvl>
    <w:lvl w:ilvl="8">
      <w:start w:val="1"/>
      <w:numFmt w:val="lowerRoman"/>
      <w:lvlText w:val="%9."/>
      <w:lvlJc w:val="left"/>
      <w:rPr>
        <w:rFonts w:ascii="Cambria" w:eastAsia="Cambria" w:hAnsi="Cambria" w:cs="Cambria"/>
        <w:position w:val="0"/>
      </w:rPr>
    </w:lvl>
  </w:abstractNum>
  <w:abstractNum w:abstractNumId="23">
    <w:nsid w:val="318505C1"/>
    <w:multiLevelType w:val="hybridMultilevel"/>
    <w:tmpl w:val="A2008D00"/>
    <w:lvl w:ilvl="0" w:tplc="2E109760">
      <w:start w:val="1"/>
      <w:numFmt w:val="decimal"/>
      <w:lvlText w:val="%1."/>
      <w:lvlJc w:val="left"/>
      <w:pPr>
        <w:ind w:left="720" w:hanging="360"/>
      </w:pPr>
      <w:rPr>
        <w:rFonts w:ascii="Cambria" w:hAnsi="Cambria" w:cs="Calibri" w:hint="default"/>
        <w:b/>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2AB773F"/>
    <w:multiLevelType w:val="hybridMultilevel"/>
    <w:tmpl w:val="4ADC39D6"/>
    <w:lvl w:ilvl="0" w:tplc="CD8CF706">
      <w:numFmt w:val="bullet"/>
      <w:lvlText w:val="-"/>
      <w:lvlJc w:val="left"/>
      <w:pPr>
        <w:ind w:left="720" w:hanging="360"/>
      </w:pPr>
      <w:rPr>
        <w:rFonts w:ascii="Calibri" w:eastAsiaTheme="minorEastAsia"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34210FD7"/>
    <w:multiLevelType w:val="hybridMultilevel"/>
    <w:tmpl w:val="23EA1FFC"/>
    <w:lvl w:ilvl="0" w:tplc="A5BA62F2">
      <w:start w:val="1"/>
      <w:numFmt w:val="decimal"/>
      <w:lvlText w:val="%1."/>
      <w:lvlJc w:val="left"/>
      <w:pPr>
        <w:ind w:left="1778" w:hanging="360"/>
      </w:pPr>
      <w:rPr>
        <w:rFonts w:hint="default"/>
        <w:b w:val="0"/>
        <w:i w:val="0"/>
        <w:strike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6812FFF"/>
    <w:multiLevelType w:val="multilevel"/>
    <w:tmpl w:val="008A0F68"/>
    <w:styleLink w:val="Lista41"/>
    <w:lvl w:ilvl="0">
      <w:start w:val="1"/>
      <w:numFmt w:val="upperLetter"/>
      <w:lvlText w:val="%1."/>
      <w:lvlJc w:val="left"/>
      <w:rPr>
        <w:rFonts w:ascii="Cambria" w:eastAsia="Cambria" w:hAnsi="Cambria" w:cs="Cambria"/>
        <w:position w:val="0"/>
        <w:lang w:val="es-ES_tradnl"/>
      </w:rPr>
    </w:lvl>
    <w:lvl w:ilvl="1">
      <w:start w:val="1"/>
      <w:numFmt w:val="decimal"/>
      <w:lvlText w:val="%2."/>
      <w:lvlJc w:val="left"/>
      <w:rPr>
        <w:rFonts w:ascii="Times New Roman" w:eastAsia="Times New Roman" w:hAnsi="Times New Roman" w:cs="Times New Roman"/>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27">
    <w:nsid w:val="382A6B44"/>
    <w:multiLevelType w:val="hybridMultilevel"/>
    <w:tmpl w:val="B44091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3C7177BE"/>
    <w:multiLevelType w:val="hybridMultilevel"/>
    <w:tmpl w:val="31BAFC9A"/>
    <w:lvl w:ilvl="0" w:tplc="6A5CA39E">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3EA46500"/>
    <w:multiLevelType w:val="hybridMultilevel"/>
    <w:tmpl w:val="AE66F912"/>
    <w:lvl w:ilvl="0" w:tplc="6F28CB88">
      <w:start w:val="1"/>
      <w:numFmt w:val="decimal"/>
      <w:lvlText w:val="%1."/>
      <w:lvlJc w:val="left"/>
      <w:pPr>
        <w:ind w:left="720" w:hanging="360"/>
      </w:pPr>
      <w:rPr>
        <w:rFonts w:ascii="Cambria" w:hAnsi="Cambria" w:cs="Calibri" w:hint="default"/>
        <w:b/>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3FAC6E2F"/>
    <w:multiLevelType w:val="hybridMultilevel"/>
    <w:tmpl w:val="A18A9F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406A6142"/>
    <w:multiLevelType w:val="hybridMultilevel"/>
    <w:tmpl w:val="8B0A9296"/>
    <w:lvl w:ilvl="0" w:tplc="03F299B0">
      <w:start w:val="1"/>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2380FDA"/>
    <w:multiLevelType w:val="hybridMultilevel"/>
    <w:tmpl w:val="B92415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45BB5028"/>
    <w:multiLevelType w:val="hybridMultilevel"/>
    <w:tmpl w:val="50787AB0"/>
    <w:lvl w:ilvl="0" w:tplc="3E687B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88B3B83"/>
    <w:multiLevelType w:val="hybridMultilevel"/>
    <w:tmpl w:val="80720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489B18B6"/>
    <w:multiLevelType w:val="multilevel"/>
    <w:tmpl w:val="5A1A0ADA"/>
    <w:styleLink w:val="List6"/>
    <w:lvl w:ilvl="0">
      <w:start w:val="1"/>
      <w:numFmt w:val="decimal"/>
      <w:lvlText w:val="%1."/>
      <w:lvlJc w:val="left"/>
      <w:rPr>
        <w:rFonts w:ascii="Cambria" w:eastAsia="Cambria" w:hAnsi="Cambria" w:cs="Cambria"/>
        <w:position w:val="0"/>
        <w:lang w:val="es-ES_tradnl"/>
      </w:rPr>
    </w:lvl>
    <w:lvl w:ilvl="1">
      <w:start w:val="1"/>
      <w:numFmt w:val="decimal"/>
      <w:lvlText w:val="%2."/>
      <w:lvlJc w:val="left"/>
      <w:rPr>
        <w:rFonts w:ascii="Times New Roman" w:eastAsia="Times New Roman" w:hAnsi="Times New Roman" w:cs="Times New Roman"/>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36">
    <w:nsid w:val="4AA31745"/>
    <w:multiLevelType w:val="hybridMultilevel"/>
    <w:tmpl w:val="D62A9B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4D4E6EA3"/>
    <w:multiLevelType w:val="hybridMultilevel"/>
    <w:tmpl w:val="09F6A57A"/>
    <w:lvl w:ilvl="0" w:tplc="77E4D3E8">
      <w:start w:val="1"/>
      <w:numFmt w:val="upperLetter"/>
      <w:lvlText w:val="%1."/>
      <w:lvlJc w:val="left"/>
      <w:pPr>
        <w:ind w:left="927" w:hanging="360"/>
      </w:pPr>
      <w:rPr>
        <w:rFonts w:ascii="Cambria" w:hAnsi="Cambria" w:hint="default"/>
        <w:b/>
        <w:i w:val="0"/>
        <w:sz w:val="22"/>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8">
    <w:nsid w:val="524575DB"/>
    <w:multiLevelType w:val="hybridMultilevel"/>
    <w:tmpl w:val="D7EC17DE"/>
    <w:lvl w:ilvl="0" w:tplc="C4965BC4">
      <w:start w:val="4"/>
      <w:numFmt w:val="bullet"/>
      <w:lvlText w:val="-"/>
      <w:lvlJc w:val="left"/>
      <w:pPr>
        <w:ind w:left="720" w:hanging="360"/>
      </w:pPr>
      <w:rPr>
        <w:rFonts w:ascii="Calibri" w:eastAsiaTheme="minorEastAsia"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DC06818"/>
    <w:multiLevelType w:val="hybridMultilevel"/>
    <w:tmpl w:val="FB64C5AC"/>
    <w:lvl w:ilvl="0" w:tplc="297CE84A">
      <w:start w:val="1"/>
      <w:numFmt w:val="upperLetter"/>
      <w:lvlText w:val="%1."/>
      <w:lvlJc w:val="left"/>
      <w:pPr>
        <w:ind w:left="360" w:hanging="360"/>
      </w:pPr>
      <w:rPr>
        <w:rFonts w:ascii="Cambria" w:hAnsi="Cambria" w:hint="default"/>
        <w:b/>
        <w:i w:val="0"/>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5F6B6246"/>
    <w:multiLevelType w:val="hybridMultilevel"/>
    <w:tmpl w:val="47329B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3E62FA8"/>
    <w:multiLevelType w:val="hybridMultilevel"/>
    <w:tmpl w:val="4976C3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C478BB"/>
    <w:multiLevelType w:val="hybridMultilevel"/>
    <w:tmpl w:val="F544F228"/>
    <w:lvl w:ilvl="0" w:tplc="0C0A0015">
      <w:start w:val="1"/>
      <w:numFmt w:val="upp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3">
    <w:nsid w:val="69830BC7"/>
    <w:multiLevelType w:val="hybridMultilevel"/>
    <w:tmpl w:val="F1422D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D7E3AFA"/>
    <w:multiLevelType w:val="hybridMultilevel"/>
    <w:tmpl w:val="C5D64A02"/>
    <w:lvl w:ilvl="0" w:tplc="729AFB48">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5">
    <w:nsid w:val="7D173B7D"/>
    <w:multiLevelType w:val="hybridMultilevel"/>
    <w:tmpl w:val="C45CAC74"/>
    <w:lvl w:ilvl="0" w:tplc="A5BA62F2">
      <w:start w:val="1"/>
      <w:numFmt w:val="decimal"/>
      <w:lvlText w:val="%1."/>
      <w:lvlJc w:val="left"/>
      <w:pPr>
        <w:ind w:left="1778" w:hanging="360"/>
      </w:pPr>
      <w:rPr>
        <w:rFonts w:hint="default"/>
        <w:b w:val="0"/>
        <w:i w:val="0"/>
        <w:strike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DA43F8E"/>
    <w:multiLevelType w:val="hybridMultilevel"/>
    <w:tmpl w:val="3EA49EA0"/>
    <w:lvl w:ilvl="0" w:tplc="7A26A8A4">
      <w:start w:val="4"/>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7E04248A"/>
    <w:multiLevelType w:val="hybridMultilevel"/>
    <w:tmpl w:val="1BFE30B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EDB75BB"/>
    <w:multiLevelType w:val="multilevel"/>
    <w:tmpl w:val="D270911C"/>
    <w:styleLink w:val="Lista31"/>
    <w:lvl w:ilvl="0">
      <w:start w:val="1"/>
      <w:numFmt w:val="upperLetter"/>
      <w:lvlText w:val="%1."/>
      <w:lvlJc w:val="left"/>
      <w:rPr>
        <w:rFonts w:ascii="Times New Roman" w:eastAsia="Times New Roman" w:hAnsi="Times New Roman" w:cs="Times New Roman"/>
        <w:position w:val="0"/>
        <w:lang w:val="es-ES_tradnl"/>
      </w:rPr>
    </w:lvl>
    <w:lvl w:ilvl="1">
      <w:start w:val="1"/>
      <w:numFmt w:val="upperLetter"/>
      <w:lvlText w:val="%2."/>
      <w:lvlJc w:val="left"/>
      <w:rPr>
        <w:rFonts w:ascii="Cambria" w:eastAsia="Cambria" w:hAnsi="Cambria" w:cs="Cambria"/>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num w:numId="1">
    <w:abstractNumId w:val="10"/>
  </w:num>
  <w:num w:numId="2">
    <w:abstractNumId w:val="17"/>
  </w:num>
  <w:num w:numId="3">
    <w:abstractNumId w:val="19"/>
  </w:num>
  <w:num w:numId="4">
    <w:abstractNumId w:val="48"/>
  </w:num>
  <w:num w:numId="5">
    <w:abstractNumId w:val="26"/>
  </w:num>
  <w:num w:numId="6">
    <w:abstractNumId w:val="6"/>
  </w:num>
  <w:num w:numId="7">
    <w:abstractNumId w:val="35"/>
  </w:num>
  <w:num w:numId="8">
    <w:abstractNumId w:val="22"/>
  </w:num>
  <w:num w:numId="9">
    <w:abstractNumId w:val="37"/>
  </w:num>
  <w:num w:numId="10">
    <w:abstractNumId w:val="29"/>
  </w:num>
  <w:num w:numId="11">
    <w:abstractNumId w:val="23"/>
  </w:num>
  <w:num w:numId="12">
    <w:abstractNumId w:val="20"/>
  </w:num>
  <w:num w:numId="13">
    <w:abstractNumId w:val="3"/>
  </w:num>
  <w:num w:numId="14">
    <w:abstractNumId w:val="34"/>
  </w:num>
  <w:num w:numId="15">
    <w:abstractNumId w:val="30"/>
  </w:num>
  <w:num w:numId="16">
    <w:abstractNumId w:val="39"/>
  </w:num>
  <w:num w:numId="17">
    <w:abstractNumId w:val="42"/>
  </w:num>
  <w:num w:numId="18">
    <w:abstractNumId w:val="31"/>
  </w:num>
  <w:num w:numId="19">
    <w:abstractNumId w:val="25"/>
  </w:num>
  <w:num w:numId="20">
    <w:abstractNumId w:val="2"/>
  </w:num>
  <w:num w:numId="21">
    <w:abstractNumId w:val="44"/>
  </w:num>
  <w:num w:numId="22">
    <w:abstractNumId w:val="5"/>
  </w:num>
  <w:num w:numId="23">
    <w:abstractNumId w:val="14"/>
  </w:num>
  <w:num w:numId="24">
    <w:abstractNumId w:val="38"/>
  </w:num>
  <w:num w:numId="25">
    <w:abstractNumId w:val="12"/>
  </w:num>
  <w:num w:numId="26">
    <w:abstractNumId w:val="18"/>
  </w:num>
  <w:num w:numId="27">
    <w:abstractNumId w:val="40"/>
  </w:num>
  <w:num w:numId="28">
    <w:abstractNumId w:val="28"/>
  </w:num>
  <w:num w:numId="29">
    <w:abstractNumId w:val="11"/>
  </w:num>
  <w:num w:numId="30">
    <w:abstractNumId w:val="1"/>
  </w:num>
  <w:num w:numId="31">
    <w:abstractNumId w:val="32"/>
  </w:num>
  <w:num w:numId="32">
    <w:abstractNumId w:val="15"/>
  </w:num>
  <w:num w:numId="33">
    <w:abstractNumId w:val="27"/>
  </w:num>
  <w:num w:numId="34">
    <w:abstractNumId w:val="36"/>
  </w:num>
  <w:num w:numId="35">
    <w:abstractNumId w:val="0"/>
  </w:num>
  <w:num w:numId="36">
    <w:abstractNumId w:val="24"/>
  </w:num>
  <w:num w:numId="37">
    <w:abstractNumId w:val="8"/>
  </w:num>
  <w:num w:numId="38">
    <w:abstractNumId w:val="21"/>
  </w:num>
  <w:num w:numId="39">
    <w:abstractNumId w:val="16"/>
  </w:num>
  <w:num w:numId="40">
    <w:abstractNumId w:val="9"/>
  </w:num>
  <w:num w:numId="41">
    <w:abstractNumId w:val="7"/>
  </w:num>
  <w:num w:numId="42">
    <w:abstractNumId w:val="43"/>
  </w:num>
  <w:num w:numId="43">
    <w:abstractNumId w:val="47"/>
  </w:num>
  <w:num w:numId="44">
    <w:abstractNumId w:val="33"/>
  </w:num>
  <w:num w:numId="45">
    <w:abstractNumId w:val="46"/>
  </w:num>
  <w:num w:numId="46">
    <w:abstractNumId w:val="41"/>
  </w:num>
  <w:num w:numId="47">
    <w:abstractNumId w:val="13"/>
  </w:num>
  <w:num w:numId="48">
    <w:abstractNumId w:val="4"/>
  </w:num>
  <w:num w:numId="49">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UY" w:vendorID="64" w:dllVersion="6" w:nlCheck="1" w:checkStyle="1"/>
  <w:activeWritingStyle w:appName="MSWord" w:lang="en-GB" w:vendorID="64" w:dllVersion="6" w:nlCheck="1" w:checkStyle="1"/>
  <w:activeWritingStyle w:appName="MSWord" w:lang="es-CO" w:vendorID="64" w:dllVersion="6" w:nlCheck="1" w:checkStyle="1"/>
  <w:activeWritingStyle w:appName="MSWord" w:lang="es-AR" w:vendorID="64" w:dllVersion="6" w:nlCheck="1" w:checkStyle="1"/>
  <w:activeWritingStyle w:appName="MSWord" w:lang="es-US" w:vendorID="64" w:dllVersion="6" w:nlCheck="1" w:checkStyle="1"/>
  <w:activeWritingStyle w:appName="MSWord" w:lang="fr-CA" w:vendorID="64" w:dllVersion="6" w:nlCheck="1" w:checkStyle="1"/>
  <w:activeWritingStyle w:appName="MSWord" w:lang="es-VE" w:vendorID="64" w:dllVersion="6" w:nlCheck="1" w:checkStyle="1"/>
  <w:activeWritingStyle w:appName="MSWord" w:lang="es-CR"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CO" w:vendorID="64" w:dllVersion="4096" w:nlCheck="1" w:checkStyle="0"/>
  <w:activeWritingStyle w:appName="MSWord" w:lang="es-UY" w:vendorID="64" w:dllVersion="4096" w:nlCheck="1" w:checkStyle="0"/>
  <w:activeWritingStyle w:appName="MSWord" w:lang="es-VE"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C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s-ES_tradnl" w:vendorID="64" w:dllVersion="131078" w:nlCheck="1" w:checkStyle="1"/>
  <w:activeWritingStyle w:appName="MSWord" w:lang="es-PE"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VE" w:vendorID="64" w:dllVersion="131078" w:nlCheck="1" w:checkStyle="1"/>
  <w:activeWritingStyle w:appName="MSWord" w:lang="es-US" w:vendorID="64" w:dllVersion="131078" w:nlCheck="1" w:checkStyle="1"/>
  <w:activeWritingStyle w:appName="MSWord" w:lang="en-GB" w:vendorID="64" w:dllVersion="131078" w:nlCheck="1" w:checkStyle="1"/>
  <w:activeWritingStyle w:appName="MSWord" w:lang="es-UY"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76"/>
    <w:rsid w:val="0000009C"/>
    <w:rsid w:val="000006FF"/>
    <w:rsid w:val="0000097B"/>
    <w:rsid w:val="00000984"/>
    <w:rsid w:val="00000E4D"/>
    <w:rsid w:val="0000174B"/>
    <w:rsid w:val="000027E7"/>
    <w:rsid w:val="00002B55"/>
    <w:rsid w:val="00002BDA"/>
    <w:rsid w:val="00003A39"/>
    <w:rsid w:val="00003AC8"/>
    <w:rsid w:val="00004B38"/>
    <w:rsid w:val="000057CB"/>
    <w:rsid w:val="000058D1"/>
    <w:rsid w:val="00005964"/>
    <w:rsid w:val="00006FC0"/>
    <w:rsid w:val="00007874"/>
    <w:rsid w:val="000100DA"/>
    <w:rsid w:val="000105B5"/>
    <w:rsid w:val="000106C8"/>
    <w:rsid w:val="0001134A"/>
    <w:rsid w:val="000124C9"/>
    <w:rsid w:val="0001332A"/>
    <w:rsid w:val="0001351A"/>
    <w:rsid w:val="00014484"/>
    <w:rsid w:val="000144F1"/>
    <w:rsid w:val="00015074"/>
    <w:rsid w:val="00016762"/>
    <w:rsid w:val="00016A25"/>
    <w:rsid w:val="00016D48"/>
    <w:rsid w:val="0001708F"/>
    <w:rsid w:val="00017F89"/>
    <w:rsid w:val="00022A8B"/>
    <w:rsid w:val="000234FD"/>
    <w:rsid w:val="0002360C"/>
    <w:rsid w:val="00023CDE"/>
    <w:rsid w:val="000266A7"/>
    <w:rsid w:val="00026C12"/>
    <w:rsid w:val="00026EDD"/>
    <w:rsid w:val="000328AA"/>
    <w:rsid w:val="00032E28"/>
    <w:rsid w:val="00033D1D"/>
    <w:rsid w:val="000349E4"/>
    <w:rsid w:val="00034C91"/>
    <w:rsid w:val="00034CAA"/>
    <w:rsid w:val="00035991"/>
    <w:rsid w:val="000359FE"/>
    <w:rsid w:val="00035AF6"/>
    <w:rsid w:val="00036C3F"/>
    <w:rsid w:val="00037B81"/>
    <w:rsid w:val="00037E6C"/>
    <w:rsid w:val="00037EFC"/>
    <w:rsid w:val="00037FA0"/>
    <w:rsid w:val="00040D38"/>
    <w:rsid w:val="00041093"/>
    <w:rsid w:val="000432C6"/>
    <w:rsid w:val="000443EC"/>
    <w:rsid w:val="00044BFF"/>
    <w:rsid w:val="00044D38"/>
    <w:rsid w:val="00044DDF"/>
    <w:rsid w:val="00046015"/>
    <w:rsid w:val="000465DB"/>
    <w:rsid w:val="00046797"/>
    <w:rsid w:val="000469C4"/>
    <w:rsid w:val="00046FA8"/>
    <w:rsid w:val="00047216"/>
    <w:rsid w:val="000477C2"/>
    <w:rsid w:val="000479AD"/>
    <w:rsid w:val="000500D8"/>
    <w:rsid w:val="000505B2"/>
    <w:rsid w:val="0005064C"/>
    <w:rsid w:val="00050DEA"/>
    <w:rsid w:val="00051941"/>
    <w:rsid w:val="00051F51"/>
    <w:rsid w:val="00052857"/>
    <w:rsid w:val="000529D1"/>
    <w:rsid w:val="000530CE"/>
    <w:rsid w:val="000536E6"/>
    <w:rsid w:val="00054B0D"/>
    <w:rsid w:val="00054C6B"/>
    <w:rsid w:val="00054C99"/>
    <w:rsid w:val="000554FB"/>
    <w:rsid w:val="000557E2"/>
    <w:rsid w:val="000559D6"/>
    <w:rsid w:val="0005726E"/>
    <w:rsid w:val="0005762F"/>
    <w:rsid w:val="000576F6"/>
    <w:rsid w:val="00057AE6"/>
    <w:rsid w:val="00057C2E"/>
    <w:rsid w:val="00057D64"/>
    <w:rsid w:val="000606A5"/>
    <w:rsid w:val="00061045"/>
    <w:rsid w:val="0006178D"/>
    <w:rsid w:val="0006341D"/>
    <w:rsid w:val="00063822"/>
    <w:rsid w:val="00063B75"/>
    <w:rsid w:val="00063D1C"/>
    <w:rsid w:val="00063FAF"/>
    <w:rsid w:val="0006410D"/>
    <w:rsid w:val="0006438B"/>
    <w:rsid w:val="00064AAF"/>
    <w:rsid w:val="00064B58"/>
    <w:rsid w:val="00065477"/>
    <w:rsid w:val="000658F1"/>
    <w:rsid w:val="00066CF0"/>
    <w:rsid w:val="00067488"/>
    <w:rsid w:val="000675E2"/>
    <w:rsid w:val="000711C3"/>
    <w:rsid w:val="00071987"/>
    <w:rsid w:val="00071A41"/>
    <w:rsid w:val="00072ABC"/>
    <w:rsid w:val="00072F96"/>
    <w:rsid w:val="00073669"/>
    <w:rsid w:val="0007436A"/>
    <w:rsid w:val="00074A5D"/>
    <w:rsid w:val="00074A96"/>
    <w:rsid w:val="00075B31"/>
    <w:rsid w:val="00076D71"/>
    <w:rsid w:val="00077047"/>
    <w:rsid w:val="000776DE"/>
    <w:rsid w:val="00077725"/>
    <w:rsid w:val="00077AE3"/>
    <w:rsid w:val="00077CF0"/>
    <w:rsid w:val="00077D47"/>
    <w:rsid w:val="0008036B"/>
    <w:rsid w:val="000803A4"/>
    <w:rsid w:val="000834B4"/>
    <w:rsid w:val="0008353D"/>
    <w:rsid w:val="0008378F"/>
    <w:rsid w:val="000837A5"/>
    <w:rsid w:val="00083C6B"/>
    <w:rsid w:val="00084C0D"/>
    <w:rsid w:val="00084CE8"/>
    <w:rsid w:val="0008527F"/>
    <w:rsid w:val="00085A57"/>
    <w:rsid w:val="00085AC7"/>
    <w:rsid w:val="00086B69"/>
    <w:rsid w:val="000903E4"/>
    <w:rsid w:val="00090E36"/>
    <w:rsid w:val="00091FDB"/>
    <w:rsid w:val="000923E8"/>
    <w:rsid w:val="0009347E"/>
    <w:rsid w:val="00094885"/>
    <w:rsid w:val="00094932"/>
    <w:rsid w:val="0009496A"/>
    <w:rsid w:val="00094F08"/>
    <w:rsid w:val="000968D2"/>
    <w:rsid w:val="00097A7D"/>
    <w:rsid w:val="000A0138"/>
    <w:rsid w:val="000A0451"/>
    <w:rsid w:val="000A09CA"/>
    <w:rsid w:val="000A1C72"/>
    <w:rsid w:val="000A208E"/>
    <w:rsid w:val="000A2582"/>
    <w:rsid w:val="000A2689"/>
    <w:rsid w:val="000A2F7A"/>
    <w:rsid w:val="000A369C"/>
    <w:rsid w:val="000A3A6C"/>
    <w:rsid w:val="000A3D67"/>
    <w:rsid w:val="000A4003"/>
    <w:rsid w:val="000A4F25"/>
    <w:rsid w:val="000A55D9"/>
    <w:rsid w:val="000A56BD"/>
    <w:rsid w:val="000A586D"/>
    <w:rsid w:val="000A58A5"/>
    <w:rsid w:val="000A63A3"/>
    <w:rsid w:val="000A64E1"/>
    <w:rsid w:val="000A734F"/>
    <w:rsid w:val="000B1512"/>
    <w:rsid w:val="000B159B"/>
    <w:rsid w:val="000B1A0A"/>
    <w:rsid w:val="000B1DA0"/>
    <w:rsid w:val="000B1E82"/>
    <w:rsid w:val="000B21C6"/>
    <w:rsid w:val="000B242A"/>
    <w:rsid w:val="000B242F"/>
    <w:rsid w:val="000B277D"/>
    <w:rsid w:val="000B3FDA"/>
    <w:rsid w:val="000B467B"/>
    <w:rsid w:val="000B57F0"/>
    <w:rsid w:val="000B6783"/>
    <w:rsid w:val="000B6BE5"/>
    <w:rsid w:val="000B7064"/>
    <w:rsid w:val="000B745E"/>
    <w:rsid w:val="000B7DC8"/>
    <w:rsid w:val="000C0D2C"/>
    <w:rsid w:val="000C11B5"/>
    <w:rsid w:val="000C1213"/>
    <w:rsid w:val="000C17AD"/>
    <w:rsid w:val="000C1BA5"/>
    <w:rsid w:val="000C222E"/>
    <w:rsid w:val="000C2378"/>
    <w:rsid w:val="000C4E5E"/>
    <w:rsid w:val="000C5E44"/>
    <w:rsid w:val="000C629A"/>
    <w:rsid w:val="000C6DA7"/>
    <w:rsid w:val="000C785B"/>
    <w:rsid w:val="000D013E"/>
    <w:rsid w:val="000D0536"/>
    <w:rsid w:val="000D144F"/>
    <w:rsid w:val="000D15ED"/>
    <w:rsid w:val="000D18B5"/>
    <w:rsid w:val="000D2ED3"/>
    <w:rsid w:val="000D38F5"/>
    <w:rsid w:val="000D3B72"/>
    <w:rsid w:val="000D41AC"/>
    <w:rsid w:val="000D49D7"/>
    <w:rsid w:val="000D5AB4"/>
    <w:rsid w:val="000D6628"/>
    <w:rsid w:val="000D7700"/>
    <w:rsid w:val="000D7AB1"/>
    <w:rsid w:val="000E0C92"/>
    <w:rsid w:val="000E165D"/>
    <w:rsid w:val="000E19DD"/>
    <w:rsid w:val="000E1CA5"/>
    <w:rsid w:val="000E2B04"/>
    <w:rsid w:val="000E2C5D"/>
    <w:rsid w:val="000E2D89"/>
    <w:rsid w:val="000E374C"/>
    <w:rsid w:val="000E4130"/>
    <w:rsid w:val="000E45A8"/>
    <w:rsid w:val="000E4CF4"/>
    <w:rsid w:val="000E508E"/>
    <w:rsid w:val="000E56B6"/>
    <w:rsid w:val="000E57D2"/>
    <w:rsid w:val="000E6066"/>
    <w:rsid w:val="000E6644"/>
    <w:rsid w:val="000E669B"/>
    <w:rsid w:val="000E6753"/>
    <w:rsid w:val="000E6FB7"/>
    <w:rsid w:val="000E76EA"/>
    <w:rsid w:val="000E77D7"/>
    <w:rsid w:val="000E7A1C"/>
    <w:rsid w:val="000E7C97"/>
    <w:rsid w:val="000E7D69"/>
    <w:rsid w:val="000F1667"/>
    <w:rsid w:val="000F1DB2"/>
    <w:rsid w:val="000F2776"/>
    <w:rsid w:val="000F3191"/>
    <w:rsid w:val="000F3A88"/>
    <w:rsid w:val="000F3E52"/>
    <w:rsid w:val="000F4362"/>
    <w:rsid w:val="000F4656"/>
    <w:rsid w:val="000F493C"/>
    <w:rsid w:val="000F4EE5"/>
    <w:rsid w:val="000F5278"/>
    <w:rsid w:val="000F5ABA"/>
    <w:rsid w:val="000F5EE2"/>
    <w:rsid w:val="000F6F8E"/>
    <w:rsid w:val="000F72B9"/>
    <w:rsid w:val="000F741E"/>
    <w:rsid w:val="000F7757"/>
    <w:rsid w:val="000F7765"/>
    <w:rsid w:val="000F7A19"/>
    <w:rsid w:val="000F7DE7"/>
    <w:rsid w:val="00100A8C"/>
    <w:rsid w:val="00100D58"/>
    <w:rsid w:val="00100F5B"/>
    <w:rsid w:val="001015CF"/>
    <w:rsid w:val="001018B0"/>
    <w:rsid w:val="00101D8E"/>
    <w:rsid w:val="00101DB8"/>
    <w:rsid w:val="001037DF"/>
    <w:rsid w:val="00105D10"/>
    <w:rsid w:val="00107E35"/>
    <w:rsid w:val="00107E42"/>
    <w:rsid w:val="001102A9"/>
    <w:rsid w:val="00110611"/>
    <w:rsid w:val="0011067C"/>
    <w:rsid w:val="001106D1"/>
    <w:rsid w:val="001112DC"/>
    <w:rsid w:val="00111F97"/>
    <w:rsid w:val="00112143"/>
    <w:rsid w:val="00113444"/>
    <w:rsid w:val="00113903"/>
    <w:rsid w:val="001142A7"/>
    <w:rsid w:val="00114938"/>
    <w:rsid w:val="0011532E"/>
    <w:rsid w:val="001163B7"/>
    <w:rsid w:val="0011660F"/>
    <w:rsid w:val="00117064"/>
    <w:rsid w:val="001170DE"/>
    <w:rsid w:val="00117902"/>
    <w:rsid w:val="0012179E"/>
    <w:rsid w:val="00121C9C"/>
    <w:rsid w:val="001220C2"/>
    <w:rsid w:val="00122567"/>
    <w:rsid w:val="001225A5"/>
    <w:rsid w:val="0012263A"/>
    <w:rsid w:val="00122D25"/>
    <w:rsid w:val="00123024"/>
    <w:rsid w:val="0012433A"/>
    <w:rsid w:val="0012433B"/>
    <w:rsid w:val="00124B97"/>
    <w:rsid w:val="00124F39"/>
    <w:rsid w:val="001254A2"/>
    <w:rsid w:val="0012713B"/>
    <w:rsid w:val="001316D0"/>
    <w:rsid w:val="00131BD7"/>
    <w:rsid w:val="00132589"/>
    <w:rsid w:val="00132644"/>
    <w:rsid w:val="00132B1D"/>
    <w:rsid w:val="0013521F"/>
    <w:rsid w:val="00136603"/>
    <w:rsid w:val="00136C8A"/>
    <w:rsid w:val="00137E8D"/>
    <w:rsid w:val="00140B62"/>
    <w:rsid w:val="00140C54"/>
    <w:rsid w:val="00140DBF"/>
    <w:rsid w:val="001410FA"/>
    <w:rsid w:val="00141801"/>
    <w:rsid w:val="00141B3C"/>
    <w:rsid w:val="0014221C"/>
    <w:rsid w:val="001428A0"/>
    <w:rsid w:val="00142F30"/>
    <w:rsid w:val="00143005"/>
    <w:rsid w:val="00144016"/>
    <w:rsid w:val="0014417D"/>
    <w:rsid w:val="00144991"/>
    <w:rsid w:val="00144BCB"/>
    <w:rsid w:val="001453F5"/>
    <w:rsid w:val="001458D1"/>
    <w:rsid w:val="00145A90"/>
    <w:rsid w:val="00146F8D"/>
    <w:rsid w:val="00147C6F"/>
    <w:rsid w:val="0015156F"/>
    <w:rsid w:val="0015274A"/>
    <w:rsid w:val="00152AC0"/>
    <w:rsid w:val="001531CB"/>
    <w:rsid w:val="00154FA3"/>
    <w:rsid w:val="00155075"/>
    <w:rsid w:val="001554B3"/>
    <w:rsid w:val="001555A6"/>
    <w:rsid w:val="001563F1"/>
    <w:rsid w:val="00156D00"/>
    <w:rsid w:val="00156F48"/>
    <w:rsid w:val="00156FD7"/>
    <w:rsid w:val="001577C3"/>
    <w:rsid w:val="00160F85"/>
    <w:rsid w:val="00161F97"/>
    <w:rsid w:val="001621BE"/>
    <w:rsid w:val="00162BBA"/>
    <w:rsid w:val="0016316B"/>
    <w:rsid w:val="0016347F"/>
    <w:rsid w:val="00163600"/>
    <w:rsid w:val="00164DF6"/>
    <w:rsid w:val="00164F6B"/>
    <w:rsid w:val="00164F86"/>
    <w:rsid w:val="001652AD"/>
    <w:rsid w:val="001653CF"/>
    <w:rsid w:val="001653E2"/>
    <w:rsid w:val="00165AB8"/>
    <w:rsid w:val="001661E3"/>
    <w:rsid w:val="00167B31"/>
    <w:rsid w:val="00167DC6"/>
    <w:rsid w:val="00170771"/>
    <w:rsid w:val="00170B3A"/>
    <w:rsid w:val="00170EA6"/>
    <w:rsid w:val="0017126C"/>
    <w:rsid w:val="0017142B"/>
    <w:rsid w:val="001716B3"/>
    <w:rsid w:val="0017170E"/>
    <w:rsid w:val="00171DE0"/>
    <w:rsid w:val="001729FA"/>
    <w:rsid w:val="00172BCD"/>
    <w:rsid w:val="00172D2D"/>
    <w:rsid w:val="00173AF5"/>
    <w:rsid w:val="00174EA0"/>
    <w:rsid w:val="001750EF"/>
    <w:rsid w:val="001767C1"/>
    <w:rsid w:val="001775ED"/>
    <w:rsid w:val="0017785B"/>
    <w:rsid w:val="00177A00"/>
    <w:rsid w:val="00180165"/>
    <w:rsid w:val="001807EA"/>
    <w:rsid w:val="00180E0F"/>
    <w:rsid w:val="00181027"/>
    <w:rsid w:val="001819F7"/>
    <w:rsid w:val="00181F8A"/>
    <w:rsid w:val="001820CF"/>
    <w:rsid w:val="00182544"/>
    <w:rsid w:val="00183C38"/>
    <w:rsid w:val="00183CA3"/>
    <w:rsid w:val="00184ADF"/>
    <w:rsid w:val="001861E8"/>
    <w:rsid w:val="00186410"/>
    <w:rsid w:val="0018747A"/>
    <w:rsid w:val="00187B5E"/>
    <w:rsid w:val="001902DC"/>
    <w:rsid w:val="00190A1A"/>
    <w:rsid w:val="001913E8"/>
    <w:rsid w:val="00191A55"/>
    <w:rsid w:val="00192254"/>
    <w:rsid w:val="00193809"/>
    <w:rsid w:val="00193D5B"/>
    <w:rsid w:val="00193EAD"/>
    <w:rsid w:val="0019484C"/>
    <w:rsid w:val="00194CC1"/>
    <w:rsid w:val="001954F6"/>
    <w:rsid w:val="00197426"/>
    <w:rsid w:val="001A18F5"/>
    <w:rsid w:val="001A1FF2"/>
    <w:rsid w:val="001A224E"/>
    <w:rsid w:val="001A28B2"/>
    <w:rsid w:val="001A2CDB"/>
    <w:rsid w:val="001A2F6B"/>
    <w:rsid w:val="001A33B4"/>
    <w:rsid w:val="001A355E"/>
    <w:rsid w:val="001A3729"/>
    <w:rsid w:val="001A3C87"/>
    <w:rsid w:val="001A549E"/>
    <w:rsid w:val="001A67F1"/>
    <w:rsid w:val="001A7534"/>
    <w:rsid w:val="001A7974"/>
    <w:rsid w:val="001A7D78"/>
    <w:rsid w:val="001B04DF"/>
    <w:rsid w:val="001B09CB"/>
    <w:rsid w:val="001B0E15"/>
    <w:rsid w:val="001B0EE3"/>
    <w:rsid w:val="001B0EE4"/>
    <w:rsid w:val="001B1618"/>
    <w:rsid w:val="001B1C23"/>
    <w:rsid w:val="001B25CE"/>
    <w:rsid w:val="001B25D7"/>
    <w:rsid w:val="001B2A9C"/>
    <w:rsid w:val="001B303C"/>
    <w:rsid w:val="001B367F"/>
    <w:rsid w:val="001B597E"/>
    <w:rsid w:val="001C20D5"/>
    <w:rsid w:val="001C21BC"/>
    <w:rsid w:val="001C26D2"/>
    <w:rsid w:val="001C3405"/>
    <w:rsid w:val="001C3E48"/>
    <w:rsid w:val="001C42BA"/>
    <w:rsid w:val="001C5095"/>
    <w:rsid w:val="001C5131"/>
    <w:rsid w:val="001C5F06"/>
    <w:rsid w:val="001C703D"/>
    <w:rsid w:val="001C7D61"/>
    <w:rsid w:val="001C7FA1"/>
    <w:rsid w:val="001D0B74"/>
    <w:rsid w:val="001D0BD9"/>
    <w:rsid w:val="001D3A0C"/>
    <w:rsid w:val="001D4070"/>
    <w:rsid w:val="001D423E"/>
    <w:rsid w:val="001D4349"/>
    <w:rsid w:val="001D4ED2"/>
    <w:rsid w:val="001D5091"/>
    <w:rsid w:val="001D5758"/>
    <w:rsid w:val="001D6481"/>
    <w:rsid w:val="001D6FEA"/>
    <w:rsid w:val="001D73C8"/>
    <w:rsid w:val="001D74A0"/>
    <w:rsid w:val="001D7AC2"/>
    <w:rsid w:val="001D7B24"/>
    <w:rsid w:val="001E169C"/>
    <w:rsid w:val="001E37E1"/>
    <w:rsid w:val="001E4360"/>
    <w:rsid w:val="001E4744"/>
    <w:rsid w:val="001E4975"/>
    <w:rsid w:val="001E59A1"/>
    <w:rsid w:val="001E7A62"/>
    <w:rsid w:val="001E7C44"/>
    <w:rsid w:val="001F01B0"/>
    <w:rsid w:val="001F0347"/>
    <w:rsid w:val="001F04EE"/>
    <w:rsid w:val="001F09A3"/>
    <w:rsid w:val="001F0C32"/>
    <w:rsid w:val="001F0EA6"/>
    <w:rsid w:val="001F1690"/>
    <w:rsid w:val="001F1F70"/>
    <w:rsid w:val="001F2382"/>
    <w:rsid w:val="001F2478"/>
    <w:rsid w:val="001F363C"/>
    <w:rsid w:val="001F3DF9"/>
    <w:rsid w:val="001F4FB0"/>
    <w:rsid w:val="001F5820"/>
    <w:rsid w:val="001F5ABC"/>
    <w:rsid w:val="001F5B86"/>
    <w:rsid w:val="001F5CCA"/>
    <w:rsid w:val="001F629D"/>
    <w:rsid w:val="001F639F"/>
    <w:rsid w:val="001F64B3"/>
    <w:rsid w:val="001F6D9A"/>
    <w:rsid w:val="001F6E21"/>
    <w:rsid w:val="002005F3"/>
    <w:rsid w:val="00200887"/>
    <w:rsid w:val="00200FA3"/>
    <w:rsid w:val="00203797"/>
    <w:rsid w:val="00203A49"/>
    <w:rsid w:val="002040CF"/>
    <w:rsid w:val="002072E3"/>
    <w:rsid w:val="00207409"/>
    <w:rsid w:val="00207888"/>
    <w:rsid w:val="00207C56"/>
    <w:rsid w:val="002105AE"/>
    <w:rsid w:val="0021117C"/>
    <w:rsid w:val="002112A7"/>
    <w:rsid w:val="002114A8"/>
    <w:rsid w:val="00211A37"/>
    <w:rsid w:val="00212B63"/>
    <w:rsid w:val="00212E45"/>
    <w:rsid w:val="00213202"/>
    <w:rsid w:val="00213728"/>
    <w:rsid w:val="002138BE"/>
    <w:rsid w:val="002140A5"/>
    <w:rsid w:val="002141CB"/>
    <w:rsid w:val="00214C63"/>
    <w:rsid w:val="00214C76"/>
    <w:rsid w:val="00214D51"/>
    <w:rsid w:val="00214EDD"/>
    <w:rsid w:val="002152A4"/>
    <w:rsid w:val="00215A0F"/>
    <w:rsid w:val="00215D8B"/>
    <w:rsid w:val="00216125"/>
    <w:rsid w:val="00217A9D"/>
    <w:rsid w:val="00217B20"/>
    <w:rsid w:val="00217B52"/>
    <w:rsid w:val="0022078C"/>
    <w:rsid w:val="00220A91"/>
    <w:rsid w:val="00221DD4"/>
    <w:rsid w:val="00222A52"/>
    <w:rsid w:val="00222C75"/>
    <w:rsid w:val="002233CB"/>
    <w:rsid w:val="002235FA"/>
    <w:rsid w:val="00223D49"/>
    <w:rsid w:val="00224085"/>
    <w:rsid w:val="002243BD"/>
    <w:rsid w:val="00224893"/>
    <w:rsid w:val="00225E90"/>
    <w:rsid w:val="0022618F"/>
    <w:rsid w:val="00226804"/>
    <w:rsid w:val="002306B3"/>
    <w:rsid w:val="002308CA"/>
    <w:rsid w:val="00231082"/>
    <w:rsid w:val="00231BD6"/>
    <w:rsid w:val="002320EB"/>
    <w:rsid w:val="0023375E"/>
    <w:rsid w:val="00234C99"/>
    <w:rsid w:val="0023569D"/>
    <w:rsid w:val="00235D96"/>
    <w:rsid w:val="00236386"/>
    <w:rsid w:val="00236AE9"/>
    <w:rsid w:val="00236E25"/>
    <w:rsid w:val="0024032F"/>
    <w:rsid w:val="00240970"/>
    <w:rsid w:val="00241232"/>
    <w:rsid w:val="00241CD2"/>
    <w:rsid w:val="00241F13"/>
    <w:rsid w:val="0024235D"/>
    <w:rsid w:val="00242502"/>
    <w:rsid w:val="00242EE8"/>
    <w:rsid w:val="002452EF"/>
    <w:rsid w:val="0024567B"/>
    <w:rsid w:val="00245747"/>
    <w:rsid w:val="0024592F"/>
    <w:rsid w:val="002460A6"/>
    <w:rsid w:val="00247743"/>
    <w:rsid w:val="00247A39"/>
    <w:rsid w:val="002510EA"/>
    <w:rsid w:val="00251491"/>
    <w:rsid w:val="00252AA1"/>
    <w:rsid w:val="00252F79"/>
    <w:rsid w:val="0025306B"/>
    <w:rsid w:val="00253891"/>
    <w:rsid w:val="00255477"/>
    <w:rsid w:val="00256145"/>
    <w:rsid w:val="00256248"/>
    <w:rsid w:val="00256F10"/>
    <w:rsid w:val="00257789"/>
    <w:rsid w:val="00257B49"/>
    <w:rsid w:val="00260609"/>
    <w:rsid w:val="00260D17"/>
    <w:rsid w:val="002615C7"/>
    <w:rsid w:val="002616A3"/>
    <w:rsid w:val="00262D4F"/>
    <w:rsid w:val="00263A5E"/>
    <w:rsid w:val="00263EBC"/>
    <w:rsid w:val="0026402B"/>
    <w:rsid w:val="0026442B"/>
    <w:rsid w:val="002661C0"/>
    <w:rsid w:val="00266214"/>
    <w:rsid w:val="0026627D"/>
    <w:rsid w:val="0026637B"/>
    <w:rsid w:val="00270578"/>
    <w:rsid w:val="002706E8"/>
    <w:rsid w:val="00270C57"/>
    <w:rsid w:val="00271450"/>
    <w:rsid w:val="00272126"/>
    <w:rsid w:val="00272788"/>
    <w:rsid w:val="002732AC"/>
    <w:rsid w:val="00274AC9"/>
    <w:rsid w:val="00275293"/>
    <w:rsid w:val="002756C0"/>
    <w:rsid w:val="002766F0"/>
    <w:rsid w:val="00276B61"/>
    <w:rsid w:val="00276C86"/>
    <w:rsid w:val="00276EBC"/>
    <w:rsid w:val="00277074"/>
    <w:rsid w:val="002775F4"/>
    <w:rsid w:val="00277A46"/>
    <w:rsid w:val="00277D9C"/>
    <w:rsid w:val="0028006A"/>
    <w:rsid w:val="002803D7"/>
    <w:rsid w:val="00280FF5"/>
    <w:rsid w:val="0028105E"/>
    <w:rsid w:val="002816B0"/>
    <w:rsid w:val="00281D2A"/>
    <w:rsid w:val="002821B6"/>
    <w:rsid w:val="00282894"/>
    <w:rsid w:val="00282BC0"/>
    <w:rsid w:val="00285698"/>
    <w:rsid w:val="00285794"/>
    <w:rsid w:val="002859C8"/>
    <w:rsid w:val="002866D2"/>
    <w:rsid w:val="00286970"/>
    <w:rsid w:val="00287916"/>
    <w:rsid w:val="00290BC8"/>
    <w:rsid w:val="00291690"/>
    <w:rsid w:val="002918ED"/>
    <w:rsid w:val="00291B97"/>
    <w:rsid w:val="00291BEB"/>
    <w:rsid w:val="00291CFE"/>
    <w:rsid w:val="00292BCC"/>
    <w:rsid w:val="00293A43"/>
    <w:rsid w:val="00293D43"/>
    <w:rsid w:val="002944DD"/>
    <w:rsid w:val="002955FC"/>
    <w:rsid w:val="00295BB2"/>
    <w:rsid w:val="002967DF"/>
    <w:rsid w:val="00297E29"/>
    <w:rsid w:val="002A064D"/>
    <w:rsid w:val="002A1350"/>
    <w:rsid w:val="002A13F0"/>
    <w:rsid w:val="002A2B31"/>
    <w:rsid w:val="002A3DE8"/>
    <w:rsid w:val="002A4693"/>
    <w:rsid w:val="002A4754"/>
    <w:rsid w:val="002A64D5"/>
    <w:rsid w:val="002A6B08"/>
    <w:rsid w:val="002A6DD4"/>
    <w:rsid w:val="002A740B"/>
    <w:rsid w:val="002A76E0"/>
    <w:rsid w:val="002B06A3"/>
    <w:rsid w:val="002B06D8"/>
    <w:rsid w:val="002B0ECD"/>
    <w:rsid w:val="002B164B"/>
    <w:rsid w:val="002B1A02"/>
    <w:rsid w:val="002B2C2E"/>
    <w:rsid w:val="002B3D06"/>
    <w:rsid w:val="002B4013"/>
    <w:rsid w:val="002B547A"/>
    <w:rsid w:val="002B5A6D"/>
    <w:rsid w:val="002B6DCF"/>
    <w:rsid w:val="002B7325"/>
    <w:rsid w:val="002C01C2"/>
    <w:rsid w:val="002C0967"/>
    <w:rsid w:val="002C110F"/>
    <w:rsid w:val="002C1908"/>
    <w:rsid w:val="002C1BC4"/>
    <w:rsid w:val="002C2A06"/>
    <w:rsid w:val="002C2A9B"/>
    <w:rsid w:val="002C354F"/>
    <w:rsid w:val="002C4FBC"/>
    <w:rsid w:val="002C593E"/>
    <w:rsid w:val="002C691D"/>
    <w:rsid w:val="002C6FFF"/>
    <w:rsid w:val="002C7AAE"/>
    <w:rsid w:val="002D0579"/>
    <w:rsid w:val="002D147D"/>
    <w:rsid w:val="002D213A"/>
    <w:rsid w:val="002D3191"/>
    <w:rsid w:val="002D3530"/>
    <w:rsid w:val="002D35BD"/>
    <w:rsid w:val="002D3A43"/>
    <w:rsid w:val="002D438E"/>
    <w:rsid w:val="002D4C9D"/>
    <w:rsid w:val="002D4E19"/>
    <w:rsid w:val="002D5361"/>
    <w:rsid w:val="002D6666"/>
    <w:rsid w:val="002E0996"/>
    <w:rsid w:val="002E167B"/>
    <w:rsid w:val="002E23E9"/>
    <w:rsid w:val="002E3E80"/>
    <w:rsid w:val="002E5548"/>
    <w:rsid w:val="002E60A4"/>
    <w:rsid w:val="002E6E18"/>
    <w:rsid w:val="002F077A"/>
    <w:rsid w:val="002F0828"/>
    <w:rsid w:val="002F0FFF"/>
    <w:rsid w:val="002F18A4"/>
    <w:rsid w:val="002F2B5C"/>
    <w:rsid w:val="002F2D79"/>
    <w:rsid w:val="002F2E43"/>
    <w:rsid w:val="002F332E"/>
    <w:rsid w:val="002F33F2"/>
    <w:rsid w:val="002F3671"/>
    <w:rsid w:val="002F3C0E"/>
    <w:rsid w:val="002F4307"/>
    <w:rsid w:val="002F4C48"/>
    <w:rsid w:val="002F4C8F"/>
    <w:rsid w:val="002F5144"/>
    <w:rsid w:val="002F514F"/>
    <w:rsid w:val="002F5204"/>
    <w:rsid w:val="002F6661"/>
    <w:rsid w:val="002F6DD4"/>
    <w:rsid w:val="002F7750"/>
    <w:rsid w:val="003005F5"/>
    <w:rsid w:val="00300BA6"/>
    <w:rsid w:val="00300FC0"/>
    <w:rsid w:val="003014E4"/>
    <w:rsid w:val="00302560"/>
    <w:rsid w:val="00302CC1"/>
    <w:rsid w:val="00303795"/>
    <w:rsid w:val="00303AB8"/>
    <w:rsid w:val="00303B8E"/>
    <w:rsid w:val="0030456F"/>
    <w:rsid w:val="00304824"/>
    <w:rsid w:val="00304CC8"/>
    <w:rsid w:val="00305071"/>
    <w:rsid w:val="00305C49"/>
    <w:rsid w:val="003060B5"/>
    <w:rsid w:val="003062AD"/>
    <w:rsid w:val="00306359"/>
    <w:rsid w:val="00306832"/>
    <w:rsid w:val="003072FF"/>
    <w:rsid w:val="00307C9A"/>
    <w:rsid w:val="00310268"/>
    <w:rsid w:val="0031261A"/>
    <w:rsid w:val="00312865"/>
    <w:rsid w:val="00312F15"/>
    <w:rsid w:val="003139F0"/>
    <w:rsid w:val="0031421C"/>
    <w:rsid w:val="00314907"/>
    <w:rsid w:val="00316AAA"/>
    <w:rsid w:val="00316C8A"/>
    <w:rsid w:val="00316CEE"/>
    <w:rsid w:val="00316EEA"/>
    <w:rsid w:val="003207FD"/>
    <w:rsid w:val="00320920"/>
    <w:rsid w:val="003219B8"/>
    <w:rsid w:val="003223B1"/>
    <w:rsid w:val="00322E5F"/>
    <w:rsid w:val="00323190"/>
    <w:rsid w:val="00325547"/>
    <w:rsid w:val="00325C88"/>
    <w:rsid w:val="00325F87"/>
    <w:rsid w:val="003266CA"/>
    <w:rsid w:val="003304BD"/>
    <w:rsid w:val="00331066"/>
    <w:rsid w:val="003327F5"/>
    <w:rsid w:val="00332A3F"/>
    <w:rsid w:val="00332F6E"/>
    <w:rsid w:val="003342CC"/>
    <w:rsid w:val="00334523"/>
    <w:rsid w:val="00334630"/>
    <w:rsid w:val="00334886"/>
    <w:rsid w:val="00335243"/>
    <w:rsid w:val="00335718"/>
    <w:rsid w:val="003372E3"/>
    <w:rsid w:val="00337F27"/>
    <w:rsid w:val="00341467"/>
    <w:rsid w:val="003420C1"/>
    <w:rsid w:val="003427BC"/>
    <w:rsid w:val="00342C56"/>
    <w:rsid w:val="003433AA"/>
    <w:rsid w:val="00343A7E"/>
    <w:rsid w:val="0034401E"/>
    <w:rsid w:val="00344146"/>
    <w:rsid w:val="00344360"/>
    <w:rsid w:val="00344DD9"/>
    <w:rsid w:val="00345416"/>
    <w:rsid w:val="00345583"/>
    <w:rsid w:val="0034617C"/>
    <w:rsid w:val="00346465"/>
    <w:rsid w:val="0034713F"/>
    <w:rsid w:val="00347782"/>
    <w:rsid w:val="003507B8"/>
    <w:rsid w:val="003514AD"/>
    <w:rsid w:val="003532E0"/>
    <w:rsid w:val="00353313"/>
    <w:rsid w:val="0035496D"/>
    <w:rsid w:val="00354BFE"/>
    <w:rsid w:val="0035566D"/>
    <w:rsid w:val="003558FC"/>
    <w:rsid w:val="00355955"/>
    <w:rsid w:val="00355AAC"/>
    <w:rsid w:val="00361640"/>
    <w:rsid w:val="003620CE"/>
    <w:rsid w:val="00362D5B"/>
    <w:rsid w:val="0036367A"/>
    <w:rsid w:val="00364C7A"/>
    <w:rsid w:val="0036534E"/>
    <w:rsid w:val="0036558D"/>
    <w:rsid w:val="00365B88"/>
    <w:rsid w:val="00366A40"/>
    <w:rsid w:val="00367EA8"/>
    <w:rsid w:val="00370654"/>
    <w:rsid w:val="00371DBB"/>
    <w:rsid w:val="003743A1"/>
    <w:rsid w:val="0038028E"/>
    <w:rsid w:val="00380512"/>
    <w:rsid w:val="00380D00"/>
    <w:rsid w:val="003810D6"/>
    <w:rsid w:val="00381151"/>
    <w:rsid w:val="00381B9D"/>
    <w:rsid w:val="00382E0C"/>
    <w:rsid w:val="00382FE8"/>
    <w:rsid w:val="003838C2"/>
    <w:rsid w:val="00383DAB"/>
    <w:rsid w:val="00385666"/>
    <w:rsid w:val="00385818"/>
    <w:rsid w:val="00386A7E"/>
    <w:rsid w:val="00387A24"/>
    <w:rsid w:val="00387F14"/>
    <w:rsid w:val="00390487"/>
    <w:rsid w:val="0039084D"/>
    <w:rsid w:val="00390F12"/>
    <w:rsid w:val="003910FF"/>
    <w:rsid w:val="00391ACB"/>
    <w:rsid w:val="00391B74"/>
    <w:rsid w:val="00391DAE"/>
    <w:rsid w:val="00392B37"/>
    <w:rsid w:val="00392B39"/>
    <w:rsid w:val="00392D5E"/>
    <w:rsid w:val="00393D02"/>
    <w:rsid w:val="0039446D"/>
    <w:rsid w:val="003947BB"/>
    <w:rsid w:val="00395E78"/>
    <w:rsid w:val="00397155"/>
    <w:rsid w:val="00397D5B"/>
    <w:rsid w:val="003A0BF9"/>
    <w:rsid w:val="003A0E49"/>
    <w:rsid w:val="003A140E"/>
    <w:rsid w:val="003A1553"/>
    <w:rsid w:val="003A1E3D"/>
    <w:rsid w:val="003A2151"/>
    <w:rsid w:val="003A2A5A"/>
    <w:rsid w:val="003A2FAF"/>
    <w:rsid w:val="003A337F"/>
    <w:rsid w:val="003A54AB"/>
    <w:rsid w:val="003A6814"/>
    <w:rsid w:val="003A7255"/>
    <w:rsid w:val="003A76E1"/>
    <w:rsid w:val="003B067C"/>
    <w:rsid w:val="003B0833"/>
    <w:rsid w:val="003B0B03"/>
    <w:rsid w:val="003B1C8E"/>
    <w:rsid w:val="003B246C"/>
    <w:rsid w:val="003B4DB1"/>
    <w:rsid w:val="003B529A"/>
    <w:rsid w:val="003B5990"/>
    <w:rsid w:val="003B5BBD"/>
    <w:rsid w:val="003B6C85"/>
    <w:rsid w:val="003B7196"/>
    <w:rsid w:val="003B7279"/>
    <w:rsid w:val="003B76E4"/>
    <w:rsid w:val="003B7B19"/>
    <w:rsid w:val="003C0713"/>
    <w:rsid w:val="003C0A37"/>
    <w:rsid w:val="003C0CFE"/>
    <w:rsid w:val="003C0FC2"/>
    <w:rsid w:val="003C10CA"/>
    <w:rsid w:val="003C1BFC"/>
    <w:rsid w:val="003C24A6"/>
    <w:rsid w:val="003C25E6"/>
    <w:rsid w:val="003C28BC"/>
    <w:rsid w:val="003C318F"/>
    <w:rsid w:val="003C3CE5"/>
    <w:rsid w:val="003C441C"/>
    <w:rsid w:val="003C580D"/>
    <w:rsid w:val="003C58B2"/>
    <w:rsid w:val="003C6345"/>
    <w:rsid w:val="003C719C"/>
    <w:rsid w:val="003C7696"/>
    <w:rsid w:val="003C7C23"/>
    <w:rsid w:val="003D009E"/>
    <w:rsid w:val="003D0877"/>
    <w:rsid w:val="003D11F9"/>
    <w:rsid w:val="003D161C"/>
    <w:rsid w:val="003D1AAE"/>
    <w:rsid w:val="003D2C1A"/>
    <w:rsid w:val="003D2F40"/>
    <w:rsid w:val="003D3140"/>
    <w:rsid w:val="003D394D"/>
    <w:rsid w:val="003D4E08"/>
    <w:rsid w:val="003D56CC"/>
    <w:rsid w:val="003D684E"/>
    <w:rsid w:val="003D7387"/>
    <w:rsid w:val="003D77BD"/>
    <w:rsid w:val="003D7C98"/>
    <w:rsid w:val="003E17FD"/>
    <w:rsid w:val="003E2671"/>
    <w:rsid w:val="003E3C6D"/>
    <w:rsid w:val="003E3FC5"/>
    <w:rsid w:val="003E42CC"/>
    <w:rsid w:val="003E64BB"/>
    <w:rsid w:val="003E6600"/>
    <w:rsid w:val="003E7063"/>
    <w:rsid w:val="003E76CE"/>
    <w:rsid w:val="003E79F7"/>
    <w:rsid w:val="003E7EEF"/>
    <w:rsid w:val="003F01E4"/>
    <w:rsid w:val="003F0DDE"/>
    <w:rsid w:val="003F15E9"/>
    <w:rsid w:val="003F161D"/>
    <w:rsid w:val="003F2C1E"/>
    <w:rsid w:val="003F5AC0"/>
    <w:rsid w:val="003F650D"/>
    <w:rsid w:val="003F798F"/>
    <w:rsid w:val="0040054E"/>
    <w:rsid w:val="00400925"/>
    <w:rsid w:val="00400DE8"/>
    <w:rsid w:val="004012BE"/>
    <w:rsid w:val="00401BE7"/>
    <w:rsid w:val="00402C19"/>
    <w:rsid w:val="00403169"/>
    <w:rsid w:val="00403BBE"/>
    <w:rsid w:val="004043E9"/>
    <w:rsid w:val="00404A6B"/>
    <w:rsid w:val="00405B76"/>
    <w:rsid w:val="004060A2"/>
    <w:rsid w:val="00406808"/>
    <w:rsid w:val="00410A59"/>
    <w:rsid w:val="00410F64"/>
    <w:rsid w:val="00411212"/>
    <w:rsid w:val="00411787"/>
    <w:rsid w:val="00411D9D"/>
    <w:rsid w:val="00414489"/>
    <w:rsid w:val="004152B8"/>
    <w:rsid w:val="004154C4"/>
    <w:rsid w:val="00415771"/>
    <w:rsid w:val="00415BEA"/>
    <w:rsid w:val="004203EF"/>
    <w:rsid w:val="00421150"/>
    <w:rsid w:val="00421B35"/>
    <w:rsid w:val="00422DB7"/>
    <w:rsid w:val="00423FBD"/>
    <w:rsid w:val="00424716"/>
    <w:rsid w:val="00424CB2"/>
    <w:rsid w:val="00425D5F"/>
    <w:rsid w:val="00425DAB"/>
    <w:rsid w:val="00427592"/>
    <w:rsid w:val="00427DE7"/>
    <w:rsid w:val="00430438"/>
    <w:rsid w:val="0043192B"/>
    <w:rsid w:val="00433E94"/>
    <w:rsid w:val="00434AC5"/>
    <w:rsid w:val="00434CED"/>
    <w:rsid w:val="004350B7"/>
    <w:rsid w:val="004353BC"/>
    <w:rsid w:val="00435855"/>
    <w:rsid w:val="00435B44"/>
    <w:rsid w:val="004365B6"/>
    <w:rsid w:val="00436AC5"/>
    <w:rsid w:val="004376A6"/>
    <w:rsid w:val="0044142A"/>
    <w:rsid w:val="004415E0"/>
    <w:rsid w:val="00441B73"/>
    <w:rsid w:val="00442ABB"/>
    <w:rsid w:val="004436D7"/>
    <w:rsid w:val="004438DD"/>
    <w:rsid w:val="004440BC"/>
    <w:rsid w:val="00444CA3"/>
    <w:rsid w:val="004454CA"/>
    <w:rsid w:val="00445EA5"/>
    <w:rsid w:val="00447BF2"/>
    <w:rsid w:val="0045073A"/>
    <w:rsid w:val="004508BB"/>
    <w:rsid w:val="00450D47"/>
    <w:rsid w:val="00451A26"/>
    <w:rsid w:val="00451A6A"/>
    <w:rsid w:val="004527C7"/>
    <w:rsid w:val="00453349"/>
    <w:rsid w:val="004533A5"/>
    <w:rsid w:val="00453711"/>
    <w:rsid w:val="00453D33"/>
    <w:rsid w:val="0045480B"/>
    <w:rsid w:val="00454F78"/>
    <w:rsid w:val="00455B8E"/>
    <w:rsid w:val="00455E90"/>
    <w:rsid w:val="00456856"/>
    <w:rsid w:val="004572C6"/>
    <w:rsid w:val="0045751E"/>
    <w:rsid w:val="00457A0A"/>
    <w:rsid w:val="00457ED5"/>
    <w:rsid w:val="004602FB"/>
    <w:rsid w:val="0046099E"/>
    <w:rsid w:val="00460C68"/>
    <w:rsid w:val="00460D20"/>
    <w:rsid w:val="0046132C"/>
    <w:rsid w:val="004616BE"/>
    <w:rsid w:val="00461AA2"/>
    <w:rsid w:val="00462560"/>
    <w:rsid w:val="00463202"/>
    <w:rsid w:val="00463979"/>
    <w:rsid w:val="00463E5A"/>
    <w:rsid w:val="0046416D"/>
    <w:rsid w:val="00465B2F"/>
    <w:rsid w:val="00465DB7"/>
    <w:rsid w:val="00465EB2"/>
    <w:rsid w:val="0046665C"/>
    <w:rsid w:val="00467D90"/>
    <w:rsid w:val="00470153"/>
    <w:rsid w:val="00470252"/>
    <w:rsid w:val="00470615"/>
    <w:rsid w:val="004707BE"/>
    <w:rsid w:val="004713B6"/>
    <w:rsid w:val="00471720"/>
    <w:rsid w:val="004718A6"/>
    <w:rsid w:val="004725EA"/>
    <w:rsid w:val="00472611"/>
    <w:rsid w:val="00473215"/>
    <w:rsid w:val="004735B2"/>
    <w:rsid w:val="00473994"/>
    <w:rsid w:val="00473C60"/>
    <w:rsid w:val="00474C9D"/>
    <w:rsid w:val="00474E89"/>
    <w:rsid w:val="00475269"/>
    <w:rsid w:val="00475781"/>
    <w:rsid w:val="004765A3"/>
    <w:rsid w:val="004768B2"/>
    <w:rsid w:val="00476C97"/>
    <w:rsid w:val="00477494"/>
    <w:rsid w:val="00477641"/>
    <w:rsid w:val="00477683"/>
    <w:rsid w:val="004776FB"/>
    <w:rsid w:val="00477A8D"/>
    <w:rsid w:val="004820E5"/>
    <w:rsid w:val="00482184"/>
    <w:rsid w:val="0048220D"/>
    <w:rsid w:val="00482EC4"/>
    <w:rsid w:val="004830D3"/>
    <w:rsid w:val="004839F6"/>
    <w:rsid w:val="00483F9F"/>
    <w:rsid w:val="004847A6"/>
    <w:rsid w:val="00485B04"/>
    <w:rsid w:val="00486179"/>
    <w:rsid w:val="00486FE6"/>
    <w:rsid w:val="00490301"/>
    <w:rsid w:val="0049097D"/>
    <w:rsid w:val="00490DE7"/>
    <w:rsid w:val="00491D3E"/>
    <w:rsid w:val="00493337"/>
    <w:rsid w:val="004934A5"/>
    <w:rsid w:val="00493B98"/>
    <w:rsid w:val="00493C10"/>
    <w:rsid w:val="00493E21"/>
    <w:rsid w:val="00494964"/>
    <w:rsid w:val="004952F2"/>
    <w:rsid w:val="00495788"/>
    <w:rsid w:val="00495E11"/>
    <w:rsid w:val="00496035"/>
    <w:rsid w:val="004964C3"/>
    <w:rsid w:val="00496784"/>
    <w:rsid w:val="00496BF8"/>
    <w:rsid w:val="00496D4A"/>
    <w:rsid w:val="0049704C"/>
    <w:rsid w:val="00497221"/>
    <w:rsid w:val="0049731D"/>
    <w:rsid w:val="004A0837"/>
    <w:rsid w:val="004A1AE4"/>
    <w:rsid w:val="004A2104"/>
    <w:rsid w:val="004A38E0"/>
    <w:rsid w:val="004A3CB4"/>
    <w:rsid w:val="004A4ACE"/>
    <w:rsid w:val="004A61A5"/>
    <w:rsid w:val="004A68E8"/>
    <w:rsid w:val="004A71D5"/>
    <w:rsid w:val="004A73D9"/>
    <w:rsid w:val="004A7627"/>
    <w:rsid w:val="004B0149"/>
    <w:rsid w:val="004B0363"/>
    <w:rsid w:val="004B0495"/>
    <w:rsid w:val="004B0B00"/>
    <w:rsid w:val="004B0B98"/>
    <w:rsid w:val="004B25B5"/>
    <w:rsid w:val="004B2C9B"/>
    <w:rsid w:val="004B2FBC"/>
    <w:rsid w:val="004B3E86"/>
    <w:rsid w:val="004B42A6"/>
    <w:rsid w:val="004B4695"/>
    <w:rsid w:val="004B4DEA"/>
    <w:rsid w:val="004B593C"/>
    <w:rsid w:val="004B5DFE"/>
    <w:rsid w:val="004B7A4A"/>
    <w:rsid w:val="004B7BF5"/>
    <w:rsid w:val="004C11AE"/>
    <w:rsid w:val="004C22F3"/>
    <w:rsid w:val="004C2B6A"/>
    <w:rsid w:val="004C3D9C"/>
    <w:rsid w:val="004C474F"/>
    <w:rsid w:val="004C47E2"/>
    <w:rsid w:val="004C555A"/>
    <w:rsid w:val="004C63F8"/>
    <w:rsid w:val="004C70F4"/>
    <w:rsid w:val="004D05E9"/>
    <w:rsid w:val="004D20E4"/>
    <w:rsid w:val="004D21A4"/>
    <w:rsid w:val="004D27DC"/>
    <w:rsid w:val="004D27F2"/>
    <w:rsid w:val="004D33C5"/>
    <w:rsid w:val="004D3B1B"/>
    <w:rsid w:val="004D575D"/>
    <w:rsid w:val="004D660C"/>
    <w:rsid w:val="004D7D8F"/>
    <w:rsid w:val="004E1495"/>
    <w:rsid w:val="004E1ED2"/>
    <w:rsid w:val="004E30B6"/>
    <w:rsid w:val="004E353C"/>
    <w:rsid w:val="004E35B6"/>
    <w:rsid w:val="004E3961"/>
    <w:rsid w:val="004E3C0F"/>
    <w:rsid w:val="004E442E"/>
    <w:rsid w:val="004E5100"/>
    <w:rsid w:val="004E5419"/>
    <w:rsid w:val="004E5477"/>
    <w:rsid w:val="004E577A"/>
    <w:rsid w:val="004E6CA4"/>
    <w:rsid w:val="004E71BC"/>
    <w:rsid w:val="004E773B"/>
    <w:rsid w:val="004E77F4"/>
    <w:rsid w:val="004F1056"/>
    <w:rsid w:val="004F1F0A"/>
    <w:rsid w:val="004F21E4"/>
    <w:rsid w:val="004F220B"/>
    <w:rsid w:val="004F247F"/>
    <w:rsid w:val="004F2A4C"/>
    <w:rsid w:val="004F3887"/>
    <w:rsid w:val="004F3B8E"/>
    <w:rsid w:val="004F41A4"/>
    <w:rsid w:val="004F4A85"/>
    <w:rsid w:val="004F4BB8"/>
    <w:rsid w:val="004F553F"/>
    <w:rsid w:val="004F5A0B"/>
    <w:rsid w:val="004F69B7"/>
    <w:rsid w:val="004F7223"/>
    <w:rsid w:val="004F75C9"/>
    <w:rsid w:val="004F7848"/>
    <w:rsid w:val="004F7DFE"/>
    <w:rsid w:val="00500842"/>
    <w:rsid w:val="005008DE"/>
    <w:rsid w:val="00500934"/>
    <w:rsid w:val="0050140E"/>
    <w:rsid w:val="005015A5"/>
    <w:rsid w:val="0050190C"/>
    <w:rsid w:val="00501972"/>
    <w:rsid w:val="00501BED"/>
    <w:rsid w:val="005024A3"/>
    <w:rsid w:val="0050278F"/>
    <w:rsid w:val="00502DEA"/>
    <w:rsid w:val="00502E47"/>
    <w:rsid w:val="00504A4B"/>
    <w:rsid w:val="00504C35"/>
    <w:rsid w:val="00505FEC"/>
    <w:rsid w:val="00506735"/>
    <w:rsid w:val="00507B3D"/>
    <w:rsid w:val="00507DE4"/>
    <w:rsid w:val="005108CE"/>
    <w:rsid w:val="00511868"/>
    <w:rsid w:val="00512A8C"/>
    <w:rsid w:val="0051326D"/>
    <w:rsid w:val="005141F7"/>
    <w:rsid w:val="00514C81"/>
    <w:rsid w:val="005156A1"/>
    <w:rsid w:val="005164B2"/>
    <w:rsid w:val="0051656E"/>
    <w:rsid w:val="00516A02"/>
    <w:rsid w:val="00516DCA"/>
    <w:rsid w:val="0051738D"/>
    <w:rsid w:val="00517FA1"/>
    <w:rsid w:val="00520566"/>
    <w:rsid w:val="00520E11"/>
    <w:rsid w:val="005223E6"/>
    <w:rsid w:val="005229AF"/>
    <w:rsid w:val="00522DF6"/>
    <w:rsid w:val="00523B3F"/>
    <w:rsid w:val="00524424"/>
    <w:rsid w:val="00524628"/>
    <w:rsid w:val="00525003"/>
    <w:rsid w:val="0052595C"/>
    <w:rsid w:val="00526470"/>
    <w:rsid w:val="00526A64"/>
    <w:rsid w:val="00526C47"/>
    <w:rsid w:val="00527406"/>
    <w:rsid w:val="00527869"/>
    <w:rsid w:val="00527C9C"/>
    <w:rsid w:val="00527DA3"/>
    <w:rsid w:val="005304A2"/>
    <w:rsid w:val="00530539"/>
    <w:rsid w:val="005306B4"/>
    <w:rsid w:val="00530ED1"/>
    <w:rsid w:val="005310AD"/>
    <w:rsid w:val="0053184C"/>
    <w:rsid w:val="00531CA9"/>
    <w:rsid w:val="005321D4"/>
    <w:rsid w:val="0053221C"/>
    <w:rsid w:val="00532258"/>
    <w:rsid w:val="00532356"/>
    <w:rsid w:val="005323E6"/>
    <w:rsid w:val="00533C65"/>
    <w:rsid w:val="005355F8"/>
    <w:rsid w:val="005357D1"/>
    <w:rsid w:val="00535A95"/>
    <w:rsid w:val="00535CCF"/>
    <w:rsid w:val="00535E9E"/>
    <w:rsid w:val="005363E5"/>
    <w:rsid w:val="00536F84"/>
    <w:rsid w:val="00540022"/>
    <w:rsid w:val="0054007A"/>
    <w:rsid w:val="0054153E"/>
    <w:rsid w:val="00541618"/>
    <w:rsid w:val="00541876"/>
    <w:rsid w:val="00541F6B"/>
    <w:rsid w:val="00542787"/>
    <w:rsid w:val="005427E9"/>
    <w:rsid w:val="00542F7A"/>
    <w:rsid w:val="00543A10"/>
    <w:rsid w:val="0054456F"/>
    <w:rsid w:val="0054462A"/>
    <w:rsid w:val="00544A06"/>
    <w:rsid w:val="00544E81"/>
    <w:rsid w:val="00545579"/>
    <w:rsid w:val="00545982"/>
    <w:rsid w:val="00546052"/>
    <w:rsid w:val="00546E77"/>
    <w:rsid w:val="00547774"/>
    <w:rsid w:val="00547A5E"/>
    <w:rsid w:val="00547A95"/>
    <w:rsid w:val="00547F93"/>
    <w:rsid w:val="005502D8"/>
    <w:rsid w:val="005503CA"/>
    <w:rsid w:val="00550AE6"/>
    <w:rsid w:val="005512ED"/>
    <w:rsid w:val="0055155D"/>
    <w:rsid w:val="00551FD4"/>
    <w:rsid w:val="00552F1D"/>
    <w:rsid w:val="00553D94"/>
    <w:rsid w:val="00554608"/>
    <w:rsid w:val="00554974"/>
    <w:rsid w:val="00554EFF"/>
    <w:rsid w:val="00555460"/>
    <w:rsid w:val="00555610"/>
    <w:rsid w:val="00555B68"/>
    <w:rsid w:val="00555F7E"/>
    <w:rsid w:val="00556D4F"/>
    <w:rsid w:val="00556E7B"/>
    <w:rsid w:val="00557413"/>
    <w:rsid w:val="0056006A"/>
    <w:rsid w:val="00560812"/>
    <w:rsid w:val="00560825"/>
    <w:rsid w:val="005608D0"/>
    <w:rsid w:val="00561E1F"/>
    <w:rsid w:val="00561F00"/>
    <w:rsid w:val="00563A34"/>
    <w:rsid w:val="00563AEE"/>
    <w:rsid w:val="00564676"/>
    <w:rsid w:val="0056607C"/>
    <w:rsid w:val="005670B9"/>
    <w:rsid w:val="00567B15"/>
    <w:rsid w:val="005704DF"/>
    <w:rsid w:val="00571B90"/>
    <w:rsid w:val="00572AE4"/>
    <w:rsid w:val="005731FD"/>
    <w:rsid w:val="00573476"/>
    <w:rsid w:val="00573B09"/>
    <w:rsid w:val="00574386"/>
    <w:rsid w:val="005744F1"/>
    <w:rsid w:val="0057638A"/>
    <w:rsid w:val="005765D6"/>
    <w:rsid w:val="0057661B"/>
    <w:rsid w:val="00576F2D"/>
    <w:rsid w:val="00577897"/>
    <w:rsid w:val="00577B3F"/>
    <w:rsid w:val="00577B80"/>
    <w:rsid w:val="0058069B"/>
    <w:rsid w:val="00580EBC"/>
    <w:rsid w:val="00581B2F"/>
    <w:rsid w:val="0058401B"/>
    <w:rsid w:val="00584302"/>
    <w:rsid w:val="00584520"/>
    <w:rsid w:val="00584A63"/>
    <w:rsid w:val="005856A1"/>
    <w:rsid w:val="00587D8B"/>
    <w:rsid w:val="00590A32"/>
    <w:rsid w:val="00590B3A"/>
    <w:rsid w:val="005910A2"/>
    <w:rsid w:val="00591A84"/>
    <w:rsid w:val="00591B31"/>
    <w:rsid w:val="00591E71"/>
    <w:rsid w:val="0059233A"/>
    <w:rsid w:val="005925E3"/>
    <w:rsid w:val="00592899"/>
    <w:rsid w:val="0059434B"/>
    <w:rsid w:val="00594860"/>
    <w:rsid w:val="0059492F"/>
    <w:rsid w:val="0059586B"/>
    <w:rsid w:val="005962CC"/>
    <w:rsid w:val="00596902"/>
    <w:rsid w:val="005970B8"/>
    <w:rsid w:val="00597407"/>
    <w:rsid w:val="005A0503"/>
    <w:rsid w:val="005A13CE"/>
    <w:rsid w:val="005A1A9F"/>
    <w:rsid w:val="005A32C6"/>
    <w:rsid w:val="005A36DE"/>
    <w:rsid w:val="005A3C78"/>
    <w:rsid w:val="005A4BB6"/>
    <w:rsid w:val="005A4E5E"/>
    <w:rsid w:val="005A5B58"/>
    <w:rsid w:val="005A6DAC"/>
    <w:rsid w:val="005B1A10"/>
    <w:rsid w:val="005B3211"/>
    <w:rsid w:val="005B3406"/>
    <w:rsid w:val="005B447B"/>
    <w:rsid w:val="005B5DFB"/>
    <w:rsid w:val="005B6437"/>
    <w:rsid w:val="005B6937"/>
    <w:rsid w:val="005B73DF"/>
    <w:rsid w:val="005B7FFC"/>
    <w:rsid w:val="005C0156"/>
    <w:rsid w:val="005C075C"/>
    <w:rsid w:val="005C0D6C"/>
    <w:rsid w:val="005C1C20"/>
    <w:rsid w:val="005C25C8"/>
    <w:rsid w:val="005C3F8B"/>
    <w:rsid w:val="005C4134"/>
    <w:rsid w:val="005C539A"/>
    <w:rsid w:val="005C5626"/>
    <w:rsid w:val="005C5763"/>
    <w:rsid w:val="005C584B"/>
    <w:rsid w:val="005C5F2B"/>
    <w:rsid w:val="005C6CCD"/>
    <w:rsid w:val="005C71C4"/>
    <w:rsid w:val="005C736F"/>
    <w:rsid w:val="005D12CA"/>
    <w:rsid w:val="005D153A"/>
    <w:rsid w:val="005D18AD"/>
    <w:rsid w:val="005D3863"/>
    <w:rsid w:val="005D39A3"/>
    <w:rsid w:val="005D4F60"/>
    <w:rsid w:val="005D5B49"/>
    <w:rsid w:val="005D630A"/>
    <w:rsid w:val="005D6F1E"/>
    <w:rsid w:val="005D7560"/>
    <w:rsid w:val="005E02DE"/>
    <w:rsid w:val="005E0943"/>
    <w:rsid w:val="005E0BD5"/>
    <w:rsid w:val="005E0C93"/>
    <w:rsid w:val="005E22A3"/>
    <w:rsid w:val="005E2A73"/>
    <w:rsid w:val="005E403C"/>
    <w:rsid w:val="005E410B"/>
    <w:rsid w:val="005E433E"/>
    <w:rsid w:val="005E5C0D"/>
    <w:rsid w:val="005E5E00"/>
    <w:rsid w:val="005E5E38"/>
    <w:rsid w:val="005E6552"/>
    <w:rsid w:val="005E6C97"/>
    <w:rsid w:val="005F00DA"/>
    <w:rsid w:val="005F041E"/>
    <w:rsid w:val="005F07E4"/>
    <w:rsid w:val="005F0979"/>
    <w:rsid w:val="005F0A4F"/>
    <w:rsid w:val="005F0F4C"/>
    <w:rsid w:val="005F100F"/>
    <w:rsid w:val="005F12C0"/>
    <w:rsid w:val="005F14DA"/>
    <w:rsid w:val="005F159A"/>
    <w:rsid w:val="005F18CA"/>
    <w:rsid w:val="005F1AA0"/>
    <w:rsid w:val="005F1E4E"/>
    <w:rsid w:val="005F2B13"/>
    <w:rsid w:val="005F3AE7"/>
    <w:rsid w:val="005F4CEE"/>
    <w:rsid w:val="005F542B"/>
    <w:rsid w:val="005F558B"/>
    <w:rsid w:val="005F6134"/>
    <w:rsid w:val="005F6B55"/>
    <w:rsid w:val="005F7B9C"/>
    <w:rsid w:val="00600439"/>
    <w:rsid w:val="006009DB"/>
    <w:rsid w:val="00601B8D"/>
    <w:rsid w:val="00602182"/>
    <w:rsid w:val="00602846"/>
    <w:rsid w:val="0060328F"/>
    <w:rsid w:val="00603429"/>
    <w:rsid w:val="00604377"/>
    <w:rsid w:val="0060552F"/>
    <w:rsid w:val="0060577E"/>
    <w:rsid w:val="006063B7"/>
    <w:rsid w:val="0060658C"/>
    <w:rsid w:val="00606AFF"/>
    <w:rsid w:val="00606C14"/>
    <w:rsid w:val="00606D61"/>
    <w:rsid w:val="0060701E"/>
    <w:rsid w:val="00607F17"/>
    <w:rsid w:val="0061035A"/>
    <w:rsid w:val="006110F7"/>
    <w:rsid w:val="00611BB6"/>
    <w:rsid w:val="00612124"/>
    <w:rsid w:val="00612E7C"/>
    <w:rsid w:val="006133D1"/>
    <w:rsid w:val="006134A1"/>
    <w:rsid w:val="006139B8"/>
    <w:rsid w:val="00613BE3"/>
    <w:rsid w:val="006143E6"/>
    <w:rsid w:val="00614660"/>
    <w:rsid w:val="006147D9"/>
    <w:rsid w:val="00614A4E"/>
    <w:rsid w:val="0061529C"/>
    <w:rsid w:val="00615E49"/>
    <w:rsid w:val="0061691D"/>
    <w:rsid w:val="0061716E"/>
    <w:rsid w:val="00621353"/>
    <w:rsid w:val="00621CA5"/>
    <w:rsid w:val="0062325E"/>
    <w:rsid w:val="00624010"/>
    <w:rsid w:val="00626DB1"/>
    <w:rsid w:val="0062794B"/>
    <w:rsid w:val="00627D0D"/>
    <w:rsid w:val="00627F25"/>
    <w:rsid w:val="0063348A"/>
    <w:rsid w:val="006341A9"/>
    <w:rsid w:val="006344EA"/>
    <w:rsid w:val="00634730"/>
    <w:rsid w:val="00634B81"/>
    <w:rsid w:val="006359AB"/>
    <w:rsid w:val="00640909"/>
    <w:rsid w:val="00644C2F"/>
    <w:rsid w:val="0064649C"/>
    <w:rsid w:val="00647426"/>
    <w:rsid w:val="00647510"/>
    <w:rsid w:val="00647585"/>
    <w:rsid w:val="006478F3"/>
    <w:rsid w:val="00650243"/>
    <w:rsid w:val="00650495"/>
    <w:rsid w:val="00651A38"/>
    <w:rsid w:val="00651D84"/>
    <w:rsid w:val="00651F3A"/>
    <w:rsid w:val="006521D3"/>
    <w:rsid w:val="00652E8C"/>
    <w:rsid w:val="00654763"/>
    <w:rsid w:val="006547E4"/>
    <w:rsid w:val="00654B4A"/>
    <w:rsid w:val="00654D32"/>
    <w:rsid w:val="006564FE"/>
    <w:rsid w:val="0065653B"/>
    <w:rsid w:val="0065666F"/>
    <w:rsid w:val="00656885"/>
    <w:rsid w:val="00656B2A"/>
    <w:rsid w:val="00656BD4"/>
    <w:rsid w:val="00657022"/>
    <w:rsid w:val="00657EAB"/>
    <w:rsid w:val="00660EDA"/>
    <w:rsid w:val="00661195"/>
    <w:rsid w:val="0066339F"/>
    <w:rsid w:val="00663DCE"/>
    <w:rsid w:val="006640C8"/>
    <w:rsid w:val="006653FC"/>
    <w:rsid w:val="00665FA1"/>
    <w:rsid w:val="00667164"/>
    <w:rsid w:val="0066720C"/>
    <w:rsid w:val="00667949"/>
    <w:rsid w:val="006715F3"/>
    <w:rsid w:val="00672EBB"/>
    <w:rsid w:val="006735A9"/>
    <w:rsid w:val="00673E6B"/>
    <w:rsid w:val="00674313"/>
    <w:rsid w:val="00674A5E"/>
    <w:rsid w:val="0067541B"/>
    <w:rsid w:val="0067607F"/>
    <w:rsid w:val="006766E2"/>
    <w:rsid w:val="00676C56"/>
    <w:rsid w:val="00676E06"/>
    <w:rsid w:val="00677A6E"/>
    <w:rsid w:val="00677C19"/>
    <w:rsid w:val="006805FE"/>
    <w:rsid w:val="00681737"/>
    <w:rsid w:val="00682316"/>
    <w:rsid w:val="0068296E"/>
    <w:rsid w:val="00682DB6"/>
    <w:rsid w:val="00683BCF"/>
    <w:rsid w:val="00683DE7"/>
    <w:rsid w:val="00685761"/>
    <w:rsid w:val="00685EC4"/>
    <w:rsid w:val="00686402"/>
    <w:rsid w:val="00686B6F"/>
    <w:rsid w:val="006870F1"/>
    <w:rsid w:val="00687A0D"/>
    <w:rsid w:val="0069004C"/>
    <w:rsid w:val="00690391"/>
    <w:rsid w:val="00692A05"/>
    <w:rsid w:val="00693396"/>
    <w:rsid w:val="006934D0"/>
    <w:rsid w:val="00694220"/>
    <w:rsid w:val="00695053"/>
    <w:rsid w:val="006951E2"/>
    <w:rsid w:val="0069531D"/>
    <w:rsid w:val="00695878"/>
    <w:rsid w:val="00695F24"/>
    <w:rsid w:val="006968B7"/>
    <w:rsid w:val="00696A10"/>
    <w:rsid w:val="00697894"/>
    <w:rsid w:val="00697B1F"/>
    <w:rsid w:val="006A054F"/>
    <w:rsid w:val="006A089B"/>
    <w:rsid w:val="006A0DF3"/>
    <w:rsid w:val="006A1161"/>
    <w:rsid w:val="006A162F"/>
    <w:rsid w:val="006A2335"/>
    <w:rsid w:val="006A450E"/>
    <w:rsid w:val="006A4A6F"/>
    <w:rsid w:val="006A5898"/>
    <w:rsid w:val="006A5A42"/>
    <w:rsid w:val="006A5D8F"/>
    <w:rsid w:val="006A5FB4"/>
    <w:rsid w:val="006A6AAD"/>
    <w:rsid w:val="006A7088"/>
    <w:rsid w:val="006A712E"/>
    <w:rsid w:val="006A74C1"/>
    <w:rsid w:val="006A778C"/>
    <w:rsid w:val="006A7ABB"/>
    <w:rsid w:val="006B0C00"/>
    <w:rsid w:val="006B1512"/>
    <w:rsid w:val="006B1540"/>
    <w:rsid w:val="006B191D"/>
    <w:rsid w:val="006B1AC3"/>
    <w:rsid w:val="006B1C29"/>
    <w:rsid w:val="006B2E6C"/>
    <w:rsid w:val="006B31F1"/>
    <w:rsid w:val="006B35D8"/>
    <w:rsid w:val="006B405D"/>
    <w:rsid w:val="006B40BD"/>
    <w:rsid w:val="006B4301"/>
    <w:rsid w:val="006B46B7"/>
    <w:rsid w:val="006B700A"/>
    <w:rsid w:val="006B72D3"/>
    <w:rsid w:val="006B7EDA"/>
    <w:rsid w:val="006B7FAC"/>
    <w:rsid w:val="006C0086"/>
    <w:rsid w:val="006C008B"/>
    <w:rsid w:val="006C0CDA"/>
    <w:rsid w:val="006C13CD"/>
    <w:rsid w:val="006C17BB"/>
    <w:rsid w:val="006C184B"/>
    <w:rsid w:val="006C1A39"/>
    <w:rsid w:val="006C20DE"/>
    <w:rsid w:val="006C362C"/>
    <w:rsid w:val="006C4075"/>
    <w:rsid w:val="006C4F6A"/>
    <w:rsid w:val="006C5A5B"/>
    <w:rsid w:val="006C7DC3"/>
    <w:rsid w:val="006D0577"/>
    <w:rsid w:val="006D1E98"/>
    <w:rsid w:val="006D2252"/>
    <w:rsid w:val="006D2A3A"/>
    <w:rsid w:val="006D3550"/>
    <w:rsid w:val="006D373D"/>
    <w:rsid w:val="006D3F02"/>
    <w:rsid w:val="006D46AA"/>
    <w:rsid w:val="006D5137"/>
    <w:rsid w:val="006D54CB"/>
    <w:rsid w:val="006D59F0"/>
    <w:rsid w:val="006D5CB5"/>
    <w:rsid w:val="006D6144"/>
    <w:rsid w:val="006D66C7"/>
    <w:rsid w:val="006D71F4"/>
    <w:rsid w:val="006D7289"/>
    <w:rsid w:val="006D7D12"/>
    <w:rsid w:val="006E00CD"/>
    <w:rsid w:val="006E02E8"/>
    <w:rsid w:val="006E0C6B"/>
    <w:rsid w:val="006E0D87"/>
    <w:rsid w:val="006E121E"/>
    <w:rsid w:val="006E13D6"/>
    <w:rsid w:val="006E158D"/>
    <w:rsid w:val="006E31DD"/>
    <w:rsid w:val="006E3236"/>
    <w:rsid w:val="006E5053"/>
    <w:rsid w:val="006E5641"/>
    <w:rsid w:val="006E5A59"/>
    <w:rsid w:val="006E6479"/>
    <w:rsid w:val="006E6A30"/>
    <w:rsid w:val="006E74F5"/>
    <w:rsid w:val="006E7DFA"/>
    <w:rsid w:val="006F1371"/>
    <w:rsid w:val="006F21D7"/>
    <w:rsid w:val="006F2BE0"/>
    <w:rsid w:val="006F396B"/>
    <w:rsid w:val="006F3BB4"/>
    <w:rsid w:val="006F46A0"/>
    <w:rsid w:val="006F47BA"/>
    <w:rsid w:val="006F4DCD"/>
    <w:rsid w:val="006F534A"/>
    <w:rsid w:val="006F5B0D"/>
    <w:rsid w:val="006F61C6"/>
    <w:rsid w:val="006F6CF4"/>
    <w:rsid w:val="006F6DD7"/>
    <w:rsid w:val="006F7A28"/>
    <w:rsid w:val="00702226"/>
    <w:rsid w:val="007022FB"/>
    <w:rsid w:val="0070255C"/>
    <w:rsid w:val="00703399"/>
    <w:rsid w:val="00703445"/>
    <w:rsid w:val="007037AD"/>
    <w:rsid w:val="007046E2"/>
    <w:rsid w:val="00704AE1"/>
    <w:rsid w:val="00704F11"/>
    <w:rsid w:val="00706088"/>
    <w:rsid w:val="007063B5"/>
    <w:rsid w:val="00706625"/>
    <w:rsid w:val="0070679B"/>
    <w:rsid w:val="007069DE"/>
    <w:rsid w:val="007110AD"/>
    <w:rsid w:val="00711263"/>
    <w:rsid w:val="00711543"/>
    <w:rsid w:val="00711A74"/>
    <w:rsid w:val="00712573"/>
    <w:rsid w:val="00713266"/>
    <w:rsid w:val="0071384D"/>
    <w:rsid w:val="00713E6F"/>
    <w:rsid w:val="007146EB"/>
    <w:rsid w:val="0071497A"/>
    <w:rsid w:val="007149DB"/>
    <w:rsid w:val="0071758F"/>
    <w:rsid w:val="007203DC"/>
    <w:rsid w:val="00720FEB"/>
    <w:rsid w:val="00721E2D"/>
    <w:rsid w:val="00721EA6"/>
    <w:rsid w:val="00722441"/>
    <w:rsid w:val="00722D4A"/>
    <w:rsid w:val="00722DA0"/>
    <w:rsid w:val="0072333C"/>
    <w:rsid w:val="007239CF"/>
    <w:rsid w:val="00723A43"/>
    <w:rsid w:val="00723AA4"/>
    <w:rsid w:val="0072447B"/>
    <w:rsid w:val="00724A4B"/>
    <w:rsid w:val="007256EA"/>
    <w:rsid w:val="00725F18"/>
    <w:rsid w:val="00726E3F"/>
    <w:rsid w:val="00727508"/>
    <w:rsid w:val="00730F8E"/>
    <w:rsid w:val="007315A8"/>
    <w:rsid w:val="00733599"/>
    <w:rsid w:val="007335F3"/>
    <w:rsid w:val="00733775"/>
    <w:rsid w:val="00733F8C"/>
    <w:rsid w:val="007341D6"/>
    <w:rsid w:val="00735A3F"/>
    <w:rsid w:val="007363B4"/>
    <w:rsid w:val="007363EA"/>
    <w:rsid w:val="0073675C"/>
    <w:rsid w:val="00736D03"/>
    <w:rsid w:val="007372DB"/>
    <w:rsid w:val="00737707"/>
    <w:rsid w:val="00737D94"/>
    <w:rsid w:val="007404B3"/>
    <w:rsid w:val="0074137D"/>
    <w:rsid w:val="00741B80"/>
    <w:rsid w:val="00741CD1"/>
    <w:rsid w:val="0074275E"/>
    <w:rsid w:val="00742777"/>
    <w:rsid w:val="00742C02"/>
    <w:rsid w:val="0074443E"/>
    <w:rsid w:val="007444FF"/>
    <w:rsid w:val="007447B3"/>
    <w:rsid w:val="00744D78"/>
    <w:rsid w:val="007458A3"/>
    <w:rsid w:val="007469EC"/>
    <w:rsid w:val="00747AB3"/>
    <w:rsid w:val="007500BA"/>
    <w:rsid w:val="007513C1"/>
    <w:rsid w:val="00752D5F"/>
    <w:rsid w:val="007533A3"/>
    <w:rsid w:val="007545F6"/>
    <w:rsid w:val="00754D8C"/>
    <w:rsid w:val="0075631E"/>
    <w:rsid w:val="007564F8"/>
    <w:rsid w:val="00756BBA"/>
    <w:rsid w:val="00756BFD"/>
    <w:rsid w:val="007575A9"/>
    <w:rsid w:val="00757781"/>
    <w:rsid w:val="007600DD"/>
    <w:rsid w:val="00761350"/>
    <w:rsid w:val="007613C0"/>
    <w:rsid w:val="0076190A"/>
    <w:rsid w:val="00761A74"/>
    <w:rsid w:val="0076250E"/>
    <w:rsid w:val="00762968"/>
    <w:rsid w:val="00762AC6"/>
    <w:rsid w:val="00763127"/>
    <w:rsid w:val="007633BA"/>
    <w:rsid w:val="007637B3"/>
    <w:rsid w:val="00763B39"/>
    <w:rsid w:val="007642DF"/>
    <w:rsid w:val="00764A8C"/>
    <w:rsid w:val="00765755"/>
    <w:rsid w:val="00765E35"/>
    <w:rsid w:val="007660DB"/>
    <w:rsid w:val="0076644C"/>
    <w:rsid w:val="00766BC5"/>
    <w:rsid w:val="00767C5E"/>
    <w:rsid w:val="007702CD"/>
    <w:rsid w:val="0077128C"/>
    <w:rsid w:val="00773017"/>
    <w:rsid w:val="00773107"/>
    <w:rsid w:val="00774049"/>
    <w:rsid w:val="0077482B"/>
    <w:rsid w:val="0077497A"/>
    <w:rsid w:val="0077572C"/>
    <w:rsid w:val="00776080"/>
    <w:rsid w:val="00776C27"/>
    <w:rsid w:val="0077796C"/>
    <w:rsid w:val="00780CF9"/>
    <w:rsid w:val="007810F9"/>
    <w:rsid w:val="00782F03"/>
    <w:rsid w:val="00783498"/>
    <w:rsid w:val="00783C94"/>
    <w:rsid w:val="00784232"/>
    <w:rsid w:val="007845E6"/>
    <w:rsid w:val="00784604"/>
    <w:rsid w:val="00784849"/>
    <w:rsid w:val="0078508B"/>
    <w:rsid w:val="00785C45"/>
    <w:rsid w:val="00786B4A"/>
    <w:rsid w:val="00787BE0"/>
    <w:rsid w:val="00790398"/>
    <w:rsid w:val="00790953"/>
    <w:rsid w:val="00790A3D"/>
    <w:rsid w:val="0079210A"/>
    <w:rsid w:val="007929CA"/>
    <w:rsid w:val="00792F37"/>
    <w:rsid w:val="00792F65"/>
    <w:rsid w:val="007930E6"/>
    <w:rsid w:val="00793C40"/>
    <w:rsid w:val="00794FA5"/>
    <w:rsid w:val="007952C3"/>
    <w:rsid w:val="007953BD"/>
    <w:rsid w:val="00796E1E"/>
    <w:rsid w:val="00797907"/>
    <w:rsid w:val="00797A34"/>
    <w:rsid w:val="00797B03"/>
    <w:rsid w:val="007A0388"/>
    <w:rsid w:val="007A0CB8"/>
    <w:rsid w:val="007A0D49"/>
    <w:rsid w:val="007A1677"/>
    <w:rsid w:val="007A1D82"/>
    <w:rsid w:val="007A217F"/>
    <w:rsid w:val="007A21FD"/>
    <w:rsid w:val="007A23E6"/>
    <w:rsid w:val="007A28B6"/>
    <w:rsid w:val="007A2A9B"/>
    <w:rsid w:val="007A2D65"/>
    <w:rsid w:val="007A334B"/>
    <w:rsid w:val="007A37FC"/>
    <w:rsid w:val="007A53BE"/>
    <w:rsid w:val="007A575C"/>
    <w:rsid w:val="007A5E94"/>
    <w:rsid w:val="007A6BE2"/>
    <w:rsid w:val="007A6D25"/>
    <w:rsid w:val="007A729C"/>
    <w:rsid w:val="007B1328"/>
    <w:rsid w:val="007B1EC7"/>
    <w:rsid w:val="007B1FDD"/>
    <w:rsid w:val="007B2708"/>
    <w:rsid w:val="007B27A4"/>
    <w:rsid w:val="007B3752"/>
    <w:rsid w:val="007B3790"/>
    <w:rsid w:val="007B3918"/>
    <w:rsid w:val="007B3E30"/>
    <w:rsid w:val="007B5BB1"/>
    <w:rsid w:val="007B72BA"/>
    <w:rsid w:val="007B730B"/>
    <w:rsid w:val="007B7CE6"/>
    <w:rsid w:val="007C041B"/>
    <w:rsid w:val="007C1133"/>
    <w:rsid w:val="007C1D5C"/>
    <w:rsid w:val="007C3164"/>
    <w:rsid w:val="007C33F0"/>
    <w:rsid w:val="007C45E4"/>
    <w:rsid w:val="007C4CDB"/>
    <w:rsid w:val="007C4DAA"/>
    <w:rsid w:val="007C4F8D"/>
    <w:rsid w:val="007C5365"/>
    <w:rsid w:val="007C5DA0"/>
    <w:rsid w:val="007C6AD9"/>
    <w:rsid w:val="007C6E20"/>
    <w:rsid w:val="007C7228"/>
    <w:rsid w:val="007D0AC1"/>
    <w:rsid w:val="007D0BA5"/>
    <w:rsid w:val="007D0D18"/>
    <w:rsid w:val="007D1037"/>
    <w:rsid w:val="007D1F35"/>
    <w:rsid w:val="007D25F3"/>
    <w:rsid w:val="007D3F31"/>
    <w:rsid w:val="007D44F1"/>
    <w:rsid w:val="007D4D9C"/>
    <w:rsid w:val="007D54B4"/>
    <w:rsid w:val="007D5942"/>
    <w:rsid w:val="007D610F"/>
    <w:rsid w:val="007D6CB7"/>
    <w:rsid w:val="007E24C3"/>
    <w:rsid w:val="007E29C3"/>
    <w:rsid w:val="007E2AAB"/>
    <w:rsid w:val="007E2AC4"/>
    <w:rsid w:val="007E2D21"/>
    <w:rsid w:val="007E3815"/>
    <w:rsid w:val="007E3CCD"/>
    <w:rsid w:val="007E3D96"/>
    <w:rsid w:val="007E5129"/>
    <w:rsid w:val="007E6AF7"/>
    <w:rsid w:val="007E6CED"/>
    <w:rsid w:val="007E6CF8"/>
    <w:rsid w:val="007E73AE"/>
    <w:rsid w:val="007E73C6"/>
    <w:rsid w:val="007F089B"/>
    <w:rsid w:val="007F0A22"/>
    <w:rsid w:val="007F0E56"/>
    <w:rsid w:val="007F102E"/>
    <w:rsid w:val="007F20AB"/>
    <w:rsid w:val="007F27ED"/>
    <w:rsid w:val="007F308D"/>
    <w:rsid w:val="007F3B8F"/>
    <w:rsid w:val="007F470E"/>
    <w:rsid w:val="007F4FE8"/>
    <w:rsid w:val="007F6B5A"/>
    <w:rsid w:val="007F79FF"/>
    <w:rsid w:val="007F7CD6"/>
    <w:rsid w:val="00800069"/>
    <w:rsid w:val="008016D7"/>
    <w:rsid w:val="00801935"/>
    <w:rsid w:val="00801A29"/>
    <w:rsid w:val="00801CC6"/>
    <w:rsid w:val="00801E9F"/>
    <w:rsid w:val="008027D4"/>
    <w:rsid w:val="00803060"/>
    <w:rsid w:val="008035E5"/>
    <w:rsid w:val="008043F9"/>
    <w:rsid w:val="008046DF"/>
    <w:rsid w:val="00804AB7"/>
    <w:rsid w:val="0080528E"/>
    <w:rsid w:val="008052D0"/>
    <w:rsid w:val="0080607C"/>
    <w:rsid w:val="00806E76"/>
    <w:rsid w:val="008078DF"/>
    <w:rsid w:val="00807BA3"/>
    <w:rsid w:val="0081001F"/>
    <w:rsid w:val="00810131"/>
    <w:rsid w:val="00810ADF"/>
    <w:rsid w:val="00810DEA"/>
    <w:rsid w:val="008119D4"/>
    <w:rsid w:val="00811F3F"/>
    <w:rsid w:val="00812497"/>
    <w:rsid w:val="008124B4"/>
    <w:rsid w:val="008126E1"/>
    <w:rsid w:val="00812B3F"/>
    <w:rsid w:val="00813451"/>
    <w:rsid w:val="00815857"/>
    <w:rsid w:val="008158DA"/>
    <w:rsid w:val="00815BA5"/>
    <w:rsid w:val="008160EC"/>
    <w:rsid w:val="00816208"/>
    <w:rsid w:val="00817B1A"/>
    <w:rsid w:val="008219C3"/>
    <w:rsid w:val="00821A85"/>
    <w:rsid w:val="0082248B"/>
    <w:rsid w:val="00822F2C"/>
    <w:rsid w:val="008234F6"/>
    <w:rsid w:val="00824069"/>
    <w:rsid w:val="0082494B"/>
    <w:rsid w:val="00826EC4"/>
    <w:rsid w:val="00827961"/>
    <w:rsid w:val="00827BA7"/>
    <w:rsid w:val="00827D6B"/>
    <w:rsid w:val="0083096E"/>
    <w:rsid w:val="00831DDA"/>
    <w:rsid w:val="008340BE"/>
    <w:rsid w:val="00834971"/>
    <w:rsid w:val="00835247"/>
    <w:rsid w:val="00835478"/>
    <w:rsid w:val="00835E27"/>
    <w:rsid w:val="00836D97"/>
    <w:rsid w:val="00836DBB"/>
    <w:rsid w:val="008373E1"/>
    <w:rsid w:val="008420F3"/>
    <w:rsid w:val="00842968"/>
    <w:rsid w:val="008430F3"/>
    <w:rsid w:val="00843960"/>
    <w:rsid w:val="00843B2D"/>
    <w:rsid w:val="00843E64"/>
    <w:rsid w:val="00844B59"/>
    <w:rsid w:val="008456D7"/>
    <w:rsid w:val="00847C20"/>
    <w:rsid w:val="0085003F"/>
    <w:rsid w:val="008516DE"/>
    <w:rsid w:val="00851958"/>
    <w:rsid w:val="00851A6F"/>
    <w:rsid w:val="00853549"/>
    <w:rsid w:val="00853AEF"/>
    <w:rsid w:val="00853BDD"/>
    <w:rsid w:val="00854431"/>
    <w:rsid w:val="00855426"/>
    <w:rsid w:val="008554B9"/>
    <w:rsid w:val="008557A8"/>
    <w:rsid w:val="00855BE5"/>
    <w:rsid w:val="0085683B"/>
    <w:rsid w:val="00857118"/>
    <w:rsid w:val="00857470"/>
    <w:rsid w:val="00857711"/>
    <w:rsid w:val="00857C80"/>
    <w:rsid w:val="008604BE"/>
    <w:rsid w:val="00860631"/>
    <w:rsid w:val="00861078"/>
    <w:rsid w:val="008620E5"/>
    <w:rsid w:val="00862AED"/>
    <w:rsid w:val="00862CF7"/>
    <w:rsid w:val="00863129"/>
    <w:rsid w:val="0086440F"/>
    <w:rsid w:val="00865283"/>
    <w:rsid w:val="008657DC"/>
    <w:rsid w:val="00865A7E"/>
    <w:rsid w:val="00865C85"/>
    <w:rsid w:val="00865ED4"/>
    <w:rsid w:val="00866386"/>
    <w:rsid w:val="008669A1"/>
    <w:rsid w:val="008700E8"/>
    <w:rsid w:val="008703F9"/>
    <w:rsid w:val="00870452"/>
    <w:rsid w:val="00870911"/>
    <w:rsid w:val="00870A1F"/>
    <w:rsid w:val="00871065"/>
    <w:rsid w:val="008718EE"/>
    <w:rsid w:val="008735FD"/>
    <w:rsid w:val="00873779"/>
    <w:rsid w:val="00874178"/>
    <w:rsid w:val="008751AD"/>
    <w:rsid w:val="00876684"/>
    <w:rsid w:val="0087669D"/>
    <w:rsid w:val="0087723F"/>
    <w:rsid w:val="00877983"/>
    <w:rsid w:val="00880CBE"/>
    <w:rsid w:val="00881782"/>
    <w:rsid w:val="00881895"/>
    <w:rsid w:val="00881B78"/>
    <w:rsid w:val="0088412B"/>
    <w:rsid w:val="00884156"/>
    <w:rsid w:val="00884B2A"/>
    <w:rsid w:val="008869DA"/>
    <w:rsid w:val="00887682"/>
    <w:rsid w:val="0088791E"/>
    <w:rsid w:val="008903AF"/>
    <w:rsid w:val="008908F5"/>
    <w:rsid w:val="00891221"/>
    <w:rsid w:val="008916D8"/>
    <w:rsid w:val="00891D5B"/>
    <w:rsid w:val="008923E3"/>
    <w:rsid w:val="00892F01"/>
    <w:rsid w:val="00893DB3"/>
    <w:rsid w:val="00894269"/>
    <w:rsid w:val="00894CA0"/>
    <w:rsid w:val="00894ECF"/>
    <w:rsid w:val="008952B2"/>
    <w:rsid w:val="00895E53"/>
    <w:rsid w:val="008976AE"/>
    <w:rsid w:val="00897E4F"/>
    <w:rsid w:val="008A00E6"/>
    <w:rsid w:val="008A03D9"/>
    <w:rsid w:val="008A130E"/>
    <w:rsid w:val="008A2339"/>
    <w:rsid w:val="008A262F"/>
    <w:rsid w:val="008A265F"/>
    <w:rsid w:val="008A2A94"/>
    <w:rsid w:val="008A367B"/>
    <w:rsid w:val="008A5B5C"/>
    <w:rsid w:val="008A618E"/>
    <w:rsid w:val="008A64E1"/>
    <w:rsid w:val="008A6FD4"/>
    <w:rsid w:val="008A6FEA"/>
    <w:rsid w:val="008A7236"/>
    <w:rsid w:val="008A734C"/>
    <w:rsid w:val="008A74C0"/>
    <w:rsid w:val="008A7566"/>
    <w:rsid w:val="008A7A89"/>
    <w:rsid w:val="008B0592"/>
    <w:rsid w:val="008B10F1"/>
    <w:rsid w:val="008B1408"/>
    <w:rsid w:val="008B24FE"/>
    <w:rsid w:val="008B29F5"/>
    <w:rsid w:val="008B2D97"/>
    <w:rsid w:val="008B2DF3"/>
    <w:rsid w:val="008B3FAD"/>
    <w:rsid w:val="008B468F"/>
    <w:rsid w:val="008B46F9"/>
    <w:rsid w:val="008B47F0"/>
    <w:rsid w:val="008B5133"/>
    <w:rsid w:val="008B5255"/>
    <w:rsid w:val="008B6551"/>
    <w:rsid w:val="008B666D"/>
    <w:rsid w:val="008B6FC7"/>
    <w:rsid w:val="008B7F3C"/>
    <w:rsid w:val="008C0B1C"/>
    <w:rsid w:val="008C1C92"/>
    <w:rsid w:val="008C26E9"/>
    <w:rsid w:val="008C2736"/>
    <w:rsid w:val="008C2BC7"/>
    <w:rsid w:val="008C38B6"/>
    <w:rsid w:val="008C4374"/>
    <w:rsid w:val="008C44F1"/>
    <w:rsid w:val="008C49D0"/>
    <w:rsid w:val="008C4F05"/>
    <w:rsid w:val="008C54F4"/>
    <w:rsid w:val="008C5551"/>
    <w:rsid w:val="008C5C67"/>
    <w:rsid w:val="008C5EAE"/>
    <w:rsid w:val="008C62B7"/>
    <w:rsid w:val="008C6436"/>
    <w:rsid w:val="008C68E7"/>
    <w:rsid w:val="008D0177"/>
    <w:rsid w:val="008D03EF"/>
    <w:rsid w:val="008D392B"/>
    <w:rsid w:val="008D4ACB"/>
    <w:rsid w:val="008D4BB0"/>
    <w:rsid w:val="008D4BE5"/>
    <w:rsid w:val="008D5A2C"/>
    <w:rsid w:val="008D5D66"/>
    <w:rsid w:val="008D665F"/>
    <w:rsid w:val="008D684C"/>
    <w:rsid w:val="008D7521"/>
    <w:rsid w:val="008E02A1"/>
    <w:rsid w:val="008E099B"/>
    <w:rsid w:val="008E1364"/>
    <w:rsid w:val="008E19C3"/>
    <w:rsid w:val="008E1D66"/>
    <w:rsid w:val="008E29DE"/>
    <w:rsid w:val="008E2BE3"/>
    <w:rsid w:val="008E306C"/>
    <w:rsid w:val="008E4265"/>
    <w:rsid w:val="008E4B64"/>
    <w:rsid w:val="008E4CEA"/>
    <w:rsid w:val="008E50EF"/>
    <w:rsid w:val="008E5E31"/>
    <w:rsid w:val="008E78FD"/>
    <w:rsid w:val="008E7907"/>
    <w:rsid w:val="008F06D4"/>
    <w:rsid w:val="008F0B79"/>
    <w:rsid w:val="008F0F08"/>
    <w:rsid w:val="008F1345"/>
    <w:rsid w:val="008F1ECC"/>
    <w:rsid w:val="008F24D1"/>
    <w:rsid w:val="008F26C7"/>
    <w:rsid w:val="008F2AC0"/>
    <w:rsid w:val="008F2E49"/>
    <w:rsid w:val="008F3CF0"/>
    <w:rsid w:val="008F3D73"/>
    <w:rsid w:val="008F49FE"/>
    <w:rsid w:val="008F4A25"/>
    <w:rsid w:val="008F4F69"/>
    <w:rsid w:val="008F575B"/>
    <w:rsid w:val="008F715A"/>
    <w:rsid w:val="00900CB4"/>
    <w:rsid w:val="00901FED"/>
    <w:rsid w:val="0090262A"/>
    <w:rsid w:val="00902953"/>
    <w:rsid w:val="00902FA6"/>
    <w:rsid w:val="0090317B"/>
    <w:rsid w:val="00903249"/>
    <w:rsid w:val="0090327B"/>
    <w:rsid w:val="00903D4E"/>
    <w:rsid w:val="00905AE5"/>
    <w:rsid w:val="00905B1D"/>
    <w:rsid w:val="00905BD0"/>
    <w:rsid w:val="0090655B"/>
    <w:rsid w:val="00906AF4"/>
    <w:rsid w:val="00906B5D"/>
    <w:rsid w:val="00906F0A"/>
    <w:rsid w:val="009078FE"/>
    <w:rsid w:val="009123FB"/>
    <w:rsid w:val="00912536"/>
    <w:rsid w:val="00912668"/>
    <w:rsid w:val="00913A58"/>
    <w:rsid w:val="00914691"/>
    <w:rsid w:val="00915426"/>
    <w:rsid w:val="00915504"/>
    <w:rsid w:val="00915C1B"/>
    <w:rsid w:val="00916374"/>
    <w:rsid w:val="009164CE"/>
    <w:rsid w:val="00916CE3"/>
    <w:rsid w:val="00916EE6"/>
    <w:rsid w:val="0092000D"/>
    <w:rsid w:val="00920794"/>
    <w:rsid w:val="00920A44"/>
    <w:rsid w:val="009211B8"/>
    <w:rsid w:val="00921775"/>
    <w:rsid w:val="009228FF"/>
    <w:rsid w:val="00922A7F"/>
    <w:rsid w:val="009245B3"/>
    <w:rsid w:val="00924C45"/>
    <w:rsid w:val="0092500C"/>
    <w:rsid w:val="009250B6"/>
    <w:rsid w:val="0092531F"/>
    <w:rsid w:val="009273C8"/>
    <w:rsid w:val="009279F9"/>
    <w:rsid w:val="0093073F"/>
    <w:rsid w:val="00931384"/>
    <w:rsid w:val="00931BA1"/>
    <w:rsid w:val="00932106"/>
    <w:rsid w:val="009326CF"/>
    <w:rsid w:val="0093282D"/>
    <w:rsid w:val="0093376B"/>
    <w:rsid w:val="00935FE6"/>
    <w:rsid w:val="00936807"/>
    <w:rsid w:val="0093699F"/>
    <w:rsid w:val="00936C9F"/>
    <w:rsid w:val="00936F41"/>
    <w:rsid w:val="00937262"/>
    <w:rsid w:val="00937C6B"/>
    <w:rsid w:val="00940389"/>
    <w:rsid w:val="009404C8"/>
    <w:rsid w:val="009416FA"/>
    <w:rsid w:val="0094190C"/>
    <w:rsid w:val="0094243F"/>
    <w:rsid w:val="00942A5A"/>
    <w:rsid w:val="00943191"/>
    <w:rsid w:val="00943E85"/>
    <w:rsid w:val="009442F5"/>
    <w:rsid w:val="00944C7A"/>
    <w:rsid w:val="00944C8C"/>
    <w:rsid w:val="00944CA8"/>
    <w:rsid w:val="00945884"/>
    <w:rsid w:val="009458C4"/>
    <w:rsid w:val="00946530"/>
    <w:rsid w:val="00946DE5"/>
    <w:rsid w:val="00946E37"/>
    <w:rsid w:val="00946E6D"/>
    <w:rsid w:val="00947BD7"/>
    <w:rsid w:val="0095148E"/>
    <w:rsid w:val="009516B8"/>
    <w:rsid w:val="00951A0C"/>
    <w:rsid w:val="00952415"/>
    <w:rsid w:val="00953AAA"/>
    <w:rsid w:val="00955B27"/>
    <w:rsid w:val="00957218"/>
    <w:rsid w:val="00960083"/>
    <w:rsid w:val="009605C3"/>
    <w:rsid w:val="0096065E"/>
    <w:rsid w:val="00960CC5"/>
    <w:rsid w:val="009617DE"/>
    <w:rsid w:val="009624F6"/>
    <w:rsid w:val="00962E97"/>
    <w:rsid w:val="0096369E"/>
    <w:rsid w:val="00966755"/>
    <w:rsid w:val="0096754D"/>
    <w:rsid w:val="009676D5"/>
    <w:rsid w:val="00967A7D"/>
    <w:rsid w:val="009704C0"/>
    <w:rsid w:val="009709AF"/>
    <w:rsid w:val="00970E10"/>
    <w:rsid w:val="00970F36"/>
    <w:rsid w:val="0097163E"/>
    <w:rsid w:val="00971B95"/>
    <w:rsid w:val="0097295E"/>
    <w:rsid w:val="00972AB8"/>
    <w:rsid w:val="00973B26"/>
    <w:rsid w:val="009750DE"/>
    <w:rsid w:val="00975431"/>
    <w:rsid w:val="0097636B"/>
    <w:rsid w:val="009771B2"/>
    <w:rsid w:val="009811FE"/>
    <w:rsid w:val="00981381"/>
    <w:rsid w:val="00981806"/>
    <w:rsid w:val="0098225D"/>
    <w:rsid w:val="00982563"/>
    <w:rsid w:val="00982A34"/>
    <w:rsid w:val="009831BD"/>
    <w:rsid w:val="00983F66"/>
    <w:rsid w:val="009843A9"/>
    <w:rsid w:val="0098491D"/>
    <w:rsid w:val="00986287"/>
    <w:rsid w:val="009879B9"/>
    <w:rsid w:val="00987B5D"/>
    <w:rsid w:val="00987D14"/>
    <w:rsid w:val="00987E90"/>
    <w:rsid w:val="00990D1C"/>
    <w:rsid w:val="00991A42"/>
    <w:rsid w:val="00992134"/>
    <w:rsid w:val="009939B4"/>
    <w:rsid w:val="00993D8E"/>
    <w:rsid w:val="00993DB7"/>
    <w:rsid w:val="00994227"/>
    <w:rsid w:val="00995643"/>
    <w:rsid w:val="009956DB"/>
    <w:rsid w:val="00995F88"/>
    <w:rsid w:val="00996A31"/>
    <w:rsid w:val="00996C10"/>
    <w:rsid w:val="00997891"/>
    <w:rsid w:val="009A0198"/>
    <w:rsid w:val="009A0843"/>
    <w:rsid w:val="009A0A61"/>
    <w:rsid w:val="009A19A2"/>
    <w:rsid w:val="009A1CF3"/>
    <w:rsid w:val="009A1D2F"/>
    <w:rsid w:val="009A3F8B"/>
    <w:rsid w:val="009A4303"/>
    <w:rsid w:val="009A59F9"/>
    <w:rsid w:val="009A5BFA"/>
    <w:rsid w:val="009A5F00"/>
    <w:rsid w:val="009B045A"/>
    <w:rsid w:val="009B080E"/>
    <w:rsid w:val="009B0919"/>
    <w:rsid w:val="009B1826"/>
    <w:rsid w:val="009B1B91"/>
    <w:rsid w:val="009B5322"/>
    <w:rsid w:val="009B53C6"/>
    <w:rsid w:val="009B6004"/>
    <w:rsid w:val="009B729F"/>
    <w:rsid w:val="009B7645"/>
    <w:rsid w:val="009C0A48"/>
    <w:rsid w:val="009C0C87"/>
    <w:rsid w:val="009C0CA2"/>
    <w:rsid w:val="009C2468"/>
    <w:rsid w:val="009C30B9"/>
    <w:rsid w:val="009C3203"/>
    <w:rsid w:val="009C346D"/>
    <w:rsid w:val="009C3632"/>
    <w:rsid w:val="009C37E2"/>
    <w:rsid w:val="009C3854"/>
    <w:rsid w:val="009C3A75"/>
    <w:rsid w:val="009C3ECC"/>
    <w:rsid w:val="009C4690"/>
    <w:rsid w:val="009C50F4"/>
    <w:rsid w:val="009C59F8"/>
    <w:rsid w:val="009C5DEC"/>
    <w:rsid w:val="009C5F80"/>
    <w:rsid w:val="009C61FA"/>
    <w:rsid w:val="009C726A"/>
    <w:rsid w:val="009C759B"/>
    <w:rsid w:val="009D0F8E"/>
    <w:rsid w:val="009D1272"/>
    <w:rsid w:val="009D1273"/>
    <w:rsid w:val="009D1A4B"/>
    <w:rsid w:val="009D3316"/>
    <w:rsid w:val="009D37DE"/>
    <w:rsid w:val="009D4166"/>
    <w:rsid w:val="009D62A6"/>
    <w:rsid w:val="009D65B8"/>
    <w:rsid w:val="009D6616"/>
    <w:rsid w:val="009D6EE3"/>
    <w:rsid w:val="009D6F35"/>
    <w:rsid w:val="009D7014"/>
    <w:rsid w:val="009D7D1A"/>
    <w:rsid w:val="009D7E47"/>
    <w:rsid w:val="009E180C"/>
    <w:rsid w:val="009E2030"/>
    <w:rsid w:val="009E2CD6"/>
    <w:rsid w:val="009E3729"/>
    <w:rsid w:val="009E3FB2"/>
    <w:rsid w:val="009E43BA"/>
    <w:rsid w:val="009E603F"/>
    <w:rsid w:val="009E6A4A"/>
    <w:rsid w:val="009E7103"/>
    <w:rsid w:val="009E71FB"/>
    <w:rsid w:val="009F0839"/>
    <w:rsid w:val="009F0B93"/>
    <w:rsid w:val="009F0D86"/>
    <w:rsid w:val="009F14C9"/>
    <w:rsid w:val="009F1E87"/>
    <w:rsid w:val="009F248B"/>
    <w:rsid w:val="009F24D9"/>
    <w:rsid w:val="009F25FB"/>
    <w:rsid w:val="009F2D25"/>
    <w:rsid w:val="009F359E"/>
    <w:rsid w:val="009F47C8"/>
    <w:rsid w:val="009F4936"/>
    <w:rsid w:val="009F4C8B"/>
    <w:rsid w:val="009F51C0"/>
    <w:rsid w:val="009F51D2"/>
    <w:rsid w:val="009F54A5"/>
    <w:rsid w:val="009F54B0"/>
    <w:rsid w:val="009F550E"/>
    <w:rsid w:val="009F5C77"/>
    <w:rsid w:val="009F63B7"/>
    <w:rsid w:val="009F6D75"/>
    <w:rsid w:val="009F7249"/>
    <w:rsid w:val="00A00040"/>
    <w:rsid w:val="00A00167"/>
    <w:rsid w:val="00A007D3"/>
    <w:rsid w:val="00A00D61"/>
    <w:rsid w:val="00A017E8"/>
    <w:rsid w:val="00A01867"/>
    <w:rsid w:val="00A01EE0"/>
    <w:rsid w:val="00A03573"/>
    <w:rsid w:val="00A03D1A"/>
    <w:rsid w:val="00A03DA4"/>
    <w:rsid w:val="00A03F5E"/>
    <w:rsid w:val="00A04DFB"/>
    <w:rsid w:val="00A05044"/>
    <w:rsid w:val="00A069C9"/>
    <w:rsid w:val="00A072A6"/>
    <w:rsid w:val="00A07A14"/>
    <w:rsid w:val="00A07E4C"/>
    <w:rsid w:val="00A105E2"/>
    <w:rsid w:val="00A1078C"/>
    <w:rsid w:val="00A12383"/>
    <w:rsid w:val="00A13275"/>
    <w:rsid w:val="00A13589"/>
    <w:rsid w:val="00A13DFE"/>
    <w:rsid w:val="00A15928"/>
    <w:rsid w:val="00A1683C"/>
    <w:rsid w:val="00A1757B"/>
    <w:rsid w:val="00A1765B"/>
    <w:rsid w:val="00A17B1A"/>
    <w:rsid w:val="00A20DAB"/>
    <w:rsid w:val="00A20EFA"/>
    <w:rsid w:val="00A2110D"/>
    <w:rsid w:val="00A21BE9"/>
    <w:rsid w:val="00A2330F"/>
    <w:rsid w:val="00A23314"/>
    <w:rsid w:val="00A24564"/>
    <w:rsid w:val="00A246E8"/>
    <w:rsid w:val="00A24E00"/>
    <w:rsid w:val="00A2591D"/>
    <w:rsid w:val="00A25EBE"/>
    <w:rsid w:val="00A25EDE"/>
    <w:rsid w:val="00A25FF9"/>
    <w:rsid w:val="00A2604B"/>
    <w:rsid w:val="00A264C8"/>
    <w:rsid w:val="00A271C5"/>
    <w:rsid w:val="00A27A86"/>
    <w:rsid w:val="00A300B5"/>
    <w:rsid w:val="00A313C2"/>
    <w:rsid w:val="00A31F3D"/>
    <w:rsid w:val="00A322C3"/>
    <w:rsid w:val="00A3283F"/>
    <w:rsid w:val="00A32FBF"/>
    <w:rsid w:val="00A33045"/>
    <w:rsid w:val="00A33513"/>
    <w:rsid w:val="00A33D29"/>
    <w:rsid w:val="00A3573D"/>
    <w:rsid w:val="00A35B86"/>
    <w:rsid w:val="00A35EA0"/>
    <w:rsid w:val="00A36824"/>
    <w:rsid w:val="00A3775A"/>
    <w:rsid w:val="00A37E62"/>
    <w:rsid w:val="00A45A7A"/>
    <w:rsid w:val="00A47C20"/>
    <w:rsid w:val="00A50446"/>
    <w:rsid w:val="00A50599"/>
    <w:rsid w:val="00A507B9"/>
    <w:rsid w:val="00A509B4"/>
    <w:rsid w:val="00A50A26"/>
    <w:rsid w:val="00A50C5C"/>
    <w:rsid w:val="00A51031"/>
    <w:rsid w:val="00A51854"/>
    <w:rsid w:val="00A528A1"/>
    <w:rsid w:val="00A5299E"/>
    <w:rsid w:val="00A53447"/>
    <w:rsid w:val="00A5441F"/>
    <w:rsid w:val="00A54DA8"/>
    <w:rsid w:val="00A54DFF"/>
    <w:rsid w:val="00A55323"/>
    <w:rsid w:val="00A55A33"/>
    <w:rsid w:val="00A55AF3"/>
    <w:rsid w:val="00A576B2"/>
    <w:rsid w:val="00A579B9"/>
    <w:rsid w:val="00A57D85"/>
    <w:rsid w:val="00A60377"/>
    <w:rsid w:val="00A605BA"/>
    <w:rsid w:val="00A60968"/>
    <w:rsid w:val="00A61024"/>
    <w:rsid w:val="00A6175C"/>
    <w:rsid w:val="00A61B5D"/>
    <w:rsid w:val="00A624FE"/>
    <w:rsid w:val="00A62E2D"/>
    <w:rsid w:val="00A63330"/>
    <w:rsid w:val="00A6352E"/>
    <w:rsid w:val="00A63DC9"/>
    <w:rsid w:val="00A63E04"/>
    <w:rsid w:val="00A63F23"/>
    <w:rsid w:val="00A64FD4"/>
    <w:rsid w:val="00A65E5A"/>
    <w:rsid w:val="00A6660D"/>
    <w:rsid w:val="00A701EC"/>
    <w:rsid w:val="00A70763"/>
    <w:rsid w:val="00A713D4"/>
    <w:rsid w:val="00A71C35"/>
    <w:rsid w:val="00A71E30"/>
    <w:rsid w:val="00A71E38"/>
    <w:rsid w:val="00A73238"/>
    <w:rsid w:val="00A74E71"/>
    <w:rsid w:val="00A75C3A"/>
    <w:rsid w:val="00A77395"/>
    <w:rsid w:val="00A776AD"/>
    <w:rsid w:val="00A77FB7"/>
    <w:rsid w:val="00A804E5"/>
    <w:rsid w:val="00A80FC9"/>
    <w:rsid w:val="00A81326"/>
    <w:rsid w:val="00A81F17"/>
    <w:rsid w:val="00A83A26"/>
    <w:rsid w:val="00A83FE9"/>
    <w:rsid w:val="00A844E4"/>
    <w:rsid w:val="00A8491B"/>
    <w:rsid w:val="00A84F86"/>
    <w:rsid w:val="00A861C8"/>
    <w:rsid w:val="00A87862"/>
    <w:rsid w:val="00A87A65"/>
    <w:rsid w:val="00A87D6F"/>
    <w:rsid w:val="00A87E83"/>
    <w:rsid w:val="00A908AD"/>
    <w:rsid w:val="00A9133E"/>
    <w:rsid w:val="00A91A36"/>
    <w:rsid w:val="00A91C94"/>
    <w:rsid w:val="00A92031"/>
    <w:rsid w:val="00A941A4"/>
    <w:rsid w:val="00A94BDC"/>
    <w:rsid w:val="00A95FD0"/>
    <w:rsid w:val="00A9776B"/>
    <w:rsid w:val="00A97967"/>
    <w:rsid w:val="00AA0C31"/>
    <w:rsid w:val="00AA1180"/>
    <w:rsid w:val="00AA1A7E"/>
    <w:rsid w:val="00AA1D6C"/>
    <w:rsid w:val="00AA1DD7"/>
    <w:rsid w:val="00AA3026"/>
    <w:rsid w:val="00AA37D9"/>
    <w:rsid w:val="00AA445B"/>
    <w:rsid w:val="00AA5303"/>
    <w:rsid w:val="00AA533C"/>
    <w:rsid w:val="00AA570E"/>
    <w:rsid w:val="00AA6BE4"/>
    <w:rsid w:val="00AA6F10"/>
    <w:rsid w:val="00AA7F31"/>
    <w:rsid w:val="00AB06F7"/>
    <w:rsid w:val="00AB0DAD"/>
    <w:rsid w:val="00AB1FE7"/>
    <w:rsid w:val="00AB31F0"/>
    <w:rsid w:val="00AB368C"/>
    <w:rsid w:val="00AB431B"/>
    <w:rsid w:val="00AB43A1"/>
    <w:rsid w:val="00AB4436"/>
    <w:rsid w:val="00AB4D71"/>
    <w:rsid w:val="00AB4E8C"/>
    <w:rsid w:val="00AB5EC6"/>
    <w:rsid w:val="00AB65A1"/>
    <w:rsid w:val="00AB6A36"/>
    <w:rsid w:val="00AB6DE2"/>
    <w:rsid w:val="00AB7B86"/>
    <w:rsid w:val="00AB7CD0"/>
    <w:rsid w:val="00AB7E21"/>
    <w:rsid w:val="00AB7E90"/>
    <w:rsid w:val="00AC08B9"/>
    <w:rsid w:val="00AC1359"/>
    <w:rsid w:val="00AC19E8"/>
    <w:rsid w:val="00AC29D6"/>
    <w:rsid w:val="00AC3278"/>
    <w:rsid w:val="00AC5C10"/>
    <w:rsid w:val="00AC5DEB"/>
    <w:rsid w:val="00AC61EB"/>
    <w:rsid w:val="00AC6F57"/>
    <w:rsid w:val="00AC7E85"/>
    <w:rsid w:val="00AD07C5"/>
    <w:rsid w:val="00AD110F"/>
    <w:rsid w:val="00AD1C3B"/>
    <w:rsid w:val="00AD1DB3"/>
    <w:rsid w:val="00AD1F88"/>
    <w:rsid w:val="00AD306C"/>
    <w:rsid w:val="00AD3633"/>
    <w:rsid w:val="00AD4C87"/>
    <w:rsid w:val="00AD4EDE"/>
    <w:rsid w:val="00AD55B4"/>
    <w:rsid w:val="00AD5879"/>
    <w:rsid w:val="00AD587F"/>
    <w:rsid w:val="00AD5C22"/>
    <w:rsid w:val="00AD608F"/>
    <w:rsid w:val="00AD68E5"/>
    <w:rsid w:val="00AD6FCB"/>
    <w:rsid w:val="00AD70A1"/>
    <w:rsid w:val="00AD73C6"/>
    <w:rsid w:val="00AD73D2"/>
    <w:rsid w:val="00AD758E"/>
    <w:rsid w:val="00AE1049"/>
    <w:rsid w:val="00AE11FE"/>
    <w:rsid w:val="00AE273F"/>
    <w:rsid w:val="00AE3CCE"/>
    <w:rsid w:val="00AE3EF5"/>
    <w:rsid w:val="00AE41C1"/>
    <w:rsid w:val="00AE45CC"/>
    <w:rsid w:val="00AE4701"/>
    <w:rsid w:val="00AE5CA4"/>
    <w:rsid w:val="00AE6235"/>
    <w:rsid w:val="00AE68A6"/>
    <w:rsid w:val="00AE70FA"/>
    <w:rsid w:val="00AE7DDC"/>
    <w:rsid w:val="00AF1764"/>
    <w:rsid w:val="00AF1B06"/>
    <w:rsid w:val="00AF270B"/>
    <w:rsid w:val="00AF2931"/>
    <w:rsid w:val="00AF330D"/>
    <w:rsid w:val="00AF33E6"/>
    <w:rsid w:val="00AF389D"/>
    <w:rsid w:val="00AF3F71"/>
    <w:rsid w:val="00AF41A0"/>
    <w:rsid w:val="00AF4BC6"/>
    <w:rsid w:val="00AF57DE"/>
    <w:rsid w:val="00AF6BEE"/>
    <w:rsid w:val="00AF6C59"/>
    <w:rsid w:val="00B017C2"/>
    <w:rsid w:val="00B04995"/>
    <w:rsid w:val="00B04E7F"/>
    <w:rsid w:val="00B05731"/>
    <w:rsid w:val="00B06B21"/>
    <w:rsid w:val="00B06EEF"/>
    <w:rsid w:val="00B10500"/>
    <w:rsid w:val="00B1140A"/>
    <w:rsid w:val="00B118B0"/>
    <w:rsid w:val="00B11C11"/>
    <w:rsid w:val="00B1277C"/>
    <w:rsid w:val="00B12E82"/>
    <w:rsid w:val="00B145E3"/>
    <w:rsid w:val="00B154C1"/>
    <w:rsid w:val="00B15751"/>
    <w:rsid w:val="00B1603E"/>
    <w:rsid w:val="00B16260"/>
    <w:rsid w:val="00B16262"/>
    <w:rsid w:val="00B16BAF"/>
    <w:rsid w:val="00B17723"/>
    <w:rsid w:val="00B1798D"/>
    <w:rsid w:val="00B20354"/>
    <w:rsid w:val="00B225AD"/>
    <w:rsid w:val="00B225B4"/>
    <w:rsid w:val="00B22AD6"/>
    <w:rsid w:val="00B22EE1"/>
    <w:rsid w:val="00B23430"/>
    <w:rsid w:val="00B23591"/>
    <w:rsid w:val="00B237FD"/>
    <w:rsid w:val="00B24056"/>
    <w:rsid w:val="00B24A13"/>
    <w:rsid w:val="00B261A3"/>
    <w:rsid w:val="00B26A64"/>
    <w:rsid w:val="00B26B8C"/>
    <w:rsid w:val="00B26D28"/>
    <w:rsid w:val="00B31082"/>
    <w:rsid w:val="00B3143A"/>
    <w:rsid w:val="00B31619"/>
    <w:rsid w:val="00B31692"/>
    <w:rsid w:val="00B32991"/>
    <w:rsid w:val="00B33524"/>
    <w:rsid w:val="00B34D9C"/>
    <w:rsid w:val="00B367A3"/>
    <w:rsid w:val="00B3708F"/>
    <w:rsid w:val="00B376FF"/>
    <w:rsid w:val="00B37725"/>
    <w:rsid w:val="00B3779D"/>
    <w:rsid w:val="00B37BC8"/>
    <w:rsid w:val="00B37EF6"/>
    <w:rsid w:val="00B40212"/>
    <w:rsid w:val="00B4054B"/>
    <w:rsid w:val="00B40D22"/>
    <w:rsid w:val="00B41CE4"/>
    <w:rsid w:val="00B43685"/>
    <w:rsid w:val="00B44D79"/>
    <w:rsid w:val="00B45FE5"/>
    <w:rsid w:val="00B46242"/>
    <w:rsid w:val="00B4676F"/>
    <w:rsid w:val="00B47F58"/>
    <w:rsid w:val="00B50549"/>
    <w:rsid w:val="00B517CB"/>
    <w:rsid w:val="00B5355D"/>
    <w:rsid w:val="00B54075"/>
    <w:rsid w:val="00B54120"/>
    <w:rsid w:val="00B5470B"/>
    <w:rsid w:val="00B54A3D"/>
    <w:rsid w:val="00B56239"/>
    <w:rsid w:val="00B566E3"/>
    <w:rsid w:val="00B56AAA"/>
    <w:rsid w:val="00B56B18"/>
    <w:rsid w:val="00B57F4D"/>
    <w:rsid w:val="00B607FA"/>
    <w:rsid w:val="00B60914"/>
    <w:rsid w:val="00B60DAF"/>
    <w:rsid w:val="00B61F6C"/>
    <w:rsid w:val="00B62B0F"/>
    <w:rsid w:val="00B62CCD"/>
    <w:rsid w:val="00B63D1E"/>
    <w:rsid w:val="00B63F03"/>
    <w:rsid w:val="00B648E1"/>
    <w:rsid w:val="00B65614"/>
    <w:rsid w:val="00B65C23"/>
    <w:rsid w:val="00B664B6"/>
    <w:rsid w:val="00B67905"/>
    <w:rsid w:val="00B67BBF"/>
    <w:rsid w:val="00B705ED"/>
    <w:rsid w:val="00B70BDC"/>
    <w:rsid w:val="00B70F8D"/>
    <w:rsid w:val="00B71AD9"/>
    <w:rsid w:val="00B71C4E"/>
    <w:rsid w:val="00B735F4"/>
    <w:rsid w:val="00B73707"/>
    <w:rsid w:val="00B73EF5"/>
    <w:rsid w:val="00B74249"/>
    <w:rsid w:val="00B7551D"/>
    <w:rsid w:val="00B75E58"/>
    <w:rsid w:val="00B803D9"/>
    <w:rsid w:val="00B80A7D"/>
    <w:rsid w:val="00B80C28"/>
    <w:rsid w:val="00B80DBC"/>
    <w:rsid w:val="00B8109F"/>
    <w:rsid w:val="00B81279"/>
    <w:rsid w:val="00B817B1"/>
    <w:rsid w:val="00B82817"/>
    <w:rsid w:val="00B82AC8"/>
    <w:rsid w:val="00B82C2D"/>
    <w:rsid w:val="00B83750"/>
    <w:rsid w:val="00B83BE2"/>
    <w:rsid w:val="00B83F46"/>
    <w:rsid w:val="00B862AE"/>
    <w:rsid w:val="00B873BA"/>
    <w:rsid w:val="00B87A47"/>
    <w:rsid w:val="00B87B73"/>
    <w:rsid w:val="00B9005B"/>
    <w:rsid w:val="00B90786"/>
    <w:rsid w:val="00B91674"/>
    <w:rsid w:val="00B91F7C"/>
    <w:rsid w:val="00B9347D"/>
    <w:rsid w:val="00B93A58"/>
    <w:rsid w:val="00B941D2"/>
    <w:rsid w:val="00B95D36"/>
    <w:rsid w:val="00B96001"/>
    <w:rsid w:val="00B9794D"/>
    <w:rsid w:val="00BA053A"/>
    <w:rsid w:val="00BA15EC"/>
    <w:rsid w:val="00BA166D"/>
    <w:rsid w:val="00BA1962"/>
    <w:rsid w:val="00BA2869"/>
    <w:rsid w:val="00BA29B6"/>
    <w:rsid w:val="00BA3246"/>
    <w:rsid w:val="00BA3DC3"/>
    <w:rsid w:val="00BA4496"/>
    <w:rsid w:val="00BA76F4"/>
    <w:rsid w:val="00BB03B0"/>
    <w:rsid w:val="00BB04C2"/>
    <w:rsid w:val="00BB08B2"/>
    <w:rsid w:val="00BB0E72"/>
    <w:rsid w:val="00BB129A"/>
    <w:rsid w:val="00BB247F"/>
    <w:rsid w:val="00BB3458"/>
    <w:rsid w:val="00BB34E6"/>
    <w:rsid w:val="00BB3547"/>
    <w:rsid w:val="00BB36EC"/>
    <w:rsid w:val="00BB38E6"/>
    <w:rsid w:val="00BB4219"/>
    <w:rsid w:val="00BB43CD"/>
    <w:rsid w:val="00BB447D"/>
    <w:rsid w:val="00BB44BD"/>
    <w:rsid w:val="00BB47B7"/>
    <w:rsid w:val="00BB5091"/>
    <w:rsid w:val="00BB5A18"/>
    <w:rsid w:val="00BB5A6F"/>
    <w:rsid w:val="00BB5BB5"/>
    <w:rsid w:val="00BB5DDA"/>
    <w:rsid w:val="00BB6230"/>
    <w:rsid w:val="00BB6650"/>
    <w:rsid w:val="00BB6D9F"/>
    <w:rsid w:val="00BB71E9"/>
    <w:rsid w:val="00BB72C3"/>
    <w:rsid w:val="00BC08A6"/>
    <w:rsid w:val="00BC0B1F"/>
    <w:rsid w:val="00BC145A"/>
    <w:rsid w:val="00BC19D7"/>
    <w:rsid w:val="00BC2732"/>
    <w:rsid w:val="00BC2E95"/>
    <w:rsid w:val="00BC336A"/>
    <w:rsid w:val="00BC394E"/>
    <w:rsid w:val="00BC398E"/>
    <w:rsid w:val="00BC4A4A"/>
    <w:rsid w:val="00BC4D85"/>
    <w:rsid w:val="00BC4F69"/>
    <w:rsid w:val="00BC528A"/>
    <w:rsid w:val="00BC6703"/>
    <w:rsid w:val="00BC6F26"/>
    <w:rsid w:val="00BD000B"/>
    <w:rsid w:val="00BD14F8"/>
    <w:rsid w:val="00BD1B8B"/>
    <w:rsid w:val="00BD2542"/>
    <w:rsid w:val="00BD25BA"/>
    <w:rsid w:val="00BD2BC0"/>
    <w:rsid w:val="00BD2C06"/>
    <w:rsid w:val="00BD2C16"/>
    <w:rsid w:val="00BD2DDA"/>
    <w:rsid w:val="00BD363A"/>
    <w:rsid w:val="00BD3BFD"/>
    <w:rsid w:val="00BD404F"/>
    <w:rsid w:val="00BD45B5"/>
    <w:rsid w:val="00BD4A00"/>
    <w:rsid w:val="00BD5082"/>
    <w:rsid w:val="00BD5883"/>
    <w:rsid w:val="00BD6172"/>
    <w:rsid w:val="00BD678B"/>
    <w:rsid w:val="00BD6977"/>
    <w:rsid w:val="00BE08BB"/>
    <w:rsid w:val="00BE1BBE"/>
    <w:rsid w:val="00BE27AA"/>
    <w:rsid w:val="00BE2F07"/>
    <w:rsid w:val="00BE3C27"/>
    <w:rsid w:val="00BE4235"/>
    <w:rsid w:val="00BE615D"/>
    <w:rsid w:val="00BE61B4"/>
    <w:rsid w:val="00BE6A28"/>
    <w:rsid w:val="00BE6BA8"/>
    <w:rsid w:val="00BE7E7D"/>
    <w:rsid w:val="00BF0843"/>
    <w:rsid w:val="00BF1DE7"/>
    <w:rsid w:val="00BF2807"/>
    <w:rsid w:val="00BF2886"/>
    <w:rsid w:val="00BF3AD6"/>
    <w:rsid w:val="00BF3EC0"/>
    <w:rsid w:val="00BF4ED5"/>
    <w:rsid w:val="00BF5111"/>
    <w:rsid w:val="00BF629D"/>
    <w:rsid w:val="00BF7B11"/>
    <w:rsid w:val="00C001A4"/>
    <w:rsid w:val="00C00923"/>
    <w:rsid w:val="00C00AC2"/>
    <w:rsid w:val="00C0123B"/>
    <w:rsid w:val="00C02347"/>
    <w:rsid w:val="00C02483"/>
    <w:rsid w:val="00C02FF4"/>
    <w:rsid w:val="00C030BA"/>
    <w:rsid w:val="00C03177"/>
    <w:rsid w:val="00C0363B"/>
    <w:rsid w:val="00C04183"/>
    <w:rsid w:val="00C04790"/>
    <w:rsid w:val="00C05B6D"/>
    <w:rsid w:val="00C060AC"/>
    <w:rsid w:val="00C060E0"/>
    <w:rsid w:val="00C066E1"/>
    <w:rsid w:val="00C067B9"/>
    <w:rsid w:val="00C071CD"/>
    <w:rsid w:val="00C07673"/>
    <w:rsid w:val="00C07C48"/>
    <w:rsid w:val="00C10140"/>
    <w:rsid w:val="00C10268"/>
    <w:rsid w:val="00C10385"/>
    <w:rsid w:val="00C106E0"/>
    <w:rsid w:val="00C1085A"/>
    <w:rsid w:val="00C10CE1"/>
    <w:rsid w:val="00C118AD"/>
    <w:rsid w:val="00C120CA"/>
    <w:rsid w:val="00C12F42"/>
    <w:rsid w:val="00C13639"/>
    <w:rsid w:val="00C143A5"/>
    <w:rsid w:val="00C147DA"/>
    <w:rsid w:val="00C14F81"/>
    <w:rsid w:val="00C154A9"/>
    <w:rsid w:val="00C1625A"/>
    <w:rsid w:val="00C16973"/>
    <w:rsid w:val="00C1722B"/>
    <w:rsid w:val="00C20249"/>
    <w:rsid w:val="00C205E5"/>
    <w:rsid w:val="00C21477"/>
    <w:rsid w:val="00C219CD"/>
    <w:rsid w:val="00C23091"/>
    <w:rsid w:val="00C23BE3"/>
    <w:rsid w:val="00C23FD5"/>
    <w:rsid w:val="00C24078"/>
    <w:rsid w:val="00C2495E"/>
    <w:rsid w:val="00C26378"/>
    <w:rsid w:val="00C26EDC"/>
    <w:rsid w:val="00C27520"/>
    <w:rsid w:val="00C30231"/>
    <w:rsid w:val="00C31961"/>
    <w:rsid w:val="00C31D3C"/>
    <w:rsid w:val="00C32253"/>
    <w:rsid w:val="00C34BBB"/>
    <w:rsid w:val="00C34F48"/>
    <w:rsid w:val="00C3509D"/>
    <w:rsid w:val="00C3555D"/>
    <w:rsid w:val="00C36308"/>
    <w:rsid w:val="00C36C87"/>
    <w:rsid w:val="00C412DB"/>
    <w:rsid w:val="00C42E63"/>
    <w:rsid w:val="00C4335C"/>
    <w:rsid w:val="00C43AA2"/>
    <w:rsid w:val="00C43F74"/>
    <w:rsid w:val="00C448E1"/>
    <w:rsid w:val="00C44DD3"/>
    <w:rsid w:val="00C46103"/>
    <w:rsid w:val="00C471B4"/>
    <w:rsid w:val="00C474FC"/>
    <w:rsid w:val="00C4799A"/>
    <w:rsid w:val="00C50314"/>
    <w:rsid w:val="00C506C2"/>
    <w:rsid w:val="00C5088E"/>
    <w:rsid w:val="00C5109C"/>
    <w:rsid w:val="00C515FE"/>
    <w:rsid w:val="00C51C19"/>
    <w:rsid w:val="00C5271A"/>
    <w:rsid w:val="00C52E50"/>
    <w:rsid w:val="00C52ECE"/>
    <w:rsid w:val="00C5319F"/>
    <w:rsid w:val="00C536E4"/>
    <w:rsid w:val="00C53A7E"/>
    <w:rsid w:val="00C54627"/>
    <w:rsid w:val="00C56CD5"/>
    <w:rsid w:val="00C57497"/>
    <w:rsid w:val="00C57BB9"/>
    <w:rsid w:val="00C6150C"/>
    <w:rsid w:val="00C61646"/>
    <w:rsid w:val="00C61702"/>
    <w:rsid w:val="00C6188E"/>
    <w:rsid w:val="00C62801"/>
    <w:rsid w:val="00C62D6C"/>
    <w:rsid w:val="00C63510"/>
    <w:rsid w:val="00C635AD"/>
    <w:rsid w:val="00C6464B"/>
    <w:rsid w:val="00C64F32"/>
    <w:rsid w:val="00C65510"/>
    <w:rsid w:val="00C66321"/>
    <w:rsid w:val="00C66BA9"/>
    <w:rsid w:val="00C67E26"/>
    <w:rsid w:val="00C70B44"/>
    <w:rsid w:val="00C714C4"/>
    <w:rsid w:val="00C722EC"/>
    <w:rsid w:val="00C72AAD"/>
    <w:rsid w:val="00C72E2D"/>
    <w:rsid w:val="00C730D9"/>
    <w:rsid w:val="00C73716"/>
    <w:rsid w:val="00C73734"/>
    <w:rsid w:val="00C73AF5"/>
    <w:rsid w:val="00C73BD0"/>
    <w:rsid w:val="00C73EE4"/>
    <w:rsid w:val="00C74877"/>
    <w:rsid w:val="00C7592D"/>
    <w:rsid w:val="00C75BEF"/>
    <w:rsid w:val="00C778E5"/>
    <w:rsid w:val="00C77B6E"/>
    <w:rsid w:val="00C8019A"/>
    <w:rsid w:val="00C804FC"/>
    <w:rsid w:val="00C807B9"/>
    <w:rsid w:val="00C80BEB"/>
    <w:rsid w:val="00C81007"/>
    <w:rsid w:val="00C817C2"/>
    <w:rsid w:val="00C82B86"/>
    <w:rsid w:val="00C837AE"/>
    <w:rsid w:val="00C83E08"/>
    <w:rsid w:val="00C84C2C"/>
    <w:rsid w:val="00C8576B"/>
    <w:rsid w:val="00C85E49"/>
    <w:rsid w:val="00C85F27"/>
    <w:rsid w:val="00C861D5"/>
    <w:rsid w:val="00C8668F"/>
    <w:rsid w:val="00C86BBB"/>
    <w:rsid w:val="00C87D9A"/>
    <w:rsid w:val="00C87E52"/>
    <w:rsid w:val="00C90360"/>
    <w:rsid w:val="00C90D47"/>
    <w:rsid w:val="00C91883"/>
    <w:rsid w:val="00C91A57"/>
    <w:rsid w:val="00C92961"/>
    <w:rsid w:val="00C93960"/>
    <w:rsid w:val="00C97EA3"/>
    <w:rsid w:val="00CA12E8"/>
    <w:rsid w:val="00CA173F"/>
    <w:rsid w:val="00CA24CE"/>
    <w:rsid w:val="00CA3C83"/>
    <w:rsid w:val="00CA4ABF"/>
    <w:rsid w:val="00CA4FCD"/>
    <w:rsid w:val="00CA5557"/>
    <w:rsid w:val="00CA5818"/>
    <w:rsid w:val="00CA5931"/>
    <w:rsid w:val="00CA60F3"/>
    <w:rsid w:val="00CA6936"/>
    <w:rsid w:val="00CA6CFC"/>
    <w:rsid w:val="00CA6E24"/>
    <w:rsid w:val="00CA7673"/>
    <w:rsid w:val="00CA7B1A"/>
    <w:rsid w:val="00CB06BE"/>
    <w:rsid w:val="00CB0763"/>
    <w:rsid w:val="00CB08F3"/>
    <w:rsid w:val="00CB1006"/>
    <w:rsid w:val="00CB12B8"/>
    <w:rsid w:val="00CB1BDC"/>
    <w:rsid w:val="00CB1E38"/>
    <w:rsid w:val="00CB2283"/>
    <w:rsid w:val="00CB26B6"/>
    <w:rsid w:val="00CB2B9B"/>
    <w:rsid w:val="00CB31C5"/>
    <w:rsid w:val="00CB3325"/>
    <w:rsid w:val="00CB4207"/>
    <w:rsid w:val="00CB48B6"/>
    <w:rsid w:val="00CB4A3A"/>
    <w:rsid w:val="00CB57D5"/>
    <w:rsid w:val="00CB5C5F"/>
    <w:rsid w:val="00CB5F99"/>
    <w:rsid w:val="00CB650D"/>
    <w:rsid w:val="00CB7AEC"/>
    <w:rsid w:val="00CC0D33"/>
    <w:rsid w:val="00CC1851"/>
    <w:rsid w:val="00CC1AF1"/>
    <w:rsid w:val="00CC260C"/>
    <w:rsid w:val="00CC45BC"/>
    <w:rsid w:val="00CC471D"/>
    <w:rsid w:val="00CC477B"/>
    <w:rsid w:val="00CC515A"/>
    <w:rsid w:val="00CC5953"/>
    <w:rsid w:val="00CC6299"/>
    <w:rsid w:val="00CC62FA"/>
    <w:rsid w:val="00CC6648"/>
    <w:rsid w:val="00CC6DCF"/>
    <w:rsid w:val="00CC6E03"/>
    <w:rsid w:val="00CC6E46"/>
    <w:rsid w:val="00CC70B6"/>
    <w:rsid w:val="00CC7236"/>
    <w:rsid w:val="00CD0304"/>
    <w:rsid w:val="00CD0688"/>
    <w:rsid w:val="00CD09DB"/>
    <w:rsid w:val="00CD12FF"/>
    <w:rsid w:val="00CD15B9"/>
    <w:rsid w:val="00CD177F"/>
    <w:rsid w:val="00CD1CDE"/>
    <w:rsid w:val="00CD25D1"/>
    <w:rsid w:val="00CD2801"/>
    <w:rsid w:val="00CD3983"/>
    <w:rsid w:val="00CD3F36"/>
    <w:rsid w:val="00CD46E6"/>
    <w:rsid w:val="00CD48A6"/>
    <w:rsid w:val="00CD4F7C"/>
    <w:rsid w:val="00CD4FEA"/>
    <w:rsid w:val="00CD56CF"/>
    <w:rsid w:val="00CD5B99"/>
    <w:rsid w:val="00CD68F9"/>
    <w:rsid w:val="00CD6A7C"/>
    <w:rsid w:val="00CD6ACB"/>
    <w:rsid w:val="00CD6DD8"/>
    <w:rsid w:val="00CD6FE0"/>
    <w:rsid w:val="00CE0371"/>
    <w:rsid w:val="00CE086C"/>
    <w:rsid w:val="00CE1344"/>
    <w:rsid w:val="00CE14CB"/>
    <w:rsid w:val="00CE197A"/>
    <w:rsid w:val="00CE1F06"/>
    <w:rsid w:val="00CE2967"/>
    <w:rsid w:val="00CE2F03"/>
    <w:rsid w:val="00CE312D"/>
    <w:rsid w:val="00CE317D"/>
    <w:rsid w:val="00CE3EE9"/>
    <w:rsid w:val="00CE4784"/>
    <w:rsid w:val="00CE593B"/>
    <w:rsid w:val="00CE7A86"/>
    <w:rsid w:val="00CF0223"/>
    <w:rsid w:val="00CF0283"/>
    <w:rsid w:val="00CF083A"/>
    <w:rsid w:val="00CF0B87"/>
    <w:rsid w:val="00CF1171"/>
    <w:rsid w:val="00CF16E3"/>
    <w:rsid w:val="00CF1BA4"/>
    <w:rsid w:val="00CF2DAA"/>
    <w:rsid w:val="00CF3289"/>
    <w:rsid w:val="00CF409A"/>
    <w:rsid w:val="00CF427A"/>
    <w:rsid w:val="00CF485E"/>
    <w:rsid w:val="00CF59E9"/>
    <w:rsid w:val="00CF622D"/>
    <w:rsid w:val="00CF6A45"/>
    <w:rsid w:val="00CF6D09"/>
    <w:rsid w:val="00CF7FF6"/>
    <w:rsid w:val="00D00921"/>
    <w:rsid w:val="00D0112D"/>
    <w:rsid w:val="00D03293"/>
    <w:rsid w:val="00D0400A"/>
    <w:rsid w:val="00D04A06"/>
    <w:rsid w:val="00D04FA0"/>
    <w:rsid w:val="00D07851"/>
    <w:rsid w:val="00D07853"/>
    <w:rsid w:val="00D10039"/>
    <w:rsid w:val="00D10690"/>
    <w:rsid w:val="00D10B0F"/>
    <w:rsid w:val="00D10C5A"/>
    <w:rsid w:val="00D11817"/>
    <w:rsid w:val="00D118DE"/>
    <w:rsid w:val="00D11F36"/>
    <w:rsid w:val="00D12854"/>
    <w:rsid w:val="00D12ED1"/>
    <w:rsid w:val="00D13116"/>
    <w:rsid w:val="00D13397"/>
    <w:rsid w:val="00D143D4"/>
    <w:rsid w:val="00D14492"/>
    <w:rsid w:val="00D14C5C"/>
    <w:rsid w:val="00D1560C"/>
    <w:rsid w:val="00D15C1C"/>
    <w:rsid w:val="00D162C7"/>
    <w:rsid w:val="00D167A8"/>
    <w:rsid w:val="00D17881"/>
    <w:rsid w:val="00D17903"/>
    <w:rsid w:val="00D20218"/>
    <w:rsid w:val="00D20524"/>
    <w:rsid w:val="00D20A67"/>
    <w:rsid w:val="00D20FA3"/>
    <w:rsid w:val="00D2153A"/>
    <w:rsid w:val="00D223EF"/>
    <w:rsid w:val="00D22A31"/>
    <w:rsid w:val="00D22BAD"/>
    <w:rsid w:val="00D23E44"/>
    <w:rsid w:val="00D24378"/>
    <w:rsid w:val="00D264A8"/>
    <w:rsid w:val="00D26EDF"/>
    <w:rsid w:val="00D2702B"/>
    <w:rsid w:val="00D2720F"/>
    <w:rsid w:val="00D27643"/>
    <w:rsid w:val="00D278C5"/>
    <w:rsid w:val="00D30186"/>
    <w:rsid w:val="00D307E1"/>
    <w:rsid w:val="00D30C1C"/>
    <w:rsid w:val="00D3120B"/>
    <w:rsid w:val="00D31D24"/>
    <w:rsid w:val="00D31D5C"/>
    <w:rsid w:val="00D32459"/>
    <w:rsid w:val="00D3300F"/>
    <w:rsid w:val="00D335CF"/>
    <w:rsid w:val="00D338CF"/>
    <w:rsid w:val="00D3393A"/>
    <w:rsid w:val="00D33D16"/>
    <w:rsid w:val="00D33F25"/>
    <w:rsid w:val="00D349DE"/>
    <w:rsid w:val="00D36CF1"/>
    <w:rsid w:val="00D37807"/>
    <w:rsid w:val="00D405D7"/>
    <w:rsid w:val="00D40814"/>
    <w:rsid w:val="00D408C3"/>
    <w:rsid w:val="00D40D72"/>
    <w:rsid w:val="00D4126A"/>
    <w:rsid w:val="00D41DB0"/>
    <w:rsid w:val="00D421B7"/>
    <w:rsid w:val="00D425EF"/>
    <w:rsid w:val="00D43491"/>
    <w:rsid w:val="00D45326"/>
    <w:rsid w:val="00D45D9B"/>
    <w:rsid w:val="00D45F42"/>
    <w:rsid w:val="00D4603C"/>
    <w:rsid w:val="00D4613D"/>
    <w:rsid w:val="00D463D0"/>
    <w:rsid w:val="00D46621"/>
    <w:rsid w:val="00D46C8D"/>
    <w:rsid w:val="00D47206"/>
    <w:rsid w:val="00D50046"/>
    <w:rsid w:val="00D50427"/>
    <w:rsid w:val="00D50846"/>
    <w:rsid w:val="00D513AB"/>
    <w:rsid w:val="00D522F3"/>
    <w:rsid w:val="00D52CFD"/>
    <w:rsid w:val="00D5334D"/>
    <w:rsid w:val="00D53520"/>
    <w:rsid w:val="00D53E4C"/>
    <w:rsid w:val="00D5567C"/>
    <w:rsid w:val="00D603CD"/>
    <w:rsid w:val="00D61449"/>
    <w:rsid w:val="00D61F15"/>
    <w:rsid w:val="00D62EF5"/>
    <w:rsid w:val="00D62F55"/>
    <w:rsid w:val="00D63821"/>
    <w:rsid w:val="00D64A54"/>
    <w:rsid w:val="00D65720"/>
    <w:rsid w:val="00D65900"/>
    <w:rsid w:val="00D65EBB"/>
    <w:rsid w:val="00D66088"/>
    <w:rsid w:val="00D66715"/>
    <w:rsid w:val="00D668CD"/>
    <w:rsid w:val="00D66E10"/>
    <w:rsid w:val="00D673CA"/>
    <w:rsid w:val="00D7079C"/>
    <w:rsid w:val="00D70E34"/>
    <w:rsid w:val="00D70E3D"/>
    <w:rsid w:val="00D71005"/>
    <w:rsid w:val="00D7102E"/>
    <w:rsid w:val="00D712C0"/>
    <w:rsid w:val="00D714D7"/>
    <w:rsid w:val="00D71640"/>
    <w:rsid w:val="00D72129"/>
    <w:rsid w:val="00D72679"/>
    <w:rsid w:val="00D726D2"/>
    <w:rsid w:val="00D72E5D"/>
    <w:rsid w:val="00D73542"/>
    <w:rsid w:val="00D73844"/>
    <w:rsid w:val="00D73936"/>
    <w:rsid w:val="00D741EE"/>
    <w:rsid w:val="00D74E3B"/>
    <w:rsid w:val="00D754BB"/>
    <w:rsid w:val="00D75728"/>
    <w:rsid w:val="00D759B7"/>
    <w:rsid w:val="00D771B6"/>
    <w:rsid w:val="00D77A4C"/>
    <w:rsid w:val="00D80DE5"/>
    <w:rsid w:val="00D81C89"/>
    <w:rsid w:val="00D82135"/>
    <w:rsid w:val="00D82F5F"/>
    <w:rsid w:val="00D83526"/>
    <w:rsid w:val="00D848F7"/>
    <w:rsid w:val="00D8550C"/>
    <w:rsid w:val="00D85F5D"/>
    <w:rsid w:val="00D866FD"/>
    <w:rsid w:val="00D86F24"/>
    <w:rsid w:val="00D903D0"/>
    <w:rsid w:val="00D90ED3"/>
    <w:rsid w:val="00D91ADE"/>
    <w:rsid w:val="00D91BE8"/>
    <w:rsid w:val="00D91D7A"/>
    <w:rsid w:val="00D923AB"/>
    <w:rsid w:val="00D925AF"/>
    <w:rsid w:val="00D92E71"/>
    <w:rsid w:val="00D930E9"/>
    <w:rsid w:val="00D939FC"/>
    <w:rsid w:val="00D93FAC"/>
    <w:rsid w:val="00D943A9"/>
    <w:rsid w:val="00D954D7"/>
    <w:rsid w:val="00D96DB9"/>
    <w:rsid w:val="00DA012C"/>
    <w:rsid w:val="00DA1A0D"/>
    <w:rsid w:val="00DA1C17"/>
    <w:rsid w:val="00DA2428"/>
    <w:rsid w:val="00DA2B81"/>
    <w:rsid w:val="00DA3186"/>
    <w:rsid w:val="00DA38D0"/>
    <w:rsid w:val="00DA3BB7"/>
    <w:rsid w:val="00DA3C29"/>
    <w:rsid w:val="00DA4BFB"/>
    <w:rsid w:val="00DA5C1A"/>
    <w:rsid w:val="00DA5E03"/>
    <w:rsid w:val="00DA6295"/>
    <w:rsid w:val="00DA62BD"/>
    <w:rsid w:val="00DA710A"/>
    <w:rsid w:val="00DA741A"/>
    <w:rsid w:val="00DA7447"/>
    <w:rsid w:val="00DB0732"/>
    <w:rsid w:val="00DB07A3"/>
    <w:rsid w:val="00DB1353"/>
    <w:rsid w:val="00DB15B3"/>
    <w:rsid w:val="00DB1608"/>
    <w:rsid w:val="00DB340F"/>
    <w:rsid w:val="00DB5F59"/>
    <w:rsid w:val="00DB62FC"/>
    <w:rsid w:val="00DB6C86"/>
    <w:rsid w:val="00DC0980"/>
    <w:rsid w:val="00DC0B63"/>
    <w:rsid w:val="00DC1083"/>
    <w:rsid w:val="00DC1262"/>
    <w:rsid w:val="00DC1A83"/>
    <w:rsid w:val="00DC2170"/>
    <w:rsid w:val="00DC219E"/>
    <w:rsid w:val="00DC25BE"/>
    <w:rsid w:val="00DC2DF1"/>
    <w:rsid w:val="00DC30F7"/>
    <w:rsid w:val="00DC32E8"/>
    <w:rsid w:val="00DC38C5"/>
    <w:rsid w:val="00DC40D6"/>
    <w:rsid w:val="00DC6748"/>
    <w:rsid w:val="00DC742B"/>
    <w:rsid w:val="00DC76DD"/>
    <w:rsid w:val="00DD0539"/>
    <w:rsid w:val="00DD0735"/>
    <w:rsid w:val="00DD082B"/>
    <w:rsid w:val="00DD1F36"/>
    <w:rsid w:val="00DD2590"/>
    <w:rsid w:val="00DD33D0"/>
    <w:rsid w:val="00DD3F55"/>
    <w:rsid w:val="00DD4946"/>
    <w:rsid w:val="00DD4E7C"/>
    <w:rsid w:val="00DD5470"/>
    <w:rsid w:val="00DD5ACC"/>
    <w:rsid w:val="00DD6B24"/>
    <w:rsid w:val="00DD766F"/>
    <w:rsid w:val="00DD787B"/>
    <w:rsid w:val="00DE0FA6"/>
    <w:rsid w:val="00DE11A3"/>
    <w:rsid w:val="00DE1973"/>
    <w:rsid w:val="00DE2A20"/>
    <w:rsid w:val="00DE2D4F"/>
    <w:rsid w:val="00DE35A3"/>
    <w:rsid w:val="00DE3BD8"/>
    <w:rsid w:val="00DE40A4"/>
    <w:rsid w:val="00DE45BD"/>
    <w:rsid w:val="00DE52A7"/>
    <w:rsid w:val="00DE604A"/>
    <w:rsid w:val="00DE756F"/>
    <w:rsid w:val="00DE7A10"/>
    <w:rsid w:val="00DF040F"/>
    <w:rsid w:val="00DF05F4"/>
    <w:rsid w:val="00DF0796"/>
    <w:rsid w:val="00DF0926"/>
    <w:rsid w:val="00DF0A8A"/>
    <w:rsid w:val="00DF0DE5"/>
    <w:rsid w:val="00DF1A76"/>
    <w:rsid w:val="00DF1B00"/>
    <w:rsid w:val="00DF1B16"/>
    <w:rsid w:val="00DF21B6"/>
    <w:rsid w:val="00DF28D2"/>
    <w:rsid w:val="00DF2E7E"/>
    <w:rsid w:val="00DF3158"/>
    <w:rsid w:val="00DF3485"/>
    <w:rsid w:val="00DF3E59"/>
    <w:rsid w:val="00DF3EA5"/>
    <w:rsid w:val="00DF4149"/>
    <w:rsid w:val="00DF49BE"/>
    <w:rsid w:val="00DF5A28"/>
    <w:rsid w:val="00DF5CF0"/>
    <w:rsid w:val="00DF6FB5"/>
    <w:rsid w:val="00DF6FCE"/>
    <w:rsid w:val="00DF755D"/>
    <w:rsid w:val="00DF7798"/>
    <w:rsid w:val="00DF78B8"/>
    <w:rsid w:val="00DF7B6C"/>
    <w:rsid w:val="00E00A0E"/>
    <w:rsid w:val="00E00C15"/>
    <w:rsid w:val="00E011DB"/>
    <w:rsid w:val="00E01951"/>
    <w:rsid w:val="00E01C95"/>
    <w:rsid w:val="00E02064"/>
    <w:rsid w:val="00E02423"/>
    <w:rsid w:val="00E028DB"/>
    <w:rsid w:val="00E02CB2"/>
    <w:rsid w:val="00E02DCC"/>
    <w:rsid w:val="00E02E5B"/>
    <w:rsid w:val="00E02FBF"/>
    <w:rsid w:val="00E03065"/>
    <w:rsid w:val="00E030AF"/>
    <w:rsid w:val="00E04555"/>
    <w:rsid w:val="00E04BB6"/>
    <w:rsid w:val="00E051A2"/>
    <w:rsid w:val="00E05B99"/>
    <w:rsid w:val="00E1113C"/>
    <w:rsid w:val="00E111CD"/>
    <w:rsid w:val="00E11292"/>
    <w:rsid w:val="00E11733"/>
    <w:rsid w:val="00E12AF7"/>
    <w:rsid w:val="00E13133"/>
    <w:rsid w:val="00E132B8"/>
    <w:rsid w:val="00E1371E"/>
    <w:rsid w:val="00E13B7E"/>
    <w:rsid w:val="00E14C7C"/>
    <w:rsid w:val="00E150EA"/>
    <w:rsid w:val="00E156FA"/>
    <w:rsid w:val="00E16083"/>
    <w:rsid w:val="00E1647F"/>
    <w:rsid w:val="00E175D0"/>
    <w:rsid w:val="00E20DC2"/>
    <w:rsid w:val="00E2168B"/>
    <w:rsid w:val="00E21D11"/>
    <w:rsid w:val="00E220AA"/>
    <w:rsid w:val="00E228B6"/>
    <w:rsid w:val="00E23220"/>
    <w:rsid w:val="00E23636"/>
    <w:rsid w:val="00E239CC"/>
    <w:rsid w:val="00E23B0C"/>
    <w:rsid w:val="00E241B6"/>
    <w:rsid w:val="00E252E9"/>
    <w:rsid w:val="00E25316"/>
    <w:rsid w:val="00E26050"/>
    <w:rsid w:val="00E2694E"/>
    <w:rsid w:val="00E26CFB"/>
    <w:rsid w:val="00E27465"/>
    <w:rsid w:val="00E274C5"/>
    <w:rsid w:val="00E274CD"/>
    <w:rsid w:val="00E27ACA"/>
    <w:rsid w:val="00E306DF"/>
    <w:rsid w:val="00E316E3"/>
    <w:rsid w:val="00E330C7"/>
    <w:rsid w:val="00E33ABC"/>
    <w:rsid w:val="00E34460"/>
    <w:rsid w:val="00E349E1"/>
    <w:rsid w:val="00E34CAE"/>
    <w:rsid w:val="00E35832"/>
    <w:rsid w:val="00E35D18"/>
    <w:rsid w:val="00E365D8"/>
    <w:rsid w:val="00E40065"/>
    <w:rsid w:val="00E40345"/>
    <w:rsid w:val="00E4069D"/>
    <w:rsid w:val="00E41A44"/>
    <w:rsid w:val="00E41C7A"/>
    <w:rsid w:val="00E4217F"/>
    <w:rsid w:val="00E4332F"/>
    <w:rsid w:val="00E4447E"/>
    <w:rsid w:val="00E4548C"/>
    <w:rsid w:val="00E46223"/>
    <w:rsid w:val="00E46813"/>
    <w:rsid w:val="00E468FB"/>
    <w:rsid w:val="00E46CC5"/>
    <w:rsid w:val="00E47BBB"/>
    <w:rsid w:val="00E50768"/>
    <w:rsid w:val="00E51462"/>
    <w:rsid w:val="00E51737"/>
    <w:rsid w:val="00E51A6D"/>
    <w:rsid w:val="00E521C9"/>
    <w:rsid w:val="00E522F3"/>
    <w:rsid w:val="00E52B6E"/>
    <w:rsid w:val="00E52C1A"/>
    <w:rsid w:val="00E532AA"/>
    <w:rsid w:val="00E54483"/>
    <w:rsid w:val="00E545A3"/>
    <w:rsid w:val="00E54675"/>
    <w:rsid w:val="00E54B21"/>
    <w:rsid w:val="00E54F2F"/>
    <w:rsid w:val="00E563C9"/>
    <w:rsid w:val="00E56BB5"/>
    <w:rsid w:val="00E575DD"/>
    <w:rsid w:val="00E57A52"/>
    <w:rsid w:val="00E57F41"/>
    <w:rsid w:val="00E609A1"/>
    <w:rsid w:val="00E61095"/>
    <w:rsid w:val="00E61336"/>
    <w:rsid w:val="00E61487"/>
    <w:rsid w:val="00E61D53"/>
    <w:rsid w:val="00E6261B"/>
    <w:rsid w:val="00E62C37"/>
    <w:rsid w:val="00E62F80"/>
    <w:rsid w:val="00E63076"/>
    <w:rsid w:val="00E633FE"/>
    <w:rsid w:val="00E64911"/>
    <w:rsid w:val="00E64F30"/>
    <w:rsid w:val="00E6540C"/>
    <w:rsid w:val="00E70323"/>
    <w:rsid w:val="00E70595"/>
    <w:rsid w:val="00E74A36"/>
    <w:rsid w:val="00E74F73"/>
    <w:rsid w:val="00E75693"/>
    <w:rsid w:val="00E75E89"/>
    <w:rsid w:val="00E76177"/>
    <w:rsid w:val="00E765BE"/>
    <w:rsid w:val="00E7666D"/>
    <w:rsid w:val="00E771B0"/>
    <w:rsid w:val="00E80431"/>
    <w:rsid w:val="00E82C6D"/>
    <w:rsid w:val="00E82EE4"/>
    <w:rsid w:val="00E82F1E"/>
    <w:rsid w:val="00E83702"/>
    <w:rsid w:val="00E8385B"/>
    <w:rsid w:val="00E84A9C"/>
    <w:rsid w:val="00E84EF5"/>
    <w:rsid w:val="00E85A72"/>
    <w:rsid w:val="00E86970"/>
    <w:rsid w:val="00E874AE"/>
    <w:rsid w:val="00E91E51"/>
    <w:rsid w:val="00E9293B"/>
    <w:rsid w:val="00E92EBE"/>
    <w:rsid w:val="00E93150"/>
    <w:rsid w:val="00E9374D"/>
    <w:rsid w:val="00E939B6"/>
    <w:rsid w:val="00E946D3"/>
    <w:rsid w:val="00E9602C"/>
    <w:rsid w:val="00E96C38"/>
    <w:rsid w:val="00E976A7"/>
    <w:rsid w:val="00EA0004"/>
    <w:rsid w:val="00EA0C20"/>
    <w:rsid w:val="00EA0F77"/>
    <w:rsid w:val="00EA1031"/>
    <w:rsid w:val="00EA1845"/>
    <w:rsid w:val="00EA2BD1"/>
    <w:rsid w:val="00EA3B2B"/>
    <w:rsid w:val="00EA3B39"/>
    <w:rsid w:val="00EA491D"/>
    <w:rsid w:val="00EA4C0A"/>
    <w:rsid w:val="00EA4DA3"/>
    <w:rsid w:val="00EA4EE0"/>
    <w:rsid w:val="00EA68B5"/>
    <w:rsid w:val="00EB00CC"/>
    <w:rsid w:val="00EB1354"/>
    <w:rsid w:val="00EB2CAF"/>
    <w:rsid w:val="00EB37BD"/>
    <w:rsid w:val="00EB3C09"/>
    <w:rsid w:val="00EB5294"/>
    <w:rsid w:val="00EB759E"/>
    <w:rsid w:val="00EB79DA"/>
    <w:rsid w:val="00EC0460"/>
    <w:rsid w:val="00EC1430"/>
    <w:rsid w:val="00EC1785"/>
    <w:rsid w:val="00EC240A"/>
    <w:rsid w:val="00EC2424"/>
    <w:rsid w:val="00EC24F8"/>
    <w:rsid w:val="00EC29FA"/>
    <w:rsid w:val="00EC32B1"/>
    <w:rsid w:val="00EC38D5"/>
    <w:rsid w:val="00EC4E75"/>
    <w:rsid w:val="00EC513E"/>
    <w:rsid w:val="00EC5AA5"/>
    <w:rsid w:val="00EC5C61"/>
    <w:rsid w:val="00EC666F"/>
    <w:rsid w:val="00EC6E04"/>
    <w:rsid w:val="00ED069A"/>
    <w:rsid w:val="00ED086F"/>
    <w:rsid w:val="00ED0E6D"/>
    <w:rsid w:val="00ED18F4"/>
    <w:rsid w:val="00ED1E52"/>
    <w:rsid w:val="00ED3737"/>
    <w:rsid w:val="00ED3EE9"/>
    <w:rsid w:val="00ED46A7"/>
    <w:rsid w:val="00ED4DDB"/>
    <w:rsid w:val="00ED5C02"/>
    <w:rsid w:val="00EE07CD"/>
    <w:rsid w:val="00EE0DBE"/>
    <w:rsid w:val="00EE15CB"/>
    <w:rsid w:val="00EE27F7"/>
    <w:rsid w:val="00EE458A"/>
    <w:rsid w:val="00EE52A7"/>
    <w:rsid w:val="00EE6245"/>
    <w:rsid w:val="00EE67C7"/>
    <w:rsid w:val="00EF0501"/>
    <w:rsid w:val="00EF1173"/>
    <w:rsid w:val="00EF190D"/>
    <w:rsid w:val="00EF1CA2"/>
    <w:rsid w:val="00EF248E"/>
    <w:rsid w:val="00EF2E1A"/>
    <w:rsid w:val="00EF2F3F"/>
    <w:rsid w:val="00EF49F7"/>
    <w:rsid w:val="00EF504E"/>
    <w:rsid w:val="00EF5A0E"/>
    <w:rsid w:val="00EF63F9"/>
    <w:rsid w:val="00EF6402"/>
    <w:rsid w:val="00EF6E00"/>
    <w:rsid w:val="00EF6F6D"/>
    <w:rsid w:val="00EF7343"/>
    <w:rsid w:val="00EF757B"/>
    <w:rsid w:val="00EF773A"/>
    <w:rsid w:val="00F00F2D"/>
    <w:rsid w:val="00F01352"/>
    <w:rsid w:val="00F01A68"/>
    <w:rsid w:val="00F02126"/>
    <w:rsid w:val="00F0327E"/>
    <w:rsid w:val="00F03F5B"/>
    <w:rsid w:val="00F04169"/>
    <w:rsid w:val="00F04DDC"/>
    <w:rsid w:val="00F058CB"/>
    <w:rsid w:val="00F05A5F"/>
    <w:rsid w:val="00F05E83"/>
    <w:rsid w:val="00F0669F"/>
    <w:rsid w:val="00F066F0"/>
    <w:rsid w:val="00F067F9"/>
    <w:rsid w:val="00F06915"/>
    <w:rsid w:val="00F06B1C"/>
    <w:rsid w:val="00F07429"/>
    <w:rsid w:val="00F0748B"/>
    <w:rsid w:val="00F07578"/>
    <w:rsid w:val="00F11EE0"/>
    <w:rsid w:val="00F12AB4"/>
    <w:rsid w:val="00F131E0"/>
    <w:rsid w:val="00F132AE"/>
    <w:rsid w:val="00F133A8"/>
    <w:rsid w:val="00F134E3"/>
    <w:rsid w:val="00F13605"/>
    <w:rsid w:val="00F1443C"/>
    <w:rsid w:val="00F1452D"/>
    <w:rsid w:val="00F14712"/>
    <w:rsid w:val="00F14890"/>
    <w:rsid w:val="00F155BE"/>
    <w:rsid w:val="00F15E97"/>
    <w:rsid w:val="00F16081"/>
    <w:rsid w:val="00F17C87"/>
    <w:rsid w:val="00F2182C"/>
    <w:rsid w:val="00F21D46"/>
    <w:rsid w:val="00F232CC"/>
    <w:rsid w:val="00F23ABA"/>
    <w:rsid w:val="00F23B05"/>
    <w:rsid w:val="00F243BE"/>
    <w:rsid w:val="00F2475B"/>
    <w:rsid w:val="00F248D3"/>
    <w:rsid w:val="00F26362"/>
    <w:rsid w:val="00F26701"/>
    <w:rsid w:val="00F26A48"/>
    <w:rsid w:val="00F27E85"/>
    <w:rsid w:val="00F30381"/>
    <w:rsid w:val="00F303FA"/>
    <w:rsid w:val="00F317C2"/>
    <w:rsid w:val="00F31BB1"/>
    <w:rsid w:val="00F31D0E"/>
    <w:rsid w:val="00F31FF1"/>
    <w:rsid w:val="00F32A9B"/>
    <w:rsid w:val="00F35520"/>
    <w:rsid w:val="00F35DED"/>
    <w:rsid w:val="00F36AA0"/>
    <w:rsid w:val="00F40150"/>
    <w:rsid w:val="00F40CD0"/>
    <w:rsid w:val="00F412AF"/>
    <w:rsid w:val="00F413A7"/>
    <w:rsid w:val="00F413FD"/>
    <w:rsid w:val="00F41A01"/>
    <w:rsid w:val="00F41D6E"/>
    <w:rsid w:val="00F42160"/>
    <w:rsid w:val="00F42247"/>
    <w:rsid w:val="00F42736"/>
    <w:rsid w:val="00F4311E"/>
    <w:rsid w:val="00F43581"/>
    <w:rsid w:val="00F43D13"/>
    <w:rsid w:val="00F43FE8"/>
    <w:rsid w:val="00F44203"/>
    <w:rsid w:val="00F447E1"/>
    <w:rsid w:val="00F45B78"/>
    <w:rsid w:val="00F45CBF"/>
    <w:rsid w:val="00F45D04"/>
    <w:rsid w:val="00F46653"/>
    <w:rsid w:val="00F47266"/>
    <w:rsid w:val="00F4770D"/>
    <w:rsid w:val="00F477C9"/>
    <w:rsid w:val="00F47C2E"/>
    <w:rsid w:val="00F505DD"/>
    <w:rsid w:val="00F50674"/>
    <w:rsid w:val="00F50898"/>
    <w:rsid w:val="00F50C15"/>
    <w:rsid w:val="00F50ECE"/>
    <w:rsid w:val="00F52488"/>
    <w:rsid w:val="00F5311F"/>
    <w:rsid w:val="00F54641"/>
    <w:rsid w:val="00F54A33"/>
    <w:rsid w:val="00F54A51"/>
    <w:rsid w:val="00F54CED"/>
    <w:rsid w:val="00F54E97"/>
    <w:rsid w:val="00F55472"/>
    <w:rsid w:val="00F556B4"/>
    <w:rsid w:val="00F55C9F"/>
    <w:rsid w:val="00F56310"/>
    <w:rsid w:val="00F56A22"/>
    <w:rsid w:val="00F56DC3"/>
    <w:rsid w:val="00F57E1D"/>
    <w:rsid w:val="00F604B5"/>
    <w:rsid w:val="00F6099E"/>
    <w:rsid w:val="00F6203B"/>
    <w:rsid w:val="00F62ECC"/>
    <w:rsid w:val="00F63D95"/>
    <w:rsid w:val="00F65C47"/>
    <w:rsid w:val="00F66268"/>
    <w:rsid w:val="00F70670"/>
    <w:rsid w:val="00F709A0"/>
    <w:rsid w:val="00F70C5A"/>
    <w:rsid w:val="00F70DEC"/>
    <w:rsid w:val="00F721F4"/>
    <w:rsid w:val="00F723B8"/>
    <w:rsid w:val="00F72ADE"/>
    <w:rsid w:val="00F72B85"/>
    <w:rsid w:val="00F72EBC"/>
    <w:rsid w:val="00F72F7F"/>
    <w:rsid w:val="00F74472"/>
    <w:rsid w:val="00F76435"/>
    <w:rsid w:val="00F76677"/>
    <w:rsid w:val="00F775A7"/>
    <w:rsid w:val="00F808C5"/>
    <w:rsid w:val="00F80AF0"/>
    <w:rsid w:val="00F80F76"/>
    <w:rsid w:val="00F8227A"/>
    <w:rsid w:val="00F82599"/>
    <w:rsid w:val="00F83C05"/>
    <w:rsid w:val="00F8592B"/>
    <w:rsid w:val="00F85B49"/>
    <w:rsid w:val="00F86C1F"/>
    <w:rsid w:val="00F8711A"/>
    <w:rsid w:val="00F8715E"/>
    <w:rsid w:val="00F878E3"/>
    <w:rsid w:val="00F90B64"/>
    <w:rsid w:val="00F90D29"/>
    <w:rsid w:val="00F90DCD"/>
    <w:rsid w:val="00F92104"/>
    <w:rsid w:val="00F92BDB"/>
    <w:rsid w:val="00F934D1"/>
    <w:rsid w:val="00F938DF"/>
    <w:rsid w:val="00F939F6"/>
    <w:rsid w:val="00F941CC"/>
    <w:rsid w:val="00F94A7A"/>
    <w:rsid w:val="00F94B3F"/>
    <w:rsid w:val="00F95A6C"/>
    <w:rsid w:val="00F95AC3"/>
    <w:rsid w:val="00F95BFD"/>
    <w:rsid w:val="00F96335"/>
    <w:rsid w:val="00F96725"/>
    <w:rsid w:val="00F96D7E"/>
    <w:rsid w:val="00F97140"/>
    <w:rsid w:val="00FA00B5"/>
    <w:rsid w:val="00FA04FE"/>
    <w:rsid w:val="00FA0842"/>
    <w:rsid w:val="00FA13D7"/>
    <w:rsid w:val="00FA2EFA"/>
    <w:rsid w:val="00FA3708"/>
    <w:rsid w:val="00FA41C1"/>
    <w:rsid w:val="00FA5FF7"/>
    <w:rsid w:val="00FA640E"/>
    <w:rsid w:val="00FA677F"/>
    <w:rsid w:val="00FB054D"/>
    <w:rsid w:val="00FB057B"/>
    <w:rsid w:val="00FB1FE0"/>
    <w:rsid w:val="00FB3349"/>
    <w:rsid w:val="00FB46D9"/>
    <w:rsid w:val="00FB4FC7"/>
    <w:rsid w:val="00FB56DF"/>
    <w:rsid w:val="00FB6496"/>
    <w:rsid w:val="00FB67EC"/>
    <w:rsid w:val="00FB6865"/>
    <w:rsid w:val="00FB6AAB"/>
    <w:rsid w:val="00FB6CED"/>
    <w:rsid w:val="00FB72BD"/>
    <w:rsid w:val="00FC0448"/>
    <w:rsid w:val="00FC0796"/>
    <w:rsid w:val="00FC1D06"/>
    <w:rsid w:val="00FC297A"/>
    <w:rsid w:val="00FC29BD"/>
    <w:rsid w:val="00FC30D3"/>
    <w:rsid w:val="00FC378F"/>
    <w:rsid w:val="00FC4534"/>
    <w:rsid w:val="00FC4E79"/>
    <w:rsid w:val="00FC4FF5"/>
    <w:rsid w:val="00FC51A8"/>
    <w:rsid w:val="00FC7666"/>
    <w:rsid w:val="00FC76A9"/>
    <w:rsid w:val="00FC7D2F"/>
    <w:rsid w:val="00FD10D4"/>
    <w:rsid w:val="00FD123A"/>
    <w:rsid w:val="00FD1C0C"/>
    <w:rsid w:val="00FD27B2"/>
    <w:rsid w:val="00FD2B1C"/>
    <w:rsid w:val="00FD3C08"/>
    <w:rsid w:val="00FD4901"/>
    <w:rsid w:val="00FD4A06"/>
    <w:rsid w:val="00FD5EF1"/>
    <w:rsid w:val="00FD611C"/>
    <w:rsid w:val="00FD61A6"/>
    <w:rsid w:val="00FD64F5"/>
    <w:rsid w:val="00FD7728"/>
    <w:rsid w:val="00FE1C1D"/>
    <w:rsid w:val="00FE22A0"/>
    <w:rsid w:val="00FE2521"/>
    <w:rsid w:val="00FE2D40"/>
    <w:rsid w:val="00FE2D6B"/>
    <w:rsid w:val="00FE2E91"/>
    <w:rsid w:val="00FE3942"/>
    <w:rsid w:val="00FE4A5D"/>
    <w:rsid w:val="00FE4E4E"/>
    <w:rsid w:val="00FE519E"/>
    <w:rsid w:val="00FE5218"/>
    <w:rsid w:val="00FE5369"/>
    <w:rsid w:val="00FE5888"/>
    <w:rsid w:val="00FE63D5"/>
    <w:rsid w:val="00FE67A0"/>
    <w:rsid w:val="00FE773B"/>
    <w:rsid w:val="00FF0C2C"/>
    <w:rsid w:val="00FF0E6D"/>
    <w:rsid w:val="00FF13BB"/>
    <w:rsid w:val="00FF13C4"/>
    <w:rsid w:val="00FF161E"/>
    <w:rsid w:val="00FF2072"/>
    <w:rsid w:val="00FF2241"/>
    <w:rsid w:val="00FF322A"/>
    <w:rsid w:val="00FF3E5F"/>
    <w:rsid w:val="00FF4B47"/>
    <w:rsid w:val="00FF4EAA"/>
    <w:rsid w:val="00FF50DD"/>
    <w:rsid w:val="00FF53A9"/>
    <w:rsid w:val="00FF62DF"/>
    <w:rsid w:val="00FF71C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22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42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018B0"/>
    <w:pPr>
      <w:keepNext/>
      <w:keepLines/>
      <w:outlineLvl w:val="0"/>
    </w:pPr>
    <w:rPr>
      <w:rFonts w:asciiTheme="majorHAnsi" w:eastAsia="Cambria" w:hAnsiTheme="majorHAnsi" w:cs="Cambria"/>
      <w:b/>
      <w:bCs/>
      <w:sz w:val="20"/>
      <w:szCs w:val="20"/>
      <w:lang w:val="es-PE"/>
    </w:rPr>
  </w:style>
  <w:style w:type="paragraph" w:styleId="Heading2">
    <w:name w:val="heading 2"/>
    <w:basedOn w:val="Normal"/>
    <w:next w:val="Normal"/>
    <w:link w:val="Heading2Char"/>
    <w:uiPriority w:val="9"/>
    <w:unhideWhenUsed/>
    <w:qFormat/>
    <w:rsid w:val="008610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0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6E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19C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PE"/>
    </w:rPr>
  </w:style>
  <w:style w:type="paragraph" w:customStyle="1" w:styleId="Body">
    <w:name w:val="Body"/>
    <w:rsid w:val="00C219CD"/>
    <w:pPr>
      <w:pBdr>
        <w:top w:val="nil"/>
        <w:left w:val="nil"/>
        <w:bottom w:val="nil"/>
        <w:right w:val="nil"/>
        <w:between w:val="nil"/>
        <w:bar w:val="nil"/>
      </w:pBdr>
    </w:pPr>
    <w:rPr>
      <w:rFonts w:ascii="Calibri" w:eastAsia="Calibri" w:hAnsi="Calibri" w:cs="Calibri"/>
      <w:color w:val="000000"/>
      <w:u w:color="000000"/>
      <w:bdr w:val="nil"/>
      <w:lang w:val="es-ES_tradnl" w:eastAsia="es-PE"/>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link w:val="ListParagraphChar"/>
    <w:uiPriority w:val="34"/>
    <w:qFormat/>
    <w:rsid w:val="00C219CD"/>
    <w:pPr>
      <w:pBdr>
        <w:top w:val="nil"/>
        <w:left w:val="nil"/>
        <w:bottom w:val="nil"/>
        <w:right w:val="nil"/>
        <w:between w:val="nil"/>
        <w:bar w:val="nil"/>
      </w:pBdr>
      <w:ind w:left="720"/>
    </w:pPr>
    <w:rPr>
      <w:rFonts w:ascii="Calibri" w:eastAsia="Calibri" w:hAnsi="Calibri" w:cs="Calibri"/>
      <w:color w:val="000000"/>
      <w:u w:color="000000"/>
      <w:bdr w:val="nil"/>
      <w:lang w:val="es-ES_tradnl" w:eastAsia="es-PE"/>
    </w:rPr>
  </w:style>
  <w:style w:type="numbering" w:customStyle="1" w:styleId="List0">
    <w:name w:val="List 0"/>
    <w:basedOn w:val="NoList"/>
    <w:rsid w:val="00C219CD"/>
    <w:pPr>
      <w:numPr>
        <w:numId w:val="1"/>
      </w:numPr>
    </w:pPr>
  </w:style>
  <w:style w:type="numbering" w:customStyle="1" w:styleId="List1">
    <w:name w:val="List 1"/>
    <w:basedOn w:val="NoList"/>
    <w:rsid w:val="00C219CD"/>
    <w:pPr>
      <w:numPr>
        <w:numId w:val="2"/>
      </w:numPr>
    </w:pPr>
  </w:style>
  <w:style w:type="numbering" w:customStyle="1" w:styleId="Lista21">
    <w:name w:val="Lista 21"/>
    <w:basedOn w:val="NoList"/>
    <w:rsid w:val="00C219CD"/>
    <w:pPr>
      <w:numPr>
        <w:numId w:val="3"/>
      </w:numPr>
    </w:pPr>
  </w:style>
  <w:style w:type="numbering" w:customStyle="1" w:styleId="Lista31">
    <w:name w:val="Lista 31"/>
    <w:basedOn w:val="NoList"/>
    <w:rsid w:val="00C219CD"/>
    <w:pPr>
      <w:numPr>
        <w:numId w:val="4"/>
      </w:numPr>
    </w:pPr>
  </w:style>
  <w:style w:type="numbering" w:customStyle="1" w:styleId="Lista41">
    <w:name w:val="Lista 41"/>
    <w:basedOn w:val="NoList"/>
    <w:rsid w:val="00C219CD"/>
    <w:pPr>
      <w:numPr>
        <w:numId w:val="5"/>
      </w:numPr>
    </w:pPr>
  </w:style>
  <w:style w:type="numbering" w:customStyle="1" w:styleId="Lista51">
    <w:name w:val="Lista 51"/>
    <w:basedOn w:val="NoList"/>
    <w:rsid w:val="00C219CD"/>
    <w:pPr>
      <w:numPr>
        <w:numId w:val="6"/>
      </w:numPr>
    </w:pPr>
  </w:style>
  <w:style w:type="numbering" w:customStyle="1" w:styleId="List6">
    <w:name w:val="List 6"/>
    <w:basedOn w:val="NoList"/>
    <w:rsid w:val="00C219CD"/>
    <w:pPr>
      <w:numPr>
        <w:numId w:val="7"/>
      </w:numPr>
    </w:pPr>
  </w:style>
  <w:style w:type="numbering" w:customStyle="1" w:styleId="List7">
    <w:name w:val="List 7"/>
    <w:basedOn w:val="NoList"/>
    <w:rsid w:val="00C219CD"/>
    <w:pPr>
      <w:numPr>
        <w:numId w:val="8"/>
      </w:numPr>
    </w:pPr>
  </w:style>
  <w:style w:type="character" w:customStyle="1" w:styleId="Heading1Char">
    <w:name w:val="Heading 1 Char"/>
    <w:basedOn w:val="DefaultParagraphFont"/>
    <w:link w:val="Heading1"/>
    <w:uiPriority w:val="9"/>
    <w:rsid w:val="001018B0"/>
    <w:rPr>
      <w:rFonts w:asciiTheme="majorHAnsi" w:eastAsia="Cambria" w:hAnsiTheme="majorHAnsi" w:cs="Cambria"/>
      <w:b/>
      <w:bCs/>
      <w:sz w:val="20"/>
      <w:szCs w:val="20"/>
      <w:bdr w:val="nil"/>
    </w:rPr>
  </w:style>
  <w:style w:type="character" w:customStyle="1" w:styleId="Heading2Char">
    <w:name w:val="Heading 2 Char"/>
    <w:basedOn w:val="DefaultParagraphFont"/>
    <w:link w:val="Heading2"/>
    <w:uiPriority w:val="9"/>
    <w:rsid w:val="00861078"/>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861078"/>
    <w:rPr>
      <w:rFonts w:asciiTheme="majorHAnsi" w:eastAsiaTheme="majorEastAsia" w:hAnsiTheme="majorHAnsi" w:cstheme="majorBidi"/>
      <w:b/>
      <w:bCs/>
      <w:color w:val="4F81BD" w:themeColor="accent1"/>
      <w:sz w:val="24"/>
      <w:szCs w:val="24"/>
      <w:bdr w:val="nil"/>
      <w:lang w:val="en-US"/>
    </w:rPr>
  </w:style>
  <w:style w:type="paragraph" w:styleId="NoSpacing">
    <w:name w:val="No Spacing"/>
    <w:aliases w:val="Informes"/>
    <w:link w:val="NoSpacingChar"/>
    <w:uiPriority w:val="1"/>
    <w:qFormat/>
    <w:rsid w:val="003455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locked/>
    <w:rsid w:val="00EF6E00"/>
    <w:rPr>
      <w:rFonts w:ascii="Calibri" w:eastAsia="Calibri" w:hAnsi="Calibri" w:cs="Calibri"/>
      <w:color w:val="000000"/>
      <w:u w:color="000000"/>
      <w:bdr w:val="nil"/>
      <w:lang w:val="es-ES_tradnl" w:eastAsia="es-PE"/>
    </w:rPr>
  </w:style>
  <w:style w:type="character" w:styleId="Hyperlink">
    <w:name w:val="Hyperlink"/>
    <w:basedOn w:val="DefaultParagraphFont"/>
    <w:uiPriority w:val="99"/>
    <w:unhideWhenUsed/>
    <w:rsid w:val="00EF6E00"/>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es-ES_tradnl" w:eastAsia="es-E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F6E00"/>
    <w:rPr>
      <w:rFonts w:eastAsiaTheme="minorEastAsia"/>
      <w:sz w:val="24"/>
      <w:szCs w:val="24"/>
      <w:lang w:val="es-ES_tradnl" w:eastAsia="es-E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basedOn w:val="DefaultParagraphFont"/>
    <w:link w:val="Appelnotedebasde"/>
    <w:uiPriority w:val="99"/>
    <w:unhideWhenUsed/>
    <w:qFormat/>
    <w:rsid w:val="00EF6E00"/>
    <w:rPr>
      <w:vertAlign w:val="superscript"/>
    </w:rPr>
  </w:style>
  <w:style w:type="paragraph" w:customStyle="1" w:styleId="Appelnotedebasde">
    <w:name w:val="Appel note de bas de..."/>
    <w:basedOn w:val="Normal"/>
    <w:link w:val="FootnoteReference"/>
    <w:uiPriority w:val="99"/>
    <w:rsid w:val="00EF6E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lang w:val="es-PE"/>
    </w:rPr>
  </w:style>
  <w:style w:type="character" w:styleId="CommentReference">
    <w:name w:val="annotation reference"/>
    <w:basedOn w:val="DefaultParagraphFont"/>
    <w:uiPriority w:val="99"/>
    <w:semiHidden/>
    <w:unhideWhenUsed/>
    <w:rsid w:val="00EF6E00"/>
    <w:rPr>
      <w:sz w:val="16"/>
      <w:szCs w:val="16"/>
    </w:rPr>
  </w:style>
  <w:style w:type="paragraph" w:styleId="CommentText">
    <w:name w:val="annotation text"/>
    <w:basedOn w:val="Normal"/>
    <w:link w:val="CommentTextChar"/>
    <w:uiPriority w:val="99"/>
    <w:unhideWhenUsed/>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0"/>
      <w:szCs w:val="20"/>
      <w:bdr w:val="none" w:sz="0" w:space="0" w:color="auto"/>
      <w:lang w:val="es-ES_tradnl" w:eastAsia="es-ES"/>
    </w:rPr>
  </w:style>
  <w:style w:type="character" w:customStyle="1" w:styleId="CommentTextChar">
    <w:name w:val="Comment Text Char"/>
    <w:basedOn w:val="DefaultParagraphFont"/>
    <w:link w:val="CommentText"/>
    <w:uiPriority w:val="99"/>
    <w:rsid w:val="00EF6E00"/>
    <w:rPr>
      <w:rFonts w:eastAsiaTheme="minorEastAsia"/>
      <w:sz w:val="20"/>
      <w:szCs w:val="20"/>
      <w:lang w:val="es-ES_tradnl" w:eastAsia="es-ES"/>
    </w:rPr>
  </w:style>
  <w:style w:type="paragraph" w:styleId="BalloonText">
    <w:name w:val="Balloon Text"/>
    <w:basedOn w:val="Normal"/>
    <w:link w:val="BalloonTextChar"/>
    <w:uiPriority w:val="99"/>
    <w:semiHidden/>
    <w:unhideWhenUsed/>
    <w:rsid w:val="00EF6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00"/>
    <w:rPr>
      <w:rFonts w:ascii="Segoe UI" w:eastAsia="Arial Unicode MS" w:hAnsi="Segoe UI" w:cs="Segoe UI"/>
      <w:sz w:val="18"/>
      <w:szCs w:val="18"/>
      <w:bdr w:val="nil"/>
      <w:lang w:val="en-US"/>
    </w:rPr>
  </w:style>
  <w:style w:type="character" w:customStyle="1" w:styleId="Heading4Char">
    <w:name w:val="Heading 4 Char"/>
    <w:basedOn w:val="DefaultParagraphFont"/>
    <w:link w:val="Heading4"/>
    <w:uiPriority w:val="9"/>
    <w:rsid w:val="00EF6E00"/>
    <w:rPr>
      <w:rFonts w:asciiTheme="majorHAnsi" w:eastAsiaTheme="majorEastAsia" w:hAnsiTheme="majorHAnsi" w:cstheme="majorBidi"/>
      <w:i/>
      <w:iCs/>
      <w:color w:val="365F91" w:themeColor="accent1" w:themeShade="BF"/>
      <w:sz w:val="24"/>
      <w:szCs w:val="24"/>
      <w:bdr w:val="nil"/>
      <w:lang w:val="en-US"/>
    </w:rPr>
  </w:style>
  <w:style w:type="paragraph" w:customStyle="1" w:styleId="leyestitulo">
    <w:name w:val="leyes_titulo"/>
    <w:basedOn w:val="Normal"/>
    <w:rsid w:val="00EF6E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SpacingChar">
    <w:name w:val="No Spacing Char"/>
    <w:aliases w:val="Informes Char"/>
    <w:link w:val="NoSpacing"/>
    <w:uiPriority w:val="1"/>
    <w:rsid w:val="00397155"/>
    <w:rPr>
      <w:rFonts w:ascii="Times New Roman" w:eastAsia="Arial Unicode MS" w:hAnsi="Times New Roman" w:cs="Times New Roman"/>
      <w:sz w:val="24"/>
      <w:szCs w:val="24"/>
      <w:bdr w:val="nil"/>
      <w:lang w:val="en-US"/>
    </w:rPr>
  </w:style>
  <w:style w:type="character" w:customStyle="1" w:styleId="apple-converted-space">
    <w:name w:val="apple-converted-space"/>
    <w:rsid w:val="00422DB7"/>
    <w:rPr>
      <w:rFonts w:cs="Times New Roman"/>
    </w:rPr>
  </w:style>
  <w:style w:type="character" w:styleId="Emphasis">
    <w:name w:val="Emphasis"/>
    <w:qFormat/>
    <w:rsid w:val="00422DB7"/>
    <w:rPr>
      <w:i/>
      <w:iCs/>
    </w:rPr>
  </w:style>
  <w:style w:type="paragraph" w:styleId="TOC1">
    <w:name w:val="toc 1"/>
    <w:basedOn w:val="Normal"/>
    <w:next w:val="Normal"/>
    <w:autoRedefine/>
    <w:uiPriority w:val="39"/>
    <w:unhideWhenUsed/>
    <w:rsid w:val="00112143"/>
    <w:pPr>
      <w:spacing w:before="120"/>
    </w:pPr>
    <w:rPr>
      <w:rFonts w:asciiTheme="minorHAnsi" w:hAnsiTheme="minorHAnsi"/>
      <w:b/>
    </w:rPr>
  </w:style>
  <w:style w:type="paragraph" w:styleId="TOC2">
    <w:name w:val="toc 2"/>
    <w:basedOn w:val="Normal"/>
    <w:next w:val="Normal"/>
    <w:autoRedefine/>
    <w:uiPriority w:val="39"/>
    <w:unhideWhenUsed/>
    <w:rsid w:val="00112143"/>
    <w:pPr>
      <w:ind w:left="240"/>
    </w:pPr>
    <w:rPr>
      <w:rFonts w:asciiTheme="minorHAnsi" w:hAnsiTheme="minorHAnsi"/>
      <w:b/>
      <w:sz w:val="22"/>
      <w:szCs w:val="22"/>
    </w:rPr>
  </w:style>
  <w:style w:type="paragraph" w:styleId="TOC3">
    <w:name w:val="toc 3"/>
    <w:basedOn w:val="Normal"/>
    <w:next w:val="Normal"/>
    <w:autoRedefine/>
    <w:uiPriority w:val="39"/>
    <w:unhideWhenUsed/>
    <w:rsid w:val="00112143"/>
    <w:pPr>
      <w:ind w:left="480"/>
    </w:pPr>
    <w:rPr>
      <w:rFonts w:asciiTheme="minorHAnsi" w:hAnsiTheme="minorHAnsi"/>
      <w:sz w:val="22"/>
      <w:szCs w:val="22"/>
    </w:rPr>
  </w:style>
  <w:style w:type="paragraph" w:styleId="TOC4">
    <w:name w:val="toc 4"/>
    <w:basedOn w:val="Normal"/>
    <w:next w:val="Normal"/>
    <w:autoRedefine/>
    <w:uiPriority w:val="39"/>
    <w:unhideWhenUsed/>
    <w:rsid w:val="00112143"/>
    <w:pPr>
      <w:ind w:left="720"/>
    </w:pPr>
    <w:rPr>
      <w:rFonts w:asciiTheme="minorHAnsi" w:hAnsiTheme="minorHAnsi"/>
      <w:sz w:val="20"/>
      <w:szCs w:val="20"/>
    </w:rPr>
  </w:style>
  <w:style w:type="table" w:styleId="TableGrid">
    <w:name w:val="Table Grid"/>
    <w:basedOn w:val="TableNormal"/>
    <w:uiPriority w:val="39"/>
    <w:rsid w:val="007F089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63F8"/>
    <w:pPr>
      <w:pBdr>
        <w:top w:val="nil"/>
        <w:left w:val="nil"/>
        <w:bottom w:val="nil"/>
        <w:right w:val="nil"/>
        <w:between w:val="nil"/>
        <w:bar w:val="nil"/>
      </w:pBdr>
    </w:pPr>
    <w:rPr>
      <w:rFonts w:ascii="Times New Roman" w:eastAsia="Arial Unicode MS" w:hAnsi="Times New Roman" w:cs="Times New Roman"/>
      <w:b/>
      <w:bCs/>
      <w:bdr w:val="nil"/>
      <w:lang w:val="en-US" w:eastAsia="en-US"/>
    </w:rPr>
  </w:style>
  <w:style w:type="character" w:customStyle="1" w:styleId="CommentSubjectChar">
    <w:name w:val="Comment Subject Char"/>
    <w:basedOn w:val="CommentTextChar"/>
    <w:link w:val="CommentSubject"/>
    <w:uiPriority w:val="99"/>
    <w:semiHidden/>
    <w:rsid w:val="004C63F8"/>
    <w:rPr>
      <w:rFonts w:ascii="Times New Roman" w:eastAsia="Arial Unicode MS" w:hAnsi="Times New Roman" w:cs="Times New Roman"/>
      <w:b/>
      <w:bCs/>
      <w:sz w:val="20"/>
      <w:szCs w:val="20"/>
      <w:bdr w:val="nil"/>
      <w:lang w:val="en-US" w:eastAsia="es-ES"/>
    </w:rPr>
  </w:style>
  <w:style w:type="paragraph" w:customStyle="1" w:styleId="Default">
    <w:name w:val="Default"/>
    <w:rsid w:val="00D53E4C"/>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903249"/>
    <w:pPr>
      <w:tabs>
        <w:tab w:val="center" w:pos="4419"/>
        <w:tab w:val="right" w:pos="8838"/>
      </w:tabs>
    </w:pPr>
  </w:style>
  <w:style w:type="character" w:customStyle="1" w:styleId="HeaderChar">
    <w:name w:val="Header Char"/>
    <w:basedOn w:val="DefaultParagraphFont"/>
    <w:link w:val="Header"/>
    <w:uiPriority w:val="99"/>
    <w:rsid w:val="0090324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03249"/>
    <w:pPr>
      <w:tabs>
        <w:tab w:val="center" w:pos="4419"/>
        <w:tab w:val="right" w:pos="8838"/>
      </w:tabs>
    </w:pPr>
  </w:style>
  <w:style w:type="character" w:customStyle="1" w:styleId="FooterChar">
    <w:name w:val="Footer Char"/>
    <w:basedOn w:val="DefaultParagraphFont"/>
    <w:link w:val="Footer"/>
    <w:uiPriority w:val="99"/>
    <w:rsid w:val="00903249"/>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7B73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customStyle="1" w:styleId="UnresolvedMention1">
    <w:name w:val="Unresolved Mention1"/>
    <w:basedOn w:val="DefaultParagraphFont"/>
    <w:uiPriority w:val="99"/>
    <w:semiHidden/>
    <w:unhideWhenUsed/>
    <w:rsid w:val="000B1A0A"/>
    <w:rPr>
      <w:color w:val="808080"/>
      <w:shd w:val="clear" w:color="auto" w:fill="E6E6E6"/>
    </w:rPr>
  </w:style>
  <w:style w:type="character" w:styleId="Strong">
    <w:name w:val="Strong"/>
    <w:basedOn w:val="DefaultParagraphFont"/>
    <w:uiPriority w:val="22"/>
    <w:qFormat/>
    <w:rsid w:val="0036558D"/>
    <w:rPr>
      <w:b/>
      <w:bCs/>
    </w:rPr>
  </w:style>
  <w:style w:type="paragraph" w:customStyle="1" w:styleId="style1">
    <w:name w:val="style1"/>
    <w:basedOn w:val="Normal"/>
    <w:rsid w:val="002D05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Y" w:eastAsia="es-UY"/>
    </w:rPr>
  </w:style>
  <w:style w:type="character" w:customStyle="1" w:styleId="qowt-font1-timesnewroman">
    <w:name w:val="qowt-font1-timesnewroman"/>
    <w:basedOn w:val="DefaultParagraphFont"/>
    <w:rsid w:val="008C54F4"/>
  </w:style>
  <w:style w:type="paragraph" w:styleId="Revision">
    <w:name w:val="Revision"/>
    <w:hidden/>
    <w:uiPriority w:val="99"/>
    <w:semiHidden/>
    <w:rsid w:val="00AD1F88"/>
    <w:pPr>
      <w:spacing w:after="0" w:line="240" w:lineRule="auto"/>
    </w:pPr>
    <w:rPr>
      <w:rFonts w:ascii="Times New Roman" w:eastAsia="Arial Unicode MS" w:hAnsi="Times New Roman" w:cs="Times New Roman"/>
      <w:sz w:val="24"/>
      <w:szCs w:val="24"/>
      <w:bdr w:val="nil"/>
      <w:lang w:val="en-US"/>
    </w:rPr>
  </w:style>
  <w:style w:type="paragraph" w:styleId="DocumentMap">
    <w:name w:val="Document Map"/>
    <w:basedOn w:val="Normal"/>
    <w:link w:val="DocumentMapChar"/>
    <w:uiPriority w:val="99"/>
    <w:semiHidden/>
    <w:unhideWhenUsed/>
    <w:rsid w:val="00054C6B"/>
    <w:rPr>
      <w:rFonts w:ascii="Lucida Grande" w:hAnsi="Lucida Grande" w:cs="Lucida Grande"/>
    </w:rPr>
  </w:style>
  <w:style w:type="character" w:customStyle="1" w:styleId="DocumentMapChar">
    <w:name w:val="Document Map Char"/>
    <w:basedOn w:val="DefaultParagraphFont"/>
    <w:link w:val="DocumentMap"/>
    <w:uiPriority w:val="99"/>
    <w:semiHidden/>
    <w:rsid w:val="00054C6B"/>
    <w:rPr>
      <w:rFonts w:ascii="Lucida Grande" w:eastAsia="Arial Unicode MS" w:hAnsi="Lucida Grande" w:cs="Lucida Grande"/>
      <w:sz w:val="24"/>
      <w:szCs w:val="24"/>
      <w:bdr w:val="nil"/>
      <w:lang w:val="en-US"/>
    </w:rPr>
  </w:style>
  <w:style w:type="paragraph" w:customStyle="1" w:styleId="Char2">
    <w:name w:val="Char2"/>
    <w:basedOn w:val="Normal"/>
    <w:uiPriority w:val="99"/>
    <w:rsid w:val="00122D2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22D25"/>
    <w:rPr>
      <w:color w:val="800080" w:themeColor="followedHyperlink"/>
      <w:u w:val="single"/>
    </w:rPr>
  </w:style>
  <w:style w:type="paragraph" w:styleId="TOC5">
    <w:name w:val="toc 5"/>
    <w:basedOn w:val="Normal"/>
    <w:next w:val="Normal"/>
    <w:autoRedefine/>
    <w:uiPriority w:val="39"/>
    <w:unhideWhenUsed/>
    <w:rsid w:val="00EA0F77"/>
    <w:pPr>
      <w:ind w:left="960"/>
    </w:pPr>
    <w:rPr>
      <w:rFonts w:asciiTheme="minorHAnsi" w:hAnsiTheme="minorHAnsi"/>
      <w:sz w:val="20"/>
      <w:szCs w:val="20"/>
    </w:rPr>
  </w:style>
  <w:style w:type="paragraph" w:styleId="TOC6">
    <w:name w:val="toc 6"/>
    <w:basedOn w:val="Normal"/>
    <w:next w:val="Normal"/>
    <w:autoRedefine/>
    <w:uiPriority w:val="39"/>
    <w:unhideWhenUsed/>
    <w:rsid w:val="00EA0F77"/>
    <w:pPr>
      <w:ind w:left="1200"/>
    </w:pPr>
    <w:rPr>
      <w:rFonts w:asciiTheme="minorHAnsi" w:hAnsiTheme="minorHAnsi"/>
      <w:sz w:val="20"/>
      <w:szCs w:val="20"/>
    </w:rPr>
  </w:style>
  <w:style w:type="paragraph" w:styleId="TOC7">
    <w:name w:val="toc 7"/>
    <w:basedOn w:val="Normal"/>
    <w:next w:val="Normal"/>
    <w:autoRedefine/>
    <w:uiPriority w:val="39"/>
    <w:unhideWhenUsed/>
    <w:rsid w:val="00EA0F77"/>
    <w:pPr>
      <w:ind w:left="1440"/>
    </w:pPr>
    <w:rPr>
      <w:rFonts w:asciiTheme="minorHAnsi" w:hAnsiTheme="minorHAnsi"/>
      <w:sz w:val="20"/>
      <w:szCs w:val="20"/>
    </w:rPr>
  </w:style>
  <w:style w:type="paragraph" w:styleId="TOC8">
    <w:name w:val="toc 8"/>
    <w:basedOn w:val="Normal"/>
    <w:next w:val="Normal"/>
    <w:autoRedefine/>
    <w:uiPriority w:val="39"/>
    <w:unhideWhenUsed/>
    <w:rsid w:val="00EA0F77"/>
    <w:pPr>
      <w:ind w:left="1680"/>
    </w:pPr>
    <w:rPr>
      <w:rFonts w:asciiTheme="minorHAnsi" w:hAnsiTheme="minorHAnsi"/>
      <w:sz w:val="20"/>
      <w:szCs w:val="20"/>
    </w:rPr>
  </w:style>
  <w:style w:type="paragraph" w:styleId="TOC9">
    <w:name w:val="toc 9"/>
    <w:basedOn w:val="Normal"/>
    <w:next w:val="Normal"/>
    <w:autoRedefine/>
    <w:uiPriority w:val="39"/>
    <w:unhideWhenUsed/>
    <w:rsid w:val="00EA0F77"/>
    <w:pPr>
      <w:ind w:left="1920"/>
    </w:pPr>
    <w:rPr>
      <w:rFonts w:asciiTheme="minorHAnsi" w:hAnsiTheme="minorHAnsi"/>
      <w:sz w:val="20"/>
      <w:szCs w:val="20"/>
    </w:rPr>
  </w:style>
  <w:style w:type="table" w:customStyle="1" w:styleId="Tabladecuadrcula5oscura-nfasis51">
    <w:name w:val="Tabla de cuadrícula 5 oscura - Énfasis 51"/>
    <w:basedOn w:val="TableNormal"/>
    <w:uiPriority w:val="50"/>
    <w:rsid w:val="001018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8946065444081616593msofootnotereference">
    <w:name w:val="m_-8946065444081616593msofootnotereference"/>
    <w:basedOn w:val="DefaultParagraphFont"/>
    <w:rsid w:val="00460C68"/>
  </w:style>
  <w:style w:type="character" w:customStyle="1" w:styleId="StrongEmphasis">
    <w:name w:val="Strong Emphasis"/>
    <w:rsid w:val="00CC471D"/>
    <w:rPr>
      <w:b/>
      <w:bCs/>
    </w:rPr>
  </w:style>
  <w:style w:type="character" w:customStyle="1" w:styleId="FootnoteAnchor">
    <w:name w:val="Footnote Anchor"/>
    <w:rsid w:val="00CC471D"/>
    <w:rPr>
      <w:vertAlign w:val="superscript"/>
    </w:rPr>
  </w:style>
  <w:style w:type="character" w:customStyle="1" w:styleId="InternetLink">
    <w:name w:val="Internet Link"/>
    <w:rsid w:val="00CC471D"/>
    <w:rPr>
      <w:color w:val="000080"/>
      <w:u w:val="single"/>
    </w:rPr>
  </w:style>
  <w:style w:type="paragraph" w:customStyle="1" w:styleId="TextBody">
    <w:name w:val="Text Body"/>
    <w:basedOn w:val="Normal"/>
    <w:rsid w:val="00CC47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88" w:lineRule="auto"/>
    </w:pPr>
    <w:rPr>
      <w:rFonts w:ascii="Liberation Serif" w:eastAsia="Droid Sans Fallback" w:hAnsi="Liberation Serif" w:cs="FreeSans"/>
      <w:bdr w:val="none" w:sz="0" w:space="0" w:color="auto"/>
      <w:lang w:eastAsia="zh-CN" w:bidi="hi-IN"/>
    </w:rPr>
  </w:style>
  <w:style w:type="character" w:customStyle="1" w:styleId="tgc">
    <w:name w:val="_tgc"/>
    <w:rsid w:val="00CC471D"/>
  </w:style>
  <w:style w:type="paragraph" w:customStyle="1" w:styleId="f1">
    <w:name w:val="f1"/>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styleId="HTMLPreformatted">
    <w:name w:val="HTML Preformatted"/>
    <w:basedOn w:val="Normal"/>
    <w:link w:val="HTMLPreformatted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CC471D"/>
    <w:rPr>
      <w:rFonts w:ascii="Courier New" w:eastAsia="Times New Roman" w:hAnsi="Courier New" w:cs="Courier New"/>
      <w:sz w:val="20"/>
      <w:szCs w:val="20"/>
      <w:lang w:val="en-US"/>
    </w:rPr>
  </w:style>
  <w:style w:type="paragraph" w:styleId="BodyText">
    <w:name w:val="Body Text"/>
    <w:basedOn w:val="Normal"/>
    <w:link w:val="BodyText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Char">
    <w:name w:val="Body Text Char"/>
    <w:basedOn w:val="DefaultParagraphFont"/>
    <w:link w:val="BodyText"/>
    <w:uiPriority w:val="99"/>
    <w:semiHidden/>
    <w:rsid w:val="00CC471D"/>
    <w:rPr>
      <w:rFonts w:ascii="Times New Roman" w:eastAsia="Times New Roman" w:hAnsi="Times New Roman" w:cs="Times New Roman"/>
      <w:sz w:val="24"/>
      <w:szCs w:val="24"/>
      <w:lang w:val="en-US"/>
    </w:rPr>
  </w:style>
  <w:style w:type="character" w:customStyle="1" w:styleId="Caracteresdenotaalpie">
    <w:name w:val="Caracteres de nota al pie"/>
    <w:rsid w:val="00CC471D"/>
    <w:rPr>
      <w:vertAlign w:val="superscript"/>
    </w:rPr>
  </w:style>
  <w:style w:type="paragraph" w:customStyle="1" w:styleId="textbox">
    <w:name w:val="textbox"/>
    <w:basedOn w:val="Normal"/>
    <w:rsid w:val="0036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PlaceholderText">
    <w:name w:val="Placeholder Text"/>
    <w:basedOn w:val="DefaultParagraphFont"/>
    <w:uiPriority w:val="99"/>
    <w:semiHidden/>
    <w:rsid w:val="00AF4BC6"/>
    <w:rPr>
      <w:color w:val="808080"/>
    </w:rPr>
  </w:style>
  <w:style w:type="paragraph" w:customStyle="1" w:styleId="Body1">
    <w:name w:val="Body 1"/>
    <w:link w:val="Body1Char"/>
    <w:uiPriority w:val="99"/>
    <w:rsid w:val="00E35832"/>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Body1Char">
    <w:name w:val="Body 1 Char"/>
    <w:link w:val="Body1"/>
    <w:uiPriority w:val="99"/>
    <w:locked/>
    <w:rsid w:val="00E35832"/>
    <w:rPr>
      <w:rFonts w:ascii="Times New Roman" w:eastAsia="Arial Unicode MS" w:hAnsi="Times New Roman" w:cs="Times New Roman"/>
      <w:color w:val="000000"/>
      <w:sz w:val="24"/>
      <w:szCs w:val="20"/>
      <w:u w:color="000000"/>
      <w:lang w:val="en-US"/>
    </w:rPr>
  </w:style>
  <w:style w:type="paragraph" w:styleId="EndnoteText">
    <w:name w:val="endnote text"/>
    <w:basedOn w:val="Normal"/>
    <w:link w:val="EndnoteTextChar"/>
    <w:uiPriority w:val="99"/>
    <w:unhideWhenUsed/>
    <w:rsid w:val="00776C27"/>
  </w:style>
  <w:style w:type="character" w:customStyle="1" w:styleId="EndnoteTextChar">
    <w:name w:val="Endnote Text Char"/>
    <w:basedOn w:val="DefaultParagraphFont"/>
    <w:link w:val="EndnoteText"/>
    <w:uiPriority w:val="99"/>
    <w:rsid w:val="00776C27"/>
    <w:rPr>
      <w:rFonts w:ascii="Times New Roman" w:eastAsia="Arial Unicode MS" w:hAnsi="Times New Roman" w:cs="Times New Roman"/>
      <w:sz w:val="24"/>
      <w:szCs w:val="24"/>
      <w:bdr w:val="nil"/>
      <w:lang w:val="en-US"/>
    </w:rPr>
  </w:style>
  <w:style w:type="character" w:styleId="EndnoteReference">
    <w:name w:val="endnote reference"/>
    <w:basedOn w:val="DefaultParagraphFont"/>
    <w:uiPriority w:val="99"/>
    <w:unhideWhenUsed/>
    <w:rsid w:val="00776C27"/>
    <w:rPr>
      <w:vertAlign w:val="superscript"/>
    </w:rPr>
  </w:style>
  <w:style w:type="character" w:customStyle="1" w:styleId="UnresolvedMention">
    <w:name w:val="Unresolved Mention"/>
    <w:basedOn w:val="DefaultParagraphFont"/>
    <w:uiPriority w:val="99"/>
    <w:semiHidden/>
    <w:unhideWhenUsed/>
    <w:rsid w:val="00F86C1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42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018B0"/>
    <w:pPr>
      <w:keepNext/>
      <w:keepLines/>
      <w:outlineLvl w:val="0"/>
    </w:pPr>
    <w:rPr>
      <w:rFonts w:asciiTheme="majorHAnsi" w:eastAsia="Cambria" w:hAnsiTheme="majorHAnsi" w:cs="Cambria"/>
      <w:b/>
      <w:bCs/>
      <w:sz w:val="20"/>
      <w:szCs w:val="20"/>
      <w:lang w:val="es-PE"/>
    </w:rPr>
  </w:style>
  <w:style w:type="paragraph" w:styleId="Heading2">
    <w:name w:val="heading 2"/>
    <w:basedOn w:val="Normal"/>
    <w:next w:val="Normal"/>
    <w:link w:val="Heading2Char"/>
    <w:uiPriority w:val="9"/>
    <w:unhideWhenUsed/>
    <w:qFormat/>
    <w:rsid w:val="008610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0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6E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19C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PE"/>
    </w:rPr>
  </w:style>
  <w:style w:type="paragraph" w:customStyle="1" w:styleId="Body">
    <w:name w:val="Body"/>
    <w:rsid w:val="00C219CD"/>
    <w:pPr>
      <w:pBdr>
        <w:top w:val="nil"/>
        <w:left w:val="nil"/>
        <w:bottom w:val="nil"/>
        <w:right w:val="nil"/>
        <w:between w:val="nil"/>
        <w:bar w:val="nil"/>
      </w:pBdr>
    </w:pPr>
    <w:rPr>
      <w:rFonts w:ascii="Calibri" w:eastAsia="Calibri" w:hAnsi="Calibri" w:cs="Calibri"/>
      <w:color w:val="000000"/>
      <w:u w:color="000000"/>
      <w:bdr w:val="nil"/>
      <w:lang w:val="es-ES_tradnl" w:eastAsia="es-PE"/>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link w:val="ListParagraphChar"/>
    <w:uiPriority w:val="34"/>
    <w:qFormat/>
    <w:rsid w:val="00C219CD"/>
    <w:pPr>
      <w:pBdr>
        <w:top w:val="nil"/>
        <w:left w:val="nil"/>
        <w:bottom w:val="nil"/>
        <w:right w:val="nil"/>
        <w:between w:val="nil"/>
        <w:bar w:val="nil"/>
      </w:pBdr>
      <w:ind w:left="720"/>
    </w:pPr>
    <w:rPr>
      <w:rFonts w:ascii="Calibri" w:eastAsia="Calibri" w:hAnsi="Calibri" w:cs="Calibri"/>
      <w:color w:val="000000"/>
      <w:u w:color="000000"/>
      <w:bdr w:val="nil"/>
      <w:lang w:val="es-ES_tradnl" w:eastAsia="es-PE"/>
    </w:rPr>
  </w:style>
  <w:style w:type="numbering" w:customStyle="1" w:styleId="List0">
    <w:name w:val="List 0"/>
    <w:basedOn w:val="NoList"/>
    <w:rsid w:val="00C219CD"/>
    <w:pPr>
      <w:numPr>
        <w:numId w:val="1"/>
      </w:numPr>
    </w:pPr>
  </w:style>
  <w:style w:type="numbering" w:customStyle="1" w:styleId="List1">
    <w:name w:val="List 1"/>
    <w:basedOn w:val="NoList"/>
    <w:rsid w:val="00C219CD"/>
    <w:pPr>
      <w:numPr>
        <w:numId w:val="2"/>
      </w:numPr>
    </w:pPr>
  </w:style>
  <w:style w:type="numbering" w:customStyle="1" w:styleId="Lista21">
    <w:name w:val="Lista 21"/>
    <w:basedOn w:val="NoList"/>
    <w:rsid w:val="00C219CD"/>
    <w:pPr>
      <w:numPr>
        <w:numId w:val="3"/>
      </w:numPr>
    </w:pPr>
  </w:style>
  <w:style w:type="numbering" w:customStyle="1" w:styleId="Lista31">
    <w:name w:val="Lista 31"/>
    <w:basedOn w:val="NoList"/>
    <w:rsid w:val="00C219CD"/>
    <w:pPr>
      <w:numPr>
        <w:numId w:val="4"/>
      </w:numPr>
    </w:pPr>
  </w:style>
  <w:style w:type="numbering" w:customStyle="1" w:styleId="Lista41">
    <w:name w:val="Lista 41"/>
    <w:basedOn w:val="NoList"/>
    <w:rsid w:val="00C219CD"/>
    <w:pPr>
      <w:numPr>
        <w:numId w:val="5"/>
      </w:numPr>
    </w:pPr>
  </w:style>
  <w:style w:type="numbering" w:customStyle="1" w:styleId="Lista51">
    <w:name w:val="Lista 51"/>
    <w:basedOn w:val="NoList"/>
    <w:rsid w:val="00C219CD"/>
    <w:pPr>
      <w:numPr>
        <w:numId w:val="6"/>
      </w:numPr>
    </w:pPr>
  </w:style>
  <w:style w:type="numbering" w:customStyle="1" w:styleId="List6">
    <w:name w:val="List 6"/>
    <w:basedOn w:val="NoList"/>
    <w:rsid w:val="00C219CD"/>
    <w:pPr>
      <w:numPr>
        <w:numId w:val="7"/>
      </w:numPr>
    </w:pPr>
  </w:style>
  <w:style w:type="numbering" w:customStyle="1" w:styleId="List7">
    <w:name w:val="List 7"/>
    <w:basedOn w:val="NoList"/>
    <w:rsid w:val="00C219CD"/>
    <w:pPr>
      <w:numPr>
        <w:numId w:val="8"/>
      </w:numPr>
    </w:pPr>
  </w:style>
  <w:style w:type="character" w:customStyle="1" w:styleId="Heading1Char">
    <w:name w:val="Heading 1 Char"/>
    <w:basedOn w:val="DefaultParagraphFont"/>
    <w:link w:val="Heading1"/>
    <w:uiPriority w:val="9"/>
    <w:rsid w:val="001018B0"/>
    <w:rPr>
      <w:rFonts w:asciiTheme="majorHAnsi" w:eastAsia="Cambria" w:hAnsiTheme="majorHAnsi" w:cs="Cambria"/>
      <w:b/>
      <w:bCs/>
      <w:sz w:val="20"/>
      <w:szCs w:val="20"/>
      <w:bdr w:val="nil"/>
    </w:rPr>
  </w:style>
  <w:style w:type="character" w:customStyle="1" w:styleId="Heading2Char">
    <w:name w:val="Heading 2 Char"/>
    <w:basedOn w:val="DefaultParagraphFont"/>
    <w:link w:val="Heading2"/>
    <w:uiPriority w:val="9"/>
    <w:rsid w:val="00861078"/>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861078"/>
    <w:rPr>
      <w:rFonts w:asciiTheme="majorHAnsi" w:eastAsiaTheme="majorEastAsia" w:hAnsiTheme="majorHAnsi" w:cstheme="majorBidi"/>
      <w:b/>
      <w:bCs/>
      <w:color w:val="4F81BD" w:themeColor="accent1"/>
      <w:sz w:val="24"/>
      <w:szCs w:val="24"/>
      <w:bdr w:val="nil"/>
      <w:lang w:val="en-US"/>
    </w:rPr>
  </w:style>
  <w:style w:type="paragraph" w:styleId="NoSpacing">
    <w:name w:val="No Spacing"/>
    <w:aliases w:val="Informes"/>
    <w:link w:val="NoSpacingChar"/>
    <w:uiPriority w:val="1"/>
    <w:qFormat/>
    <w:rsid w:val="003455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locked/>
    <w:rsid w:val="00EF6E00"/>
    <w:rPr>
      <w:rFonts w:ascii="Calibri" w:eastAsia="Calibri" w:hAnsi="Calibri" w:cs="Calibri"/>
      <w:color w:val="000000"/>
      <w:u w:color="000000"/>
      <w:bdr w:val="nil"/>
      <w:lang w:val="es-ES_tradnl" w:eastAsia="es-PE"/>
    </w:rPr>
  </w:style>
  <w:style w:type="character" w:styleId="Hyperlink">
    <w:name w:val="Hyperlink"/>
    <w:basedOn w:val="DefaultParagraphFont"/>
    <w:uiPriority w:val="99"/>
    <w:unhideWhenUsed/>
    <w:rsid w:val="00EF6E00"/>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es-ES_tradnl" w:eastAsia="es-E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F6E00"/>
    <w:rPr>
      <w:rFonts w:eastAsiaTheme="minorEastAsia"/>
      <w:sz w:val="24"/>
      <w:szCs w:val="24"/>
      <w:lang w:val="es-ES_tradnl" w:eastAsia="es-E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basedOn w:val="DefaultParagraphFont"/>
    <w:link w:val="Appelnotedebasde"/>
    <w:uiPriority w:val="99"/>
    <w:unhideWhenUsed/>
    <w:qFormat/>
    <w:rsid w:val="00EF6E00"/>
    <w:rPr>
      <w:vertAlign w:val="superscript"/>
    </w:rPr>
  </w:style>
  <w:style w:type="paragraph" w:customStyle="1" w:styleId="Appelnotedebasde">
    <w:name w:val="Appel note de bas de..."/>
    <w:basedOn w:val="Normal"/>
    <w:link w:val="FootnoteReference"/>
    <w:uiPriority w:val="99"/>
    <w:rsid w:val="00EF6E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lang w:val="es-PE"/>
    </w:rPr>
  </w:style>
  <w:style w:type="character" w:styleId="CommentReference">
    <w:name w:val="annotation reference"/>
    <w:basedOn w:val="DefaultParagraphFont"/>
    <w:uiPriority w:val="99"/>
    <w:semiHidden/>
    <w:unhideWhenUsed/>
    <w:rsid w:val="00EF6E00"/>
    <w:rPr>
      <w:sz w:val="16"/>
      <w:szCs w:val="16"/>
    </w:rPr>
  </w:style>
  <w:style w:type="paragraph" w:styleId="CommentText">
    <w:name w:val="annotation text"/>
    <w:basedOn w:val="Normal"/>
    <w:link w:val="CommentTextChar"/>
    <w:uiPriority w:val="99"/>
    <w:unhideWhenUsed/>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0"/>
      <w:szCs w:val="20"/>
      <w:bdr w:val="none" w:sz="0" w:space="0" w:color="auto"/>
      <w:lang w:val="es-ES_tradnl" w:eastAsia="es-ES"/>
    </w:rPr>
  </w:style>
  <w:style w:type="character" w:customStyle="1" w:styleId="CommentTextChar">
    <w:name w:val="Comment Text Char"/>
    <w:basedOn w:val="DefaultParagraphFont"/>
    <w:link w:val="CommentText"/>
    <w:uiPriority w:val="99"/>
    <w:rsid w:val="00EF6E00"/>
    <w:rPr>
      <w:rFonts w:eastAsiaTheme="minorEastAsia"/>
      <w:sz w:val="20"/>
      <w:szCs w:val="20"/>
      <w:lang w:val="es-ES_tradnl" w:eastAsia="es-ES"/>
    </w:rPr>
  </w:style>
  <w:style w:type="paragraph" w:styleId="BalloonText">
    <w:name w:val="Balloon Text"/>
    <w:basedOn w:val="Normal"/>
    <w:link w:val="BalloonTextChar"/>
    <w:uiPriority w:val="99"/>
    <w:semiHidden/>
    <w:unhideWhenUsed/>
    <w:rsid w:val="00EF6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00"/>
    <w:rPr>
      <w:rFonts w:ascii="Segoe UI" w:eastAsia="Arial Unicode MS" w:hAnsi="Segoe UI" w:cs="Segoe UI"/>
      <w:sz w:val="18"/>
      <w:szCs w:val="18"/>
      <w:bdr w:val="nil"/>
      <w:lang w:val="en-US"/>
    </w:rPr>
  </w:style>
  <w:style w:type="character" w:customStyle="1" w:styleId="Heading4Char">
    <w:name w:val="Heading 4 Char"/>
    <w:basedOn w:val="DefaultParagraphFont"/>
    <w:link w:val="Heading4"/>
    <w:uiPriority w:val="9"/>
    <w:rsid w:val="00EF6E00"/>
    <w:rPr>
      <w:rFonts w:asciiTheme="majorHAnsi" w:eastAsiaTheme="majorEastAsia" w:hAnsiTheme="majorHAnsi" w:cstheme="majorBidi"/>
      <w:i/>
      <w:iCs/>
      <w:color w:val="365F91" w:themeColor="accent1" w:themeShade="BF"/>
      <w:sz w:val="24"/>
      <w:szCs w:val="24"/>
      <w:bdr w:val="nil"/>
      <w:lang w:val="en-US"/>
    </w:rPr>
  </w:style>
  <w:style w:type="paragraph" w:customStyle="1" w:styleId="leyestitulo">
    <w:name w:val="leyes_titulo"/>
    <w:basedOn w:val="Normal"/>
    <w:rsid w:val="00EF6E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SpacingChar">
    <w:name w:val="No Spacing Char"/>
    <w:aliases w:val="Informes Char"/>
    <w:link w:val="NoSpacing"/>
    <w:uiPriority w:val="1"/>
    <w:rsid w:val="00397155"/>
    <w:rPr>
      <w:rFonts w:ascii="Times New Roman" w:eastAsia="Arial Unicode MS" w:hAnsi="Times New Roman" w:cs="Times New Roman"/>
      <w:sz w:val="24"/>
      <w:szCs w:val="24"/>
      <w:bdr w:val="nil"/>
      <w:lang w:val="en-US"/>
    </w:rPr>
  </w:style>
  <w:style w:type="character" w:customStyle="1" w:styleId="apple-converted-space">
    <w:name w:val="apple-converted-space"/>
    <w:rsid w:val="00422DB7"/>
    <w:rPr>
      <w:rFonts w:cs="Times New Roman"/>
    </w:rPr>
  </w:style>
  <w:style w:type="character" w:styleId="Emphasis">
    <w:name w:val="Emphasis"/>
    <w:qFormat/>
    <w:rsid w:val="00422DB7"/>
    <w:rPr>
      <w:i/>
      <w:iCs/>
    </w:rPr>
  </w:style>
  <w:style w:type="paragraph" w:styleId="TOC1">
    <w:name w:val="toc 1"/>
    <w:basedOn w:val="Normal"/>
    <w:next w:val="Normal"/>
    <w:autoRedefine/>
    <w:uiPriority w:val="39"/>
    <w:unhideWhenUsed/>
    <w:rsid w:val="00112143"/>
    <w:pPr>
      <w:spacing w:before="120"/>
    </w:pPr>
    <w:rPr>
      <w:rFonts w:asciiTheme="minorHAnsi" w:hAnsiTheme="minorHAnsi"/>
      <w:b/>
    </w:rPr>
  </w:style>
  <w:style w:type="paragraph" w:styleId="TOC2">
    <w:name w:val="toc 2"/>
    <w:basedOn w:val="Normal"/>
    <w:next w:val="Normal"/>
    <w:autoRedefine/>
    <w:uiPriority w:val="39"/>
    <w:unhideWhenUsed/>
    <w:rsid w:val="00112143"/>
    <w:pPr>
      <w:ind w:left="240"/>
    </w:pPr>
    <w:rPr>
      <w:rFonts w:asciiTheme="minorHAnsi" w:hAnsiTheme="minorHAnsi"/>
      <w:b/>
      <w:sz w:val="22"/>
      <w:szCs w:val="22"/>
    </w:rPr>
  </w:style>
  <w:style w:type="paragraph" w:styleId="TOC3">
    <w:name w:val="toc 3"/>
    <w:basedOn w:val="Normal"/>
    <w:next w:val="Normal"/>
    <w:autoRedefine/>
    <w:uiPriority w:val="39"/>
    <w:unhideWhenUsed/>
    <w:rsid w:val="00112143"/>
    <w:pPr>
      <w:ind w:left="480"/>
    </w:pPr>
    <w:rPr>
      <w:rFonts w:asciiTheme="minorHAnsi" w:hAnsiTheme="minorHAnsi"/>
      <w:sz w:val="22"/>
      <w:szCs w:val="22"/>
    </w:rPr>
  </w:style>
  <w:style w:type="paragraph" w:styleId="TOC4">
    <w:name w:val="toc 4"/>
    <w:basedOn w:val="Normal"/>
    <w:next w:val="Normal"/>
    <w:autoRedefine/>
    <w:uiPriority w:val="39"/>
    <w:unhideWhenUsed/>
    <w:rsid w:val="00112143"/>
    <w:pPr>
      <w:ind w:left="720"/>
    </w:pPr>
    <w:rPr>
      <w:rFonts w:asciiTheme="minorHAnsi" w:hAnsiTheme="minorHAnsi"/>
      <w:sz w:val="20"/>
      <w:szCs w:val="20"/>
    </w:rPr>
  </w:style>
  <w:style w:type="table" w:styleId="TableGrid">
    <w:name w:val="Table Grid"/>
    <w:basedOn w:val="TableNormal"/>
    <w:uiPriority w:val="39"/>
    <w:rsid w:val="007F089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63F8"/>
    <w:pPr>
      <w:pBdr>
        <w:top w:val="nil"/>
        <w:left w:val="nil"/>
        <w:bottom w:val="nil"/>
        <w:right w:val="nil"/>
        <w:between w:val="nil"/>
        <w:bar w:val="nil"/>
      </w:pBdr>
    </w:pPr>
    <w:rPr>
      <w:rFonts w:ascii="Times New Roman" w:eastAsia="Arial Unicode MS" w:hAnsi="Times New Roman" w:cs="Times New Roman"/>
      <w:b/>
      <w:bCs/>
      <w:bdr w:val="nil"/>
      <w:lang w:val="en-US" w:eastAsia="en-US"/>
    </w:rPr>
  </w:style>
  <w:style w:type="character" w:customStyle="1" w:styleId="CommentSubjectChar">
    <w:name w:val="Comment Subject Char"/>
    <w:basedOn w:val="CommentTextChar"/>
    <w:link w:val="CommentSubject"/>
    <w:uiPriority w:val="99"/>
    <w:semiHidden/>
    <w:rsid w:val="004C63F8"/>
    <w:rPr>
      <w:rFonts w:ascii="Times New Roman" w:eastAsia="Arial Unicode MS" w:hAnsi="Times New Roman" w:cs="Times New Roman"/>
      <w:b/>
      <w:bCs/>
      <w:sz w:val="20"/>
      <w:szCs w:val="20"/>
      <w:bdr w:val="nil"/>
      <w:lang w:val="en-US" w:eastAsia="es-ES"/>
    </w:rPr>
  </w:style>
  <w:style w:type="paragraph" w:customStyle="1" w:styleId="Default">
    <w:name w:val="Default"/>
    <w:rsid w:val="00D53E4C"/>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903249"/>
    <w:pPr>
      <w:tabs>
        <w:tab w:val="center" w:pos="4419"/>
        <w:tab w:val="right" w:pos="8838"/>
      </w:tabs>
    </w:pPr>
  </w:style>
  <w:style w:type="character" w:customStyle="1" w:styleId="HeaderChar">
    <w:name w:val="Header Char"/>
    <w:basedOn w:val="DefaultParagraphFont"/>
    <w:link w:val="Header"/>
    <w:uiPriority w:val="99"/>
    <w:rsid w:val="0090324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03249"/>
    <w:pPr>
      <w:tabs>
        <w:tab w:val="center" w:pos="4419"/>
        <w:tab w:val="right" w:pos="8838"/>
      </w:tabs>
    </w:pPr>
  </w:style>
  <w:style w:type="character" w:customStyle="1" w:styleId="FooterChar">
    <w:name w:val="Footer Char"/>
    <w:basedOn w:val="DefaultParagraphFont"/>
    <w:link w:val="Footer"/>
    <w:uiPriority w:val="99"/>
    <w:rsid w:val="00903249"/>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7B73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customStyle="1" w:styleId="UnresolvedMention1">
    <w:name w:val="Unresolved Mention1"/>
    <w:basedOn w:val="DefaultParagraphFont"/>
    <w:uiPriority w:val="99"/>
    <w:semiHidden/>
    <w:unhideWhenUsed/>
    <w:rsid w:val="000B1A0A"/>
    <w:rPr>
      <w:color w:val="808080"/>
      <w:shd w:val="clear" w:color="auto" w:fill="E6E6E6"/>
    </w:rPr>
  </w:style>
  <w:style w:type="character" w:styleId="Strong">
    <w:name w:val="Strong"/>
    <w:basedOn w:val="DefaultParagraphFont"/>
    <w:uiPriority w:val="22"/>
    <w:qFormat/>
    <w:rsid w:val="0036558D"/>
    <w:rPr>
      <w:b/>
      <w:bCs/>
    </w:rPr>
  </w:style>
  <w:style w:type="paragraph" w:customStyle="1" w:styleId="style1">
    <w:name w:val="style1"/>
    <w:basedOn w:val="Normal"/>
    <w:rsid w:val="002D05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Y" w:eastAsia="es-UY"/>
    </w:rPr>
  </w:style>
  <w:style w:type="character" w:customStyle="1" w:styleId="qowt-font1-timesnewroman">
    <w:name w:val="qowt-font1-timesnewroman"/>
    <w:basedOn w:val="DefaultParagraphFont"/>
    <w:rsid w:val="008C54F4"/>
  </w:style>
  <w:style w:type="paragraph" w:styleId="Revision">
    <w:name w:val="Revision"/>
    <w:hidden/>
    <w:uiPriority w:val="99"/>
    <w:semiHidden/>
    <w:rsid w:val="00AD1F88"/>
    <w:pPr>
      <w:spacing w:after="0" w:line="240" w:lineRule="auto"/>
    </w:pPr>
    <w:rPr>
      <w:rFonts w:ascii="Times New Roman" w:eastAsia="Arial Unicode MS" w:hAnsi="Times New Roman" w:cs="Times New Roman"/>
      <w:sz w:val="24"/>
      <w:szCs w:val="24"/>
      <w:bdr w:val="nil"/>
      <w:lang w:val="en-US"/>
    </w:rPr>
  </w:style>
  <w:style w:type="paragraph" w:styleId="DocumentMap">
    <w:name w:val="Document Map"/>
    <w:basedOn w:val="Normal"/>
    <w:link w:val="DocumentMapChar"/>
    <w:uiPriority w:val="99"/>
    <w:semiHidden/>
    <w:unhideWhenUsed/>
    <w:rsid w:val="00054C6B"/>
    <w:rPr>
      <w:rFonts w:ascii="Lucida Grande" w:hAnsi="Lucida Grande" w:cs="Lucida Grande"/>
    </w:rPr>
  </w:style>
  <w:style w:type="character" w:customStyle="1" w:styleId="DocumentMapChar">
    <w:name w:val="Document Map Char"/>
    <w:basedOn w:val="DefaultParagraphFont"/>
    <w:link w:val="DocumentMap"/>
    <w:uiPriority w:val="99"/>
    <w:semiHidden/>
    <w:rsid w:val="00054C6B"/>
    <w:rPr>
      <w:rFonts w:ascii="Lucida Grande" w:eastAsia="Arial Unicode MS" w:hAnsi="Lucida Grande" w:cs="Lucida Grande"/>
      <w:sz w:val="24"/>
      <w:szCs w:val="24"/>
      <w:bdr w:val="nil"/>
      <w:lang w:val="en-US"/>
    </w:rPr>
  </w:style>
  <w:style w:type="paragraph" w:customStyle="1" w:styleId="Char2">
    <w:name w:val="Char2"/>
    <w:basedOn w:val="Normal"/>
    <w:uiPriority w:val="99"/>
    <w:rsid w:val="00122D2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22D25"/>
    <w:rPr>
      <w:color w:val="800080" w:themeColor="followedHyperlink"/>
      <w:u w:val="single"/>
    </w:rPr>
  </w:style>
  <w:style w:type="paragraph" w:styleId="TOC5">
    <w:name w:val="toc 5"/>
    <w:basedOn w:val="Normal"/>
    <w:next w:val="Normal"/>
    <w:autoRedefine/>
    <w:uiPriority w:val="39"/>
    <w:unhideWhenUsed/>
    <w:rsid w:val="00EA0F77"/>
    <w:pPr>
      <w:ind w:left="960"/>
    </w:pPr>
    <w:rPr>
      <w:rFonts w:asciiTheme="minorHAnsi" w:hAnsiTheme="minorHAnsi"/>
      <w:sz w:val="20"/>
      <w:szCs w:val="20"/>
    </w:rPr>
  </w:style>
  <w:style w:type="paragraph" w:styleId="TOC6">
    <w:name w:val="toc 6"/>
    <w:basedOn w:val="Normal"/>
    <w:next w:val="Normal"/>
    <w:autoRedefine/>
    <w:uiPriority w:val="39"/>
    <w:unhideWhenUsed/>
    <w:rsid w:val="00EA0F77"/>
    <w:pPr>
      <w:ind w:left="1200"/>
    </w:pPr>
    <w:rPr>
      <w:rFonts w:asciiTheme="minorHAnsi" w:hAnsiTheme="minorHAnsi"/>
      <w:sz w:val="20"/>
      <w:szCs w:val="20"/>
    </w:rPr>
  </w:style>
  <w:style w:type="paragraph" w:styleId="TOC7">
    <w:name w:val="toc 7"/>
    <w:basedOn w:val="Normal"/>
    <w:next w:val="Normal"/>
    <w:autoRedefine/>
    <w:uiPriority w:val="39"/>
    <w:unhideWhenUsed/>
    <w:rsid w:val="00EA0F77"/>
    <w:pPr>
      <w:ind w:left="1440"/>
    </w:pPr>
    <w:rPr>
      <w:rFonts w:asciiTheme="minorHAnsi" w:hAnsiTheme="minorHAnsi"/>
      <w:sz w:val="20"/>
      <w:szCs w:val="20"/>
    </w:rPr>
  </w:style>
  <w:style w:type="paragraph" w:styleId="TOC8">
    <w:name w:val="toc 8"/>
    <w:basedOn w:val="Normal"/>
    <w:next w:val="Normal"/>
    <w:autoRedefine/>
    <w:uiPriority w:val="39"/>
    <w:unhideWhenUsed/>
    <w:rsid w:val="00EA0F77"/>
    <w:pPr>
      <w:ind w:left="1680"/>
    </w:pPr>
    <w:rPr>
      <w:rFonts w:asciiTheme="minorHAnsi" w:hAnsiTheme="minorHAnsi"/>
      <w:sz w:val="20"/>
      <w:szCs w:val="20"/>
    </w:rPr>
  </w:style>
  <w:style w:type="paragraph" w:styleId="TOC9">
    <w:name w:val="toc 9"/>
    <w:basedOn w:val="Normal"/>
    <w:next w:val="Normal"/>
    <w:autoRedefine/>
    <w:uiPriority w:val="39"/>
    <w:unhideWhenUsed/>
    <w:rsid w:val="00EA0F77"/>
    <w:pPr>
      <w:ind w:left="1920"/>
    </w:pPr>
    <w:rPr>
      <w:rFonts w:asciiTheme="minorHAnsi" w:hAnsiTheme="minorHAnsi"/>
      <w:sz w:val="20"/>
      <w:szCs w:val="20"/>
    </w:rPr>
  </w:style>
  <w:style w:type="table" w:customStyle="1" w:styleId="Tabladecuadrcula5oscura-nfasis51">
    <w:name w:val="Tabla de cuadrícula 5 oscura - Énfasis 51"/>
    <w:basedOn w:val="TableNormal"/>
    <w:uiPriority w:val="50"/>
    <w:rsid w:val="001018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8946065444081616593msofootnotereference">
    <w:name w:val="m_-8946065444081616593msofootnotereference"/>
    <w:basedOn w:val="DefaultParagraphFont"/>
    <w:rsid w:val="00460C68"/>
  </w:style>
  <w:style w:type="character" w:customStyle="1" w:styleId="StrongEmphasis">
    <w:name w:val="Strong Emphasis"/>
    <w:rsid w:val="00CC471D"/>
    <w:rPr>
      <w:b/>
      <w:bCs/>
    </w:rPr>
  </w:style>
  <w:style w:type="character" w:customStyle="1" w:styleId="FootnoteAnchor">
    <w:name w:val="Footnote Anchor"/>
    <w:rsid w:val="00CC471D"/>
    <w:rPr>
      <w:vertAlign w:val="superscript"/>
    </w:rPr>
  </w:style>
  <w:style w:type="character" w:customStyle="1" w:styleId="InternetLink">
    <w:name w:val="Internet Link"/>
    <w:rsid w:val="00CC471D"/>
    <w:rPr>
      <w:color w:val="000080"/>
      <w:u w:val="single"/>
    </w:rPr>
  </w:style>
  <w:style w:type="paragraph" w:customStyle="1" w:styleId="TextBody">
    <w:name w:val="Text Body"/>
    <w:basedOn w:val="Normal"/>
    <w:rsid w:val="00CC47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88" w:lineRule="auto"/>
    </w:pPr>
    <w:rPr>
      <w:rFonts w:ascii="Liberation Serif" w:eastAsia="Droid Sans Fallback" w:hAnsi="Liberation Serif" w:cs="FreeSans"/>
      <w:bdr w:val="none" w:sz="0" w:space="0" w:color="auto"/>
      <w:lang w:eastAsia="zh-CN" w:bidi="hi-IN"/>
    </w:rPr>
  </w:style>
  <w:style w:type="character" w:customStyle="1" w:styleId="tgc">
    <w:name w:val="_tgc"/>
    <w:rsid w:val="00CC471D"/>
  </w:style>
  <w:style w:type="paragraph" w:customStyle="1" w:styleId="f1">
    <w:name w:val="f1"/>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styleId="HTMLPreformatted">
    <w:name w:val="HTML Preformatted"/>
    <w:basedOn w:val="Normal"/>
    <w:link w:val="HTMLPreformatted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CC471D"/>
    <w:rPr>
      <w:rFonts w:ascii="Courier New" w:eastAsia="Times New Roman" w:hAnsi="Courier New" w:cs="Courier New"/>
      <w:sz w:val="20"/>
      <w:szCs w:val="20"/>
      <w:lang w:val="en-US"/>
    </w:rPr>
  </w:style>
  <w:style w:type="paragraph" w:styleId="BodyText">
    <w:name w:val="Body Text"/>
    <w:basedOn w:val="Normal"/>
    <w:link w:val="BodyText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Char">
    <w:name w:val="Body Text Char"/>
    <w:basedOn w:val="DefaultParagraphFont"/>
    <w:link w:val="BodyText"/>
    <w:uiPriority w:val="99"/>
    <w:semiHidden/>
    <w:rsid w:val="00CC471D"/>
    <w:rPr>
      <w:rFonts w:ascii="Times New Roman" w:eastAsia="Times New Roman" w:hAnsi="Times New Roman" w:cs="Times New Roman"/>
      <w:sz w:val="24"/>
      <w:szCs w:val="24"/>
      <w:lang w:val="en-US"/>
    </w:rPr>
  </w:style>
  <w:style w:type="character" w:customStyle="1" w:styleId="Caracteresdenotaalpie">
    <w:name w:val="Caracteres de nota al pie"/>
    <w:rsid w:val="00CC471D"/>
    <w:rPr>
      <w:vertAlign w:val="superscript"/>
    </w:rPr>
  </w:style>
  <w:style w:type="paragraph" w:customStyle="1" w:styleId="textbox">
    <w:name w:val="textbox"/>
    <w:basedOn w:val="Normal"/>
    <w:rsid w:val="0036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PlaceholderText">
    <w:name w:val="Placeholder Text"/>
    <w:basedOn w:val="DefaultParagraphFont"/>
    <w:uiPriority w:val="99"/>
    <w:semiHidden/>
    <w:rsid w:val="00AF4BC6"/>
    <w:rPr>
      <w:color w:val="808080"/>
    </w:rPr>
  </w:style>
  <w:style w:type="paragraph" w:customStyle="1" w:styleId="Body1">
    <w:name w:val="Body 1"/>
    <w:link w:val="Body1Char"/>
    <w:uiPriority w:val="99"/>
    <w:rsid w:val="00E35832"/>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Body1Char">
    <w:name w:val="Body 1 Char"/>
    <w:link w:val="Body1"/>
    <w:uiPriority w:val="99"/>
    <w:locked/>
    <w:rsid w:val="00E35832"/>
    <w:rPr>
      <w:rFonts w:ascii="Times New Roman" w:eastAsia="Arial Unicode MS" w:hAnsi="Times New Roman" w:cs="Times New Roman"/>
      <w:color w:val="000000"/>
      <w:sz w:val="24"/>
      <w:szCs w:val="20"/>
      <w:u w:color="000000"/>
      <w:lang w:val="en-US"/>
    </w:rPr>
  </w:style>
  <w:style w:type="paragraph" w:styleId="EndnoteText">
    <w:name w:val="endnote text"/>
    <w:basedOn w:val="Normal"/>
    <w:link w:val="EndnoteTextChar"/>
    <w:uiPriority w:val="99"/>
    <w:unhideWhenUsed/>
    <w:rsid w:val="00776C27"/>
  </w:style>
  <w:style w:type="character" w:customStyle="1" w:styleId="EndnoteTextChar">
    <w:name w:val="Endnote Text Char"/>
    <w:basedOn w:val="DefaultParagraphFont"/>
    <w:link w:val="EndnoteText"/>
    <w:uiPriority w:val="99"/>
    <w:rsid w:val="00776C27"/>
    <w:rPr>
      <w:rFonts w:ascii="Times New Roman" w:eastAsia="Arial Unicode MS" w:hAnsi="Times New Roman" w:cs="Times New Roman"/>
      <w:sz w:val="24"/>
      <w:szCs w:val="24"/>
      <w:bdr w:val="nil"/>
      <w:lang w:val="en-US"/>
    </w:rPr>
  </w:style>
  <w:style w:type="character" w:styleId="EndnoteReference">
    <w:name w:val="endnote reference"/>
    <w:basedOn w:val="DefaultParagraphFont"/>
    <w:uiPriority w:val="99"/>
    <w:unhideWhenUsed/>
    <w:rsid w:val="00776C27"/>
    <w:rPr>
      <w:vertAlign w:val="superscript"/>
    </w:rPr>
  </w:style>
  <w:style w:type="character" w:customStyle="1" w:styleId="UnresolvedMention">
    <w:name w:val="Unresolved Mention"/>
    <w:basedOn w:val="DefaultParagraphFont"/>
    <w:uiPriority w:val="99"/>
    <w:semiHidden/>
    <w:unhideWhenUsed/>
    <w:rsid w:val="00F86C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214">
      <w:bodyDiv w:val="1"/>
      <w:marLeft w:val="0"/>
      <w:marRight w:val="0"/>
      <w:marTop w:val="0"/>
      <w:marBottom w:val="0"/>
      <w:divBdr>
        <w:top w:val="none" w:sz="0" w:space="0" w:color="auto"/>
        <w:left w:val="none" w:sz="0" w:space="0" w:color="auto"/>
        <w:bottom w:val="none" w:sz="0" w:space="0" w:color="auto"/>
        <w:right w:val="none" w:sz="0" w:space="0" w:color="auto"/>
      </w:divBdr>
    </w:div>
    <w:div w:id="369040766">
      <w:bodyDiv w:val="1"/>
      <w:marLeft w:val="0"/>
      <w:marRight w:val="0"/>
      <w:marTop w:val="0"/>
      <w:marBottom w:val="0"/>
      <w:divBdr>
        <w:top w:val="none" w:sz="0" w:space="0" w:color="auto"/>
        <w:left w:val="none" w:sz="0" w:space="0" w:color="auto"/>
        <w:bottom w:val="none" w:sz="0" w:space="0" w:color="auto"/>
        <w:right w:val="none" w:sz="0" w:space="0" w:color="auto"/>
      </w:divBdr>
      <w:divsChild>
        <w:div w:id="1897661881">
          <w:marLeft w:val="0"/>
          <w:marRight w:val="0"/>
          <w:marTop w:val="0"/>
          <w:marBottom w:val="0"/>
          <w:divBdr>
            <w:top w:val="none" w:sz="0" w:space="0" w:color="auto"/>
            <w:left w:val="none" w:sz="0" w:space="0" w:color="auto"/>
            <w:bottom w:val="none" w:sz="0" w:space="0" w:color="auto"/>
            <w:right w:val="none" w:sz="0" w:space="0" w:color="auto"/>
          </w:divBdr>
          <w:divsChild>
            <w:div w:id="837041426">
              <w:marLeft w:val="0"/>
              <w:marRight w:val="0"/>
              <w:marTop w:val="0"/>
              <w:marBottom w:val="0"/>
              <w:divBdr>
                <w:top w:val="none" w:sz="0" w:space="0" w:color="auto"/>
                <w:left w:val="none" w:sz="0" w:space="0" w:color="auto"/>
                <w:bottom w:val="none" w:sz="0" w:space="0" w:color="auto"/>
                <w:right w:val="none" w:sz="0" w:space="0" w:color="auto"/>
              </w:divBdr>
              <w:divsChild>
                <w:div w:id="1425569178">
                  <w:marLeft w:val="0"/>
                  <w:marRight w:val="0"/>
                  <w:marTop w:val="0"/>
                  <w:marBottom w:val="0"/>
                  <w:divBdr>
                    <w:top w:val="none" w:sz="0" w:space="0" w:color="auto"/>
                    <w:left w:val="none" w:sz="0" w:space="0" w:color="auto"/>
                    <w:bottom w:val="none" w:sz="0" w:space="0" w:color="auto"/>
                    <w:right w:val="none" w:sz="0" w:space="0" w:color="auto"/>
                  </w:divBdr>
                  <w:divsChild>
                    <w:div w:id="2079789266">
                      <w:marLeft w:val="0"/>
                      <w:marRight w:val="0"/>
                      <w:marTop w:val="0"/>
                      <w:marBottom w:val="0"/>
                      <w:divBdr>
                        <w:top w:val="none" w:sz="0" w:space="0" w:color="auto"/>
                        <w:left w:val="none" w:sz="0" w:space="0" w:color="auto"/>
                        <w:bottom w:val="none" w:sz="0" w:space="0" w:color="auto"/>
                        <w:right w:val="none" w:sz="0" w:space="0" w:color="auto"/>
                      </w:divBdr>
                      <w:divsChild>
                        <w:div w:id="690880602">
                          <w:marLeft w:val="0"/>
                          <w:marRight w:val="0"/>
                          <w:marTop w:val="0"/>
                          <w:marBottom w:val="0"/>
                          <w:divBdr>
                            <w:top w:val="none" w:sz="0" w:space="0" w:color="auto"/>
                            <w:left w:val="none" w:sz="0" w:space="0" w:color="auto"/>
                            <w:bottom w:val="none" w:sz="0" w:space="0" w:color="auto"/>
                            <w:right w:val="none" w:sz="0" w:space="0" w:color="auto"/>
                          </w:divBdr>
                          <w:divsChild>
                            <w:div w:id="1093861824">
                              <w:marLeft w:val="0"/>
                              <w:marRight w:val="0"/>
                              <w:marTop w:val="0"/>
                              <w:marBottom w:val="0"/>
                              <w:divBdr>
                                <w:top w:val="single" w:sz="6" w:space="0" w:color="CCCCCC"/>
                                <w:left w:val="single" w:sz="6" w:space="0" w:color="CCCCCC"/>
                                <w:bottom w:val="single" w:sz="6" w:space="0" w:color="CCCCCC"/>
                                <w:right w:val="single" w:sz="6" w:space="0" w:color="CCCCCC"/>
                              </w:divBdr>
                              <w:divsChild>
                                <w:div w:id="1293444608">
                                  <w:marLeft w:val="0"/>
                                  <w:marRight w:val="0"/>
                                  <w:marTop w:val="0"/>
                                  <w:marBottom w:val="0"/>
                                  <w:divBdr>
                                    <w:top w:val="none" w:sz="0" w:space="0" w:color="auto"/>
                                    <w:left w:val="none" w:sz="0" w:space="0" w:color="auto"/>
                                    <w:bottom w:val="none" w:sz="0" w:space="0" w:color="auto"/>
                                    <w:right w:val="none" w:sz="0" w:space="0" w:color="auto"/>
                                  </w:divBdr>
                                  <w:divsChild>
                                    <w:div w:id="1147627359">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449476581">
      <w:bodyDiv w:val="1"/>
      <w:marLeft w:val="0"/>
      <w:marRight w:val="0"/>
      <w:marTop w:val="0"/>
      <w:marBottom w:val="0"/>
      <w:divBdr>
        <w:top w:val="none" w:sz="0" w:space="0" w:color="auto"/>
        <w:left w:val="none" w:sz="0" w:space="0" w:color="auto"/>
        <w:bottom w:val="none" w:sz="0" w:space="0" w:color="auto"/>
        <w:right w:val="none" w:sz="0" w:space="0" w:color="auto"/>
      </w:divBdr>
    </w:div>
    <w:div w:id="487676008">
      <w:bodyDiv w:val="1"/>
      <w:marLeft w:val="0"/>
      <w:marRight w:val="0"/>
      <w:marTop w:val="0"/>
      <w:marBottom w:val="0"/>
      <w:divBdr>
        <w:top w:val="none" w:sz="0" w:space="0" w:color="auto"/>
        <w:left w:val="none" w:sz="0" w:space="0" w:color="auto"/>
        <w:bottom w:val="none" w:sz="0" w:space="0" w:color="auto"/>
        <w:right w:val="none" w:sz="0" w:space="0" w:color="auto"/>
      </w:divBdr>
    </w:div>
    <w:div w:id="641153213">
      <w:bodyDiv w:val="1"/>
      <w:marLeft w:val="0"/>
      <w:marRight w:val="0"/>
      <w:marTop w:val="0"/>
      <w:marBottom w:val="0"/>
      <w:divBdr>
        <w:top w:val="none" w:sz="0" w:space="0" w:color="auto"/>
        <w:left w:val="none" w:sz="0" w:space="0" w:color="auto"/>
        <w:bottom w:val="none" w:sz="0" w:space="0" w:color="auto"/>
        <w:right w:val="none" w:sz="0" w:space="0" w:color="auto"/>
      </w:divBdr>
    </w:div>
    <w:div w:id="689642112">
      <w:bodyDiv w:val="1"/>
      <w:marLeft w:val="0"/>
      <w:marRight w:val="0"/>
      <w:marTop w:val="0"/>
      <w:marBottom w:val="0"/>
      <w:divBdr>
        <w:top w:val="none" w:sz="0" w:space="0" w:color="auto"/>
        <w:left w:val="none" w:sz="0" w:space="0" w:color="auto"/>
        <w:bottom w:val="none" w:sz="0" w:space="0" w:color="auto"/>
        <w:right w:val="none" w:sz="0" w:space="0" w:color="auto"/>
      </w:divBdr>
      <w:divsChild>
        <w:div w:id="1078012964">
          <w:marLeft w:val="0"/>
          <w:marRight w:val="0"/>
          <w:marTop w:val="0"/>
          <w:marBottom w:val="0"/>
          <w:divBdr>
            <w:top w:val="none" w:sz="0" w:space="0" w:color="auto"/>
            <w:left w:val="none" w:sz="0" w:space="0" w:color="auto"/>
            <w:bottom w:val="none" w:sz="0" w:space="0" w:color="auto"/>
            <w:right w:val="none" w:sz="0" w:space="0" w:color="auto"/>
          </w:divBdr>
        </w:div>
        <w:div w:id="1775249899">
          <w:marLeft w:val="0"/>
          <w:marRight w:val="0"/>
          <w:marTop w:val="0"/>
          <w:marBottom w:val="0"/>
          <w:divBdr>
            <w:top w:val="none" w:sz="0" w:space="0" w:color="auto"/>
            <w:left w:val="none" w:sz="0" w:space="0" w:color="auto"/>
            <w:bottom w:val="none" w:sz="0" w:space="0" w:color="auto"/>
            <w:right w:val="none" w:sz="0" w:space="0" w:color="auto"/>
          </w:divBdr>
        </w:div>
      </w:divsChild>
    </w:div>
    <w:div w:id="692463670">
      <w:bodyDiv w:val="1"/>
      <w:marLeft w:val="0"/>
      <w:marRight w:val="0"/>
      <w:marTop w:val="0"/>
      <w:marBottom w:val="0"/>
      <w:divBdr>
        <w:top w:val="none" w:sz="0" w:space="0" w:color="auto"/>
        <w:left w:val="none" w:sz="0" w:space="0" w:color="auto"/>
        <w:bottom w:val="none" w:sz="0" w:space="0" w:color="auto"/>
        <w:right w:val="none" w:sz="0" w:space="0" w:color="auto"/>
      </w:divBdr>
      <w:divsChild>
        <w:div w:id="720978156">
          <w:marLeft w:val="0"/>
          <w:marRight w:val="0"/>
          <w:marTop w:val="0"/>
          <w:marBottom w:val="0"/>
          <w:divBdr>
            <w:top w:val="none" w:sz="0" w:space="0" w:color="auto"/>
            <w:left w:val="none" w:sz="0" w:space="0" w:color="auto"/>
            <w:bottom w:val="none" w:sz="0" w:space="0" w:color="auto"/>
            <w:right w:val="none" w:sz="0" w:space="0" w:color="auto"/>
          </w:divBdr>
        </w:div>
      </w:divsChild>
    </w:div>
    <w:div w:id="757287425">
      <w:bodyDiv w:val="1"/>
      <w:marLeft w:val="0"/>
      <w:marRight w:val="0"/>
      <w:marTop w:val="0"/>
      <w:marBottom w:val="0"/>
      <w:divBdr>
        <w:top w:val="none" w:sz="0" w:space="0" w:color="auto"/>
        <w:left w:val="none" w:sz="0" w:space="0" w:color="auto"/>
        <w:bottom w:val="none" w:sz="0" w:space="0" w:color="auto"/>
        <w:right w:val="none" w:sz="0" w:space="0" w:color="auto"/>
      </w:divBdr>
    </w:div>
    <w:div w:id="863397546">
      <w:bodyDiv w:val="1"/>
      <w:marLeft w:val="0"/>
      <w:marRight w:val="0"/>
      <w:marTop w:val="0"/>
      <w:marBottom w:val="0"/>
      <w:divBdr>
        <w:top w:val="none" w:sz="0" w:space="0" w:color="auto"/>
        <w:left w:val="none" w:sz="0" w:space="0" w:color="auto"/>
        <w:bottom w:val="none" w:sz="0" w:space="0" w:color="auto"/>
        <w:right w:val="none" w:sz="0" w:space="0" w:color="auto"/>
      </w:divBdr>
    </w:div>
    <w:div w:id="1124353092">
      <w:bodyDiv w:val="1"/>
      <w:marLeft w:val="0"/>
      <w:marRight w:val="0"/>
      <w:marTop w:val="0"/>
      <w:marBottom w:val="0"/>
      <w:divBdr>
        <w:top w:val="none" w:sz="0" w:space="0" w:color="auto"/>
        <w:left w:val="none" w:sz="0" w:space="0" w:color="auto"/>
        <w:bottom w:val="none" w:sz="0" w:space="0" w:color="auto"/>
        <w:right w:val="none" w:sz="0" w:space="0" w:color="auto"/>
      </w:divBdr>
    </w:div>
    <w:div w:id="1152330325">
      <w:bodyDiv w:val="1"/>
      <w:marLeft w:val="0"/>
      <w:marRight w:val="0"/>
      <w:marTop w:val="0"/>
      <w:marBottom w:val="0"/>
      <w:divBdr>
        <w:top w:val="none" w:sz="0" w:space="0" w:color="auto"/>
        <w:left w:val="none" w:sz="0" w:space="0" w:color="auto"/>
        <w:bottom w:val="none" w:sz="0" w:space="0" w:color="auto"/>
        <w:right w:val="none" w:sz="0" w:space="0" w:color="auto"/>
      </w:divBdr>
    </w:div>
    <w:div w:id="1159999907">
      <w:bodyDiv w:val="1"/>
      <w:marLeft w:val="0"/>
      <w:marRight w:val="0"/>
      <w:marTop w:val="0"/>
      <w:marBottom w:val="0"/>
      <w:divBdr>
        <w:top w:val="none" w:sz="0" w:space="0" w:color="auto"/>
        <w:left w:val="none" w:sz="0" w:space="0" w:color="auto"/>
        <w:bottom w:val="none" w:sz="0" w:space="0" w:color="auto"/>
        <w:right w:val="none" w:sz="0" w:space="0" w:color="auto"/>
      </w:divBdr>
    </w:div>
    <w:div w:id="1176382064">
      <w:bodyDiv w:val="1"/>
      <w:marLeft w:val="0"/>
      <w:marRight w:val="0"/>
      <w:marTop w:val="0"/>
      <w:marBottom w:val="0"/>
      <w:divBdr>
        <w:top w:val="none" w:sz="0" w:space="0" w:color="auto"/>
        <w:left w:val="none" w:sz="0" w:space="0" w:color="auto"/>
        <w:bottom w:val="none" w:sz="0" w:space="0" w:color="auto"/>
        <w:right w:val="none" w:sz="0" w:space="0" w:color="auto"/>
      </w:divBdr>
    </w:div>
    <w:div w:id="1209493695">
      <w:bodyDiv w:val="1"/>
      <w:marLeft w:val="0"/>
      <w:marRight w:val="0"/>
      <w:marTop w:val="0"/>
      <w:marBottom w:val="0"/>
      <w:divBdr>
        <w:top w:val="none" w:sz="0" w:space="0" w:color="auto"/>
        <w:left w:val="none" w:sz="0" w:space="0" w:color="auto"/>
        <w:bottom w:val="none" w:sz="0" w:space="0" w:color="auto"/>
        <w:right w:val="none" w:sz="0" w:space="0" w:color="auto"/>
      </w:divBdr>
    </w:div>
    <w:div w:id="1312758542">
      <w:bodyDiv w:val="1"/>
      <w:marLeft w:val="0"/>
      <w:marRight w:val="0"/>
      <w:marTop w:val="0"/>
      <w:marBottom w:val="0"/>
      <w:divBdr>
        <w:top w:val="none" w:sz="0" w:space="0" w:color="auto"/>
        <w:left w:val="none" w:sz="0" w:space="0" w:color="auto"/>
        <w:bottom w:val="none" w:sz="0" w:space="0" w:color="auto"/>
        <w:right w:val="none" w:sz="0" w:space="0" w:color="auto"/>
      </w:divBdr>
    </w:div>
    <w:div w:id="1331519231">
      <w:bodyDiv w:val="1"/>
      <w:marLeft w:val="0"/>
      <w:marRight w:val="0"/>
      <w:marTop w:val="0"/>
      <w:marBottom w:val="0"/>
      <w:divBdr>
        <w:top w:val="none" w:sz="0" w:space="0" w:color="auto"/>
        <w:left w:val="none" w:sz="0" w:space="0" w:color="auto"/>
        <w:bottom w:val="none" w:sz="0" w:space="0" w:color="auto"/>
        <w:right w:val="none" w:sz="0" w:space="0" w:color="auto"/>
      </w:divBdr>
    </w:div>
    <w:div w:id="1334457236">
      <w:bodyDiv w:val="1"/>
      <w:marLeft w:val="0"/>
      <w:marRight w:val="0"/>
      <w:marTop w:val="0"/>
      <w:marBottom w:val="0"/>
      <w:divBdr>
        <w:top w:val="none" w:sz="0" w:space="0" w:color="auto"/>
        <w:left w:val="none" w:sz="0" w:space="0" w:color="auto"/>
        <w:bottom w:val="none" w:sz="0" w:space="0" w:color="auto"/>
        <w:right w:val="none" w:sz="0" w:space="0" w:color="auto"/>
      </w:divBdr>
    </w:div>
    <w:div w:id="1513185783">
      <w:bodyDiv w:val="1"/>
      <w:marLeft w:val="0"/>
      <w:marRight w:val="0"/>
      <w:marTop w:val="0"/>
      <w:marBottom w:val="0"/>
      <w:divBdr>
        <w:top w:val="none" w:sz="0" w:space="0" w:color="auto"/>
        <w:left w:val="none" w:sz="0" w:space="0" w:color="auto"/>
        <w:bottom w:val="none" w:sz="0" w:space="0" w:color="auto"/>
        <w:right w:val="none" w:sz="0" w:space="0" w:color="auto"/>
      </w:divBdr>
    </w:div>
    <w:div w:id="1593664175">
      <w:bodyDiv w:val="1"/>
      <w:marLeft w:val="0"/>
      <w:marRight w:val="0"/>
      <w:marTop w:val="0"/>
      <w:marBottom w:val="0"/>
      <w:divBdr>
        <w:top w:val="none" w:sz="0" w:space="0" w:color="auto"/>
        <w:left w:val="none" w:sz="0" w:space="0" w:color="auto"/>
        <w:bottom w:val="none" w:sz="0" w:space="0" w:color="auto"/>
        <w:right w:val="none" w:sz="0" w:space="0" w:color="auto"/>
      </w:divBdr>
    </w:div>
    <w:div w:id="1612784182">
      <w:bodyDiv w:val="1"/>
      <w:marLeft w:val="0"/>
      <w:marRight w:val="0"/>
      <w:marTop w:val="0"/>
      <w:marBottom w:val="0"/>
      <w:divBdr>
        <w:top w:val="none" w:sz="0" w:space="0" w:color="auto"/>
        <w:left w:val="none" w:sz="0" w:space="0" w:color="auto"/>
        <w:bottom w:val="none" w:sz="0" w:space="0" w:color="auto"/>
        <w:right w:val="none" w:sz="0" w:space="0" w:color="auto"/>
      </w:divBdr>
    </w:div>
    <w:div w:id="1710228985">
      <w:bodyDiv w:val="1"/>
      <w:marLeft w:val="0"/>
      <w:marRight w:val="0"/>
      <w:marTop w:val="0"/>
      <w:marBottom w:val="0"/>
      <w:divBdr>
        <w:top w:val="none" w:sz="0" w:space="0" w:color="auto"/>
        <w:left w:val="none" w:sz="0" w:space="0" w:color="auto"/>
        <w:bottom w:val="none" w:sz="0" w:space="0" w:color="auto"/>
        <w:right w:val="none" w:sz="0" w:space="0" w:color="auto"/>
      </w:divBdr>
    </w:div>
    <w:div w:id="1834711725">
      <w:bodyDiv w:val="1"/>
      <w:marLeft w:val="0"/>
      <w:marRight w:val="0"/>
      <w:marTop w:val="0"/>
      <w:marBottom w:val="0"/>
      <w:divBdr>
        <w:top w:val="none" w:sz="0" w:space="0" w:color="auto"/>
        <w:left w:val="none" w:sz="0" w:space="0" w:color="auto"/>
        <w:bottom w:val="none" w:sz="0" w:space="0" w:color="auto"/>
        <w:right w:val="none" w:sz="0" w:space="0" w:color="auto"/>
      </w:divBdr>
    </w:div>
    <w:div w:id="20379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observatoriodeviolencia.org.ve/informe-ovv-de-violencia-2017/" TargetMode="External"/><Relationship Id="rId3" Type="http://schemas.openxmlformats.org/officeDocument/2006/relationships/hyperlink" Target="http://www.oas.org/es/cidh/docs/anual/2017/docs/VE-Observaciones2017.pdf" TargetMode="External"/><Relationship Id="rId7" Type="http://schemas.openxmlformats.org/officeDocument/2006/relationships/hyperlink" Target="http://www.oas.org/es/cidh/prensa/comunicados/2017/041.asp" TargetMode="External"/><Relationship Id="rId2" Type="http://schemas.openxmlformats.org/officeDocument/2006/relationships/hyperlink" Target="http://www.oas.org/es/cidh/docs/anual/2017/docs/VE-Observaciones2017.pdf" TargetMode="External"/><Relationship Id="rId1" Type="http://schemas.openxmlformats.org/officeDocument/2006/relationships/hyperlink" Target="http://www.oas.org/es/cidh/docs/anual/2017/docs/VE-Observaciones2017.pdf" TargetMode="External"/><Relationship Id="rId6" Type="http://schemas.openxmlformats.org/officeDocument/2006/relationships/hyperlink" Target="http://www.oas.org/es/cidh/docs/anual/2017/docs/VE-Observaciones2017.pdf" TargetMode="External"/><Relationship Id="rId5" Type="http://schemas.openxmlformats.org/officeDocument/2006/relationships/hyperlink" Target="http://www.oas.org/es/cidh/docs/anual/2017/docs/VE-Observaciones2017.pdf" TargetMode="External"/><Relationship Id="rId10" Type="http://schemas.openxmlformats.org/officeDocument/2006/relationships/hyperlink" Target="http://www.analitica.com/economia/escasez-de-alimentos-basicos-en-el-pais-supera-el-80-segun-datanalisis/" TargetMode="External"/><Relationship Id="rId4" Type="http://schemas.openxmlformats.org/officeDocument/2006/relationships/hyperlink" Target="http://www.oas.org/es/cidh/docs/anual/2017/docs/VE-Observaciones2017.pdf" TargetMode="External"/><Relationship Id="rId9" Type="http://schemas.openxmlformats.org/officeDocument/2006/relationships/hyperlink" Target="http://www.eluniversal.com/noticias/sucesos/ministerio-publico-2016-hubo-mil-752-homicidios_6463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C162-1B7C-49C3-BA89-F0BC1C19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5715</Words>
  <Characters>30524</Characters>
  <Application>Microsoft Office Word</Application>
  <DocSecurity>0</DocSecurity>
  <Lines>554</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Institucionalidad democrática, estado de derecho</vt:lpstr>
      <vt:lpstr>Institucionalidad democrática, estado de derecho</vt:lpstr>
    </vt:vector>
  </TitlesOfParts>
  <LinksUpToDate>false</LinksUpToDate>
  <CharactersWithSpaces>36137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Institucionalidad democrática, estado de derecho</dc:title>
  <dc:creator/>
  <cp:lastModifiedBy/>
  <cp:revision>1</cp:revision>
  <dcterms:created xsi:type="dcterms:W3CDTF">2018-02-28T15:23:00Z</dcterms:created>
  <dcterms:modified xsi:type="dcterms:W3CDTF">2018-03-20T17:04:00Z</dcterms:modified>
</cp:coreProperties>
</file>